
<file path=[Content_Types].xml><?xml version="1.0" encoding="utf-8"?>
<Types xmlns="http://schemas.openxmlformats.org/package/2006/content-types">
  <Default Extension="emf" ContentType="image/x-emf"/>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6.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2EB4" w:rsidRPr="00B56426" w:rsidP="00BD3D2B" w14:paraId="383EB337" w14:textId="56E3438E">
      <w:pPr>
        <w:pStyle w:val="BodyText"/>
      </w:pPr>
      <w:r w:rsidRPr="00A95A85">
        <w:rPr>
          <w:noProof/>
        </w:rPr>
        <w:drawing>
          <wp:anchor distT="0" distB="0" distL="114300" distR="114300" simplePos="0" relativeHeight="251664384" behindDoc="0" locked="0" layoutInCell="1" allowOverlap="1">
            <wp:simplePos x="0" y="0"/>
            <wp:positionH relativeFrom="column">
              <wp:posOffset>211455</wp:posOffset>
            </wp:positionH>
            <wp:positionV relativeFrom="paragraph">
              <wp:posOffset>2502564</wp:posOffset>
            </wp:positionV>
            <wp:extent cx="5715000" cy="912495"/>
            <wp:effectExtent l="0" t="0" r="0" b="1905"/>
            <wp:wrapNone/>
            <wp:docPr id="509269510" name="Picture 509269510" descr="A close-up of a paint s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69510" name="Picture 509269510" descr="A close-up of a paint swatch"/>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rcRect t="38800" b="45222"/>
                    <a:stretch>
                      <a:fillRect/>
                    </a:stretch>
                  </pic:blipFill>
                  <pic:spPr bwMode="auto">
                    <a:xfrm>
                      <a:off x="0" y="0"/>
                      <a:ext cx="5715000" cy="91249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56426" w:rsidR="00C64FB4">
        <w:rPr>
          <w:smallCaps/>
          <w:noProof/>
        </w:rPr>
        <mc:AlternateContent>
          <mc:Choice Requires="wps">
            <w:drawing>
              <wp:anchor distT="0" distB="0" distL="114300" distR="114300" simplePos="0" relativeHeight="251659264" behindDoc="0" locked="1" layoutInCell="1" allowOverlap="1">
                <wp:simplePos x="0" y="0"/>
                <wp:positionH relativeFrom="column">
                  <wp:posOffset>-949960</wp:posOffset>
                </wp:positionH>
                <wp:positionV relativeFrom="paragraph">
                  <wp:posOffset>-937895</wp:posOffset>
                </wp:positionV>
                <wp:extent cx="7825105" cy="10687050"/>
                <wp:effectExtent l="0" t="0" r="4445" b="0"/>
                <wp:wrapNone/>
                <wp:docPr id="1941207062" name="Text Box 1941207062"/>
                <wp:cNvGraphicFramePr/>
                <a:graphic xmlns:a="http://schemas.openxmlformats.org/drawingml/2006/main">
                  <a:graphicData uri="http://schemas.microsoft.com/office/word/2010/wordprocessingShape">
                    <wps:wsp xmlns:wps="http://schemas.microsoft.com/office/word/2010/wordprocessingShape">
                      <wps:cNvSpPr txBox="1"/>
                      <wps:spPr>
                        <a:xfrm>
                          <a:off x="0" y="0"/>
                          <a:ext cx="7825105" cy="10687050"/>
                        </a:xfrm>
                        <a:prstGeom prst="rect">
                          <a:avLst/>
                        </a:prstGeom>
                        <a:solidFill>
                          <a:srgbClr val="4A1222">
                            <a:alpha val="22000"/>
                          </a:srgbClr>
                        </a:solidFill>
                        <a:ln>
                          <a:noFill/>
                        </a:ln>
                      </wps:spPr>
                      <wps:style>
                        <a:lnRef idx="0">
                          <a:scrgbClr r="0" g="0" b="0"/>
                        </a:lnRef>
                        <a:fillRef idx="0">
                          <a:scrgbClr r="0" g="0" b="0"/>
                        </a:fillRef>
                        <a:effectRef idx="0">
                          <a:scrgbClr r="0" g="0" b="0"/>
                        </a:effectRef>
                        <a:fontRef idx="minor">
                          <a:schemeClr val="dk1"/>
                        </a:fontRef>
                      </wps:style>
                      <wps:txbx>
                        <w:txbxContent>
                          <w:p w:rsidR="001A19F7" w:rsidP="00C863E0" w14:textId="77777777">
                            <w:pPr>
                              <w:jc w:val="center"/>
                              <w:rPr>
                                <w:b/>
                                <w:bCs/>
                                <w:color w:val="FFFFFF" w:themeColor="background1"/>
                                <w:sz w:val="32"/>
                              </w:rPr>
                            </w:pPr>
                          </w:p>
                          <w:p w:rsidR="006B69A5" w:rsidP="00C863E0" w14:textId="77777777">
                            <w:pPr>
                              <w:jc w:val="center"/>
                              <w:rPr>
                                <w:b/>
                                <w:bCs/>
                                <w:color w:val="FFFFFF" w:themeColor="background1"/>
                                <w:sz w:val="32"/>
                              </w:rPr>
                            </w:pPr>
                          </w:p>
                          <w:p w:rsidR="006B69A5" w:rsidP="00C863E0" w14:textId="77777777">
                            <w:pPr>
                              <w:jc w:val="center"/>
                              <w:rPr>
                                <w:b/>
                                <w:bCs/>
                                <w:color w:val="FFFFFF" w:themeColor="background1"/>
                                <w:sz w:val="32"/>
                              </w:rPr>
                            </w:pPr>
                          </w:p>
                          <w:p w:rsidR="009873EF" w:rsidRPr="009873EF" w:rsidP="009873EF" w14:textId="77777777">
                            <w:pPr>
                              <w:pStyle w:val="Title"/>
                              <w:ind w:left="360" w:right="330"/>
                              <w:jc w:val="center"/>
                              <w:rPr>
                                <w:color w:val="4A1222"/>
                              </w:rPr>
                            </w:pPr>
                            <w:r w:rsidRPr="009873EF">
                              <w:rPr>
                                <w:color w:val="4A1222"/>
                              </w:rPr>
                              <w:t xml:space="preserve">Economic Analysis of the Proposed Regulation of </w:t>
                            </w:r>
                            <w:r w:rsidRPr="00C16A4E">
                              <w:rPr>
                                <w:color w:val="4A1222"/>
                              </w:rPr>
                              <w:t>PV29</w:t>
                            </w:r>
                            <w:r w:rsidRPr="009873EF">
                              <w:rPr>
                                <w:color w:val="4A1222"/>
                              </w:rPr>
                              <w:t xml:space="preserve"> Under TSCA Section 6(a)</w:t>
                            </w:r>
                          </w:p>
                          <w:p w:rsidR="006B69A5" w:rsidP="00C863E0" w14:textId="77777777">
                            <w:pPr>
                              <w:jc w:val="center"/>
                              <w:rPr>
                                <w:b/>
                                <w:bCs/>
                                <w:color w:val="FFFFFF" w:themeColor="background1"/>
                                <w:sz w:val="32"/>
                              </w:rPr>
                            </w:pPr>
                          </w:p>
                          <w:p w:rsidR="009873EF" w:rsidP="00C863E0" w14:textId="77777777">
                            <w:pPr>
                              <w:jc w:val="center"/>
                              <w:rPr>
                                <w:b/>
                                <w:bCs/>
                                <w:color w:val="FFFFFF" w:themeColor="background1"/>
                                <w:sz w:val="32"/>
                              </w:rPr>
                            </w:pPr>
                          </w:p>
                          <w:p w:rsidR="009873EF" w:rsidP="00C863E0" w14:textId="77777777">
                            <w:pPr>
                              <w:jc w:val="center"/>
                              <w:rPr>
                                <w:b/>
                                <w:bCs/>
                                <w:color w:val="FFFFFF" w:themeColor="background1"/>
                                <w:sz w:val="32"/>
                              </w:rPr>
                            </w:pPr>
                          </w:p>
                          <w:p w:rsidR="009873EF" w:rsidP="00C863E0" w14:textId="77777777">
                            <w:pPr>
                              <w:jc w:val="center"/>
                              <w:rPr>
                                <w:b/>
                                <w:bCs/>
                                <w:color w:val="FFFFFF" w:themeColor="background1"/>
                                <w:sz w:val="32"/>
                              </w:rPr>
                            </w:pPr>
                          </w:p>
                          <w:p w:rsidR="009873EF" w:rsidP="00C863E0" w14:textId="77777777">
                            <w:pPr>
                              <w:jc w:val="center"/>
                              <w:rPr>
                                <w:b/>
                                <w:bCs/>
                                <w:color w:val="FFFFFF" w:themeColor="background1"/>
                                <w:sz w:val="32"/>
                              </w:rPr>
                            </w:pPr>
                          </w:p>
                          <w:p w:rsidR="009873EF" w:rsidP="00C863E0" w14:textId="77777777">
                            <w:pPr>
                              <w:jc w:val="center"/>
                              <w:rPr>
                                <w:b/>
                                <w:bCs/>
                                <w:color w:val="FFFFFF" w:themeColor="background1"/>
                                <w:sz w:val="32"/>
                              </w:rPr>
                            </w:pPr>
                          </w:p>
                          <w:p w:rsidR="009873EF" w:rsidP="00C863E0" w14:textId="77777777">
                            <w:pPr>
                              <w:jc w:val="center"/>
                              <w:rPr>
                                <w:b/>
                                <w:bCs/>
                                <w:color w:val="FFFFFF" w:themeColor="background1"/>
                                <w:sz w:val="32"/>
                              </w:rPr>
                            </w:pPr>
                          </w:p>
                          <w:p w:rsidR="009873EF" w:rsidP="00C863E0" w14:textId="77777777">
                            <w:pPr>
                              <w:jc w:val="center"/>
                              <w:rPr>
                                <w:b/>
                                <w:bCs/>
                                <w:color w:val="FFFFFF" w:themeColor="background1"/>
                                <w:sz w:val="32"/>
                              </w:rPr>
                            </w:pPr>
                          </w:p>
                          <w:p w:rsidR="009873EF" w:rsidP="00C863E0" w14:textId="77777777">
                            <w:pPr>
                              <w:jc w:val="center"/>
                              <w:rPr>
                                <w:b/>
                                <w:bCs/>
                                <w:color w:val="FFFFFF" w:themeColor="background1"/>
                                <w:sz w:val="32"/>
                              </w:rPr>
                            </w:pPr>
                          </w:p>
                          <w:p w:rsidR="006B69A5" w:rsidP="00C863E0" w14:textId="77777777">
                            <w:pPr>
                              <w:jc w:val="center"/>
                              <w:rPr>
                                <w:b/>
                                <w:bCs/>
                                <w:color w:val="FFFFFF" w:themeColor="background1"/>
                                <w:sz w:val="32"/>
                              </w:rPr>
                            </w:pPr>
                          </w:p>
                          <w:p w:rsidR="00601826" w:rsidRPr="00C16A4E" w:rsidP="00C863E0" w14:textId="0D734E0B">
                            <w:pPr>
                              <w:jc w:val="center"/>
                              <w:rPr>
                                <w:b/>
                                <w:bCs/>
                                <w:color w:val="4A1222"/>
                                <w:sz w:val="32"/>
                              </w:rPr>
                            </w:pPr>
                            <w:r w:rsidRPr="00C16A4E">
                              <w:rPr>
                                <w:b/>
                                <w:bCs/>
                                <w:color w:val="4A1222"/>
                                <w:sz w:val="32"/>
                              </w:rPr>
                              <w:t xml:space="preserve">December </w:t>
                            </w:r>
                            <w:r w:rsidR="009708C0">
                              <w:rPr>
                                <w:b/>
                                <w:bCs/>
                                <w:color w:val="4A1222"/>
                                <w:sz w:val="32"/>
                              </w:rPr>
                              <w:t>5</w:t>
                            </w:r>
                            <w:r w:rsidRPr="00C16A4E" w:rsidR="00625548">
                              <w:rPr>
                                <w:b/>
                                <w:bCs/>
                                <w:color w:val="4A1222"/>
                                <w:sz w:val="32"/>
                              </w:rPr>
                              <w:t>,</w:t>
                            </w:r>
                            <w:r w:rsidRPr="00C16A4E" w:rsidR="007F18D1">
                              <w:rPr>
                                <w:b/>
                                <w:bCs/>
                                <w:color w:val="4A1222"/>
                                <w:sz w:val="32"/>
                              </w:rPr>
                              <w:t xml:space="preserve"> </w:t>
                            </w:r>
                            <w:r w:rsidRPr="00C16A4E" w:rsidR="001E5D5A">
                              <w:rPr>
                                <w:b/>
                                <w:bCs/>
                                <w:color w:val="4A1222"/>
                                <w:sz w:val="32"/>
                              </w:rPr>
                              <w:t>202</w:t>
                            </w:r>
                            <w:r w:rsidRPr="00C16A4E" w:rsidR="00F43835">
                              <w:rPr>
                                <w:b/>
                                <w:bCs/>
                                <w:color w:val="4A1222"/>
                                <w:sz w:val="32"/>
                              </w:rPr>
                              <w:t>4</w:t>
                            </w:r>
                          </w:p>
                          <w:p w:rsidR="00601826" w:rsidP="00C863E0" w14:textId="77777777">
                            <w:pPr>
                              <w:jc w:val="center"/>
                              <w:rPr>
                                <w:b/>
                                <w:bCs/>
                                <w:color w:val="FFFFFF" w:themeColor="background1"/>
                                <w:sz w:val="32"/>
                              </w:rPr>
                            </w:pPr>
                          </w:p>
                          <w:p w:rsidR="00601826" w:rsidP="00C863E0" w14:textId="77777777">
                            <w:pPr>
                              <w:jc w:val="center"/>
                              <w:rPr>
                                <w:b/>
                                <w:bCs/>
                                <w:color w:val="FFFFFF" w:themeColor="background1"/>
                                <w:sz w:val="32"/>
                              </w:rPr>
                            </w:pPr>
                          </w:p>
                          <w:p w:rsidR="009873EF" w:rsidP="00C863E0" w14:textId="77777777">
                            <w:pPr>
                              <w:jc w:val="center"/>
                              <w:rPr>
                                <w:b/>
                                <w:bCs/>
                                <w:color w:val="FFFFFF" w:themeColor="background1"/>
                                <w:sz w:val="32"/>
                              </w:rPr>
                            </w:pPr>
                          </w:p>
                          <w:p w:rsidR="009873EF" w:rsidP="00C863E0" w14:textId="77777777">
                            <w:pPr>
                              <w:jc w:val="center"/>
                              <w:rPr>
                                <w:b/>
                                <w:bCs/>
                                <w:color w:val="FFFFFF" w:themeColor="background1"/>
                                <w:sz w:val="32"/>
                              </w:rPr>
                            </w:pPr>
                          </w:p>
                          <w:p w:rsidR="009873EF" w:rsidP="00C863E0" w14:textId="77777777">
                            <w:pPr>
                              <w:jc w:val="center"/>
                              <w:rPr>
                                <w:b/>
                                <w:bCs/>
                                <w:color w:val="FFFFFF" w:themeColor="background1"/>
                                <w:sz w:val="32"/>
                              </w:rPr>
                            </w:pPr>
                          </w:p>
                          <w:p w:rsidR="009873EF" w:rsidP="00C863E0" w14:textId="77777777">
                            <w:pPr>
                              <w:jc w:val="center"/>
                              <w:rPr>
                                <w:b/>
                                <w:bCs/>
                                <w:color w:val="FFFFFF" w:themeColor="background1"/>
                                <w:sz w:val="32"/>
                              </w:rPr>
                            </w:pPr>
                          </w:p>
                          <w:p w:rsidR="00ED4E9E" w:rsidRPr="00C16A4E" w:rsidP="00C863E0" w14:textId="6F9C8972">
                            <w:pPr>
                              <w:jc w:val="center"/>
                              <w:rPr>
                                <w:b/>
                                <w:bCs/>
                                <w:color w:val="4A1222"/>
                                <w:sz w:val="32"/>
                              </w:rPr>
                            </w:pPr>
                            <w:r w:rsidRPr="00C16A4E">
                              <w:rPr>
                                <w:b/>
                                <w:bCs/>
                                <w:color w:val="4A1222"/>
                                <w:sz w:val="32"/>
                              </w:rPr>
                              <w:t>Office of Pollution Prevention and Toxics</w:t>
                            </w:r>
                            <w:r w:rsidRPr="00C16A4E" w:rsidR="00C863E0">
                              <w:rPr>
                                <w:b/>
                                <w:bCs/>
                                <w:color w:val="4A1222"/>
                                <w:sz w:val="32"/>
                              </w:rPr>
                              <w:t xml:space="preserve"> </w:t>
                            </w:r>
                            <w:r w:rsidRPr="00C16A4E">
                              <w:rPr>
                                <w:b/>
                                <w:bCs/>
                                <w:color w:val="4A1222"/>
                                <w:sz w:val="32"/>
                              </w:rPr>
                              <w:t>U.S. Environmental Protection Agency</w:t>
                            </w:r>
                          </w:p>
                          <w:p w:rsidR="00C7798C" w:rsidP="00C863E0" w14:textId="77777777">
                            <w:pPr>
                              <w:jc w:val="center"/>
                              <w:rPr>
                                <w:b/>
                                <w:bCs/>
                                <w:color w:val="FFFFFF" w:themeColor="background1"/>
                                <w:sz w:val="32"/>
                              </w:rPr>
                            </w:pPr>
                          </w:p>
                          <w:p w:rsidR="00E8699C" w:rsidP="00C863E0" w14:textId="77777777">
                            <w:pPr>
                              <w:jc w:val="center"/>
                              <w:rPr>
                                <w:b/>
                                <w:bCs/>
                                <w:color w:val="FFFFFF" w:themeColor="background1"/>
                                <w:sz w:val="32"/>
                              </w:rPr>
                            </w:pPr>
                          </w:p>
                          <w:p w:rsidR="00E8699C" w:rsidRPr="00E8699C" w:rsidP="00C863E0" w14:textId="77777777">
                            <w:pPr>
                              <w:jc w:val="center"/>
                              <w:rPr>
                                <w:b/>
                                <w:bCs/>
                                <w:color w:val="FFFFFF" w:themeColor="background1"/>
                                <w:sz w:val="32"/>
                                <w:szCs w:val="32"/>
                              </w:rPr>
                            </w:pPr>
                          </w:p>
                          <w:p w:rsidR="00330ED7" w:rsidRPr="00254104" w:rsidP="00C863E0" w14:textId="77777777">
                            <w:pPr>
                              <w:pStyle w:val="CoverSubmitted"/>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41207062" o:spid="_x0000_s1025" type="#_x0000_t202" style="width:616.15pt;height:841.5pt;margin-top:-73.85pt;margin-left:-74.8pt;mso-height-percent:0;mso-height-relative:margin;mso-width-percent:0;mso-width-relative:margin;mso-wrap-distance-bottom:0;mso-wrap-distance-left:9pt;mso-wrap-distance-right:9pt;mso-wrap-distance-top:0;mso-wrap-style:square;position:absolute;visibility:visible;v-text-anchor:top;z-index:251660288" fillcolor="#4a1222" stroked="f">
                <v:fill opacity="14392f"/>
                <v:textbox>
                  <w:txbxContent>
                    <w:p w:rsidR="001A19F7" w:rsidP="00C863E0" w14:paraId="67F51E34" w14:textId="77777777">
                      <w:pPr>
                        <w:jc w:val="center"/>
                        <w:rPr>
                          <w:b/>
                          <w:bCs/>
                          <w:color w:val="FFFFFF" w:themeColor="background1"/>
                          <w:sz w:val="32"/>
                        </w:rPr>
                      </w:pPr>
                    </w:p>
                    <w:p w:rsidR="006B69A5" w:rsidP="00C863E0" w14:paraId="5610EA84" w14:textId="77777777">
                      <w:pPr>
                        <w:jc w:val="center"/>
                        <w:rPr>
                          <w:b/>
                          <w:bCs/>
                          <w:color w:val="FFFFFF" w:themeColor="background1"/>
                          <w:sz w:val="32"/>
                        </w:rPr>
                      </w:pPr>
                    </w:p>
                    <w:p w:rsidR="006B69A5" w:rsidP="00C863E0" w14:paraId="504E7EE5" w14:textId="77777777">
                      <w:pPr>
                        <w:jc w:val="center"/>
                        <w:rPr>
                          <w:b/>
                          <w:bCs/>
                          <w:color w:val="FFFFFF" w:themeColor="background1"/>
                          <w:sz w:val="32"/>
                        </w:rPr>
                      </w:pPr>
                    </w:p>
                    <w:p w:rsidR="009873EF" w:rsidRPr="009873EF" w:rsidP="009873EF" w14:paraId="04E28B5A" w14:textId="77777777">
                      <w:pPr>
                        <w:pStyle w:val="Title"/>
                        <w:ind w:left="360" w:right="330"/>
                        <w:jc w:val="center"/>
                        <w:rPr>
                          <w:color w:val="4A1222"/>
                        </w:rPr>
                      </w:pPr>
                      <w:r w:rsidRPr="009873EF">
                        <w:rPr>
                          <w:color w:val="4A1222"/>
                        </w:rPr>
                        <w:t xml:space="preserve">Economic Analysis of the Proposed Regulation of </w:t>
                      </w:r>
                      <w:r w:rsidRPr="00C16A4E">
                        <w:rPr>
                          <w:color w:val="4A1222"/>
                        </w:rPr>
                        <w:t>PV29</w:t>
                      </w:r>
                      <w:r w:rsidRPr="009873EF">
                        <w:rPr>
                          <w:color w:val="4A1222"/>
                        </w:rPr>
                        <w:t xml:space="preserve"> Under TSCA Section 6(a)</w:t>
                      </w:r>
                    </w:p>
                    <w:p w:rsidR="006B69A5" w:rsidP="00C863E0" w14:paraId="033B5E02" w14:textId="77777777">
                      <w:pPr>
                        <w:jc w:val="center"/>
                        <w:rPr>
                          <w:b/>
                          <w:bCs/>
                          <w:color w:val="FFFFFF" w:themeColor="background1"/>
                          <w:sz w:val="32"/>
                        </w:rPr>
                      </w:pPr>
                    </w:p>
                    <w:p w:rsidR="009873EF" w:rsidP="00C863E0" w14:paraId="39CB0167" w14:textId="77777777">
                      <w:pPr>
                        <w:jc w:val="center"/>
                        <w:rPr>
                          <w:b/>
                          <w:bCs/>
                          <w:color w:val="FFFFFF" w:themeColor="background1"/>
                          <w:sz w:val="32"/>
                        </w:rPr>
                      </w:pPr>
                    </w:p>
                    <w:p w:rsidR="009873EF" w:rsidP="00C863E0" w14:paraId="2D50AB73" w14:textId="77777777">
                      <w:pPr>
                        <w:jc w:val="center"/>
                        <w:rPr>
                          <w:b/>
                          <w:bCs/>
                          <w:color w:val="FFFFFF" w:themeColor="background1"/>
                          <w:sz w:val="32"/>
                        </w:rPr>
                      </w:pPr>
                    </w:p>
                    <w:p w:rsidR="009873EF" w:rsidP="00C863E0" w14:paraId="7703E39D" w14:textId="77777777">
                      <w:pPr>
                        <w:jc w:val="center"/>
                        <w:rPr>
                          <w:b/>
                          <w:bCs/>
                          <w:color w:val="FFFFFF" w:themeColor="background1"/>
                          <w:sz w:val="32"/>
                        </w:rPr>
                      </w:pPr>
                    </w:p>
                    <w:p w:rsidR="009873EF" w:rsidP="00C863E0" w14:paraId="6BBBFA2C" w14:textId="77777777">
                      <w:pPr>
                        <w:jc w:val="center"/>
                        <w:rPr>
                          <w:b/>
                          <w:bCs/>
                          <w:color w:val="FFFFFF" w:themeColor="background1"/>
                          <w:sz w:val="32"/>
                        </w:rPr>
                      </w:pPr>
                    </w:p>
                    <w:p w:rsidR="009873EF" w:rsidP="00C863E0" w14:paraId="0A0707B2" w14:textId="77777777">
                      <w:pPr>
                        <w:jc w:val="center"/>
                        <w:rPr>
                          <w:b/>
                          <w:bCs/>
                          <w:color w:val="FFFFFF" w:themeColor="background1"/>
                          <w:sz w:val="32"/>
                        </w:rPr>
                      </w:pPr>
                    </w:p>
                    <w:p w:rsidR="009873EF" w:rsidP="00C863E0" w14:paraId="645552CA" w14:textId="77777777">
                      <w:pPr>
                        <w:jc w:val="center"/>
                        <w:rPr>
                          <w:b/>
                          <w:bCs/>
                          <w:color w:val="FFFFFF" w:themeColor="background1"/>
                          <w:sz w:val="32"/>
                        </w:rPr>
                      </w:pPr>
                    </w:p>
                    <w:p w:rsidR="009873EF" w:rsidP="00C863E0" w14:paraId="55BB0FDE" w14:textId="77777777">
                      <w:pPr>
                        <w:jc w:val="center"/>
                        <w:rPr>
                          <w:b/>
                          <w:bCs/>
                          <w:color w:val="FFFFFF" w:themeColor="background1"/>
                          <w:sz w:val="32"/>
                        </w:rPr>
                      </w:pPr>
                    </w:p>
                    <w:p w:rsidR="009873EF" w:rsidP="00C863E0" w14:paraId="613E7A4D" w14:textId="77777777">
                      <w:pPr>
                        <w:jc w:val="center"/>
                        <w:rPr>
                          <w:b/>
                          <w:bCs/>
                          <w:color w:val="FFFFFF" w:themeColor="background1"/>
                          <w:sz w:val="32"/>
                        </w:rPr>
                      </w:pPr>
                    </w:p>
                    <w:p w:rsidR="006B69A5" w:rsidP="00C863E0" w14:paraId="7B763C4F" w14:textId="77777777">
                      <w:pPr>
                        <w:jc w:val="center"/>
                        <w:rPr>
                          <w:b/>
                          <w:bCs/>
                          <w:color w:val="FFFFFF" w:themeColor="background1"/>
                          <w:sz w:val="32"/>
                        </w:rPr>
                      </w:pPr>
                    </w:p>
                    <w:p w:rsidR="00601826" w:rsidRPr="00C16A4E" w:rsidP="00C863E0" w14:paraId="41949239" w14:textId="0D734E0B">
                      <w:pPr>
                        <w:jc w:val="center"/>
                        <w:rPr>
                          <w:b/>
                          <w:bCs/>
                          <w:color w:val="4A1222"/>
                          <w:sz w:val="32"/>
                        </w:rPr>
                      </w:pPr>
                      <w:r w:rsidRPr="00C16A4E">
                        <w:rPr>
                          <w:b/>
                          <w:bCs/>
                          <w:color w:val="4A1222"/>
                          <w:sz w:val="32"/>
                        </w:rPr>
                        <w:t xml:space="preserve">December </w:t>
                      </w:r>
                      <w:r w:rsidR="009708C0">
                        <w:rPr>
                          <w:b/>
                          <w:bCs/>
                          <w:color w:val="4A1222"/>
                          <w:sz w:val="32"/>
                        </w:rPr>
                        <w:t>5</w:t>
                      </w:r>
                      <w:r w:rsidRPr="00C16A4E" w:rsidR="00625548">
                        <w:rPr>
                          <w:b/>
                          <w:bCs/>
                          <w:color w:val="4A1222"/>
                          <w:sz w:val="32"/>
                        </w:rPr>
                        <w:t>,</w:t>
                      </w:r>
                      <w:r w:rsidRPr="00C16A4E" w:rsidR="007F18D1">
                        <w:rPr>
                          <w:b/>
                          <w:bCs/>
                          <w:color w:val="4A1222"/>
                          <w:sz w:val="32"/>
                        </w:rPr>
                        <w:t xml:space="preserve"> </w:t>
                      </w:r>
                      <w:r w:rsidRPr="00C16A4E" w:rsidR="001E5D5A">
                        <w:rPr>
                          <w:b/>
                          <w:bCs/>
                          <w:color w:val="4A1222"/>
                          <w:sz w:val="32"/>
                        </w:rPr>
                        <w:t>202</w:t>
                      </w:r>
                      <w:r w:rsidRPr="00C16A4E" w:rsidR="00F43835">
                        <w:rPr>
                          <w:b/>
                          <w:bCs/>
                          <w:color w:val="4A1222"/>
                          <w:sz w:val="32"/>
                        </w:rPr>
                        <w:t>4</w:t>
                      </w:r>
                    </w:p>
                    <w:p w:rsidR="00601826" w:rsidP="00C863E0" w14:paraId="7BBA6CAB" w14:textId="77777777">
                      <w:pPr>
                        <w:jc w:val="center"/>
                        <w:rPr>
                          <w:b/>
                          <w:bCs/>
                          <w:color w:val="FFFFFF" w:themeColor="background1"/>
                          <w:sz w:val="32"/>
                        </w:rPr>
                      </w:pPr>
                    </w:p>
                    <w:p w:rsidR="00601826" w:rsidP="00C863E0" w14:paraId="39E7E5C4" w14:textId="77777777">
                      <w:pPr>
                        <w:jc w:val="center"/>
                        <w:rPr>
                          <w:b/>
                          <w:bCs/>
                          <w:color w:val="FFFFFF" w:themeColor="background1"/>
                          <w:sz w:val="32"/>
                        </w:rPr>
                      </w:pPr>
                    </w:p>
                    <w:p w:rsidR="009873EF" w:rsidP="00C863E0" w14:paraId="1514A3E5" w14:textId="77777777">
                      <w:pPr>
                        <w:jc w:val="center"/>
                        <w:rPr>
                          <w:b/>
                          <w:bCs/>
                          <w:color w:val="FFFFFF" w:themeColor="background1"/>
                          <w:sz w:val="32"/>
                        </w:rPr>
                      </w:pPr>
                    </w:p>
                    <w:p w:rsidR="009873EF" w:rsidP="00C863E0" w14:paraId="0CBEF56F" w14:textId="77777777">
                      <w:pPr>
                        <w:jc w:val="center"/>
                        <w:rPr>
                          <w:b/>
                          <w:bCs/>
                          <w:color w:val="FFFFFF" w:themeColor="background1"/>
                          <w:sz w:val="32"/>
                        </w:rPr>
                      </w:pPr>
                    </w:p>
                    <w:p w:rsidR="009873EF" w:rsidP="00C863E0" w14:paraId="5BEE2813" w14:textId="77777777">
                      <w:pPr>
                        <w:jc w:val="center"/>
                        <w:rPr>
                          <w:b/>
                          <w:bCs/>
                          <w:color w:val="FFFFFF" w:themeColor="background1"/>
                          <w:sz w:val="32"/>
                        </w:rPr>
                      </w:pPr>
                    </w:p>
                    <w:p w:rsidR="009873EF" w:rsidP="00C863E0" w14:paraId="6351CCAE" w14:textId="77777777">
                      <w:pPr>
                        <w:jc w:val="center"/>
                        <w:rPr>
                          <w:b/>
                          <w:bCs/>
                          <w:color w:val="FFFFFF" w:themeColor="background1"/>
                          <w:sz w:val="32"/>
                        </w:rPr>
                      </w:pPr>
                    </w:p>
                    <w:p w:rsidR="00ED4E9E" w:rsidRPr="00C16A4E" w:rsidP="00C863E0" w14:paraId="10665D9B" w14:textId="6F9C8972">
                      <w:pPr>
                        <w:jc w:val="center"/>
                        <w:rPr>
                          <w:b/>
                          <w:bCs/>
                          <w:color w:val="4A1222"/>
                          <w:sz w:val="32"/>
                        </w:rPr>
                      </w:pPr>
                      <w:r w:rsidRPr="00C16A4E">
                        <w:rPr>
                          <w:b/>
                          <w:bCs/>
                          <w:color w:val="4A1222"/>
                          <w:sz w:val="32"/>
                        </w:rPr>
                        <w:t>Office of Pollution Prevention and Toxics</w:t>
                      </w:r>
                      <w:r w:rsidRPr="00C16A4E" w:rsidR="00C863E0">
                        <w:rPr>
                          <w:b/>
                          <w:bCs/>
                          <w:color w:val="4A1222"/>
                          <w:sz w:val="32"/>
                        </w:rPr>
                        <w:t xml:space="preserve"> </w:t>
                      </w:r>
                      <w:r w:rsidRPr="00C16A4E">
                        <w:rPr>
                          <w:b/>
                          <w:bCs/>
                          <w:color w:val="4A1222"/>
                          <w:sz w:val="32"/>
                        </w:rPr>
                        <w:t>U.S. Environmental Protection Agency</w:t>
                      </w:r>
                    </w:p>
                    <w:p w:rsidR="00C7798C" w:rsidP="00C863E0" w14:paraId="729AE427" w14:textId="77777777">
                      <w:pPr>
                        <w:jc w:val="center"/>
                        <w:rPr>
                          <w:b/>
                          <w:bCs/>
                          <w:color w:val="FFFFFF" w:themeColor="background1"/>
                          <w:sz w:val="32"/>
                        </w:rPr>
                      </w:pPr>
                    </w:p>
                    <w:p w:rsidR="00E8699C" w:rsidP="00C863E0" w14:paraId="3B2FA76D" w14:textId="77777777">
                      <w:pPr>
                        <w:jc w:val="center"/>
                        <w:rPr>
                          <w:b/>
                          <w:bCs/>
                          <w:color w:val="FFFFFF" w:themeColor="background1"/>
                          <w:sz w:val="32"/>
                        </w:rPr>
                      </w:pPr>
                    </w:p>
                    <w:p w:rsidR="00E8699C" w:rsidRPr="00E8699C" w:rsidP="00C863E0" w14:paraId="2E36D2CC" w14:textId="77777777">
                      <w:pPr>
                        <w:jc w:val="center"/>
                        <w:rPr>
                          <w:b/>
                          <w:bCs/>
                          <w:color w:val="FFFFFF" w:themeColor="background1"/>
                          <w:sz w:val="32"/>
                          <w:szCs w:val="32"/>
                        </w:rPr>
                      </w:pPr>
                    </w:p>
                    <w:p w:rsidR="00330ED7" w:rsidRPr="00254104" w:rsidP="00C863E0" w14:paraId="0841998E" w14:textId="77777777">
                      <w:pPr>
                        <w:pStyle w:val="CoverSubmitted"/>
                        <w:jc w:val="center"/>
                      </w:pPr>
                    </w:p>
                  </w:txbxContent>
                </v:textbox>
                <w10:anchorlock/>
              </v:shape>
            </w:pict>
          </mc:Fallback>
        </mc:AlternateContent>
      </w:r>
      <w:r w:rsidRPr="00B56426" w:rsidR="2C892E47">
        <w:t xml:space="preserve"> </w:t>
      </w:r>
      <w:r w:rsidRPr="00B56426" w:rsidR="00C64FB4">
        <w:br w:type="page"/>
      </w:r>
    </w:p>
    <w:p w:rsidR="001A2EB4" w:rsidRPr="00B56426" w:rsidP="00832749" w14:paraId="586E0CD6" w14:textId="77777777">
      <w:pPr>
        <w:pStyle w:val="BodyText"/>
        <w:sectPr w:rsidSect="00946DC8">
          <w:headerReference w:type="default" r:id="rId11"/>
          <w:footerReference w:type="first" r:id="rId12"/>
          <w:type w:val="continuous"/>
          <w:pgSz w:w="12240" w:h="15840" w:code="1"/>
          <w:pgMar w:top="1440" w:right="1440" w:bottom="1440" w:left="1440" w:header="720" w:footer="720" w:gutter="0"/>
          <w:pgNumType w:start="1" w:chapStyle="1"/>
          <w:cols w:space="720"/>
          <w:docGrid w:linePitch="299"/>
        </w:sectPr>
      </w:pPr>
    </w:p>
    <w:p w:rsidR="00351257" w:rsidRPr="00B56426" w:rsidP="00351257" w14:paraId="10EF4F01" w14:textId="20B0C717">
      <w:pPr>
        <w:pStyle w:val="TOCHeader"/>
      </w:pPr>
      <w:r w:rsidRPr="00B56426">
        <w:t>A</w:t>
      </w:r>
      <w:r w:rsidRPr="00CE0F8C" w:rsidR="00CE0F8C">
        <w:t>cknowledgement</w:t>
      </w:r>
    </w:p>
    <w:p w:rsidR="00C32C4C" w:rsidRPr="00B56426" w:rsidP="00C32C4C" w14:paraId="47B683FF" w14:textId="7A1E2C0F">
      <w:r w:rsidRPr="00B56426">
        <w:t xml:space="preserve">EPA acknowledges the analytical and draft preparation support of Abt of Rockville, Maryland, </w:t>
      </w:r>
      <w:r w:rsidR="006426F7">
        <w:t xml:space="preserve">and Gnarly Tree Sustainability Institute of </w:t>
      </w:r>
      <w:r w:rsidR="00C36642">
        <w:t>Bloomington</w:t>
      </w:r>
      <w:r w:rsidR="005A6179">
        <w:t xml:space="preserve">, Indiana, </w:t>
      </w:r>
      <w:r w:rsidRPr="00B56426">
        <w:t xml:space="preserve">provided under Contract No. </w:t>
      </w:r>
      <w:r w:rsidRPr="00B56426" w:rsidR="00D76DFE">
        <w:t xml:space="preserve">68HERH22A0018/68HERH23F0085 </w:t>
      </w:r>
      <w:r w:rsidRPr="00B56426">
        <w:t>in the preparation of this report.</w:t>
      </w:r>
      <w:r w:rsidRPr="00B56426" w:rsidR="00C35BF6">
        <w:rPr>
          <w:noProof/>
        </w:rPr>
        <w:t xml:space="preserve"> </w:t>
      </w:r>
    </w:p>
    <w:p w:rsidR="00C545DB" w:rsidRPr="00B56426" w:rsidP="009E52C1" w14:paraId="3FF2B50A" w14:textId="2E9BF8EF">
      <w:r w:rsidRPr="004554F9">
        <w:rPr>
          <w:noProof/>
        </w:rPr>
        <w:drawing>
          <wp:anchor distT="0" distB="0" distL="114300" distR="114300" simplePos="0" relativeHeight="251665408" behindDoc="0" locked="0" layoutInCell="1" allowOverlap="1">
            <wp:simplePos x="0" y="0"/>
            <wp:positionH relativeFrom="column">
              <wp:posOffset>2612250</wp:posOffset>
            </wp:positionH>
            <wp:positionV relativeFrom="paragraph">
              <wp:posOffset>260985</wp:posOffset>
            </wp:positionV>
            <wp:extent cx="2303813" cy="858022"/>
            <wp:effectExtent l="0" t="0" r="1270" b="0"/>
            <wp:wrapNone/>
            <wp:docPr id="10412330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33034" name="Picture 1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303813" cy="8580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426">
        <w:rPr>
          <w:rFonts w:ascii="Sofia Sans" w:hAnsi="Sofia Sans"/>
          <w:noProof/>
        </w:rPr>
        <w:drawing>
          <wp:anchor distT="0" distB="0" distL="114300" distR="114300" simplePos="0" relativeHeight="251663360" behindDoc="0" locked="0" layoutInCell="1" allowOverlap="1">
            <wp:simplePos x="0" y="0"/>
            <wp:positionH relativeFrom="column">
              <wp:posOffset>1354455</wp:posOffset>
            </wp:positionH>
            <wp:positionV relativeFrom="paragraph">
              <wp:posOffset>204783</wp:posOffset>
            </wp:positionV>
            <wp:extent cx="925195" cy="914400"/>
            <wp:effectExtent l="0" t="0" r="0" b="0"/>
            <wp:wrapNone/>
            <wp:docPr id="1028938537" name="Picture 1028938537" descr="A red square with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938537" name="Picture 1028938537" descr="A red square with black text"/>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925195" cy="914400"/>
                    </a:xfrm>
                    <a:prstGeom prst="rect">
                      <a:avLst/>
                    </a:prstGeom>
                  </pic:spPr>
                </pic:pic>
              </a:graphicData>
            </a:graphic>
            <wp14:sizeRelH relativeFrom="page">
              <wp14:pctWidth>0</wp14:pctWidth>
            </wp14:sizeRelH>
            <wp14:sizeRelV relativeFrom="page">
              <wp14:pctHeight>0</wp14:pctHeight>
            </wp14:sizeRelV>
          </wp:anchor>
        </w:drawing>
      </w:r>
    </w:p>
    <w:p w:rsidR="00C545DB" w:rsidRPr="00B56426" w:rsidP="009E52C1" w14:paraId="5D180D95" w14:textId="310484C6"/>
    <w:p w:rsidR="00C545DB" w:rsidRPr="00B56426" w:rsidP="009E52C1" w14:paraId="7ECDFBDF" w14:textId="508BC6E9"/>
    <w:p w:rsidR="00C545DB" w:rsidRPr="00B56426" w:rsidP="009E52C1" w14:paraId="3F4485AF" w14:textId="20D7EE6B"/>
    <w:p w:rsidR="00C545DB" w:rsidRPr="00B56426" w:rsidP="009E52C1" w14:paraId="42C9652A" w14:textId="02966DFD">
      <w:r w:rsidRPr="00B56426">
        <w:rPr>
          <w:noProof/>
          <w:color w:val="616662"/>
          <w:szCs w:val="24"/>
        </w:rPr>
        <mc:AlternateContent>
          <mc:Choice Requires="wps">
            <w:drawing>
              <wp:anchor distT="45720" distB="45720" distL="114300" distR="114300" simplePos="0" relativeHeight="251661312" behindDoc="0" locked="0" layoutInCell="1" allowOverlap="1">
                <wp:simplePos x="0" y="0"/>
                <wp:positionH relativeFrom="column">
                  <wp:posOffset>-3175</wp:posOffset>
                </wp:positionH>
                <wp:positionV relativeFrom="paragraph">
                  <wp:posOffset>351790</wp:posOffset>
                </wp:positionV>
                <wp:extent cx="5706110" cy="1714500"/>
                <wp:effectExtent l="19050" t="19050" r="27940" b="19050"/>
                <wp:wrapSquare wrapText="bothSides"/>
                <wp:docPr id="300084785" name="Text Box 3000847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06110" cy="1714500"/>
                        </a:xfrm>
                        <a:prstGeom prst="rect">
                          <a:avLst/>
                        </a:prstGeom>
                        <a:solidFill>
                          <a:srgbClr val="FFFFFF"/>
                        </a:solidFill>
                        <a:ln w="28575">
                          <a:solidFill>
                            <a:schemeClr val="tx2"/>
                          </a:solidFill>
                          <a:miter lim="800000"/>
                          <a:headEnd/>
                          <a:tailEnd/>
                        </a:ln>
                      </wps:spPr>
                      <wps:txbx>
                        <w:txbxContent>
                          <w:p w:rsidR="004355FB" w:rsidRPr="004355FB" w:rsidP="00D51050" w14:textId="77777777">
                            <w:pPr>
                              <w:pStyle w:val="TOCHeader"/>
                            </w:pPr>
                            <w:r w:rsidRPr="004D4021">
                              <w:t>Notice</w:t>
                            </w:r>
                          </w:p>
                          <w:p w:rsidR="004355FB" w:rsidRPr="00A561E0" w:rsidP="004355FB" w14:textId="77777777">
                            <w:pPr>
                              <w:rPr>
                                <w:sz w:val="24"/>
                                <w:szCs w:val="24"/>
                              </w:rPr>
                            </w:pPr>
                            <w:r w:rsidRPr="00A561E0">
                              <w:rPr>
                                <w:sz w:val="24"/>
                                <w:szCs w:val="24"/>
                              </w:rPr>
                              <w:t xml:space="preserve">This document was prepared to provide economic information for the rulemaking process, and to meet various administrative and legislative requirements.  Due to the nature of the information available to EPA, the document contains various assumptions that may not reflect </w:t>
                            </w:r>
                            <w:r w:rsidR="00863233">
                              <w:t>how all regulated entities would comply with the rule's requirements.</w:t>
                            </w:r>
                            <w:r w:rsidRPr="00A561E0">
                              <w:rPr>
                                <w:sz w:val="24"/>
                                <w:szCs w:val="24"/>
                              </w:rPr>
                              <w:t xml:space="preserve">  Persons seeking information on regulatory requirements as they apply to specific facilities should consult </w:t>
                            </w:r>
                            <w:r w:rsidRPr="00E745E5">
                              <w:rPr>
                                <w:szCs w:val="24"/>
                              </w:rPr>
                              <w:t>40 CFR part 751</w:t>
                            </w:r>
                            <w:r w:rsidRPr="00A561E0">
                              <w:rPr>
                                <w:sz w:val="24"/>
                                <w:szCs w:val="24"/>
                              </w:rPr>
                              <w:t xml:space="preserve">, the preamble for the regulatory action, </w:t>
                            </w:r>
                            <w:r>
                              <w:rPr>
                                <w:sz w:val="24"/>
                                <w:szCs w:val="24"/>
                              </w:rPr>
                              <w:t xml:space="preserve">and </w:t>
                            </w:r>
                            <w:r w:rsidRPr="00A561E0">
                              <w:rPr>
                                <w:sz w:val="24"/>
                                <w:szCs w:val="24"/>
                              </w:rPr>
                              <w:t>EPA guidance documents</w:t>
                            </w:r>
                            <w:r>
                              <w:rPr>
                                <w:sz w:val="24"/>
                                <w:szCs w:val="24"/>
                              </w:rPr>
                              <w:t>.</w:t>
                            </w:r>
                          </w:p>
                          <w:p w:rsidR="004355FB" w:rsidP="004355FB"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00084785" o:spid="_x0000_s1026" type="#_x0000_t202" style="width:449.3pt;height:135pt;margin-top:27.7pt;margin-left:-0.25pt;mso-height-percent:0;mso-height-relative:margin;mso-width-percent:0;mso-width-relative:margin;mso-wrap-distance-bottom:3.6pt;mso-wrap-distance-left:9pt;mso-wrap-distance-right:9pt;mso-wrap-distance-top:3.6pt;mso-wrap-style:square;position:absolute;visibility:visible;v-text-anchor:top;z-index:251662336" strokecolor="#da291c" strokeweight="2.25pt">
                <v:textbox>
                  <w:txbxContent>
                    <w:p w:rsidR="004355FB" w:rsidRPr="004355FB" w:rsidP="00D51050" w14:paraId="2FB47B77" w14:textId="77777777">
                      <w:pPr>
                        <w:pStyle w:val="TOCHeader"/>
                      </w:pPr>
                      <w:r w:rsidRPr="004D4021">
                        <w:t>Notice</w:t>
                      </w:r>
                    </w:p>
                    <w:p w:rsidR="004355FB" w:rsidRPr="00A561E0" w:rsidP="004355FB" w14:paraId="39F13ED3" w14:textId="77777777">
                      <w:pPr>
                        <w:rPr>
                          <w:sz w:val="24"/>
                          <w:szCs w:val="24"/>
                        </w:rPr>
                      </w:pPr>
                      <w:r w:rsidRPr="00A561E0">
                        <w:rPr>
                          <w:sz w:val="24"/>
                          <w:szCs w:val="24"/>
                        </w:rPr>
                        <w:t xml:space="preserve">This document was prepared to provide economic information for the rulemaking process, and to meet various administrative and legislative requirements.  Due to the nature of the information available to EPA, the document contains various assumptions that may not reflect </w:t>
                      </w:r>
                      <w:r w:rsidR="00863233">
                        <w:t>how all regulated entities would comply with the rule's requirements.</w:t>
                      </w:r>
                      <w:r w:rsidRPr="00A561E0">
                        <w:rPr>
                          <w:sz w:val="24"/>
                          <w:szCs w:val="24"/>
                        </w:rPr>
                        <w:t xml:space="preserve">  Persons seeking information on regulatory requirements as they apply to specific facilities should consult </w:t>
                      </w:r>
                      <w:r w:rsidRPr="00E745E5">
                        <w:rPr>
                          <w:szCs w:val="24"/>
                        </w:rPr>
                        <w:t>40 CFR part 751</w:t>
                      </w:r>
                      <w:r w:rsidRPr="00A561E0">
                        <w:rPr>
                          <w:sz w:val="24"/>
                          <w:szCs w:val="24"/>
                        </w:rPr>
                        <w:t xml:space="preserve">, the preamble for the regulatory action, </w:t>
                      </w:r>
                      <w:r>
                        <w:rPr>
                          <w:sz w:val="24"/>
                          <w:szCs w:val="24"/>
                        </w:rPr>
                        <w:t xml:space="preserve">and </w:t>
                      </w:r>
                      <w:r w:rsidRPr="00A561E0">
                        <w:rPr>
                          <w:sz w:val="24"/>
                          <w:szCs w:val="24"/>
                        </w:rPr>
                        <w:t>EPA guidance documents</w:t>
                      </w:r>
                      <w:r>
                        <w:rPr>
                          <w:sz w:val="24"/>
                          <w:szCs w:val="24"/>
                        </w:rPr>
                        <w:t>.</w:t>
                      </w:r>
                    </w:p>
                    <w:p w:rsidR="004355FB" w:rsidP="004355FB" w14:paraId="77040023" w14:textId="77777777"/>
                  </w:txbxContent>
                </v:textbox>
                <w10:wrap type="square"/>
              </v:shape>
            </w:pict>
          </mc:Fallback>
        </mc:AlternateContent>
      </w:r>
    </w:p>
    <w:p w:rsidR="0065055C" w:rsidRPr="00B56426" w:rsidP="0065055C" w14:paraId="433AC6E3" w14:textId="7E45FB5A">
      <w:r w:rsidRPr="00B56426">
        <w:rPr>
          <w:noProof/>
        </w:rPr>
        <w:drawing>
          <wp:anchor distT="0" distB="0" distL="114300" distR="114300" simplePos="0" relativeHeight="251658240" behindDoc="1" locked="0" layoutInCell="1" allowOverlap="1">
            <wp:simplePos x="0" y="0"/>
            <wp:positionH relativeFrom="column">
              <wp:posOffset>2279650</wp:posOffset>
            </wp:positionH>
            <wp:positionV relativeFrom="paragraph">
              <wp:posOffset>278765</wp:posOffset>
            </wp:positionV>
            <wp:extent cx="828675" cy="828675"/>
            <wp:effectExtent l="0" t="0" r="9525" b="9525"/>
            <wp:wrapTight wrapText="bothSides">
              <wp:wrapPolygon>
                <wp:start x="0" y="0"/>
                <wp:lineTo x="0" y="21352"/>
                <wp:lineTo x="21352" y="21352"/>
                <wp:lineTo x="21352" y="0"/>
                <wp:lineTo x="0" y="0"/>
              </wp:wrapPolygon>
            </wp:wrapTight>
            <wp:docPr id="8" name="Picture 8"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bt_assoc_logo_pms_cmyk"/>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28675" cy="828675"/>
                    </a:xfrm>
                    <a:prstGeom prst="rect">
                      <a:avLst/>
                    </a:prstGeom>
                    <a:noFill/>
                    <a:ln>
                      <a:noFill/>
                    </a:ln>
                  </pic:spPr>
                </pic:pic>
              </a:graphicData>
            </a:graphic>
          </wp:anchor>
        </w:drawing>
      </w:r>
    </w:p>
    <w:p w:rsidR="0065055C" w:rsidRPr="00B56426" w:rsidP="0065055C" w14:paraId="40ECC902" w14:textId="77777777"/>
    <w:p w:rsidR="0065055C" w:rsidRPr="00B56426" w:rsidP="0065055C" w14:paraId="56E823B2" w14:textId="77777777"/>
    <w:p w:rsidR="0065055C" w:rsidRPr="00B56426" w:rsidP="0065055C" w14:paraId="22AE58EE" w14:textId="7A1D1FF9"/>
    <w:p w:rsidR="00C545DB" w:rsidRPr="00B56426" w:rsidP="009E52C1" w14:paraId="15966034" w14:textId="77777777"/>
    <w:p w:rsidR="00645684" w:rsidRPr="00B56426" w:rsidP="009E52C1" w14:paraId="44F57824" w14:textId="77777777">
      <w:pPr>
        <w:sectPr w:rsidSect="00946DC8">
          <w:headerReference w:type="default" r:id="rId16"/>
          <w:footerReference w:type="default" r:id="rId17"/>
          <w:pgSz w:w="12240" w:h="15840" w:code="1"/>
          <w:pgMar w:top="1440" w:right="1440" w:bottom="1440" w:left="1440" w:header="432" w:footer="720" w:gutter="0"/>
          <w:pgNumType w:fmt="lowerRoman" w:start="1"/>
          <w:cols w:space="720"/>
          <w:docGrid w:linePitch="299"/>
        </w:sectPr>
      </w:pPr>
    </w:p>
    <w:p w:rsidR="003453BD" w:rsidRPr="00CA1B60" w:rsidP="00C64FB4" w14:paraId="0DE75512" w14:textId="3D875F45">
      <w:pPr>
        <w:pStyle w:val="TOCHeader"/>
        <w:rPr>
          <w:rFonts w:ascii="Times New Roman" w:hAnsi="Times New Roman" w:cs="Times New Roman"/>
        </w:rPr>
      </w:pPr>
      <w:r w:rsidRPr="00B56426">
        <w:t>CONTENTS</w:t>
      </w:r>
    </w:p>
    <w:p w:rsidR="00735BBC" w:rsidRPr="00B57B1E" w14:paraId="6AC17C6D" w14:textId="1E37103E">
      <w:pPr>
        <w:pStyle w:val="TOC1"/>
        <w:rPr>
          <w:rFonts w:ascii="Times New Roman" w:hAnsi="Times New Roman" w:eastAsiaTheme="minorEastAsia" w:cs="Times New Roman"/>
          <w:b w:val="0"/>
          <w:kern w:val="2"/>
          <w:sz w:val="24"/>
          <w14:ligatures w14:val="standardContextual"/>
        </w:rPr>
      </w:pPr>
      <w:r w:rsidRPr="00B57B1E">
        <w:rPr>
          <w:rFonts w:ascii="Times New Roman" w:hAnsi="Times New Roman" w:cs="Times New Roman"/>
          <w:b w:val="0"/>
        </w:rPr>
        <w:fldChar w:fldCharType="begin" w:fldLock="1"/>
      </w:r>
      <w:r w:rsidRPr="00B57B1E">
        <w:rPr>
          <w:rFonts w:ascii="Times New Roman" w:hAnsi="Times New Roman" w:cs="Times New Roman"/>
          <w:b w:val="0"/>
        </w:rPr>
        <w:instrText xml:space="preserve"> TOC \o "1-2" \h \z \u </w:instrText>
      </w:r>
      <w:r w:rsidRPr="00B57B1E">
        <w:rPr>
          <w:rFonts w:ascii="Times New Roman" w:hAnsi="Times New Roman" w:cs="Times New Roman"/>
          <w:b w:val="0"/>
        </w:rPr>
        <w:fldChar w:fldCharType="separate"/>
      </w:r>
      <w:hyperlink w:anchor="_Toc184299493" w:history="1">
        <w:r w:rsidRPr="00B57B1E">
          <w:rPr>
            <w:rStyle w:val="Hyperlink"/>
            <w:rFonts w:ascii="Times New Roman" w:hAnsi="Times New Roman" w:cs="Times New Roman"/>
          </w:rPr>
          <w:t>Executive Summary</w:t>
        </w:r>
        <w:r w:rsidRPr="00B57B1E">
          <w:rPr>
            <w:rFonts w:ascii="Times New Roman" w:hAnsi="Times New Roman" w:cs="Times New Roman"/>
            <w:webHidden/>
          </w:rPr>
          <w:tab/>
        </w:r>
        <w:r w:rsidRPr="00B57B1E" w:rsidR="00F53321">
          <w:rPr>
            <w:rFonts w:ascii="Times New Roman" w:hAnsi="Times New Roman" w:cs="Times New Roman"/>
            <w:webHidden/>
          </w:rPr>
          <w:t>ES-</w:t>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_Toc184299493 \h </w:instrText>
        </w:r>
        <w:r w:rsidRPr="00B57B1E">
          <w:rPr>
            <w:rFonts w:ascii="Times New Roman" w:hAnsi="Times New Roman" w:cs="Times New Roman"/>
            <w:webHidden/>
          </w:rPr>
          <w:fldChar w:fldCharType="separate"/>
        </w:r>
        <w:r w:rsidRPr="00B57B1E">
          <w:rPr>
            <w:rFonts w:ascii="Times New Roman" w:hAnsi="Times New Roman" w:cs="Times New Roman"/>
            <w:webHidden/>
          </w:rPr>
          <w:t>1</w:t>
        </w:r>
        <w:r w:rsidRPr="00B57B1E">
          <w:rPr>
            <w:rFonts w:ascii="Times New Roman" w:hAnsi="Times New Roman" w:cs="Times New Roman"/>
            <w:webHidden/>
          </w:rPr>
          <w:fldChar w:fldCharType="end"/>
        </w:r>
      </w:hyperlink>
    </w:p>
    <w:p w:rsidR="00735BBC" w:rsidRPr="00B57B1E" w14:paraId="1BCF5B83" w14:textId="7C55C4FD">
      <w:pPr>
        <w:pStyle w:val="TOC2"/>
        <w:rPr>
          <w:rFonts w:ascii="Times New Roman" w:hAnsi="Times New Roman" w:eastAsiaTheme="minorEastAsia" w:cs="Times New Roman"/>
          <w:kern w:val="2"/>
          <w:sz w:val="24"/>
          <w:szCs w:val="24"/>
          <w14:ligatures w14:val="standardContextual"/>
        </w:rPr>
      </w:pPr>
      <w:hyperlink w:anchor="_Toc184299494" w:history="1">
        <w:r w:rsidRPr="00B57B1E">
          <w:rPr>
            <w:rStyle w:val="Hyperlink"/>
            <w:rFonts w:ascii="Times New Roman" w:hAnsi="Times New Roman" w:cs="Times New Roman"/>
          </w:rPr>
          <w:t>Introduction</w:t>
        </w:r>
        <w:r w:rsidRPr="00B57B1E">
          <w:rPr>
            <w:rFonts w:ascii="Times New Roman" w:hAnsi="Times New Roman" w:cs="Times New Roman"/>
            <w:webHidden/>
          </w:rPr>
          <w:tab/>
        </w:r>
        <w:r w:rsidRPr="00B57B1E" w:rsidR="00F53321">
          <w:rPr>
            <w:rFonts w:ascii="Times New Roman" w:hAnsi="Times New Roman" w:cs="Times New Roman"/>
            <w:webHidden/>
          </w:rPr>
          <w:t>ES-</w:t>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_Toc184299494 \h </w:instrText>
        </w:r>
        <w:r w:rsidRPr="00B57B1E">
          <w:rPr>
            <w:rFonts w:ascii="Times New Roman" w:hAnsi="Times New Roman" w:cs="Times New Roman"/>
            <w:webHidden/>
          </w:rPr>
          <w:fldChar w:fldCharType="separate"/>
        </w:r>
        <w:r w:rsidRPr="00B57B1E">
          <w:rPr>
            <w:rFonts w:ascii="Times New Roman" w:hAnsi="Times New Roman" w:cs="Times New Roman"/>
            <w:webHidden/>
          </w:rPr>
          <w:t>1</w:t>
        </w:r>
        <w:r w:rsidRPr="00B57B1E">
          <w:rPr>
            <w:rFonts w:ascii="Times New Roman" w:hAnsi="Times New Roman" w:cs="Times New Roman"/>
            <w:webHidden/>
          </w:rPr>
          <w:fldChar w:fldCharType="end"/>
        </w:r>
      </w:hyperlink>
    </w:p>
    <w:p w:rsidR="00735BBC" w:rsidRPr="00B57B1E" w14:paraId="7CF66902" w14:textId="396B03DE">
      <w:pPr>
        <w:pStyle w:val="TOC2"/>
        <w:rPr>
          <w:rFonts w:ascii="Times New Roman" w:hAnsi="Times New Roman" w:eastAsiaTheme="minorEastAsia" w:cs="Times New Roman"/>
          <w:kern w:val="2"/>
          <w:sz w:val="24"/>
          <w:szCs w:val="24"/>
          <w14:ligatures w14:val="standardContextual"/>
        </w:rPr>
      </w:pPr>
      <w:hyperlink w:anchor="_Toc184299495" w:history="1">
        <w:r w:rsidRPr="00B57B1E">
          <w:rPr>
            <w:rStyle w:val="Hyperlink"/>
            <w:rFonts w:ascii="Times New Roman" w:hAnsi="Times New Roman" w:cs="Times New Roman"/>
          </w:rPr>
          <w:t>Background</w:t>
        </w:r>
        <w:r w:rsidRPr="00B57B1E">
          <w:rPr>
            <w:rFonts w:ascii="Times New Roman" w:hAnsi="Times New Roman" w:cs="Times New Roman"/>
            <w:webHidden/>
          </w:rPr>
          <w:tab/>
        </w:r>
        <w:r w:rsidRPr="00B57B1E" w:rsidR="00F53321">
          <w:rPr>
            <w:rFonts w:ascii="Times New Roman" w:hAnsi="Times New Roman" w:cs="Times New Roman"/>
            <w:webHidden/>
          </w:rPr>
          <w:t>ES-</w:t>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_Toc184299495 \h </w:instrText>
        </w:r>
        <w:r w:rsidRPr="00B57B1E">
          <w:rPr>
            <w:rFonts w:ascii="Times New Roman" w:hAnsi="Times New Roman" w:cs="Times New Roman"/>
            <w:webHidden/>
          </w:rPr>
          <w:fldChar w:fldCharType="separate"/>
        </w:r>
        <w:r w:rsidRPr="00B57B1E">
          <w:rPr>
            <w:rFonts w:ascii="Times New Roman" w:hAnsi="Times New Roman" w:cs="Times New Roman"/>
            <w:webHidden/>
          </w:rPr>
          <w:t>1</w:t>
        </w:r>
        <w:r w:rsidRPr="00B57B1E">
          <w:rPr>
            <w:rFonts w:ascii="Times New Roman" w:hAnsi="Times New Roman" w:cs="Times New Roman"/>
            <w:webHidden/>
          </w:rPr>
          <w:fldChar w:fldCharType="end"/>
        </w:r>
      </w:hyperlink>
    </w:p>
    <w:p w:rsidR="00735BBC" w:rsidRPr="00B57B1E" w14:paraId="14276951" w14:textId="59803005">
      <w:pPr>
        <w:pStyle w:val="TOC2"/>
        <w:rPr>
          <w:rFonts w:ascii="Times New Roman" w:hAnsi="Times New Roman" w:eastAsiaTheme="minorEastAsia" w:cs="Times New Roman"/>
          <w:kern w:val="2"/>
          <w:sz w:val="24"/>
          <w:szCs w:val="24"/>
          <w14:ligatures w14:val="standardContextual"/>
        </w:rPr>
      </w:pPr>
      <w:hyperlink w:anchor="_Toc184299496" w:history="1">
        <w:r w:rsidRPr="00B57B1E">
          <w:rPr>
            <w:rStyle w:val="Hyperlink"/>
            <w:rFonts w:ascii="Times New Roman" w:hAnsi="Times New Roman" w:cs="Times New Roman"/>
          </w:rPr>
          <w:t>Regulatory Options Analyzed</w:t>
        </w:r>
        <w:r w:rsidRPr="00B57B1E">
          <w:rPr>
            <w:rFonts w:ascii="Times New Roman" w:hAnsi="Times New Roman" w:cs="Times New Roman"/>
            <w:webHidden/>
          </w:rPr>
          <w:tab/>
        </w:r>
        <w:r w:rsidRPr="00B57B1E" w:rsidR="00F53321">
          <w:rPr>
            <w:rFonts w:ascii="Times New Roman" w:hAnsi="Times New Roman" w:cs="Times New Roman"/>
            <w:webHidden/>
          </w:rPr>
          <w:t>ES-</w:t>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_Toc184299496 \h </w:instrText>
        </w:r>
        <w:r w:rsidRPr="00B57B1E">
          <w:rPr>
            <w:rFonts w:ascii="Times New Roman" w:hAnsi="Times New Roman" w:cs="Times New Roman"/>
            <w:webHidden/>
          </w:rPr>
          <w:fldChar w:fldCharType="separate"/>
        </w:r>
        <w:r w:rsidRPr="00B57B1E">
          <w:rPr>
            <w:rFonts w:ascii="Times New Roman" w:hAnsi="Times New Roman" w:cs="Times New Roman"/>
            <w:webHidden/>
          </w:rPr>
          <w:t>3</w:t>
        </w:r>
        <w:r w:rsidRPr="00B57B1E">
          <w:rPr>
            <w:rFonts w:ascii="Times New Roman" w:hAnsi="Times New Roman" w:cs="Times New Roman"/>
            <w:webHidden/>
          </w:rPr>
          <w:fldChar w:fldCharType="end"/>
        </w:r>
      </w:hyperlink>
    </w:p>
    <w:p w:rsidR="00735BBC" w:rsidRPr="00B57B1E" w14:paraId="46FFF801" w14:textId="25BF02FD">
      <w:pPr>
        <w:pStyle w:val="TOC2"/>
        <w:rPr>
          <w:rFonts w:ascii="Times New Roman" w:hAnsi="Times New Roman" w:eastAsiaTheme="minorEastAsia" w:cs="Times New Roman"/>
          <w:kern w:val="2"/>
          <w:sz w:val="24"/>
          <w:szCs w:val="24"/>
          <w14:ligatures w14:val="standardContextual"/>
        </w:rPr>
      </w:pPr>
      <w:hyperlink w:anchor="_Toc184299497" w:history="1">
        <w:r w:rsidRPr="00B57B1E">
          <w:rPr>
            <w:rStyle w:val="Hyperlink"/>
            <w:rFonts w:ascii="Times New Roman" w:hAnsi="Times New Roman" w:cs="Times New Roman"/>
          </w:rPr>
          <w:t>Estimated Number of Affected Entities and Individuals</w:t>
        </w:r>
        <w:r w:rsidRPr="00B57B1E">
          <w:rPr>
            <w:rFonts w:ascii="Times New Roman" w:hAnsi="Times New Roman" w:cs="Times New Roman"/>
            <w:webHidden/>
          </w:rPr>
          <w:tab/>
        </w:r>
        <w:r w:rsidRPr="00B57B1E" w:rsidR="00F53321">
          <w:rPr>
            <w:rFonts w:ascii="Times New Roman" w:hAnsi="Times New Roman" w:cs="Times New Roman"/>
            <w:webHidden/>
          </w:rPr>
          <w:t>ES-</w:t>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_Toc184299497 \h </w:instrText>
        </w:r>
        <w:r w:rsidRPr="00B57B1E">
          <w:rPr>
            <w:rFonts w:ascii="Times New Roman" w:hAnsi="Times New Roman" w:cs="Times New Roman"/>
            <w:webHidden/>
          </w:rPr>
          <w:fldChar w:fldCharType="separate"/>
        </w:r>
        <w:r w:rsidRPr="00B57B1E">
          <w:rPr>
            <w:rFonts w:ascii="Times New Roman" w:hAnsi="Times New Roman" w:cs="Times New Roman"/>
            <w:webHidden/>
          </w:rPr>
          <w:t>4</w:t>
        </w:r>
        <w:r w:rsidRPr="00B57B1E">
          <w:rPr>
            <w:rFonts w:ascii="Times New Roman" w:hAnsi="Times New Roman" w:cs="Times New Roman"/>
            <w:webHidden/>
          </w:rPr>
          <w:fldChar w:fldCharType="end"/>
        </w:r>
      </w:hyperlink>
    </w:p>
    <w:p w:rsidR="00735BBC" w:rsidRPr="00B57B1E" w14:paraId="64DA2550" w14:textId="2BE26F37">
      <w:pPr>
        <w:pStyle w:val="TOC2"/>
        <w:rPr>
          <w:rFonts w:ascii="Times New Roman" w:hAnsi="Times New Roman" w:eastAsiaTheme="minorEastAsia" w:cs="Times New Roman"/>
          <w:kern w:val="2"/>
          <w:sz w:val="24"/>
          <w:szCs w:val="24"/>
          <w14:ligatures w14:val="standardContextual"/>
        </w:rPr>
      </w:pPr>
      <w:hyperlink w:anchor="_Toc184299498" w:history="1">
        <w:r w:rsidRPr="00B57B1E">
          <w:rPr>
            <w:rStyle w:val="Hyperlink"/>
            <w:rFonts w:ascii="Times New Roman" w:hAnsi="Times New Roman" w:cs="Times New Roman"/>
          </w:rPr>
          <w:t>Estimated Incremental Costs</w:t>
        </w:r>
        <w:r w:rsidRPr="00B57B1E">
          <w:rPr>
            <w:rFonts w:ascii="Times New Roman" w:hAnsi="Times New Roman" w:cs="Times New Roman"/>
            <w:webHidden/>
          </w:rPr>
          <w:tab/>
        </w:r>
        <w:r w:rsidRPr="00B57B1E" w:rsidR="00F53321">
          <w:rPr>
            <w:rFonts w:ascii="Times New Roman" w:hAnsi="Times New Roman" w:cs="Times New Roman"/>
            <w:webHidden/>
          </w:rPr>
          <w:t>ES-</w:t>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_Toc184299498 \h </w:instrText>
        </w:r>
        <w:r w:rsidRPr="00B57B1E">
          <w:rPr>
            <w:rFonts w:ascii="Times New Roman" w:hAnsi="Times New Roman" w:cs="Times New Roman"/>
            <w:webHidden/>
          </w:rPr>
          <w:fldChar w:fldCharType="separate"/>
        </w:r>
        <w:r w:rsidRPr="00B57B1E">
          <w:rPr>
            <w:rFonts w:ascii="Times New Roman" w:hAnsi="Times New Roman" w:cs="Times New Roman"/>
            <w:webHidden/>
          </w:rPr>
          <w:t>4</w:t>
        </w:r>
        <w:r w:rsidRPr="00B57B1E">
          <w:rPr>
            <w:rFonts w:ascii="Times New Roman" w:hAnsi="Times New Roman" w:cs="Times New Roman"/>
            <w:webHidden/>
          </w:rPr>
          <w:fldChar w:fldCharType="end"/>
        </w:r>
      </w:hyperlink>
    </w:p>
    <w:p w:rsidR="00735BBC" w:rsidRPr="00B57B1E" w14:paraId="1FD65DEF" w14:textId="28D15983">
      <w:pPr>
        <w:pStyle w:val="TOC2"/>
        <w:rPr>
          <w:rFonts w:ascii="Times New Roman" w:hAnsi="Times New Roman" w:eastAsiaTheme="minorEastAsia" w:cs="Times New Roman"/>
          <w:kern w:val="2"/>
          <w:sz w:val="24"/>
          <w:szCs w:val="24"/>
          <w14:ligatures w14:val="standardContextual"/>
        </w:rPr>
      </w:pPr>
      <w:hyperlink w:anchor="_Toc184299499" w:history="1">
        <w:r w:rsidRPr="00B57B1E">
          <w:rPr>
            <w:rStyle w:val="Hyperlink"/>
            <w:rFonts w:ascii="Times New Roman" w:hAnsi="Times New Roman" w:cs="Times New Roman"/>
          </w:rPr>
          <w:t>Estimated Incremental Benefits</w:t>
        </w:r>
        <w:r w:rsidRPr="00B57B1E">
          <w:rPr>
            <w:rFonts w:ascii="Times New Roman" w:hAnsi="Times New Roman" w:cs="Times New Roman"/>
            <w:webHidden/>
          </w:rPr>
          <w:tab/>
        </w:r>
        <w:r w:rsidRPr="00B57B1E" w:rsidR="00F53321">
          <w:rPr>
            <w:rFonts w:ascii="Times New Roman" w:hAnsi="Times New Roman" w:cs="Times New Roman"/>
            <w:webHidden/>
          </w:rPr>
          <w:t>ES-</w:t>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_Toc184299499 \h </w:instrText>
        </w:r>
        <w:r w:rsidRPr="00B57B1E">
          <w:rPr>
            <w:rFonts w:ascii="Times New Roman" w:hAnsi="Times New Roman" w:cs="Times New Roman"/>
            <w:webHidden/>
          </w:rPr>
          <w:fldChar w:fldCharType="separate"/>
        </w:r>
        <w:r w:rsidRPr="00B57B1E">
          <w:rPr>
            <w:rFonts w:ascii="Times New Roman" w:hAnsi="Times New Roman" w:cs="Times New Roman"/>
            <w:webHidden/>
          </w:rPr>
          <w:t>5</w:t>
        </w:r>
        <w:r w:rsidRPr="00B57B1E">
          <w:rPr>
            <w:rFonts w:ascii="Times New Roman" w:hAnsi="Times New Roman" w:cs="Times New Roman"/>
            <w:webHidden/>
          </w:rPr>
          <w:fldChar w:fldCharType="end"/>
        </w:r>
      </w:hyperlink>
    </w:p>
    <w:p w:rsidR="00735BBC" w:rsidRPr="00B57B1E" w14:paraId="7DDE5491" w14:textId="0263C9D7">
      <w:pPr>
        <w:pStyle w:val="TOC2"/>
        <w:rPr>
          <w:rFonts w:ascii="Times New Roman" w:hAnsi="Times New Roman" w:eastAsiaTheme="minorEastAsia" w:cs="Times New Roman"/>
          <w:kern w:val="2"/>
          <w:sz w:val="24"/>
          <w:szCs w:val="24"/>
          <w14:ligatures w14:val="standardContextual"/>
        </w:rPr>
      </w:pPr>
      <w:hyperlink w:anchor="_Toc184299500" w:history="1">
        <w:r w:rsidRPr="00B57B1E">
          <w:rPr>
            <w:rStyle w:val="Hyperlink"/>
            <w:rFonts w:ascii="Times New Roman" w:hAnsi="Times New Roman" w:cs="Times New Roman"/>
          </w:rPr>
          <w:t>Estimated Incremental Net Benefits</w:t>
        </w:r>
        <w:r w:rsidRPr="00B57B1E">
          <w:rPr>
            <w:rFonts w:ascii="Times New Roman" w:hAnsi="Times New Roman" w:cs="Times New Roman"/>
            <w:webHidden/>
          </w:rPr>
          <w:tab/>
        </w:r>
        <w:r w:rsidRPr="00B57B1E" w:rsidR="00F53321">
          <w:rPr>
            <w:rFonts w:ascii="Times New Roman" w:hAnsi="Times New Roman" w:cs="Times New Roman"/>
            <w:webHidden/>
          </w:rPr>
          <w:t>ES-</w:t>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_Toc184299500 \h </w:instrText>
        </w:r>
        <w:r w:rsidRPr="00B57B1E">
          <w:rPr>
            <w:rFonts w:ascii="Times New Roman" w:hAnsi="Times New Roman" w:cs="Times New Roman"/>
            <w:webHidden/>
          </w:rPr>
          <w:fldChar w:fldCharType="separate"/>
        </w:r>
        <w:r w:rsidRPr="00B57B1E">
          <w:rPr>
            <w:rFonts w:ascii="Times New Roman" w:hAnsi="Times New Roman" w:cs="Times New Roman"/>
            <w:webHidden/>
          </w:rPr>
          <w:t>5</w:t>
        </w:r>
        <w:r w:rsidRPr="00B57B1E">
          <w:rPr>
            <w:rFonts w:ascii="Times New Roman" w:hAnsi="Times New Roman" w:cs="Times New Roman"/>
            <w:webHidden/>
          </w:rPr>
          <w:fldChar w:fldCharType="end"/>
        </w:r>
      </w:hyperlink>
    </w:p>
    <w:p w:rsidR="00735BBC" w:rsidRPr="00B57B1E" w14:paraId="555F2819" w14:textId="4942E903">
      <w:pPr>
        <w:pStyle w:val="TOC2"/>
        <w:rPr>
          <w:rFonts w:ascii="Times New Roman" w:hAnsi="Times New Roman" w:eastAsiaTheme="minorEastAsia" w:cs="Times New Roman"/>
          <w:kern w:val="2"/>
          <w:sz w:val="24"/>
          <w:szCs w:val="24"/>
          <w14:ligatures w14:val="standardContextual"/>
        </w:rPr>
      </w:pPr>
      <w:hyperlink w:anchor="_Toc184299501" w:history="1">
        <w:r w:rsidRPr="00B57B1E">
          <w:rPr>
            <w:rStyle w:val="Hyperlink"/>
            <w:rFonts w:ascii="Times New Roman" w:hAnsi="Times New Roman" w:cs="Times New Roman"/>
          </w:rPr>
          <w:t>Environmental Justice Impacts</w:t>
        </w:r>
        <w:r w:rsidRPr="00B57B1E">
          <w:rPr>
            <w:rFonts w:ascii="Times New Roman" w:hAnsi="Times New Roman" w:cs="Times New Roman"/>
            <w:webHidden/>
          </w:rPr>
          <w:tab/>
        </w:r>
        <w:r w:rsidRPr="00B57B1E" w:rsidR="00F53321">
          <w:rPr>
            <w:rFonts w:ascii="Times New Roman" w:hAnsi="Times New Roman" w:cs="Times New Roman"/>
            <w:webHidden/>
          </w:rPr>
          <w:t>ES-</w:t>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_Toc184299501 \h </w:instrText>
        </w:r>
        <w:r w:rsidRPr="00B57B1E">
          <w:rPr>
            <w:rFonts w:ascii="Times New Roman" w:hAnsi="Times New Roman" w:cs="Times New Roman"/>
            <w:webHidden/>
          </w:rPr>
          <w:fldChar w:fldCharType="separate"/>
        </w:r>
        <w:r w:rsidRPr="00B57B1E">
          <w:rPr>
            <w:rFonts w:ascii="Times New Roman" w:hAnsi="Times New Roman" w:cs="Times New Roman"/>
            <w:webHidden/>
          </w:rPr>
          <w:t>6</w:t>
        </w:r>
        <w:r w:rsidRPr="00B57B1E">
          <w:rPr>
            <w:rFonts w:ascii="Times New Roman" w:hAnsi="Times New Roman" w:cs="Times New Roman"/>
            <w:webHidden/>
          </w:rPr>
          <w:fldChar w:fldCharType="end"/>
        </w:r>
      </w:hyperlink>
    </w:p>
    <w:p w:rsidR="00735BBC" w:rsidRPr="00B57B1E" w14:paraId="3E9236CD" w14:textId="26F202DE">
      <w:pPr>
        <w:pStyle w:val="TOC2"/>
        <w:rPr>
          <w:rFonts w:ascii="Times New Roman" w:hAnsi="Times New Roman" w:eastAsiaTheme="minorEastAsia" w:cs="Times New Roman"/>
          <w:kern w:val="2"/>
          <w:sz w:val="24"/>
          <w:szCs w:val="24"/>
          <w14:ligatures w14:val="standardContextual"/>
        </w:rPr>
      </w:pPr>
      <w:hyperlink w:anchor="_Toc184299502" w:history="1">
        <w:r w:rsidRPr="00B57B1E">
          <w:rPr>
            <w:rStyle w:val="Hyperlink"/>
            <w:rFonts w:ascii="Times New Roman" w:hAnsi="Times New Roman" w:cs="Times New Roman"/>
          </w:rPr>
          <w:t>Estimated Small Business Impacts</w:t>
        </w:r>
        <w:r w:rsidRPr="00B57B1E">
          <w:rPr>
            <w:rFonts w:ascii="Times New Roman" w:hAnsi="Times New Roman" w:cs="Times New Roman"/>
            <w:webHidden/>
          </w:rPr>
          <w:tab/>
        </w:r>
        <w:r w:rsidRPr="00B57B1E" w:rsidR="00F53321">
          <w:rPr>
            <w:rFonts w:ascii="Times New Roman" w:hAnsi="Times New Roman" w:cs="Times New Roman"/>
            <w:webHidden/>
          </w:rPr>
          <w:t>ES-</w:t>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_Toc184299502 \h </w:instrText>
        </w:r>
        <w:r w:rsidRPr="00B57B1E">
          <w:rPr>
            <w:rFonts w:ascii="Times New Roman" w:hAnsi="Times New Roman" w:cs="Times New Roman"/>
            <w:webHidden/>
          </w:rPr>
          <w:fldChar w:fldCharType="separate"/>
        </w:r>
        <w:r w:rsidRPr="00B57B1E">
          <w:rPr>
            <w:rFonts w:ascii="Times New Roman" w:hAnsi="Times New Roman" w:cs="Times New Roman"/>
            <w:webHidden/>
          </w:rPr>
          <w:t>7</w:t>
        </w:r>
        <w:r w:rsidRPr="00B57B1E">
          <w:rPr>
            <w:rFonts w:ascii="Times New Roman" w:hAnsi="Times New Roman" w:cs="Times New Roman"/>
            <w:webHidden/>
          </w:rPr>
          <w:fldChar w:fldCharType="end"/>
        </w:r>
      </w:hyperlink>
    </w:p>
    <w:p w:rsidR="00735BBC" w:rsidRPr="00B57B1E" w14:paraId="0A4D29A6" w14:textId="5D027D81">
      <w:pPr>
        <w:pStyle w:val="TOC1"/>
        <w:rPr>
          <w:rFonts w:ascii="Times New Roman" w:hAnsi="Times New Roman" w:eastAsiaTheme="minorEastAsia" w:cs="Times New Roman"/>
          <w:b w:val="0"/>
          <w:kern w:val="2"/>
          <w:sz w:val="24"/>
          <w14:ligatures w14:val="standardContextual"/>
        </w:rPr>
      </w:pPr>
      <w:hyperlink w:anchor="_Toc184299503" w:history="1">
        <w:r w:rsidRPr="00B57B1E">
          <w:rPr>
            <w:rStyle w:val="Hyperlink"/>
            <w:rFonts w:ascii="Times New Roman" w:hAnsi="Times New Roman" w:cs="Times New Roman"/>
          </w:rPr>
          <w:t>1.</w:t>
        </w:r>
        <w:r w:rsidRPr="00B57B1E">
          <w:rPr>
            <w:rFonts w:ascii="Times New Roman" w:hAnsi="Times New Roman" w:eastAsiaTheme="minorEastAsia" w:cs="Times New Roman"/>
            <w:b w:val="0"/>
            <w:kern w:val="2"/>
            <w:sz w:val="24"/>
            <w14:ligatures w14:val="standardContextual"/>
          </w:rPr>
          <w:tab/>
        </w:r>
        <w:r w:rsidRPr="00B57B1E">
          <w:rPr>
            <w:rStyle w:val="Hyperlink"/>
            <w:rFonts w:ascii="Times New Roman" w:hAnsi="Times New Roman" w:cs="Times New Roman"/>
          </w:rPr>
          <w:t>Introduction</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_Toc184299503 \h </w:instrText>
        </w:r>
        <w:r w:rsidRPr="00B57B1E">
          <w:rPr>
            <w:rFonts w:ascii="Times New Roman" w:hAnsi="Times New Roman" w:cs="Times New Roman"/>
            <w:webHidden/>
          </w:rPr>
          <w:fldChar w:fldCharType="separate"/>
        </w:r>
        <w:r w:rsidRPr="00B57B1E">
          <w:rPr>
            <w:rFonts w:ascii="Times New Roman" w:hAnsi="Times New Roman" w:cs="Times New Roman"/>
            <w:webHidden/>
          </w:rPr>
          <w:t>1-1</w:t>
        </w:r>
        <w:r w:rsidRPr="00B57B1E">
          <w:rPr>
            <w:rFonts w:ascii="Times New Roman" w:hAnsi="Times New Roman" w:cs="Times New Roman"/>
            <w:webHidden/>
          </w:rPr>
          <w:fldChar w:fldCharType="end"/>
        </w:r>
      </w:hyperlink>
    </w:p>
    <w:p w:rsidR="00735BBC" w:rsidRPr="00B57B1E" w14:paraId="4D436A3E" w14:textId="35A349AD">
      <w:pPr>
        <w:pStyle w:val="TOC2"/>
        <w:rPr>
          <w:rFonts w:ascii="Times New Roman" w:hAnsi="Times New Roman" w:eastAsiaTheme="minorEastAsia" w:cs="Times New Roman"/>
          <w:kern w:val="2"/>
          <w:sz w:val="24"/>
          <w:szCs w:val="24"/>
          <w14:ligatures w14:val="standardContextual"/>
        </w:rPr>
      </w:pPr>
      <w:hyperlink w:anchor="_Toc184299504" w:history="1">
        <w:r w:rsidRPr="00B57B1E">
          <w:rPr>
            <w:rStyle w:val="Hyperlink"/>
            <w:rFonts w:ascii="Times New Roman" w:hAnsi="Times New Roman" w:cs="Times New Roman"/>
          </w:rPr>
          <w:t>1.1</w:t>
        </w:r>
        <w:r w:rsidRPr="00B57B1E">
          <w:rPr>
            <w:rFonts w:ascii="Times New Roman" w:hAnsi="Times New Roman" w:eastAsiaTheme="minorEastAsia" w:cs="Times New Roman"/>
            <w:kern w:val="2"/>
            <w:sz w:val="24"/>
            <w:szCs w:val="24"/>
            <w14:ligatures w14:val="standardContextual"/>
          </w:rPr>
          <w:tab/>
        </w:r>
        <w:r w:rsidRPr="00B57B1E">
          <w:rPr>
            <w:rStyle w:val="Hyperlink"/>
            <w:rFonts w:ascii="Times New Roman" w:hAnsi="Times New Roman" w:cs="Times New Roman"/>
          </w:rPr>
          <w:t>Overview of PV29</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_Toc184299504 \h </w:instrText>
        </w:r>
        <w:r w:rsidRPr="00B57B1E">
          <w:rPr>
            <w:rFonts w:ascii="Times New Roman" w:hAnsi="Times New Roman" w:cs="Times New Roman"/>
            <w:webHidden/>
          </w:rPr>
          <w:fldChar w:fldCharType="separate"/>
        </w:r>
        <w:r w:rsidRPr="00B57B1E">
          <w:rPr>
            <w:rFonts w:ascii="Times New Roman" w:hAnsi="Times New Roman" w:cs="Times New Roman"/>
            <w:webHidden/>
          </w:rPr>
          <w:t>1-1</w:t>
        </w:r>
        <w:r w:rsidRPr="00B57B1E">
          <w:rPr>
            <w:rFonts w:ascii="Times New Roman" w:hAnsi="Times New Roman" w:cs="Times New Roman"/>
            <w:webHidden/>
          </w:rPr>
          <w:fldChar w:fldCharType="end"/>
        </w:r>
      </w:hyperlink>
    </w:p>
    <w:p w:rsidR="00735BBC" w:rsidRPr="00B57B1E" w14:paraId="2E4FBB6B" w14:textId="4352B35C">
      <w:pPr>
        <w:pStyle w:val="TOC2"/>
        <w:rPr>
          <w:rFonts w:ascii="Times New Roman" w:hAnsi="Times New Roman" w:eastAsiaTheme="minorEastAsia" w:cs="Times New Roman"/>
          <w:kern w:val="2"/>
          <w:sz w:val="24"/>
          <w:szCs w:val="24"/>
          <w14:ligatures w14:val="standardContextual"/>
        </w:rPr>
      </w:pPr>
      <w:hyperlink w:anchor="_Toc184299505" w:history="1">
        <w:r w:rsidRPr="00B57B1E">
          <w:rPr>
            <w:rStyle w:val="Hyperlink"/>
            <w:rFonts w:ascii="Times New Roman" w:hAnsi="Times New Roman" w:cs="Times New Roman"/>
          </w:rPr>
          <w:t>1.2</w:t>
        </w:r>
        <w:r w:rsidRPr="00B57B1E">
          <w:rPr>
            <w:rFonts w:ascii="Times New Roman" w:hAnsi="Times New Roman" w:eastAsiaTheme="minorEastAsia" w:cs="Times New Roman"/>
            <w:kern w:val="2"/>
            <w:sz w:val="24"/>
            <w:szCs w:val="24"/>
            <w14:ligatures w14:val="standardContextual"/>
          </w:rPr>
          <w:tab/>
        </w:r>
        <w:r w:rsidRPr="00B57B1E">
          <w:rPr>
            <w:rStyle w:val="Hyperlink"/>
            <w:rFonts w:ascii="Times New Roman" w:hAnsi="Times New Roman" w:cs="Times New Roman"/>
          </w:rPr>
          <w:t>Unreasonable Risk Determination</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_Toc184299505 \h </w:instrText>
        </w:r>
        <w:r w:rsidRPr="00B57B1E">
          <w:rPr>
            <w:rFonts w:ascii="Times New Roman" w:hAnsi="Times New Roman" w:cs="Times New Roman"/>
            <w:webHidden/>
          </w:rPr>
          <w:fldChar w:fldCharType="separate"/>
        </w:r>
        <w:r w:rsidRPr="00B57B1E">
          <w:rPr>
            <w:rFonts w:ascii="Times New Roman" w:hAnsi="Times New Roman" w:cs="Times New Roman"/>
            <w:webHidden/>
          </w:rPr>
          <w:t>1-2</w:t>
        </w:r>
        <w:r w:rsidRPr="00B57B1E">
          <w:rPr>
            <w:rFonts w:ascii="Times New Roman" w:hAnsi="Times New Roman" w:cs="Times New Roman"/>
            <w:webHidden/>
          </w:rPr>
          <w:fldChar w:fldCharType="end"/>
        </w:r>
      </w:hyperlink>
    </w:p>
    <w:p w:rsidR="00735BBC" w:rsidRPr="00B57B1E" w14:paraId="43D5CB1E" w14:textId="343A83EC">
      <w:pPr>
        <w:pStyle w:val="TOC2"/>
        <w:rPr>
          <w:rFonts w:ascii="Times New Roman" w:hAnsi="Times New Roman" w:eastAsiaTheme="minorEastAsia" w:cs="Times New Roman"/>
          <w:kern w:val="2"/>
          <w:sz w:val="24"/>
          <w:szCs w:val="24"/>
          <w14:ligatures w14:val="standardContextual"/>
        </w:rPr>
      </w:pPr>
      <w:hyperlink w:anchor="_Toc184299506" w:history="1">
        <w:r w:rsidRPr="00B57B1E">
          <w:rPr>
            <w:rStyle w:val="Hyperlink"/>
            <w:rFonts w:ascii="Times New Roman" w:hAnsi="Times New Roman" w:cs="Times New Roman"/>
          </w:rPr>
          <w:t>1.3</w:t>
        </w:r>
        <w:r w:rsidRPr="00B57B1E">
          <w:rPr>
            <w:rFonts w:ascii="Times New Roman" w:hAnsi="Times New Roman" w:eastAsiaTheme="minorEastAsia" w:cs="Times New Roman"/>
            <w:kern w:val="2"/>
            <w:sz w:val="24"/>
            <w:szCs w:val="24"/>
            <w14:ligatures w14:val="standardContextual"/>
          </w:rPr>
          <w:tab/>
        </w:r>
        <w:r w:rsidRPr="00B57B1E">
          <w:rPr>
            <w:rStyle w:val="Hyperlink"/>
            <w:rFonts w:ascii="Times New Roman" w:hAnsi="Times New Roman" w:cs="Times New Roman"/>
          </w:rPr>
          <w:t>Proposed and Alternative Regulatory Options</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_Toc184299506 \h </w:instrText>
        </w:r>
        <w:r w:rsidRPr="00B57B1E">
          <w:rPr>
            <w:rFonts w:ascii="Times New Roman" w:hAnsi="Times New Roman" w:cs="Times New Roman"/>
            <w:webHidden/>
          </w:rPr>
          <w:fldChar w:fldCharType="separate"/>
        </w:r>
        <w:r w:rsidRPr="00B57B1E">
          <w:rPr>
            <w:rFonts w:ascii="Times New Roman" w:hAnsi="Times New Roman" w:cs="Times New Roman"/>
            <w:webHidden/>
          </w:rPr>
          <w:t>1-4</w:t>
        </w:r>
        <w:r w:rsidRPr="00B57B1E">
          <w:rPr>
            <w:rFonts w:ascii="Times New Roman" w:hAnsi="Times New Roman" w:cs="Times New Roman"/>
            <w:webHidden/>
          </w:rPr>
          <w:fldChar w:fldCharType="end"/>
        </w:r>
      </w:hyperlink>
    </w:p>
    <w:p w:rsidR="00735BBC" w:rsidRPr="00B57B1E" w14:paraId="7BDE102B" w14:textId="3AEF776B">
      <w:pPr>
        <w:pStyle w:val="TOC2"/>
        <w:rPr>
          <w:rFonts w:ascii="Times New Roman" w:hAnsi="Times New Roman" w:eastAsiaTheme="minorEastAsia" w:cs="Times New Roman"/>
          <w:kern w:val="2"/>
          <w:sz w:val="24"/>
          <w:szCs w:val="24"/>
          <w14:ligatures w14:val="standardContextual"/>
        </w:rPr>
      </w:pPr>
      <w:hyperlink w:anchor="_Toc184299507" w:history="1">
        <w:r w:rsidRPr="00B57B1E">
          <w:rPr>
            <w:rStyle w:val="Hyperlink"/>
            <w:rFonts w:ascii="Times New Roman" w:hAnsi="Times New Roman" w:cs="Times New Roman"/>
          </w:rPr>
          <w:t>1.4</w:t>
        </w:r>
        <w:r w:rsidRPr="00B57B1E">
          <w:rPr>
            <w:rFonts w:ascii="Times New Roman" w:hAnsi="Times New Roman" w:eastAsiaTheme="minorEastAsia" w:cs="Times New Roman"/>
            <w:kern w:val="2"/>
            <w:sz w:val="24"/>
            <w:szCs w:val="24"/>
            <w14:ligatures w14:val="standardContextual"/>
          </w:rPr>
          <w:tab/>
        </w:r>
        <w:r w:rsidRPr="00B57B1E">
          <w:rPr>
            <w:rStyle w:val="Hyperlink"/>
            <w:rFonts w:ascii="Times New Roman" w:hAnsi="Times New Roman" w:cs="Times New Roman"/>
          </w:rPr>
          <w:t>Organization of this Document</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_Toc184299507 \h </w:instrText>
        </w:r>
        <w:r w:rsidRPr="00B57B1E">
          <w:rPr>
            <w:rFonts w:ascii="Times New Roman" w:hAnsi="Times New Roman" w:cs="Times New Roman"/>
            <w:webHidden/>
          </w:rPr>
          <w:fldChar w:fldCharType="separate"/>
        </w:r>
        <w:r w:rsidRPr="00B57B1E">
          <w:rPr>
            <w:rFonts w:ascii="Times New Roman" w:hAnsi="Times New Roman" w:cs="Times New Roman"/>
            <w:webHidden/>
          </w:rPr>
          <w:t>1-7</w:t>
        </w:r>
        <w:r w:rsidRPr="00B57B1E">
          <w:rPr>
            <w:rFonts w:ascii="Times New Roman" w:hAnsi="Times New Roman" w:cs="Times New Roman"/>
            <w:webHidden/>
          </w:rPr>
          <w:fldChar w:fldCharType="end"/>
        </w:r>
      </w:hyperlink>
    </w:p>
    <w:p w:rsidR="00735BBC" w:rsidRPr="00B57B1E" w14:paraId="111F2C66" w14:textId="73463C6E">
      <w:pPr>
        <w:pStyle w:val="TOC1"/>
        <w:rPr>
          <w:rFonts w:ascii="Times New Roman" w:hAnsi="Times New Roman" w:eastAsiaTheme="minorEastAsia" w:cs="Times New Roman"/>
          <w:b w:val="0"/>
          <w:kern w:val="2"/>
          <w:sz w:val="24"/>
          <w14:ligatures w14:val="standardContextual"/>
        </w:rPr>
      </w:pPr>
      <w:hyperlink w:anchor="_Toc184299508" w:history="1">
        <w:r w:rsidRPr="00B57B1E">
          <w:rPr>
            <w:rStyle w:val="Hyperlink"/>
            <w:rFonts w:ascii="Times New Roman" w:hAnsi="Times New Roman" w:cs="Times New Roman"/>
          </w:rPr>
          <w:t>2.</w:t>
        </w:r>
        <w:r w:rsidRPr="00B57B1E">
          <w:rPr>
            <w:rFonts w:ascii="Times New Roman" w:hAnsi="Times New Roman" w:eastAsiaTheme="minorEastAsia" w:cs="Times New Roman"/>
            <w:b w:val="0"/>
            <w:kern w:val="2"/>
            <w:sz w:val="24"/>
            <w14:ligatures w14:val="standardContextual"/>
          </w:rPr>
          <w:tab/>
        </w:r>
        <w:r w:rsidRPr="00B57B1E">
          <w:rPr>
            <w:rStyle w:val="Hyperlink"/>
            <w:rFonts w:ascii="Times New Roman" w:hAnsi="Times New Roman" w:cs="Times New Roman"/>
          </w:rPr>
          <w:t>Problem Definition/Market Failure</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_Toc184299508 \h </w:instrText>
        </w:r>
        <w:r w:rsidRPr="00B57B1E">
          <w:rPr>
            <w:rFonts w:ascii="Times New Roman" w:hAnsi="Times New Roman" w:cs="Times New Roman"/>
            <w:webHidden/>
          </w:rPr>
          <w:fldChar w:fldCharType="separate"/>
        </w:r>
        <w:r w:rsidRPr="00B57B1E">
          <w:rPr>
            <w:rFonts w:ascii="Times New Roman" w:hAnsi="Times New Roman" w:cs="Times New Roman"/>
            <w:webHidden/>
          </w:rPr>
          <w:t>2-1</w:t>
        </w:r>
        <w:r w:rsidRPr="00B57B1E">
          <w:rPr>
            <w:rFonts w:ascii="Times New Roman" w:hAnsi="Times New Roman" w:cs="Times New Roman"/>
            <w:webHidden/>
          </w:rPr>
          <w:fldChar w:fldCharType="end"/>
        </w:r>
      </w:hyperlink>
    </w:p>
    <w:p w:rsidR="00735BBC" w:rsidRPr="00B57B1E" w14:paraId="73F6F262" w14:textId="078F06D1">
      <w:pPr>
        <w:pStyle w:val="TOC2"/>
        <w:rPr>
          <w:rFonts w:ascii="Times New Roman" w:hAnsi="Times New Roman" w:eastAsiaTheme="minorEastAsia" w:cs="Times New Roman"/>
          <w:kern w:val="2"/>
          <w:sz w:val="24"/>
          <w:szCs w:val="24"/>
          <w14:ligatures w14:val="standardContextual"/>
        </w:rPr>
      </w:pPr>
      <w:hyperlink w:anchor="_Toc184299509" w:history="1">
        <w:r w:rsidRPr="00B57B1E">
          <w:rPr>
            <w:rStyle w:val="Hyperlink"/>
            <w:rFonts w:ascii="Times New Roman" w:hAnsi="Times New Roman" w:cs="Times New Roman"/>
          </w:rPr>
          <w:t>2.1</w:t>
        </w:r>
        <w:r w:rsidRPr="00B57B1E">
          <w:rPr>
            <w:rFonts w:ascii="Times New Roman" w:hAnsi="Times New Roman" w:eastAsiaTheme="minorEastAsia" w:cs="Times New Roman"/>
            <w:kern w:val="2"/>
            <w:sz w:val="24"/>
            <w:szCs w:val="24"/>
            <w14:ligatures w14:val="standardContextual"/>
          </w:rPr>
          <w:tab/>
        </w:r>
        <w:r w:rsidRPr="00B57B1E">
          <w:rPr>
            <w:rStyle w:val="Hyperlink"/>
            <w:rFonts w:ascii="Times New Roman" w:hAnsi="Times New Roman" w:cs="Times New Roman"/>
          </w:rPr>
          <w:t>PV29 Problem</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_Toc184299509 \h </w:instrText>
        </w:r>
        <w:r w:rsidRPr="00B57B1E">
          <w:rPr>
            <w:rFonts w:ascii="Times New Roman" w:hAnsi="Times New Roman" w:cs="Times New Roman"/>
            <w:webHidden/>
          </w:rPr>
          <w:fldChar w:fldCharType="separate"/>
        </w:r>
        <w:r w:rsidRPr="00B57B1E">
          <w:rPr>
            <w:rFonts w:ascii="Times New Roman" w:hAnsi="Times New Roman" w:cs="Times New Roman"/>
            <w:webHidden/>
          </w:rPr>
          <w:t>2-1</w:t>
        </w:r>
        <w:r w:rsidRPr="00B57B1E">
          <w:rPr>
            <w:rFonts w:ascii="Times New Roman" w:hAnsi="Times New Roman" w:cs="Times New Roman"/>
            <w:webHidden/>
          </w:rPr>
          <w:fldChar w:fldCharType="end"/>
        </w:r>
      </w:hyperlink>
    </w:p>
    <w:p w:rsidR="00735BBC" w:rsidRPr="00B57B1E" w14:paraId="63BD95AE" w14:textId="773496AD">
      <w:pPr>
        <w:pStyle w:val="TOC2"/>
        <w:rPr>
          <w:rFonts w:ascii="Times New Roman" w:hAnsi="Times New Roman" w:eastAsiaTheme="minorEastAsia" w:cs="Times New Roman"/>
          <w:kern w:val="2"/>
          <w:sz w:val="24"/>
          <w:szCs w:val="24"/>
          <w14:ligatures w14:val="standardContextual"/>
        </w:rPr>
      </w:pPr>
      <w:hyperlink w:anchor="_Toc184299510" w:history="1">
        <w:r w:rsidRPr="00B57B1E">
          <w:rPr>
            <w:rStyle w:val="Hyperlink"/>
            <w:rFonts w:ascii="Times New Roman" w:hAnsi="Times New Roman" w:cs="Times New Roman"/>
          </w:rPr>
          <w:t>2.2</w:t>
        </w:r>
        <w:r w:rsidRPr="00B57B1E">
          <w:rPr>
            <w:rFonts w:ascii="Times New Roman" w:hAnsi="Times New Roman" w:eastAsiaTheme="minorEastAsia" w:cs="Times New Roman"/>
            <w:kern w:val="2"/>
            <w:sz w:val="24"/>
            <w:szCs w:val="24"/>
            <w14:ligatures w14:val="standardContextual"/>
          </w:rPr>
          <w:tab/>
        </w:r>
        <w:r w:rsidRPr="00B57B1E">
          <w:rPr>
            <w:rStyle w:val="Hyperlink"/>
            <w:rFonts w:ascii="Times New Roman" w:hAnsi="Times New Roman" w:cs="Times New Roman"/>
          </w:rPr>
          <w:t>Regulatory Background</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_Toc184299510 \h </w:instrText>
        </w:r>
        <w:r w:rsidRPr="00B57B1E">
          <w:rPr>
            <w:rFonts w:ascii="Times New Roman" w:hAnsi="Times New Roman" w:cs="Times New Roman"/>
            <w:webHidden/>
          </w:rPr>
          <w:fldChar w:fldCharType="separate"/>
        </w:r>
        <w:r w:rsidRPr="00B57B1E">
          <w:rPr>
            <w:rFonts w:ascii="Times New Roman" w:hAnsi="Times New Roman" w:cs="Times New Roman"/>
            <w:webHidden/>
          </w:rPr>
          <w:t>2-2</w:t>
        </w:r>
        <w:r w:rsidRPr="00B57B1E">
          <w:rPr>
            <w:rFonts w:ascii="Times New Roman" w:hAnsi="Times New Roman" w:cs="Times New Roman"/>
            <w:webHidden/>
          </w:rPr>
          <w:fldChar w:fldCharType="end"/>
        </w:r>
      </w:hyperlink>
    </w:p>
    <w:p w:rsidR="00735BBC" w:rsidRPr="00B57B1E" w14:paraId="7B242C9E" w14:textId="777164E1">
      <w:pPr>
        <w:pStyle w:val="TOC2"/>
        <w:rPr>
          <w:rFonts w:ascii="Times New Roman" w:hAnsi="Times New Roman" w:eastAsiaTheme="minorEastAsia" w:cs="Times New Roman"/>
          <w:kern w:val="2"/>
          <w:sz w:val="24"/>
          <w:szCs w:val="24"/>
          <w14:ligatures w14:val="standardContextual"/>
        </w:rPr>
      </w:pPr>
      <w:hyperlink w:anchor="_Toc184299511" w:history="1">
        <w:r w:rsidRPr="00B57B1E">
          <w:rPr>
            <w:rStyle w:val="Hyperlink"/>
            <w:rFonts w:ascii="Times New Roman" w:hAnsi="Times New Roman" w:cs="Times New Roman"/>
          </w:rPr>
          <w:t>2.3</w:t>
        </w:r>
        <w:r w:rsidRPr="00B57B1E">
          <w:rPr>
            <w:rFonts w:ascii="Times New Roman" w:hAnsi="Times New Roman" w:eastAsiaTheme="minorEastAsia" w:cs="Times New Roman"/>
            <w:kern w:val="2"/>
            <w:sz w:val="24"/>
            <w:szCs w:val="24"/>
            <w14:ligatures w14:val="standardContextual"/>
          </w:rPr>
          <w:tab/>
        </w:r>
        <w:r w:rsidRPr="00B57B1E">
          <w:rPr>
            <w:rStyle w:val="Hyperlink"/>
            <w:rFonts w:ascii="Times New Roman" w:hAnsi="Times New Roman" w:cs="Times New Roman"/>
          </w:rPr>
          <w:t>Justification for Risk Management Action for PV29</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_Toc184299511 \h </w:instrText>
        </w:r>
        <w:r w:rsidRPr="00B57B1E">
          <w:rPr>
            <w:rFonts w:ascii="Times New Roman" w:hAnsi="Times New Roman" w:cs="Times New Roman"/>
            <w:webHidden/>
          </w:rPr>
          <w:fldChar w:fldCharType="separate"/>
        </w:r>
        <w:r w:rsidRPr="00B57B1E">
          <w:rPr>
            <w:rFonts w:ascii="Times New Roman" w:hAnsi="Times New Roman" w:cs="Times New Roman"/>
            <w:webHidden/>
          </w:rPr>
          <w:t>2-2</w:t>
        </w:r>
        <w:r w:rsidRPr="00B57B1E">
          <w:rPr>
            <w:rFonts w:ascii="Times New Roman" w:hAnsi="Times New Roman" w:cs="Times New Roman"/>
            <w:webHidden/>
          </w:rPr>
          <w:fldChar w:fldCharType="end"/>
        </w:r>
      </w:hyperlink>
    </w:p>
    <w:p w:rsidR="00735BBC" w:rsidRPr="00B57B1E" w14:paraId="35D0A5A1" w14:textId="56BA39F0">
      <w:pPr>
        <w:pStyle w:val="TOC1"/>
        <w:rPr>
          <w:rFonts w:ascii="Times New Roman" w:hAnsi="Times New Roman" w:eastAsiaTheme="minorEastAsia" w:cs="Times New Roman"/>
          <w:b w:val="0"/>
          <w:kern w:val="2"/>
          <w:sz w:val="24"/>
          <w14:ligatures w14:val="standardContextual"/>
        </w:rPr>
      </w:pPr>
      <w:hyperlink w:anchor="_Toc184299512" w:history="1">
        <w:r w:rsidRPr="00B57B1E">
          <w:rPr>
            <w:rStyle w:val="Hyperlink"/>
            <w:rFonts w:ascii="Times New Roman" w:hAnsi="Times New Roman" w:cs="Times New Roman"/>
          </w:rPr>
          <w:t>3.</w:t>
        </w:r>
        <w:r w:rsidRPr="00B57B1E">
          <w:rPr>
            <w:rFonts w:ascii="Times New Roman" w:hAnsi="Times New Roman" w:eastAsiaTheme="minorEastAsia" w:cs="Times New Roman"/>
            <w:b w:val="0"/>
            <w:kern w:val="2"/>
            <w:sz w:val="24"/>
            <w14:ligatures w14:val="standardContextual"/>
          </w:rPr>
          <w:tab/>
        </w:r>
        <w:r w:rsidRPr="00B57B1E">
          <w:rPr>
            <w:rStyle w:val="Hyperlink"/>
            <w:rFonts w:ascii="Times New Roman" w:hAnsi="Times New Roman" w:cs="Times New Roman"/>
          </w:rPr>
          <w:t>Profile and Affected Industries and Baseline Analysis</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_Toc184299512 \h </w:instrText>
        </w:r>
        <w:r w:rsidRPr="00B57B1E">
          <w:rPr>
            <w:rFonts w:ascii="Times New Roman" w:hAnsi="Times New Roman" w:cs="Times New Roman"/>
            <w:webHidden/>
          </w:rPr>
          <w:fldChar w:fldCharType="separate"/>
        </w:r>
        <w:r w:rsidRPr="00B57B1E">
          <w:rPr>
            <w:rFonts w:ascii="Times New Roman" w:hAnsi="Times New Roman" w:cs="Times New Roman"/>
            <w:webHidden/>
          </w:rPr>
          <w:t>3-1</w:t>
        </w:r>
        <w:r w:rsidRPr="00B57B1E">
          <w:rPr>
            <w:rFonts w:ascii="Times New Roman" w:hAnsi="Times New Roman" w:cs="Times New Roman"/>
            <w:webHidden/>
          </w:rPr>
          <w:fldChar w:fldCharType="end"/>
        </w:r>
      </w:hyperlink>
    </w:p>
    <w:p w:rsidR="00735BBC" w:rsidRPr="00B57B1E" w14:paraId="206EF1A0" w14:textId="6F639631">
      <w:pPr>
        <w:pStyle w:val="TOC2"/>
        <w:rPr>
          <w:rFonts w:ascii="Times New Roman" w:hAnsi="Times New Roman" w:eastAsiaTheme="minorEastAsia" w:cs="Times New Roman"/>
          <w:kern w:val="2"/>
          <w:sz w:val="24"/>
          <w:szCs w:val="24"/>
          <w14:ligatures w14:val="standardContextual"/>
        </w:rPr>
      </w:pPr>
      <w:hyperlink w:anchor="_Toc184299513" w:history="1">
        <w:r w:rsidRPr="00B57B1E">
          <w:rPr>
            <w:rStyle w:val="Hyperlink"/>
            <w:rFonts w:ascii="Times New Roman" w:hAnsi="Times New Roman" w:cs="Times New Roman"/>
          </w:rPr>
          <w:t>3.1</w:t>
        </w:r>
        <w:r w:rsidRPr="00B57B1E">
          <w:rPr>
            <w:rFonts w:ascii="Times New Roman" w:hAnsi="Times New Roman" w:eastAsiaTheme="minorEastAsia" w:cs="Times New Roman"/>
            <w:kern w:val="2"/>
            <w:sz w:val="24"/>
            <w:szCs w:val="24"/>
            <w14:ligatures w14:val="standardContextual"/>
          </w:rPr>
          <w:tab/>
        </w:r>
        <w:r w:rsidRPr="00B57B1E">
          <w:rPr>
            <w:rStyle w:val="Hyperlink"/>
            <w:rFonts w:ascii="Times New Roman" w:hAnsi="Times New Roman" w:cs="Times New Roman"/>
          </w:rPr>
          <w:t>Potentially Affected Industries and Entities</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_Toc184299513 \h </w:instrText>
        </w:r>
        <w:r w:rsidRPr="00B57B1E">
          <w:rPr>
            <w:rFonts w:ascii="Times New Roman" w:hAnsi="Times New Roman" w:cs="Times New Roman"/>
            <w:webHidden/>
          </w:rPr>
          <w:fldChar w:fldCharType="separate"/>
        </w:r>
        <w:r w:rsidRPr="00B57B1E">
          <w:rPr>
            <w:rFonts w:ascii="Times New Roman" w:hAnsi="Times New Roman" w:cs="Times New Roman"/>
            <w:webHidden/>
          </w:rPr>
          <w:t>3-1</w:t>
        </w:r>
        <w:r w:rsidRPr="00B57B1E">
          <w:rPr>
            <w:rFonts w:ascii="Times New Roman" w:hAnsi="Times New Roman" w:cs="Times New Roman"/>
            <w:webHidden/>
          </w:rPr>
          <w:fldChar w:fldCharType="end"/>
        </w:r>
      </w:hyperlink>
    </w:p>
    <w:p w:rsidR="00735BBC" w:rsidRPr="00B57B1E" w14:paraId="5B383C53" w14:textId="482109AD">
      <w:pPr>
        <w:pStyle w:val="TOC2"/>
        <w:rPr>
          <w:rFonts w:ascii="Times New Roman" w:hAnsi="Times New Roman" w:eastAsiaTheme="minorEastAsia" w:cs="Times New Roman"/>
          <w:kern w:val="2"/>
          <w:sz w:val="24"/>
          <w:szCs w:val="24"/>
          <w14:ligatures w14:val="standardContextual"/>
        </w:rPr>
      </w:pPr>
      <w:hyperlink w:anchor="_Toc184299514" w:history="1">
        <w:r w:rsidRPr="00B57B1E">
          <w:rPr>
            <w:rStyle w:val="Hyperlink"/>
            <w:rFonts w:ascii="Times New Roman" w:hAnsi="Times New Roman" w:cs="Times New Roman"/>
          </w:rPr>
          <w:t>3.2</w:t>
        </w:r>
        <w:r w:rsidRPr="00B57B1E">
          <w:rPr>
            <w:rFonts w:ascii="Times New Roman" w:hAnsi="Times New Roman" w:eastAsiaTheme="minorEastAsia" w:cs="Times New Roman"/>
            <w:kern w:val="2"/>
            <w:sz w:val="24"/>
            <w:szCs w:val="24"/>
            <w14:ligatures w14:val="standardContextual"/>
          </w:rPr>
          <w:tab/>
        </w:r>
        <w:r w:rsidRPr="00B57B1E">
          <w:rPr>
            <w:rStyle w:val="Hyperlink"/>
            <w:rFonts w:ascii="Times New Roman" w:hAnsi="Times New Roman" w:cs="Times New Roman"/>
          </w:rPr>
          <w:t>Worker Exposure to Regulated PV29</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_Toc184299514 \h </w:instrText>
        </w:r>
        <w:r w:rsidRPr="00B57B1E">
          <w:rPr>
            <w:rFonts w:ascii="Times New Roman" w:hAnsi="Times New Roman" w:cs="Times New Roman"/>
            <w:webHidden/>
          </w:rPr>
          <w:fldChar w:fldCharType="separate"/>
        </w:r>
        <w:r w:rsidRPr="00B57B1E">
          <w:rPr>
            <w:rFonts w:ascii="Times New Roman" w:hAnsi="Times New Roman" w:cs="Times New Roman"/>
            <w:webHidden/>
          </w:rPr>
          <w:t>3-9</w:t>
        </w:r>
        <w:r w:rsidRPr="00B57B1E">
          <w:rPr>
            <w:rFonts w:ascii="Times New Roman" w:hAnsi="Times New Roman" w:cs="Times New Roman"/>
            <w:webHidden/>
          </w:rPr>
          <w:fldChar w:fldCharType="end"/>
        </w:r>
      </w:hyperlink>
    </w:p>
    <w:p w:rsidR="00735BBC" w:rsidRPr="00B57B1E" w14:paraId="176F14A5" w14:textId="35B22A17">
      <w:pPr>
        <w:pStyle w:val="TOC1"/>
        <w:rPr>
          <w:rFonts w:ascii="Times New Roman" w:hAnsi="Times New Roman" w:eastAsiaTheme="minorEastAsia" w:cs="Times New Roman"/>
          <w:b w:val="0"/>
          <w:kern w:val="2"/>
          <w:sz w:val="24"/>
          <w14:ligatures w14:val="standardContextual"/>
        </w:rPr>
      </w:pPr>
      <w:hyperlink w:anchor="_Toc184299515" w:history="1">
        <w:r w:rsidRPr="00B57B1E">
          <w:rPr>
            <w:rStyle w:val="Hyperlink"/>
            <w:rFonts w:ascii="Times New Roman" w:hAnsi="Times New Roman" w:cs="Times New Roman"/>
          </w:rPr>
          <w:t>4.</w:t>
        </w:r>
        <w:r w:rsidRPr="00B57B1E">
          <w:rPr>
            <w:rFonts w:ascii="Times New Roman" w:hAnsi="Times New Roman" w:eastAsiaTheme="minorEastAsia" w:cs="Times New Roman"/>
            <w:b w:val="0"/>
            <w:kern w:val="2"/>
            <w:sz w:val="24"/>
            <w14:ligatures w14:val="standardContextual"/>
          </w:rPr>
          <w:tab/>
        </w:r>
        <w:r w:rsidRPr="00B57B1E">
          <w:rPr>
            <w:rStyle w:val="Hyperlink"/>
            <w:rFonts w:ascii="Times New Roman" w:hAnsi="Times New Roman" w:cs="Times New Roman"/>
          </w:rPr>
          <w:t>Cost Analysis</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_Toc184299515 \h </w:instrText>
        </w:r>
        <w:r w:rsidRPr="00B57B1E">
          <w:rPr>
            <w:rFonts w:ascii="Times New Roman" w:hAnsi="Times New Roman" w:cs="Times New Roman"/>
            <w:webHidden/>
          </w:rPr>
          <w:fldChar w:fldCharType="separate"/>
        </w:r>
        <w:r w:rsidRPr="00B57B1E">
          <w:rPr>
            <w:rFonts w:ascii="Times New Roman" w:hAnsi="Times New Roman" w:cs="Times New Roman"/>
            <w:webHidden/>
          </w:rPr>
          <w:t>4-1</w:t>
        </w:r>
        <w:r w:rsidRPr="00B57B1E">
          <w:rPr>
            <w:rFonts w:ascii="Times New Roman" w:hAnsi="Times New Roman" w:cs="Times New Roman"/>
            <w:webHidden/>
          </w:rPr>
          <w:fldChar w:fldCharType="end"/>
        </w:r>
      </w:hyperlink>
    </w:p>
    <w:p w:rsidR="00735BBC" w:rsidRPr="00B57B1E" w14:paraId="1B77C547" w14:textId="17AAB121">
      <w:pPr>
        <w:pStyle w:val="TOC2"/>
        <w:rPr>
          <w:rFonts w:ascii="Times New Roman" w:hAnsi="Times New Roman" w:eastAsiaTheme="minorEastAsia" w:cs="Times New Roman"/>
          <w:kern w:val="2"/>
          <w:sz w:val="24"/>
          <w:szCs w:val="24"/>
          <w14:ligatures w14:val="standardContextual"/>
        </w:rPr>
      </w:pPr>
      <w:hyperlink w:anchor="_Toc184299516" w:history="1">
        <w:r w:rsidRPr="00B57B1E">
          <w:rPr>
            <w:rStyle w:val="Hyperlink"/>
            <w:rFonts w:ascii="Times New Roman" w:hAnsi="Times New Roman" w:cs="Times New Roman"/>
          </w:rPr>
          <w:t>4.1</w:t>
        </w:r>
        <w:r w:rsidRPr="00B57B1E">
          <w:rPr>
            <w:rFonts w:ascii="Times New Roman" w:hAnsi="Times New Roman" w:eastAsiaTheme="minorEastAsia" w:cs="Times New Roman"/>
            <w:kern w:val="2"/>
            <w:sz w:val="24"/>
            <w:szCs w:val="24"/>
            <w14:ligatures w14:val="standardContextual"/>
          </w:rPr>
          <w:tab/>
        </w:r>
        <w:r w:rsidRPr="00B57B1E">
          <w:rPr>
            <w:rStyle w:val="Hyperlink"/>
            <w:rFonts w:ascii="Times New Roman" w:hAnsi="Times New Roman" w:cs="Times New Roman"/>
          </w:rPr>
          <w:t>Method and assumptions</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_Toc184299516 \h </w:instrText>
        </w:r>
        <w:r w:rsidRPr="00B57B1E">
          <w:rPr>
            <w:rFonts w:ascii="Times New Roman" w:hAnsi="Times New Roman" w:cs="Times New Roman"/>
            <w:webHidden/>
          </w:rPr>
          <w:fldChar w:fldCharType="separate"/>
        </w:r>
        <w:r w:rsidRPr="00B57B1E">
          <w:rPr>
            <w:rFonts w:ascii="Times New Roman" w:hAnsi="Times New Roman" w:cs="Times New Roman"/>
            <w:webHidden/>
          </w:rPr>
          <w:t>4-1</w:t>
        </w:r>
        <w:r w:rsidRPr="00B57B1E">
          <w:rPr>
            <w:rFonts w:ascii="Times New Roman" w:hAnsi="Times New Roman" w:cs="Times New Roman"/>
            <w:webHidden/>
          </w:rPr>
          <w:fldChar w:fldCharType="end"/>
        </w:r>
      </w:hyperlink>
    </w:p>
    <w:p w:rsidR="00735BBC" w:rsidRPr="00B57B1E" w14:paraId="5CD7E545" w14:textId="65372341">
      <w:pPr>
        <w:pStyle w:val="TOC2"/>
        <w:rPr>
          <w:rFonts w:ascii="Times New Roman" w:hAnsi="Times New Roman" w:eastAsiaTheme="minorEastAsia" w:cs="Times New Roman"/>
          <w:kern w:val="2"/>
          <w:sz w:val="24"/>
          <w:szCs w:val="24"/>
          <w14:ligatures w14:val="standardContextual"/>
        </w:rPr>
      </w:pPr>
      <w:hyperlink w:anchor="_Toc184299517" w:history="1">
        <w:r w:rsidRPr="00B57B1E">
          <w:rPr>
            <w:rStyle w:val="Hyperlink"/>
            <w:rFonts w:ascii="Times New Roman" w:hAnsi="Times New Roman" w:cs="Times New Roman"/>
          </w:rPr>
          <w:t>4.2</w:t>
        </w:r>
        <w:r w:rsidRPr="00B57B1E">
          <w:rPr>
            <w:rFonts w:ascii="Times New Roman" w:hAnsi="Times New Roman" w:eastAsiaTheme="minorEastAsia" w:cs="Times New Roman"/>
            <w:kern w:val="2"/>
            <w:sz w:val="24"/>
            <w:szCs w:val="24"/>
            <w14:ligatures w14:val="standardContextual"/>
          </w:rPr>
          <w:tab/>
        </w:r>
        <w:r w:rsidRPr="00B57B1E">
          <w:rPr>
            <w:rStyle w:val="Hyperlink"/>
            <w:rFonts w:ascii="Times New Roman" w:hAnsi="Times New Roman" w:cs="Times New Roman"/>
          </w:rPr>
          <w:t>Rule Familiarization Costs</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_Toc184299517 \h </w:instrText>
        </w:r>
        <w:r w:rsidRPr="00B57B1E">
          <w:rPr>
            <w:rFonts w:ascii="Times New Roman" w:hAnsi="Times New Roman" w:cs="Times New Roman"/>
            <w:webHidden/>
          </w:rPr>
          <w:fldChar w:fldCharType="separate"/>
        </w:r>
        <w:r w:rsidRPr="00B57B1E">
          <w:rPr>
            <w:rFonts w:ascii="Times New Roman" w:hAnsi="Times New Roman" w:cs="Times New Roman"/>
            <w:webHidden/>
          </w:rPr>
          <w:t>4-2</w:t>
        </w:r>
        <w:r w:rsidRPr="00B57B1E">
          <w:rPr>
            <w:rFonts w:ascii="Times New Roman" w:hAnsi="Times New Roman" w:cs="Times New Roman"/>
            <w:webHidden/>
          </w:rPr>
          <w:fldChar w:fldCharType="end"/>
        </w:r>
      </w:hyperlink>
    </w:p>
    <w:p w:rsidR="00735BBC" w:rsidRPr="00B57B1E" w14:paraId="618375E9" w14:textId="483908B0">
      <w:pPr>
        <w:pStyle w:val="TOC2"/>
        <w:rPr>
          <w:rFonts w:ascii="Times New Roman" w:hAnsi="Times New Roman" w:eastAsiaTheme="minorEastAsia" w:cs="Times New Roman"/>
          <w:kern w:val="2"/>
          <w:sz w:val="24"/>
          <w:szCs w:val="24"/>
          <w14:ligatures w14:val="standardContextual"/>
        </w:rPr>
      </w:pPr>
      <w:hyperlink w:anchor="_Toc184299518" w:history="1">
        <w:r w:rsidRPr="00B57B1E">
          <w:rPr>
            <w:rStyle w:val="Hyperlink"/>
            <w:rFonts w:ascii="Times New Roman" w:hAnsi="Times New Roman" w:cs="Times New Roman"/>
          </w:rPr>
          <w:t>4.3</w:t>
        </w:r>
        <w:r w:rsidRPr="00B57B1E">
          <w:rPr>
            <w:rFonts w:ascii="Times New Roman" w:hAnsi="Times New Roman" w:eastAsiaTheme="minorEastAsia" w:cs="Times New Roman"/>
            <w:kern w:val="2"/>
            <w:sz w:val="24"/>
            <w:szCs w:val="24"/>
            <w14:ligatures w14:val="standardContextual"/>
          </w:rPr>
          <w:tab/>
        </w:r>
        <w:r w:rsidRPr="00B57B1E">
          <w:rPr>
            <w:rStyle w:val="Hyperlink"/>
            <w:rFonts w:ascii="Times New Roman" w:hAnsi="Times New Roman" w:cs="Times New Roman"/>
          </w:rPr>
          <w:t>Compliance Costs</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_Toc184299518 \h </w:instrText>
        </w:r>
        <w:r w:rsidRPr="00B57B1E">
          <w:rPr>
            <w:rFonts w:ascii="Times New Roman" w:hAnsi="Times New Roman" w:cs="Times New Roman"/>
            <w:webHidden/>
          </w:rPr>
          <w:fldChar w:fldCharType="separate"/>
        </w:r>
        <w:r w:rsidRPr="00B57B1E">
          <w:rPr>
            <w:rFonts w:ascii="Times New Roman" w:hAnsi="Times New Roman" w:cs="Times New Roman"/>
            <w:webHidden/>
          </w:rPr>
          <w:t>4-2</w:t>
        </w:r>
        <w:r w:rsidRPr="00B57B1E">
          <w:rPr>
            <w:rFonts w:ascii="Times New Roman" w:hAnsi="Times New Roman" w:cs="Times New Roman"/>
            <w:webHidden/>
          </w:rPr>
          <w:fldChar w:fldCharType="end"/>
        </w:r>
      </w:hyperlink>
    </w:p>
    <w:p w:rsidR="00735BBC" w:rsidRPr="00B57B1E" w14:paraId="0B4F506D" w14:textId="6089F9A9">
      <w:pPr>
        <w:pStyle w:val="TOC2"/>
        <w:rPr>
          <w:rFonts w:ascii="Times New Roman" w:hAnsi="Times New Roman" w:eastAsiaTheme="minorEastAsia" w:cs="Times New Roman"/>
          <w:kern w:val="2"/>
          <w:sz w:val="24"/>
          <w:szCs w:val="24"/>
          <w14:ligatures w14:val="standardContextual"/>
        </w:rPr>
      </w:pPr>
      <w:hyperlink w:anchor="_Toc184299519" w:history="1">
        <w:r w:rsidRPr="00B57B1E">
          <w:rPr>
            <w:rStyle w:val="Hyperlink"/>
            <w:rFonts w:ascii="Times New Roman" w:hAnsi="Times New Roman" w:cs="Times New Roman"/>
          </w:rPr>
          <w:t>4.4</w:t>
        </w:r>
        <w:r w:rsidRPr="00B57B1E">
          <w:rPr>
            <w:rFonts w:ascii="Times New Roman" w:hAnsi="Times New Roman" w:eastAsiaTheme="minorEastAsia" w:cs="Times New Roman"/>
            <w:kern w:val="2"/>
            <w:sz w:val="24"/>
            <w:szCs w:val="24"/>
            <w14:ligatures w14:val="standardContextual"/>
          </w:rPr>
          <w:tab/>
        </w:r>
        <w:r w:rsidRPr="00B57B1E">
          <w:rPr>
            <w:rStyle w:val="Hyperlink"/>
            <w:rFonts w:ascii="Times New Roman" w:hAnsi="Times New Roman" w:cs="Times New Roman"/>
          </w:rPr>
          <w:t>Total Industry Costs</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_Toc184299519 \h </w:instrText>
        </w:r>
        <w:r w:rsidRPr="00B57B1E">
          <w:rPr>
            <w:rFonts w:ascii="Times New Roman" w:hAnsi="Times New Roman" w:cs="Times New Roman"/>
            <w:webHidden/>
          </w:rPr>
          <w:fldChar w:fldCharType="separate"/>
        </w:r>
        <w:r w:rsidRPr="00B57B1E">
          <w:rPr>
            <w:rFonts w:ascii="Times New Roman" w:hAnsi="Times New Roman" w:cs="Times New Roman"/>
            <w:webHidden/>
          </w:rPr>
          <w:t>4-17</w:t>
        </w:r>
        <w:r w:rsidRPr="00B57B1E">
          <w:rPr>
            <w:rFonts w:ascii="Times New Roman" w:hAnsi="Times New Roman" w:cs="Times New Roman"/>
            <w:webHidden/>
          </w:rPr>
          <w:fldChar w:fldCharType="end"/>
        </w:r>
      </w:hyperlink>
    </w:p>
    <w:p w:rsidR="00735BBC" w:rsidRPr="00B57B1E" w14:paraId="7CCD24D5" w14:textId="0A4D9BAF">
      <w:pPr>
        <w:pStyle w:val="TOC2"/>
        <w:rPr>
          <w:rFonts w:ascii="Times New Roman" w:hAnsi="Times New Roman" w:eastAsiaTheme="minorEastAsia" w:cs="Times New Roman"/>
          <w:kern w:val="2"/>
          <w:sz w:val="24"/>
          <w:szCs w:val="24"/>
          <w14:ligatures w14:val="standardContextual"/>
        </w:rPr>
      </w:pPr>
      <w:hyperlink w:anchor="_Toc184299520" w:history="1">
        <w:r w:rsidRPr="00B57B1E">
          <w:rPr>
            <w:rStyle w:val="Hyperlink"/>
            <w:rFonts w:ascii="Times New Roman" w:hAnsi="Times New Roman" w:cs="Times New Roman"/>
          </w:rPr>
          <w:t>4.5</w:t>
        </w:r>
        <w:r w:rsidRPr="00B57B1E">
          <w:rPr>
            <w:rFonts w:ascii="Times New Roman" w:hAnsi="Times New Roman" w:eastAsiaTheme="minorEastAsia" w:cs="Times New Roman"/>
            <w:kern w:val="2"/>
            <w:sz w:val="24"/>
            <w:szCs w:val="24"/>
            <w14:ligatures w14:val="standardContextual"/>
          </w:rPr>
          <w:tab/>
        </w:r>
        <w:r w:rsidRPr="00B57B1E">
          <w:rPr>
            <w:rStyle w:val="Hyperlink"/>
            <w:rFonts w:ascii="Times New Roman" w:hAnsi="Times New Roman" w:cs="Times New Roman"/>
          </w:rPr>
          <w:t>Unquantified Costs and Uncertainties</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_Toc184299520 \h </w:instrText>
        </w:r>
        <w:r w:rsidRPr="00B57B1E">
          <w:rPr>
            <w:rFonts w:ascii="Times New Roman" w:hAnsi="Times New Roman" w:cs="Times New Roman"/>
            <w:webHidden/>
          </w:rPr>
          <w:fldChar w:fldCharType="separate"/>
        </w:r>
        <w:r w:rsidRPr="00B57B1E">
          <w:rPr>
            <w:rFonts w:ascii="Times New Roman" w:hAnsi="Times New Roman" w:cs="Times New Roman"/>
            <w:webHidden/>
          </w:rPr>
          <w:t>4-20</w:t>
        </w:r>
        <w:r w:rsidRPr="00B57B1E">
          <w:rPr>
            <w:rFonts w:ascii="Times New Roman" w:hAnsi="Times New Roman" w:cs="Times New Roman"/>
            <w:webHidden/>
          </w:rPr>
          <w:fldChar w:fldCharType="end"/>
        </w:r>
      </w:hyperlink>
    </w:p>
    <w:p w:rsidR="00735BBC" w:rsidRPr="00B57B1E" w14:paraId="650B0B45" w14:textId="19FA8778">
      <w:pPr>
        <w:pStyle w:val="TOC1"/>
        <w:rPr>
          <w:rFonts w:ascii="Times New Roman" w:hAnsi="Times New Roman" w:eastAsiaTheme="minorEastAsia" w:cs="Times New Roman"/>
          <w:b w:val="0"/>
          <w:kern w:val="2"/>
          <w:sz w:val="24"/>
          <w14:ligatures w14:val="standardContextual"/>
        </w:rPr>
      </w:pPr>
      <w:hyperlink w:anchor="_Toc184299521" w:history="1">
        <w:r w:rsidRPr="00B57B1E">
          <w:rPr>
            <w:rStyle w:val="Hyperlink"/>
            <w:rFonts w:ascii="Times New Roman" w:hAnsi="Times New Roman" w:cs="Times New Roman"/>
          </w:rPr>
          <w:t>5.</w:t>
        </w:r>
        <w:r w:rsidRPr="00B57B1E">
          <w:rPr>
            <w:rFonts w:ascii="Times New Roman" w:hAnsi="Times New Roman" w:eastAsiaTheme="minorEastAsia" w:cs="Times New Roman"/>
            <w:b w:val="0"/>
            <w:kern w:val="2"/>
            <w:sz w:val="24"/>
            <w14:ligatures w14:val="standardContextual"/>
          </w:rPr>
          <w:tab/>
        </w:r>
        <w:r w:rsidRPr="00B57B1E">
          <w:rPr>
            <w:rStyle w:val="Hyperlink"/>
            <w:rFonts w:ascii="Times New Roman" w:hAnsi="Times New Roman" w:cs="Times New Roman"/>
          </w:rPr>
          <w:t>Benefits Analysis</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_Toc184299521 \h </w:instrText>
        </w:r>
        <w:r w:rsidRPr="00B57B1E">
          <w:rPr>
            <w:rFonts w:ascii="Times New Roman" w:hAnsi="Times New Roman" w:cs="Times New Roman"/>
            <w:webHidden/>
          </w:rPr>
          <w:fldChar w:fldCharType="separate"/>
        </w:r>
        <w:r w:rsidRPr="00B57B1E">
          <w:rPr>
            <w:rFonts w:ascii="Times New Roman" w:hAnsi="Times New Roman" w:cs="Times New Roman"/>
            <w:webHidden/>
          </w:rPr>
          <w:t>5-1</w:t>
        </w:r>
        <w:r w:rsidRPr="00B57B1E">
          <w:rPr>
            <w:rFonts w:ascii="Times New Roman" w:hAnsi="Times New Roman" w:cs="Times New Roman"/>
            <w:webHidden/>
          </w:rPr>
          <w:fldChar w:fldCharType="end"/>
        </w:r>
      </w:hyperlink>
    </w:p>
    <w:p w:rsidR="00735BBC" w:rsidRPr="00B57B1E" w14:paraId="73BC34B3" w14:textId="21518AEB">
      <w:pPr>
        <w:pStyle w:val="TOC2"/>
        <w:rPr>
          <w:rFonts w:ascii="Times New Roman" w:hAnsi="Times New Roman" w:eastAsiaTheme="minorEastAsia" w:cs="Times New Roman"/>
          <w:kern w:val="2"/>
          <w:sz w:val="24"/>
          <w:szCs w:val="24"/>
          <w14:ligatures w14:val="standardContextual"/>
        </w:rPr>
      </w:pPr>
      <w:hyperlink w:anchor="_Toc184299522" w:history="1">
        <w:r w:rsidRPr="00B57B1E">
          <w:rPr>
            <w:rStyle w:val="Hyperlink"/>
            <w:rFonts w:ascii="Times New Roman" w:hAnsi="Times New Roman" w:cs="Times New Roman"/>
          </w:rPr>
          <w:t>5.1</w:t>
        </w:r>
        <w:r w:rsidRPr="00B57B1E">
          <w:rPr>
            <w:rFonts w:ascii="Times New Roman" w:hAnsi="Times New Roman" w:eastAsiaTheme="minorEastAsia" w:cs="Times New Roman"/>
            <w:kern w:val="2"/>
            <w:sz w:val="24"/>
            <w:szCs w:val="24"/>
            <w14:ligatures w14:val="standardContextual"/>
          </w:rPr>
          <w:tab/>
        </w:r>
        <w:r w:rsidRPr="00B57B1E">
          <w:rPr>
            <w:rStyle w:val="Hyperlink"/>
            <w:rFonts w:ascii="Times New Roman" w:hAnsi="Times New Roman" w:cs="Times New Roman"/>
          </w:rPr>
          <w:t>Number of Exposed Workers and Exposure Levels According to PPE Use</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_Toc184299522 \h </w:instrText>
        </w:r>
        <w:r w:rsidRPr="00B57B1E">
          <w:rPr>
            <w:rFonts w:ascii="Times New Roman" w:hAnsi="Times New Roman" w:cs="Times New Roman"/>
            <w:webHidden/>
          </w:rPr>
          <w:fldChar w:fldCharType="separate"/>
        </w:r>
        <w:r w:rsidRPr="00B57B1E">
          <w:rPr>
            <w:rFonts w:ascii="Times New Roman" w:hAnsi="Times New Roman" w:cs="Times New Roman"/>
            <w:webHidden/>
          </w:rPr>
          <w:t>5-2</w:t>
        </w:r>
        <w:r w:rsidRPr="00B57B1E">
          <w:rPr>
            <w:rFonts w:ascii="Times New Roman" w:hAnsi="Times New Roman" w:cs="Times New Roman"/>
            <w:webHidden/>
          </w:rPr>
          <w:fldChar w:fldCharType="end"/>
        </w:r>
      </w:hyperlink>
    </w:p>
    <w:p w:rsidR="00735BBC" w:rsidRPr="00B57B1E" w14:paraId="163EA0AE" w14:textId="3947C6BF">
      <w:pPr>
        <w:pStyle w:val="TOC2"/>
        <w:rPr>
          <w:rFonts w:ascii="Times New Roman" w:hAnsi="Times New Roman" w:eastAsiaTheme="minorEastAsia" w:cs="Times New Roman"/>
          <w:kern w:val="2"/>
          <w:sz w:val="24"/>
          <w:szCs w:val="24"/>
          <w14:ligatures w14:val="standardContextual"/>
        </w:rPr>
      </w:pPr>
      <w:hyperlink w:anchor="_Toc184299523" w:history="1">
        <w:r w:rsidRPr="00B57B1E">
          <w:rPr>
            <w:rStyle w:val="Hyperlink"/>
            <w:rFonts w:ascii="Times New Roman" w:hAnsi="Times New Roman" w:cs="Times New Roman"/>
          </w:rPr>
          <w:t>5.2</w:t>
        </w:r>
        <w:r w:rsidRPr="00B57B1E">
          <w:rPr>
            <w:rFonts w:ascii="Times New Roman" w:hAnsi="Times New Roman" w:eastAsiaTheme="minorEastAsia" w:cs="Times New Roman"/>
            <w:kern w:val="2"/>
            <w:sz w:val="24"/>
            <w:szCs w:val="24"/>
            <w14:ligatures w14:val="standardContextual"/>
          </w:rPr>
          <w:tab/>
        </w:r>
        <w:r w:rsidRPr="00B57B1E">
          <w:rPr>
            <w:rStyle w:val="Hyperlink"/>
            <w:rFonts w:ascii="Times New Roman" w:hAnsi="Times New Roman" w:cs="Times New Roman"/>
          </w:rPr>
          <w:t>Available Studies to Support Benefits Analysis</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_Toc184299523 \h </w:instrText>
        </w:r>
        <w:r w:rsidRPr="00B57B1E">
          <w:rPr>
            <w:rFonts w:ascii="Times New Roman" w:hAnsi="Times New Roman" w:cs="Times New Roman"/>
            <w:webHidden/>
          </w:rPr>
          <w:fldChar w:fldCharType="separate"/>
        </w:r>
        <w:r w:rsidRPr="00B57B1E">
          <w:rPr>
            <w:rFonts w:ascii="Times New Roman" w:hAnsi="Times New Roman" w:cs="Times New Roman"/>
            <w:webHidden/>
          </w:rPr>
          <w:t>5-3</w:t>
        </w:r>
        <w:r w:rsidRPr="00B57B1E">
          <w:rPr>
            <w:rFonts w:ascii="Times New Roman" w:hAnsi="Times New Roman" w:cs="Times New Roman"/>
            <w:webHidden/>
          </w:rPr>
          <w:fldChar w:fldCharType="end"/>
        </w:r>
      </w:hyperlink>
    </w:p>
    <w:p w:rsidR="00735BBC" w:rsidRPr="00B57B1E" w14:paraId="7BA6EB2E" w14:textId="72A666C8">
      <w:pPr>
        <w:pStyle w:val="TOC2"/>
        <w:rPr>
          <w:rFonts w:ascii="Times New Roman" w:hAnsi="Times New Roman" w:eastAsiaTheme="minorEastAsia" w:cs="Times New Roman"/>
          <w:kern w:val="2"/>
          <w:sz w:val="24"/>
          <w:szCs w:val="24"/>
          <w14:ligatures w14:val="standardContextual"/>
        </w:rPr>
      </w:pPr>
      <w:hyperlink w:anchor="_Toc184299524" w:history="1">
        <w:r w:rsidRPr="00B57B1E">
          <w:rPr>
            <w:rStyle w:val="Hyperlink"/>
            <w:rFonts w:ascii="Times New Roman" w:hAnsi="Times New Roman" w:cs="Times New Roman"/>
          </w:rPr>
          <w:t>5.3</w:t>
        </w:r>
        <w:r w:rsidRPr="00B57B1E">
          <w:rPr>
            <w:rFonts w:ascii="Times New Roman" w:hAnsi="Times New Roman" w:eastAsiaTheme="minorEastAsia" w:cs="Times New Roman"/>
            <w:kern w:val="2"/>
            <w:sz w:val="24"/>
            <w:szCs w:val="24"/>
            <w14:ligatures w14:val="standardContextual"/>
          </w:rPr>
          <w:tab/>
        </w:r>
        <w:r w:rsidRPr="00B57B1E">
          <w:rPr>
            <w:rStyle w:val="Hyperlink"/>
            <w:rFonts w:ascii="Times New Roman" w:hAnsi="Times New Roman" w:cs="Times New Roman"/>
          </w:rPr>
          <w:t>Dose-Response Functions for Chronic Bronchitis from Regulated PV29 Exposure</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_Toc184299524 \h </w:instrText>
        </w:r>
        <w:r w:rsidRPr="00B57B1E">
          <w:rPr>
            <w:rFonts w:ascii="Times New Roman" w:hAnsi="Times New Roman" w:cs="Times New Roman"/>
            <w:webHidden/>
          </w:rPr>
          <w:fldChar w:fldCharType="separate"/>
        </w:r>
        <w:r w:rsidRPr="00B57B1E">
          <w:rPr>
            <w:rFonts w:ascii="Times New Roman" w:hAnsi="Times New Roman" w:cs="Times New Roman"/>
            <w:webHidden/>
          </w:rPr>
          <w:t>5-6</w:t>
        </w:r>
        <w:r w:rsidRPr="00B57B1E">
          <w:rPr>
            <w:rFonts w:ascii="Times New Roman" w:hAnsi="Times New Roman" w:cs="Times New Roman"/>
            <w:webHidden/>
          </w:rPr>
          <w:fldChar w:fldCharType="end"/>
        </w:r>
      </w:hyperlink>
    </w:p>
    <w:p w:rsidR="00735BBC" w:rsidRPr="00B57B1E" w14:paraId="4D9937D9" w14:textId="748AEF81">
      <w:pPr>
        <w:pStyle w:val="TOC2"/>
        <w:rPr>
          <w:rFonts w:ascii="Times New Roman" w:hAnsi="Times New Roman" w:eastAsiaTheme="minorEastAsia" w:cs="Times New Roman"/>
          <w:kern w:val="2"/>
          <w:sz w:val="24"/>
          <w:szCs w:val="24"/>
          <w14:ligatures w14:val="standardContextual"/>
        </w:rPr>
      </w:pPr>
      <w:hyperlink w:anchor="_Toc184299525" w:history="1">
        <w:r w:rsidRPr="00B57B1E">
          <w:rPr>
            <w:rStyle w:val="Hyperlink"/>
            <w:rFonts w:ascii="Times New Roman" w:hAnsi="Times New Roman" w:cs="Times New Roman"/>
          </w:rPr>
          <w:t>5.4</w:t>
        </w:r>
        <w:r w:rsidRPr="00B57B1E">
          <w:rPr>
            <w:rFonts w:ascii="Times New Roman" w:hAnsi="Times New Roman" w:eastAsiaTheme="minorEastAsia" w:cs="Times New Roman"/>
            <w:kern w:val="2"/>
            <w:sz w:val="24"/>
            <w:szCs w:val="24"/>
            <w14:ligatures w14:val="standardContextual"/>
          </w:rPr>
          <w:tab/>
        </w:r>
        <w:r w:rsidRPr="00B57B1E">
          <w:rPr>
            <w:rStyle w:val="Hyperlink"/>
            <w:rFonts w:ascii="Times New Roman" w:hAnsi="Times New Roman" w:cs="Times New Roman"/>
          </w:rPr>
          <w:t>Value of Avoided Cases of Chronic Bronchitis</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_Toc184299525 \h </w:instrText>
        </w:r>
        <w:r w:rsidRPr="00B57B1E">
          <w:rPr>
            <w:rFonts w:ascii="Times New Roman" w:hAnsi="Times New Roman" w:cs="Times New Roman"/>
            <w:webHidden/>
          </w:rPr>
          <w:fldChar w:fldCharType="separate"/>
        </w:r>
        <w:r w:rsidRPr="00B57B1E">
          <w:rPr>
            <w:rFonts w:ascii="Times New Roman" w:hAnsi="Times New Roman" w:cs="Times New Roman"/>
            <w:webHidden/>
          </w:rPr>
          <w:t>5-9</w:t>
        </w:r>
        <w:r w:rsidRPr="00B57B1E">
          <w:rPr>
            <w:rFonts w:ascii="Times New Roman" w:hAnsi="Times New Roman" w:cs="Times New Roman"/>
            <w:webHidden/>
          </w:rPr>
          <w:fldChar w:fldCharType="end"/>
        </w:r>
      </w:hyperlink>
    </w:p>
    <w:p w:rsidR="00735BBC" w:rsidRPr="00B57B1E" w14:paraId="0A006EA8" w14:textId="61C354DE">
      <w:pPr>
        <w:pStyle w:val="TOC2"/>
        <w:rPr>
          <w:rFonts w:ascii="Times New Roman" w:hAnsi="Times New Roman" w:eastAsiaTheme="minorEastAsia" w:cs="Times New Roman"/>
          <w:kern w:val="2"/>
          <w:sz w:val="24"/>
          <w:szCs w:val="24"/>
          <w14:ligatures w14:val="standardContextual"/>
        </w:rPr>
      </w:pPr>
      <w:hyperlink w:anchor="_Toc184299526" w:history="1">
        <w:r w:rsidRPr="00B57B1E">
          <w:rPr>
            <w:rStyle w:val="Hyperlink"/>
            <w:rFonts w:ascii="Times New Roman" w:hAnsi="Times New Roman" w:cs="Times New Roman"/>
          </w:rPr>
          <w:t>5.5</w:t>
        </w:r>
        <w:r w:rsidRPr="00B57B1E">
          <w:rPr>
            <w:rFonts w:ascii="Times New Roman" w:hAnsi="Times New Roman" w:eastAsiaTheme="minorEastAsia" w:cs="Times New Roman"/>
            <w:kern w:val="2"/>
            <w:sz w:val="24"/>
            <w:szCs w:val="24"/>
            <w14:ligatures w14:val="standardContextual"/>
          </w:rPr>
          <w:tab/>
        </w:r>
        <w:r w:rsidRPr="00B57B1E">
          <w:rPr>
            <w:rStyle w:val="Hyperlink"/>
            <w:rFonts w:ascii="Times New Roman" w:hAnsi="Times New Roman" w:cs="Times New Roman"/>
          </w:rPr>
          <w:t>Summary of Estimated Benefits</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_Toc184299526 \h </w:instrText>
        </w:r>
        <w:r w:rsidRPr="00B57B1E">
          <w:rPr>
            <w:rFonts w:ascii="Times New Roman" w:hAnsi="Times New Roman" w:cs="Times New Roman"/>
            <w:webHidden/>
          </w:rPr>
          <w:fldChar w:fldCharType="separate"/>
        </w:r>
        <w:r w:rsidRPr="00B57B1E">
          <w:rPr>
            <w:rFonts w:ascii="Times New Roman" w:hAnsi="Times New Roman" w:cs="Times New Roman"/>
            <w:webHidden/>
          </w:rPr>
          <w:t>5-9</w:t>
        </w:r>
        <w:r w:rsidRPr="00B57B1E">
          <w:rPr>
            <w:rFonts w:ascii="Times New Roman" w:hAnsi="Times New Roman" w:cs="Times New Roman"/>
            <w:webHidden/>
          </w:rPr>
          <w:fldChar w:fldCharType="end"/>
        </w:r>
      </w:hyperlink>
    </w:p>
    <w:p w:rsidR="00735BBC" w:rsidRPr="00B57B1E" w14:paraId="4DA1C8F2" w14:textId="1D86D2A2">
      <w:pPr>
        <w:pStyle w:val="TOC1"/>
        <w:rPr>
          <w:rFonts w:ascii="Times New Roman" w:hAnsi="Times New Roman" w:eastAsiaTheme="minorEastAsia" w:cs="Times New Roman"/>
          <w:b w:val="0"/>
          <w:kern w:val="2"/>
          <w:sz w:val="24"/>
          <w14:ligatures w14:val="standardContextual"/>
        </w:rPr>
      </w:pPr>
      <w:hyperlink w:anchor="_Toc184299527" w:history="1">
        <w:r w:rsidRPr="00B57B1E">
          <w:rPr>
            <w:rStyle w:val="Hyperlink"/>
            <w:rFonts w:ascii="Times New Roman" w:hAnsi="Times New Roman" w:cs="Times New Roman"/>
          </w:rPr>
          <w:t>6.</w:t>
        </w:r>
        <w:r w:rsidRPr="00B57B1E">
          <w:rPr>
            <w:rFonts w:ascii="Times New Roman" w:hAnsi="Times New Roman" w:eastAsiaTheme="minorEastAsia" w:cs="Times New Roman"/>
            <w:b w:val="0"/>
            <w:kern w:val="2"/>
            <w:sz w:val="24"/>
            <w14:ligatures w14:val="standardContextual"/>
          </w:rPr>
          <w:tab/>
        </w:r>
        <w:r w:rsidRPr="00B57B1E">
          <w:rPr>
            <w:rStyle w:val="Hyperlink"/>
            <w:rFonts w:ascii="Times New Roman" w:hAnsi="Times New Roman" w:cs="Times New Roman"/>
          </w:rPr>
          <w:t>Comparison of Costs and Benefits and Monetized Net Benefits</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_Toc184299527 \h </w:instrText>
        </w:r>
        <w:r w:rsidRPr="00B57B1E">
          <w:rPr>
            <w:rFonts w:ascii="Times New Roman" w:hAnsi="Times New Roman" w:cs="Times New Roman"/>
            <w:webHidden/>
          </w:rPr>
          <w:fldChar w:fldCharType="separate"/>
        </w:r>
        <w:r w:rsidRPr="00B57B1E">
          <w:rPr>
            <w:rFonts w:ascii="Times New Roman" w:hAnsi="Times New Roman" w:cs="Times New Roman"/>
            <w:webHidden/>
          </w:rPr>
          <w:t>6-1</w:t>
        </w:r>
        <w:r w:rsidRPr="00B57B1E">
          <w:rPr>
            <w:rFonts w:ascii="Times New Roman" w:hAnsi="Times New Roman" w:cs="Times New Roman"/>
            <w:webHidden/>
          </w:rPr>
          <w:fldChar w:fldCharType="end"/>
        </w:r>
      </w:hyperlink>
    </w:p>
    <w:p w:rsidR="00735BBC" w:rsidRPr="00B57B1E" w14:paraId="52A6C24E" w14:textId="19C06EA6">
      <w:pPr>
        <w:pStyle w:val="TOC1"/>
        <w:rPr>
          <w:rFonts w:ascii="Times New Roman" w:hAnsi="Times New Roman" w:eastAsiaTheme="minorEastAsia" w:cs="Times New Roman"/>
          <w:b w:val="0"/>
          <w:kern w:val="2"/>
          <w:sz w:val="24"/>
          <w14:ligatures w14:val="standardContextual"/>
        </w:rPr>
      </w:pPr>
      <w:hyperlink w:anchor="_Toc184299528" w:history="1">
        <w:r w:rsidRPr="00B57B1E">
          <w:rPr>
            <w:rStyle w:val="Hyperlink"/>
            <w:rFonts w:ascii="Times New Roman" w:hAnsi="Times New Roman" w:cs="Times New Roman"/>
          </w:rPr>
          <w:t>7.</w:t>
        </w:r>
        <w:r w:rsidRPr="00B57B1E">
          <w:rPr>
            <w:rFonts w:ascii="Times New Roman" w:hAnsi="Times New Roman" w:eastAsiaTheme="minorEastAsia" w:cs="Times New Roman"/>
            <w:b w:val="0"/>
            <w:kern w:val="2"/>
            <w:sz w:val="24"/>
            <w14:ligatures w14:val="standardContextual"/>
          </w:rPr>
          <w:tab/>
        </w:r>
        <w:r w:rsidRPr="00B57B1E">
          <w:rPr>
            <w:rStyle w:val="Hyperlink"/>
            <w:rFonts w:ascii="Times New Roman" w:hAnsi="Times New Roman" w:cs="Times New Roman"/>
          </w:rPr>
          <w:t>Economic Impact Analyses</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_Toc184299528 \h </w:instrText>
        </w:r>
        <w:r w:rsidRPr="00B57B1E">
          <w:rPr>
            <w:rFonts w:ascii="Times New Roman" w:hAnsi="Times New Roman" w:cs="Times New Roman"/>
            <w:webHidden/>
          </w:rPr>
          <w:fldChar w:fldCharType="separate"/>
        </w:r>
        <w:r w:rsidRPr="00B57B1E">
          <w:rPr>
            <w:rFonts w:ascii="Times New Roman" w:hAnsi="Times New Roman" w:cs="Times New Roman"/>
            <w:webHidden/>
          </w:rPr>
          <w:t>7-1</w:t>
        </w:r>
        <w:r w:rsidRPr="00B57B1E">
          <w:rPr>
            <w:rFonts w:ascii="Times New Roman" w:hAnsi="Times New Roman" w:cs="Times New Roman"/>
            <w:webHidden/>
          </w:rPr>
          <w:fldChar w:fldCharType="end"/>
        </w:r>
      </w:hyperlink>
    </w:p>
    <w:p w:rsidR="00735BBC" w:rsidRPr="00B57B1E" w14:paraId="627914BB" w14:textId="016E94ED">
      <w:pPr>
        <w:pStyle w:val="TOC2"/>
        <w:rPr>
          <w:rFonts w:ascii="Times New Roman" w:hAnsi="Times New Roman" w:eastAsiaTheme="minorEastAsia" w:cs="Times New Roman"/>
          <w:kern w:val="2"/>
          <w:sz w:val="24"/>
          <w:szCs w:val="24"/>
          <w14:ligatures w14:val="standardContextual"/>
        </w:rPr>
      </w:pPr>
      <w:hyperlink w:anchor="_Toc184299529" w:history="1">
        <w:r w:rsidRPr="00B57B1E">
          <w:rPr>
            <w:rStyle w:val="Hyperlink"/>
            <w:rFonts w:ascii="Times New Roman" w:hAnsi="Times New Roman" w:cs="Times New Roman"/>
          </w:rPr>
          <w:t>7.1</w:t>
        </w:r>
        <w:r w:rsidRPr="00B57B1E">
          <w:rPr>
            <w:rFonts w:ascii="Times New Roman" w:hAnsi="Times New Roman" w:eastAsiaTheme="minorEastAsia" w:cs="Times New Roman"/>
            <w:kern w:val="2"/>
            <w:sz w:val="24"/>
            <w:szCs w:val="24"/>
            <w14:ligatures w14:val="standardContextual"/>
          </w:rPr>
          <w:tab/>
        </w:r>
        <w:r w:rsidRPr="00B57B1E">
          <w:rPr>
            <w:rStyle w:val="Hyperlink"/>
            <w:rFonts w:ascii="Times New Roman" w:hAnsi="Times New Roman" w:cs="Times New Roman"/>
          </w:rPr>
          <w:t>Protection of Children from Environmental Health Risks and Safety Risks</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_Toc184299529 \h </w:instrText>
        </w:r>
        <w:r w:rsidRPr="00B57B1E">
          <w:rPr>
            <w:rFonts w:ascii="Times New Roman" w:hAnsi="Times New Roman" w:cs="Times New Roman"/>
            <w:webHidden/>
          </w:rPr>
          <w:fldChar w:fldCharType="separate"/>
        </w:r>
        <w:r w:rsidRPr="00B57B1E">
          <w:rPr>
            <w:rFonts w:ascii="Times New Roman" w:hAnsi="Times New Roman" w:cs="Times New Roman"/>
            <w:webHidden/>
          </w:rPr>
          <w:t>7-1</w:t>
        </w:r>
        <w:r w:rsidRPr="00B57B1E">
          <w:rPr>
            <w:rFonts w:ascii="Times New Roman" w:hAnsi="Times New Roman" w:cs="Times New Roman"/>
            <w:webHidden/>
          </w:rPr>
          <w:fldChar w:fldCharType="end"/>
        </w:r>
      </w:hyperlink>
    </w:p>
    <w:p w:rsidR="00735BBC" w:rsidRPr="00B57B1E" w14:paraId="5A1D4770" w14:textId="79F082D4">
      <w:pPr>
        <w:pStyle w:val="TOC2"/>
        <w:rPr>
          <w:rFonts w:ascii="Times New Roman" w:hAnsi="Times New Roman" w:eastAsiaTheme="minorEastAsia" w:cs="Times New Roman"/>
          <w:kern w:val="2"/>
          <w:sz w:val="24"/>
          <w:szCs w:val="24"/>
          <w14:ligatures w14:val="standardContextual"/>
        </w:rPr>
      </w:pPr>
      <w:hyperlink w:anchor="_Toc184299530" w:history="1">
        <w:r w:rsidRPr="00B57B1E">
          <w:rPr>
            <w:rStyle w:val="Hyperlink"/>
            <w:rFonts w:ascii="Times New Roman" w:hAnsi="Times New Roman" w:cs="Times New Roman"/>
          </w:rPr>
          <w:t>7.2</w:t>
        </w:r>
        <w:r w:rsidRPr="00B57B1E">
          <w:rPr>
            <w:rFonts w:ascii="Times New Roman" w:hAnsi="Times New Roman" w:eastAsiaTheme="minorEastAsia" w:cs="Times New Roman"/>
            <w:kern w:val="2"/>
            <w:sz w:val="24"/>
            <w:szCs w:val="24"/>
            <w14:ligatures w14:val="standardContextual"/>
          </w:rPr>
          <w:tab/>
        </w:r>
        <w:r w:rsidRPr="00B57B1E">
          <w:rPr>
            <w:rStyle w:val="Hyperlink"/>
            <w:rFonts w:ascii="Times New Roman" w:hAnsi="Times New Roman" w:cs="Times New Roman"/>
          </w:rPr>
          <w:t>Small Entity Impacts</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_Toc184299530 \h </w:instrText>
        </w:r>
        <w:r w:rsidRPr="00B57B1E">
          <w:rPr>
            <w:rFonts w:ascii="Times New Roman" w:hAnsi="Times New Roman" w:cs="Times New Roman"/>
            <w:webHidden/>
          </w:rPr>
          <w:fldChar w:fldCharType="separate"/>
        </w:r>
        <w:r w:rsidRPr="00B57B1E">
          <w:rPr>
            <w:rFonts w:ascii="Times New Roman" w:hAnsi="Times New Roman" w:cs="Times New Roman"/>
            <w:webHidden/>
          </w:rPr>
          <w:t>7-1</w:t>
        </w:r>
        <w:r w:rsidRPr="00B57B1E">
          <w:rPr>
            <w:rFonts w:ascii="Times New Roman" w:hAnsi="Times New Roman" w:cs="Times New Roman"/>
            <w:webHidden/>
          </w:rPr>
          <w:fldChar w:fldCharType="end"/>
        </w:r>
      </w:hyperlink>
    </w:p>
    <w:p w:rsidR="00735BBC" w:rsidRPr="00B57B1E" w14:paraId="304A770B" w14:textId="4013BE42">
      <w:pPr>
        <w:pStyle w:val="TOC2"/>
        <w:rPr>
          <w:rFonts w:ascii="Times New Roman" w:hAnsi="Times New Roman" w:eastAsiaTheme="minorEastAsia" w:cs="Times New Roman"/>
          <w:kern w:val="2"/>
          <w:sz w:val="24"/>
          <w:szCs w:val="24"/>
          <w14:ligatures w14:val="standardContextual"/>
        </w:rPr>
      </w:pPr>
      <w:hyperlink w:anchor="_Toc184299531" w:history="1">
        <w:r w:rsidRPr="00B57B1E">
          <w:rPr>
            <w:rStyle w:val="Hyperlink"/>
            <w:rFonts w:ascii="Times New Roman" w:hAnsi="Times New Roman" w:cs="Times New Roman"/>
          </w:rPr>
          <w:t>7.3</w:t>
        </w:r>
        <w:r w:rsidRPr="00B57B1E">
          <w:rPr>
            <w:rFonts w:ascii="Times New Roman" w:hAnsi="Times New Roman" w:eastAsiaTheme="minorEastAsia" w:cs="Times New Roman"/>
            <w:kern w:val="2"/>
            <w:sz w:val="24"/>
            <w:szCs w:val="24"/>
            <w14:ligatures w14:val="standardContextual"/>
          </w:rPr>
          <w:tab/>
        </w:r>
        <w:r w:rsidRPr="00B57B1E">
          <w:rPr>
            <w:rStyle w:val="Hyperlink"/>
            <w:rFonts w:ascii="Times New Roman" w:hAnsi="Times New Roman" w:cs="Times New Roman"/>
          </w:rPr>
          <w:t>Employment Effects</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_Toc184299531 \h </w:instrText>
        </w:r>
        <w:r w:rsidRPr="00B57B1E">
          <w:rPr>
            <w:rFonts w:ascii="Times New Roman" w:hAnsi="Times New Roman" w:cs="Times New Roman"/>
            <w:webHidden/>
          </w:rPr>
          <w:fldChar w:fldCharType="separate"/>
        </w:r>
        <w:r w:rsidRPr="00B57B1E">
          <w:rPr>
            <w:rFonts w:ascii="Times New Roman" w:hAnsi="Times New Roman" w:cs="Times New Roman"/>
            <w:webHidden/>
          </w:rPr>
          <w:t>7-6</w:t>
        </w:r>
        <w:r w:rsidRPr="00B57B1E">
          <w:rPr>
            <w:rFonts w:ascii="Times New Roman" w:hAnsi="Times New Roman" w:cs="Times New Roman"/>
            <w:webHidden/>
          </w:rPr>
          <w:fldChar w:fldCharType="end"/>
        </w:r>
      </w:hyperlink>
    </w:p>
    <w:p w:rsidR="00735BBC" w:rsidRPr="00B57B1E" w14:paraId="33C5B54B" w14:textId="63626119">
      <w:pPr>
        <w:pStyle w:val="TOC2"/>
        <w:rPr>
          <w:rFonts w:ascii="Times New Roman" w:hAnsi="Times New Roman" w:eastAsiaTheme="minorEastAsia" w:cs="Times New Roman"/>
          <w:kern w:val="2"/>
          <w:sz w:val="24"/>
          <w:szCs w:val="24"/>
          <w14:ligatures w14:val="standardContextual"/>
        </w:rPr>
      </w:pPr>
      <w:hyperlink w:anchor="_Toc184299532" w:history="1">
        <w:r w:rsidRPr="00B57B1E">
          <w:rPr>
            <w:rStyle w:val="Hyperlink"/>
            <w:rFonts w:ascii="Times New Roman" w:hAnsi="Times New Roman" w:cs="Times New Roman"/>
          </w:rPr>
          <w:t>7.4</w:t>
        </w:r>
        <w:r w:rsidRPr="00B57B1E">
          <w:rPr>
            <w:rFonts w:ascii="Times New Roman" w:hAnsi="Times New Roman" w:eastAsiaTheme="minorEastAsia" w:cs="Times New Roman"/>
            <w:kern w:val="2"/>
            <w:sz w:val="24"/>
            <w:szCs w:val="24"/>
            <w14:ligatures w14:val="standardContextual"/>
          </w:rPr>
          <w:tab/>
        </w:r>
        <w:r w:rsidRPr="00B57B1E">
          <w:rPr>
            <w:rStyle w:val="Hyperlink"/>
            <w:rFonts w:ascii="Times New Roman" w:hAnsi="Times New Roman" w:cs="Times New Roman"/>
          </w:rPr>
          <w:t>Paperwork Burden Analysis</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_Toc184299532 \h </w:instrText>
        </w:r>
        <w:r w:rsidRPr="00B57B1E">
          <w:rPr>
            <w:rFonts w:ascii="Times New Roman" w:hAnsi="Times New Roman" w:cs="Times New Roman"/>
            <w:webHidden/>
          </w:rPr>
          <w:fldChar w:fldCharType="separate"/>
        </w:r>
        <w:r w:rsidRPr="00B57B1E">
          <w:rPr>
            <w:rFonts w:ascii="Times New Roman" w:hAnsi="Times New Roman" w:cs="Times New Roman"/>
            <w:webHidden/>
          </w:rPr>
          <w:t>7-6</w:t>
        </w:r>
        <w:r w:rsidRPr="00B57B1E">
          <w:rPr>
            <w:rFonts w:ascii="Times New Roman" w:hAnsi="Times New Roman" w:cs="Times New Roman"/>
            <w:webHidden/>
          </w:rPr>
          <w:fldChar w:fldCharType="end"/>
        </w:r>
      </w:hyperlink>
    </w:p>
    <w:p w:rsidR="00735BBC" w:rsidRPr="00B57B1E" w14:paraId="42C8BEFC" w14:textId="0733F4A7">
      <w:pPr>
        <w:pStyle w:val="TOC2"/>
        <w:rPr>
          <w:rFonts w:ascii="Times New Roman" w:hAnsi="Times New Roman" w:eastAsiaTheme="minorEastAsia" w:cs="Times New Roman"/>
          <w:kern w:val="2"/>
          <w:sz w:val="24"/>
          <w:szCs w:val="24"/>
          <w14:ligatures w14:val="standardContextual"/>
        </w:rPr>
      </w:pPr>
      <w:hyperlink w:anchor="_Toc184299533" w:history="1">
        <w:r w:rsidRPr="00B57B1E">
          <w:rPr>
            <w:rStyle w:val="Hyperlink"/>
            <w:rFonts w:ascii="Times New Roman" w:hAnsi="Times New Roman" w:cs="Times New Roman"/>
          </w:rPr>
          <w:t>7.5</w:t>
        </w:r>
        <w:r w:rsidRPr="00B57B1E">
          <w:rPr>
            <w:rFonts w:ascii="Times New Roman" w:hAnsi="Times New Roman" w:eastAsiaTheme="minorEastAsia" w:cs="Times New Roman"/>
            <w:kern w:val="2"/>
            <w:sz w:val="24"/>
            <w:szCs w:val="24"/>
            <w14:ligatures w14:val="standardContextual"/>
          </w:rPr>
          <w:tab/>
        </w:r>
        <w:r w:rsidRPr="00B57B1E">
          <w:rPr>
            <w:rStyle w:val="Hyperlink"/>
            <w:rFonts w:ascii="Times New Roman" w:hAnsi="Times New Roman" w:cs="Times New Roman"/>
          </w:rPr>
          <w:t>Unfunded Mandates Reform Act (UMRA)</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_Toc184299533 \h </w:instrText>
        </w:r>
        <w:r w:rsidRPr="00B57B1E">
          <w:rPr>
            <w:rFonts w:ascii="Times New Roman" w:hAnsi="Times New Roman" w:cs="Times New Roman"/>
            <w:webHidden/>
          </w:rPr>
          <w:fldChar w:fldCharType="separate"/>
        </w:r>
        <w:r w:rsidRPr="00B57B1E">
          <w:rPr>
            <w:rFonts w:ascii="Times New Roman" w:hAnsi="Times New Roman" w:cs="Times New Roman"/>
            <w:webHidden/>
          </w:rPr>
          <w:t>7-8</w:t>
        </w:r>
        <w:r w:rsidRPr="00B57B1E">
          <w:rPr>
            <w:rFonts w:ascii="Times New Roman" w:hAnsi="Times New Roman" w:cs="Times New Roman"/>
            <w:webHidden/>
          </w:rPr>
          <w:fldChar w:fldCharType="end"/>
        </w:r>
      </w:hyperlink>
    </w:p>
    <w:p w:rsidR="00735BBC" w:rsidRPr="00B57B1E" w14:paraId="2A53A0FD" w14:textId="316A9142">
      <w:pPr>
        <w:pStyle w:val="TOC2"/>
        <w:rPr>
          <w:rFonts w:ascii="Times New Roman" w:hAnsi="Times New Roman" w:eastAsiaTheme="minorEastAsia" w:cs="Times New Roman"/>
          <w:kern w:val="2"/>
          <w:sz w:val="24"/>
          <w:szCs w:val="24"/>
          <w14:ligatures w14:val="standardContextual"/>
        </w:rPr>
      </w:pPr>
      <w:hyperlink w:anchor="_Toc184299534" w:history="1">
        <w:r w:rsidRPr="00B57B1E">
          <w:rPr>
            <w:rStyle w:val="Hyperlink"/>
            <w:rFonts w:ascii="Times New Roman" w:hAnsi="Times New Roman" w:cs="Times New Roman"/>
          </w:rPr>
          <w:t>7.6</w:t>
        </w:r>
        <w:r w:rsidRPr="00B57B1E">
          <w:rPr>
            <w:rFonts w:ascii="Times New Roman" w:hAnsi="Times New Roman" w:eastAsiaTheme="minorEastAsia" w:cs="Times New Roman"/>
            <w:kern w:val="2"/>
            <w:sz w:val="24"/>
            <w:szCs w:val="24"/>
            <w14:ligatures w14:val="standardContextual"/>
          </w:rPr>
          <w:tab/>
        </w:r>
        <w:r w:rsidRPr="00B57B1E">
          <w:rPr>
            <w:rStyle w:val="Hyperlink"/>
            <w:rFonts w:ascii="Times New Roman" w:hAnsi="Times New Roman" w:cs="Times New Roman"/>
          </w:rPr>
          <w:t>Executive Order 12898 – Environmental Justice Impacts</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_Toc184299534 \h </w:instrText>
        </w:r>
        <w:r w:rsidRPr="00B57B1E">
          <w:rPr>
            <w:rFonts w:ascii="Times New Roman" w:hAnsi="Times New Roman" w:cs="Times New Roman"/>
            <w:webHidden/>
          </w:rPr>
          <w:fldChar w:fldCharType="separate"/>
        </w:r>
        <w:r w:rsidRPr="00B57B1E">
          <w:rPr>
            <w:rFonts w:ascii="Times New Roman" w:hAnsi="Times New Roman" w:cs="Times New Roman"/>
            <w:webHidden/>
          </w:rPr>
          <w:t>7-8</w:t>
        </w:r>
        <w:r w:rsidRPr="00B57B1E">
          <w:rPr>
            <w:rFonts w:ascii="Times New Roman" w:hAnsi="Times New Roman" w:cs="Times New Roman"/>
            <w:webHidden/>
          </w:rPr>
          <w:fldChar w:fldCharType="end"/>
        </w:r>
      </w:hyperlink>
    </w:p>
    <w:p w:rsidR="00735BBC" w:rsidRPr="00B57B1E" w14:paraId="6553E2C6" w14:textId="77EF3B82">
      <w:pPr>
        <w:pStyle w:val="TOC2"/>
        <w:rPr>
          <w:rFonts w:ascii="Times New Roman" w:hAnsi="Times New Roman" w:eastAsiaTheme="minorEastAsia" w:cs="Times New Roman"/>
          <w:kern w:val="2"/>
          <w:sz w:val="24"/>
          <w:szCs w:val="24"/>
          <w14:ligatures w14:val="standardContextual"/>
        </w:rPr>
      </w:pPr>
      <w:hyperlink w:anchor="_Toc184299535" w:history="1">
        <w:r w:rsidRPr="00B57B1E">
          <w:rPr>
            <w:rStyle w:val="Hyperlink"/>
            <w:rFonts w:ascii="Times New Roman" w:hAnsi="Times New Roman" w:cs="Times New Roman"/>
          </w:rPr>
          <w:t>7.7</w:t>
        </w:r>
        <w:r w:rsidRPr="00B57B1E">
          <w:rPr>
            <w:rFonts w:ascii="Times New Roman" w:hAnsi="Times New Roman" w:eastAsiaTheme="minorEastAsia" w:cs="Times New Roman"/>
            <w:kern w:val="2"/>
            <w:sz w:val="24"/>
            <w:szCs w:val="24"/>
            <w14:ligatures w14:val="standardContextual"/>
          </w:rPr>
          <w:tab/>
        </w:r>
        <w:r w:rsidRPr="00B57B1E">
          <w:rPr>
            <w:rStyle w:val="Hyperlink"/>
            <w:rFonts w:ascii="Times New Roman" w:hAnsi="Times New Roman" w:cs="Times New Roman"/>
          </w:rPr>
          <w:t>Impacts on Technological Innovation and the National Economy</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_Toc184299535 \h </w:instrText>
        </w:r>
        <w:r w:rsidRPr="00B57B1E">
          <w:rPr>
            <w:rFonts w:ascii="Times New Roman" w:hAnsi="Times New Roman" w:cs="Times New Roman"/>
            <w:webHidden/>
          </w:rPr>
          <w:fldChar w:fldCharType="separate"/>
        </w:r>
        <w:r w:rsidRPr="00B57B1E">
          <w:rPr>
            <w:rFonts w:ascii="Times New Roman" w:hAnsi="Times New Roman" w:cs="Times New Roman"/>
            <w:webHidden/>
          </w:rPr>
          <w:t>7-10</w:t>
        </w:r>
        <w:r w:rsidRPr="00B57B1E">
          <w:rPr>
            <w:rFonts w:ascii="Times New Roman" w:hAnsi="Times New Roman" w:cs="Times New Roman"/>
            <w:webHidden/>
          </w:rPr>
          <w:fldChar w:fldCharType="end"/>
        </w:r>
      </w:hyperlink>
    </w:p>
    <w:p w:rsidR="00735BBC" w:rsidRPr="00B57B1E" w14:paraId="5E2FB01A" w14:textId="4166B7CC">
      <w:pPr>
        <w:pStyle w:val="TOC2"/>
        <w:rPr>
          <w:rFonts w:ascii="Times New Roman" w:hAnsi="Times New Roman" w:eastAsiaTheme="minorEastAsia" w:cs="Times New Roman"/>
          <w:kern w:val="2"/>
          <w:sz w:val="24"/>
          <w:szCs w:val="24"/>
          <w14:ligatures w14:val="standardContextual"/>
        </w:rPr>
      </w:pPr>
      <w:hyperlink w:anchor="_Toc184299536" w:history="1">
        <w:r w:rsidRPr="00B57B1E">
          <w:rPr>
            <w:rStyle w:val="Hyperlink"/>
            <w:rFonts w:ascii="Times New Roman" w:hAnsi="Times New Roman" w:cs="Times New Roman"/>
          </w:rPr>
          <w:t>7.8</w:t>
        </w:r>
        <w:r w:rsidRPr="00B57B1E">
          <w:rPr>
            <w:rFonts w:ascii="Times New Roman" w:hAnsi="Times New Roman" w:eastAsiaTheme="minorEastAsia" w:cs="Times New Roman"/>
            <w:kern w:val="2"/>
            <w:sz w:val="24"/>
            <w:szCs w:val="24"/>
            <w14:ligatures w14:val="standardContextual"/>
          </w:rPr>
          <w:tab/>
        </w:r>
        <w:r w:rsidRPr="00B57B1E">
          <w:rPr>
            <w:rStyle w:val="Hyperlink"/>
            <w:rFonts w:ascii="Times New Roman" w:hAnsi="Times New Roman" w:cs="Times New Roman"/>
          </w:rPr>
          <w:t>Executive Order 13132 – Federalism</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_Toc184299536 \h </w:instrText>
        </w:r>
        <w:r w:rsidRPr="00B57B1E">
          <w:rPr>
            <w:rFonts w:ascii="Times New Roman" w:hAnsi="Times New Roman" w:cs="Times New Roman"/>
            <w:webHidden/>
          </w:rPr>
          <w:fldChar w:fldCharType="separate"/>
        </w:r>
        <w:r w:rsidRPr="00B57B1E">
          <w:rPr>
            <w:rFonts w:ascii="Times New Roman" w:hAnsi="Times New Roman" w:cs="Times New Roman"/>
            <w:webHidden/>
          </w:rPr>
          <w:t>7-10</w:t>
        </w:r>
        <w:r w:rsidRPr="00B57B1E">
          <w:rPr>
            <w:rFonts w:ascii="Times New Roman" w:hAnsi="Times New Roman" w:cs="Times New Roman"/>
            <w:webHidden/>
          </w:rPr>
          <w:fldChar w:fldCharType="end"/>
        </w:r>
      </w:hyperlink>
    </w:p>
    <w:p w:rsidR="00735BBC" w:rsidRPr="00B57B1E" w14:paraId="6683BE0B" w14:textId="1D6E4B11">
      <w:pPr>
        <w:pStyle w:val="TOC2"/>
        <w:rPr>
          <w:rFonts w:ascii="Times New Roman" w:hAnsi="Times New Roman" w:eastAsiaTheme="minorEastAsia" w:cs="Times New Roman"/>
          <w:kern w:val="2"/>
          <w:sz w:val="24"/>
          <w:szCs w:val="24"/>
          <w14:ligatures w14:val="standardContextual"/>
        </w:rPr>
      </w:pPr>
      <w:hyperlink w:anchor="_Toc184299537" w:history="1">
        <w:r w:rsidRPr="00B57B1E">
          <w:rPr>
            <w:rStyle w:val="Hyperlink"/>
            <w:rFonts w:ascii="Times New Roman" w:hAnsi="Times New Roman" w:cs="Times New Roman"/>
          </w:rPr>
          <w:t>7.9</w:t>
        </w:r>
        <w:r w:rsidRPr="00B57B1E">
          <w:rPr>
            <w:rFonts w:ascii="Times New Roman" w:hAnsi="Times New Roman" w:eastAsiaTheme="minorEastAsia" w:cs="Times New Roman"/>
            <w:kern w:val="2"/>
            <w:sz w:val="24"/>
            <w:szCs w:val="24"/>
            <w14:ligatures w14:val="standardContextual"/>
          </w:rPr>
          <w:tab/>
        </w:r>
        <w:r w:rsidRPr="00B57B1E">
          <w:rPr>
            <w:rStyle w:val="Hyperlink"/>
            <w:rFonts w:ascii="Times New Roman" w:hAnsi="Times New Roman" w:cs="Times New Roman"/>
          </w:rPr>
          <w:t>Executive Order 13175 – Tribal Implications</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_Toc184299537 \h </w:instrText>
        </w:r>
        <w:r w:rsidRPr="00B57B1E">
          <w:rPr>
            <w:rFonts w:ascii="Times New Roman" w:hAnsi="Times New Roman" w:cs="Times New Roman"/>
            <w:webHidden/>
          </w:rPr>
          <w:fldChar w:fldCharType="separate"/>
        </w:r>
        <w:r w:rsidRPr="00B57B1E">
          <w:rPr>
            <w:rFonts w:ascii="Times New Roman" w:hAnsi="Times New Roman" w:cs="Times New Roman"/>
            <w:webHidden/>
          </w:rPr>
          <w:t>7-10</w:t>
        </w:r>
        <w:r w:rsidRPr="00B57B1E">
          <w:rPr>
            <w:rFonts w:ascii="Times New Roman" w:hAnsi="Times New Roman" w:cs="Times New Roman"/>
            <w:webHidden/>
          </w:rPr>
          <w:fldChar w:fldCharType="end"/>
        </w:r>
      </w:hyperlink>
    </w:p>
    <w:p w:rsidR="00735BBC" w:rsidRPr="00B57B1E" w14:paraId="671E9BB6" w14:textId="45AA8FFB">
      <w:pPr>
        <w:pStyle w:val="TOC1"/>
        <w:rPr>
          <w:rFonts w:ascii="Times New Roman" w:hAnsi="Times New Roman" w:eastAsiaTheme="minorEastAsia" w:cs="Times New Roman"/>
          <w:b w:val="0"/>
          <w:kern w:val="2"/>
          <w:sz w:val="24"/>
          <w14:ligatures w14:val="standardContextual"/>
        </w:rPr>
      </w:pPr>
      <w:hyperlink w:anchor="_Toc184299538" w:history="1">
        <w:r w:rsidRPr="00B57B1E">
          <w:rPr>
            <w:rStyle w:val="Hyperlink"/>
            <w:rFonts w:ascii="Times New Roman" w:hAnsi="Times New Roman" w:cs="Times New Roman"/>
          </w:rPr>
          <w:t>8.</w:t>
        </w:r>
        <w:r w:rsidRPr="00B57B1E">
          <w:rPr>
            <w:rFonts w:ascii="Times New Roman" w:hAnsi="Times New Roman" w:eastAsiaTheme="minorEastAsia" w:cs="Times New Roman"/>
            <w:b w:val="0"/>
            <w:kern w:val="2"/>
            <w:sz w:val="24"/>
            <w14:ligatures w14:val="standardContextual"/>
          </w:rPr>
          <w:tab/>
        </w:r>
        <w:r w:rsidRPr="00B57B1E">
          <w:rPr>
            <w:rStyle w:val="Hyperlink"/>
            <w:rFonts w:ascii="Times New Roman" w:hAnsi="Times New Roman" w:cs="Times New Roman"/>
          </w:rPr>
          <w:t>References</w:t>
        </w:r>
        <w:r w:rsidRPr="00B57B1E">
          <w:rPr>
            <w:rFonts w:ascii="Times New Roman" w:hAnsi="Times New Roman" w:cs="Times New Roman"/>
            <w:webHidden/>
          </w:rPr>
          <w:tab/>
        </w:r>
        <w:r w:rsidRPr="00B57B1E">
          <w:rPr>
            <w:rFonts w:ascii="Times New Roman" w:hAnsi="Times New Roman" w:cs="Times New Roman"/>
            <w:webHidden/>
          </w:rPr>
          <w:fldChar w:fldCharType="begin" w:fldLock="1"/>
        </w:r>
        <w:r w:rsidRPr="00B57B1E">
          <w:rPr>
            <w:rFonts w:ascii="Times New Roman" w:hAnsi="Times New Roman" w:cs="Times New Roman"/>
            <w:webHidden/>
          </w:rPr>
          <w:instrText xml:space="preserve"> PAGEREF _Toc184299538 \h </w:instrText>
        </w:r>
        <w:r w:rsidRPr="00B57B1E">
          <w:rPr>
            <w:rFonts w:ascii="Times New Roman" w:hAnsi="Times New Roman" w:cs="Times New Roman"/>
            <w:webHidden/>
          </w:rPr>
          <w:fldChar w:fldCharType="separate"/>
        </w:r>
        <w:r w:rsidRPr="00B57B1E">
          <w:rPr>
            <w:rFonts w:ascii="Times New Roman" w:hAnsi="Times New Roman" w:cs="Times New Roman"/>
            <w:webHidden/>
          </w:rPr>
          <w:t>8-1</w:t>
        </w:r>
        <w:r w:rsidRPr="00B57B1E">
          <w:rPr>
            <w:rFonts w:ascii="Times New Roman" w:hAnsi="Times New Roman" w:cs="Times New Roman"/>
            <w:webHidden/>
          </w:rPr>
          <w:fldChar w:fldCharType="end"/>
        </w:r>
      </w:hyperlink>
    </w:p>
    <w:p w:rsidR="00BA340E" w:rsidRPr="00B57B1E" w:rsidP="00A85A77" w14:paraId="363CA664" w14:textId="1C488EA7">
      <w:pPr>
        <w:pStyle w:val="BodyText"/>
        <w:rPr>
          <w:b/>
          <w:color w:val="DA291C" w:themeColor="text2"/>
          <w:sz w:val="28"/>
          <w:szCs w:val="28"/>
        </w:rPr>
      </w:pPr>
      <w:r w:rsidRPr="00B57B1E">
        <w:rPr>
          <w:rFonts w:eastAsia="Calibri"/>
          <w:b/>
          <w:noProof/>
          <w:szCs w:val="24"/>
          <w:u w:color="7F7F7F"/>
        </w:rPr>
        <w:fldChar w:fldCharType="end"/>
      </w:r>
      <w:r w:rsidRPr="00B57B1E">
        <w:rPr>
          <w:rFonts w:eastAsia="Gotham"/>
        </w:rPr>
        <w:t xml:space="preserve"> </w:t>
      </w:r>
      <w:r w:rsidRPr="00B57B1E">
        <w:br w:type="page"/>
      </w:r>
    </w:p>
    <w:p w:rsidR="005C490F" w:rsidRPr="00B56426" w:rsidP="005C490F" w14:paraId="4FC82045" w14:textId="4A347818">
      <w:pPr>
        <w:pStyle w:val="TOC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8" w:type="dxa"/>
        </w:tblCellMar>
        <w:tblLook w:val="04A0"/>
      </w:tblPr>
      <w:tblGrid>
        <w:gridCol w:w="1164"/>
        <w:gridCol w:w="7865"/>
      </w:tblGrid>
      <w:tr w14:paraId="29742F53" w14:textId="77777777" w:rsidTr="004C114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8" w:type="dxa"/>
          </w:tblCellMar>
          <w:tblLook w:val="04A0"/>
        </w:tblPrEx>
        <w:tc>
          <w:tcPr>
            <w:tcW w:w="9029" w:type="dxa"/>
            <w:gridSpan w:val="2"/>
            <w:shd w:val="clear" w:color="auto" w:fill="auto"/>
            <w:vAlign w:val="bottom"/>
          </w:tcPr>
          <w:p w:rsidR="00880E2A" w:rsidRPr="00B56426" w:rsidP="00880E2A" w14:paraId="4B8ADE04" w14:textId="77777777">
            <w:pPr>
              <w:pStyle w:val="TOCHeader"/>
              <w:keepLines/>
            </w:pPr>
            <w:r w:rsidRPr="00B56426">
              <w:t>List of Acronyms and Abbreviations</w:t>
            </w:r>
          </w:p>
        </w:tc>
      </w:tr>
      <w:tr w14:paraId="7FA96DAD" w14:textId="77777777" w:rsidTr="004C114D">
        <w:tblPrEx>
          <w:tblW w:w="0" w:type="auto"/>
          <w:tblCellMar>
            <w:bottom w:w="58" w:type="dxa"/>
          </w:tblCellMar>
          <w:tblLook w:val="04A0"/>
        </w:tblPrEx>
        <w:tc>
          <w:tcPr>
            <w:tcW w:w="1164" w:type="dxa"/>
          </w:tcPr>
          <w:p w:rsidR="004C114D" w:rsidRPr="004C114D" w:rsidP="004C114D" w14:paraId="69483DE5" w14:textId="49D31D5F">
            <w:pPr>
              <w:pStyle w:val="LTableTextAbt"/>
              <w:keepNext w:val="0"/>
              <w:rPr>
                <w:sz w:val="22"/>
                <w:szCs w:val="22"/>
              </w:rPr>
            </w:pPr>
            <w:r w:rsidRPr="004C114D">
              <w:rPr>
                <w:sz w:val="22"/>
                <w:szCs w:val="22"/>
              </w:rPr>
              <w:t>ACS</w:t>
            </w:r>
          </w:p>
        </w:tc>
        <w:tc>
          <w:tcPr>
            <w:tcW w:w="7865" w:type="dxa"/>
          </w:tcPr>
          <w:p w:rsidR="004C114D" w:rsidRPr="004C114D" w:rsidP="004C114D" w14:paraId="137B639E" w14:textId="6F60115D">
            <w:pPr>
              <w:pStyle w:val="LTableTextAbt"/>
              <w:keepNext w:val="0"/>
              <w:rPr>
                <w:sz w:val="22"/>
                <w:szCs w:val="22"/>
              </w:rPr>
            </w:pPr>
            <w:r w:rsidRPr="004C114D">
              <w:rPr>
                <w:sz w:val="22"/>
                <w:szCs w:val="22"/>
              </w:rPr>
              <w:t>American Community Survey</w:t>
            </w:r>
          </w:p>
        </w:tc>
      </w:tr>
      <w:tr w14:paraId="4E84FDDA" w14:textId="77777777" w:rsidTr="004C114D">
        <w:tblPrEx>
          <w:tblW w:w="0" w:type="auto"/>
          <w:tblCellMar>
            <w:bottom w:w="58" w:type="dxa"/>
          </w:tblCellMar>
          <w:tblLook w:val="04A0"/>
        </w:tblPrEx>
        <w:tc>
          <w:tcPr>
            <w:tcW w:w="1164" w:type="dxa"/>
          </w:tcPr>
          <w:p w:rsidR="004C114D" w:rsidRPr="004C114D" w:rsidP="004C114D" w14:paraId="21E1786A" w14:textId="015EA870">
            <w:pPr>
              <w:pStyle w:val="LTableTextAbt"/>
              <w:keepNext w:val="0"/>
              <w:rPr>
                <w:sz w:val="22"/>
                <w:szCs w:val="22"/>
              </w:rPr>
            </w:pPr>
            <w:r w:rsidRPr="004C114D">
              <w:rPr>
                <w:sz w:val="22"/>
                <w:szCs w:val="22"/>
              </w:rPr>
              <w:t>APF</w:t>
            </w:r>
          </w:p>
        </w:tc>
        <w:tc>
          <w:tcPr>
            <w:tcW w:w="7865" w:type="dxa"/>
          </w:tcPr>
          <w:p w:rsidR="004C114D" w:rsidRPr="004C114D" w:rsidP="004C114D" w14:paraId="61D54A01" w14:textId="2179FD38">
            <w:pPr>
              <w:pStyle w:val="LTableTextAbt"/>
              <w:keepNext w:val="0"/>
              <w:rPr>
                <w:sz w:val="22"/>
                <w:szCs w:val="22"/>
              </w:rPr>
            </w:pPr>
            <w:r w:rsidRPr="004C114D">
              <w:rPr>
                <w:sz w:val="22"/>
                <w:szCs w:val="22"/>
              </w:rPr>
              <w:t>Assigned protection factor</w:t>
            </w:r>
          </w:p>
        </w:tc>
      </w:tr>
      <w:tr w14:paraId="5159E170" w14:textId="77777777" w:rsidTr="004C114D">
        <w:tblPrEx>
          <w:tblW w:w="0" w:type="auto"/>
          <w:tblCellMar>
            <w:bottom w:w="58" w:type="dxa"/>
          </w:tblCellMar>
          <w:tblLook w:val="04A0"/>
        </w:tblPrEx>
        <w:tc>
          <w:tcPr>
            <w:tcW w:w="1164" w:type="dxa"/>
          </w:tcPr>
          <w:p w:rsidR="004C114D" w:rsidRPr="004C114D" w:rsidP="004C114D" w14:paraId="5F0B66D7" w14:textId="31A6194F">
            <w:pPr>
              <w:pStyle w:val="LTableTextAbt"/>
              <w:keepNext w:val="0"/>
              <w:rPr>
                <w:sz w:val="22"/>
                <w:szCs w:val="22"/>
              </w:rPr>
            </w:pPr>
            <w:r w:rsidRPr="004C114D">
              <w:rPr>
                <w:sz w:val="22"/>
                <w:szCs w:val="22"/>
              </w:rPr>
              <w:t>APR</w:t>
            </w:r>
          </w:p>
        </w:tc>
        <w:tc>
          <w:tcPr>
            <w:tcW w:w="7865" w:type="dxa"/>
          </w:tcPr>
          <w:p w:rsidR="004C114D" w:rsidRPr="004C114D" w:rsidP="004C114D" w14:paraId="53752D5B" w14:textId="5C71DAD6">
            <w:pPr>
              <w:pStyle w:val="LTableTextAbt"/>
              <w:keepNext w:val="0"/>
              <w:rPr>
                <w:sz w:val="22"/>
                <w:szCs w:val="22"/>
              </w:rPr>
            </w:pPr>
            <w:r w:rsidRPr="004C114D">
              <w:rPr>
                <w:sz w:val="22"/>
                <w:szCs w:val="22"/>
              </w:rPr>
              <w:t>Air purifying respirator</w:t>
            </w:r>
          </w:p>
        </w:tc>
      </w:tr>
      <w:tr w14:paraId="2C845852" w14:textId="77777777" w:rsidTr="004C114D">
        <w:tblPrEx>
          <w:tblW w:w="0" w:type="auto"/>
          <w:tblCellMar>
            <w:bottom w:w="58" w:type="dxa"/>
          </w:tblCellMar>
          <w:tblLook w:val="04A0"/>
        </w:tblPrEx>
        <w:tc>
          <w:tcPr>
            <w:tcW w:w="1164" w:type="dxa"/>
          </w:tcPr>
          <w:p w:rsidR="004C114D" w:rsidRPr="004C114D" w:rsidP="004C114D" w14:paraId="002A5651" w14:textId="6E1A1565">
            <w:pPr>
              <w:pStyle w:val="LTableTextAbt"/>
              <w:keepNext w:val="0"/>
              <w:rPr>
                <w:sz w:val="22"/>
                <w:szCs w:val="22"/>
              </w:rPr>
            </w:pPr>
            <w:r w:rsidRPr="004C114D">
              <w:rPr>
                <w:sz w:val="22"/>
                <w:szCs w:val="22"/>
              </w:rPr>
              <w:t>ARA</w:t>
            </w:r>
          </w:p>
        </w:tc>
        <w:tc>
          <w:tcPr>
            <w:tcW w:w="7865" w:type="dxa"/>
          </w:tcPr>
          <w:p w:rsidR="004C114D" w:rsidRPr="004C114D" w:rsidP="004C114D" w14:paraId="733DFF9E" w14:textId="7D5E3D51">
            <w:pPr>
              <w:pStyle w:val="LTableTextAbt"/>
              <w:keepNext w:val="0"/>
              <w:rPr>
                <w:sz w:val="22"/>
                <w:szCs w:val="22"/>
              </w:rPr>
            </w:pPr>
            <w:r w:rsidRPr="004C114D">
              <w:rPr>
                <w:sz w:val="22"/>
                <w:szCs w:val="22"/>
              </w:rPr>
              <w:t>Automotive Recyclers Association</w:t>
            </w:r>
          </w:p>
        </w:tc>
      </w:tr>
      <w:tr w14:paraId="432CCE80" w14:textId="77777777" w:rsidTr="004C114D">
        <w:tblPrEx>
          <w:tblW w:w="0" w:type="auto"/>
          <w:tblCellMar>
            <w:bottom w:w="58" w:type="dxa"/>
          </w:tblCellMar>
          <w:tblLook w:val="04A0"/>
        </w:tblPrEx>
        <w:tc>
          <w:tcPr>
            <w:tcW w:w="1164" w:type="dxa"/>
          </w:tcPr>
          <w:p w:rsidR="004C114D" w:rsidRPr="004C114D" w:rsidP="004C114D" w14:paraId="6C3D16AE" w14:textId="31A82372">
            <w:pPr>
              <w:pStyle w:val="LTableTextAbt"/>
              <w:keepNext w:val="0"/>
              <w:rPr>
                <w:sz w:val="22"/>
                <w:szCs w:val="22"/>
              </w:rPr>
            </w:pPr>
            <w:r w:rsidRPr="004C114D">
              <w:rPr>
                <w:sz w:val="22"/>
                <w:szCs w:val="22"/>
              </w:rPr>
              <w:t>BLS</w:t>
            </w:r>
          </w:p>
        </w:tc>
        <w:tc>
          <w:tcPr>
            <w:tcW w:w="7865" w:type="dxa"/>
          </w:tcPr>
          <w:p w:rsidR="004C114D" w:rsidRPr="004C114D" w:rsidP="004C114D" w14:paraId="7E9C09B1" w14:textId="21118B62">
            <w:pPr>
              <w:pStyle w:val="LTableTextAbt"/>
              <w:keepNext w:val="0"/>
              <w:rPr>
                <w:sz w:val="22"/>
                <w:szCs w:val="22"/>
              </w:rPr>
            </w:pPr>
            <w:r w:rsidRPr="004C114D">
              <w:rPr>
                <w:sz w:val="22"/>
                <w:szCs w:val="22"/>
              </w:rPr>
              <w:t>Bureau of Labor Statistics</w:t>
            </w:r>
          </w:p>
        </w:tc>
      </w:tr>
      <w:tr w14:paraId="5E8FEF1F" w14:textId="77777777" w:rsidTr="004C114D">
        <w:tblPrEx>
          <w:tblW w:w="0" w:type="auto"/>
          <w:tblCellMar>
            <w:bottom w:w="58" w:type="dxa"/>
          </w:tblCellMar>
          <w:tblLook w:val="04A0"/>
        </w:tblPrEx>
        <w:tc>
          <w:tcPr>
            <w:tcW w:w="1164" w:type="dxa"/>
          </w:tcPr>
          <w:p w:rsidR="004C114D" w:rsidRPr="004C114D" w:rsidP="004C114D" w14:paraId="28FAE070" w14:textId="281C1CC5">
            <w:pPr>
              <w:pStyle w:val="LTableTextAbt"/>
              <w:keepNext w:val="0"/>
              <w:rPr>
                <w:sz w:val="22"/>
                <w:szCs w:val="22"/>
              </w:rPr>
            </w:pPr>
            <w:r w:rsidRPr="004C114D">
              <w:rPr>
                <w:sz w:val="22"/>
                <w:szCs w:val="22"/>
              </w:rPr>
              <w:t>CARE</w:t>
            </w:r>
          </w:p>
        </w:tc>
        <w:tc>
          <w:tcPr>
            <w:tcW w:w="7865" w:type="dxa"/>
          </w:tcPr>
          <w:p w:rsidR="004C114D" w:rsidRPr="004C114D" w:rsidP="004C114D" w14:paraId="3B80FDA8" w14:textId="64451E60">
            <w:pPr>
              <w:pStyle w:val="LTableTextAbt"/>
              <w:keepNext w:val="0"/>
              <w:rPr>
                <w:sz w:val="22"/>
                <w:szCs w:val="22"/>
              </w:rPr>
            </w:pPr>
            <w:r w:rsidRPr="004C114D">
              <w:rPr>
                <w:sz w:val="22"/>
                <w:szCs w:val="22"/>
              </w:rPr>
              <w:t>Carpet America Recovery Effort</w:t>
            </w:r>
          </w:p>
        </w:tc>
      </w:tr>
      <w:tr w14:paraId="2A3500EE" w14:textId="77777777" w:rsidTr="004C114D">
        <w:tblPrEx>
          <w:tblW w:w="0" w:type="auto"/>
          <w:tblCellMar>
            <w:bottom w:w="58" w:type="dxa"/>
          </w:tblCellMar>
          <w:tblLook w:val="04A0"/>
        </w:tblPrEx>
        <w:tc>
          <w:tcPr>
            <w:tcW w:w="1164" w:type="dxa"/>
          </w:tcPr>
          <w:p w:rsidR="004C114D" w:rsidRPr="004C114D" w:rsidP="004C114D" w14:paraId="52D550FA" w14:textId="27533F1F">
            <w:pPr>
              <w:pStyle w:val="LTableTextAbt"/>
              <w:keepNext w:val="0"/>
              <w:rPr>
                <w:sz w:val="22"/>
                <w:szCs w:val="22"/>
              </w:rPr>
            </w:pPr>
            <w:r w:rsidRPr="004C114D">
              <w:rPr>
                <w:sz w:val="22"/>
                <w:szCs w:val="22"/>
              </w:rPr>
              <w:t>CDR</w:t>
            </w:r>
          </w:p>
        </w:tc>
        <w:tc>
          <w:tcPr>
            <w:tcW w:w="7865" w:type="dxa"/>
          </w:tcPr>
          <w:p w:rsidR="004C114D" w:rsidRPr="004C114D" w:rsidP="004C114D" w14:paraId="5C90630E" w14:textId="5DEF0A98">
            <w:pPr>
              <w:pStyle w:val="LTableTextAbt"/>
              <w:keepNext w:val="0"/>
              <w:rPr>
                <w:sz w:val="22"/>
                <w:szCs w:val="22"/>
              </w:rPr>
            </w:pPr>
            <w:r w:rsidRPr="004C114D">
              <w:rPr>
                <w:sz w:val="22"/>
                <w:szCs w:val="22"/>
              </w:rPr>
              <w:t>Chemical Data Reporting</w:t>
            </w:r>
          </w:p>
        </w:tc>
      </w:tr>
      <w:tr w14:paraId="5ED2237A" w14:textId="77777777" w:rsidTr="004C114D">
        <w:tblPrEx>
          <w:tblW w:w="0" w:type="auto"/>
          <w:tblCellMar>
            <w:bottom w:w="58" w:type="dxa"/>
          </w:tblCellMar>
          <w:tblLook w:val="04A0"/>
        </w:tblPrEx>
        <w:tc>
          <w:tcPr>
            <w:tcW w:w="1164" w:type="dxa"/>
          </w:tcPr>
          <w:p w:rsidR="004C114D" w:rsidRPr="004C114D" w:rsidP="004C114D" w14:paraId="4E717311" w14:textId="72D4BE29">
            <w:pPr>
              <w:pStyle w:val="LTableTextAbt"/>
              <w:keepNext w:val="0"/>
              <w:rPr>
                <w:sz w:val="22"/>
                <w:szCs w:val="22"/>
              </w:rPr>
            </w:pPr>
            <w:r w:rsidRPr="004C114D">
              <w:rPr>
                <w:sz w:val="22"/>
                <w:szCs w:val="22"/>
              </w:rPr>
              <w:t>CIH</w:t>
            </w:r>
          </w:p>
        </w:tc>
        <w:tc>
          <w:tcPr>
            <w:tcW w:w="7865" w:type="dxa"/>
          </w:tcPr>
          <w:p w:rsidR="004C114D" w:rsidRPr="004C114D" w:rsidP="004C114D" w14:paraId="71582D63" w14:textId="423162A8">
            <w:pPr>
              <w:pStyle w:val="LTableTextAbt"/>
              <w:keepNext w:val="0"/>
              <w:rPr>
                <w:sz w:val="22"/>
                <w:szCs w:val="22"/>
              </w:rPr>
            </w:pPr>
            <w:r w:rsidRPr="004C114D">
              <w:rPr>
                <w:sz w:val="22"/>
                <w:szCs w:val="22"/>
              </w:rPr>
              <w:t>Certified industrial hygienist</w:t>
            </w:r>
          </w:p>
        </w:tc>
      </w:tr>
      <w:tr w14:paraId="355849B3" w14:textId="77777777" w:rsidTr="004C114D">
        <w:tblPrEx>
          <w:tblW w:w="0" w:type="auto"/>
          <w:tblCellMar>
            <w:bottom w:w="58" w:type="dxa"/>
          </w:tblCellMar>
          <w:tblLook w:val="04A0"/>
        </w:tblPrEx>
        <w:tc>
          <w:tcPr>
            <w:tcW w:w="1164" w:type="dxa"/>
          </w:tcPr>
          <w:p w:rsidR="004C114D" w:rsidRPr="004C114D" w:rsidP="004C114D" w14:paraId="3EA7EA8B" w14:textId="28980178">
            <w:pPr>
              <w:pStyle w:val="LTableTextAbt"/>
              <w:keepNext w:val="0"/>
              <w:rPr>
                <w:sz w:val="22"/>
                <w:szCs w:val="22"/>
              </w:rPr>
            </w:pPr>
            <w:r w:rsidRPr="004C114D">
              <w:rPr>
                <w:sz w:val="22"/>
                <w:szCs w:val="22"/>
              </w:rPr>
              <w:t>COPD</w:t>
            </w:r>
          </w:p>
        </w:tc>
        <w:tc>
          <w:tcPr>
            <w:tcW w:w="7865" w:type="dxa"/>
          </w:tcPr>
          <w:p w:rsidR="004C114D" w:rsidRPr="004C114D" w:rsidP="004C114D" w14:paraId="4ADDAD90" w14:textId="5FD0E053">
            <w:pPr>
              <w:pStyle w:val="LTableTextAbt"/>
              <w:keepNext w:val="0"/>
              <w:rPr>
                <w:sz w:val="22"/>
                <w:szCs w:val="22"/>
              </w:rPr>
            </w:pPr>
            <w:r w:rsidRPr="004C114D">
              <w:rPr>
                <w:sz w:val="22"/>
                <w:szCs w:val="22"/>
              </w:rPr>
              <w:t>Chronic obstructive pulmonary disease</w:t>
            </w:r>
          </w:p>
        </w:tc>
      </w:tr>
      <w:tr w14:paraId="41C4BE42" w14:textId="77777777" w:rsidTr="004C114D">
        <w:tblPrEx>
          <w:tblW w:w="0" w:type="auto"/>
          <w:tblCellMar>
            <w:bottom w:w="58" w:type="dxa"/>
          </w:tblCellMar>
          <w:tblLook w:val="04A0"/>
        </w:tblPrEx>
        <w:tc>
          <w:tcPr>
            <w:tcW w:w="1164" w:type="dxa"/>
          </w:tcPr>
          <w:p w:rsidR="004C114D" w:rsidRPr="004C114D" w:rsidP="004C114D" w14:paraId="17103072" w14:textId="44254C1E">
            <w:pPr>
              <w:pStyle w:val="LTableTextAbt"/>
              <w:keepNext w:val="0"/>
              <w:rPr>
                <w:sz w:val="22"/>
                <w:szCs w:val="22"/>
              </w:rPr>
            </w:pPr>
            <w:r w:rsidRPr="004C114D">
              <w:rPr>
                <w:sz w:val="22"/>
                <w:szCs w:val="22"/>
              </w:rPr>
              <w:t>COU</w:t>
            </w:r>
          </w:p>
        </w:tc>
        <w:tc>
          <w:tcPr>
            <w:tcW w:w="7865" w:type="dxa"/>
          </w:tcPr>
          <w:p w:rsidR="004C114D" w:rsidRPr="004C114D" w:rsidP="004C114D" w14:paraId="631F45C7" w14:textId="43943531">
            <w:pPr>
              <w:pStyle w:val="LTableTextAbt"/>
              <w:keepNext w:val="0"/>
              <w:rPr>
                <w:sz w:val="22"/>
                <w:szCs w:val="22"/>
              </w:rPr>
            </w:pPr>
            <w:r w:rsidRPr="004C114D">
              <w:rPr>
                <w:sz w:val="22"/>
                <w:szCs w:val="22"/>
              </w:rPr>
              <w:t>Condition of use</w:t>
            </w:r>
          </w:p>
        </w:tc>
      </w:tr>
      <w:tr w14:paraId="7F46304D" w14:textId="77777777" w:rsidTr="004C114D">
        <w:tblPrEx>
          <w:tblW w:w="0" w:type="auto"/>
          <w:tblCellMar>
            <w:bottom w:w="58" w:type="dxa"/>
          </w:tblCellMar>
          <w:tblLook w:val="04A0"/>
        </w:tblPrEx>
        <w:tc>
          <w:tcPr>
            <w:tcW w:w="1164" w:type="dxa"/>
          </w:tcPr>
          <w:p w:rsidR="004C114D" w:rsidRPr="004C114D" w:rsidP="004C114D" w14:paraId="33C3B116" w14:textId="76C4094C">
            <w:pPr>
              <w:pStyle w:val="LTableTextAbt"/>
              <w:keepNext w:val="0"/>
              <w:rPr>
                <w:sz w:val="22"/>
                <w:szCs w:val="22"/>
              </w:rPr>
            </w:pPr>
            <w:r w:rsidRPr="004C114D">
              <w:rPr>
                <w:sz w:val="22"/>
                <w:szCs w:val="22"/>
              </w:rPr>
              <w:t>CPI</w:t>
            </w:r>
          </w:p>
        </w:tc>
        <w:tc>
          <w:tcPr>
            <w:tcW w:w="7865" w:type="dxa"/>
          </w:tcPr>
          <w:p w:rsidR="004C114D" w:rsidRPr="004C114D" w:rsidP="004C114D" w14:paraId="756D5AED" w14:textId="438F0235">
            <w:pPr>
              <w:pStyle w:val="LTableTextAbt"/>
              <w:keepNext w:val="0"/>
              <w:rPr>
                <w:sz w:val="22"/>
                <w:szCs w:val="22"/>
              </w:rPr>
            </w:pPr>
            <w:r w:rsidRPr="004C114D">
              <w:rPr>
                <w:sz w:val="22"/>
                <w:szCs w:val="22"/>
              </w:rPr>
              <w:t>Consumer price index</w:t>
            </w:r>
          </w:p>
        </w:tc>
      </w:tr>
      <w:tr w14:paraId="70DFACA4" w14:textId="77777777" w:rsidTr="004C114D">
        <w:tblPrEx>
          <w:tblW w:w="0" w:type="auto"/>
          <w:tblCellMar>
            <w:bottom w:w="58" w:type="dxa"/>
          </w:tblCellMar>
          <w:tblLook w:val="04A0"/>
        </w:tblPrEx>
        <w:tc>
          <w:tcPr>
            <w:tcW w:w="1164" w:type="dxa"/>
          </w:tcPr>
          <w:p w:rsidR="004C114D" w:rsidRPr="004C114D" w:rsidP="004C114D" w14:paraId="42B80411" w14:textId="2329F66C">
            <w:pPr>
              <w:pStyle w:val="LTableTextAbt"/>
              <w:keepNext w:val="0"/>
              <w:rPr>
                <w:sz w:val="22"/>
                <w:szCs w:val="22"/>
              </w:rPr>
            </w:pPr>
            <w:r w:rsidRPr="004C114D">
              <w:rPr>
                <w:sz w:val="22"/>
                <w:szCs w:val="22"/>
              </w:rPr>
              <w:t>CPMA</w:t>
            </w:r>
          </w:p>
        </w:tc>
        <w:tc>
          <w:tcPr>
            <w:tcW w:w="7865" w:type="dxa"/>
          </w:tcPr>
          <w:p w:rsidR="004C114D" w:rsidRPr="004C114D" w:rsidP="004C114D" w14:paraId="2880D106" w14:textId="61491AB0">
            <w:pPr>
              <w:pStyle w:val="LTableTextAbt"/>
              <w:keepNext w:val="0"/>
              <w:rPr>
                <w:sz w:val="22"/>
                <w:szCs w:val="22"/>
              </w:rPr>
            </w:pPr>
            <w:r w:rsidRPr="004C114D">
              <w:rPr>
                <w:sz w:val="22"/>
                <w:szCs w:val="22"/>
              </w:rPr>
              <w:t>Color Pigment Manufacturing Association</w:t>
            </w:r>
          </w:p>
        </w:tc>
      </w:tr>
      <w:tr w14:paraId="105BD38F" w14:textId="77777777" w:rsidTr="004C114D">
        <w:tblPrEx>
          <w:tblW w:w="0" w:type="auto"/>
          <w:tblCellMar>
            <w:bottom w:w="58" w:type="dxa"/>
          </w:tblCellMar>
          <w:tblLook w:val="04A0"/>
        </w:tblPrEx>
        <w:tc>
          <w:tcPr>
            <w:tcW w:w="1164" w:type="dxa"/>
          </w:tcPr>
          <w:p w:rsidR="004C114D" w:rsidRPr="004C114D" w:rsidP="004C114D" w14:paraId="4FEF0B22" w14:textId="102C2CC8">
            <w:pPr>
              <w:pStyle w:val="LTableTextAbt"/>
              <w:keepNext w:val="0"/>
              <w:rPr>
                <w:sz w:val="22"/>
                <w:szCs w:val="22"/>
              </w:rPr>
            </w:pPr>
            <w:r w:rsidRPr="004C114D">
              <w:rPr>
                <w:sz w:val="22"/>
                <w:szCs w:val="22"/>
              </w:rPr>
              <w:t>EJ</w:t>
            </w:r>
          </w:p>
        </w:tc>
        <w:tc>
          <w:tcPr>
            <w:tcW w:w="7865" w:type="dxa"/>
          </w:tcPr>
          <w:p w:rsidR="004C114D" w:rsidRPr="004C114D" w:rsidP="004C114D" w14:paraId="208B056C" w14:textId="72255371">
            <w:pPr>
              <w:pStyle w:val="LTableTextAbt"/>
              <w:keepNext w:val="0"/>
              <w:rPr>
                <w:sz w:val="22"/>
                <w:szCs w:val="22"/>
              </w:rPr>
            </w:pPr>
            <w:r w:rsidRPr="004C114D">
              <w:rPr>
                <w:sz w:val="22"/>
                <w:szCs w:val="22"/>
              </w:rPr>
              <w:t>Environmental justice</w:t>
            </w:r>
          </w:p>
        </w:tc>
      </w:tr>
      <w:tr w14:paraId="6D111454" w14:textId="77777777" w:rsidTr="004C114D">
        <w:tblPrEx>
          <w:tblW w:w="0" w:type="auto"/>
          <w:tblCellMar>
            <w:bottom w:w="58" w:type="dxa"/>
          </w:tblCellMar>
          <w:tblLook w:val="04A0"/>
        </w:tblPrEx>
        <w:tc>
          <w:tcPr>
            <w:tcW w:w="1164" w:type="dxa"/>
          </w:tcPr>
          <w:p w:rsidR="004C114D" w:rsidRPr="004C114D" w:rsidP="004C114D" w14:paraId="2DCFC7D4" w14:textId="01FFA230">
            <w:pPr>
              <w:pStyle w:val="LTableTextAbt"/>
              <w:keepNext w:val="0"/>
              <w:rPr>
                <w:sz w:val="22"/>
                <w:szCs w:val="22"/>
              </w:rPr>
            </w:pPr>
            <w:r w:rsidRPr="004C114D">
              <w:rPr>
                <w:sz w:val="22"/>
                <w:szCs w:val="22"/>
              </w:rPr>
              <w:t>ELV</w:t>
            </w:r>
          </w:p>
        </w:tc>
        <w:tc>
          <w:tcPr>
            <w:tcW w:w="7865" w:type="dxa"/>
          </w:tcPr>
          <w:p w:rsidR="004C114D" w:rsidRPr="004C114D" w:rsidP="004C114D" w14:paraId="1731D04F" w14:textId="0F9A884C">
            <w:pPr>
              <w:pStyle w:val="LTableTextAbt"/>
              <w:keepNext w:val="0"/>
              <w:rPr>
                <w:sz w:val="22"/>
                <w:szCs w:val="22"/>
              </w:rPr>
            </w:pPr>
            <w:r w:rsidRPr="004C114D">
              <w:rPr>
                <w:sz w:val="22"/>
                <w:szCs w:val="22"/>
              </w:rPr>
              <w:t>End-of-life vehicles</w:t>
            </w:r>
          </w:p>
        </w:tc>
      </w:tr>
      <w:tr w14:paraId="01CC76AB" w14:textId="77777777" w:rsidTr="004C114D">
        <w:tblPrEx>
          <w:tblW w:w="0" w:type="auto"/>
          <w:tblCellMar>
            <w:bottom w:w="58" w:type="dxa"/>
          </w:tblCellMar>
          <w:tblLook w:val="04A0"/>
        </w:tblPrEx>
        <w:tc>
          <w:tcPr>
            <w:tcW w:w="1164" w:type="dxa"/>
          </w:tcPr>
          <w:p w:rsidR="004C114D" w:rsidRPr="004C114D" w:rsidP="004C114D" w14:paraId="4345CC1B" w14:textId="567E2F13">
            <w:pPr>
              <w:pStyle w:val="LTableTextAbt"/>
              <w:keepNext w:val="0"/>
              <w:rPr>
                <w:sz w:val="22"/>
                <w:szCs w:val="22"/>
              </w:rPr>
            </w:pPr>
            <w:r w:rsidRPr="004C114D">
              <w:rPr>
                <w:sz w:val="22"/>
                <w:szCs w:val="22"/>
              </w:rPr>
              <w:t>EPA</w:t>
            </w:r>
          </w:p>
        </w:tc>
        <w:tc>
          <w:tcPr>
            <w:tcW w:w="7865" w:type="dxa"/>
          </w:tcPr>
          <w:p w:rsidR="004C114D" w:rsidRPr="004C114D" w:rsidP="004C114D" w14:paraId="67B40FBB" w14:textId="693C829B">
            <w:pPr>
              <w:pStyle w:val="LTableTextAbt"/>
              <w:keepNext w:val="0"/>
              <w:rPr>
                <w:sz w:val="22"/>
                <w:szCs w:val="22"/>
              </w:rPr>
            </w:pPr>
            <w:r w:rsidRPr="004C114D">
              <w:rPr>
                <w:sz w:val="22"/>
                <w:szCs w:val="22"/>
              </w:rPr>
              <w:t>Environmental Protection Agency</w:t>
            </w:r>
          </w:p>
        </w:tc>
      </w:tr>
      <w:tr w14:paraId="2CD1B199" w14:textId="77777777" w:rsidTr="004C114D">
        <w:tblPrEx>
          <w:tblW w:w="0" w:type="auto"/>
          <w:tblCellMar>
            <w:bottom w:w="58" w:type="dxa"/>
          </w:tblCellMar>
          <w:tblLook w:val="04A0"/>
        </w:tblPrEx>
        <w:tc>
          <w:tcPr>
            <w:tcW w:w="1164" w:type="dxa"/>
          </w:tcPr>
          <w:p w:rsidR="004C114D" w:rsidRPr="004C114D" w:rsidP="004C114D" w14:paraId="1BF129A8" w14:textId="1D7C4FA6">
            <w:pPr>
              <w:pStyle w:val="LTableTextAbt"/>
              <w:keepNext w:val="0"/>
              <w:rPr>
                <w:sz w:val="22"/>
                <w:szCs w:val="22"/>
              </w:rPr>
            </w:pPr>
            <w:r w:rsidRPr="004C114D">
              <w:rPr>
                <w:sz w:val="22"/>
                <w:szCs w:val="22"/>
              </w:rPr>
              <w:t>FEF</w:t>
            </w:r>
          </w:p>
        </w:tc>
        <w:tc>
          <w:tcPr>
            <w:tcW w:w="7865" w:type="dxa"/>
          </w:tcPr>
          <w:p w:rsidR="004C114D" w:rsidRPr="004C114D" w:rsidP="004C114D" w14:paraId="0DD7D9F8" w14:textId="6E4D41C0">
            <w:pPr>
              <w:pStyle w:val="LTableTextAbt"/>
              <w:keepNext w:val="0"/>
              <w:rPr>
                <w:sz w:val="22"/>
                <w:szCs w:val="22"/>
              </w:rPr>
            </w:pPr>
            <w:r w:rsidRPr="004C114D">
              <w:rPr>
                <w:sz w:val="22"/>
                <w:szCs w:val="22"/>
              </w:rPr>
              <w:t>Forced expiratory flow</w:t>
            </w:r>
          </w:p>
        </w:tc>
      </w:tr>
      <w:tr w14:paraId="653DB5D0" w14:textId="77777777" w:rsidTr="004C114D">
        <w:tblPrEx>
          <w:tblW w:w="0" w:type="auto"/>
          <w:tblCellMar>
            <w:bottom w:w="58" w:type="dxa"/>
          </w:tblCellMar>
          <w:tblLook w:val="04A0"/>
        </w:tblPrEx>
        <w:tc>
          <w:tcPr>
            <w:tcW w:w="1164" w:type="dxa"/>
          </w:tcPr>
          <w:p w:rsidR="004C114D" w:rsidRPr="004C114D" w:rsidP="004C114D" w14:paraId="0396FE65" w14:textId="4D471326">
            <w:pPr>
              <w:pStyle w:val="LTableTextAbt"/>
              <w:keepNext w:val="0"/>
              <w:rPr>
                <w:sz w:val="22"/>
                <w:szCs w:val="22"/>
              </w:rPr>
            </w:pPr>
            <w:r w:rsidRPr="004C114D">
              <w:rPr>
                <w:sz w:val="22"/>
                <w:szCs w:val="22"/>
              </w:rPr>
              <w:t>FEV</w:t>
            </w:r>
          </w:p>
        </w:tc>
        <w:tc>
          <w:tcPr>
            <w:tcW w:w="7865" w:type="dxa"/>
          </w:tcPr>
          <w:p w:rsidR="004C114D" w:rsidRPr="004C114D" w:rsidP="004C114D" w14:paraId="52AA2AED" w14:textId="04C91093">
            <w:pPr>
              <w:pStyle w:val="LTableTextAbt"/>
              <w:keepNext w:val="0"/>
              <w:rPr>
                <w:sz w:val="22"/>
                <w:szCs w:val="22"/>
              </w:rPr>
            </w:pPr>
            <w:r w:rsidRPr="004C114D">
              <w:rPr>
                <w:sz w:val="22"/>
                <w:szCs w:val="22"/>
              </w:rPr>
              <w:t>Forced expiratory volume</w:t>
            </w:r>
          </w:p>
        </w:tc>
      </w:tr>
      <w:tr w14:paraId="4B30567F" w14:textId="77777777" w:rsidTr="004C114D">
        <w:tblPrEx>
          <w:tblW w:w="0" w:type="auto"/>
          <w:tblCellMar>
            <w:bottom w:w="58" w:type="dxa"/>
          </w:tblCellMar>
          <w:tblLook w:val="04A0"/>
        </w:tblPrEx>
        <w:tc>
          <w:tcPr>
            <w:tcW w:w="1164" w:type="dxa"/>
          </w:tcPr>
          <w:p w:rsidR="004C114D" w:rsidRPr="004C114D" w:rsidP="004C114D" w14:paraId="0B74E61A" w14:textId="3FED98BB">
            <w:pPr>
              <w:pStyle w:val="LTableTextAbt"/>
              <w:keepNext w:val="0"/>
              <w:rPr>
                <w:sz w:val="22"/>
                <w:szCs w:val="22"/>
              </w:rPr>
            </w:pPr>
            <w:r w:rsidRPr="004C114D">
              <w:rPr>
                <w:sz w:val="22"/>
                <w:szCs w:val="22"/>
              </w:rPr>
              <w:t>FVC</w:t>
            </w:r>
          </w:p>
        </w:tc>
        <w:tc>
          <w:tcPr>
            <w:tcW w:w="7865" w:type="dxa"/>
          </w:tcPr>
          <w:p w:rsidR="004C114D" w:rsidRPr="004C114D" w:rsidP="004C114D" w14:paraId="1EAC1863" w14:textId="0D2F751D">
            <w:pPr>
              <w:pStyle w:val="LTableTextAbt"/>
              <w:keepNext w:val="0"/>
              <w:rPr>
                <w:sz w:val="22"/>
                <w:szCs w:val="22"/>
              </w:rPr>
            </w:pPr>
            <w:r w:rsidRPr="004C114D">
              <w:rPr>
                <w:sz w:val="22"/>
                <w:szCs w:val="22"/>
              </w:rPr>
              <w:t>Forced vital capacity</w:t>
            </w:r>
          </w:p>
        </w:tc>
      </w:tr>
      <w:tr w14:paraId="5C25D3C8" w14:textId="77777777" w:rsidTr="004C114D">
        <w:tblPrEx>
          <w:tblW w:w="0" w:type="auto"/>
          <w:tblCellMar>
            <w:bottom w:w="58" w:type="dxa"/>
          </w:tblCellMar>
          <w:tblLook w:val="04A0"/>
        </w:tblPrEx>
        <w:tc>
          <w:tcPr>
            <w:tcW w:w="1164" w:type="dxa"/>
          </w:tcPr>
          <w:p w:rsidR="004C114D" w:rsidRPr="004C114D" w:rsidP="004C114D" w14:paraId="18731963" w14:textId="272BD7F2">
            <w:pPr>
              <w:pStyle w:val="LTableTextAbt"/>
              <w:keepNext w:val="0"/>
              <w:rPr>
                <w:sz w:val="22"/>
                <w:szCs w:val="22"/>
              </w:rPr>
            </w:pPr>
            <w:r w:rsidRPr="004C114D">
              <w:rPr>
                <w:sz w:val="22"/>
                <w:szCs w:val="22"/>
              </w:rPr>
              <w:t>GDP</w:t>
            </w:r>
          </w:p>
        </w:tc>
        <w:tc>
          <w:tcPr>
            <w:tcW w:w="7865" w:type="dxa"/>
          </w:tcPr>
          <w:p w:rsidR="004C114D" w:rsidRPr="004C114D" w:rsidP="004C114D" w14:paraId="12A196E0" w14:textId="499C4DA7">
            <w:pPr>
              <w:pStyle w:val="LTableTextAbt"/>
              <w:keepNext w:val="0"/>
              <w:rPr>
                <w:sz w:val="22"/>
                <w:szCs w:val="22"/>
              </w:rPr>
            </w:pPr>
            <w:r w:rsidRPr="004C114D">
              <w:rPr>
                <w:sz w:val="22"/>
                <w:szCs w:val="22"/>
              </w:rPr>
              <w:t>Gross domestic product</w:t>
            </w:r>
          </w:p>
        </w:tc>
      </w:tr>
      <w:tr w14:paraId="5E3127AF" w14:textId="77777777" w:rsidTr="004C114D">
        <w:tblPrEx>
          <w:tblW w:w="0" w:type="auto"/>
          <w:tblCellMar>
            <w:bottom w:w="58" w:type="dxa"/>
          </w:tblCellMar>
          <w:tblLook w:val="04A0"/>
        </w:tblPrEx>
        <w:tc>
          <w:tcPr>
            <w:tcW w:w="1164" w:type="dxa"/>
          </w:tcPr>
          <w:p w:rsidR="004C114D" w:rsidRPr="004C114D" w:rsidP="004C114D" w14:paraId="323A99A4" w14:textId="3CF8C7C6">
            <w:pPr>
              <w:pStyle w:val="LTableTextAbt"/>
              <w:keepNext w:val="0"/>
              <w:rPr>
                <w:sz w:val="22"/>
                <w:szCs w:val="22"/>
              </w:rPr>
            </w:pPr>
            <w:r w:rsidRPr="004C114D">
              <w:rPr>
                <w:sz w:val="22"/>
                <w:szCs w:val="22"/>
              </w:rPr>
              <w:t>HEC</w:t>
            </w:r>
          </w:p>
        </w:tc>
        <w:tc>
          <w:tcPr>
            <w:tcW w:w="7865" w:type="dxa"/>
          </w:tcPr>
          <w:p w:rsidR="004C114D" w:rsidRPr="004C114D" w:rsidP="004C114D" w14:paraId="0D24F755" w14:textId="4E435419">
            <w:pPr>
              <w:pStyle w:val="LTableTextAbt"/>
              <w:keepNext w:val="0"/>
              <w:rPr>
                <w:sz w:val="22"/>
                <w:szCs w:val="22"/>
              </w:rPr>
            </w:pPr>
            <w:r w:rsidRPr="004C114D">
              <w:rPr>
                <w:sz w:val="22"/>
                <w:szCs w:val="22"/>
              </w:rPr>
              <w:t>Human equivalent concentration</w:t>
            </w:r>
          </w:p>
        </w:tc>
      </w:tr>
      <w:tr w14:paraId="7567D270" w14:textId="77777777" w:rsidTr="004C114D">
        <w:tblPrEx>
          <w:tblW w:w="0" w:type="auto"/>
          <w:tblCellMar>
            <w:bottom w:w="58" w:type="dxa"/>
          </w:tblCellMar>
          <w:tblLook w:val="04A0"/>
        </w:tblPrEx>
        <w:tc>
          <w:tcPr>
            <w:tcW w:w="1164" w:type="dxa"/>
          </w:tcPr>
          <w:p w:rsidR="004C114D" w:rsidRPr="004C114D" w:rsidP="004C114D" w14:paraId="1ECC3A12" w14:textId="3B2C9575">
            <w:pPr>
              <w:pStyle w:val="LTableTextAbt"/>
              <w:keepNext w:val="0"/>
              <w:rPr>
                <w:sz w:val="22"/>
                <w:szCs w:val="22"/>
              </w:rPr>
            </w:pPr>
            <w:r w:rsidRPr="004C114D">
              <w:rPr>
                <w:sz w:val="22"/>
                <w:szCs w:val="22"/>
              </w:rPr>
              <w:t>HEPA</w:t>
            </w:r>
          </w:p>
        </w:tc>
        <w:tc>
          <w:tcPr>
            <w:tcW w:w="7865" w:type="dxa"/>
          </w:tcPr>
          <w:p w:rsidR="004C114D" w:rsidRPr="004C114D" w:rsidP="004C114D" w14:paraId="1BDC81AF" w14:textId="02F6958A">
            <w:pPr>
              <w:pStyle w:val="LTableTextAbt"/>
              <w:keepNext w:val="0"/>
              <w:rPr>
                <w:sz w:val="22"/>
                <w:szCs w:val="22"/>
              </w:rPr>
            </w:pPr>
            <w:r w:rsidRPr="004C114D">
              <w:rPr>
                <w:sz w:val="22"/>
                <w:szCs w:val="22"/>
              </w:rPr>
              <w:t>High efficiency particulate air</w:t>
            </w:r>
          </w:p>
        </w:tc>
      </w:tr>
      <w:tr w14:paraId="4D2E2C4E" w14:textId="77777777" w:rsidTr="004C114D">
        <w:tblPrEx>
          <w:tblW w:w="0" w:type="auto"/>
          <w:tblCellMar>
            <w:bottom w:w="58" w:type="dxa"/>
          </w:tblCellMar>
          <w:tblLook w:val="04A0"/>
        </w:tblPrEx>
        <w:tc>
          <w:tcPr>
            <w:tcW w:w="1164" w:type="dxa"/>
          </w:tcPr>
          <w:p w:rsidR="004C114D" w:rsidRPr="004C114D" w:rsidP="004C114D" w14:paraId="2B0117E9" w14:textId="77A2112F">
            <w:pPr>
              <w:pStyle w:val="LTableTextAbt"/>
              <w:keepNext w:val="0"/>
              <w:rPr>
                <w:sz w:val="22"/>
                <w:szCs w:val="22"/>
              </w:rPr>
            </w:pPr>
            <w:r w:rsidRPr="004C114D">
              <w:rPr>
                <w:sz w:val="22"/>
                <w:szCs w:val="22"/>
              </w:rPr>
              <w:t>HVAC</w:t>
            </w:r>
          </w:p>
        </w:tc>
        <w:tc>
          <w:tcPr>
            <w:tcW w:w="7865" w:type="dxa"/>
          </w:tcPr>
          <w:p w:rsidR="004C114D" w:rsidRPr="004C114D" w:rsidP="004C114D" w14:paraId="63FF1DFC" w14:textId="2EF8EBAD">
            <w:pPr>
              <w:pStyle w:val="LTableTextAbt"/>
              <w:keepNext w:val="0"/>
              <w:rPr>
                <w:sz w:val="22"/>
                <w:szCs w:val="22"/>
              </w:rPr>
            </w:pPr>
            <w:r w:rsidRPr="004C114D">
              <w:rPr>
                <w:sz w:val="22"/>
                <w:szCs w:val="22"/>
              </w:rPr>
              <w:t>Heating, ventilation, and air conditioning</w:t>
            </w:r>
          </w:p>
        </w:tc>
      </w:tr>
      <w:tr w14:paraId="3237138E" w14:textId="77777777" w:rsidTr="004C114D">
        <w:tblPrEx>
          <w:tblW w:w="0" w:type="auto"/>
          <w:tblCellMar>
            <w:bottom w:w="58" w:type="dxa"/>
          </w:tblCellMar>
          <w:tblLook w:val="04A0"/>
        </w:tblPrEx>
        <w:tc>
          <w:tcPr>
            <w:tcW w:w="1164" w:type="dxa"/>
          </w:tcPr>
          <w:p w:rsidR="004C114D" w:rsidRPr="004C114D" w:rsidP="004C114D" w14:paraId="7F668B6B" w14:textId="341253D0">
            <w:pPr>
              <w:pStyle w:val="LTableTextAbt"/>
              <w:keepNext w:val="0"/>
              <w:rPr>
                <w:sz w:val="22"/>
                <w:szCs w:val="22"/>
              </w:rPr>
            </w:pPr>
            <w:r w:rsidRPr="004C114D">
              <w:rPr>
                <w:sz w:val="22"/>
                <w:szCs w:val="22"/>
              </w:rPr>
              <w:t>ICR</w:t>
            </w:r>
          </w:p>
        </w:tc>
        <w:tc>
          <w:tcPr>
            <w:tcW w:w="7865" w:type="dxa"/>
          </w:tcPr>
          <w:p w:rsidR="004C114D" w:rsidRPr="004C114D" w:rsidP="004C114D" w14:paraId="1BFF74F8" w14:textId="5557CD12">
            <w:pPr>
              <w:pStyle w:val="LTableTextAbt"/>
              <w:keepNext w:val="0"/>
              <w:rPr>
                <w:sz w:val="22"/>
                <w:szCs w:val="22"/>
              </w:rPr>
            </w:pPr>
            <w:r w:rsidRPr="004C114D">
              <w:rPr>
                <w:sz w:val="22"/>
                <w:szCs w:val="22"/>
              </w:rPr>
              <w:t>Information Collection Request</w:t>
            </w:r>
          </w:p>
        </w:tc>
      </w:tr>
      <w:tr w14:paraId="055B841F" w14:textId="77777777" w:rsidTr="004C114D">
        <w:tblPrEx>
          <w:tblW w:w="0" w:type="auto"/>
          <w:tblCellMar>
            <w:bottom w:w="58" w:type="dxa"/>
          </w:tblCellMar>
          <w:tblLook w:val="04A0"/>
        </w:tblPrEx>
        <w:tc>
          <w:tcPr>
            <w:tcW w:w="1164" w:type="dxa"/>
          </w:tcPr>
          <w:p w:rsidR="004C114D" w:rsidRPr="004C114D" w:rsidP="004C114D" w14:paraId="05F5F0AD" w14:textId="04E95664">
            <w:pPr>
              <w:pStyle w:val="LTableTextAbt"/>
              <w:keepNext w:val="0"/>
              <w:rPr>
                <w:sz w:val="22"/>
                <w:szCs w:val="22"/>
              </w:rPr>
            </w:pPr>
            <w:r w:rsidRPr="004C114D">
              <w:rPr>
                <w:sz w:val="22"/>
                <w:szCs w:val="22"/>
              </w:rPr>
              <w:t>LOD</w:t>
            </w:r>
          </w:p>
        </w:tc>
        <w:tc>
          <w:tcPr>
            <w:tcW w:w="7865" w:type="dxa"/>
          </w:tcPr>
          <w:p w:rsidR="004C114D" w:rsidRPr="004C114D" w:rsidP="004C114D" w14:paraId="471ED844" w14:textId="581DBE12">
            <w:pPr>
              <w:pStyle w:val="LTableTextAbt"/>
              <w:keepNext w:val="0"/>
              <w:rPr>
                <w:sz w:val="22"/>
                <w:szCs w:val="22"/>
              </w:rPr>
            </w:pPr>
            <w:r w:rsidRPr="004C114D">
              <w:rPr>
                <w:sz w:val="22"/>
                <w:szCs w:val="22"/>
              </w:rPr>
              <w:t>Limit of detection</w:t>
            </w:r>
          </w:p>
        </w:tc>
      </w:tr>
      <w:tr w14:paraId="50C6F493" w14:textId="77777777" w:rsidTr="004C114D">
        <w:tblPrEx>
          <w:tblW w:w="0" w:type="auto"/>
          <w:tblCellMar>
            <w:bottom w:w="58" w:type="dxa"/>
          </w:tblCellMar>
          <w:tblLook w:val="04A0"/>
        </w:tblPrEx>
        <w:tc>
          <w:tcPr>
            <w:tcW w:w="1164" w:type="dxa"/>
          </w:tcPr>
          <w:p w:rsidR="004C114D" w:rsidRPr="004C114D" w:rsidP="004C114D" w14:paraId="22E83D74" w14:textId="258E0063">
            <w:pPr>
              <w:pStyle w:val="LTableTextAbt"/>
              <w:keepNext w:val="0"/>
              <w:rPr>
                <w:sz w:val="22"/>
                <w:szCs w:val="22"/>
              </w:rPr>
            </w:pPr>
            <w:r w:rsidRPr="004C114D">
              <w:rPr>
                <w:sz w:val="22"/>
                <w:szCs w:val="22"/>
              </w:rPr>
              <w:t>LOQ</w:t>
            </w:r>
          </w:p>
        </w:tc>
        <w:tc>
          <w:tcPr>
            <w:tcW w:w="7865" w:type="dxa"/>
          </w:tcPr>
          <w:p w:rsidR="004C114D" w:rsidRPr="004C114D" w:rsidP="004C114D" w14:paraId="428A5AB7" w14:textId="5E42D697">
            <w:pPr>
              <w:pStyle w:val="LTableTextAbt"/>
              <w:keepNext w:val="0"/>
              <w:rPr>
                <w:sz w:val="22"/>
                <w:szCs w:val="22"/>
              </w:rPr>
            </w:pPr>
            <w:r w:rsidRPr="004C114D">
              <w:rPr>
                <w:sz w:val="22"/>
                <w:szCs w:val="22"/>
              </w:rPr>
              <w:t>Limit of quantification</w:t>
            </w:r>
          </w:p>
        </w:tc>
      </w:tr>
      <w:tr w14:paraId="3ABE7B24" w14:textId="77777777" w:rsidTr="004C114D">
        <w:tblPrEx>
          <w:tblW w:w="0" w:type="auto"/>
          <w:tblCellMar>
            <w:bottom w:w="58" w:type="dxa"/>
          </w:tblCellMar>
          <w:tblLook w:val="04A0"/>
        </w:tblPrEx>
        <w:tc>
          <w:tcPr>
            <w:tcW w:w="1164" w:type="dxa"/>
          </w:tcPr>
          <w:p w:rsidR="004C114D" w:rsidRPr="004C114D" w:rsidP="004C114D" w14:paraId="7BA179ED" w14:textId="4208DA88">
            <w:pPr>
              <w:pStyle w:val="LTableTextAbt"/>
              <w:keepNext w:val="0"/>
              <w:rPr>
                <w:sz w:val="22"/>
                <w:szCs w:val="22"/>
              </w:rPr>
            </w:pPr>
            <w:r w:rsidRPr="004C114D">
              <w:rPr>
                <w:sz w:val="22"/>
                <w:szCs w:val="22"/>
              </w:rPr>
              <w:t>mg/m3</w:t>
            </w:r>
          </w:p>
        </w:tc>
        <w:tc>
          <w:tcPr>
            <w:tcW w:w="7865" w:type="dxa"/>
          </w:tcPr>
          <w:p w:rsidR="004C114D" w:rsidRPr="004C114D" w:rsidP="004C114D" w14:paraId="7CCF60B8" w14:textId="6C31C2AB">
            <w:pPr>
              <w:pStyle w:val="LTableTextAbt"/>
              <w:keepNext w:val="0"/>
              <w:rPr>
                <w:sz w:val="22"/>
                <w:szCs w:val="22"/>
              </w:rPr>
            </w:pPr>
            <w:r w:rsidRPr="004C114D">
              <w:rPr>
                <w:sz w:val="22"/>
                <w:szCs w:val="22"/>
              </w:rPr>
              <w:t>Milligrams per cubic meter</w:t>
            </w:r>
          </w:p>
        </w:tc>
      </w:tr>
      <w:tr w14:paraId="7B231A9F" w14:textId="77777777" w:rsidTr="004C114D">
        <w:tblPrEx>
          <w:tblW w:w="0" w:type="auto"/>
          <w:tblCellMar>
            <w:bottom w:w="58" w:type="dxa"/>
          </w:tblCellMar>
          <w:tblLook w:val="04A0"/>
        </w:tblPrEx>
        <w:tc>
          <w:tcPr>
            <w:tcW w:w="1164" w:type="dxa"/>
          </w:tcPr>
          <w:p w:rsidR="004C114D" w:rsidRPr="004C114D" w:rsidP="004C114D" w14:paraId="3886D724" w14:textId="20945AD5">
            <w:pPr>
              <w:pStyle w:val="LTableTextAbt"/>
              <w:keepNext w:val="0"/>
              <w:rPr>
                <w:sz w:val="22"/>
                <w:szCs w:val="22"/>
              </w:rPr>
            </w:pPr>
            <w:r w:rsidRPr="004C114D">
              <w:rPr>
                <w:sz w:val="22"/>
                <w:szCs w:val="22"/>
              </w:rPr>
              <w:t>MOE</w:t>
            </w:r>
          </w:p>
        </w:tc>
        <w:tc>
          <w:tcPr>
            <w:tcW w:w="7865" w:type="dxa"/>
          </w:tcPr>
          <w:p w:rsidR="004C114D" w:rsidRPr="004C114D" w:rsidP="004C114D" w14:paraId="27F8495C" w14:textId="5B05D041">
            <w:pPr>
              <w:pStyle w:val="LTableTextAbt"/>
              <w:keepNext w:val="0"/>
              <w:rPr>
                <w:sz w:val="22"/>
                <w:szCs w:val="22"/>
              </w:rPr>
            </w:pPr>
            <w:r w:rsidRPr="004C114D">
              <w:rPr>
                <w:sz w:val="22"/>
                <w:szCs w:val="22"/>
              </w:rPr>
              <w:t>Margin of exposure</w:t>
            </w:r>
          </w:p>
        </w:tc>
      </w:tr>
      <w:tr w14:paraId="30495802" w14:textId="77777777" w:rsidTr="004C114D">
        <w:tblPrEx>
          <w:tblW w:w="0" w:type="auto"/>
          <w:tblCellMar>
            <w:bottom w:w="58" w:type="dxa"/>
          </w:tblCellMar>
          <w:tblLook w:val="04A0"/>
        </w:tblPrEx>
        <w:tc>
          <w:tcPr>
            <w:tcW w:w="1164" w:type="dxa"/>
          </w:tcPr>
          <w:p w:rsidR="004C114D" w:rsidRPr="004C114D" w:rsidP="004C114D" w14:paraId="0CC13B8D" w14:textId="41D9FC69">
            <w:pPr>
              <w:pStyle w:val="LTableTextAbt"/>
              <w:keepNext w:val="0"/>
              <w:rPr>
                <w:sz w:val="22"/>
                <w:szCs w:val="22"/>
              </w:rPr>
            </w:pPr>
            <w:r w:rsidRPr="004C114D">
              <w:rPr>
                <w:sz w:val="22"/>
                <w:szCs w:val="22"/>
              </w:rPr>
              <w:t>NAICS</w:t>
            </w:r>
          </w:p>
        </w:tc>
        <w:tc>
          <w:tcPr>
            <w:tcW w:w="7865" w:type="dxa"/>
          </w:tcPr>
          <w:p w:rsidR="004C114D" w:rsidRPr="004C114D" w:rsidP="004C114D" w14:paraId="6C165860" w14:textId="5C46F6CD">
            <w:pPr>
              <w:pStyle w:val="LTableTextAbt"/>
              <w:keepNext w:val="0"/>
              <w:rPr>
                <w:sz w:val="22"/>
                <w:szCs w:val="22"/>
              </w:rPr>
            </w:pPr>
            <w:r w:rsidRPr="004C114D">
              <w:rPr>
                <w:sz w:val="22"/>
                <w:szCs w:val="22"/>
              </w:rPr>
              <w:t>North American Industry Classification System</w:t>
            </w:r>
          </w:p>
        </w:tc>
      </w:tr>
      <w:tr w14:paraId="6D939E75" w14:textId="77777777" w:rsidTr="004C114D">
        <w:tblPrEx>
          <w:tblW w:w="0" w:type="auto"/>
          <w:tblCellMar>
            <w:bottom w:w="58" w:type="dxa"/>
          </w:tblCellMar>
          <w:tblLook w:val="04A0"/>
        </w:tblPrEx>
        <w:tc>
          <w:tcPr>
            <w:tcW w:w="1164" w:type="dxa"/>
          </w:tcPr>
          <w:p w:rsidR="004C114D" w:rsidRPr="004C114D" w:rsidP="004C114D" w14:paraId="08C20565" w14:textId="542A3082">
            <w:pPr>
              <w:pStyle w:val="LTableTextAbt"/>
              <w:keepNext w:val="0"/>
              <w:rPr>
                <w:sz w:val="22"/>
                <w:szCs w:val="22"/>
              </w:rPr>
            </w:pPr>
            <w:r w:rsidRPr="004C114D">
              <w:rPr>
                <w:sz w:val="22"/>
                <w:szCs w:val="22"/>
              </w:rPr>
              <w:t>NIOSH</w:t>
            </w:r>
          </w:p>
        </w:tc>
        <w:tc>
          <w:tcPr>
            <w:tcW w:w="7865" w:type="dxa"/>
          </w:tcPr>
          <w:p w:rsidR="004C114D" w:rsidRPr="004C114D" w:rsidP="004C114D" w14:paraId="16559DCE" w14:textId="4DF8E377">
            <w:pPr>
              <w:pStyle w:val="LTableTextAbt"/>
              <w:keepNext w:val="0"/>
              <w:rPr>
                <w:sz w:val="22"/>
                <w:szCs w:val="22"/>
              </w:rPr>
            </w:pPr>
            <w:r w:rsidRPr="004C114D">
              <w:rPr>
                <w:sz w:val="22"/>
                <w:szCs w:val="22"/>
              </w:rPr>
              <w:t>National Institute for Occupational Safety and Health</w:t>
            </w:r>
          </w:p>
        </w:tc>
      </w:tr>
      <w:tr w14:paraId="18DAECAE" w14:textId="77777777" w:rsidTr="004C114D">
        <w:tblPrEx>
          <w:tblW w:w="0" w:type="auto"/>
          <w:tblCellMar>
            <w:bottom w:w="58" w:type="dxa"/>
          </w:tblCellMar>
          <w:tblLook w:val="04A0"/>
        </w:tblPrEx>
        <w:tc>
          <w:tcPr>
            <w:tcW w:w="1164" w:type="dxa"/>
          </w:tcPr>
          <w:p w:rsidR="004C114D" w:rsidRPr="004C114D" w:rsidP="004C114D" w14:paraId="5332D84D" w14:textId="5B49AE84">
            <w:pPr>
              <w:pStyle w:val="LTableTextAbt"/>
              <w:keepNext w:val="0"/>
              <w:rPr>
                <w:sz w:val="22"/>
                <w:szCs w:val="22"/>
              </w:rPr>
            </w:pPr>
            <w:r w:rsidRPr="004C114D">
              <w:rPr>
                <w:sz w:val="22"/>
                <w:szCs w:val="22"/>
              </w:rPr>
              <w:t>NOAEC</w:t>
            </w:r>
          </w:p>
        </w:tc>
        <w:tc>
          <w:tcPr>
            <w:tcW w:w="7865" w:type="dxa"/>
          </w:tcPr>
          <w:p w:rsidR="004C114D" w:rsidRPr="004C114D" w:rsidP="004C114D" w14:paraId="60A0EE18" w14:textId="342F81EB">
            <w:pPr>
              <w:pStyle w:val="LTableTextAbt"/>
              <w:keepNext w:val="0"/>
              <w:rPr>
                <w:sz w:val="22"/>
                <w:szCs w:val="22"/>
              </w:rPr>
            </w:pPr>
            <w:r w:rsidRPr="004C114D">
              <w:rPr>
                <w:sz w:val="22"/>
                <w:szCs w:val="22"/>
              </w:rPr>
              <w:t>no observed adverse effect concentration</w:t>
            </w:r>
          </w:p>
        </w:tc>
      </w:tr>
      <w:tr w14:paraId="6F65B98B" w14:textId="77777777" w:rsidTr="004C114D">
        <w:tblPrEx>
          <w:tblW w:w="0" w:type="auto"/>
          <w:tblCellMar>
            <w:bottom w:w="58" w:type="dxa"/>
          </w:tblCellMar>
          <w:tblLook w:val="04A0"/>
        </w:tblPrEx>
        <w:tc>
          <w:tcPr>
            <w:tcW w:w="1164" w:type="dxa"/>
          </w:tcPr>
          <w:p w:rsidR="004C114D" w:rsidRPr="004C114D" w:rsidP="004C114D" w14:paraId="21B6A083" w14:textId="648F8DD8">
            <w:pPr>
              <w:pStyle w:val="LTableTextAbt"/>
              <w:keepNext w:val="0"/>
              <w:rPr>
                <w:sz w:val="22"/>
                <w:szCs w:val="22"/>
              </w:rPr>
            </w:pPr>
            <w:r w:rsidRPr="004C114D">
              <w:rPr>
                <w:sz w:val="22"/>
                <w:szCs w:val="22"/>
              </w:rPr>
              <w:t>OEM</w:t>
            </w:r>
          </w:p>
        </w:tc>
        <w:tc>
          <w:tcPr>
            <w:tcW w:w="7865" w:type="dxa"/>
          </w:tcPr>
          <w:p w:rsidR="004C114D" w:rsidRPr="004C114D" w:rsidP="004C114D" w14:paraId="76387822" w14:textId="577049A8">
            <w:pPr>
              <w:pStyle w:val="LTableTextAbt"/>
              <w:keepNext w:val="0"/>
              <w:rPr>
                <w:sz w:val="22"/>
                <w:szCs w:val="22"/>
              </w:rPr>
            </w:pPr>
            <w:r w:rsidRPr="004C114D">
              <w:rPr>
                <w:sz w:val="22"/>
                <w:szCs w:val="22"/>
              </w:rPr>
              <w:t>original equipment manufacture</w:t>
            </w:r>
          </w:p>
        </w:tc>
      </w:tr>
      <w:tr w14:paraId="1C318078" w14:textId="77777777" w:rsidTr="004C114D">
        <w:tblPrEx>
          <w:tblW w:w="0" w:type="auto"/>
          <w:tblCellMar>
            <w:bottom w:w="58" w:type="dxa"/>
          </w:tblCellMar>
          <w:tblLook w:val="04A0"/>
        </w:tblPrEx>
        <w:tc>
          <w:tcPr>
            <w:tcW w:w="1164" w:type="dxa"/>
          </w:tcPr>
          <w:p w:rsidR="004C114D" w:rsidRPr="004C114D" w:rsidP="004C114D" w14:paraId="2C8BF9D1" w14:textId="24D90EAE">
            <w:pPr>
              <w:pStyle w:val="LTableTextAbt"/>
              <w:keepNext w:val="0"/>
              <w:rPr>
                <w:sz w:val="22"/>
                <w:szCs w:val="22"/>
              </w:rPr>
            </w:pPr>
            <w:r w:rsidRPr="004C114D">
              <w:rPr>
                <w:sz w:val="22"/>
                <w:szCs w:val="22"/>
              </w:rPr>
              <w:t>ONU</w:t>
            </w:r>
          </w:p>
        </w:tc>
        <w:tc>
          <w:tcPr>
            <w:tcW w:w="7865" w:type="dxa"/>
          </w:tcPr>
          <w:p w:rsidR="004C114D" w:rsidRPr="004C114D" w:rsidP="004C114D" w14:paraId="10FB8532" w14:textId="5CDE3584">
            <w:pPr>
              <w:pStyle w:val="LTableTextAbt"/>
              <w:keepNext w:val="0"/>
              <w:rPr>
                <w:sz w:val="22"/>
                <w:szCs w:val="22"/>
              </w:rPr>
            </w:pPr>
            <w:r w:rsidRPr="004C114D">
              <w:rPr>
                <w:sz w:val="22"/>
                <w:szCs w:val="22"/>
              </w:rPr>
              <w:t>Occupational non-user</w:t>
            </w:r>
          </w:p>
        </w:tc>
      </w:tr>
      <w:tr w14:paraId="0EBBD2ED" w14:textId="77777777" w:rsidTr="004C114D">
        <w:tblPrEx>
          <w:tblW w:w="0" w:type="auto"/>
          <w:tblCellMar>
            <w:bottom w:w="58" w:type="dxa"/>
          </w:tblCellMar>
          <w:tblLook w:val="04A0"/>
        </w:tblPrEx>
        <w:tc>
          <w:tcPr>
            <w:tcW w:w="1164" w:type="dxa"/>
          </w:tcPr>
          <w:p w:rsidR="004C114D" w:rsidRPr="004C114D" w:rsidP="004C114D" w14:paraId="321A4300" w14:textId="547829E5">
            <w:pPr>
              <w:pStyle w:val="LTableTextAbt"/>
              <w:keepNext w:val="0"/>
              <w:rPr>
                <w:sz w:val="22"/>
                <w:szCs w:val="22"/>
              </w:rPr>
            </w:pPr>
            <w:r w:rsidRPr="004C114D">
              <w:rPr>
                <w:sz w:val="22"/>
                <w:szCs w:val="22"/>
              </w:rPr>
              <w:t>OR</w:t>
            </w:r>
          </w:p>
        </w:tc>
        <w:tc>
          <w:tcPr>
            <w:tcW w:w="7865" w:type="dxa"/>
          </w:tcPr>
          <w:p w:rsidR="004C114D" w:rsidRPr="004C114D" w:rsidP="004C114D" w14:paraId="348934D0" w14:textId="1C3288F1">
            <w:pPr>
              <w:pStyle w:val="LTableTextAbt"/>
              <w:keepNext w:val="0"/>
              <w:rPr>
                <w:sz w:val="22"/>
                <w:szCs w:val="22"/>
              </w:rPr>
            </w:pPr>
            <w:r w:rsidRPr="004C114D">
              <w:rPr>
                <w:sz w:val="22"/>
                <w:szCs w:val="22"/>
              </w:rPr>
              <w:t>Odds ratio</w:t>
            </w:r>
          </w:p>
        </w:tc>
      </w:tr>
      <w:tr w14:paraId="44A845C8" w14:textId="77777777" w:rsidTr="004C114D">
        <w:tblPrEx>
          <w:tblW w:w="0" w:type="auto"/>
          <w:tblCellMar>
            <w:bottom w:w="58" w:type="dxa"/>
          </w:tblCellMar>
          <w:tblLook w:val="04A0"/>
        </w:tblPrEx>
        <w:tc>
          <w:tcPr>
            <w:tcW w:w="1164" w:type="dxa"/>
          </w:tcPr>
          <w:p w:rsidR="004C114D" w:rsidRPr="004C114D" w:rsidP="004C114D" w14:paraId="56978CE3" w14:textId="26BBFE02">
            <w:pPr>
              <w:pStyle w:val="LTableTextAbt"/>
              <w:keepNext w:val="0"/>
              <w:rPr>
                <w:sz w:val="22"/>
                <w:szCs w:val="22"/>
              </w:rPr>
            </w:pPr>
            <w:r w:rsidRPr="004C114D">
              <w:rPr>
                <w:sz w:val="22"/>
                <w:szCs w:val="22"/>
              </w:rPr>
              <w:t>OSHA</w:t>
            </w:r>
          </w:p>
        </w:tc>
        <w:tc>
          <w:tcPr>
            <w:tcW w:w="7865" w:type="dxa"/>
          </w:tcPr>
          <w:p w:rsidR="004C114D" w:rsidRPr="004C114D" w:rsidP="004C114D" w14:paraId="0F04C28D" w14:textId="151031FE">
            <w:pPr>
              <w:pStyle w:val="LTableTextAbt"/>
              <w:keepNext w:val="0"/>
              <w:rPr>
                <w:sz w:val="22"/>
                <w:szCs w:val="22"/>
              </w:rPr>
            </w:pPr>
            <w:r w:rsidRPr="004C114D">
              <w:rPr>
                <w:sz w:val="22"/>
                <w:szCs w:val="22"/>
              </w:rPr>
              <w:t>Occupational Safety and Health Administration</w:t>
            </w:r>
          </w:p>
        </w:tc>
      </w:tr>
      <w:tr w14:paraId="640254F7" w14:textId="77777777" w:rsidTr="004C114D">
        <w:tblPrEx>
          <w:tblW w:w="0" w:type="auto"/>
          <w:tblCellMar>
            <w:bottom w:w="58" w:type="dxa"/>
          </w:tblCellMar>
          <w:tblLook w:val="04A0"/>
        </w:tblPrEx>
        <w:tc>
          <w:tcPr>
            <w:tcW w:w="1164" w:type="dxa"/>
          </w:tcPr>
          <w:p w:rsidR="004C114D" w:rsidRPr="004C114D" w:rsidP="004C114D" w14:paraId="0689EA18" w14:textId="15C2C125">
            <w:pPr>
              <w:pStyle w:val="LTableTextAbt"/>
              <w:keepNext w:val="0"/>
              <w:rPr>
                <w:sz w:val="22"/>
                <w:szCs w:val="22"/>
              </w:rPr>
            </w:pPr>
            <w:r w:rsidRPr="004C114D">
              <w:rPr>
                <w:sz w:val="22"/>
                <w:szCs w:val="22"/>
              </w:rPr>
              <w:t>PAPR</w:t>
            </w:r>
          </w:p>
        </w:tc>
        <w:tc>
          <w:tcPr>
            <w:tcW w:w="7865" w:type="dxa"/>
          </w:tcPr>
          <w:p w:rsidR="004C114D" w:rsidRPr="004C114D" w:rsidP="004C114D" w14:paraId="73E6456D" w14:textId="0484CB5F">
            <w:pPr>
              <w:pStyle w:val="LTableTextAbt"/>
              <w:keepNext w:val="0"/>
              <w:rPr>
                <w:sz w:val="22"/>
                <w:szCs w:val="22"/>
              </w:rPr>
            </w:pPr>
            <w:r w:rsidRPr="004C114D">
              <w:rPr>
                <w:sz w:val="22"/>
                <w:szCs w:val="22"/>
              </w:rPr>
              <w:t>Powered air purifying respirator</w:t>
            </w:r>
          </w:p>
        </w:tc>
      </w:tr>
      <w:tr w14:paraId="5ED43F3C" w14:textId="77777777" w:rsidTr="004C114D">
        <w:tblPrEx>
          <w:tblW w:w="0" w:type="auto"/>
          <w:tblCellMar>
            <w:bottom w:w="58" w:type="dxa"/>
          </w:tblCellMar>
          <w:tblLook w:val="04A0"/>
        </w:tblPrEx>
        <w:tc>
          <w:tcPr>
            <w:tcW w:w="1164" w:type="dxa"/>
          </w:tcPr>
          <w:p w:rsidR="004C114D" w:rsidRPr="004C114D" w:rsidP="004C114D" w14:paraId="48827700" w14:textId="013E5311">
            <w:pPr>
              <w:pStyle w:val="LTableTextAbt"/>
              <w:keepNext w:val="0"/>
              <w:rPr>
                <w:sz w:val="22"/>
                <w:szCs w:val="22"/>
              </w:rPr>
            </w:pPr>
            <w:r w:rsidRPr="004C114D">
              <w:rPr>
                <w:sz w:val="22"/>
                <w:szCs w:val="22"/>
              </w:rPr>
              <w:t>PDV</w:t>
            </w:r>
          </w:p>
        </w:tc>
        <w:tc>
          <w:tcPr>
            <w:tcW w:w="7865" w:type="dxa"/>
          </w:tcPr>
          <w:p w:rsidR="004C114D" w:rsidRPr="004C114D" w:rsidP="004C114D" w14:paraId="501C0AB9" w14:textId="1B2EFE24">
            <w:pPr>
              <w:pStyle w:val="LTableTextAbt"/>
              <w:keepNext w:val="0"/>
              <w:rPr>
                <w:sz w:val="22"/>
                <w:szCs w:val="22"/>
              </w:rPr>
            </w:pPr>
            <w:r w:rsidRPr="004C114D">
              <w:rPr>
                <w:sz w:val="22"/>
                <w:szCs w:val="22"/>
              </w:rPr>
              <w:t>Present discounted value</w:t>
            </w:r>
          </w:p>
        </w:tc>
      </w:tr>
      <w:tr w14:paraId="0332406A" w14:textId="77777777" w:rsidTr="004C114D">
        <w:tblPrEx>
          <w:tblW w:w="0" w:type="auto"/>
          <w:tblCellMar>
            <w:bottom w:w="58" w:type="dxa"/>
          </w:tblCellMar>
          <w:tblLook w:val="04A0"/>
        </w:tblPrEx>
        <w:tc>
          <w:tcPr>
            <w:tcW w:w="1164" w:type="dxa"/>
          </w:tcPr>
          <w:p w:rsidR="004C114D" w:rsidRPr="004C114D" w:rsidP="004C114D" w14:paraId="0F8ACD72" w14:textId="2BFDDBC4">
            <w:pPr>
              <w:pStyle w:val="LTableTextAbt"/>
              <w:keepNext w:val="0"/>
              <w:rPr>
                <w:sz w:val="22"/>
                <w:szCs w:val="22"/>
              </w:rPr>
            </w:pPr>
            <w:r w:rsidRPr="004C114D">
              <w:rPr>
                <w:sz w:val="22"/>
                <w:szCs w:val="22"/>
              </w:rPr>
              <w:t>PEF</w:t>
            </w:r>
          </w:p>
        </w:tc>
        <w:tc>
          <w:tcPr>
            <w:tcW w:w="7865" w:type="dxa"/>
          </w:tcPr>
          <w:p w:rsidR="004C114D" w:rsidRPr="004C114D" w:rsidP="004C114D" w14:paraId="5AF8506D" w14:textId="185F59B9">
            <w:pPr>
              <w:pStyle w:val="LTableTextAbt"/>
              <w:keepNext w:val="0"/>
              <w:rPr>
                <w:sz w:val="22"/>
                <w:szCs w:val="22"/>
              </w:rPr>
            </w:pPr>
            <w:r w:rsidRPr="004C114D">
              <w:rPr>
                <w:sz w:val="22"/>
                <w:szCs w:val="22"/>
              </w:rPr>
              <w:t>Peak expiratory flow</w:t>
            </w:r>
          </w:p>
        </w:tc>
      </w:tr>
      <w:tr w14:paraId="5BE8226D" w14:textId="77777777" w:rsidTr="004C114D">
        <w:tblPrEx>
          <w:tblW w:w="0" w:type="auto"/>
          <w:tblCellMar>
            <w:bottom w:w="58" w:type="dxa"/>
          </w:tblCellMar>
          <w:tblLook w:val="04A0"/>
        </w:tblPrEx>
        <w:tc>
          <w:tcPr>
            <w:tcW w:w="1164" w:type="dxa"/>
          </w:tcPr>
          <w:p w:rsidR="004C114D" w:rsidRPr="004C114D" w:rsidP="004C114D" w14:paraId="39DDDBAE" w14:textId="67B52524">
            <w:pPr>
              <w:pStyle w:val="LTableTextAbt"/>
              <w:keepNext w:val="0"/>
              <w:rPr>
                <w:sz w:val="22"/>
                <w:szCs w:val="22"/>
              </w:rPr>
            </w:pPr>
            <w:r w:rsidRPr="004C114D">
              <w:rPr>
                <w:sz w:val="22"/>
                <w:szCs w:val="22"/>
              </w:rPr>
              <w:t>PESS</w:t>
            </w:r>
          </w:p>
        </w:tc>
        <w:tc>
          <w:tcPr>
            <w:tcW w:w="7865" w:type="dxa"/>
          </w:tcPr>
          <w:p w:rsidR="004C114D" w:rsidRPr="004C114D" w:rsidP="004C114D" w14:paraId="0F416C65" w14:textId="6CEB40E2">
            <w:pPr>
              <w:pStyle w:val="LTableTextAbt"/>
              <w:keepNext w:val="0"/>
              <w:rPr>
                <w:sz w:val="22"/>
                <w:szCs w:val="22"/>
              </w:rPr>
            </w:pPr>
            <w:r w:rsidRPr="004C114D">
              <w:rPr>
                <w:sz w:val="22"/>
                <w:szCs w:val="22"/>
              </w:rPr>
              <w:t>Potentially exposed or susceptible subpopulations</w:t>
            </w:r>
          </w:p>
        </w:tc>
      </w:tr>
      <w:tr w14:paraId="39082A97" w14:textId="77777777" w:rsidTr="004C114D">
        <w:tblPrEx>
          <w:tblW w:w="0" w:type="auto"/>
          <w:tblCellMar>
            <w:bottom w:w="58" w:type="dxa"/>
          </w:tblCellMar>
          <w:tblLook w:val="04A0"/>
        </w:tblPrEx>
        <w:tc>
          <w:tcPr>
            <w:tcW w:w="1164" w:type="dxa"/>
          </w:tcPr>
          <w:p w:rsidR="004C114D" w:rsidRPr="004C114D" w:rsidP="004C114D" w14:paraId="737D913A" w14:textId="5FC10DD8">
            <w:pPr>
              <w:pStyle w:val="LTableTextAbt"/>
              <w:keepNext w:val="0"/>
              <w:rPr>
                <w:sz w:val="22"/>
                <w:szCs w:val="22"/>
              </w:rPr>
            </w:pPr>
            <w:r w:rsidRPr="004C114D">
              <w:rPr>
                <w:sz w:val="22"/>
                <w:szCs w:val="22"/>
              </w:rPr>
              <w:t>POD</w:t>
            </w:r>
          </w:p>
        </w:tc>
        <w:tc>
          <w:tcPr>
            <w:tcW w:w="7865" w:type="dxa"/>
          </w:tcPr>
          <w:p w:rsidR="004C114D" w:rsidRPr="004C114D" w:rsidP="004C114D" w14:paraId="333951E9" w14:textId="1C18B1CF">
            <w:pPr>
              <w:pStyle w:val="LTableTextAbt"/>
              <w:keepNext w:val="0"/>
              <w:rPr>
                <w:sz w:val="22"/>
                <w:szCs w:val="22"/>
              </w:rPr>
            </w:pPr>
            <w:r w:rsidRPr="004C114D">
              <w:rPr>
                <w:sz w:val="22"/>
                <w:szCs w:val="22"/>
              </w:rPr>
              <w:t>Point of departure</w:t>
            </w:r>
          </w:p>
        </w:tc>
      </w:tr>
      <w:tr w14:paraId="43C6405E" w14:textId="77777777" w:rsidTr="004C114D">
        <w:tblPrEx>
          <w:tblW w:w="0" w:type="auto"/>
          <w:tblCellMar>
            <w:bottom w:w="58" w:type="dxa"/>
          </w:tblCellMar>
          <w:tblLook w:val="04A0"/>
        </w:tblPrEx>
        <w:tc>
          <w:tcPr>
            <w:tcW w:w="1164" w:type="dxa"/>
          </w:tcPr>
          <w:p w:rsidR="004C114D" w:rsidRPr="004C114D" w:rsidP="004C114D" w14:paraId="0956BF9F" w14:textId="52FAD1E7">
            <w:pPr>
              <w:pStyle w:val="LTableTextAbt"/>
              <w:keepNext w:val="0"/>
              <w:rPr>
                <w:sz w:val="22"/>
                <w:szCs w:val="22"/>
              </w:rPr>
            </w:pPr>
            <w:r w:rsidRPr="004C114D">
              <w:rPr>
                <w:sz w:val="22"/>
                <w:szCs w:val="22"/>
              </w:rPr>
              <w:t>PPE</w:t>
            </w:r>
          </w:p>
        </w:tc>
        <w:tc>
          <w:tcPr>
            <w:tcW w:w="7865" w:type="dxa"/>
          </w:tcPr>
          <w:p w:rsidR="004C114D" w:rsidRPr="004C114D" w:rsidP="004C114D" w14:paraId="6001E54A" w14:textId="4B8C1E48">
            <w:pPr>
              <w:pStyle w:val="LTableTextAbt"/>
              <w:keepNext w:val="0"/>
              <w:rPr>
                <w:sz w:val="22"/>
                <w:szCs w:val="22"/>
              </w:rPr>
            </w:pPr>
            <w:r w:rsidRPr="004C114D">
              <w:rPr>
                <w:sz w:val="22"/>
                <w:szCs w:val="22"/>
              </w:rPr>
              <w:t>Personal protective equipment</w:t>
            </w:r>
          </w:p>
        </w:tc>
      </w:tr>
      <w:tr w14:paraId="2FCB8F25" w14:textId="77777777" w:rsidTr="004C114D">
        <w:tblPrEx>
          <w:tblW w:w="0" w:type="auto"/>
          <w:tblCellMar>
            <w:bottom w:w="58" w:type="dxa"/>
          </w:tblCellMar>
          <w:tblLook w:val="04A0"/>
        </w:tblPrEx>
        <w:tc>
          <w:tcPr>
            <w:tcW w:w="1164" w:type="dxa"/>
          </w:tcPr>
          <w:p w:rsidR="004C114D" w:rsidRPr="004C114D" w:rsidP="004C114D" w14:paraId="27A032FD" w14:textId="1D102BB0">
            <w:pPr>
              <w:pStyle w:val="LTableTextAbt"/>
              <w:keepNext w:val="0"/>
              <w:rPr>
                <w:sz w:val="22"/>
                <w:szCs w:val="22"/>
              </w:rPr>
            </w:pPr>
            <w:r w:rsidRPr="004C114D">
              <w:rPr>
                <w:sz w:val="22"/>
                <w:szCs w:val="22"/>
              </w:rPr>
              <w:t>PV29</w:t>
            </w:r>
          </w:p>
        </w:tc>
        <w:tc>
          <w:tcPr>
            <w:tcW w:w="7865" w:type="dxa"/>
          </w:tcPr>
          <w:p w:rsidR="004C114D" w:rsidRPr="004C114D" w:rsidP="004C114D" w14:paraId="47D0C969" w14:textId="1BE79A4D">
            <w:pPr>
              <w:pStyle w:val="LTableTextAbt"/>
              <w:keepNext w:val="0"/>
              <w:rPr>
                <w:sz w:val="22"/>
                <w:szCs w:val="22"/>
              </w:rPr>
            </w:pPr>
            <w:r w:rsidRPr="004C114D">
              <w:rPr>
                <w:sz w:val="22"/>
                <w:szCs w:val="22"/>
              </w:rPr>
              <w:t>Color Index Pigment Violet 29</w:t>
            </w:r>
          </w:p>
        </w:tc>
      </w:tr>
      <w:tr w14:paraId="5AD6A27C" w14:textId="77777777" w:rsidTr="004C114D">
        <w:tblPrEx>
          <w:tblW w:w="0" w:type="auto"/>
          <w:tblCellMar>
            <w:bottom w:w="58" w:type="dxa"/>
          </w:tblCellMar>
          <w:tblLook w:val="04A0"/>
        </w:tblPrEx>
        <w:tc>
          <w:tcPr>
            <w:tcW w:w="1164" w:type="dxa"/>
          </w:tcPr>
          <w:p w:rsidR="004C114D" w:rsidRPr="004C114D" w:rsidP="004C114D" w14:paraId="2F3F5BA7" w14:textId="5BEAEDC1">
            <w:pPr>
              <w:pStyle w:val="LTableTextAbt"/>
              <w:keepNext w:val="0"/>
              <w:rPr>
                <w:sz w:val="22"/>
                <w:szCs w:val="22"/>
              </w:rPr>
            </w:pPr>
            <w:r w:rsidRPr="004C114D">
              <w:rPr>
                <w:sz w:val="22"/>
                <w:szCs w:val="22"/>
              </w:rPr>
              <w:t>QWI</w:t>
            </w:r>
          </w:p>
        </w:tc>
        <w:tc>
          <w:tcPr>
            <w:tcW w:w="7865" w:type="dxa"/>
          </w:tcPr>
          <w:p w:rsidR="004C114D" w:rsidRPr="004C114D" w:rsidP="004C114D" w14:paraId="2CABEE03" w14:textId="1B56D055">
            <w:pPr>
              <w:pStyle w:val="LTableTextAbt"/>
              <w:keepNext w:val="0"/>
              <w:rPr>
                <w:sz w:val="22"/>
                <w:szCs w:val="22"/>
              </w:rPr>
            </w:pPr>
            <w:r w:rsidRPr="004C114D">
              <w:rPr>
                <w:sz w:val="22"/>
                <w:szCs w:val="22"/>
              </w:rPr>
              <w:t>Quarterly Workforce Indicators</w:t>
            </w:r>
          </w:p>
        </w:tc>
      </w:tr>
      <w:tr w14:paraId="22BF5274" w14:textId="77777777" w:rsidTr="004C114D">
        <w:tblPrEx>
          <w:tblW w:w="0" w:type="auto"/>
          <w:tblCellMar>
            <w:bottom w:w="58" w:type="dxa"/>
          </w:tblCellMar>
          <w:tblLook w:val="04A0"/>
        </w:tblPrEx>
        <w:tc>
          <w:tcPr>
            <w:tcW w:w="1164" w:type="dxa"/>
          </w:tcPr>
          <w:p w:rsidR="004C114D" w:rsidRPr="004C114D" w:rsidP="004C114D" w14:paraId="77244E21" w14:textId="7C6BC9CA">
            <w:pPr>
              <w:pStyle w:val="LTableTextAbt"/>
              <w:keepNext w:val="0"/>
              <w:rPr>
                <w:sz w:val="22"/>
                <w:szCs w:val="22"/>
              </w:rPr>
            </w:pPr>
            <w:r w:rsidRPr="004C114D">
              <w:rPr>
                <w:sz w:val="22"/>
                <w:szCs w:val="22"/>
              </w:rPr>
              <w:t>RFA</w:t>
            </w:r>
          </w:p>
        </w:tc>
        <w:tc>
          <w:tcPr>
            <w:tcW w:w="7865" w:type="dxa"/>
          </w:tcPr>
          <w:p w:rsidR="004C114D" w:rsidRPr="004C114D" w:rsidP="004C114D" w14:paraId="46D63515" w14:textId="23021884">
            <w:pPr>
              <w:pStyle w:val="LTableTextAbt"/>
              <w:keepNext w:val="0"/>
              <w:rPr>
                <w:sz w:val="22"/>
                <w:szCs w:val="22"/>
              </w:rPr>
            </w:pPr>
            <w:r w:rsidRPr="004C114D">
              <w:rPr>
                <w:sz w:val="22"/>
                <w:szCs w:val="22"/>
              </w:rPr>
              <w:t>Regulatory Flexibility Act</w:t>
            </w:r>
          </w:p>
        </w:tc>
      </w:tr>
      <w:tr w14:paraId="48BA6E9C" w14:textId="77777777" w:rsidTr="004C114D">
        <w:tblPrEx>
          <w:tblW w:w="0" w:type="auto"/>
          <w:tblCellMar>
            <w:bottom w:w="58" w:type="dxa"/>
          </w:tblCellMar>
          <w:tblLook w:val="04A0"/>
        </w:tblPrEx>
        <w:tc>
          <w:tcPr>
            <w:tcW w:w="1164" w:type="dxa"/>
          </w:tcPr>
          <w:p w:rsidR="004C114D" w:rsidRPr="004C114D" w:rsidP="004C114D" w14:paraId="20CAEE3B" w14:textId="393DEC7C">
            <w:pPr>
              <w:pStyle w:val="LTableTextAbt"/>
              <w:keepNext w:val="0"/>
              <w:rPr>
                <w:sz w:val="22"/>
                <w:szCs w:val="22"/>
              </w:rPr>
            </w:pPr>
            <w:r w:rsidRPr="004C114D">
              <w:rPr>
                <w:sz w:val="22"/>
                <w:szCs w:val="22"/>
              </w:rPr>
              <w:t>SAR</w:t>
            </w:r>
          </w:p>
        </w:tc>
        <w:tc>
          <w:tcPr>
            <w:tcW w:w="7865" w:type="dxa"/>
          </w:tcPr>
          <w:p w:rsidR="004C114D" w:rsidRPr="004C114D" w:rsidP="004C114D" w14:paraId="242208DB" w14:textId="5E0CE985">
            <w:pPr>
              <w:pStyle w:val="LTableTextAbt"/>
              <w:keepNext w:val="0"/>
              <w:rPr>
                <w:sz w:val="22"/>
                <w:szCs w:val="22"/>
              </w:rPr>
            </w:pPr>
            <w:r w:rsidRPr="004C114D">
              <w:rPr>
                <w:sz w:val="22"/>
                <w:szCs w:val="22"/>
              </w:rPr>
              <w:t>Supplied air respirator</w:t>
            </w:r>
          </w:p>
        </w:tc>
      </w:tr>
      <w:tr w14:paraId="76ADF908" w14:textId="77777777" w:rsidTr="004C114D">
        <w:tblPrEx>
          <w:tblW w:w="0" w:type="auto"/>
          <w:tblCellMar>
            <w:bottom w:w="58" w:type="dxa"/>
          </w:tblCellMar>
          <w:tblLook w:val="04A0"/>
        </w:tblPrEx>
        <w:tc>
          <w:tcPr>
            <w:tcW w:w="1164" w:type="dxa"/>
          </w:tcPr>
          <w:p w:rsidR="004C114D" w:rsidRPr="004C114D" w:rsidP="004C114D" w14:paraId="3332213A" w14:textId="0FB5D0F3">
            <w:pPr>
              <w:pStyle w:val="LTableTextAbt"/>
              <w:keepNext w:val="0"/>
              <w:rPr>
                <w:sz w:val="22"/>
                <w:szCs w:val="22"/>
              </w:rPr>
            </w:pPr>
            <w:r w:rsidRPr="004C114D">
              <w:rPr>
                <w:sz w:val="22"/>
                <w:szCs w:val="22"/>
              </w:rPr>
              <w:t>SBA</w:t>
            </w:r>
          </w:p>
        </w:tc>
        <w:tc>
          <w:tcPr>
            <w:tcW w:w="7865" w:type="dxa"/>
          </w:tcPr>
          <w:p w:rsidR="004C114D" w:rsidRPr="004C114D" w:rsidP="004C114D" w14:paraId="25317DA5" w14:textId="081DE597">
            <w:pPr>
              <w:pStyle w:val="LTableTextAbt"/>
              <w:keepNext w:val="0"/>
              <w:rPr>
                <w:sz w:val="22"/>
                <w:szCs w:val="22"/>
              </w:rPr>
            </w:pPr>
            <w:r w:rsidRPr="004C114D">
              <w:rPr>
                <w:sz w:val="22"/>
                <w:szCs w:val="22"/>
              </w:rPr>
              <w:t>Small Business Administration</w:t>
            </w:r>
          </w:p>
        </w:tc>
      </w:tr>
      <w:tr w14:paraId="28FFC15F" w14:textId="77777777" w:rsidTr="004C114D">
        <w:tblPrEx>
          <w:tblW w:w="0" w:type="auto"/>
          <w:tblCellMar>
            <w:bottom w:w="58" w:type="dxa"/>
          </w:tblCellMar>
          <w:tblLook w:val="04A0"/>
        </w:tblPrEx>
        <w:tc>
          <w:tcPr>
            <w:tcW w:w="1164" w:type="dxa"/>
          </w:tcPr>
          <w:p w:rsidR="004C114D" w:rsidRPr="004C114D" w:rsidP="004C114D" w14:paraId="0B379CCC" w14:textId="00391358">
            <w:pPr>
              <w:pStyle w:val="LTableTextAbt"/>
              <w:keepNext w:val="0"/>
              <w:rPr>
                <w:sz w:val="22"/>
                <w:szCs w:val="22"/>
              </w:rPr>
            </w:pPr>
            <w:r w:rsidRPr="004C114D">
              <w:rPr>
                <w:sz w:val="22"/>
                <w:szCs w:val="22"/>
              </w:rPr>
              <w:t>SBREFA</w:t>
            </w:r>
          </w:p>
        </w:tc>
        <w:tc>
          <w:tcPr>
            <w:tcW w:w="7865" w:type="dxa"/>
          </w:tcPr>
          <w:p w:rsidR="004C114D" w:rsidRPr="004C114D" w:rsidP="004C114D" w14:paraId="6F86FF5F" w14:textId="44C12F1C">
            <w:pPr>
              <w:pStyle w:val="LTableTextAbt"/>
              <w:keepNext w:val="0"/>
              <w:rPr>
                <w:sz w:val="22"/>
                <w:szCs w:val="22"/>
              </w:rPr>
            </w:pPr>
            <w:r w:rsidRPr="004C114D">
              <w:rPr>
                <w:sz w:val="22"/>
                <w:szCs w:val="22"/>
              </w:rPr>
              <w:t>Small Business Regulatory Enforcement Fairness Act</w:t>
            </w:r>
          </w:p>
        </w:tc>
      </w:tr>
      <w:tr w14:paraId="269A83FD" w14:textId="77777777" w:rsidTr="004C114D">
        <w:tblPrEx>
          <w:tblW w:w="0" w:type="auto"/>
          <w:tblCellMar>
            <w:bottom w:w="58" w:type="dxa"/>
          </w:tblCellMar>
          <w:tblLook w:val="04A0"/>
        </w:tblPrEx>
        <w:tc>
          <w:tcPr>
            <w:tcW w:w="1164" w:type="dxa"/>
          </w:tcPr>
          <w:p w:rsidR="004C114D" w:rsidRPr="004C114D" w:rsidP="004C114D" w14:paraId="76AA15AD" w14:textId="24170B63">
            <w:pPr>
              <w:pStyle w:val="LTableTextAbt"/>
              <w:keepNext w:val="0"/>
              <w:rPr>
                <w:sz w:val="22"/>
                <w:szCs w:val="22"/>
              </w:rPr>
            </w:pPr>
            <w:r w:rsidRPr="004C114D">
              <w:rPr>
                <w:sz w:val="22"/>
                <w:szCs w:val="22"/>
              </w:rPr>
              <w:t>SCBA</w:t>
            </w:r>
          </w:p>
        </w:tc>
        <w:tc>
          <w:tcPr>
            <w:tcW w:w="7865" w:type="dxa"/>
          </w:tcPr>
          <w:p w:rsidR="004C114D" w:rsidRPr="004C114D" w:rsidP="004C114D" w14:paraId="760E8894" w14:textId="18A568FC">
            <w:pPr>
              <w:pStyle w:val="LTableTextAbt"/>
              <w:keepNext w:val="0"/>
              <w:rPr>
                <w:sz w:val="22"/>
                <w:szCs w:val="22"/>
              </w:rPr>
            </w:pPr>
            <w:r w:rsidRPr="004C114D">
              <w:rPr>
                <w:sz w:val="22"/>
                <w:szCs w:val="22"/>
              </w:rPr>
              <w:t>Self-contained breathing apparatus</w:t>
            </w:r>
          </w:p>
        </w:tc>
      </w:tr>
      <w:tr w14:paraId="6E7F22AB" w14:textId="77777777" w:rsidTr="004C114D">
        <w:tblPrEx>
          <w:tblW w:w="0" w:type="auto"/>
          <w:tblCellMar>
            <w:bottom w:w="58" w:type="dxa"/>
          </w:tblCellMar>
          <w:tblLook w:val="04A0"/>
        </w:tblPrEx>
        <w:tc>
          <w:tcPr>
            <w:tcW w:w="1164" w:type="dxa"/>
          </w:tcPr>
          <w:p w:rsidR="004C114D" w:rsidRPr="004C114D" w:rsidP="004C114D" w14:paraId="10C63BE2" w14:textId="0ADE8D68">
            <w:pPr>
              <w:pStyle w:val="LTableTextAbt"/>
              <w:keepNext w:val="0"/>
              <w:rPr>
                <w:sz w:val="22"/>
                <w:szCs w:val="22"/>
              </w:rPr>
            </w:pPr>
            <w:r w:rsidRPr="004C114D">
              <w:rPr>
                <w:sz w:val="22"/>
                <w:szCs w:val="22"/>
              </w:rPr>
              <w:t>SDS</w:t>
            </w:r>
          </w:p>
        </w:tc>
        <w:tc>
          <w:tcPr>
            <w:tcW w:w="7865" w:type="dxa"/>
          </w:tcPr>
          <w:p w:rsidR="004C114D" w:rsidRPr="004C114D" w:rsidP="004C114D" w14:paraId="1FF3FEB5" w14:textId="2FFABBCE">
            <w:pPr>
              <w:pStyle w:val="LTableTextAbt"/>
              <w:keepNext w:val="0"/>
              <w:rPr>
                <w:sz w:val="22"/>
                <w:szCs w:val="22"/>
              </w:rPr>
            </w:pPr>
            <w:r w:rsidRPr="004C114D">
              <w:rPr>
                <w:sz w:val="22"/>
                <w:szCs w:val="22"/>
              </w:rPr>
              <w:t>Safety data sheet</w:t>
            </w:r>
          </w:p>
        </w:tc>
      </w:tr>
      <w:tr w14:paraId="798F4B4C" w14:textId="77777777" w:rsidTr="004C114D">
        <w:tblPrEx>
          <w:tblW w:w="0" w:type="auto"/>
          <w:tblCellMar>
            <w:bottom w:w="58" w:type="dxa"/>
          </w:tblCellMar>
          <w:tblLook w:val="04A0"/>
        </w:tblPrEx>
        <w:tc>
          <w:tcPr>
            <w:tcW w:w="1164" w:type="dxa"/>
          </w:tcPr>
          <w:p w:rsidR="004C114D" w:rsidRPr="004C114D" w:rsidP="004C114D" w14:paraId="1E61EDD0" w14:textId="44C2E3D4">
            <w:pPr>
              <w:pStyle w:val="LTableTextAbt"/>
              <w:keepNext w:val="0"/>
              <w:rPr>
                <w:sz w:val="22"/>
                <w:szCs w:val="22"/>
              </w:rPr>
            </w:pPr>
            <w:r w:rsidRPr="004C114D">
              <w:rPr>
                <w:sz w:val="22"/>
                <w:szCs w:val="22"/>
              </w:rPr>
              <w:t>SEG</w:t>
            </w:r>
          </w:p>
        </w:tc>
        <w:tc>
          <w:tcPr>
            <w:tcW w:w="7865" w:type="dxa"/>
          </w:tcPr>
          <w:p w:rsidR="004C114D" w:rsidRPr="004C114D" w:rsidP="004C114D" w14:paraId="2DED096C" w14:textId="56F372E6">
            <w:pPr>
              <w:pStyle w:val="LTableTextAbt"/>
              <w:keepNext w:val="0"/>
              <w:rPr>
                <w:sz w:val="22"/>
                <w:szCs w:val="22"/>
              </w:rPr>
            </w:pPr>
            <w:r w:rsidRPr="004C114D">
              <w:rPr>
                <w:sz w:val="22"/>
                <w:szCs w:val="22"/>
              </w:rPr>
              <w:t>Similar exposure group</w:t>
            </w:r>
          </w:p>
        </w:tc>
      </w:tr>
      <w:tr w14:paraId="6E9CE256" w14:textId="77777777" w:rsidTr="004C114D">
        <w:tblPrEx>
          <w:tblW w:w="0" w:type="auto"/>
          <w:tblCellMar>
            <w:bottom w:w="58" w:type="dxa"/>
          </w:tblCellMar>
          <w:tblLook w:val="04A0"/>
        </w:tblPrEx>
        <w:tc>
          <w:tcPr>
            <w:tcW w:w="1164" w:type="dxa"/>
          </w:tcPr>
          <w:p w:rsidR="004C114D" w:rsidRPr="004C114D" w:rsidP="004C114D" w14:paraId="0948A55D" w14:textId="130ABC0D">
            <w:pPr>
              <w:pStyle w:val="LTableTextAbt"/>
              <w:keepNext w:val="0"/>
              <w:rPr>
                <w:sz w:val="22"/>
                <w:szCs w:val="22"/>
              </w:rPr>
            </w:pPr>
            <w:r w:rsidRPr="004C114D">
              <w:rPr>
                <w:sz w:val="22"/>
                <w:szCs w:val="22"/>
              </w:rPr>
              <w:t>SKU</w:t>
            </w:r>
          </w:p>
        </w:tc>
        <w:tc>
          <w:tcPr>
            <w:tcW w:w="7865" w:type="dxa"/>
          </w:tcPr>
          <w:p w:rsidR="004C114D" w:rsidRPr="004C114D" w:rsidP="004C114D" w14:paraId="42FC92EA" w14:textId="422D0A37">
            <w:pPr>
              <w:pStyle w:val="LTableTextAbt"/>
              <w:keepNext w:val="0"/>
              <w:rPr>
                <w:sz w:val="22"/>
                <w:szCs w:val="22"/>
              </w:rPr>
            </w:pPr>
            <w:r w:rsidRPr="004C114D">
              <w:rPr>
                <w:sz w:val="22"/>
                <w:szCs w:val="22"/>
              </w:rPr>
              <w:t>Stock keeping unit</w:t>
            </w:r>
          </w:p>
        </w:tc>
      </w:tr>
      <w:tr w14:paraId="6AC409A0" w14:textId="77777777" w:rsidTr="004C114D">
        <w:tblPrEx>
          <w:tblW w:w="0" w:type="auto"/>
          <w:tblCellMar>
            <w:bottom w:w="58" w:type="dxa"/>
          </w:tblCellMar>
          <w:tblLook w:val="04A0"/>
        </w:tblPrEx>
        <w:tc>
          <w:tcPr>
            <w:tcW w:w="1164" w:type="dxa"/>
          </w:tcPr>
          <w:p w:rsidR="004C114D" w:rsidRPr="004C114D" w:rsidP="004C114D" w14:paraId="13A3FA73" w14:textId="3D6C1111">
            <w:pPr>
              <w:pStyle w:val="LTableTextAbt"/>
              <w:keepNext w:val="0"/>
              <w:rPr>
                <w:sz w:val="22"/>
                <w:szCs w:val="22"/>
              </w:rPr>
            </w:pPr>
            <w:r w:rsidRPr="004C114D">
              <w:rPr>
                <w:sz w:val="22"/>
                <w:szCs w:val="22"/>
              </w:rPr>
              <w:t>SUSB</w:t>
            </w:r>
          </w:p>
        </w:tc>
        <w:tc>
          <w:tcPr>
            <w:tcW w:w="7865" w:type="dxa"/>
          </w:tcPr>
          <w:p w:rsidR="004C114D" w:rsidRPr="004C114D" w:rsidP="004C114D" w14:paraId="14CBD556" w14:textId="6A581050">
            <w:pPr>
              <w:pStyle w:val="LTableTextAbt"/>
              <w:keepNext w:val="0"/>
              <w:rPr>
                <w:sz w:val="22"/>
                <w:szCs w:val="22"/>
              </w:rPr>
            </w:pPr>
            <w:r w:rsidRPr="004C114D">
              <w:rPr>
                <w:sz w:val="22"/>
                <w:szCs w:val="22"/>
              </w:rPr>
              <w:t>Statistics of U.S. Businesses</w:t>
            </w:r>
          </w:p>
        </w:tc>
      </w:tr>
      <w:tr w14:paraId="666FB2A7" w14:textId="77777777" w:rsidTr="004C114D">
        <w:tblPrEx>
          <w:tblW w:w="0" w:type="auto"/>
          <w:tblCellMar>
            <w:bottom w:w="58" w:type="dxa"/>
          </w:tblCellMar>
          <w:tblLook w:val="04A0"/>
        </w:tblPrEx>
        <w:tc>
          <w:tcPr>
            <w:tcW w:w="1164" w:type="dxa"/>
          </w:tcPr>
          <w:p w:rsidR="004C114D" w:rsidRPr="004C114D" w:rsidP="004C114D" w14:paraId="7DB2209A" w14:textId="18B69D85">
            <w:pPr>
              <w:pStyle w:val="LTableTextAbt"/>
              <w:keepNext w:val="0"/>
              <w:rPr>
                <w:sz w:val="22"/>
                <w:szCs w:val="22"/>
              </w:rPr>
            </w:pPr>
            <w:r w:rsidRPr="004C114D">
              <w:rPr>
                <w:sz w:val="22"/>
                <w:szCs w:val="22"/>
              </w:rPr>
              <w:t>TSCA</w:t>
            </w:r>
          </w:p>
        </w:tc>
        <w:tc>
          <w:tcPr>
            <w:tcW w:w="7865" w:type="dxa"/>
          </w:tcPr>
          <w:p w:rsidR="004C114D" w:rsidRPr="004C114D" w:rsidP="004C114D" w14:paraId="3599C036" w14:textId="2C35A866">
            <w:pPr>
              <w:pStyle w:val="LTableTextAbt"/>
              <w:keepNext w:val="0"/>
              <w:rPr>
                <w:sz w:val="22"/>
                <w:szCs w:val="22"/>
              </w:rPr>
            </w:pPr>
            <w:r w:rsidRPr="004C114D">
              <w:rPr>
                <w:sz w:val="22"/>
                <w:szCs w:val="22"/>
              </w:rPr>
              <w:t>Toxic Substances Control Act</w:t>
            </w:r>
          </w:p>
        </w:tc>
      </w:tr>
      <w:tr w14:paraId="0D331E22" w14:textId="77777777" w:rsidTr="004C114D">
        <w:tblPrEx>
          <w:tblW w:w="0" w:type="auto"/>
          <w:tblCellMar>
            <w:bottom w:w="58" w:type="dxa"/>
          </w:tblCellMar>
          <w:tblLook w:val="04A0"/>
        </w:tblPrEx>
        <w:tc>
          <w:tcPr>
            <w:tcW w:w="1164" w:type="dxa"/>
          </w:tcPr>
          <w:p w:rsidR="004C114D" w:rsidRPr="004C114D" w:rsidP="004C114D" w14:paraId="6625A51B" w14:textId="4BD8EDA8">
            <w:pPr>
              <w:pStyle w:val="LTableTextAbt"/>
              <w:keepNext w:val="0"/>
              <w:rPr>
                <w:sz w:val="22"/>
                <w:szCs w:val="22"/>
              </w:rPr>
            </w:pPr>
            <w:r w:rsidRPr="004C114D">
              <w:rPr>
                <w:sz w:val="22"/>
                <w:szCs w:val="22"/>
              </w:rPr>
              <w:t>UMRA</w:t>
            </w:r>
          </w:p>
        </w:tc>
        <w:tc>
          <w:tcPr>
            <w:tcW w:w="7865" w:type="dxa"/>
          </w:tcPr>
          <w:p w:rsidR="004C114D" w:rsidRPr="004C114D" w:rsidP="004C114D" w14:paraId="4D3BE0FD" w14:textId="25DCAC49">
            <w:pPr>
              <w:pStyle w:val="LTableTextAbt"/>
              <w:keepNext w:val="0"/>
              <w:rPr>
                <w:sz w:val="22"/>
                <w:szCs w:val="22"/>
              </w:rPr>
            </w:pPr>
            <w:r w:rsidRPr="004C114D">
              <w:rPr>
                <w:sz w:val="22"/>
                <w:szCs w:val="22"/>
              </w:rPr>
              <w:t>Unfunded Mandates Reform Act</w:t>
            </w:r>
          </w:p>
        </w:tc>
      </w:tr>
      <w:tr w14:paraId="0BFF6F4C" w14:textId="77777777" w:rsidTr="004C114D">
        <w:tblPrEx>
          <w:tblW w:w="0" w:type="auto"/>
          <w:tblCellMar>
            <w:bottom w:w="58" w:type="dxa"/>
          </w:tblCellMar>
          <w:tblLook w:val="04A0"/>
        </w:tblPrEx>
        <w:tc>
          <w:tcPr>
            <w:tcW w:w="1164" w:type="dxa"/>
          </w:tcPr>
          <w:p w:rsidR="004C114D" w:rsidRPr="004C114D" w:rsidP="004C114D" w14:paraId="7D17B81E" w14:textId="7342115E">
            <w:pPr>
              <w:pStyle w:val="LTableTextAbt"/>
              <w:keepNext w:val="0"/>
              <w:rPr>
                <w:sz w:val="22"/>
                <w:szCs w:val="22"/>
              </w:rPr>
            </w:pPr>
            <w:r w:rsidRPr="004C114D">
              <w:rPr>
                <w:sz w:val="22"/>
                <w:szCs w:val="22"/>
              </w:rPr>
              <w:t>VC</w:t>
            </w:r>
          </w:p>
        </w:tc>
        <w:tc>
          <w:tcPr>
            <w:tcW w:w="7865" w:type="dxa"/>
          </w:tcPr>
          <w:p w:rsidR="004C114D" w:rsidRPr="004C114D" w:rsidP="004C114D" w14:paraId="11FF58D4" w14:textId="6CD86E7E">
            <w:pPr>
              <w:pStyle w:val="LTableTextAbt"/>
              <w:keepNext w:val="0"/>
              <w:rPr>
                <w:sz w:val="22"/>
                <w:szCs w:val="22"/>
              </w:rPr>
            </w:pPr>
            <w:r w:rsidRPr="004C114D">
              <w:rPr>
                <w:sz w:val="22"/>
                <w:szCs w:val="22"/>
              </w:rPr>
              <w:t>Vital capacity</w:t>
            </w:r>
          </w:p>
        </w:tc>
      </w:tr>
      <w:tr w14:paraId="0D21DAD2" w14:textId="77777777" w:rsidTr="004C114D">
        <w:tblPrEx>
          <w:tblW w:w="0" w:type="auto"/>
          <w:tblCellMar>
            <w:bottom w:w="58" w:type="dxa"/>
          </w:tblCellMar>
          <w:tblLook w:val="04A0"/>
        </w:tblPrEx>
        <w:tc>
          <w:tcPr>
            <w:tcW w:w="1164" w:type="dxa"/>
          </w:tcPr>
          <w:p w:rsidR="004C114D" w:rsidRPr="004C114D" w:rsidP="004C114D" w14:paraId="615D6583" w14:textId="0088580F">
            <w:pPr>
              <w:pStyle w:val="LTableTextAbt"/>
              <w:keepNext w:val="0"/>
              <w:rPr>
                <w:sz w:val="22"/>
                <w:szCs w:val="22"/>
              </w:rPr>
            </w:pPr>
            <w:r w:rsidRPr="004C114D">
              <w:rPr>
                <w:sz w:val="22"/>
                <w:szCs w:val="22"/>
              </w:rPr>
              <w:t>VPS</w:t>
            </w:r>
          </w:p>
        </w:tc>
        <w:tc>
          <w:tcPr>
            <w:tcW w:w="7865" w:type="dxa"/>
          </w:tcPr>
          <w:p w:rsidR="004C114D" w:rsidRPr="004C114D" w:rsidP="004C114D" w14:paraId="570C478D" w14:textId="63F3F33E">
            <w:pPr>
              <w:pStyle w:val="LTableTextAbt"/>
              <w:keepNext w:val="0"/>
              <w:rPr>
                <w:sz w:val="22"/>
                <w:szCs w:val="22"/>
              </w:rPr>
            </w:pPr>
            <w:r w:rsidRPr="004C114D">
              <w:rPr>
                <w:sz w:val="22"/>
                <w:szCs w:val="22"/>
              </w:rPr>
              <w:t>Voluntary Product Stewardship</w:t>
            </w:r>
          </w:p>
        </w:tc>
      </w:tr>
      <w:tr w14:paraId="0B556215" w14:textId="77777777" w:rsidTr="004C114D">
        <w:tblPrEx>
          <w:tblW w:w="0" w:type="auto"/>
          <w:tblCellMar>
            <w:bottom w:w="58" w:type="dxa"/>
          </w:tblCellMar>
          <w:tblLook w:val="04A0"/>
        </w:tblPrEx>
        <w:tc>
          <w:tcPr>
            <w:tcW w:w="1164" w:type="dxa"/>
          </w:tcPr>
          <w:p w:rsidR="004C114D" w:rsidRPr="004C114D" w:rsidP="004C114D" w14:paraId="66D461A9" w14:textId="20782D70">
            <w:pPr>
              <w:pStyle w:val="LTableTextAbt"/>
              <w:keepNext w:val="0"/>
              <w:rPr>
                <w:sz w:val="22"/>
                <w:szCs w:val="22"/>
              </w:rPr>
            </w:pPr>
            <w:r w:rsidRPr="004C114D">
              <w:rPr>
                <w:sz w:val="22"/>
                <w:szCs w:val="22"/>
              </w:rPr>
              <w:t>WTP</w:t>
            </w:r>
          </w:p>
        </w:tc>
        <w:tc>
          <w:tcPr>
            <w:tcW w:w="7865" w:type="dxa"/>
          </w:tcPr>
          <w:p w:rsidR="004C114D" w:rsidRPr="004C114D" w:rsidP="004C114D" w14:paraId="7CB37326" w14:textId="24998652">
            <w:pPr>
              <w:pStyle w:val="LTableTextAbt"/>
              <w:keepNext w:val="0"/>
              <w:rPr>
                <w:sz w:val="22"/>
                <w:szCs w:val="22"/>
              </w:rPr>
            </w:pPr>
            <w:r w:rsidRPr="004C114D">
              <w:rPr>
                <w:sz w:val="22"/>
                <w:szCs w:val="22"/>
              </w:rPr>
              <w:t>Willingness to pay</w:t>
            </w:r>
          </w:p>
        </w:tc>
      </w:tr>
    </w:tbl>
    <w:p w:rsidR="00880E2A" w:rsidRPr="00B56426" w:rsidP="00563416" w14:paraId="61D7C4C4" w14:textId="3C7D838A">
      <w:pPr>
        <w:pStyle w:val="TOCHeader"/>
      </w:pPr>
      <w:r w:rsidRPr="00B56426">
        <w:br w:type="page"/>
      </w:r>
    </w:p>
    <w:p w:rsidR="00735BBC" w:rsidRPr="000552AA" w14:paraId="31CC77CE" w14:textId="0FF51720">
      <w:pPr>
        <w:pStyle w:val="TableofFigures"/>
        <w:rPr>
          <w:rFonts w:ascii="Times New Roman" w:hAnsi="Times New Roman" w:eastAsiaTheme="minorEastAsia"/>
          <w:kern w:val="2"/>
          <w:sz w:val="24"/>
          <w:szCs w:val="24"/>
          <w14:ligatures w14:val="standardContextual"/>
        </w:rPr>
      </w:pPr>
      <w:r w:rsidRPr="000552AA">
        <w:rPr>
          <w:rFonts w:ascii="Times New Roman" w:hAnsi="Times New Roman"/>
          <w:sz w:val="20"/>
        </w:rPr>
        <w:fldChar w:fldCharType="begin" w:fldLock="1"/>
      </w:r>
      <w:r w:rsidRPr="000552AA">
        <w:rPr>
          <w:rFonts w:ascii="Times New Roman" w:hAnsi="Times New Roman"/>
          <w:sz w:val="20"/>
        </w:rPr>
        <w:instrText xml:space="preserve"> TOC \h \z \c "Table ES-" </w:instrText>
      </w:r>
      <w:r w:rsidRPr="000552AA">
        <w:rPr>
          <w:rFonts w:ascii="Times New Roman" w:hAnsi="Times New Roman"/>
          <w:sz w:val="20"/>
        </w:rPr>
        <w:fldChar w:fldCharType="separate"/>
      </w:r>
      <w:hyperlink w:anchor="_Toc184299539" w:history="1">
        <w:r w:rsidRPr="000552AA">
          <w:rPr>
            <w:rStyle w:val="Hyperlink"/>
            <w:rFonts w:ascii="Times New Roman" w:hAnsi="Times New Roman"/>
          </w:rPr>
          <w:t>Table ES-1: Categories and Subcategories of Conditions of Use Included in the Risk Evaluation</w:t>
        </w:r>
        <w:r w:rsidRPr="000552AA">
          <w:rPr>
            <w:rFonts w:ascii="Times New Roman" w:hAnsi="Times New Roman"/>
            <w:webHidden/>
          </w:rPr>
          <w:tab/>
        </w:r>
        <w:r w:rsidR="00E258FD">
          <w:rPr>
            <w:rFonts w:ascii="Times New Roman" w:hAnsi="Times New Roman"/>
            <w:webHidden/>
          </w:rPr>
          <w:t>ES-</w:t>
        </w:r>
        <w:r w:rsidRPr="000552AA">
          <w:rPr>
            <w:rFonts w:ascii="Times New Roman" w:hAnsi="Times New Roman"/>
            <w:webHidden/>
          </w:rPr>
          <w:fldChar w:fldCharType="begin" w:fldLock="1"/>
        </w:r>
        <w:r w:rsidRPr="000552AA">
          <w:rPr>
            <w:rFonts w:ascii="Times New Roman" w:hAnsi="Times New Roman"/>
            <w:webHidden/>
          </w:rPr>
          <w:instrText xml:space="preserve"> PAGEREF _Toc184299539 \h </w:instrText>
        </w:r>
        <w:r w:rsidRPr="000552AA">
          <w:rPr>
            <w:rFonts w:ascii="Times New Roman" w:hAnsi="Times New Roman"/>
            <w:webHidden/>
          </w:rPr>
          <w:fldChar w:fldCharType="separate"/>
        </w:r>
        <w:r w:rsidRPr="000552AA">
          <w:rPr>
            <w:rFonts w:ascii="Times New Roman" w:hAnsi="Times New Roman"/>
            <w:webHidden/>
          </w:rPr>
          <w:t>2</w:t>
        </w:r>
        <w:r w:rsidRPr="000552AA">
          <w:rPr>
            <w:rFonts w:ascii="Times New Roman" w:hAnsi="Times New Roman"/>
            <w:webHidden/>
          </w:rPr>
          <w:fldChar w:fldCharType="end"/>
        </w:r>
      </w:hyperlink>
    </w:p>
    <w:p w:rsidR="00735BBC" w:rsidRPr="000552AA" w14:paraId="0C1CDCD3" w14:textId="2D64C2E9">
      <w:pPr>
        <w:pStyle w:val="TableofFigures"/>
        <w:rPr>
          <w:rFonts w:ascii="Times New Roman" w:hAnsi="Times New Roman" w:eastAsiaTheme="minorEastAsia"/>
          <w:kern w:val="2"/>
          <w:sz w:val="24"/>
          <w:szCs w:val="24"/>
          <w14:ligatures w14:val="standardContextual"/>
        </w:rPr>
      </w:pPr>
      <w:hyperlink w:anchor="_Toc184299540" w:history="1">
        <w:r w:rsidRPr="000552AA">
          <w:rPr>
            <w:rStyle w:val="Hyperlink"/>
            <w:rFonts w:ascii="Times New Roman" w:hAnsi="Times New Roman"/>
          </w:rPr>
          <w:t>Table ES-2: Regulatory Options by Condition of Use</w:t>
        </w:r>
        <w:r w:rsidRPr="000552AA">
          <w:rPr>
            <w:rFonts w:ascii="Times New Roman" w:hAnsi="Times New Roman"/>
            <w:webHidden/>
          </w:rPr>
          <w:tab/>
        </w:r>
        <w:r w:rsidRPr="000552AA" w:rsidR="00F53321">
          <w:rPr>
            <w:rFonts w:ascii="Times New Roman" w:hAnsi="Times New Roman"/>
            <w:webHidden/>
          </w:rPr>
          <w:t>ES-</w:t>
        </w:r>
        <w:r w:rsidRPr="000552AA">
          <w:rPr>
            <w:rFonts w:ascii="Times New Roman" w:hAnsi="Times New Roman"/>
            <w:webHidden/>
          </w:rPr>
          <w:fldChar w:fldCharType="begin" w:fldLock="1"/>
        </w:r>
        <w:r w:rsidRPr="000552AA">
          <w:rPr>
            <w:rFonts w:ascii="Times New Roman" w:hAnsi="Times New Roman"/>
            <w:webHidden/>
          </w:rPr>
          <w:instrText xml:space="preserve"> PAGEREF _Toc184299540 \h </w:instrText>
        </w:r>
        <w:r w:rsidRPr="000552AA">
          <w:rPr>
            <w:rFonts w:ascii="Times New Roman" w:hAnsi="Times New Roman"/>
            <w:webHidden/>
          </w:rPr>
          <w:fldChar w:fldCharType="separate"/>
        </w:r>
        <w:r w:rsidRPr="000552AA">
          <w:rPr>
            <w:rFonts w:ascii="Times New Roman" w:hAnsi="Times New Roman"/>
            <w:webHidden/>
          </w:rPr>
          <w:t>3</w:t>
        </w:r>
        <w:r w:rsidRPr="000552AA">
          <w:rPr>
            <w:rFonts w:ascii="Times New Roman" w:hAnsi="Times New Roman"/>
            <w:webHidden/>
          </w:rPr>
          <w:fldChar w:fldCharType="end"/>
        </w:r>
      </w:hyperlink>
    </w:p>
    <w:p w:rsidR="00735BBC" w:rsidRPr="000552AA" w14:paraId="4A504CF7" w14:textId="0D962A55">
      <w:pPr>
        <w:pStyle w:val="TableofFigures"/>
        <w:rPr>
          <w:rFonts w:ascii="Times New Roman" w:hAnsi="Times New Roman" w:eastAsiaTheme="minorEastAsia"/>
          <w:kern w:val="2"/>
          <w:sz w:val="24"/>
          <w:szCs w:val="24"/>
          <w14:ligatures w14:val="standardContextual"/>
        </w:rPr>
      </w:pPr>
      <w:hyperlink w:anchor="_Toc184299541" w:history="1">
        <w:r w:rsidRPr="000552AA">
          <w:rPr>
            <w:rStyle w:val="Hyperlink"/>
            <w:rFonts w:ascii="Times New Roman" w:hAnsi="Times New Roman"/>
          </w:rPr>
          <w:t>Table ES-3: Number of Affected Sites and Exposed Workers</w:t>
        </w:r>
        <w:r w:rsidRPr="000552AA">
          <w:rPr>
            <w:rFonts w:ascii="Times New Roman" w:hAnsi="Times New Roman"/>
            <w:webHidden/>
          </w:rPr>
          <w:tab/>
        </w:r>
        <w:r w:rsidRPr="000552AA" w:rsidR="00F53321">
          <w:rPr>
            <w:rFonts w:ascii="Times New Roman" w:hAnsi="Times New Roman"/>
            <w:webHidden/>
          </w:rPr>
          <w:t>ES-</w:t>
        </w:r>
        <w:r w:rsidRPr="000552AA">
          <w:rPr>
            <w:rFonts w:ascii="Times New Roman" w:hAnsi="Times New Roman"/>
            <w:webHidden/>
          </w:rPr>
          <w:fldChar w:fldCharType="begin" w:fldLock="1"/>
        </w:r>
        <w:r w:rsidRPr="000552AA">
          <w:rPr>
            <w:rFonts w:ascii="Times New Roman" w:hAnsi="Times New Roman"/>
            <w:webHidden/>
          </w:rPr>
          <w:instrText xml:space="preserve"> PAGEREF _Toc184299541 \h </w:instrText>
        </w:r>
        <w:r w:rsidRPr="000552AA">
          <w:rPr>
            <w:rFonts w:ascii="Times New Roman" w:hAnsi="Times New Roman"/>
            <w:webHidden/>
          </w:rPr>
          <w:fldChar w:fldCharType="separate"/>
        </w:r>
        <w:r w:rsidRPr="000552AA">
          <w:rPr>
            <w:rFonts w:ascii="Times New Roman" w:hAnsi="Times New Roman"/>
            <w:webHidden/>
          </w:rPr>
          <w:t>4</w:t>
        </w:r>
        <w:r w:rsidRPr="000552AA">
          <w:rPr>
            <w:rFonts w:ascii="Times New Roman" w:hAnsi="Times New Roman"/>
            <w:webHidden/>
          </w:rPr>
          <w:fldChar w:fldCharType="end"/>
        </w:r>
      </w:hyperlink>
    </w:p>
    <w:p w:rsidR="00735BBC" w:rsidRPr="000552AA" w14:paraId="05A5700F" w14:textId="54E2AF82">
      <w:pPr>
        <w:pStyle w:val="TableofFigures"/>
        <w:rPr>
          <w:rFonts w:ascii="Times New Roman" w:hAnsi="Times New Roman" w:eastAsiaTheme="minorEastAsia"/>
          <w:kern w:val="2"/>
          <w:sz w:val="24"/>
          <w:szCs w:val="24"/>
          <w14:ligatures w14:val="standardContextual"/>
        </w:rPr>
      </w:pPr>
      <w:hyperlink w:anchor="_Toc184299542" w:history="1">
        <w:r w:rsidRPr="000552AA">
          <w:rPr>
            <w:rStyle w:val="Hyperlink"/>
            <w:rFonts w:ascii="Times New Roman" w:hAnsi="Times New Roman"/>
          </w:rPr>
          <w:t>Table ES-4: Summary of Total Annualized</w:t>
        </w:r>
        <w:r w:rsidRPr="000552AA">
          <w:rPr>
            <w:rStyle w:val="Hyperlink"/>
            <w:rFonts w:ascii="Times New Roman" w:hAnsi="Times New Roman"/>
            <w:vertAlign w:val="superscript"/>
          </w:rPr>
          <w:t>a</w:t>
        </w:r>
        <w:r w:rsidRPr="000552AA">
          <w:rPr>
            <w:rStyle w:val="Hyperlink"/>
            <w:rFonts w:ascii="Times New Roman" w:hAnsi="Times New Roman"/>
          </w:rPr>
          <w:t xml:space="preserve"> Incremental Costs (2023$; 2% Discount Rate)</w:t>
        </w:r>
        <w:r w:rsidRPr="000552AA">
          <w:rPr>
            <w:rFonts w:ascii="Times New Roman" w:hAnsi="Times New Roman"/>
            <w:webHidden/>
          </w:rPr>
          <w:tab/>
        </w:r>
        <w:r w:rsidRPr="000552AA" w:rsidR="00F53321">
          <w:rPr>
            <w:rFonts w:ascii="Times New Roman" w:hAnsi="Times New Roman"/>
            <w:webHidden/>
          </w:rPr>
          <w:t>ES-</w:t>
        </w:r>
        <w:r w:rsidRPr="000552AA">
          <w:rPr>
            <w:rFonts w:ascii="Times New Roman" w:hAnsi="Times New Roman"/>
            <w:webHidden/>
          </w:rPr>
          <w:fldChar w:fldCharType="begin" w:fldLock="1"/>
        </w:r>
        <w:r w:rsidRPr="000552AA">
          <w:rPr>
            <w:rFonts w:ascii="Times New Roman" w:hAnsi="Times New Roman"/>
            <w:webHidden/>
          </w:rPr>
          <w:instrText xml:space="preserve"> PAGEREF _Toc184299542 \h </w:instrText>
        </w:r>
        <w:r w:rsidRPr="000552AA">
          <w:rPr>
            <w:rFonts w:ascii="Times New Roman" w:hAnsi="Times New Roman"/>
            <w:webHidden/>
          </w:rPr>
          <w:fldChar w:fldCharType="separate"/>
        </w:r>
        <w:r w:rsidRPr="000552AA">
          <w:rPr>
            <w:rFonts w:ascii="Times New Roman" w:hAnsi="Times New Roman"/>
            <w:webHidden/>
          </w:rPr>
          <w:t>4</w:t>
        </w:r>
        <w:r w:rsidRPr="000552AA">
          <w:rPr>
            <w:rFonts w:ascii="Times New Roman" w:hAnsi="Times New Roman"/>
            <w:webHidden/>
          </w:rPr>
          <w:fldChar w:fldCharType="end"/>
        </w:r>
      </w:hyperlink>
    </w:p>
    <w:p w:rsidR="00735BBC" w:rsidRPr="000552AA" w14:paraId="36C89823" w14:textId="1773E3A6">
      <w:pPr>
        <w:pStyle w:val="TableofFigures"/>
        <w:rPr>
          <w:rFonts w:ascii="Times New Roman" w:hAnsi="Times New Roman" w:eastAsiaTheme="minorEastAsia"/>
          <w:kern w:val="2"/>
          <w:sz w:val="24"/>
          <w:szCs w:val="24"/>
          <w14:ligatures w14:val="standardContextual"/>
        </w:rPr>
      </w:pPr>
      <w:hyperlink w:anchor="_Toc184299543" w:history="1">
        <w:r w:rsidRPr="000552AA">
          <w:rPr>
            <w:rStyle w:val="Hyperlink"/>
            <w:rFonts w:ascii="Times New Roman" w:hAnsi="Times New Roman"/>
          </w:rPr>
          <w:t>Table ES-5: Total Annualized Benefits (2% discount; 2023$)</w:t>
        </w:r>
        <w:r w:rsidRPr="000552AA">
          <w:rPr>
            <w:rFonts w:ascii="Times New Roman" w:hAnsi="Times New Roman"/>
            <w:webHidden/>
          </w:rPr>
          <w:tab/>
        </w:r>
        <w:r w:rsidRPr="000552AA" w:rsidR="00F53321">
          <w:rPr>
            <w:rFonts w:ascii="Times New Roman" w:hAnsi="Times New Roman"/>
            <w:webHidden/>
          </w:rPr>
          <w:t>ES-</w:t>
        </w:r>
        <w:r w:rsidRPr="000552AA">
          <w:rPr>
            <w:rFonts w:ascii="Times New Roman" w:hAnsi="Times New Roman"/>
            <w:webHidden/>
          </w:rPr>
          <w:fldChar w:fldCharType="begin" w:fldLock="1"/>
        </w:r>
        <w:r w:rsidRPr="000552AA">
          <w:rPr>
            <w:rFonts w:ascii="Times New Roman" w:hAnsi="Times New Roman"/>
            <w:webHidden/>
          </w:rPr>
          <w:instrText xml:space="preserve"> PAGEREF _Toc184299543 \h </w:instrText>
        </w:r>
        <w:r w:rsidRPr="000552AA">
          <w:rPr>
            <w:rFonts w:ascii="Times New Roman" w:hAnsi="Times New Roman"/>
            <w:webHidden/>
          </w:rPr>
          <w:fldChar w:fldCharType="separate"/>
        </w:r>
        <w:r w:rsidRPr="000552AA">
          <w:rPr>
            <w:rFonts w:ascii="Times New Roman" w:hAnsi="Times New Roman"/>
            <w:webHidden/>
          </w:rPr>
          <w:t>5</w:t>
        </w:r>
        <w:r w:rsidRPr="000552AA">
          <w:rPr>
            <w:rFonts w:ascii="Times New Roman" w:hAnsi="Times New Roman"/>
            <w:webHidden/>
          </w:rPr>
          <w:fldChar w:fldCharType="end"/>
        </w:r>
      </w:hyperlink>
    </w:p>
    <w:p w:rsidR="00735BBC" w:rsidRPr="000552AA" w14:paraId="48814264" w14:textId="53F10D7A">
      <w:pPr>
        <w:pStyle w:val="TableofFigures"/>
        <w:rPr>
          <w:rFonts w:ascii="Times New Roman" w:hAnsi="Times New Roman" w:eastAsiaTheme="minorEastAsia"/>
          <w:kern w:val="2"/>
          <w:sz w:val="24"/>
          <w:szCs w:val="24"/>
          <w14:ligatures w14:val="standardContextual"/>
        </w:rPr>
      </w:pPr>
      <w:hyperlink w:anchor="_Toc184299544" w:history="1">
        <w:r w:rsidRPr="000552AA">
          <w:rPr>
            <w:rStyle w:val="Hyperlink"/>
            <w:rFonts w:ascii="Times New Roman" w:hAnsi="Times New Roman"/>
          </w:rPr>
          <w:t>Table ES-6: Summary of Net Benefits by Scenario (2% discount; 2023$)</w:t>
        </w:r>
        <w:r w:rsidRPr="000552AA">
          <w:rPr>
            <w:rFonts w:ascii="Times New Roman" w:hAnsi="Times New Roman"/>
            <w:webHidden/>
          </w:rPr>
          <w:tab/>
        </w:r>
        <w:r w:rsidRPr="000552AA" w:rsidR="00F53321">
          <w:rPr>
            <w:rFonts w:ascii="Times New Roman" w:hAnsi="Times New Roman"/>
            <w:webHidden/>
          </w:rPr>
          <w:t>ES-</w:t>
        </w:r>
        <w:r w:rsidRPr="000552AA">
          <w:rPr>
            <w:rFonts w:ascii="Times New Roman" w:hAnsi="Times New Roman"/>
            <w:webHidden/>
          </w:rPr>
          <w:fldChar w:fldCharType="begin" w:fldLock="1"/>
        </w:r>
        <w:r w:rsidRPr="000552AA">
          <w:rPr>
            <w:rFonts w:ascii="Times New Roman" w:hAnsi="Times New Roman"/>
            <w:webHidden/>
          </w:rPr>
          <w:instrText xml:space="preserve"> PAGEREF _Toc184299544 \h </w:instrText>
        </w:r>
        <w:r w:rsidRPr="000552AA">
          <w:rPr>
            <w:rFonts w:ascii="Times New Roman" w:hAnsi="Times New Roman"/>
            <w:webHidden/>
          </w:rPr>
          <w:fldChar w:fldCharType="separate"/>
        </w:r>
        <w:r w:rsidRPr="000552AA">
          <w:rPr>
            <w:rFonts w:ascii="Times New Roman" w:hAnsi="Times New Roman"/>
            <w:webHidden/>
          </w:rPr>
          <w:t>5</w:t>
        </w:r>
        <w:r w:rsidRPr="000552AA">
          <w:rPr>
            <w:rFonts w:ascii="Times New Roman" w:hAnsi="Times New Roman"/>
            <w:webHidden/>
          </w:rPr>
          <w:fldChar w:fldCharType="end"/>
        </w:r>
      </w:hyperlink>
    </w:p>
    <w:p w:rsidR="00735BBC" w:rsidRPr="000552AA" w14:paraId="21DCE1B4" w14:textId="619EE7AC">
      <w:pPr>
        <w:pStyle w:val="TableofFigures"/>
        <w:rPr>
          <w:rFonts w:ascii="Times New Roman" w:hAnsi="Times New Roman" w:eastAsiaTheme="minorEastAsia"/>
          <w:kern w:val="2"/>
          <w:sz w:val="24"/>
          <w:szCs w:val="24"/>
          <w14:ligatures w14:val="standardContextual"/>
        </w:rPr>
      </w:pPr>
      <w:hyperlink w:anchor="_Toc184299545" w:history="1">
        <w:r w:rsidRPr="000552AA">
          <w:rPr>
            <w:rStyle w:val="Hyperlink"/>
            <w:rFonts w:ascii="Times New Roman" w:hAnsi="Times New Roman"/>
          </w:rPr>
          <w:t>Table ES-7: Characteristics of General Worker Populations at National Level and Sector Worker Populations in Areas nearby PV29 Manufacturing Facility</w:t>
        </w:r>
        <w:r w:rsidRPr="000552AA">
          <w:rPr>
            <w:rFonts w:ascii="Times New Roman" w:hAnsi="Times New Roman"/>
            <w:webHidden/>
          </w:rPr>
          <w:tab/>
        </w:r>
        <w:r w:rsidRPr="000552AA" w:rsidR="00F53321">
          <w:rPr>
            <w:rFonts w:ascii="Times New Roman" w:hAnsi="Times New Roman"/>
            <w:webHidden/>
          </w:rPr>
          <w:t>ES-</w:t>
        </w:r>
        <w:r w:rsidRPr="000552AA">
          <w:rPr>
            <w:rFonts w:ascii="Times New Roman" w:hAnsi="Times New Roman"/>
            <w:webHidden/>
          </w:rPr>
          <w:fldChar w:fldCharType="begin" w:fldLock="1"/>
        </w:r>
        <w:r w:rsidRPr="000552AA">
          <w:rPr>
            <w:rFonts w:ascii="Times New Roman" w:hAnsi="Times New Roman"/>
            <w:webHidden/>
          </w:rPr>
          <w:instrText xml:space="preserve"> PAGEREF _Toc184299545 \h </w:instrText>
        </w:r>
        <w:r w:rsidRPr="000552AA">
          <w:rPr>
            <w:rFonts w:ascii="Times New Roman" w:hAnsi="Times New Roman"/>
            <w:webHidden/>
          </w:rPr>
          <w:fldChar w:fldCharType="separate"/>
        </w:r>
        <w:r w:rsidRPr="000552AA">
          <w:rPr>
            <w:rFonts w:ascii="Times New Roman" w:hAnsi="Times New Roman"/>
            <w:webHidden/>
          </w:rPr>
          <w:t>7</w:t>
        </w:r>
        <w:r w:rsidRPr="000552AA">
          <w:rPr>
            <w:rFonts w:ascii="Times New Roman" w:hAnsi="Times New Roman"/>
            <w:webHidden/>
          </w:rPr>
          <w:fldChar w:fldCharType="end"/>
        </w:r>
      </w:hyperlink>
    </w:p>
    <w:p w:rsidR="00735BBC" w:rsidRPr="000552AA" w14:paraId="31CB7508" w14:textId="282A8FF9">
      <w:pPr>
        <w:pStyle w:val="TableofFigures"/>
        <w:rPr>
          <w:rFonts w:ascii="Times New Roman" w:hAnsi="Times New Roman" w:eastAsiaTheme="minorEastAsia"/>
          <w:kern w:val="2"/>
          <w:sz w:val="24"/>
          <w:szCs w:val="24"/>
          <w14:ligatures w14:val="standardContextual"/>
        </w:rPr>
      </w:pPr>
      <w:hyperlink w:anchor="_Toc184299546" w:history="1">
        <w:r w:rsidRPr="000552AA">
          <w:rPr>
            <w:rStyle w:val="Hyperlink"/>
            <w:rFonts w:ascii="Times New Roman" w:hAnsi="Times New Roman"/>
          </w:rPr>
          <w:t>Table ES-8: Costs and Cost-Revenue Ratios for Affected Small Firms</w:t>
        </w:r>
        <w:r w:rsidRPr="000552AA">
          <w:rPr>
            <w:rFonts w:ascii="Times New Roman" w:hAnsi="Times New Roman"/>
            <w:webHidden/>
          </w:rPr>
          <w:tab/>
        </w:r>
        <w:r w:rsidRPr="000552AA" w:rsidR="00F53321">
          <w:rPr>
            <w:rFonts w:ascii="Times New Roman" w:hAnsi="Times New Roman"/>
            <w:webHidden/>
          </w:rPr>
          <w:t>ES-</w:t>
        </w:r>
        <w:r w:rsidRPr="000552AA">
          <w:rPr>
            <w:rFonts w:ascii="Times New Roman" w:hAnsi="Times New Roman"/>
            <w:webHidden/>
          </w:rPr>
          <w:fldChar w:fldCharType="begin" w:fldLock="1"/>
        </w:r>
        <w:r w:rsidRPr="000552AA">
          <w:rPr>
            <w:rFonts w:ascii="Times New Roman" w:hAnsi="Times New Roman"/>
            <w:webHidden/>
          </w:rPr>
          <w:instrText xml:space="preserve"> PAGEREF _Toc184299546 \h </w:instrText>
        </w:r>
        <w:r w:rsidRPr="000552AA">
          <w:rPr>
            <w:rFonts w:ascii="Times New Roman" w:hAnsi="Times New Roman"/>
            <w:webHidden/>
          </w:rPr>
          <w:fldChar w:fldCharType="separate"/>
        </w:r>
        <w:r w:rsidRPr="000552AA">
          <w:rPr>
            <w:rFonts w:ascii="Times New Roman" w:hAnsi="Times New Roman"/>
            <w:webHidden/>
          </w:rPr>
          <w:t>8</w:t>
        </w:r>
        <w:r w:rsidRPr="000552AA">
          <w:rPr>
            <w:rFonts w:ascii="Times New Roman" w:hAnsi="Times New Roman"/>
            <w:webHidden/>
          </w:rPr>
          <w:fldChar w:fldCharType="end"/>
        </w:r>
      </w:hyperlink>
    </w:p>
    <w:p w:rsidR="00735BBC" w:rsidRPr="000552AA" w:rsidP="51DEDCD1" w14:paraId="7196C0CF" w14:textId="77777777">
      <w:pPr>
        <w:pStyle w:val="TableofFigures"/>
        <w:rPr>
          <w:rFonts w:ascii="Times New Roman" w:hAnsi="Times New Roman"/>
        </w:rPr>
      </w:pPr>
      <w:r w:rsidRPr="000552AA">
        <w:rPr>
          <w:rFonts w:ascii="Times New Roman" w:hAnsi="Times New Roman"/>
          <w:sz w:val="20"/>
        </w:rPr>
        <w:fldChar w:fldCharType="end"/>
      </w:r>
      <w:r w:rsidRPr="000552AA">
        <w:rPr>
          <w:rFonts w:ascii="Times New Roman" w:eastAsia="Gotham" w:hAnsi="Times New Roman"/>
          <w:sz w:val="20"/>
          <w:lang w:val="en"/>
        </w:rPr>
        <w:fldChar w:fldCharType="begin" w:fldLock="1"/>
      </w:r>
      <w:r w:rsidRPr="000552AA">
        <w:rPr>
          <w:rFonts w:ascii="Times New Roman" w:eastAsia="Gotham" w:hAnsi="Times New Roman"/>
          <w:sz w:val="20"/>
        </w:rPr>
        <w:instrText xml:space="preserve"> TOC \h \z \c "Table" </w:instrText>
      </w:r>
      <w:r w:rsidRPr="000552AA">
        <w:rPr>
          <w:rFonts w:ascii="Times New Roman" w:eastAsia="Gotham" w:hAnsi="Times New Roman"/>
          <w:sz w:val="20"/>
          <w:lang w:val="en"/>
        </w:rPr>
        <w:fldChar w:fldCharType="separate"/>
      </w:r>
    </w:p>
    <w:p w:rsidR="00735BBC" w:rsidRPr="000552AA" w14:paraId="3F6FCAF2" w14:textId="33B58F21">
      <w:pPr>
        <w:pStyle w:val="TableofFigures"/>
        <w:rPr>
          <w:rFonts w:ascii="Times New Roman" w:hAnsi="Times New Roman" w:eastAsiaTheme="minorEastAsia"/>
          <w:kern w:val="2"/>
          <w:sz w:val="24"/>
          <w:szCs w:val="24"/>
          <w14:ligatures w14:val="standardContextual"/>
        </w:rPr>
      </w:pPr>
      <w:hyperlink w:anchor="_Toc184299547" w:history="1">
        <w:r w:rsidRPr="000552AA">
          <w:rPr>
            <w:rStyle w:val="Hyperlink"/>
            <w:rFonts w:ascii="Times New Roman" w:hAnsi="Times New Roman"/>
          </w:rPr>
          <w:t>Table 1</w:t>
        </w:r>
        <w:r w:rsidRPr="000552AA">
          <w:rPr>
            <w:rStyle w:val="Hyperlink"/>
            <w:rFonts w:ascii="Times New Roman" w:hAnsi="Times New Roman"/>
          </w:rPr>
          <w:noBreakHyphen/>
          <w:t>1: Physical and Chemical Properties of C.I. Pigment Violet 29</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_Toc184299547 \h </w:instrText>
        </w:r>
        <w:r w:rsidRPr="000552AA">
          <w:rPr>
            <w:rFonts w:ascii="Times New Roman" w:hAnsi="Times New Roman"/>
            <w:webHidden/>
          </w:rPr>
          <w:fldChar w:fldCharType="separate"/>
        </w:r>
        <w:r w:rsidRPr="000552AA">
          <w:rPr>
            <w:rFonts w:ascii="Times New Roman" w:hAnsi="Times New Roman"/>
            <w:webHidden/>
          </w:rPr>
          <w:t>1-2</w:t>
        </w:r>
        <w:r w:rsidRPr="000552AA">
          <w:rPr>
            <w:rFonts w:ascii="Times New Roman" w:hAnsi="Times New Roman"/>
            <w:webHidden/>
          </w:rPr>
          <w:fldChar w:fldCharType="end"/>
        </w:r>
      </w:hyperlink>
    </w:p>
    <w:p w:rsidR="00735BBC" w:rsidRPr="000552AA" w14:paraId="3EC98898" w14:textId="2ADE039B">
      <w:pPr>
        <w:pStyle w:val="TableofFigures"/>
        <w:rPr>
          <w:rFonts w:ascii="Times New Roman" w:hAnsi="Times New Roman" w:eastAsiaTheme="minorEastAsia"/>
          <w:kern w:val="2"/>
          <w:sz w:val="24"/>
          <w:szCs w:val="24"/>
          <w14:ligatures w14:val="standardContextual"/>
        </w:rPr>
      </w:pPr>
      <w:hyperlink w:anchor="_Toc184299548" w:history="1">
        <w:r w:rsidRPr="000552AA">
          <w:rPr>
            <w:rStyle w:val="Hyperlink"/>
            <w:rFonts w:ascii="Times New Roman" w:hAnsi="Times New Roman"/>
          </w:rPr>
          <w:t>Table 1</w:t>
        </w:r>
        <w:r w:rsidRPr="000552AA">
          <w:rPr>
            <w:rStyle w:val="Hyperlink"/>
            <w:rFonts w:ascii="Times New Roman" w:hAnsi="Times New Roman"/>
          </w:rPr>
          <w:noBreakHyphen/>
          <w:t>2: Categories and Subcategories of Conditions of Use Included in the Risk Evaluation</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_Toc184299548 \h </w:instrText>
        </w:r>
        <w:r w:rsidRPr="000552AA">
          <w:rPr>
            <w:rFonts w:ascii="Times New Roman" w:hAnsi="Times New Roman"/>
            <w:webHidden/>
          </w:rPr>
          <w:fldChar w:fldCharType="separate"/>
        </w:r>
        <w:r w:rsidRPr="000552AA">
          <w:rPr>
            <w:rFonts w:ascii="Times New Roman" w:hAnsi="Times New Roman"/>
            <w:webHidden/>
          </w:rPr>
          <w:t>1-3</w:t>
        </w:r>
        <w:r w:rsidRPr="000552AA">
          <w:rPr>
            <w:rFonts w:ascii="Times New Roman" w:hAnsi="Times New Roman"/>
            <w:webHidden/>
          </w:rPr>
          <w:fldChar w:fldCharType="end"/>
        </w:r>
      </w:hyperlink>
    </w:p>
    <w:p w:rsidR="00735BBC" w:rsidRPr="000552AA" w14:paraId="548A1186" w14:textId="22FBBE11">
      <w:pPr>
        <w:pStyle w:val="TableofFigures"/>
        <w:rPr>
          <w:rFonts w:ascii="Times New Roman" w:hAnsi="Times New Roman" w:eastAsiaTheme="minorEastAsia"/>
          <w:kern w:val="2"/>
          <w:sz w:val="24"/>
          <w:szCs w:val="24"/>
          <w14:ligatures w14:val="standardContextual"/>
        </w:rPr>
      </w:pPr>
      <w:hyperlink w:anchor="_Toc184299549" w:history="1">
        <w:r w:rsidRPr="000552AA">
          <w:rPr>
            <w:rStyle w:val="Hyperlink"/>
            <w:rFonts w:ascii="Times New Roman" w:hAnsi="Times New Roman"/>
          </w:rPr>
          <w:t>Table 1</w:t>
        </w:r>
        <w:r w:rsidRPr="000552AA">
          <w:rPr>
            <w:rStyle w:val="Hyperlink"/>
            <w:rFonts w:ascii="Times New Roman" w:hAnsi="Times New Roman"/>
          </w:rPr>
          <w:noBreakHyphen/>
          <w:t>3: Regulatory Options by Condition of Use</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_Toc184299549 \h </w:instrText>
        </w:r>
        <w:r w:rsidRPr="000552AA">
          <w:rPr>
            <w:rFonts w:ascii="Times New Roman" w:hAnsi="Times New Roman"/>
            <w:webHidden/>
          </w:rPr>
          <w:fldChar w:fldCharType="separate"/>
        </w:r>
        <w:r w:rsidRPr="000552AA">
          <w:rPr>
            <w:rFonts w:ascii="Times New Roman" w:hAnsi="Times New Roman"/>
            <w:webHidden/>
          </w:rPr>
          <w:t>1-7</w:t>
        </w:r>
        <w:r w:rsidRPr="000552AA">
          <w:rPr>
            <w:rFonts w:ascii="Times New Roman" w:hAnsi="Times New Roman"/>
            <w:webHidden/>
          </w:rPr>
          <w:fldChar w:fldCharType="end"/>
        </w:r>
      </w:hyperlink>
    </w:p>
    <w:p w:rsidR="00735BBC" w:rsidRPr="000552AA" w14:paraId="4FCF2782" w14:textId="005D46C3">
      <w:pPr>
        <w:pStyle w:val="TableofFigures"/>
        <w:rPr>
          <w:rFonts w:ascii="Times New Roman" w:hAnsi="Times New Roman" w:eastAsiaTheme="minorEastAsia"/>
          <w:kern w:val="2"/>
          <w:sz w:val="24"/>
          <w:szCs w:val="24"/>
          <w14:ligatures w14:val="standardContextual"/>
        </w:rPr>
      </w:pPr>
      <w:hyperlink w:anchor="_Toc184299550" w:history="1">
        <w:r w:rsidRPr="000552AA">
          <w:rPr>
            <w:rStyle w:val="Hyperlink"/>
            <w:rFonts w:ascii="Times New Roman" w:hAnsi="Times New Roman"/>
          </w:rPr>
          <w:t>Table 3</w:t>
        </w:r>
        <w:r w:rsidRPr="000552AA">
          <w:rPr>
            <w:rStyle w:val="Hyperlink"/>
            <w:rFonts w:ascii="Times New Roman" w:hAnsi="Times New Roman"/>
          </w:rPr>
          <w:noBreakHyphen/>
          <w:t>1: Company Associated with Manufacturing of C.I. Pigment Violet 29</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_Toc184299550 \h </w:instrText>
        </w:r>
        <w:r w:rsidRPr="000552AA">
          <w:rPr>
            <w:rFonts w:ascii="Times New Roman" w:hAnsi="Times New Roman"/>
            <w:webHidden/>
          </w:rPr>
          <w:fldChar w:fldCharType="separate"/>
        </w:r>
        <w:r w:rsidRPr="000552AA">
          <w:rPr>
            <w:rFonts w:ascii="Times New Roman" w:hAnsi="Times New Roman"/>
            <w:webHidden/>
          </w:rPr>
          <w:t>3-1</w:t>
        </w:r>
        <w:r w:rsidRPr="000552AA">
          <w:rPr>
            <w:rFonts w:ascii="Times New Roman" w:hAnsi="Times New Roman"/>
            <w:webHidden/>
          </w:rPr>
          <w:fldChar w:fldCharType="end"/>
        </w:r>
      </w:hyperlink>
    </w:p>
    <w:p w:rsidR="00735BBC" w:rsidRPr="000552AA" w14:paraId="592B7A4B" w14:textId="76530CD1">
      <w:pPr>
        <w:pStyle w:val="TableofFigures"/>
        <w:rPr>
          <w:rFonts w:ascii="Times New Roman" w:hAnsi="Times New Roman" w:eastAsiaTheme="minorEastAsia"/>
          <w:kern w:val="2"/>
          <w:sz w:val="24"/>
          <w:szCs w:val="24"/>
          <w14:ligatures w14:val="standardContextual"/>
        </w:rPr>
      </w:pPr>
      <w:hyperlink w:anchor="_Toc184299551" w:history="1">
        <w:r w:rsidRPr="000552AA">
          <w:rPr>
            <w:rStyle w:val="Hyperlink"/>
            <w:rFonts w:ascii="Times New Roman" w:hAnsi="Times New Roman"/>
          </w:rPr>
          <w:t>Table 3</w:t>
        </w:r>
        <w:r w:rsidRPr="000552AA">
          <w:rPr>
            <w:rStyle w:val="Hyperlink"/>
            <w:rFonts w:ascii="Times New Roman" w:hAnsi="Times New Roman"/>
          </w:rPr>
          <w:noBreakHyphen/>
          <w:t>2: National Production Volume Data for C.I. Pigment Violet 29 (Total Aggregate Production Volume (lbs))</w:t>
        </w:r>
        <w:r w:rsidRPr="000552AA">
          <w:rPr>
            <w:rFonts w:ascii="Times New Roman" w:hAnsi="Times New Roman"/>
            <w:webHidden/>
          </w:rPr>
          <w:tab/>
        </w:r>
        <w:r w:rsidR="00B57B1E">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_Toc184299551 \h </w:instrText>
        </w:r>
        <w:r w:rsidRPr="000552AA">
          <w:rPr>
            <w:rFonts w:ascii="Times New Roman" w:hAnsi="Times New Roman"/>
            <w:webHidden/>
          </w:rPr>
          <w:fldChar w:fldCharType="separate"/>
        </w:r>
        <w:r w:rsidRPr="000552AA">
          <w:rPr>
            <w:rFonts w:ascii="Times New Roman" w:hAnsi="Times New Roman"/>
            <w:webHidden/>
          </w:rPr>
          <w:t>3-2</w:t>
        </w:r>
        <w:r w:rsidRPr="000552AA">
          <w:rPr>
            <w:rFonts w:ascii="Times New Roman" w:hAnsi="Times New Roman"/>
            <w:webHidden/>
          </w:rPr>
          <w:fldChar w:fldCharType="end"/>
        </w:r>
      </w:hyperlink>
    </w:p>
    <w:p w:rsidR="00735BBC" w:rsidRPr="000552AA" w14:paraId="73FF87CE" w14:textId="28DF07B6">
      <w:pPr>
        <w:pStyle w:val="TableofFigures"/>
        <w:rPr>
          <w:rFonts w:ascii="Times New Roman" w:hAnsi="Times New Roman" w:eastAsiaTheme="minorEastAsia"/>
          <w:kern w:val="2"/>
          <w:sz w:val="24"/>
          <w:szCs w:val="24"/>
          <w14:ligatures w14:val="standardContextual"/>
        </w:rPr>
      </w:pPr>
      <w:hyperlink w:anchor="_Toc184299552" w:history="1">
        <w:r w:rsidRPr="000552AA">
          <w:rPr>
            <w:rStyle w:val="Hyperlink"/>
            <w:rFonts w:ascii="Times New Roman" w:hAnsi="Times New Roman"/>
          </w:rPr>
          <w:t>Table 3</w:t>
        </w:r>
        <w:r w:rsidRPr="000552AA">
          <w:rPr>
            <w:rStyle w:val="Hyperlink"/>
            <w:rFonts w:ascii="Times New Roman" w:hAnsi="Times New Roman"/>
          </w:rPr>
          <w:noBreakHyphen/>
          <w:t>3: Companies Manufacturing Automotive Paints in the United States</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_Toc184299552 \h </w:instrText>
        </w:r>
        <w:r w:rsidRPr="000552AA">
          <w:rPr>
            <w:rFonts w:ascii="Times New Roman" w:hAnsi="Times New Roman"/>
            <w:webHidden/>
          </w:rPr>
          <w:fldChar w:fldCharType="separate"/>
        </w:r>
        <w:r w:rsidRPr="000552AA">
          <w:rPr>
            <w:rFonts w:ascii="Times New Roman" w:hAnsi="Times New Roman"/>
            <w:webHidden/>
          </w:rPr>
          <w:t>3-4</w:t>
        </w:r>
        <w:r w:rsidRPr="000552AA">
          <w:rPr>
            <w:rFonts w:ascii="Times New Roman" w:hAnsi="Times New Roman"/>
            <w:webHidden/>
          </w:rPr>
          <w:fldChar w:fldCharType="end"/>
        </w:r>
      </w:hyperlink>
    </w:p>
    <w:p w:rsidR="00735BBC" w:rsidRPr="000552AA" w14:paraId="2D09CDA4" w14:textId="1E1764C5">
      <w:pPr>
        <w:pStyle w:val="TableofFigures"/>
        <w:rPr>
          <w:rFonts w:ascii="Times New Roman" w:hAnsi="Times New Roman" w:eastAsiaTheme="minorEastAsia"/>
          <w:kern w:val="2"/>
          <w:sz w:val="24"/>
          <w:szCs w:val="24"/>
          <w14:ligatures w14:val="standardContextual"/>
        </w:rPr>
      </w:pPr>
      <w:hyperlink w:anchor="_Toc184299553" w:history="1">
        <w:r w:rsidRPr="000552AA">
          <w:rPr>
            <w:rStyle w:val="Hyperlink"/>
            <w:rFonts w:ascii="Times New Roman" w:hAnsi="Times New Roman"/>
          </w:rPr>
          <w:t>Table 3</w:t>
        </w:r>
        <w:r w:rsidRPr="000552AA">
          <w:rPr>
            <w:rStyle w:val="Hyperlink"/>
            <w:rFonts w:ascii="Times New Roman" w:hAnsi="Times New Roman"/>
          </w:rPr>
          <w:noBreakHyphen/>
          <w:t>4: Number of Companies Potentially Associated with Disposal of C.I. Pigment Violet 29</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_Toc184299553 \h </w:instrText>
        </w:r>
        <w:r w:rsidRPr="000552AA">
          <w:rPr>
            <w:rFonts w:ascii="Times New Roman" w:hAnsi="Times New Roman"/>
            <w:webHidden/>
          </w:rPr>
          <w:fldChar w:fldCharType="separate"/>
        </w:r>
        <w:r w:rsidRPr="000552AA">
          <w:rPr>
            <w:rFonts w:ascii="Times New Roman" w:hAnsi="Times New Roman"/>
            <w:webHidden/>
          </w:rPr>
          <w:t>3-8</w:t>
        </w:r>
        <w:r w:rsidRPr="000552AA">
          <w:rPr>
            <w:rFonts w:ascii="Times New Roman" w:hAnsi="Times New Roman"/>
            <w:webHidden/>
          </w:rPr>
          <w:fldChar w:fldCharType="end"/>
        </w:r>
      </w:hyperlink>
    </w:p>
    <w:p w:rsidR="00735BBC" w:rsidRPr="000552AA" w14:paraId="6C22E451" w14:textId="2DCEC31F">
      <w:pPr>
        <w:pStyle w:val="TableofFigures"/>
        <w:rPr>
          <w:rFonts w:ascii="Times New Roman" w:hAnsi="Times New Roman" w:eastAsiaTheme="minorEastAsia"/>
          <w:kern w:val="2"/>
          <w:sz w:val="24"/>
          <w:szCs w:val="24"/>
          <w14:ligatures w14:val="standardContextual"/>
        </w:rPr>
      </w:pPr>
      <w:hyperlink w:anchor="_Toc184299554" w:history="1">
        <w:r w:rsidRPr="000552AA">
          <w:rPr>
            <w:rStyle w:val="Hyperlink"/>
            <w:rFonts w:ascii="Times New Roman" w:hAnsi="Times New Roman"/>
          </w:rPr>
          <w:t>Table 3</w:t>
        </w:r>
        <w:r w:rsidRPr="000552AA">
          <w:rPr>
            <w:rStyle w:val="Hyperlink"/>
            <w:rFonts w:ascii="Times New Roman" w:hAnsi="Times New Roman"/>
          </w:rPr>
          <w:noBreakHyphen/>
          <w:t>5: Summary of Relevant Industries and Firm Counts for COUs with Unreasonable Risk</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_Toc184299554 \h </w:instrText>
        </w:r>
        <w:r w:rsidRPr="000552AA">
          <w:rPr>
            <w:rFonts w:ascii="Times New Roman" w:hAnsi="Times New Roman"/>
            <w:webHidden/>
          </w:rPr>
          <w:fldChar w:fldCharType="separate"/>
        </w:r>
        <w:r w:rsidRPr="000552AA">
          <w:rPr>
            <w:rFonts w:ascii="Times New Roman" w:hAnsi="Times New Roman"/>
            <w:webHidden/>
          </w:rPr>
          <w:t>3-9</w:t>
        </w:r>
        <w:r w:rsidRPr="000552AA">
          <w:rPr>
            <w:rFonts w:ascii="Times New Roman" w:hAnsi="Times New Roman"/>
            <w:webHidden/>
          </w:rPr>
          <w:fldChar w:fldCharType="end"/>
        </w:r>
      </w:hyperlink>
    </w:p>
    <w:p w:rsidR="00735BBC" w:rsidRPr="000552AA" w14:paraId="119DEC2B" w14:textId="649BF8C8">
      <w:pPr>
        <w:pStyle w:val="TableofFigures"/>
        <w:rPr>
          <w:rFonts w:ascii="Times New Roman" w:hAnsi="Times New Roman" w:eastAsiaTheme="minorEastAsia"/>
          <w:kern w:val="2"/>
          <w:sz w:val="24"/>
          <w:szCs w:val="24"/>
          <w14:ligatures w14:val="standardContextual"/>
        </w:rPr>
      </w:pPr>
      <w:hyperlink w:anchor="_Toc184299555" w:history="1">
        <w:r w:rsidRPr="000552AA">
          <w:rPr>
            <w:rStyle w:val="Hyperlink"/>
            <w:rFonts w:ascii="Times New Roman" w:hAnsi="Times New Roman"/>
          </w:rPr>
          <w:t>Table 3</w:t>
        </w:r>
        <w:r w:rsidRPr="000552AA">
          <w:rPr>
            <w:rStyle w:val="Hyperlink"/>
            <w:rFonts w:ascii="Times New Roman" w:hAnsi="Times New Roman"/>
          </w:rPr>
          <w:noBreakHyphen/>
          <w:t>6: Number of Affected Sites and Exposed Workers</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_Toc184299555 \h </w:instrText>
        </w:r>
        <w:r w:rsidRPr="000552AA">
          <w:rPr>
            <w:rFonts w:ascii="Times New Roman" w:hAnsi="Times New Roman"/>
            <w:webHidden/>
          </w:rPr>
          <w:fldChar w:fldCharType="separate"/>
        </w:r>
        <w:r w:rsidRPr="000552AA">
          <w:rPr>
            <w:rFonts w:ascii="Times New Roman" w:hAnsi="Times New Roman"/>
            <w:webHidden/>
          </w:rPr>
          <w:t>3-10</w:t>
        </w:r>
        <w:r w:rsidRPr="000552AA">
          <w:rPr>
            <w:rFonts w:ascii="Times New Roman" w:hAnsi="Times New Roman"/>
            <w:webHidden/>
          </w:rPr>
          <w:fldChar w:fldCharType="end"/>
        </w:r>
      </w:hyperlink>
    </w:p>
    <w:p w:rsidR="00735BBC" w:rsidRPr="000552AA" w14:paraId="7279E118" w14:textId="604DAD7E">
      <w:pPr>
        <w:pStyle w:val="TableofFigures"/>
        <w:rPr>
          <w:rFonts w:ascii="Times New Roman" w:hAnsi="Times New Roman" w:eastAsiaTheme="minorEastAsia"/>
          <w:kern w:val="2"/>
          <w:sz w:val="24"/>
          <w:szCs w:val="24"/>
          <w14:ligatures w14:val="standardContextual"/>
        </w:rPr>
      </w:pPr>
      <w:hyperlink w:anchor="_Toc184299556" w:history="1">
        <w:r w:rsidRPr="000552AA">
          <w:rPr>
            <w:rStyle w:val="Hyperlink"/>
            <w:rFonts w:ascii="Times New Roman" w:hAnsi="Times New Roman"/>
          </w:rPr>
          <w:t>Table 3</w:t>
        </w:r>
        <w:r w:rsidRPr="000552AA">
          <w:rPr>
            <w:rStyle w:val="Hyperlink"/>
            <w:rFonts w:ascii="Times New Roman" w:hAnsi="Times New Roman"/>
          </w:rPr>
          <w:noBreakHyphen/>
          <w:t>7: Summary of Regulated PV29 Concentrations in Manufacturing Facility</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_Toc184299556 \h </w:instrText>
        </w:r>
        <w:r w:rsidRPr="000552AA">
          <w:rPr>
            <w:rFonts w:ascii="Times New Roman" w:hAnsi="Times New Roman"/>
            <w:webHidden/>
          </w:rPr>
          <w:fldChar w:fldCharType="separate"/>
        </w:r>
        <w:r w:rsidRPr="000552AA">
          <w:rPr>
            <w:rFonts w:ascii="Times New Roman" w:hAnsi="Times New Roman"/>
            <w:webHidden/>
          </w:rPr>
          <w:t>3-10</w:t>
        </w:r>
        <w:r w:rsidRPr="000552AA">
          <w:rPr>
            <w:rFonts w:ascii="Times New Roman" w:hAnsi="Times New Roman"/>
            <w:webHidden/>
          </w:rPr>
          <w:fldChar w:fldCharType="end"/>
        </w:r>
      </w:hyperlink>
    </w:p>
    <w:p w:rsidR="00735BBC" w:rsidRPr="000552AA" w14:paraId="48BD4DC1" w14:textId="0E6DEF90">
      <w:pPr>
        <w:pStyle w:val="TableofFigures"/>
        <w:rPr>
          <w:rFonts w:ascii="Times New Roman" w:hAnsi="Times New Roman" w:eastAsiaTheme="minorEastAsia"/>
          <w:kern w:val="2"/>
          <w:sz w:val="24"/>
          <w:szCs w:val="24"/>
          <w14:ligatures w14:val="standardContextual"/>
        </w:rPr>
      </w:pPr>
      <w:hyperlink w:anchor="_Toc184299557" w:history="1">
        <w:r w:rsidRPr="000552AA">
          <w:rPr>
            <w:rStyle w:val="Hyperlink"/>
            <w:rFonts w:ascii="Times New Roman" w:hAnsi="Times New Roman"/>
          </w:rPr>
          <w:t>Table 4</w:t>
        </w:r>
        <w:r w:rsidRPr="000552AA">
          <w:rPr>
            <w:rStyle w:val="Hyperlink"/>
            <w:rFonts w:ascii="Times New Roman" w:hAnsi="Times New Roman"/>
          </w:rPr>
          <w:noBreakHyphen/>
          <w:t>1: Fully Loaded Hourly Labor Rates for Relevant Occupations (2023$)</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_Toc184299557 \h </w:instrText>
        </w:r>
        <w:r w:rsidRPr="000552AA">
          <w:rPr>
            <w:rFonts w:ascii="Times New Roman" w:hAnsi="Times New Roman"/>
            <w:webHidden/>
          </w:rPr>
          <w:fldChar w:fldCharType="separate"/>
        </w:r>
        <w:r w:rsidRPr="000552AA">
          <w:rPr>
            <w:rFonts w:ascii="Times New Roman" w:hAnsi="Times New Roman"/>
            <w:webHidden/>
          </w:rPr>
          <w:t>4-1</w:t>
        </w:r>
        <w:r w:rsidRPr="000552AA">
          <w:rPr>
            <w:rFonts w:ascii="Times New Roman" w:hAnsi="Times New Roman"/>
            <w:webHidden/>
          </w:rPr>
          <w:fldChar w:fldCharType="end"/>
        </w:r>
      </w:hyperlink>
    </w:p>
    <w:p w:rsidR="00735BBC" w:rsidRPr="000552AA" w14:paraId="215CBEA8" w14:textId="3BD8FE76">
      <w:pPr>
        <w:pStyle w:val="TableofFigures"/>
        <w:rPr>
          <w:rFonts w:ascii="Times New Roman" w:hAnsi="Times New Roman" w:eastAsiaTheme="minorEastAsia"/>
          <w:kern w:val="2"/>
          <w:sz w:val="24"/>
          <w:szCs w:val="24"/>
          <w14:ligatures w14:val="standardContextual"/>
        </w:rPr>
      </w:pPr>
      <w:hyperlink w:anchor="_Toc184299558" w:history="1">
        <w:r w:rsidRPr="000552AA">
          <w:rPr>
            <w:rStyle w:val="Hyperlink"/>
            <w:rFonts w:ascii="Times New Roman" w:hAnsi="Times New Roman"/>
          </w:rPr>
          <w:t>Table 4</w:t>
        </w:r>
        <w:r w:rsidRPr="000552AA">
          <w:rPr>
            <w:rStyle w:val="Hyperlink"/>
            <w:rFonts w:ascii="Times New Roman" w:hAnsi="Times New Roman"/>
          </w:rPr>
          <w:noBreakHyphen/>
          <w:t>2: Total One-time Rule Familiarization Costs by Use</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_Toc184299558 \h </w:instrText>
        </w:r>
        <w:r w:rsidRPr="000552AA">
          <w:rPr>
            <w:rFonts w:ascii="Times New Roman" w:hAnsi="Times New Roman"/>
            <w:webHidden/>
          </w:rPr>
          <w:fldChar w:fldCharType="separate"/>
        </w:r>
        <w:r w:rsidRPr="000552AA">
          <w:rPr>
            <w:rFonts w:ascii="Times New Roman" w:hAnsi="Times New Roman"/>
            <w:webHidden/>
          </w:rPr>
          <w:t>4-2</w:t>
        </w:r>
        <w:r w:rsidRPr="000552AA">
          <w:rPr>
            <w:rFonts w:ascii="Times New Roman" w:hAnsi="Times New Roman"/>
            <w:webHidden/>
          </w:rPr>
          <w:fldChar w:fldCharType="end"/>
        </w:r>
      </w:hyperlink>
    </w:p>
    <w:p w:rsidR="00735BBC" w:rsidRPr="000552AA" w14:paraId="7E0AE8D4" w14:textId="1870BFDB">
      <w:pPr>
        <w:pStyle w:val="TableofFigures"/>
        <w:rPr>
          <w:rFonts w:ascii="Times New Roman" w:hAnsi="Times New Roman" w:eastAsiaTheme="minorEastAsia"/>
          <w:kern w:val="2"/>
          <w:sz w:val="24"/>
          <w:szCs w:val="24"/>
          <w14:ligatures w14:val="standardContextual"/>
        </w:rPr>
      </w:pPr>
      <w:hyperlink w:anchor="_Toc184299559" w:history="1">
        <w:r w:rsidRPr="000552AA">
          <w:rPr>
            <w:rStyle w:val="Hyperlink"/>
            <w:rFonts w:ascii="Times New Roman" w:hAnsi="Times New Roman"/>
          </w:rPr>
          <w:t>Table 4</w:t>
        </w:r>
        <w:r w:rsidRPr="000552AA">
          <w:rPr>
            <w:rStyle w:val="Hyperlink"/>
            <w:rFonts w:ascii="Times New Roman" w:hAnsi="Times New Roman"/>
          </w:rPr>
          <w:noBreakHyphen/>
          <w:t>3: Number of Affected Sites and Exposed Workers</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_Toc184299559 \h </w:instrText>
        </w:r>
        <w:r w:rsidRPr="000552AA">
          <w:rPr>
            <w:rFonts w:ascii="Times New Roman" w:hAnsi="Times New Roman"/>
            <w:webHidden/>
          </w:rPr>
          <w:fldChar w:fldCharType="separate"/>
        </w:r>
        <w:r w:rsidRPr="000552AA">
          <w:rPr>
            <w:rFonts w:ascii="Times New Roman" w:hAnsi="Times New Roman"/>
            <w:webHidden/>
          </w:rPr>
          <w:t>4-3</w:t>
        </w:r>
        <w:r w:rsidRPr="000552AA">
          <w:rPr>
            <w:rFonts w:ascii="Times New Roman" w:hAnsi="Times New Roman"/>
            <w:webHidden/>
          </w:rPr>
          <w:fldChar w:fldCharType="end"/>
        </w:r>
      </w:hyperlink>
    </w:p>
    <w:p w:rsidR="00735BBC" w:rsidRPr="000552AA" w14:paraId="0392F6E5" w14:textId="51B7F948">
      <w:pPr>
        <w:pStyle w:val="TableofFigures"/>
        <w:rPr>
          <w:rFonts w:ascii="Times New Roman" w:hAnsi="Times New Roman" w:eastAsiaTheme="minorEastAsia"/>
          <w:kern w:val="2"/>
          <w:sz w:val="24"/>
          <w:szCs w:val="24"/>
          <w14:ligatures w14:val="standardContextual"/>
        </w:rPr>
      </w:pPr>
      <w:hyperlink w:anchor="_Toc184299560" w:history="1">
        <w:r w:rsidRPr="000552AA">
          <w:rPr>
            <w:rStyle w:val="Hyperlink"/>
            <w:rFonts w:ascii="Times New Roman" w:hAnsi="Times New Roman"/>
          </w:rPr>
          <w:t>Table 4</w:t>
        </w:r>
        <w:r w:rsidRPr="000552AA">
          <w:rPr>
            <w:rStyle w:val="Hyperlink"/>
            <w:rFonts w:ascii="Times New Roman" w:hAnsi="Times New Roman"/>
          </w:rPr>
          <w:noBreakHyphen/>
          <w:t>4: Summary of Control Measures Required for Regulated PV29 under Regulatory Options</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_Toc184299560 \h </w:instrText>
        </w:r>
        <w:r w:rsidRPr="000552AA">
          <w:rPr>
            <w:rFonts w:ascii="Times New Roman" w:hAnsi="Times New Roman"/>
            <w:webHidden/>
          </w:rPr>
          <w:fldChar w:fldCharType="separate"/>
        </w:r>
        <w:r w:rsidRPr="000552AA">
          <w:rPr>
            <w:rFonts w:ascii="Times New Roman" w:hAnsi="Times New Roman"/>
            <w:webHidden/>
          </w:rPr>
          <w:t>4-3</w:t>
        </w:r>
        <w:r w:rsidRPr="000552AA">
          <w:rPr>
            <w:rFonts w:ascii="Times New Roman" w:hAnsi="Times New Roman"/>
            <w:webHidden/>
          </w:rPr>
          <w:fldChar w:fldCharType="end"/>
        </w:r>
      </w:hyperlink>
    </w:p>
    <w:p w:rsidR="00735BBC" w:rsidRPr="000552AA" w14:paraId="381655A1" w14:textId="22B4F4B1">
      <w:pPr>
        <w:pStyle w:val="TableofFigures"/>
        <w:rPr>
          <w:rFonts w:ascii="Times New Roman" w:hAnsi="Times New Roman" w:eastAsiaTheme="minorEastAsia"/>
          <w:kern w:val="2"/>
          <w:sz w:val="24"/>
          <w:szCs w:val="24"/>
          <w14:ligatures w14:val="standardContextual"/>
        </w:rPr>
      </w:pPr>
      <w:hyperlink w:anchor="_Toc184299561" w:history="1">
        <w:r w:rsidRPr="000552AA">
          <w:rPr>
            <w:rStyle w:val="Hyperlink"/>
            <w:rFonts w:ascii="Times New Roman" w:hAnsi="Times New Roman"/>
          </w:rPr>
          <w:t>Table 4</w:t>
        </w:r>
        <w:r w:rsidRPr="000552AA">
          <w:rPr>
            <w:rStyle w:val="Hyperlink"/>
            <w:rFonts w:ascii="Times New Roman" w:hAnsi="Times New Roman"/>
          </w:rPr>
          <w:noBreakHyphen/>
          <w:t>5: Assigned Protection Factors (APF) for Respirators in OSHA Standard 29 CFR 1910.134</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_Toc184299561 \h </w:instrText>
        </w:r>
        <w:r w:rsidRPr="000552AA">
          <w:rPr>
            <w:rFonts w:ascii="Times New Roman" w:hAnsi="Times New Roman"/>
            <w:webHidden/>
          </w:rPr>
          <w:fldChar w:fldCharType="separate"/>
        </w:r>
        <w:r w:rsidRPr="000552AA">
          <w:rPr>
            <w:rFonts w:ascii="Times New Roman" w:hAnsi="Times New Roman"/>
            <w:webHidden/>
          </w:rPr>
          <w:t>4-5</w:t>
        </w:r>
        <w:r w:rsidRPr="000552AA">
          <w:rPr>
            <w:rFonts w:ascii="Times New Roman" w:hAnsi="Times New Roman"/>
            <w:webHidden/>
          </w:rPr>
          <w:fldChar w:fldCharType="end"/>
        </w:r>
      </w:hyperlink>
    </w:p>
    <w:p w:rsidR="00735BBC" w:rsidRPr="000552AA" w14:paraId="4BDFE24C" w14:textId="5CC34B0E">
      <w:pPr>
        <w:pStyle w:val="TableofFigures"/>
        <w:rPr>
          <w:rFonts w:ascii="Times New Roman" w:hAnsi="Times New Roman" w:eastAsiaTheme="minorEastAsia"/>
          <w:kern w:val="2"/>
          <w:sz w:val="24"/>
          <w:szCs w:val="24"/>
          <w14:ligatures w14:val="standardContextual"/>
        </w:rPr>
      </w:pPr>
      <w:hyperlink w:anchor="_Toc184299562" w:history="1">
        <w:r w:rsidRPr="000552AA">
          <w:rPr>
            <w:rStyle w:val="Hyperlink"/>
            <w:rFonts w:ascii="Times New Roman" w:hAnsi="Times New Roman"/>
          </w:rPr>
          <w:t>Table 4</w:t>
        </w:r>
        <w:r w:rsidRPr="000552AA">
          <w:rPr>
            <w:rStyle w:val="Hyperlink"/>
            <w:rFonts w:ascii="Times New Roman" w:hAnsi="Times New Roman"/>
          </w:rPr>
          <w:noBreakHyphen/>
          <w:t>6: Estimated Initial Respirator Costs (2023$)</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_Toc184299562 \h </w:instrText>
        </w:r>
        <w:r w:rsidRPr="000552AA">
          <w:rPr>
            <w:rFonts w:ascii="Times New Roman" w:hAnsi="Times New Roman"/>
            <w:webHidden/>
          </w:rPr>
          <w:fldChar w:fldCharType="separate"/>
        </w:r>
        <w:r w:rsidRPr="000552AA">
          <w:rPr>
            <w:rFonts w:ascii="Times New Roman" w:hAnsi="Times New Roman"/>
            <w:webHidden/>
          </w:rPr>
          <w:t>4-6</w:t>
        </w:r>
        <w:r w:rsidRPr="000552AA">
          <w:rPr>
            <w:rFonts w:ascii="Times New Roman" w:hAnsi="Times New Roman"/>
            <w:webHidden/>
          </w:rPr>
          <w:fldChar w:fldCharType="end"/>
        </w:r>
      </w:hyperlink>
    </w:p>
    <w:p w:rsidR="00735BBC" w:rsidRPr="000552AA" w14:paraId="66F94B28" w14:textId="4243BD88">
      <w:pPr>
        <w:pStyle w:val="TableofFigures"/>
        <w:rPr>
          <w:rFonts w:ascii="Times New Roman" w:hAnsi="Times New Roman" w:eastAsiaTheme="minorEastAsia"/>
          <w:kern w:val="2"/>
          <w:sz w:val="24"/>
          <w:szCs w:val="24"/>
          <w14:ligatures w14:val="standardContextual"/>
        </w:rPr>
      </w:pPr>
      <w:hyperlink w:anchor="_Toc184299563" w:history="1">
        <w:r w:rsidRPr="000552AA">
          <w:rPr>
            <w:rStyle w:val="Hyperlink"/>
            <w:rFonts w:ascii="Times New Roman" w:hAnsi="Times New Roman"/>
          </w:rPr>
          <w:t>Table 4</w:t>
        </w:r>
        <w:r w:rsidRPr="000552AA">
          <w:rPr>
            <w:rStyle w:val="Hyperlink"/>
            <w:rFonts w:ascii="Times New Roman" w:hAnsi="Times New Roman"/>
          </w:rPr>
          <w:noBreakHyphen/>
          <w:t>7: Estimated Annual Recurring Respirator Costs (2023$)</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_Toc184299563 \h </w:instrText>
        </w:r>
        <w:r w:rsidRPr="000552AA">
          <w:rPr>
            <w:rFonts w:ascii="Times New Roman" w:hAnsi="Times New Roman"/>
            <w:webHidden/>
          </w:rPr>
          <w:fldChar w:fldCharType="separate"/>
        </w:r>
        <w:r w:rsidRPr="000552AA">
          <w:rPr>
            <w:rFonts w:ascii="Times New Roman" w:hAnsi="Times New Roman"/>
            <w:webHidden/>
          </w:rPr>
          <w:t>4-6</w:t>
        </w:r>
        <w:r w:rsidRPr="000552AA">
          <w:rPr>
            <w:rFonts w:ascii="Times New Roman" w:hAnsi="Times New Roman"/>
            <w:webHidden/>
          </w:rPr>
          <w:fldChar w:fldCharType="end"/>
        </w:r>
      </w:hyperlink>
    </w:p>
    <w:p w:rsidR="00735BBC" w:rsidRPr="000552AA" w14:paraId="04C53DAA" w14:textId="031DE71B">
      <w:pPr>
        <w:pStyle w:val="TableofFigures"/>
        <w:rPr>
          <w:rFonts w:ascii="Times New Roman" w:hAnsi="Times New Roman" w:eastAsiaTheme="minorEastAsia"/>
          <w:kern w:val="2"/>
          <w:sz w:val="24"/>
          <w:szCs w:val="24"/>
          <w14:ligatures w14:val="standardContextual"/>
        </w:rPr>
      </w:pPr>
      <w:hyperlink w:anchor="_Toc184299564" w:history="1">
        <w:r w:rsidRPr="000552AA">
          <w:rPr>
            <w:rStyle w:val="Hyperlink"/>
            <w:rFonts w:ascii="Times New Roman" w:hAnsi="Times New Roman"/>
          </w:rPr>
          <w:t>Table 4</w:t>
        </w:r>
        <w:r w:rsidRPr="000552AA">
          <w:rPr>
            <w:rStyle w:val="Hyperlink"/>
            <w:rFonts w:ascii="Times New Roman" w:hAnsi="Times New Roman"/>
          </w:rPr>
          <w:noBreakHyphen/>
          <w:t>8: Unit Costs for N95 Mask (3M</w:t>
        </w:r>
        <w:r w:rsidRPr="000552AA">
          <w:rPr>
            <w:rStyle w:val="Hyperlink"/>
            <w:rFonts w:ascii="Times New Roman" w:hAnsi="Times New Roman"/>
            <w:vertAlign w:val="superscript"/>
          </w:rPr>
          <w:t>TM</w:t>
        </w:r>
        <w:r w:rsidRPr="000552AA">
          <w:rPr>
            <w:rStyle w:val="Hyperlink"/>
            <w:rFonts w:ascii="Times New Roman" w:hAnsi="Times New Roman"/>
          </w:rPr>
          <w:t xml:space="preserve"> Particulate Respirator 851; 2023</w:t>
        </w:r>
        <w:r w:rsidRPr="000552AA">
          <w:rPr>
            <w:rStyle w:val="Hyperlink"/>
            <w:rFonts w:ascii="Times New Roman" w:hAnsi="Times New Roman"/>
            <w:b/>
            <w:bCs/>
          </w:rPr>
          <w:t>$)</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_Toc184299564 \h </w:instrText>
        </w:r>
        <w:r w:rsidRPr="000552AA">
          <w:rPr>
            <w:rFonts w:ascii="Times New Roman" w:hAnsi="Times New Roman"/>
            <w:webHidden/>
          </w:rPr>
          <w:fldChar w:fldCharType="separate"/>
        </w:r>
        <w:r w:rsidRPr="000552AA">
          <w:rPr>
            <w:rFonts w:ascii="Times New Roman" w:hAnsi="Times New Roman"/>
            <w:webHidden/>
          </w:rPr>
          <w:t>4-7</w:t>
        </w:r>
        <w:r w:rsidRPr="000552AA">
          <w:rPr>
            <w:rFonts w:ascii="Times New Roman" w:hAnsi="Times New Roman"/>
            <w:webHidden/>
          </w:rPr>
          <w:fldChar w:fldCharType="end"/>
        </w:r>
      </w:hyperlink>
    </w:p>
    <w:p w:rsidR="00735BBC" w:rsidRPr="000552AA" w14:paraId="1DDB471A" w14:textId="21D1E3C2">
      <w:pPr>
        <w:pStyle w:val="TableofFigures"/>
        <w:rPr>
          <w:rFonts w:ascii="Times New Roman" w:hAnsi="Times New Roman" w:eastAsiaTheme="minorEastAsia"/>
          <w:kern w:val="2"/>
          <w:sz w:val="24"/>
          <w:szCs w:val="24"/>
          <w14:ligatures w14:val="standardContextual"/>
        </w:rPr>
      </w:pPr>
      <w:hyperlink w:anchor="_Toc184299565" w:history="1">
        <w:r w:rsidRPr="000552AA">
          <w:rPr>
            <w:rStyle w:val="Hyperlink"/>
            <w:rFonts w:ascii="Times New Roman" w:hAnsi="Times New Roman"/>
          </w:rPr>
          <w:t>Table 4</w:t>
        </w:r>
        <w:r w:rsidRPr="000552AA">
          <w:rPr>
            <w:rStyle w:val="Hyperlink"/>
            <w:rFonts w:ascii="Times New Roman" w:hAnsi="Times New Roman"/>
          </w:rPr>
          <w:noBreakHyphen/>
          <w:t>9: Estimated Initial and Recurring Costs for N95 Masking (per worker; 2023$)</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_Toc184299565 \h </w:instrText>
        </w:r>
        <w:r w:rsidRPr="000552AA">
          <w:rPr>
            <w:rFonts w:ascii="Times New Roman" w:hAnsi="Times New Roman"/>
            <w:webHidden/>
          </w:rPr>
          <w:fldChar w:fldCharType="separate"/>
        </w:r>
        <w:r w:rsidRPr="000552AA">
          <w:rPr>
            <w:rFonts w:ascii="Times New Roman" w:hAnsi="Times New Roman"/>
            <w:webHidden/>
          </w:rPr>
          <w:t>4-7</w:t>
        </w:r>
        <w:r w:rsidRPr="000552AA">
          <w:rPr>
            <w:rFonts w:ascii="Times New Roman" w:hAnsi="Times New Roman"/>
            <w:webHidden/>
          </w:rPr>
          <w:fldChar w:fldCharType="end"/>
        </w:r>
      </w:hyperlink>
    </w:p>
    <w:p w:rsidR="00735BBC" w:rsidRPr="000552AA" w14:paraId="00436799" w14:textId="77AD7075">
      <w:pPr>
        <w:pStyle w:val="TableofFigures"/>
        <w:rPr>
          <w:rFonts w:ascii="Times New Roman" w:hAnsi="Times New Roman" w:eastAsiaTheme="minorEastAsia"/>
          <w:kern w:val="2"/>
          <w:sz w:val="24"/>
          <w:szCs w:val="24"/>
          <w14:ligatures w14:val="standardContextual"/>
        </w:rPr>
      </w:pPr>
      <w:hyperlink w:anchor="_Toc184299566" w:history="1">
        <w:r w:rsidRPr="000552AA">
          <w:rPr>
            <w:rStyle w:val="Hyperlink"/>
            <w:rFonts w:ascii="Times New Roman" w:hAnsi="Times New Roman"/>
          </w:rPr>
          <w:t>Table 4</w:t>
        </w:r>
        <w:r w:rsidRPr="000552AA">
          <w:rPr>
            <w:rStyle w:val="Hyperlink"/>
            <w:rFonts w:ascii="Times New Roman" w:hAnsi="Times New Roman"/>
          </w:rPr>
          <w:noBreakHyphen/>
          <w:t>10: Calculation of Baseline PPE Costs (2023$)</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_Toc184299566 \h </w:instrText>
        </w:r>
        <w:r w:rsidRPr="000552AA">
          <w:rPr>
            <w:rFonts w:ascii="Times New Roman" w:hAnsi="Times New Roman"/>
            <w:webHidden/>
          </w:rPr>
          <w:fldChar w:fldCharType="separate"/>
        </w:r>
        <w:r w:rsidRPr="000552AA">
          <w:rPr>
            <w:rFonts w:ascii="Times New Roman" w:hAnsi="Times New Roman"/>
            <w:webHidden/>
          </w:rPr>
          <w:t>4-8</w:t>
        </w:r>
        <w:r w:rsidRPr="000552AA">
          <w:rPr>
            <w:rFonts w:ascii="Times New Roman" w:hAnsi="Times New Roman"/>
            <w:webHidden/>
          </w:rPr>
          <w:fldChar w:fldCharType="end"/>
        </w:r>
      </w:hyperlink>
    </w:p>
    <w:p w:rsidR="00735BBC" w:rsidRPr="000552AA" w14:paraId="34EA0012" w14:textId="5B717AF1">
      <w:pPr>
        <w:pStyle w:val="TableofFigures"/>
        <w:rPr>
          <w:rFonts w:ascii="Times New Roman" w:hAnsi="Times New Roman" w:eastAsiaTheme="minorEastAsia"/>
          <w:kern w:val="2"/>
          <w:sz w:val="24"/>
          <w:szCs w:val="24"/>
          <w14:ligatures w14:val="standardContextual"/>
        </w:rPr>
      </w:pPr>
      <w:hyperlink w:anchor="_Toc184299567" w:history="1">
        <w:r w:rsidRPr="000552AA">
          <w:rPr>
            <w:rStyle w:val="Hyperlink"/>
            <w:rFonts w:ascii="Times New Roman" w:hAnsi="Times New Roman"/>
          </w:rPr>
          <w:t>Table 4</w:t>
        </w:r>
        <w:r w:rsidRPr="000552AA">
          <w:rPr>
            <w:rStyle w:val="Hyperlink"/>
            <w:rFonts w:ascii="Times New Roman" w:hAnsi="Times New Roman"/>
          </w:rPr>
          <w:noBreakHyphen/>
          <w:t>11: Calculation of One-time PPE Costs under the Proposed Option (2023$)</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_Toc184299567 \h </w:instrText>
        </w:r>
        <w:r w:rsidRPr="000552AA">
          <w:rPr>
            <w:rFonts w:ascii="Times New Roman" w:hAnsi="Times New Roman"/>
            <w:webHidden/>
          </w:rPr>
          <w:fldChar w:fldCharType="separate"/>
        </w:r>
        <w:r w:rsidRPr="000552AA">
          <w:rPr>
            <w:rFonts w:ascii="Times New Roman" w:hAnsi="Times New Roman"/>
            <w:webHidden/>
          </w:rPr>
          <w:t>4-9</w:t>
        </w:r>
        <w:r w:rsidRPr="000552AA">
          <w:rPr>
            <w:rFonts w:ascii="Times New Roman" w:hAnsi="Times New Roman"/>
            <w:webHidden/>
          </w:rPr>
          <w:fldChar w:fldCharType="end"/>
        </w:r>
      </w:hyperlink>
    </w:p>
    <w:p w:rsidR="00735BBC" w:rsidRPr="000552AA" w14:paraId="101181D1" w14:textId="2053C620">
      <w:pPr>
        <w:pStyle w:val="TableofFigures"/>
        <w:rPr>
          <w:rFonts w:ascii="Times New Roman" w:hAnsi="Times New Roman" w:eastAsiaTheme="minorEastAsia"/>
          <w:kern w:val="2"/>
          <w:sz w:val="24"/>
          <w:szCs w:val="24"/>
          <w14:ligatures w14:val="standardContextual"/>
        </w:rPr>
      </w:pPr>
      <w:hyperlink w:anchor="_Toc184299568" w:history="1">
        <w:r w:rsidRPr="000552AA">
          <w:rPr>
            <w:rStyle w:val="Hyperlink"/>
            <w:rFonts w:ascii="Times New Roman" w:hAnsi="Times New Roman"/>
          </w:rPr>
          <w:t>Table 4</w:t>
        </w:r>
        <w:r w:rsidRPr="000552AA">
          <w:rPr>
            <w:rStyle w:val="Hyperlink"/>
            <w:rFonts w:ascii="Times New Roman" w:hAnsi="Times New Roman"/>
          </w:rPr>
          <w:noBreakHyphen/>
          <w:t>12: Proposed Option Annual Recurring PPE Costs (2023$)</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_Toc184299568 \h </w:instrText>
        </w:r>
        <w:r w:rsidRPr="000552AA">
          <w:rPr>
            <w:rFonts w:ascii="Times New Roman" w:hAnsi="Times New Roman"/>
            <w:webHidden/>
          </w:rPr>
          <w:fldChar w:fldCharType="separate"/>
        </w:r>
        <w:r w:rsidRPr="000552AA">
          <w:rPr>
            <w:rFonts w:ascii="Times New Roman" w:hAnsi="Times New Roman"/>
            <w:webHidden/>
          </w:rPr>
          <w:t>4-9</w:t>
        </w:r>
        <w:r w:rsidRPr="000552AA">
          <w:rPr>
            <w:rFonts w:ascii="Times New Roman" w:hAnsi="Times New Roman"/>
            <w:webHidden/>
          </w:rPr>
          <w:fldChar w:fldCharType="end"/>
        </w:r>
      </w:hyperlink>
    </w:p>
    <w:p w:rsidR="00735BBC" w:rsidRPr="000552AA" w14:paraId="0AADF789" w14:textId="085ACFD7">
      <w:pPr>
        <w:pStyle w:val="TableofFigures"/>
        <w:rPr>
          <w:rFonts w:ascii="Times New Roman" w:hAnsi="Times New Roman" w:eastAsiaTheme="minorEastAsia"/>
          <w:kern w:val="2"/>
          <w:sz w:val="24"/>
          <w:szCs w:val="24"/>
          <w14:ligatures w14:val="standardContextual"/>
        </w:rPr>
      </w:pPr>
      <w:hyperlink w:anchor="_Toc184299569" w:history="1">
        <w:r w:rsidRPr="000552AA">
          <w:rPr>
            <w:rStyle w:val="Hyperlink"/>
            <w:rFonts w:ascii="Times New Roman" w:hAnsi="Times New Roman"/>
          </w:rPr>
          <w:t>Table 4</w:t>
        </w:r>
        <w:r w:rsidRPr="000552AA">
          <w:rPr>
            <w:rStyle w:val="Hyperlink"/>
            <w:rFonts w:ascii="Times New Roman" w:hAnsi="Times New Roman"/>
          </w:rPr>
          <w:noBreakHyphen/>
          <w:t>13: Proposed Option Incremental One-time and Annual Recurring PPE Costs (2023$)</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_Toc184299569 \h </w:instrText>
        </w:r>
        <w:r w:rsidRPr="000552AA">
          <w:rPr>
            <w:rFonts w:ascii="Times New Roman" w:hAnsi="Times New Roman"/>
            <w:webHidden/>
          </w:rPr>
          <w:fldChar w:fldCharType="separate"/>
        </w:r>
        <w:r w:rsidRPr="000552AA">
          <w:rPr>
            <w:rFonts w:ascii="Times New Roman" w:hAnsi="Times New Roman"/>
            <w:webHidden/>
          </w:rPr>
          <w:t>4-9</w:t>
        </w:r>
        <w:r w:rsidRPr="000552AA">
          <w:rPr>
            <w:rFonts w:ascii="Times New Roman" w:hAnsi="Times New Roman"/>
            <w:webHidden/>
          </w:rPr>
          <w:fldChar w:fldCharType="end"/>
        </w:r>
      </w:hyperlink>
    </w:p>
    <w:p w:rsidR="00735BBC" w:rsidRPr="000552AA" w14:paraId="4EFDF69F" w14:textId="0A31798F">
      <w:pPr>
        <w:pStyle w:val="TableofFigures"/>
        <w:rPr>
          <w:rFonts w:ascii="Times New Roman" w:hAnsi="Times New Roman" w:eastAsiaTheme="minorEastAsia"/>
          <w:kern w:val="2"/>
          <w:sz w:val="24"/>
          <w:szCs w:val="24"/>
          <w14:ligatures w14:val="standardContextual"/>
        </w:rPr>
      </w:pPr>
      <w:hyperlink w:anchor="_Toc184299570" w:history="1">
        <w:r w:rsidRPr="000552AA">
          <w:rPr>
            <w:rStyle w:val="Hyperlink"/>
            <w:rFonts w:ascii="Times New Roman" w:hAnsi="Times New Roman"/>
          </w:rPr>
          <w:t>Table 4</w:t>
        </w:r>
        <w:r w:rsidRPr="000552AA">
          <w:rPr>
            <w:rStyle w:val="Hyperlink"/>
            <w:rFonts w:ascii="Times New Roman" w:hAnsi="Times New Roman"/>
          </w:rPr>
          <w:noBreakHyphen/>
          <w:t>14: Alternative Option Total One-time PPE Costs (2023$)</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_Toc184299570 \h </w:instrText>
        </w:r>
        <w:r w:rsidRPr="000552AA">
          <w:rPr>
            <w:rFonts w:ascii="Times New Roman" w:hAnsi="Times New Roman"/>
            <w:webHidden/>
          </w:rPr>
          <w:fldChar w:fldCharType="separate"/>
        </w:r>
        <w:r w:rsidRPr="000552AA">
          <w:rPr>
            <w:rFonts w:ascii="Times New Roman" w:hAnsi="Times New Roman"/>
            <w:webHidden/>
          </w:rPr>
          <w:t>4-10</w:t>
        </w:r>
        <w:r w:rsidRPr="000552AA">
          <w:rPr>
            <w:rFonts w:ascii="Times New Roman" w:hAnsi="Times New Roman"/>
            <w:webHidden/>
          </w:rPr>
          <w:fldChar w:fldCharType="end"/>
        </w:r>
      </w:hyperlink>
    </w:p>
    <w:p w:rsidR="00735BBC" w:rsidRPr="000552AA" w14:paraId="7FEAFFE9" w14:textId="333447D9">
      <w:pPr>
        <w:pStyle w:val="TableofFigures"/>
        <w:rPr>
          <w:rFonts w:ascii="Times New Roman" w:hAnsi="Times New Roman" w:eastAsiaTheme="minorEastAsia"/>
          <w:kern w:val="2"/>
          <w:sz w:val="24"/>
          <w:szCs w:val="24"/>
          <w14:ligatures w14:val="standardContextual"/>
        </w:rPr>
      </w:pPr>
      <w:hyperlink w:anchor="_Toc184299571" w:history="1">
        <w:r w:rsidRPr="000552AA">
          <w:rPr>
            <w:rStyle w:val="Hyperlink"/>
            <w:rFonts w:ascii="Times New Roman" w:hAnsi="Times New Roman"/>
          </w:rPr>
          <w:t>Table 4</w:t>
        </w:r>
        <w:r w:rsidRPr="000552AA">
          <w:rPr>
            <w:rStyle w:val="Hyperlink"/>
            <w:rFonts w:ascii="Times New Roman" w:hAnsi="Times New Roman"/>
          </w:rPr>
          <w:noBreakHyphen/>
          <w:t>15: Alternative Option Total Annual Recurring PPE Costs (2023$)</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_Toc184299571 \h </w:instrText>
        </w:r>
        <w:r w:rsidRPr="000552AA">
          <w:rPr>
            <w:rFonts w:ascii="Times New Roman" w:hAnsi="Times New Roman"/>
            <w:webHidden/>
          </w:rPr>
          <w:fldChar w:fldCharType="separate"/>
        </w:r>
        <w:r w:rsidRPr="000552AA">
          <w:rPr>
            <w:rFonts w:ascii="Times New Roman" w:hAnsi="Times New Roman"/>
            <w:webHidden/>
          </w:rPr>
          <w:t>4-10</w:t>
        </w:r>
        <w:r w:rsidRPr="000552AA">
          <w:rPr>
            <w:rFonts w:ascii="Times New Roman" w:hAnsi="Times New Roman"/>
            <w:webHidden/>
          </w:rPr>
          <w:fldChar w:fldCharType="end"/>
        </w:r>
      </w:hyperlink>
    </w:p>
    <w:p w:rsidR="00735BBC" w:rsidRPr="000552AA" w14:paraId="756878CA" w14:textId="54EA63D4">
      <w:pPr>
        <w:pStyle w:val="TableofFigures"/>
        <w:rPr>
          <w:rFonts w:ascii="Times New Roman" w:hAnsi="Times New Roman" w:eastAsiaTheme="minorEastAsia"/>
          <w:kern w:val="2"/>
          <w:sz w:val="24"/>
          <w:szCs w:val="24"/>
          <w14:ligatures w14:val="standardContextual"/>
        </w:rPr>
      </w:pPr>
      <w:hyperlink w:anchor="_Toc184299572" w:history="1">
        <w:r w:rsidRPr="000552AA">
          <w:rPr>
            <w:rStyle w:val="Hyperlink"/>
            <w:rFonts w:ascii="Times New Roman" w:hAnsi="Times New Roman"/>
          </w:rPr>
          <w:t>Table 4</w:t>
        </w:r>
        <w:r w:rsidRPr="000552AA">
          <w:rPr>
            <w:rStyle w:val="Hyperlink"/>
            <w:rFonts w:ascii="Times New Roman" w:hAnsi="Times New Roman"/>
          </w:rPr>
          <w:noBreakHyphen/>
          <w:t>16: Alternative Option Incremental One-time and Annual Recurring PPE Costs (2023$)</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_Toc184299572 \h </w:instrText>
        </w:r>
        <w:r w:rsidRPr="000552AA">
          <w:rPr>
            <w:rFonts w:ascii="Times New Roman" w:hAnsi="Times New Roman"/>
            <w:webHidden/>
          </w:rPr>
          <w:fldChar w:fldCharType="separate"/>
        </w:r>
        <w:r w:rsidRPr="000552AA">
          <w:rPr>
            <w:rFonts w:ascii="Times New Roman" w:hAnsi="Times New Roman"/>
            <w:webHidden/>
          </w:rPr>
          <w:t>4-11</w:t>
        </w:r>
        <w:r w:rsidRPr="000552AA">
          <w:rPr>
            <w:rFonts w:ascii="Times New Roman" w:hAnsi="Times New Roman"/>
            <w:webHidden/>
          </w:rPr>
          <w:fldChar w:fldCharType="end"/>
        </w:r>
      </w:hyperlink>
    </w:p>
    <w:p w:rsidR="00735BBC" w:rsidRPr="000552AA" w14:paraId="43EED3FF" w14:textId="7BDAE031">
      <w:pPr>
        <w:pStyle w:val="TableofFigures"/>
        <w:rPr>
          <w:rFonts w:ascii="Times New Roman" w:hAnsi="Times New Roman" w:eastAsiaTheme="minorEastAsia"/>
          <w:kern w:val="2"/>
          <w:sz w:val="24"/>
          <w:szCs w:val="24"/>
          <w14:ligatures w14:val="standardContextual"/>
        </w:rPr>
      </w:pPr>
      <w:hyperlink w:anchor="_Toc184299573" w:history="1">
        <w:r w:rsidRPr="000552AA">
          <w:rPr>
            <w:rStyle w:val="Hyperlink"/>
            <w:rFonts w:ascii="Times New Roman" w:hAnsi="Times New Roman"/>
          </w:rPr>
          <w:t>Table 4</w:t>
        </w:r>
        <w:r w:rsidRPr="000552AA">
          <w:rPr>
            <w:rStyle w:val="Hyperlink"/>
            <w:rFonts w:ascii="Times New Roman" w:hAnsi="Times New Roman"/>
          </w:rPr>
          <w:noBreakHyphen/>
          <w:t>17: Total One-Time Incremental Cleaning Costs by Use (2023$)</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_Toc184299573 \h </w:instrText>
        </w:r>
        <w:r w:rsidRPr="000552AA">
          <w:rPr>
            <w:rFonts w:ascii="Times New Roman" w:hAnsi="Times New Roman"/>
            <w:webHidden/>
          </w:rPr>
          <w:fldChar w:fldCharType="separate"/>
        </w:r>
        <w:r w:rsidRPr="000552AA">
          <w:rPr>
            <w:rFonts w:ascii="Times New Roman" w:hAnsi="Times New Roman"/>
            <w:webHidden/>
          </w:rPr>
          <w:t>4-11</w:t>
        </w:r>
        <w:r w:rsidRPr="000552AA">
          <w:rPr>
            <w:rFonts w:ascii="Times New Roman" w:hAnsi="Times New Roman"/>
            <w:webHidden/>
          </w:rPr>
          <w:fldChar w:fldCharType="end"/>
        </w:r>
      </w:hyperlink>
    </w:p>
    <w:p w:rsidR="00735BBC" w:rsidRPr="000552AA" w14:paraId="3C47A5CB" w14:textId="1EF6567C">
      <w:pPr>
        <w:pStyle w:val="TableofFigures"/>
        <w:rPr>
          <w:rFonts w:ascii="Times New Roman" w:hAnsi="Times New Roman" w:eastAsiaTheme="minorEastAsia"/>
          <w:kern w:val="2"/>
          <w:sz w:val="24"/>
          <w:szCs w:val="24"/>
          <w14:ligatures w14:val="standardContextual"/>
        </w:rPr>
      </w:pPr>
      <w:hyperlink w:anchor="_Toc184299574" w:history="1">
        <w:r w:rsidRPr="000552AA">
          <w:rPr>
            <w:rStyle w:val="Hyperlink"/>
            <w:rFonts w:ascii="Times New Roman" w:hAnsi="Times New Roman"/>
          </w:rPr>
          <w:t>Table 4</w:t>
        </w:r>
        <w:r w:rsidRPr="000552AA">
          <w:rPr>
            <w:rStyle w:val="Hyperlink"/>
            <w:rFonts w:ascii="Times New Roman" w:hAnsi="Times New Roman"/>
          </w:rPr>
          <w:noBreakHyphen/>
          <w:t>18: Total Annual Incremental Cleaning Costs by Use (2023$)</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_Toc184299574 \h </w:instrText>
        </w:r>
        <w:r w:rsidRPr="000552AA">
          <w:rPr>
            <w:rFonts w:ascii="Times New Roman" w:hAnsi="Times New Roman"/>
            <w:webHidden/>
          </w:rPr>
          <w:fldChar w:fldCharType="separate"/>
        </w:r>
        <w:r w:rsidRPr="000552AA">
          <w:rPr>
            <w:rFonts w:ascii="Times New Roman" w:hAnsi="Times New Roman"/>
            <w:webHidden/>
          </w:rPr>
          <w:t>4-12</w:t>
        </w:r>
        <w:r w:rsidRPr="000552AA">
          <w:rPr>
            <w:rFonts w:ascii="Times New Roman" w:hAnsi="Times New Roman"/>
            <w:webHidden/>
          </w:rPr>
          <w:fldChar w:fldCharType="end"/>
        </w:r>
      </w:hyperlink>
    </w:p>
    <w:p w:rsidR="00735BBC" w:rsidRPr="000552AA" w14:paraId="23B03384" w14:textId="0350441E">
      <w:pPr>
        <w:pStyle w:val="TableofFigures"/>
        <w:rPr>
          <w:rFonts w:ascii="Times New Roman" w:hAnsi="Times New Roman" w:eastAsiaTheme="minorEastAsia"/>
          <w:kern w:val="2"/>
          <w:sz w:val="24"/>
          <w:szCs w:val="24"/>
          <w14:ligatures w14:val="standardContextual"/>
        </w:rPr>
      </w:pPr>
      <w:hyperlink w:anchor="_Toc184299575" w:history="1">
        <w:r w:rsidRPr="000552AA">
          <w:rPr>
            <w:rStyle w:val="Hyperlink"/>
            <w:rFonts w:ascii="Times New Roman" w:hAnsi="Times New Roman"/>
          </w:rPr>
          <w:t>Table 4</w:t>
        </w:r>
        <w:r w:rsidRPr="000552AA">
          <w:rPr>
            <w:rStyle w:val="Hyperlink"/>
            <w:rFonts w:ascii="Times New Roman" w:hAnsi="Times New Roman"/>
          </w:rPr>
          <w:noBreakHyphen/>
          <w:t>19: One-time Unit Costs for Labeling per SKU</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_Toc184299575 \h </w:instrText>
        </w:r>
        <w:r w:rsidRPr="000552AA">
          <w:rPr>
            <w:rFonts w:ascii="Times New Roman" w:hAnsi="Times New Roman"/>
            <w:webHidden/>
          </w:rPr>
          <w:fldChar w:fldCharType="separate"/>
        </w:r>
        <w:r w:rsidRPr="000552AA">
          <w:rPr>
            <w:rFonts w:ascii="Times New Roman" w:hAnsi="Times New Roman"/>
            <w:webHidden/>
          </w:rPr>
          <w:t>4-13</w:t>
        </w:r>
        <w:r w:rsidRPr="000552AA">
          <w:rPr>
            <w:rFonts w:ascii="Times New Roman" w:hAnsi="Times New Roman"/>
            <w:webHidden/>
          </w:rPr>
          <w:fldChar w:fldCharType="end"/>
        </w:r>
      </w:hyperlink>
    </w:p>
    <w:p w:rsidR="00735BBC" w:rsidRPr="000552AA" w14:paraId="39B50F78" w14:textId="2A15C2EE">
      <w:pPr>
        <w:pStyle w:val="TableofFigures"/>
        <w:rPr>
          <w:rFonts w:ascii="Times New Roman" w:hAnsi="Times New Roman" w:eastAsiaTheme="minorEastAsia"/>
          <w:kern w:val="2"/>
          <w:sz w:val="24"/>
          <w:szCs w:val="24"/>
          <w14:ligatures w14:val="standardContextual"/>
        </w:rPr>
      </w:pPr>
      <w:hyperlink w:anchor="_Toc184299576" w:history="1">
        <w:r w:rsidRPr="000552AA">
          <w:rPr>
            <w:rStyle w:val="Hyperlink"/>
            <w:rFonts w:ascii="Times New Roman" w:hAnsi="Times New Roman"/>
          </w:rPr>
          <w:t>Table 4</w:t>
        </w:r>
        <w:r w:rsidRPr="000552AA">
          <w:rPr>
            <w:rStyle w:val="Hyperlink"/>
            <w:rFonts w:ascii="Times New Roman" w:hAnsi="Times New Roman"/>
          </w:rPr>
          <w:noBreakHyphen/>
          <w:t>20: Proposed Rule Total One-Time Labeling and Downstream Notification Costs by Use (2023$)</w:t>
        </w:r>
        <w:r w:rsidRPr="000552AA">
          <w:rPr>
            <w:rFonts w:ascii="Times New Roman" w:hAnsi="Times New Roman"/>
            <w:webHidden/>
          </w:rPr>
          <w:tab/>
        </w:r>
        <w:r w:rsidR="00B57B1E">
          <w:rPr>
            <w:rFonts w:ascii="Times New Roman" w:hAnsi="Times New Roman"/>
            <w:webHidden/>
          </w:rPr>
          <w:tab/>
        </w:r>
        <w:r w:rsidR="00B57B1E">
          <w:rPr>
            <w:rFonts w:ascii="Times New Roman" w:hAnsi="Times New Roman"/>
            <w:webHidden/>
          </w:rPr>
          <w:tab/>
        </w:r>
        <w:r w:rsidR="00B57B1E">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_Toc184299576 \h </w:instrText>
        </w:r>
        <w:r w:rsidRPr="000552AA">
          <w:rPr>
            <w:rFonts w:ascii="Times New Roman" w:hAnsi="Times New Roman"/>
            <w:webHidden/>
          </w:rPr>
          <w:fldChar w:fldCharType="separate"/>
        </w:r>
        <w:r w:rsidRPr="000552AA">
          <w:rPr>
            <w:rFonts w:ascii="Times New Roman" w:hAnsi="Times New Roman"/>
            <w:webHidden/>
          </w:rPr>
          <w:t>4-14</w:t>
        </w:r>
        <w:r w:rsidRPr="000552AA">
          <w:rPr>
            <w:rFonts w:ascii="Times New Roman" w:hAnsi="Times New Roman"/>
            <w:webHidden/>
          </w:rPr>
          <w:fldChar w:fldCharType="end"/>
        </w:r>
      </w:hyperlink>
    </w:p>
    <w:p w:rsidR="00735BBC" w:rsidRPr="000552AA" w14:paraId="721F3121" w14:textId="6D3CA4D7">
      <w:pPr>
        <w:pStyle w:val="TableofFigures"/>
        <w:rPr>
          <w:rFonts w:ascii="Times New Roman" w:hAnsi="Times New Roman" w:eastAsiaTheme="minorEastAsia"/>
          <w:kern w:val="2"/>
          <w:sz w:val="24"/>
          <w:szCs w:val="24"/>
          <w14:ligatures w14:val="standardContextual"/>
        </w:rPr>
      </w:pPr>
      <w:hyperlink w:anchor="_Toc184299577" w:history="1">
        <w:r w:rsidRPr="000552AA">
          <w:rPr>
            <w:rStyle w:val="Hyperlink"/>
            <w:rFonts w:ascii="Times New Roman" w:hAnsi="Times New Roman"/>
          </w:rPr>
          <w:t>Table 4</w:t>
        </w:r>
        <w:r w:rsidRPr="000552AA">
          <w:rPr>
            <w:rStyle w:val="Hyperlink"/>
            <w:rFonts w:ascii="Times New Roman" w:hAnsi="Times New Roman"/>
          </w:rPr>
          <w:noBreakHyphen/>
          <w:t>21: Unit Costs for Sampling Media</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_Toc184299577 \h </w:instrText>
        </w:r>
        <w:r w:rsidRPr="000552AA">
          <w:rPr>
            <w:rFonts w:ascii="Times New Roman" w:hAnsi="Times New Roman"/>
            <w:webHidden/>
          </w:rPr>
          <w:fldChar w:fldCharType="separate"/>
        </w:r>
        <w:r w:rsidRPr="000552AA">
          <w:rPr>
            <w:rFonts w:ascii="Times New Roman" w:hAnsi="Times New Roman"/>
            <w:webHidden/>
          </w:rPr>
          <w:t>4-15</w:t>
        </w:r>
        <w:r w:rsidRPr="000552AA">
          <w:rPr>
            <w:rFonts w:ascii="Times New Roman" w:hAnsi="Times New Roman"/>
            <w:webHidden/>
          </w:rPr>
          <w:fldChar w:fldCharType="end"/>
        </w:r>
      </w:hyperlink>
    </w:p>
    <w:p w:rsidR="00735BBC" w:rsidRPr="000552AA" w14:paraId="31ACA438" w14:textId="4BE5D86A">
      <w:pPr>
        <w:pStyle w:val="TableofFigures"/>
        <w:rPr>
          <w:rFonts w:ascii="Times New Roman" w:hAnsi="Times New Roman" w:eastAsiaTheme="minorEastAsia"/>
          <w:kern w:val="2"/>
          <w:sz w:val="24"/>
          <w:szCs w:val="24"/>
          <w14:ligatures w14:val="standardContextual"/>
        </w:rPr>
      </w:pPr>
      <w:hyperlink w:anchor="_Toc184299578" w:history="1">
        <w:r w:rsidRPr="000552AA">
          <w:rPr>
            <w:rStyle w:val="Hyperlink"/>
            <w:rFonts w:ascii="Times New Roman" w:hAnsi="Times New Roman"/>
          </w:rPr>
          <w:t>Table 4</w:t>
        </w:r>
        <w:r w:rsidRPr="000552AA">
          <w:rPr>
            <w:rStyle w:val="Hyperlink"/>
            <w:rFonts w:ascii="Times New Roman" w:hAnsi="Times New Roman"/>
          </w:rPr>
          <w:noBreakHyphen/>
          <w:t>22: Unit Costs for Laboratory Analysis</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_Toc184299578 \h </w:instrText>
        </w:r>
        <w:r w:rsidRPr="000552AA">
          <w:rPr>
            <w:rFonts w:ascii="Times New Roman" w:hAnsi="Times New Roman"/>
            <w:webHidden/>
          </w:rPr>
          <w:fldChar w:fldCharType="separate"/>
        </w:r>
        <w:r w:rsidRPr="000552AA">
          <w:rPr>
            <w:rFonts w:ascii="Times New Roman" w:hAnsi="Times New Roman"/>
            <w:webHidden/>
          </w:rPr>
          <w:t>4-15</w:t>
        </w:r>
        <w:r w:rsidRPr="000552AA">
          <w:rPr>
            <w:rFonts w:ascii="Times New Roman" w:hAnsi="Times New Roman"/>
            <w:webHidden/>
          </w:rPr>
          <w:fldChar w:fldCharType="end"/>
        </w:r>
      </w:hyperlink>
    </w:p>
    <w:p w:rsidR="00735BBC" w:rsidRPr="000552AA" w14:paraId="4724BB1B" w14:textId="36CC4AB7">
      <w:pPr>
        <w:pStyle w:val="TableofFigures"/>
        <w:rPr>
          <w:rFonts w:ascii="Times New Roman" w:hAnsi="Times New Roman" w:eastAsiaTheme="minorEastAsia"/>
          <w:kern w:val="2"/>
          <w:sz w:val="24"/>
          <w:szCs w:val="24"/>
          <w14:ligatures w14:val="standardContextual"/>
        </w:rPr>
      </w:pPr>
      <w:hyperlink w:anchor="_Toc184299579" w:history="1">
        <w:r w:rsidRPr="000552AA">
          <w:rPr>
            <w:rStyle w:val="Hyperlink"/>
            <w:rFonts w:ascii="Times New Roman" w:hAnsi="Times New Roman"/>
          </w:rPr>
          <w:t>Table 4</w:t>
        </w:r>
        <w:r w:rsidRPr="000552AA">
          <w:rPr>
            <w:rStyle w:val="Hyperlink"/>
            <w:rFonts w:ascii="Times New Roman" w:hAnsi="Times New Roman"/>
          </w:rPr>
          <w:noBreakHyphen/>
          <w:t>23: Summary of Costs Associated with Monitoring Event at a Complex Worksite (20 Workers)</w:t>
        </w:r>
        <w:r w:rsidRPr="000552AA">
          <w:rPr>
            <w:rFonts w:ascii="Times New Roman" w:hAnsi="Times New Roman"/>
            <w:webHidden/>
          </w:rPr>
          <w:tab/>
        </w:r>
        <w:r w:rsidR="00B57B1E">
          <w:rPr>
            <w:rFonts w:ascii="Times New Roman" w:hAnsi="Times New Roman"/>
            <w:webHidden/>
          </w:rPr>
          <w:tab/>
        </w:r>
        <w:r w:rsidR="00B57B1E">
          <w:rPr>
            <w:rFonts w:ascii="Times New Roman" w:hAnsi="Times New Roman"/>
            <w:webHidden/>
          </w:rPr>
          <w:tab/>
        </w:r>
        <w:r w:rsidR="00B57B1E">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_Toc184299579 \h </w:instrText>
        </w:r>
        <w:r w:rsidRPr="000552AA">
          <w:rPr>
            <w:rFonts w:ascii="Times New Roman" w:hAnsi="Times New Roman"/>
            <w:webHidden/>
          </w:rPr>
          <w:fldChar w:fldCharType="separate"/>
        </w:r>
        <w:r w:rsidRPr="000552AA">
          <w:rPr>
            <w:rFonts w:ascii="Times New Roman" w:hAnsi="Times New Roman"/>
            <w:webHidden/>
          </w:rPr>
          <w:t>4-16</w:t>
        </w:r>
        <w:r w:rsidRPr="000552AA">
          <w:rPr>
            <w:rFonts w:ascii="Times New Roman" w:hAnsi="Times New Roman"/>
            <w:webHidden/>
          </w:rPr>
          <w:fldChar w:fldCharType="end"/>
        </w:r>
      </w:hyperlink>
    </w:p>
    <w:p w:rsidR="00735BBC" w:rsidRPr="000552AA" w14:paraId="672ACE94" w14:textId="62FA81E0">
      <w:pPr>
        <w:pStyle w:val="TableofFigures"/>
        <w:rPr>
          <w:rFonts w:ascii="Times New Roman" w:hAnsi="Times New Roman" w:eastAsiaTheme="minorEastAsia"/>
          <w:kern w:val="2"/>
          <w:sz w:val="24"/>
          <w:szCs w:val="24"/>
          <w14:ligatures w14:val="standardContextual"/>
        </w:rPr>
      </w:pPr>
      <w:hyperlink w:anchor="_Toc184299580" w:history="1">
        <w:r w:rsidRPr="000552AA">
          <w:rPr>
            <w:rStyle w:val="Hyperlink"/>
            <w:rFonts w:ascii="Times New Roman" w:hAnsi="Times New Roman"/>
          </w:rPr>
          <w:t>Table 4</w:t>
        </w:r>
        <w:r w:rsidRPr="000552AA">
          <w:rPr>
            <w:rStyle w:val="Hyperlink"/>
            <w:rFonts w:ascii="Times New Roman" w:hAnsi="Times New Roman"/>
          </w:rPr>
          <w:noBreakHyphen/>
          <w:t>24: Alternative Option Annual Incremental Monitoring Costs (2023$)</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_Toc184299580 \h </w:instrText>
        </w:r>
        <w:r w:rsidRPr="000552AA">
          <w:rPr>
            <w:rFonts w:ascii="Times New Roman" w:hAnsi="Times New Roman"/>
            <w:webHidden/>
          </w:rPr>
          <w:fldChar w:fldCharType="separate"/>
        </w:r>
        <w:r w:rsidRPr="000552AA">
          <w:rPr>
            <w:rFonts w:ascii="Times New Roman" w:hAnsi="Times New Roman"/>
            <w:webHidden/>
          </w:rPr>
          <w:t>4-16</w:t>
        </w:r>
        <w:r w:rsidRPr="000552AA">
          <w:rPr>
            <w:rFonts w:ascii="Times New Roman" w:hAnsi="Times New Roman"/>
            <w:webHidden/>
          </w:rPr>
          <w:fldChar w:fldCharType="end"/>
        </w:r>
      </w:hyperlink>
    </w:p>
    <w:p w:rsidR="00735BBC" w:rsidRPr="000552AA" w14:paraId="7043E073" w14:textId="22CF3F0B">
      <w:pPr>
        <w:pStyle w:val="TableofFigures"/>
        <w:rPr>
          <w:rFonts w:ascii="Times New Roman" w:hAnsi="Times New Roman" w:eastAsiaTheme="minorEastAsia"/>
          <w:kern w:val="2"/>
          <w:sz w:val="24"/>
          <w:szCs w:val="24"/>
          <w14:ligatures w14:val="standardContextual"/>
        </w:rPr>
      </w:pPr>
      <w:hyperlink w:anchor="_Toc184299581" w:history="1">
        <w:r w:rsidRPr="000552AA">
          <w:rPr>
            <w:rStyle w:val="Hyperlink"/>
            <w:rFonts w:ascii="Times New Roman" w:hAnsi="Times New Roman"/>
          </w:rPr>
          <w:t>Table 4</w:t>
        </w:r>
        <w:r w:rsidRPr="000552AA">
          <w:rPr>
            <w:rStyle w:val="Hyperlink"/>
            <w:rFonts w:ascii="Times New Roman" w:hAnsi="Times New Roman"/>
          </w:rPr>
          <w:noBreakHyphen/>
          <w:t>25: Proposed Option Total Incremental One-Time Costs (2023$)</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_Toc184299581 \h </w:instrText>
        </w:r>
        <w:r w:rsidRPr="000552AA">
          <w:rPr>
            <w:rFonts w:ascii="Times New Roman" w:hAnsi="Times New Roman"/>
            <w:webHidden/>
          </w:rPr>
          <w:fldChar w:fldCharType="separate"/>
        </w:r>
        <w:r w:rsidRPr="000552AA">
          <w:rPr>
            <w:rFonts w:ascii="Times New Roman" w:hAnsi="Times New Roman"/>
            <w:webHidden/>
          </w:rPr>
          <w:t>4-18</w:t>
        </w:r>
        <w:r w:rsidRPr="000552AA">
          <w:rPr>
            <w:rFonts w:ascii="Times New Roman" w:hAnsi="Times New Roman"/>
            <w:webHidden/>
          </w:rPr>
          <w:fldChar w:fldCharType="end"/>
        </w:r>
      </w:hyperlink>
    </w:p>
    <w:p w:rsidR="00735BBC" w:rsidRPr="000552AA" w14:paraId="77069010" w14:textId="2EEDDBAE">
      <w:pPr>
        <w:pStyle w:val="TableofFigures"/>
        <w:rPr>
          <w:rFonts w:ascii="Times New Roman" w:hAnsi="Times New Roman" w:eastAsiaTheme="minorEastAsia"/>
          <w:kern w:val="2"/>
          <w:sz w:val="24"/>
          <w:szCs w:val="24"/>
          <w14:ligatures w14:val="standardContextual"/>
        </w:rPr>
      </w:pPr>
      <w:hyperlink w:anchor="_Toc184299582" w:history="1">
        <w:r w:rsidRPr="000552AA">
          <w:rPr>
            <w:rStyle w:val="Hyperlink"/>
            <w:rFonts w:ascii="Times New Roman" w:hAnsi="Times New Roman"/>
          </w:rPr>
          <w:t>Table 4</w:t>
        </w:r>
        <w:r w:rsidRPr="000552AA">
          <w:rPr>
            <w:rStyle w:val="Hyperlink"/>
            <w:rFonts w:ascii="Times New Roman" w:hAnsi="Times New Roman"/>
          </w:rPr>
          <w:noBreakHyphen/>
          <w:t>26: Proposed Option Total Incremental Annual Recurring Costs (2023$)</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_Toc184299582 \h </w:instrText>
        </w:r>
        <w:r w:rsidRPr="000552AA">
          <w:rPr>
            <w:rFonts w:ascii="Times New Roman" w:hAnsi="Times New Roman"/>
            <w:webHidden/>
          </w:rPr>
          <w:fldChar w:fldCharType="separate"/>
        </w:r>
        <w:r w:rsidRPr="000552AA">
          <w:rPr>
            <w:rFonts w:ascii="Times New Roman" w:hAnsi="Times New Roman"/>
            <w:webHidden/>
          </w:rPr>
          <w:t>4-18</w:t>
        </w:r>
        <w:r w:rsidRPr="000552AA">
          <w:rPr>
            <w:rFonts w:ascii="Times New Roman" w:hAnsi="Times New Roman"/>
            <w:webHidden/>
          </w:rPr>
          <w:fldChar w:fldCharType="end"/>
        </w:r>
      </w:hyperlink>
    </w:p>
    <w:p w:rsidR="00735BBC" w:rsidRPr="000552AA" w14:paraId="51D1B26B" w14:textId="508B212B">
      <w:pPr>
        <w:pStyle w:val="TableofFigures"/>
        <w:rPr>
          <w:rFonts w:ascii="Times New Roman" w:hAnsi="Times New Roman" w:eastAsiaTheme="minorEastAsia"/>
          <w:kern w:val="2"/>
          <w:sz w:val="24"/>
          <w:szCs w:val="24"/>
          <w14:ligatures w14:val="standardContextual"/>
        </w:rPr>
      </w:pPr>
      <w:hyperlink w:anchor="_Toc184299583" w:history="1">
        <w:r w:rsidRPr="000552AA">
          <w:rPr>
            <w:rStyle w:val="Hyperlink"/>
            <w:rFonts w:ascii="Times New Roman" w:hAnsi="Times New Roman"/>
          </w:rPr>
          <w:t>Table 4</w:t>
        </w:r>
        <w:r w:rsidRPr="000552AA">
          <w:rPr>
            <w:rStyle w:val="Hyperlink"/>
            <w:rFonts w:ascii="Times New Roman" w:hAnsi="Times New Roman"/>
          </w:rPr>
          <w:noBreakHyphen/>
          <w:t>27: Alternative Option Total Incremental One-Time Costs (2023$)</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_Toc184299583 \h </w:instrText>
        </w:r>
        <w:r w:rsidRPr="000552AA">
          <w:rPr>
            <w:rFonts w:ascii="Times New Roman" w:hAnsi="Times New Roman"/>
            <w:webHidden/>
          </w:rPr>
          <w:fldChar w:fldCharType="separate"/>
        </w:r>
        <w:r w:rsidRPr="000552AA">
          <w:rPr>
            <w:rFonts w:ascii="Times New Roman" w:hAnsi="Times New Roman"/>
            <w:webHidden/>
          </w:rPr>
          <w:t>4-19</w:t>
        </w:r>
        <w:r w:rsidRPr="000552AA">
          <w:rPr>
            <w:rFonts w:ascii="Times New Roman" w:hAnsi="Times New Roman"/>
            <w:webHidden/>
          </w:rPr>
          <w:fldChar w:fldCharType="end"/>
        </w:r>
      </w:hyperlink>
    </w:p>
    <w:p w:rsidR="00735BBC" w:rsidRPr="000552AA" w14:paraId="74B68F68" w14:textId="12434AD4">
      <w:pPr>
        <w:pStyle w:val="TableofFigures"/>
        <w:rPr>
          <w:rFonts w:ascii="Times New Roman" w:hAnsi="Times New Roman" w:eastAsiaTheme="minorEastAsia"/>
          <w:kern w:val="2"/>
          <w:sz w:val="24"/>
          <w:szCs w:val="24"/>
          <w14:ligatures w14:val="standardContextual"/>
        </w:rPr>
      </w:pPr>
      <w:hyperlink w:anchor="_Toc184299584" w:history="1">
        <w:r w:rsidRPr="000552AA">
          <w:rPr>
            <w:rStyle w:val="Hyperlink"/>
            <w:rFonts w:ascii="Times New Roman" w:hAnsi="Times New Roman"/>
          </w:rPr>
          <w:t>Table 4</w:t>
        </w:r>
        <w:r w:rsidRPr="000552AA">
          <w:rPr>
            <w:rStyle w:val="Hyperlink"/>
            <w:rFonts w:ascii="Times New Roman" w:hAnsi="Times New Roman"/>
          </w:rPr>
          <w:noBreakHyphen/>
          <w:t>28: Alternative Option Total Incremental Annual Recurring Costs (2023$)</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_Toc184299584 \h </w:instrText>
        </w:r>
        <w:r w:rsidRPr="000552AA">
          <w:rPr>
            <w:rFonts w:ascii="Times New Roman" w:hAnsi="Times New Roman"/>
            <w:webHidden/>
          </w:rPr>
          <w:fldChar w:fldCharType="separate"/>
        </w:r>
        <w:r w:rsidRPr="000552AA">
          <w:rPr>
            <w:rFonts w:ascii="Times New Roman" w:hAnsi="Times New Roman"/>
            <w:webHidden/>
          </w:rPr>
          <w:t>4-19</w:t>
        </w:r>
        <w:r w:rsidRPr="000552AA">
          <w:rPr>
            <w:rFonts w:ascii="Times New Roman" w:hAnsi="Times New Roman"/>
            <w:webHidden/>
          </w:rPr>
          <w:fldChar w:fldCharType="end"/>
        </w:r>
      </w:hyperlink>
    </w:p>
    <w:p w:rsidR="00735BBC" w:rsidRPr="000552AA" w14:paraId="1AA86F23" w14:textId="438C6340">
      <w:pPr>
        <w:pStyle w:val="TableofFigures"/>
        <w:rPr>
          <w:rFonts w:ascii="Times New Roman" w:hAnsi="Times New Roman" w:eastAsiaTheme="minorEastAsia"/>
          <w:kern w:val="2"/>
          <w:sz w:val="24"/>
          <w:szCs w:val="24"/>
          <w14:ligatures w14:val="standardContextual"/>
        </w:rPr>
      </w:pPr>
      <w:hyperlink w:anchor="_Toc184299585" w:history="1">
        <w:r w:rsidRPr="000552AA">
          <w:rPr>
            <w:rStyle w:val="Hyperlink"/>
            <w:rFonts w:ascii="Times New Roman" w:hAnsi="Times New Roman"/>
          </w:rPr>
          <w:t>Table 4</w:t>
        </w:r>
        <w:r w:rsidRPr="000552AA">
          <w:rPr>
            <w:rStyle w:val="Hyperlink"/>
            <w:rFonts w:ascii="Times New Roman" w:hAnsi="Times New Roman"/>
          </w:rPr>
          <w:noBreakHyphen/>
          <w:t>29: Summary of Total Annualized Incremental Costs (2023$; 2% Discount Rate)</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_Toc184299585 \h </w:instrText>
        </w:r>
        <w:r w:rsidRPr="000552AA">
          <w:rPr>
            <w:rFonts w:ascii="Times New Roman" w:hAnsi="Times New Roman"/>
            <w:webHidden/>
          </w:rPr>
          <w:fldChar w:fldCharType="separate"/>
        </w:r>
        <w:r w:rsidRPr="000552AA">
          <w:rPr>
            <w:rFonts w:ascii="Times New Roman" w:hAnsi="Times New Roman"/>
            <w:webHidden/>
          </w:rPr>
          <w:t>4-20</w:t>
        </w:r>
        <w:r w:rsidRPr="000552AA">
          <w:rPr>
            <w:rFonts w:ascii="Times New Roman" w:hAnsi="Times New Roman"/>
            <w:webHidden/>
          </w:rPr>
          <w:fldChar w:fldCharType="end"/>
        </w:r>
      </w:hyperlink>
    </w:p>
    <w:p w:rsidR="00735BBC" w:rsidRPr="000552AA" w14:paraId="4ABC49FC" w14:textId="23736624">
      <w:pPr>
        <w:pStyle w:val="TableofFigures"/>
        <w:rPr>
          <w:rFonts w:ascii="Times New Roman" w:hAnsi="Times New Roman" w:eastAsiaTheme="minorEastAsia"/>
          <w:kern w:val="2"/>
          <w:sz w:val="24"/>
          <w:szCs w:val="24"/>
          <w14:ligatures w14:val="standardContextual"/>
        </w:rPr>
      </w:pPr>
      <w:hyperlink w:anchor="_Toc184299586" w:history="1">
        <w:r w:rsidRPr="000552AA">
          <w:rPr>
            <w:rStyle w:val="Hyperlink"/>
            <w:rFonts w:ascii="Times New Roman" w:hAnsi="Times New Roman"/>
          </w:rPr>
          <w:t>Table 5</w:t>
        </w:r>
        <w:r w:rsidRPr="000552AA">
          <w:rPr>
            <w:rStyle w:val="Hyperlink"/>
            <w:rFonts w:ascii="Times New Roman" w:hAnsi="Times New Roman"/>
          </w:rPr>
          <w:noBreakHyphen/>
          <w:t>1: Number of Exposed Workers by Use Category</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_Toc184299586 \h </w:instrText>
        </w:r>
        <w:r w:rsidRPr="000552AA">
          <w:rPr>
            <w:rFonts w:ascii="Times New Roman" w:hAnsi="Times New Roman"/>
            <w:webHidden/>
          </w:rPr>
          <w:fldChar w:fldCharType="separate"/>
        </w:r>
        <w:r w:rsidRPr="000552AA">
          <w:rPr>
            <w:rFonts w:ascii="Times New Roman" w:hAnsi="Times New Roman"/>
            <w:webHidden/>
          </w:rPr>
          <w:t>5-3</w:t>
        </w:r>
        <w:r w:rsidRPr="000552AA">
          <w:rPr>
            <w:rFonts w:ascii="Times New Roman" w:hAnsi="Times New Roman"/>
            <w:webHidden/>
          </w:rPr>
          <w:fldChar w:fldCharType="end"/>
        </w:r>
      </w:hyperlink>
    </w:p>
    <w:p w:rsidR="00735BBC" w:rsidRPr="000552AA" w14:paraId="346F3232" w14:textId="24CB0FDD">
      <w:pPr>
        <w:pStyle w:val="TableofFigures"/>
        <w:rPr>
          <w:rFonts w:ascii="Times New Roman" w:hAnsi="Times New Roman" w:eastAsiaTheme="minorEastAsia"/>
          <w:kern w:val="2"/>
          <w:sz w:val="24"/>
          <w:szCs w:val="24"/>
          <w14:ligatures w14:val="standardContextual"/>
        </w:rPr>
      </w:pPr>
      <w:hyperlink w:anchor="_Toc184299587" w:history="1">
        <w:r w:rsidRPr="000552AA">
          <w:rPr>
            <w:rStyle w:val="Hyperlink"/>
            <w:rFonts w:ascii="Times New Roman" w:hAnsi="Times New Roman"/>
          </w:rPr>
          <w:t>Table 5</w:t>
        </w:r>
        <w:r w:rsidRPr="000552AA">
          <w:rPr>
            <w:rStyle w:val="Hyperlink"/>
            <w:rFonts w:ascii="Times New Roman" w:hAnsi="Times New Roman"/>
          </w:rPr>
          <w:noBreakHyphen/>
          <w:t>2: Exposures based on PPE use (mg/m</w:t>
        </w:r>
        <w:r w:rsidRPr="000552AA">
          <w:rPr>
            <w:rStyle w:val="Hyperlink"/>
            <w:rFonts w:ascii="Times New Roman" w:hAnsi="Times New Roman"/>
            <w:vertAlign w:val="superscript"/>
          </w:rPr>
          <w:t>3</w:t>
        </w:r>
        <w:r w:rsidRPr="000552AA">
          <w:rPr>
            <w:rStyle w:val="Hyperlink"/>
            <w:rFonts w:ascii="Times New Roman" w:hAnsi="Times New Roman"/>
          </w:rPr>
          <w:t>)</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_Toc184299587 \h </w:instrText>
        </w:r>
        <w:r w:rsidRPr="000552AA">
          <w:rPr>
            <w:rFonts w:ascii="Times New Roman" w:hAnsi="Times New Roman"/>
            <w:webHidden/>
          </w:rPr>
          <w:fldChar w:fldCharType="separate"/>
        </w:r>
        <w:r w:rsidRPr="000552AA">
          <w:rPr>
            <w:rFonts w:ascii="Times New Roman" w:hAnsi="Times New Roman"/>
            <w:webHidden/>
          </w:rPr>
          <w:t>5-3</w:t>
        </w:r>
        <w:r w:rsidRPr="000552AA">
          <w:rPr>
            <w:rFonts w:ascii="Times New Roman" w:hAnsi="Times New Roman"/>
            <w:webHidden/>
          </w:rPr>
          <w:fldChar w:fldCharType="end"/>
        </w:r>
      </w:hyperlink>
    </w:p>
    <w:p w:rsidR="00735BBC" w:rsidRPr="000552AA" w14:paraId="28E5865A" w14:textId="1440D95E">
      <w:pPr>
        <w:pStyle w:val="TableofFigures"/>
        <w:rPr>
          <w:rFonts w:ascii="Times New Roman" w:hAnsi="Times New Roman" w:eastAsiaTheme="minorEastAsia"/>
          <w:kern w:val="2"/>
          <w:sz w:val="24"/>
          <w:szCs w:val="24"/>
          <w14:ligatures w14:val="standardContextual"/>
        </w:rPr>
      </w:pPr>
      <w:hyperlink w:anchor="_Toc184299588" w:history="1">
        <w:r w:rsidRPr="000552AA">
          <w:rPr>
            <w:rStyle w:val="Hyperlink"/>
            <w:rFonts w:ascii="Times New Roman" w:hAnsi="Times New Roman"/>
          </w:rPr>
          <w:t>Table 5</w:t>
        </w:r>
        <w:r w:rsidRPr="000552AA">
          <w:rPr>
            <w:rStyle w:val="Hyperlink"/>
            <w:rFonts w:ascii="Times New Roman" w:hAnsi="Times New Roman"/>
          </w:rPr>
          <w:noBreakHyphen/>
          <w:t>3: Mean inhalable carbon black exposure level in reviewed occupational studies</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_Toc184299588 \h </w:instrText>
        </w:r>
        <w:r w:rsidRPr="000552AA">
          <w:rPr>
            <w:rFonts w:ascii="Times New Roman" w:hAnsi="Times New Roman"/>
            <w:webHidden/>
          </w:rPr>
          <w:fldChar w:fldCharType="separate"/>
        </w:r>
        <w:r w:rsidRPr="000552AA">
          <w:rPr>
            <w:rFonts w:ascii="Times New Roman" w:hAnsi="Times New Roman"/>
            <w:webHidden/>
          </w:rPr>
          <w:t>5-5</w:t>
        </w:r>
        <w:r w:rsidRPr="000552AA">
          <w:rPr>
            <w:rFonts w:ascii="Times New Roman" w:hAnsi="Times New Roman"/>
            <w:webHidden/>
          </w:rPr>
          <w:fldChar w:fldCharType="end"/>
        </w:r>
      </w:hyperlink>
    </w:p>
    <w:p w:rsidR="00735BBC" w:rsidRPr="000552AA" w14:paraId="085FEA8A" w14:textId="37A94553">
      <w:pPr>
        <w:pStyle w:val="TableofFigures"/>
        <w:rPr>
          <w:rFonts w:ascii="Times New Roman" w:hAnsi="Times New Roman" w:eastAsiaTheme="minorEastAsia"/>
          <w:kern w:val="2"/>
          <w:sz w:val="24"/>
          <w:szCs w:val="24"/>
          <w14:ligatures w14:val="standardContextual"/>
        </w:rPr>
      </w:pPr>
      <w:hyperlink w:anchor="_Toc184299589" w:history="1">
        <w:r w:rsidRPr="000552AA">
          <w:rPr>
            <w:rStyle w:val="Hyperlink"/>
            <w:rFonts w:ascii="Times New Roman" w:hAnsi="Times New Roman"/>
          </w:rPr>
          <w:t>Table 5</w:t>
        </w:r>
        <w:r w:rsidRPr="000552AA">
          <w:rPr>
            <w:rStyle w:val="Hyperlink"/>
            <w:rFonts w:ascii="Times New Roman" w:hAnsi="Times New Roman"/>
          </w:rPr>
          <w:noBreakHyphen/>
          <w:t>4: Odds ratios and 95% Confidence Intervals Derived from Harber et al. (2003)</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_Toc184299589 \h </w:instrText>
        </w:r>
        <w:r w:rsidRPr="000552AA">
          <w:rPr>
            <w:rFonts w:ascii="Times New Roman" w:hAnsi="Times New Roman"/>
            <w:webHidden/>
          </w:rPr>
          <w:fldChar w:fldCharType="separate"/>
        </w:r>
        <w:r w:rsidRPr="000552AA">
          <w:rPr>
            <w:rFonts w:ascii="Times New Roman" w:hAnsi="Times New Roman"/>
            <w:webHidden/>
          </w:rPr>
          <w:t>5-7</w:t>
        </w:r>
        <w:r w:rsidRPr="000552AA">
          <w:rPr>
            <w:rFonts w:ascii="Times New Roman" w:hAnsi="Times New Roman"/>
            <w:webHidden/>
          </w:rPr>
          <w:fldChar w:fldCharType="end"/>
        </w:r>
      </w:hyperlink>
    </w:p>
    <w:p w:rsidR="00735BBC" w:rsidRPr="000552AA" w14:paraId="62B55A51" w14:textId="34136F65">
      <w:pPr>
        <w:pStyle w:val="TableofFigures"/>
        <w:rPr>
          <w:rFonts w:ascii="Times New Roman" w:hAnsi="Times New Roman" w:eastAsiaTheme="minorEastAsia"/>
          <w:kern w:val="2"/>
          <w:sz w:val="24"/>
          <w:szCs w:val="24"/>
          <w14:ligatures w14:val="standardContextual"/>
        </w:rPr>
      </w:pPr>
      <w:hyperlink w:anchor="_Toc184299590" w:history="1">
        <w:r w:rsidRPr="000552AA">
          <w:rPr>
            <w:rStyle w:val="Hyperlink"/>
            <w:rFonts w:ascii="Times New Roman" w:hAnsi="Times New Roman"/>
          </w:rPr>
          <w:t>Table 5</w:t>
        </w:r>
        <w:r w:rsidRPr="000552AA">
          <w:rPr>
            <w:rStyle w:val="Hyperlink"/>
            <w:rFonts w:ascii="Times New Roman" w:hAnsi="Times New Roman"/>
          </w:rPr>
          <w:noBreakHyphen/>
          <w:t>5: Number of Avoided Cases Per Year under the Proposed Option</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_Toc184299590 \h </w:instrText>
        </w:r>
        <w:r w:rsidRPr="000552AA">
          <w:rPr>
            <w:rFonts w:ascii="Times New Roman" w:hAnsi="Times New Roman"/>
            <w:webHidden/>
          </w:rPr>
          <w:fldChar w:fldCharType="separate"/>
        </w:r>
        <w:r w:rsidRPr="000552AA">
          <w:rPr>
            <w:rFonts w:ascii="Times New Roman" w:hAnsi="Times New Roman"/>
            <w:webHidden/>
          </w:rPr>
          <w:t>5-8</w:t>
        </w:r>
        <w:r w:rsidRPr="000552AA">
          <w:rPr>
            <w:rFonts w:ascii="Times New Roman" w:hAnsi="Times New Roman"/>
            <w:webHidden/>
          </w:rPr>
          <w:fldChar w:fldCharType="end"/>
        </w:r>
      </w:hyperlink>
    </w:p>
    <w:p w:rsidR="00735BBC" w:rsidRPr="000552AA" w14:paraId="6256B961" w14:textId="1837A911">
      <w:pPr>
        <w:pStyle w:val="TableofFigures"/>
        <w:rPr>
          <w:rFonts w:ascii="Times New Roman" w:hAnsi="Times New Roman" w:eastAsiaTheme="minorEastAsia"/>
          <w:kern w:val="2"/>
          <w:sz w:val="24"/>
          <w:szCs w:val="24"/>
          <w14:ligatures w14:val="standardContextual"/>
        </w:rPr>
      </w:pPr>
      <w:hyperlink w:anchor="_Toc184299591" w:history="1">
        <w:r w:rsidRPr="000552AA">
          <w:rPr>
            <w:rStyle w:val="Hyperlink"/>
            <w:rFonts w:ascii="Times New Roman" w:hAnsi="Times New Roman"/>
          </w:rPr>
          <w:t>Table 5</w:t>
        </w:r>
        <w:r w:rsidRPr="000552AA">
          <w:rPr>
            <w:rStyle w:val="Hyperlink"/>
            <w:rFonts w:ascii="Times New Roman" w:hAnsi="Times New Roman"/>
          </w:rPr>
          <w:noBreakHyphen/>
          <w:t>6: Number of Avoided Cases Per Year under the Alternative Option</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_Toc184299591 \h </w:instrText>
        </w:r>
        <w:r w:rsidRPr="000552AA">
          <w:rPr>
            <w:rFonts w:ascii="Times New Roman" w:hAnsi="Times New Roman"/>
            <w:webHidden/>
          </w:rPr>
          <w:fldChar w:fldCharType="separate"/>
        </w:r>
        <w:r w:rsidRPr="000552AA">
          <w:rPr>
            <w:rFonts w:ascii="Times New Roman" w:hAnsi="Times New Roman"/>
            <w:webHidden/>
          </w:rPr>
          <w:t>5-9</w:t>
        </w:r>
        <w:r w:rsidRPr="000552AA">
          <w:rPr>
            <w:rFonts w:ascii="Times New Roman" w:hAnsi="Times New Roman"/>
            <w:webHidden/>
          </w:rPr>
          <w:fldChar w:fldCharType="end"/>
        </w:r>
      </w:hyperlink>
    </w:p>
    <w:p w:rsidR="00735BBC" w:rsidRPr="000552AA" w14:paraId="3412A3EB" w14:textId="0E396E12">
      <w:pPr>
        <w:pStyle w:val="TableofFigures"/>
        <w:rPr>
          <w:rFonts w:ascii="Times New Roman" w:hAnsi="Times New Roman" w:eastAsiaTheme="minorEastAsia"/>
          <w:kern w:val="2"/>
          <w:sz w:val="24"/>
          <w:szCs w:val="24"/>
          <w14:ligatures w14:val="standardContextual"/>
        </w:rPr>
      </w:pPr>
      <w:hyperlink w:anchor="_Toc184299592" w:history="1">
        <w:r w:rsidRPr="000552AA">
          <w:rPr>
            <w:rStyle w:val="Hyperlink"/>
            <w:rFonts w:ascii="Times New Roman" w:hAnsi="Times New Roman"/>
          </w:rPr>
          <w:t>Table 5</w:t>
        </w:r>
        <w:r w:rsidRPr="000552AA">
          <w:rPr>
            <w:rStyle w:val="Hyperlink"/>
            <w:rFonts w:ascii="Times New Roman" w:hAnsi="Times New Roman"/>
          </w:rPr>
          <w:noBreakHyphen/>
          <w:t>7: Option 1 (Proposed) Total Annualized Benefits (2% discount; 2023$)</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_Toc184299592 \h </w:instrText>
        </w:r>
        <w:r w:rsidRPr="000552AA">
          <w:rPr>
            <w:rFonts w:ascii="Times New Roman" w:hAnsi="Times New Roman"/>
            <w:webHidden/>
          </w:rPr>
          <w:fldChar w:fldCharType="separate"/>
        </w:r>
        <w:r w:rsidRPr="000552AA">
          <w:rPr>
            <w:rFonts w:ascii="Times New Roman" w:hAnsi="Times New Roman"/>
            <w:webHidden/>
          </w:rPr>
          <w:t>5-10</w:t>
        </w:r>
        <w:r w:rsidRPr="000552AA">
          <w:rPr>
            <w:rFonts w:ascii="Times New Roman" w:hAnsi="Times New Roman"/>
            <w:webHidden/>
          </w:rPr>
          <w:fldChar w:fldCharType="end"/>
        </w:r>
      </w:hyperlink>
    </w:p>
    <w:p w:rsidR="00735BBC" w:rsidRPr="000552AA" w14:paraId="4A273481" w14:textId="268D9E48">
      <w:pPr>
        <w:pStyle w:val="TableofFigures"/>
        <w:rPr>
          <w:rFonts w:ascii="Times New Roman" w:hAnsi="Times New Roman" w:eastAsiaTheme="minorEastAsia"/>
          <w:kern w:val="2"/>
          <w:sz w:val="24"/>
          <w:szCs w:val="24"/>
          <w14:ligatures w14:val="standardContextual"/>
        </w:rPr>
      </w:pPr>
      <w:hyperlink w:anchor="_Toc184299593" w:history="1">
        <w:r w:rsidRPr="000552AA">
          <w:rPr>
            <w:rStyle w:val="Hyperlink"/>
            <w:rFonts w:ascii="Times New Roman" w:hAnsi="Times New Roman"/>
          </w:rPr>
          <w:t>Table 5</w:t>
        </w:r>
        <w:r w:rsidRPr="000552AA">
          <w:rPr>
            <w:rStyle w:val="Hyperlink"/>
            <w:rFonts w:ascii="Times New Roman" w:hAnsi="Times New Roman"/>
          </w:rPr>
          <w:noBreakHyphen/>
          <w:t>8: Option 2 (Alternative) Total Annualized Benefits (2% discount; 2023$)</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_Toc184299593 \h </w:instrText>
        </w:r>
        <w:r w:rsidRPr="000552AA">
          <w:rPr>
            <w:rFonts w:ascii="Times New Roman" w:hAnsi="Times New Roman"/>
            <w:webHidden/>
          </w:rPr>
          <w:fldChar w:fldCharType="separate"/>
        </w:r>
        <w:r w:rsidRPr="000552AA">
          <w:rPr>
            <w:rFonts w:ascii="Times New Roman" w:hAnsi="Times New Roman"/>
            <w:webHidden/>
          </w:rPr>
          <w:t>5-10</w:t>
        </w:r>
        <w:r w:rsidRPr="000552AA">
          <w:rPr>
            <w:rFonts w:ascii="Times New Roman" w:hAnsi="Times New Roman"/>
            <w:webHidden/>
          </w:rPr>
          <w:fldChar w:fldCharType="end"/>
        </w:r>
      </w:hyperlink>
    </w:p>
    <w:p w:rsidR="00735BBC" w:rsidRPr="000552AA" w14:paraId="5D16134D" w14:textId="3FA7E35B">
      <w:pPr>
        <w:pStyle w:val="TableofFigures"/>
        <w:rPr>
          <w:rFonts w:ascii="Times New Roman" w:hAnsi="Times New Roman" w:eastAsiaTheme="minorEastAsia"/>
          <w:kern w:val="2"/>
          <w:sz w:val="24"/>
          <w:szCs w:val="24"/>
          <w14:ligatures w14:val="standardContextual"/>
        </w:rPr>
      </w:pPr>
      <w:hyperlink w:anchor="_Toc184299594" w:history="1">
        <w:r w:rsidRPr="000552AA">
          <w:rPr>
            <w:rStyle w:val="Hyperlink"/>
            <w:rFonts w:ascii="Times New Roman" w:hAnsi="Times New Roman"/>
          </w:rPr>
          <w:t>Table 6</w:t>
        </w:r>
        <w:r w:rsidRPr="000552AA">
          <w:rPr>
            <w:rStyle w:val="Hyperlink"/>
            <w:rFonts w:ascii="Times New Roman" w:hAnsi="Times New Roman"/>
          </w:rPr>
          <w:noBreakHyphen/>
          <w:t>1: Summary of Net Benefits by Option (2% discount; 2023$)</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_Toc184299594 \h </w:instrText>
        </w:r>
        <w:r w:rsidRPr="000552AA">
          <w:rPr>
            <w:rFonts w:ascii="Times New Roman" w:hAnsi="Times New Roman"/>
            <w:webHidden/>
          </w:rPr>
          <w:fldChar w:fldCharType="separate"/>
        </w:r>
        <w:r w:rsidRPr="000552AA">
          <w:rPr>
            <w:rFonts w:ascii="Times New Roman" w:hAnsi="Times New Roman"/>
            <w:webHidden/>
          </w:rPr>
          <w:t>6-1</w:t>
        </w:r>
        <w:r w:rsidRPr="000552AA">
          <w:rPr>
            <w:rFonts w:ascii="Times New Roman" w:hAnsi="Times New Roman"/>
            <w:webHidden/>
          </w:rPr>
          <w:fldChar w:fldCharType="end"/>
        </w:r>
      </w:hyperlink>
    </w:p>
    <w:p w:rsidR="00735BBC" w:rsidRPr="000552AA" w14:paraId="32EF5407" w14:textId="2342B576">
      <w:pPr>
        <w:pStyle w:val="TableofFigures"/>
        <w:rPr>
          <w:rFonts w:ascii="Times New Roman" w:hAnsi="Times New Roman" w:eastAsiaTheme="minorEastAsia"/>
          <w:kern w:val="2"/>
          <w:sz w:val="24"/>
          <w:szCs w:val="24"/>
          <w14:ligatures w14:val="standardContextual"/>
        </w:rPr>
      </w:pPr>
      <w:hyperlink w:anchor="_Toc184299595" w:history="1">
        <w:r w:rsidRPr="000552AA">
          <w:rPr>
            <w:rStyle w:val="Hyperlink"/>
            <w:rFonts w:ascii="Times New Roman" w:hAnsi="Times New Roman"/>
          </w:rPr>
          <w:t>Table 6</w:t>
        </w:r>
        <w:r w:rsidRPr="000552AA">
          <w:rPr>
            <w:rStyle w:val="Hyperlink"/>
            <w:rFonts w:ascii="Times New Roman" w:hAnsi="Times New Roman"/>
          </w:rPr>
          <w:noBreakHyphen/>
          <w:t>2: Summary of Cost Effectiveness by Option (annualized costs using 2% discount rate; 2023$)</w:t>
        </w:r>
        <w:r w:rsidRPr="000552AA">
          <w:rPr>
            <w:rFonts w:ascii="Times New Roman" w:hAnsi="Times New Roman"/>
            <w:webHidden/>
          </w:rPr>
          <w:tab/>
        </w:r>
        <w:r w:rsidR="00B57B1E">
          <w:rPr>
            <w:rFonts w:ascii="Times New Roman" w:hAnsi="Times New Roman"/>
            <w:webHidden/>
          </w:rPr>
          <w:tab/>
        </w:r>
        <w:r w:rsidR="00B57B1E">
          <w:rPr>
            <w:rFonts w:ascii="Times New Roman" w:hAnsi="Times New Roman"/>
            <w:webHidden/>
          </w:rPr>
          <w:tab/>
        </w:r>
        <w:r w:rsidR="00B57B1E">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_Toc184299595 \h </w:instrText>
        </w:r>
        <w:r w:rsidRPr="000552AA">
          <w:rPr>
            <w:rFonts w:ascii="Times New Roman" w:hAnsi="Times New Roman"/>
            <w:webHidden/>
          </w:rPr>
          <w:fldChar w:fldCharType="separate"/>
        </w:r>
        <w:r w:rsidRPr="000552AA">
          <w:rPr>
            <w:rFonts w:ascii="Times New Roman" w:hAnsi="Times New Roman"/>
            <w:webHidden/>
          </w:rPr>
          <w:t>6-1</w:t>
        </w:r>
        <w:r w:rsidRPr="000552AA">
          <w:rPr>
            <w:rFonts w:ascii="Times New Roman" w:hAnsi="Times New Roman"/>
            <w:webHidden/>
          </w:rPr>
          <w:fldChar w:fldCharType="end"/>
        </w:r>
      </w:hyperlink>
    </w:p>
    <w:p w:rsidR="00735BBC" w:rsidRPr="000552AA" w14:paraId="22776F54" w14:textId="68614B86">
      <w:pPr>
        <w:pStyle w:val="TableofFigures"/>
        <w:rPr>
          <w:rFonts w:ascii="Times New Roman" w:hAnsi="Times New Roman" w:eastAsiaTheme="minorEastAsia"/>
          <w:kern w:val="2"/>
          <w:sz w:val="24"/>
          <w:szCs w:val="24"/>
          <w14:ligatures w14:val="standardContextual"/>
        </w:rPr>
      </w:pPr>
      <w:hyperlink w:anchor="_Toc184299596" w:history="1">
        <w:r w:rsidRPr="000552AA">
          <w:rPr>
            <w:rStyle w:val="Hyperlink"/>
            <w:rFonts w:ascii="Times New Roman" w:hAnsi="Times New Roman"/>
          </w:rPr>
          <w:t>Table 6</w:t>
        </w:r>
        <w:r w:rsidRPr="000552AA">
          <w:rPr>
            <w:rStyle w:val="Hyperlink"/>
            <w:rFonts w:ascii="Times New Roman" w:hAnsi="Times New Roman"/>
          </w:rPr>
          <w:noBreakHyphen/>
          <w:t>3: 15-Year Stream of Annual Undiscounted Costs, Benefits, and Net Benefits (millions, 2023$)</w:t>
        </w:r>
        <w:r w:rsidRPr="000552AA">
          <w:rPr>
            <w:rFonts w:ascii="Times New Roman" w:hAnsi="Times New Roman"/>
            <w:webHidden/>
          </w:rPr>
          <w:tab/>
        </w:r>
        <w:r w:rsidR="00B57B1E">
          <w:rPr>
            <w:rFonts w:ascii="Times New Roman" w:hAnsi="Times New Roman"/>
            <w:webHidden/>
          </w:rPr>
          <w:tab/>
        </w:r>
        <w:r w:rsidR="00B57B1E">
          <w:rPr>
            <w:rFonts w:ascii="Times New Roman" w:hAnsi="Times New Roman"/>
            <w:webHidden/>
          </w:rPr>
          <w:tab/>
        </w:r>
        <w:r w:rsidR="00B57B1E">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_Toc184299596 \h </w:instrText>
        </w:r>
        <w:r w:rsidRPr="000552AA">
          <w:rPr>
            <w:rFonts w:ascii="Times New Roman" w:hAnsi="Times New Roman"/>
            <w:webHidden/>
          </w:rPr>
          <w:fldChar w:fldCharType="separate"/>
        </w:r>
        <w:r w:rsidRPr="000552AA">
          <w:rPr>
            <w:rFonts w:ascii="Times New Roman" w:hAnsi="Times New Roman"/>
            <w:webHidden/>
          </w:rPr>
          <w:t>6-2</w:t>
        </w:r>
        <w:r w:rsidRPr="000552AA">
          <w:rPr>
            <w:rFonts w:ascii="Times New Roman" w:hAnsi="Times New Roman"/>
            <w:webHidden/>
          </w:rPr>
          <w:fldChar w:fldCharType="end"/>
        </w:r>
      </w:hyperlink>
    </w:p>
    <w:p w:rsidR="00735BBC" w:rsidRPr="000552AA" w14:paraId="5AF6BABD" w14:textId="06D3B657">
      <w:pPr>
        <w:pStyle w:val="TableofFigures"/>
        <w:rPr>
          <w:rFonts w:ascii="Times New Roman" w:hAnsi="Times New Roman" w:eastAsiaTheme="minorEastAsia"/>
          <w:kern w:val="2"/>
          <w:sz w:val="24"/>
          <w:szCs w:val="24"/>
          <w14:ligatures w14:val="standardContextual"/>
        </w:rPr>
      </w:pPr>
      <w:hyperlink w:anchor="_Toc184299597" w:history="1">
        <w:r w:rsidRPr="000552AA">
          <w:rPr>
            <w:rStyle w:val="Hyperlink"/>
            <w:rFonts w:ascii="Times New Roman" w:hAnsi="Times New Roman"/>
          </w:rPr>
          <w:t>Table 7</w:t>
        </w:r>
        <w:r w:rsidRPr="000552AA">
          <w:rPr>
            <w:rStyle w:val="Hyperlink"/>
            <w:rFonts w:ascii="Times New Roman" w:hAnsi="Times New Roman"/>
          </w:rPr>
          <w:noBreakHyphen/>
          <w:t>1: Data for Identifying Small Entities for Known Facilities Affected by the Proposed Regulation</w:t>
        </w:r>
        <w:r w:rsidRPr="000552AA">
          <w:rPr>
            <w:rFonts w:ascii="Times New Roman" w:hAnsi="Times New Roman"/>
            <w:webHidden/>
          </w:rPr>
          <w:tab/>
        </w:r>
        <w:r w:rsidR="00B57B1E">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_Toc184299597 \h </w:instrText>
        </w:r>
        <w:r w:rsidRPr="000552AA">
          <w:rPr>
            <w:rFonts w:ascii="Times New Roman" w:hAnsi="Times New Roman"/>
            <w:webHidden/>
          </w:rPr>
          <w:fldChar w:fldCharType="separate"/>
        </w:r>
        <w:r w:rsidRPr="000552AA">
          <w:rPr>
            <w:rFonts w:ascii="Times New Roman" w:hAnsi="Times New Roman"/>
            <w:webHidden/>
          </w:rPr>
          <w:t>7-3</w:t>
        </w:r>
        <w:r w:rsidRPr="000552AA">
          <w:rPr>
            <w:rFonts w:ascii="Times New Roman" w:hAnsi="Times New Roman"/>
            <w:webHidden/>
          </w:rPr>
          <w:fldChar w:fldCharType="end"/>
        </w:r>
      </w:hyperlink>
    </w:p>
    <w:p w:rsidR="00735BBC" w:rsidRPr="000552AA" w14:paraId="4666BA9A" w14:textId="5D46AD58">
      <w:pPr>
        <w:pStyle w:val="TableofFigures"/>
        <w:rPr>
          <w:rFonts w:ascii="Times New Roman" w:hAnsi="Times New Roman" w:eastAsiaTheme="minorEastAsia"/>
          <w:kern w:val="2"/>
          <w:sz w:val="24"/>
          <w:szCs w:val="24"/>
          <w14:ligatures w14:val="standardContextual"/>
        </w:rPr>
      </w:pPr>
      <w:hyperlink w:anchor="_Toc184299598" w:history="1">
        <w:r w:rsidRPr="000552AA">
          <w:rPr>
            <w:rStyle w:val="Hyperlink"/>
            <w:rFonts w:ascii="Times New Roman" w:hAnsi="Times New Roman"/>
          </w:rPr>
          <w:t>Table 7</w:t>
        </w:r>
        <w:r w:rsidRPr="000552AA">
          <w:rPr>
            <w:rStyle w:val="Hyperlink"/>
            <w:rFonts w:ascii="Times New Roman" w:hAnsi="Times New Roman"/>
          </w:rPr>
          <w:noBreakHyphen/>
          <w:t>2: Identification of Small Businesses for Industries with Unknown Affected Facilities</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_Toc184299598 \h </w:instrText>
        </w:r>
        <w:r w:rsidRPr="000552AA">
          <w:rPr>
            <w:rFonts w:ascii="Times New Roman" w:hAnsi="Times New Roman"/>
            <w:webHidden/>
          </w:rPr>
          <w:fldChar w:fldCharType="separate"/>
        </w:r>
        <w:r w:rsidRPr="000552AA">
          <w:rPr>
            <w:rFonts w:ascii="Times New Roman" w:hAnsi="Times New Roman"/>
            <w:webHidden/>
          </w:rPr>
          <w:t>7-4</w:t>
        </w:r>
        <w:r w:rsidRPr="000552AA">
          <w:rPr>
            <w:rFonts w:ascii="Times New Roman" w:hAnsi="Times New Roman"/>
            <w:webHidden/>
          </w:rPr>
          <w:fldChar w:fldCharType="end"/>
        </w:r>
      </w:hyperlink>
    </w:p>
    <w:p w:rsidR="00735BBC" w:rsidRPr="000552AA" w14:paraId="6E118CE5" w14:textId="54C9C701">
      <w:pPr>
        <w:pStyle w:val="TableofFigures"/>
        <w:rPr>
          <w:rFonts w:ascii="Times New Roman" w:hAnsi="Times New Roman" w:eastAsiaTheme="minorEastAsia"/>
          <w:kern w:val="2"/>
          <w:sz w:val="24"/>
          <w:szCs w:val="24"/>
          <w14:ligatures w14:val="standardContextual"/>
        </w:rPr>
      </w:pPr>
      <w:hyperlink w:anchor="_Toc184299599" w:history="1">
        <w:r w:rsidRPr="000552AA">
          <w:rPr>
            <w:rStyle w:val="Hyperlink"/>
            <w:rFonts w:ascii="Times New Roman" w:hAnsi="Times New Roman"/>
          </w:rPr>
          <w:t>Table 7</w:t>
        </w:r>
        <w:r w:rsidRPr="000552AA">
          <w:rPr>
            <w:rStyle w:val="Hyperlink"/>
            <w:rFonts w:ascii="Times New Roman" w:hAnsi="Times New Roman"/>
          </w:rPr>
          <w:noBreakHyphen/>
          <w:t>3: Summary of Small Businesses by Use Category</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_Toc184299599 \h </w:instrText>
        </w:r>
        <w:r w:rsidRPr="000552AA">
          <w:rPr>
            <w:rFonts w:ascii="Times New Roman" w:hAnsi="Times New Roman"/>
            <w:webHidden/>
          </w:rPr>
          <w:fldChar w:fldCharType="separate"/>
        </w:r>
        <w:r w:rsidRPr="000552AA">
          <w:rPr>
            <w:rFonts w:ascii="Times New Roman" w:hAnsi="Times New Roman"/>
            <w:webHidden/>
          </w:rPr>
          <w:t>7-5</w:t>
        </w:r>
        <w:r w:rsidRPr="000552AA">
          <w:rPr>
            <w:rFonts w:ascii="Times New Roman" w:hAnsi="Times New Roman"/>
            <w:webHidden/>
          </w:rPr>
          <w:fldChar w:fldCharType="end"/>
        </w:r>
      </w:hyperlink>
    </w:p>
    <w:p w:rsidR="00735BBC" w:rsidRPr="000552AA" w14:paraId="32571D0F" w14:textId="52549C12">
      <w:pPr>
        <w:pStyle w:val="TableofFigures"/>
        <w:rPr>
          <w:rFonts w:ascii="Times New Roman" w:hAnsi="Times New Roman" w:eastAsiaTheme="minorEastAsia"/>
          <w:kern w:val="2"/>
          <w:sz w:val="24"/>
          <w:szCs w:val="24"/>
          <w14:ligatures w14:val="standardContextual"/>
        </w:rPr>
      </w:pPr>
      <w:hyperlink w:anchor="_Toc184299600" w:history="1">
        <w:r w:rsidRPr="000552AA">
          <w:rPr>
            <w:rStyle w:val="Hyperlink"/>
            <w:rFonts w:ascii="Times New Roman" w:hAnsi="Times New Roman"/>
          </w:rPr>
          <w:t>Table 7</w:t>
        </w:r>
        <w:r w:rsidRPr="000552AA">
          <w:rPr>
            <w:rStyle w:val="Hyperlink"/>
            <w:rFonts w:ascii="Times New Roman" w:hAnsi="Times New Roman"/>
          </w:rPr>
          <w:noBreakHyphen/>
          <w:t>4: Costs and Cost-Revenue Ratios for Affected Small Firms</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_Toc184299600 \h </w:instrText>
        </w:r>
        <w:r w:rsidRPr="000552AA">
          <w:rPr>
            <w:rFonts w:ascii="Times New Roman" w:hAnsi="Times New Roman"/>
            <w:webHidden/>
          </w:rPr>
          <w:fldChar w:fldCharType="separate"/>
        </w:r>
        <w:r w:rsidRPr="000552AA">
          <w:rPr>
            <w:rFonts w:ascii="Times New Roman" w:hAnsi="Times New Roman"/>
            <w:webHidden/>
          </w:rPr>
          <w:t>7-6</w:t>
        </w:r>
        <w:r w:rsidRPr="000552AA">
          <w:rPr>
            <w:rFonts w:ascii="Times New Roman" w:hAnsi="Times New Roman"/>
            <w:webHidden/>
          </w:rPr>
          <w:fldChar w:fldCharType="end"/>
        </w:r>
      </w:hyperlink>
    </w:p>
    <w:p w:rsidR="00735BBC" w:rsidRPr="000552AA" w14:paraId="5302A9A1" w14:textId="1FE3F250">
      <w:pPr>
        <w:pStyle w:val="TableofFigures"/>
        <w:rPr>
          <w:rFonts w:ascii="Times New Roman" w:hAnsi="Times New Roman" w:eastAsiaTheme="minorEastAsia"/>
          <w:kern w:val="2"/>
          <w:sz w:val="24"/>
          <w:szCs w:val="24"/>
          <w14:ligatures w14:val="standardContextual"/>
        </w:rPr>
      </w:pPr>
      <w:hyperlink w:anchor="_Toc184299601" w:history="1">
        <w:r w:rsidRPr="000552AA">
          <w:rPr>
            <w:rStyle w:val="Hyperlink"/>
            <w:rFonts w:ascii="Times New Roman" w:hAnsi="Times New Roman"/>
          </w:rPr>
          <w:t>Table 7</w:t>
        </w:r>
        <w:r w:rsidRPr="000552AA">
          <w:rPr>
            <w:rStyle w:val="Hyperlink"/>
            <w:rFonts w:ascii="Times New Roman" w:hAnsi="Times New Roman"/>
          </w:rPr>
          <w:noBreakHyphen/>
          <w:t>5: Summary of Three Year Average Incremental Burden Hours and Costs for Primary Option (2023$)</w:t>
        </w:r>
        <w:r w:rsidRPr="000552AA">
          <w:rPr>
            <w:rFonts w:ascii="Times New Roman" w:hAnsi="Times New Roman"/>
            <w:webHidden/>
          </w:rPr>
          <w:tab/>
        </w:r>
        <w:r w:rsidR="00B57B1E">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_Toc184299601 \h </w:instrText>
        </w:r>
        <w:r w:rsidRPr="000552AA">
          <w:rPr>
            <w:rFonts w:ascii="Times New Roman" w:hAnsi="Times New Roman"/>
            <w:webHidden/>
          </w:rPr>
          <w:fldChar w:fldCharType="separate"/>
        </w:r>
        <w:r w:rsidRPr="000552AA">
          <w:rPr>
            <w:rFonts w:ascii="Times New Roman" w:hAnsi="Times New Roman"/>
            <w:webHidden/>
          </w:rPr>
          <w:t>7-7</w:t>
        </w:r>
        <w:r w:rsidRPr="000552AA">
          <w:rPr>
            <w:rFonts w:ascii="Times New Roman" w:hAnsi="Times New Roman"/>
            <w:webHidden/>
          </w:rPr>
          <w:fldChar w:fldCharType="end"/>
        </w:r>
      </w:hyperlink>
    </w:p>
    <w:p w:rsidR="00735BBC" w:rsidRPr="000552AA" w14:paraId="283275E2" w14:textId="7C43C046">
      <w:pPr>
        <w:pStyle w:val="TableofFigures"/>
        <w:rPr>
          <w:rFonts w:ascii="Times New Roman" w:hAnsi="Times New Roman" w:eastAsiaTheme="minorEastAsia"/>
          <w:kern w:val="2"/>
          <w:sz w:val="24"/>
          <w:szCs w:val="24"/>
          <w14:ligatures w14:val="standardContextual"/>
        </w:rPr>
      </w:pPr>
      <w:hyperlink w:anchor="_Toc184299602" w:history="1">
        <w:r w:rsidRPr="000552AA">
          <w:rPr>
            <w:rStyle w:val="Hyperlink"/>
            <w:rFonts w:ascii="Times New Roman" w:hAnsi="Times New Roman"/>
          </w:rPr>
          <w:t>Table 7</w:t>
        </w:r>
        <w:r w:rsidRPr="000552AA">
          <w:rPr>
            <w:rStyle w:val="Hyperlink"/>
            <w:rFonts w:ascii="Times New Roman" w:hAnsi="Times New Roman"/>
          </w:rPr>
          <w:noBreakHyphen/>
          <w:t>6: Characteristics of General Worker Populations at National Level and Sector Worker Populations in Areas nearby PV29 Manufacturing Facility</w:t>
        </w:r>
        <w:r w:rsidRPr="000552AA">
          <w:rPr>
            <w:rFonts w:ascii="Times New Roman" w:hAnsi="Times New Roman"/>
            <w:webHidden/>
          </w:rPr>
          <w:tab/>
        </w:r>
        <w:r w:rsidRPr="000552AA">
          <w:rPr>
            <w:rFonts w:ascii="Times New Roman" w:hAnsi="Times New Roman"/>
            <w:webHidden/>
          </w:rPr>
          <w:fldChar w:fldCharType="begin" w:fldLock="1"/>
        </w:r>
        <w:r w:rsidRPr="000552AA">
          <w:rPr>
            <w:rFonts w:ascii="Times New Roman" w:hAnsi="Times New Roman"/>
            <w:webHidden/>
          </w:rPr>
          <w:instrText xml:space="preserve"> PAGEREF _Toc184299602 \h </w:instrText>
        </w:r>
        <w:r w:rsidRPr="000552AA">
          <w:rPr>
            <w:rFonts w:ascii="Times New Roman" w:hAnsi="Times New Roman"/>
            <w:webHidden/>
          </w:rPr>
          <w:fldChar w:fldCharType="separate"/>
        </w:r>
        <w:r w:rsidRPr="000552AA">
          <w:rPr>
            <w:rFonts w:ascii="Times New Roman" w:hAnsi="Times New Roman"/>
            <w:webHidden/>
          </w:rPr>
          <w:t>7-9</w:t>
        </w:r>
        <w:r w:rsidRPr="000552AA">
          <w:rPr>
            <w:rFonts w:ascii="Times New Roman" w:hAnsi="Times New Roman"/>
            <w:webHidden/>
          </w:rPr>
          <w:fldChar w:fldCharType="end"/>
        </w:r>
      </w:hyperlink>
    </w:p>
    <w:p w:rsidR="004D359E" w:rsidRPr="001B6CD5" w:rsidP="00DC17F5" w14:paraId="666BDBB8" w14:textId="12FD190D">
      <w:pPr>
        <w:rPr>
          <w:rFonts w:eastAsia="Gotham"/>
          <w:sz w:val="20"/>
          <w:u w:color="7F7F7F"/>
        </w:rPr>
      </w:pPr>
      <w:r w:rsidRPr="000552AA">
        <w:rPr>
          <w:rFonts w:eastAsia="Gotham"/>
          <w:sz w:val="20"/>
          <w:u w:color="7F7F7F"/>
        </w:rPr>
        <w:fldChar w:fldCharType="end"/>
      </w:r>
    </w:p>
    <w:p w:rsidR="001167FA" w:rsidRPr="001B6CD5" w:rsidP="00DC17F5" w14:paraId="52D904E6" w14:textId="697FC426">
      <w:pPr>
        <w:rPr>
          <w:rFonts w:eastAsia="Gotham"/>
          <w:sz w:val="20"/>
          <w:u w:color="7F7F7F"/>
        </w:rPr>
      </w:pPr>
    </w:p>
    <w:p w:rsidR="00C77788" w:rsidRPr="00B56426" w:rsidP="00DC17F5" w14:paraId="6A9DCA56" w14:textId="77777777">
      <w:pPr>
        <w:rPr>
          <w:rFonts w:eastAsia="Gotham"/>
          <w:sz w:val="20"/>
          <w:u w:color="7F7F7F"/>
        </w:rPr>
        <w:sectPr w:rsidSect="00946DC8">
          <w:footerReference w:type="default" r:id="rId18"/>
          <w:pgSz w:w="12240" w:h="15840" w:code="1"/>
          <w:pgMar w:top="1440" w:right="1440" w:bottom="1440" w:left="1440" w:header="432" w:footer="720" w:gutter="0"/>
          <w:pgNumType w:fmt="lowerRoman"/>
          <w:cols w:space="720"/>
          <w:docGrid w:linePitch="299"/>
        </w:sectPr>
      </w:pPr>
    </w:p>
    <w:p w:rsidR="007B1904" w:rsidRPr="00B56426" w:rsidP="002745E9" w14:paraId="42683CD4" w14:textId="17A7DE3C">
      <w:pPr>
        <w:pStyle w:val="Heading1NoNumbering"/>
      </w:pPr>
      <w:bookmarkStart w:id="0" w:name="_Toc184299493"/>
      <w:r w:rsidRPr="00B56426">
        <w:t xml:space="preserve">Executive </w:t>
      </w:r>
      <w:r w:rsidRPr="00E17CE3">
        <w:t>Summary</w:t>
      </w:r>
      <w:bookmarkEnd w:id="0"/>
    </w:p>
    <w:p w:rsidR="00F97378" w:rsidP="2289F782" w14:paraId="33F266F6" w14:textId="532D59FA">
      <w:pPr>
        <w:pStyle w:val="Heading2NoNumbering"/>
      </w:pPr>
      <w:bookmarkStart w:id="1" w:name="_Toc184299494"/>
      <w:r w:rsidRPr="00B56426">
        <w:t>Introduction</w:t>
      </w:r>
      <w:bookmarkEnd w:id="1"/>
    </w:p>
    <w:p w:rsidR="009354E0" w:rsidRPr="00CA6588" w:rsidP="009354E0" w14:paraId="46A30F61" w14:textId="77777777">
      <w:pPr>
        <w:pStyle w:val="BodyText"/>
      </w:pPr>
      <w:r w:rsidRPr="4BA86F39">
        <w:rPr>
          <w:lang w:val="en-US"/>
        </w:rPr>
        <w:t xml:space="preserve">The Frank R. Lautenberg Chemical Safety for the 21st Century Act amended the Toxic Substances Control Act (TSCA), the nation’s primary chemicals management law, in June 2016. Under the amended statute, the Environmental Protection Agency (EPA) is required, under TSCA Section 6(b), to conduct risk evaluations to determine whether a chemical substance presents an unreasonable risk of injury to health or the environment, under the conditions of use, without consideration of costs or other non-risk factors, including an unreasonable risk to potentially exposed or susceptible subpopulations identified as relevant to the Risk Evaluation. If unreasonable risk is found, EPA is required to perform Risk Management. </w:t>
      </w:r>
    </w:p>
    <w:p w:rsidR="0007328B" w:rsidP="0004618B" w14:paraId="6BD44D94" w14:textId="46133741">
      <w:pPr>
        <w:pStyle w:val="BodyText"/>
      </w:pPr>
      <w:r w:rsidRPr="39A848E9">
        <w:rPr>
          <w:lang w:val="en-US"/>
        </w:rPr>
        <w:t xml:space="preserve">Pursuant to TSCA Section 6, EPA conducted a risk evaluation for C.I. Pigment Violet 29 (PV29) and identified several cases where conditions of use constitute unreasonable risks </w:t>
      </w:r>
      <w:r w:rsidR="008D2C17">
        <w:rPr>
          <w:lang w:val="en-US"/>
        </w:rPr>
        <w:t>(</w:t>
      </w:r>
      <w:hyperlink w:anchor="_ENREF_65" w:tooltip="U.S. Environmental Protection Agency (EPA), 2021 #61" w:history="1">
        <w:r w:rsidRPr="00CA6588" w:rsidR="003D6084">
          <w:fldChar w:fldCharType="begin" w:fldLock="1"/>
        </w:r>
        <w:r w:rsidR="003D6084">
          <w:instrText xml:space="preserve"> ADDIN EN.CITE &lt;EndNote&gt;&lt;Cite ExcludeAuth="1"&gt;&lt;Author&gt;U.S. Environmental Protection Agency (EPA)&lt;/Author&gt;&lt;Year&gt;2021&lt;/Year&gt;&lt;RecNum&gt;61&lt;/RecNum&gt;&lt;Prefix&gt;EPA &lt;/Prefix&gt;&lt;DisplayText&gt;EPA 2021e&lt;/DisplayText&gt;&lt;record&gt;&lt;rec-number&gt;61&lt;/rec-number&gt;&lt;foreign-keys&gt;&lt;key app="EN" db-id="2apzr05radv9fjet2w6xxwdlz5e9vwfxredw" timestamp="1730757315"&gt;61&lt;/key&gt;&lt;/foreign-keys&gt;&lt;ref-type name="Generic"&gt;13&lt;/ref-type&gt;&lt;contributors&gt;&lt;authors&gt;&lt;author&gt;U.S. Environmental Protection Agency (EPA),&lt;/author&gt;&lt;/authors&gt;&lt;subsidiary-authors&gt;&lt;author&gt;Office of Chemical Safety and Pollution Prevention&lt;/author&gt;&lt;/subsidiary-authors&gt;&lt;/contributors&gt;&lt;titles&gt;&lt;title&gt;Risk Evaluation for C.I. Pigment Violet 29 (Anthra[2,1,9-def:6,5,10-d&amp;apos;e&amp;apos;f&amp;apos;]diisoquinoline-1,3,8,10(2H,9H)-tetrone)&lt;/title&gt;&lt;/titles&gt;&lt;number&gt;# 740-R-18-015&lt;/number&gt;&lt;dates&gt;&lt;year&gt;2021&lt;/year&gt;&lt;/dates&gt;&lt;urls&gt;&lt;/urls&gt;&lt;/record&gt;&lt;/Cite&gt;&lt;/EndNote&gt;</w:instrText>
        </w:r>
        <w:r w:rsidRPr="00CA6588" w:rsidR="003D6084">
          <w:fldChar w:fldCharType="separate"/>
        </w:r>
        <w:r w:rsidR="003D6084">
          <w:rPr>
            <w:noProof/>
          </w:rPr>
          <w:t>EPA 2021e</w:t>
        </w:r>
        <w:r w:rsidRPr="00CA6588" w:rsidR="003D6084">
          <w:fldChar w:fldCharType="end"/>
        </w:r>
      </w:hyperlink>
      <w:r w:rsidR="008D2C17">
        <w:rPr>
          <w:lang w:val="en-US"/>
        </w:rPr>
        <w:t>)</w:t>
      </w:r>
      <w:r w:rsidRPr="39A848E9">
        <w:rPr>
          <w:lang w:val="en-US"/>
        </w:rPr>
        <w:t xml:space="preserve">. This report estimates and evaluates the costs and benefits expected to result from a rule limiting the use of PV29 to mitigate the risks. </w:t>
      </w:r>
    </w:p>
    <w:p w:rsidR="00555B81" w:rsidP="004F7798" w14:paraId="567527BA" w14:textId="2906255E">
      <w:pPr>
        <w:pStyle w:val="Heading2NoNumbering"/>
      </w:pPr>
      <w:bookmarkStart w:id="2" w:name="_Toc184299495"/>
      <w:r w:rsidRPr="00B56426">
        <w:t>Background</w:t>
      </w:r>
      <w:bookmarkEnd w:id="2"/>
    </w:p>
    <w:p w:rsidR="009723D6" w:rsidRPr="00CA6588" w:rsidP="009723D6" w14:paraId="21121EBD" w14:textId="7714DBB2">
      <w:pPr>
        <w:pStyle w:val="BodyText"/>
      </w:pPr>
      <w:r w:rsidRPr="4BA86F39">
        <w:rPr>
          <w:lang w:val="en-US"/>
        </w:rPr>
        <w:t>PV29 is an organic compound that is used as a pigment.</w:t>
      </w:r>
      <w:r>
        <w:rPr>
          <w:rStyle w:val="FootnoteReference"/>
          <w:lang w:val="en-US"/>
        </w:rPr>
        <w:footnoteReference w:id="3"/>
      </w:r>
      <w:r w:rsidRPr="4BA86F39">
        <w:rPr>
          <w:lang w:val="en-US"/>
        </w:rPr>
        <w:t xml:space="preserve"> It has a dark red purple color. As shown in </w:t>
      </w:r>
      <w:r w:rsidRPr="00CA6588">
        <w:fldChar w:fldCharType="begin" w:fldLock="1"/>
      </w:r>
      <w:r w:rsidRPr="00CA6588">
        <w:instrText xml:space="preserve"> REF _Ref73280871 \h  \* MERGEFORMAT </w:instrText>
      </w:r>
      <w:r w:rsidRPr="00CA6588">
        <w:fldChar w:fldCharType="separate"/>
      </w:r>
      <w:r w:rsidRPr="00735BBC" w:rsidR="00735BBC">
        <w:rPr>
          <w:lang w:val="en-US"/>
        </w:rPr>
        <w:t>Figure 1</w:t>
      </w:r>
      <w:r w:rsidRPr="00735BBC" w:rsidR="00735BBC">
        <w:rPr>
          <w:lang w:val="en-US"/>
        </w:rPr>
        <w:noBreakHyphen/>
        <w:t>1</w:t>
      </w:r>
      <w:r w:rsidRPr="00CA6588">
        <w:fldChar w:fldCharType="end"/>
      </w:r>
      <w:r w:rsidRPr="4BA86F39">
        <w:rPr>
          <w:lang w:val="en-US"/>
        </w:rPr>
        <w:t>, the color of PV29 has been described as dark red-violet, bordeaux, black, maroon, and purple</w:t>
      </w:r>
      <w:r w:rsidR="007B4B87">
        <w:rPr>
          <w:lang w:val="en-US"/>
        </w:rPr>
        <w:t xml:space="preserve"> (</w:t>
      </w:r>
      <w:hyperlink w:anchor="_ENREF_2" w:tooltip="American Chemical Society, 2019 #2" w:history="1">
        <w:r w:rsidR="003D6084">
          <w:rPr>
            <w:lang w:val="en-US"/>
          </w:rPr>
          <w:fldChar w:fldCharType="begin" w:fldLock="1"/>
        </w:r>
        <w:r w:rsidR="003D6084">
          <w:rPr>
            <w:lang w:val="en-US"/>
          </w:rPr>
          <w:instrText xml:space="preserve"> ADDIN EN.CITE &lt;EndNote&gt;&lt;Cite&gt;&lt;Author&gt;American Chemical Society&lt;/Author&gt;&lt;Year&gt;2019&lt;/Year&gt;&lt;RecNum&gt;2&lt;/RecNum&gt;&lt;DisplayText&gt;American Chemical Society 2019&lt;/DisplayText&gt;&lt;record&gt;&lt;rec-number&gt;2&lt;/rec-number&gt;&lt;foreign-keys&gt;&lt;key app="EN" db-id="2apzr05radv9fjet2w6xxwdlz5e9vwfxredw" timestamp="1730757315"&gt;2&lt;/key&gt;&lt;/foreign-keys&gt;&lt;ref-type name="Generic"&gt;13&lt;/ref-type&gt;&lt;contributors&gt;&lt;authors&gt;&lt;author&gt;American Chemical Society,&lt;/author&gt;&lt;/authors&gt;&lt;/contributors&gt;&lt;titles&gt;&lt;title&gt;Molecule of the Week Archive. PV29&lt;/title&gt;&lt;/titles&gt;&lt;dates&gt;&lt;year&gt;2019&lt;/year&gt;&lt;/dates&gt;&lt;urls&gt;&lt;related-urls&gt;&lt;url&gt;https://www.acs.org/molecule-of-the-week/archive/p/pigment-violet-29.html&lt;/url&gt;&lt;/related-urls&gt;&lt;/urls&gt;&lt;/record&gt;&lt;/Cite&gt;&lt;/EndNote&gt;</w:instrText>
        </w:r>
        <w:r w:rsidR="003D6084">
          <w:rPr>
            <w:lang w:val="en-US"/>
          </w:rPr>
          <w:fldChar w:fldCharType="separate"/>
        </w:r>
        <w:r w:rsidR="003D6084">
          <w:rPr>
            <w:noProof/>
            <w:lang w:val="en-US"/>
          </w:rPr>
          <w:t>American Chemical Society 2019</w:t>
        </w:r>
        <w:r w:rsidR="003D6084">
          <w:rPr>
            <w:lang w:val="en-US"/>
          </w:rPr>
          <w:fldChar w:fldCharType="end"/>
        </w:r>
      </w:hyperlink>
      <w:r w:rsidR="007B4B87">
        <w:rPr>
          <w:lang w:val="en-US"/>
        </w:rPr>
        <w:t>)</w:t>
      </w:r>
      <w:r w:rsidRPr="4BA86F39">
        <w:rPr>
          <w:lang w:val="en-US"/>
        </w:rPr>
        <w:t>. </w:t>
      </w:r>
    </w:p>
    <w:p w:rsidR="009723D6" w:rsidRPr="00A95A85" w:rsidP="009723D6" w14:paraId="4F320862" w14:textId="77777777">
      <w:pPr>
        <w:pStyle w:val="Caption"/>
      </w:pPr>
    </w:p>
    <w:tbl>
      <w:tblPr>
        <w:tblStyle w:val="TableGrid"/>
        <w:tblW w:w="5000" w:type="pct"/>
        <w:tblLayout w:type="fixed"/>
        <w:tblCellMar>
          <w:left w:w="0" w:type="dxa"/>
          <w:right w:w="0" w:type="dxa"/>
        </w:tblCellMar>
        <w:tblLook w:val="04A0"/>
      </w:tblPr>
      <w:tblGrid>
        <w:gridCol w:w="9000"/>
      </w:tblGrid>
      <w:tr w14:paraId="222BBC23" w14:textId="77777777" w:rsidTr="00CA0464">
        <w:tblPrEx>
          <w:tblW w:w="5000" w:type="pct"/>
          <w:tblLayout w:type="fixed"/>
          <w:tblCellMar>
            <w:left w:w="0" w:type="dxa"/>
            <w:right w:w="0" w:type="dxa"/>
          </w:tblCellMar>
          <w:tblLook w:val="04A0"/>
        </w:tblPrEx>
        <w:trPr>
          <w:trHeight w:val="233"/>
        </w:trPr>
        <w:tc>
          <w:tcPr>
            <w:tcW w:w="5000" w:type="pct"/>
            <w:tcBorders>
              <w:top w:val="nil"/>
              <w:left w:val="nil"/>
              <w:bottom w:val="single" w:sz="4" w:space="0" w:color="auto"/>
              <w:right w:val="nil"/>
            </w:tcBorders>
          </w:tcPr>
          <w:p w:rsidR="009723D6" w:rsidRPr="00A95A85" w:rsidP="00CA0464" w14:paraId="4D787BA1" w14:textId="199A283D">
            <w:pPr>
              <w:pStyle w:val="TableTitleA"/>
              <w:rPr>
                <w:noProof/>
              </w:rPr>
            </w:pPr>
            <w:r w:rsidRPr="00A95A85">
              <w:t xml:space="preserve">Figure </w:t>
            </w:r>
            <w:r>
              <w:fldChar w:fldCharType="begin" w:fldLock="1"/>
            </w:r>
            <w:r>
              <w:instrText>STYLEREF 1 \s</w:instrText>
            </w:r>
            <w:r>
              <w:fldChar w:fldCharType="separate"/>
            </w:r>
            <w:r w:rsidR="00735BBC">
              <w:rPr>
                <w:noProof/>
              </w:rPr>
              <w:t>1</w:t>
            </w:r>
            <w:r>
              <w:fldChar w:fldCharType="end"/>
            </w:r>
            <w:r w:rsidRPr="00A95A85">
              <w:noBreakHyphen/>
            </w:r>
            <w:r>
              <w:fldChar w:fldCharType="begin" w:fldLock="1"/>
            </w:r>
            <w:r>
              <w:instrText>SEQ Figure \* ARABIC \s 1</w:instrText>
            </w:r>
            <w:r>
              <w:fldChar w:fldCharType="separate"/>
            </w:r>
            <w:r w:rsidR="00735BBC">
              <w:rPr>
                <w:noProof/>
              </w:rPr>
              <w:t>1</w:t>
            </w:r>
            <w:r>
              <w:fldChar w:fldCharType="end"/>
            </w:r>
            <w:r w:rsidRPr="00A95A85">
              <w:t>: Shades of C.I. Pigment Violet 29</w:t>
            </w:r>
          </w:p>
        </w:tc>
      </w:tr>
      <w:tr w14:paraId="7ED55661" w14:textId="77777777" w:rsidTr="00CA0464">
        <w:tblPrEx>
          <w:tblW w:w="5000" w:type="pct"/>
          <w:tblLayout w:type="fixed"/>
          <w:tblCellMar>
            <w:left w:w="0" w:type="dxa"/>
            <w:right w:w="0" w:type="dxa"/>
          </w:tblCellMar>
          <w:tblLook w:val="04A0"/>
        </w:tblPrEx>
        <w:trPr>
          <w:trHeight w:val="1520"/>
        </w:trPr>
        <w:tc>
          <w:tcPr>
            <w:tcW w:w="5000" w:type="pct"/>
            <w:tcBorders>
              <w:top w:val="single" w:sz="4" w:space="0" w:color="auto"/>
            </w:tcBorders>
          </w:tcPr>
          <w:p w:rsidR="009723D6" w:rsidRPr="00A95A85" w:rsidP="00CA0464" w14:paraId="02DD4CBB" w14:textId="77777777">
            <w:pPr>
              <w:pStyle w:val="TableText"/>
              <w:rPr>
                <w:rFonts w:ascii="Open Sans" w:hAnsi="Open Sans" w:cs="Open Sans"/>
                <w:color w:val="333333"/>
                <w:shd w:val="clear" w:color="auto" w:fill="FFFFFF"/>
              </w:rPr>
            </w:pPr>
            <w:r w:rsidRPr="00A95A85">
              <w:rPr>
                <w:noProof/>
              </w:rPr>
              <w:drawing>
                <wp:inline distT="0" distB="0" distL="0" distR="0">
                  <wp:extent cx="5800478" cy="926816"/>
                  <wp:effectExtent l="0" t="0" r="0" b="6985"/>
                  <wp:docPr id="551203585" name="Picture 551203585" descr="A close-up of a paint s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03585" name="Picture 551203585" descr="A close-up of a paint swatch"/>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rcRect t="38800" b="45222"/>
                          <a:stretch>
                            <a:fillRect/>
                          </a:stretch>
                        </pic:blipFill>
                        <pic:spPr bwMode="auto">
                          <a:xfrm>
                            <a:off x="0" y="0"/>
                            <a:ext cx="5814477" cy="92905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tc>
      </w:tr>
      <w:tr w14:paraId="4B4D98E5" w14:textId="77777777" w:rsidTr="00CA0464">
        <w:tblPrEx>
          <w:tblW w:w="5000" w:type="pct"/>
          <w:tblLayout w:type="fixed"/>
          <w:tblCellMar>
            <w:left w:w="0" w:type="dxa"/>
            <w:right w:w="0" w:type="dxa"/>
          </w:tblCellMar>
          <w:tblLook w:val="04A0"/>
        </w:tblPrEx>
        <w:tc>
          <w:tcPr>
            <w:tcW w:w="5000" w:type="pct"/>
          </w:tcPr>
          <w:p w:rsidR="009723D6" w:rsidRPr="00A95A85" w:rsidP="00CA0464" w14:paraId="595FCD23" w14:textId="7219BBAD">
            <w:pPr>
              <w:pStyle w:val="TableNote0"/>
            </w:pPr>
            <w:r w:rsidRPr="00A95A85">
              <w:t xml:space="preserve">Source: </w:t>
            </w:r>
            <w:hyperlink w:anchor="_ENREF_46" w:tooltip="The Paint Spot, 2022 #46" w:history="1">
              <w:r w:rsidR="003D6084">
                <w:fldChar w:fldCharType="begin" w:fldLock="1"/>
              </w:r>
              <w:r w:rsidR="003D6084">
                <w:instrText xml:space="preserve"> ADDIN EN.CITE &lt;EndNote&gt;&lt;Cite&gt;&lt;Author&gt;The Paint Spot&lt;/Author&gt;&lt;Year&gt;2022&lt;/Year&gt;&lt;RecNum&gt;46&lt;/RecNum&gt;&lt;DisplayText&gt;The Paint Spot 2022&lt;/DisplayText&gt;&lt;record&gt;&lt;rec-number&gt;46&lt;/rec-number&gt;&lt;foreign-keys&gt;&lt;key app="EN" db-id="2apzr05radv9fjet2w6xxwdlz5e9vwfxredw" timestamp="1730757315"&gt;46&lt;/key&gt;&lt;/foreign-keys&gt;&lt;ref-type name="Web Page"&gt;12&lt;/ref-type&gt;&lt;contributors&gt;&lt;authors&gt;&lt;author&gt;The Paint Spot,&lt;/author&gt;&lt;/authors&gt;&lt;/contributors&gt;&lt;titles&gt;&lt;title&gt;DS057 Perylene Violet&lt;/title&gt;&lt;short-title&gt;DS057 Perylene Violet.&lt;/short-title&gt;&lt;/titles&gt;&lt;volume&gt;2022&lt;/volume&gt;&lt;number&gt;April 19&lt;/number&gt;&lt;dates&gt;&lt;year&gt;2022&lt;/year&gt;&lt;/dates&gt;&lt;urls&gt;&lt;related-urls&gt;&lt;url&gt;https://paintspot.ca/art-supplies/uncategorized/ds057-perylene-violet/&lt;/url&gt;&lt;/related-urls&gt;&lt;/urls&gt;&lt;/record&gt;&lt;/Cite&gt;&lt;/EndNote&gt;</w:instrText>
              </w:r>
              <w:r w:rsidR="003D6084">
                <w:fldChar w:fldCharType="separate"/>
              </w:r>
              <w:r w:rsidR="003D6084">
                <w:rPr>
                  <w:noProof/>
                </w:rPr>
                <w:t>The Paint Spot 2022</w:t>
              </w:r>
              <w:r w:rsidR="003D6084">
                <w:fldChar w:fldCharType="end"/>
              </w:r>
            </w:hyperlink>
          </w:p>
        </w:tc>
      </w:tr>
    </w:tbl>
    <w:p w:rsidR="009723D6" w:rsidRPr="00A95A85" w:rsidP="009723D6" w14:paraId="7AEF7995" w14:textId="77777777">
      <w:pPr>
        <w:pStyle w:val="BodyText"/>
      </w:pPr>
    </w:p>
    <w:p w:rsidR="009723D6" w:rsidP="009723D6" w14:paraId="05396383" w14:textId="58AC7B97">
      <w:pPr>
        <w:pStyle w:val="BodyText"/>
        <w:rPr>
          <w:lang w:val="en-US"/>
        </w:rPr>
      </w:pPr>
      <w:r w:rsidRPr="4BA86F39">
        <w:rPr>
          <w:lang w:val="en-US"/>
        </w:rPr>
        <w:t>The name “C.I. Pigment Violet 29” is assigned, copyrighted and maintained by the Society of Dyers and Colourists and the American Association of Textile Colorists and Chemists. As documented in EPA’s final risk evaluation</w:t>
      </w:r>
      <w:r w:rsidR="008D2C17">
        <w:rPr>
          <w:lang w:val="en-US"/>
        </w:rPr>
        <w:t xml:space="preserve"> (</w:t>
      </w:r>
      <w:hyperlink w:anchor="_ENREF_65" w:tooltip="U.S. Environmental Protection Agency (EPA), 2021 #61" w:history="1">
        <w:r w:rsidRPr="00CA6588" w:rsidR="003D6084">
          <w:fldChar w:fldCharType="begin" w:fldLock="1"/>
        </w:r>
        <w:r w:rsidR="003D6084">
          <w:instrText xml:space="preserve"> ADDIN EN.CITE &lt;EndNote&gt;&lt;Cite ExcludeAuth="1"&gt;&lt;Author&gt;U.S. Environmental Protection Agency (EPA)&lt;/Author&gt;&lt;Year&gt;2021&lt;/Year&gt;&lt;RecNum&gt;61&lt;/RecNum&gt;&lt;Prefix&gt;EPA &lt;/Prefix&gt;&lt;DisplayText&gt;EPA 2021e&lt;/DisplayText&gt;&lt;record&gt;&lt;rec-number&gt;61&lt;/rec-number&gt;&lt;foreign-keys&gt;&lt;key app="EN" db-id="2apzr05radv9fjet2w6xxwdlz5e9vwfxredw" timestamp="1730757315"&gt;61&lt;/key&gt;&lt;/foreign-keys&gt;&lt;ref-type name="Generic"&gt;13&lt;/ref-type&gt;&lt;contributors&gt;&lt;authors&gt;&lt;author&gt;U.S. Environmental Protection Agency (EPA),&lt;/author&gt;&lt;/authors&gt;&lt;subsidiary-authors&gt;&lt;author&gt;Office of Chemical Safety and Pollution Prevention&lt;/author&gt;&lt;/subsidiary-authors&gt;&lt;/contributors&gt;&lt;titles&gt;&lt;title&gt;Risk Evaluation for C.I. Pigment Violet 29 (Anthra[2,1,9-def:6,5,10-d&amp;apos;e&amp;apos;f&amp;apos;]diisoquinoline-1,3,8,10(2H,9H)-tetrone)&lt;/title&gt;&lt;/titles&gt;&lt;number&gt;# 740-R-18-015&lt;/number&gt;&lt;dates&gt;&lt;year&gt;2021&lt;/year&gt;&lt;/dates&gt;&lt;urls&gt;&lt;/urls&gt;&lt;/record&gt;&lt;/Cite&gt;&lt;/EndNote&gt;</w:instrText>
        </w:r>
        <w:r w:rsidRPr="00CA6588" w:rsidR="003D6084">
          <w:fldChar w:fldCharType="separate"/>
        </w:r>
        <w:r w:rsidR="003D6084">
          <w:rPr>
            <w:noProof/>
          </w:rPr>
          <w:t>EPA 2021e</w:t>
        </w:r>
        <w:r w:rsidRPr="00CA6588" w:rsidR="003D6084">
          <w:fldChar w:fldCharType="end"/>
        </w:r>
      </w:hyperlink>
      <w:r w:rsidR="008D2C17">
        <w:rPr>
          <w:lang w:val="en-US"/>
        </w:rPr>
        <w:t>)</w:t>
      </w:r>
      <w:r w:rsidRPr="4BA86F39">
        <w:rPr>
          <w:lang w:val="en-US"/>
        </w:rPr>
        <w:t>, PV29 is considered a high-performance pigment, known for its high color strength, weather fastness and heat stability. PV29 is primarily processed as a site-limited intermediate for the creation or adjustment to other perylene pigments. The pigment is also used in paints, coatings, and plastics.</w:t>
      </w:r>
    </w:p>
    <w:p w:rsidR="005F7EEC" w:rsidRPr="00CA6588" w:rsidP="005F7EEC" w14:paraId="7C45AD07" w14:textId="088DEC9C">
      <w:pPr>
        <w:pStyle w:val="BodyText"/>
      </w:pPr>
      <w:r w:rsidRPr="4BA86F39">
        <w:rPr>
          <w:lang w:val="en-US"/>
        </w:rPr>
        <w:t>TSCA Section 3 defines a chemical’s conditions of use (COU) as ‘‘the circumstances, as determined by the Administrator, under which a chemical substance is intended, known, or reasonably foreseen to be manufactured, processed, distributed in commerce, used, or disposed of.” Based on research and public comments, EPA determined the COUs for PV29, as listed in</w:t>
      </w:r>
      <w:r w:rsidR="00386285">
        <w:t xml:space="preserve"> </w:t>
      </w:r>
      <w:r w:rsidR="00386285">
        <w:fldChar w:fldCharType="begin" w:fldLock="1"/>
      </w:r>
      <w:r w:rsidR="00386285">
        <w:instrText xml:space="preserve"> REF _Ref181028139 \h </w:instrText>
      </w:r>
      <w:r w:rsidR="00386285">
        <w:fldChar w:fldCharType="separate"/>
      </w:r>
      <w:r w:rsidR="00735BBC">
        <w:t>Table ES-</w:t>
      </w:r>
      <w:r w:rsidR="00735BBC">
        <w:rPr>
          <w:noProof/>
        </w:rPr>
        <w:t>1</w:t>
      </w:r>
      <w:r w:rsidR="00386285">
        <w:fldChar w:fldCharType="end"/>
      </w:r>
      <w:r w:rsidRPr="4BA86F39">
        <w:rPr>
          <w:lang w:val="en-US"/>
        </w:rPr>
        <w:t xml:space="preserve">. As detailed in EPA’s </w:t>
      </w:r>
      <w:r w:rsidRPr="4BA86F39">
        <w:rPr>
          <w:lang w:val="en-US"/>
        </w:rPr>
        <w:t>risk evaluation</w:t>
      </w:r>
      <w:r w:rsidR="008D2C17">
        <w:rPr>
          <w:lang w:val="en-US"/>
        </w:rPr>
        <w:t xml:space="preserve"> (</w:t>
      </w:r>
      <w:hyperlink w:anchor="_ENREF_65" w:tooltip="U.S. Environmental Protection Agency (EPA), 2021 #61" w:history="1">
        <w:r w:rsidRPr="00CA6588" w:rsidR="003D6084">
          <w:fldChar w:fldCharType="begin" w:fldLock="1"/>
        </w:r>
        <w:r w:rsidR="003D6084">
          <w:instrText xml:space="preserve"> ADDIN EN.CITE &lt;EndNote&gt;&lt;Cite ExcludeAuth="1"&gt;&lt;Author&gt;U.S. Environmental Protection Agency (EPA)&lt;/Author&gt;&lt;Year&gt;2021&lt;/Year&gt;&lt;RecNum&gt;61&lt;/RecNum&gt;&lt;Prefix&gt;EPA &lt;/Prefix&gt;&lt;DisplayText&gt;EPA 2021e&lt;/DisplayText&gt;&lt;record&gt;&lt;rec-number&gt;61&lt;/rec-number&gt;&lt;foreign-keys&gt;&lt;key app="EN" db-id="2apzr05radv9fjet2w6xxwdlz5e9vwfxredw" timestamp="1730757315"&gt;61&lt;/key&gt;&lt;/foreign-keys&gt;&lt;ref-type name="Generic"&gt;13&lt;/ref-type&gt;&lt;contributors&gt;&lt;authors&gt;&lt;author&gt;U.S. Environmental Protection Agency (EPA),&lt;/author&gt;&lt;/authors&gt;&lt;subsidiary-authors&gt;&lt;author&gt;Office of Chemical Safety and Pollution Prevention&lt;/author&gt;&lt;/subsidiary-authors&gt;&lt;/contributors&gt;&lt;titles&gt;&lt;title&gt;Risk Evaluation for C.I. Pigment Violet 29 (Anthra[2,1,9-def:6,5,10-d&amp;apos;e&amp;apos;f&amp;apos;]diisoquinoline-1,3,8,10(2H,9H)-tetrone)&lt;/title&gt;&lt;/titles&gt;&lt;number&gt;# 740-R-18-015&lt;/number&gt;&lt;dates&gt;&lt;year&gt;2021&lt;/year&gt;&lt;/dates&gt;&lt;urls&gt;&lt;/urls&gt;&lt;/record&gt;&lt;/Cite&gt;&lt;/EndNote&gt;</w:instrText>
        </w:r>
        <w:r w:rsidRPr="00CA6588" w:rsidR="003D6084">
          <w:fldChar w:fldCharType="separate"/>
        </w:r>
        <w:r w:rsidR="003D6084">
          <w:rPr>
            <w:noProof/>
          </w:rPr>
          <w:t>EPA 2021e</w:t>
        </w:r>
        <w:r w:rsidRPr="00CA6588" w:rsidR="003D6084">
          <w:fldChar w:fldCharType="end"/>
        </w:r>
      </w:hyperlink>
      <w:r w:rsidR="008D2C17">
        <w:rPr>
          <w:lang w:val="en-US"/>
        </w:rPr>
        <w:t>)</w:t>
      </w:r>
      <w:r w:rsidRPr="4BA86F39">
        <w:rPr>
          <w:lang w:val="en-US"/>
        </w:rPr>
        <w:t xml:space="preserve">, 10 out of 14 identified COUs were designated as presenting an unreasonable risk. </w:t>
      </w:r>
      <w:r>
        <w:fldChar w:fldCharType="begin" w:fldLock="1"/>
      </w:r>
      <w:r>
        <w:instrText xml:space="preserve"> REF _Ref180505811 \h </w:instrText>
      </w:r>
      <w:r>
        <w:fldChar w:fldCharType="separate"/>
      </w:r>
      <w:r w:rsidRPr="00A95A85" w:rsidR="00735BBC">
        <w:t xml:space="preserve">Figure </w:t>
      </w:r>
      <w:r w:rsidR="00735BBC">
        <w:rPr>
          <w:noProof/>
        </w:rPr>
        <w:t>1</w:t>
      </w:r>
      <w:r w:rsidRPr="00A95A85" w:rsidR="00735BBC">
        <w:noBreakHyphen/>
      </w:r>
      <w:r w:rsidR="00735BBC">
        <w:rPr>
          <w:noProof/>
        </w:rPr>
        <w:t>2</w:t>
      </w:r>
      <w:r>
        <w:fldChar w:fldCharType="end"/>
      </w:r>
      <w:r w:rsidRPr="4BA86F39">
        <w:rPr>
          <w:lang w:val="en-US"/>
        </w:rPr>
        <w:t xml:space="preserve"> also presents a summary of the COUs and their corresponding risk determinations.</w:t>
      </w:r>
    </w:p>
    <w:p w:rsidR="005F7EEC" w:rsidRPr="00A95A85" w:rsidP="005F7EEC" w14:paraId="180BE9A5" w14:textId="77777777">
      <w:pPr>
        <w:pStyle w:val="Caption"/>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6"/>
        <w:gridCol w:w="2709"/>
        <w:gridCol w:w="3330"/>
        <w:gridCol w:w="1765"/>
      </w:tblGrid>
      <w:tr w14:paraId="0A9B5507" w14:textId="77777777" w:rsidTr="00A032E7">
        <w:tblPrEx>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blHeader/>
        </w:trPr>
        <w:tc>
          <w:tcPr>
            <w:tcW w:w="9185" w:type="dxa"/>
            <w:gridSpan w:val="4"/>
            <w:tcBorders>
              <w:top w:val="nil"/>
              <w:left w:val="nil"/>
              <w:bottom w:val="single" w:sz="4" w:space="0" w:color="auto"/>
              <w:right w:val="nil"/>
            </w:tcBorders>
            <w:shd w:val="clear" w:color="auto" w:fill="auto"/>
            <w:vAlign w:val="center"/>
          </w:tcPr>
          <w:p w:rsidR="005F7EEC" w:rsidRPr="00A95A85" w:rsidP="00CA0464" w14:paraId="1C0F1B69" w14:textId="6A0D7666">
            <w:pPr>
              <w:pStyle w:val="TableTitleA"/>
            </w:pPr>
            <w:bookmarkStart w:id="3" w:name="_Ref181028139"/>
            <w:bookmarkStart w:id="4" w:name="_Toc184299539"/>
            <w:r>
              <w:t>Table ES-</w:t>
            </w:r>
            <w:r>
              <w:fldChar w:fldCharType="begin" w:fldLock="1"/>
            </w:r>
            <w:r>
              <w:instrText>SEQ Table_ES- \* ARABIC</w:instrText>
            </w:r>
            <w:r>
              <w:fldChar w:fldCharType="separate"/>
            </w:r>
            <w:r w:rsidR="00735BBC">
              <w:rPr>
                <w:noProof/>
              </w:rPr>
              <w:t>1</w:t>
            </w:r>
            <w:r>
              <w:fldChar w:fldCharType="end"/>
            </w:r>
            <w:bookmarkEnd w:id="3"/>
            <w:r w:rsidRPr="00A95A85">
              <w:t xml:space="preserve">: </w:t>
            </w:r>
            <w:r w:rsidRPr="00A95A85">
              <w:t>Categories and Subcategories of Conditions of Use Included in the Risk Evaluation</w:t>
            </w:r>
            <w:bookmarkEnd w:id="4"/>
          </w:p>
        </w:tc>
      </w:tr>
      <w:tr w14:paraId="3F505955" w14:textId="77777777" w:rsidTr="00A032E7">
        <w:tblPrEx>
          <w:tblW w:w="5000" w:type="pct"/>
          <w:tblInd w:w="-5" w:type="dxa"/>
          <w:tblLayout w:type="fixed"/>
          <w:tblLook w:val="04A0"/>
        </w:tblPrEx>
        <w:trPr>
          <w:cantSplit/>
          <w:tblHeader/>
        </w:trPr>
        <w:tc>
          <w:tcPr>
            <w:tcW w:w="7385" w:type="dxa"/>
            <w:gridSpan w:val="3"/>
            <w:tcBorders>
              <w:top w:val="single" w:sz="4" w:space="0" w:color="auto"/>
            </w:tcBorders>
            <w:shd w:val="clear" w:color="auto" w:fill="013E5B"/>
            <w:vAlign w:val="center"/>
            <w:hideMark/>
          </w:tcPr>
          <w:p w:rsidR="005F7EEC" w:rsidRPr="00A95A85" w:rsidP="00CA0464" w14:paraId="0419A4C5" w14:textId="77777777">
            <w:pPr>
              <w:pStyle w:val="TableSubtitle"/>
            </w:pPr>
            <w:r w:rsidRPr="00A95A85">
              <w:t>Condition of Use</w:t>
            </w:r>
          </w:p>
        </w:tc>
        <w:tc>
          <w:tcPr>
            <w:tcW w:w="1800" w:type="dxa"/>
            <w:vMerge w:val="restart"/>
            <w:tcBorders>
              <w:top w:val="single" w:sz="4" w:space="0" w:color="auto"/>
            </w:tcBorders>
            <w:shd w:val="clear" w:color="auto" w:fill="013E5B"/>
            <w:vAlign w:val="center"/>
            <w:hideMark/>
          </w:tcPr>
          <w:p w:rsidR="005F7EEC" w:rsidRPr="00A95A85" w:rsidP="00CA0464" w14:paraId="66D2C805" w14:textId="77777777">
            <w:pPr>
              <w:pStyle w:val="TableSubtitle"/>
            </w:pPr>
            <w:r w:rsidRPr="00A95A85">
              <w:t>Unreasonable risk?</w:t>
            </w:r>
          </w:p>
        </w:tc>
      </w:tr>
      <w:tr w14:paraId="114AB3F9" w14:textId="77777777" w:rsidTr="00A032E7">
        <w:tblPrEx>
          <w:tblW w:w="5000" w:type="pct"/>
          <w:tblInd w:w="-5" w:type="dxa"/>
          <w:tblLayout w:type="fixed"/>
          <w:tblLook w:val="04A0"/>
        </w:tblPrEx>
        <w:trPr>
          <w:cantSplit/>
          <w:tblHeader/>
        </w:trPr>
        <w:tc>
          <w:tcPr>
            <w:tcW w:w="1218" w:type="dxa"/>
            <w:shd w:val="clear" w:color="auto" w:fill="013E5B"/>
            <w:noWrap/>
            <w:hideMark/>
          </w:tcPr>
          <w:p w:rsidR="005F7EEC" w:rsidRPr="00A95A85" w:rsidP="00CA0464" w14:paraId="087FF2D7" w14:textId="77777777">
            <w:pPr>
              <w:pStyle w:val="TableSubtitle"/>
            </w:pPr>
            <w:r w:rsidRPr="00A95A85">
              <w:t>Stage</w:t>
            </w:r>
          </w:p>
        </w:tc>
        <w:tc>
          <w:tcPr>
            <w:tcW w:w="2766" w:type="dxa"/>
            <w:shd w:val="clear" w:color="auto" w:fill="013E5B"/>
            <w:hideMark/>
          </w:tcPr>
          <w:p w:rsidR="005F7EEC" w:rsidRPr="00A95A85" w:rsidP="00CA0464" w14:paraId="2F93D73B" w14:textId="77777777">
            <w:pPr>
              <w:pStyle w:val="TableSubtitle"/>
            </w:pPr>
            <w:r w:rsidRPr="00A95A85">
              <w:t>Category</w:t>
            </w:r>
          </w:p>
        </w:tc>
        <w:tc>
          <w:tcPr>
            <w:tcW w:w="3401" w:type="dxa"/>
            <w:shd w:val="clear" w:color="auto" w:fill="013E5B"/>
            <w:hideMark/>
          </w:tcPr>
          <w:p w:rsidR="005F7EEC" w:rsidRPr="00A95A85" w:rsidP="00CA0464" w14:paraId="55B4C3F4" w14:textId="77777777">
            <w:pPr>
              <w:pStyle w:val="TableSubtitle"/>
            </w:pPr>
            <w:r w:rsidRPr="00A95A85">
              <w:t>Sub-Category</w:t>
            </w:r>
          </w:p>
        </w:tc>
        <w:tc>
          <w:tcPr>
            <w:tcW w:w="1800" w:type="dxa"/>
            <w:vMerge/>
            <w:shd w:val="clear" w:color="auto" w:fill="013E5B"/>
            <w:hideMark/>
          </w:tcPr>
          <w:p w:rsidR="005F7EEC" w:rsidRPr="00A95A85" w:rsidP="00CA0464" w14:paraId="12CE5976" w14:textId="77777777">
            <w:pPr>
              <w:pStyle w:val="TableSubtitle"/>
            </w:pPr>
          </w:p>
        </w:tc>
      </w:tr>
      <w:tr w14:paraId="7A028EAE" w14:textId="77777777" w:rsidTr="00A032E7">
        <w:tblPrEx>
          <w:tblW w:w="5000" w:type="pct"/>
          <w:tblInd w:w="-5" w:type="dxa"/>
          <w:tblLayout w:type="fixed"/>
          <w:tblLook w:val="04A0"/>
        </w:tblPrEx>
        <w:trPr>
          <w:cantSplit/>
        </w:trPr>
        <w:tc>
          <w:tcPr>
            <w:tcW w:w="1218" w:type="dxa"/>
            <w:vMerge w:val="restart"/>
            <w:shd w:val="clear" w:color="auto" w:fill="auto"/>
            <w:noWrap/>
            <w:hideMark/>
          </w:tcPr>
          <w:p w:rsidR="005F7EEC" w:rsidRPr="00A95A85" w:rsidP="00CA0464" w14:paraId="79E72275" w14:textId="77777777">
            <w:pPr>
              <w:pStyle w:val="LTableTextAbt"/>
            </w:pPr>
            <w:r w:rsidRPr="00A95A85">
              <w:t>Manufacture</w:t>
            </w:r>
          </w:p>
        </w:tc>
        <w:tc>
          <w:tcPr>
            <w:tcW w:w="2766" w:type="dxa"/>
            <w:shd w:val="clear" w:color="auto" w:fill="F2F2F2" w:themeFill="background1" w:themeFillShade="F2"/>
            <w:hideMark/>
          </w:tcPr>
          <w:p w:rsidR="005F7EEC" w:rsidRPr="00A95A85" w:rsidP="00CA0464" w14:paraId="3321DBE4" w14:textId="77777777">
            <w:pPr>
              <w:pStyle w:val="LTableTextAbt"/>
            </w:pPr>
            <w:r w:rsidRPr="00A95A85">
              <w:t>Domestic manufactu</w:t>
            </w:r>
            <w:r>
              <w:t>re</w:t>
            </w:r>
          </w:p>
        </w:tc>
        <w:tc>
          <w:tcPr>
            <w:tcW w:w="3401" w:type="dxa"/>
            <w:shd w:val="clear" w:color="auto" w:fill="F2F2F2" w:themeFill="background1" w:themeFillShade="F2"/>
            <w:hideMark/>
          </w:tcPr>
          <w:p w:rsidR="005F7EEC" w:rsidRPr="00FA67A2" w:rsidP="00CA0464" w14:paraId="34FD7732" w14:textId="77777777">
            <w:pPr>
              <w:pStyle w:val="LTableTextAbt"/>
            </w:pPr>
            <w:r w:rsidRPr="00FA67A2">
              <w:t>Domestic manufacture</w:t>
            </w:r>
          </w:p>
        </w:tc>
        <w:tc>
          <w:tcPr>
            <w:tcW w:w="1800" w:type="dxa"/>
            <w:shd w:val="clear" w:color="auto" w:fill="F2F2F2" w:themeFill="background1" w:themeFillShade="F2"/>
            <w:hideMark/>
          </w:tcPr>
          <w:p w:rsidR="005F7EEC" w:rsidRPr="006B2051" w:rsidP="00CA0464" w14:paraId="7AD289EF" w14:textId="77777777">
            <w:pPr>
              <w:pStyle w:val="CTableTextAbt"/>
              <w:rPr>
                <w:b/>
                <w:bCs w:val="0"/>
              </w:rPr>
            </w:pPr>
            <w:r w:rsidRPr="006B2051">
              <w:rPr>
                <w:b/>
                <w:bCs w:val="0"/>
              </w:rPr>
              <w:t>yes</w:t>
            </w:r>
          </w:p>
        </w:tc>
      </w:tr>
      <w:tr w14:paraId="4A77883A" w14:textId="77777777" w:rsidTr="00A032E7">
        <w:tblPrEx>
          <w:tblW w:w="5000" w:type="pct"/>
          <w:tblInd w:w="-5" w:type="dxa"/>
          <w:tblLayout w:type="fixed"/>
          <w:tblLook w:val="04A0"/>
        </w:tblPrEx>
        <w:trPr>
          <w:cantSplit/>
        </w:trPr>
        <w:tc>
          <w:tcPr>
            <w:tcW w:w="1218" w:type="dxa"/>
            <w:vMerge/>
            <w:hideMark/>
          </w:tcPr>
          <w:p w:rsidR="005F7EEC" w:rsidRPr="00A95A85" w:rsidP="00CA0464" w14:paraId="4F28A8F7" w14:textId="77777777">
            <w:pPr>
              <w:pStyle w:val="LTableTextAbt"/>
            </w:pPr>
          </w:p>
        </w:tc>
        <w:tc>
          <w:tcPr>
            <w:tcW w:w="2766" w:type="dxa"/>
            <w:shd w:val="clear" w:color="auto" w:fill="F2F2F2" w:themeFill="background1" w:themeFillShade="F2"/>
            <w:hideMark/>
          </w:tcPr>
          <w:p w:rsidR="005F7EEC" w:rsidRPr="00A95A85" w:rsidP="00CA0464" w14:paraId="65E6DA07" w14:textId="77777777">
            <w:pPr>
              <w:pStyle w:val="LTableTextAbt"/>
            </w:pPr>
            <w:r w:rsidRPr="00A95A85">
              <w:t>Import</w:t>
            </w:r>
          </w:p>
        </w:tc>
        <w:tc>
          <w:tcPr>
            <w:tcW w:w="3401" w:type="dxa"/>
            <w:shd w:val="clear" w:color="auto" w:fill="F2F2F2" w:themeFill="background1" w:themeFillShade="F2"/>
            <w:hideMark/>
          </w:tcPr>
          <w:p w:rsidR="005F7EEC" w:rsidRPr="00FA67A2" w:rsidP="00CA0464" w14:paraId="644737A0" w14:textId="77777777">
            <w:pPr>
              <w:pStyle w:val="LTableTextAbt"/>
            </w:pPr>
            <w:r w:rsidRPr="00FA67A2">
              <w:t>Import</w:t>
            </w:r>
          </w:p>
        </w:tc>
        <w:tc>
          <w:tcPr>
            <w:tcW w:w="1800" w:type="dxa"/>
            <w:shd w:val="clear" w:color="auto" w:fill="F2F2F2" w:themeFill="background1" w:themeFillShade="F2"/>
            <w:hideMark/>
          </w:tcPr>
          <w:p w:rsidR="005F7EEC" w:rsidRPr="006B2051" w:rsidP="00CA0464" w14:paraId="1B2DE359" w14:textId="77777777">
            <w:pPr>
              <w:pStyle w:val="CTableTextAbt"/>
              <w:rPr>
                <w:b/>
                <w:bCs w:val="0"/>
              </w:rPr>
            </w:pPr>
            <w:r w:rsidRPr="006B2051">
              <w:rPr>
                <w:b/>
                <w:bCs w:val="0"/>
              </w:rPr>
              <w:t>yes</w:t>
            </w:r>
          </w:p>
        </w:tc>
      </w:tr>
      <w:tr w14:paraId="2BD41861" w14:textId="77777777" w:rsidTr="00A032E7">
        <w:tblPrEx>
          <w:tblW w:w="5000" w:type="pct"/>
          <w:tblInd w:w="-5" w:type="dxa"/>
          <w:tblLayout w:type="fixed"/>
          <w:tblLook w:val="04A0"/>
        </w:tblPrEx>
        <w:trPr>
          <w:cantSplit/>
        </w:trPr>
        <w:tc>
          <w:tcPr>
            <w:tcW w:w="1218" w:type="dxa"/>
            <w:vMerge w:val="restart"/>
            <w:shd w:val="clear" w:color="auto" w:fill="auto"/>
            <w:noWrap/>
            <w:hideMark/>
          </w:tcPr>
          <w:p w:rsidR="005F7EEC" w:rsidRPr="00A95A85" w:rsidP="00CA0464" w14:paraId="66B1EA11" w14:textId="77777777">
            <w:pPr>
              <w:pStyle w:val="LTableTextAbt"/>
            </w:pPr>
            <w:r w:rsidRPr="00A95A85">
              <w:t>Processing</w:t>
            </w:r>
          </w:p>
        </w:tc>
        <w:tc>
          <w:tcPr>
            <w:tcW w:w="2766" w:type="dxa"/>
            <w:vMerge w:val="restart"/>
            <w:shd w:val="clear" w:color="auto" w:fill="F2F2F2" w:themeFill="background1" w:themeFillShade="F2"/>
            <w:hideMark/>
          </w:tcPr>
          <w:p w:rsidR="005F7EEC" w:rsidRPr="00A95A85" w:rsidP="00CA0464" w14:paraId="526D7593" w14:textId="77777777">
            <w:pPr>
              <w:pStyle w:val="LTableTextAbt"/>
            </w:pPr>
            <w:r w:rsidRPr="00A95A85">
              <w:t>Incorporation into formulation, mixture or reaction products</w:t>
            </w:r>
          </w:p>
        </w:tc>
        <w:tc>
          <w:tcPr>
            <w:tcW w:w="3401" w:type="dxa"/>
            <w:shd w:val="clear" w:color="auto" w:fill="F2F2F2" w:themeFill="background1" w:themeFillShade="F2"/>
            <w:hideMark/>
          </w:tcPr>
          <w:p w:rsidR="005F7EEC" w:rsidRPr="00FA67A2" w:rsidP="00CA0464" w14:paraId="4C447BB7" w14:textId="77777777">
            <w:pPr>
              <w:pStyle w:val="LTableTextAbt"/>
            </w:pPr>
            <w:r w:rsidRPr="00FA67A2">
              <w:t>Paints and coatings</w:t>
            </w:r>
          </w:p>
        </w:tc>
        <w:tc>
          <w:tcPr>
            <w:tcW w:w="1800" w:type="dxa"/>
            <w:shd w:val="clear" w:color="auto" w:fill="F2F2F2" w:themeFill="background1" w:themeFillShade="F2"/>
            <w:hideMark/>
          </w:tcPr>
          <w:p w:rsidR="005F7EEC" w:rsidRPr="006B2051" w:rsidP="00CA0464" w14:paraId="7A4B0A39" w14:textId="77777777">
            <w:pPr>
              <w:pStyle w:val="CTableTextAbt"/>
              <w:rPr>
                <w:b/>
                <w:bCs w:val="0"/>
              </w:rPr>
            </w:pPr>
            <w:r w:rsidRPr="006B2051">
              <w:rPr>
                <w:b/>
                <w:bCs w:val="0"/>
              </w:rPr>
              <w:t>yes</w:t>
            </w:r>
          </w:p>
        </w:tc>
      </w:tr>
      <w:tr w14:paraId="7DC25802" w14:textId="77777777" w:rsidTr="00A032E7">
        <w:tblPrEx>
          <w:tblW w:w="5000" w:type="pct"/>
          <w:tblInd w:w="-5" w:type="dxa"/>
          <w:tblLayout w:type="fixed"/>
          <w:tblLook w:val="04A0"/>
        </w:tblPrEx>
        <w:trPr>
          <w:cantSplit/>
        </w:trPr>
        <w:tc>
          <w:tcPr>
            <w:tcW w:w="1218" w:type="dxa"/>
            <w:vMerge/>
            <w:hideMark/>
          </w:tcPr>
          <w:p w:rsidR="005F7EEC" w:rsidRPr="00A95A85" w:rsidP="00CA0464" w14:paraId="02B81BD5" w14:textId="77777777">
            <w:pPr>
              <w:pStyle w:val="LTableTextAbt"/>
            </w:pPr>
          </w:p>
        </w:tc>
        <w:tc>
          <w:tcPr>
            <w:tcW w:w="2766" w:type="dxa"/>
            <w:vMerge/>
            <w:shd w:val="clear" w:color="auto" w:fill="F2F2F2" w:themeFill="background1" w:themeFillShade="F2"/>
            <w:hideMark/>
          </w:tcPr>
          <w:p w:rsidR="005F7EEC" w:rsidRPr="00A95A85" w:rsidP="00CA0464" w14:paraId="6C105EA4" w14:textId="77777777">
            <w:pPr>
              <w:pStyle w:val="LTableTextAbt"/>
            </w:pPr>
          </w:p>
        </w:tc>
        <w:tc>
          <w:tcPr>
            <w:tcW w:w="3401" w:type="dxa"/>
            <w:shd w:val="clear" w:color="auto" w:fill="F2F2F2" w:themeFill="background1" w:themeFillShade="F2"/>
            <w:hideMark/>
          </w:tcPr>
          <w:p w:rsidR="005F7EEC" w:rsidRPr="00FA67A2" w:rsidP="00CA0464" w14:paraId="4B0BB67C" w14:textId="77777777">
            <w:pPr>
              <w:pStyle w:val="LTableTextAbt"/>
            </w:pPr>
            <w:r w:rsidRPr="00FA67A2">
              <w:t>Plastic and rubber products</w:t>
            </w:r>
          </w:p>
        </w:tc>
        <w:tc>
          <w:tcPr>
            <w:tcW w:w="1800" w:type="dxa"/>
            <w:shd w:val="clear" w:color="auto" w:fill="F2F2F2" w:themeFill="background1" w:themeFillShade="F2"/>
            <w:hideMark/>
          </w:tcPr>
          <w:p w:rsidR="005F7EEC" w:rsidRPr="006B2051" w:rsidP="00CA0464" w14:paraId="1B649C06" w14:textId="77777777">
            <w:pPr>
              <w:pStyle w:val="CTableTextAbt"/>
              <w:rPr>
                <w:b/>
                <w:bCs w:val="0"/>
              </w:rPr>
            </w:pPr>
            <w:r w:rsidRPr="006B2051">
              <w:rPr>
                <w:b/>
                <w:bCs w:val="0"/>
              </w:rPr>
              <w:t>yes</w:t>
            </w:r>
          </w:p>
        </w:tc>
      </w:tr>
      <w:tr w14:paraId="42B829D2" w14:textId="77777777" w:rsidTr="00A032E7">
        <w:tblPrEx>
          <w:tblW w:w="5000" w:type="pct"/>
          <w:tblInd w:w="-5" w:type="dxa"/>
          <w:tblLayout w:type="fixed"/>
          <w:tblLook w:val="04A0"/>
        </w:tblPrEx>
        <w:trPr>
          <w:cantSplit/>
        </w:trPr>
        <w:tc>
          <w:tcPr>
            <w:tcW w:w="1218" w:type="dxa"/>
            <w:vMerge/>
            <w:hideMark/>
          </w:tcPr>
          <w:p w:rsidR="005F7EEC" w:rsidRPr="00A95A85" w:rsidP="00CA0464" w14:paraId="23B75005" w14:textId="77777777">
            <w:pPr>
              <w:pStyle w:val="LTableTextAbt"/>
            </w:pPr>
          </w:p>
        </w:tc>
        <w:tc>
          <w:tcPr>
            <w:tcW w:w="2766" w:type="dxa"/>
            <w:shd w:val="clear" w:color="auto" w:fill="F2F2F2" w:themeFill="background1" w:themeFillShade="F2"/>
            <w:hideMark/>
          </w:tcPr>
          <w:p w:rsidR="005F7EEC" w:rsidRPr="00A95A85" w:rsidP="00CA0464" w14:paraId="4A859D11" w14:textId="77777777">
            <w:pPr>
              <w:pStyle w:val="LTableTextAbt"/>
            </w:pPr>
            <w:r w:rsidRPr="00A95A85">
              <w:t>Processing - Use as an Intermediate</w:t>
            </w:r>
          </w:p>
        </w:tc>
        <w:tc>
          <w:tcPr>
            <w:tcW w:w="3401" w:type="dxa"/>
            <w:shd w:val="clear" w:color="auto" w:fill="F2F2F2" w:themeFill="background1" w:themeFillShade="F2"/>
            <w:hideMark/>
          </w:tcPr>
          <w:p w:rsidR="005F7EEC" w:rsidRPr="00FA67A2" w:rsidP="00CA0464" w14:paraId="02E7796F" w14:textId="77777777">
            <w:pPr>
              <w:pStyle w:val="LTableTextAbt"/>
            </w:pPr>
            <w:r w:rsidRPr="00FA67A2">
              <w:t>Creation or adjustment to other perylene pigments</w:t>
            </w:r>
          </w:p>
        </w:tc>
        <w:tc>
          <w:tcPr>
            <w:tcW w:w="1800" w:type="dxa"/>
            <w:shd w:val="clear" w:color="auto" w:fill="F2F2F2" w:themeFill="background1" w:themeFillShade="F2"/>
            <w:hideMark/>
          </w:tcPr>
          <w:p w:rsidR="005F7EEC" w:rsidRPr="006B2051" w:rsidP="00CA0464" w14:paraId="052A4C27" w14:textId="77777777">
            <w:pPr>
              <w:pStyle w:val="CTableTextAbt"/>
              <w:rPr>
                <w:b/>
                <w:bCs w:val="0"/>
              </w:rPr>
            </w:pPr>
            <w:r w:rsidRPr="006B2051">
              <w:rPr>
                <w:b/>
                <w:bCs w:val="0"/>
              </w:rPr>
              <w:t>yes</w:t>
            </w:r>
          </w:p>
        </w:tc>
      </w:tr>
      <w:tr w14:paraId="0A82F669" w14:textId="77777777" w:rsidTr="00A032E7">
        <w:tblPrEx>
          <w:tblW w:w="5000" w:type="pct"/>
          <w:tblInd w:w="-5" w:type="dxa"/>
          <w:tblLayout w:type="fixed"/>
          <w:tblLook w:val="04A0"/>
        </w:tblPrEx>
        <w:trPr>
          <w:cantSplit/>
        </w:trPr>
        <w:tc>
          <w:tcPr>
            <w:tcW w:w="1218" w:type="dxa"/>
            <w:vMerge/>
            <w:hideMark/>
          </w:tcPr>
          <w:p w:rsidR="005F7EEC" w:rsidRPr="00A95A85" w:rsidP="00CA0464" w14:paraId="2E2929DC" w14:textId="77777777">
            <w:pPr>
              <w:pStyle w:val="LTableTextAbt"/>
            </w:pPr>
          </w:p>
        </w:tc>
        <w:tc>
          <w:tcPr>
            <w:tcW w:w="2766" w:type="dxa"/>
            <w:shd w:val="clear" w:color="auto" w:fill="F2F2F2" w:themeFill="background1" w:themeFillShade="F2"/>
            <w:hideMark/>
          </w:tcPr>
          <w:p w:rsidR="005F7EEC" w:rsidRPr="00A95A85" w:rsidP="00CA0464" w14:paraId="7C379989" w14:textId="77777777">
            <w:pPr>
              <w:pStyle w:val="LTableTextAbt"/>
            </w:pPr>
            <w:r w:rsidRPr="00A95A85">
              <w:t>Recycling</w:t>
            </w:r>
          </w:p>
        </w:tc>
        <w:tc>
          <w:tcPr>
            <w:tcW w:w="3401" w:type="dxa"/>
            <w:shd w:val="clear" w:color="auto" w:fill="F2F2F2" w:themeFill="background1" w:themeFillShade="F2"/>
            <w:hideMark/>
          </w:tcPr>
          <w:p w:rsidR="005F7EEC" w:rsidRPr="00FA67A2" w:rsidP="00CA0464" w14:paraId="7C0A1AF2" w14:textId="77777777">
            <w:pPr>
              <w:pStyle w:val="LTableTextAbt"/>
            </w:pPr>
            <w:r w:rsidRPr="00FA67A2">
              <w:t>Recycling</w:t>
            </w:r>
          </w:p>
        </w:tc>
        <w:tc>
          <w:tcPr>
            <w:tcW w:w="1800" w:type="dxa"/>
            <w:shd w:val="clear" w:color="auto" w:fill="F2F2F2" w:themeFill="background1" w:themeFillShade="F2"/>
            <w:hideMark/>
          </w:tcPr>
          <w:p w:rsidR="005F7EEC" w:rsidRPr="006B2051" w:rsidP="00CA0464" w14:paraId="2AB8B19F" w14:textId="77777777">
            <w:pPr>
              <w:pStyle w:val="CTableTextAbt"/>
              <w:rPr>
                <w:b/>
                <w:bCs w:val="0"/>
              </w:rPr>
            </w:pPr>
            <w:r w:rsidRPr="006B2051">
              <w:rPr>
                <w:b/>
                <w:bCs w:val="0"/>
              </w:rPr>
              <w:t>yes</w:t>
            </w:r>
          </w:p>
        </w:tc>
      </w:tr>
      <w:tr w14:paraId="60F46AD0" w14:textId="77777777" w:rsidTr="00A032E7">
        <w:tblPrEx>
          <w:tblW w:w="5000" w:type="pct"/>
          <w:tblInd w:w="-5" w:type="dxa"/>
          <w:tblLayout w:type="fixed"/>
          <w:tblLook w:val="04A0"/>
        </w:tblPrEx>
        <w:trPr>
          <w:cantSplit/>
        </w:trPr>
        <w:tc>
          <w:tcPr>
            <w:tcW w:w="1218" w:type="dxa"/>
            <w:shd w:val="clear" w:color="auto" w:fill="auto"/>
            <w:noWrap/>
            <w:hideMark/>
          </w:tcPr>
          <w:p w:rsidR="005F7EEC" w:rsidRPr="00A95A85" w:rsidP="00CA0464" w14:paraId="5D33BEDC" w14:textId="77777777">
            <w:pPr>
              <w:pStyle w:val="LTableTextAbt"/>
            </w:pPr>
            <w:r w:rsidRPr="00A95A85">
              <w:t>Distribution in commerce</w:t>
            </w:r>
          </w:p>
        </w:tc>
        <w:tc>
          <w:tcPr>
            <w:tcW w:w="2766" w:type="dxa"/>
            <w:shd w:val="clear" w:color="auto" w:fill="auto"/>
            <w:hideMark/>
          </w:tcPr>
          <w:p w:rsidR="005F7EEC" w:rsidRPr="00A95A85" w:rsidP="00CA0464" w14:paraId="252DD7EA" w14:textId="77777777">
            <w:pPr>
              <w:pStyle w:val="LTableTextAbt"/>
            </w:pPr>
            <w:r w:rsidRPr="00A95A85">
              <w:t>Distribution</w:t>
            </w:r>
          </w:p>
        </w:tc>
        <w:tc>
          <w:tcPr>
            <w:tcW w:w="3401" w:type="dxa"/>
            <w:shd w:val="clear" w:color="auto" w:fill="auto"/>
            <w:hideMark/>
          </w:tcPr>
          <w:p w:rsidR="005F7EEC" w:rsidRPr="00FA67A2" w:rsidP="00CA0464" w14:paraId="6AC0E540" w14:textId="77777777">
            <w:pPr>
              <w:pStyle w:val="LTableTextAbt"/>
            </w:pPr>
            <w:r w:rsidRPr="00FA67A2">
              <w:t>Distribution</w:t>
            </w:r>
          </w:p>
        </w:tc>
        <w:tc>
          <w:tcPr>
            <w:tcW w:w="1800" w:type="dxa"/>
            <w:shd w:val="clear" w:color="auto" w:fill="auto"/>
            <w:hideMark/>
          </w:tcPr>
          <w:p w:rsidR="005F7EEC" w:rsidRPr="00FA67A2" w:rsidP="00CA0464" w14:paraId="0527BFC4" w14:textId="77777777">
            <w:pPr>
              <w:pStyle w:val="CTableTextAbt"/>
            </w:pPr>
            <w:r w:rsidRPr="00FA67A2">
              <w:t>no</w:t>
            </w:r>
          </w:p>
        </w:tc>
      </w:tr>
      <w:tr w14:paraId="4E70C9CE" w14:textId="77777777" w:rsidTr="00A032E7">
        <w:tblPrEx>
          <w:tblW w:w="5000" w:type="pct"/>
          <w:tblInd w:w="-5" w:type="dxa"/>
          <w:tblLayout w:type="fixed"/>
          <w:tblLook w:val="04A0"/>
        </w:tblPrEx>
        <w:trPr>
          <w:cantSplit/>
        </w:trPr>
        <w:tc>
          <w:tcPr>
            <w:tcW w:w="1218" w:type="dxa"/>
            <w:vMerge w:val="restart"/>
            <w:shd w:val="clear" w:color="auto" w:fill="auto"/>
            <w:hideMark/>
          </w:tcPr>
          <w:p w:rsidR="005F7EEC" w:rsidRPr="00A95A85" w:rsidP="00CA0464" w14:paraId="1BB298A3" w14:textId="77777777">
            <w:pPr>
              <w:pStyle w:val="LTableTextAbt"/>
            </w:pPr>
            <w:r w:rsidRPr="00A95A85">
              <w:t>Industrial/ commercial use</w:t>
            </w:r>
          </w:p>
        </w:tc>
        <w:tc>
          <w:tcPr>
            <w:tcW w:w="2766" w:type="dxa"/>
            <w:vMerge w:val="restart"/>
            <w:shd w:val="clear" w:color="auto" w:fill="auto"/>
            <w:hideMark/>
          </w:tcPr>
          <w:p w:rsidR="005F7EEC" w:rsidRPr="00A95A85" w:rsidP="00CA0464" w14:paraId="2D966E59" w14:textId="77777777">
            <w:pPr>
              <w:pStyle w:val="LTableTextAbt"/>
            </w:pPr>
            <w:r w:rsidRPr="00A95A85">
              <w:t xml:space="preserve">Plastic and </w:t>
            </w:r>
            <w:r>
              <w:t>r</w:t>
            </w:r>
            <w:r w:rsidRPr="00A95A85">
              <w:t xml:space="preserve">ubber </w:t>
            </w:r>
            <w:r>
              <w:t>p</w:t>
            </w:r>
            <w:r w:rsidRPr="00A95A85">
              <w:t>roducts</w:t>
            </w:r>
          </w:p>
        </w:tc>
        <w:tc>
          <w:tcPr>
            <w:tcW w:w="3401" w:type="dxa"/>
            <w:shd w:val="clear" w:color="auto" w:fill="auto"/>
            <w:hideMark/>
          </w:tcPr>
          <w:p w:rsidR="005F7EEC" w:rsidRPr="00FA67A2" w:rsidP="00CA0464" w14:paraId="7F140A98" w14:textId="77777777">
            <w:pPr>
              <w:pStyle w:val="LTableTextAbt"/>
            </w:pPr>
            <w:r w:rsidRPr="00FA67A2">
              <w:t>Automobile plastics</w:t>
            </w:r>
          </w:p>
        </w:tc>
        <w:tc>
          <w:tcPr>
            <w:tcW w:w="1800" w:type="dxa"/>
            <w:shd w:val="clear" w:color="auto" w:fill="auto"/>
            <w:hideMark/>
          </w:tcPr>
          <w:p w:rsidR="005F7EEC" w:rsidRPr="00FA67A2" w:rsidP="00CA0464" w14:paraId="3EE76740" w14:textId="77777777">
            <w:pPr>
              <w:pStyle w:val="CTableTextAbt"/>
            </w:pPr>
            <w:r w:rsidRPr="00FA67A2">
              <w:t>no</w:t>
            </w:r>
          </w:p>
        </w:tc>
      </w:tr>
      <w:tr w14:paraId="4AA2D520" w14:textId="77777777" w:rsidTr="00A032E7">
        <w:tblPrEx>
          <w:tblW w:w="5000" w:type="pct"/>
          <w:tblInd w:w="-5" w:type="dxa"/>
          <w:tblLayout w:type="fixed"/>
          <w:tblLook w:val="04A0"/>
        </w:tblPrEx>
        <w:trPr>
          <w:cantSplit/>
        </w:trPr>
        <w:tc>
          <w:tcPr>
            <w:tcW w:w="1218" w:type="dxa"/>
            <w:vMerge/>
            <w:hideMark/>
          </w:tcPr>
          <w:p w:rsidR="005F7EEC" w:rsidRPr="00A95A85" w:rsidP="00CA0464" w14:paraId="57FACF95" w14:textId="77777777">
            <w:pPr>
              <w:pStyle w:val="LTableTextAbt"/>
            </w:pPr>
          </w:p>
        </w:tc>
        <w:tc>
          <w:tcPr>
            <w:tcW w:w="2766" w:type="dxa"/>
            <w:vMerge/>
            <w:hideMark/>
          </w:tcPr>
          <w:p w:rsidR="005F7EEC" w:rsidRPr="00A95A85" w:rsidP="00CA0464" w14:paraId="4BFA689C" w14:textId="77777777">
            <w:pPr>
              <w:pStyle w:val="LTableTextAbt"/>
            </w:pPr>
          </w:p>
        </w:tc>
        <w:tc>
          <w:tcPr>
            <w:tcW w:w="3401" w:type="dxa"/>
            <w:shd w:val="clear" w:color="auto" w:fill="auto"/>
            <w:hideMark/>
          </w:tcPr>
          <w:p w:rsidR="005F7EEC" w:rsidRPr="00FA67A2" w:rsidP="00CA0464" w14:paraId="608C0E93" w14:textId="77777777">
            <w:pPr>
              <w:pStyle w:val="LTableTextAbt"/>
            </w:pPr>
            <w:r w:rsidRPr="00FA67A2">
              <w:t>Industrial carpeting</w:t>
            </w:r>
          </w:p>
        </w:tc>
        <w:tc>
          <w:tcPr>
            <w:tcW w:w="1800" w:type="dxa"/>
            <w:shd w:val="clear" w:color="auto" w:fill="auto"/>
            <w:hideMark/>
          </w:tcPr>
          <w:p w:rsidR="005F7EEC" w:rsidRPr="00FA67A2" w:rsidP="00CA0464" w14:paraId="7817F870" w14:textId="77777777">
            <w:pPr>
              <w:pStyle w:val="CTableTextAbt"/>
            </w:pPr>
            <w:r w:rsidRPr="00FA67A2">
              <w:t>no</w:t>
            </w:r>
          </w:p>
        </w:tc>
      </w:tr>
      <w:tr w14:paraId="78D03E82" w14:textId="77777777" w:rsidTr="00A032E7">
        <w:tblPrEx>
          <w:tblW w:w="5000" w:type="pct"/>
          <w:tblInd w:w="-5" w:type="dxa"/>
          <w:tblLayout w:type="fixed"/>
          <w:tblLook w:val="04A0"/>
        </w:tblPrEx>
        <w:trPr>
          <w:cantSplit/>
        </w:trPr>
        <w:tc>
          <w:tcPr>
            <w:tcW w:w="1218" w:type="dxa"/>
            <w:vMerge/>
            <w:hideMark/>
          </w:tcPr>
          <w:p w:rsidR="005F7EEC" w:rsidRPr="00A95A85" w:rsidP="00CA0464" w14:paraId="63D710F4" w14:textId="77777777">
            <w:pPr>
              <w:pStyle w:val="LTableTextAbt"/>
            </w:pPr>
          </w:p>
        </w:tc>
        <w:tc>
          <w:tcPr>
            <w:tcW w:w="2766" w:type="dxa"/>
            <w:vMerge w:val="restart"/>
            <w:shd w:val="clear" w:color="auto" w:fill="F2F2F2" w:themeFill="background1" w:themeFillShade="F2"/>
            <w:hideMark/>
          </w:tcPr>
          <w:p w:rsidR="005F7EEC" w:rsidRPr="00A95A85" w:rsidP="00CA0464" w14:paraId="4CB242CC" w14:textId="77777777">
            <w:pPr>
              <w:pStyle w:val="LTableTextAbt"/>
            </w:pPr>
            <w:r w:rsidRPr="00A95A85">
              <w:t>Paints and coatings</w:t>
            </w:r>
          </w:p>
        </w:tc>
        <w:tc>
          <w:tcPr>
            <w:tcW w:w="3401" w:type="dxa"/>
            <w:shd w:val="clear" w:color="auto" w:fill="F2F2F2" w:themeFill="background1" w:themeFillShade="F2"/>
            <w:hideMark/>
          </w:tcPr>
          <w:p w:rsidR="005F7EEC" w:rsidRPr="00FA67A2" w:rsidP="00CA0464" w14:paraId="6DB963FF" w14:textId="77777777">
            <w:pPr>
              <w:pStyle w:val="LTableTextAbt"/>
            </w:pPr>
            <w:r w:rsidRPr="00FA67A2">
              <w:t>Automobile (e.g., OEM and refinishing)</w:t>
            </w:r>
          </w:p>
        </w:tc>
        <w:tc>
          <w:tcPr>
            <w:tcW w:w="1800" w:type="dxa"/>
            <w:shd w:val="clear" w:color="auto" w:fill="F2F2F2" w:themeFill="background1" w:themeFillShade="F2"/>
            <w:hideMark/>
          </w:tcPr>
          <w:p w:rsidR="005F7EEC" w:rsidRPr="006B2051" w:rsidP="00CA0464" w14:paraId="7C3E304F" w14:textId="77777777">
            <w:pPr>
              <w:pStyle w:val="CTableTextAbt"/>
              <w:rPr>
                <w:b/>
                <w:bCs w:val="0"/>
              </w:rPr>
            </w:pPr>
            <w:r w:rsidRPr="006B2051">
              <w:rPr>
                <w:b/>
                <w:bCs w:val="0"/>
              </w:rPr>
              <w:t>yes</w:t>
            </w:r>
          </w:p>
        </w:tc>
      </w:tr>
      <w:tr w14:paraId="5F711EE9" w14:textId="77777777" w:rsidTr="00A032E7">
        <w:tblPrEx>
          <w:tblW w:w="5000" w:type="pct"/>
          <w:tblInd w:w="-5" w:type="dxa"/>
          <w:tblLayout w:type="fixed"/>
          <w:tblLook w:val="04A0"/>
        </w:tblPrEx>
        <w:trPr>
          <w:cantSplit/>
        </w:trPr>
        <w:tc>
          <w:tcPr>
            <w:tcW w:w="1218" w:type="dxa"/>
            <w:vMerge/>
            <w:hideMark/>
          </w:tcPr>
          <w:p w:rsidR="005F7EEC" w:rsidRPr="00A95A85" w:rsidP="00CA0464" w14:paraId="67FAEC26" w14:textId="77777777">
            <w:pPr>
              <w:pStyle w:val="LTableTextAbt"/>
            </w:pPr>
          </w:p>
        </w:tc>
        <w:tc>
          <w:tcPr>
            <w:tcW w:w="2766" w:type="dxa"/>
            <w:vMerge/>
            <w:shd w:val="clear" w:color="auto" w:fill="F2F2F2" w:themeFill="background1" w:themeFillShade="F2"/>
            <w:hideMark/>
          </w:tcPr>
          <w:p w:rsidR="005F7EEC" w:rsidRPr="00A95A85" w:rsidP="00CA0464" w14:paraId="20424F70" w14:textId="77777777">
            <w:pPr>
              <w:pStyle w:val="LTableTextAbt"/>
            </w:pPr>
          </w:p>
        </w:tc>
        <w:tc>
          <w:tcPr>
            <w:tcW w:w="3401" w:type="dxa"/>
            <w:shd w:val="clear" w:color="auto" w:fill="F2F2F2" w:themeFill="background1" w:themeFillShade="F2"/>
            <w:hideMark/>
          </w:tcPr>
          <w:p w:rsidR="005F7EEC" w:rsidRPr="00FA67A2" w:rsidP="00CA0464" w14:paraId="2AEE492A" w14:textId="77777777">
            <w:pPr>
              <w:pStyle w:val="LTableTextAbt"/>
            </w:pPr>
            <w:r w:rsidRPr="00FA67A2">
              <w:t>Coatings and basecoats</w:t>
            </w:r>
          </w:p>
        </w:tc>
        <w:tc>
          <w:tcPr>
            <w:tcW w:w="1800" w:type="dxa"/>
            <w:shd w:val="clear" w:color="auto" w:fill="F2F2F2" w:themeFill="background1" w:themeFillShade="F2"/>
            <w:hideMark/>
          </w:tcPr>
          <w:p w:rsidR="005F7EEC" w:rsidRPr="006B2051" w:rsidP="00CA0464" w14:paraId="1279A30F" w14:textId="77777777">
            <w:pPr>
              <w:pStyle w:val="CTableTextAbt"/>
              <w:rPr>
                <w:b/>
                <w:bCs w:val="0"/>
              </w:rPr>
            </w:pPr>
            <w:r w:rsidRPr="006B2051">
              <w:rPr>
                <w:b/>
                <w:bCs w:val="0"/>
              </w:rPr>
              <w:t>yes</w:t>
            </w:r>
          </w:p>
        </w:tc>
      </w:tr>
      <w:tr w14:paraId="6D47662A" w14:textId="77777777" w:rsidTr="00A032E7">
        <w:tblPrEx>
          <w:tblW w:w="5000" w:type="pct"/>
          <w:tblInd w:w="-5" w:type="dxa"/>
          <w:tblLayout w:type="fixed"/>
          <w:tblLook w:val="04A0"/>
        </w:tblPrEx>
        <w:trPr>
          <w:cantSplit/>
        </w:trPr>
        <w:tc>
          <w:tcPr>
            <w:tcW w:w="1218" w:type="dxa"/>
            <w:vMerge/>
            <w:hideMark/>
          </w:tcPr>
          <w:p w:rsidR="005F7EEC" w:rsidRPr="00A95A85" w:rsidP="00CA0464" w14:paraId="11BBADC9" w14:textId="77777777">
            <w:pPr>
              <w:pStyle w:val="LTableTextAbt"/>
            </w:pPr>
          </w:p>
        </w:tc>
        <w:tc>
          <w:tcPr>
            <w:tcW w:w="2766" w:type="dxa"/>
            <w:shd w:val="clear" w:color="auto" w:fill="F2F2F2" w:themeFill="background1" w:themeFillShade="F2"/>
            <w:hideMark/>
          </w:tcPr>
          <w:p w:rsidR="005F7EEC" w:rsidRPr="00A95A85" w:rsidP="00CA0464" w14:paraId="6806A307" w14:textId="77777777">
            <w:pPr>
              <w:pStyle w:val="LTableTextAbt"/>
            </w:pPr>
            <w:r w:rsidRPr="00A95A85">
              <w:t>Merchant ink for commercial printing</w:t>
            </w:r>
          </w:p>
        </w:tc>
        <w:tc>
          <w:tcPr>
            <w:tcW w:w="3401" w:type="dxa"/>
            <w:shd w:val="clear" w:color="auto" w:fill="F2F2F2" w:themeFill="background1" w:themeFillShade="F2"/>
            <w:hideMark/>
          </w:tcPr>
          <w:p w:rsidR="005F7EEC" w:rsidRPr="00FA67A2" w:rsidP="00CA0464" w14:paraId="61A9276C" w14:textId="77777777">
            <w:pPr>
              <w:pStyle w:val="LTableTextAbt"/>
            </w:pPr>
            <w:r w:rsidRPr="00FA67A2">
              <w:t>Merchant Ink</w:t>
            </w:r>
          </w:p>
        </w:tc>
        <w:tc>
          <w:tcPr>
            <w:tcW w:w="1800" w:type="dxa"/>
            <w:shd w:val="clear" w:color="auto" w:fill="F2F2F2" w:themeFill="background1" w:themeFillShade="F2"/>
            <w:hideMark/>
          </w:tcPr>
          <w:p w:rsidR="005F7EEC" w:rsidRPr="006B2051" w:rsidP="00CA0464" w14:paraId="315A38F2" w14:textId="77777777">
            <w:pPr>
              <w:pStyle w:val="CTableTextAbt"/>
              <w:rPr>
                <w:b/>
                <w:bCs w:val="0"/>
              </w:rPr>
            </w:pPr>
            <w:r w:rsidRPr="006B2051">
              <w:rPr>
                <w:b/>
                <w:bCs w:val="0"/>
              </w:rPr>
              <w:t>yes</w:t>
            </w:r>
          </w:p>
        </w:tc>
      </w:tr>
      <w:tr w14:paraId="40B3B84A" w14:textId="77777777" w:rsidTr="00A032E7">
        <w:tblPrEx>
          <w:tblW w:w="5000" w:type="pct"/>
          <w:tblInd w:w="-5" w:type="dxa"/>
          <w:tblLayout w:type="fixed"/>
          <w:tblLook w:val="04A0"/>
        </w:tblPrEx>
        <w:trPr>
          <w:cantSplit/>
        </w:trPr>
        <w:tc>
          <w:tcPr>
            <w:tcW w:w="1218" w:type="dxa"/>
            <w:vMerge/>
            <w:hideMark/>
          </w:tcPr>
          <w:p w:rsidR="005F7EEC" w:rsidRPr="00A95A85" w:rsidP="00CA0464" w14:paraId="672759AF" w14:textId="77777777">
            <w:pPr>
              <w:pStyle w:val="LTableTextAbt"/>
            </w:pPr>
          </w:p>
        </w:tc>
        <w:tc>
          <w:tcPr>
            <w:tcW w:w="2766" w:type="dxa"/>
            <w:shd w:val="clear" w:color="auto" w:fill="auto"/>
            <w:hideMark/>
          </w:tcPr>
          <w:p w:rsidR="005F7EEC" w:rsidRPr="00A95A85" w:rsidP="00CA0464" w14:paraId="6BA8754C" w14:textId="77777777">
            <w:pPr>
              <w:pStyle w:val="LTableTextAbt"/>
            </w:pPr>
            <w:r w:rsidRPr="00A95A85">
              <w:t>Consumer watercolor and acrylic paints</w:t>
            </w:r>
          </w:p>
        </w:tc>
        <w:tc>
          <w:tcPr>
            <w:tcW w:w="3401" w:type="dxa"/>
            <w:shd w:val="clear" w:color="auto" w:fill="auto"/>
            <w:hideMark/>
          </w:tcPr>
          <w:p w:rsidR="005F7EEC" w:rsidRPr="00FA67A2" w:rsidP="00CA0464" w14:paraId="38A8E5F0" w14:textId="77777777">
            <w:pPr>
              <w:pStyle w:val="LTableTextAbt"/>
            </w:pPr>
            <w:r w:rsidRPr="00FA67A2">
              <w:t>Professional quality watercolor and acrylic artist paint</w:t>
            </w:r>
          </w:p>
        </w:tc>
        <w:tc>
          <w:tcPr>
            <w:tcW w:w="1800" w:type="dxa"/>
            <w:shd w:val="clear" w:color="auto" w:fill="auto"/>
            <w:hideMark/>
          </w:tcPr>
          <w:p w:rsidR="005F7EEC" w:rsidRPr="00FA67A2" w:rsidP="00CA0464" w14:paraId="4289EF72" w14:textId="77777777">
            <w:pPr>
              <w:pStyle w:val="CTableTextAbt"/>
            </w:pPr>
            <w:r w:rsidRPr="00FA67A2">
              <w:t>no</w:t>
            </w:r>
          </w:p>
        </w:tc>
      </w:tr>
      <w:tr w14:paraId="327BC4C6" w14:textId="77777777" w:rsidTr="00A032E7">
        <w:tblPrEx>
          <w:tblW w:w="5000" w:type="pct"/>
          <w:tblInd w:w="-5" w:type="dxa"/>
          <w:tblLayout w:type="fixed"/>
          <w:tblLook w:val="04A0"/>
        </w:tblPrEx>
        <w:trPr>
          <w:cantSplit/>
        </w:trPr>
        <w:tc>
          <w:tcPr>
            <w:tcW w:w="1218" w:type="dxa"/>
            <w:vMerge w:val="restart"/>
            <w:shd w:val="clear" w:color="auto" w:fill="auto"/>
            <w:hideMark/>
          </w:tcPr>
          <w:p w:rsidR="005F7EEC" w:rsidRPr="00A95A85" w:rsidP="00CA0464" w14:paraId="49B1BA7C" w14:textId="77777777">
            <w:pPr>
              <w:pStyle w:val="LTableTextAbt"/>
            </w:pPr>
            <w:r w:rsidRPr="00A95A85">
              <w:t>Disposal</w:t>
            </w:r>
          </w:p>
        </w:tc>
        <w:tc>
          <w:tcPr>
            <w:tcW w:w="2766" w:type="dxa"/>
            <w:shd w:val="clear" w:color="auto" w:fill="auto"/>
            <w:hideMark/>
          </w:tcPr>
          <w:p w:rsidR="005F7EEC" w:rsidRPr="00A95A85" w:rsidP="00CA0464" w14:paraId="424C0B73" w14:textId="77777777">
            <w:pPr>
              <w:pStyle w:val="LTableTextAbt"/>
            </w:pPr>
            <w:r w:rsidRPr="00A95A85">
              <w:t>Emissions to Air</w:t>
            </w:r>
          </w:p>
        </w:tc>
        <w:tc>
          <w:tcPr>
            <w:tcW w:w="3401" w:type="dxa"/>
            <w:shd w:val="clear" w:color="auto" w:fill="auto"/>
            <w:hideMark/>
          </w:tcPr>
          <w:p w:rsidR="005F7EEC" w:rsidRPr="00FA67A2" w:rsidP="00CA0464" w14:paraId="7A6023E6" w14:textId="77777777">
            <w:pPr>
              <w:pStyle w:val="LTableTextAbt"/>
            </w:pPr>
            <w:r w:rsidRPr="00FA67A2">
              <w:t>Air</w:t>
            </w:r>
          </w:p>
        </w:tc>
        <w:tc>
          <w:tcPr>
            <w:tcW w:w="1800" w:type="dxa"/>
            <w:vMerge w:val="restart"/>
            <w:shd w:val="clear" w:color="auto" w:fill="F2F2F2" w:themeFill="background1" w:themeFillShade="F2"/>
          </w:tcPr>
          <w:p w:rsidR="005F7EEC" w:rsidRPr="006B2051" w:rsidP="00CA0464" w14:paraId="554E28B0" w14:textId="77777777">
            <w:pPr>
              <w:pStyle w:val="CTableTextAbt"/>
              <w:rPr>
                <w:b/>
                <w:bCs w:val="0"/>
              </w:rPr>
            </w:pPr>
            <w:r w:rsidRPr="006B2051">
              <w:rPr>
                <w:b/>
                <w:bCs w:val="0"/>
              </w:rPr>
              <w:t>yes</w:t>
            </w:r>
          </w:p>
        </w:tc>
      </w:tr>
      <w:tr w14:paraId="0878F27F" w14:textId="77777777" w:rsidTr="00A032E7">
        <w:tblPrEx>
          <w:tblW w:w="5000" w:type="pct"/>
          <w:tblInd w:w="-5" w:type="dxa"/>
          <w:tblLayout w:type="fixed"/>
          <w:tblLook w:val="04A0"/>
        </w:tblPrEx>
        <w:trPr>
          <w:cantSplit/>
        </w:trPr>
        <w:tc>
          <w:tcPr>
            <w:tcW w:w="1218" w:type="dxa"/>
            <w:vMerge/>
            <w:hideMark/>
          </w:tcPr>
          <w:p w:rsidR="005F7EEC" w:rsidRPr="00A95A85" w:rsidP="00CA0464" w14:paraId="5138BBCB" w14:textId="77777777">
            <w:pPr>
              <w:pStyle w:val="TableText"/>
              <w:keepNext/>
            </w:pPr>
          </w:p>
        </w:tc>
        <w:tc>
          <w:tcPr>
            <w:tcW w:w="2766" w:type="dxa"/>
            <w:vMerge w:val="restart"/>
            <w:shd w:val="clear" w:color="auto" w:fill="F2F2F2" w:themeFill="background1" w:themeFillShade="F2"/>
            <w:hideMark/>
          </w:tcPr>
          <w:p w:rsidR="005F7EEC" w:rsidRPr="00A95A85" w:rsidP="00CA0464" w14:paraId="088928C0" w14:textId="77777777">
            <w:pPr>
              <w:pStyle w:val="LTableTextAbt"/>
            </w:pPr>
            <w:r w:rsidRPr="00A95A85">
              <w:t>Wastewater</w:t>
            </w:r>
          </w:p>
        </w:tc>
        <w:tc>
          <w:tcPr>
            <w:tcW w:w="3401" w:type="dxa"/>
            <w:shd w:val="clear" w:color="auto" w:fill="F2F2F2" w:themeFill="background1" w:themeFillShade="F2"/>
            <w:hideMark/>
          </w:tcPr>
          <w:p w:rsidR="005F7EEC" w:rsidRPr="00FA67A2" w:rsidP="00CA0464" w14:paraId="10ED049A" w14:textId="77777777">
            <w:pPr>
              <w:pStyle w:val="LTableTextAbt"/>
            </w:pPr>
            <w:r w:rsidRPr="00FA67A2">
              <w:t>Industrial Pretreatment</w:t>
            </w:r>
          </w:p>
        </w:tc>
        <w:tc>
          <w:tcPr>
            <w:tcW w:w="1800" w:type="dxa"/>
            <w:vMerge/>
            <w:shd w:val="clear" w:color="auto" w:fill="F2F2F2" w:themeFill="background1" w:themeFillShade="F2"/>
          </w:tcPr>
          <w:p w:rsidR="005F7EEC" w:rsidRPr="00FA67A2" w:rsidP="00CA0464" w14:paraId="6FD639EB" w14:textId="77777777">
            <w:pPr>
              <w:jc w:val="center"/>
              <w:rPr>
                <w:rFonts w:ascii="Arial Narrow" w:hAnsi="Arial Narrow" w:cs="Calibri"/>
              </w:rPr>
            </w:pPr>
          </w:p>
        </w:tc>
      </w:tr>
      <w:tr w14:paraId="06C54172" w14:textId="77777777" w:rsidTr="00A032E7">
        <w:tblPrEx>
          <w:tblW w:w="5000" w:type="pct"/>
          <w:tblInd w:w="-5" w:type="dxa"/>
          <w:tblLayout w:type="fixed"/>
          <w:tblLook w:val="04A0"/>
        </w:tblPrEx>
        <w:trPr>
          <w:cantSplit/>
        </w:trPr>
        <w:tc>
          <w:tcPr>
            <w:tcW w:w="1218" w:type="dxa"/>
            <w:vMerge/>
            <w:hideMark/>
          </w:tcPr>
          <w:p w:rsidR="005F7EEC" w:rsidRPr="00A95A85" w:rsidP="00CA0464" w14:paraId="22FBAB02" w14:textId="77777777">
            <w:pPr>
              <w:pStyle w:val="TableText"/>
              <w:keepNext/>
            </w:pPr>
          </w:p>
        </w:tc>
        <w:tc>
          <w:tcPr>
            <w:tcW w:w="2766" w:type="dxa"/>
            <w:vMerge/>
            <w:shd w:val="clear" w:color="auto" w:fill="F2F2F2" w:themeFill="background1" w:themeFillShade="F2"/>
            <w:hideMark/>
          </w:tcPr>
          <w:p w:rsidR="005F7EEC" w:rsidRPr="00A95A85" w:rsidP="00CA0464" w14:paraId="2BDC4066" w14:textId="77777777">
            <w:pPr>
              <w:pStyle w:val="LTableTextAbt"/>
            </w:pPr>
          </w:p>
        </w:tc>
        <w:tc>
          <w:tcPr>
            <w:tcW w:w="3401" w:type="dxa"/>
            <w:shd w:val="clear" w:color="auto" w:fill="F2F2F2" w:themeFill="background1" w:themeFillShade="F2"/>
            <w:hideMark/>
          </w:tcPr>
          <w:p w:rsidR="005F7EEC" w:rsidRPr="00FA67A2" w:rsidP="00CA0464" w14:paraId="3B9F4646" w14:textId="77777777">
            <w:pPr>
              <w:pStyle w:val="LTableTextAbt"/>
            </w:pPr>
            <w:r w:rsidRPr="00FA67A2">
              <w:t>Industrial wastewater treatment</w:t>
            </w:r>
          </w:p>
        </w:tc>
        <w:tc>
          <w:tcPr>
            <w:tcW w:w="1800" w:type="dxa"/>
            <w:vMerge/>
            <w:shd w:val="clear" w:color="auto" w:fill="F2F2F2" w:themeFill="background1" w:themeFillShade="F2"/>
          </w:tcPr>
          <w:p w:rsidR="005F7EEC" w:rsidRPr="00FA67A2" w:rsidP="00CA0464" w14:paraId="6857AE43" w14:textId="77777777">
            <w:pPr>
              <w:jc w:val="center"/>
              <w:rPr>
                <w:rFonts w:ascii="Arial Narrow" w:hAnsi="Arial Narrow" w:cs="Calibri"/>
              </w:rPr>
            </w:pPr>
          </w:p>
        </w:tc>
      </w:tr>
      <w:tr w14:paraId="0BA3ECA5" w14:textId="77777777" w:rsidTr="00A032E7">
        <w:tblPrEx>
          <w:tblW w:w="5000" w:type="pct"/>
          <w:tblInd w:w="-5" w:type="dxa"/>
          <w:tblLayout w:type="fixed"/>
          <w:tblLook w:val="04A0"/>
        </w:tblPrEx>
        <w:trPr>
          <w:cantSplit/>
        </w:trPr>
        <w:tc>
          <w:tcPr>
            <w:tcW w:w="1218" w:type="dxa"/>
            <w:vMerge/>
            <w:hideMark/>
          </w:tcPr>
          <w:p w:rsidR="005F7EEC" w:rsidRPr="00A95A85" w:rsidP="00CA0464" w14:paraId="586C649D" w14:textId="77777777">
            <w:pPr>
              <w:pStyle w:val="TableText"/>
              <w:keepNext/>
              <w:rPr>
                <w:rFonts w:cs="Calibri"/>
                <w:color w:val="000000"/>
              </w:rPr>
            </w:pPr>
          </w:p>
        </w:tc>
        <w:tc>
          <w:tcPr>
            <w:tcW w:w="2766" w:type="dxa"/>
            <w:vMerge/>
            <w:shd w:val="clear" w:color="auto" w:fill="F2F2F2" w:themeFill="background1" w:themeFillShade="F2"/>
            <w:hideMark/>
          </w:tcPr>
          <w:p w:rsidR="005F7EEC" w:rsidRPr="00A95A85" w:rsidP="00CA0464" w14:paraId="515CCFB3" w14:textId="77777777">
            <w:pPr>
              <w:pStyle w:val="LTableTextAbt"/>
              <w:rPr>
                <w:rFonts w:ascii="Arial Narrow" w:hAnsi="Arial Narrow" w:cs="Calibri"/>
              </w:rPr>
            </w:pPr>
          </w:p>
        </w:tc>
        <w:tc>
          <w:tcPr>
            <w:tcW w:w="3401" w:type="dxa"/>
            <w:shd w:val="clear" w:color="auto" w:fill="F2F2F2" w:themeFill="background1" w:themeFillShade="F2"/>
            <w:hideMark/>
          </w:tcPr>
          <w:p w:rsidR="005F7EEC" w:rsidRPr="00FA67A2" w:rsidP="00CA0464" w14:paraId="7098D8BF" w14:textId="77777777">
            <w:pPr>
              <w:pStyle w:val="LTableTextAbt"/>
              <w:rPr>
                <w:rFonts w:cs="Calibri"/>
              </w:rPr>
            </w:pPr>
            <w:r w:rsidRPr="00FA67A2">
              <w:rPr>
                <w:rFonts w:cs="Calibri"/>
              </w:rPr>
              <w:t>Publicly owned treatment works (POTW)</w:t>
            </w:r>
          </w:p>
        </w:tc>
        <w:tc>
          <w:tcPr>
            <w:tcW w:w="1800" w:type="dxa"/>
            <w:vMerge/>
            <w:shd w:val="clear" w:color="auto" w:fill="F2F2F2" w:themeFill="background1" w:themeFillShade="F2"/>
          </w:tcPr>
          <w:p w:rsidR="005F7EEC" w:rsidRPr="00FA67A2" w:rsidP="00CA0464" w14:paraId="32C0059B" w14:textId="77777777">
            <w:pPr>
              <w:jc w:val="center"/>
              <w:rPr>
                <w:rFonts w:ascii="Arial Narrow" w:hAnsi="Arial Narrow" w:cs="Calibri"/>
              </w:rPr>
            </w:pPr>
          </w:p>
        </w:tc>
      </w:tr>
      <w:tr w14:paraId="2E2523D4" w14:textId="77777777" w:rsidTr="00A032E7">
        <w:tblPrEx>
          <w:tblW w:w="5000" w:type="pct"/>
          <w:tblInd w:w="-5" w:type="dxa"/>
          <w:tblLayout w:type="fixed"/>
          <w:tblLook w:val="04A0"/>
        </w:tblPrEx>
        <w:trPr>
          <w:cantSplit/>
        </w:trPr>
        <w:tc>
          <w:tcPr>
            <w:tcW w:w="1218" w:type="dxa"/>
            <w:vMerge/>
            <w:hideMark/>
          </w:tcPr>
          <w:p w:rsidR="005F7EEC" w:rsidRPr="00A95A85" w:rsidP="00CA0464" w14:paraId="2ABA278C" w14:textId="77777777">
            <w:pPr>
              <w:pStyle w:val="TableText"/>
              <w:keepNext/>
              <w:rPr>
                <w:rFonts w:cs="Calibri"/>
                <w:color w:val="000000"/>
              </w:rPr>
            </w:pPr>
          </w:p>
        </w:tc>
        <w:tc>
          <w:tcPr>
            <w:tcW w:w="2766" w:type="dxa"/>
            <w:vMerge/>
            <w:shd w:val="clear" w:color="auto" w:fill="F2F2F2" w:themeFill="background1" w:themeFillShade="F2"/>
            <w:hideMark/>
          </w:tcPr>
          <w:p w:rsidR="005F7EEC" w:rsidRPr="00A95A85" w:rsidP="00CA0464" w14:paraId="428BE2C7" w14:textId="77777777">
            <w:pPr>
              <w:pStyle w:val="LTableTextAbt"/>
              <w:rPr>
                <w:rFonts w:ascii="Arial Narrow" w:hAnsi="Arial Narrow" w:cs="Calibri"/>
              </w:rPr>
            </w:pPr>
          </w:p>
        </w:tc>
        <w:tc>
          <w:tcPr>
            <w:tcW w:w="3401" w:type="dxa"/>
            <w:shd w:val="clear" w:color="auto" w:fill="F2F2F2" w:themeFill="background1" w:themeFillShade="F2"/>
            <w:hideMark/>
          </w:tcPr>
          <w:p w:rsidR="005F7EEC" w:rsidRPr="00FA67A2" w:rsidP="00CA0464" w14:paraId="0B87B99F" w14:textId="77777777">
            <w:pPr>
              <w:pStyle w:val="LTableTextAbt"/>
              <w:rPr>
                <w:rFonts w:cs="Calibri"/>
              </w:rPr>
            </w:pPr>
            <w:r w:rsidRPr="00FA67A2">
              <w:rPr>
                <w:rFonts w:cs="Calibri"/>
              </w:rPr>
              <w:t>Underground injection</w:t>
            </w:r>
          </w:p>
        </w:tc>
        <w:tc>
          <w:tcPr>
            <w:tcW w:w="1800" w:type="dxa"/>
            <w:vMerge/>
            <w:shd w:val="clear" w:color="auto" w:fill="F2F2F2" w:themeFill="background1" w:themeFillShade="F2"/>
          </w:tcPr>
          <w:p w:rsidR="005F7EEC" w:rsidRPr="00FA67A2" w:rsidP="00CA0464" w14:paraId="70E8CD9E" w14:textId="77777777">
            <w:pPr>
              <w:jc w:val="center"/>
              <w:rPr>
                <w:rFonts w:ascii="Arial Narrow" w:hAnsi="Arial Narrow" w:cs="Calibri"/>
                <w:color w:val="000000"/>
              </w:rPr>
            </w:pPr>
          </w:p>
        </w:tc>
      </w:tr>
      <w:tr w14:paraId="4B3FCCC6" w14:textId="77777777" w:rsidTr="00A032E7">
        <w:tblPrEx>
          <w:tblW w:w="5000" w:type="pct"/>
          <w:tblInd w:w="-5" w:type="dxa"/>
          <w:tblLayout w:type="fixed"/>
          <w:tblLook w:val="04A0"/>
        </w:tblPrEx>
        <w:trPr>
          <w:cantSplit/>
        </w:trPr>
        <w:tc>
          <w:tcPr>
            <w:tcW w:w="1218" w:type="dxa"/>
            <w:vMerge/>
            <w:hideMark/>
          </w:tcPr>
          <w:p w:rsidR="005F7EEC" w:rsidRPr="00A95A85" w:rsidP="00CA0464" w14:paraId="61DC588D" w14:textId="77777777">
            <w:pPr>
              <w:pStyle w:val="TableText"/>
              <w:rPr>
                <w:rFonts w:cs="Calibri"/>
                <w:color w:val="000000"/>
              </w:rPr>
            </w:pPr>
          </w:p>
        </w:tc>
        <w:tc>
          <w:tcPr>
            <w:tcW w:w="2766" w:type="dxa"/>
            <w:vMerge w:val="restart"/>
            <w:shd w:val="clear" w:color="auto" w:fill="F2F2F2" w:themeFill="background1" w:themeFillShade="F2"/>
            <w:hideMark/>
          </w:tcPr>
          <w:p w:rsidR="005F7EEC" w:rsidRPr="00A95A85" w:rsidP="00CA0464" w14:paraId="5D3DFF93" w14:textId="77777777">
            <w:pPr>
              <w:pStyle w:val="LTableTextAbt"/>
              <w:rPr>
                <w:rFonts w:cs="Calibri"/>
              </w:rPr>
            </w:pPr>
            <w:r w:rsidRPr="00A95A85">
              <w:rPr>
                <w:rFonts w:cs="Calibri"/>
              </w:rPr>
              <w:t>Solid wastes and liquid wastes</w:t>
            </w:r>
          </w:p>
        </w:tc>
        <w:tc>
          <w:tcPr>
            <w:tcW w:w="3401" w:type="dxa"/>
            <w:shd w:val="clear" w:color="auto" w:fill="F2F2F2" w:themeFill="background1" w:themeFillShade="F2"/>
            <w:hideMark/>
          </w:tcPr>
          <w:p w:rsidR="005F7EEC" w:rsidRPr="00FA67A2" w:rsidP="00CA0464" w14:paraId="2E8288E3" w14:textId="77777777">
            <w:pPr>
              <w:pStyle w:val="LTableTextAbt"/>
              <w:rPr>
                <w:rFonts w:cs="Calibri"/>
              </w:rPr>
            </w:pPr>
            <w:r w:rsidRPr="00FA67A2">
              <w:rPr>
                <w:rFonts w:cs="Calibri"/>
              </w:rPr>
              <w:t>Municipal landfill</w:t>
            </w:r>
          </w:p>
        </w:tc>
        <w:tc>
          <w:tcPr>
            <w:tcW w:w="1800" w:type="dxa"/>
            <w:vMerge/>
            <w:shd w:val="clear" w:color="auto" w:fill="F2F2F2" w:themeFill="background1" w:themeFillShade="F2"/>
          </w:tcPr>
          <w:p w:rsidR="005F7EEC" w:rsidRPr="00FA67A2" w:rsidP="00CA0464" w14:paraId="60CA482D" w14:textId="77777777">
            <w:pPr>
              <w:jc w:val="center"/>
              <w:rPr>
                <w:rFonts w:ascii="Arial Narrow" w:hAnsi="Arial Narrow" w:cs="Calibri"/>
              </w:rPr>
            </w:pPr>
          </w:p>
        </w:tc>
      </w:tr>
      <w:tr w14:paraId="2C4009CD" w14:textId="77777777" w:rsidTr="00A032E7">
        <w:tblPrEx>
          <w:tblW w:w="5000" w:type="pct"/>
          <w:tblInd w:w="-5" w:type="dxa"/>
          <w:tblLayout w:type="fixed"/>
          <w:tblLook w:val="04A0"/>
        </w:tblPrEx>
        <w:trPr>
          <w:cantSplit/>
        </w:trPr>
        <w:tc>
          <w:tcPr>
            <w:tcW w:w="1218" w:type="dxa"/>
            <w:vMerge/>
            <w:hideMark/>
          </w:tcPr>
          <w:p w:rsidR="005F7EEC" w:rsidRPr="00A95A85" w:rsidP="00CA0464" w14:paraId="699FAD61" w14:textId="77777777">
            <w:pPr>
              <w:pStyle w:val="TableText"/>
              <w:rPr>
                <w:rFonts w:cs="Calibri"/>
                <w:color w:val="000000"/>
              </w:rPr>
            </w:pPr>
          </w:p>
        </w:tc>
        <w:tc>
          <w:tcPr>
            <w:tcW w:w="2766" w:type="dxa"/>
            <w:vMerge/>
            <w:shd w:val="clear" w:color="auto" w:fill="F2F2F2" w:themeFill="background1" w:themeFillShade="F2"/>
            <w:hideMark/>
          </w:tcPr>
          <w:p w:rsidR="005F7EEC" w:rsidRPr="00A95A85" w:rsidP="00CA0464" w14:paraId="2DCB6032" w14:textId="77777777">
            <w:pPr>
              <w:pStyle w:val="TableText"/>
              <w:rPr>
                <w:rFonts w:cs="Calibri"/>
                <w:color w:val="000000"/>
              </w:rPr>
            </w:pPr>
          </w:p>
        </w:tc>
        <w:tc>
          <w:tcPr>
            <w:tcW w:w="3401" w:type="dxa"/>
            <w:shd w:val="clear" w:color="auto" w:fill="F2F2F2" w:themeFill="background1" w:themeFillShade="F2"/>
            <w:hideMark/>
          </w:tcPr>
          <w:p w:rsidR="005F7EEC" w:rsidRPr="00FA67A2" w:rsidP="00CA0464" w14:paraId="6E361E9A" w14:textId="77777777">
            <w:pPr>
              <w:pStyle w:val="LTableTextAbt"/>
              <w:rPr>
                <w:rFonts w:cs="Calibri"/>
              </w:rPr>
            </w:pPr>
            <w:r w:rsidRPr="00FA67A2">
              <w:rPr>
                <w:rFonts w:cs="Calibri"/>
              </w:rPr>
              <w:t>Hazardous landfill</w:t>
            </w:r>
          </w:p>
        </w:tc>
        <w:tc>
          <w:tcPr>
            <w:tcW w:w="1800" w:type="dxa"/>
            <w:vMerge/>
            <w:shd w:val="clear" w:color="auto" w:fill="F2F2F2" w:themeFill="background1" w:themeFillShade="F2"/>
          </w:tcPr>
          <w:p w:rsidR="005F7EEC" w:rsidRPr="00FA67A2" w:rsidP="00CA0464" w14:paraId="2D40DBE1" w14:textId="77777777">
            <w:pPr>
              <w:jc w:val="center"/>
              <w:rPr>
                <w:rFonts w:ascii="Arial Narrow" w:hAnsi="Arial Narrow" w:cs="Calibri"/>
                <w:color w:val="000000"/>
              </w:rPr>
            </w:pPr>
          </w:p>
        </w:tc>
      </w:tr>
      <w:tr w14:paraId="2BCF5A77" w14:textId="77777777" w:rsidTr="00A032E7">
        <w:tblPrEx>
          <w:tblW w:w="5000" w:type="pct"/>
          <w:tblInd w:w="-5" w:type="dxa"/>
          <w:tblLayout w:type="fixed"/>
          <w:tblLook w:val="04A0"/>
        </w:tblPrEx>
        <w:trPr>
          <w:cantSplit/>
        </w:trPr>
        <w:tc>
          <w:tcPr>
            <w:tcW w:w="1218" w:type="dxa"/>
            <w:vMerge/>
            <w:hideMark/>
          </w:tcPr>
          <w:p w:rsidR="005F7EEC" w:rsidRPr="00A95A85" w:rsidP="00CA0464" w14:paraId="2FC4C6C1" w14:textId="77777777">
            <w:pPr>
              <w:pStyle w:val="TableText"/>
              <w:rPr>
                <w:rFonts w:cs="Calibri"/>
                <w:color w:val="000000"/>
              </w:rPr>
            </w:pPr>
          </w:p>
        </w:tc>
        <w:tc>
          <w:tcPr>
            <w:tcW w:w="2766" w:type="dxa"/>
            <w:vMerge/>
            <w:shd w:val="clear" w:color="auto" w:fill="F2F2F2" w:themeFill="background1" w:themeFillShade="F2"/>
            <w:hideMark/>
          </w:tcPr>
          <w:p w:rsidR="005F7EEC" w:rsidRPr="00A95A85" w:rsidP="00CA0464" w14:paraId="2B09A651" w14:textId="77777777">
            <w:pPr>
              <w:pStyle w:val="TableText"/>
              <w:rPr>
                <w:rFonts w:cs="Calibri"/>
                <w:color w:val="000000"/>
              </w:rPr>
            </w:pPr>
          </w:p>
        </w:tc>
        <w:tc>
          <w:tcPr>
            <w:tcW w:w="3401" w:type="dxa"/>
            <w:shd w:val="clear" w:color="auto" w:fill="F2F2F2" w:themeFill="background1" w:themeFillShade="F2"/>
            <w:hideMark/>
          </w:tcPr>
          <w:p w:rsidR="005F7EEC" w:rsidRPr="00FA67A2" w:rsidP="00CA0464" w14:paraId="2C3E40DA" w14:textId="77777777">
            <w:pPr>
              <w:pStyle w:val="LTableTextAbt"/>
              <w:rPr>
                <w:rFonts w:cs="Calibri"/>
              </w:rPr>
            </w:pPr>
            <w:r w:rsidRPr="00FA67A2">
              <w:rPr>
                <w:rFonts w:cs="Calibri"/>
              </w:rPr>
              <w:t>Other land disposal</w:t>
            </w:r>
          </w:p>
        </w:tc>
        <w:tc>
          <w:tcPr>
            <w:tcW w:w="1800" w:type="dxa"/>
            <w:vMerge/>
            <w:shd w:val="clear" w:color="auto" w:fill="F2F2F2" w:themeFill="background1" w:themeFillShade="F2"/>
          </w:tcPr>
          <w:p w:rsidR="005F7EEC" w:rsidRPr="00FA67A2" w:rsidP="00CA0464" w14:paraId="6B4AB359" w14:textId="77777777">
            <w:pPr>
              <w:jc w:val="center"/>
              <w:rPr>
                <w:rFonts w:ascii="Arial Narrow" w:hAnsi="Arial Narrow" w:cs="Calibri"/>
              </w:rPr>
            </w:pPr>
          </w:p>
        </w:tc>
      </w:tr>
      <w:tr w14:paraId="0605206A" w14:textId="77777777" w:rsidTr="00A032E7">
        <w:tblPrEx>
          <w:tblW w:w="5000" w:type="pct"/>
          <w:tblInd w:w="-5" w:type="dxa"/>
          <w:tblLayout w:type="fixed"/>
          <w:tblLook w:val="04A0"/>
        </w:tblPrEx>
        <w:trPr>
          <w:cantSplit/>
        </w:trPr>
        <w:tc>
          <w:tcPr>
            <w:tcW w:w="1218" w:type="dxa"/>
            <w:vMerge/>
            <w:hideMark/>
          </w:tcPr>
          <w:p w:rsidR="005F7EEC" w:rsidRPr="00A95A85" w:rsidP="00CA0464" w14:paraId="4CCE47E5" w14:textId="77777777">
            <w:pPr>
              <w:pStyle w:val="TableText"/>
              <w:rPr>
                <w:rFonts w:cs="Calibri"/>
                <w:color w:val="000000"/>
              </w:rPr>
            </w:pPr>
          </w:p>
        </w:tc>
        <w:tc>
          <w:tcPr>
            <w:tcW w:w="2766" w:type="dxa"/>
            <w:vMerge/>
            <w:shd w:val="clear" w:color="auto" w:fill="F2F2F2" w:themeFill="background1" w:themeFillShade="F2"/>
            <w:hideMark/>
          </w:tcPr>
          <w:p w:rsidR="005F7EEC" w:rsidRPr="00A95A85" w:rsidP="00CA0464" w14:paraId="20A8ECAB" w14:textId="77777777">
            <w:pPr>
              <w:pStyle w:val="TableText"/>
              <w:rPr>
                <w:rFonts w:cs="Calibri"/>
                <w:color w:val="000000"/>
              </w:rPr>
            </w:pPr>
          </w:p>
        </w:tc>
        <w:tc>
          <w:tcPr>
            <w:tcW w:w="3401" w:type="dxa"/>
            <w:shd w:val="clear" w:color="auto" w:fill="F2F2F2" w:themeFill="background1" w:themeFillShade="F2"/>
            <w:hideMark/>
          </w:tcPr>
          <w:p w:rsidR="005F7EEC" w:rsidRPr="00FA67A2" w:rsidP="00CA0464" w14:paraId="0B8C12BF" w14:textId="77777777">
            <w:pPr>
              <w:pStyle w:val="LTableTextAbt"/>
              <w:rPr>
                <w:rFonts w:cs="Calibri"/>
              </w:rPr>
            </w:pPr>
            <w:r w:rsidRPr="00FA67A2">
              <w:rPr>
                <w:rFonts w:cs="Calibri"/>
              </w:rPr>
              <w:t>Municipal waste incinerator</w:t>
            </w:r>
          </w:p>
        </w:tc>
        <w:tc>
          <w:tcPr>
            <w:tcW w:w="1800" w:type="dxa"/>
            <w:vMerge/>
            <w:shd w:val="clear" w:color="auto" w:fill="F2F2F2" w:themeFill="background1" w:themeFillShade="F2"/>
          </w:tcPr>
          <w:p w:rsidR="005F7EEC" w:rsidRPr="00FA67A2" w:rsidP="00CA0464" w14:paraId="17B7ECD3" w14:textId="77777777">
            <w:pPr>
              <w:jc w:val="center"/>
              <w:rPr>
                <w:rFonts w:ascii="Arial Narrow" w:hAnsi="Arial Narrow" w:cs="Calibri"/>
              </w:rPr>
            </w:pPr>
          </w:p>
        </w:tc>
      </w:tr>
      <w:tr w14:paraId="23500ABB" w14:textId="77777777" w:rsidTr="00A032E7">
        <w:tblPrEx>
          <w:tblW w:w="5000" w:type="pct"/>
          <w:tblInd w:w="-5" w:type="dxa"/>
          <w:tblLayout w:type="fixed"/>
          <w:tblLook w:val="04A0"/>
        </w:tblPrEx>
        <w:trPr>
          <w:cantSplit/>
        </w:trPr>
        <w:tc>
          <w:tcPr>
            <w:tcW w:w="1218" w:type="dxa"/>
            <w:vMerge/>
            <w:hideMark/>
          </w:tcPr>
          <w:p w:rsidR="005F7EEC" w:rsidRPr="00A95A85" w:rsidP="00CA0464" w14:paraId="0DB93A1C" w14:textId="77777777">
            <w:pPr>
              <w:pStyle w:val="TableText"/>
              <w:rPr>
                <w:rFonts w:cs="Calibri"/>
                <w:color w:val="000000"/>
              </w:rPr>
            </w:pPr>
          </w:p>
        </w:tc>
        <w:tc>
          <w:tcPr>
            <w:tcW w:w="2766" w:type="dxa"/>
            <w:vMerge/>
            <w:shd w:val="clear" w:color="auto" w:fill="F2F2F2" w:themeFill="background1" w:themeFillShade="F2"/>
            <w:hideMark/>
          </w:tcPr>
          <w:p w:rsidR="005F7EEC" w:rsidRPr="00A95A85" w:rsidP="00CA0464" w14:paraId="15F6EF1C" w14:textId="77777777">
            <w:pPr>
              <w:pStyle w:val="TableText"/>
              <w:rPr>
                <w:rFonts w:cs="Calibri"/>
                <w:color w:val="000000"/>
              </w:rPr>
            </w:pPr>
          </w:p>
        </w:tc>
        <w:tc>
          <w:tcPr>
            <w:tcW w:w="3401" w:type="dxa"/>
            <w:shd w:val="clear" w:color="auto" w:fill="F2F2F2" w:themeFill="background1" w:themeFillShade="F2"/>
            <w:hideMark/>
          </w:tcPr>
          <w:p w:rsidR="005F7EEC" w:rsidRPr="00FA67A2" w:rsidP="00CA0464" w14:paraId="3D3FBBB8" w14:textId="77777777">
            <w:pPr>
              <w:pStyle w:val="LTableTextAbt"/>
              <w:rPr>
                <w:rFonts w:cs="Calibri"/>
              </w:rPr>
            </w:pPr>
            <w:r w:rsidRPr="00FA67A2">
              <w:rPr>
                <w:rFonts w:cs="Calibri"/>
              </w:rPr>
              <w:t>Hazardous waste incinerator</w:t>
            </w:r>
          </w:p>
        </w:tc>
        <w:tc>
          <w:tcPr>
            <w:tcW w:w="1800" w:type="dxa"/>
            <w:vMerge/>
            <w:shd w:val="clear" w:color="auto" w:fill="F2F2F2" w:themeFill="background1" w:themeFillShade="F2"/>
          </w:tcPr>
          <w:p w:rsidR="005F7EEC" w:rsidRPr="00FA67A2" w:rsidP="00CA0464" w14:paraId="511164AC" w14:textId="77777777">
            <w:pPr>
              <w:jc w:val="center"/>
              <w:rPr>
                <w:rFonts w:ascii="Arial Narrow" w:hAnsi="Arial Narrow" w:cs="Calibri"/>
                <w:color w:val="000000"/>
              </w:rPr>
            </w:pPr>
          </w:p>
        </w:tc>
      </w:tr>
      <w:tr w14:paraId="78A83EDE" w14:textId="77777777" w:rsidTr="00A032E7">
        <w:tblPrEx>
          <w:tblW w:w="5000" w:type="pct"/>
          <w:tblInd w:w="-5" w:type="dxa"/>
          <w:tblLayout w:type="fixed"/>
          <w:tblLook w:val="04A0"/>
        </w:tblPrEx>
        <w:trPr>
          <w:cantSplit/>
        </w:trPr>
        <w:tc>
          <w:tcPr>
            <w:tcW w:w="1218" w:type="dxa"/>
            <w:vMerge/>
            <w:hideMark/>
          </w:tcPr>
          <w:p w:rsidR="005F7EEC" w:rsidRPr="00A95A85" w:rsidP="00CA0464" w14:paraId="50B85F28" w14:textId="77777777">
            <w:pPr>
              <w:pStyle w:val="TableText"/>
              <w:rPr>
                <w:rFonts w:cs="Calibri"/>
                <w:color w:val="000000"/>
              </w:rPr>
            </w:pPr>
          </w:p>
        </w:tc>
        <w:tc>
          <w:tcPr>
            <w:tcW w:w="2766" w:type="dxa"/>
            <w:vMerge/>
            <w:shd w:val="clear" w:color="auto" w:fill="F2F2F2" w:themeFill="background1" w:themeFillShade="F2"/>
            <w:hideMark/>
          </w:tcPr>
          <w:p w:rsidR="005F7EEC" w:rsidRPr="00A95A85" w:rsidP="00CA0464" w14:paraId="4C27565A" w14:textId="77777777">
            <w:pPr>
              <w:pStyle w:val="TableText"/>
              <w:rPr>
                <w:rFonts w:cs="Calibri"/>
                <w:color w:val="000000"/>
              </w:rPr>
            </w:pPr>
          </w:p>
        </w:tc>
        <w:tc>
          <w:tcPr>
            <w:tcW w:w="3401" w:type="dxa"/>
            <w:shd w:val="clear" w:color="auto" w:fill="F2F2F2" w:themeFill="background1" w:themeFillShade="F2"/>
            <w:hideMark/>
          </w:tcPr>
          <w:p w:rsidR="005F7EEC" w:rsidRPr="00FA67A2" w:rsidP="00CA0464" w14:paraId="1C2885DA" w14:textId="77777777">
            <w:pPr>
              <w:pStyle w:val="LTableTextAbt"/>
              <w:rPr>
                <w:rFonts w:cs="Calibri"/>
              </w:rPr>
            </w:pPr>
            <w:r w:rsidRPr="00FA67A2">
              <w:rPr>
                <w:rFonts w:cs="Calibri"/>
              </w:rPr>
              <w:t>Off-site waste transfer</w:t>
            </w:r>
          </w:p>
        </w:tc>
        <w:tc>
          <w:tcPr>
            <w:tcW w:w="1800" w:type="dxa"/>
            <w:vMerge/>
            <w:shd w:val="clear" w:color="auto" w:fill="F2F2F2" w:themeFill="background1" w:themeFillShade="F2"/>
          </w:tcPr>
          <w:p w:rsidR="005F7EEC" w:rsidRPr="00FA67A2" w:rsidP="00CA0464" w14:paraId="59A3B6CA" w14:textId="77777777">
            <w:pPr>
              <w:jc w:val="center"/>
              <w:rPr>
                <w:rFonts w:ascii="Arial Narrow" w:hAnsi="Arial Narrow" w:cs="Calibri"/>
              </w:rPr>
            </w:pPr>
          </w:p>
        </w:tc>
      </w:tr>
      <w:tr w14:paraId="0BB3CD3A" w14:textId="77777777" w:rsidTr="00A032E7">
        <w:tblPrEx>
          <w:tblW w:w="5000" w:type="pct"/>
          <w:tblInd w:w="-5" w:type="dxa"/>
          <w:tblLayout w:type="fixed"/>
          <w:tblLook w:val="04A0"/>
        </w:tblPrEx>
        <w:trPr>
          <w:cantSplit/>
        </w:trPr>
        <w:tc>
          <w:tcPr>
            <w:tcW w:w="9185" w:type="dxa"/>
            <w:gridSpan w:val="4"/>
          </w:tcPr>
          <w:p w:rsidR="005F7EEC" w:rsidRPr="00A95A85" w:rsidP="00CA0464" w14:paraId="6980C288" w14:textId="64ECD22E">
            <w:pPr>
              <w:pStyle w:val="TableNote0"/>
            </w:pPr>
            <w:r w:rsidRPr="00A95A85">
              <w:t xml:space="preserve">Source: </w:t>
            </w:r>
            <w:hyperlink w:anchor="_ENREF_65" w:tooltip="U.S. Environmental Protection Agency (EPA), 2021 #61" w:history="1">
              <w:r w:rsidRPr="00CA6588" w:rsidR="003D6084">
                <w:fldChar w:fldCharType="begin" w:fldLock="1"/>
              </w:r>
              <w:r w:rsidR="003D6084">
                <w:instrText xml:space="preserve"> ADDIN EN.CITE &lt;EndNote&gt;&lt;Cite ExcludeAuth="1"&gt;&lt;Author&gt;U.S. Environmental Protection Agency (EPA)&lt;/Author&gt;&lt;Year&gt;2021&lt;/Year&gt;&lt;RecNum&gt;61&lt;/RecNum&gt;&lt;Prefix&gt;EPA &lt;/Prefix&gt;&lt;DisplayText&gt;EPA 2021e&lt;/DisplayText&gt;&lt;record&gt;&lt;rec-number&gt;61&lt;/rec-number&gt;&lt;foreign-keys&gt;&lt;key app="EN" db-id="2apzr05radv9fjet2w6xxwdlz5e9vwfxredw" timestamp="1730757315"&gt;61&lt;/key&gt;&lt;/foreign-keys&gt;&lt;ref-type name="Generic"&gt;13&lt;/ref-type&gt;&lt;contributors&gt;&lt;authors&gt;&lt;author&gt;U.S. Environmental Protection Agency (EPA),&lt;/author&gt;&lt;/authors&gt;&lt;subsidiary-authors&gt;&lt;author&gt;Office of Chemical Safety and Pollution Prevention&lt;/author&gt;&lt;/subsidiary-authors&gt;&lt;/contributors&gt;&lt;titles&gt;&lt;title&gt;Risk Evaluation for C.I. Pigment Violet 29 (Anthra[2,1,9-def:6,5,10-d&amp;apos;e&amp;apos;f&amp;apos;]diisoquinoline-1,3,8,10(2H,9H)-tetrone)&lt;/title&gt;&lt;/titles&gt;&lt;number&gt;# 740-R-18-015&lt;/number&gt;&lt;dates&gt;&lt;year&gt;2021&lt;/year&gt;&lt;/dates&gt;&lt;urls&gt;&lt;/urls&gt;&lt;/record&gt;&lt;/Cite&gt;&lt;/EndNote&gt;</w:instrText>
              </w:r>
              <w:r w:rsidRPr="00CA6588" w:rsidR="003D6084">
                <w:fldChar w:fldCharType="separate"/>
              </w:r>
              <w:r w:rsidR="003D6084">
                <w:rPr>
                  <w:noProof/>
                </w:rPr>
                <w:t>EPA 2021e</w:t>
              </w:r>
              <w:r w:rsidRPr="00CA6588" w:rsidR="003D6084">
                <w:fldChar w:fldCharType="end"/>
              </w:r>
            </w:hyperlink>
          </w:p>
        </w:tc>
      </w:tr>
    </w:tbl>
    <w:p w:rsidR="005F7EEC" w:rsidRPr="00A95A85" w:rsidP="005F7EEC" w14:paraId="0BD4DA2E" w14:textId="77777777">
      <w:pPr>
        <w:pStyle w:val="BodyText"/>
      </w:pPr>
    </w:p>
    <w:p w:rsidR="005F7EEC" w:rsidRPr="00A95A85" w:rsidP="005F7EEC" w14:paraId="6C9A3EB7" w14:textId="6A02ECFD">
      <w:pPr>
        <w:pStyle w:val="BodyText"/>
      </w:pPr>
      <w:r w:rsidRPr="2E672E6A">
        <w:rPr>
          <w:lang w:val="en-US"/>
        </w:rPr>
        <w:t>This economic analysis will focus only on the 10 COUs where an unreasonable risk was found. Additionally, as indicated in the 2021 Risk Evaluation</w:t>
      </w:r>
      <w:r w:rsidR="008415CF">
        <w:rPr>
          <w:lang w:val="en-US"/>
        </w:rPr>
        <w:t xml:space="preserve"> (</w:t>
      </w:r>
      <w:hyperlink w:anchor="_ENREF_65" w:tooltip="U.S. Environmental Protection Agency (EPA), 2021 #61" w:history="1">
        <w:r w:rsidRPr="00CA6588" w:rsidR="003D6084">
          <w:fldChar w:fldCharType="begin" w:fldLock="1"/>
        </w:r>
        <w:r w:rsidR="003D6084">
          <w:instrText xml:space="preserve"> ADDIN EN.CITE &lt;EndNote&gt;&lt;Cite ExcludeAuth="1"&gt;&lt;Author&gt;U.S. Environmental Protection Agency (EPA)&lt;/Author&gt;&lt;Year&gt;2021&lt;/Year&gt;&lt;RecNum&gt;61&lt;/RecNum&gt;&lt;Prefix&gt;EPA &lt;/Prefix&gt;&lt;DisplayText&gt;EPA 2021e&lt;/DisplayText&gt;&lt;record&gt;&lt;rec-number&gt;61&lt;/rec-number&gt;&lt;foreign-keys&gt;&lt;key app="EN" db-id="2apzr05radv9fjet2w6xxwdlz5e9vwfxredw" timestamp="1730757315"&gt;61&lt;/key&gt;&lt;/foreign-keys&gt;&lt;ref-type name="Generic"&gt;13&lt;/ref-type&gt;&lt;contributors&gt;&lt;authors&gt;&lt;author&gt;U.S. Environmental Protection Agency (EPA),&lt;/author&gt;&lt;/authors&gt;&lt;subsidiary-authors&gt;&lt;author&gt;Office of Chemical Safety and Pollution Prevention&lt;/author&gt;&lt;/subsidiary-authors&gt;&lt;/contributors&gt;&lt;titles&gt;&lt;title&gt;Risk Evaluation for C.I. Pigment Violet 29 (Anthra[2,1,9-def:6,5,10-d&amp;apos;e&amp;apos;f&amp;apos;]diisoquinoline-1,3,8,10(2H,9H)-tetrone)&lt;/title&gt;&lt;/titles&gt;&lt;number&gt;# 740-R-18-015&lt;/number&gt;&lt;dates&gt;&lt;year&gt;2021&lt;/year&gt;&lt;/dates&gt;&lt;urls&gt;&lt;/urls&gt;&lt;/record&gt;&lt;/Cite&gt;&lt;/EndNote&gt;</w:instrText>
        </w:r>
        <w:r w:rsidRPr="00CA6588" w:rsidR="003D6084">
          <w:fldChar w:fldCharType="separate"/>
        </w:r>
        <w:r w:rsidR="003D6084">
          <w:rPr>
            <w:noProof/>
          </w:rPr>
          <w:t>EPA 2021e</w:t>
        </w:r>
        <w:r w:rsidRPr="00CA6588" w:rsidR="003D6084">
          <w:fldChar w:fldCharType="end"/>
        </w:r>
      </w:hyperlink>
      <w:r w:rsidR="008415CF">
        <w:rPr>
          <w:lang w:val="en-US"/>
        </w:rPr>
        <w:t>)</w:t>
      </w:r>
      <w:r w:rsidRPr="2E672E6A">
        <w:rPr>
          <w:lang w:val="en-US"/>
        </w:rPr>
        <w:t>, once PV29 is encapsulated into plastics, paints, and inks, it is not expected to be reactive or leachable. EPA expanded on this point in a 2024 memo, stating that encapsulated PV29 and thus would not be biologically available, implying it will not present the same human health hazards of dry powder PV29</w:t>
      </w:r>
      <w:r w:rsidR="00631C4E">
        <w:rPr>
          <w:lang w:val="en-US"/>
        </w:rPr>
        <w:t xml:space="preserve"> (</w:t>
      </w:r>
      <w:hyperlink w:anchor="_ENREF_68" w:tooltip="U.S. Environmental Protection Agency (EPA), 2024 #67" w:history="1">
        <w:r w:rsidR="003D6084">
          <w:rPr>
            <w:lang w:val="en-US"/>
          </w:rPr>
          <w:fldChar w:fldCharType="begin" w:fldLock="1"/>
        </w:r>
        <w:r w:rsidR="003D6084">
          <w:rPr>
            <w:lang w:val="en-US"/>
          </w:rPr>
          <w:instrText xml:space="preserve"> ADDIN EN.CITE &lt;EndNote&gt;&lt;Cite ExcludeAuth="1"&gt;&lt;Author&gt;U.S. Environmental Protection Agency (EPA)&lt;/Author&gt;&lt;Year&gt;2024&lt;/Year&gt;&lt;RecNum&gt;67&lt;/RecNum&gt;&lt;Prefix&gt;EPA &lt;/Prefix&gt;&lt;DisplayText&gt;EPA 2024&lt;/DisplayText&gt;&lt;record&gt;&lt;rec-number&gt;67&lt;/rec-number&gt;&lt;foreign-keys&gt;&lt;key app="EN" db-id="2apzr05radv9fjet2w6xxwdlz5e9vwfxredw" timestamp="1730757315"&gt;67&lt;/key&gt;&lt;/foreign-keys&gt;&lt;ref-type name="Generic"&gt;13&lt;/ref-type&gt;&lt;contributors&gt;&lt;authors&gt;&lt;author&gt;U.S. Environmental Protection Agency (EPA),&lt;/author&gt;&lt;/authors&gt;&lt;/contributors&gt;&lt;titles&gt;&lt;title&gt;ECRAD Response to CPMA Comments Following Small Business Advocacy Review Panel Outreach Meeting on Proposed PV29 Risk Management Rulemaking&lt;/title&gt;&lt;/titles&gt;&lt;dates&gt;&lt;year&gt;2024&lt;/year&gt;&lt;/dates&gt;&lt;urls&gt;&lt;/urls&gt;&lt;/record&gt;&lt;/Cite&gt;&lt;/EndNote&gt;</w:instrText>
        </w:r>
        <w:r w:rsidR="003D6084">
          <w:rPr>
            <w:lang w:val="en-US"/>
          </w:rPr>
          <w:fldChar w:fldCharType="separate"/>
        </w:r>
        <w:r w:rsidR="003D6084">
          <w:rPr>
            <w:noProof/>
            <w:lang w:val="en-US"/>
          </w:rPr>
          <w:t>EPA 2024</w:t>
        </w:r>
        <w:r w:rsidR="003D6084">
          <w:rPr>
            <w:lang w:val="en-US"/>
          </w:rPr>
          <w:fldChar w:fldCharType="end"/>
        </w:r>
      </w:hyperlink>
      <w:r w:rsidR="00631C4E">
        <w:rPr>
          <w:lang w:val="en-US"/>
        </w:rPr>
        <w:t>)</w:t>
      </w:r>
      <w:r w:rsidRPr="2E672E6A">
        <w:rPr>
          <w:lang w:val="en-US"/>
        </w:rPr>
        <w:t xml:space="preserve">. This information was factored into the development of the regulatory options considered for the proposed PV29 rule. These options, described in </w:t>
      </w:r>
      <w:r w:rsidR="00F657F5">
        <w:rPr>
          <w:lang w:val="en-US"/>
        </w:rPr>
        <w:t>the next section</w:t>
      </w:r>
      <w:r w:rsidR="00815556">
        <w:rPr>
          <w:lang w:val="en-US"/>
        </w:rPr>
        <w:t>,</w:t>
      </w:r>
      <w:r w:rsidRPr="2E672E6A">
        <w:rPr>
          <w:lang w:val="en-US"/>
        </w:rPr>
        <w:t xml:space="preserve"> address the risk from exposure to dry powder PV29, also called regulated PV29 through this analysis.</w:t>
      </w:r>
    </w:p>
    <w:p w:rsidR="005F7EEC" w:rsidRPr="009723D6" w:rsidP="009723D6" w14:paraId="41445E92" w14:textId="77777777">
      <w:pPr>
        <w:pStyle w:val="BodyText"/>
      </w:pPr>
    </w:p>
    <w:p w:rsidR="00F97378" w:rsidP="00F97378" w14:paraId="478319C3" w14:textId="418F9DCB">
      <w:pPr>
        <w:pStyle w:val="Heading2NoNumbering"/>
      </w:pPr>
      <w:bookmarkStart w:id="5" w:name="_Toc184299496"/>
      <w:r w:rsidRPr="00B56426">
        <w:t>Regulatory Options Analyzed</w:t>
      </w:r>
      <w:bookmarkEnd w:id="5"/>
    </w:p>
    <w:p w:rsidR="00386D38" w:rsidP="006F660B" w14:paraId="1E8D0A45" w14:textId="1B7109CD">
      <w:pPr>
        <w:pStyle w:val="BodyText"/>
        <w:rPr>
          <w:rStyle w:val="normaltextrun"/>
          <w:lang w:val="en-US"/>
        </w:rPr>
      </w:pPr>
      <w:r w:rsidRPr="59AB28F8">
        <w:rPr>
          <w:lang w:val="en-US"/>
        </w:rPr>
        <w:t>Pursuant to TSCA section 6(b), EPA determined that PV29 presents an unreasonable risk of injury to health, without consideration of costs or other nonrisk factors, including an unreasonable risk to potentially exposed or susceptible subpopulations (PESS) identified as relevant to the Risk Evaluation for C.I. Pigment Violet 29, under the conditions of use</w:t>
      </w:r>
      <w:r w:rsidRPr="59AB28F8" w:rsidR="0029670C">
        <w:rPr>
          <w:lang w:val="en-US"/>
        </w:rPr>
        <w:t xml:space="preserve"> (</w:t>
      </w:r>
      <w:hyperlink w:anchor="_ENREF_65" w:tooltip="U.S. Environmental Protection Agency (EPA), 2021 #61" w:history="1">
        <w:r w:rsidR="003D6084">
          <w:fldChar w:fldCharType="begin" w:fldLock="1"/>
        </w:r>
        <w:r w:rsidR="003D6084">
          <w:instrText xml:space="preserve"> ADDIN EN.CITE &lt;EndNote&gt;&lt;Cite ExcludeAuth="1"&gt;&lt;Author&gt;U.S. Environmental Protection Agency (EPA)&lt;/Author&gt;&lt;Year&gt;2021&lt;/Year&gt;&lt;RecNum&gt;61&lt;/RecNum&gt;&lt;Prefix&gt;EPA &lt;/Prefix&gt;&lt;DisplayText&gt;EPA 2021e&lt;/DisplayText&gt;&lt;record&gt;&lt;rec-number&gt;61&lt;/rec-number&gt;&lt;foreign-keys&gt;&lt;key app="EN" db-id="2apzr05radv9fjet2w6xxwdlz5e9vwfxredw" timestamp="1730757315"&gt;61&lt;/key&gt;&lt;/foreign-keys&gt;&lt;ref-type name="Generic"&gt;13&lt;/ref-type&gt;&lt;contributors&gt;&lt;authors&gt;&lt;author&gt;U.S. Environmental Protection Agency (EPA),&lt;/author&gt;&lt;/authors&gt;&lt;subsidiary-authors&gt;&lt;author&gt;Office of Chemical Safety and Pollution Prevention&lt;/author&gt;&lt;/subsidiary-authors&gt;&lt;/contributors&gt;&lt;titles&gt;&lt;title&gt;Risk Evaluation for C.I. Pigment Violet 29 (Anthra[2,1,9-def:6,5,10-d&amp;apos;e&amp;apos;f&amp;apos;]diisoquinoline-1,3,8,10(2H,9H)-tetrone)&lt;/title&gt;&lt;/titles&gt;&lt;number&gt;# 740-R-18-015&lt;/number&gt;&lt;dates&gt;&lt;year&gt;2021&lt;/year&gt;&lt;/dates&gt;&lt;urls&gt;&lt;/urls&gt;&lt;/record&gt;&lt;/Cite&gt;&lt;/EndNote&gt;</w:instrText>
        </w:r>
        <w:r w:rsidR="003D6084">
          <w:fldChar w:fldCharType="separate"/>
        </w:r>
        <w:r w:rsidR="003D6084">
          <w:rPr>
            <w:noProof/>
          </w:rPr>
          <w:t>EPA 2021e</w:t>
        </w:r>
        <w:r w:rsidR="003D6084">
          <w:fldChar w:fldCharType="end"/>
        </w:r>
      </w:hyperlink>
      <w:r w:rsidRPr="59AB28F8" w:rsidR="00015B2F">
        <w:rPr>
          <w:lang w:val="en-US"/>
        </w:rPr>
        <w:t xml:space="preserve">; </w:t>
      </w:r>
      <w:hyperlink w:anchor="_ENREF_66" w:tooltip="U.S. Environmental Protection Agency (EPA), 2022 #65" w:history="1">
        <w:r w:rsidR="003D6084">
          <w:fldChar w:fldCharType="begin" w:fldLock="1"/>
        </w:r>
        <w:r w:rsidR="003D6084">
          <w:instrText xml:space="preserve"> ADDIN EN.CITE &lt;EndNote&gt;&lt;Cite ExcludeAuth="1"&gt;&lt;Author&gt;U.S. Environmental Protection Agency (EPA)&lt;/Author&gt;&lt;Year&gt;2022&lt;/Year&gt;&lt;RecNum&gt;65&lt;/RecNum&gt;&lt;DisplayText&gt;2022&lt;/DisplayText&gt;&lt;record&gt;&lt;rec-number&gt;65&lt;/rec-number&gt;&lt;foreign-keys&gt;&lt;key app="EN" db-id="2apzr05radv9fjet2w6xxwdlz5e9vwfxredw" timestamp="1730757315"&gt;65&lt;/key&gt;&lt;/foreign-keys&gt;&lt;ref-type name="Generic"&gt;13&lt;/ref-type&gt;&lt;contributors&gt;&lt;authors&gt;&lt;author&gt;U.S. Environmental Protection Agency (EPA),&lt;/author&gt;&lt;/authors&gt;&lt;/contributors&gt;&lt;titles&gt;&lt;title&gt;Final Revised Unreasonable Risk Determination for C.I. Pigment Violet 29&lt;/title&gt;&lt;/titles&gt;&lt;dates&gt;&lt;year&gt;2022&lt;/year&gt;&lt;pub-dates&gt;&lt;date&gt;August 2022&lt;/date&gt;&lt;/pub-dates&gt;&lt;/dates&gt;&lt;urls&gt;&lt;/urls&gt;&lt;/record&gt;&lt;/Cite&gt;&lt;/EndNote&gt;</w:instrText>
        </w:r>
        <w:r w:rsidR="003D6084">
          <w:fldChar w:fldCharType="separate"/>
        </w:r>
        <w:r w:rsidRPr="59AB28F8" w:rsidR="003D6084">
          <w:rPr>
            <w:noProof/>
            <w:lang w:val="en-US"/>
          </w:rPr>
          <w:t>2022</w:t>
        </w:r>
        <w:r w:rsidR="003D6084">
          <w:fldChar w:fldCharType="end"/>
        </w:r>
      </w:hyperlink>
      <w:r w:rsidRPr="59AB28F8" w:rsidR="0029670C">
        <w:rPr>
          <w:lang w:val="en-US"/>
        </w:rPr>
        <w:t>)</w:t>
      </w:r>
      <w:r w:rsidRPr="59AB28F8">
        <w:rPr>
          <w:rStyle w:val="normaltextrun"/>
          <w:lang w:val="en-US"/>
        </w:rPr>
        <w:t xml:space="preserve">. </w:t>
      </w:r>
    </w:p>
    <w:p w:rsidR="005D4592" w:rsidRPr="0004618B" w:rsidP="006F660B" w14:paraId="07C3DA95" w14:textId="367DF513">
      <w:pPr>
        <w:pStyle w:val="BodyText"/>
      </w:pPr>
      <w:r>
        <w:fldChar w:fldCharType="begin" w:fldLock="1"/>
      </w:r>
      <w:r>
        <w:instrText xml:space="preserve"> REF _Ref180681888 \h </w:instrText>
      </w:r>
      <w:r>
        <w:fldChar w:fldCharType="separate"/>
      </w:r>
      <w:r w:rsidR="00735BBC">
        <w:t>Table ES-</w:t>
      </w:r>
      <w:r w:rsidR="00735BBC">
        <w:rPr>
          <w:noProof/>
        </w:rPr>
        <w:t>2</w:t>
      </w:r>
      <w:r>
        <w:fldChar w:fldCharType="end"/>
      </w:r>
      <w:r>
        <w:t xml:space="preserve"> presents a summary of the proposed and alternative regulatory option</w:t>
      </w:r>
      <w:r w:rsidR="00763602">
        <w:t xml:space="preserve">s. Both the proposed and </w:t>
      </w:r>
      <w:r w:rsidR="00EF623A">
        <w:t>altern</w:t>
      </w:r>
      <w:r w:rsidR="00512349">
        <w:t>a</w:t>
      </w:r>
      <w:r w:rsidR="00EF623A">
        <w:t>tive regulatory options apply to all conditions of use of PV29 in dry powder form</w:t>
      </w:r>
      <w:r w:rsidR="00512349">
        <w:t xml:space="preserve">, referred to in this economic analysis as “regulated PV29”. </w:t>
      </w:r>
      <w:r w:rsidR="00431B14">
        <w:t xml:space="preserve">As noted in the first column of </w:t>
      </w:r>
      <w:r w:rsidR="00431B14">
        <w:fldChar w:fldCharType="begin" w:fldLock="1"/>
      </w:r>
      <w:r w:rsidR="00431B14">
        <w:instrText xml:space="preserve"> REF _Ref180681888 \h </w:instrText>
      </w:r>
      <w:r w:rsidR="00431B14">
        <w:fldChar w:fldCharType="separate"/>
      </w:r>
      <w:r w:rsidR="00735BBC">
        <w:t>Table ES-</w:t>
      </w:r>
      <w:r w:rsidR="00735BBC">
        <w:rPr>
          <w:noProof/>
        </w:rPr>
        <w:t>2</w:t>
      </w:r>
      <w:r w:rsidR="00431B14">
        <w:fldChar w:fldCharType="end"/>
      </w:r>
      <w:r w:rsidR="00431B14">
        <w:t xml:space="preserve">, there are some conditions of use that EPA believes </w:t>
      </w:r>
      <w:r w:rsidR="00D046EF">
        <w:t xml:space="preserve">do not use regulated PV29 and therefore would only </w:t>
      </w:r>
      <w:r w:rsidR="00650436">
        <w:t xml:space="preserve">be subject to the requirements if they </w:t>
      </w:r>
      <w:r w:rsidR="00FC0116">
        <w:t>do, in fact, use regulated PV29 (PV29 in dry powder form).</w:t>
      </w:r>
    </w:p>
    <w:p w:rsidR="005D4592" w:rsidP="0004618B" w14:paraId="20D701D2" w14:textId="1F42A212">
      <w:pPr>
        <w:pStyle w:val="Caption"/>
      </w:pPr>
    </w:p>
    <w:tbl>
      <w:tblPr>
        <w:tblW w:w="5102"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0"/>
        <w:gridCol w:w="2657"/>
        <w:gridCol w:w="2657"/>
      </w:tblGrid>
      <w:tr w14:paraId="3C09A875" w14:textId="77777777" w:rsidTr="0E4AE1FD">
        <w:tblPrEx>
          <w:tblW w:w="5102"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blHeader/>
        </w:trPr>
        <w:tc>
          <w:tcPr>
            <w:tcW w:w="9184" w:type="dxa"/>
            <w:gridSpan w:val="3"/>
            <w:tcBorders>
              <w:top w:val="nil"/>
              <w:left w:val="nil"/>
              <w:bottom w:val="single" w:sz="4" w:space="0" w:color="auto"/>
              <w:right w:val="nil"/>
            </w:tcBorders>
            <w:shd w:val="clear" w:color="auto" w:fill="auto"/>
            <w:vAlign w:val="center"/>
          </w:tcPr>
          <w:p w:rsidR="00386D38" w:rsidRPr="00A95A85" w:rsidP="00CA0464" w14:paraId="2CC27B87" w14:textId="650D9F59">
            <w:pPr>
              <w:pStyle w:val="TableTitleA"/>
            </w:pPr>
            <w:bookmarkStart w:id="6" w:name="_Ref180681888"/>
            <w:bookmarkStart w:id="7" w:name="_Toc184299540"/>
            <w:r>
              <w:t>Table ES-</w:t>
            </w:r>
            <w:r>
              <w:fldChar w:fldCharType="begin" w:fldLock="1"/>
            </w:r>
            <w:r>
              <w:instrText>SEQ Table_ES- \* ARABIC</w:instrText>
            </w:r>
            <w:r>
              <w:fldChar w:fldCharType="separate"/>
            </w:r>
            <w:r w:rsidR="00735BBC">
              <w:rPr>
                <w:noProof/>
              </w:rPr>
              <w:t>2</w:t>
            </w:r>
            <w:r>
              <w:fldChar w:fldCharType="end"/>
            </w:r>
            <w:bookmarkEnd w:id="6"/>
            <w:r w:rsidRPr="00A95A85">
              <w:t xml:space="preserve">: </w:t>
            </w:r>
            <w:r w:rsidR="00A83E15">
              <w:t xml:space="preserve">Regulatory Options by </w:t>
            </w:r>
            <w:r w:rsidRPr="00A95A85">
              <w:t>Condition of Use</w:t>
            </w:r>
            <w:bookmarkEnd w:id="7"/>
            <w:r w:rsidRPr="00A95A85">
              <w:t xml:space="preserve"> </w:t>
            </w:r>
          </w:p>
        </w:tc>
      </w:tr>
      <w:tr w14:paraId="13836BC2" w14:textId="77777777" w:rsidTr="0E4AE1FD">
        <w:tblPrEx>
          <w:tblW w:w="5102" w:type="pct"/>
          <w:tblInd w:w="-180" w:type="dxa"/>
          <w:tblLayout w:type="fixed"/>
          <w:tblLook w:val="04A0"/>
        </w:tblPrEx>
        <w:trPr>
          <w:cantSplit/>
          <w:tblHeader/>
        </w:trPr>
        <w:tc>
          <w:tcPr>
            <w:tcW w:w="3870" w:type="dxa"/>
            <w:shd w:val="clear" w:color="auto" w:fill="013E5B"/>
            <w:noWrap/>
            <w:hideMark/>
          </w:tcPr>
          <w:p w:rsidR="00515E36" w:rsidRPr="00A95A85" w:rsidP="00CA0464" w14:paraId="35693F27" w14:textId="49F6702D">
            <w:pPr>
              <w:pStyle w:val="TableSubtitle"/>
            </w:pPr>
            <w:r>
              <w:t>Condition of Use</w:t>
            </w:r>
          </w:p>
        </w:tc>
        <w:tc>
          <w:tcPr>
            <w:tcW w:w="2657" w:type="dxa"/>
            <w:shd w:val="clear" w:color="auto" w:fill="013E5B"/>
            <w:hideMark/>
          </w:tcPr>
          <w:p w:rsidR="00515E36" w:rsidRPr="00A95A85" w:rsidP="00CA0464" w14:paraId="21A89D8D" w14:textId="50890B83">
            <w:pPr>
              <w:pStyle w:val="TableSubtitle"/>
            </w:pPr>
            <w:r>
              <w:t>Option 1 (Proposed)</w:t>
            </w:r>
          </w:p>
        </w:tc>
        <w:tc>
          <w:tcPr>
            <w:tcW w:w="2657" w:type="dxa"/>
            <w:shd w:val="clear" w:color="auto" w:fill="013E5B"/>
            <w:hideMark/>
          </w:tcPr>
          <w:p w:rsidR="00515E36" w:rsidRPr="00A95A85" w:rsidP="00CA0464" w14:paraId="0B0D2CFC" w14:textId="5B6D2C10">
            <w:pPr>
              <w:pStyle w:val="TableSubtitle"/>
            </w:pPr>
            <w:r>
              <w:t>Option 2 (Alternative)</w:t>
            </w:r>
          </w:p>
        </w:tc>
      </w:tr>
      <w:tr w14:paraId="3BDA7FA3" w14:textId="77777777" w:rsidTr="002E7CDF">
        <w:tblPrEx>
          <w:tblW w:w="5102" w:type="pct"/>
          <w:tblInd w:w="-180" w:type="dxa"/>
          <w:tblLayout w:type="fixed"/>
          <w:tblLook w:val="04A0"/>
        </w:tblPrEx>
        <w:trPr>
          <w:cantSplit/>
          <w:trHeight w:val="2520"/>
        </w:trPr>
        <w:tc>
          <w:tcPr>
            <w:tcW w:w="3870" w:type="dxa"/>
            <w:shd w:val="clear" w:color="auto" w:fill="auto"/>
            <w:noWrap/>
            <w:hideMark/>
          </w:tcPr>
          <w:p w:rsidR="009A3502" w:rsidP="009A3502" w14:paraId="1FCAF5B7" w14:textId="06C488F1">
            <w:pPr>
              <w:pStyle w:val="LTableTextAbt"/>
            </w:pPr>
            <w:r>
              <w:t>The following conditions of use are presumed to use Regulated PV29 and therefore would be subject to the requirements under the regulatory options:</w:t>
            </w:r>
          </w:p>
          <w:p w:rsidR="009A3502" w:rsidRPr="006A54A5" w:rsidP="009A3502" w14:paraId="1EC737C9" w14:textId="77777777">
            <w:pPr>
              <w:pStyle w:val="LTableTextAbt"/>
              <w:numPr>
                <w:ilvl w:val="0"/>
                <w:numId w:val="186"/>
              </w:numPr>
              <w:ind w:left="251" w:hanging="251"/>
            </w:pPr>
            <w:r w:rsidRPr="006A54A5">
              <w:t xml:space="preserve">Domestic </w:t>
            </w:r>
            <w:r>
              <w:t>m</w:t>
            </w:r>
            <w:r w:rsidRPr="006A54A5">
              <w:t>anufacture</w:t>
            </w:r>
            <w:r>
              <w:t>;</w:t>
            </w:r>
            <w:r w:rsidRPr="006A54A5">
              <w:t> </w:t>
            </w:r>
          </w:p>
          <w:p w:rsidR="009A3502" w:rsidRPr="006A54A5" w:rsidP="009A3502" w14:paraId="5BB3DB35" w14:textId="77777777">
            <w:pPr>
              <w:pStyle w:val="LTableTextAbt"/>
              <w:numPr>
                <w:ilvl w:val="0"/>
                <w:numId w:val="186"/>
              </w:numPr>
              <w:ind w:left="251" w:hanging="251"/>
            </w:pPr>
            <w:r w:rsidRPr="006A54A5">
              <w:t>Import</w:t>
            </w:r>
            <w:r>
              <w:t>;</w:t>
            </w:r>
            <w:r w:rsidRPr="006A54A5">
              <w:t> </w:t>
            </w:r>
          </w:p>
          <w:p w:rsidR="009A3502" w:rsidRPr="006A54A5" w:rsidP="009A3502" w14:paraId="1DED5B25" w14:textId="77777777">
            <w:pPr>
              <w:pStyle w:val="LTableTextAbt"/>
              <w:numPr>
                <w:ilvl w:val="0"/>
                <w:numId w:val="186"/>
              </w:numPr>
              <w:ind w:left="251" w:hanging="251"/>
            </w:pPr>
            <w:r w:rsidRPr="006A54A5">
              <w:t xml:space="preserve">Incorporation into </w:t>
            </w:r>
            <w:r>
              <w:t>f</w:t>
            </w:r>
            <w:r w:rsidRPr="006A54A5">
              <w:t xml:space="preserve">ormulation, </w:t>
            </w:r>
            <w:r>
              <w:t>m</w:t>
            </w:r>
            <w:r w:rsidRPr="006A54A5">
              <w:t xml:space="preserve">ixture or </w:t>
            </w:r>
            <w:r>
              <w:t>r</w:t>
            </w:r>
            <w:r w:rsidRPr="006A54A5">
              <w:t xml:space="preserve">eaction </w:t>
            </w:r>
            <w:r>
              <w:t>p</w:t>
            </w:r>
            <w:r w:rsidRPr="006A54A5">
              <w:t xml:space="preserve">roducts in </w:t>
            </w:r>
            <w:r>
              <w:t>p</w:t>
            </w:r>
            <w:r w:rsidRPr="006A54A5">
              <w:t>aints and </w:t>
            </w:r>
            <w:r>
              <w:t>c</w:t>
            </w:r>
            <w:r w:rsidRPr="006A54A5">
              <w:t>oatings</w:t>
            </w:r>
            <w:r>
              <w:t>;</w:t>
            </w:r>
            <w:r w:rsidRPr="006A54A5">
              <w:t> </w:t>
            </w:r>
          </w:p>
          <w:p w:rsidR="009A3502" w:rsidRPr="006A54A5" w:rsidP="009A3502" w14:paraId="35CE5A95" w14:textId="77777777">
            <w:pPr>
              <w:pStyle w:val="LTableTextAbt"/>
              <w:numPr>
                <w:ilvl w:val="0"/>
                <w:numId w:val="186"/>
              </w:numPr>
              <w:ind w:left="251" w:hanging="251"/>
            </w:pPr>
            <w:r w:rsidRPr="006A54A5">
              <w:t xml:space="preserve">Incorporation into </w:t>
            </w:r>
            <w:r>
              <w:t>f</w:t>
            </w:r>
            <w:r w:rsidRPr="006A54A5">
              <w:t xml:space="preserve">ormulation, </w:t>
            </w:r>
            <w:r>
              <w:t>m</w:t>
            </w:r>
            <w:r w:rsidRPr="006A54A5">
              <w:t xml:space="preserve">ixture or </w:t>
            </w:r>
            <w:r>
              <w:t>r</w:t>
            </w:r>
            <w:r w:rsidRPr="006A54A5">
              <w:t xml:space="preserve">eaction </w:t>
            </w:r>
            <w:r>
              <w:t>p</w:t>
            </w:r>
            <w:r w:rsidRPr="006A54A5">
              <w:t xml:space="preserve">roducts in </w:t>
            </w:r>
            <w:r>
              <w:t>p</w:t>
            </w:r>
            <w:r w:rsidRPr="006A54A5">
              <w:t>lastic and </w:t>
            </w:r>
            <w:r>
              <w:t>r</w:t>
            </w:r>
            <w:r w:rsidRPr="006A54A5">
              <w:t xml:space="preserve">ubber </w:t>
            </w:r>
            <w:r>
              <w:t>p</w:t>
            </w:r>
            <w:r w:rsidRPr="006A54A5">
              <w:t>roducts</w:t>
            </w:r>
            <w:r>
              <w:t>;</w:t>
            </w:r>
            <w:r w:rsidRPr="006A54A5">
              <w:t> </w:t>
            </w:r>
            <w:r>
              <w:t>and</w:t>
            </w:r>
          </w:p>
          <w:p w:rsidR="009A3502" w:rsidRPr="006A54A5" w:rsidP="009A3502" w14:paraId="4875CC30" w14:textId="77777777">
            <w:pPr>
              <w:pStyle w:val="LTableTextAbt"/>
              <w:numPr>
                <w:ilvl w:val="0"/>
                <w:numId w:val="186"/>
              </w:numPr>
              <w:ind w:left="251" w:hanging="251"/>
            </w:pPr>
            <w:r w:rsidRPr="006A54A5">
              <w:t xml:space="preserve">Intermediate in the </w:t>
            </w:r>
            <w:r>
              <w:t>c</w:t>
            </w:r>
            <w:r w:rsidRPr="006A54A5">
              <w:t xml:space="preserve">reation or </w:t>
            </w:r>
            <w:r>
              <w:t>a</w:t>
            </w:r>
            <w:r w:rsidRPr="006A54A5">
              <w:t xml:space="preserve">djustment of </w:t>
            </w:r>
            <w:r>
              <w:t>c</w:t>
            </w:r>
            <w:r w:rsidRPr="006A54A5">
              <w:t xml:space="preserve">olor of </w:t>
            </w:r>
            <w:r>
              <w:t>o</w:t>
            </w:r>
            <w:r w:rsidRPr="006A54A5">
              <w:t xml:space="preserve">ther </w:t>
            </w:r>
            <w:r>
              <w:t>p</w:t>
            </w:r>
            <w:r w:rsidRPr="006A54A5">
              <w:t>erylene </w:t>
            </w:r>
            <w:r>
              <w:t>p</w:t>
            </w:r>
            <w:r w:rsidRPr="006A54A5">
              <w:t>igments</w:t>
            </w:r>
            <w:r>
              <w:t>;</w:t>
            </w:r>
            <w:r w:rsidRPr="006A54A5">
              <w:t> </w:t>
            </w:r>
          </w:p>
          <w:p w:rsidR="009A3502" w:rsidRPr="00A95A85" w:rsidP="009A3502" w14:paraId="33C9AB66" w14:textId="2D26291F">
            <w:pPr>
              <w:pStyle w:val="LTableTextAbt"/>
              <w:numPr>
                <w:ilvl w:val="0"/>
                <w:numId w:val="186"/>
              </w:numPr>
              <w:ind w:left="251" w:hanging="251"/>
            </w:pPr>
          </w:p>
        </w:tc>
        <w:tc>
          <w:tcPr>
            <w:tcW w:w="2657" w:type="dxa"/>
            <w:vMerge w:val="restart"/>
            <w:shd w:val="clear" w:color="auto" w:fill="F2F2F2" w:themeFill="background1" w:themeFillShade="F2"/>
            <w:vAlign w:val="center"/>
          </w:tcPr>
          <w:p w:rsidR="009A3502" w:rsidP="002E7CDF" w14:paraId="096D3848" w14:textId="2A0E43F9">
            <w:pPr>
              <w:pStyle w:val="CTableTextAbt"/>
              <w:ind w:left="-22"/>
              <w:jc w:val="left"/>
            </w:pPr>
            <w:r>
              <w:rPr>
                <w:rStyle w:val="normaltextrun"/>
                <w:shd w:val="clear" w:color="auto" w:fill="FFFFFF"/>
              </w:rPr>
              <w:t>Where regulated PV29 is manufactured, processed, used, or disposed:</w:t>
            </w:r>
          </w:p>
          <w:p w:rsidR="009A3502" w:rsidRPr="00515E36" w:rsidP="002E7CDF" w14:paraId="735DB037" w14:textId="61581E0D">
            <w:pPr>
              <w:pStyle w:val="CTableTextAbt"/>
              <w:numPr>
                <w:ilvl w:val="0"/>
                <w:numId w:val="41"/>
              </w:numPr>
              <w:ind w:left="158" w:hanging="180"/>
              <w:jc w:val="left"/>
            </w:pPr>
            <w:r>
              <w:t xml:space="preserve">Respiratory PPE: Require </w:t>
            </w:r>
            <w:r w:rsidRPr="00A95A85">
              <w:t xml:space="preserve">APF 50 respirators when workers and ONUs are in rooms where </w:t>
            </w:r>
            <w:r>
              <w:t>regulated</w:t>
            </w:r>
            <w:r w:rsidRPr="00A95A85">
              <w:t xml:space="preserve"> PV29 is actively in use (including anywhere with an open container)</w:t>
            </w:r>
          </w:p>
          <w:p w:rsidR="009A3502" w:rsidRPr="00486A9F" w:rsidP="002E7CDF" w14:paraId="568C2CF2" w14:textId="7919398F">
            <w:pPr>
              <w:pStyle w:val="CTableTextAbt"/>
              <w:numPr>
                <w:ilvl w:val="0"/>
                <w:numId w:val="41"/>
              </w:numPr>
              <w:ind w:left="158" w:hanging="180"/>
              <w:jc w:val="left"/>
            </w:pPr>
            <w:r w:rsidRPr="00515E36">
              <w:t>Labeling and downstream notification</w:t>
            </w:r>
            <w:r>
              <w:t>: Labeling is required on</w:t>
            </w:r>
            <w:r w:rsidRPr="00515E36">
              <w:t xml:space="preserve"> </w:t>
            </w:r>
            <w:r>
              <w:t>regulated</w:t>
            </w:r>
            <w:r w:rsidRPr="00515E36">
              <w:t xml:space="preserve"> PV29 containers indicating </w:t>
            </w:r>
            <w:r>
              <w:t>regulated</w:t>
            </w:r>
            <w:r w:rsidRPr="00515E36">
              <w:t xml:space="preserve"> PV29 is in the product and therefore, the product is subject to additional requirements under TSCA section 6</w:t>
            </w:r>
            <w:r>
              <w:t xml:space="preserve">; </w:t>
            </w:r>
            <w:r>
              <w:rPr>
                <w:rStyle w:val="normaltextrun"/>
                <w:bdr w:val="none" w:sz="0" w:space="0" w:color="auto" w:frame="1"/>
              </w:rPr>
              <w:t>downstream notification through Safety Data Sheets</w:t>
            </w:r>
          </w:p>
          <w:p w:rsidR="009A3502" w:rsidRPr="0004618B" w:rsidP="002E7CDF" w14:paraId="0CDE6726" w14:textId="77777777">
            <w:pPr>
              <w:pStyle w:val="CTableTextAbt"/>
              <w:numPr>
                <w:ilvl w:val="0"/>
                <w:numId w:val="41"/>
              </w:numPr>
              <w:ind w:left="158" w:hanging="180"/>
              <w:jc w:val="left"/>
              <w:rPr>
                <w:b/>
                <w:bCs w:val="0"/>
              </w:rPr>
            </w:pPr>
            <w:r w:rsidRPr="00486A9F">
              <w:t xml:space="preserve">Equipment and </w:t>
            </w:r>
            <w:r>
              <w:t>A</w:t>
            </w:r>
            <w:r w:rsidRPr="00486A9F">
              <w:t xml:space="preserve">rea Cleaning </w:t>
            </w:r>
          </w:p>
          <w:p w:rsidR="009A3502" w:rsidRPr="006B2051" w:rsidP="002E7CDF" w14:paraId="1CF0DBBA" w14:textId="49D317D1">
            <w:pPr>
              <w:pStyle w:val="CTableTextAbt"/>
              <w:numPr>
                <w:ilvl w:val="0"/>
                <w:numId w:val="41"/>
              </w:numPr>
              <w:ind w:left="158" w:hanging="180"/>
              <w:jc w:val="left"/>
              <w:rPr>
                <w:b/>
                <w:bCs w:val="0"/>
              </w:rPr>
            </w:pPr>
            <w:r>
              <w:t>Recordkeeping</w:t>
            </w:r>
          </w:p>
        </w:tc>
        <w:tc>
          <w:tcPr>
            <w:tcW w:w="2657" w:type="dxa"/>
            <w:shd w:val="clear" w:color="auto" w:fill="F2F2F2" w:themeFill="background1" w:themeFillShade="F2"/>
            <w:vAlign w:val="center"/>
          </w:tcPr>
          <w:p w:rsidR="009A3502" w:rsidP="002E7CDF" w14:paraId="747EA249" w14:textId="77777777">
            <w:pPr>
              <w:pStyle w:val="CTableTextAbt"/>
              <w:keepNext/>
              <w:keepLines/>
              <w:jc w:val="left"/>
            </w:pPr>
            <w:r>
              <w:rPr>
                <w:rStyle w:val="normaltextrun"/>
                <w:shd w:val="clear" w:color="auto" w:fill="FFFFFF"/>
              </w:rPr>
              <w:t xml:space="preserve">Where regulatedPV29 is manufactured, processed, used, or disposed: </w:t>
            </w:r>
          </w:p>
          <w:p w:rsidR="009A3502" w:rsidP="002E7CDF" w14:paraId="3924CBD9" w14:textId="77777777">
            <w:pPr>
              <w:pStyle w:val="CTableTextAbt"/>
              <w:keepNext/>
              <w:keepLines/>
              <w:numPr>
                <w:ilvl w:val="0"/>
                <w:numId w:val="41"/>
              </w:numPr>
              <w:ind w:left="158" w:hanging="180"/>
              <w:jc w:val="left"/>
            </w:pPr>
            <w:r>
              <w:t>E</w:t>
            </w:r>
            <w:r w:rsidRPr="00BB49A6">
              <w:t>ngineering controls</w:t>
            </w:r>
            <w:r>
              <w:t>: Use engineering controls</w:t>
            </w:r>
            <w:r w:rsidRPr="00BB49A6">
              <w:t xml:space="preserve">, such as HEPA filters, </w:t>
            </w:r>
            <w:r>
              <w:rPr>
                <w:rStyle w:val="normaltextrun"/>
                <w:shd w:val="clear" w:color="auto" w:fill="FFFFFF"/>
              </w:rPr>
              <w:t>to reduce the concentration of regulated PV29 in workplace air.</w:t>
            </w:r>
          </w:p>
          <w:p w:rsidR="009A3502" w:rsidP="002E7CDF" w14:paraId="53AD0B17" w14:textId="77777777">
            <w:pPr>
              <w:pStyle w:val="CTableTextAbt"/>
              <w:keepNext/>
              <w:keepLines/>
              <w:numPr>
                <w:ilvl w:val="0"/>
                <w:numId w:val="41"/>
              </w:numPr>
              <w:ind w:left="158" w:hanging="180"/>
              <w:jc w:val="left"/>
            </w:pPr>
            <w:r>
              <w:t xml:space="preserve">Respiratory PPE: </w:t>
            </w:r>
            <w:r w:rsidRPr="00CB1E11">
              <w:t xml:space="preserve">Require APF 10 respirators when workers and ONUs are in rooms where </w:t>
            </w:r>
            <w:r>
              <w:t>regulated</w:t>
            </w:r>
            <w:r w:rsidRPr="00CB1E11">
              <w:t xml:space="preserve"> PV29 is actively in use (including anywhere with an open container)</w:t>
            </w:r>
          </w:p>
          <w:p w:rsidR="009A3502" w:rsidP="002E7CDF" w14:paraId="308F413B" w14:textId="77777777">
            <w:pPr>
              <w:pStyle w:val="CTableTextAbt"/>
              <w:keepNext/>
              <w:keepLines/>
              <w:numPr>
                <w:ilvl w:val="0"/>
                <w:numId w:val="41"/>
              </w:numPr>
              <w:ind w:left="158" w:hanging="180"/>
              <w:jc w:val="left"/>
            </w:pPr>
            <w:r>
              <w:t>Monitoring</w:t>
            </w:r>
            <w:r w:rsidRPr="00BB49A6">
              <w:rPr>
                <w:vertAlign w:val="superscript"/>
              </w:rPr>
              <w:t>1</w:t>
            </w:r>
            <w:r>
              <w:t xml:space="preserve">: Use </w:t>
            </w:r>
            <w:r w:rsidRPr="00C7690B">
              <w:t>NIOSH 0600 method for respirable dust</w:t>
            </w:r>
          </w:p>
          <w:p w:rsidR="009A3502" w:rsidP="002E7CDF" w14:paraId="02C6400A" w14:textId="77777777">
            <w:pPr>
              <w:pStyle w:val="CTableTextAbt"/>
              <w:keepNext/>
              <w:keepLines/>
              <w:numPr>
                <w:ilvl w:val="0"/>
                <w:numId w:val="41"/>
              </w:numPr>
              <w:ind w:left="158" w:hanging="180"/>
              <w:jc w:val="left"/>
            </w:pPr>
            <w:r w:rsidRPr="00486A9F">
              <w:t xml:space="preserve">Equipment and </w:t>
            </w:r>
            <w:r>
              <w:t>A</w:t>
            </w:r>
            <w:r w:rsidRPr="00486A9F">
              <w:t>rea Cleaning</w:t>
            </w:r>
          </w:p>
          <w:p w:rsidR="009A3502" w:rsidRPr="00BB49A6" w:rsidP="002E7CDF" w14:paraId="62BB05CD" w14:textId="0A937DAD">
            <w:pPr>
              <w:pStyle w:val="CTableTextAbt"/>
              <w:numPr>
                <w:ilvl w:val="0"/>
                <w:numId w:val="41"/>
              </w:numPr>
              <w:ind w:left="158" w:hanging="180"/>
              <w:jc w:val="left"/>
            </w:pPr>
            <w:r>
              <w:t>Recordkeeping</w:t>
            </w:r>
          </w:p>
        </w:tc>
      </w:tr>
      <w:tr w14:paraId="5DA74A69" w14:textId="77777777" w:rsidTr="73152E2A">
        <w:tblPrEx>
          <w:tblW w:w="5102" w:type="pct"/>
          <w:tblInd w:w="-180" w:type="dxa"/>
          <w:tblLayout w:type="fixed"/>
          <w:tblLook w:val="04A0"/>
        </w:tblPrEx>
        <w:trPr>
          <w:cantSplit/>
          <w:trHeight w:val="2520"/>
        </w:trPr>
        <w:tc>
          <w:tcPr>
            <w:tcW w:w="3870" w:type="dxa"/>
            <w:shd w:val="clear" w:color="auto" w:fill="auto"/>
            <w:noWrap/>
          </w:tcPr>
          <w:p w:rsidR="009A3502" w:rsidP="009A3502" w14:paraId="2C04586A" w14:textId="77777777">
            <w:pPr>
              <w:pStyle w:val="LTableTextAbt"/>
            </w:pPr>
            <w:r>
              <w:t xml:space="preserve">The following conditions of use are presumed </w:t>
            </w:r>
            <w:r>
              <w:rPr>
                <w:u w:val="single"/>
              </w:rPr>
              <w:t>n</w:t>
            </w:r>
            <w:r w:rsidRPr="0004618B">
              <w:rPr>
                <w:u w:val="single"/>
              </w:rPr>
              <w:t>ot</w:t>
            </w:r>
            <w:r>
              <w:t xml:space="preserve"> to use regulated PV29 (but are subject to the regulatory options if they do use regulated PV29):</w:t>
            </w:r>
          </w:p>
          <w:p w:rsidR="009A3502" w:rsidP="009A3502" w14:paraId="3DC09F4B" w14:textId="77777777">
            <w:pPr>
              <w:pStyle w:val="LTableTextAbt"/>
              <w:numPr>
                <w:ilvl w:val="0"/>
                <w:numId w:val="186"/>
              </w:numPr>
              <w:ind w:left="251" w:hanging="251"/>
            </w:pPr>
            <w:r>
              <w:t xml:space="preserve">Recycling; </w:t>
            </w:r>
          </w:p>
          <w:p w:rsidR="009A3502" w:rsidP="009A3502" w14:paraId="21ABD059" w14:textId="77777777">
            <w:pPr>
              <w:pStyle w:val="LTableTextAbt"/>
              <w:numPr>
                <w:ilvl w:val="0"/>
                <w:numId w:val="186"/>
              </w:numPr>
              <w:ind w:left="251" w:hanging="251"/>
            </w:pPr>
            <w:r>
              <w:t xml:space="preserve">Industrial and commercial use in automobile (original equipment manufacturer (OEM) and refinishing) paints and coatings; </w:t>
            </w:r>
          </w:p>
          <w:p w:rsidR="009A3502" w:rsidP="009A3502" w14:paraId="5764A07A" w14:textId="77777777">
            <w:pPr>
              <w:pStyle w:val="LTableTextAbt"/>
              <w:numPr>
                <w:ilvl w:val="0"/>
                <w:numId w:val="186"/>
              </w:numPr>
              <w:ind w:left="251" w:hanging="251"/>
            </w:pPr>
            <w:r>
              <w:t xml:space="preserve">Industrial and commercial use in coatings and basecoats paints and coatings; </w:t>
            </w:r>
          </w:p>
          <w:p w:rsidR="009A3502" w:rsidP="009A3502" w14:paraId="4A6D405C" w14:textId="77777777">
            <w:pPr>
              <w:pStyle w:val="LTableTextAbt"/>
              <w:numPr>
                <w:ilvl w:val="0"/>
                <w:numId w:val="186"/>
              </w:numPr>
              <w:ind w:left="251" w:hanging="251"/>
            </w:pPr>
            <w:r>
              <w:t xml:space="preserve">Industrial and commercial use in merchant ink for commercial printing; and </w:t>
            </w:r>
          </w:p>
          <w:p w:rsidR="009A3502" w:rsidP="009A3502" w14:paraId="44EE3EBF" w14:textId="5C4AF3AB">
            <w:pPr>
              <w:pStyle w:val="LTableTextAbt"/>
            </w:pPr>
            <w:r>
              <w:t>Disposal.</w:t>
            </w:r>
          </w:p>
        </w:tc>
        <w:tc>
          <w:tcPr>
            <w:tcW w:w="2657" w:type="dxa"/>
            <w:vMerge/>
            <w:vAlign w:val="center"/>
          </w:tcPr>
          <w:p w:rsidR="009A3502" w:rsidP="002E7CDF" w14:paraId="02E9FA6F" w14:textId="77777777">
            <w:pPr>
              <w:pStyle w:val="CTableTextAbt"/>
              <w:ind w:left="-22"/>
              <w:jc w:val="left"/>
              <w:rPr>
                <w:rStyle w:val="normaltextrun"/>
                <w:shd w:val="clear" w:color="auto" w:fill="FFFFFF"/>
              </w:rPr>
            </w:pPr>
          </w:p>
        </w:tc>
        <w:tc>
          <w:tcPr>
            <w:tcW w:w="2657" w:type="dxa"/>
            <w:shd w:val="clear" w:color="auto" w:fill="F2F2F2" w:themeFill="background1" w:themeFillShade="F2"/>
            <w:vAlign w:val="center"/>
          </w:tcPr>
          <w:p w:rsidR="009A3502" w:rsidRPr="00197EF7" w:rsidP="002E7CDF" w14:paraId="5749189C" w14:textId="77777777">
            <w:pPr>
              <w:pStyle w:val="CTableTextAbt"/>
              <w:keepNext/>
              <w:keepLines/>
              <w:jc w:val="left"/>
              <w:rPr>
                <w:b/>
                <w:bCs w:val="0"/>
              </w:rPr>
            </w:pPr>
            <w:r>
              <w:rPr>
                <w:rStyle w:val="normaltextrun"/>
                <w:shd w:val="clear" w:color="auto" w:fill="FFFFFF"/>
              </w:rPr>
              <w:t>Where regulated PV29 is manufactured or purchased by owners or operators:</w:t>
            </w:r>
          </w:p>
          <w:p w:rsidR="009A3502" w:rsidRPr="00BB49A6" w:rsidP="002E7CDF" w14:paraId="2A420370" w14:textId="77777777">
            <w:pPr>
              <w:pStyle w:val="CTableTextAbt"/>
              <w:keepNext/>
              <w:keepLines/>
              <w:numPr>
                <w:ilvl w:val="0"/>
                <w:numId w:val="41"/>
              </w:numPr>
              <w:ind w:left="162" w:hanging="180"/>
              <w:jc w:val="left"/>
              <w:rPr>
                <w:b/>
                <w:bCs w:val="0"/>
              </w:rPr>
            </w:pPr>
            <w:r>
              <w:t xml:space="preserve">Respiratory PPE: </w:t>
            </w:r>
            <w:r w:rsidRPr="00BB49A6">
              <w:t xml:space="preserve">Require APF 50 respirators but only in such cases where </w:t>
            </w:r>
            <w:r>
              <w:t>regulated</w:t>
            </w:r>
            <w:r w:rsidRPr="00BB49A6">
              <w:t xml:space="preserve"> PV29 is present. PPE requirements would apply when workers and ONUs are in areas where dry powder PV29 is actively in use (including anywhere with an open container)</w:t>
            </w:r>
          </w:p>
          <w:p w:rsidR="009A3502" w:rsidP="002E7CDF" w14:paraId="65392E04" w14:textId="418AA406">
            <w:pPr>
              <w:pStyle w:val="CTableTextAbt"/>
              <w:jc w:val="left"/>
              <w:rPr>
                <w:rStyle w:val="normaltextrun"/>
                <w:shd w:val="clear" w:color="auto" w:fill="FFFFFF"/>
              </w:rPr>
            </w:pPr>
            <w:r>
              <w:t>Equipment and Area Cleaning</w:t>
            </w:r>
          </w:p>
        </w:tc>
      </w:tr>
      <w:tr w14:paraId="0BA9EF73" w14:textId="77777777" w:rsidTr="0E4AE1FD">
        <w:tblPrEx>
          <w:tblW w:w="5102" w:type="pct"/>
          <w:tblInd w:w="-180" w:type="dxa"/>
          <w:tblLayout w:type="fixed"/>
          <w:tblLook w:val="04A0"/>
        </w:tblPrEx>
        <w:trPr>
          <w:cantSplit/>
        </w:trPr>
        <w:tc>
          <w:tcPr>
            <w:tcW w:w="9184" w:type="dxa"/>
            <w:gridSpan w:val="3"/>
          </w:tcPr>
          <w:p w:rsidR="009A3502" w:rsidRPr="00A95A85" w:rsidP="009A3502" w14:paraId="638F4DD6" w14:textId="695B4C64">
            <w:pPr>
              <w:pStyle w:val="TableNote0"/>
            </w:pPr>
            <w:r w:rsidRPr="00BB49A6">
              <w:rPr>
                <w:vertAlign w:val="superscript"/>
              </w:rPr>
              <w:t>1</w:t>
            </w:r>
            <w:r>
              <w:t>Monitoring needs to occur at least once every 3 months during a time period when regulated PV29 is manufactured or is in use (meaning that workers have handled or are handling an open container). If the concentration of airborne dust is above the NIOSH 0600 LOD, monitoring needs to occur at least once every 3 months. If the concentration of airborne dust is below the NIOSH 0600 LOD, monitoring needs to occur at least once every 6 months. All workplace dust would be considered to be PV29 when powder PV29 is being manufactured or is in use (meaning that workers have handled or are handling an open container). If there are changes to production equipment or procedures, or major disruptions, companies would be required to conduct testing to establish a new baseline for monitoring purposes. Additionally, monitoring would need to restart and occur regularly based on the cadence outlined above.</w:t>
            </w:r>
          </w:p>
        </w:tc>
      </w:tr>
    </w:tbl>
    <w:p w:rsidR="00386D38" w:rsidP="00386D38" w14:paraId="0752867C" w14:textId="594DB670">
      <w:pPr>
        <w:pStyle w:val="BodyText"/>
        <w:rPr>
          <w:lang w:val="en-US"/>
        </w:rPr>
      </w:pPr>
    </w:p>
    <w:p w:rsidR="00F97378" w:rsidP="00F97378" w14:paraId="01435170" w14:textId="1AF710AD">
      <w:pPr>
        <w:pStyle w:val="Heading2NoNumbering"/>
      </w:pPr>
      <w:bookmarkStart w:id="8" w:name="_Toc184299497"/>
      <w:r w:rsidRPr="00B56426">
        <w:t xml:space="preserve">Estimated Number of Affected </w:t>
      </w:r>
      <w:r w:rsidRPr="00B56426" w:rsidR="00E30600">
        <w:t>Entities</w:t>
      </w:r>
      <w:r w:rsidRPr="00B56426">
        <w:t xml:space="preserve"> and Individuals</w:t>
      </w:r>
      <w:bookmarkEnd w:id="8"/>
    </w:p>
    <w:p w:rsidR="0020054B" w:rsidP="0020054B" w14:paraId="7568DC87" w14:textId="3D9A1494">
      <w:pPr>
        <w:pStyle w:val="BodyText"/>
        <w:rPr>
          <w:lang w:val="en-US"/>
        </w:rPr>
      </w:pPr>
      <w:r>
        <w:fldChar w:fldCharType="begin" w:fldLock="1"/>
      </w:r>
      <w:r>
        <w:instrText xml:space="preserve"> REF _Ref180682250 \h </w:instrText>
      </w:r>
      <w:r>
        <w:fldChar w:fldCharType="separate"/>
      </w:r>
      <w:r w:rsidR="00735BBC">
        <w:t>Table ES-</w:t>
      </w:r>
      <w:r w:rsidR="00735BBC">
        <w:rPr>
          <w:noProof/>
        </w:rPr>
        <w:t>3</w:t>
      </w:r>
      <w:r>
        <w:fldChar w:fldCharType="end"/>
      </w:r>
      <w:r>
        <w:t xml:space="preserve"> </w:t>
      </w:r>
      <w:r w:rsidRPr="00002E36">
        <w:t xml:space="preserve">presents a summary of </w:t>
      </w:r>
      <w:r>
        <w:t xml:space="preserve">baseline of </w:t>
      </w:r>
      <w:r w:rsidRPr="00002E36">
        <w:t xml:space="preserve">the number of firms using </w:t>
      </w:r>
      <w:r>
        <w:t>regulated PV29</w:t>
      </w:r>
      <w:r w:rsidRPr="00002E36">
        <w:t xml:space="preserve"> and the number of occupational and consumer users exposed to </w:t>
      </w:r>
      <w:r w:rsidR="0005283F">
        <w:t>PV29</w:t>
      </w:r>
      <w:r w:rsidRPr="00002E36">
        <w:t xml:space="preserve">for each use category. Occupational users include </w:t>
      </w:r>
      <w:r w:rsidR="0005283F">
        <w:t>employees</w:t>
      </w:r>
      <w:r w:rsidRPr="00002E36">
        <w:t xml:space="preserve"> working directly with </w:t>
      </w:r>
      <w:r w:rsidR="0005283F">
        <w:t xml:space="preserve">PV29 (workers) </w:t>
      </w:r>
      <w:r w:rsidRPr="00002E36">
        <w:t xml:space="preserve">and </w:t>
      </w:r>
      <w:r w:rsidR="0005283F">
        <w:t xml:space="preserve">employees </w:t>
      </w:r>
      <w:r w:rsidR="00E23CA9">
        <w:t>that do not work directly with PV29, but work in the area where it is used</w:t>
      </w:r>
      <w:r w:rsidR="00E5421C">
        <w:t xml:space="preserve"> (</w:t>
      </w:r>
      <w:r w:rsidRPr="00002E36">
        <w:t>occupational non-users (ONUs)</w:t>
      </w:r>
      <w:r w:rsidR="00E5421C">
        <w:t>)</w:t>
      </w:r>
      <w:r w:rsidRPr="00002E36">
        <w:t>.</w:t>
      </w:r>
    </w:p>
    <w:tbl>
      <w:tblPr>
        <w:tblStyle w:val="TableGrid"/>
        <w:tblW w:w="5000" w:type="pct"/>
        <w:tblLook w:val="04A0"/>
      </w:tblPr>
      <w:tblGrid>
        <w:gridCol w:w="4166"/>
        <w:gridCol w:w="1199"/>
        <w:gridCol w:w="1199"/>
        <w:gridCol w:w="1201"/>
        <w:gridCol w:w="1235"/>
      </w:tblGrid>
      <w:tr w14:paraId="73425C95" w14:textId="77777777" w:rsidTr="00CA0464">
        <w:tblPrEx>
          <w:tblW w:w="5000" w:type="pct"/>
          <w:tblLook w:val="04A0"/>
        </w:tblPrEx>
        <w:trPr>
          <w:cantSplit/>
          <w:tblHeader/>
        </w:trPr>
        <w:tc>
          <w:tcPr>
            <w:tcW w:w="5000" w:type="pct"/>
            <w:gridSpan w:val="5"/>
            <w:tcBorders>
              <w:top w:val="nil"/>
              <w:left w:val="nil"/>
              <w:bottom w:val="single" w:sz="4" w:space="0" w:color="auto"/>
              <w:right w:val="nil"/>
            </w:tcBorders>
            <w:shd w:val="clear" w:color="auto" w:fill="auto"/>
            <w:vAlign w:val="center"/>
          </w:tcPr>
          <w:p w:rsidR="0020054B" w:rsidRPr="00A95A85" w:rsidP="00CA0464" w14:paraId="44224F20" w14:textId="70BCF328">
            <w:pPr>
              <w:pStyle w:val="TableTitleA"/>
            </w:pPr>
            <w:bookmarkStart w:id="9" w:name="_Ref180682250"/>
            <w:bookmarkStart w:id="10" w:name="_Toc184299541"/>
            <w:r>
              <w:t>Table ES-</w:t>
            </w:r>
            <w:r>
              <w:fldChar w:fldCharType="begin" w:fldLock="1"/>
            </w:r>
            <w:r>
              <w:instrText>SEQ Table_ES- \* ARABIC</w:instrText>
            </w:r>
            <w:r>
              <w:fldChar w:fldCharType="separate"/>
            </w:r>
            <w:r w:rsidR="00735BBC">
              <w:rPr>
                <w:noProof/>
              </w:rPr>
              <w:t>3</w:t>
            </w:r>
            <w:r>
              <w:fldChar w:fldCharType="end"/>
            </w:r>
            <w:bookmarkEnd w:id="9"/>
            <w:r w:rsidRPr="00A95A85">
              <w:t xml:space="preserve">: </w:t>
            </w:r>
            <w:r w:rsidRPr="00A95A85">
              <w:t>Number of Affected Sites and Exposed Workers</w:t>
            </w:r>
            <w:bookmarkEnd w:id="10"/>
          </w:p>
        </w:tc>
      </w:tr>
      <w:tr w14:paraId="33E5EF3B" w14:textId="77777777" w:rsidTr="00D94AB1">
        <w:tblPrEx>
          <w:tblW w:w="5000" w:type="pct"/>
          <w:tblLook w:val="04A0"/>
        </w:tblPrEx>
        <w:trPr>
          <w:cantSplit/>
          <w:tblHeader/>
        </w:trPr>
        <w:tc>
          <w:tcPr>
            <w:tcW w:w="2315" w:type="pct"/>
            <w:vMerge w:val="restart"/>
            <w:tcBorders>
              <w:top w:val="single" w:sz="4" w:space="0" w:color="auto"/>
            </w:tcBorders>
            <w:shd w:val="clear" w:color="auto" w:fill="013E5B"/>
            <w:vAlign w:val="center"/>
          </w:tcPr>
          <w:p w:rsidR="0020054B" w:rsidRPr="00A95A85" w:rsidP="00CA0464" w14:paraId="53E6B7CA" w14:textId="77777777">
            <w:pPr>
              <w:pStyle w:val="TableSubtitle"/>
            </w:pPr>
            <w:r>
              <w:t>Use category</w:t>
            </w:r>
          </w:p>
        </w:tc>
        <w:tc>
          <w:tcPr>
            <w:tcW w:w="666" w:type="pct"/>
            <w:vMerge w:val="restart"/>
            <w:tcBorders>
              <w:top w:val="single" w:sz="4" w:space="0" w:color="auto"/>
            </w:tcBorders>
            <w:shd w:val="clear" w:color="auto" w:fill="013E5B"/>
            <w:vAlign w:val="center"/>
          </w:tcPr>
          <w:p w:rsidR="0020054B" w:rsidRPr="00A95A85" w:rsidP="00CA0464" w14:paraId="55259D5E" w14:textId="77777777">
            <w:pPr>
              <w:pStyle w:val="TableSubtitle"/>
              <w:rPr>
                <w:vertAlign w:val="superscript"/>
              </w:rPr>
            </w:pPr>
            <w:r w:rsidRPr="00A95A85">
              <w:t xml:space="preserve">Affected facilities </w:t>
            </w:r>
            <w:r w:rsidRPr="00A95A85">
              <w:rPr>
                <w:vertAlign w:val="superscript"/>
              </w:rPr>
              <w:t>a</w:t>
            </w:r>
          </w:p>
        </w:tc>
        <w:tc>
          <w:tcPr>
            <w:tcW w:w="1333" w:type="pct"/>
            <w:gridSpan w:val="2"/>
            <w:tcBorders>
              <w:top w:val="single" w:sz="4" w:space="0" w:color="auto"/>
            </w:tcBorders>
            <w:shd w:val="clear" w:color="auto" w:fill="013E5B"/>
            <w:vAlign w:val="center"/>
          </w:tcPr>
          <w:p w:rsidR="0020054B" w:rsidRPr="00A95A85" w:rsidP="00CA0464" w14:paraId="1F1308F3" w14:textId="417660EC">
            <w:pPr>
              <w:pStyle w:val="TableSubtitle"/>
              <w:rPr>
                <w:vertAlign w:val="superscript"/>
              </w:rPr>
            </w:pPr>
            <w:r>
              <w:t>Employees</w:t>
            </w:r>
            <w:r w:rsidRPr="00A95A85">
              <w:t xml:space="preserve"> </w:t>
            </w:r>
            <w:r w:rsidRPr="00A95A85">
              <w:t xml:space="preserve">per facility </w:t>
            </w:r>
            <w:r w:rsidRPr="00A95A85">
              <w:rPr>
                <w:vertAlign w:val="superscript"/>
              </w:rPr>
              <w:t>b</w:t>
            </w:r>
          </w:p>
        </w:tc>
        <w:tc>
          <w:tcPr>
            <w:tcW w:w="686" w:type="pct"/>
            <w:vMerge w:val="restart"/>
            <w:tcBorders>
              <w:top w:val="single" w:sz="4" w:space="0" w:color="auto"/>
            </w:tcBorders>
            <w:shd w:val="clear" w:color="auto" w:fill="013E5B"/>
            <w:vAlign w:val="center"/>
          </w:tcPr>
          <w:p w:rsidR="0020054B" w:rsidRPr="00A95A85" w:rsidP="00CA0464" w14:paraId="384B1809" w14:textId="0FAF5C33">
            <w:pPr>
              <w:pStyle w:val="TableSubtitle"/>
              <w:rPr>
                <w:vertAlign w:val="superscript"/>
              </w:rPr>
            </w:pPr>
            <w:r w:rsidRPr="00A95A85">
              <w:t xml:space="preserve">Total </w:t>
            </w:r>
            <w:r w:rsidR="007C5581">
              <w:t>Employees</w:t>
            </w:r>
            <w:r w:rsidRPr="00A95A85">
              <w:rPr>
                <w:vertAlign w:val="superscript"/>
              </w:rPr>
              <w:t>c</w:t>
            </w:r>
          </w:p>
        </w:tc>
      </w:tr>
      <w:tr w14:paraId="61957084" w14:textId="77777777" w:rsidTr="00D94AB1">
        <w:tblPrEx>
          <w:tblW w:w="5000" w:type="pct"/>
          <w:tblLook w:val="04A0"/>
        </w:tblPrEx>
        <w:trPr>
          <w:cantSplit/>
          <w:tblHeader/>
        </w:trPr>
        <w:tc>
          <w:tcPr>
            <w:tcW w:w="2315" w:type="pct"/>
            <w:vMerge/>
            <w:vAlign w:val="center"/>
          </w:tcPr>
          <w:p w:rsidR="0020054B" w:rsidRPr="00A95A85" w:rsidP="00CA0464" w14:paraId="17177BBC" w14:textId="77777777">
            <w:pPr>
              <w:pStyle w:val="TableColumnHeader"/>
            </w:pPr>
          </w:p>
        </w:tc>
        <w:tc>
          <w:tcPr>
            <w:tcW w:w="666" w:type="pct"/>
            <w:vMerge/>
            <w:vAlign w:val="center"/>
          </w:tcPr>
          <w:p w:rsidR="0020054B" w:rsidRPr="00A95A85" w:rsidP="00CA0464" w14:paraId="7AF291D7" w14:textId="77777777">
            <w:pPr>
              <w:pStyle w:val="TableColumnHeader"/>
            </w:pPr>
          </w:p>
        </w:tc>
        <w:tc>
          <w:tcPr>
            <w:tcW w:w="666" w:type="pct"/>
            <w:tcBorders>
              <w:top w:val="single" w:sz="4" w:space="0" w:color="auto"/>
            </w:tcBorders>
            <w:shd w:val="clear" w:color="auto" w:fill="013E5B"/>
            <w:vAlign w:val="center"/>
          </w:tcPr>
          <w:p w:rsidR="0020054B" w:rsidRPr="00A95A85" w:rsidP="00CA0464" w14:paraId="46D1EE4D" w14:textId="3E9D7B28">
            <w:pPr>
              <w:pStyle w:val="TableSubtitle"/>
            </w:pPr>
            <w:r>
              <w:t>Workers</w:t>
            </w:r>
          </w:p>
        </w:tc>
        <w:tc>
          <w:tcPr>
            <w:tcW w:w="667" w:type="pct"/>
            <w:tcBorders>
              <w:top w:val="single" w:sz="4" w:space="0" w:color="auto"/>
            </w:tcBorders>
            <w:shd w:val="clear" w:color="auto" w:fill="013E5B"/>
            <w:vAlign w:val="center"/>
          </w:tcPr>
          <w:p w:rsidR="0020054B" w:rsidRPr="00A95A85" w:rsidP="00CA0464" w14:paraId="7EAFC9EC" w14:textId="77777777">
            <w:pPr>
              <w:pStyle w:val="TableSubtitle"/>
              <w:rPr>
                <w:vertAlign w:val="superscript"/>
              </w:rPr>
            </w:pPr>
            <w:r w:rsidRPr="00A95A85">
              <w:t>ONUs</w:t>
            </w:r>
          </w:p>
        </w:tc>
        <w:tc>
          <w:tcPr>
            <w:tcW w:w="686" w:type="pct"/>
            <w:vMerge/>
            <w:vAlign w:val="center"/>
          </w:tcPr>
          <w:p w:rsidR="0020054B" w:rsidRPr="00A95A85" w:rsidP="00CA0464" w14:paraId="38E26DA7" w14:textId="77777777">
            <w:pPr>
              <w:pStyle w:val="TableColumnHeader"/>
              <w:rPr>
                <w:sz w:val="19"/>
                <w:szCs w:val="19"/>
                <w:vertAlign w:val="superscript"/>
              </w:rPr>
            </w:pPr>
          </w:p>
        </w:tc>
      </w:tr>
      <w:tr w14:paraId="2CF5738F" w14:textId="77777777" w:rsidTr="00D94AB1">
        <w:tblPrEx>
          <w:tblW w:w="5000" w:type="pct"/>
          <w:tblLook w:val="04A0"/>
        </w:tblPrEx>
        <w:trPr>
          <w:cantSplit/>
        </w:trPr>
        <w:tc>
          <w:tcPr>
            <w:tcW w:w="2315" w:type="pct"/>
            <w:shd w:val="clear" w:color="auto" w:fill="auto"/>
          </w:tcPr>
          <w:p w:rsidR="0020054B" w:rsidRPr="00A95A85" w:rsidP="00CA0464" w14:paraId="3D0A516B" w14:textId="77777777">
            <w:pPr>
              <w:pStyle w:val="LTableTextAbt"/>
            </w:pPr>
            <w:r w:rsidRPr="00A95A85">
              <w:t>Domestic manufacturing and intermediate processing</w:t>
            </w:r>
          </w:p>
        </w:tc>
        <w:tc>
          <w:tcPr>
            <w:tcW w:w="666" w:type="pct"/>
            <w:shd w:val="clear" w:color="auto" w:fill="auto"/>
            <w:vAlign w:val="center"/>
          </w:tcPr>
          <w:p w:rsidR="0020054B" w:rsidRPr="00A95A85" w:rsidP="00CA0464" w14:paraId="4FE24B10" w14:textId="2984D1BE">
            <w:pPr>
              <w:pStyle w:val="RTableTextAbt"/>
            </w:pPr>
            <w:r w:rsidRPr="00A95A85">
              <w:t>1</w:t>
            </w:r>
          </w:p>
        </w:tc>
        <w:tc>
          <w:tcPr>
            <w:tcW w:w="666" w:type="pct"/>
            <w:vAlign w:val="center"/>
          </w:tcPr>
          <w:p w:rsidR="0020054B" w:rsidRPr="00A95A85" w:rsidP="00CA0464" w14:paraId="376692CF" w14:textId="77777777">
            <w:pPr>
              <w:pStyle w:val="RTableTextAbt"/>
            </w:pPr>
            <w:r w:rsidRPr="00A95A85">
              <w:t xml:space="preserve"> 2 to 22</w:t>
            </w:r>
          </w:p>
        </w:tc>
        <w:tc>
          <w:tcPr>
            <w:tcW w:w="667" w:type="pct"/>
            <w:vAlign w:val="center"/>
          </w:tcPr>
          <w:p w:rsidR="0020054B" w:rsidRPr="00A95A85" w:rsidP="00CA0464" w14:paraId="751ADB8C" w14:textId="77777777">
            <w:pPr>
              <w:pStyle w:val="RTableTextAbt"/>
            </w:pPr>
            <w:r w:rsidRPr="00A95A85">
              <w:t>56</w:t>
            </w:r>
          </w:p>
        </w:tc>
        <w:tc>
          <w:tcPr>
            <w:tcW w:w="686" w:type="pct"/>
            <w:vAlign w:val="center"/>
          </w:tcPr>
          <w:p w:rsidR="0020054B" w:rsidRPr="00A95A85" w:rsidP="00CA0464" w14:paraId="22658D96" w14:textId="77777777">
            <w:pPr>
              <w:pStyle w:val="RTableTextAbt"/>
            </w:pPr>
            <w:r w:rsidRPr="00A95A85">
              <w:t>58 to 78</w:t>
            </w:r>
          </w:p>
        </w:tc>
      </w:tr>
      <w:tr w14:paraId="27880097" w14:textId="77777777" w:rsidTr="00D94AB1">
        <w:tblPrEx>
          <w:tblW w:w="5000" w:type="pct"/>
          <w:tblLook w:val="04A0"/>
        </w:tblPrEx>
        <w:trPr>
          <w:cantSplit/>
        </w:trPr>
        <w:tc>
          <w:tcPr>
            <w:tcW w:w="2315" w:type="pct"/>
            <w:shd w:val="clear" w:color="auto" w:fill="auto"/>
          </w:tcPr>
          <w:p w:rsidR="00D94AB1" w:rsidRPr="00A95A85" w:rsidP="00D94AB1" w14:paraId="0006C147" w14:textId="462CFD7B">
            <w:pPr>
              <w:pStyle w:val="LTableTextAbt"/>
            </w:pPr>
            <w:r>
              <w:t>PV</w:t>
            </w:r>
            <w:r w:rsidR="0064758C">
              <w:t>2</w:t>
            </w:r>
            <w:r>
              <w:t>9 importing</w:t>
            </w:r>
          </w:p>
        </w:tc>
        <w:tc>
          <w:tcPr>
            <w:tcW w:w="666" w:type="pct"/>
            <w:shd w:val="clear" w:color="auto" w:fill="auto"/>
            <w:vAlign w:val="center"/>
          </w:tcPr>
          <w:p w:rsidR="00D94AB1" w:rsidRPr="00A95A85" w:rsidP="00D94AB1" w14:paraId="1E316B6E" w14:textId="020C9402">
            <w:pPr>
              <w:pStyle w:val="RTableTextAbt"/>
            </w:pPr>
            <w:r>
              <w:t>1</w:t>
            </w:r>
          </w:p>
        </w:tc>
        <w:tc>
          <w:tcPr>
            <w:tcW w:w="666" w:type="pct"/>
            <w:vAlign w:val="center"/>
          </w:tcPr>
          <w:p w:rsidR="00D94AB1" w:rsidRPr="00A95A85" w:rsidP="00D94AB1" w14:paraId="68F31BFF" w14:textId="3796D4B0">
            <w:pPr>
              <w:pStyle w:val="RTableTextAbt"/>
            </w:pPr>
            <w:r>
              <w:t>14</w:t>
            </w:r>
          </w:p>
        </w:tc>
        <w:tc>
          <w:tcPr>
            <w:tcW w:w="667" w:type="pct"/>
            <w:vAlign w:val="center"/>
          </w:tcPr>
          <w:p w:rsidR="00D94AB1" w:rsidRPr="00A95A85" w:rsidP="00D94AB1" w14:paraId="51860696" w14:textId="306A341D">
            <w:pPr>
              <w:pStyle w:val="RTableTextAbt"/>
            </w:pPr>
            <w:r>
              <w:t>5</w:t>
            </w:r>
          </w:p>
        </w:tc>
        <w:tc>
          <w:tcPr>
            <w:tcW w:w="686" w:type="pct"/>
            <w:vAlign w:val="center"/>
          </w:tcPr>
          <w:p w:rsidR="00D94AB1" w:rsidRPr="00A95A85" w:rsidP="00D94AB1" w14:paraId="1DB7997D" w14:textId="755E14A6">
            <w:pPr>
              <w:pStyle w:val="RTableTextAbt"/>
            </w:pPr>
            <w:r>
              <w:t>19</w:t>
            </w:r>
          </w:p>
        </w:tc>
      </w:tr>
      <w:tr w14:paraId="57E9B069" w14:textId="77777777" w:rsidTr="00D94AB1">
        <w:tblPrEx>
          <w:tblW w:w="5000" w:type="pct"/>
          <w:tblLook w:val="04A0"/>
        </w:tblPrEx>
        <w:trPr>
          <w:cantSplit/>
        </w:trPr>
        <w:tc>
          <w:tcPr>
            <w:tcW w:w="2315" w:type="pct"/>
            <w:shd w:val="clear" w:color="auto" w:fill="auto"/>
          </w:tcPr>
          <w:p w:rsidR="00D94AB1" w:rsidRPr="00A95A85" w:rsidP="00D94AB1" w14:paraId="5F5EF40A" w14:textId="77777777">
            <w:pPr>
              <w:pStyle w:val="LTableTextAbt"/>
            </w:pPr>
            <w:r w:rsidRPr="00A95A85">
              <w:t>Processing into automotive paints &amp; coatings</w:t>
            </w:r>
          </w:p>
        </w:tc>
        <w:tc>
          <w:tcPr>
            <w:tcW w:w="666" w:type="pct"/>
            <w:shd w:val="clear" w:color="auto" w:fill="auto"/>
            <w:vAlign w:val="center"/>
          </w:tcPr>
          <w:p w:rsidR="00D94AB1" w:rsidRPr="00A95A85" w:rsidP="00D94AB1" w14:paraId="58C4FB39" w14:textId="77777777">
            <w:pPr>
              <w:pStyle w:val="RTableTextAbt"/>
            </w:pPr>
            <w:r w:rsidRPr="00A95A85">
              <w:t>14</w:t>
            </w:r>
          </w:p>
        </w:tc>
        <w:tc>
          <w:tcPr>
            <w:tcW w:w="666" w:type="pct"/>
            <w:vAlign w:val="center"/>
          </w:tcPr>
          <w:p w:rsidR="00D94AB1" w:rsidRPr="00A95A85" w:rsidP="00D94AB1" w14:paraId="17E6A083" w14:textId="77777777">
            <w:pPr>
              <w:pStyle w:val="RTableTextAbt"/>
            </w:pPr>
            <w:r w:rsidRPr="00A95A85">
              <w:t>14</w:t>
            </w:r>
          </w:p>
        </w:tc>
        <w:tc>
          <w:tcPr>
            <w:tcW w:w="667" w:type="pct"/>
            <w:vAlign w:val="center"/>
          </w:tcPr>
          <w:p w:rsidR="00D94AB1" w:rsidRPr="00A95A85" w:rsidP="00D94AB1" w14:paraId="05A87D29" w14:textId="77777777">
            <w:pPr>
              <w:pStyle w:val="RTableTextAbt"/>
            </w:pPr>
            <w:r w:rsidRPr="00A95A85">
              <w:t>5</w:t>
            </w:r>
          </w:p>
        </w:tc>
        <w:tc>
          <w:tcPr>
            <w:tcW w:w="686" w:type="pct"/>
            <w:vAlign w:val="center"/>
          </w:tcPr>
          <w:p w:rsidR="00D94AB1" w:rsidRPr="00A95A85" w:rsidP="00D94AB1" w14:paraId="2BD650E2" w14:textId="77777777">
            <w:pPr>
              <w:pStyle w:val="RTableTextAbt"/>
            </w:pPr>
            <w:r w:rsidRPr="00A95A85">
              <w:t>266</w:t>
            </w:r>
          </w:p>
        </w:tc>
      </w:tr>
      <w:tr w14:paraId="28DCAE48" w14:textId="77777777" w:rsidTr="00D94AB1">
        <w:tblPrEx>
          <w:tblW w:w="5000" w:type="pct"/>
          <w:tblLook w:val="04A0"/>
        </w:tblPrEx>
        <w:trPr>
          <w:cantSplit/>
        </w:trPr>
        <w:tc>
          <w:tcPr>
            <w:tcW w:w="2315" w:type="pct"/>
            <w:shd w:val="clear" w:color="auto" w:fill="auto"/>
          </w:tcPr>
          <w:p w:rsidR="00D94AB1" w:rsidRPr="00A95A85" w:rsidP="00D94AB1" w14:paraId="3B21A2D5" w14:textId="77777777">
            <w:pPr>
              <w:pStyle w:val="LTableTextAbt"/>
            </w:pPr>
            <w:r w:rsidRPr="00A95A85">
              <w:t>Processing into plastics &amp; rubber products</w:t>
            </w:r>
          </w:p>
        </w:tc>
        <w:tc>
          <w:tcPr>
            <w:tcW w:w="666" w:type="pct"/>
            <w:shd w:val="clear" w:color="auto" w:fill="auto"/>
            <w:vAlign w:val="center"/>
          </w:tcPr>
          <w:p w:rsidR="00D94AB1" w:rsidRPr="00A95A85" w:rsidP="00D94AB1" w14:paraId="1470946E" w14:textId="77777777">
            <w:pPr>
              <w:pStyle w:val="RTableTextAbt"/>
            </w:pPr>
            <w:r w:rsidRPr="00A95A85">
              <w:t>6</w:t>
            </w:r>
          </w:p>
        </w:tc>
        <w:tc>
          <w:tcPr>
            <w:tcW w:w="666" w:type="pct"/>
            <w:vAlign w:val="center"/>
          </w:tcPr>
          <w:p w:rsidR="00D94AB1" w:rsidRPr="00A95A85" w:rsidP="00D94AB1" w14:paraId="3DFB0BA4" w14:textId="77777777">
            <w:pPr>
              <w:pStyle w:val="RTableTextAbt"/>
            </w:pPr>
            <w:r w:rsidRPr="00A95A85">
              <w:t>27</w:t>
            </w:r>
          </w:p>
        </w:tc>
        <w:tc>
          <w:tcPr>
            <w:tcW w:w="667" w:type="pct"/>
            <w:vAlign w:val="center"/>
          </w:tcPr>
          <w:p w:rsidR="00D94AB1" w:rsidRPr="00A95A85" w:rsidP="00D94AB1" w14:paraId="62FA5796" w14:textId="77777777">
            <w:pPr>
              <w:pStyle w:val="RTableTextAbt"/>
            </w:pPr>
            <w:r w:rsidRPr="00A95A85">
              <w:t>12</w:t>
            </w:r>
          </w:p>
        </w:tc>
        <w:tc>
          <w:tcPr>
            <w:tcW w:w="686" w:type="pct"/>
            <w:vAlign w:val="center"/>
          </w:tcPr>
          <w:p w:rsidR="00D94AB1" w:rsidRPr="00A95A85" w:rsidP="00D94AB1" w14:paraId="38FEFA7F" w14:textId="77777777">
            <w:pPr>
              <w:pStyle w:val="RTableTextAbt"/>
            </w:pPr>
            <w:r w:rsidRPr="00A95A85">
              <w:t>234</w:t>
            </w:r>
          </w:p>
        </w:tc>
      </w:tr>
      <w:tr w14:paraId="2A54AFEC" w14:textId="77777777" w:rsidTr="00D94AB1">
        <w:tblPrEx>
          <w:tblW w:w="5000" w:type="pct"/>
          <w:tblLook w:val="04A0"/>
        </w:tblPrEx>
        <w:trPr>
          <w:cantSplit/>
        </w:trPr>
        <w:tc>
          <w:tcPr>
            <w:tcW w:w="2315" w:type="pct"/>
            <w:shd w:val="clear" w:color="auto" w:fill="auto"/>
          </w:tcPr>
          <w:p w:rsidR="00D94AB1" w:rsidRPr="00A95A85" w:rsidP="00D94AB1" w14:paraId="3516D952" w14:textId="77777777">
            <w:pPr>
              <w:pStyle w:val="LTableTextAbt"/>
              <w:rPr>
                <w:b/>
              </w:rPr>
            </w:pPr>
            <w:r w:rsidRPr="00A95A85">
              <w:rPr>
                <w:b/>
              </w:rPr>
              <w:t>Total</w:t>
            </w:r>
          </w:p>
        </w:tc>
        <w:tc>
          <w:tcPr>
            <w:tcW w:w="666" w:type="pct"/>
            <w:shd w:val="clear" w:color="auto" w:fill="auto"/>
            <w:vAlign w:val="center"/>
          </w:tcPr>
          <w:p w:rsidR="00D94AB1" w:rsidRPr="00A95A85" w:rsidP="00D94AB1" w14:paraId="489BFE79" w14:textId="7A16039A">
            <w:pPr>
              <w:pStyle w:val="RTableTextAbt"/>
              <w:rPr>
                <w:b/>
              </w:rPr>
            </w:pPr>
            <w:r w:rsidRPr="00A95A85">
              <w:rPr>
                <w:b/>
              </w:rPr>
              <w:t>2</w:t>
            </w:r>
            <w:r>
              <w:rPr>
                <w:b/>
              </w:rPr>
              <w:t>2</w:t>
            </w:r>
          </w:p>
        </w:tc>
        <w:tc>
          <w:tcPr>
            <w:tcW w:w="666" w:type="pct"/>
            <w:vAlign w:val="center"/>
          </w:tcPr>
          <w:p w:rsidR="00D94AB1" w:rsidRPr="00A95A85" w:rsidP="00D94AB1" w14:paraId="237E4013" w14:textId="77777777">
            <w:pPr>
              <w:pStyle w:val="RTableTextAbt"/>
              <w:rPr>
                <w:b/>
              </w:rPr>
            </w:pPr>
          </w:p>
        </w:tc>
        <w:tc>
          <w:tcPr>
            <w:tcW w:w="667" w:type="pct"/>
            <w:vAlign w:val="center"/>
          </w:tcPr>
          <w:p w:rsidR="00D94AB1" w:rsidRPr="00A95A85" w:rsidP="00D94AB1" w14:paraId="3D6CE3C2" w14:textId="77777777">
            <w:pPr>
              <w:pStyle w:val="RTableTextAbt"/>
              <w:rPr>
                <w:b/>
              </w:rPr>
            </w:pPr>
          </w:p>
        </w:tc>
        <w:tc>
          <w:tcPr>
            <w:tcW w:w="686" w:type="pct"/>
            <w:vAlign w:val="center"/>
          </w:tcPr>
          <w:p w:rsidR="00D94AB1" w:rsidRPr="00A95A85" w:rsidP="00D94AB1" w14:paraId="156A4E90" w14:textId="2C9BD9EA">
            <w:pPr>
              <w:pStyle w:val="RTableTextAbt"/>
              <w:rPr>
                <w:b/>
              </w:rPr>
            </w:pPr>
            <w:r w:rsidRPr="00A95A85">
              <w:rPr>
                <w:b/>
              </w:rPr>
              <w:t>5</w:t>
            </w:r>
            <w:r>
              <w:rPr>
                <w:b/>
              </w:rPr>
              <w:t>77</w:t>
            </w:r>
            <w:r w:rsidRPr="00A95A85">
              <w:rPr>
                <w:b/>
              </w:rPr>
              <w:t xml:space="preserve"> to 5</w:t>
            </w:r>
            <w:r>
              <w:rPr>
                <w:b/>
              </w:rPr>
              <w:t>97</w:t>
            </w:r>
          </w:p>
        </w:tc>
      </w:tr>
      <w:tr w14:paraId="2B8F601D" w14:textId="77777777" w:rsidTr="00CA0464">
        <w:tblPrEx>
          <w:tblW w:w="5000" w:type="pct"/>
          <w:tblLook w:val="04A0"/>
        </w:tblPrEx>
        <w:trPr>
          <w:cantSplit/>
        </w:trPr>
        <w:tc>
          <w:tcPr>
            <w:tcW w:w="5000" w:type="pct"/>
            <w:gridSpan w:val="5"/>
            <w:shd w:val="clear" w:color="auto" w:fill="auto"/>
          </w:tcPr>
          <w:p w:rsidR="00D94AB1" w:rsidRPr="00A95A85" w:rsidP="00D94AB1" w14:paraId="0DEDC0C3" w14:textId="77777777">
            <w:pPr>
              <w:pStyle w:val="TableNote0"/>
            </w:pPr>
            <w:r>
              <w:t>ONU</w:t>
            </w:r>
            <w:r w:rsidRPr="00A95A85">
              <w:t xml:space="preserve"> = occupational non-users</w:t>
            </w:r>
          </w:p>
          <w:p w:rsidR="00D94AB1" w:rsidRPr="00A95A85" w:rsidP="00D94AB1" w14:paraId="7508AC03" w14:textId="77777777">
            <w:pPr>
              <w:pStyle w:val="TableNote0"/>
            </w:pPr>
            <w:r w:rsidRPr="00A95A85">
              <w:t>a. Based on information provided by Sun Chemical.</w:t>
            </w:r>
          </w:p>
          <w:p w:rsidR="00D94AB1" w:rsidRPr="00A95A85" w:rsidP="00D94AB1" w14:paraId="68BBF19D" w14:textId="33213C71">
            <w:pPr>
              <w:pStyle w:val="TableNote0"/>
            </w:pPr>
            <w:r>
              <w:t>b. For domestic manufacturing, based on information provided by Sun Chemical (</w:t>
            </w:r>
            <w:r w:rsidRPr="001269E4">
              <w:rPr>
                <w:shd w:val="clear" w:color="auto" w:fill="FAFAFA" w:themeFill="accent5" w:themeFillTint="33"/>
              </w:rPr>
              <w:t>citation</w:t>
            </w:r>
            <w:r>
              <w:t>); for others, based on EPA (</w:t>
            </w:r>
            <w:hyperlink w:anchor="_ENREF_65" w:tooltip="U.S. Environmental Protection Agency (EPA), 2021 #61" w:history="1">
              <w:r w:rsidRPr="00CA6588" w:rsidR="003D6084">
                <w:fldChar w:fldCharType="begin" w:fldLock="1"/>
              </w:r>
              <w:r w:rsidR="003D6084">
                <w:instrText xml:space="preserve"> ADDIN EN.CITE &lt;EndNote&gt;&lt;Cite ExcludeAuth="1"&gt;&lt;Author&gt;U.S. Environmental Protection Agency (EPA)&lt;/Author&gt;&lt;Year&gt;2021&lt;/Year&gt;&lt;RecNum&gt;61&lt;/RecNum&gt;&lt;DisplayText&gt;2021e&lt;/DisplayText&gt;&lt;record&gt;&lt;rec-number&gt;61&lt;/rec-number&gt;&lt;foreign-keys&gt;&lt;key app="EN" db-id="2apzr05radv9fjet2w6xxwdlz5e9vwfxredw" timestamp="1730757315"&gt;61&lt;/key&gt;&lt;/foreign-keys&gt;&lt;ref-type name="Generic"&gt;13&lt;/ref-type&gt;&lt;contributors&gt;&lt;authors&gt;&lt;author&gt;U.S. Environmental Protection Agency (EPA),&lt;/author&gt;&lt;/authors&gt;&lt;subsidiary-authors&gt;&lt;author&gt;Office of Chemical Safety and Pollution Prevention&lt;/author&gt;&lt;/subsidiary-authors&gt;&lt;/contributors&gt;&lt;titles&gt;&lt;title&gt;Risk Evaluation for C.I. Pigment Violet 29 (Anthra[2,1,9-def:6,5,10-d&amp;apos;e&amp;apos;f&amp;apos;]diisoquinoline-1,3,8,10(2H,9H)-tetrone)&lt;/title&gt;&lt;/titles&gt;&lt;number&gt;# 740-R-18-015&lt;/number&gt;&lt;dates&gt;&lt;year&gt;2021&lt;/year&gt;&lt;/dates&gt;&lt;urls&gt;&lt;/urls&gt;&lt;/record&gt;&lt;/Cite&gt;&lt;/EndNote&gt;</w:instrText>
              </w:r>
              <w:r w:rsidRPr="00CA6588" w:rsidR="003D6084">
                <w:fldChar w:fldCharType="separate"/>
              </w:r>
              <w:r w:rsidR="003D6084">
                <w:rPr>
                  <w:noProof/>
                </w:rPr>
                <w:t>2021e</w:t>
              </w:r>
              <w:r w:rsidRPr="00CA6588" w:rsidR="003D6084">
                <w:fldChar w:fldCharType="end"/>
              </w:r>
            </w:hyperlink>
            <w:r>
              <w:t>).</w:t>
            </w:r>
          </w:p>
          <w:p w:rsidR="00D94AB1" w:rsidRPr="00A95A85" w:rsidP="00D94AB1" w14:paraId="0D30FE10" w14:textId="77777777">
            <w:pPr>
              <w:pStyle w:val="TableNote0"/>
            </w:pPr>
            <w:r w:rsidRPr="00A95A85">
              <w:t>c. Sum of direct and ONUs per facility times the number of affected facilities.</w:t>
            </w:r>
          </w:p>
        </w:tc>
      </w:tr>
    </w:tbl>
    <w:p w:rsidR="0020054B" w:rsidRPr="00742165" w:rsidP="00E6607D" w14:paraId="275364B0" w14:textId="77777777">
      <w:pPr>
        <w:pStyle w:val="BodyText"/>
      </w:pPr>
    </w:p>
    <w:p w:rsidR="00F97378" w:rsidP="00F97378" w14:paraId="2C26039C" w14:textId="77777777">
      <w:pPr>
        <w:pStyle w:val="Heading2NoNumbering"/>
      </w:pPr>
      <w:bookmarkStart w:id="11" w:name="_Toc184299498"/>
      <w:r w:rsidRPr="00B56426">
        <w:t xml:space="preserve">Estimated </w:t>
      </w:r>
      <w:r w:rsidRPr="00B56426" w:rsidR="00DF60F5">
        <w:t xml:space="preserve">Incremental </w:t>
      </w:r>
      <w:r w:rsidRPr="00B56426">
        <w:t>Costs</w:t>
      </w:r>
      <w:bookmarkEnd w:id="11"/>
    </w:p>
    <w:p w:rsidR="007766D8" w:rsidRPr="007766D8" w:rsidP="007766D8" w14:paraId="3668F93F" w14:textId="103F92FA">
      <w:pPr>
        <w:pStyle w:val="BodyText"/>
        <w:rPr>
          <w:lang w:val="en-US"/>
        </w:rPr>
      </w:pPr>
      <w:r>
        <w:rPr>
          <w:lang w:val="en-US"/>
        </w:rPr>
        <w:fldChar w:fldCharType="begin" w:fldLock="1"/>
      </w:r>
      <w:r>
        <w:rPr>
          <w:lang w:val="en-US"/>
        </w:rPr>
        <w:instrText xml:space="preserve"> REF _Ref180682401 \h </w:instrText>
      </w:r>
      <w:r>
        <w:rPr>
          <w:lang w:val="en-US"/>
        </w:rPr>
        <w:fldChar w:fldCharType="separate"/>
      </w:r>
      <w:r w:rsidR="00735BBC">
        <w:t>Table ES-</w:t>
      </w:r>
      <w:r w:rsidR="00735BBC">
        <w:rPr>
          <w:noProof/>
        </w:rPr>
        <w:t>4</w:t>
      </w:r>
      <w:r>
        <w:rPr>
          <w:lang w:val="en-US"/>
        </w:rPr>
        <w:fldChar w:fldCharType="end"/>
      </w:r>
      <w:r w:rsidRPr="00945B73" w:rsidR="00945B73">
        <w:t xml:space="preserve"> </w:t>
      </w:r>
      <w:r w:rsidR="00945B73">
        <w:t>pr</w:t>
      </w:r>
      <w:r w:rsidRPr="008B67FF" w:rsidR="00945B73">
        <w:t>esent</w:t>
      </w:r>
      <w:r w:rsidR="00945B73">
        <w:t>s</w:t>
      </w:r>
      <w:r w:rsidRPr="008B67FF" w:rsidR="00945B73">
        <w:t xml:space="preserve"> the total </w:t>
      </w:r>
      <w:r w:rsidR="00945B73">
        <w:t xml:space="preserve">15-year </w:t>
      </w:r>
      <w:r w:rsidRPr="008B67FF" w:rsidR="00945B73">
        <w:t xml:space="preserve">annualized costs for </w:t>
      </w:r>
      <w:r w:rsidR="00945B73">
        <w:t xml:space="preserve">a 2 </w:t>
      </w:r>
      <w:r w:rsidRPr="008B67FF" w:rsidR="00945B73">
        <w:t>percent discount rate.</w:t>
      </w:r>
      <w:r w:rsidR="00945B73">
        <w:t xml:space="preserve"> </w:t>
      </w:r>
      <w:r w:rsidR="00650AF3">
        <w:t>Note that PV29</w:t>
      </w:r>
      <w:r w:rsidRPr="00650AF3" w:rsidR="00650AF3">
        <w:t xml:space="preserve"> </w:t>
      </w:r>
      <w:r w:rsidRPr="007B6745" w:rsidR="00650AF3">
        <w:t>manufacturing and intermediate processing</w:t>
      </w:r>
      <w:r w:rsidR="00650AF3">
        <w:t xml:space="preserve">, </w:t>
      </w:r>
      <w:r w:rsidRPr="007B6745" w:rsidR="00650AF3">
        <w:t>PV29 importing</w:t>
      </w:r>
      <w:r w:rsidR="00650AF3">
        <w:t xml:space="preserve">, </w:t>
      </w:r>
      <w:r w:rsidR="00C241E6">
        <w:t xml:space="preserve">Processing </w:t>
      </w:r>
      <w:r w:rsidR="003E21C7">
        <w:t xml:space="preserve">into automotive </w:t>
      </w:r>
      <w:r w:rsidR="0096354F">
        <w:t xml:space="preserve">paints and coatings, </w:t>
      </w:r>
      <w:r w:rsidR="00650AF3">
        <w:t xml:space="preserve">and </w:t>
      </w:r>
      <w:r w:rsidRPr="007B6745" w:rsidR="00650AF3">
        <w:t>Processing into plastic and rubber products</w:t>
      </w:r>
      <w:r w:rsidR="00650AF3">
        <w:t xml:space="preserve"> are the only </w:t>
      </w:r>
      <w:r w:rsidR="00DD24AB">
        <w:t>use categories</w:t>
      </w:r>
      <w:r w:rsidR="00864FC2">
        <w:t xml:space="preserve"> that have incremental costs beyond rule familiarization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1653"/>
        <w:gridCol w:w="1652"/>
        <w:gridCol w:w="1652"/>
        <w:gridCol w:w="1733"/>
      </w:tblGrid>
      <w:tr w14:paraId="1D9EEB68" w14:textId="77777777" w:rsidTr="00CA046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
          <w:tblHeader/>
        </w:trPr>
        <w:tc>
          <w:tcPr>
            <w:tcW w:w="5000" w:type="pct"/>
            <w:gridSpan w:val="5"/>
            <w:tcBorders>
              <w:top w:val="nil"/>
              <w:left w:val="nil"/>
              <w:bottom w:val="single" w:sz="4" w:space="0" w:color="auto"/>
              <w:right w:val="nil"/>
            </w:tcBorders>
            <w:shd w:val="clear" w:color="auto" w:fill="auto"/>
            <w:vAlign w:val="center"/>
          </w:tcPr>
          <w:p w:rsidR="00323D51" w:rsidRPr="009F1916" w:rsidP="00CA0464" w14:paraId="36BD7785" w14:textId="27187F22">
            <w:pPr>
              <w:pStyle w:val="TableTitleA"/>
            </w:pPr>
            <w:bookmarkStart w:id="12" w:name="_Ref180682401"/>
            <w:bookmarkStart w:id="13" w:name="_Toc184299542"/>
            <w:r>
              <w:t>Table ES-</w:t>
            </w:r>
            <w:r>
              <w:fldChar w:fldCharType="begin" w:fldLock="1"/>
            </w:r>
            <w:r>
              <w:instrText>SEQ Table_ES- \* ARABIC</w:instrText>
            </w:r>
            <w:r>
              <w:fldChar w:fldCharType="separate"/>
            </w:r>
            <w:r w:rsidR="00735BBC">
              <w:rPr>
                <w:noProof/>
              </w:rPr>
              <w:t>4</w:t>
            </w:r>
            <w:r>
              <w:fldChar w:fldCharType="end"/>
            </w:r>
            <w:bookmarkEnd w:id="12"/>
            <w:r w:rsidRPr="00A95A85">
              <w:t xml:space="preserve">: </w:t>
            </w:r>
            <w:r w:rsidRPr="007B6745">
              <w:t>Summary of Total Annualized</w:t>
            </w:r>
            <w:r w:rsidRPr="00DD24AB">
              <w:rPr>
                <w:vertAlign w:val="superscript"/>
              </w:rPr>
              <w:t>a</w:t>
            </w:r>
            <w:r w:rsidRPr="007B6745">
              <w:t xml:space="preserve"> Incremental Costs (2023$; 2% Discount Rate)</w:t>
            </w:r>
            <w:bookmarkEnd w:id="13"/>
          </w:p>
        </w:tc>
      </w:tr>
      <w:tr w14:paraId="4D404A62" w14:textId="77777777" w:rsidTr="00981460">
        <w:tblPrEx>
          <w:tblW w:w="5000" w:type="pct"/>
          <w:tblLook w:val="04A0"/>
        </w:tblPrEx>
        <w:trPr>
          <w:trHeight w:val="20"/>
          <w:tblHeader/>
        </w:trPr>
        <w:tc>
          <w:tcPr>
            <w:tcW w:w="1283"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323D51" w:rsidRPr="007B6745" w:rsidP="00CA0464" w14:paraId="74B9B032" w14:textId="77777777">
            <w:pPr>
              <w:pStyle w:val="TableSubtitle"/>
            </w:pPr>
            <w:r w:rsidRPr="007B6745">
              <w:t>Use category</w:t>
            </w:r>
          </w:p>
        </w:tc>
        <w:tc>
          <w:tcPr>
            <w:tcW w:w="1836"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323D51" w:rsidRPr="007B6745" w:rsidP="00CA0464" w14:paraId="12A96FF1" w14:textId="61EBAA07">
            <w:pPr>
              <w:pStyle w:val="TableSubtitle"/>
              <w:rPr>
                <w:vertAlign w:val="superscript"/>
              </w:rPr>
            </w:pPr>
            <w:r>
              <w:t>Option 1 (</w:t>
            </w:r>
            <w:r w:rsidRPr="007B6745">
              <w:t>Proposed</w:t>
            </w:r>
            <w:r w:rsidR="00C7011B">
              <w:t>)</w:t>
            </w:r>
            <w:r w:rsidRPr="007B6745">
              <w:rPr>
                <w:vertAlign w:val="superscript"/>
              </w:rPr>
              <w:t>b</w:t>
            </w:r>
          </w:p>
        </w:tc>
        <w:tc>
          <w:tcPr>
            <w:tcW w:w="1881"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323D51" w:rsidRPr="007B6745" w:rsidP="00CA0464" w14:paraId="09383B1C" w14:textId="0061F336">
            <w:pPr>
              <w:pStyle w:val="TableSubtitle"/>
              <w:rPr>
                <w:vertAlign w:val="superscript"/>
              </w:rPr>
            </w:pPr>
            <w:r>
              <w:t>Option 2 (</w:t>
            </w:r>
            <w:r w:rsidRPr="007B6745">
              <w:t>Alternative</w:t>
            </w:r>
            <w:r>
              <w:t>)</w:t>
            </w:r>
            <w:r w:rsidRPr="007B6745">
              <w:rPr>
                <w:vertAlign w:val="superscript"/>
              </w:rPr>
              <w:t>c</w:t>
            </w:r>
          </w:p>
        </w:tc>
      </w:tr>
      <w:tr w14:paraId="6005575F" w14:textId="77777777" w:rsidTr="00981460">
        <w:tblPrEx>
          <w:tblW w:w="5000" w:type="pct"/>
          <w:tblLook w:val="04A0"/>
        </w:tblPrEx>
        <w:trPr>
          <w:trHeight w:val="20"/>
          <w:tblHeader/>
        </w:trPr>
        <w:tc>
          <w:tcPr>
            <w:tcW w:w="0" w:type="auto"/>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323D51" w:rsidRPr="007B6745" w:rsidP="00CA0464" w14:paraId="367267B2" w14:textId="77777777">
            <w:pPr>
              <w:pStyle w:val="TableSubtitle"/>
            </w:pPr>
          </w:p>
        </w:tc>
        <w:tc>
          <w:tcPr>
            <w:tcW w:w="918"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323D51" w:rsidRPr="007B6745" w:rsidP="00CA0464" w14:paraId="5E00E630" w14:textId="77777777">
            <w:pPr>
              <w:pStyle w:val="TableSubtitle"/>
            </w:pPr>
            <w:r w:rsidRPr="007B6745">
              <w:t>Low</w:t>
            </w:r>
          </w:p>
        </w:tc>
        <w:tc>
          <w:tcPr>
            <w:tcW w:w="918"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323D51" w:rsidRPr="007B6745" w:rsidP="00CA0464" w14:paraId="638BA710" w14:textId="77777777">
            <w:pPr>
              <w:pStyle w:val="TableSubtitle"/>
            </w:pPr>
            <w:r w:rsidRPr="007B6745">
              <w:t>High</w:t>
            </w:r>
          </w:p>
        </w:tc>
        <w:tc>
          <w:tcPr>
            <w:tcW w:w="918"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323D51" w:rsidRPr="007B6745" w:rsidP="00CA0464" w14:paraId="7F94F2AA" w14:textId="77777777">
            <w:pPr>
              <w:pStyle w:val="TableSubtitle"/>
            </w:pPr>
            <w:r w:rsidRPr="007B6745">
              <w:t>Low</w:t>
            </w:r>
          </w:p>
        </w:tc>
        <w:tc>
          <w:tcPr>
            <w:tcW w:w="963"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323D51" w:rsidRPr="007B6745" w:rsidP="00CA0464" w14:paraId="102E6C81" w14:textId="77777777">
            <w:pPr>
              <w:pStyle w:val="TableSubtitle"/>
            </w:pPr>
            <w:r w:rsidRPr="007B6745">
              <w:t>High</w:t>
            </w:r>
          </w:p>
        </w:tc>
      </w:tr>
      <w:tr w14:paraId="47A7177A" w14:textId="77777777" w:rsidTr="00981460">
        <w:tblPrEx>
          <w:tblW w:w="5000" w:type="pct"/>
          <w:tblLook w:val="04A0"/>
        </w:tblPrEx>
        <w:trPr>
          <w:trHeight w:val="20"/>
        </w:trPr>
        <w:tc>
          <w:tcPr>
            <w:tcW w:w="1283" w:type="pct"/>
            <w:tcBorders>
              <w:top w:val="single" w:sz="4" w:space="0" w:color="auto"/>
              <w:left w:val="single" w:sz="4" w:space="0" w:color="auto"/>
              <w:bottom w:val="single" w:sz="4" w:space="0" w:color="auto"/>
              <w:right w:val="single" w:sz="4" w:space="0" w:color="auto"/>
            </w:tcBorders>
            <w:vAlign w:val="center"/>
            <w:hideMark/>
          </w:tcPr>
          <w:p w:rsidR="00981460" w:rsidRPr="007B6745" w:rsidP="00981460" w14:paraId="47F5AE6E" w14:textId="77777777">
            <w:pPr>
              <w:pStyle w:val="LTableTextAbt"/>
            </w:pPr>
            <w:r w:rsidRPr="007B6745">
              <w:t>PV29 manufacturing and intermediate processing</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981460" w:rsidRPr="007B6745" w:rsidP="00981460" w14:paraId="37318069" w14:textId="71E9DB0C">
            <w:pPr>
              <w:pStyle w:val="RTableTextAbt"/>
            </w:pPr>
            <w:r>
              <w:rPr>
                <w:szCs w:val="18"/>
              </w:rPr>
              <w:t xml:space="preserve">$113,324 </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981460" w:rsidRPr="007B6745" w:rsidP="00981460" w14:paraId="01181CCE" w14:textId="1A845E30">
            <w:pPr>
              <w:pStyle w:val="RTableTextAbt"/>
            </w:pPr>
            <w:r>
              <w:rPr>
                <w:szCs w:val="18"/>
              </w:rPr>
              <w:t xml:space="preserve">$148,324 </w:t>
            </w:r>
          </w:p>
        </w:tc>
        <w:tc>
          <w:tcPr>
            <w:tcW w:w="918" w:type="pct"/>
            <w:tcBorders>
              <w:top w:val="single" w:sz="4" w:space="0" w:color="auto"/>
              <w:left w:val="single" w:sz="4" w:space="0" w:color="auto"/>
              <w:bottom w:val="single" w:sz="4" w:space="0" w:color="auto"/>
              <w:right w:val="single" w:sz="4" w:space="0" w:color="auto"/>
            </w:tcBorders>
            <w:vAlign w:val="center"/>
            <w:hideMark/>
          </w:tcPr>
          <w:p w:rsidR="00981460" w:rsidRPr="007B6745" w:rsidP="00981460" w14:paraId="1515CA74" w14:textId="147B4ED4">
            <w:pPr>
              <w:pStyle w:val="RTableTextAbt"/>
            </w:pPr>
            <w:r>
              <w:rPr>
                <w:szCs w:val="18"/>
              </w:rPr>
              <w:t xml:space="preserve">$41,799 </w:t>
            </w:r>
          </w:p>
        </w:tc>
        <w:tc>
          <w:tcPr>
            <w:tcW w:w="963" w:type="pct"/>
            <w:tcBorders>
              <w:top w:val="single" w:sz="4" w:space="0" w:color="auto"/>
              <w:left w:val="single" w:sz="4" w:space="0" w:color="auto"/>
              <w:bottom w:val="single" w:sz="4" w:space="0" w:color="auto"/>
              <w:right w:val="single" w:sz="4" w:space="0" w:color="auto"/>
            </w:tcBorders>
            <w:vAlign w:val="center"/>
            <w:hideMark/>
          </w:tcPr>
          <w:p w:rsidR="00981460" w:rsidRPr="007B6745" w:rsidP="00981460" w14:paraId="00047FCA" w14:textId="62893470">
            <w:pPr>
              <w:pStyle w:val="RTableTextAbt"/>
            </w:pPr>
            <w:r>
              <w:rPr>
                <w:szCs w:val="18"/>
              </w:rPr>
              <w:t xml:space="preserve">$52,153 </w:t>
            </w:r>
          </w:p>
        </w:tc>
      </w:tr>
      <w:tr w14:paraId="650D1F7A" w14:textId="77777777" w:rsidTr="00981460">
        <w:tblPrEx>
          <w:tblW w:w="5000" w:type="pct"/>
          <w:tblLook w:val="04A0"/>
        </w:tblPrEx>
        <w:trPr>
          <w:trHeight w:val="20"/>
        </w:trPr>
        <w:tc>
          <w:tcPr>
            <w:tcW w:w="1283" w:type="pct"/>
            <w:tcBorders>
              <w:top w:val="single" w:sz="4" w:space="0" w:color="auto"/>
              <w:left w:val="single" w:sz="4" w:space="0" w:color="auto"/>
              <w:bottom w:val="single" w:sz="4" w:space="0" w:color="auto"/>
              <w:right w:val="single" w:sz="4" w:space="0" w:color="auto"/>
            </w:tcBorders>
            <w:vAlign w:val="center"/>
            <w:hideMark/>
          </w:tcPr>
          <w:p w:rsidR="00981460" w:rsidRPr="007B6745" w:rsidP="00981460" w14:paraId="703C7028" w14:textId="77777777">
            <w:pPr>
              <w:pStyle w:val="LTableTextAbt"/>
            </w:pPr>
            <w:r w:rsidRPr="007B6745">
              <w:t>PV29 importing</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981460" w:rsidRPr="007B6745" w:rsidP="00981460" w14:paraId="59A7B3D4" w14:textId="50BE12D3">
            <w:pPr>
              <w:pStyle w:val="RTableTextAbt"/>
            </w:pPr>
            <w:r>
              <w:rPr>
                <w:szCs w:val="18"/>
              </w:rPr>
              <w:t xml:space="preserve">$46,297 </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981460" w:rsidRPr="007B6745" w:rsidP="00981460" w14:paraId="11AAAB41" w14:textId="3D1E709B">
            <w:pPr>
              <w:pStyle w:val="RTableTextAbt"/>
            </w:pPr>
            <w:r>
              <w:rPr>
                <w:szCs w:val="18"/>
              </w:rPr>
              <w:t xml:space="preserve">$46,297 </w:t>
            </w:r>
          </w:p>
        </w:tc>
        <w:tc>
          <w:tcPr>
            <w:tcW w:w="918" w:type="pct"/>
            <w:tcBorders>
              <w:top w:val="single" w:sz="4" w:space="0" w:color="auto"/>
              <w:left w:val="single" w:sz="4" w:space="0" w:color="auto"/>
              <w:bottom w:val="single" w:sz="4" w:space="0" w:color="auto"/>
              <w:right w:val="single" w:sz="4" w:space="0" w:color="auto"/>
            </w:tcBorders>
            <w:vAlign w:val="center"/>
            <w:hideMark/>
          </w:tcPr>
          <w:p w:rsidR="00981460" w:rsidRPr="007B6745" w:rsidP="00981460" w14:paraId="5B788AEB" w14:textId="57EC9547">
            <w:pPr>
              <w:pStyle w:val="RTableTextAbt"/>
            </w:pPr>
            <w:r>
              <w:rPr>
                <w:szCs w:val="18"/>
              </w:rPr>
              <w:t xml:space="preserve">$22,892 </w:t>
            </w:r>
          </w:p>
        </w:tc>
        <w:tc>
          <w:tcPr>
            <w:tcW w:w="963" w:type="pct"/>
            <w:tcBorders>
              <w:top w:val="single" w:sz="4" w:space="0" w:color="auto"/>
              <w:left w:val="single" w:sz="4" w:space="0" w:color="auto"/>
              <w:bottom w:val="single" w:sz="4" w:space="0" w:color="auto"/>
              <w:right w:val="single" w:sz="4" w:space="0" w:color="auto"/>
            </w:tcBorders>
            <w:vAlign w:val="center"/>
            <w:hideMark/>
          </w:tcPr>
          <w:p w:rsidR="00981460" w:rsidRPr="007B6745" w:rsidP="00981460" w14:paraId="3A763CF4" w14:textId="4DEC13CA">
            <w:pPr>
              <w:pStyle w:val="RTableTextAbt"/>
            </w:pPr>
            <w:r>
              <w:rPr>
                <w:szCs w:val="18"/>
              </w:rPr>
              <w:t xml:space="preserve">$22,892 </w:t>
            </w:r>
          </w:p>
        </w:tc>
      </w:tr>
      <w:tr w14:paraId="7E65DAD6" w14:textId="77777777" w:rsidTr="00981460">
        <w:tblPrEx>
          <w:tblW w:w="5000" w:type="pct"/>
          <w:tblLook w:val="04A0"/>
        </w:tblPrEx>
        <w:trPr>
          <w:trHeight w:val="20"/>
        </w:trPr>
        <w:tc>
          <w:tcPr>
            <w:tcW w:w="1283" w:type="pct"/>
            <w:tcBorders>
              <w:top w:val="single" w:sz="4" w:space="0" w:color="auto"/>
              <w:left w:val="single" w:sz="4" w:space="0" w:color="auto"/>
              <w:bottom w:val="single" w:sz="4" w:space="0" w:color="auto"/>
              <w:right w:val="single" w:sz="4" w:space="0" w:color="auto"/>
            </w:tcBorders>
            <w:vAlign w:val="center"/>
            <w:hideMark/>
          </w:tcPr>
          <w:p w:rsidR="00981460" w:rsidRPr="007B6745" w:rsidP="00981460" w14:paraId="437D660F" w14:textId="77777777">
            <w:pPr>
              <w:pStyle w:val="LTableTextAbt"/>
            </w:pPr>
            <w:r w:rsidRPr="007B6745">
              <w:t>Processing into automotive paints and coatings</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981460" w:rsidRPr="007B6745" w:rsidP="00981460" w14:paraId="3CC12604" w14:textId="0625E599">
            <w:pPr>
              <w:pStyle w:val="RTableTextAbt"/>
            </w:pPr>
            <w:r>
              <w:rPr>
                <w:szCs w:val="18"/>
              </w:rPr>
              <w:t xml:space="preserve">$648,161 </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981460" w:rsidRPr="007B6745" w:rsidP="00981460" w14:paraId="58DC35C1" w14:textId="69CF5A16">
            <w:pPr>
              <w:pStyle w:val="RTableTextAbt"/>
            </w:pPr>
            <w:r>
              <w:rPr>
                <w:szCs w:val="18"/>
              </w:rPr>
              <w:t xml:space="preserve">$648,161 </w:t>
            </w:r>
          </w:p>
        </w:tc>
        <w:tc>
          <w:tcPr>
            <w:tcW w:w="918" w:type="pct"/>
            <w:tcBorders>
              <w:top w:val="single" w:sz="4" w:space="0" w:color="auto"/>
              <w:left w:val="single" w:sz="4" w:space="0" w:color="auto"/>
              <w:bottom w:val="single" w:sz="4" w:space="0" w:color="auto"/>
              <w:right w:val="single" w:sz="4" w:space="0" w:color="auto"/>
            </w:tcBorders>
            <w:vAlign w:val="center"/>
            <w:hideMark/>
          </w:tcPr>
          <w:p w:rsidR="00981460" w:rsidRPr="007B6745" w:rsidP="00981460" w14:paraId="1306FFD6" w14:textId="258B4F42">
            <w:pPr>
              <w:pStyle w:val="RTableTextAbt"/>
            </w:pPr>
            <w:r>
              <w:rPr>
                <w:szCs w:val="18"/>
              </w:rPr>
              <w:t xml:space="preserve">$320,495 </w:t>
            </w:r>
          </w:p>
        </w:tc>
        <w:tc>
          <w:tcPr>
            <w:tcW w:w="963" w:type="pct"/>
            <w:tcBorders>
              <w:top w:val="single" w:sz="4" w:space="0" w:color="auto"/>
              <w:left w:val="single" w:sz="4" w:space="0" w:color="auto"/>
              <w:bottom w:val="single" w:sz="4" w:space="0" w:color="auto"/>
              <w:right w:val="single" w:sz="4" w:space="0" w:color="auto"/>
            </w:tcBorders>
            <w:vAlign w:val="center"/>
            <w:hideMark/>
          </w:tcPr>
          <w:p w:rsidR="00981460" w:rsidRPr="007B6745" w:rsidP="00981460" w14:paraId="0E917C9A" w14:textId="155F288D">
            <w:pPr>
              <w:pStyle w:val="RTableTextAbt"/>
            </w:pPr>
            <w:r>
              <w:rPr>
                <w:szCs w:val="18"/>
              </w:rPr>
              <w:t xml:space="preserve">$320,495 </w:t>
            </w:r>
          </w:p>
        </w:tc>
      </w:tr>
      <w:tr w14:paraId="46527453" w14:textId="77777777" w:rsidTr="00981460">
        <w:tblPrEx>
          <w:tblW w:w="5000" w:type="pct"/>
          <w:tblLook w:val="04A0"/>
        </w:tblPrEx>
        <w:trPr>
          <w:trHeight w:val="20"/>
        </w:trPr>
        <w:tc>
          <w:tcPr>
            <w:tcW w:w="1283" w:type="pct"/>
            <w:tcBorders>
              <w:top w:val="single" w:sz="4" w:space="0" w:color="auto"/>
              <w:left w:val="single" w:sz="4" w:space="0" w:color="auto"/>
              <w:bottom w:val="single" w:sz="4" w:space="0" w:color="auto"/>
              <w:right w:val="single" w:sz="4" w:space="0" w:color="auto"/>
            </w:tcBorders>
            <w:vAlign w:val="center"/>
            <w:hideMark/>
          </w:tcPr>
          <w:p w:rsidR="00981460" w:rsidRPr="007B6745" w:rsidP="00981460" w14:paraId="24893B1B" w14:textId="77777777">
            <w:pPr>
              <w:pStyle w:val="LTableTextAbt"/>
            </w:pPr>
            <w:r w:rsidRPr="007B6745">
              <w:t>Processing into plastic and rubber products</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981460" w:rsidRPr="007B6745" w:rsidP="00981460" w14:paraId="3FAD3BEC" w14:textId="5E66F6D5">
            <w:pPr>
              <w:pStyle w:val="RTableTextAbt"/>
            </w:pPr>
            <w:r>
              <w:rPr>
                <w:szCs w:val="18"/>
              </w:rPr>
              <w:t xml:space="preserve">$483,186 </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981460" w:rsidRPr="007B6745" w:rsidP="00981460" w14:paraId="73E0A0A7" w14:textId="4EF74B64">
            <w:pPr>
              <w:pStyle w:val="RTableTextAbt"/>
            </w:pPr>
            <w:r>
              <w:rPr>
                <w:szCs w:val="18"/>
              </w:rPr>
              <w:t xml:space="preserve">$483,186 </w:t>
            </w:r>
          </w:p>
        </w:tc>
        <w:tc>
          <w:tcPr>
            <w:tcW w:w="918" w:type="pct"/>
            <w:tcBorders>
              <w:top w:val="single" w:sz="4" w:space="0" w:color="auto"/>
              <w:left w:val="single" w:sz="4" w:space="0" w:color="auto"/>
              <w:bottom w:val="single" w:sz="4" w:space="0" w:color="auto"/>
              <w:right w:val="single" w:sz="4" w:space="0" w:color="auto"/>
            </w:tcBorders>
            <w:vAlign w:val="center"/>
            <w:hideMark/>
          </w:tcPr>
          <w:p w:rsidR="00981460" w:rsidRPr="007B6745" w:rsidP="00981460" w14:paraId="0B80114B" w14:textId="1DD3206A">
            <w:pPr>
              <w:pStyle w:val="RTableTextAbt"/>
            </w:pPr>
            <w:r>
              <w:rPr>
                <w:szCs w:val="18"/>
              </w:rPr>
              <w:t xml:space="preserve">$194,939 </w:t>
            </w:r>
          </w:p>
        </w:tc>
        <w:tc>
          <w:tcPr>
            <w:tcW w:w="963" w:type="pct"/>
            <w:tcBorders>
              <w:top w:val="single" w:sz="4" w:space="0" w:color="auto"/>
              <w:left w:val="single" w:sz="4" w:space="0" w:color="auto"/>
              <w:bottom w:val="single" w:sz="4" w:space="0" w:color="auto"/>
              <w:right w:val="single" w:sz="4" w:space="0" w:color="auto"/>
            </w:tcBorders>
            <w:vAlign w:val="center"/>
            <w:hideMark/>
          </w:tcPr>
          <w:p w:rsidR="00981460" w:rsidRPr="007B6745" w:rsidP="00981460" w14:paraId="4B243001" w14:textId="607DB129">
            <w:pPr>
              <w:pStyle w:val="RTableTextAbt"/>
            </w:pPr>
            <w:r>
              <w:rPr>
                <w:szCs w:val="18"/>
              </w:rPr>
              <w:t xml:space="preserve">$194,939 </w:t>
            </w:r>
          </w:p>
        </w:tc>
      </w:tr>
      <w:tr w14:paraId="318385D2" w14:textId="77777777" w:rsidTr="00981460">
        <w:tblPrEx>
          <w:tblW w:w="5000" w:type="pct"/>
          <w:tblLook w:val="04A0"/>
        </w:tblPrEx>
        <w:trPr>
          <w:trHeight w:val="20"/>
        </w:trPr>
        <w:tc>
          <w:tcPr>
            <w:tcW w:w="1283" w:type="pct"/>
            <w:tcBorders>
              <w:top w:val="single" w:sz="4" w:space="0" w:color="auto"/>
              <w:left w:val="single" w:sz="4" w:space="0" w:color="auto"/>
              <w:bottom w:val="single" w:sz="4" w:space="0" w:color="auto"/>
              <w:right w:val="single" w:sz="4" w:space="0" w:color="auto"/>
            </w:tcBorders>
            <w:vAlign w:val="center"/>
            <w:hideMark/>
          </w:tcPr>
          <w:p w:rsidR="00981460" w:rsidRPr="007B6745" w:rsidP="00981460" w14:paraId="64456573" w14:textId="77777777">
            <w:pPr>
              <w:pStyle w:val="LTableTextAbt"/>
            </w:pPr>
            <w:r w:rsidRPr="007B6745">
              <w:t>Recycling</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981460" w:rsidRPr="007B6745" w:rsidP="00981460" w14:paraId="5551C9B0" w14:textId="5FC4411B">
            <w:pPr>
              <w:pStyle w:val="RTableTextAbt"/>
            </w:pPr>
            <w:r>
              <w:rPr>
                <w:szCs w:val="18"/>
              </w:rPr>
              <w:t xml:space="preserve">$59,777 </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981460" w:rsidRPr="007B6745" w:rsidP="00981460" w14:paraId="3DB347C5" w14:textId="08CD8FCA">
            <w:pPr>
              <w:pStyle w:val="RTableTextAbt"/>
            </w:pPr>
            <w:r>
              <w:rPr>
                <w:szCs w:val="18"/>
              </w:rPr>
              <w:t xml:space="preserve">$59,777 </w:t>
            </w:r>
          </w:p>
        </w:tc>
        <w:tc>
          <w:tcPr>
            <w:tcW w:w="918" w:type="pct"/>
            <w:tcBorders>
              <w:top w:val="single" w:sz="4" w:space="0" w:color="auto"/>
              <w:left w:val="single" w:sz="4" w:space="0" w:color="auto"/>
              <w:bottom w:val="single" w:sz="4" w:space="0" w:color="auto"/>
              <w:right w:val="single" w:sz="4" w:space="0" w:color="auto"/>
            </w:tcBorders>
            <w:vAlign w:val="center"/>
            <w:hideMark/>
          </w:tcPr>
          <w:p w:rsidR="00981460" w:rsidRPr="007B6745" w:rsidP="00981460" w14:paraId="21D51A73" w14:textId="3519C50C">
            <w:pPr>
              <w:pStyle w:val="RTableTextAbt"/>
            </w:pPr>
            <w:r>
              <w:rPr>
                <w:szCs w:val="18"/>
              </w:rPr>
              <w:t xml:space="preserve">$59,777 </w:t>
            </w:r>
          </w:p>
        </w:tc>
        <w:tc>
          <w:tcPr>
            <w:tcW w:w="963" w:type="pct"/>
            <w:tcBorders>
              <w:top w:val="single" w:sz="4" w:space="0" w:color="auto"/>
              <w:left w:val="single" w:sz="4" w:space="0" w:color="auto"/>
              <w:bottom w:val="single" w:sz="4" w:space="0" w:color="auto"/>
              <w:right w:val="single" w:sz="4" w:space="0" w:color="auto"/>
            </w:tcBorders>
            <w:vAlign w:val="center"/>
            <w:hideMark/>
          </w:tcPr>
          <w:p w:rsidR="00981460" w:rsidRPr="007B6745" w:rsidP="00981460" w14:paraId="07646501" w14:textId="4C89CA4A">
            <w:pPr>
              <w:pStyle w:val="RTableTextAbt"/>
            </w:pPr>
            <w:r>
              <w:rPr>
                <w:szCs w:val="18"/>
              </w:rPr>
              <w:t xml:space="preserve">$59,777 </w:t>
            </w:r>
          </w:p>
        </w:tc>
      </w:tr>
      <w:tr w14:paraId="21BEFCE5" w14:textId="77777777" w:rsidTr="00981460">
        <w:tblPrEx>
          <w:tblW w:w="5000" w:type="pct"/>
          <w:tblLook w:val="04A0"/>
        </w:tblPrEx>
        <w:trPr>
          <w:trHeight w:val="20"/>
        </w:trPr>
        <w:tc>
          <w:tcPr>
            <w:tcW w:w="1283" w:type="pct"/>
            <w:tcBorders>
              <w:top w:val="single" w:sz="4" w:space="0" w:color="auto"/>
              <w:left w:val="single" w:sz="4" w:space="0" w:color="auto"/>
              <w:bottom w:val="single" w:sz="4" w:space="0" w:color="auto"/>
              <w:right w:val="single" w:sz="4" w:space="0" w:color="auto"/>
            </w:tcBorders>
            <w:vAlign w:val="center"/>
            <w:hideMark/>
          </w:tcPr>
          <w:p w:rsidR="00981460" w:rsidRPr="007B6745" w:rsidP="00981460" w14:paraId="1DB19472" w14:textId="77777777">
            <w:pPr>
              <w:pStyle w:val="LTableTextAbt"/>
            </w:pPr>
            <w:r w:rsidRPr="007B6745">
              <w:t>Automotive painting (new vehicles)</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981460" w:rsidRPr="007B6745" w:rsidP="00981460" w14:paraId="40989402" w14:textId="07CF6043">
            <w:pPr>
              <w:pStyle w:val="RTableTextAbt"/>
            </w:pPr>
            <w:r>
              <w:rPr>
                <w:szCs w:val="18"/>
              </w:rPr>
              <w:t xml:space="preserve">$5,591 </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981460" w:rsidRPr="007B6745" w:rsidP="00981460" w14:paraId="3872EC37" w14:textId="30B8CF5F">
            <w:pPr>
              <w:pStyle w:val="RTableTextAbt"/>
            </w:pPr>
            <w:r>
              <w:rPr>
                <w:szCs w:val="18"/>
              </w:rPr>
              <w:t xml:space="preserve">$5,591 </w:t>
            </w:r>
          </w:p>
        </w:tc>
        <w:tc>
          <w:tcPr>
            <w:tcW w:w="918" w:type="pct"/>
            <w:tcBorders>
              <w:top w:val="single" w:sz="4" w:space="0" w:color="auto"/>
              <w:left w:val="single" w:sz="4" w:space="0" w:color="auto"/>
              <w:bottom w:val="single" w:sz="4" w:space="0" w:color="auto"/>
              <w:right w:val="single" w:sz="4" w:space="0" w:color="auto"/>
            </w:tcBorders>
            <w:vAlign w:val="center"/>
            <w:hideMark/>
          </w:tcPr>
          <w:p w:rsidR="00981460" w:rsidRPr="007B6745" w:rsidP="00981460" w14:paraId="2BDCCB81" w14:textId="1A796683">
            <w:pPr>
              <w:pStyle w:val="RTableTextAbt"/>
            </w:pPr>
            <w:r>
              <w:rPr>
                <w:szCs w:val="18"/>
              </w:rPr>
              <w:t xml:space="preserve">$5,591 </w:t>
            </w:r>
          </w:p>
        </w:tc>
        <w:tc>
          <w:tcPr>
            <w:tcW w:w="963" w:type="pct"/>
            <w:tcBorders>
              <w:top w:val="single" w:sz="4" w:space="0" w:color="auto"/>
              <w:left w:val="single" w:sz="4" w:space="0" w:color="auto"/>
              <w:bottom w:val="single" w:sz="4" w:space="0" w:color="auto"/>
              <w:right w:val="single" w:sz="4" w:space="0" w:color="auto"/>
            </w:tcBorders>
            <w:vAlign w:val="center"/>
            <w:hideMark/>
          </w:tcPr>
          <w:p w:rsidR="00981460" w:rsidRPr="007B6745" w:rsidP="00981460" w14:paraId="5077DF51" w14:textId="45649C59">
            <w:pPr>
              <w:pStyle w:val="RTableTextAbt"/>
            </w:pPr>
            <w:r>
              <w:rPr>
                <w:szCs w:val="18"/>
              </w:rPr>
              <w:t xml:space="preserve">$5,591 </w:t>
            </w:r>
          </w:p>
        </w:tc>
      </w:tr>
      <w:tr w14:paraId="46A5F1D4" w14:textId="77777777" w:rsidTr="00981460">
        <w:tblPrEx>
          <w:tblW w:w="5000" w:type="pct"/>
          <w:tblLook w:val="04A0"/>
        </w:tblPrEx>
        <w:trPr>
          <w:trHeight w:val="20"/>
        </w:trPr>
        <w:tc>
          <w:tcPr>
            <w:tcW w:w="1283" w:type="pct"/>
            <w:tcBorders>
              <w:top w:val="single" w:sz="4" w:space="0" w:color="auto"/>
              <w:left w:val="single" w:sz="4" w:space="0" w:color="auto"/>
              <w:bottom w:val="single" w:sz="4" w:space="0" w:color="auto"/>
              <w:right w:val="single" w:sz="4" w:space="0" w:color="auto"/>
            </w:tcBorders>
            <w:vAlign w:val="center"/>
            <w:hideMark/>
          </w:tcPr>
          <w:p w:rsidR="00981460" w:rsidRPr="007B6745" w:rsidP="00981460" w14:paraId="36F8A832" w14:textId="77777777">
            <w:pPr>
              <w:pStyle w:val="LTableTextAbt"/>
            </w:pPr>
            <w:r w:rsidRPr="007B6745">
              <w:t>Automotive refinishing</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981460" w:rsidRPr="007B6745" w:rsidP="00981460" w14:paraId="7C59592E" w14:textId="7F23472B">
            <w:pPr>
              <w:pStyle w:val="RTableTextAbt"/>
            </w:pPr>
            <w:r>
              <w:rPr>
                <w:szCs w:val="18"/>
              </w:rPr>
              <w:t xml:space="preserve">$228,133 </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981460" w:rsidRPr="007B6745" w:rsidP="00981460" w14:paraId="0ABF43CF" w14:textId="2AE0FF3F">
            <w:pPr>
              <w:pStyle w:val="RTableTextAbt"/>
            </w:pPr>
            <w:r>
              <w:rPr>
                <w:szCs w:val="18"/>
              </w:rPr>
              <w:t xml:space="preserve">$228,133 </w:t>
            </w:r>
          </w:p>
        </w:tc>
        <w:tc>
          <w:tcPr>
            <w:tcW w:w="918" w:type="pct"/>
            <w:tcBorders>
              <w:top w:val="single" w:sz="4" w:space="0" w:color="auto"/>
              <w:left w:val="single" w:sz="4" w:space="0" w:color="auto"/>
              <w:bottom w:val="single" w:sz="4" w:space="0" w:color="auto"/>
              <w:right w:val="single" w:sz="4" w:space="0" w:color="auto"/>
            </w:tcBorders>
            <w:vAlign w:val="center"/>
            <w:hideMark/>
          </w:tcPr>
          <w:p w:rsidR="00981460" w:rsidRPr="007B6745" w:rsidP="00981460" w14:paraId="669906AE" w14:textId="4679C927">
            <w:pPr>
              <w:pStyle w:val="RTableTextAbt"/>
            </w:pPr>
            <w:r>
              <w:rPr>
                <w:szCs w:val="18"/>
              </w:rPr>
              <w:t xml:space="preserve">$228,133 </w:t>
            </w:r>
          </w:p>
        </w:tc>
        <w:tc>
          <w:tcPr>
            <w:tcW w:w="963" w:type="pct"/>
            <w:tcBorders>
              <w:top w:val="single" w:sz="4" w:space="0" w:color="auto"/>
              <w:left w:val="single" w:sz="4" w:space="0" w:color="auto"/>
              <w:bottom w:val="single" w:sz="4" w:space="0" w:color="auto"/>
              <w:right w:val="single" w:sz="4" w:space="0" w:color="auto"/>
            </w:tcBorders>
            <w:vAlign w:val="center"/>
            <w:hideMark/>
          </w:tcPr>
          <w:p w:rsidR="00981460" w:rsidRPr="007B6745" w:rsidP="00981460" w14:paraId="17A2410B" w14:textId="6B564FC5">
            <w:pPr>
              <w:pStyle w:val="RTableTextAbt"/>
            </w:pPr>
            <w:r>
              <w:rPr>
                <w:szCs w:val="18"/>
              </w:rPr>
              <w:t xml:space="preserve">$228,133 </w:t>
            </w:r>
          </w:p>
        </w:tc>
      </w:tr>
      <w:tr w14:paraId="1420E07D" w14:textId="77777777" w:rsidTr="00981460">
        <w:tblPrEx>
          <w:tblW w:w="5000" w:type="pct"/>
          <w:tblLook w:val="04A0"/>
        </w:tblPrEx>
        <w:trPr>
          <w:trHeight w:val="20"/>
        </w:trPr>
        <w:tc>
          <w:tcPr>
            <w:tcW w:w="1283" w:type="pct"/>
            <w:tcBorders>
              <w:top w:val="single" w:sz="4" w:space="0" w:color="auto"/>
              <w:left w:val="single" w:sz="4" w:space="0" w:color="auto"/>
              <w:bottom w:val="single" w:sz="4" w:space="0" w:color="auto"/>
              <w:right w:val="single" w:sz="4" w:space="0" w:color="auto"/>
            </w:tcBorders>
            <w:vAlign w:val="center"/>
            <w:hideMark/>
          </w:tcPr>
          <w:p w:rsidR="00981460" w:rsidRPr="007B6745" w:rsidP="00981460" w14:paraId="673B19A5" w14:textId="77777777">
            <w:pPr>
              <w:pStyle w:val="LTableTextAbt"/>
            </w:pPr>
            <w:r w:rsidRPr="007B6745">
              <w:t>Disposal</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981460" w:rsidRPr="007B6745" w:rsidP="00981460" w14:paraId="6153C1A8" w14:textId="36FC2B90">
            <w:pPr>
              <w:pStyle w:val="RTableTextAbt"/>
            </w:pPr>
            <w:r>
              <w:rPr>
                <w:szCs w:val="18"/>
              </w:rPr>
              <w:t xml:space="preserve">$57,069 </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981460" w:rsidRPr="007B6745" w:rsidP="00981460" w14:paraId="65392764" w14:textId="7CD9A30A">
            <w:pPr>
              <w:pStyle w:val="RTableTextAbt"/>
            </w:pPr>
            <w:r>
              <w:rPr>
                <w:szCs w:val="18"/>
              </w:rPr>
              <w:t xml:space="preserve">$57,069 </w:t>
            </w:r>
          </w:p>
        </w:tc>
        <w:tc>
          <w:tcPr>
            <w:tcW w:w="918" w:type="pct"/>
            <w:tcBorders>
              <w:top w:val="single" w:sz="4" w:space="0" w:color="auto"/>
              <w:left w:val="single" w:sz="4" w:space="0" w:color="auto"/>
              <w:bottom w:val="single" w:sz="4" w:space="0" w:color="auto"/>
              <w:right w:val="single" w:sz="4" w:space="0" w:color="auto"/>
            </w:tcBorders>
            <w:vAlign w:val="center"/>
            <w:hideMark/>
          </w:tcPr>
          <w:p w:rsidR="00981460" w:rsidRPr="007B6745" w:rsidP="00981460" w14:paraId="5CA90D9B" w14:textId="65FF09F3">
            <w:pPr>
              <w:pStyle w:val="RTableTextAbt"/>
            </w:pPr>
            <w:r>
              <w:rPr>
                <w:szCs w:val="18"/>
              </w:rPr>
              <w:t xml:space="preserve">$57,069 </w:t>
            </w:r>
          </w:p>
        </w:tc>
        <w:tc>
          <w:tcPr>
            <w:tcW w:w="963" w:type="pct"/>
            <w:tcBorders>
              <w:top w:val="single" w:sz="4" w:space="0" w:color="auto"/>
              <w:left w:val="single" w:sz="4" w:space="0" w:color="auto"/>
              <w:bottom w:val="single" w:sz="4" w:space="0" w:color="auto"/>
              <w:right w:val="single" w:sz="4" w:space="0" w:color="auto"/>
            </w:tcBorders>
            <w:vAlign w:val="center"/>
            <w:hideMark/>
          </w:tcPr>
          <w:p w:rsidR="00981460" w:rsidRPr="007B6745" w:rsidP="00981460" w14:paraId="5C7BCAD3" w14:textId="647318BB">
            <w:pPr>
              <w:pStyle w:val="RTableTextAbt"/>
            </w:pPr>
            <w:r>
              <w:rPr>
                <w:szCs w:val="18"/>
              </w:rPr>
              <w:t xml:space="preserve">$57,069 </w:t>
            </w:r>
          </w:p>
        </w:tc>
      </w:tr>
      <w:tr w14:paraId="3683AAC7" w14:textId="77777777" w:rsidTr="00981460">
        <w:tblPrEx>
          <w:tblW w:w="5000" w:type="pct"/>
          <w:tblLook w:val="04A0"/>
        </w:tblPrEx>
        <w:trPr>
          <w:trHeight w:val="20"/>
        </w:trPr>
        <w:tc>
          <w:tcPr>
            <w:tcW w:w="1283" w:type="pct"/>
            <w:tcBorders>
              <w:top w:val="single" w:sz="4" w:space="0" w:color="auto"/>
              <w:left w:val="single" w:sz="4" w:space="0" w:color="auto"/>
              <w:bottom w:val="single" w:sz="4" w:space="0" w:color="auto"/>
              <w:right w:val="single" w:sz="4" w:space="0" w:color="auto"/>
            </w:tcBorders>
            <w:vAlign w:val="center"/>
            <w:hideMark/>
          </w:tcPr>
          <w:p w:rsidR="00981460" w:rsidRPr="007B6745" w:rsidP="00981460" w14:paraId="4C50DB19" w14:textId="77777777">
            <w:pPr>
              <w:pStyle w:val="LTableTextAbt"/>
              <w:rPr>
                <w:b/>
              </w:rPr>
            </w:pPr>
            <w:r w:rsidRPr="007B6745">
              <w:rPr>
                <w:b/>
              </w:rPr>
              <w:t>Total</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981460" w:rsidRPr="007B6745" w:rsidP="00981460" w14:paraId="54F2370E" w14:textId="49643667">
            <w:pPr>
              <w:pStyle w:val="RTableTextAbt"/>
              <w:rPr>
                <w:b/>
              </w:rPr>
            </w:pPr>
            <w:r>
              <w:rPr>
                <w:b/>
                <w:bCs w:val="0"/>
                <w:szCs w:val="18"/>
              </w:rPr>
              <w:t xml:space="preserve">$1,641,538 </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981460" w:rsidRPr="007B6745" w:rsidP="00981460" w14:paraId="6B370048" w14:textId="0DAE35EB">
            <w:pPr>
              <w:pStyle w:val="RTableTextAbt"/>
              <w:rPr>
                <w:b/>
              </w:rPr>
            </w:pPr>
            <w:r>
              <w:rPr>
                <w:b/>
                <w:bCs w:val="0"/>
                <w:szCs w:val="18"/>
              </w:rPr>
              <w:t xml:space="preserve">$1,676,538 </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981460" w:rsidRPr="007B6745" w:rsidP="00981460" w14:paraId="3812AF16" w14:textId="7EA450B7">
            <w:pPr>
              <w:pStyle w:val="RTableTextAbt"/>
              <w:rPr>
                <w:b/>
              </w:rPr>
            </w:pPr>
            <w:r>
              <w:rPr>
                <w:b/>
                <w:bCs w:val="0"/>
                <w:szCs w:val="18"/>
              </w:rPr>
              <w:t xml:space="preserve">$930,695 </w:t>
            </w:r>
          </w:p>
        </w:tc>
        <w:tc>
          <w:tcPr>
            <w:tcW w:w="963" w:type="pct"/>
            <w:tcBorders>
              <w:top w:val="single" w:sz="4" w:space="0" w:color="auto"/>
              <w:left w:val="single" w:sz="4" w:space="0" w:color="auto"/>
              <w:bottom w:val="single" w:sz="4" w:space="0" w:color="auto"/>
              <w:right w:val="single" w:sz="4" w:space="0" w:color="auto"/>
            </w:tcBorders>
            <w:noWrap/>
            <w:vAlign w:val="center"/>
            <w:hideMark/>
          </w:tcPr>
          <w:p w:rsidR="00981460" w:rsidRPr="007B6745" w:rsidP="00981460" w14:paraId="3FD3AC3E" w14:textId="67081649">
            <w:pPr>
              <w:pStyle w:val="RTableTextAbt"/>
              <w:rPr>
                <w:b/>
              </w:rPr>
            </w:pPr>
            <w:r>
              <w:rPr>
                <w:b/>
                <w:bCs w:val="0"/>
                <w:szCs w:val="18"/>
              </w:rPr>
              <w:t xml:space="preserve">$941,049 </w:t>
            </w:r>
          </w:p>
        </w:tc>
      </w:tr>
      <w:tr w14:paraId="22C495EB" w14:textId="77777777" w:rsidTr="00CA0464">
        <w:tblPrEx>
          <w:tblW w:w="5000" w:type="pct"/>
          <w:tblLook w:val="04A0"/>
        </w:tblPrEx>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323D51" w:rsidRPr="007B6745" w:rsidP="00CA0464" w14:paraId="743B6F7A" w14:textId="77777777">
            <w:pPr>
              <w:pStyle w:val="TableNote0"/>
            </w:pPr>
            <w:r w:rsidRPr="007B6745">
              <w:t>a. Annualized over 15 years using a 2% discount rate; rounded to the nearest dollar.</w:t>
            </w:r>
          </w:p>
          <w:p w:rsidR="00323D51" w:rsidRPr="007B6745" w:rsidP="00CA0464" w14:paraId="27309DB3" w14:textId="77777777">
            <w:pPr>
              <w:pStyle w:val="TableNote0"/>
            </w:pPr>
            <w:r w:rsidRPr="007B6745">
              <w:t>b. Proposed option includes costs for rule familiarization, personal protective equipment, labeling and downstream notification, and cleaning.</w:t>
            </w:r>
          </w:p>
          <w:p w:rsidR="00323D51" w:rsidRPr="007B6745" w:rsidP="00CA0464" w14:paraId="0F1E919B" w14:textId="77777777">
            <w:pPr>
              <w:pStyle w:val="TableNote0"/>
            </w:pPr>
            <w:r w:rsidRPr="007B6745">
              <w:t>c. Alternative option includes costs for rule familiarization, personal protective equipment, cleaning, monitoring, and engineering controls.</w:t>
            </w:r>
          </w:p>
        </w:tc>
      </w:tr>
    </w:tbl>
    <w:p w:rsidR="00864FC2" w:rsidP="00BD3D2B" w14:paraId="614ED32F" w14:textId="77777777">
      <w:pPr>
        <w:pStyle w:val="BodyText"/>
      </w:pPr>
    </w:p>
    <w:p w:rsidR="00F97378" w:rsidP="00F97378" w14:paraId="181E2AE8" w14:textId="78C60F88">
      <w:pPr>
        <w:pStyle w:val="Heading2NoNumbering"/>
      </w:pPr>
      <w:bookmarkStart w:id="14" w:name="_Toc184299499"/>
      <w:r w:rsidRPr="00B56426">
        <w:t xml:space="preserve">Estimated </w:t>
      </w:r>
      <w:r w:rsidRPr="00B56426" w:rsidR="00F2062F">
        <w:t xml:space="preserve">Incremental </w:t>
      </w:r>
      <w:r w:rsidRPr="00B56426">
        <w:t>Benefits</w:t>
      </w:r>
      <w:bookmarkEnd w:id="14"/>
    </w:p>
    <w:p w:rsidR="00775ABD" w:rsidP="00B133DA" w14:paraId="0A3FE079" w14:textId="77777777">
      <w:pPr>
        <w:pStyle w:val="BodyText"/>
        <w:rPr>
          <w:lang w:val="en-US"/>
        </w:rPr>
      </w:pPr>
      <w:r>
        <w:t xml:space="preserve">Chronic exposure to dry powder C.I. Pigment Violet 29 may increase lung burden which may result in kinetic lung overload, a pharmacokinetic phenomenon, which is not due to the overt toxicity of the chemical, but rather the possibility that C.I. Pigment Violet 29 dust overwhelms the lung clearance mechanisms over time. The inhalation toxicity data on the analogue carbon black demonstrated increased lung burden, alveolar hyperplasia, and inflammatory and morphological changes in the lower respiratory tract. These endpoints are not monetizable themselves, however there are occupational studies on carbon black that have found significant relationships between inhalable carbon black dust exposure and respiratory effects, including chronic bronchitis. </w:t>
      </w:r>
      <w:r w:rsidRPr="437E21C1">
        <w:rPr>
          <w:lang w:val="en-US"/>
        </w:rPr>
        <w:t>Therefore, this analysis provides estimates to understand the magnitude of potential chronic bronchitis cases avoided from exposure reduction to PV29 as a result of the proposed rule.</w:t>
      </w:r>
    </w:p>
    <w:p w:rsidR="00B133DA" w:rsidP="00B133DA" w14:paraId="2FDE2451" w14:textId="011E2EDF">
      <w:pPr>
        <w:pStyle w:val="BodyText"/>
        <w:rPr>
          <w:lang w:val="en-US"/>
        </w:rPr>
      </w:pPr>
      <w:r>
        <w:rPr>
          <w:lang w:val="en-US"/>
        </w:rPr>
        <w:fldChar w:fldCharType="begin" w:fldLock="1"/>
      </w:r>
      <w:r>
        <w:rPr>
          <w:lang w:val="en-US"/>
        </w:rPr>
        <w:instrText xml:space="preserve"> REF _Ref180683017 \h </w:instrText>
      </w:r>
      <w:r>
        <w:rPr>
          <w:lang w:val="en-US"/>
        </w:rPr>
        <w:fldChar w:fldCharType="separate"/>
      </w:r>
      <w:r w:rsidR="00735BBC">
        <w:t>Table ES-</w:t>
      </w:r>
      <w:r w:rsidR="00735BBC">
        <w:rPr>
          <w:noProof/>
        </w:rPr>
        <w:t>5</w:t>
      </w:r>
      <w:r>
        <w:rPr>
          <w:lang w:val="en-US"/>
        </w:rPr>
        <w:fldChar w:fldCharType="end"/>
      </w:r>
      <w:r>
        <w:rPr>
          <w:lang w:val="en-US"/>
        </w:rPr>
        <w:t xml:space="preserve"> </w:t>
      </w:r>
      <w:r>
        <w:t>pr</w:t>
      </w:r>
      <w:r w:rsidRPr="008B67FF">
        <w:t>esent</w:t>
      </w:r>
      <w:r>
        <w:t>s</w:t>
      </w:r>
      <w:r w:rsidRPr="008B67FF">
        <w:t xml:space="preserve"> the total </w:t>
      </w:r>
      <w:r w:rsidR="0014133E">
        <w:t xml:space="preserve">monetized </w:t>
      </w:r>
      <w:r>
        <w:t xml:space="preserve">15-year </w:t>
      </w:r>
      <w:r w:rsidRPr="008B67FF">
        <w:t xml:space="preserve">annualized </w:t>
      </w:r>
      <w:r>
        <w:t>benefits</w:t>
      </w:r>
      <w:r w:rsidRPr="008B67FF">
        <w:t xml:space="preserve"> for </w:t>
      </w:r>
      <w:r>
        <w:t xml:space="preserve">a 2 </w:t>
      </w:r>
      <w:r w:rsidRPr="008B67FF">
        <w:t>percent discount 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1653"/>
        <w:gridCol w:w="1652"/>
        <w:gridCol w:w="1652"/>
        <w:gridCol w:w="1733"/>
      </w:tblGrid>
      <w:tr w14:paraId="12B2E77A" w14:textId="77777777" w:rsidTr="00CA046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
          <w:tblHeader/>
        </w:trPr>
        <w:tc>
          <w:tcPr>
            <w:tcW w:w="5000" w:type="pct"/>
            <w:gridSpan w:val="5"/>
            <w:tcBorders>
              <w:top w:val="nil"/>
              <w:left w:val="nil"/>
              <w:bottom w:val="single" w:sz="4" w:space="0" w:color="auto"/>
              <w:right w:val="nil"/>
            </w:tcBorders>
            <w:shd w:val="clear" w:color="auto" w:fill="auto"/>
            <w:vAlign w:val="center"/>
          </w:tcPr>
          <w:p w:rsidR="008B6B3A" w:rsidRPr="009F1916" w:rsidP="008B6B3A" w14:paraId="317FE64D" w14:textId="39788260">
            <w:pPr>
              <w:pStyle w:val="TableTitleA"/>
            </w:pPr>
            <w:bookmarkStart w:id="15" w:name="_Ref180683017"/>
            <w:bookmarkStart w:id="16" w:name="_Toc184299543"/>
            <w:r>
              <w:t>Table ES-</w:t>
            </w:r>
            <w:r>
              <w:fldChar w:fldCharType="begin" w:fldLock="1"/>
            </w:r>
            <w:r>
              <w:instrText>SEQ Table_ES- \* ARABIC</w:instrText>
            </w:r>
            <w:r>
              <w:fldChar w:fldCharType="separate"/>
            </w:r>
            <w:r w:rsidR="00735BBC">
              <w:rPr>
                <w:noProof/>
              </w:rPr>
              <w:t>5</w:t>
            </w:r>
            <w:r>
              <w:fldChar w:fldCharType="end"/>
            </w:r>
            <w:bookmarkEnd w:id="15"/>
            <w:r w:rsidRPr="00A95A85">
              <w:t xml:space="preserve">: </w:t>
            </w:r>
            <w:r>
              <w:t>Total Annualized Benefits (2% discount; 2023$)</w:t>
            </w:r>
            <w:bookmarkEnd w:id="16"/>
          </w:p>
        </w:tc>
      </w:tr>
      <w:tr w14:paraId="73053075" w14:textId="77777777" w:rsidTr="00CA0464">
        <w:tblPrEx>
          <w:tblW w:w="5000" w:type="pct"/>
          <w:tblLook w:val="04A0"/>
        </w:tblPrEx>
        <w:trPr>
          <w:trHeight w:val="20"/>
          <w:tblHeader/>
        </w:trPr>
        <w:tc>
          <w:tcPr>
            <w:tcW w:w="1283"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8B6B3A" w:rsidRPr="007B6745" w:rsidP="008B6B3A" w14:paraId="7466DC14" w14:textId="77777777">
            <w:pPr>
              <w:pStyle w:val="TableSubtitle"/>
            </w:pPr>
            <w:r w:rsidRPr="007B6745">
              <w:t>Use category</w:t>
            </w:r>
          </w:p>
        </w:tc>
        <w:tc>
          <w:tcPr>
            <w:tcW w:w="1836"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8B6B3A" w:rsidRPr="007B6745" w:rsidP="008B6B3A" w14:paraId="2915E447" w14:textId="2266B76C">
            <w:pPr>
              <w:pStyle w:val="TableSubtitle"/>
              <w:rPr>
                <w:vertAlign w:val="superscript"/>
              </w:rPr>
            </w:pPr>
            <w:r>
              <w:t>Option 1 (</w:t>
            </w:r>
            <w:r w:rsidRPr="007B6745">
              <w:t>Proposed</w:t>
            </w:r>
            <w:r>
              <w:t>)</w:t>
            </w:r>
          </w:p>
        </w:tc>
        <w:tc>
          <w:tcPr>
            <w:tcW w:w="1881"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8B6B3A" w:rsidRPr="007B6745" w:rsidP="008B6B3A" w14:paraId="47E338C1" w14:textId="34721839">
            <w:pPr>
              <w:pStyle w:val="TableSubtitle"/>
              <w:rPr>
                <w:vertAlign w:val="superscript"/>
              </w:rPr>
            </w:pPr>
            <w:r>
              <w:t>Option 2 (</w:t>
            </w:r>
            <w:r w:rsidRPr="007B6745">
              <w:t>Alternative</w:t>
            </w:r>
            <w:r>
              <w:t>)</w:t>
            </w:r>
          </w:p>
        </w:tc>
      </w:tr>
      <w:tr w14:paraId="57137298" w14:textId="77777777" w:rsidTr="00CA0464">
        <w:tblPrEx>
          <w:tblW w:w="5000" w:type="pct"/>
          <w:tblLook w:val="04A0"/>
        </w:tblPrEx>
        <w:trPr>
          <w:trHeight w:val="20"/>
          <w:tblHeader/>
        </w:trPr>
        <w:tc>
          <w:tcPr>
            <w:tcW w:w="0" w:type="auto"/>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8B6B3A" w:rsidRPr="007B6745" w:rsidP="008B6B3A" w14:paraId="2920EB5F" w14:textId="77777777">
            <w:pPr>
              <w:pStyle w:val="TableSubtitle"/>
            </w:pPr>
          </w:p>
        </w:tc>
        <w:tc>
          <w:tcPr>
            <w:tcW w:w="918"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8B6B3A" w:rsidRPr="007B6745" w:rsidP="008B6B3A" w14:paraId="6EF26085" w14:textId="77777777">
            <w:pPr>
              <w:pStyle w:val="TableSubtitle"/>
            </w:pPr>
            <w:r w:rsidRPr="007B6745">
              <w:t>Low</w:t>
            </w:r>
          </w:p>
        </w:tc>
        <w:tc>
          <w:tcPr>
            <w:tcW w:w="918"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8B6B3A" w:rsidRPr="007B6745" w:rsidP="008B6B3A" w14:paraId="636DB351" w14:textId="77777777">
            <w:pPr>
              <w:pStyle w:val="TableSubtitle"/>
            </w:pPr>
            <w:r w:rsidRPr="007B6745">
              <w:t>High</w:t>
            </w:r>
          </w:p>
        </w:tc>
        <w:tc>
          <w:tcPr>
            <w:tcW w:w="918"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8B6B3A" w:rsidRPr="007B6745" w:rsidP="008B6B3A" w14:paraId="028524F0" w14:textId="77777777">
            <w:pPr>
              <w:pStyle w:val="TableSubtitle"/>
            </w:pPr>
            <w:r w:rsidRPr="007B6745">
              <w:t>Low</w:t>
            </w:r>
          </w:p>
        </w:tc>
        <w:tc>
          <w:tcPr>
            <w:tcW w:w="963"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8B6B3A" w:rsidRPr="007B6745" w:rsidP="008B6B3A" w14:paraId="48E6BDFD" w14:textId="77777777">
            <w:pPr>
              <w:pStyle w:val="TableSubtitle"/>
            </w:pPr>
            <w:r w:rsidRPr="007B6745">
              <w:t>High</w:t>
            </w:r>
          </w:p>
        </w:tc>
      </w:tr>
      <w:tr w14:paraId="47C96F65" w14:textId="77777777" w:rsidTr="00CA0464">
        <w:tblPrEx>
          <w:tblW w:w="5000" w:type="pct"/>
          <w:tblLook w:val="04A0"/>
        </w:tblPrEx>
        <w:trPr>
          <w:trHeight w:val="20"/>
        </w:trPr>
        <w:tc>
          <w:tcPr>
            <w:tcW w:w="1283" w:type="pct"/>
            <w:tcBorders>
              <w:top w:val="single" w:sz="4" w:space="0" w:color="auto"/>
              <w:left w:val="single" w:sz="4" w:space="0" w:color="auto"/>
              <w:bottom w:val="single" w:sz="4" w:space="0" w:color="auto"/>
              <w:right w:val="single" w:sz="4" w:space="0" w:color="auto"/>
            </w:tcBorders>
            <w:vAlign w:val="center"/>
            <w:hideMark/>
          </w:tcPr>
          <w:p w:rsidR="00646BF3" w:rsidRPr="007B6745" w:rsidP="00646BF3" w14:paraId="20202057" w14:textId="77777777">
            <w:pPr>
              <w:pStyle w:val="LTableTextAbt"/>
            </w:pPr>
            <w:r w:rsidRPr="007B6745">
              <w:t>PV29 manufacturing and intermediate processing</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646BF3" w:rsidRPr="007B6745" w:rsidP="00646BF3" w14:paraId="0B856B65" w14:textId="684BD834">
            <w:pPr>
              <w:pStyle w:val="RTableTextAbt"/>
            </w:pPr>
            <w:r>
              <w:rPr>
                <w:szCs w:val="18"/>
              </w:rPr>
              <w:t xml:space="preserve">$10,215 </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646BF3" w:rsidRPr="007B6745" w:rsidP="00646BF3" w14:paraId="1875C79A" w14:textId="101594CB">
            <w:pPr>
              <w:pStyle w:val="RTableTextAbt"/>
            </w:pPr>
            <w:r>
              <w:rPr>
                <w:szCs w:val="18"/>
              </w:rPr>
              <w:t xml:space="preserve">$33,758 </w:t>
            </w:r>
          </w:p>
        </w:tc>
        <w:tc>
          <w:tcPr>
            <w:tcW w:w="918" w:type="pct"/>
            <w:tcBorders>
              <w:top w:val="single" w:sz="4" w:space="0" w:color="auto"/>
              <w:left w:val="single" w:sz="4" w:space="0" w:color="auto"/>
              <w:bottom w:val="single" w:sz="4" w:space="0" w:color="auto"/>
              <w:right w:val="single" w:sz="4" w:space="0" w:color="auto"/>
            </w:tcBorders>
            <w:vAlign w:val="center"/>
            <w:hideMark/>
          </w:tcPr>
          <w:p w:rsidR="00646BF3" w:rsidRPr="007B6745" w:rsidP="00646BF3" w14:paraId="7977247A" w14:textId="5C244CA7">
            <w:pPr>
              <w:pStyle w:val="RTableTextAbt"/>
            </w:pPr>
            <w:r>
              <w:rPr>
                <w:szCs w:val="18"/>
              </w:rPr>
              <w:t>-</w:t>
            </w:r>
          </w:p>
        </w:tc>
        <w:tc>
          <w:tcPr>
            <w:tcW w:w="963" w:type="pct"/>
            <w:tcBorders>
              <w:top w:val="single" w:sz="4" w:space="0" w:color="auto"/>
              <w:left w:val="single" w:sz="4" w:space="0" w:color="auto"/>
              <w:bottom w:val="single" w:sz="4" w:space="0" w:color="auto"/>
              <w:right w:val="single" w:sz="4" w:space="0" w:color="auto"/>
            </w:tcBorders>
            <w:vAlign w:val="center"/>
            <w:hideMark/>
          </w:tcPr>
          <w:p w:rsidR="00646BF3" w:rsidRPr="007B6745" w:rsidP="00646BF3" w14:paraId="6ABF4BBD" w14:textId="720E7E41">
            <w:pPr>
              <w:pStyle w:val="RTableTextAbt"/>
            </w:pPr>
            <w:r>
              <w:rPr>
                <w:szCs w:val="18"/>
              </w:rPr>
              <w:t>-</w:t>
            </w:r>
          </w:p>
        </w:tc>
      </w:tr>
      <w:tr w14:paraId="33000813" w14:textId="77777777" w:rsidTr="00CA0464">
        <w:tblPrEx>
          <w:tblW w:w="5000" w:type="pct"/>
          <w:tblLook w:val="04A0"/>
        </w:tblPrEx>
        <w:trPr>
          <w:trHeight w:val="20"/>
        </w:trPr>
        <w:tc>
          <w:tcPr>
            <w:tcW w:w="1283" w:type="pct"/>
            <w:tcBorders>
              <w:top w:val="single" w:sz="4" w:space="0" w:color="auto"/>
              <w:left w:val="single" w:sz="4" w:space="0" w:color="auto"/>
              <w:bottom w:val="single" w:sz="4" w:space="0" w:color="auto"/>
              <w:right w:val="single" w:sz="4" w:space="0" w:color="auto"/>
            </w:tcBorders>
            <w:vAlign w:val="center"/>
            <w:hideMark/>
          </w:tcPr>
          <w:p w:rsidR="00FF46D8" w:rsidRPr="007B6745" w:rsidP="00FF46D8" w14:paraId="15C35873" w14:textId="77777777">
            <w:pPr>
              <w:pStyle w:val="LTableTextAbt"/>
            </w:pPr>
            <w:r w:rsidRPr="007B6745">
              <w:t>PV29 importing</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FF46D8" w:rsidRPr="007B6745" w:rsidP="00FF46D8" w14:paraId="0224F6B1" w14:textId="1414C3FD">
            <w:pPr>
              <w:pStyle w:val="RTableTextAbt"/>
            </w:pPr>
            <w:r>
              <w:rPr>
                <w:szCs w:val="18"/>
              </w:rPr>
              <w:t xml:space="preserve">$13,006 </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FF46D8" w:rsidRPr="007B6745" w:rsidP="00FF46D8" w14:paraId="5F189FA4" w14:textId="1483F1FA">
            <w:pPr>
              <w:pStyle w:val="RTableTextAbt"/>
            </w:pPr>
            <w:r>
              <w:rPr>
                <w:szCs w:val="18"/>
              </w:rPr>
              <w:t xml:space="preserve">$29,422 </w:t>
            </w:r>
          </w:p>
        </w:tc>
        <w:tc>
          <w:tcPr>
            <w:tcW w:w="918" w:type="pct"/>
            <w:tcBorders>
              <w:top w:val="single" w:sz="4" w:space="0" w:color="auto"/>
              <w:left w:val="single" w:sz="4" w:space="0" w:color="auto"/>
              <w:bottom w:val="single" w:sz="4" w:space="0" w:color="auto"/>
              <w:right w:val="single" w:sz="4" w:space="0" w:color="auto"/>
            </w:tcBorders>
            <w:vAlign w:val="center"/>
            <w:hideMark/>
          </w:tcPr>
          <w:p w:rsidR="00FF46D8" w:rsidRPr="007B6745" w:rsidP="00FF46D8" w14:paraId="4EB15163" w14:textId="78F5AB84">
            <w:pPr>
              <w:pStyle w:val="RTableTextAbt"/>
            </w:pPr>
            <w:r>
              <w:rPr>
                <w:szCs w:val="18"/>
              </w:rPr>
              <w:t xml:space="preserve">$9,594 </w:t>
            </w:r>
          </w:p>
        </w:tc>
        <w:tc>
          <w:tcPr>
            <w:tcW w:w="963" w:type="pct"/>
            <w:tcBorders>
              <w:top w:val="single" w:sz="4" w:space="0" w:color="auto"/>
              <w:left w:val="single" w:sz="4" w:space="0" w:color="auto"/>
              <w:bottom w:val="single" w:sz="4" w:space="0" w:color="auto"/>
              <w:right w:val="single" w:sz="4" w:space="0" w:color="auto"/>
            </w:tcBorders>
            <w:vAlign w:val="center"/>
            <w:hideMark/>
          </w:tcPr>
          <w:p w:rsidR="00FF46D8" w:rsidRPr="007B6745" w:rsidP="00FF46D8" w14:paraId="038C28A6" w14:textId="3E01FB8E">
            <w:pPr>
              <w:pStyle w:val="RTableTextAbt"/>
            </w:pPr>
            <w:r>
              <w:rPr>
                <w:szCs w:val="18"/>
              </w:rPr>
              <w:t xml:space="preserve">$21,465 </w:t>
            </w:r>
          </w:p>
        </w:tc>
      </w:tr>
      <w:tr w14:paraId="19FED628" w14:textId="77777777" w:rsidTr="00CA0464">
        <w:tblPrEx>
          <w:tblW w:w="5000" w:type="pct"/>
          <w:tblLook w:val="04A0"/>
        </w:tblPrEx>
        <w:trPr>
          <w:trHeight w:val="20"/>
        </w:trPr>
        <w:tc>
          <w:tcPr>
            <w:tcW w:w="1283" w:type="pct"/>
            <w:tcBorders>
              <w:top w:val="single" w:sz="4" w:space="0" w:color="auto"/>
              <w:left w:val="single" w:sz="4" w:space="0" w:color="auto"/>
              <w:bottom w:val="single" w:sz="4" w:space="0" w:color="auto"/>
              <w:right w:val="single" w:sz="4" w:space="0" w:color="auto"/>
            </w:tcBorders>
            <w:vAlign w:val="center"/>
            <w:hideMark/>
          </w:tcPr>
          <w:p w:rsidR="00FF46D8" w:rsidRPr="007B6745" w:rsidP="00FF46D8" w14:paraId="23429B58" w14:textId="77777777">
            <w:pPr>
              <w:pStyle w:val="LTableTextAbt"/>
            </w:pPr>
            <w:r w:rsidRPr="007B6745">
              <w:t>Processing into automotive paints and coatings</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FF46D8" w:rsidRPr="007B6745" w:rsidP="00FF46D8" w14:paraId="4D4E3BA9" w14:textId="1B257034">
            <w:pPr>
              <w:pStyle w:val="RTableTextAbt"/>
            </w:pPr>
            <w:r>
              <w:rPr>
                <w:szCs w:val="18"/>
              </w:rPr>
              <w:t xml:space="preserve">$182,088 </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FF46D8" w:rsidRPr="007B6745" w:rsidP="00FF46D8" w14:paraId="4D53A12E" w14:textId="03637AA6">
            <w:pPr>
              <w:pStyle w:val="RTableTextAbt"/>
            </w:pPr>
            <w:r>
              <w:rPr>
                <w:szCs w:val="18"/>
              </w:rPr>
              <w:t xml:space="preserve">$411,908 </w:t>
            </w:r>
          </w:p>
        </w:tc>
        <w:tc>
          <w:tcPr>
            <w:tcW w:w="918" w:type="pct"/>
            <w:tcBorders>
              <w:top w:val="single" w:sz="4" w:space="0" w:color="auto"/>
              <w:left w:val="single" w:sz="4" w:space="0" w:color="auto"/>
              <w:bottom w:val="single" w:sz="4" w:space="0" w:color="auto"/>
              <w:right w:val="single" w:sz="4" w:space="0" w:color="auto"/>
            </w:tcBorders>
            <w:vAlign w:val="center"/>
            <w:hideMark/>
          </w:tcPr>
          <w:p w:rsidR="00FF46D8" w:rsidRPr="007B6745" w:rsidP="00FF46D8" w14:paraId="1C5B32F0" w14:textId="72D8D0AC">
            <w:pPr>
              <w:pStyle w:val="RTableTextAbt"/>
            </w:pPr>
            <w:r>
              <w:rPr>
                <w:szCs w:val="18"/>
              </w:rPr>
              <w:t xml:space="preserve">$134,327 </w:t>
            </w:r>
          </w:p>
        </w:tc>
        <w:tc>
          <w:tcPr>
            <w:tcW w:w="963" w:type="pct"/>
            <w:tcBorders>
              <w:top w:val="single" w:sz="4" w:space="0" w:color="auto"/>
              <w:left w:val="single" w:sz="4" w:space="0" w:color="auto"/>
              <w:bottom w:val="single" w:sz="4" w:space="0" w:color="auto"/>
              <w:right w:val="single" w:sz="4" w:space="0" w:color="auto"/>
            </w:tcBorders>
            <w:vAlign w:val="center"/>
            <w:hideMark/>
          </w:tcPr>
          <w:p w:rsidR="00FF46D8" w:rsidRPr="007B6745" w:rsidP="00FF46D8" w14:paraId="71BDD0C4" w14:textId="249DD005">
            <w:pPr>
              <w:pStyle w:val="RTableTextAbt"/>
            </w:pPr>
            <w:r>
              <w:rPr>
                <w:szCs w:val="18"/>
              </w:rPr>
              <w:t xml:space="preserve">$300,500 </w:t>
            </w:r>
          </w:p>
        </w:tc>
      </w:tr>
      <w:tr w14:paraId="1206E50E" w14:textId="77777777" w:rsidTr="00CA0464">
        <w:tblPrEx>
          <w:tblW w:w="5000" w:type="pct"/>
          <w:tblLook w:val="04A0"/>
        </w:tblPrEx>
        <w:trPr>
          <w:trHeight w:val="20"/>
        </w:trPr>
        <w:tc>
          <w:tcPr>
            <w:tcW w:w="1283" w:type="pct"/>
            <w:tcBorders>
              <w:top w:val="single" w:sz="4" w:space="0" w:color="auto"/>
              <w:left w:val="single" w:sz="4" w:space="0" w:color="auto"/>
              <w:bottom w:val="single" w:sz="4" w:space="0" w:color="auto"/>
              <w:right w:val="single" w:sz="4" w:space="0" w:color="auto"/>
            </w:tcBorders>
            <w:vAlign w:val="center"/>
            <w:hideMark/>
          </w:tcPr>
          <w:p w:rsidR="00FF46D8" w:rsidRPr="007B6745" w:rsidP="00FF46D8" w14:paraId="606A862F" w14:textId="77777777">
            <w:pPr>
              <w:pStyle w:val="LTableTextAbt"/>
            </w:pPr>
            <w:r w:rsidRPr="007B6745">
              <w:t>Processing into plastic and rubber products</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FF46D8" w:rsidRPr="007B6745" w:rsidP="00FF46D8" w14:paraId="71AAA81E" w14:textId="7C50B846">
            <w:pPr>
              <w:pStyle w:val="RTableTextAbt"/>
            </w:pPr>
            <w:r>
              <w:rPr>
                <w:szCs w:val="18"/>
              </w:rPr>
              <w:t xml:space="preserve">$65,569 </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FF46D8" w:rsidRPr="007B6745" w:rsidP="00FF46D8" w14:paraId="3B006815" w14:textId="682C73C6">
            <w:pPr>
              <w:pStyle w:val="RTableTextAbt"/>
            </w:pPr>
            <w:r>
              <w:rPr>
                <w:szCs w:val="18"/>
              </w:rPr>
              <w:t xml:space="preserve">$154,318 </w:t>
            </w:r>
          </w:p>
        </w:tc>
        <w:tc>
          <w:tcPr>
            <w:tcW w:w="918" w:type="pct"/>
            <w:tcBorders>
              <w:top w:val="single" w:sz="4" w:space="0" w:color="auto"/>
              <w:left w:val="single" w:sz="4" w:space="0" w:color="auto"/>
              <w:bottom w:val="single" w:sz="4" w:space="0" w:color="auto"/>
              <w:right w:val="single" w:sz="4" w:space="0" w:color="auto"/>
            </w:tcBorders>
            <w:vAlign w:val="center"/>
            <w:hideMark/>
          </w:tcPr>
          <w:p w:rsidR="00FF46D8" w:rsidRPr="007B6745" w:rsidP="00FF46D8" w14:paraId="19A5B7BC" w14:textId="60AA9B3D">
            <w:pPr>
              <w:pStyle w:val="RTableTextAbt"/>
            </w:pPr>
            <w:r>
              <w:rPr>
                <w:szCs w:val="18"/>
              </w:rPr>
              <w:t xml:space="preserve">$23,605 </w:t>
            </w:r>
          </w:p>
        </w:tc>
        <w:tc>
          <w:tcPr>
            <w:tcW w:w="963" w:type="pct"/>
            <w:tcBorders>
              <w:top w:val="single" w:sz="4" w:space="0" w:color="auto"/>
              <w:left w:val="single" w:sz="4" w:space="0" w:color="auto"/>
              <w:bottom w:val="single" w:sz="4" w:space="0" w:color="auto"/>
              <w:right w:val="single" w:sz="4" w:space="0" w:color="auto"/>
            </w:tcBorders>
            <w:vAlign w:val="center"/>
            <w:hideMark/>
          </w:tcPr>
          <w:p w:rsidR="00FF46D8" w:rsidRPr="007B6745" w:rsidP="00FF46D8" w14:paraId="0586736E" w14:textId="372BF323">
            <w:pPr>
              <w:pStyle w:val="RTableTextAbt"/>
            </w:pPr>
            <w:r>
              <w:rPr>
                <w:szCs w:val="18"/>
              </w:rPr>
              <w:t xml:space="preserve">$52,812 </w:t>
            </w:r>
          </w:p>
        </w:tc>
      </w:tr>
      <w:tr w14:paraId="74EB677B" w14:textId="77777777" w:rsidTr="00CA0464">
        <w:tblPrEx>
          <w:tblW w:w="5000" w:type="pct"/>
          <w:tblLook w:val="04A0"/>
        </w:tblPrEx>
        <w:trPr>
          <w:trHeight w:val="20"/>
        </w:trPr>
        <w:tc>
          <w:tcPr>
            <w:tcW w:w="1283" w:type="pct"/>
            <w:tcBorders>
              <w:top w:val="single" w:sz="4" w:space="0" w:color="auto"/>
              <w:left w:val="single" w:sz="4" w:space="0" w:color="auto"/>
              <w:bottom w:val="single" w:sz="4" w:space="0" w:color="auto"/>
              <w:right w:val="single" w:sz="4" w:space="0" w:color="auto"/>
            </w:tcBorders>
            <w:vAlign w:val="center"/>
            <w:hideMark/>
          </w:tcPr>
          <w:p w:rsidR="00FF46D8" w:rsidRPr="007B6745" w:rsidP="00FF46D8" w14:paraId="71272119" w14:textId="77777777">
            <w:pPr>
              <w:pStyle w:val="LTableTextAbt"/>
              <w:rPr>
                <w:b/>
              </w:rPr>
            </w:pPr>
            <w:r w:rsidRPr="007B6745">
              <w:rPr>
                <w:b/>
              </w:rPr>
              <w:t>Total</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FF46D8" w:rsidRPr="007B6745" w:rsidP="00FF46D8" w14:paraId="052DACDA" w14:textId="5238124E">
            <w:pPr>
              <w:pStyle w:val="RTableTextAbt"/>
              <w:rPr>
                <w:b/>
              </w:rPr>
            </w:pPr>
            <w:r>
              <w:rPr>
                <w:b/>
                <w:bCs w:val="0"/>
                <w:szCs w:val="18"/>
              </w:rPr>
              <w:t xml:space="preserve">$270,878 </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FF46D8" w:rsidRPr="007B6745" w:rsidP="00FF46D8" w14:paraId="444CE8E8" w14:textId="791D3044">
            <w:pPr>
              <w:pStyle w:val="RTableTextAbt"/>
              <w:rPr>
                <w:b/>
              </w:rPr>
            </w:pPr>
            <w:r>
              <w:rPr>
                <w:b/>
                <w:bCs w:val="0"/>
                <w:szCs w:val="18"/>
              </w:rPr>
              <w:t xml:space="preserve">$629,406 </w:t>
            </w:r>
          </w:p>
        </w:tc>
        <w:tc>
          <w:tcPr>
            <w:tcW w:w="918" w:type="pct"/>
            <w:tcBorders>
              <w:top w:val="single" w:sz="4" w:space="0" w:color="auto"/>
              <w:left w:val="single" w:sz="4" w:space="0" w:color="auto"/>
              <w:bottom w:val="single" w:sz="4" w:space="0" w:color="auto"/>
              <w:right w:val="single" w:sz="4" w:space="0" w:color="auto"/>
            </w:tcBorders>
            <w:noWrap/>
            <w:vAlign w:val="center"/>
            <w:hideMark/>
          </w:tcPr>
          <w:p w:rsidR="00FF46D8" w:rsidRPr="007B6745" w:rsidP="00FF46D8" w14:paraId="558FF195" w14:textId="2DF1C181">
            <w:pPr>
              <w:pStyle w:val="RTableTextAbt"/>
              <w:rPr>
                <w:b/>
              </w:rPr>
            </w:pPr>
            <w:r>
              <w:rPr>
                <w:b/>
                <w:bCs w:val="0"/>
                <w:szCs w:val="18"/>
              </w:rPr>
              <w:t xml:space="preserve">$167,526 </w:t>
            </w:r>
          </w:p>
        </w:tc>
        <w:tc>
          <w:tcPr>
            <w:tcW w:w="963" w:type="pct"/>
            <w:tcBorders>
              <w:top w:val="single" w:sz="4" w:space="0" w:color="auto"/>
              <w:left w:val="single" w:sz="4" w:space="0" w:color="auto"/>
              <w:bottom w:val="single" w:sz="4" w:space="0" w:color="auto"/>
              <w:right w:val="single" w:sz="4" w:space="0" w:color="auto"/>
            </w:tcBorders>
            <w:noWrap/>
            <w:vAlign w:val="center"/>
            <w:hideMark/>
          </w:tcPr>
          <w:p w:rsidR="00FF46D8" w:rsidRPr="007B6745" w:rsidP="00FF46D8" w14:paraId="0E33D126" w14:textId="498CCEFA">
            <w:pPr>
              <w:pStyle w:val="RTableTextAbt"/>
              <w:rPr>
                <w:b/>
              </w:rPr>
            </w:pPr>
            <w:r>
              <w:rPr>
                <w:b/>
                <w:bCs w:val="0"/>
                <w:szCs w:val="18"/>
              </w:rPr>
              <w:t xml:space="preserve">$374,777 </w:t>
            </w:r>
          </w:p>
        </w:tc>
      </w:tr>
      <w:tr w14:paraId="31A1F2CC" w14:textId="77777777" w:rsidTr="00CA0464">
        <w:tblPrEx>
          <w:tblW w:w="5000" w:type="pct"/>
          <w:tblLook w:val="04A0"/>
        </w:tblPrEx>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8B6B3A" w:rsidRPr="007B6745" w:rsidP="008B6B3A" w14:paraId="05EDE13C" w14:textId="77777777">
            <w:pPr>
              <w:pStyle w:val="TableNote0"/>
            </w:pPr>
            <w:r w:rsidRPr="007B6745">
              <w:t>a. Annualized over 15 years using a 2% discount rate; rounded to the nearest dollar.</w:t>
            </w:r>
          </w:p>
          <w:p w:rsidR="008B6B3A" w:rsidRPr="007B6745" w:rsidP="008B6B3A" w14:paraId="11E65E8A" w14:textId="77777777">
            <w:pPr>
              <w:pStyle w:val="TableNote0"/>
            </w:pPr>
            <w:r w:rsidRPr="007B6745">
              <w:t>b. Proposed option includes costs for rule familiarization, personal protective equipment, labeling and downstream notification, and cleaning.</w:t>
            </w:r>
          </w:p>
          <w:p w:rsidR="008B6B3A" w:rsidRPr="007B6745" w:rsidP="008B6B3A" w14:paraId="4DC5A042" w14:textId="77777777">
            <w:pPr>
              <w:pStyle w:val="TableNote0"/>
            </w:pPr>
            <w:r w:rsidRPr="007B6745">
              <w:t>c. Alternative option includes costs for rule familiarization, personal protective equipment, cleaning, monitoring, and engineering controls.</w:t>
            </w:r>
          </w:p>
        </w:tc>
      </w:tr>
    </w:tbl>
    <w:p w:rsidR="008B6B3A" w:rsidP="00B133DA" w14:paraId="1B470262" w14:textId="77777777">
      <w:pPr>
        <w:pStyle w:val="BodyText"/>
        <w:rPr>
          <w:lang w:val="en-US"/>
        </w:rPr>
      </w:pPr>
    </w:p>
    <w:p w:rsidR="00943DA7" w:rsidP="00943DA7" w14:paraId="731CF8DB" w14:textId="77777777">
      <w:pPr>
        <w:pStyle w:val="BodyText"/>
        <w:rPr>
          <w:lang w:val="en-US"/>
        </w:rPr>
      </w:pPr>
      <w:r w:rsidRPr="437E21C1">
        <w:rPr>
          <w:lang w:val="en-US"/>
        </w:rPr>
        <w:t>Effects of increased lung burden, alveolar hyperplasia, and inflammatory and morphological changes in the lower respiratory tract are not quantifiable or monetizeable due to data limitations on these effects, Therefore, to the extent that these result in health effects other than chronic bronchitis, this analysis underestimates the benefits of this proposed rule.</w:t>
      </w:r>
    </w:p>
    <w:p w:rsidR="00F97378" w:rsidP="00F97378" w14:paraId="450F3D8F" w14:textId="27DEF6A6">
      <w:pPr>
        <w:pStyle w:val="Heading2NoNumbering"/>
      </w:pPr>
      <w:bookmarkStart w:id="17" w:name="_Toc184299500"/>
      <w:r w:rsidRPr="00B56426">
        <w:t>Estimated Incremental Net Benefits</w:t>
      </w:r>
      <w:bookmarkEnd w:id="17"/>
    </w:p>
    <w:p w:rsidR="004543AC" w:rsidRPr="00ED2DD7" w:rsidP="0004618B" w14:paraId="5C95EDB6" w14:textId="416E74F3">
      <w:pPr>
        <w:pStyle w:val="BodyText"/>
      </w:pPr>
      <w:r>
        <w:rPr>
          <w:lang w:val="en-US"/>
        </w:rPr>
        <w:fldChar w:fldCharType="begin" w:fldLock="1"/>
      </w:r>
      <w:r>
        <w:rPr>
          <w:lang w:val="en-US"/>
        </w:rPr>
        <w:instrText xml:space="preserve"> REF _Ref180683020 \h </w:instrText>
      </w:r>
      <w:r>
        <w:rPr>
          <w:lang w:val="en-US"/>
        </w:rPr>
        <w:fldChar w:fldCharType="separate"/>
      </w:r>
      <w:r w:rsidR="00735BBC">
        <w:t>Table ES-</w:t>
      </w:r>
      <w:r w:rsidR="00735BBC">
        <w:rPr>
          <w:noProof/>
        </w:rPr>
        <w:t>6</w:t>
      </w:r>
      <w:r>
        <w:rPr>
          <w:lang w:val="en-US"/>
        </w:rPr>
        <w:fldChar w:fldCharType="end"/>
      </w:r>
      <w:r>
        <w:rPr>
          <w:lang w:val="en-US"/>
        </w:rPr>
        <w:t xml:space="preserve"> </w:t>
      </w:r>
      <w:r w:rsidR="00046AB2">
        <w:t>pr</w:t>
      </w:r>
      <w:r w:rsidRPr="008B67FF" w:rsidR="00046AB2">
        <w:t>esent</w:t>
      </w:r>
      <w:r w:rsidR="00046AB2">
        <w:t>s</w:t>
      </w:r>
      <w:r w:rsidRPr="008B67FF" w:rsidR="00046AB2">
        <w:t xml:space="preserve"> the total </w:t>
      </w:r>
      <w:r w:rsidR="00046AB2">
        <w:t xml:space="preserve">15-year </w:t>
      </w:r>
      <w:r w:rsidR="00AD52BE">
        <w:t xml:space="preserve">monetized </w:t>
      </w:r>
      <w:r w:rsidRPr="008B67FF" w:rsidR="00046AB2">
        <w:t xml:space="preserve">annualized </w:t>
      </w:r>
      <w:r w:rsidR="00A63B3B">
        <w:t xml:space="preserve">costs, </w:t>
      </w:r>
      <w:r w:rsidR="00046AB2">
        <w:t>benefits</w:t>
      </w:r>
      <w:r w:rsidR="00A63B3B">
        <w:t xml:space="preserve">, and net benefits estimated using </w:t>
      </w:r>
      <w:r w:rsidR="00046AB2">
        <w:t xml:space="preserve">a 2 </w:t>
      </w:r>
      <w:r w:rsidRPr="008B67FF" w:rsidR="00046AB2">
        <w:t>percent discount rate.</w:t>
      </w:r>
    </w:p>
    <w:tbl>
      <w:tblPr>
        <w:tblW w:w="5003" w:type="pct"/>
        <w:tblLook w:val="04A0"/>
      </w:tblPr>
      <w:tblGrid>
        <w:gridCol w:w="2149"/>
        <w:gridCol w:w="1154"/>
        <w:gridCol w:w="1154"/>
        <w:gridCol w:w="1124"/>
        <w:gridCol w:w="1126"/>
        <w:gridCol w:w="1151"/>
        <w:gridCol w:w="1147"/>
      </w:tblGrid>
      <w:tr w14:paraId="5A9BAB6D" w14:textId="77777777" w:rsidTr="00CA0464">
        <w:tblPrEx>
          <w:tblW w:w="5003" w:type="pct"/>
          <w:tblLook w:val="04A0"/>
        </w:tblPrEx>
        <w:trPr>
          <w:trHeight w:val="20"/>
        </w:trPr>
        <w:tc>
          <w:tcPr>
            <w:tcW w:w="5000" w:type="pct"/>
            <w:gridSpan w:val="7"/>
            <w:tcBorders>
              <w:top w:val="nil"/>
              <w:bottom w:val="single" w:sz="4" w:space="0" w:color="auto"/>
            </w:tcBorders>
            <w:shd w:val="clear" w:color="auto" w:fill="auto"/>
            <w:vAlign w:val="center"/>
          </w:tcPr>
          <w:p w:rsidR="00B133DA" w:rsidP="00CA0464" w14:paraId="4ADEA639" w14:textId="74C2FA2E">
            <w:pPr>
              <w:pStyle w:val="TableTitleA"/>
            </w:pPr>
            <w:bookmarkStart w:id="18" w:name="_Ref180683020"/>
            <w:bookmarkStart w:id="19" w:name="_Toc184299544"/>
            <w:r>
              <w:t>Table ES-</w:t>
            </w:r>
            <w:r>
              <w:fldChar w:fldCharType="begin" w:fldLock="1"/>
            </w:r>
            <w:r>
              <w:instrText>SEQ Table_ES- \* ARABIC</w:instrText>
            </w:r>
            <w:r>
              <w:fldChar w:fldCharType="separate"/>
            </w:r>
            <w:r w:rsidR="00735BBC">
              <w:rPr>
                <w:noProof/>
              </w:rPr>
              <w:t>6</w:t>
            </w:r>
            <w:r>
              <w:fldChar w:fldCharType="end"/>
            </w:r>
            <w:bookmarkEnd w:id="18"/>
            <w:r w:rsidRPr="00A95A85">
              <w:t xml:space="preserve">: </w:t>
            </w:r>
            <w:r>
              <w:t>Summary of Net Benefits by Scenario (2% discount; 2023$)</w:t>
            </w:r>
            <w:bookmarkEnd w:id="19"/>
          </w:p>
        </w:tc>
      </w:tr>
      <w:tr w14:paraId="1A685324" w14:textId="77777777" w:rsidTr="00343011">
        <w:tblPrEx>
          <w:tblW w:w="5003" w:type="pct"/>
          <w:tblLook w:val="04A0"/>
        </w:tblPrEx>
        <w:trPr>
          <w:trHeight w:val="20"/>
        </w:trPr>
        <w:tc>
          <w:tcPr>
            <w:tcW w:w="1193" w:type="pct"/>
            <w:vMerge w:val="restart"/>
            <w:tcBorders>
              <w:top w:val="single" w:sz="4" w:space="0" w:color="auto"/>
              <w:left w:val="single" w:sz="4" w:space="0" w:color="auto"/>
              <w:right w:val="single" w:sz="4" w:space="0" w:color="auto"/>
            </w:tcBorders>
            <w:shd w:val="clear" w:color="auto" w:fill="013E5B"/>
            <w:vAlign w:val="center"/>
            <w:hideMark/>
          </w:tcPr>
          <w:p w:rsidR="00343011" w:rsidP="00CA0464" w14:paraId="7337CD2E" w14:textId="309A7C71">
            <w:pPr>
              <w:pStyle w:val="TableSubtitle"/>
            </w:pPr>
            <w:r>
              <w:t>Option</w:t>
            </w:r>
          </w:p>
        </w:tc>
        <w:tc>
          <w:tcPr>
            <w:tcW w:w="1282" w:type="pct"/>
            <w:gridSpan w:val="2"/>
            <w:tcBorders>
              <w:top w:val="single" w:sz="4" w:space="0" w:color="auto"/>
              <w:left w:val="single" w:sz="4" w:space="0" w:color="auto"/>
              <w:bottom w:val="nil"/>
              <w:right w:val="nil"/>
            </w:tcBorders>
            <w:shd w:val="clear" w:color="auto" w:fill="013E5B"/>
            <w:vAlign w:val="center"/>
            <w:hideMark/>
          </w:tcPr>
          <w:p w:rsidR="00343011" w:rsidP="00CA0464" w14:paraId="3EC75512" w14:textId="77777777">
            <w:pPr>
              <w:pStyle w:val="TableSubtitle"/>
            </w:pPr>
            <w:r>
              <w:t>Annualized costs</w:t>
            </w:r>
          </w:p>
        </w:tc>
        <w:tc>
          <w:tcPr>
            <w:tcW w:w="1249" w:type="pct"/>
            <w:gridSpan w:val="2"/>
            <w:tcBorders>
              <w:top w:val="single" w:sz="4" w:space="0" w:color="auto"/>
              <w:left w:val="single" w:sz="4" w:space="0" w:color="auto"/>
              <w:bottom w:val="nil"/>
              <w:right w:val="nil"/>
            </w:tcBorders>
            <w:shd w:val="clear" w:color="auto" w:fill="013E5B"/>
            <w:vAlign w:val="center"/>
            <w:hideMark/>
          </w:tcPr>
          <w:p w:rsidR="00343011" w:rsidP="00CA0464" w14:paraId="00177B05" w14:textId="77777777">
            <w:pPr>
              <w:pStyle w:val="TableSubtitle"/>
            </w:pPr>
            <w:r>
              <w:t>Annualized benefits</w:t>
            </w:r>
          </w:p>
        </w:tc>
        <w:tc>
          <w:tcPr>
            <w:tcW w:w="1276" w:type="pct"/>
            <w:gridSpan w:val="2"/>
            <w:tcBorders>
              <w:top w:val="single" w:sz="4" w:space="0" w:color="auto"/>
              <w:left w:val="single" w:sz="4" w:space="0" w:color="auto"/>
              <w:bottom w:val="nil"/>
              <w:right w:val="nil"/>
            </w:tcBorders>
            <w:shd w:val="clear" w:color="auto" w:fill="013E5B"/>
            <w:vAlign w:val="center"/>
            <w:hideMark/>
          </w:tcPr>
          <w:p w:rsidR="00343011" w:rsidP="00CA0464" w14:paraId="1FD71C60" w14:textId="77777777">
            <w:pPr>
              <w:pStyle w:val="TableSubtitle"/>
            </w:pPr>
            <w:r>
              <w:t>Annualized net benefits</w:t>
            </w:r>
          </w:p>
        </w:tc>
      </w:tr>
      <w:tr w14:paraId="5AC94BB0" w14:textId="77777777" w:rsidTr="00343011">
        <w:tblPrEx>
          <w:tblW w:w="5003" w:type="pct"/>
          <w:tblLook w:val="04A0"/>
        </w:tblPrEx>
        <w:trPr>
          <w:trHeight w:val="20"/>
        </w:trPr>
        <w:tc>
          <w:tcPr>
            <w:tcW w:w="1193" w:type="pct"/>
            <w:vMerge/>
            <w:tcBorders>
              <w:left w:val="single" w:sz="4" w:space="0" w:color="auto"/>
              <w:bottom w:val="single" w:sz="4" w:space="0" w:color="000000"/>
              <w:right w:val="single" w:sz="4" w:space="0" w:color="auto"/>
            </w:tcBorders>
            <w:shd w:val="clear" w:color="auto" w:fill="013E5B"/>
            <w:vAlign w:val="center"/>
            <w:hideMark/>
          </w:tcPr>
          <w:p w:rsidR="00343011" w:rsidP="00CA0464" w14:paraId="4D7AE782" w14:textId="77777777">
            <w:pPr>
              <w:pStyle w:val="TableSubtitle"/>
            </w:pPr>
          </w:p>
        </w:tc>
        <w:tc>
          <w:tcPr>
            <w:tcW w:w="641" w:type="pct"/>
            <w:tcBorders>
              <w:top w:val="single" w:sz="4" w:space="0" w:color="auto"/>
              <w:left w:val="nil"/>
              <w:bottom w:val="single" w:sz="4" w:space="0" w:color="auto"/>
              <w:right w:val="single" w:sz="4" w:space="0" w:color="auto"/>
            </w:tcBorders>
            <w:shd w:val="clear" w:color="auto" w:fill="013E5B"/>
            <w:vAlign w:val="center"/>
            <w:hideMark/>
          </w:tcPr>
          <w:p w:rsidR="00343011" w:rsidP="00CA0464" w14:paraId="7F104CE0" w14:textId="77777777">
            <w:pPr>
              <w:pStyle w:val="TableSubtitle"/>
            </w:pPr>
            <w:r>
              <w:t>Low</w:t>
            </w:r>
          </w:p>
        </w:tc>
        <w:tc>
          <w:tcPr>
            <w:tcW w:w="641" w:type="pct"/>
            <w:tcBorders>
              <w:top w:val="single" w:sz="4" w:space="0" w:color="auto"/>
              <w:left w:val="nil"/>
              <w:bottom w:val="single" w:sz="4" w:space="0" w:color="auto"/>
              <w:right w:val="single" w:sz="4" w:space="0" w:color="auto"/>
            </w:tcBorders>
            <w:shd w:val="clear" w:color="auto" w:fill="013E5B"/>
            <w:vAlign w:val="center"/>
            <w:hideMark/>
          </w:tcPr>
          <w:p w:rsidR="00343011" w:rsidP="00CA0464" w14:paraId="2F6227BC" w14:textId="77777777">
            <w:pPr>
              <w:pStyle w:val="TableSubtitle"/>
            </w:pPr>
            <w:r>
              <w:t>High</w:t>
            </w:r>
          </w:p>
        </w:tc>
        <w:tc>
          <w:tcPr>
            <w:tcW w:w="624" w:type="pct"/>
            <w:tcBorders>
              <w:top w:val="single" w:sz="4" w:space="0" w:color="auto"/>
              <w:left w:val="nil"/>
              <w:bottom w:val="single" w:sz="4" w:space="0" w:color="auto"/>
              <w:right w:val="single" w:sz="4" w:space="0" w:color="auto"/>
            </w:tcBorders>
            <w:shd w:val="clear" w:color="auto" w:fill="013E5B"/>
            <w:vAlign w:val="center"/>
            <w:hideMark/>
          </w:tcPr>
          <w:p w:rsidR="00343011" w:rsidP="00CA0464" w14:paraId="639B2299" w14:textId="77777777">
            <w:pPr>
              <w:pStyle w:val="TableSubtitle"/>
            </w:pPr>
            <w:r>
              <w:t>Low</w:t>
            </w:r>
          </w:p>
        </w:tc>
        <w:tc>
          <w:tcPr>
            <w:tcW w:w="625" w:type="pct"/>
            <w:tcBorders>
              <w:top w:val="single" w:sz="4" w:space="0" w:color="auto"/>
              <w:left w:val="nil"/>
              <w:bottom w:val="single" w:sz="4" w:space="0" w:color="auto"/>
              <w:right w:val="single" w:sz="4" w:space="0" w:color="auto"/>
            </w:tcBorders>
            <w:shd w:val="clear" w:color="auto" w:fill="013E5B"/>
            <w:vAlign w:val="center"/>
            <w:hideMark/>
          </w:tcPr>
          <w:p w:rsidR="00343011" w:rsidP="00CA0464" w14:paraId="518B367A" w14:textId="77777777">
            <w:pPr>
              <w:pStyle w:val="TableSubtitle"/>
            </w:pPr>
            <w:r>
              <w:t>High</w:t>
            </w:r>
          </w:p>
        </w:tc>
        <w:tc>
          <w:tcPr>
            <w:tcW w:w="639" w:type="pct"/>
            <w:tcBorders>
              <w:top w:val="single" w:sz="4" w:space="0" w:color="auto"/>
              <w:left w:val="nil"/>
              <w:bottom w:val="single" w:sz="4" w:space="0" w:color="auto"/>
              <w:right w:val="single" w:sz="4" w:space="0" w:color="auto"/>
            </w:tcBorders>
            <w:shd w:val="clear" w:color="auto" w:fill="013E5B"/>
            <w:vAlign w:val="center"/>
            <w:hideMark/>
          </w:tcPr>
          <w:p w:rsidR="00343011" w:rsidP="00CA0464" w14:paraId="64B5B990" w14:textId="77777777">
            <w:pPr>
              <w:pStyle w:val="TableSubtitle"/>
            </w:pPr>
            <w:r>
              <w:t>Low</w:t>
            </w:r>
          </w:p>
        </w:tc>
        <w:tc>
          <w:tcPr>
            <w:tcW w:w="637" w:type="pct"/>
            <w:tcBorders>
              <w:top w:val="single" w:sz="4" w:space="0" w:color="auto"/>
              <w:left w:val="nil"/>
              <w:bottom w:val="single" w:sz="4" w:space="0" w:color="auto"/>
              <w:right w:val="single" w:sz="4" w:space="0" w:color="auto"/>
            </w:tcBorders>
            <w:shd w:val="clear" w:color="auto" w:fill="013E5B"/>
            <w:vAlign w:val="center"/>
            <w:hideMark/>
          </w:tcPr>
          <w:p w:rsidR="00343011" w:rsidP="00CA0464" w14:paraId="2A9CC1F3" w14:textId="77777777">
            <w:pPr>
              <w:pStyle w:val="TableSubtitle"/>
            </w:pPr>
            <w:r>
              <w:t>High</w:t>
            </w:r>
          </w:p>
        </w:tc>
      </w:tr>
      <w:tr w14:paraId="306CE0AA" w14:textId="77777777" w:rsidTr="00E67929">
        <w:tblPrEx>
          <w:tblW w:w="5003" w:type="pct"/>
          <w:tblLook w:val="04A0"/>
        </w:tblPrEx>
        <w:trPr>
          <w:trHeight w:val="20"/>
        </w:trPr>
        <w:tc>
          <w:tcPr>
            <w:tcW w:w="1193" w:type="pct"/>
            <w:tcBorders>
              <w:top w:val="nil"/>
              <w:left w:val="single" w:sz="4" w:space="0" w:color="auto"/>
              <w:bottom w:val="single" w:sz="4" w:space="0" w:color="000000"/>
              <w:right w:val="single" w:sz="4" w:space="0" w:color="auto"/>
            </w:tcBorders>
            <w:shd w:val="clear" w:color="auto" w:fill="auto"/>
            <w:vAlign w:val="center"/>
            <w:hideMark/>
          </w:tcPr>
          <w:p w:rsidR="00FD0743" w:rsidP="00FD0743" w14:paraId="235CA6B3" w14:textId="6D9FDDEB">
            <w:pPr>
              <w:pStyle w:val="LTableTextAbt"/>
            </w:pPr>
            <w:r>
              <w:t>Option 1 (Proposed)</w:t>
            </w:r>
          </w:p>
        </w:tc>
        <w:tc>
          <w:tcPr>
            <w:tcW w:w="641" w:type="pct"/>
            <w:tcBorders>
              <w:top w:val="nil"/>
              <w:left w:val="nil"/>
              <w:bottom w:val="single" w:sz="4" w:space="0" w:color="auto"/>
              <w:right w:val="single" w:sz="4" w:space="0" w:color="auto"/>
            </w:tcBorders>
            <w:shd w:val="clear" w:color="auto" w:fill="auto"/>
            <w:noWrap/>
            <w:vAlign w:val="center"/>
            <w:hideMark/>
          </w:tcPr>
          <w:p w:rsidR="00FD0743" w:rsidP="00FD0743" w14:paraId="3473F745" w14:textId="74618332">
            <w:pPr>
              <w:pStyle w:val="RTableTextAbt"/>
            </w:pPr>
            <w:r>
              <w:rPr>
                <w:szCs w:val="18"/>
              </w:rPr>
              <w:t xml:space="preserve">$1,641,538 </w:t>
            </w:r>
          </w:p>
        </w:tc>
        <w:tc>
          <w:tcPr>
            <w:tcW w:w="641" w:type="pct"/>
            <w:tcBorders>
              <w:top w:val="nil"/>
              <w:left w:val="nil"/>
              <w:bottom w:val="single" w:sz="4" w:space="0" w:color="auto"/>
              <w:right w:val="single" w:sz="4" w:space="0" w:color="auto"/>
            </w:tcBorders>
            <w:shd w:val="clear" w:color="auto" w:fill="auto"/>
            <w:noWrap/>
            <w:vAlign w:val="center"/>
            <w:hideMark/>
          </w:tcPr>
          <w:p w:rsidR="00FD0743" w:rsidP="00FD0743" w14:paraId="5FE1EE87" w14:textId="1698F38F">
            <w:pPr>
              <w:pStyle w:val="RTableTextAbt"/>
            </w:pPr>
            <w:r>
              <w:rPr>
                <w:szCs w:val="18"/>
              </w:rPr>
              <w:t xml:space="preserve">$1,676,538 </w:t>
            </w:r>
          </w:p>
        </w:tc>
        <w:tc>
          <w:tcPr>
            <w:tcW w:w="624" w:type="pct"/>
            <w:tcBorders>
              <w:top w:val="nil"/>
              <w:left w:val="nil"/>
              <w:bottom w:val="single" w:sz="4" w:space="0" w:color="auto"/>
              <w:right w:val="single" w:sz="4" w:space="0" w:color="auto"/>
            </w:tcBorders>
            <w:shd w:val="clear" w:color="auto" w:fill="auto"/>
            <w:noWrap/>
            <w:vAlign w:val="center"/>
            <w:hideMark/>
          </w:tcPr>
          <w:p w:rsidR="00FD0743" w:rsidP="00FD0743" w14:paraId="7988906C" w14:textId="7D5A159A">
            <w:pPr>
              <w:pStyle w:val="RTableTextAbt"/>
            </w:pPr>
            <w:r>
              <w:rPr>
                <w:szCs w:val="18"/>
              </w:rPr>
              <w:t xml:space="preserve">$270,878 </w:t>
            </w:r>
          </w:p>
        </w:tc>
        <w:tc>
          <w:tcPr>
            <w:tcW w:w="625" w:type="pct"/>
            <w:tcBorders>
              <w:top w:val="nil"/>
              <w:left w:val="nil"/>
              <w:bottom w:val="single" w:sz="4" w:space="0" w:color="auto"/>
              <w:right w:val="single" w:sz="4" w:space="0" w:color="auto"/>
            </w:tcBorders>
            <w:shd w:val="clear" w:color="auto" w:fill="auto"/>
            <w:noWrap/>
            <w:vAlign w:val="center"/>
            <w:hideMark/>
          </w:tcPr>
          <w:p w:rsidR="00FD0743" w:rsidP="00FD0743" w14:paraId="07198835" w14:textId="6BD413CB">
            <w:pPr>
              <w:pStyle w:val="RTableTextAbt"/>
            </w:pPr>
            <w:r>
              <w:rPr>
                <w:szCs w:val="18"/>
              </w:rPr>
              <w:t xml:space="preserve">$629,406 </w:t>
            </w:r>
          </w:p>
        </w:tc>
        <w:tc>
          <w:tcPr>
            <w:tcW w:w="639" w:type="pct"/>
            <w:tcBorders>
              <w:top w:val="nil"/>
              <w:left w:val="nil"/>
              <w:bottom w:val="single" w:sz="4" w:space="0" w:color="auto"/>
              <w:right w:val="single" w:sz="4" w:space="0" w:color="auto"/>
            </w:tcBorders>
            <w:shd w:val="clear" w:color="auto" w:fill="auto"/>
            <w:vAlign w:val="center"/>
            <w:hideMark/>
          </w:tcPr>
          <w:p w:rsidR="00FD0743" w:rsidP="00FD0743" w14:paraId="798B0E3A" w14:textId="4F63DFA6">
            <w:pPr>
              <w:pStyle w:val="RTableTextAbt"/>
            </w:pPr>
            <w:r w:rsidRPr="00DC7D2E">
              <w:rPr>
                <w:color w:val="A20000"/>
                <w:szCs w:val="18"/>
              </w:rPr>
              <w:t>($1,370,660)</w:t>
            </w:r>
          </w:p>
        </w:tc>
        <w:tc>
          <w:tcPr>
            <w:tcW w:w="637" w:type="pct"/>
            <w:tcBorders>
              <w:top w:val="nil"/>
              <w:left w:val="nil"/>
              <w:bottom w:val="single" w:sz="4" w:space="0" w:color="auto"/>
              <w:right w:val="single" w:sz="4" w:space="0" w:color="auto"/>
            </w:tcBorders>
            <w:shd w:val="clear" w:color="auto" w:fill="auto"/>
            <w:vAlign w:val="center"/>
            <w:hideMark/>
          </w:tcPr>
          <w:p w:rsidR="00FD0743" w:rsidP="00FD0743" w14:paraId="66ADB104" w14:textId="04531BE7">
            <w:pPr>
              <w:pStyle w:val="RTableTextAbt"/>
            </w:pPr>
            <w:r w:rsidRPr="00DC7D2E">
              <w:rPr>
                <w:color w:val="A20000"/>
                <w:szCs w:val="18"/>
              </w:rPr>
              <w:t>($1,047,132)</w:t>
            </w:r>
          </w:p>
        </w:tc>
      </w:tr>
      <w:tr w14:paraId="61C17613" w14:textId="77777777" w:rsidTr="00E67929">
        <w:tblPrEx>
          <w:tblW w:w="5003" w:type="pct"/>
          <w:tblLook w:val="04A0"/>
        </w:tblPrEx>
        <w:trPr>
          <w:trHeight w:val="20"/>
        </w:trPr>
        <w:tc>
          <w:tcPr>
            <w:tcW w:w="1193" w:type="pct"/>
            <w:tcBorders>
              <w:top w:val="nil"/>
              <w:left w:val="single" w:sz="4" w:space="0" w:color="auto"/>
              <w:bottom w:val="single" w:sz="4" w:space="0" w:color="000000"/>
              <w:right w:val="single" w:sz="4" w:space="0" w:color="auto"/>
            </w:tcBorders>
            <w:shd w:val="clear" w:color="auto" w:fill="auto"/>
            <w:vAlign w:val="center"/>
            <w:hideMark/>
          </w:tcPr>
          <w:p w:rsidR="00C054AA" w:rsidP="00C054AA" w14:paraId="181F8F9F" w14:textId="1036E28B">
            <w:pPr>
              <w:pStyle w:val="LTableTextAbt"/>
            </w:pPr>
            <w:r>
              <w:t>Option 2 (Alternative)</w:t>
            </w:r>
          </w:p>
        </w:tc>
        <w:tc>
          <w:tcPr>
            <w:tcW w:w="641" w:type="pct"/>
            <w:tcBorders>
              <w:top w:val="nil"/>
              <w:left w:val="nil"/>
              <w:bottom w:val="single" w:sz="4" w:space="0" w:color="auto"/>
              <w:right w:val="single" w:sz="4" w:space="0" w:color="auto"/>
            </w:tcBorders>
            <w:shd w:val="clear" w:color="auto" w:fill="auto"/>
            <w:noWrap/>
            <w:vAlign w:val="center"/>
            <w:hideMark/>
          </w:tcPr>
          <w:p w:rsidR="00C054AA" w:rsidP="00C054AA" w14:paraId="0DD5907F" w14:textId="63A49557">
            <w:pPr>
              <w:pStyle w:val="RTableTextAbt"/>
            </w:pPr>
            <w:r>
              <w:rPr>
                <w:szCs w:val="18"/>
              </w:rPr>
              <w:t xml:space="preserve">$930,695 </w:t>
            </w:r>
          </w:p>
        </w:tc>
        <w:tc>
          <w:tcPr>
            <w:tcW w:w="641" w:type="pct"/>
            <w:tcBorders>
              <w:top w:val="nil"/>
              <w:left w:val="nil"/>
              <w:bottom w:val="single" w:sz="4" w:space="0" w:color="auto"/>
              <w:right w:val="single" w:sz="4" w:space="0" w:color="auto"/>
            </w:tcBorders>
            <w:shd w:val="clear" w:color="auto" w:fill="auto"/>
            <w:noWrap/>
            <w:vAlign w:val="center"/>
            <w:hideMark/>
          </w:tcPr>
          <w:p w:rsidR="00C054AA" w:rsidP="00C054AA" w14:paraId="5515016C" w14:textId="36A1E1DE">
            <w:pPr>
              <w:pStyle w:val="RTableTextAbt"/>
            </w:pPr>
            <w:r>
              <w:rPr>
                <w:szCs w:val="18"/>
              </w:rPr>
              <w:t xml:space="preserve">$941,049 </w:t>
            </w:r>
          </w:p>
        </w:tc>
        <w:tc>
          <w:tcPr>
            <w:tcW w:w="624" w:type="pct"/>
            <w:tcBorders>
              <w:top w:val="nil"/>
              <w:left w:val="nil"/>
              <w:bottom w:val="single" w:sz="4" w:space="0" w:color="auto"/>
              <w:right w:val="single" w:sz="4" w:space="0" w:color="auto"/>
            </w:tcBorders>
            <w:shd w:val="clear" w:color="auto" w:fill="auto"/>
            <w:noWrap/>
            <w:vAlign w:val="center"/>
            <w:hideMark/>
          </w:tcPr>
          <w:p w:rsidR="00C054AA" w:rsidP="00C054AA" w14:paraId="21E4694C" w14:textId="1D5B2FD8">
            <w:pPr>
              <w:pStyle w:val="RTableTextAbt"/>
            </w:pPr>
            <w:r>
              <w:rPr>
                <w:szCs w:val="18"/>
              </w:rPr>
              <w:t xml:space="preserve">$167,526 </w:t>
            </w:r>
          </w:p>
        </w:tc>
        <w:tc>
          <w:tcPr>
            <w:tcW w:w="625" w:type="pct"/>
            <w:tcBorders>
              <w:top w:val="nil"/>
              <w:left w:val="nil"/>
              <w:bottom w:val="single" w:sz="4" w:space="0" w:color="auto"/>
              <w:right w:val="single" w:sz="4" w:space="0" w:color="auto"/>
            </w:tcBorders>
            <w:shd w:val="clear" w:color="auto" w:fill="auto"/>
            <w:noWrap/>
            <w:vAlign w:val="center"/>
            <w:hideMark/>
          </w:tcPr>
          <w:p w:rsidR="00C054AA" w:rsidP="00C054AA" w14:paraId="52A85303" w14:textId="1A1C2CB1">
            <w:pPr>
              <w:pStyle w:val="RTableTextAbt"/>
            </w:pPr>
            <w:r>
              <w:rPr>
                <w:szCs w:val="18"/>
              </w:rPr>
              <w:t xml:space="preserve">$374,777 </w:t>
            </w:r>
          </w:p>
        </w:tc>
        <w:tc>
          <w:tcPr>
            <w:tcW w:w="639" w:type="pct"/>
            <w:tcBorders>
              <w:top w:val="nil"/>
              <w:left w:val="nil"/>
              <w:bottom w:val="single" w:sz="4" w:space="0" w:color="auto"/>
              <w:right w:val="single" w:sz="4" w:space="0" w:color="auto"/>
            </w:tcBorders>
            <w:shd w:val="clear" w:color="auto" w:fill="auto"/>
            <w:vAlign w:val="center"/>
            <w:hideMark/>
          </w:tcPr>
          <w:p w:rsidR="00C054AA" w:rsidRPr="00875FD2" w:rsidP="00C054AA" w14:paraId="1E858218" w14:textId="6EBC7F75">
            <w:pPr>
              <w:pStyle w:val="RTableTextAbt"/>
              <w:rPr>
                <w:color w:val="A20000"/>
                <w:szCs w:val="18"/>
              </w:rPr>
            </w:pPr>
            <w:r w:rsidRPr="00875FD2">
              <w:rPr>
                <w:color w:val="A20000"/>
                <w:szCs w:val="18"/>
              </w:rPr>
              <w:t>($763,169)</w:t>
            </w:r>
          </w:p>
        </w:tc>
        <w:tc>
          <w:tcPr>
            <w:tcW w:w="637" w:type="pct"/>
            <w:tcBorders>
              <w:top w:val="nil"/>
              <w:left w:val="nil"/>
              <w:bottom w:val="single" w:sz="4" w:space="0" w:color="auto"/>
              <w:right w:val="single" w:sz="4" w:space="0" w:color="auto"/>
            </w:tcBorders>
            <w:shd w:val="clear" w:color="auto" w:fill="auto"/>
            <w:vAlign w:val="center"/>
            <w:hideMark/>
          </w:tcPr>
          <w:p w:rsidR="00C054AA" w:rsidRPr="00875FD2" w:rsidP="00C054AA" w14:paraId="02DC8AB2" w14:textId="59409B5D">
            <w:pPr>
              <w:pStyle w:val="RTableTextAbt"/>
              <w:rPr>
                <w:color w:val="A20000"/>
                <w:szCs w:val="18"/>
              </w:rPr>
            </w:pPr>
            <w:r w:rsidRPr="00875FD2">
              <w:rPr>
                <w:color w:val="A20000"/>
                <w:szCs w:val="18"/>
              </w:rPr>
              <w:t>($566,272)</w:t>
            </w:r>
          </w:p>
        </w:tc>
      </w:tr>
    </w:tbl>
    <w:p w:rsidR="00B133DA" w:rsidRPr="00B133DA" w:rsidP="00B133DA" w14:paraId="13EDF2FB" w14:textId="77777777">
      <w:pPr>
        <w:pStyle w:val="BodyText"/>
        <w:rPr>
          <w:lang w:val="en-US"/>
        </w:rPr>
      </w:pPr>
    </w:p>
    <w:p w:rsidR="00A84D3E" w:rsidP="003C4CF6" w14:paraId="4F447A1A" w14:textId="2D3B8BA1">
      <w:pPr>
        <w:pStyle w:val="Heading2NoNumbering"/>
      </w:pPr>
      <w:bookmarkStart w:id="20" w:name="_Toc184299501"/>
      <w:r>
        <w:t>Env</w:t>
      </w:r>
      <w:r w:rsidRPr="00B56426" w:rsidR="002E248D">
        <w:t>ironmental Justice Impacts</w:t>
      </w:r>
      <w:bookmarkEnd w:id="20"/>
    </w:p>
    <w:p w:rsidR="00B04478" w:rsidRPr="001D59A0" w:rsidP="00B04478" w14:paraId="13008B8B" w14:textId="42DC6A80">
      <w:pPr>
        <w:pStyle w:val="BodyText"/>
      </w:pPr>
      <w:r w:rsidRPr="2D8A9FE9">
        <w:rPr>
          <w:lang w:val="en-US"/>
        </w:rPr>
        <w:t xml:space="preserve">EPA’s </w:t>
      </w:r>
      <w:r w:rsidRPr="2D8A9FE9">
        <w:rPr>
          <w:i/>
          <w:lang w:val="en-US"/>
        </w:rPr>
        <w:t>Technical Guidance for Assessing Environmental Justice in Regulatory Analysis</w:t>
      </w:r>
      <w:r>
        <w:rPr>
          <w:rStyle w:val="FootnoteReference"/>
          <w:lang w:val="en-US"/>
        </w:rPr>
        <w:footnoteReference w:id="4"/>
      </w:r>
      <w:r w:rsidRPr="2D8A9FE9">
        <w:rPr>
          <w:lang w:val="en-US"/>
        </w:rPr>
        <w:t xml:space="preserve"> provides recommendations that encourage analysts to conduct the highest quality analysis feasible, recognizing that data limitations, time and resource constraints, and analytic challenges will vary by media and circumstance (</w:t>
      </w:r>
      <w:hyperlink w:anchor="_ENREF_57" w:tooltip="U.S. Environmental Protection Agency (EPA), 2016 #57" w:history="1">
        <w:r w:rsidRPr="002E259E" w:rsidR="003D6084">
          <w:fldChar w:fldCharType="begin" w:fldLock="1"/>
        </w:r>
        <w:r w:rsidR="003D6084">
          <w:instrText xml:space="preserve"> ADDIN EN.CITE &lt;EndNote&gt;&lt;Cite ExcludeAuth="1"&gt;&lt;Author&gt;U.S. Environmental Protection Agency (EPA)&lt;/Author&gt;&lt;Year&gt;2016&lt;/Year&gt;&lt;RecNum&gt;57&lt;/RecNum&gt;&lt;Prefix&gt;EPA &lt;/Prefix&gt;&lt;DisplayText&gt;EPA 2016c&lt;/DisplayText&gt;&lt;record&gt;&lt;rec-number&gt;57&lt;/rec-number&gt;&lt;foreign-keys&gt;&lt;key app="EN" db-id="2apzr05radv9fjet2w6xxwdlz5e9vwfxredw" timestamp="1730757315"&gt;57&lt;/key&gt;&lt;/foreign-keys&gt;&lt;ref-type name="Government Document"&gt;46&lt;/ref-type&gt;&lt;contributors&gt;&lt;authors&gt;&lt;author&gt;U.S. Environmental Protection Agency (EPA),&lt;/author&gt;&lt;/authors&gt;&lt;/contributors&gt;&lt;titles&gt;&lt;title&gt;Technical Guidance for Assessing Environmental Justice in Regulatory Analysis&lt;/title&gt;&lt;/titles&gt;&lt;dates&gt;&lt;year&gt;2016&lt;/year&gt;&lt;/dates&gt;&lt;urls&gt;&lt;related-urls&gt;&lt;url&gt;https://www.epa.gov/sites/default/files/2016-06/documents/ejtg_5_6_16_v5.1.pdf&lt;/url&gt;&lt;/related-urls&gt;&lt;/urls&gt;&lt;/record&gt;&lt;/Cite&gt;&lt;/EndNote&gt;</w:instrText>
        </w:r>
        <w:r w:rsidRPr="002E259E" w:rsidR="003D6084">
          <w:fldChar w:fldCharType="separate"/>
        </w:r>
        <w:r w:rsidR="003D6084">
          <w:rPr>
            <w:noProof/>
          </w:rPr>
          <w:t>EPA 2016c</w:t>
        </w:r>
        <w:r w:rsidRPr="002E259E" w:rsidR="003D6084">
          <w:fldChar w:fldCharType="end"/>
        </w:r>
      </w:hyperlink>
      <w:r w:rsidRPr="2D8A9FE9">
        <w:rPr>
          <w:lang w:val="en-US"/>
        </w:rPr>
        <w:t xml:space="preserve">). This analysis presents information about the facilities, workforce, and communities potentially affected by the regulatory options under current conditions before the final rule goes into effect. </w:t>
      </w:r>
      <w:r w:rsidRPr="2D8A9FE9" w:rsidR="009E058D">
        <w:rPr>
          <w:rFonts w:cstheme="minorBidi"/>
          <w:lang w:val="en-US"/>
        </w:rPr>
        <w:t>It draws on publicly available data provided by EPA and U.S. Census, including the Chemical Data Reporting (CDR), the American Community Survey (ACS), and the Quarterly Workforce Indicators (QWI).</w:t>
      </w:r>
    </w:p>
    <w:p w:rsidR="00AD441A" w:rsidRPr="00C7690B" w:rsidP="00AD441A" w14:paraId="10A9C9BA" w14:textId="071B5353">
      <w:pPr>
        <w:pStyle w:val="BodyText"/>
      </w:pPr>
      <w:r w:rsidRPr="00C7690B">
        <w:rPr>
          <w:lang w:val="en-US"/>
        </w:rPr>
        <w:t>As discus</w:t>
      </w:r>
      <w:r w:rsidRPr="00F61FC3">
        <w:rPr>
          <w:lang w:val="en-US"/>
        </w:rPr>
        <w:t>sed in Chapter</w:t>
      </w:r>
      <w:r w:rsidR="00F61FC3">
        <w:rPr>
          <w:lang w:val="en-US"/>
        </w:rPr>
        <w:t xml:space="preserve"> </w:t>
      </w:r>
      <w:r w:rsidR="00F61FC3">
        <w:rPr>
          <w:lang w:val="en-US"/>
        </w:rPr>
        <w:fldChar w:fldCharType="begin" w:fldLock="1"/>
      </w:r>
      <w:r w:rsidR="00F61FC3">
        <w:rPr>
          <w:lang w:val="en-US"/>
        </w:rPr>
        <w:instrText xml:space="preserve"> REF _Ref164846105 \r \h </w:instrText>
      </w:r>
      <w:r w:rsidR="00F61FC3">
        <w:rPr>
          <w:lang w:val="en-US"/>
        </w:rPr>
        <w:fldChar w:fldCharType="separate"/>
      </w:r>
      <w:r w:rsidR="00735BBC">
        <w:rPr>
          <w:lang w:val="en-US"/>
        </w:rPr>
        <w:t>1</w:t>
      </w:r>
      <w:r w:rsidR="00F61FC3">
        <w:rPr>
          <w:lang w:val="en-US"/>
        </w:rPr>
        <w:fldChar w:fldCharType="end"/>
      </w:r>
      <w:r w:rsidRPr="00F61FC3">
        <w:rPr>
          <w:lang w:val="en-US"/>
        </w:rPr>
        <w:t>, EPA</w:t>
      </w:r>
      <w:r w:rsidRPr="00C7690B">
        <w:rPr>
          <w:lang w:val="en-US"/>
        </w:rPr>
        <w:t xml:space="preserve"> found unreasonable risk for numerous uses to workers and ONUs. EPA also concluded that </w:t>
      </w:r>
      <w:r w:rsidRPr="00C7690B">
        <w:t xml:space="preserve">general population exposures to PV29 are expected to be minimal due to the limited releases of C.I. Pigment Violet 29 to the environment as a result of engineering controls on manufacturing releases. Furthermore, the risk evaluation stated that physical and chemical properties and fate endpoints would also result in minimal exposure to air, water, sediment, and groundwater via biosolids and landfill leaching and that inhalation of PV29 is expected to be low due to limited fugitive and incineration air releases. Based on these findings, the risk evaluation did not analyze exposure to the general population or evaluate potential unreasonable risk to the general population. Therefore, this analysis focuses solely on characterizing the baseline conditions </w:t>
      </w:r>
      <w:r w:rsidRPr="00F26A21">
        <w:t>faced by workers</w:t>
      </w:r>
      <w:r>
        <w:rPr>
          <w:rStyle w:val="FootnoteReference"/>
          <w:rFonts w:eastAsiaTheme="minorHAnsi"/>
        </w:rPr>
        <w:footnoteReference w:id="5"/>
      </w:r>
      <w:r w:rsidRPr="00F26A21">
        <w:t xml:space="preserve">  </w:t>
      </w:r>
      <w:r w:rsidRPr="00C7690B">
        <w:t xml:space="preserve">affected by the proposed regulation to identify the potential for disproportionate impacts on minority and low-income populations.  </w:t>
      </w:r>
    </w:p>
    <w:p w:rsidR="00AD441A" w:rsidRPr="00C7690B" w:rsidP="00AD441A" w14:paraId="5CACA96E" w14:textId="38AE0B58">
      <w:pPr>
        <w:pStyle w:val="BodyText"/>
      </w:pPr>
      <w:r w:rsidRPr="00C7690B">
        <w:rPr>
          <w:lang w:val="en-US"/>
        </w:rPr>
        <w:t xml:space="preserve">The benefits </w:t>
      </w:r>
      <w:r w:rsidRPr="00F26A21">
        <w:rPr>
          <w:lang w:val="en-US"/>
        </w:rPr>
        <w:t>chapter (</w:t>
      </w:r>
      <w:r w:rsidRPr="00F26A21" w:rsidR="00F26A21">
        <w:rPr>
          <w:lang w:val="en-US"/>
        </w:rPr>
        <w:t xml:space="preserve">Chapter </w:t>
      </w:r>
      <w:r w:rsidRPr="00F26A21" w:rsidR="00F26A21">
        <w:rPr>
          <w:lang w:val="en-US"/>
        </w:rPr>
        <w:fldChar w:fldCharType="begin" w:fldLock="1"/>
      </w:r>
      <w:r w:rsidRPr="00F26A21" w:rsidR="00F26A21">
        <w:rPr>
          <w:lang w:val="en-US"/>
        </w:rPr>
        <w:instrText xml:space="preserve"> REF _Ref180684187 \r \h </w:instrText>
      </w:r>
      <w:r w:rsidR="00F26A21">
        <w:rPr>
          <w:lang w:val="en-US"/>
        </w:rPr>
        <w:instrText xml:space="preserve"> \* MERGEFORMAT </w:instrText>
      </w:r>
      <w:r w:rsidRPr="00F26A21" w:rsidR="00F26A21">
        <w:rPr>
          <w:lang w:val="en-US"/>
        </w:rPr>
        <w:fldChar w:fldCharType="separate"/>
      </w:r>
      <w:r w:rsidR="00735BBC">
        <w:rPr>
          <w:lang w:val="en-US"/>
        </w:rPr>
        <w:t>4.5.1</w:t>
      </w:r>
      <w:r w:rsidRPr="00F26A21" w:rsidR="00F26A21">
        <w:rPr>
          <w:lang w:val="en-US"/>
        </w:rPr>
        <w:fldChar w:fldCharType="end"/>
      </w:r>
      <w:r w:rsidRPr="00F26A21">
        <w:rPr>
          <w:lang w:val="en-US"/>
        </w:rPr>
        <w:t>) does not</w:t>
      </w:r>
      <w:r w:rsidRPr="00C7690B">
        <w:rPr>
          <w:lang w:val="en-US"/>
        </w:rPr>
        <w:t xml:space="preserve"> discuss the sociodemographic characteristics of the affected workers. While EPA lacks information on the characteristics of the workers in the specific regulated facilities, this analysis provides sociodemographic information on workers in the affected industries and locations as a proxy for the likely characteristics of affected workers.</w:t>
      </w:r>
    </w:p>
    <w:p w:rsidR="00AD441A" w:rsidRPr="00C7690B" w:rsidP="00AD441A" w14:paraId="66ECB807" w14:textId="77777777">
      <w:pPr>
        <w:pStyle w:val="BodyText"/>
        <w:rPr>
          <w:lang w:val="en-US"/>
        </w:rPr>
      </w:pPr>
      <w:r w:rsidRPr="00C7690B">
        <w:rPr>
          <w:lang w:val="en-US"/>
        </w:rPr>
        <w:t xml:space="preserve">Data limitations prevent EPA from conducting a more comprehensive EJ analysis that would identify the incremental impacts of the regulatory options and assess the extent to which they mitigate or exacerbate any disproportionate impacts in communities with environmental justice concerns. Uncertainties include the information on the specific location of affected facilities using regulated PV29, sociodemographic characteristics of the specific individuals affected by the use categories, and the substitute technologies and practices that would be adopted at regulated entities in response to the proposed rule. </w:t>
      </w:r>
    </w:p>
    <w:p w:rsidR="00EB2214" w:rsidRPr="0078141F" w:rsidP="00EB2214" w14:paraId="1AE59453" w14:textId="0E8BCA2A">
      <w:r w:rsidRPr="00C147B1">
        <w:t xml:space="preserve">Chapter </w:t>
      </w:r>
      <w:r w:rsidRPr="00C147B1">
        <w:fldChar w:fldCharType="begin" w:fldLock="1"/>
      </w:r>
      <w:r w:rsidRPr="00C147B1">
        <w:instrText xml:space="preserve"> REF _Ref180498059 \r \h </w:instrText>
      </w:r>
      <w:r>
        <w:instrText xml:space="preserve"> \* MERGEFORMAT </w:instrText>
      </w:r>
      <w:r w:rsidRPr="00C147B1">
        <w:fldChar w:fldCharType="separate"/>
      </w:r>
      <w:r w:rsidR="00735BBC">
        <w:t>3</w:t>
      </w:r>
      <w:r w:rsidRPr="00C147B1">
        <w:fldChar w:fldCharType="end"/>
      </w:r>
      <w:r w:rsidRPr="00C147B1">
        <w:t xml:space="preserve"> describes how </w:t>
      </w:r>
      <w:r w:rsidRPr="00C147B1">
        <w:t>the number of facilities potentially affected by the proposed rule</w:t>
      </w:r>
      <w:r w:rsidRPr="00C147B1">
        <w:t xml:space="preserve"> were estimated</w:t>
      </w:r>
      <w:r w:rsidRPr="00C147B1">
        <w:t>. EPA</w:t>
      </w:r>
      <w:r w:rsidRPr="0078141F">
        <w:t xml:space="preserve"> was only able to determine the </w:t>
      </w:r>
      <w:r>
        <w:t xml:space="preserve">specific </w:t>
      </w:r>
      <w:r w:rsidRPr="0078141F">
        <w:t xml:space="preserve">location of a single facility known to be using regulated PV29.  That facility, DCL Corporation, is located at Goose Creek, SC, is both the sole manufacturer of PV29 and the sole processor of PV29 as an intermediate to make other perylene pigments. This section characterizes the baseline demographics of workers at that facility. The Goose Creek facility falls under the NAICs code </w:t>
      </w:r>
      <w:r w:rsidRPr="00C7690B">
        <w:rPr>
          <w:i/>
          <w:iCs/>
          <w:color w:val="000000"/>
        </w:rPr>
        <w:t>325130 (Synthetic Dye and Pigment Manufacturing</w:t>
      </w:r>
      <w:r w:rsidRPr="0078141F">
        <w:t xml:space="preserve"> sector). However, demographic data were not available at that level of detail so data are presented for NAICS 3251, Basic Chemical Manufacturing. This analysis assumes that the demographic composition of workers in the county in which the facility is located is representative of the demographics of workers at the facility. Data are taken from the Census’ QWI data averages indicator values for four quarters of 2020 (U.S. Census Bureau, 2022). </w:t>
      </w:r>
      <w:r>
        <w:fldChar w:fldCharType="begin" w:fldLock="1"/>
      </w:r>
      <w:r>
        <w:instrText xml:space="preserve"> REF _Ref181028343 \h </w:instrText>
      </w:r>
      <w:r>
        <w:fldChar w:fldCharType="separate"/>
      </w:r>
      <w:r w:rsidR="00735BBC">
        <w:t>Table ES-</w:t>
      </w:r>
      <w:r w:rsidR="00735BBC">
        <w:rPr>
          <w:noProof/>
        </w:rPr>
        <w:t>7</w:t>
      </w:r>
      <w:r>
        <w:fldChar w:fldCharType="end"/>
      </w:r>
      <w:r>
        <w:t xml:space="preserve"> </w:t>
      </w:r>
      <w:r w:rsidRPr="0078141F">
        <w:t xml:space="preserve">shows the data for workers in Berkely County in which the facility is located. </w:t>
      </w:r>
    </w:p>
    <w:p w:rsidR="00EB2214" w:rsidP="00EB2214" w14:paraId="37628FA3" w14:textId="0861CF49">
      <w:r w:rsidRPr="0078141F">
        <w:t>The data suggests that worker populations for Berkely County have a higher percentage of Black workers than the national average for workers in the Basic Chemical Manufacturing sector. Additionally, Berkely County</w:t>
      </w:r>
      <w:r w:rsidR="00BF70FD">
        <w:t>, which is rural</w:t>
      </w:r>
      <w:r w:rsidR="001B71B5">
        <w:t>,</w:t>
      </w:r>
      <w:r w:rsidRPr="0078141F">
        <w:t xml:space="preserve"> has a higher percentage of Black workers than the national average (including both urban and rural averages) for all workers.</w:t>
      </w:r>
      <w:r w:rsidRPr="00DA5444">
        <w:t xml:space="preserve">   </w:t>
      </w:r>
    </w:p>
    <w:tbl>
      <w:tblPr>
        <w:tblW w:w="10097" w:type="dxa"/>
        <w:jc w:val="center"/>
        <w:tblLook w:val="04A0"/>
      </w:tblPr>
      <w:tblGrid>
        <w:gridCol w:w="915"/>
        <w:gridCol w:w="1596"/>
        <w:gridCol w:w="1167"/>
        <w:gridCol w:w="877"/>
        <w:gridCol w:w="877"/>
        <w:gridCol w:w="907"/>
        <w:gridCol w:w="967"/>
        <w:gridCol w:w="1037"/>
        <w:gridCol w:w="877"/>
        <w:gridCol w:w="877"/>
      </w:tblGrid>
      <w:tr w14:paraId="3F1CEE90" w14:textId="77777777" w:rsidTr="008668C9">
        <w:tblPrEx>
          <w:tblW w:w="10097" w:type="dxa"/>
          <w:jc w:val="center"/>
          <w:tblLook w:val="04A0"/>
        </w:tblPrEx>
        <w:trPr>
          <w:trHeight w:val="183"/>
          <w:jc w:val="center"/>
        </w:trPr>
        <w:tc>
          <w:tcPr>
            <w:tcW w:w="10097" w:type="dxa"/>
            <w:gridSpan w:val="10"/>
            <w:tcBorders>
              <w:bottom w:val="single" w:sz="4" w:space="0" w:color="auto"/>
            </w:tcBorders>
            <w:shd w:val="clear" w:color="auto" w:fill="auto"/>
            <w:vAlign w:val="center"/>
          </w:tcPr>
          <w:p w:rsidR="005B5F93" w:rsidRPr="005B5F93" w:rsidP="008668C9" w14:paraId="07541100" w14:textId="42B68C5B">
            <w:pPr>
              <w:pStyle w:val="TableTitleA"/>
              <w:keepLines/>
            </w:pPr>
            <w:bookmarkStart w:id="21" w:name="_Ref181028343"/>
            <w:bookmarkStart w:id="22" w:name="_Toc184299545"/>
            <w:r>
              <w:t>Table ES-</w:t>
            </w:r>
            <w:r>
              <w:fldChar w:fldCharType="begin" w:fldLock="1"/>
            </w:r>
            <w:r>
              <w:instrText>SEQ Table_ES- \* ARABIC</w:instrText>
            </w:r>
            <w:r>
              <w:fldChar w:fldCharType="separate"/>
            </w:r>
            <w:r w:rsidR="00735BBC">
              <w:rPr>
                <w:noProof/>
              </w:rPr>
              <w:t>7</w:t>
            </w:r>
            <w:r>
              <w:fldChar w:fldCharType="end"/>
            </w:r>
            <w:bookmarkEnd w:id="21"/>
            <w:r w:rsidRPr="00A95A85">
              <w:t xml:space="preserve">: </w:t>
            </w:r>
            <w:r w:rsidRPr="005B5F93">
              <w:t>Characteristics of General Worker Populations at National Level and Sector Worker Populations in Areas nearby PV29 Manufacturing Facility</w:t>
            </w:r>
            <w:bookmarkEnd w:id="22"/>
          </w:p>
        </w:tc>
      </w:tr>
      <w:tr w14:paraId="58DDAD7A" w14:textId="77777777" w:rsidTr="008668C9">
        <w:tblPrEx>
          <w:tblW w:w="10097" w:type="dxa"/>
          <w:jc w:val="center"/>
          <w:tblLook w:val="04A0"/>
        </w:tblPrEx>
        <w:trPr>
          <w:trHeight w:val="1310"/>
          <w:jc w:val="center"/>
        </w:trPr>
        <w:tc>
          <w:tcPr>
            <w:tcW w:w="0" w:type="auto"/>
            <w:tcBorders>
              <w:top w:val="single" w:sz="4" w:space="0" w:color="auto"/>
              <w:left w:val="single" w:sz="8" w:space="0" w:color="auto"/>
              <w:bottom w:val="single" w:sz="8" w:space="0" w:color="auto"/>
              <w:right w:val="single" w:sz="8" w:space="0" w:color="auto"/>
            </w:tcBorders>
            <w:shd w:val="clear" w:color="auto" w:fill="013E5B"/>
            <w:vAlign w:val="center"/>
            <w:hideMark/>
          </w:tcPr>
          <w:p w:rsidR="00EB2214" w:rsidRPr="007724CC" w:rsidP="008668C9" w14:paraId="5B2D39C1" w14:textId="77777777">
            <w:pPr>
              <w:pStyle w:val="TableSubtitle"/>
            </w:pPr>
            <w:r w:rsidRPr="007724CC">
              <w:t>Region</w:t>
            </w:r>
          </w:p>
        </w:tc>
        <w:tc>
          <w:tcPr>
            <w:tcW w:w="1596" w:type="dxa"/>
            <w:tcBorders>
              <w:top w:val="single" w:sz="4" w:space="0" w:color="auto"/>
              <w:left w:val="nil"/>
              <w:bottom w:val="single" w:sz="8" w:space="0" w:color="auto"/>
              <w:right w:val="single" w:sz="8" w:space="0" w:color="auto"/>
            </w:tcBorders>
            <w:shd w:val="clear" w:color="auto" w:fill="013E5B"/>
            <w:vAlign w:val="center"/>
            <w:hideMark/>
          </w:tcPr>
          <w:p w:rsidR="00EB2214" w:rsidRPr="007724CC" w:rsidP="008668C9" w14:paraId="710D7D46" w14:textId="77777777">
            <w:pPr>
              <w:pStyle w:val="TableSubtitle"/>
            </w:pPr>
            <w:r>
              <w:t>National/</w:t>
            </w:r>
            <w:r w:rsidRPr="007724CC">
              <w:t>County Employees in Industry</w:t>
            </w:r>
          </w:p>
        </w:tc>
        <w:tc>
          <w:tcPr>
            <w:tcW w:w="1167" w:type="dxa"/>
            <w:tcBorders>
              <w:top w:val="single" w:sz="4" w:space="0" w:color="auto"/>
              <w:left w:val="nil"/>
              <w:bottom w:val="single" w:sz="8" w:space="0" w:color="auto"/>
              <w:right w:val="single" w:sz="8" w:space="0" w:color="auto"/>
            </w:tcBorders>
            <w:shd w:val="clear" w:color="auto" w:fill="013E5B"/>
            <w:vAlign w:val="center"/>
            <w:hideMark/>
          </w:tcPr>
          <w:p w:rsidR="00EB2214" w:rsidRPr="007724CC" w:rsidP="008668C9" w14:paraId="2D8BD04E" w14:textId="77777777">
            <w:pPr>
              <w:pStyle w:val="TableSubtitle"/>
            </w:pPr>
            <w:r w:rsidRPr="007724CC">
              <w:t>Percent Local Employees in Industry</w:t>
            </w:r>
          </w:p>
        </w:tc>
        <w:tc>
          <w:tcPr>
            <w:tcW w:w="877" w:type="dxa"/>
            <w:tcBorders>
              <w:top w:val="single" w:sz="4" w:space="0" w:color="auto"/>
              <w:left w:val="nil"/>
              <w:bottom w:val="single" w:sz="8" w:space="0" w:color="auto"/>
              <w:right w:val="single" w:sz="8" w:space="0" w:color="auto"/>
            </w:tcBorders>
            <w:shd w:val="clear" w:color="auto" w:fill="013E5B"/>
            <w:vAlign w:val="center"/>
            <w:hideMark/>
          </w:tcPr>
          <w:p w:rsidR="00EB2214" w:rsidRPr="007724CC" w:rsidP="008668C9" w14:paraId="67C30D23" w14:textId="77777777">
            <w:pPr>
              <w:pStyle w:val="TableSubtitle"/>
            </w:pPr>
            <w:r w:rsidRPr="007724CC">
              <w:t>Percent Asian</w:t>
            </w:r>
          </w:p>
        </w:tc>
        <w:tc>
          <w:tcPr>
            <w:tcW w:w="877" w:type="dxa"/>
            <w:tcBorders>
              <w:top w:val="single" w:sz="4" w:space="0" w:color="auto"/>
              <w:left w:val="nil"/>
              <w:bottom w:val="single" w:sz="8" w:space="0" w:color="auto"/>
              <w:right w:val="single" w:sz="8" w:space="0" w:color="auto"/>
            </w:tcBorders>
            <w:shd w:val="clear" w:color="auto" w:fill="013E5B"/>
            <w:vAlign w:val="center"/>
            <w:hideMark/>
          </w:tcPr>
          <w:p w:rsidR="00EB2214" w:rsidRPr="007724CC" w:rsidP="008668C9" w14:paraId="40DBD886" w14:textId="77777777">
            <w:pPr>
              <w:pStyle w:val="TableSubtitle"/>
            </w:pPr>
            <w:r w:rsidRPr="007724CC">
              <w:t>Percent Black</w:t>
            </w:r>
          </w:p>
        </w:tc>
        <w:tc>
          <w:tcPr>
            <w:tcW w:w="907" w:type="dxa"/>
            <w:tcBorders>
              <w:top w:val="single" w:sz="4" w:space="0" w:color="auto"/>
              <w:left w:val="nil"/>
              <w:bottom w:val="single" w:sz="8" w:space="0" w:color="auto"/>
              <w:right w:val="single" w:sz="8" w:space="0" w:color="auto"/>
            </w:tcBorders>
            <w:shd w:val="clear" w:color="auto" w:fill="013E5B"/>
            <w:vAlign w:val="center"/>
            <w:hideMark/>
          </w:tcPr>
          <w:p w:rsidR="00EB2214" w:rsidRPr="007724CC" w:rsidP="008668C9" w14:paraId="4D0E5A3B" w14:textId="77777777">
            <w:pPr>
              <w:pStyle w:val="TableSubtitle"/>
            </w:pPr>
            <w:r w:rsidRPr="007724CC">
              <w:t>Percent Pacific Islander</w:t>
            </w:r>
          </w:p>
        </w:tc>
        <w:tc>
          <w:tcPr>
            <w:tcW w:w="967" w:type="dxa"/>
            <w:tcBorders>
              <w:top w:val="single" w:sz="4" w:space="0" w:color="auto"/>
              <w:left w:val="nil"/>
              <w:bottom w:val="single" w:sz="8" w:space="0" w:color="auto"/>
              <w:right w:val="single" w:sz="8" w:space="0" w:color="auto"/>
            </w:tcBorders>
            <w:shd w:val="clear" w:color="auto" w:fill="013E5B"/>
            <w:vAlign w:val="center"/>
            <w:hideMark/>
          </w:tcPr>
          <w:p w:rsidR="00EB2214" w:rsidRPr="007724CC" w:rsidP="008668C9" w14:paraId="3AA86333" w14:textId="77777777">
            <w:pPr>
              <w:pStyle w:val="TableSubtitle"/>
            </w:pPr>
            <w:r w:rsidRPr="007724CC">
              <w:t>Percent Hispanic</w:t>
            </w:r>
          </w:p>
        </w:tc>
        <w:tc>
          <w:tcPr>
            <w:tcW w:w="1037" w:type="dxa"/>
            <w:tcBorders>
              <w:top w:val="single" w:sz="4" w:space="0" w:color="auto"/>
              <w:left w:val="nil"/>
              <w:bottom w:val="single" w:sz="8" w:space="0" w:color="auto"/>
              <w:right w:val="single" w:sz="8" w:space="0" w:color="auto"/>
            </w:tcBorders>
            <w:shd w:val="clear" w:color="auto" w:fill="013E5B"/>
            <w:vAlign w:val="center"/>
            <w:hideMark/>
          </w:tcPr>
          <w:p w:rsidR="00EB2214" w:rsidRPr="007724CC" w:rsidP="008668C9" w14:paraId="68F2663B" w14:textId="77777777">
            <w:pPr>
              <w:pStyle w:val="TableSubtitle"/>
            </w:pPr>
            <w:r w:rsidRPr="007724CC">
              <w:t>Percent Native American</w:t>
            </w:r>
          </w:p>
        </w:tc>
        <w:tc>
          <w:tcPr>
            <w:tcW w:w="877" w:type="dxa"/>
            <w:tcBorders>
              <w:top w:val="single" w:sz="4" w:space="0" w:color="auto"/>
              <w:left w:val="nil"/>
              <w:bottom w:val="single" w:sz="8" w:space="0" w:color="auto"/>
              <w:right w:val="single" w:sz="8" w:space="0" w:color="auto"/>
            </w:tcBorders>
            <w:shd w:val="clear" w:color="auto" w:fill="013E5B"/>
            <w:vAlign w:val="center"/>
            <w:hideMark/>
          </w:tcPr>
          <w:p w:rsidR="00EB2214" w:rsidRPr="007724CC" w:rsidP="008668C9" w14:paraId="3648C2F2" w14:textId="77777777">
            <w:pPr>
              <w:pStyle w:val="TableSubtitle"/>
            </w:pPr>
            <w:r w:rsidRPr="007724CC">
              <w:t>Percent 2 of More Races</w:t>
            </w:r>
          </w:p>
        </w:tc>
        <w:tc>
          <w:tcPr>
            <w:tcW w:w="877" w:type="dxa"/>
            <w:tcBorders>
              <w:top w:val="single" w:sz="4" w:space="0" w:color="auto"/>
              <w:left w:val="nil"/>
              <w:bottom w:val="single" w:sz="8" w:space="0" w:color="auto"/>
              <w:right w:val="single" w:sz="8" w:space="0" w:color="auto"/>
            </w:tcBorders>
            <w:shd w:val="clear" w:color="auto" w:fill="013E5B"/>
            <w:vAlign w:val="center"/>
            <w:hideMark/>
          </w:tcPr>
          <w:p w:rsidR="00EB2214" w:rsidRPr="007724CC" w:rsidP="008668C9" w14:paraId="206B8BC4" w14:textId="77777777">
            <w:pPr>
              <w:pStyle w:val="TableSubtitle"/>
            </w:pPr>
            <w:r w:rsidRPr="007724CC">
              <w:t>Percent White</w:t>
            </w:r>
          </w:p>
        </w:tc>
      </w:tr>
      <w:tr w14:paraId="2603506C" w14:textId="77777777" w:rsidTr="008668C9">
        <w:tblPrEx>
          <w:tblW w:w="10097" w:type="dxa"/>
          <w:jc w:val="center"/>
          <w:tblLook w:val="04A0"/>
        </w:tblPrEx>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B2214" w:rsidRPr="007724CC" w:rsidP="008668C9" w14:paraId="4B5501E7" w14:textId="77777777">
            <w:pPr>
              <w:pStyle w:val="LTableTextAbt"/>
            </w:pPr>
            <w:r w:rsidRPr="007724CC">
              <w:t>National</w:t>
            </w:r>
          </w:p>
        </w:tc>
        <w:tc>
          <w:tcPr>
            <w:tcW w:w="1596" w:type="dxa"/>
            <w:tcBorders>
              <w:top w:val="nil"/>
              <w:left w:val="nil"/>
              <w:bottom w:val="single" w:sz="8" w:space="0" w:color="auto"/>
              <w:right w:val="single" w:sz="8" w:space="0" w:color="auto"/>
            </w:tcBorders>
            <w:shd w:val="clear" w:color="auto" w:fill="auto"/>
            <w:vAlign w:val="center"/>
            <w:hideMark/>
          </w:tcPr>
          <w:p w:rsidR="00EB2214" w:rsidRPr="007724CC" w:rsidP="008668C9" w14:paraId="1736D9EE" w14:textId="77777777">
            <w:pPr>
              <w:pStyle w:val="RTableTextAbt"/>
              <w:keepNext/>
              <w:keepLines/>
            </w:pPr>
            <w:r w:rsidRPr="007724CC">
              <w:t>326,569,308</w:t>
            </w:r>
          </w:p>
        </w:tc>
        <w:tc>
          <w:tcPr>
            <w:tcW w:w="1167" w:type="dxa"/>
            <w:tcBorders>
              <w:top w:val="nil"/>
              <w:left w:val="nil"/>
              <w:bottom w:val="single" w:sz="8" w:space="0" w:color="auto"/>
              <w:right w:val="single" w:sz="8" w:space="0" w:color="auto"/>
            </w:tcBorders>
            <w:shd w:val="clear" w:color="auto" w:fill="auto"/>
            <w:vAlign w:val="center"/>
            <w:hideMark/>
          </w:tcPr>
          <w:p w:rsidR="00EB2214" w:rsidRPr="007724CC" w:rsidP="008668C9" w14:paraId="2E533F3A" w14:textId="77777777">
            <w:pPr>
              <w:pStyle w:val="RTableTextAbt"/>
              <w:keepNext/>
              <w:keepLines/>
            </w:pPr>
            <w:r w:rsidRPr="007724CC">
              <w:t> </w:t>
            </w:r>
          </w:p>
        </w:tc>
        <w:tc>
          <w:tcPr>
            <w:tcW w:w="877" w:type="dxa"/>
            <w:tcBorders>
              <w:top w:val="nil"/>
              <w:left w:val="nil"/>
              <w:bottom w:val="single" w:sz="8" w:space="0" w:color="auto"/>
              <w:right w:val="single" w:sz="8" w:space="0" w:color="auto"/>
            </w:tcBorders>
            <w:shd w:val="clear" w:color="auto" w:fill="auto"/>
            <w:vAlign w:val="center"/>
            <w:hideMark/>
          </w:tcPr>
          <w:p w:rsidR="00EB2214" w:rsidRPr="007724CC" w:rsidP="008668C9" w14:paraId="4AAD5DA6" w14:textId="77777777">
            <w:pPr>
              <w:pStyle w:val="RTableTextAbt"/>
              <w:keepNext/>
              <w:keepLines/>
            </w:pPr>
            <w:r w:rsidRPr="007724CC">
              <w:t>5.60%</w:t>
            </w:r>
          </w:p>
        </w:tc>
        <w:tc>
          <w:tcPr>
            <w:tcW w:w="877" w:type="dxa"/>
            <w:tcBorders>
              <w:top w:val="nil"/>
              <w:left w:val="nil"/>
              <w:bottom w:val="single" w:sz="8" w:space="0" w:color="auto"/>
              <w:right w:val="single" w:sz="8" w:space="0" w:color="auto"/>
            </w:tcBorders>
            <w:shd w:val="clear" w:color="auto" w:fill="auto"/>
            <w:vAlign w:val="center"/>
            <w:hideMark/>
          </w:tcPr>
          <w:p w:rsidR="00EB2214" w:rsidRPr="007724CC" w:rsidP="008668C9" w14:paraId="77EE9161" w14:textId="77777777">
            <w:pPr>
              <w:pStyle w:val="RTableTextAbt"/>
              <w:keepNext/>
              <w:keepLines/>
            </w:pPr>
            <w:r w:rsidRPr="007724CC">
              <w:t>12.60%</w:t>
            </w:r>
          </w:p>
        </w:tc>
        <w:tc>
          <w:tcPr>
            <w:tcW w:w="907" w:type="dxa"/>
            <w:tcBorders>
              <w:top w:val="nil"/>
              <w:left w:val="nil"/>
              <w:bottom w:val="single" w:sz="8" w:space="0" w:color="auto"/>
              <w:right w:val="single" w:sz="8" w:space="0" w:color="auto"/>
            </w:tcBorders>
            <w:shd w:val="clear" w:color="auto" w:fill="auto"/>
            <w:vAlign w:val="center"/>
            <w:hideMark/>
          </w:tcPr>
          <w:p w:rsidR="00EB2214" w:rsidRPr="007724CC" w:rsidP="008668C9" w14:paraId="164C1B8B" w14:textId="77777777">
            <w:pPr>
              <w:pStyle w:val="RTableTextAbt"/>
              <w:keepNext/>
              <w:keepLines/>
            </w:pPr>
            <w:r w:rsidRPr="007724CC">
              <w:t>0.20%</w:t>
            </w:r>
          </w:p>
        </w:tc>
        <w:tc>
          <w:tcPr>
            <w:tcW w:w="967" w:type="dxa"/>
            <w:tcBorders>
              <w:top w:val="nil"/>
              <w:left w:val="nil"/>
              <w:bottom w:val="single" w:sz="8" w:space="0" w:color="auto"/>
              <w:right w:val="single" w:sz="8" w:space="0" w:color="auto"/>
            </w:tcBorders>
            <w:shd w:val="clear" w:color="auto" w:fill="auto"/>
            <w:vAlign w:val="center"/>
            <w:hideMark/>
          </w:tcPr>
          <w:p w:rsidR="00EB2214" w:rsidRPr="007724CC" w:rsidP="008668C9" w14:paraId="00C96D28" w14:textId="77777777">
            <w:pPr>
              <w:pStyle w:val="RTableTextAbt"/>
              <w:keepNext/>
              <w:keepLines/>
            </w:pPr>
            <w:r w:rsidRPr="007724CC">
              <w:t>18.20%</w:t>
            </w:r>
          </w:p>
        </w:tc>
        <w:tc>
          <w:tcPr>
            <w:tcW w:w="1037" w:type="dxa"/>
            <w:tcBorders>
              <w:top w:val="nil"/>
              <w:left w:val="nil"/>
              <w:bottom w:val="single" w:sz="8" w:space="0" w:color="auto"/>
              <w:right w:val="single" w:sz="8" w:space="0" w:color="auto"/>
            </w:tcBorders>
            <w:shd w:val="clear" w:color="auto" w:fill="auto"/>
            <w:vAlign w:val="center"/>
            <w:hideMark/>
          </w:tcPr>
          <w:p w:rsidR="00EB2214" w:rsidRPr="007724CC" w:rsidP="008668C9" w14:paraId="4A6D39D9" w14:textId="77777777">
            <w:pPr>
              <w:pStyle w:val="RTableTextAbt"/>
              <w:keepNext/>
              <w:keepLines/>
            </w:pPr>
            <w:r w:rsidRPr="007724CC">
              <w:t>0.80%</w:t>
            </w:r>
          </w:p>
        </w:tc>
        <w:tc>
          <w:tcPr>
            <w:tcW w:w="877" w:type="dxa"/>
            <w:tcBorders>
              <w:top w:val="nil"/>
              <w:left w:val="nil"/>
              <w:bottom w:val="single" w:sz="8" w:space="0" w:color="auto"/>
              <w:right w:val="single" w:sz="8" w:space="0" w:color="auto"/>
            </w:tcBorders>
            <w:shd w:val="clear" w:color="auto" w:fill="auto"/>
            <w:vAlign w:val="center"/>
            <w:hideMark/>
          </w:tcPr>
          <w:p w:rsidR="00EB2214" w:rsidRPr="007724CC" w:rsidP="008668C9" w14:paraId="5B511B04" w14:textId="77777777">
            <w:pPr>
              <w:pStyle w:val="RTableTextAbt"/>
              <w:keepNext/>
              <w:keepLines/>
            </w:pPr>
            <w:r w:rsidRPr="007724CC">
              <w:t>5.20%</w:t>
            </w:r>
          </w:p>
        </w:tc>
        <w:tc>
          <w:tcPr>
            <w:tcW w:w="877" w:type="dxa"/>
            <w:tcBorders>
              <w:top w:val="nil"/>
              <w:left w:val="nil"/>
              <w:bottom w:val="single" w:sz="8" w:space="0" w:color="auto"/>
              <w:right w:val="single" w:sz="8" w:space="0" w:color="auto"/>
            </w:tcBorders>
            <w:shd w:val="clear" w:color="auto" w:fill="auto"/>
            <w:vAlign w:val="center"/>
            <w:hideMark/>
          </w:tcPr>
          <w:p w:rsidR="00EB2214" w:rsidRPr="007724CC" w:rsidP="008668C9" w14:paraId="51863DF2" w14:textId="77777777">
            <w:pPr>
              <w:pStyle w:val="RTableTextAbt"/>
              <w:keepNext/>
              <w:keepLines/>
            </w:pPr>
            <w:r w:rsidRPr="007724CC">
              <w:t>70.40%</w:t>
            </w:r>
          </w:p>
        </w:tc>
      </w:tr>
      <w:tr w14:paraId="6BA08A2C" w14:textId="77777777" w:rsidTr="008668C9">
        <w:tblPrEx>
          <w:tblW w:w="10097" w:type="dxa"/>
          <w:jc w:val="center"/>
          <w:tblLook w:val="04A0"/>
        </w:tblPrEx>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B2214" w:rsidRPr="007724CC" w:rsidP="008668C9" w14:paraId="6830FB1A" w14:textId="77777777">
            <w:pPr>
              <w:pStyle w:val="LTableTextAbt"/>
            </w:pPr>
            <w:r w:rsidRPr="007724CC">
              <w:t>Urban</w:t>
            </w:r>
          </w:p>
        </w:tc>
        <w:tc>
          <w:tcPr>
            <w:tcW w:w="1596" w:type="dxa"/>
            <w:tcBorders>
              <w:top w:val="nil"/>
              <w:left w:val="nil"/>
              <w:bottom w:val="single" w:sz="8" w:space="0" w:color="auto"/>
              <w:right w:val="single" w:sz="8" w:space="0" w:color="auto"/>
            </w:tcBorders>
            <w:shd w:val="clear" w:color="auto" w:fill="auto"/>
            <w:vAlign w:val="center"/>
            <w:hideMark/>
          </w:tcPr>
          <w:p w:rsidR="00EB2214" w:rsidRPr="007724CC" w:rsidP="008668C9" w14:paraId="3A1DF34E" w14:textId="77777777">
            <w:pPr>
              <w:pStyle w:val="RTableTextAbt"/>
              <w:keepNext/>
              <w:keepLines/>
            </w:pPr>
            <w:r w:rsidRPr="007724CC">
              <w:t>266,435,744</w:t>
            </w:r>
          </w:p>
        </w:tc>
        <w:tc>
          <w:tcPr>
            <w:tcW w:w="1167" w:type="dxa"/>
            <w:tcBorders>
              <w:top w:val="nil"/>
              <w:left w:val="nil"/>
              <w:bottom w:val="single" w:sz="8" w:space="0" w:color="auto"/>
              <w:right w:val="single" w:sz="8" w:space="0" w:color="auto"/>
            </w:tcBorders>
            <w:shd w:val="clear" w:color="auto" w:fill="auto"/>
            <w:vAlign w:val="center"/>
            <w:hideMark/>
          </w:tcPr>
          <w:p w:rsidR="00EB2214" w:rsidRPr="007724CC" w:rsidP="008668C9" w14:paraId="2A0BCF87" w14:textId="77777777">
            <w:pPr>
              <w:pStyle w:val="RTableTextAbt"/>
              <w:keepNext/>
              <w:keepLines/>
            </w:pPr>
            <w:r w:rsidRPr="007724CC">
              <w:t> </w:t>
            </w:r>
          </w:p>
        </w:tc>
        <w:tc>
          <w:tcPr>
            <w:tcW w:w="877" w:type="dxa"/>
            <w:tcBorders>
              <w:top w:val="nil"/>
              <w:left w:val="nil"/>
              <w:bottom w:val="single" w:sz="8" w:space="0" w:color="auto"/>
              <w:right w:val="single" w:sz="8" w:space="0" w:color="auto"/>
            </w:tcBorders>
            <w:shd w:val="clear" w:color="auto" w:fill="auto"/>
            <w:vAlign w:val="center"/>
            <w:hideMark/>
          </w:tcPr>
          <w:p w:rsidR="00EB2214" w:rsidRPr="007724CC" w:rsidP="008668C9" w14:paraId="22253FDE" w14:textId="77777777">
            <w:pPr>
              <w:pStyle w:val="RTableTextAbt"/>
              <w:keepNext/>
              <w:keepLines/>
            </w:pPr>
            <w:r w:rsidRPr="007724CC">
              <w:t>6.60%</w:t>
            </w:r>
          </w:p>
        </w:tc>
        <w:tc>
          <w:tcPr>
            <w:tcW w:w="877" w:type="dxa"/>
            <w:tcBorders>
              <w:top w:val="nil"/>
              <w:left w:val="nil"/>
              <w:bottom w:val="single" w:sz="8" w:space="0" w:color="auto"/>
              <w:right w:val="single" w:sz="8" w:space="0" w:color="auto"/>
            </w:tcBorders>
            <w:shd w:val="clear" w:color="auto" w:fill="auto"/>
            <w:vAlign w:val="center"/>
            <w:hideMark/>
          </w:tcPr>
          <w:p w:rsidR="00EB2214" w:rsidRPr="007724CC" w:rsidP="008668C9" w14:paraId="0A0FE89D" w14:textId="77777777">
            <w:pPr>
              <w:pStyle w:val="RTableTextAbt"/>
              <w:keepNext/>
              <w:keepLines/>
            </w:pPr>
            <w:r w:rsidRPr="007724CC">
              <w:t>14.20%</w:t>
            </w:r>
          </w:p>
        </w:tc>
        <w:tc>
          <w:tcPr>
            <w:tcW w:w="907" w:type="dxa"/>
            <w:tcBorders>
              <w:top w:val="nil"/>
              <w:left w:val="nil"/>
              <w:bottom w:val="single" w:sz="8" w:space="0" w:color="auto"/>
              <w:right w:val="single" w:sz="8" w:space="0" w:color="auto"/>
            </w:tcBorders>
            <w:shd w:val="clear" w:color="auto" w:fill="auto"/>
            <w:vAlign w:val="center"/>
            <w:hideMark/>
          </w:tcPr>
          <w:p w:rsidR="00EB2214" w:rsidRPr="007724CC" w:rsidP="008668C9" w14:paraId="1F5B9505" w14:textId="77777777">
            <w:pPr>
              <w:pStyle w:val="RTableTextAbt"/>
              <w:keepNext/>
              <w:keepLines/>
            </w:pPr>
            <w:r w:rsidRPr="007724CC">
              <w:t>0.20%</w:t>
            </w:r>
          </w:p>
        </w:tc>
        <w:tc>
          <w:tcPr>
            <w:tcW w:w="967" w:type="dxa"/>
            <w:tcBorders>
              <w:top w:val="nil"/>
              <w:left w:val="nil"/>
              <w:bottom w:val="single" w:sz="8" w:space="0" w:color="auto"/>
              <w:right w:val="single" w:sz="8" w:space="0" w:color="auto"/>
            </w:tcBorders>
            <w:shd w:val="clear" w:color="auto" w:fill="auto"/>
            <w:vAlign w:val="center"/>
            <w:hideMark/>
          </w:tcPr>
          <w:p w:rsidR="00EB2214" w:rsidRPr="007724CC" w:rsidP="008668C9" w14:paraId="1770AD52" w14:textId="77777777">
            <w:pPr>
              <w:pStyle w:val="RTableTextAbt"/>
              <w:keepNext/>
              <w:keepLines/>
            </w:pPr>
            <w:r w:rsidRPr="007724CC">
              <w:t>21.70%</w:t>
            </w:r>
          </w:p>
        </w:tc>
        <w:tc>
          <w:tcPr>
            <w:tcW w:w="1037" w:type="dxa"/>
            <w:tcBorders>
              <w:top w:val="nil"/>
              <w:left w:val="nil"/>
              <w:bottom w:val="single" w:sz="8" w:space="0" w:color="auto"/>
              <w:right w:val="single" w:sz="8" w:space="0" w:color="auto"/>
            </w:tcBorders>
            <w:shd w:val="clear" w:color="auto" w:fill="auto"/>
            <w:vAlign w:val="center"/>
            <w:hideMark/>
          </w:tcPr>
          <w:p w:rsidR="00EB2214" w:rsidRPr="007724CC" w:rsidP="008668C9" w14:paraId="58B5E7B9" w14:textId="77777777">
            <w:pPr>
              <w:pStyle w:val="RTableTextAbt"/>
              <w:keepNext/>
              <w:keepLines/>
            </w:pPr>
            <w:r w:rsidRPr="007724CC">
              <w:t>0.60%</w:t>
            </w:r>
          </w:p>
        </w:tc>
        <w:tc>
          <w:tcPr>
            <w:tcW w:w="877" w:type="dxa"/>
            <w:tcBorders>
              <w:top w:val="nil"/>
              <w:left w:val="nil"/>
              <w:bottom w:val="single" w:sz="8" w:space="0" w:color="auto"/>
              <w:right w:val="single" w:sz="8" w:space="0" w:color="auto"/>
            </w:tcBorders>
            <w:shd w:val="clear" w:color="auto" w:fill="auto"/>
            <w:vAlign w:val="center"/>
            <w:hideMark/>
          </w:tcPr>
          <w:p w:rsidR="00EB2214" w:rsidRPr="007724CC" w:rsidP="008668C9" w14:paraId="5587823E" w14:textId="77777777">
            <w:pPr>
              <w:pStyle w:val="RTableTextAbt"/>
              <w:keepNext/>
              <w:keepLines/>
            </w:pPr>
            <w:r w:rsidRPr="007724CC">
              <w:t>5.70%</w:t>
            </w:r>
          </w:p>
        </w:tc>
        <w:tc>
          <w:tcPr>
            <w:tcW w:w="877" w:type="dxa"/>
            <w:tcBorders>
              <w:top w:val="nil"/>
              <w:left w:val="nil"/>
              <w:bottom w:val="single" w:sz="8" w:space="0" w:color="auto"/>
              <w:right w:val="single" w:sz="8" w:space="0" w:color="auto"/>
            </w:tcBorders>
            <w:shd w:val="clear" w:color="auto" w:fill="auto"/>
            <w:vAlign w:val="center"/>
            <w:hideMark/>
          </w:tcPr>
          <w:p w:rsidR="00EB2214" w:rsidRPr="007724CC" w:rsidP="008668C9" w14:paraId="4A9C5CCA" w14:textId="77777777">
            <w:pPr>
              <w:pStyle w:val="RTableTextAbt"/>
              <w:keepNext/>
              <w:keepLines/>
            </w:pPr>
            <w:r w:rsidRPr="007724CC">
              <w:t>66.50%</w:t>
            </w:r>
          </w:p>
        </w:tc>
      </w:tr>
      <w:tr w14:paraId="5ED4AB25" w14:textId="77777777" w:rsidTr="008668C9">
        <w:tblPrEx>
          <w:tblW w:w="10097" w:type="dxa"/>
          <w:jc w:val="center"/>
          <w:tblLook w:val="04A0"/>
        </w:tblPrEx>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B2214" w:rsidRPr="007724CC" w:rsidP="008668C9" w14:paraId="08E19D31" w14:textId="77777777">
            <w:pPr>
              <w:pStyle w:val="LTableTextAbt"/>
            </w:pPr>
            <w:r w:rsidRPr="007724CC">
              <w:t>Rural</w:t>
            </w:r>
          </w:p>
        </w:tc>
        <w:tc>
          <w:tcPr>
            <w:tcW w:w="1596" w:type="dxa"/>
            <w:tcBorders>
              <w:top w:val="nil"/>
              <w:left w:val="nil"/>
              <w:bottom w:val="single" w:sz="8" w:space="0" w:color="auto"/>
              <w:right w:val="single" w:sz="8" w:space="0" w:color="auto"/>
            </w:tcBorders>
            <w:shd w:val="clear" w:color="auto" w:fill="auto"/>
            <w:vAlign w:val="center"/>
            <w:hideMark/>
          </w:tcPr>
          <w:p w:rsidR="00EB2214" w:rsidRPr="007724CC" w:rsidP="008668C9" w14:paraId="52582728" w14:textId="77777777">
            <w:pPr>
              <w:pStyle w:val="RTableTextAbt"/>
              <w:keepNext/>
              <w:keepLines/>
            </w:pPr>
            <w:r w:rsidRPr="007724CC">
              <w:t>60,133,564</w:t>
            </w:r>
          </w:p>
        </w:tc>
        <w:tc>
          <w:tcPr>
            <w:tcW w:w="1167" w:type="dxa"/>
            <w:tcBorders>
              <w:top w:val="nil"/>
              <w:left w:val="nil"/>
              <w:bottom w:val="single" w:sz="8" w:space="0" w:color="auto"/>
              <w:right w:val="single" w:sz="8" w:space="0" w:color="auto"/>
            </w:tcBorders>
            <w:shd w:val="clear" w:color="auto" w:fill="auto"/>
            <w:vAlign w:val="center"/>
            <w:hideMark/>
          </w:tcPr>
          <w:p w:rsidR="00EB2214" w:rsidRPr="007724CC" w:rsidP="008668C9" w14:paraId="1AE318E1" w14:textId="77777777">
            <w:pPr>
              <w:pStyle w:val="RTableTextAbt"/>
              <w:keepNext/>
              <w:keepLines/>
            </w:pPr>
            <w:r w:rsidRPr="007724CC">
              <w:t> </w:t>
            </w:r>
          </w:p>
        </w:tc>
        <w:tc>
          <w:tcPr>
            <w:tcW w:w="877" w:type="dxa"/>
            <w:tcBorders>
              <w:top w:val="nil"/>
              <w:left w:val="nil"/>
              <w:bottom w:val="single" w:sz="8" w:space="0" w:color="auto"/>
              <w:right w:val="single" w:sz="8" w:space="0" w:color="auto"/>
            </w:tcBorders>
            <w:shd w:val="clear" w:color="auto" w:fill="auto"/>
            <w:vAlign w:val="center"/>
            <w:hideMark/>
          </w:tcPr>
          <w:p w:rsidR="00EB2214" w:rsidRPr="007724CC" w:rsidP="008668C9" w14:paraId="153E2012" w14:textId="77777777">
            <w:pPr>
              <w:pStyle w:val="RTableTextAbt"/>
              <w:keepNext/>
              <w:keepLines/>
            </w:pPr>
            <w:r w:rsidRPr="007724CC">
              <w:t>1.20%</w:t>
            </w:r>
          </w:p>
        </w:tc>
        <w:tc>
          <w:tcPr>
            <w:tcW w:w="877" w:type="dxa"/>
            <w:tcBorders>
              <w:top w:val="nil"/>
              <w:left w:val="nil"/>
              <w:bottom w:val="single" w:sz="8" w:space="0" w:color="auto"/>
              <w:right w:val="single" w:sz="8" w:space="0" w:color="auto"/>
            </w:tcBorders>
            <w:shd w:val="clear" w:color="auto" w:fill="auto"/>
            <w:vAlign w:val="center"/>
            <w:hideMark/>
          </w:tcPr>
          <w:p w:rsidR="00EB2214" w:rsidRPr="007724CC" w:rsidP="008668C9" w14:paraId="0B610C16" w14:textId="77777777">
            <w:pPr>
              <w:pStyle w:val="RTableTextAbt"/>
              <w:keepNext/>
              <w:keepLines/>
            </w:pPr>
            <w:r w:rsidRPr="007724CC">
              <w:t>5.80%</w:t>
            </w:r>
          </w:p>
        </w:tc>
        <w:tc>
          <w:tcPr>
            <w:tcW w:w="907" w:type="dxa"/>
            <w:tcBorders>
              <w:top w:val="nil"/>
              <w:left w:val="nil"/>
              <w:bottom w:val="single" w:sz="8" w:space="0" w:color="auto"/>
              <w:right w:val="single" w:sz="8" w:space="0" w:color="auto"/>
            </w:tcBorders>
            <w:shd w:val="clear" w:color="auto" w:fill="auto"/>
            <w:vAlign w:val="center"/>
            <w:hideMark/>
          </w:tcPr>
          <w:p w:rsidR="00EB2214" w:rsidRPr="007724CC" w:rsidP="008668C9" w14:paraId="25196EA7" w14:textId="77777777">
            <w:pPr>
              <w:pStyle w:val="RTableTextAbt"/>
              <w:keepNext/>
              <w:keepLines/>
            </w:pPr>
            <w:r w:rsidRPr="007724CC">
              <w:t>0.10%</w:t>
            </w:r>
          </w:p>
        </w:tc>
        <w:tc>
          <w:tcPr>
            <w:tcW w:w="967" w:type="dxa"/>
            <w:tcBorders>
              <w:top w:val="nil"/>
              <w:left w:val="nil"/>
              <w:bottom w:val="single" w:sz="8" w:space="0" w:color="auto"/>
              <w:right w:val="single" w:sz="8" w:space="0" w:color="auto"/>
            </w:tcBorders>
            <w:shd w:val="clear" w:color="auto" w:fill="auto"/>
            <w:vAlign w:val="center"/>
            <w:hideMark/>
          </w:tcPr>
          <w:p w:rsidR="00EB2214" w:rsidRPr="007724CC" w:rsidP="008668C9" w14:paraId="5BB6BB28" w14:textId="77777777">
            <w:pPr>
              <w:pStyle w:val="RTableTextAbt"/>
              <w:keepNext/>
              <w:keepLines/>
            </w:pPr>
            <w:r w:rsidRPr="007724CC">
              <w:t>2.40%</w:t>
            </w:r>
          </w:p>
        </w:tc>
        <w:tc>
          <w:tcPr>
            <w:tcW w:w="1037" w:type="dxa"/>
            <w:tcBorders>
              <w:top w:val="nil"/>
              <w:left w:val="nil"/>
              <w:bottom w:val="single" w:sz="8" w:space="0" w:color="auto"/>
              <w:right w:val="single" w:sz="8" w:space="0" w:color="auto"/>
            </w:tcBorders>
            <w:shd w:val="clear" w:color="auto" w:fill="auto"/>
            <w:vAlign w:val="center"/>
            <w:hideMark/>
          </w:tcPr>
          <w:p w:rsidR="00EB2214" w:rsidRPr="007724CC" w:rsidP="008668C9" w14:paraId="0C36DA1B" w14:textId="77777777">
            <w:pPr>
              <w:pStyle w:val="RTableTextAbt"/>
              <w:keepNext/>
              <w:keepLines/>
            </w:pPr>
            <w:r w:rsidRPr="007724CC">
              <w:t>1.70%</w:t>
            </w:r>
          </w:p>
        </w:tc>
        <w:tc>
          <w:tcPr>
            <w:tcW w:w="877" w:type="dxa"/>
            <w:tcBorders>
              <w:top w:val="nil"/>
              <w:left w:val="nil"/>
              <w:bottom w:val="single" w:sz="8" w:space="0" w:color="auto"/>
              <w:right w:val="single" w:sz="8" w:space="0" w:color="auto"/>
            </w:tcBorders>
            <w:shd w:val="clear" w:color="auto" w:fill="auto"/>
            <w:vAlign w:val="center"/>
            <w:hideMark/>
          </w:tcPr>
          <w:p w:rsidR="00EB2214" w:rsidRPr="007724CC" w:rsidP="008668C9" w14:paraId="2F59F8DA" w14:textId="77777777">
            <w:pPr>
              <w:pStyle w:val="RTableTextAbt"/>
              <w:keepNext/>
              <w:keepLines/>
            </w:pPr>
            <w:r w:rsidRPr="007724CC">
              <w:t>2.80%</w:t>
            </w:r>
          </w:p>
        </w:tc>
        <w:tc>
          <w:tcPr>
            <w:tcW w:w="877" w:type="dxa"/>
            <w:tcBorders>
              <w:top w:val="nil"/>
              <w:left w:val="nil"/>
              <w:bottom w:val="single" w:sz="8" w:space="0" w:color="auto"/>
              <w:right w:val="single" w:sz="8" w:space="0" w:color="auto"/>
            </w:tcBorders>
            <w:shd w:val="clear" w:color="auto" w:fill="auto"/>
            <w:vAlign w:val="center"/>
            <w:hideMark/>
          </w:tcPr>
          <w:p w:rsidR="00EB2214" w:rsidRPr="007724CC" w:rsidP="008668C9" w14:paraId="29ACA222" w14:textId="77777777">
            <w:pPr>
              <w:pStyle w:val="RTableTextAbt"/>
              <w:keepNext/>
              <w:keepLines/>
            </w:pPr>
            <w:r w:rsidRPr="007724CC">
              <w:t>87.60%</w:t>
            </w:r>
          </w:p>
        </w:tc>
      </w:tr>
      <w:tr w14:paraId="3BEBA291" w14:textId="77777777" w:rsidTr="008668C9">
        <w:tblPrEx>
          <w:tblW w:w="10097" w:type="dxa"/>
          <w:jc w:val="center"/>
          <w:tblLook w:val="04A0"/>
        </w:tblPrEx>
        <w:trPr>
          <w:trHeight w:val="300"/>
          <w:jc w:val="center"/>
        </w:trPr>
        <w:tc>
          <w:tcPr>
            <w:tcW w:w="10097" w:type="dxa"/>
            <w:gridSpan w:val="10"/>
            <w:tcBorders>
              <w:top w:val="single" w:sz="8" w:space="0" w:color="auto"/>
              <w:left w:val="single" w:sz="8" w:space="0" w:color="auto"/>
              <w:bottom w:val="single" w:sz="8" w:space="0" w:color="auto"/>
              <w:right w:val="single" w:sz="8" w:space="0" w:color="000000"/>
            </w:tcBorders>
            <w:shd w:val="clear" w:color="auto" w:fill="97CFDA"/>
            <w:vAlign w:val="center"/>
            <w:hideMark/>
          </w:tcPr>
          <w:p w:rsidR="00EB2214" w:rsidRPr="008E6F87" w:rsidP="00C71F79" w14:paraId="1FB69E82" w14:textId="3B02BB29">
            <w:pPr>
              <w:pStyle w:val="BSUBT"/>
              <w:rPr>
                <w:color w:val="27040D"/>
              </w:rPr>
            </w:pPr>
            <w:r w:rsidRPr="008E6F87">
              <w:t>Basic Chemical Manufacturing</w:t>
            </w:r>
            <w:r w:rsidRPr="00C002FD" w:rsidR="00C002FD">
              <w:rPr>
                <w:rFonts w:ascii="Arial Bold" w:hAnsi="Arial Bold"/>
                <w:vertAlign w:val="superscript"/>
              </w:rPr>
              <w:t>1</w:t>
            </w:r>
          </w:p>
        </w:tc>
      </w:tr>
      <w:tr w14:paraId="21CC41C3" w14:textId="77777777" w:rsidTr="008668C9">
        <w:tblPrEx>
          <w:tblW w:w="10097" w:type="dxa"/>
          <w:jc w:val="center"/>
          <w:tblLook w:val="04A0"/>
        </w:tblPrEx>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B2214" w:rsidRPr="007724CC" w:rsidP="008668C9" w14:paraId="59C85723" w14:textId="77777777">
            <w:pPr>
              <w:pStyle w:val="LTableTextAbt"/>
            </w:pPr>
            <w:r w:rsidRPr="007724CC">
              <w:t>National</w:t>
            </w:r>
          </w:p>
        </w:tc>
        <w:tc>
          <w:tcPr>
            <w:tcW w:w="1596" w:type="dxa"/>
            <w:tcBorders>
              <w:top w:val="nil"/>
              <w:left w:val="nil"/>
              <w:bottom w:val="single" w:sz="8" w:space="0" w:color="auto"/>
              <w:right w:val="single" w:sz="8" w:space="0" w:color="auto"/>
            </w:tcBorders>
            <w:shd w:val="clear" w:color="auto" w:fill="auto"/>
            <w:vAlign w:val="center"/>
            <w:hideMark/>
          </w:tcPr>
          <w:p w:rsidR="00EB2214" w:rsidRPr="007724CC" w:rsidP="008668C9" w14:paraId="75C3B7F9" w14:textId="77777777">
            <w:pPr>
              <w:pStyle w:val="RTableTextAbt"/>
              <w:keepNext/>
              <w:keepLines/>
            </w:pPr>
            <w:r w:rsidRPr="007724CC">
              <w:t> </w:t>
            </w:r>
          </w:p>
        </w:tc>
        <w:tc>
          <w:tcPr>
            <w:tcW w:w="1167" w:type="dxa"/>
            <w:tcBorders>
              <w:top w:val="nil"/>
              <w:left w:val="nil"/>
              <w:bottom w:val="single" w:sz="8" w:space="0" w:color="auto"/>
              <w:right w:val="single" w:sz="8" w:space="0" w:color="auto"/>
            </w:tcBorders>
            <w:shd w:val="clear" w:color="auto" w:fill="auto"/>
            <w:vAlign w:val="center"/>
            <w:hideMark/>
          </w:tcPr>
          <w:p w:rsidR="00EB2214" w:rsidRPr="007724CC" w:rsidP="008668C9" w14:paraId="7075B8A0" w14:textId="77777777">
            <w:pPr>
              <w:pStyle w:val="RTableTextAbt"/>
              <w:keepNext/>
              <w:keepLines/>
            </w:pPr>
            <w:r w:rsidRPr="007724CC">
              <w:t> </w:t>
            </w:r>
          </w:p>
        </w:tc>
        <w:tc>
          <w:tcPr>
            <w:tcW w:w="877" w:type="dxa"/>
            <w:tcBorders>
              <w:top w:val="nil"/>
              <w:left w:val="nil"/>
              <w:bottom w:val="single" w:sz="8" w:space="0" w:color="auto"/>
              <w:right w:val="single" w:sz="8" w:space="0" w:color="auto"/>
            </w:tcBorders>
            <w:shd w:val="clear" w:color="auto" w:fill="auto"/>
            <w:vAlign w:val="center"/>
            <w:hideMark/>
          </w:tcPr>
          <w:p w:rsidR="00EB2214" w:rsidRPr="007724CC" w:rsidP="008668C9" w14:paraId="6F38C4FD" w14:textId="77777777">
            <w:pPr>
              <w:pStyle w:val="RTableTextAbt"/>
              <w:keepNext/>
              <w:keepLines/>
            </w:pPr>
            <w:r w:rsidRPr="007724CC">
              <w:t>4.20%</w:t>
            </w:r>
          </w:p>
        </w:tc>
        <w:tc>
          <w:tcPr>
            <w:tcW w:w="877" w:type="dxa"/>
            <w:tcBorders>
              <w:top w:val="nil"/>
              <w:left w:val="nil"/>
              <w:bottom w:val="single" w:sz="8" w:space="0" w:color="auto"/>
              <w:right w:val="single" w:sz="8" w:space="0" w:color="auto"/>
            </w:tcBorders>
            <w:shd w:val="clear" w:color="auto" w:fill="auto"/>
            <w:vAlign w:val="center"/>
            <w:hideMark/>
          </w:tcPr>
          <w:p w:rsidR="00EB2214" w:rsidRPr="007724CC" w:rsidP="008668C9" w14:paraId="6FEA0948" w14:textId="77777777">
            <w:pPr>
              <w:pStyle w:val="RTableTextAbt"/>
              <w:keepNext/>
              <w:keepLines/>
            </w:pPr>
            <w:r w:rsidRPr="007724CC">
              <w:t>10.90%</w:t>
            </w:r>
          </w:p>
        </w:tc>
        <w:tc>
          <w:tcPr>
            <w:tcW w:w="907" w:type="dxa"/>
            <w:tcBorders>
              <w:top w:val="nil"/>
              <w:left w:val="nil"/>
              <w:bottom w:val="single" w:sz="8" w:space="0" w:color="auto"/>
              <w:right w:val="single" w:sz="8" w:space="0" w:color="auto"/>
            </w:tcBorders>
            <w:shd w:val="clear" w:color="auto" w:fill="auto"/>
            <w:vAlign w:val="center"/>
            <w:hideMark/>
          </w:tcPr>
          <w:p w:rsidR="00EB2214" w:rsidRPr="007724CC" w:rsidP="008668C9" w14:paraId="0072F43D" w14:textId="77777777">
            <w:pPr>
              <w:pStyle w:val="RTableTextAbt"/>
              <w:keepNext/>
              <w:keepLines/>
            </w:pPr>
            <w:r w:rsidRPr="007724CC">
              <w:t>0.10%</w:t>
            </w:r>
          </w:p>
        </w:tc>
        <w:tc>
          <w:tcPr>
            <w:tcW w:w="967" w:type="dxa"/>
            <w:tcBorders>
              <w:top w:val="nil"/>
              <w:left w:val="nil"/>
              <w:bottom w:val="single" w:sz="8" w:space="0" w:color="auto"/>
              <w:right w:val="single" w:sz="8" w:space="0" w:color="auto"/>
            </w:tcBorders>
            <w:shd w:val="clear" w:color="auto" w:fill="auto"/>
            <w:vAlign w:val="center"/>
            <w:hideMark/>
          </w:tcPr>
          <w:p w:rsidR="00EB2214" w:rsidRPr="007724CC" w:rsidP="008668C9" w14:paraId="55107CFC" w14:textId="77777777">
            <w:pPr>
              <w:pStyle w:val="RTableTextAbt"/>
              <w:keepNext/>
              <w:keepLines/>
            </w:pPr>
            <w:r w:rsidRPr="007724CC">
              <w:t>9.90%</w:t>
            </w:r>
          </w:p>
        </w:tc>
        <w:tc>
          <w:tcPr>
            <w:tcW w:w="1037" w:type="dxa"/>
            <w:tcBorders>
              <w:top w:val="nil"/>
              <w:left w:val="nil"/>
              <w:bottom w:val="single" w:sz="8" w:space="0" w:color="auto"/>
              <w:right w:val="single" w:sz="8" w:space="0" w:color="auto"/>
            </w:tcBorders>
            <w:shd w:val="clear" w:color="auto" w:fill="auto"/>
            <w:vAlign w:val="center"/>
            <w:hideMark/>
          </w:tcPr>
          <w:p w:rsidR="00EB2214" w:rsidRPr="007724CC" w:rsidP="008668C9" w14:paraId="7497AB8F" w14:textId="77777777">
            <w:pPr>
              <w:pStyle w:val="RTableTextAbt"/>
              <w:keepNext/>
              <w:keepLines/>
            </w:pPr>
            <w:r w:rsidRPr="007724CC">
              <w:t>0.60%</w:t>
            </w:r>
          </w:p>
        </w:tc>
        <w:tc>
          <w:tcPr>
            <w:tcW w:w="877" w:type="dxa"/>
            <w:tcBorders>
              <w:top w:val="nil"/>
              <w:left w:val="nil"/>
              <w:bottom w:val="single" w:sz="8" w:space="0" w:color="auto"/>
              <w:right w:val="single" w:sz="8" w:space="0" w:color="auto"/>
            </w:tcBorders>
            <w:shd w:val="clear" w:color="auto" w:fill="auto"/>
            <w:vAlign w:val="center"/>
            <w:hideMark/>
          </w:tcPr>
          <w:p w:rsidR="00EB2214" w:rsidRPr="007724CC" w:rsidP="008668C9" w14:paraId="799D7459" w14:textId="77777777">
            <w:pPr>
              <w:pStyle w:val="RTableTextAbt"/>
              <w:keepNext/>
              <w:keepLines/>
            </w:pPr>
            <w:r w:rsidRPr="007724CC">
              <w:t>1.20%</w:t>
            </w:r>
          </w:p>
        </w:tc>
        <w:tc>
          <w:tcPr>
            <w:tcW w:w="877" w:type="dxa"/>
            <w:tcBorders>
              <w:top w:val="nil"/>
              <w:left w:val="nil"/>
              <w:bottom w:val="single" w:sz="8" w:space="0" w:color="auto"/>
              <w:right w:val="single" w:sz="8" w:space="0" w:color="auto"/>
            </w:tcBorders>
            <w:shd w:val="clear" w:color="auto" w:fill="auto"/>
            <w:vAlign w:val="center"/>
            <w:hideMark/>
          </w:tcPr>
          <w:p w:rsidR="00EB2214" w:rsidRPr="007724CC" w:rsidP="008668C9" w14:paraId="28856DA6" w14:textId="77777777">
            <w:pPr>
              <w:pStyle w:val="RTableTextAbt"/>
              <w:keepNext/>
              <w:keepLines/>
            </w:pPr>
            <w:r w:rsidRPr="007724CC">
              <w:t>82.90%</w:t>
            </w:r>
          </w:p>
        </w:tc>
      </w:tr>
      <w:tr w14:paraId="042B9A00" w14:textId="77777777" w:rsidTr="008668C9">
        <w:tblPrEx>
          <w:tblW w:w="10097" w:type="dxa"/>
          <w:jc w:val="center"/>
          <w:tblLook w:val="04A0"/>
        </w:tblPrEx>
        <w:trPr>
          <w:trHeight w:val="79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B2214" w:rsidRPr="007724CC" w:rsidP="008668C9" w14:paraId="3403A21E" w14:textId="77777777">
            <w:pPr>
              <w:pStyle w:val="LTableTextAbt"/>
            </w:pPr>
            <w:r w:rsidRPr="007724CC">
              <w:t>Berkely County, SC</w:t>
            </w:r>
          </w:p>
        </w:tc>
        <w:tc>
          <w:tcPr>
            <w:tcW w:w="1596" w:type="dxa"/>
            <w:tcBorders>
              <w:top w:val="nil"/>
              <w:left w:val="nil"/>
              <w:bottom w:val="single" w:sz="8" w:space="0" w:color="auto"/>
              <w:right w:val="single" w:sz="8" w:space="0" w:color="auto"/>
            </w:tcBorders>
            <w:shd w:val="clear" w:color="auto" w:fill="auto"/>
            <w:vAlign w:val="center"/>
            <w:hideMark/>
          </w:tcPr>
          <w:p w:rsidR="00EB2214" w:rsidRPr="007724CC" w:rsidP="008668C9" w14:paraId="0A6F2F4B" w14:textId="77777777">
            <w:pPr>
              <w:pStyle w:val="RTableTextAbt"/>
              <w:keepNext/>
              <w:keepLines/>
            </w:pPr>
            <w:r w:rsidRPr="007724CC">
              <w:t>433</w:t>
            </w:r>
          </w:p>
        </w:tc>
        <w:tc>
          <w:tcPr>
            <w:tcW w:w="1167" w:type="dxa"/>
            <w:tcBorders>
              <w:top w:val="nil"/>
              <w:left w:val="nil"/>
              <w:bottom w:val="single" w:sz="8" w:space="0" w:color="auto"/>
              <w:right w:val="single" w:sz="8" w:space="0" w:color="auto"/>
            </w:tcBorders>
            <w:shd w:val="clear" w:color="auto" w:fill="auto"/>
            <w:vAlign w:val="center"/>
            <w:hideMark/>
          </w:tcPr>
          <w:p w:rsidR="00EB2214" w:rsidRPr="007724CC" w:rsidP="008668C9" w14:paraId="66761447" w14:textId="77777777">
            <w:pPr>
              <w:pStyle w:val="RTableTextAbt"/>
              <w:keepNext/>
              <w:keepLines/>
            </w:pPr>
            <w:r w:rsidRPr="007724CC">
              <w:t>0.80%</w:t>
            </w:r>
          </w:p>
        </w:tc>
        <w:tc>
          <w:tcPr>
            <w:tcW w:w="877" w:type="dxa"/>
            <w:tcBorders>
              <w:top w:val="nil"/>
              <w:left w:val="nil"/>
              <w:bottom w:val="single" w:sz="8" w:space="0" w:color="auto"/>
              <w:right w:val="single" w:sz="8" w:space="0" w:color="auto"/>
            </w:tcBorders>
            <w:shd w:val="clear" w:color="auto" w:fill="auto"/>
            <w:vAlign w:val="center"/>
            <w:hideMark/>
          </w:tcPr>
          <w:p w:rsidR="00EB2214" w:rsidRPr="007724CC" w:rsidP="008668C9" w14:paraId="5AF4E54C" w14:textId="77777777">
            <w:pPr>
              <w:pStyle w:val="RTableTextAbt"/>
              <w:keepNext/>
              <w:keepLines/>
            </w:pPr>
            <w:r w:rsidRPr="007724CC">
              <w:t>1.39%</w:t>
            </w:r>
          </w:p>
        </w:tc>
        <w:tc>
          <w:tcPr>
            <w:tcW w:w="877" w:type="dxa"/>
            <w:tcBorders>
              <w:top w:val="nil"/>
              <w:left w:val="nil"/>
              <w:bottom w:val="single" w:sz="8" w:space="0" w:color="auto"/>
              <w:right w:val="single" w:sz="8" w:space="0" w:color="auto"/>
            </w:tcBorders>
            <w:shd w:val="clear" w:color="auto" w:fill="auto"/>
            <w:vAlign w:val="center"/>
            <w:hideMark/>
          </w:tcPr>
          <w:p w:rsidR="00EB2214" w:rsidRPr="007724CC" w:rsidP="008668C9" w14:paraId="000D77F8" w14:textId="77777777">
            <w:pPr>
              <w:pStyle w:val="RTableTextAbt"/>
              <w:keepNext/>
              <w:keepLines/>
            </w:pPr>
            <w:r w:rsidRPr="007724CC">
              <w:t>24.02%</w:t>
            </w:r>
          </w:p>
        </w:tc>
        <w:tc>
          <w:tcPr>
            <w:tcW w:w="907" w:type="dxa"/>
            <w:tcBorders>
              <w:top w:val="nil"/>
              <w:left w:val="nil"/>
              <w:bottom w:val="single" w:sz="8" w:space="0" w:color="auto"/>
              <w:right w:val="single" w:sz="8" w:space="0" w:color="auto"/>
            </w:tcBorders>
            <w:shd w:val="clear" w:color="auto" w:fill="auto"/>
            <w:vAlign w:val="center"/>
            <w:hideMark/>
          </w:tcPr>
          <w:p w:rsidR="00EB2214" w:rsidRPr="007724CC" w:rsidP="008668C9" w14:paraId="1FC01307" w14:textId="77777777">
            <w:pPr>
              <w:pStyle w:val="RTableTextAbt"/>
              <w:keepNext/>
              <w:keepLines/>
            </w:pPr>
            <w:r w:rsidRPr="007724CC">
              <w:t>0.00%</w:t>
            </w:r>
          </w:p>
        </w:tc>
        <w:tc>
          <w:tcPr>
            <w:tcW w:w="967" w:type="dxa"/>
            <w:tcBorders>
              <w:top w:val="nil"/>
              <w:left w:val="nil"/>
              <w:bottom w:val="single" w:sz="8" w:space="0" w:color="auto"/>
              <w:right w:val="single" w:sz="8" w:space="0" w:color="auto"/>
            </w:tcBorders>
            <w:shd w:val="clear" w:color="auto" w:fill="auto"/>
            <w:vAlign w:val="center"/>
            <w:hideMark/>
          </w:tcPr>
          <w:p w:rsidR="00EB2214" w:rsidRPr="007724CC" w:rsidP="008668C9" w14:paraId="26A6B449" w14:textId="77777777">
            <w:pPr>
              <w:pStyle w:val="RTableTextAbt"/>
              <w:keepNext/>
              <w:keepLines/>
            </w:pPr>
            <w:r w:rsidRPr="007724CC">
              <w:t>3.23%</w:t>
            </w:r>
          </w:p>
        </w:tc>
        <w:tc>
          <w:tcPr>
            <w:tcW w:w="1037" w:type="dxa"/>
            <w:tcBorders>
              <w:top w:val="nil"/>
              <w:left w:val="nil"/>
              <w:bottom w:val="single" w:sz="8" w:space="0" w:color="auto"/>
              <w:right w:val="single" w:sz="8" w:space="0" w:color="auto"/>
            </w:tcBorders>
            <w:shd w:val="clear" w:color="auto" w:fill="auto"/>
            <w:vAlign w:val="center"/>
            <w:hideMark/>
          </w:tcPr>
          <w:p w:rsidR="00EB2214" w:rsidRPr="007724CC" w:rsidP="008668C9" w14:paraId="645F133C" w14:textId="77777777">
            <w:pPr>
              <w:pStyle w:val="RTableTextAbt"/>
              <w:keepNext/>
              <w:keepLines/>
            </w:pPr>
            <w:r w:rsidRPr="007724CC">
              <w:t>0.46%</w:t>
            </w:r>
          </w:p>
        </w:tc>
        <w:tc>
          <w:tcPr>
            <w:tcW w:w="877" w:type="dxa"/>
            <w:tcBorders>
              <w:top w:val="nil"/>
              <w:left w:val="nil"/>
              <w:bottom w:val="single" w:sz="8" w:space="0" w:color="auto"/>
              <w:right w:val="single" w:sz="8" w:space="0" w:color="auto"/>
            </w:tcBorders>
            <w:shd w:val="clear" w:color="auto" w:fill="auto"/>
            <w:vAlign w:val="center"/>
            <w:hideMark/>
          </w:tcPr>
          <w:p w:rsidR="00EB2214" w:rsidRPr="007724CC" w:rsidP="008668C9" w14:paraId="2E71BFE9" w14:textId="77777777">
            <w:pPr>
              <w:pStyle w:val="RTableTextAbt"/>
              <w:keepNext/>
              <w:keepLines/>
            </w:pPr>
            <w:r w:rsidRPr="007724CC">
              <w:t>0.92%</w:t>
            </w:r>
          </w:p>
        </w:tc>
        <w:tc>
          <w:tcPr>
            <w:tcW w:w="877" w:type="dxa"/>
            <w:tcBorders>
              <w:top w:val="nil"/>
              <w:left w:val="nil"/>
              <w:bottom w:val="single" w:sz="8" w:space="0" w:color="auto"/>
              <w:right w:val="single" w:sz="8" w:space="0" w:color="auto"/>
            </w:tcBorders>
            <w:shd w:val="clear" w:color="auto" w:fill="auto"/>
            <w:vAlign w:val="center"/>
            <w:hideMark/>
          </w:tcPr>
          <w:p w:rsidR="00EB2214" w:rsidRPr="007724CC" w:rsidP="008668C9" w14:paraId="5CDC22B0" w14:textId="77777777">
            <w:pPr>
              <w:pStyle w:val="RTableTextAbt"/>
              <w:keepNext/>
              <w:keepLines/>
            </w:pPr>
            <w:r w:rsidRPr="007724CC">
              <w:t>72.98%</w:t>
            </w:r>
          </w:p>
        </w:tc>
      </w:tr>
      <w:tr w14:paraId="2D72D40C" w14:textId="77777777" w:rsidTr="008668C9">
        <w:tblPrEx>
          <w:tblW w:w="10097" w:type="dxa"/>
          <w:jc w:val="center"/>
          <w:tblLook w:val="04A0"/>
        </w:tblPrEx>
        <w:trPr>
          <w:trHeight w:val="630"/>
          <w:jc w:val="center"/>
        </w:trPr>
        <w:tc>
          <w:tcPr>
            <w:tcW w:w="10097"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EB2214" w:rsidRPr="007724CC" w:rsidP="008668C9" w14:paraId="17BFA03C" w14:textId="77777777">
            <w:pPr>
              <w:pStyle w:val="TableNote0"/>
              <w:keepLines/>
            </w:pPr>
            <w:r w:rsidRPr="007724CC">
              <w:rPr>
                <w:vertAlign w:val="superscript"/>
              </w:rPr>
              <w:t>1</w:t>
            </w:r>
            <w:r w:rsidRPr="007724CC">
              <w:t>NAICS code for this facility is 325130 (Synthetic Dye and Pigment Manufacturing), however, data were not available at the 6-digit NAICS so data at the 4-digit NAICS 3251 (Basic Chemical Manufacturing) are presented.</w:t>
            </w:r>
          </w:p>
        </w:tc>
      </w:tr>
    </w:tbl>
    <w:p w:rsidR="00EB2214" w:rsidP="00EB2214" w14:paraId="293D9751" w14:textId="77777777">
      <w:pPr>
        <w:pStyle w:val="EndNoteBibliography"/>
        <w:spacing w:after="240"/>
        <w:ind w:left="720" w:hanging="720"/>
      </w:pPr>
    </w:p>
    <w:p w:rsidR="00727734" w:rsidRPr="00953825" w:rsidP="0004618B" w14:paraId="508B1939" w14:textId="76074DEA">
      <w:r>
        <w:t>T</w:t>
      </w:r>
      <w:r w:rsidRPr="00B56426" w:rsidR="00EB2214">
        <w:t xml:space="preserve">he findings of this baseline characterization suggest that workers in </w:t>
      </w:r>
      <w:r w:rsidR="00EB2214">
        <w:t xml:space="preserve">the PV29 manufacturing facility </w:t>
      </w:r>
      <w:r w:rsidRPr="00B56426" w:rsidR="00EB2214">
        <w:t xml:space="preserve">are more likely people of color than </w:t>
      </w:r>
      <w:r w:rsidR="00EB2214">
        <w:t>those working in the same industry nationwide. Additionally, these workers are also more likely people of color than workers in all sectors nationwide. In the baseline, the analysis suggests that workers at the manufacturing facility may be disproportionately black. To the extent that this reflects the actual distribution of workers at the facility, the proposed regulation, which is designed to protect workers, would improve human health conditions for this population.</w:t>
      </w:r>
    </w:p>
    <w:p w:rsidR="009823CF" w:rsidP="00E330D9" w14:paraId="6CF29611" w14:textId="291A3A86">
      <w:pPr>
        <w:pStyle w:val="Heading2NoNumbering"/>
      </w:pPr>
      <w:bookmarkStart w:id="23" w:name="_Toc184299502"/>
      <w:r w:rsidRPr="00B56426">
        <w:t>Estimated Small Business Impacts</w:t>
      </w:r>
      <w:bookmarkEnd w:id="23"/>
    </w:p>
    <w:p w:rsidR="006401F0" w:rsidP="006401F0" w14:paraId="11FF7521" w14:textId="03068397">
      <w:pPr>
        <w:pStyle w:val="BodyText"/>
        <w:rPr>
          <w:lang w:val="en-US"/>
        </w:rPr>
      </w:pPr>
      <w:r>
        <w:fldChar w:fldCharType="begin" w:fldLock="1"/>
      </w:r>
      <w:r>
        <w:instrText xml:space="preserve"> REF _Ref181028379 \h </w:instrText>
      </w:r>
      <w:r>
        <w:fldChar w:fldCharType="separate"/>
      </w:r>
      <w:r w:rsidR="00735BBC">
        <w:t>Table ES-</w:t>
      </w:r>
      <w:r w:rsidR="00735BBC">
        <w:rPr>
          <w:noProof/>
        </w:rPr>
        <w:t>8</w:t>
      </w:r>
      <w:r>
        <w:fldChar w:fldCharType="end"/>
      </w:r>
      <w:r>
        <w:t xml:space="preserve"> </w:t>
      </w:r>
      <w:r w:rsidRPr="00D33E60">
        <w:t>presents a summary of the small business impacts overall and for each of the use categories where small business impacts were estimated.</w:t>
      </w:r>
    </w:p>
    <w:p w:rsidR="006401F0" w:rsidP="006401F0" w14:paraId="3BBFF53E" w14:textId="77777777">
      <w:pPr>
        <w:pStyle w:val="BodyText"/>
        <w:rPr>
          <w:lang w:val="en-US"/>
        </w:rPr>
      </w:pPr>
    </w:p>
    <w:tbl>
      <w:tblPr>
        <w:tblW w:w="5000" w:type="pct"/>
        <w:tblLook w:val="04A0"/>
      </w:tblPr>
      <w:tblGrid>
        <w:gridCol w:w="1732"/>
        <w:gridCol w:w="1125"/>
        <w:gridCol w:w="1123"/>
        <w:gridCol w:w="1213"/>
        <w:gridCol w:w="1269"/>
        <w:gridCol w:w="1269"/>
        <w:gridCol w:w="1269"/>
      </w:tblGrid>
      <w:tr w14:paraId="7BD285CB" w14:textId="77777777" w:rsidTr="00CA0464">
        <w:tblPrEx>
          <w:tblW w:w="5000" w:type="pct"/>
          <w:tblLook w:val="04A0"/>
        </w:tblPrEx>
        <w:trPr>
          <w:trHeight w:val="279"/>
          <w:tblHeader/>
        </w:trPr>
        <w:tc>
          <w:tcPr>
            <w:tcW w:w="5000" w:type="pct"/>
            <w:gridSpan w:val="7"/>
            <w:tcBorders>
              <w:bottom w:val="single" w:sz="4" w:space="0" w:color="auto"/>
            </w:tcBorders>
            <w:shd w:val="clear" w:color="auto" w:fill="auto"/>
            <w:vAlign w:val="center"/>
          </w:tcPr>
          <w:p w:rsidR="00E67929" w:rsidP="00CA0464" w14:paraId="4B75A89E" w14:textId="4353AD7C">
            <w:pPr>
              <w:pStyle w:val="TableTitleA"/>
            </w:pPr>
            <w:bookmarkStart w:id="24" w:name="_Ref181028379"/>
            <w:bookmarkStart w:id="25" w:name="_Toc184299546"/>
            <w:r>
              <w:t>Table ES-</w:t>
            </w:r>
            <w:r>
              <w:fldChar w:fldCharType="begin" w:fldLock="1"/>
            </w:r>
            <w:r>
              <w:instrText>SEQ Table_ES- \* ARABIC</w:instrText>
            </w:r>
            <w:r>
              <w:fldChar w:fldCharType="separate"/>
            </w:r>
            <w:r w:rsidR="00735BBC">
              <w:rPr>
                <w:noProof/>
              </w:rPr>
              <w:t>8</w:t>
            </w:r>
            <w:r>
              <w:fldChar w:fldCharType="end"/>
            </w:r>
            <w:bookmarkEnd w:id="24"/>
            <w:r w:rsidRPr="00A95A85">
              <w:t xml:space="preserve">: </w:t>
            </w:r>
            <w:r>
              <w:t>Costs and Cost-Revenue Ratios for Affected Small Firms</w:t>
            </w:r>
            <w:bookmarkEnd w:id="25"/>
          </w:p>
        </w:tc>
      </w:tr>
      <w:tr w14:paraId="4A3F01BE" w14:textId="77777777" w:rsidTr="00CA0464">
        <w:tblPrEx>
          <w:tblW w:w="5000" w:type="pct"/>
          <w:tblLook w:val="04A0"/>
        </w:tblPrEx>
        <w:trPr>
          <w:trHeight w:val="242"/>
          <w:tblHeader/>
        </w:trPr>
        <w:tc>
          <w:tcPr>
            <w:tcW w:w="962" w:type="pct"/>
            <w:vMerge w:val="restart"/>
            <w:tcBorders>
              <w:top w:val="single" w:sz="4" w:space="0" w:color="auto"/>
              <w:left w:val="single" w:sz="4" w:space="0" w:color="auto"/>
              <w:right w:val="single" w:sz="4" w:space="0" w:color="auto"/>
            </w:tcBorders>
            <w:shd w:val="clear" w:color="auto" w:fill="013E5B"/>
            <w:vAlign w:val="center"/>
            <w:hideMark/>
          </w:tcPr>
          <w:p w:rsidR="00E67929" w:rsidRPr="00253FF4" w:rsidP="00CA0464" w14:paraId="5663B920" w14:textId="77777777">
            <w:pPr>
              <w:pStyle w:val="TableSubtitle"/>
            </w:pPr>
            <w:r w:rsidRPr="00253FF4">
              <w:t>Use Category</w:t>
            </w:r>
          </w:p>
        </w:tc>
        <w:tc>
          <w:tcPr>
            <w:tcW w:w="625" w:type="pct"/>
            <w:vMerge w:val="restart"/>
            <w:tcBorders>
              <w:top w:val="single" w:sz="4" w:space="0" w:color="auto"/>
              <w:left w:val="nil"/>
              <w:right w:val="single" w:sz="4" w:space="0" w:color="auto"/>
            </w:tcBorders>
            <w:shd w:val="clear" w:color="auto" w:fill="013E5B"/>
            <w:vAlign w:val="center"/>
            <w:hideMark/>
          </w:tcPr>
          <w:p w:rsidR="00E67929" w:rsidRPr="00253FF4" w:rsidP="00CA0464" w14:paraId="4AC1EE8B" w14:textId="77777777">
            <w:pPr>
              <w:pStyle w:val="TableSubtitle"/>
            </w:pPr>
            <w:r w:rsidRPr="00253FF4">
              <w:t>Affected small firms</w:t>
            </w:r>
          </w:p>
        </w:tc>
        <w:tc>
          <w:tcPr>
            <w:tcW w:w="624" w:type="pct"/>
            <w:vMerge w:val="restart"/>
            <w:tcBorders>
              <w:top w:val="single" w:sz="4" w:space="0" w:color="auto"/>
              <w:left w:val="single" w:sz="4" w:space="0" w:color="auto"/>
              <w:right w:val="single" w:sz="4" w:space="0" w:color="auto"/>
            </w:tcBorders>
            <w:shd w:val="clear" w:color="auto" w:fill="013E5B"/>
            <w:vAlign w:val="center"/>
            <w:hideMark/>
          </w:tcPr>
          <w:p w:rsidR="00E67929" w:rsidRPr="00253FF4" w:rsidP="00CA0464" w14:paraId="0CE9363F" w14:textId="77777777">
            <w:pPr>
              <w:pStyle w:val="TableSubtitle"/>
            </w:pPr>
            <w:r w:rsidRPr="00253FF4">
              <w:t>Revenue floor</w:t>
            </w:r>
          </w:p>
        </w:tc>
        <w:tc>
          <w:tcPr>
            <w:tcW w:w="674" w:type="pct"/>
            <w:vMerge w:val="restart"/>
            <w:tcBorders>
              <w:top w:val="single" w:sz="4" w:space="0" w:color="auto"/>
              <w:left w:val="single" w:sz="4" w:space="0" w:color="auto"/>
              <w:right w:val="single" w:sz="4" w:space="0" w:color="auto"/>
            </w:tcBorders>
            <w:shd w:val="clear" w:color="auto" w:fill="013E5B"/>
            <w:vAlign w:val="center"/>
            <w:hideMark/>
          </w:tcPr>
          <w:p w:rsidR="00E67929" w:rsidRPr="00253FF4" w:rsidP="00CA0464" w14:paraId="69D2CA01" w14:textId="77777777">
            <w:pPr>
              <w:pStyle w:val="TableSubtitle"/>
            </w:pPr>
            <w:r w:rsidRPr="00253FF4">
              <w:t>Annualized costs per facility (high)</w:t>
            </w:r>
          </w:p>
        </w:tc>
        <w:tc>
          <w:tcPr>
            <w:tcW w:w="2115" w:type="pct"/>
            <w:gridSpan w:val="3"/>
            <w:tcBorders>
              <w:top w:val="single" w:sz="4" w:space="0" w:color="auto"/>
              <w:left w:val="single" w:sz="4" w:space="0" w:color="auto"/>
              <w:right w:val="single" w:sz="4" w:space="0" w:color="auto"/>
            </w:tcBorders>
            <w:shd w:val="clear" w:color="auto" w:fill="013E5B"/>
            <w:vAlign w:val="center"/>
          </w:tcPr>
          <w:p w:rsidR="00E67929" w:rsidRPr="00253FF4" w:rsidP="00CA0464" w14:paraId="569C6E44" w14:textId="77777777">
            <w:pPr>
              <w:pStyle w:val="TableSubtitle"/>
            </w:pPr>
            <w:r w:rsidRPr="000753E4">
              <w:t>Number of Firms by Cost-Revenue Impact Threshold</w:t>
            </w:r>
          </w:p>
        </w:tc>
      </w:tr>
      <w:tr w14:paraId="1BACC342" w14:textId="77777777" w:rsidTr="00CA0464">
        <w:tblPrEx>
          <w:tblW w:w="5000" w:type="pct"/>
          <w:tblLook w:val="04A0"/>
        </w:tblPrEx>
        <w:trPr>
          <w:trHeight w:val="242"/>
          <w:tblHeader/>
        </w:trPr>
        <w:tc>
          <w:tcPr>
            <w:tcW w:w="962" w:type="pct"/>
            <w:vMerge/>
            <w:tcBorders>
              <w:left w:val="single" w:sz="4" w:space="0" w:color="auto"/>
              <w:bottom w:val="single" w:sz="4" w:space="0" w:color="auto"/>
              <w:right w:val="single" w:sz="4" w:space="0" w:color="auto"/>
            </w:tcBorders>
            <w:shd w:val="clear" w:color="auto" w:fill="013E5B"/>
            <w:vAlign w:val="center"/>
          </w:tcPr>
          <w:p w:rsidR="00E67929" w:rsidRPr="00253FF4" w:rsidP="00CA0464" w14:paraId="6E32A419" w14:textId="77777777">
            <w:pPr>
              <w:pStyle w:val="TableSubtitle"/>
            </w:pPr>
          </w:p>
        </w:tc>
        <w:tc>
          <w:tcPr>
            <w:tcW w:w="625" w:type="pct"/>
            <w:vMerge/>
            <w:tcBorders>
              <w:left w:val="nil"/>
              <w:right w:val="single" w:sz="4" w:space="0" w:color="auto"/>
            </w:tcBorders>
            <w:shd w:val="clear" w:color="auto" w:fill="013E5B"/>
            <w:vAlign w:val="center"/>
          </w:tcPr>
          <w:p w:rsidR="00E67929" w:rsidRPr="00253FF4" w:rsidP="00CA0464" w14:paraId="27CE3743" w14:textId="77777777">
            <w:pPr>
              <w:pStyle w:val="TableSubtitle"/>
            </w:pPr>
          </w:p>
        </w:tc>
        <w:tc>
          <w:tcPr>
            <w:tcW w:w="624" w:type="pct"/>
            <w:vMerge/>
            <w:tcBorders>
              <w:left w:val="single" w:sz="4" w:space="0" w:color="auto"/>
              <w:bottom w:val="single" w:sz="4" w:space="0" w:color="000000"/>
              <w:right w:val="single" w:sz="4" w:space="0" w:color="auto"/>
            </w:tcBorders>
            <w:shd w:val="clear" w:color="auto" w:fill="013E5B"/>
            <w:vAlign w:val="center"/>
          </w:tcPr>
          <w:p w:rsidR="00E67929" w:rsidRPr="00253FF4" w:rsidP="00CA0464" w14:paraId="2D2AD9A3" w14:textId="77777777">
            <w:pPr>
              <w:pStyle w:val="TableSubtitle"/>
            </w:pPr>
          </w:p>
        </w:tc>
        <w:tc>
          <w:tcPr>
            <w:tcW w:w="674" w:type="pct"/>
            <w:vMerge/>
            <w:tcBorders>
              <w:left w:val="single" w:sz="4" w:space="0" w:color="auto"/>
              <w:right w:val="single" w:sz="4" w:space="0" w:color="auto"/>
            </w:tcBorders>
            <w:shd w:val="clear" w:color="auto" w:fill="013E5B"/>
            <w:vAlign w:val="center"/>
          </w:tcPr>
          <w:p w:rsidR="00E67929" w:rsidRPr="00253FF4" w:rsidP="00CA0464" w14:paraId="5FEC02F4" w14:textId="77777777">
            <w:pPr>
              <w:pStyle w:val="TableSubtitle"/>
            </w:pPr>
          </w:p>
        </w:tc>
        <w:tc>
          <w:tcPr>
            <w:tcW w:w="705" w:type="pct"/>
            <w:tcBorders>
              <w:top w:val="single" w:sz="4" w:space="0" w:color="auto"/>
              <w:left w:val="single" w:sz="4" w:space="0" w:color="auto"/>
              <w:right w:val="single" w:sz="4" w:space="0" w:color="auto"/>
            </w:tcBorders>
            <w:shd w:val="clear" w:color="auto" w:fill="013E5B"/>
            <w:vAlign w:val="center"/>
          </w:tcPr>
          <w:p w:rsidR="00E67929" w:rsidRPr="000753E4" w:rsidP="00CA0464" w14:paraId="7C3A2214" w14:textId="77777777">
            <w:pPr>
              <w:pStyle w:val="TableSubtitle"/>
            </w:pPr>
            <w:r w:rsidRPr="000753E4">
              <w:t>&lt;1</w:t>
            </w:r>
            <w:r>
              <w:t xml:space="preserve"> Percent</w:t>
            </w:r>
            <w:r w:rsidRPr="000753E4">
              <w:t xml:space="preserve"> </w:t>
            </w:r>
          </w:p>
        </w:tc>
        <w:tc>
          <w:tcPr>
            <w:tcW w:w="705" w:type="pct"/>
            <w:tcBorders>
              <w:top w:val="single" w:sz="4" w:space="0" w:color="auto"/>
              <w:left w:val="single" w:sz="4" w:space="0" w:color="auto"/>
              <w:right w:val="single" w:sz="4" w:space="0" w:color="auto"/>
            </w:tcBorders>
            <w:shd w:val="clear" w:color="auto" w:fill="013E5B"/>
            <w:vAlign w:val="center"/>
          </w:tcPr>
          <w:p w:rsidR="00E67929" w:rsidRPr="000753E4" w:rsidP="00CA0464" w14:paraId="5D3A587E" w14:textId="77777777">
            <w:pPr>
              <w:pStyle w:val="TableSubtitle"/>
            </w:pPr>
            <w:r w:rsidRPr="000753E4">
              <w:t>1-3</w:t>
            </w:r>
            <w:r>
              <w:t xml:space="preserve"> Percent</w:t>
            </w:r>
            <w:r w:rsidRPr="000753E4">
              <w:t xml:space="preserve"> </w:t>
            </w:r>
          </w:p>
        </w:tc>
        <w:tc>
          <w:tcPr>
            <w:tcW w:w="705" w:type="pct"/>
            <w:tcBorders>
              <w:top w:val="single" w:sz="4" w:space="0" w:color="auto"/>
              <w:left w:val="single" w:sz="4" w:space="0" w:color="auto"/>
              <w:right w:val="single" w:sz="4" w:space="0" w:color="auto"/>
            </w:tcBorders>
            <w:shd w:val="clear" w:color="auto" w:fill="013E5B"/>
            <w:vAlign w:val="center"/>
          </w:tcPr>
          <w:p w:rsidR="00E67929" w:rsidRPr="000753E4" w:rsidP="00CA0464" w14:paraId="2261C419" w14:textId="77777777">
            <w:pPr>
              <w:pStyle w:val="TableSubtitle"/>
            </w:pPr>
            <w:r w:rsidRPr="000753E4">
              <w:t>&gt;3</w:t>
            </w:r>
            <w:r>
              <w:t xml:space="preserve"> Percent</w:t>
            </w:r>
            <w:r w:rsidRPr="000753E4">
              <w:t xml:space="preserve"> </w:t>
            </w:r>
          </w:p>
        </w:tc>
      </w:tr>
      <w:tr w14:paraId="2DDAF8ED" w14:textId="77777777" w:rsidTr="00CA0464">
        <w:tblPrEx>
          <w:tblW w:w="5000" w:type="pct"/>
          <w:tblLook w:val="04A0"/>
        </w:tblPrEx>
        <w:trPr>
          <w:trHeight w:val="20"/>
        </w:trPr>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3DF7" w:rsidP="001D3DF7" w14:paraId="4DCB7C17" w14:textId="77777777">
            <w:pPr>
              <w:pStyle w:val="LTableTextAbt"/>
            </w:pPr>
            <w:r>
              <w:t>Processing into plastic and rubber products</w:t>
            </w:r>
          </w:p>
        </w:tc>
        <w:tc>
          <w:tcPr>
            <w:tcW w:w="625" w:type="pct"/>
            <w:tcBorders>
              <w:top w:val="single" w:sz="4" w:space="0" w:color="auto"/>
              <w:left w:val="nil"/>
              <w:bottom w:val="single" w:sz="4" w:space="0" w:color="auto"/>
              <w:right w:val="single" w:sz="4" w:space="0" w:color="auto"/>
            </w:tcBorders>
            <w:shd w:val="clear" w:color="auto" w:fill="auto"/>
            <w:vAlign w:val="center"/>
          </w:tcPr>
          <w:p w:rsidR="001D3DF7" w:rsidRPr="006B32A8" w:rsidP="001D3DF7" w14:paraId="12645247" w14:textId="6DD90EF8">
            <w:pPr>
              <w:pStyle w:val="RTableTextAbt"/>
            </w:pPr>
            <w:r>
              <w:t>5</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1D3DF7" w:rsidRPr="006B32A8" w:rsidP="001D3DF7" w14:paraId="2DB5320E" w14:textId="3B201F7A">
            <w:pPr>
              <w:pStyle w:val="RTableTextAbt"/>
            </w:pPr>
            <w:r w:rsidRPr="006B32A8">
              <w:t xml:space="preserve">$3,421,642 </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1D3DF7" w:rsidRPr="006B32A8" w:rsidP="001D3DF7" w14:paraId="1B4E08C6" w14:textId="5A646E00">
            <w:pPr>
              <w:pStyle w:val="RTableTextAbt"/>
            </w:pPr>
            <w:r w:rsidRPr="006B32A8">
              <w:t xml:space="preserve">$80,531 </w:t>
            </w:r>
          </w:p>
        </w:tc>
        <w:tc>
          <w:tcPr>
            <w:tcW w:w="705" w:type="pct"/>
            <w:tcBorders>
              <w:top w:val="single" w:sz="4" w:space="0" w:color="auto"/>
              <w:left w:val="nil"/>
              <w:bottom w:val="single" w:sz="4" w:space="0" w:color="auto"/>
              <w:right w:val="single" w:sz="4" w:space="0" w:color="auto"/>
            </w:tcBorders>
            <w:vAlign w:val="center"/>
          </w:tcPr>
          <w:p w:rsidR="001D3DF7" w:rsidRPr="006B32A8" w:rsidP="001D3DF7" w14:paraId="1BB34490" w14:textId="59DCD84E">
            <w:pPr>
              <w:pStyle w:val="RTableTextAbt"/>
            </w:pPr>
            <w:r w:rsidRPr="006B32A8">
              <w:t>4</w:t>
            </w:r>
          </w:p>
        </w:tc>
        <w:tc>
          <w:tcPr>
            <w:tcW w:w="705" w:type="pct"/>
            <w:tcBorders>
              <w:top w:val="single" w:sz="4" w:space="0" w:color="auto"/>
              <w:left w:val="nil"/>
              <w:bottom w:val="single" w:sz="4" w:space="0" w:color="auto"/>
              <w:right w:val="single" w:sz="4" w:space="0" w:color="auto"/>
            </w:tcBorders>
            <w:vAlign w:val="center"/>
          </w:tcPr>
          <w:p w:rsidR="001D3DF7" w:rsidRPr="006B32A8" w:rsidP="001D3DF7" w14:paraId="4759F75E" w14:textId="08630E2B">
            <w:pPr>
              <w:pStyle w:val="RTableTextAbt"/>
            </w:pPr>
            <w:r>
              <w:t>1</w:t>
            </w:r>
          </w:p>
        </w:tc>
        <w:tc>
          <w:tcPr>
            <w:tcW w:w="705" w:type="pct"/>
            <w:tcBorders>
              <w:top w:val="single" w:sz="4" w:space="0" w:color="auto"/>
              <w:left w:val="nil"/>
              <w:bottom w:val="single" w:sz="4" w:space="0" w:color="auto"/>
              <w:right w:val="single" w:sz="4" w:space="0" w:color="auto"/>
            </w:tcBorders>
            <w:vAlign w:val="center"/>
          </w:tcPr>
          <w:p w:rsidR="001D3DF7" w:rsidRPr="006B32A8" w:rsidP="001D3DF7" w14:paraId="6173ADAF" w14:textId="5B233553">
            <w:pPr>
              <w:pStyle w:val="RTableTextAbt"/>
            </w:pPr>
            <w:r w:rsidRPr="006B32A8">
              <w:t>-</w:t>
            </w:r>
          </w:p>
        </w:tc>
      </w:tr>
      <w:tr w14:paraId="67A6CB53" w14:textId="77777777" w:rsidTr="00CA0464">
        <w:tblPrEx>
          <w:tblW w:w="5000" w:type="pct"/>
          <w:tblLook w:val="04A0"/>
        </w:tblPrEx>
        <w:trPr>
          <w:trHeight w:val="20"/>
        </w:trPr>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3DF7" w:rsidP="001D3DF7" w14:paraId="448C7A95" w14:textId="77777777">
            <w:pPr>
              <w:pStyle w:val="LTableTextAbt"/>
            </w:pPr>
            <w:r>
              <w:t>Recycling</w:t>
            </w:r>
          </w:p>
        </w:tc>
        <w:tc>
          <w:tcPr>
            <w:tcW w:w="625" w:type="pct"/>
            <w:tcBorders>
              <w:top w:val="single" w:sz="4" w:space="0" w:color="auto"/>
              <w:left w:val="nil"/>
              <w:bottom w:val="single" w:sz="4" w:space="0" w:color="auto"/>
              <w:right w:val="single" w:sz="4" w:space="0" w:color="auto"/>
            </w:tcBorders>
            <w:shd w:val="clear" w:color="auto" w:fill="auto"/>
            <w:vAlign w:val="center"/>
          </w:tcPr>
          <w:p w:rsidR="001D3DF7" w:rsidRPr="006B32A8" w:rsidP="001D3DF7" w14:paraId="5C4781D7" w14:textId="70C1A9B6">
            <w:pPr>
              <w:pStyle w:val="RTableTextAbt"/>
            </w:pPr>
            <w:r w:rsidRPr="006B32A8">
              <w:t>8,412</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1D3DF7" w:rsidRPr="006B32A8" w:rsidP="001D3DF7" w14:paraId="3E4CFB88" w14:textId="50988EEC">
            <w:pPr>
              <w:pStyle w:val="RTableTextAbt"/>
            </w:pPr>
            <w:r w:rsidRPr="006B32A8">
              <w:t xml:space="preserve">$91,354 </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1D3DF7" w:rsidRPr="006B32A8" w:rsidP="001D3DF7" w14:paraId="2A5A75DC" w14:textId="07AFCB7B">
            <w:pPr>
              <w:pStyle w:val="RTableTextAbt"/>
            </w:pPr>
            <w:r w:rsidRPr="006B32A8">
              <w:t xml:space="preserve">$7 </w:t>
            </w:r>
          </w:p>
        </w:tc>
        <w:tc>
          <w:tcPr>
            <w:tcW w:w="705" w:type="pct"/>
            <w:tcBorders>
              <w:top w:val="single" w:sz="4" w:space="0" w:color="auto"/>
              <w:left w:val="nil"/>
              <w:bottom w:val="single" w:sz="4" w:space="0" w:color="auto"/>
              <w:right w:val="single" w:sz="4" w:space="0" w:color="auto"/>
            </w:tcBorders>
            <w:vAlign w:val="center"/>
          </w:tcPr>
          <w:p w:rsidR="001D3DF7" w:rsidRPr="006B32A8" w:rsidP="001D3DF7" w14:paraId="6B685083" w14:textId="7E1DD5B1">
            <w:pPr>
              <w:pStyle w:val="RTableTextAbt"/>
            </w:pPr>
            <w:r w:rsidRPr="006B32A8">
              <w:t>8,412</w:t>
            </w:r>
          </w:p>
        </w:tc>
        <w:tc>
          <w:tcPr>
            <w:tcW w:w="705" w:type="pct"/>
            <w:tcBorders>
              <w:top w:val="single" w:sz="4" w:space="0" w:color="auto"/>
              <w:left w:val="nil"/>
              <w:bottom w:val="single" w:sz="4" w:space="0" w:color="auto"/>
              <w:right w:val="single" w:sz="4" w:space="0" w:color="auto"/>
            </w:tcBorders>
            <w:vAlign w:val="center"/>
          </w:tcPr>
          <w:p w:rsidR="001D3DF7" w:rsidRPr="006B32A8" w:rsidP="001D3DF7" w14:paraId="1BE59865" w14:textId="599BE75A">
            <w:pPr>
              <w:pStyle w:val="RTableTextAbt"/>
            </w:pPr>
            <w:r w:rsidRPr="006B32A8">
              <w:t>-</w:t>
            </w:r>
          </w:p>
        </w:tc>
        <w:tc>
          <w:tcPr>
            <w:tcW w:w="705" w:type="pct"/>
            <w:tcBorders>
              <w:top w:val="single" w:sz="4" w:space="0" w:color="auto"/>
              <w:left w:val="nil"/>
              <w:bottom w:val="single" w:sz="4" w:space="0" w:color="auto"/>
              <w:right w:val="single" w:sz="4" w:space="0" w:color="auto"/>
            </w:tcBorders>
            <w:vAlign w:val="center"/>
          </w:tcPr>
          <w:p w:rsidR="001D3DF7" w:rsidRPr="006B32A8" w:rsidP="001D3DF7" w14:paraId="52141642" w14:textId="4D0751DE">
            <w:pPr>
              <w:pStyle w:val="RTableTextAbt"/>
            </w:pPr>
            <w:r w:rsidRPr="006B32A8">
              <w:t>-</w:t>
            </w:r>
          </w:p>
        </w:tc>
      </w:tr>
      <w:tr w14:paraId="1A260B05" w14:textId="77777777" w:rsidTr="00CA0464">
        <w:tblPrEx>
          <w:tblW w:w="5000" w:type="pct"/>
          <w:tblLook w:val="04A0"/>
        </w:tblPrEx>
        <w:trPr>
          <w:trHeight w:val="20"/>
        </w:trPr>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3DF7" w:rsidP="001D3DF7" w14:paraId="04D317D5" w14:textId="77777777">
            <w:pPr>
              <w:pStyle w:val="LTableTextAbt"/>
            </w:pPr>
            <w:r>
              <w:t>Automotive painting (new vehicles)</w:t>
            </w:r>
          </w:p>
        </w:tc>
        <w:tc>
          <w:tcPr>
            <w:tcW w:w="625" w:type="pct"/>
            <w:tcBorders>
              <w:top w:val="single" w:sz="4" w:space="0" w:color="auto"/>
              <w:left w:val="nil"/>
              <w:bottom w:val="single" w:sz="4" w:space="0" w:color="auto"/>
              <w:right w:val="single" w:sz="4" w:space="0" w:color="auto"/>
            </w:tcBorders>
            <w:shd w:val="clear" w:color="auto" w:fill="auto"/>
            <w:vAlign w:val="center"/>
          </w:tcPr>
          <w:p w:rsidR="001D3DF7" w:rsidRPr="006B32A8" w:rsidP="001D3DF7" w14:paraId="3145F057" w14:textId="2CDC9A40">
            <w:pPr>
              <w:pStyle w:val="RTableTextAbt"/>
            </w:pPr>
            <w:r w:rsidRPr="006B32A8">
              <w:t>76</w:t>
            </w:r>
            <w:r>
              <w:t>3</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1D3DF7" w:rsidRPr="006B32A8" w:rsidP="001D3DF7" w14:paraId="632208A7" w14:textId="2616529B">
            <w:pPr>
              <w:pStyle w:val="RTableTextAbt"/>
            </w:pPr>
            <w:r w:rsidRPr="006B32A8">
              <w:t xml:space="preserve">$87,734 </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1D3DF7" w:rsidRPr="006B32A8" w:rsidP="001D3DF7" w14:paraId="2BB2E0B6" w14:textId="416BD77B">
            <w:pPr>
              <w:pStyle w:val="RTableTextAbt"/>
            </w:pPr>
            <w:r w:rsidRPr="006B32A8">
              <w:t xml:space="preserve">$7 </w:t>
            </w:r>
          </w:p>
        </w:tc>
        <w:tc>
          <w:tcPr>
            <w:tcW w:w="705" w:type="pct"/>
            <w:tcBorders>
              <w:top w:val="single" w:sz="4" w:space="0" w:color="auto"/>
              <w:left w:val="nil"/>
              <w:bottom w:val="single" w:sz="4" w:space="0" w:color="auto"/>
              <w:right w:val="single" w:sz="4" w:space="0" w:color="auto"/>
            </w:tcBorders>
            <w:vAlign w:val="center"/>
          </w:tcPr>
          <w:p w:rsidR="001D3DF7" w:rsidRPr="006B32A8" w:rsidP="001D3DF7" w14:paraId="08636B21" w14:textId="613654FC">
            <w:pPr>
              <w:pStyle w:val="RTableTextAbt"/>
            </w:pPr>
            <w:r w:rsidRPr="006B32A8">
              <w:t>76</w:t>
            </w:r>
            <w:r>
              <w:t>3</w:t>
            </w:r>
          </w:p>
        </w:tc>
        <w:tc>
          <w:tcPr>
            <w:tcW w:w="705" w:type="pct"/>
            <w:tcBorders>
              <w:top w:val="single" w:sz="4" w:space="0" w:color="auto"/>
              <w:left w:val="nil"/>
              <w:bottom w:val="single" w:sz="4" w:space="0" w:color="auto"/>
              <w:right w:val="single" w:sz="4" w:space="0" w:color="auto"/>
            </w:tcBorders>
            <w:vAlign w:val="center"/>
          </w:tcPr>
          <w:p w:rsidR="001D3DF7" w:rsidRPr="006B32A8" w:rsidP="001D3DF7" w14:paraId="69118FA0" w14:textId="7C673670">
            <w:pPr>
              <w:pStyle w:val="RTableTextAbt"/>
            </w:pPr>
            <w:r w:rsidRPr="006B32A8">
              <w:t>-</w:t>
            </w:r>
          </w:p>
        </w:tc>
        <w:tc>
          <w:tcPr>
            <w:tcW w:w="705" w:type="pct"/>
            <w:tcBorders>
              <w:top w:val="single" w:sz="4" w:space="0" w:color="auto"/>
              <w:left w:val="nil"/>
              <w:bottom w:val="single" w:sz="4" w:space="0" w:color="auto"/>
              <w:right w:val="single" w:sz="4" w:space="0" w:color="auto"/>
            </w:tcBorders>
            <w:vAlign w:val="center"/>
          </w:tcPr>
          <w:p w:rsidR="001D3DF7" w:rsidRPr="006B32A8" w:rsidP="001D3DF7" w14:paraId="61BFE7A2" w14:textId="1EA0604C">
            <w:pPr>
              <w:pStyle w:val="RTableTextAbt"/>
            </w:pPr>
            <w:r w:rsidRPr="006B32A8">
              <w:t>-</w:t>
            </w:r>
          </w:p>
        </w:tc>
      </w:tr>
      <w:tr w14:paraId="0C60CC74" w14:textId="77777777" w:rsidTr="00CA0464">
        <w:tblPrEx>
          <w:tblW w:w="5000" w:type="pct"/>
          <w:tblLook w:val="04A0"/>
        </w:tblPrEx>
        <w:trPr>
          <w:trHeight w:val="20"/>
        </w:trPr>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3DF7" w:rsidP="001D3DF7" w14:paraId="40817823" w14:textId="77777777">
            <w:pPr>
              <w:pStyle w:val="LTableTextAbt"/>
            </w:pPr>
            <w:r>
              <w:t>Automotive refinishing</w:t>
            </w:r>
          </w:p>
        </w:tc>
        <w:tc>
          <w:tcPr>
            <w:tcW w:w="625" w:type="pct"/>
            <w:tcBorders>
              <w:top w:val="single" w:sz="4" w:space="0" w:color="auto"/>
              <w:left w:val="nil"/>
              <w:bottom w:val="single" w:sz="4" w:space="0" w:color="auto"/>
              <w:right w:val="single" w:sz="4" w:space="0" w:color="auto"/>
            </w:tcBorders>
            <w:shd w:val="clear" w:color="auto" w:fill="auto"/>
            <w:vAlign w:val="center"/>
          </w:tcPr>
          <w:p w:rsidR="001D3DF7" w:rsidRPr="006B32A8" w:rsidP="001D3DF7" w14:paraId="41EAAED5" w14:textId="099B15F6">
            <w:pPr>
              <w:pStyle w:val="RTableTextAbt"/>
            </w:pPr>
            <w:r w:rsidRPr="006B32A8">
              <w:t>31,117</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1D3DF7" w:rsidRPr="006B32A8" w:rsidP="001D3DF7" w14:paraId="6341EC3B" w14:textId="1DA62362">
            <w:pPr>
              <w:pStyle w:val="RTableTextAbt"/>
            </w:pPr>
            <w:r w:rsidRPr="006B32A8">
              <w:t xml:space="preserve">$74,589 </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1D3DF7" w:rsidRPr="006B32A8" w:rsidP="001D3DF7" w14:paraId="73107EE1" w14:textId="09A8361B">
            <w:pPr>
              <w:pStyle w:val="RTableTextAbt"/>
            </w:pPr>
            <w:r w:rsidRPr="006B32A8">
              <w:t xml:space="preserve">$7 </w:t>
            </w:r>
          </w:p>
        </w:tc>
        <w:tc>
          <w:tcPr>
            <w:tcW w:w="705" w:type="pct"/>
            <w:tcBorders>
              <w:top w:val="single" w:sz="4" w:space="0" w:color="auto"/>
              <w:left w:val="nil"/>
              <w:bottom w:val="single" w:sz="4" w:space="0" w:color="auto"/>
              <w:right w:val="single" w:sz="4" w:space="0" w:color="auto"/>
            </w:tcBorders>
            <w:vAlign w:val="center"/>
          </w:tcPr>
          <w:p w:rsidR="001D3DF7" w:rsidRPr="006B32A8" w:rsidP="001D3DF7" w14:paraId="5AE069B5" w14:textId="15305293">
            <w:pPr>
              <w:pStyle w:val="RTableTextAbt"/>
            </w:pPr>
            <w:r w:rsidRPr="006B32A8">
              <w:t>31,117</w:t>
            </w:r>
          </w:p>
        </w:tc>
        <w:tc>
          <w:tcPr>
            <w:tcW w:w="705" w:type="pct"/>
            <w:tcBorders>
              <w:top w:val="single" w:sz="4" w:space="0" w:color="auto"/>
              <w:left w:val="nil"/>
              <w:bottom w:val="single" w:sz="4" w:space="0" w:color="auto"/>
              <w:right w:val="single" w:sz="4" w:space="0" w:color="auto"/>
            </w:tcBorders>
            <w:vAlign w:val="center"/>
          </w:tcPr>
          <w:p w:rsidR="001D3DF7" w:rsidRPr="006B32A8" w:rsidP="001D3DF7" w14:paraId="6E443B37" w14:textId="79DC7DAF">
            <w:pPr>
              <w:pStyle w:val="RTableTextAbt"/>
            </w:pPr>
            <w:r w:rsidRPr="006B32A8">
              <w:t>-</w:t>
            </w:r>
          </w:p>
        </w:tc>
        <w:tc>
          <w:tcPr>
            <w:tcW w:w="705" w:type="pct"/>
            <w:tcBorders>
              <w:top w:val="single" w:sz="4" w:space="0" w:color="auto"/>
              <w:left w:val="nil"/>
              <w:bottom w:val="single" w:sz="4" w:space="0" w:color="auto"/>
              <w:right w:val="single" w:sz="4" w:space="0" w:color="auto"/>
            </w:tcBorders>
            <w:vAlign w:val="center"/>
          </w:tcPr>
          <w:p w:rsidR="001D3DF7" w:rsidRPr="006B32A8" w:rsidP="001D3DF7" w14:paraId="4AA08D7D" w14:textId="1ACE89D4">
            <w:pPr>
              <w:pStyle w:val="RTableTextAbt"/>
            </w:pPr>
            <w:r w:rsidRPr="006B32A8">
              <w:t>-</w:t>
            </w:r>
          </w:p>
        </w:tc>
      </w:tr>
      <w:tr w14:paraId="472C7C32" w14:textId="77777777" w:rsidTr="00CA0464">
        <w:tblPrEx>
          <w:tblW w:w="5000" w:type="pct"/>
          <w:tblLook w:val="04A0"/>
        </w:tblPrEx>
        <w:trPr>
          <w:trHeight w:val="20"/>
        </w:trPr>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3DF7" w:rsidP="001D3DF7" w14:paraId="78904206" w14:textId="77777777">
            <w:pPr>
              <w:pStyle w:val="LTableTextAbt"/>
            </w:pPr>
            <w:r>
              <w:t>Disposal</w:t>
            </w:r>
          </w:p>
        </w:tc>
        <w:tc>
          <w:tcPr>
            <w:tcW w:w="625" w:type="pct"/>
            <w:tcBorders>
              <w:top w:val="single" w:sz="4" w:space="0" w:color="auto"/>
              <w:left w:val="nil"/>
              <w:bottom w:val="single" w:sz="4" w:space="0" w:color="auto"/>
              <w:right w:val="single" w:sz="4" w:space="0" w:color="auto"/>
            </w:tcBorders>
            <w:shd w:val="clear" w:color="auto" w:fill="auto"/>
            <w:vAlign w:val="center"/>
          </w:tcPr>
          <w:p w:rsidR="001D3DF7" w:rsidRPr="006B32A8" w:rsidP="001D3DF7" w14:paraId="5141CFBF" w14:textId="54264845">
            <w:pPr>
              <w:pStyle w:val="RTableTextAbt"/>
            </w:pPr>
            <w:r w:rsidRPr="006B32A8">
              <w:t>8,09</w:t>
            </w:r>
            <w:r>
              <w:t>4</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1D3DF7" w:rsidRPr="006B32A8" w:rsidP="001D3DF7" w14:paraId="64CBBE0F" w14:textId="5BAF61BF">
            <w:pPr>
              <w:pStyle w:val="RTableTextAbt"/>
            </w:pPr>
            <w:r w:rsidRPr="006B32A8">
              <w:t xml:space="preserve">$91,354 </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1D3DF7" w:rsidRPr="006B32A8" w:rsidP="001D3DF7" w14:paraId="77471FF6" w14:textId="7245CA27">
            <w:pPr>
              <w:pStyle w:val="RTableTextAbt"/>
            </w:pPr>
            <w:r w:rsidRPr="006B32A8">
              <w:t xml:space="preserve">$7 </w:t>
            </w:r>
          </w:p>
        </w:tc>
        <w:tc>
          <w:tcPr>
            <w:tcW w:w="705" w:type="pct"/>
            <w:tcBorders>
              <w:top w:val="single" w:sz="4" w:space="0" w:color="auto"/>
              <w:left w:val="nil"/>
              <w:bottom w:val="single" w:sz="4" w:space="0" w:color="auto"/>
              <w:right w:val="single" w:sz="4" w:space="0" w:color="auto"/>
            </w:tcBorders>
            <w:vAlign w:val="center"/>
          </w:tcPr>
          <w:p w:rsidR="001D3DF7" w:rsidRPr="006B32A8" w:rsidP="001D3DF7" w14:paraId="7EA20A63" w14:textId="32897955">
            <w:pPr>
              <w:pStyle w:val="RTableTextAbt"/>
            </w:pPr>
            <w:r w:rsidRPr="006B32A8">
              <w:t>8,09</w:t>
            </w:r>
            <w:r>
              <w:t>4</w:t>
            </w:r>
          </w:p>
        </w:tc>
        <w:tc>
          <w:tcPr>
            <w:tcW w:w="705" w:type="pct"/>
            <w:tcBorders>
              <w:top w:val="single" w:sz="4" w:space="0" w:color="auto"/>
              <w:left w:val="nil"/>
              <w:bottom w:val="single" w:sz="4" w:space="0" w:color="auto"/>
              <w:right w:val="single" w:sz="4" w:space="0" w:color="auto"/>
            </w:tcBorders>
            <w:vAlign w:val="center"/>
          </w:tcPr>
          <w:p w:rsidR="001D3DF7" w:rsidRPr="006B32A8" w:rsidP="001D3DF7" w14:paraId="29757911" w14:textId="5F0070BE">
            <w:pPr>
              <w:pStyle w:val="RTableTextAbt"/>
            </w:pPr>
            <w:r w:rsidRPr="006B32A8">
              <w:t>-</w:t>
            </w:r>
          </w:p>
        </w:tc>
        <w:tc>
          <w:tcPr>
            <w:tcW w:w="705" w:type="pct"/>
            <w:tcBorders>
              <w:top w:val="single" w:sz="4" w:space="0" w:color="auto"/>
              <w:left w:val="nil"/>
              <w:bottom w:val="single" w:sz="4" w:space="0" w:color="auto"/>
              <w:right w:val="single" w:sz="4" w:space="0" w:color="auto"/>
            </w:tcBorders>
            <w:vAlign w:val="center"/>
          </w:tcPr>
          <w:p w:rsidR="001D3DF7" w:rsidRPr="006B32A8" w:rsidP="001D3DF7" w14:paraId="1AB259D2" w14:textId="2EF21213">
            <w:pPr>
              <w:pStyle w:val="RTableTextAbt"/>
            </w:pPr>
            <w:r w:rsidRPr="006B32A8">
              <w:t>-</w:t>
            </w:r>
          </w:p>
        </w:tc>
      </w:tr>
      <w:tr w14:paraId="6FAE5E05" w14:textId="77777777" w:rsidTr="00CA0464">
        <w:tblPrEx>
          <w:tblW w:w="5000" w:type="pct"/>
          <w:tblLook w:val="04A0"/>
        </w:tblPrEx>
        <w:trPr>
          <w:trHeight w:val="20"/>
        </w:trPr>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1D3DF7" w:rsidRPr="000B00CB" w:rsidP="001D3DF7" w14:paraId="10A558C4" w14:textId="77777777">
            <w:pPr>
              <w:pStyle w:val="LTableTextAbt"/>
              <w:rPr>
                <w:b/>
                <w:bCs w:val="0"/>
              </w:rPr>
            </w:pPr>
            <w:r w:rsidRPr="000B00CB">
              <w:rPr>
                <w:b/>
                <w:bCs w:val="0"/>
              </w:rPr>
              <w:t>Total</w:t>
            </w:r>
          </w:p>
        </w:tc>
        <w:tc>
          <w:tcPr>
            <w:tcW w:w="625" w:type="pct"/>
            <w:tcBorders>
              <w:top w:val="single" w:sz="4" w:space="0" w:color="auto"/>
              <w:left w:val="nil"/>
              <w:bottom w:val="single" w:sz="4" w:space="0" w:color="auto"/>
              <w:right w:val="single" w:sz="4" w:space="0" w:color="auto"/>
            </w:tcBorders>
            <w:shd w:val="clear" w:color="auto" w:fill="auto"/>
            <w:vAlign w:val="center"/>
          </w:tcPr>
          <w:p w:rsidR="001D3DF7" w:rsidRPr="006B32A8" w:rsidP="001D3DF7" w14:paraId="324B1F6F" w14:textId="43AEED33">
            <w:pPr>
              <w:pStyle w:val="RTableTextAbt"/>
              <w:rPr>
                <w:b/>
                <w:bCs w:val="0"/>
              </w:rPr>
            </w:pPr>
            <w:r w:rsidRPr="006B32A8">
              <w:rPr>
                <w:b/>
                <w:bCs w:val="0"/>
              </w:rPr>
              <w:t>48,39</w:t>
            </w:r>
            <w:r>
              <w:rPr>
                <w:b/>
                <w:bCs w:val="0"/>
              </w:rPr>
              <w:t>1</w:t>
            </w:r>
          </w:p>
        </w:tc>
        <w:tc>
          <w:tcPr>
            <w:tcW w:w="624" w:type="pct"/>
            <w:tcBorders>
              <w:top w:val="single" w:sz="4" w:space="0" w:color="auto"/>
              <w:left w:val="nil"/>
              <w:bottom w:val="single" w:sz="4" w:space="0" w:color="auto"/>
              <w:right w:val="single" w:sz="4" w:space="0" w:color="auto"/>
            </w:tcBorders>
            <w:shd w:val="clear" w:color="auto" w:fill="auto"/>
            <w:vAlign w:val="center"/>
          </w:tcPr>
          <w:p w:rsidR="001D3DF7" w:rsidRPr="006B32A8" w:rsidP="001D3DF7" w14:paraId="0701C310" w14:textId="28CE8B14">
            <w:pPr>
              <w:pStyle w:val="RTableTextAbt"/>
              <w:rPr>
                <w:b/>
                <w:bCs w:val="0"/>
              </w:rPr>
            </w:pPr>
            <w:r w:rsidRPr="006B32A8">
              <w:rPr>
                <w:b/>
                <w:bCs w:val="0"/>
              </w:rPr>
              <w:t>-</w:t>
            </w:r>
          </w:p>
        </w:tc>
        <w:tc>
          <w:tcPr>
            <w:tcW w:w="674" w:type="pct"/>
            <w:tcBorders>
              <w:top w:val="single" w:sz="4" w:space="0" w:color="auto"/>
              <w:left w:val="nil"/>
              <w:bottom w:val="single" w:sz="4" w:space="0" w:color="auto"/>
              <w:right w:val="single" w:sz="4" w:space="0" w:color="auto"/>
            </w:tcBorders>
            <w:shd w:val="clear" w:color="auto" w:fill="auto"/>
            <w:vAlign w:val="center"/>
          </w:tcPr>
          <w:p w:rsidR="001D3DF7" w:rsidRPr="006B32A8" w:rsidP="001D3DF7" w14:paraId="69A4F934" w14:textId="16BA5808">
            <w:pPr>
              <w:pStyle w:val="RTableTextAbt"/>
              <w:rPr>
                <w:b/>
                <w:bCs w:val="0"/>
              </w:rPr>
            </w:pPr>
            <w:r w:rsidRPr="006B32A8">
              <w:rPr>
                <w:b/>
                <w:bCs w:val="0"/>
              </w:rPr>
              <w:t>$1</w:t>
            </w:r>
            <w:r>
              <w:rPr>
                <w:b/>
                <w:bCs w:val="0"/>
              </w:rPr>
              <w:t>5</w:t>
            </w:r>
            <w:r w:rsidRPr="006B32A8">
              <w:rPr>
                <w:b/>
                <w:bCs w:val="0"/>
              </w:rPr>
              <w:t xml:space="preserve"> </w:t>
            </w:r>
          </w:p>
        </w:tc>
        <w:tc>
          <w:tcPr>
            <w:tcW w:w="705" w:type="pct"/>
            <w:tcBorders>
              <w:top w:val="single" w:sz="4" w:space="0" w:color="auto"/>
              <w:left w:val="nil"/>
              <w:bottom w:val="single" w:sz="4" w:space="0" w:color="auto"/>
              <w:right w:val="single" w:sz="4" w:space="0" w:color="auto"/>
            </w:tcBorders>
            <w:vAlign w:val="center"/>
          </w:tcPr>
          <w:p w:rsidR="001D3DF7" w:rsidRPr="006B32A8" w:rsidP="001D3DF7" w14:paraId="78F92929" w14:textId="160E3F2F">
            <w:pPr>
              <w:pStyle w:val="RTableTextAbt"/>
              <w:rPr>
                <w:b/>
                <w:bCs w:val="0"/>
              </w:rPr>
            </w:pPr>
            <w:r w:rsidRPr="006B32A8">
              <w:rPr>
                <w:b/>
                <w:bCs w:val="0"/>
              </w:rPr>
              <w:t>48,39</w:t>
            </w:r>
            <w:r>
              <w:rPr>
                <w:b/>
                <w:bCs w:val="0"/>
              </w:rPr>
              <w:t>0</w:t>
            </w:r>
          </w:p>
        </w:tc>
        <w:tc>
          <w:tcPr>
            <w:tcW w:w="705" w:type="pct"/>
            <w:tcBorders>
              <w:top w:val="single" w:sz="4" w:space="0" w:color="auto"/>
              <w:left w:val="nil"/>
              <w:bottom w:val="single" w:sz="4" w:space="0" w:color="auto"/>
              <w:right w:val="single" w:sz="4" w:space="0" w:color="auto"/>
            </w:tcBorders>
            <w:vAlign w:val="center"/>
          </w:tcPr>
          <w:p w:rsidR="001D3DF7" w:rsidRPr="006B32A8" w:rsidP="001D3DF7" w14:paraId="09AD11F8" w14:textId="3B9ABBED">
            <w:pPr>
              <w:pStyle w:val="RTableTextAbt"/>
              <w:rPr>
                <w:b/>
                <w:bCs w:val="0"/>
              </w:rPr>
            </w:pPr>
            <w:r>
              <w:rPr>
                <w:b/>
                <w:bCs w:val="0"/>
              </w:rPr>
              <w:t>1</w:t>
            </w:r>
          </w:p>
        </w:tc>
        <w:tc>
          <w:tcPr>
            <w:tcW w:w="705" w:type="pct"/>
            <w:tcBorders>
              <w:top w:val="single" w:sz="4" w:space="0" w:color="auto"/>
              <w:left w:val="nil"/>
              <w:bottom w:val="single" w:sz="4" w:space="0" w:color="auto"/>
              <w:right w:val="single" w:sz="4" w:space="0" w:color="auto"/>
            </w:tcBorders>
            <w:vAlign w:val="center"/>
          </w:tcPr>
          <w:p w:rsidR="001D3DF7" w:rsidRPr="006B32A8" w:rsidP="001D3DF7" w14:paraId="4F97052D" w14:textId="3A28425F">
            <w:pPr>
              <w:pStyle w:val="RTableTextAbt"/>
              <w:rPr>
                <w:b/>
                <w:bCs w:val="0"/>
              </w:rPr>
            </w:pPr>
            <w:r w:rsidRPr="006B32A8">
              <w:rPr>
                <w:b/>
                <w:bCs w:val="0"/>
              </w:rPr>
              <w:t>-</w:t>
            </w:r>
          </w:p>
        </w:tc>
      </w:tr>
    </w:tbl>
    <w:p w:rsidR="00E67929" w:rsidP="006401F0" w14:paraId="5036E250" w14:textId="77777777">
      <w:pPr>
        <w:pStyle w:val="BodyText"/>
        <w:rPr>
          <w:lang w:val="en-US"/>
        </w:rPr>
        <w:sectPr w:rsidSect="00946DC8">
          <w:footerReference w:type="default" r:id="rId19"/>
          <w:footerReference w:type="first" r:id="rId20"/>
          <w:pgSz w:w="12240" w:h="15840" w:code="1"/>
          <w:pgMar w:top="1440" w:right="1440" w:bottom="1440" w:left="1800" w:header="720" w:footer="720" w:gutter="0"/>
          <w:pgNumType w:start="1"/>
          <w:cols w:space="720"/>
          <w:titlePg/>
          <w:docGrid w:linePitch="299"/>
        </w:sectPr>
      </w:pPr>
    </w:p>
    <w:p w:rsidR="00BE5260" w:rsidP="00E94075" w14:paraId="6637726B" w14:textId="38C5DDA3">
      <w:pPr>
        <w:pStyle w:val="Heading1"/>
      </w:pPr>
      <w:bookmarkStart w:id="26" w:name="_Ref164846105"/>
      <w:bookmarkStart w:id="27" w:name="_Toc184299503"/>
      <w:r w:rsidRPr="00B56426">
        <w:t>Introduction</w:t>
      </w:r>
      <w:bookmarkEnd w:id="26"/>
      <w:bookmarkEnd w:id="27"/>
    </w:p>
    <w:p w:rsidR="001647F9" w:rsidRPr="00CA6588" w:rsidP="00832749" w14:paraId="27252E63" w14:textId="773A9139">
      <w:pPr>
        <w:pStyle w:val="BodyText"/>
      </w:pPr>
      <w:r w:rsidRPr="4BA86F39">
        <w:rPr>
          <w:lang w:val="en-US"/>
        </w:rPr>
        <w:t xml:space="preserve">The Frank R. Lautenberg Chemical Safety for the 21st Century Act amended the Toxic Substances Control Act (TSCA), the nation’s primary chemicals management law, in June 2016. Under the amended statute, the Environmental Protection Agency (EPA) is required, under TSCA Section 6(b), to conduct risk evaluations to determine whether a chemical substance presents an unreasonable risk of injury to health or the environment, under the conditions of use, without consideration of costs or other non-risk factors, including an unreasonable risk to potentially exposed or susceptible subpopulations identified as relevant to the Risk Evaluation. If unreasonable risk is found, EPA is required to perform Risk Management. </w:t>
      </w:r>
    </w:p>
    <w:p w:rsidR="00F54169" w:rsidP="00832749" w14:paraId="4F4CD40A" w14:textId="6E3BD42B">
      <w:pPr>
        <w:pStyle w:val="BodyText"/>
      </w:pPr>
      <w:r w:rsidRPr="4BA86F39">
        <w:rPr>
          <w:lang w:val="en-US"/>
        </w:rPr>
        <w:t xml:space="preserve">Pursuant to TSCA Section 6, EPA conducted a risk evaluation for </w:t>
      </w:r>
      <w:r w:rsidR="0087747E">
        <w:rPr>
          <w:lang w:val="en-US"/>
        </w:rPr>
        <w:t xml:space="preserve">Colour </w:t>
      </w:r>
      <w:r w:rsidR="001952A3">
        <w:rPr>
          <w:lang w:val="en-US"/>
        </w:rPr>
        <w:t>Index</w:t>
      </w:r>
      <w:r w:rsidR="00AA5EA2">
        <w:rPr>
          <w:lang w:val="en-US"/>
        </w:rPr>
        <w:t xml:space="preserve"> </w:t>
      </w:r>
      <w:r w:rsidR="001952A3">
        <w:rPr>
          <w:lang w:val="en-US"/>
        </w:rPr>
        <w:t>(</w:t>
      </w:r>
      <w:r w:rsidRPr="4BA86F39">
        <w:rPr>
          <w:lang w:val="en-US"/>
        </w:rPr>
        <w:t>C.I.</w:t>
      </w:r>
      <w:r w:rsidR="00AA5EA2">
        <w:rPr>
          <w:lang w:val="en-US"/>
        </w:rPr>
        <w:t>)</w:t>
      </w:r>
      <w:r w:rsidRPr="4BA86F39">
        <w:rPr>
          <w:lang w:val="en-US"/>
        </w:rPr>
        <w:t xml:space="preserve"> Pigment Violet 29 (PV29) and identified several cases where conditions of use constitute unreasonable risks </w:t>
      </w:r>
      <w:hyperlink w:anchor="_ENREF_32" w:tooltip="U.S. Environmental Protection Agency (EPA), 2021 #1" w:history="1">
        <w:r w:rsidR="00C83DB8">
          <w:t>(</w:t>
        </w:r>
      </w:hyperlink>
      <w:hyperlink w:anchor="_ENREF_65" w:tooltip="U.S. Environmental Protection Agency (EPA), 2021 #61" w:history="1">
        <w:r w:rsidRPr="00CA6588" w:rsidR="003D6084">
          <w:fldChar w:fldCharType="begin" w:fldLock="1"/>
        </w:r>
        <w:r w:rsidR="003D6084">
          <w:instrText xml:space="preserve"> ADDIN EN.CITE &lt;EndNote&gt;&lt;Cite ExcludeAuth="1"&gt;&lt;Author&gt;U.S. Environmental Protection Agency (EPA)&lt;/Author&gt;&lt;Year&gt;2021&lt;/Year&gt;&lt;RecNum&gt;61&lt;/RecNum&gt;&lt;Prefix&gt;EPA &lt;/Prefix&gt;&lt;DisplayText&gt;EPA 2021e&lt;/DisplayText&gt;&lt;record&gt;&lt;rec-number&gt;61&lt;/rec-number&gt;&lt;foreign-keys&gt;&lt;key app="EN" db-id="2apzr05radv9fjet2w6xxwdlz5e9vwfxredw" timestamp="1730757315"&gt;61&lt;/key&gt;&lt;/foreign-keys&gt;&lt;ref-type name="Generic"&gt;13&lt;/ref-type&gt;&lt;contributors&gt;&lt;authors&gt;&lt;author&gt;U.S. Environmental Protection Agency (EPA),&lt;/author&gt;&lt;/authors&gt;&lt;subsidiary-authors&gt;&lt;author&gt;Office of Chemical Safety and Pollution Prevention&lt;/author&gt;&lt;/subsidiary-authors&gt;&lt;/contributors&gt;&lt;titles&gt;&lt;title&gt;Risk Evaluation for C.I. Pigment Violet 29 (Anthra[2,1,9-def:6,5,10-d&amp;apos;e&amp;apos;f&amp;apos;]diisoquinoline-1,3,8,10(2H,9H)-tetrone)&lt;/title&gt;&lt;/titles&gt;&lt;number&gt;# 740-R-18-015&lt;/number&gt;&lt;dates&gt;&lt;year&gt;2021&lt;/year&gt;&lt;/dates&gt;&lt;urls&gt;&lt;/urls&gt;&lt;/record&gt;&lt;/Cite&gt;&lt;/EndNote&gt;</w:instrText>
        </w:r>
        <w:r w:rsidRPr="00CA6588" w:rsidR="003D6084">
          <w:fldChar w:fldCharType="separate"/>
        </w:r>
        <w:r w:rsidR="003D6084">
          <w:rPr>
            <w:noProof/>
          </w:rPr>
          <w:t>EPA 2021e</w:t>
        </w:r>
        <w:r w:rsidRPr="00CA6588" w:rsidR="003D6084">
          <w:fldChar w:fldCharType="end"/>
        </w:r>
      </w:hyperlink>
      <w:r w:rsidR="00C83DB8">
        <w:rPr>
          <w:lang w:val="en-US"/>
        </w:rPr>
        <w:t>)</w:t>
      </w:r>
      <w:r w:rsidRPr="4BA86F39">
        <w:rPr>
          <w:lang w:val="en-US"/>
        </w:rPr>
        <w:t xml:space="preserve">. This report estimates and evaluates the costs and benefits expected to result from a rule limiting the use of PV29 to mitigate the risks. </w:t>
      </w:r>
    </w:p>
    <w:p w:rsidR="001647F9" w:rsidRPr="00CA6588" w:rsidP="00832749" w14:paraId="587144D6" w14:textId="1BC2812C">
      <w:pPr>
        <w:pStyle w:val="BodyText"/>
      </w:pPr>
      <w:r>
        <w:t>This chapter</w:t>
      </w:r>
      <w:r w:rsidRPr="00CA6588">
        <w:t xml:space="preserve"> provides an overview of PV29, its chemical properties, and its uses (Section </w:t>
      </w:r>
      <w:r w:rsidRPr="00CA6588">
        <w:fldChar w:fldCharType="begin" w:fldLock="1"/>
      </w:r>
      <w:r w:rsidRPr="00CA6588">
        <w:instrText xml:space="preserve"> REF _Ref173937725 \r </w:instrText>
      </w:r>
      <w:r w:rsidR="00CA6588">
        <w:instrText xml:space="preserve"> \* MERGEFORMAT </w:instrText>
      </w:r>
      <w:r w:rsidRPr="00CA6588">
        <w:fldChar w:fldCharType="separate"/>
      </w:r>
      <w:r w:rsidR="00735BBC">
        <w:t>1.1</w:t>
      </w:r>
      <w:r w:rsidRPr="00CA6588">
        <w:fldChar w:fldCharType="end"/>
      </w:r>
      <w:r w:rsidRPr="00CA6588">
        <w:t xml:space="preserve">), summarizes the conditions of use that constitute an unreasonable risk pursuant to the risk evaluation (Section </w:t>
      </w:r>
      <w:r w:rsidRPr="00CA6588">
        <w:fldChar w:fldCharType="begin" w:fldLock="1"/>
      </w:r>
      <w:r w:rsidRPr="00CA6588">
        <w:instrText xml:space="preserve"> REF _Ref173937753 \r </w:instrText>
      </w:r>
      <w:r w:rsidR="00CA6588">
        <w:instrText xml:space="preserve"> \* MERGEFORMAT </w:instrText>
      </w:r>
      <w:r w:rsidRPr="00CA6588">
        <w:fldChar w:fldCharType="separate"/>
      </w:r>
      <w:r w:rsidR="00735BBC">
        <w:t>1.2</w:t>
      </w:r>
      <w:r w:rsidRPr="00CA6588">
        <w:fldChar w:fldCharType="end"/>
      </w:r>
      <w:r w:rsidRPr="00CA6588">
        <w:t>)</w:t>
      </w:r>
      <w:r>
        <w:t>,</w:t>
      </w:r>
      <w:r w:rsidR="00592E30">
        <w:t xml:space="preserve"> summarizes the proposed and alternative regulatory option considered in this economic analysis (</w:t>
      </w:r>
      <w:r w:rsidR="00DC429C">
        <w:t>S</w:t>
      </w:r>
      <w:r w:rsidR="00592E30">
        <w:t xml:space="preserve">ection </w:t>
      </w:r>
      <w:r w:rsidR="00DC429C">
        <w:fldChar w:fldCharType="begin" w:fldLock="1"/>
      </w:r>
      <w:r w:rsidR="00DC429C">
        <w:instrText xml:space="preserve"> REF _Ref180505536 \r \h </w:instrText>
      </w:r>
      <w:r w:rsidR="00DC429C">
        <w:fldChar w:fldCharType="separate"/>
      </w:r>
      <w:r w:rsidR="00735BBC">
        <w:t>1.3</w:t>
      </w:r>
      <w:r w:rsidR="00DC429C">
        <w:fldChar w:fldCharType="end"/>
      </w:r>
      <w:r w:rsidR="00DC429C">
        <w:t>), and summar</w:t>
      </w:r>
      <w:r w:rsidR="00520AE2">
        <w:t xml:space="preserve">izes the organization of this economic analysis document (Section </w:t>
      </w:r>
      <w:r w:rsidR="00DC429C">
        <w:fldChar w:fldCharType="begin" w:fldLock="1"/>
      </w:r>
      <w:r w:rsidR="00DC429C">
        <w:instrText xml:space="preserve"> REF _Ref180505537 \r \h </w:instrText>
      </w:r>
      <w:r w:rsidR="00DC429C">
        <w:fldChar w:fldCharType="separate"/>
      </w:r>
      <w:r w:rsidR="00735BBC">
        <w:t>1.4</w:t>
      </w:r>
      <w:r w:rsidR="00DC429C">
        <w:fldChar w:fldCharType="end"/>
      </w:r>
      <w:r w:rsidR="00520AE2">
        <w:t>)</w:t>
      </w:r>
      <w:r w:rsidRPr="00CA6588">
        <w:t xml:space="preserve">. </w:t>
      </w:r>
    </w:p>
    <w:p w:rsidR="001647F9" w:rsidRPr="00A95A85" w:rsidP="001647F9" w14:paraId="0D8D4F69" w14:textId="77777777">
      <w:pPr>
        <w:pStyle w:val="Heading2"/>
      </w:pPr>
      <w:bookmarkStart w:id="28" w:name="_Ref173937725"/>
      <w:bookmarkStart w:id="29" w:name="_Toc175217209"/>
      <w:bookmarkStart w:id="30" w:name="_Toc179234305"/>
      <w:bookmarkStart w:id="31" w:name="_Toc184299504"/>
      <w:r w:rsidRPr="00A95A85">
        <w:t>Overview of PV29</w:t>
      </w:r>
      <w:bookmarkEnd w:id="28"/>
      <w:bookmarkEnd w:id="29"/>
      <w:bookmarkEnd w:id="30"/>
      <w:bookmarkEnd w:id="31"/>
    </w:p>
    <w:p w:rsidR="001647F9" w:rsidRPr="00CA6588" w:rsidP="00832749" w14:paraId="012C2386" w14:textId="15BA98E8">
      <w:pPr>
        <w:pStyle w:val="BodyText"/>
      </w:pPr>
      <w:r w:rsidRPr="4BA86F39">
        <w:rPr>
          <w:lang w:val="en-US"/>
        </w:rPr>
        <w:t>PV29 is an organic compound that is used as a pigment.</w:t>
      </w:r>
      <w:r>
        <w:rPr>
          <w:rStyle w:val="FootnoteReference"/>
          <w:lang w:val="en-US"/>
        </w:rPr>
        <w:footnoteReference w:id="6"/>
      </w:r>
      <w:r w:rsidRPr="4BA86F39">
        <w:rPr>
          <w:lang w:val="en-US"/>
        </w:rPr>
        <w:t xml:space="preserve"> It has a dark red purple color. As shown in </w:t>
      </w:r>
      <w:r w:rsidRPr="00CA6588">
        <w:fldChar w:fldCharType="begin" w:fldLock="1"/>
      </w:r>
      <w:r w:rsidRPr="00CA6588">
        <w:instrText xml:space="preserve"> REF _Ref73280871 \h  \* MERGEFORMAT </w:instrText>
      </w:r>
      <w:r w:rsidRPr="00CA6588">
        <w:fldChar w:fldCharType="separate"/>
      </w:r>
      <w:r w:rsidRPr="00735BBC" w:rsidR="00735BBC">
        <w:rPr>
          <w:lang w:val="en-US"/>
        </w:rPr>
        <w:t>Figure 1</w:t>
      </w:r>
      <w:r w:rsidRPr="00735BBC" w:rsidR="00735BBC">
        <w:rPr>
          <w:lang w:val="en-US"/>
        </w:rPr>
        <w:noBreakHyphen/>
        <w:t>1</w:t>
      </w:r>
      <w:r w:rsidRPr="00CA6588">
        <w:fldChar w:fldCharType="end"/>
      </w:r>
      <w:r w:rsidRPr="4BA86F39">
        <w:rPr>
          <w:lang w:val="en-US"/>
        </w:rPr>
        <w:t>, the color of PV29 has been described as dark red-violet, bordeaux, black, maroon, and purple</w:t>
      </w:r>
      <w:r w:rsidR="00631C4E">
        <w:rPr>
          <w:lang w:val="en-US"/>
        </w:rPr>
        <w:t xml:space="preserve"> (</w:t>
      </w:r>
      <w:hyperlink w:anchor="_ENREF_2" w:tooltip="American Chemical Society, 2019 #2" w:history="1">
        <w:r w:rsidR="003D6084">
          <w:rPr>
            <w:lang w:val="en-US"/>
          </w:rPr>
          <w:fldChar w:fldCharType="begin" w:fldLock="1"/>
        </w:r>
        <w:r w:rsidR="003D6084">
          <w:rPr>
            <w:lang w:val="en-US"/>
          </w:rPr>
          <w:instrText xml:space="preserve"> ADDIN EN.CITE &lt;EndNote&gt;&lt;Cite&gt;&lt;Author&gt;American Chemical Society&lt;/Author&gt;&lt;Year&gt;2019&lt;/Year&gt;&lt;RecNum&gt;2&lt;/RecNum&gt;&lt;DisplayText&gt;American Chemical Society 2019&lt;/DisplayText&gt;&lt;record&gt;&lt;rec-number&gt;2&lt;/rec-number&gt;&lt;foreign-keys&gt;&lt;key app="EN" db-id="2apzr05radv9fjet2w6xxwdlz5e9vwfxredw" timestamp="1730757315"&gt;2&lt;/key&gt;&lt;/foreign-keys&gt;&lt;ref-type name="Generic"&gt;13&lt;/ref-type&gt;&lt;contributors&gt;&lt;authors&gt;&lt;author&gt;American Chemical Society,&lt;/author&gt;&lt;/authors&gt;&lt;/contributors&gt;&lt;titles&gt;&lt;title&gt;Molecule of the Week Archive. PV29&lt;/title&gt;&lt;/titles&gt;&lt;dates&gt;&lt;year&gt;2019&lt;/year&gt;&lt;/dates&gt;&lt;urls&gt;&lt;related-urls&gt;&lt;url&gt;https://www.acs.org/molecule-of-the-week/archive/p/pigment-violet-29.html&lt;/url&gt;&lt;/related-urls&gt;&lt;/urls&gt;&lt;/record&gt;&lt;/Cite&gt;&lt;/EndNote&gt;</w:instrText>
        </w:r>
        <w:r w:rsidR="003D6084">
          <w:rPr>
            <w:lang w:val="en-US"/>
          </w:rPr>
          <w:fldChar w:fldCharType="separate"/>
        </w:r>
        <w:r w:rsidR="003D6084">
          <w:rPr>
            <w:noProof/>
            <w:lang w:val="en-US"/>
          </w:rPr>
          <w:t>American Chemical Society 2019</w:t>
        </w:r>
        <w:r w:rsidR="003D6084">
          <w:rPr>
            <w:lang w:val="en-US"/>
          </w:rPr>
          <w:fldChar w:fldCharType="end"/>
        </w:r>
      </w:hyperlink>
      <w:r w:rsidR="00631C4E">
        <w:rPr>
          <w:lang w:val="en-US"/>
        </w:rPr>
        <w:t>)</w:t>
      </w:r>
      <w:r w:rsidRPr="4BA86F39">
        <w:rPr>
          <w:lang w:val="en-US"/>
        </w:rPr>
        <w:t>. </w:t>
      </w:r>
    </w:p>
    <w:p w:rsidR="001647F9" w:rsidRPr="00A95A85" w:rsidP="001647F9" w14:paraId="155B7DE2" w14:textId="3CDD3071">
      <w:pPr>
        <w:pStyle w:val="Caption"/>
      </w:pPr>
    </w:p>
    <w:tbl>
      <w:tblPr>
        <w:tblStyle w:val="TableGrid"/>
        <w:tblW w:w="5000" w:type="pct"/>
        <w:tblLayout w:type="fixed"/>
        <w:tblCellMar>
          <w:left w:w="0" w:type="dxa"/>
          <w:right w:w="0" w:type="dxa"/>
        </w:tblCellMar>
        <w:tblLook w:val="04A0"/>
      </w:tblPr>
      <w:tblGrid>
        <w:gridCol w:w="9000"/>
      </w:tblGrid>
      <w:tr w14:paraId="7A957FDE" w14:textId="77777777" w:rsidTr="004C0739">
        <w:tblPrEx>
          <w:tblW w:w="5000" w:type="pct"/>
          <w:tblLayout w:type="fixed"/>
          <w:tblCellMar>
            <w:left w:w="0" w:type="dxa"/>
            <w:right w:w="0" w:type="dxa"/>
          </w:tblCellMar>
          <w:tblLook w:val="04A0"/>
        </w:tblPrEx>
        <w:trPr>
          <w:trHeight w:val="233"/>
        </w:trPr>
        <w:tc>
          <w:tcPr>
            <w:tcW w:w="5000" w:type="pct"/>
            <w:tcBorders>
              <w:top w:val="nil"/>
              <w:left w:val="nil"/>
              <w:bottom w:val="single" w:sz="4" w:space="0" w:color="auto"/>
              <w:right w:val="nil"/>
            </w:tcBorders>
          </w:tcPr>
          <w:p w:rsidR="000D7F2B" w:rsidRPr="00A95A85" w:rsidP="00026204" w14:paraId="5ADD65C1" w14:textId="163903B3">
            <w:pPr>
              <w:pStyle w:val="TableTitleA"/>
              <w:rPr>
                <w:noProof/>
              </w:rPr>
            </w:pPr>
            <w:bookmarkStart w:id="32" w:name="_Ref73280871"/>
            <w:r w:rsidRPr="00A95A85">
              <w:t xml:space="preserve">Figure </w:t>
            </w:r>
            <w:r>
              <w:fldChar w:fldCharType="begin" w:fldLock="1"/>
            </w:r>
            <w:r>
              <w:instrText>STYLEREF 1 \s</w:instrText>
            </w:r>
            <w:r>
              <w:fldChar w:fldCharType="separate"/>
            </w:r>
            <w:r w:rsidR="00735BBC">
              <w:rPr>
                <w:noProof/>
              </w:rPr>
              <w:t>1</w:t>
            </w:r>
            <w:r>
              <w:fldChar w:fldCharType="end"/>
            </w:r>
            <w:r w:rsidRPr="00A95A85">
              <w:noBreakHyphen/>
            </w:r>
            <w:r>
              <w:fldChar w:fldCharType="begin" w:fldLock="1"/>
            </w:r>
            <w:r>
              <w:instrText>SEQ Figure \* ARABIC \s 1</w:instrText>
            </w:r>
            <w:r>
              <w:fldChar w:fldCharType="separate"/>
            </w:r>
            <w:r w:rsidR="00735BBC">
              <w:rPr>
                <w:noProof/>
              </w:rPr>
              <w:t>1</w:t>
            </w:r>
            <w:r>
              <w:fldChar w:fldCharType="end"/>
            </w:r>
            <w:bookmarkEnd w:id="32"/>
            <w:r w:rsidRPr="00A95A85">
              <w:t>: Shades of C.I. Pigment Violet 29</w:t>
            </w:r>
          </w:p>
        </w:tc>
      </w:tr>
      <w:tr w14:paraId="7BB6EEA3" w14:textId="77777777" w:rsidTr="004C0739">
        <w:tblPrEx>
          <w:tblW w:w="5000" w:type="pct"/>
          <w:tblLayout w:type="fixed"/>
          <w:tblCellMar>
            <w:left w:w="0" w:type="dxa"/>
            <w:right w:w="0" w:type="dxa"/>
          </w:tblCellMar>
          <w:tblLook w:val="04A0"/>
        </w:tblPrEx>
        <w:trPr>
          <w:trHeight w:val="1520"/>
        </w:trPr>
        <w:tc>
          <w:tcPr>
            <w:tcW w:w="5000" w:type="pct"/>
            <w:tcBorders>
              <w:top w:val="single" w:sz="4" w:space="0" w:color="auto"/>
            </w:tcBorders>
          </w:tcPr>
          <w:p w:rsidR="001647F9" w:rsidRPr="00A95A85" w:rsidP="00CA0464" w14:paraId="71F91566" w14:textId="77777777">
            <w:pPr>
              <w:pStyle w:val="TableText"/>
              <w:rPr>
                <w:rFonts w:ascii="Open Sans" w:hAnsi="Open Sans" w:cs="Open Sans"/>
                <w:color w:val="333333"/>
                <w:shd w:val="clear" w:color="auto" w:fill="FFFFFF"/>
              </w:rPr>
            </w:pPr>
            <w:r w:rsidRPr="00A95A85">
              <w:rPr>
                <w:noProof/>
              </w:rPr>
              <w:drawing>
                <wp:inline distT="0" distB="0" distL="0" distR="0">
                  <wp:extent cx="5800478" cy="926816"/>
                  <wp:effectExtent l="0" t="0" r="0" b="6985"/>
                  <wp:docPr id="18" name="Picture 18" descr="A close-up of a paint s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up of a paint swatch"/>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rcRect t="38800" b="45222"/>
                          <a:stretch>
                            <a:fillRect/>
                          </a:stretch>
                        </pic:blipFill>
                        <pic:spPr bwMode="auto">
                          <a:xfrm>
                            <a:off x="0" y="0"/>
                            <a:ext cx="5814477" cy="92905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tc>
      </w:tr>
      <w:tr w14:paraId="47BBD74F" w14:textId="77777777" w:rsidTr="00CA0464">
        <w:tblPrEx>
          <w:tblW w:w="5000" w:type="pct"/>
          <w:tblLayout w:type="fixed"/>
          <w:tblCellMar>
            <w:left w:w="0" w:type="dxa"/>
            <w:right w:w="0" w:type="dxa"/>
          </w:tblCellMar>
          <w:tblLook w:val="04A0"/>
        </w:tblPrEx>
        <w:tc>
          <w:tcPr>
            <w:tcW w:w="5000" w:type="pct"/>
          </w:tcPr>
          <w:p w:rsidR="001647F9" w:rsidRPr="00A95A85" w:rsidP="00CA0464" w14:paraId="33EDE01F" w14:textId="40A338F6">
            <w:pPr>
              <w:pStyle w:val="TableNote0"/>
            </w:pPr>
            <w:r w:rsidRPr="00A95A85">
              <w:t xml:space="preserve">Source: </w:t>
            </w:r>
            <w:hyperlink w:anchor="_ENREF_46" w:tooltip="The Paint Spot, 2022 #46" w:history="1">
              <w:r w:rsidR="003D6084">
                <w:fldChar w:fldCharType="begin" w:fldLock="1"/>
              </w:r>
              <w:r w:rsidR="003D6084">
                <w:instrText xml:space="preserve"> ADDIN EN.CITE &lt;EndNote&gt;&lt;Cite&gt;&lt;Author&gt;The Paint Spot&lt;/Author&gt;&lt;Year&gt;2022&lt;/Year&gt;&lt;RecNum&gt;46&lt;/RecNum&gt;&lt;DisplayText&gt;The Paint Spot 2022&lt;/DisplayText&gt;&lt;record&gt;&lt;rec-number&gt;46&lt;/rec-number&gt;&lt;foreign-keys&gt;&lt;key app="EN" db-id="2apzr05radv9fjet2w6xxwdlz5e9vwfxredw" timestamp="1730757315"&gt;46&lt;/key&gt;&lt;/foreign-keys&gt;&lt;ref-type name="Web Page"&gt;12&lt;/ref-type&gt;&lt;contributors&gt;&lt;authors&gt;&lt;author&gt;The Paint Spot,&lt;/author&gt;&lt;/authors&gt;&lt;/contributors&gt;&lt;titles&gt;&lt;title&gt;DS057 Perylene Violet&lt;/title&gt;&lt;short-title&gt;DS057 Perylene Violet.&lt;/short-title&gt;&lt;/titles&gt;&lt;volume&gt;2022&lt;/volume&gt;&lt;number&gt;April 19&lt;/number&gt;&lt;dates&gt;&lt;year&gt;2022&lt;/year&gt;&lt;/dates&gt;&lt;urls&gt;&lt;related-urls&gt;&lt;url&gt;https://paintspot.ca/art-supplies/uncategorized/ds057-perylene-violet/&lt;/url&gt;&lt;/related-urls&gt;&lt;/urls&gt;&lt;/record&gt;&lt;/Cite&gt;&lt;/EndNote&gt;</w:instrText>
              </w:r>
              <w:r w:rsidR="003D6084">
                <w:fldChar w:fldCharType="separate"/>
              </w:r>
              <w:r w:rsidR="003D6084">
                <w:rPr>
                  <w:noProof/>
                </w:rPr>
                <w:t>The Paint Spot 2022</w:t>
              </w:r>
              <w:r w:rsidR="003D6084">
                <w:fldChar w:fldCharType="end"/>
              </w:r>
            </w:hyperlink>
          </w:p>
        </w:tc>
      </w:tr>
    </w:tbl>
    <w:p w:rsidR="001647F9" w:rsidRPr="00A95A85" w:rsidP="00832749" w14:paraId="0C3FC792" w14:textId="77777777">
      <w:pPr>
        <w:pStyle w:val="BodyText"/>
      </w:pPr>
    </w:p>
    <w:p w:rsidR="001647F9" w:rsidRPr="00A95A85" w:rsidP="00832749" w14:paraId="05D7E5AA" w14:textId="493D7AEA">
      <w:pPr>
        <w:pStyle w:val="BodyText"/>
      </w:pPr>
      <w:r w:rsidRPr="4BA86F39">
        <w:rPr>
          <w:lang w:val="en-US"/>
        </w:rPr>
        <w:t xml:space="preserve">The name “C.I. Pigment Violet 29” is assigned, copyrighted and maintained by the Society of Dyers and Colourists and the American Association of Textile Colorists and Chemists. As documented in EPA’s final risk evaluation </w:t>
      </w:r>
      <w:hyperlink w:anchor="_ENREF_32" w:tooltip="U.S. Environmental Protection Agency (EPA), 2021 #1" w:history="1">
        <w:r w:rsidR="00C83DB8">
          <w:t>(</w:t>
        </w:r>
      </w:hyperlink>
      <w:hyperlink w:anchor="_ENREF_65" w:tooltip="U.S. Environmental Protection Agency (EPA), 2021 #61" w:history="1">
        <w:r w:rsidRPr="00CA6588" w:rsidR="003D6084">
          <w:fldChar w:fldCharType="begin" w:fldLock="1"/>
        </w:r>
        <w:r w:rsidR="003D6084">
          <w:instrText xml:space="preserve"> ADDIN EN.CITE &lt;EndNote&gt;&lt;Cite ExcludeAuth="1"&gt;&lt;Author&gt;U.S. Environmental Protection Agency (EPA)&lt;/Author&gt;&lt;Year&gt;2021&lt;/Year&gt;&lt;RecNum&gt;61&lt;/RecNum&gt;&lt;Prefix&gt;EPA &lt;/Prefix&gt;&lt;DisplayText&gt;EPA 2021e&lt;/DisplayText&gt;&lt;record&gt;&lt;rec-number&gt;61&lt;/rec-number&gt;&lt;foreign-keys&gt;&lt;key app="EN" db-id="2apzr05radv9fjet2w6xxwdlz5e9vwfxredw" timestamp="1730757315"&gt;61&lt;/key&gt;&lt;/foreign-keys&gt;&lt;ref-type name="Generic"&gt;13&lt;/ref-type&gt;&lt;contributors&gt;&lt;authors&gt;&lt;author&gt;U.S. Environmental Protection Agency (EPA),&lt;/author&gt;&lt;/authors&gt;&lt;subsidiary-authors&gt;&lt;author&gt;Office of Chemical Safety and Pollution Prevention&lt;/author&gt;&lt;/subsidiary-authors&gt;&lt;/contributors&gt;&lt;titles&gt;&lt;title&gt;Risk Evaluation for C.I. Pigment Violet 29 (Anthra[2,1,9-def:6,5,10-d&amp;apos;e&amp;apos;f&amp;apos;]diisoquinoline-1,3,8,10(2H,9H)-tetrone)&lt;/title&gt;&lt;/titles&gt;&lt;number&gt;# 740-R-18-015&lt;/number&gt;&lt;dates&gt;&lt;year&gt;2021&lt;/year&gt;&lt;/dates&gt;&lt;urls&gt;&lt;/urls&gt;&lt;/record&gt;&lt;/Cite&gt;&lt;/EndNote&gt;</w:instrText>
        </w:r>
        <w:r w:rsidRPr="00CA6588" w:rsidR="003D6084">
          <w:fldChar w:fldCharType="separate"/>
        </w:r>
        <w:r w:rsidR="003D6084">
          <w:rPr>
            <w:noProof/>
          </w:rPr>
          <w:t>EPA 2021e</w:t>
        </w:r>
        <w:r w:rsidRPr="00CA6588" w:rsidR="003D6084">
          <w:fldChar w:fldCharType="end"/>
        </w:r>
      </w:hyperlink>
      <w:r w:rsidR="00C83DB8">
        <w:rPr>
          <w:lang w:val="en-US"/>
        </w:rPr>
        <w:t>)</w:t>
      </w:r>
      <w:r w:rsidRPr="4BA86F39">
        <w:rPr>
          <w:lang w:val="en-US"/>
        </w:rPr>
        <w:t>, PV29 is considered a high-performance pigment, known for its high color strength, weather fastness and heat stability. PV29 is primarily processed as a site-limited intermediate for the creation or adjustment to other perylene pigments. The pigment is also used in paints, coatings, and plastics.</w:t>
      </w:r>
    </w:p>
    <w:p w:rsidR="001647F9" w:rsidRPr="00A95A85" w:rsidP="00832749" w14:paraId="46925205" w14:textId="17623317">
      <w:pPr>
        <w:pStyle w:val="BodyText"/>
      </w:pPr>
      <w:r w:rsidRPr="4BA86F39">
        <w:rPr>
          <w:lang w:val="en-US"/>
        </w:rPr>
        <w:t>C.I. Pigment Violet 29 is a name used in sales of products containing anthra[2,1,9-def:6,5,10-d’e’f’]diisoquinoline-1,3,8,10(2H,9H)-tetrone, CASRN 81-33-4. As a member of the perylene</w:t>
      </w:r>
      <w:r>
        <w:rPr>
          <w:rStyle w:val="FootnoteReference"/>
          <w:lang w:val="en-US"/>
        </w:rPr>
        <w:footnoteReference w:id="7"/>
      </w:r>
      <w:r w:rsidRPr="4BA86F39">
        <w:rPr>
          <w:lang w:val="en-US"/>
        </w:rPr>
        <w:t xml:space="preserve"> class of pigments, it has been recognized for its high color strength, weatherfastness, and heat stability. The reasons for these high-performance characteristics have been attributed to the organizational structure of the molecule, which is a well-organized planer polycyclic aromatic ring system </w:t>
      </w:r>
      <w:hyperlink w:anchor="_ENREF_32" w:tooltip="U.S. Environmental Protection Agency (EPA), 2021 #1" w:history="1">
        <w:r w:rsidR="00C83DB8">
          <w:t>(</w:t>
        </w:r>
      </w:hyperlink>
      <w:hyperlink w:anchor="_ENREF_65" w:tooltip="U.S. Environmental Protection Agency (EPA), 2021 #61" w:history="1">
        <w:r w:rsidRPr="00CA6588" w:rsidR="003D6084">
          <w:fldChar w:fldCharType="begin" w:fldLock="1"/>
        </w:r>
        <w:r w:rsidR="003D6084">
          <w:instrText xml:space="preserve"> ADDIN EN.CITE &lt;EndNote&gt;&lt;Cite ExcludeAuth="1"&gt;&lt;Author&gt;U.S. Environmental Protection Agency (EPA)&lt;/Author&gt;&lt;Year&gt;2021&lt;/Year&gt;&lt;RecNum&gt;61&lt;/RecNum&gt;&lt;Prefix&gt;EPA &lt;/Prefix&gt;&lt;DisplayText&gt;EPA 2021e&lt;/DisplayText&gt;&lt;record&gt;&lt;rec-number&gt;61&lt;/rec-number&gt;&lt;foreign-keys&gt;&lt;key app="EN" db-id="2apzr05radv9fjet2w6xxwdlz5e9vwfxredw" timestamp="1730757315"&gt;61&lt;/key&gt;&lt;/foreign-keys&gt;&lt;ref-type name="Generic"&gt;13&lt;/ref-type&gt;&lt;contributors&gt;&lt;authors&gt;&lt;author&gt;U.S. Environmental Protection Agency (EPA),&lt;/author&gt;&lt;/authors&gt;&lt;subsidiary-authors&gt;&lt;author&gt;Office of Chemical Safety and Pollution Prevention&lt;/author&gt;&lt;/subsidiary-authors&gt;&lt;/contributors&gt;&lt;titles&gt;&lt;title&gt;Risk Evaluation for C.I. Pigment Violet 29 (Anthra[2,1,9-def:6,5,10-d&amp;apos;e&amp;apos;f&amp;apos;]diisoquinoline-1,3,8,10(2H,9H)-tetrone)&lt;/title&gt;&lt;/titles&gt;&lt;number&gt;# 740-R-18-015&lt;/number&gt;&lt;dates&gt;&lt;year&gt;2021&lt;/year&gt;&lt;/dates&gt;&lt;urls&gt;&lt;/urls&gt;&lt;/record&gt;&lt;/Cite&gt;&lt;/EndNote&gt;</w:instrText>
        </w:r>
        <w:r w:rsidRPr="00CA6588" w:rsidR="003D6084">
          <w:fldChar w:fldCharType="separate"/>
        </w:r>
        <w:r w:rsidR="003D6084">
          <w:rPr>
            <w:noProof/>
          </w:rPr>
          <w:t>EPA 2021e</w:t>
        </w:r>
        <w:r w:rsidRPr="00CA6588" w:rsidR="003D6084">
          <w:fldChar w:fldCharType="end"/>
        </w:r>
      </w:hyperlink>
      <w:r w:rsidR="00C83DB8">
        <w:rPr>
          <w:lang w:val="en-US"/>
        </w:rPr>
        <w:t>)</w:t>
      </w:r>
      <w:r w:rsidRPr="4BA86F39">
        <w:rPr>
          <w:lang w:val="en-US"/>
        </w:rPr>
        <w:t xml:space="preserve">. As shown in </w:t>
      </w:r>
      <w:r w:rsidRPr="00A95A85">
        <w:fldChar w:fldCharType="begin" w:fldLock="1"/>
      </w:r>
      <w:r w:rsidRPr="00A95A85">
        <w:instrText xml:space="preserve"> REF _Ref70487716 \h  \* MERGEFORMAT </w:instrText>
      </w:r>
      <w:r w:rsidRPr="00A95A85">
        <w:fldChar w:fldCharType="separate"/>
      </w:r>
      <w:r w:rsidRPr="00735BBC" w:rsidR="00735BBC">
        <w:rPr>
          <w:lang w:val="en-US"/>
        </w:rPr>
        <w:t>Table 1</w:t>
      </w:r>
      <w:r w:rsidRPr="00735BBC" w:rsidR="00735BBC">
        <w:rPr>
          <w:lang w:val="en-US"/>
        </w:rPr>
        <w:noBreakHyphen/>
        <w:t>1</w:t>
      </w:r>
      <w:r w:rsidRPr="00A95A85">
        <w:fldChar w:fldCharType="end"/>
      </w:r>
      <w:r w:rsidRPr="4BA86F39">
        <w:rPr>
          <w:lang w:val="en-US"/>
        </w:rPr>
        <w:t>, PV29 has a high melting point (&gt;500 °C) and low solubility in water and in organic solvents. Due to its low solubility, determining various physical and chemical properties using conventional methods is difficult, if not impossible, to perform.</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4"/>
        <w:gridCol w:w="3234"/>
        <w:gridCol w:w="2771"/>
      </w:tblGrid>
      <w:tr w14:paraId="1C932EE6" w14:textId="77777777" w:rsidTr="008F3B13">
        <w:tblPrEx>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7"/>
        </w:trPr>
        <w:tc>
          <w:tcPr>
            <w:tcW w:w="5000" w:type="pct"/>
            <w:gridSpan w:val="3"/>
            <w:tcBorders>
              <w:top w:val="nil"/>
              <w:left w:val="nil"/>
              <w:bottom w:val="single" w:sz="4" w:space="0" w:color="auto"/>
              <w:right w:val="nil"/>
            </w:tcBorders>
            <w:shd w:val="clear" w:color="auto" w:fill="auto"/>
          </w:tcPr>
          <w:p w:rsidR="008F3B13" w:rsidRPr="00A95A85" w:rsidP="00026204" w14:paraId="164CD4FA" w14:textId="23D95C6A">
            <w:pPr>
              <w:pStyle w:val="TableTitleA"/>
            </w:pPr>
            <w:bookmarkStart w:id="33" w:name="_Ref70487716"/>
            <w:bookmarkStart w:id="34" w:name="_Toc184299547"/>
            <w:r w:rsidRPr="00A95A85">
              <w:t xml:space="preserve">Table </w:t>
            </w:r>
            <w:r>
              <w:fldChar w:fldCharType="begin" w:fldLock="1"/>
            </w:r>
            <w:r>
              <w:instrText>STYLEREF 1 \s</w:instrText>
            </w:r>
            <w:r>
              <w:fldChar w:fldCharType="separate"/>
            </w:r>
            <w:r w:rsidR="00735BBC">
              <w:rPr>
                <w:noProof/>
              </w:rPr>
              <w:t>1</w:t>
            </w:r>
            <w:r>
              <w:fldChar w:fldCharType="end"/>
            </w:r>
            <w:r w:rsidR="000A1542">
              <w:noBreakHyphen/>
            </w:r>
            <w:r>
              <w:fldChar w:fldCharType="begin" w:fldLock="1"/>
            </w:r>
            <w:r>
              <w:instrText>SEQ Table \* ARABIC \s 1</w:instrText>
            </w:r>
            <w:r>
              <w:fldChar w:fldCharType="separate"/>
            </w:r>
            <w:r w:rsidR="00735BBC">
              <w:rPr>
                <w:noProof/>
              </w:rPr>
              <w:t>1</w:t>
            </w:r>
            <w:r>
              <w:fldChar w:fldCharType="end"/>
            </w:r>
            <w:bookmarkEnd w:id="33"/>
            <w:r w:rsidRPr="00A95A85">
              <w:t>: Physical and Chemical Properties of C.I. Pigment Violet 29</w:t>
            </w:r>
            <w:bookmarkEnd w:id="34"/>
          </w:p>
        </w:tc>
      </w:tr>
      <w:tr w14:paraId="3C497CBC" w14:textId="77777777" w:rsidTr="00427BDA">
        <w:tblPrEx>
          <w:tblW w:w="5005" w:type="pct"/>
          <w:tblInd w:w="-5" w:type="dxa"/>
          <w:tblLook w:val="0000"/>
        </w:tblPrEx>
        <w:trPr>
          <w:trHeight w:val="247"/>
        </w:trPr>
        <w:tc>
          <w:tcPr>
            <w:tcW w:w="1667" w:type="pct"/>
            <w:tcBorders>
              <w:top w:val="single" w:sz="4" w:space="0" w:color="auto"/>
            </w:tcBorders>
            <w:shd w:val="clear" w:color="auto" w:fill="013E5B"/>
          </w:tcPr>
          <w:p w:rsidR="001647F9" w:rsidRPr="000D7F2B" w:rsidP="000D7F2B" w14:paraId="124169CF" w14:textId="77777777">
            <w:pPr>
              <w:pStyle w:val="TableSubtitle"/>
            </w:pPr>
            <w:r w:rsidRPr="000D7F2B">
              <w:t xml:space="preserve">Property </w:t>
            </w:r>
          </w:p>
        </w:tc>
        <w:tc>
          <w:tcPr>
            <w:tcW w:w="1795" w:type="pct"/>
            <w:tcBorders>
              <w:top w:val="single" w:sz="4" w:space="0" w:color="auto"/>
            </w:tcBorders>
            <w:shd w:val="clear" w:color="auto" w:fill="013E5B"/>
          </w:tcPr>
          <w:p w:rsidR="001647F9" w:rsidRPr="000D7F2B" w:rsidP="000D7F2B" w14:paraId="7284E1DE" w14:textId="77777777">
            <w:pPr>
              <w:pStyle w:val="TableSubtitle"/>
            </w:pPr>
            <w:r w:rsidRPr="000D7F2B">
              <w:t xml:space="preserve">Value </w:t>
            </w:r>
          </w:p>
        </w:tc>
        <w:tc>
          <w:tcPr>
            <w:tcW w:w="1538" w:type="pct"/>
            <w:tcBorders>
              <w:top w:val="single" w:sz="4" w:space="0" w:color="auto"/>
            </w:tcBorders>
            <w:shd w:val="clear" w:color="auto" w:fill="013E5B"/>
          </w:tcPr>
          <w:p w:rsidR="001647F9" w:rsidRPr="000D7F2B" w:rsidP="000D7F2B" w14:paraId="6EDA0046" w14:textId="77777777">
            <w:pPr>
              <w:pStyle w:val="TableSubtitle"/>
            </w:pPr>
            <w:r w:rsidRPr="000D7F2B">
              <w:t xml:space="preserve">Data Quality Rating </w:t>
            </w:r>
          </w:p>
        </w:tc>
      </w:tr>
      <w:tr w14:paraId="52E245BB" w14:textId="77777777" w:rsidTr="007B106D">
        <w:tblPrEx>
          <w:tblW w:w="5005" w:type="pct"/>
          <w:tblInd w:w="-5" w:type="dxa"/>
          <w:tblLook w:val="0000"/>
        </w:tblPrEx>
        <w:trPr>
          <w:trHeight w:val="109"/>
        </w:trPr>
        <w:tc>
          <w:tcPr>
            <w:tcW w:w="1667" w:type="pct"/>
          </w:tcPr>
          <w:p w:rsidR="001647F9" w:rsidRPr="00A95A85" w:rsidP="000067CB" w14:paraId="6A430326" w14:textId="77777777">
            <w:pPr>
              <w:pStyle w:val="LTableTextAbt"/>
            </w:pPr>
            <w:r w:rsidRPr="00A95A85">
              <w:t xml:space="preserve">Molecular Formula </w:t>
            </w:r>
          </w:p>
        </w:tc>
        <w:tc>
          <w:tcPr>
            <w:tcW w:w="1795" w:type="pct"/>
          </w:tcPr>
          <w:p w:rsidR="001647F9" w:rsidRPr="00A95A85" w:rsidP="000067CB" w14:paraId="27DCB441" w14:textId="77777777">
            <w:pPr>
              <w:pStyle w:val="LTableTextAbt"/>
            </w:pPr>
            <w:r w:rsidRPr="00A95A85">
              <w:t xml:space="preserve">C24H10N2O4 </w:t>
            </w:r>
          </w:p>
        </w:tc>
        <w:tc>
          <w:tcPr>
            <w:tcW w:w="1538" w:type="pct"/>
          </w:tcPr>
          <w:p w:rsidR="001647F9" w:rsidRPr="00A95A85" w:rsidP="000067CB" w14:paraId="58FBE738" w14:textId="77777777">
            <w:pPr>
              <w:pStyle w:val="CTableTextAbt"/>
            </w:pPr>
            <w:r w:rsidRPr="00A95A85">
              <w:t xml:space="preserve">N/A </w:t>
            </w:r>
          </w:p>
        </w:tc>
      </w:tr>
      <w:tr w14:paraId="4C4A5EA8" w14:textId="77777777" w:rsidTr="007B106D">
        <w:tblPrEx>
          <w:tblW w:w="5005" w:type="pct"/>
          <w:tblInd w:w="-5" w:type="dxa"/>
          <w:tblLook w:val="0000"/>
        </w:tblPrEx>
        <w:trPr>
          <w:trHeight w:val="109"/>
        </w:trPr>
        <w:tc>
          <w:tcPr>
            <w:tcW w:w="1667" w:type="pct"/>
          </w:tcPr>
          <w:p w:rsidR="001647F9" w:rsidRPr="00A95A85" w:rsidP="000067CB" w14:paraId="4D99F079" w14:textId="77777777">
            <w:pPr>
              <w:pStyle w:val="LTableTextAbt"/>
            </w:pPr>
            <w:r w:rsidRPr="00A95A85">
              <w:t xml:space="preserve">Molecular Weight </w:t>
            </w:r>
          </w:p>
        </w:tc>
        <w:tc>
          <w:tcPr>
            <w:tcW w:w="1795" w:type="pct"/>
          </w:tcPr>
          <w:p w:rsidR="001647F9" w:rsidRPr="00A95A85" w:rsidP="000067CB" w14:paraId="25AB2E1F" w14:textId="77777777">
            <w:pPr>
              <w:pStyle w:val="LTableTextAbt"/>
            </w:pPr>
            <w:r w:rsidRPr="00A95A85">
              <w:t xml:space="preserve">390.35 g/mol </w:t>
            </w:r>
          </w:p>
        </w:tc>
        <w:tc>
          <w:tcPr>
            <w:tcW w:w="1538" w:type="pct"/>
          </w:tcPr>
          <w:p w:rsidR="001647F9" w:rsidRPr="00A95A85" w:rsidP="000067CB" w14:paraId="33151EC6" w14:textId="77777777">
            <w:pPr>
              <w:pStyle w:val="CTableTextAbt"/>
            </w:pPr>
            <w:r w:rsidRPr="00A95A85">
              <w:t xml:space="preserve">N/A </w:t>
            </w:r>
          </w:p>
        </w:tc>
      </w:tr>
      <w:tr w14:paraId="259F53F5" w14:textId="77777777" w:rsidTr="007B106D">
        <w:tblPrEx>
          <w:tblW w:w="5005" w:type="pct"/>
          <w:tblInd w:w="-5" w:type="dxa"/>
          <w:tblLook w:val="0000"/>
        </w:tblPrEx>
        <w:trPr>
          <w:trHeight w:val="109"/>
        </w:trPr>
        <w:tc>
          <w:tcPr>
            <w:tcW w:w="1667" w:type="pct"/>
          </w:tcPr>
          <w:p w:rsidR="001647F9" w:rsidRPr="00A95A85" w:rsidP="000067CB" w14:paraId="5C1E2CDE" w14:textId="77777777">
            <w:pPr>
              <w:pStyle w:val="LTableTextAbt"/>
            </w:pPr>
            <w:r w:rsidRPr="00A95A85">
              <w:t xml:space="preserve">Physical Form </w:t>
            </w:r>
          </w:p>
        </w:tc>
        <w:tc>
          <w:tcPr>
            <w:tcW w:w="1795" w:type="pct"/>
          </w:tcPr>
          <w:p w:rsidR="001647F9" w:rsidRPr="00A95A85" w:rsidP="000067CB" w14:paraId="0CAC38B0" w14:textId="77777777">
            <w:pPr>
              <w:pStyle w:val="LTableTextAbt"/>
            </w:pPr>
            <w:r w:rsidRPr="00A95A85">
              <w:t xml:space="preserve">Solid </w:t>
            </w:r>
          </w:p>
        </w:tc>
        <w:tc>
          <w:tcPr>
            <w:tcW w:w="1538" w:type="pct"/>
          </w:tcPr>
          <w:p w:rsidR="001647F9" w:rsidRPr="00A95A85" w:rsidP="000067CB" w14:paraId="46076AF7" w14:textId="77777777">
            <w:pPr>
              <w:pStyle w:val="CTableTextAbt"/>
            </w:pPr>
            <w:r w:rsidRPr="00A95A85">
              <w:t xml:space="preserve">N/A </w:t>
            </w:r>
          </w:p>
        </w:tc>
      </w:tr>
      <w:tr w14:paraId="5EC86C83" w14:textId="77777777" w:rsidTr="007B106D">
        <w:tblPrEx>
          <w:tblW w:w="5005" w:type="pct"/>
          <w:tblInd w:w="-5" w:type="dxa"/>
          <w:tblLook w:val="0000"/>
        </w:tblPrEx>
        <w:trPr>
          <w:trHeight w:val="264"/>
        </w:trPr>
        <w:tc>
          <w:tcPr>
            <w:tcW w:w="1667" w:type="pct"/>
          </w:tcPr>
          <w:p w:rsidR="001647F9" w:rsidRPr="00D76B54" w:rsidP="000067CB" w14:paraId="6C64A9C1" w14:textId="77777777">
            <w:pPr>
              <w:pStyle w:val="LTableTextAbt"/>
              <w:rPr>
                <w:vertAlign w:val="superscript"/>
              </w:rPr>
            </w:pPr>
            <w:r w:rsidRPr="00A95A85">
              <w:t>Purity</w:t>
            </w:r>
            <w:r>
              <w:rPr>
                <w:vertAlign w:val="superscript"/>
              </w:rPr>
              <w:t xml:space="preserve"> a</w:t>
            </w:r>
          </w:p>
        </w:tc>
        <w:tc>
          <w:tcPr>
            <w:tcW w:w="1795" w:type="pct"/>
          </w:tcPr>
          <w:p w:rsidR="001647F9" w:rsidRPr="00A95A85" w:rsidP="000067CB" w14:paraId="6CD14374" w14:textId="77777777">
            <w:pPr>
              <w:pStyle w:val="LTableTextAbt"/>
            </w:pPr>
            <w:r w:rsidRPr="00A95A85">
              <w:t xml:space="preserve">98% before purification; </w:t>
            </w:r>
            <w:r w:rsidRPr="00A95A85">
              <w:br/>
              <w:t xml:space="preserve">≥ 99.6% after purification </w:t>
            </w:r>
          </w:p>
        </w:tc>
        <w:tc>
          <w:tcPr>
            <w:tcW w:w="1538" w:type="pct"/>
          </w:tcPr>
          <w:p w:rsidR="001647F9" w:rsidRPr="00A95A85" w:rsidP="000067CB" w14:paraId="33159A2D" w14:textId="77777777">
            <w:pPr>
              <w:pStyle w:val="CTableTextAbt"/>
            </w:pPr>
            <w:r w:rsidRPr="00A95A85">
              <w:t xml:space="preserve">N/A </w:t>
            </w:r>
          </w:p>
        </w:tc>
      </w:tr>
      <w:tr w14:paraId="4ED949C3" w14:textId="77777777" w:rsidTr="007B106D">
        <w:tblPrEx>
          <w:tblW w:w="5005" w:type="pct"/>
          <w:tblInd w:w="-5" w:type="dxa"/>
          <w:tblLook w:val="0000"/>
        </w:tblPrEx>
        <w:trPr>
          <w:trHeight w:val="109"/>
        </w:trPr>
        <w:tc>
          <w:tcPr>
            <w:tcW w:w="1667" w:type="pct"/>
          </w:tcPr>
          <w:p w:rsidR="001647F9" w:rsidRPr="00A95A85" w:rsidP="000067CB" w14:paraId="49F7D852" w14:textId="77777777">
            <w:pPr>
              <w:pStyle w:val="LTableTextAbt"/>
            </w:pPr>
            <w:r w:rsidRPr="00A95A85">
              <w:t xml:space="preserve">Melting Point </w:t>
            </w:r>
          </w:p>
        </w:tc>
        <w:tc>
          <w:tcPr>
            <w:tcW w:w="1795" w:type="pct"/>
          </w:tcPr>
          <w:p w:rsidR="001647F9" w:rsidRPr="00A95A85" w:rsidP="000067CB" w14:paraId="4432AFDC" w14:textId="77777777">
            <w:pPr>
              <w:pStyle w:val="LTableTextAbt"/>
            </w:pPr>
            <w:r w:rsidRPr="00A95A85">
              <w:t xml:space="preserve">No melting point found &lt;500˚C </w:t>
            </w:r>
          </w:p>
        </w:tc>
        <w:tc>
          <w:tcPr>
            <w:tcW w:w="1538" w:type="pct"/>
          </w:tcPr>
          <w:p w:rsidR="001647F9" w:rsidRPr="00A95A85" w:rsidP="000067CB" w14:paraId="67915E3D" w14:textId="77777777">
            <w:pPr>
              <w:pStyle w:val="CTableTextAbt"/>
            </w:pPr>
            <w:r w:rsidRPr="00A95A85">
              <w:t xml:space="preserve">High </w:t>
            </w:r>
          </w:p>
        </w:tc>
      </w:tr>
      <w:tr w14:paraId="69BEC02B" w14:textId="77777777" w:rsidTr="007B106D">
        <w:tblPrEx>
          <w:tblW w:w="5005" w:type="pct"/>
          <w:tblInd w:w="-5" w:type="dxa"/>
          <w:tblLook w:val="0000"/>
        </w:tblPrEx>
        <w:trPr>
          <w:trHeight w:val="126"/>
        </w:trPr>
        <w:tc>
          <w:tcPr>
            <w:tcW w:w="1667" w:type="pct"/>
          </w:tcPr>
          <w:p w:rsidR="001647F9" w:rsidRPr="00A95A85" w:rsidP="000067CB" w14:paraId="00EFA47F" w14:textId="77777777">
            <w:pPr>
              <w:pStyle w:val="LTableTextAbt"/>
            </w:pPr>
            <w:r w:rsidRPr="00A95A85">
              <w:t xml:space="preserve">Density </w:t>
            </w:r>
          </w:p>
        </w:tc>
        <w:tc>
          <w:tcPr>
            <w:tcW w:w="1795" w:type="pct"/>
          </w:tcPr>
          <w:p w:rsidR="001647F9" w:rsidRPr="00A95A85" w:rsidP="000067CB" w14:paraId="048649C6" w14:textId="0CB2D529">
            <w:pPr>
              <w:pStyle w:val="LTableTextAbt"/>
            </w:pPr>
            <w:r w:rsidRPr="00A95A85">
              <w:t>1.584 g/cm</w:t>
            </w:r>
            <w:r w:rsidRPr="00005413" w:rsidR="00005413">
              <w:rPr>
                <w:rStyle w:val="TableTextChar"/>
                <w:rFonts w:ascii="Times New Roman" w:hAnsi="Times New Roman" w:eastAsiaTheme="minorEastAsia"/>
                <w:vertAlign w:val="superscript"/>
              </w:rPr>
              <w:t>3</w:t>
            </w:r>
            <w:r w:rsidRPr="00A95A85">
              <w:t xml:space="preserve"> at 20˚C </w:t>
            </w:r>
          </w:p>
        </w:tc>
        <w:tc>
          <w:tcPr>
            <w:tcW w:w="1538" w:type="pct"/>
          </w:tcPr>
          <w:p w:rsidR="001647F9" w:rsidRPr="00A95A85" w:rsidP="000067CB" w14:paraId="2EC8D5CC" w14:textId="77777777">
            <w:pPr>
              <w:pStyle w:val="CTableTextAbt"/>
            </w:pPr>
            <w:r w:rsidRPr="00A95A85">
              <w:t xml:space="preserve">High </w:t>
            </w:r>
          </w:p>
        </w:tc>
      </w:tr>
      <w:tr w14:paraId="0F24643B" w14:textId="77777777" w:rsidTr="007B106D">
        <w:tblPrEx>
          <w:tblW w:w="5005" w:type="pct"/>
          <w:tblInd w:w="-5" w:type="dxa"/>
          <w:tblLook w:val="0000"/>
        </w:tblPrEx>
        <w:trPr>
          <w:trHeight w:val="109"/>
        </w:trPr>
        <w:tc>
          <w:tcPr>
            <w:tcW w:w="1667" w:type="pct"/>
          </w:tcPr>
          <w:p w:rsidR="001647F9" w:rsidRPr="00A95A85" w:rsidP="000067CB" w14:paraId="55DF0FFE" w14:textId="77777777">
            <w:pPr>
              <w:pStyle w:val="LTableTextAbt"/>
            </w:pPr>
            <w:r w:rsidRPr="00A95A85">
              <w:t xml:space="preserve">Vapor Pressure </w:t>
            </w:r>
          </w:p>
        </w:tc>
        <w:tc>
          <w:tcPr>
            <w:tcW w:w="1795" w:type="pct"/>
          </w:tcPr>
          <w:p w:rsidR="001647F9" w:rsidRPr="00A95A85" w:rsidP="000067CB" w14:paraId="697567AD" w14:textId="77777777">
            <w:pPr>
              <w:pStyle w:val="LTableTextAbt"/>
            </w:pPr>
            <w:r w:rsidRPr="00A95A85">
              <w:t xml:space="preserve">&lt;0.000001 hPa at 20˚C </w:t>
            </w:r>
          </w:p>
        </w:tc>
        <w:tc>
          <w:tcPr>
            <w:tcW w:w="1538" w:type="pct"/>
          </w:tcPr>
          <w:p w:rsidR="001647F9" w:rsidRPr="00A95A85" w:rsidP="000067CB" w14:paraId="581740F9" w14:textId="77777777">
            <w:pPr>
              <w:pStyle w:val="CTableTextAbt"/>
            </w:pPr>
            <w:r w:rsidRPr="00A95A85">
              <w:t xml:space="preserve">High </w:t>
            </w:r>
          </w:p>
        </w:tc>
      </w:tr>
      <w:tr w14:paraId="4C3668FF" w14:textId="77777777" w:rsidTr="007B106D">
        <w:tblPrEx>
          <w:tblW w:w="5005" w:type="pct"/>
          <w:tblInd w:w="-5" w:type="dxa"/>
          <w:tblLook w:val="0000"/>
        </w:tblPrEx>
        <w:trPr>
          <w:trHeight w:val="385"/>
        </w:trPr>
        <w:tc>
          <w:tcPr>
            <w:tcW w:w="1667" w:type="pct"/>
          </w:tcPr>
          <w:p w:rsidR="001647F9" w:rsidRPr="00A95A85" w:rsidP="000067CB" w14:paraId="0225E1C3" w14:textId="77777777">
            <w:pPr>
              <w:pStyle w:val="LTableTextAbt"/>
            </w:pPr>
            <w:r w:rsidRPr="00A95A85">
              <w:t xml:space="preserve">Solubility in n-octanol </w:t>
            </w:r>
          </w:p>
        </w:tc>
        <w:tc>
          <w:tcPr>
            <w:tcW w:w="1795" w:type="pct"/>
          </w:tcPr>
          <w:p w:rsidR="001647F9" w:rsidRPr="00A95A85" w:rsidP="000067CB" w14:paraId="02529D68" w14:textId="77777777">
            <w:pPr>
              <w:pStyle w:val="LTableTextAbt"/>
            </w:pPr>
            <w:r w:rsidRPr="00A95A85">
              <w:t xml:space="preserve">Not observed </w:t>
            </w:r>
          </w:p>
          <w:p w:rsidR="001647F9" w:rsidRPr="00A95A85" w:rsidP="000067CB" w14:paraId="366D4EAA" w14:textId="77777777">
            <w:pPr>
              <w:pStyle w:val="LTableTextAbt"/>
            </w:pPr>
            <w:r w:rsidRPr="00A95A85">
              <w:t xml:space="preserve">LOD: 0.0014 mg/L </w:t>
            </w:r>
          </w:p>
          <w:p w:rsidR="001647F9" w:rsidRPr="00A95A85" w:rsidP="000067CB" w14:paraId="1A6F9CDB" w14:textId="77777777">
            <w:pPr>
              <w:pStyle w:val="LTableTextAbt"/>
            </w:pPr>
            <w:r w:rsidRPr="00A95A85">
              <w:t xml:space="preserve">LOQ: 0.003 mg/L </w:t>
            </w:r>
          </w:p>
        </w:tc>
        <w:tc>
          <w:tcPr>
            <w:tcW w:w="1538" w:type="pct"/>
          </w:tcPr>
          <w:p w:rsidR="001647F9" w:rsidRPr="00A95A85" w:rsidP="000067CB" w14:paraId="46E14C3C" w14:textId="77777777">
            <w:pPr>
              <w:pStyle w:val="CTableTextAbt"/>
            </w:pPr>
            <w:r w:rsidRPr="00A95A85">
              <w:t xml:space="preserve">High </w:t>
            </w:r>
          </w:p>
        </w:tc>
      </w:tr>
      <w:tr w14:paraId="0D480D1B" w14:textId="77777777" w:rsidTr="007B106D">
        <w:tblPrEx>
          <w:tblW w:w="5005" w:type="pct"/>
          <w:tblInd w:w="-5" w:type="dxa"/>
          <w:tblLook w:val="0000"/>
        </w:tblPrEx>
        <w:trPr>
          <w:trHeight w:val="385"/>
        </w:trPr>
        <w:tc>
          <w:tcPr>
            <w:tcW w:w="1667" w:type="pct"/>
          </w:tcPr>
          <w:p w:rsidR="001647F9" w:rsidRPr="00A95A85" w:rsidP="000067CB" w14:paraId="5E66D840" w14:textId="77777777">
            <w:pPr>
              <w:pStyle w:val="LTableTextAbt"/>
            </w:pPr>
            <w:r w:rsidRPr="00A95A85">
              <w:t xml:space="preserve">Water Solubility </w:t>
            </w:r>
          </w:p>
        </w:tc>
        <w:tc>
          <w:tcPr>
            <w:tcW w:w="1795" w:type="pct"/>
          </w:tcPr>
          <w:p w:rsidR="001647F9" w:rsidRPr="00A95A85" w:rsidP="000067CB" w14:paraId="2A82F262" w14:textId="77777777">
            <w:pPr>
              <w:pStyle w:val="LTableTextAbt"/>
            </w:pPr>
            <w:r w:rsidRPr="00A95A85">
              <w:t xml:space="preserve">Not observed </w:t>
            </w:r>
          </w:p>
          <w:p w:rsidR="001647F9" w:rsidRPr="00A95A85" w:rsidP="000067CB" w14:paraId="7C9958FD" w14:textId="77777777">
            <w:pPr>
              <w:pStyle w:val="LTableTextAbt"/>
            </w:pPr>
            <w:r w:rsidRPr="00A95A85">
              <w:t xml:space="preserve">LOD: 0.0014 mg/L </w:t>
            </w:r>
          </w:p>
          <w:p w:rsidR="001647F9" w:rsidRPr="00A95A85" w:rsidP="000067CB" w14:paraId="21F7D560" w14:textId="77777777">
            <w:pPr>
              <w:pStyle w:val="LTableTextAbt"/>
            </w:pPr>
            <w:r w:rsidRPr="00A95A85">
              <w:t xml:space="preserve">LOQ: 0.003 mg/L </w:t>
            </w:r>
          </w:p>
        </w:tc>
        <w:tc>
          <w:tcPr>
            <w:tcW w:w="1538" w:type="pct"/>
          </w:tcPr>
          <w:p w:rsidR="001647F9" w:rsidRPr="00A95A85" w:rsidP="000067CB" w14:paraId="3BC19A45" w14:textId="77777777">
            <w:pPr>
              <w:pStyle w:val="CTableTextAbt"/>
            </w:pPr>
            <w:r w:rsidRPr="00A95A85">
              <w:t xml:space="preserve">High </w:t>
            </w:r>
          </w:p>
        </w:tc>
      </w:tr>
      <w:tr w14:paraId="066F55BB" w14:textId="77777777" w:rsidTr="007B106D">
        <w:tblPrEx>
          <w:tblW w:w="5005" w:type="pct"/>
          <w:tblInd w:w="-5" w:type="dxa"/>
          <w:tblLook w:val="0000"/>
        </w:tblPrEx>
        <w:trPr>
          <w:trHeight w:val="126"/>
        </w:trPr>
        <w:tc>
          <w:tcPr>
            <w:tcW w:w="1667" w:type="pct"/>
          </w:tcPr>
          <w:p w:rsidR="001647F9" w:rsidRPr="00A95A85" w:rsidP="000067CB" w14:paraId="202B7597" w14:textId="77777777">
            <w:pPr>
              <w:pStyle w:val="LTableTextAbt"/>
            </w:pPr>
            <w:r w:rsidRPr="00A95A85">
              <w:t xml:space="preserve">Log KOW2 </w:t>
            </w:r>
          </w:p>
        </w:tc>
        <w:tc>
          <w:tcPr>
            <w:tcW w:w="1795" w:type="pct"/>
          </w:tcPr>
          <w:p w:rsidR="001647F9" w:rsidRPr="00A95A85" w:rsidP="000067CB" w14:paraId="3E4ADED9" w14:textId="77777777">
            <w:pPr>
              <w:pStyle w:val="LTableTextAbt"/>
            </w:pPr>
            <w:r w:rsidRPr="00A95A85">
              <w:t xml:space="preserve">Not determined </w:t>
            </w:r>
          </w:p>
        </w:tc>
        <w:tc>
          <w:tcPr>
            <w:tcW w:w="1538" w:type="pct"/>
          </w:tcPr>
          <w:p w:rsidR="001647F9" w:rsidRPr="00A95A85" w:rsidP="000067CB" w14:paraId="5953FF20" w14:textId="77777777">
            <w:pPr>
              <w:pStyle w:val="CTableTextAbt"/>
            </w:pPr>
            <w:r w:rsidRPr="00A95A85">
              <w:t xml:space="preserve">N/A </w:t>
            </w:r>
          </w:p>
        </w:tc>
      </w:tr>
      <w:tr w14:paraId="2EF100E8" w14:textId="77777777" w:rsidTr="007B106D">
        <w:tblPrEx>
          <w:tblW w:w="5005" w:type="pct"/>
          <w:tblInd w:w="-5" w:type="dxa"/>
          <w:tblLook w:val="0000"/>
        </w:tblPrEx>
        <w:trPr>
          <w:trHeight w:val="264"/>
        </w:trPr>
        <w:tc>
          <w:tcPr>
            <w:tcW w:w="1667" w:type="pct"/>
          </w:tcPr>
          <w:p w:rsidR="001647F9" w:rsidRPr="00D76B54" w:rsidP="000067CB" w14:paraId="78389802" w14:textId="77777777">
            <w:pPr>
              <w:pStyle w:val="LTableTextAbt"/>
              <w:rPr>
                <w:vertAlign w:val="superscript"/>
              </w:rPr>
            </w:pPr>
            <w:r w:rsidRPr="00A95A85">
              <w:t>Henry’s Law Constant</w:t>
            </w:r>
            <w:r>
              <w:rPr>
                <w:vertAlign w:val="superscript"/>
              </w:rPr>
              <w:t xml:space="preserve"> b</w:t>
            </w:r>
          </w:p>
        </w:tc>
        <w:tc>
          <w:tcPr>
            <w:tcW w:w="1795" w:type="pct"/>
          </w:tcPr>
          <w:p w:rsidR="001647F9" w:rsidRPr="00A95A85" w:rsidP="000067CB" w14:paraId="2E2C83F5" w14:textId="14219511">
            <w:pPr>
              <w:pStyle w:val="LTableTextAbt"/>
            </w:pPr>
            <w:r w:rsidRPr="00A95A85">
              <w:t>1.84E-021 atm-m</w:t>
            </w:r>
            <w:r w:rsidRPr="00005413" w:rsidR="00005413">
              <w:rPr>
                <w:rStyle w:val="TableTextChar"/>
                <w:rFonts w:ascii="Times New Roman" w:hAnsi="Times New Roman" w:eastAsiaTheme="minorEastAsia"/>
                <w:vertAlign w:val="superscript"/>
              </w:rPr>
              <w:t>3</w:t>
            </w:r>
            <w:r w:rsidRPr="00A95A85">
              <w:t xml:space="preserve">/mol (estimated) </w:t>
            </w:r>
          </w:p>
        </w:tc>
        <w:tc>
          <w:tcPr>
            <w:tcW w:w="1538" w:type="pct"/>
          </w:tcPr>
          <w:p w:rsidR="001647F9" w:rsidRPr="00A95A85" w:rsidP="000067CB" w14:paraId="7CCF11F6" w14:textId="77777777">
            <w:pPr>
              <w:pStyle w:val="CTableTextAbt"/>
            </w:pPr>
            <w:r w:rsidRPr="00A95A85">
              <w:t xml:space="preserve">High </w:t>
            </w:r>
          </w:p>
        </w:tc>
      </w:tr>
      <w:tr w14:paraId="69308770" w14:textId="77777777" w:rsidTr="007B106D">
        <w:tblPrEx>
          <w:tblW w:w="5005" w:type="pct"/>
          <w:tblInd w:w="-5" w:type="dxa"/>
          <w:tblLook w:val="0000"/>
        </w:tblPrEx>
        <w:trPr>
          <w:trHeight w:val="264"/>
        </w:trPr>
        <w:tc>
          <w:tcPr>
            <w:tcW w:w="5000" w:type="pct"/>
            <w:gridSpan w:val="3"/>
          </w:tcPr>
          <w:p w:rsidR="00C83DB8" w:rsidP="000067CB" w14:paraId="4A5C38FB" w14:textId="3FCD4798">
            <w:pPr>
              <w:pStyle w:val="TableNote0"/>
            </w:pPr>
            <w:r>
              <w:t xml:space="preserve">Source: </w:t>
            </w:r>
            <w:hyperlink w:anchor="_ENREF_65" w:tooltip="U.S. Environmental Protection Agency (EPA), 2021 #61" w:history="1">
              <w:r w:rsidRPr="00CA6588" w:rsidR="003D6084">
                <w:fldChar w:fldCharType="begin" w:fldLock="1"/>
              </w:r>
              <w:r w:rsidR="003D6084">
                <w:instrText xml:space="preserve"> ADDIN EN.CITE &lt;EndNote&gt;&lt;Cite ExcludeAuth="1"&gt;&lt;Author&gt;U.S. Environmental Protection Agency (EPA)&lt;/Author&gt;&lt;Year&gt;2021&lt;/Year&gt;&lt;RecNum&gt;61&lt;/RecNum&gt;&lt;Prefix&gt;EPA &lt;/Prefix&gt;&lt;DisplayText&gt;EPA 2021e&lt;/DisplayText&gt;&lt;record&gt;&lt;rec-number&gt;61&lt;/rec-number&gt;&lt;foreign-keys&gt;&lt;key app="EN" db-id="2apzr05radv9fjet2w6xxwdlz5e9vwfxredw" timestamp="1730757315"&gt;61&lt;/key&gt;&lt;/foreign-keys&gt;&lt;ref-type name="Generic"&gt;13&lt;/ref-type&gt;&lt;contributors&gt;&lt;authors&gt;&lt;author&gt;U.S. Environmental Protection Agency (EPA),&lt;/author&gt;&lt;/authors&gt;&lt;subsidiary-authors&gt;&lt;author&gt;Office of Chemical Safety and Pollution Prevention&lt;/author&gt;&lt;/subsidiary-authors&gt;&lt;/contributors&gt;&lt;titles&gt;&lt;title&gt;Risk Evaluation for C.I. Pigment Violet 29 (Anthra[2,1,9-def:6,5,10-d&amp;apos;e&amp;apos;f&amp;apos;]diisoquinoline-1,3,8,10(2H,9H)-tetrone)&lt;/title&gt;&lt;/titles&gt;&lt;number&gt;# 740-R-18-015&lt;/number&gt;&lt;dates&gt;&lt;year&gt;2021&lt;/year&gt;&lt;/dates&gt;&lt;urls&gt;&lt;/urls&gt;&lt;/record&gt;&lt;/Cite&gt;&lt;/EndNote&gt;</w:instrText>
              </w:r>
              <w:r w:rsidRPr="00CA6588" w:rsidR="003D6084">
                <w:fldChar w:fldCharType="separate"/>
              </w:r>
              <w:r w:rsidR="003D6084">
                <w:rPr>
                  <w:noProof/>
                </w:rPr>
                <w:t>EPA 2021e</w:t>
              </w:r>
              <w:r w:rsidRPr="00CA6588" w:rsidR="003D6084">
                <w:fldChar w:fldCharType="end"/>
              </w:r>
            </w:hyperlink>
          </w:p>
          <w:p w:rsidR="001647F9" w:rsidRPr="000067CB" w:rsidP="000067CB" w14:paraId="515C075A" w14:textId="1406223D">
            <w:pPr>
              <w:pStyle w:val="TableNote0"/>
            </w:pPr>
            <w:r w:rsidRPr="000067CB">
              <w:t xml:space="preserve">a. Impurities for the 98% pure substance were determined to be moisture (1.4%), ash (0.3%), naphthalimide (0.2%), and naphthalic acid/anhydride (0.02%). </w:t>
            </w:r>
          </w:p>
          <w:p w:rsidR="001647F9" w:rsidRPr="00A95A85" w:rsidP="000067CB" w14:paraId="5292EA3A" w14:textId="77777777">
            <w:pPr>
              <w:pStyle w:val="TableNote0"/>
            </w:pPr>
            <w:r w:rsidRPr="000067CB">
              <w:t>b. Due to low solubility of C.I. Pigment Violet 29 in water and octanol, LogKow was determined not to be a relevant property for C.I. Pigment Violet 29. Similarly, Henry’s Law Constant should be interpreted with caution due to the low solubility of the compound, the predicted value may be questionable.</w:t>
            </w:r>
            <w:r w:rsidRPr="00A95A85">
              <w:t xml:space="preserve"> </w:t>
            </w:r>
          </w:p>
        </w:tc>
      </w:tr>
    </w:tbl>
    <w:p w:rsidR="001647F9" w:rsidRPr="00A95A85" w:rsidP="00832749" w14:paraId="05C8C1C3" w14:textId="77777777">
      <w:pPr>
        <w:pStyle w:val="BodyText"/>
      </w:pPr>
    </w:p>
    <w:p w:rsidR="001647F9" w:rsidRPr="00A95A85" w:rsidP="001647F9" w14:paraId="01BE02CD" w14:textId="77777777">
      <w:pPr>
        <w:pStyle w:val="Heading2"/>
      </w:pPr>
      <w:bookmarkStart w:id="35" w:name="_Ref173937753"/>
      <w:bookmarkStart w:id="36" w:name="_Toc175217210"/>
      <w:bookmarkStart w:id="37" w:name="_Toc179234306"/>
      <w:bookmarkStart w:id="38" w:name="_Toc184299505"/>
      <w:r w:rsidRPr="00A95A85">
        <w:t>Unreasonable Risk Determination</w:t>
      </w:r>
      <w:bookmarkEnd w:id="35"/>
      <w:bookmarkEnd w:id="36"/>
      <w:bookmarkEnd w:id="37"/>
      <w:bookmarkEnd w:id="38"/>
    </w:p>
    <w:p w:rsidR="001647F9" w:rsidRPr="00CA6588" w:rsidP="00832749" w14:paraId="717E2559" w14:textId="0CE9E779">
      <w:pPr>
        <w:pStyle w:val="BodyText"/>
      </w:pPr>
      <w:r w:rsidRPr="4BA86F39">
        <w:rPr>
          <w:lang w:val="en-US"/>
        </w:rPr>
        <w:t xml:space="preserve">TSCA Section 3 defines a chemical’s conditions of use (COU) as ‘‘the circumstances, as determined by the Administrator, under which a chemical substance is intended, known, or reasonably foreseen to be manufactured, processed, distributed in commerce, used, or disposed of.” Based on research and public comments, EPA determined the COUs for PV29, as listed in </w:t>
      </w:r>
      <w:r w:rsidRPr="00CA6588">
        <w:fldChar w:fldCharType="begin" w:fldLock="1"/>
      </w:r>
      <w:r w:rsidRPr="00CA6588">
        <w:instrText xml:space="preserve"> REF _Ref70428742 \h  \* MERGEFORMAT </w:instrText>
      </w:r>
      <w:r w:rsidRPr="00CA6588">
        <w:fldChar w:fldCharType="separate"/>
      </w:r>
      <w:r w:rsidRPr="00735BBC" w:rsidR="00735BBC">
        <w:rPr>
          <w:lang w:val="en-US"/>
        </w:rPr>
        <w:t>Table 1</w:t>
      </w:r>
      <w:r w:rsidRPr="00735BBC" w:rsidR="00735BBC">
        <w:rPr>
          <w:lang w:val="en-US"/>
        </w:rPr>
        <w:noBreakHyphen/>
        <w:t>2</w:t>
      </w:r>
      <w:r w:rsidRPr="00CA6588">
        <w:fldChar w:fldCharType="end"/>
      </w:r>
      <w:r w:rsidRPr="4BA86F39">
        <w:rPr>
          <w:lang w:val="en-US"/>
        </w:rPr>
        <w:t xml:space="preserve">. As detailed in EPA’s </w:t>
      </w:r>
      <w:r w:rsidR="00C83DB8">
        <w:rPr>
          <w:lang w:val="en-US"/>
        </w:rPr>
        <w:t>(</w:t>
      </w:r>
      <w:hyperlink w:anchor="_ENREF_65" w:tooltip="U.S. Environmental Protection Agency (EPA), 2021 #61" w:history="1">
        <w:r w:rsidRPr="00CA6588" w:rsidR="003D6084">
          <w:fldChar w:fldCharType="begin" w:fldLock="1"/>
        </w:r>
        <w:r w:rsidR="003D6084">
          <w:instrText xml:space="preserve"> ADDIN EN.CITE &lt;EndNote&gt;&lt;Cite ExcludeAuth="1"&gt;&lt;Author&gt;U.S. Environmental Protection Agency (EPA)&lt;/Author&gt;&lt;Year&gt;2021&lt;/Year&gt;&lt;RecNum&gt;61&lt;/RecNum&gt;&lt;DisplayText&gt;2021e&lt;/DisplayText&gt;&lt;record&gt;&lt;rec-number&gt;61&lt;/rec-number&gt;&lt;foreign-keys&gt;&lt;key app="EN" db-id="2apzr05radv9fjet2w6xxwdlz5e9vwfxredw" timestamp="1730757315"&gt;61&lt;/key&gt;&lt;/foreign-keys&gt;&lt;ref-type name="Generic"&gt;13&lt;/ref-type&gt;&lt;contributors&gt;&lt;authors&gt;&lt;author&gt;U.S. Environmental Protection Agency (EPA),&lt;/author&gt;&lt;/authors&gt;&lt;subsidiary-authors&gt;&lt;author&gt;Office of Chemical Safety and Pollution Prevention&lt;/author&gt;&lt;/subsidiary-authors&gt;&lt;/contributors&gt;&lt;titles&gt;&lt;title&gt;Risk Evaluation for C.I. Pigment Violet 29 (Anthra[2,1,9-def:6,5,10-d&amp;apos;e&amp;apos;f&amp;apos;]diisoquinoline-1,3,8,10(2H,9H)-tetrone)&lt;/title&gt;&lt;/titles&gt;&lt;number&gt;# 740-R-18-015&lt;/number&gt;&lt;dates&gt;&lt;year&gt;2021&lt;/year&gt;&lt;/dates&gt;&lt;urls&gt;&lt;/urls&gt;&lt;/record&gt;&lt;/Cite&gt;&lt;/EndNote&gt;</w:instrText>
        </w:r>
        <w:r w:rsidRPr="00CA6588" w:rsidR="003D6084">
          <w:fldChar w:fldCharType="separate"/>
        </w:r>
        <w:r w:rsidR="003D6084">
          <w:rPr>
            <w:noProof/>
          </w:rPr>
          <w:t>2021e</w:t>
        </w:r>
        <w:r w:rsidRPr="00CA6588" w:rsidR="003D6084">
          <w:fldChar w:fldCharType="end"/>
        </w:r>
      </w:hyperlink>
      <w:r w:rsidR="00B80625">
        <w:rPr>
          <w:lang w:val="en-US"/>
        </w:rPr>
        <w:t xml:space="preserve">; </w:t>
      </w:r>
      <w:hyperlink w:anchor="_ENREF_66" w:tooltip="U.S. Environmental Protection Agency (EPA), 2022 #65" w:history="1">
        <w:r w:rsidR="003D6084">
          <w:rPr>
            <w:lang w:val="en-US"/>
          </w:rPr>
          <w:fldChar w:fldCharType="begin" w:fldLock="1"/>
        </w:r>
        <w:r w:rsidR="003D6084">
          <w:rPr>
            <w:lang w:val="en-US"/>
          </w:rPr>
          <w:instrText xml:space="preserve"> ADDIN EN.CITE &lt;EndNote&gt;&lt;Cite ExcludeAuth="1"&gt;&lt;Author&gt;U.S. Environmental Protection Agency (EPA)&lt;/Author&gt;&lt;Year&gt;2022&lt;/Year&gt;&lt;RecNum&gt;65&lt;/RecNum&gt;&lt;DisplayText&gt;2022&lt;/DisplayText&gt;&lt;record&gt;&lt;rec-number&gt;65&lt;/rec-number&gt;&lt;foreign-keys&gt;&lt;key app="EN" db-id="2apzr05radv9fjet2w6xxwdlz5e9vwfxredw" timestamp="1730757315"&gt;65&lt;/key&gt;&lt;/foreign-keys&gt;&lt;ref-type name="Generic"&gt;13&lt;/ref-type&gt;&lt;contributors&gt;&lt;authors&gt;&lt;author&gt;U.S. Environmental Protection Agency (EPA),&lt;/author&gt;&lt;/authors&gt;&lt;/contributors&gt;&lt;titles&gt;&lt;title&gt;Final Revised Unreasonable Risk Determination for C.I. Pigment Violet 29&lt;/title&gt;&lt;/titles&gt;&lt;dates&gt;&lt;year&gt;2022&lt;/year&gt;&lt;pub-dates&gt;&lt;date&gt;August 2022&lt;/date&gt;&lt;/pub-dates&gt;&lt;/dates&gt;&lt;urls&gt;&lt;/urls&gt;&lt;/record&gt;&lt;/Cite&gt;&lt;/EndNote&gt;</w:instrText>
        </w:r>
        <w:r w:rsidR="003D6084">
          <w:rPr>
            <w:lang w:val="en-US"/>
          </w:rPr>
          <w:fldChar w:fldCharType="separate"/>
        </w:r>
        <w:r w:rsidR="003D6084">
          <w:rPr>
            <w:noProof/>
            <w:lang w:val="en-US"/>
          </w:rPr>
          <w:t>2022</w:t>
        </w:r>
        <w:r w:rsidR="003D6084">
          <w:rPr>
            <w:lang w:val="en-US"/>
          </w:rPr>
          <w:fldChar w:fldCharType="end"/>
        </w:r>
      </w:hyperlink>
      <w:r w:rsidR="00C83DB8">
        <w:rPr>
          <w:lang w:val="en-US"/>
        </w:rPr>
        <w:t xml:space="preserve">) </w:t>
      </w:r>
      <w:r w:rsidRPr="4BA86F39">
        <w:rPr>
          <w:lang w:val="en-US"/>
        </w:rPr>
        <w:t>risk evaluation, 10 out of 14 identified COUs were designated as presenting an unreasonable risk.</w:t>
      </w:r>
      <w:r w:rsidRPr="4BA86F39" w:rsidR="003565C4">
        <w:rPr>
          <w:lang w:val="en-US"/>
        </w:rPr>
        <w:t xml:space="preserve"> </w:t>
      </w:r>
      <w:r w:rsidR="00FF671A">
        <w:fldChar w:fldCharType="begin" w:fldLock="1"/>
      </w:r>
      <w:r w:rsidR="00FF671A">
        <w:instrText xml:space="preserve"> REF _Ref180505811 \h </w:instrText>
      </w:r>
      <w:r w:rsidR="00FF671A">
        <w:fldChar w:fldCharType="separate"/>
      </w:r>
      <w:r w:rsidRPr="00A95A85" w:rsidR="00735BBC">
        <w:t xml:space="preserve">Figure </w:t>
      </w:r>
      <w:r w:rsidR="00735BBC">
        <w:rPr>
          <w:noProof/>
        </w:rPr>
        <w:t>1</w:t>
      </w:r>
      <w:r w:rsidRPr="00A95A85" w:rsidR="00735BBC">
        <w:noBreakHyphen/>
      </w:r>
      <w:r w:rsidR="00735BBC">
        <w:rPr>
          <w:noProof/>
        </w:rPr>
        <w:t>2</w:t>
      </w:r>
      <w:r w:rsidR="00FF671A">
        <w:fldChar w:fldCharType="end"/>
      </w:r>
      <w:r w:rsidRPr="4BA86F39" w:rsidR="00FF671A">
        <w:rPr>
          <w:lang w:val="en-US"/>
        </w:rPr>
        <w:t xml:space="preserve"> also presents a summary of the COUs and their corresponding risk determinations.</w:t>
      </w:r>
    </w:p>
    <w:p w:rsidR="001647F9" w:rsidRPr="00A95A85" w:rsidP="001647F9" w14:paraId="0F6BADFD" w14:textId="19FF2209">
      <w:pPr>
        <w:pStyle w:val="Caption"/>
      </w:pPr>
    </w:p>
    <w:tbl>
      <w:tblPr>
        <w:tblW w:w="91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5"/>
        <w:gridCol w:w="2881"/>
        <w:gridCol w:w="3385"/>
        <w:gridCol w:w="1495"/>
      </w:tblGrid>
      <w:tr w14:paraId="6BA6D7B4" w14:textId="77777777" w:rsidTr="4F9E6C54">
        <w:tblPrEx>
          <w:tblW w:w="91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blHeader/>
        </w:trPr>
        <w:tc>
          <w:tcPr>
            <w:tcW w:w="9126" w:type="dxa"/>
            <w:gridSpan w:val="4"/>
            <w:tcBorders>
              <w:top w:val="nil"/>
              <w:left w:val="nil"/>
              <w:bottom w:val="single" w:sz="4" w:space="0" w:color="auto"/>
              <w:right w:val="nil"/>
            </w:tcBorders>
            <w:shd w:val="clear" w:color="auto" w:fill="auto"/>
            <w:vAlign w:val="center"/>
          </w:tcPr>
          <w:p w:rsidR="00FF671A" w:rsidRPr="00A95A85" w:rsidP="004C6633" w14:paraId="0D32A9C0" w14:textId="757E467F">
            <w:pPr>
              <w:pStyle w:val="TableTitleA"/>
            </w:pPr>
            <w:bookmarkStart w:id="39" w:name="_Ref70428742"/>
            <w:bookmarkStart w:id="40" w:name="_Toc184299548"/>
            <w:r w:rsidRPr="00A95A85">
              <w:t xml:space="preserve">Table </w:t>
            </w:r>
            <w:r>
              <w:fldChar w:fldCharType="begin" w:fldLock="1"/>
            </w:r>
            <w:r>
              <w:instrText>STYLEREF 1 \s</w:instrText>
            </w:r>
            <w:r>
              <w:fldChar w:fldCharType="separate"/>
            </w:r>
            <w:r w:rsidR="00735BBC">
              <w:rPr>
                <w:noProof/>
              </w:rPr>
              <w:t>1</w:t>
            </w:r>
            <w:r>
              <w:fldChar w:fldCharType="end"/>
            </w:r>
            <w:r w:rsidR="000A1542">
              <w:noBreakHyphen/>
            </w:r>
            <w:r>
              <w:fldChar w:fldCharType="begin" w:fldLock="1"/>
            </w:r>
            <w:r>
              <w:instrText>SEQ Table \* ARABIC \s 1</w:instrText>
            </w:r>
            <w:r>
              <w:fldChar w:fldCharType="separate"/>
            </w:r>
            <w:r w:rsidR="00735BBC">
              <w:rPr>
                <w:noProof/>
              </w:rPr>
              <w:t>2</w:t>
            </w:r>
            <w:r>
              <w:fldChar w:fldCharType="end"/>
            </w:r>
            <w:bookmarkEnd w:id="39"/>
            <w:r w:rsidRPr="00A95A85">
              <w:t>: Categories and Subcategories of Conditions of Use Included in the Risk Evaluation</w:t>
            </w:r>
            <w:bookmarkEnd w:id="40"/>
          </w:p>
        </w:tc>
      </w:tr>
      <w:tr w14:paraId="0126BA76" w14:textId="77777777" w:rsidTr="4F9E6C54">
        <w:tblPrEx>
          <w:tblW w:w="9126" w:type="dxa"/>
          <w:tblInd w:w="-5" w:type="dxa"/>
          <w:tblLayout w:type="fixed"/>
          <w:tblLook w:val="04A0"/>
        </w:tblPrEx>
        <w:trPr>
          <w:cantSplit/>
          <w:tblHeader/>
        </w:trPr>
        <w:tc>
          <w:tcPr>
            <w:tcW w:w="7631" w:type="dxa"/>
            <w:gridSpan w:val="3"/>
            <w:tcBorders>
              <w:top w:val="single" w:sz="4" w:space="0" w:color="auto"/>
            </w:tcBorders>
            <w:shd w:val="clear" w:color="auto" w:fill="013E5B"/>
            <w:vAlign w:val="center"/>
            <w:hideMark/>
          </w:tcPr>
          <w:p w:rsidR="001647F9" w:rsidRPr="00A95A85" w:rsidP="000D7F2B" w14:paraId="30FE879F" w14:textId="77777777">
            <w:pPr>
              <w:pStyle w:val="TableSubtitle"/>
            </w:pPr>
            <w:r w:rsidRPr="00A95A85">
              <w:t>Condition of Use</w:t>
            </w:r>
          </w:p>
        </w:tc>
        <w:tc>
          <w:tcPr>
            <w:tcW w:w="1495" w:type="dxa"/>
            <w:vMerge w:val="restart"/>
            <w:tcBorders>
              <w:top w:val="single" w:sz="4" w:space="0" w:color="auto"/>
            </w:tcBorders>
            <w:shd w:val="clear" w:color="auto" w:fill="013E5B"/>
            <w:vAlign w:val="center"/>
            <w:hideMark/>
          </w:tcPr>
          <w:p w:rsidR="001647F9" w:rsidRPr="00A95A85" w:rsidP="000D7F2B" w14:paraId="2FA5A7E5" w14:textId="77777777">
            <w:pPr>
              <w:pStyle w:val="TableSubtitle"/>
            </w:pPr>
            <w:r w:rsidRPr="00A95A85">
              <w:t>Unreasonable risk?</w:t>
            </w:r>
          </w:p>
        </w:tc>
      </w:tr>
      <w:tr w14:paraId="4A03161D" w14:textId="77777777" w:rsidTr="4F9E6C54">
        <w:tblPrEx>
          <w:tblW w:w="9126" w:type="dxa"/>
          <w:tblInd w:w="-5" w:type="dxa"/>
          <w:tblLayout w:type="fixed"/>
          <w:tblLook w:val="04A0"/>
        </w:tblPrEx>
        <w:trPr>
          <w:cantSplit/>
          <w:tblHeader/>
        </w:trPr>
        <w:tc>
          <w:tcPr>
            <w:tcW w:w="1365" w:type="dxa"/>
            <w:shd w:val="clear" w:color="auto" w:fill="013E5B"/>
            <w:noWrap/>
            <w:hideMark/>
          </w:tcPr>
          <w:p w:rsidR="001647F9" w:rsidRPr="00A95A85" w:rsidP="000D7F2B" w14:paraId="45CBF22C" w14:textId="77777777">
            <w:pPr>
              <w:pStyle w:val="TableSubtitle"/>
            </w:pPr>
            <w:r w:rsidRPr="00A95A85">
              <w:t>Stage</w:t>
            </w:r>
          </w:p>
        </w:tc>
        <w:tc>
          <w:tcPr>
            <w:tcW w:w="2881" w:type="dxa"/>
            <w:shd w:val="clear" w:color="auto" w:fill="013E5B"/>
            <w:hideMark/>
          </w:tcPr>
          <w:p w:rsidR="001647F9" w:rsidRPr="00A95A85" w:rsidP="000D7F2B" w14:paraId="3C164965" w14:textId="77777777">
            <w:pPr>
              <w:pStyle w:val="TableSubtitle"/>
            </w:pPr>
            <w:r w:rsidRPr="00A95A85">
              <w:t>Category</w:t>
            </w:r>
          </w:p>
        </w:tc>
        <w:tc>
          <w:tcPr>
            <w:tcW w:w="3385" w:type="dxa"/>
            <w:shd w:val="clear" w:color="auto" w:fill="013E5B"/>
            <w:hideMark/>
          </w:tcPr>
          <w:p w:rsidR="001647F9" w:rsidRPr="00A95A85" w:rsidP="000D7F2B" w14:paraId="3E0A6A9A" w14:textId="77777777">
            <w:pPr>
              <w:pStyle w:val="TableSubtitle"/>
            </w:pPr>
            <w:r w:rsidRPr="00A95A85">
              <w:t>Sub-Category</w:t>
            </w:r>
          </w:p>
        </w:tc>
        <w:tc>
          <w:tcPr>
            <w:tcW w:w="1495" w:type="dxa"/>
            <w:vMerge/>
            <w:hideMark/>
          </w:tcPr>
          <w:p w:rsidR="001647F9" w:rsidRPr="00A95A85" w:rsidP="000D7F2B" w14:paraId="30A877A7" w14:textId="77777777">
            <w:pPr>
              <w:pStyle w:val="TableSubtitle"/>
            </w:pPr>
          </w:p>
        </w:tc>
      </w:tr>
      <w:tr w14:paraId="704F7CFB" w14:textId="77777777" w:rsidTr="4F9E6C54">
        <w:tblPrEx>
          <w:tblW w:w="9126" w:type="dxa"/>
          <w:tblInd w:w="-5" w:type="dxa"/>
          <w:tblLayout w:type="fixed"/>
          <w:tblLook w:val="04A0"/>
        </w:tblPrEx>
        <w:trPr>
          <w:cantSplit/>
        </w:trPr>
        <w:tc>
          <w:tcPr>
            <w:tcW w:w="1365" w:type="dxa"/>
            <w:vMerge w:val="restart"/>
            <w:shd w:val="clear" w:color="auto" w:fill="auto"/>
            <w:noWrap/>
            <w:hideMark/>
          </w:tcPr>
          <w:p w:rsidR="001647F9" w:rsidRPr="00A95A85" w:rsidP="000067CB" w14:paraId="73742535" w14:textId="77777777">
            <w:pPr>
              <w:pStyle w:val="LTableTextAbt"/>
            </w:pPr>
            <w:r w:rsidRPr="00A95A85">
              <w:t>Manufacture</w:t>
            </w:r>
          </w:p>
        </w:tc>
        <w:tc>
          <w:tcPr>
            <w:tcW w:w="2881" w:type="dxa"/>
            <w:shd w:val="clear" w:color="auto" w:fill="F2F2F2" w:themeFill="background1" w:themeFillShade="F2"/>
            <w:hideMark/>
          </w:tcPr>
          <w:p w:rsidR="001647F9" w:rsidRPr="00A95A85" w:rsidP="000067CB" w14:paraId="49C457D1" w14:textId="77777777">
            <w:pPr>
              <w:pStyle w:val="LTableTextAbt"/>
            </w:pPr>
            <w:r w:rsidRPr="00A95A85">
              <w:t>Domestic manufactu</w:t>
            </w:r>
            <w:r>
              <w:t>re</w:t>
            </w:r>
          </w:p>
        </w:tc>
        <w:tc>
          <w:tcPr>
            <w:tcW w:w="3385" w:type="dxa"/>
            <w:shd w:val="clear" w:color="auto" w:fill="F2F2F2" w:themeFill="background1" w:themeFillShade="F2"/>
            <w:hideMark/>
          </w:tcPr>
          <w:p w:rsidR="001647F9" w:rsidRPr="00FA67A2" w:rsidP="000067CB" w14:paraId="0C69C69E" w14:textId="77777777">
            <w:pPr>
              <w:pStyle w:val="LTableTextAbt"/>
            </w:pPr>
            <w:r w:rsidRPr="00FA67A2">
              <w:t>Domestic manufacture</w:t>
            </w:r>
          </w:p>
        </w:tc>
        <w:tc>
          <w:tcPr>
            <w:tcW w:w="1495" w:type="dxa"/>
            <w:shd w:val="clear" w:color="auto" w:fill="F2F2F2" w:themeFill="background1" w:themeFillShade="F2"/>
            <w:hideMark/>
          </w:tcPr>
          <w:p w:rsidR="001647F9" w:rsidRPr="006B2051" w:rsidP="000067CB" w14:paraId="50F55F22" w14:textId="77777777">
            <w:pPr>
              <w:pStyle w:val="CTableTextAbt"/>
              <w:rPr>
                <w:b/>
                <w:bCs w:val="0"/>
              </w:rPr>
            </w:pPr>
            <w:r w:rsidRPr="006B2051">
              <w:rPr>
                <w:b/>
                <w:bCs w:val="0"/>
              </w:rPr>
              <w:t>yes</w:t>
            </w:r>
          </w:p>
        </w:tc>
      </w:tr>
      <w:tr w14:paraId="396D3E0B" w14:textId="77777777" w:rsidTr="4F9E6C54">
        <w:tblPrEx>
          <w:tblW w:w="9126" w:type="dxa"/>
          <w:tblInd w:w="-5" w:type="dxa"/>
          <w:tblLayout w:type="fixed"/>
          <w:tblLook w:val="04A0"/>
        </w:tblPrEx>
        <w:trPr>
          <w:cantSplit/>
        </w:trPr>
        <w:tc>
          <w:tcPr>
            <w:tcW w:w="1365" w:type="dxa"/>
            <w:vMerge/>
            <w:hideMark/>
          </w:tcPr>
          <w:p w:rsidR="001647F9" w:rsidRPr="00A95A85" w:rsidP="000067CB" w14:paraId="347A9D06" w14:textId="77777777">
            <w:pPr>
              <w:pStyle w:val="LTableTextAbt"/>
            </w:pPr>
          </w:p>
        </w:tc>
        <w:tc>
          <w:tcPr>
            <w:tcW w:w="2881" w:type="dxa"/>
            <w:shd w:val="clear" w:color="auto" w:fill="F2F2F2" w:themeFill="background1" w:themeFillShade="F2"/>
            <w:hideMark/>
          </w:tcPr>
          <w:p w:rsidR="001647F9" w:rsidRPr="00A95A85" w:rsidP="000067CB" w14:paraId="5EE6C220" w14:textId="77777777">
            <w:pPr>
              <w:pStyle w:val="LTableTextAbt"/>
            </w:pPr>
            <w:r w:rsidRPr="00A95A85">
              <w:t>Import</w:t>
            </w:r>
          </w:p>
        </w:tc>
        <w:tc>
          <w:tcPr>
            <w:tcW w:w="3385" w:type="dxa"/>
            <w:shd w:val="clear" w:color="auto" w:fill="F2F2F2" w:themeFill="background1" w:themeFillShade="F2"/>
            <w:hideMark/>
          </w:tcPr>
          <w:p w:rsidR="001647F9" w:rsidRPr="00FA67A2" w:rsidP="000067CB" w14:paraId="55B22263" w14:textId="77777777">
            <w:pPr>
              <w:pStyle w:val="LTableTextAbt"/>
            </w:pPr>
            <w:r w:rsidRPr="00FA67A2">
              <w:t>Import</w:t>
            </w:r>
          </w:p>
        </w:tc>
        <w:tc>
          <w:tcPr>
            <w:tcW w:w="1495" w:type="dxa"/>
            <w:shd w:val="clear" w:color="auto" w:fill="F2F2F2" w:themeFill="background1" w:themeFillShade="F2"/>
            <w:hideMark/>
          </w:tcPr>
          <w:p w:rsidR="001647F9" w:rsidRPr="006B2051" w:rsidP="000067CB" w14:paraId="2DDE04DC" w14:textId="77777777">
            <w:pPr>
              <w:pStyle w:val="CTableTextAbt"/>
              <w:rPr>
                <w:b/>
                <w:bCs w:val="0"/>
              </w:rPr>
            </w:pPr>
            <w:r w:rsidRPr="006B2051">
              <w:rPr>
                <w:b/>
                <w:bCs w:val="0"/>
              </w:rPr>
              <w:t>yes</w:t>
            </w:r>
          </w:p>
        </w:tc>
      </w:tr>
      <w:tr w14:paraId="1325D32C" w14:textId="77777777" w:rsidTr="4F9E6C54">
        <w:tblPrEx>
          <w:tblW w:w="9126" w:type="dxa"/>
          <w:tblInd w:w="-5" w:type="dxa"/>
          <w:tblLayout w:type="fixed"/>
          <w:tblLook w:val="04A0"/>
        </w:tblPrEx>
        <w:trPr>
          <w:cantSplit/>
        </w:trPr>
        <w:tc>
          <w:tcPr>
            <w:tcW w:w="1365" w:type="dxa"/>
            <w:vMerge w:val="restart"/>
            <w:shd w:val="clear" w:color="auto" w:fill="auto"/>
            <w:noWrap/>
            <w:hideMark/>
          </w:tcPr>
          <w:p w:rsidR="001647F9" w:rsidRPr="00A95A85" w:rsidP="000067CB" w14:paraId="2EF208D5" w14:textId="77777777">
            <w:pPr>
              <w:pStyle w:val="LTableTextAbt"/>
            </w:pPr>
            <w:r w:rsidRPr="00A95A85">
              <w:t>Processing</w:t>
            </w:r>
          </w:p>
        </w:tc>
        <w:tc>
          <w:tcPr>
            <w:tcW w:w="2881" w:type="dxa"/>
            <w:vMerge w:val="restart"/>
            <w:shd w:val="clear" w:color="auto" w:fill="F2F2F2" w:themeFill="background1" w:themeFillShade="F2"/>
            <w:hideMark/>
          </w:tcPr>
          <w:p w:rsidR="001647F9" w:rsidRPr="00A95A85" w:rsidP="000067CB" w14:paraId="1649AF3E" w14:textId="77777777">
            <w:pPr>
              <w:pStyle w:val="LTableTextAbt"/>
            </w:pPr>
            <w:r w:rsidRPr="00A95A85">
              <w:t>Incorporation into formulation, mixture or reaction products</w:t>
            </w:r>
          </w:p>
        </w:tc>
        <w:tc>
          <w:tcPr>
            <w:tcW w:w="3385" w:type="dxa"/>
            <w:shd w:val="clear" w:color="auto" w:fill="F2F2F2" w:themeFill="background1" w:themeFillShade="F2"/>
            <w:hideMark/>
          </w:tcPr>
          <w:p w:rsidR="001647F9" w:rsidRPr="00FA67A2" w:rsidP="000067CB" w14:paraId="23D4AB87" w14:textId="77777777">
            <w:pPr>
              <w:pStyle w:val="LTableTextAbt"/>
            </w:pPr>
            <w:r w:rsidRPr="00FA67A2">
              <w:t>Paints and coatings</w:t>
            </w:r>
          </w:p>
        </w:tc>
        <w:tc>
          <w:tcPr>
            <w:tcW w:w="1495" w:type="dxa"/>
            <w:shd w:val="clear" w:color="auto" w:fill="F2F2F2" w:themeFill="background1" w:themeFillShade="F2"/>
            <w:hideMark/>
          </w:tcPr>
          <w:p w:rsidR="001647F9" w:rsidRPr="006B2051" w:rsidP="000067CB" w14:paraId="30C510E4" w14:textId="77777777">
            <w:pPr>
              <w:pStyle w:val="CTableTextAbt"/>
              <w:rPr>
                <w:b/>
                <w:bCs w:val="0"/>
              </w:rPr>
            </w:pPr>
            <w:r w:rsidRPr="006B2051">
              <w:rPr>
                <w:b/>
                <w:bCs w:val="0"/>
              </w:rPr>
              <w:t>yes</w:t>
            </w:r>
          </w:p>
        </w:tc>
      </w:tr>
      <w:tr w14:paraId="2ECC3130" w14:textId="77777777" w:rsidTr="4F9E6C54">
        <w:tblPrEx>
          <w:tblW w:w="9126" w:type="dxa"/>
          <w:tblInd w:w="-5" w:type="dxa"/>
          <w:tblLayout w:type="fixed"/>
          <w:tblLook w:val="04A0"/>
        </w:tblPrEx>
        <w:trPr>
          <w:cantSplit/>
        </w:trPr>
        <w:tc>
          <w:tcPr>
            <w:tcW w:w="1365" w:type="dxa"/>
            <w:vMerge/>
            <w:hideMark/>
          </w:tcPr>
          <w:p w:rsidR="001647F9" w:rsidRPr="00A95A85" w:rsidP="000067CB" w14:paraId="2D22F862" w14:textId="77777777">
            <w:pPr>
              <w:pStyle w:val="LTableTextAbt"/>
            </w:pPr>
          </w:p>
        </w:tc>
        <w:tc>
          <w:tcPr>
            <w:tcW w:w="2881" w:type="dxa"/>
            <w:vMerge/>
            <w:hideMark/>
          </w:tcPr>
          <w:p w:rsidR="001647F9" w:rsidRPr="00A95A85" w:rsidP="000067CB" w14:paraId="319F8053" w14:textId="77777777">
            <w:pPr>
              <w:pStyle w:val="LTableTextAbt"/>
            </w:pPr>
          </w:p>
        </w:tc>
        <w:tc>
          <w:tcPr>
            <w:tcW w:w="3385" w:type="dxa"/>
            <w:shd w:val="clear" w:color="auto" w:fill="F2F2F2" w:themeFill="background1" w:themeFillShade="F2"/>
            <w:hideMark/>
          </w:tcPr>
          <w:p w:rsidR="001647F9" w:rsidRPr="00FA67A2" w:rsidP="000067CB" w14:paraId="4F0AB6E2" w14:textId="77777777">
            <w:pPr>
              <w:pStyle w:val="LTableTextAbt"/>
            </w:pPr>
            <w:r w:rsidRPr="00FA67A2">
              <w:t>Plastic and rubber products</w:t>
            </w:r>
          </w:p>
        </w:tc>
        <w:tc>
          <w:tcPr>
            <w:tcW w:w="1495" w:type="dxa"/>
            <w:shd w:val="clear" w:color="auto" w:fill="F2F2F2" w:themeFill="background1" w:themeFillShade="F2"/>
            <w:hideMark/>
          </w:tcPr>
          <w:p w:rsidR="001647F9" w:rsidRPr="006B2051" w:rsidP="000067CB" w14:paraId="6916E7EC" w14:textId="77777777">
            <w:pPr>
              <w:pStyle w:val="CTableTextAbt"/>
              <w:rPr>
                <w:b/>
                <w:bCs w:val="0"/>
              </w:rPr>
            </w:pPr>
            <w:r w:rsidRPr="006B2051">
              <w:rPr>
                <w:b/>
                <w:bCs w:val="0"/>
              </w:rPr>
              <w:t>yes</w:t>
            </w:r>
          </w:p>
        </w:tc>
      </w:tr>
      <w:tr w14:paraId="128DC1B9" w14:textId="77777777" w:rsidTr="4F9E6C54">
        <w:tblPrEx>
          <w:tblW w:w="9126" w:type="dxa"/>
          <w:tblInd w:w="-5" w:type="dxa"/>
          <w:tblLayout w:type="fixed"/>
          <w:tblLook w:val="04A0"/>
        </w:tblPrEx>
        <w:trPr>
          <w:cantSplit/>
        </w:trPr>
        <w:tc>
          <w:tcPr>
            <w:tcW w:w="1365" w:type="dxa"/>
            <w:vMerge/>
            <w:hideMark/>
          </w:tcPr>
          <w:p w:rsidR="001647F9" w:rsidRPr="00A95A85" w:rsidP="000067CB" w14:paraId="6A87B9DA" w14:textId="77777777">
            <w:pPr>
              <w:pStyle w:val="LTableTextAbt"/>
            </w:pPr>
          </w:p>
        </w:tc>
        <w:tc>
          <w:tcPr>
            <w:tcW w:w="2881" w:type="dxa"/>
            <w:shd w:val="clear" w:color="auto" w:fill="F2F2F2" w:themeFill="background1" w:themeFillShade="F2"/>
            <w:hideMark/>
          </w:tcPr>
          <w:p w:rsidR="001647F9" w:rsidRPr="00A95A85" w:rsidP="000067CB" w14:paraId="73F1E1F8" w14:textId="77777777">
            <w:pPr>
              <w:pStyle w:val="LTableTextAbt"/>
            </w:pPr>
            <w:r w:rsidRPr="00A95A85">
              <w:t>Processing - Use as an Intermediate</w:t>
            </w:r>
          </w:p>
        </w:tc>
        <w:tc>
          <w:tcPr>
            <w:tcW w:w="3385" w:type="dxa"/>
            <w:shd w:val="clear" w:color="auto" w:fill="F2F2F2" w:themeFill="background1" w:themeFillShade="F2"/>
            <w:hideMark/>
          </w:tcPr>
          <w:p w:rsidR="001647F9" w:rsidRPr="00FA67A2" w:rsidP="000067CB" w14:paraId="2176D803" w14:textId="77777777">
            <w:pPr>
              <w:pStyle w:val="LTableTextAbt"/>
            </w:pPr>
            <w:r w:rsidRPr="00FA67A2">
              <w:t>Creation or adjustment to other perylene pigments</w:t>
            </w:r>
          </w:p>
        </w:tc>
        <w:tc>
          <w:tcPr>
            <w:tcW w:w="1495" w:type="dxa"/>
            <w:shd w:val="clear" w:color="auto" w:fill="F2F2F2" w:themeFill="background1" w:themeFillShade="F2"/>
            <w:hideMark/>
          </w:tcPr>
          <w:p w:rsidR="001647F9" w:rsidRPr="006B2051" w:rsidP="000067CB" w14:paraId="6749BABD" w14:textId="77777777">
            <w:pPr>
              <w:pStyle w:val="CTableTextAbt"/>
              <w:rPr>
                <w:b/>
                <w:bCs w:val="0"/>
              </w:rPr>
            </w:pPr>
            <w:r w:rsidRPr="006B2051">
              <w:rPr>
                <w:b/>
                <w:bCs w:val="0"/>
              </w:rPr>
              <w:t>yes</w:t>
            </w:r>
          </w:p>
        </w:tc>
      </w:tr>
      <w:tr w14:paraId="46A88E7C" w14:textId="77777777" w:rsidTr="4F9E6C54">
        <w:tblPrEx>
          <w:tblW w:w="9126" w:type="dxa"/>
          <w:tblInd w:w="-5" w:type="dxa"/>
          <w:tblLayout w:type="fixed"/>
          <w:tblLook w:val="04A0"/>
        </w:tblPrEx>
        <w:trPr>
          <w:cantSplit/>
        </w:trPr>
        <w:tc>
          <w:tcPr>
            <w:tcW w:w="1365" w:type="dxa"/>
            <w:vMerge/>
            <w:hideMark/>
          </w:tcPr>
          <w:p w:rsidR="001647F9" w:rsidRPr="00A95A85" w:rsidP="000067CB" w14:paraId="634DA09C" w14:textId="77777777">
            <w:pPr>
              <w:pStyle w:val="LTableTextAbt"/>
            </w:pPr>
          </w:p>
        </w:tc>
        <w:tc>
          <w:tcPr>
            <w:tcW w:w="2881" w:type="dxa"/>
            <w:shd w:val="clear" w:color="auto" w:fill="F2F2F2" w:themeFill="background1" w:themeFillShade="F2"/>
            <w:hideMark/>
          </w:tcPr>
          <w:p w:rsidR="001647F9" w:rsidRPr="00A95A85" w:rsidP="000067CB" w14:paraId="341768AC" w14:textId="77777777">
            <w:pPr>
              <w:pStyle w:val="LTableTextAbt"/>
            </w:pPr>
            <w:r w:rsidRPr="00A95A85">
              <w:t>Recycling</w:t>
            </w:r>
          </w:p>
        </w:tc>
        <w:tc>
          <w:tcPr>
            <w:tcW w:w="3385" w:type="dxa"/>
            <w:shd w:val="clear" w:color="auto" w:fill="F2F2F2" w:themeFill="background1" w:themeFillShade="F2"/>
            <w:hideMark/>
          </w:tcPr>
          <w:p w:rsidR="001647F9" w:rsidRPr="00FA67A2" w:rsidP="000067CB" w14:paraId="01176CD3" w14:textId="77777777">
            <w:pPr>
              <w:pStyle w:val="LTableTextAbt"/>
            </w:pPr>
            <w:r w:rsidRPr="00FA67A2">
              <w:t>Recycling</w:t>
            </w:r>
          </w:p>
        </w:tc>
        <w:tc>
          <w:tcPr>
            <w:tcW w:w="1495" w:type="dxa"/>
            <w:shd w:val="clear" w:color="auto" w:fill="F2F2F2" w:themeFill="background1" w:themeFillShade="F2"/>
            <w:hideMark/>
          </w:tcPr>
          <w:p w:rsidR="001647F9" w:rsidRPr="006B2051" w:rsidP="000067CB" w14:paraId="7AB68210" w14:textId="77777777">
            <w:pPr>
              <w:pStyle w:val="CTableTextAbt"/>
              <w:rPr>
                <w:b/>
                <w:bCs w:val="0"/>
              </w:rPr>
            </w:pPr>
            <w:r w:rsidRPr="006B2051">
              <w:rPr>
                <w:b/>
                <w:bCs w:val="0"/>
              </w:rPr>
              <w:t>yes</w:t>
            </w:r>
          </w:p>
        </w:tc>
      </w:tr>
      <w:tr w14:paraId="399F26AB" w14:textId="77777777" w:rsidTr="4F9E6C54">
        <w:tblPrEx>
          <w:tblW w:w="9126" w:type="dxa"/>
          <w:tblInd w:w="-5" w:type="dxa"/>
          <w:tblLayout w:type="fixed"/>
          <w:tblLook w:val="04A0"/>
        </w:tblPrEx>
        <w:trPr>
          <w:cantSplit/>
        </w:trPr>
        <w:tc>
          <w:tcPr>
            <w:tcW w:w="1365" w:type="dxa"/>
            <w:shd w:val="clear" w:color="auto" w:fill="auto"/>
            <w:noWrap/>
            <w:hideMark/>
          </w:tcPr>
          <w:p w:rsidR="001647F9" w:rsidRPr="00A95A85" w:rsidP="000067CB" w14:paraId="4B6EF500" w14:textId="77777777">
            <w:pPr>
              <w:pStyle w:val="LTableTextAbt"/>
            </w:pPr>
            <w:r w:rsidRPr="00A95A85">
              <w:t>Distribution in commerce</w:t>
            </w:r>
          </w:p>
        </w:tc>
        <w:tc>
          <w:tcPr>
            <w:tcW w:w="2881" w:type="dxa"/>
            <w:shd w:val="clear" w:color="auto" w:fill="auto"/>
            <w:hideMark/>
          </w:tcPr>
          <w:p w:rsidR="001647F9" w:rsidRPr="00A95A85" w:rsidP="000067CB" w14:paraId="7AB9E58D" w14:textId="77777777">
            <w:pPr>
              <w:pStyle w:val="LTableTextAbt"/>
            </w:pPr>
            <w:r w:rsidRPr="00A95A85">
              <w:t>Distribution</w:t>
            </w:r>
          </w:p>
        </w:tc>
        <w:tc>
          <w:tcPr>
            <w:tcW w:w="3385" w:type="dxa"/>
            <w:shd w:val="clear" w:color="auto" w:fill="auto"/>
            <w:hideMark/>
          </w:tcPr>
          <w:p w:rsidR="001647F9" w:rsidRPr="00FA67A2" w:rsidP="000067CB" w14:paraId="48A84949" w14:textId="77777777">
            <w:pPr>
              <w:pStyle w:val="LTableTextAbt"/>
            </w:pPr>
            <w:r w:rsidRPr="00FA67A2">
              <w:t>Distribution</w:t>
            </w:r>
          </w:p>
        </w:tc>
        <w:tc>
          <w:tcPr>
            <w:tcW w:w="1495" w:type="dxa"/>
            <w:shd w:val="clear" w:color="auto" w:fill="auto"/>
            <w:hideMark/>
          </w:tcPr>
          <w:p w:rsidR="001647F9" w:rsidRPr="00FA67A2" w:rsidP="000067CB" w14:paraId="7B10411E" w14:textId="77777777">
            <w:pPr>
              <w:pStyle w:val="CTableTextAbt"/>
            </w:pPr>
            <w:r w:rsidRPr="00FA67A2">
              <w:t>no</w:t>
            </w:r>
          </w:p>
        </w:tc>
      </w:tr>
      <w:tr w14:paraId="224AEAE3" w14:textId="77777777" w:rsidTr="4F9E6C54">
        <w:tblPrEx>
          <w:tblW w:w="9126" w:type="dxa"/>
          <w:tblInd w:w="-5" w:type="dxa"/>
          <w:tblLayout w:type="fixed"/>
          <w:tblLook w:val="04A0"/>
        </w:tblPrEx>
        <w:trPr>
          <w:cantSplit/>
        </w:trPr>
        <w:tc>
          <w:tcPr>
            <w:tcW w:w="1365" w:type="dxa"/>
            <w:vMerge w:val="restart"/>
            <w:shd w:val="clear" w:color="auto" w:fill="auto"/>
            <w:hideMark/>
          </w:tcPr>
          <w:p w:rsidR="001647F9" w:rsidRPr="00A95A85" w:rsidP="000067CB" w14:paraId="299B30E2" w14:textId="77777777">
            <w:pPr>
              <w:pStyle w:val="LTableTextAbt"/>
            </w:pPr>
            <w:r w:rsidRPr="00A95A85">
              <w:t>Industrial/ commercial use</w:t>
            </w:r>
          </w:p>
        </w:tc>
        <w:tc>
          <w:tcPr>
            <w:tcW w:w="2881" w:type="dxa"/>
            <w:vMerge w:val="restart"/>
            <w:shd w:val="clear" w:color="auto" w:fill="auto"/>
            <w:hideMark/>
          </w:tcPr>
          <w:p w:rsidR="001647F9" w:rsidRPr="00A95A85" w:rsidP="000067CB" w14:paraId="41AF21DF" w14:textId="77777777">
            <w:pPr>
              <w:pStyle w:val="LTableTextAbt"/>
            </w:pPr>
            <w:r w:rsidRPr="00A95A85">
              <w:t xml:space="preserve">Plastic and </w:t>
            </w:r>
            <w:r>
              <w:t>r</w:t>
            </w:r>
            <w:r w:rsidRPr="00A95A85">
              <w:t xml:space="preserve">ubber </w:t>
            </w:r>
            <w:r>
              <w:t>p</w:t>
            </w:r>
            <w:r w:rsidRPr="00A95A85">
              <w:t>roducts</w:t>
            </w:r>
          </w:p>
        </w:tc>
        <w:tc>
          <w:tcPr>
            <w:tcW w:w="3385" w:type="dxa"/>
            <w:shd w:val="clear" w:color="auto" w:fill="auto"/>
            <w:hideMark/>
          </w:tcPr>
          <w:p w:rsidR="001647F9" w:rsidRPr="00FA67A2" w:rsidP="000067CB" w14:paraId="76B344B2" w14:textId="77777777">
            <w:pPr>
              <w:pStyle w:val="LTableTextAbt"/>
            </w:pPr>
            <w:r w:rsidRPr="00FA67A2">
              <w:t>Automobile plastics</w:t>
            </w:r>
          </w:p>
        </w:tc>
        <w:tc>
          <w:tcPr>
            <w:tcW w:w="1495" w:type="dxa"/>
            <w:shd w:val="clear" w:color="auto" w:fill="auto"/>
            <w:hideMark/>
          </w:tcPr>
          <w:p w:rsidR="001647F9" w:rsidRPr="00FA67A2" w:rsidP="000067CB" w14:paraId="565F54F4" w14:textId="77777777">
            <w:pPr>
              <w:pStyle w:val="CTableTextAbt"/>
            </w:pPr>
            <w:r w:rsidRPr="00FA67A2">
              <w:t>no</w:t>
            </w:r>
          </w:p>
        </w:tc>
      </w:tr>
      <w:tr w14:paraId="634A855D" w14:textId="77777777" w:rsidTr="4F9E6C54">
        <w:tblPrEx>
          <w:tblW w:w="9126" w:type="dxa"/>
          <w:tblInd w:w="-5" w:type="dxa"/>
          <w:tblLayout w:type="fixed"/>
          <w:tblLook w:val="04A0"/>
        </w:tblPrEx>
        <w:trPr>
          <w:cantSplit/>
        </w:trPr>
        <w:tc>
          <w:tcPr>
            <w:tcW w:w="1365" w:type="dxa"/>
            <w:vMerge/>
            <w:hideMark/>
          </w:tcPr>
          <w:p w:rsidR="001647F9" w:rsidRPr="00A95A85" w:rsidP="000067CB" w14:paraId="2F21BC90" w14:textId="77777777">
            <w:pPr>
              <w:pStyle w:val="LTableTextAbt"/>
            </w:pPr>
          </w:p>
        </w:tc>
        <w:tc>
          <w:tcPr>
            <w:tcW w:w="2881" w:type="dxa"/>
            <w:vMerge/>
            <w:hideMark/>
          </w:tcPr>
          <w:p w:rsidR="001647F9" w:rsidRPr="00A95A85" w:rsidP="000067CB" w14:paraId="3C4BBFB2" w14:textId="77777777">
            <w:pPr>
              <w:pStyle w:val="LTableTextAbt"/>
            </w:pPr>
          </w:p>
        </w:tc>
        <w:tc>
          <w:tcPr>
            <w:tcW w:w="3385" w:type="dxa"/>
            <w:shd w:val="clear" w:color="auto" w:fill="auto"/>
            <w:hideMark/>
          </w:tcPr>
          <w:p w:rsidR="001647F9" w:rsidRPr="00FA67A2" w:rsidP="000067CB" w14:paraId="4105F245" w14:textId="77777777">
            <w:pPr>
              <w:pStyle w:val="LTableTextAbt"/>
            </w:pPr>
            <w:r w:rsidRPr="00FA67A2">
              <w:t>Industrial carpeting</w:t>
            </w:r>
          </w:p>
        </w:tc>
        <w:tc>
          <w:tcPr>
            <w:tcW w:w="1495" w:type="dxa"/>
            <w:shd w:val="clear" w:color="auto" w:fill="auto"/>
            <w:hideMark/>
          </w:tcPr>
          <w:p w:rsidR="001647F9" w:rsidRPr="00FA67A2" w:rsidP="000067CB" w14:paraId="1C2C1C68" w14:textId="77777777">
            <w:pPr>
              <w:pStyle w:val="CTableTextAbt"/>
            </w:pPr>
            <w:r w:rsidRPr="00FA67A2">
              <w:t>no</w:t>
            </w:r>
          </w:p>
        </w:tc>
      </w:tr>
      <w:tr w14:paraId="3A252C24" w14:textId="77777777" w:rsidTr="4F9E6C54">
        <w:tblPrEx>
          <w:tblW w:w="9126" w:type="dxa"/>
          <w:tblInd w:w="-5" w:type="dxa"/>
          <w:tblLayout w:type="fixed"/>
          <w:tblLook w:val="04A0"/>
        </w:tblPrEx>
        <w:trPr>
          <w:cantSplit/>
        </w:trPr>
        <w:tc>
          <w:tcPr>
            <w:tcW w:w="1365" w:type="dxa"/>
            <w:vMerge/>
            <w:hideMark/>
          </w:tcPr>
          <w:p w:rsidR="001647F9" w:rsidRPr="00A95A85" w:rsidP="000067CB" w14:paraId="3CEB3AD8" w14:textId="77777777">
            <w:pPr>
              <w:pStyle w:val="LTableTextAbt"/>
            </w:pPr>
          </w:p>
        </w:tc>
        <w:tc>
          <w:tcPr>
            <w:tcW w:w="2881" w:type="dxa"/>
            <w:vMerge w:val="restart"/>
            <w:shd w:val="clear" w:color="auto" w:fill="F2F2F2" w:themeFill="background1" w:themeFillShade="F2"/>
            <w:hideMark/>
          </w:tcPr>
          <w:p w:rsidR="001647F9" w:rsidRPr="00A95A85" w:rsidP="000067CB" w14:paraId="273D4630" w14:textId="77777777">
            <w:pPr>
              <w:pStyle w:val="LTableTextAbt"/>
            </w:pPr>
            <w:r w:rsidRPr="00A95A85">
              <w:t>Paints and coatings</w:t>
            </w:r>
          </w:p>
        </w:tc>
        <w:tc>
          <w:tcPr>
            <w:tcW w:w="3385" w:type="dxa"/>
            <w:shd w:val="clear" w:color="auto" w:fill="F2F2F2" w:themeFill="background1" w:themeFillShade="F2"/>
            <w:hideMark/>
          </w:tcPr>
          <w:p w:rsidR="001647F9" w:rsidRPr="00FA67A2" w:rsidP="000067CB" w14:paraId="74BA717B" w14:textId="77777777">
            <w:pPr>
              <w:pStyle w:val="LTableTextAbt"/>
            </w:pPr>
            <w:r w:rsidRPr="00FA67A2">
              <w:t>Automobile (e.g., OEM and refinishing)</w:t>
            </w:r>
          </w:p>
        </w:tc>
        <w:tc>
          <w:tcPr>
            <w:tcW w:w="1495" w:type="dxa"/>
            <w:shd w:val="clear" w:color="auto" w:fill="F2F2F2" w:themeFill="background1" w:themeFillShade="F2"/>
            <w:hideMark/>
          </w:tcPr>
          <w:p w:rsidR="001647F9" w:rsidRPr="006B2051" w:rsidP="000067CB" w14:paraId="2FA077EB" w14:textId="77777777">
            <w:pPr>
              <w:pStyle w:val="CTableTextAbt"/>
              <w:rPr>
                <w:b/>
                <w:bCs w:val="0"/>
              </w:rPr>
            </w:pPr>
            <w:r w:rsidRPr="006B2051">
              <w:rPr>
                <w:b/>
                <w:bCs w:val="0"/>
              </w:rPr>
              <w:t>yes</w:t>
            </w:r>
          </w:p>
        </w:tc>
      </w:tr>
      <w:tr w14:paraId="0D974F1E" w14:textId="77777777" w:rsidTr="4F9E6C54">
        <w:tblPrEx>
          <w:tblW w:w="9126" w:type="dxa"/>
          <w:tblInd w:w="-5" w:type="dxa"/>
          <w:tblLayout w:type="fixed"/>
          <w:tblLook w:val="04A0"/>
        </w:tblPrEx>
        <w:trPr>
          <w:cantSplit/>
        </w:trPr>
        <w:tc>
          <w:tcPr>
            <w:tcW w:w="1365" w:type="dxa"/>
            <w:vMerge/>
            <w:hideMark/>
          </w:tcPr>
          <w:p w:rsidR="001647F9" w:rsidRPr="00A95A85" w:rsidP="000067CB" w14:paraId="3F1B3CA4" w14:textId="77777777">
            <w:pPr>
              <w:pStyle w:val="LTableTextAbt"/>
            </w:pPr>
          </w:p>
        </w:tc>
        <w:tc>
          <w:tcPr>
            <w:tcW w:w="2881" w:type="dxa"/>
            <w:vMerge/>
            <w:hideMark/>
          </w:tcPr>
          <w:p w:rsidR="001647F9" w:rsidRPr="00A95A85" w:rsidP="000067CB" w14:paraId="12F23812" w14:textId="77777777">
            <w:pPr>
              <w:pStyle w:val="LTableTextAbt"/>
            </w:pPr>
          </w:p>
        </w:tc>
        <w:tc>
          <w:tcPr>
            <w:tcW w:w="3385" w:type="dxa"/>
            <w:shd w:val="clear" w:color="auto" w:fill="F2F2F2" w:themeFill="background1" w:themeFillShade="F2"/>
            <w:hideMark/>
          </w:tcPr>
          <w:p w:rsidR="001647F9" w:rsidRPr="00FA67A2" w:rsidP="000067CB" w14:paraId="715DD1DE" w14:textId="77777777">
            <w:pPr>
              <w:pStyle w:val="LTableTextAbt"/>
            </w:pPr>
            <w:r w:rsidRPr="00FA67A2">
              <w:t>Coatings and basecoats</w:t>
            </w:r>
          </w:p>
        </w:tc>
        <w:tc>
          <w:tcPr>
            <w:tcW w:w="1495" w:type="dxa"/>
            <w:shd w:val="clear" w:color="auto" w:fill="F2F2F2" w:themeFill="background1" w:themeFillShade="F2"/>
            <w:hideMark/>
          </w:tcPr>
          <w:p w:rsidR="001647F9" w:rsidRPr="006B2051" w:rsidP="000067CB" w14:paraId="37492EDB" w14:textId="77777777">
            <w:pPr>
              <w:pStyle w:val="CTableTextAbt"/>
              <w:rPr>
                <w:b/>
                <w:bCs w:val="0"/>
              </w:rPr>
            </w:pPr>
            <w:r w:rsidRPr="006B2051">
              <w:rPr>
                <w:b/>
                <w:bCs w:val="0"/>
              </w:rPr>
              <w:t>yes</w:t>
            </w:r>
          </w:p>
        </w:tc>
      </w:tr>
      <w:tr w14:paraId="379C0F7A" w14:textId="77777777" w:rsidTr="4F9E6C54">
        <w:tblPrEx>
          <w:tblW w:w="9126" w:type="dxa"/>
          <w:tblInd w:w="-5" w:type="dxa"/>
          <w:tblLayout w:type="fixed"/>
          <w:tblLook w:val="04A0"/>
        </w:tblPrEx>
        <w:trPr>
          <w:cantSplit/>
        </w:trPr>
        <w:tc>
          <w:tcPr>
            <w:tcW w:w="1365" w:type="dxa"/>
            <w:vMerge/>
            <w:hideMark/>
          </w:tcPr>
          <w:p w:rsidR="001647F9" w:rsidRPr="00A95A85" w:rsidP="000067CB" w14:paraId="00C2F749" w14:textId="77777777">
            <w:pPr>
              <w:pStyle w:val="LTableTextAbt"/>
            </w:pPr>
          </w:p>
        </w:tc>
        <w:tc>
          <w:tcPr>
            <w:tcW w:w="2881" w:type="dxa"/>
            <w:shd w:val="clear" w:color="auto" w:fill="F2F2F2" w:themeFill="background1" w:themeFillShade="F2"/>
            <w:hideMark/>
          </w:tcPr>
          <w:p w:rsidR="001647F9" w:rsidRPr="00A95A85" w:rsidP="000067CB" w14:paraId="529566A3" w14:textId="77777777">
            <w:pPr>
              <w:pStyle w:val="LTableTextAbt"/>
            </w:pPr>
            <w:r w:rsidRPr="00A95A85">
              <w:t>Merchant ink for commercial printing</w:t>
            </w:r>
          </w:p>
        </w:tc>
        <w:tc>
          <w:tcPr>
            <w:tcW w:w="3385" w:type="dxa"/>
            <w:shd w:val="clear" w:color="auto" w:fill="F2F2F2" w:themeFill="background1" w:themeFillShade="F2"/>
            <w:hideMark/>
          </w:tcPr>
          <w:p w:rsidR="001647F9" w:rsidRPr="00FA67A2" w:rsidP="000067CB" w14:paraId="488F611E" w14:textId="77777777">
            <w:pPr>
              <w:pStyle w:val="LTableTextAbt"/>
            </w:pPr>
            <w:r w:rsidRPr="00FA67A2">
              <w:t>Merchant Ink</w:t>
            </w:r>
          </w:p>
        </w:tc>
        <w:tc>
          <w:tcPr>
            <w:tcW w:w="1495" w:type="dxa"/>
            <w:shd w:val="clear" w:color="auto" w:fill="F2F2F2" w:themeFill="background1" w:themeFillShade="F2"/>
            <w:hideMark/>
          </w:tcPr>
          <w:p w:rsidR="001647F9" w:rsidRPr="006B2051" w:rsidP="000067CB" w14:paraId="3F8DA267" w14:textId="77777777">
            <w:pPr>
              <w:pStyle w:val="CTableTextAbt"/>
              <w:rPr>
                <w:b/>
                <w:bCs w:val="0"/>
              </w:rPr>
            </w:pPr>
            <w:r w:rsidRPr="006B2051">
              <w:rPr>
                <w:b/>
                <w:bCs w:val="0"/>
              </w:rPr>
              <w:t>yes</w:t>
            </w:r>
          </w:p>
        </w:tc>
      </w:tr>
      <w:tr w14:paraId="007A7BB3" w14:textId="77777777" w:rsidTr="4F9E6C54">
        <w:tblPrEx>
          <w:tblW w:w="9126" w:type="dxa"/>
          <w:tblInd w:w="-5" w:type="dxa"/>
          <w:tblLayout w:type="fixed"/>
          <w:tblLook w:val="04A0"/>
        </w:tblPrEx>
        <w:trPr>
          <w:cantSplit/>
        </w:trPr>
        <w:tc>
          <w:tcPr>
            <w:tcW w:w="1365" w:type="dxa"/>
            <w:vMerge/>
            <w:hideMark/>
          </w:tcPr>
          <w:p w:rsidR="001647F9" w:rsidRPr="00A95A85" w:rsidP="000067CB" w14:paraId="790A8ECA" w14:textId="77777777">
            <w:pPr>
              <w:pStyle w:val="LTableTextAbt"/>
            </w:pPr>
          </w:p>
        </w:tc>
        <w:tc>
          <w:tcPr>
            <w:tcW w:w="2881" w:type="dxa"/>
            <w:shd w:val="clear" w:color="auto" w:fill="auto"/>
            <w:hideMark/>
          </w:tcPr>
          <w:p w:rsidR="001647F9" w:rsidRPr="00A95A85" w:rsidP="000067CB" w14:paraId="2514C290" w14:textId="77777777">
            <w:pPr>
              <w:pStyle w:val="LTableTextAbt"/>
            </w:pPr>
            <w:r w:rsidRPr="00A95A85">
              <w:t>Consumer watercolor and acrylic paints</w:t>
            </w:r>
          </w:p>
        </w:tc>
        <w:tc>
          <w:tcPr>
            <w:tcW w:w="3385" w:type="dxa"/>
            <w:shd w:val="clear" w:color="auto" w:fill="auto"/>
            <w:hideMark/>
          </w:tcPr>
          <w:p w:rsidR="001647F9" w:rsidRPr="00FA67A2" w:rsidP="000067CB" w14:paraId="2878C670" w14:textId="77777777">
            <w:pPr>
              <w:pStyle w:val="LTableTextAbt"/>
            </w:pPr>
            <w:r w:rsidRPr="00FA67A2">
              <w:t>Professional quality watercolor and acrylic artist paint</w:t>
            </w:r>
          </w:p>
        </w:tc>
        <w:tc>
          <w:tcPr>
            <w:tcW w:w="1495" w:type="dxa"/>
            <w:shd w:val="clear" w:color="auto" w:fill="auto"/>
            <w:hideMark/>
          </w:tcPr>
          <w:p w:rsidR="001647F9" w:rsidRPr="00FA67A2" w:rsidP="000067CB" w14:paraId="3C616C09" w14:textId="77777777">
            <w:pPr>
              <w:pStyle w:val="CTableTextAbt"/>
            </w:pPr>
            <w:r w:rsidRPr="00FA67A2">
              <w:t>no</w:t>
            </w:r>
          </w:p>
        </w:tc>
      </w:tr>
      <w:tr w14:paraId="21136743" w14:textId="77777777" w:rsidTr="4F9E6C54">
        <w:tblPrEx>
          <w:tblW w:w="9126" w:type="dxa"/>
          <w:tblInd w:w="-5" w:type="dxa"/>
          <w:tblLayout w:type="fixed"/>
          <w:tblLook w:val="04A0"/>
        </w:tblPrEx>
        <w:trPr>
          <w:cantSplit/>
        </w:trPr>
        <w:tc>
          <w:tcPr>
            <w:tcW w:w="1365" w:type="dxa"/>
            <w:vMerge w:val="restart"/>
            <w:shd w:val="clear" w:color="auto" w:fill="auto"/>
            <w:hideMark/>
          </w:tcPr>
          <w:p w:rsidR="001647F9" w:rsidRPr="00A95A85" w:rsidP="000067CB" w14:paraId="75E8411D" w14:textId="77777777">
            <w:pPr>
              <w:pStyle w:val="LTableTextAbt"/>
            </w:pPr>
            <w:r w:rsidRPr="00A95A85">
              <w:t>Disposal</w:t>
            </w:r>
          </w:p>
        </w:tc>
        <w:tc>
          <w:tcPr>
            <w:tcW w:w="2881" w:type="dxa"/>
            <w:shd w:val="clear" w:color="auto" w:fill="auto"/>
            <w:hideMark/>
          </w:tcPr>
          <w:p w:rsidR="001647F9" w:rsidRPr="00A95A85" w:rsidP="000067CB" w14:paraId="6A16F37D" w14:textId="77777777">
            <w:pPr>
              <w:pStyle w:val="LTableTextAbt"/>
            </w:pPr>
            <w:r w:rsidRPr="00A95A85">
              <w:t>Emissions to Air</w:t>
            </w:r>
          </w:p>
        </w:tc>
        <w:tc>
          <w:tcPr>
            <w:tcW w:w="3385" w:type="dxa"/>
            <w:shd w:val="clear" w:color="auto" w:fill="auto"/>
            <w:hideMark/>
          </w:tcPr>
          <w:p w:rsidR="001647F9" w:rsidRPr="00FA67A2" w:rsidP="000067CB" w14:paraId="0D87F4D4" w14:textId="77777777">
            <w:pPr>
              <w:pStyle w:val="LTableTextAbt"/>
            </w:pPr>
            <w:r w:rsidRPr="00FA67A2">
              <w:t>Air</w:t>
            </w:r>
          </w:p>
        </w:tc>
        <w:tc>
          <w:tcPr>
            <w:tcW w:w="1495" w:type="dxa"/>
            <w:vMerge w:val="restart"/>
            <w:shd w:val="clear" w:color="auto" w:fill="F2F2F2" w:themeFill="background1" w:themeFillShade="F2"/>
          </w:tcPr>
          <w:p w:rsidR="001647F9" w:rsidRPr="006B2051" w:rsidP="000067CB" w14:paraId="33C82A81" w14:textId="77777777">
            <w:pPr>
              <w:pStyle w:val="CTableTextAbt"/>
              <w:rPr>
                <w:b/>
                <w:bCs w:val="0"/>
              </w:rPr>
            </w:pPr>
            <w:r w:rsidRPr="006B2051">
              <w:rPr>
                <w:b/>
                <w:bCs w:val="0"/>
              </w:rPr>
              <w:t>yes</w:t>
            </w:r>
          </w:p>
        </w:tc>
      </w:tr>
      <w:tr w14:paraId="70DD3984" w14:textId="77777777" w:rsidTr="4F9E6C54">
        <w:tblPrEx>
          <w:tblW w:w="9126" w:type="dxa"/>
          <w:tblInd w:w="-5" w:type="dxa"/>
          <w:tblLayout w:type="fixed"/>
          <w:tblLook w:val="04A0"/>
        </w:tblPrEx>
        <w:trPr>
          <w:cantSplit/>
        </w:trPr>
        <w:tc>
          <w:tcPr>
            <w:tcW w:w="1365" w:type="dxa"/>
            <w:vMerge/>
            <w:hideMark/>
          </w:tcPr>
          <w:p w:rsidR="001647F9" w:rsidRPr="00A95A85" w:rsidP="00CA0464" w14:paraId="006D4B5D" w14:textId="77777777">
            <w:pPr>
              <w:pStyle w:val="TableText"/>
              <w:keepNext/>
            </w:pPr>
          </w:p>
        </w:tc>
        <w:tc>
          <w:tcPr>
            <w:tcW w:w="2881" w:type="dxa"/>
            <w:vMerge w:val="restart"/>
            <w:shd w:val="clear" w:color="auto" w:fill="F2F2F2" w:themeFill="background1" w:themeFillShade="F2"/>
            <w:hideMark/>
          </w:tcPr>
          <w:p w:rsidR="001647F9" w:rsidRPr="00A95A85" w:rsidP="000067CB" w14:paraId="7BF0CFFA" w14:textId="77777777">
            <w:pPr>
              <w:pStyle w:val="LTableTextAbt"/>
            </w:pPr>
            <w:r w:rsidRPr="00A95A85">
              <w:t>Wastewater</w:t>
            </w:r>
          </w:p>
        </w:tc>
        <w:tc>
          <w:tcPr>
            <w:tcW w:w="3385" w:type="dxa"/>
            <w:shd w:val="clear" w:color="auto" w:fill="F2F2F2" w:themeFill="background1" w:themeFillShade="F2"/>
            <w:hideMark/>
          </w:tcPr>
          <w:p w:rsidR="001647F9" w:rsidRPr="00FA67A2" w:rsidP="000067CB" w14:paraId="60679591" w14:textId="77777777">
            <w:pPr>
              <w:pStyle w:val="LTableTextAbt"/>
            </w:pPr>
            <w:r w:rsidRPr="00FA67A2">
              <w:t>Industrial Pretreatment</w:t>
            </w:r>
          </w:p>
        </w:tc>
        <w:tc>
          <w:tcPr>
            <w:tcW w:w="1495" w:type="dxa"/>
            <w:vMerge/>
          </w:tcPr>
          <w:p w:rsidR="001647F9" w:rsidRPr="00FA67A2" w:rsidP="00CA0464" w14:paraId="00E1C8B3" w14:textId="77777777">
            <w:pPr>
              <w:jc w:val="center"/>
              <w:rPr>
                <w:rFonts w:ascii="Arial Narrow" w:hAnsi="Arial Narrow" w:cs="Calibri"/>
              </w:rPr>
            </w:pPr>
          </w:p>
        </w:tc>
      </w:tr>
      <w:tr w14:paraId="25282300" w14:textId="77777777" w:rsidTr="4F9E6C54">
        <w:tblPrEx>
          <w:tblW w:w="9126" w:type="dxa"/>
          <w:tblInd w:w="-5" w:type="dxa"/>
          <w:tblLayout w:type="fixed"/>
          <w:tblLook w:val="04A0"/>
        </w:tblPrEx>
        <w:trPr>
          <w:cantSplit/>
        </w:trPr>
        <w:tc>
          <w:tcPr>
            <w:tcW w:w="1365" w:type="dxa"/>
            <w:vMerge/>
            <w:hideMark/>
          </w:tcPr>
          <w:p w:rsidR="001647F9" w:rsidRPr="00A95A85" w:rsidP="00CA0464" w14:paraId="71F46986" w14:textId="77777777">
            <w:pPr>
              <w:pStyle w:val="TableText"/>
              <w:keepNext/>
            </w:pPr>
          </w:p>
        </w:tc>
        <w:tc>
          <w:tcPr>
            <w:tcW w:w="2881" w:type="dxa"/>
            <w:vMerge/>
            <w:hideMark/>
          </w:tcPr>
          <w:p w:rsidR="001647F9" w:rsidRPr="00A95A85" w:rsidP="000067CB" w14:paraId="488126B3" w14:textId="77777777">
            <w:pPr>
              <w:pStyle w:val="LTableTextAbt"/>
            </w:pPr>
          </w:p>
        </w:tc>
        <w:tc>
          <w:tcPr>
            <w:tcW w:w="3385" w:type="dxa"/>
            <w:shd w:val="clear" w:color="auto" w:fill="F2F2F2" w:themeFill="background1" w:themeFillShade="F2"/>
            <w:hideMark/>
          </w:tcPr>
          <w:p w:rsidR="001647F9" w:rsidRPr="00FA67A2" w:rsidP="000067CB" w14:paraId="1DB685F5" w14:textId="77777777">
            <w:pPr>
              <w:pStyle w:val="LTableTextAbt"/>
            </w:pPr>
            <w:r w:rsidRPr="00FA67A2">
              <w:t>Industrial wastewater treatment</w:t>
            </w:r>
          </w:p>
        </w:tc>
        <w:tc>
          <w:tcPr>
            <w:tcW w:w="1495" w:type="dxa"/>
            <w:vMerge/>
          </w:tcPr>
          <w:p w:rsidR="001647F9" w:rsidRPr="00FA67A2" w:rsidP="00CA0464" w14:paraId="7E3DD52D" w14:textId="77777777">
            <w:pPr>
              <w:jc w:val="center"/>
              <w:rPr>
                <w:rFonts w:ascii="Arial Narrow" w:hAnsi="Arial Narrow" w:cs="Calibri"/>
              </w:rPr>
            </w:pPr>
          </w:p>
        </w:tc>
      </w:tr>
      <w:tr w14:paraId="0283939C" w14:textId="77777777" w:rsidTr="4F9E6C54">
        <w:tblPrEx>
          <w:tblW w:w="9126" w:type="dxa"/>
          <w:tblInd w:w="-5" w:type="dxa"/>
          <w:tblLayout w:type="fixed"/>
          <w:tblLook w:val="04A0"/>
        </w:tblPrEx>
        <w:trPr>
          <w:cantSplit/>
        </w:trPr>
        <w:tc>
          <w:tcPr>
            <w:tcW w:w="1365" w:type="dxa"/>
            <w:vMerge/>
            <w:hideMark/>
          </w:tcPr>
          <w:p w:rsidR="001647F9" w:rsidRPr="00A95A85" w:rsidP="00CA0464" w14:paraId="0FD37006" w14:textId="77777777">
            <w:pPr>
              <w:pStyle w:val="TableText"/>
              <w:keepNext/>
              <w:rPr>
                <w:rFonts w:cs="Calibri"/>
                <w:color w:val="000000"/>
              </w:rPr>
            </w:pPr>
          </w:p>
        </w:tc>
        <w:tc>
          <w:tcPr>
            <w:tcW w:w="2881" w:type="dxa"/>
            <w:vMerge/>
            <w:hideMark/>
          </w:tcPr>
          <w:p w:rsidR="001647F9" w:rsidRPr="00A95A85" w:rsidP="000067CB" w14:paraId="3D7D526C" w14:textId="77777777">
            <w:pPr>
              <w:pStyle w:val="LTableTextAbt"/>
              <w:rPr>
                <w:rFonts w:ascii="Arial Narrow" w:hAnsi="Arial Narrow" w:cs="Calibri"/>
              </w:rPr>
            </w:pPr>
          </w:p>
        </w:tc>
        <w:tc>
          <w:tcPr>
            <w:tcW w:w="3385" w:type="dxa"/>
            <w:shd w:val="clear" w:color="auto" w:fill="F2F2F2" w:themeFill="background1" w:themeFillShade="F2"/>
            <w:hideMark/>
          </w:tcPr>
          <w:p w:rsidR="001647F9" w:rsidRPr="00FA67A2" w:rsidP="000067CB" w14:paraId="0BCFD493" w14:textId="77777777">
            <w:pPr>
              <w:pStyle w:val="LTableTextAbt"/>
              <w:rPr>
                <w:rFonts w:cs="Calibri"/>
              </w:rPr>
            </w:pPr>
            <w:r w:rsidRPr="00FA67A2">
              <w:rPr>
                <w:rFonts w:cs="Calibri"/>
              </w:rPr>
              <w:t>Publicly owned treatment works (POTW)</w:t>
            </w:r>
          </w:p>
        </w:tc>
        <w:tc>
          <w:tcPr>
            <w:tcW w:w="1495" w:type="dxa"/>
            <w:vMerge/>
          </w:tcPr>
          <w:p w:rsidR="001647F9" w:rsidRPr="00FA67A2" w:rsidP="00CA0464" w14:paraId="3F1ACEFD" w14:textId="77777777">
            <w:pPr>
              <w:jc w:val="center"/>
              <w:rPr>
                <w:rFonts w:ascii="Arial Narrow" w:hAnsi="Arial Narrow" w:cs="Calibri"/>
              </w:rPr>
            </w:pPr>
          </w:p>
        </w:tc>
      </w:tr>
      <w:tr w14:paraId="168168A6" w14:textId="77777777" w:rsidTr="4F9E6C54">
        <w:tblPrEx>
          <w:tblW w:w="9126" w:type="dxa"/>
          <w:tblInd w:w="-5" w:type="dxa"/>
          <w:tblLayout w:type="fixed"/>
          <w:tblLook w:val="04A0"/>
        </w:tblPrEx>
        <w:trPr>
          <w:cantSplit/>
        </w:trPr>
        <w:tc>
          <w:tcPr>
            <w:tcW w:w="1365" w:type="dxa"/>
            <w:vMerge/>
            <w:hideMark/>
          </w:tcPr>
          <w:p w:rsidR="001647F9" w:rsidRPr="00A95A85" w:rsidP="00CA0464" w14:paraId="0CC27708" w14:textId="77777777">
            <w:pPr>
              <w:pStyle w:val="TableText"/>
              <w:keepNext/>
              <w:rPr>
                <w:rFonts w:cs="Calibri"/>
                <w:color w:val="000000"/>
              </w:rPr>
            </w:pPr>
          </w:p>
        </w:tc>
        <w:tc>
          <w:tcPr>
            <w:tcW w:w="2881" w:type="dxa"/>
            <w:vMerge/>
            <w:hideMark/>
          </w:tcPr>
          <w:p w:rsidR="001647F9" w:rsidRPr="00A95A85" w:rsidP="000067CB" w14:paraId="1B5D1998" w14:textId="77777777">
            <w:pPr>
              <w:pStyle w:val="LTableTextAbt"/>
              <w:rPr>
                <w:rFonts w:ascii="Arial Narrow" w:hAnsi="Arial Narrow" w:cs="Calibri"/>
              </w:rPr>
            </w:pPr>
          </w:p>
        </w:tc>
        <w:tc>
          <w:tcPr>
            <w:tcW w:w="3385" w:type="dxa"/>
            <w:shd w:val="clear" w:color="auto" w:fill="F2F2F2" w:themeFill="background1" w:themeFillShade="F2"/>
            <w:hideMark/>
          </w:tcPr>
          <w:p w:rsidR="001647F9" w:rsidRPr="00FA67A2" w:rsidP="000067CB" w14:paraId="5DABA2B7" w14:textId="77777777">
            <w:pPr>
              <w:pStyle w:val="LTableTextAbt"/>
              <w:rPr>
                <w:rFonts w:cs="Calibri"/>
              </w:rPr>
            </w:pPr>
            <w:r w:rsidRPr="00FA67A2">
              <w:rPr>
                <w:rFonts w:cs="Calibri"/>
              </w:rPr>
              <w:t>Underground injection</w:t>
            </w:r>
          </w:p>
        </w:tc>
        <w:tc>
          <w:tcPr>
            <w:tcW w:w="1495" w:type="dxa"/>
            <w:vMerge/>
          </w:tcPr>
          <w:p w:rsidR="001647F9" w:rsidRPr="00FA67A2" w:rsidP="00CA0464" w14:paraId="1C8E3484" w14:textId="77777777">
            <w:pPr>
              <w:jc w:val="center"/>
              <w:rPr>
                <w:rFonts w:ascii="Arial Narrow" w:hAnsi="Arial Narrow" w:cs="Calibri"/>
                <w:color w:val="000000"/>
              </w:rPr>
            </w:pPr>
          </w:p>
        </w:tc>
      </w:tr>
      <w:tr w14:paraId="491C3B55" w14:textId="77777777" w:rsidTr="4F9E6C54">
        <w:tblPrEx>
          <w:tblW w:w="9126" w:type="dxa"/>
          <w:tblInd w:w="-5" w:type="dxa"/>
          <w:tblLayout w:type="fixed"/>
          <w:tblLook w:val="04A0"/>
        </w:tblPrEx>
        <w:trPr>
          <w:cantSplit/>
        </w:trPr>
        <w:tc>
          <w:tcPr>
            <w:tcW w:w="1365" w:type="dxa"/>
            <w:vMerge/>
            <w:hideMark/>
          </w:tcPr>
          <w:p w:rsidR="001647F9" w:rsidRPr="00A95A85" w:rsidP="00CA0464" w14:paraId="7D9860B9" w14:textId="77777777">
            <w:pPr>
              <w:pStyle w:val="TableText"/>
              <w:rPr>
                <w:rFonts w:cs="Calibri"/>
                <w:color w:val="000000"/>
              </w:rPr>
            </w:pPr>
          </w:p>
        </w:tc>
        <w:tc>
          <w:tcPr>
            <w:tcW w:w="2881" w:type="dxa"/>
            <w:vMerge w:val="restart"/>
            <w:shd w:val="clear" w:color="auto" w:fill="F2F2F2" w:themeFill="background1" w:themeFillShade="F2"/>
            <w:hideMark/>
          </w:tcPr>
          <w:p w:rsidR="001647F9" w:rsidRPr="00A95A85" w:rsidP="000067CB" w14:paraId="59C390CB" w14:textId="77777777">
            <w:pPr>
              <w:pStyle w:val="LTableTextAbt"/>
              <w:rPr>
                <w:rFonts w:cs="Calibri"/>
              </w:rPr>
            </w:pPr>
            <w:r w:rsidRPr="00A95A85">
              <w:rPr>
                <w:rFonts w:cs="Calibri"/>
              </w:rPr>
              <w:t>Solid wastes and liquid wastes</w:t>
            </w:r>
          </w:p>
        </w:tc>
        <w:tc>
          <w:tcPr>
            <w:tcW w:w="3385" w:type="dxa"/>
            <w:shd w:val="clear" w:color="auto" w:fill="F2F2F2" w:themeFill="background1" w:themeFillShade="F2"/>
            <w:hideMark/>
          </w:tcPr>
          <w:p w:rsidR="001647F9" w:rsidRPr="00FA67A2" w:rsidP="000067CB" w14:paraId="3E9691B0" w14:textId="77777777">
            <w:pPr>
              <w:pStyle w:val="LTableTextAbt"/>
              <w:rPr>
                <w:rFonts w:cs="Calibri"/>
              </w:rPr>
            </w:pPr>
            <w:r w:rsidRPr="00FA67A2">
              <w:rPr>
                <w:rFonts w:cs="Calibri"/>
              </w:rPr>
              <w:t>Municipal landfill</w:t>
            </w:r>
          </w:p>
        </w:tc>
        <w:tc>
          <w:tcPr>
            <w:tcW w:w="1495" w:type="dxa"/>
            <w:vMerge/>
          </w:tcPr>
          <w:p w:rsidR="001647F9" w:rsidRPr="00FA67A2" w:rsidP="00CA0464" w14:paraId="315FF3E4" w14:textId="77777777">
            <w:pPr>
              <w:jc w:val="center"/>
              <w:rPr>
                <w:rFonts w:ascii="Arial Narrow" w:hAnsi="Arial Narrow" w:cs="Calibri"/>
              </w:rPr>
            </w:pPr>
          </w:p>
        </w:tc>
      </w:tr>
      <w:tr w14:paraId="06449CCA" w14:textId="77777777" w:rsidTr="4F9E6C54">
        <w:tblPrEx>
          <w:tblW w:w="9126" w:type="dxa"/>
          <w:tblInd w:w="-5" w:type="dxa"/>
          <w:tblLayout w:type="fixed"/>
          <w:tblLook w:val="04A0"/>
        </w:tblPrEx>
        <w:trPr>
          <w:cantSplit/>
        </w:trPr>
        <w:tc>
          <w:tcPr>
            <w:tcW w:w="1365" w:type="dxa"/>
            <w:vMerge/>
            <w:hideMark/>
          </w:tcPr>
          <w:p w:rsidR="001647F9" w:rsidRPr="00A95A85" w:rsidP="00CA0464" w14:paraId="5B1D0CFC" w14:textId="77777777">
            <w:pPr>
              <w:pStyle w:val="TableText"/>
              <w:rPr>
                <w:rFonts w:cs="Calibri"/>
                <w:color w:val="000000"/>
              </w:rPr>
            </w:pPr>
          </w:p>
        </w:tc>
        <w:tc>
          <w:tcPr>
            <w:tcW w:w="2881" w:type="dxa"/>
            <w:vMerge/>
            <w:hideMark/>
          </w:tcPr>
          <w:p w:rsidR="001647F9" w:rsidRPr="00A95A85" w:rsidP="00CA0464" w14:paraId="048808FA" w14:textId="77777777">
            <w:pPr>
              <w:pStyle w:val="TableText"/>
              <w:rPr>
                <w:rFonts w:cs="Calibri"/>
                <w:color w:val="000000"/>
              </w:rPr>
            </w:pPr>
          </w:p>
        </w:tc>
        <w:tc>
          <w:tcPr>
            <w:tcW w:w="3385" w:type="dxa"/>
            <w:shd w:val="clear" w:color="auto" w:fill="F2F2F2" w:themeFill="background1" w:themeFillShade="F2"/>
            <w:hideMark/>
          </w:tcPr>
          <w:p w:rsidR="001647F9" w:rsidRPr="00FA67A2" w:rsidP="000067CB" w14:paraId="71CD01BC" w14:textId="77777777">
            <w:pPr>
              <w:pStyle w:val="LTableTextAbt"/>
              <w:rPr>
                <w:rFonts w:cs="Calibri"/>
              </w:rPr>
            </w:pPr>
            <w:r w:rsidRPr="00FA67A2">
              <w:rPr>
                <w:rFonts w:cs="Calibri"/>
              </w:rPr>
              <w:t>Hazardous landfill</w:t>
            </w:r>
          </w:p>
        </w:tc>
        <w:tc>
          <w:tcPr>
            <w:tcW w:w="1495" w:type="dxa"/>
            <w:vMerge/>
          </w:tcPr>
          <w:p w:rsidR="001647F9" w:rsidRPr="00FA67A2" w:rsidP="00CA0464" w14:paraId="60C87BDC" w14:textId="77777777">
            <w:pPr>
              <w:jc w:val="center"/>
              <w:rPr>
                <w:rFonts w:ascii="Arial Narrow" w:hAnsi="Arial Narrow" w:cs="Calibri"/>
                <w:color w:val="000000"/>
              </w:rPr>
            </w:pPr>
          </w:p>
        </w:tc>
      </w:tr>
      <w:tr w14:paraId="46461C8A" w14:textId="77777777" w:rsidTr="4F9E6C54">
        <w:tblPrEx>
          <w:tblW w:w="9126" w:type="dxa"/>
          <w:tblInd w:w="-5" w:type="dxa"/>
          <w:tblLayout w:type="fixed"/>
          <w:tblLook w:val="04A0"/>
        </w:tblPrEx>
        <w:trPr>
          <w:cantSplit/>
        </w:trPr>
        <w:tc>
          <w:tcPr>
            <w:tcW w:w="1365" w:type="dxa"/>
            <w:vMerge/>
            <w:hideMark/>
          </w:tcPr>
          <w:p w:rsidR="001647F9" w:rsidRPr="00A95A85" w:rsidP="00CA0464" w14:paraId="113F9A26" w14:textId="77777777">
            <w:pPr>
              <w:pStyle w:val="TableText"/>
              <w:rPr>
                <w:rFonts w:cs="Calibri"/>
                <w:color w:val="000000"/>
              </w:rPr>
            </w:pPr>
          </w:p>
        </w:tc>
        <w:tc>
          <w:tcPr>
            <w:tcW w:w="2881" w:type="dxa"/>
            <w:vMerge/>
            <w:hideMark/>
          </w:tcPr>
          <w:p w:rsidR="001647F9" w:rsidRPr="00A95A85" w:rsidP="00CA0464" w14:paraId="50095016" w14:textId="77777777">
            <w:pPr>
              <w:pStyle w:val="TableText"/>
              <w:rPr>
                <w:rFonts w:cs="Calibri"/>
                <w:color w:val="000000"/>
              </w:rPr>
            </w:pPr>
          </w:p>
        </w:tc>
        <w:tc>
          <w:tcPr>
            <w:tcW w:w="3385" w:type="dxa"/>
            <w:shd w:val="clear" w:color="auto" w:fill="F2F2F2" w:themeFill="background1" w:themeFillShade="F2"/>
            <w:hideMark/>
          </w:tcPr>
          <w:p w:rsidR="001647F9" w:rsidRPr="00FA67A2" w:rsidP="000067CB" w14:paraId="1052433F" w14:textId="77777777">
            <w:pPr>
              <w:pStyle w:val="LTableTextAbt"/>
              <w:rPr>
                <w:rFonts w:cs="Calibri"/>
              </w:rPr>
            </w:pPr>
            <w:r w:rsidRPr="00FA67A2">
              <w:rPr>
                <w:rFonts w:cs="Calibri"/>
              </w:rPr>
              <w:t>Other land disposal</w:t>
            </w:r>
          </w:p>
        </w:tc>
        <w:tc>
          <w:tcPr>
            <w:tcW w:w="1495" w:type="dxa"/>
            <w:vMerge/>
          </w:tcPr>
          <w:p w:rsidR="001647F9" w:rsidRPr="00FA67A2" w:rsidP="00CA0464" w14:paraId="3EEA86E7" w14:textId="77777777">
            <w:pPr>
              <w:jc w:val="center"/>
              <w:rPr>
                <w:rFonts w:ascii="Arial Narrow" w:hAnsi="Arial Narrow" w:cs="Calibri"/>
              </w:rPr>
            </w:pPr>
          </w:p>
        </w:tc>
      </w:tr>
      <w:tr w14:paraId="12C13C1E" w14:textId="77777777" w:rsidTr="4F9E6C54">
        <w:tblPrEx>
          <w:tblW w:w="9126" w:type="dxa"/>
          <w:tblInd w:w="-5" w:type="dxa"/>
          <w:tblLayout w:type="fixed"/>
          <w:tblLook w:val="04A0"/>
        </w:tblPrEx>
        <w:trPr>
          <w:cantSplit/>
        </w:trPr>
        <w:tc>
          <w:tcPr>
            <w:tcW w:w="1365" w:type="dxa"/>
            <w:vMerge/>
            <w:hideMark/>
          </w:tcPr>
          <w:p w:rsidR="001647F9" w:rsidRPr="00A95A85" w:rsidP="00CA0464" w14:paraId="0AC1C50F" w14:textId="77777777">
            <w:pPr>
              <w:pStyle w:val="TableText"/>
              <w:rPr>
                <w:rFonts w:cs="Calibri"/>
                <w:color w:val="000000"/>
              </w:rPr>
            </w:pPr>
          </w:p>
        </w:tc>
        <w:tc>
          <w:tcPr>
            <w:tcW w:w="2881" w:type="dxa"/>
            <w:vMerge/>
            <w:hideMark/>
          </w:tcPr>
          <w:p w:rsidR="001647F9" w:rsidRPr="00A95A85" w:rsidP="00CA0464" w14:paraId="46B18BA4" w14:textId="77777777">
            <w:pPr>
              <w:pStyle w:val="TableText"/>
              <w:rPr>
                <w:rFonts w:cs="Calibri"/>
                <w:color w:val="000000"/>
              </w:rPr>
            </w:pPr>
          </w:p>
        </w:tc>
        <w:tc>
          <w:tcPr>
            <w:tcW w:w="3385" w:type="dxa"/>
            <w:shd w:val="clear" w:color="auto" w:fill="F2F2F2" w:themeFill="background1" w:themeFillShade="F2"/>
            <w:hideMark/>
          </w:tcPr>
          <w:p w:rsidR="001647F9" w:rsidRPr="00FA67A2" w:rsidP="000067CB" w14:paraId="2446FF73" w14:textId="77777777">
            <w:pPr>
              <w:pStyle w:val="LTableTextAbt"/>
              <w:rPr>
                <w:rFonts w:cs="Calibri"/>
              </w:rPr>
            </w:pPr>
            <w:r w:rsidRPr="00FA67A2">
              <w:rPr>
                <w:rFonts w:cs="Calibri"/>
              </w:rPr>
              <w:t>Municipal waste incinerator</w:t>
            </w:r>
          </w:p>
        </w:tc>
        <w:tc>
          <w:tcPr>
            <w:tcW w:w="1495" w:type="dxa"/>
            <w:vMerge/>
          </w:tcPr>
          <w:p w:rsidR="001647F9" w:rsidRPr="00FA67A2" w:rsidP="00CA0464" w14:paraId="52C2B5B1" w14:textId="77777777">
            <w:pPr>
              <w:jc w:val="center"/>
              <w:rPr>
                <w:rFonts w:ascii="Arial Narrow" w:hAnsi="Arial Narrow" w:cs="Calibri"/>
              </w:rPr>
            </w:pPr>
          </w:p>
        </w:tc>
      </w:tr>
      <w:tr w14:paraId="08C429A8" w14:textId="77777777" w:rsidTr="4F9E6C54">
        <w:tblPrEx>
          <w:tblW w:w="9126" w:type="dxa"/>
          <w:tblInd w:w="-5" w:type="dxa"/>
          <w:tblLayout w:type="fixed"/>
          <w:tblLook w:val="04A0"/>
        </w:tblPrEx>
        <w:trPr>
          <w:cantSplit/>
        </w:trPr>
        <w:tc>
          <w:tcPr>
            <w:tcW w:w="1365" w:type="dxa"/>
            <w:vMerge/>
            <w:hideMark/>
          </w:tcPr>
          <w:p w:rsidR="001647F9" w:rsidRPr="00A95A85" w:rsidP="00CA0464" w14:paraId="1A2C0532" w14:textId="77777777">
            <w:pPr>
              <w:pStyle w:val="TableText"/>
              <w:rPr>
                <w:rFonts w:cs="Calibri"/>
                <w:color w:val="000000"/>
              </w:rPr>
            </w:pPr>
          </w:p>
        </w:tc>
        <w:tc>
          <w:tcPr>
            <w:tcW w:w="2881" w:type="dxa"/>
            <w:vMerge/>
            <w:hideMark/>
          </w:tcPr>
          <w:p w:rsidR="001647F9" w:rsidRPr="00A95A85" w:rsidP="00CA0464" w14:paraId="25D00EC8" w14:textId="77777777">
            <w:pPr>
              <w:pStyle w:val="TableText"/>
              <w:rPr>
                <w:rFonts w:cs="Calibri"/>
                <w:color w:val="000000"/>
              </w:rPr>
            </w:pPr>
          </w:p>
        </w:tc>
        <w:tc>
          <w:tcPr>
            <w:tcW w:w="3385" w:type="dxa"/>
            <w:shd w:val="clear" w:color="auto" w:fill="F2F2F2" w:themeFill="background1" w:themeFillShade="F2"/>
            <w:hideMark/>
          </w:tcPr>
          <w:p w:rsidR="001647F9" w:rsidRPr="00FA67A2" w:rsidP="000067CB" w14:paraId="39D3CA4D" w14:textId="77777777">
            <w:pPr>
              <w:pStyle w:val="LTableTextAbt"/>
              <w:rPr>
                <w:rFonts w:cs="Calibri"/>
              </w:rPr>
            </w:pPr>
            <w:r w:rsidRPr="00FA67A2">
              <w:rPr>
                <w:rFonts w:cs="Calibri"/>
              </w:rPr>
              <w:t>Hazardous waste incinerator</w:t>
            </w:r>
          </w:p>
        </w:tc>
        <w:tc>
          <w:tcPr>
            <w:tcW w:w="1495" w:type="dxa"/>
            <w:vMerge/>
          </w:tcPr>
          <w:p w:rsidR="001647F9" w:rsidRPr="00FA67A2" w:rsidP="00CA0464" w14:paraId="0D04B5EE" w14:textId="77777777">
            <w:pPr>
              <w:jc w:val="center"/>
              <w:rPr>
                <w:rFonts w:ascii="Arial Narrow" w:hAnsi="Arial Narrow" w:cs="Calibri"/>
                <w:color w:val="000000"/>
              </w:rPr>
            </w:pPr>
          </w:p>
        </w:tc>
      </w:tr>
      <w:tr w14:paraId="69E438D0" w14:textId="77777777" w:rsidTr="4F9E6C54">
        <w:tblPrEx>
          <w:tblW w:w="9126" w:type="dxa"/>
          <w:tblInd w:w="-5" w:type="dxa"/>
          <w:tblLayout w:type="fixed"/>
          <w:tblLook w:val="04A0"/>
        </w:tblPrEx>
        <w:trPr>
          <w:cantSplit/>
        </w:trPr>
        <w:tc>
          <w:tcPr>
            <w:tcW w:w="1365" w:type="dxa"/>
            <w:vMerge/>
            <w:hideMark/>
          </w:tcPr>
          <w:p w:rsidR="001647F9" w:rsidRPr="00A95A85" w:rsidP="00CA0464" w14:paraId="687EBC5D" w14:textId="77777777">
            <w:pPr>
              <w:pStyle w:val="TableText"/>
              <w:rPr>
                <w:rFonts w:cs="Calibri"/>
                <w:color w:val="000000"/>
              </w:rPr>
            </w:pPr>
          </w:p>
        </w:tc>
        <w:tc>
          <w:tcPr>
            <w:tcW w:w="2881" w:type="dxa"/>
            <w:vMerge/>
            <w:hideMark/>
          </w:tcPr>
          <w:p w:rsidR="001647F9" w:rsidRPr="00A95A85" w:rsidP="00CA0464" w14:paraId="610D2DAD" w14:textId="77777777">
            <w:pPr>
              <w:pStyle w:val="TableText"/>
              <w:rPr>
                <w:rFonts w:cs="Calibri"/>
                <w:color w:val="000000"/>
              </w:rPr>
            </w:pPr>
          </w:p>
        </w:tc>
        <w:tc>
          <w:tcPr>
            <w:tcW w:w="3385" w:type="dxa"/>
            <w:shd w:val="clear" w:color="auto" w:fill="F2F2F2" w:themeFill="background1" w:themeFillShade="F2"/>
            <w:hideMark/>
          </w:tcPr>
          <w:p w:rsidR="001647F9" w:rsidRPr="00FA67A2" w:rsidP="000067CB" w14:paraId="519E2348" w14:textId="77777777">
            <w:pPr>
              <w:pStyle w:val="LTableTextAbt"/>
              <w:rPr>
                <w:rFonts w:cs="Calibri"/>
              </w:rPr>
            </w:pPr>
            <w:r w:rsidRPr="00FA67A2">
              <w:rPr>
                <w:rFonts w:cs="Calibri"/>
              </w:rPr>
              <w:t>Off-site waste transfer</w:t>
            </w:r>
          </w:p>
        </w:tc>
        <w:tc>
          <w:tcPr>
            <w:tcW w:w="1495" w:type="dxa"/>
            <w:vMerge/>
          </w:tcPr>
          <w:p w:rsidR="001647F9" w:rsidRPr="00FA67A2" w:rsidP="00CA0464" w14:paraId="3ABC6E67" w14:textId="77777777">
            <w:pPr>
              <w:jc w:val="center"/>
              <w:rPr>
                <w:rFonts w:ascii="Arial Narrow" w:hAnsi="Arial Narrow" w:cs="Calibri"/>
              </w:rPr>
            </w:pPr>
          </w:p>
        </w:tc>
      </w:tr>
      <w:tr w14:paraId="6D545F18" w14:textId="77777777" w:rsidTr="4F9E6C54">
        <w:tblPrEx>
          <w:tblW w:w="9126" w:type="dxa"/>
          <w:tblInd w:w="-5" w:type="dxa"/>
          <w:tblLayout w:type="fixed"/>
          <w:tblLook w:val="04A0"/>
        </w:tblPrEx>
        <w:trPr>
          <w:cantSplit/>
        </w:trPr>
        <w:tc>
          <w:tcPr>
            <w:tcW w:w="9126" w:type="dxa"/>
            <w:gridSpan w:val="4"/>
          </w:tcPr>
          <w:p w:rsidR="001647F9" w:rsidRPr="00A95A85" w:rsidP="00CA0464" w14:paraId="736463C5" w14:textId="37A13728">
            <w:pPr>
              <w:pStyle w:val="TableNote0"/>
            </w:pPr>
            <w:r w:rsidRPr="00A95A85">
              <w:t xml:space="preserve">Source: </w:t>
            </w:r>
            <w:hyperlink w:anchor="_ENREF_65" w:tooltip="U.S. Environmental Protection Agency (EPA), 2021 #61" w:history="1">
              <w:r w:rsidRPr="00CA6588" w:rsidR="003D6084">
                <w:fldChar w:fldCharType="begin" w:fldLock="1"/>
              </w:r>
              <w:r w:rsidR="003D6084">
                <w:instrText xml:space="preserve"> ADDIN EN.CITE &lt;EndNote&gt;&lt;Cite ExcludeAuth="1"&gt;&lt;Author&gt;U.S. Environmental Protection Agency (EPA)&lt;/Author&gt;&lt;Year&gt;2021&lt;/Year&gt;&lt;RecNum&gt;61&lt;/RecNum&gt;&lt;Prefix&gt;EPA &lt;/Prefix&gt;&lt;DisplayText&gt;EPA 2021e&lt;/DisplayText&gt;&lt;record&gt;&lt;rec-number&gt;61&lt;/rec-number&gt;&lt;foreign-keys&gt;&lt;key app="EN" db-id="2apzr05radv9fjet2w6xxwdlz5e9vwfxredw" timestamp="1730757315"&gt;61&lt;/key&gt;&lt;/foreign-keys&gt;&lt;ref-type name="Generic"&gt;13&lt;/ref-type&gt;&lt;contributors&gt;&lt;authors&gt;&lt;author&gt;U.S. Environmental Protection Agency (EPA),&lt;/author&gt;&lt;/authors&gt;&lt;subsidiary-authors&gt;&lt;author&gt;Office of Chemical Safety and Pollution Prevention&lt;/author&gt;&lt;/subsidiary-authors&gt;&lt;/contributors&gt;&lt;titles&gt;&lt;title&gt;Risk Evaluation for C.I. Pigment Violet 29 (Anthra[2,1,9-def:6,5,10-d&amp;apos;e&amp;apos;f&amp;apos;]diisoquinoline-1,3,8,10(2H,9H)-tetrone)&lt;/title&gt;&lt;/titles&gt;&lt;number&gt;# 740-R-18-015&lt;/number&gt;&lt;dates&gt;&lt;year&gt;2021&lt;/year&gt;&lt;/dates&gt;&lt;urls&gt;&lt;/urls&gt;&lt;/record&gt;&lt;/Cite&gt;&lt;/EndNote&gt;</w:instrText>
              </w:r>
              <w:r w:rsidRPr="00CA6588" w:rsidR="003D6084">
                <w:fldChar w:fldCharType="separate"/>
              </w:r>
              <w:r w:rsidR="003D6084">
                <w:rPr>
                  <w:noProof/>
                </w:rPr>
                <w:t>EPA 2021e</w:t>
              </w:r>
              <w:r w:rsidRPr="00CA6588" w:rsidR="003D6084">
                <w:fldChar w:fldCharType="end"/>
              </w:r>
            </w:hyperlink>
          </w:p>
        </w:tc>
      </w:tr>
    </w:tbl>
    <w:p w:rsidR="001647F9" w:rsidRPr="00A95A85" w:rsidP="00832749" w14:paraId="58D11686" w14:textId="77777777">
      <w:pPr>
        <w:pStyle w:val="BodyText"/>
      </w:pPr>
    </w:p>
    <w:p w:rsidR="001647F9" w:rsidRPr="00A95A85" w:rsidP="00832749" w14:paraId="4C961E69" w14:textId="40B2E80E">
      <w:pPr>
        <w:pStyle w:val="BodyText"/>
        <w:rPr>
          <w:lang w:val="en-US"/>
        </w:rPr>
      </w:pPr>
      <w:r w:rsidRPr="2E672E6A">
        <w:rPr>
          <w:lang w:val="en-US"/>
        </w:rPr>
        <w:t>This economic analysis will focus only on the 10 COUs where an unreasonable risk was found. Additionally, as indicated in the 2021 Risk Evaluation</w:t>
      </w:r>
      <w:r w:rsidR="00C83DB8">
        <w:rPr>
          <w:lang w:val="en-US"/>
        </w:rPr>
        <w:t xml:space="preserve"> (</w:t>
      </w:r>
      <w:hyperlink w:anchor="_ENREF_65" w:tooltip="U.S. Environmental Protection Agency (EPA), 2021 #61" w:history="1">
        <w:r w:rsidRPr="00CA6588" w:rsidR="003D6084">
          <w:fldChar w:fldCharType="begin" w:fldLock="1"/>
        </w:r>
        <w:r w:rsidR="003D6084">
          <w:instrText xml:space="preserve"> ADDIN EN.CITE &lt;EndNote&gt;&lt;Cite ExcludeAuth="1"&gt;&lt;Author&gt;U.S. Environmental Protection Agency (EPA)&lt;/Author&gt;&lt;Year&gt;2021&lt;/Year&gt;&lt;RecNum&gt;61&lt;/RecNum&gt;&lt;Prefix&gt;EPA &lt;/Prefix&gt;&lt;DisplayText&gt;EPA 2021e&lt;/DisplayText&gt;&lt;record&gt;&lt;rec-number&gt;61&lt;/rec-number&gt;&lt;foreign-keys&gt;&lt;key app="EN" db-id="2apzr05radv9fjet2w6xxwdlz5e9vwfxredw" timestamp="1730757315"&gt;61&lt;/key&gt;&lt;/foreign-keys&gt;&lt;ref-type name="Generic"&gt;13&lt;/ref-type&gt;&lt;contributors&gt;&lt;authors&gt;&lt;author&gt;U.S. Environmental Protection Agency (EPA),&lt;/author&gt;&lt;/authors&gt;&lt;subsidiary-authors&gt;&lt;author&gt;Office of Chemical Safety and Pollution Prevention&lt;/author&gt;&lt;/subsidiary-authors&gt;&lt;/contributors&gt;&lt;titles&gt;&lt;title&gt;Risk Evaluation for C.I. Pigment Violet 29 (Anthra[2,1,9-def:6,5,10-d&amp;apos;e&amp;apos;f&amp;apos;]diisoquinoline-1,3,8,10(2H,9H)-tetrone)&lt;/title&gt;&lt;/titles&gt;&lt;number&gt;# 740-R-18-015&lt;/number&gt;&lt;dates&gt;&lt;year&gt;2021&lt;/year&gt;&lt;/dates&gt;&lt;urls&gt;&lt;/urls&gt;&lt;/record&gt;&lt;/Cite&gt;&lt;/EndNote&gt;</w:instrText>
        </w:r>
        <w:r w:rsidRPr="00CA6588" w:rsidR="003D6084">
          <w:fldChar w:fldCharType="separate"/>
        </w:r>
        <w:r w:rsidR="003D6084">
          <w:rPr>
            <w:noProof/>
          </w:rPr>
          <w:t>EPA 2021e</w:t>
        </w:r>
        <w:r w:rsidRPr="00CA6588" w:rsidR="003D6084">
          <w:fldChar w:fldCharType="end"/>
        </w:r>
      </w:hyperlink>
      <w:r w:rsidR="00C83DB8">
        <w:rPr>
          <w:lang w:val="en-US"/>
        </w:rPr>
        <w:t>)</w:t>
      </w:r>
      <w:r w:rsidRPr="2E672E6A">
        <w:rPr>
          <w:lang w:val="en-US"/>
        </w:rPr>
        <w:t xml:space="preserve">, once PV29 is encapsulated into plastics, paints, and inks, it is not expected to be reactive or leachable. EPA expanded on this point in a 2024 memo, stating that encapsulated PV29 and thus would not be biologically available, implying it will not present the same human health hazards of dry powder PV29 [ECRAD memo]. This information was factored into the development of the regulatory options considered for the proposed PV29 rule. These options, described in Section </w:t>
      </w:r>
      <w:r w:rsidR="00947EA6">
        <w:rPr>
          <w:lang w:val="en-US"/>
        </w:rPr>
        <w:fldChar w:fldCharType="begin" w:fldLock="1"/>
      </w:r>
      <w:r w:rsidR="00947EA6">
        <w:rPr>
          <w:lang w:val="en-US"/>
        </w:rPr>
        <w:instrText xml:space="preserve"> REF _Ref181116611 \r \h </w:instrText>
      </w:r>
      <w:r w:rsidR="00947EA6">
        <w:rPr>
          <w:lang w:val="en-US"/>
        </w:rPr>
        <w:fldChar w:fldCharType="separate"/>
      </w:r>
      <w:r w:rsidR="00735BBC">
        <w:rPr>
          <w:lang w:val="en-US"/>
        </w:rPr>
        <w:t>1.3</w:t>
      </w:r>
      <w:r w:rsidR="00947EA6">
        <w:rPr>
          <w:lang w:val="en-US"/>
        </w:rPr>
        <w:fldChar w:fldCharType="end"/>
      </w:r>
      <w:r w:rsidRPr="2E672E6A">
        <w:rPr>
          <w:lang w:val="en-US"/>
        </w:rPr>
        <w:t xml:space="preserve"> address the risk from exposure to dry powder PV29, also called regulated PV29 </w:t>
      </w:r>
      <w:r w:rsidRPr="7788AC04">
        <w:rPr>
          <w:lang w:val="en-US"/>
        </w:rPr>
        <w:t>through</w:t>
      </w:r>
      <w:r w:rsidRPr="7788AC04" w:rsidR="770FC567">
        <w:rPr>
          <w:lang w:val="en-US"/>
        </w:rPr>
        <w:t>out</w:t>
      </w:r>
      <w:r w:rsidRPr="2E672E6A">
        <w:rPr>
          <w:lang w:val="en-US"/>
        </w:rPr>
        <w:t xml:space="preserve"> this analysis.</w:t>
      </w:r>
    </w:p>
    <w:p w:rsidR="12505AE7" w:rsidP="12505AE7" w14:paraId="5EAD9A62" w14:textId="23DEF77A">
      <w:pPr>
        <w:pStyle w:val="BodyText"/>
      </w:pPr>
    </w:p>
    <w:p w:rsidR="001647F9" w:rsidRPr="00A95A85" w:rsidP="001647F9" w14:paraId="04670281" w14:textId="4DC4AED4">
      <w:pPr>
        <w:pStyle w:val="Caption"/>
      </w:pPr>
    </w:p>
    <w:tbl>
      <w:tblPr>
        <w:tblStyle w:val="TableGrid"/>
        <w:tblW w:w="0" w:type="auto"/>
        <w:tblCellMar>
          <w:left w:w="0" w:type="dxa"/>
          <w:right w:w="0" w:type="dxa"/>
        </w:tblCellMar>
        <w:tblLook w:val="04A0"/>
      </w:tblPr>
      <w:tblGrid>
        <w:gridCol w:w="9000"/>
      </w:tblGrid>
      <w:tr w14:paraId="25209A56" w14:textId="77777777" w:rsidTr="006B2051">
        <w:tblPrEx>
          <w:tblW w:w="0" w:type="auto"/>
          <w:tblCellMar>
            <w:left w:w="0" w:type="dxa"/>
            <w:right w:w="0" w:type="dxa"/>
          </w:tblCellMar>
          <w:tblLook w:val="04A0"/>
        </w:tblPrEx>
        <w:tc>
          <w:tcPr>
            <w:tcW w:w="10070" w:type="dxa"/>
            <w:tcBorders>
              <w:top w:val="nil"/>
              <w:left w:val="nil"/>
              <w:bottom w:val="single" w:sz="4" w:space="0" w:color="auto"/>
              <w:right w:val="nil"/>
            </w:tcBorders>
          </w:tcPr>
          <w:p w:rsidR="006B2051" w:rsidRPr="003C5D31" w:rsidP="00026204" w14:paraId="15D846CB" w14:textId="324C82C2">
            <w:pPr>
              <w:pStyle w:val="TableTitleA"/>
            </w:pPr>
            <w:bookmarkStart w:id="41" w:name="_Ref180505811"/>
            <w:r w:rsidRPr="00A95A85">
              <w:t xml:space="preserve">Figure </w:t>
            </w:r>
            <w:r>
              <w:fldChar w:fldCharType="begin" w:fldLock="1"/>
            </w:r>
            <w:r>
              <w:instrText>STYLEREF 1 \s</w:instrText>
            </w:r>
            <w:r>
              <w:fldChar w:fldCharType="separate"/>
            </w:r>
            <w:r w:rsidR="00735BBC">
              <w:rPr>
                <w:noProof/>
              </w:rPr>
              <w:t>1</w:t>
            </w:r>
            <w:r>
              <w:fldChar w:fldCharType="end"/>
            </w:r>
            <w:r w:rsidRPr="00A95A85">
              <w:noBreakHyphen/>
            </w:r>
            <w:r>
              <w:fldChar w:fldCharType="begin" w:fldLock="1"/>
            </w:r>
            <w:r>
              <w:instrText>SEQ Figure \* ARABIC \s 1</w:instrText>
            </w:r>
            <w:r>
              <w:fldChar w:fldCharType="separate"/>
            </w:r>
            <w:r w:rsidR="00735BBC">
              <w:rPr>
                <w:noProof/>
              </w:rPr>
              <w:t>2</w:t>
            </w:r>
            <w:r>
              <w:fldChar w:fldCharType="end"/>
            </w:r>
            <w:bookmarkEnd w:id="41"/>
            <w:r w:rsidRPr="00A95A85">
              <w:t xml:space="preserve">: Summary of PV29 </w:t>
            </w:r>
            <w:r>
              <w:t>Conditions of Use,</w:t>
            </w:r>
            <w:r w:rsidRPr="00A95A85">
              <w:t xml:space="preserve"> Risk Determinations</w:t>
            </w:r>
            <w:r>
              <w:t>, and PV29 Type</w:t>
            </w:r>
          </w:p>
        </w:tc>
      </w:tr>
      <w:tr w14:paraId="37BA2498" w14:textId="77777777" w:rsidTr="006B2051">
        <w:tblPrEx>
          <w:tblW w:w="0" w:type="auto"/>
          <w:tblCellMar>
            <w:left w:w="0" w:type="dxa"/>
            <w:right w:w="0" w:type="dxa"/>
          </w:tblCellMar>
          <w:tblLook w:val="04A0"/>
        </w:tblPrEx>
        <w:tc>
          <w:tcPr>
            <w:tcW w:w="10070" w:type="dxa"/>
            <w:tcBorders>
              <w:top w:val="single" w:sz="4" w:space="0" w:color="auto"/>
            </w:tcBorders>
          </w:tcPr>
          <w:p w:rsidR="001647F9" w:rsidRPr="00A95A85" w:rsidP="00CA0464" w14:paraId="7ED7CC00" w14:textId="77777777">
            <w:pPr>
              <w:pStyle w:val="Figure"/>
            </w:pPr>
            <w:r w:rsidRPr="003C5D31">
              <w:drawing>
                <wp:inline distT="0" distB="0" distL="0" distR="0">
                  <wp:extent cx="5736348" cy="3386938"/>
                  <wp:effectExtent l="0" t="0" r="4445" b="4445"/>
                  <wp:docPr id="259026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026639" name="Picture 1"/>
                          <pic:cNvPicPr/>
                        </pic:nvPicPr>
                        <pic:blipFill>
                          <a:blip xmlns:r="http://schemas.openxmlformats.org/officeDocument/2006/relationships" r:embed="rId21">
                            <a:extLst>
                              <a:ext uri="{96DAC541-7B7A-43D3-8B79-37D633B846F1}">
                                <asvg:svgBlip xmlns:asvg="http://schemas.microsoft.com/office/drawing/2016/SVG/main" r:embed="rId22"/>
                              </a:ext>
                            </a:extLst>
                          </a:blip>
                          <a:stretch>
                            <a:fillRect/>
                          </a:stretch>
                        </pic:blipFill>
                        <pic:spPr>
                          <a:xfrm>
                            <a:off x="0" y="0"/>
                            <a:ext cx="5740164" cy="3389191"/>
                          </a:xfrm>
                          <a:prstGeom prst="rect">
                            <a:avLst/>
                          </a:prstGeom>
                        </pic:spPr>
                      </pic:pic>
                    </a:graphicData>
                  </a:graphic>
                </wp:inline>
              </w:drawing>
            </w:r>
          </w:p>
        </w:tc>
      </w:tr>
      <w:tr w14:paraId="4B644954" w14:textId="77777777" w:rsidTr="00CA0464">
        <w:tblPrEx>
          <w:tblW w:w="0" w:type="auto"/>
          <w:tblCellMar>
            <w:left w:w="0" w:type="dxa"/>
            <w:right w:w="0" w:type="dxa"/>
          </w:tblCellMar>
          <w:tblLook w:val="04A0"/>
        </w:tblPrEx>
        <w:tc>
          <w:tcPr>
            <w:tcW w:w="10070" w:type="dxa"/>
          </w:tcPr>
          <w:p w:rsidR="001647F9" w:rsidP="00CA0464" w14:paraId="4A368BB2" w14:textId="1E0E8D05">
            <w:pPr>
              <w:pStyle w:val="TableNote0"/>
              <w:ind w:left="90" w:right="78"/>
            </w:pPr>
            <w:r w:rsidRPr="00A95A85">
              <w:t xml:space="preserve">Note: Number in parentheses indicates the number of identified facilities, as detailed further in Section </w:t>
            </w:r>
            <w:r w:rsidR="007620E1">
              <w:fldChar w:fldCharType="begin" w:fldLock="1"/>
            </w:r>
            <w:r w:rsidR="007620E1">
              <w:instrText xml:space="preserve"> REF _Ref180498059 \r \h </w:instrText>
            </w:r>
            <w:r w:rsidR="007620E1">
              <w:fldChar w:fldCharType="separate"/>
            </w:r>
            <w:r w:rsidR="00735BBC">
              <w:t>3</w:t>
            </w:r>
            <w:r w:rsidR="007620E1">
              <w:fldChar w:fldCharType="end"/>
            </w:r>
          </w:p>
          <w:p w:rsidR="00784081" w:rsidRPr="00A95A85" w:rsidP="00784081" w14:paraId="7B1ABA26" w14:textId="6F6FDD38">
            <w:pPr>
              <w:pStyle w:val="TableNote0"/>
              <w:ind w:left="90" w:right="78"/>
            </w:pPr>
            <w:r>
              <w:t>COU = condition of use</w:t>
            </w:r>
          </w:p>
        </w:tc>
      </w:tr>
    </w:tbl>
    <w:p w:rsidR="001647F9" w:rsidRPr="00A95A85" w:rsidP="001647F9" w14:paraId="615DE95D" w14:textId="77777777">
      <w:pPr>
        <w:pStyle w:val="FootnoteText"/>
      </w:pPr>
    </w:p>
    <w:p w:rsidR="0074307F" w:rsidP="0074307F" w14:paraId="7D358630" w14:textId="77777777">
      <w:pPr>
        <w:pStyle w:val="Heading2"/>
      </w:pPr>
      <w:bookmarkStart w:id="42" w:name="_Toc175217212"/>
      <w:bookmarkStart w:id="43" w:name="_Toc179234308"/>
      <w:bookmarkStart w:id="44" w:name="_Ref180505536"/>
      <w:bookmarkStart w:id="45" w:name="_Ref181116611"/>
      <w:bookmarkStart w:id="46" w:name="_Toc184299506"/>
      <w:r w:rsidRPr="00A95A85">
        <w:t>Proposed and Alternative Regulatory Options</w:t>
      </w:r>
      <w:bookmarkEnd w:id="42"/>
      <w:bookmarkEnd w:id="43"/>
      <w:bookmarkEnd w:id="44"/>
      <w:bookmarkEnd w:id="45"/>
      <w:bookmarkEnd w:id="46"/>
    </w:p>
    <w:p w:rsidR="001E1FA9" w:rsidRPr="00B36131" w:rsidP="0064758C" w14:paraId="220B5DEE" w14:textId="531774A1">
      <w:pPr>
        <w:pStyle w:val="BodyText"/>
      </w:pPr>
      <w:r w:rsidRPr="4A8A1481">
        <w:rPr>
          <w:rFonts w:eastAsia="Times"/>
          <w:lang w:val="en-US"/>
        </w:rPr>
        <w:t>Pursuant to TSCA section 6(b), EPA determined that PV29 presents an unreasonable risk of injury to health, without consideration of costs or other nonrisk factors, under multiple conditions of use (</w:t>
      </w:r>
      <w:hyperlink w:anchor="_ENREF_65" w:tooltip="U.S. Environmental Protection Agency (EPA), 2021 #61" w:history="1">
        <w:r w:rsidRPr="00CA6588" w:rsidR="003D6084">
          <w:fldChar w:fldCharType="begin" w:fldLock="1"/>
        </w:r>
        <w:r w:rsidR="003D6084">
          <w:instrText xml:space="preserve"> ADDIN EN.CITE &lt;EndNote&gt;&lt;Cite ExcludeAuth="1"&gt;&lt;Author&gt;U.S. Environmental Protection Agency (EPA)&lt;/Author&gt;&lt;Year&gt;2021&lt;/Year&gt;&lt;RecNum&gt;61&lt;/RecNum&gt;&lt;Prefix&gt;EPA &lt;/Prefix&gt;&lt;DisplayText&gt;EPA 2021e&lt;/DisplayText&gt;&lt;record&gt;&lt;rec-number&gt;61&lt;/rec-number&gt;&lt;foreign-keys&gt;&lt;key app="EN" db-id="2apzr05radv9fjet2w6xxwdlz5e9vwfxredw" timestamp="1730757315"&gt;61&lt;/key&gt;&lt;/foreign-keys&gt;&lt;ref-type name="Generic"&gt;13&lt;/ref-type&gt;&lt;contributors&gt;&lt;authors&gt;&lt;author&gt;U.S. Environmental Protection Agency (EPA),&lt;/author&gt;&lt;/authors&gt;&lt;subsidiary-authors&gt;&lt;author&gt;Office of Chemical Safety and Pollution Prevention&lt;/author&gt;&lt;/subsidiary-authors&gt;&lt;/contributors&gt;&lt;titles&gt;&lt;title&gt;Risk Evaluation for C.I. Pigment Violet 29 (Anthra[2,1,9-def:6,5,10-d&amp;apos;e&amp;apos;f&amp;apos;]diisoquinoline-1,3,8,10(2H,9H)-tetrone)&lt;/title&gt;&lt;/titles&gt;&lt;number&gt;# 740-R-18-015&lt;/number&gt;&lt;dates&gt;&lt;year&gt;2021&lt;/year&gt;&lt;/dates&gt;&lt;urls&gt;&lt;/urls&gt;&lt;/record&gt;&lt;/Cite&gt;&lt;/EndNote&gt;</w:instrText>
        </w:r>
        <w:r w:rsidRPr="00CA6588" w:rsidR="003D6084">
          <w:fldChar w:fldCharType="separate"/>
        </w:r>
        <w:r w:rsidR="003D6084">
          <w:rPr>
            <w:noProof/>
          </w:rPr>
          <w:t>EPA 2021e</w:t>
        </w:r>
        <w:r w:rsidRPr="00CA6588" w:rsidR="003D6084">
          <w:fldChar w:fldCharType="end"/>
        </w:r>
      </w:hyperlink>
      <w:r w:rsidR="005B3C50">
        <w:rPr>
          <w:lang w:val="en-US"/>
        </w:rPr>
        <w:t xml:space="preserve">; </w:t>
      </w:r>
      <w:hyperlink w:anchor="_ENREF_66" w:tooltip="U.S. Environmental Protection Agency (EPA), 2022 #65" w:history="1">
        <w:r w:rsidR="003D6084">
          <w:rPr>
            <w:lang w:val="en-US"/>
          </w:rPr>
          <w:fldChar w:fldCharType="begin" w:fldLock="1"/>
        </w:r>
        <w:r w:rsidR="003D6084">
          <w:rPr>
            <w:lang w:val="en-US"/>
          </w:rPr>
          <w:instrText xml:space="preserve"> ADDIN EN.CITE &lt;EndNote&gt;&lt;Cite ExcludeAuth="1"&gt;&lt;Author&gt;U.S. Environmental Protection Agency (EPA)&lt;/Author&gt;&lt;Year&gt;2022&lt;/Year&gt;&lt;RecNum&gt;65&lt;/RecNum&gt;&lt;Prefix&gt;EPA &lt;/Prefix&gt;&lt;DisplayText&gt;EPA 2022&lt;/DisplayText&gt;&lt;record&gt;&lt;rec-number&gt;65&lt;/rec-number&gt;&lt;foreign-keys&gt;&lt;key app="EN" db-id="2apzr05radv9fjet2w6xxwdlz5e9vwfxredw" timestamp="1730757315"&gt;65&lt;/key&gt;&lt;/foreign-keys&gt;&lt;ref-type name="Generic"&gt;13&lt;/ref-type&gt;&lt;contributors&gt;&lt;authors&gt;&lt;author&gt;U.S. Environmental Protection Agency (EPA),&lt;/author&gt;&lt;/authors&gt;&lt;/contributors&gt;&lt;titles&gt;&lt;title&gt;Final Revised Unreasonable Risk Determination for C.I. Pigment Violet 29&lt;/title&gt;&lt;/titles&gt;&lt;dates&gt;&lt;year&gt;2022&lt;/year&gt;&lt;pub-dates&gt;&lt;date&gt;August 2022&lt;/date&gt;&lt;/pub-dates&gt;&lt;/dates&gt;&lt;urls&gt;&lt;/urls&gt;&lt;/record&gt;&lt;/Cite&gt;&lt;/EndNote&gt;</w:instrText>
        </w:r>
        <w:r w:rsidR="003D6084">
          <w:rPr>
            <w:lang w:val="en-US"/>
          </w:rPr>
          <w:fldChar w:fldCharType="separate"/>
        </w:r>
        <w:r w:rsidR="003D6084">
          <w:rPr>
            <w:noProof/>
            <w:lang w:val="en-US"/>
          </w:rPr>
          <w:t>EPA 2022</w:t>
        </w:r>
        <w:r w:rsidR="003D6084">
          <w:rPr>
            <w:lang w:val="en-US"/>
          </w:rPr>
          <w:fldChar w:fldCharType="end"/>
        </w:r>
      </w:hyperlink>
      <w:r w:rsidRPr="4A8A1481">
        <w:rPr>
          <w:rFonts w:eastAsia="Times"/>
          <w:lang w:val="en-US"/>
        </w:rPr>
        <w:t xml:space="preserve">). Section </w:t>
      </w:r>
      <w:r>
        <w:rPr>
          <w:rFonts w:eastAsia="Times"/>
          <w:lang w:val="en-US"/>
        </w:rPr>
        <w:fldChar w:fldCharType="begin" w:fldLock="1"/>
      </w:r>
      <w:r>
        <w:rPr>
          <w:rFonts w:eastAsia="Times"/>
          <w:lang w:val="en-US"/>
        </w:rPr>
        <w:instrText xml:space="preserve"> REF _Ref181202830 \r \h </w:instrText>
      </w:r>
      <w:r>
        <w:rPr>
          <w:rFonts w:eastAsia="Times"/>
          <w:lang w:val="en-US"/>
        </w:rPr>
        <w:fldChar w:fldCharType="separate"/>
      </w:r>
      <w:r w:rsidR="00735BBC">
        <w:rPr>
          <w:rFonts w:eastAsia="Times"/>
          <w:lang w:val="en-US"/>
        </w:rPr>
        <w:t>1.3.1</w:t>
      </w:r>
      <w:r>
        <w:rPr>
          <w:rFonts w:eastAsia="Times"/>
          <w:lang w:val="en-US"/>
        </w:rPr>
        <w:fldChar w:fldCharType="end"/>
      </w:r>
      <w:r w:rsidRPr="4A8A1481">
        <w:rPr>
          <w:rFonts w:eastAsia="Times"/>
          <w:lang w:val="en-US"/>
        </w:rPr>
        <w:t xml:space="preserve"> describes EPA’s proposed regulation for mitigating unreasonable risks posed by regulated PV29 to address the unreasonable risk, and Section </w:t>
      </w:r>
      <w:r>
        <w:rPr>
          <w:rFonts w:eastAsia="Times"/>
          <w:lang w:val="en-US"/>
        </w:rPr>
        <w:fldChar w:fldCharType="begin" w:fldLock="1"/>
      </w:r>
      <w:r>
        <w:rPr>
          <w:rFonts w:eastAsia="Times"/>
          <w:lang w:val="en-US"/>
        </w:rPr>
        <w:instrText xml:space="preserve"> REF _Ref173937027 \r \h </w:instrText>
      </w:r>
      <w:r>
        <w:rPr>
          <w:rFonts w:eastAsia="Times"/>
          <w:lang w:val="en-US"/>
        </w:rPr>
        <w:fldChar w:fldCharType="separate"/>
      </w:r>
      <w:r w:rsidR="00735BBC">
        <w:rPr>
          <w:rFonts w:eastAsia="Times"/>
          <w:lang w:val="en-US"/>
        </w:rPr>
        <w:t>1.3.2</w:t>
      </w:r>
      <w:r>
        <w:rPr>
          <w:rFonts w:eastAsia="Times"/>
          <w:lang w:val="en-US"/>
        </w:rPr>
        <w:fldChar w:fldCharType="end"/>
      </w:r>
      <w:r>
        <w:rPr>
          <w:rFonts w:eastAsia="Times"/>
          <w:lang w:val="en-US"/>
        </w:rPr>
        <w:t xml:space="preserve"> </w:t>
      </w:r>
      <w:r w:rsidRPr="4A8A1481">
        <w:rPr>
          <w:rFonts w:eastAsia="Times"/>
          <w:lang w:val="en-US"/>
        </w:rPr>
        <w:t>describes the primary alternative regulation.</w:t>
      </w:r>
    </w:p>
    <w:p w:rsidR="00874522" w:rsidRPr="00874522" w:rsidP="0064758C" w14:paraId="236C803A" w14:textId="00F16C8C">
      <w:pPr>
        <w:pStyle w:val="Heading3"/>
      </w:pPr>
      <w:bookmarkStart w:id="47" w:name="_Ref181202830"/>
      <w:r w:rsidRPr="0088745B">
        <w:t>Proposed Option</w:t>
      </w:r>
      <w:bookmarkEnd w:id="47"/>
    </w:p>
    <w:p w:rsidR="54B45F3F" w:rsidP="00833B7A" w14:paraId="31C1179B" w14:textId="03DFDDA7">
      <w:pPr>
        <w:pStyle w:val="BodyText"/>
        <w:rPr>
          <w:rFonts w:ascii="Times" w:eastAsia="Times" w:hAnsi="Times" w:cs="Times"/>
        </w:rPr>
      </w:pPr>
      <w:r w:rsidRPr="4A8A1481">
        <w:rPr>
          <w:rFonts w:eastAsia="Times"/>
          <w:lang w:val="en-US"/>
        </w:rPr>
        <w:t xml:space="preserve"> </w:t>
      </w:r>
      <w:r>
        <w:rPr>
          <w:rFonts w:ascii="Times" w:eastAsia="Times" w:hAnsi="Times" w:cs="Times"/>
        </w:rPr>
        <w:t>The proposed regulatory requirement will:</w:t>
      </w:r>
    </w:p>
    <w:p w:rsidR="6A33D2B2" w:rsidP="2DF4D87A" w14:paraId="5D8FA27B" w14:textId="39879303">
      <w:pPr>
        <w:spacing w:line="259" w:lineRule="auto"/>
        <w:rPr>
          <w:rFonts w:ascii="Times" w:eastAsia="Times" w:hAnsi="Times" w:cs="Times"/>
          <w:szCs w:val="22"/>
        </w:rPr>
      </w:pPr>
      <w:r w:rsidRPr="53671BB5">
        <w:rPr>
          <w:rFonts w:ascii="Times" w:eastAsia="Times" w:hAnsi="Times" w:cs="Times"/>
          <w:color w:val="000000" w:themeColor="text1"/>
          <w:szCs w:val="22"/>
        </w:rPr>
        <w:t xml:space="preserve">(i) </w:t>
      </w:r>
      <w:r w:rsidRPr="53671BB5">
        <w:rPr>
          <w:rFonts w:ascii="Times" w:eastAsia="Times" w:hAnsi="Times" w:cs="Times"/>
          <w:color w:val="000000" w:themeColor="text1"/>
          <w:szCs w:val="22"/>
        </w:rPr>
        <w:t>Require use of assigned protection factor (APF) 50 respirators and equipment and area cleaning to address the risk from inhalation exposure to dry powder PV29, also referred to as regulated PV29, for the following conditions of use:</w:t>
      </w:r>
    </w:p>
    <w:p w:rsidR="5F65662C" w:rsidP="0064758C" w14:paraId="4936F3AF" w14:textId="221E9189">
      <w:pPr>
        <w:pStyle w:val="ListParagraph"/>
        <w:numPr>
          <w:ilvl w:val="0"/>
          <w:numId w:val="190"/>
        </w:numPr>
        <w:spacing w:after="180" w:line="259" w:lineRule="auto"/>
        <w:jc w:val="both"/>
        <w:rPr>
          <w:rFonts w:ascii="Times" w:eastAsia="Times" w:hAnsi="Times" w:cs="Times"/>
          <w:color w:val="000000" w:themeColor="text1"/>
        </w:rPr>
      </w:pPr>
      <w:r w:rsidRPr="53671BB5">
        <w:rPr>
          <w:rFonts w:ascii="Times" w:eastAsia="Times" w:hAnsi="Times" w:cs="Times"/>
          <w:color w:val="000000" w:themeColor="text1"/>
        </w:rPr>
        <w:t>Domestic manufacture; </w:t>
      </w:r>
    </w:p>
    <w:p w:rsidR="5F65662C" w:rsidP="0064758C" w14:paraId="72726D00" w14:textId="095D92E6">
      <w:pPr>
        <w:pStyle w:val="ListParagraph"/>
        <w:numPr>
          <w:ilvl w:val="0"/>
          <w:numId w:val="190"/>
        </w:numPr>
        <w:rPr>
          <w:rFonts w:ascii="Times" w:eastAsia="Times" w:hAnsi="Times" w:cs="Times"/>
          <w:color w:val="000000" w:themeColor="text1"/>
        </w:rPr>
      </w:pPr>
      <w:r w:rsidRPr="53671BB5">
        <w:rPr>
          <w:rFonts w:ascii="Times" w:eastAsia="Times" w:hAnsi="Times" w:cs="Times"/>
          <w:color w:val="000000" w:themeColor="text1"/>
        </w:rPr>
        <w:t>Import; </w:t>
      </w:r>
    </w:p>
    <w:p w:rsidR="5F65662C" w:rsidP="0064758C" w14:paraId="534F6384" w14:textId="0867CCF9">
      <w:pPr>
        <w:pStyle w:val="ListParagraph"/>
        <w:numPr>
          <w:ilvl w:val="0"/>
          <w:numId w:val="190"/>
        </w:numPr>
        <w:rPr>
          <w:rFonts w:ascii="Times" w:eastAsia="Times" w:hAnsi="Times" w:cs="Times"/>
          <w:color w:val="000000" w:themeColor="text1"/>
        </w:rPr>
      </w:pPr>
      <w:r w:rsidRPr="53671BB5">
        <w:rPr>
          <w:rFonts w:ascii="Times" w:eastAsia="Times" w:hAnsi="Times" w:cs="Times"/>
          <w:color w:val="000000" w:themeColor="text1"/>
        </w:rPr>
        <w:t>Incorporation into formulation, mixture or reaction products in paints and coatings; </w:t>
      </w:r>
    </w:p>
    <w:p w:rsidR="5F65662C" w:rsidP="0064758C" w14:paraId="29CF0EE2" w14:textId="400D8E51">
      <w:pPr>
        <w:pStyle w:val="ListParagraph"/>
        <w:numPr>
          <w:ilvl w:val="0"/>
          <w:numId w:val="190"/>
        </w:numPr>
        <w:rPr>
          <w:rFonts w:ascii="Times" w:eastAsia="Times" w:hAnsi="Times" w:cs="Times"/>
          <w:color w:val="000000" w:themeColor="text1"/>
        </w:rPr>
      </w:pPr>
      <w:r w:rsidRPr="53671BB5">
        <w:rPr>
          <w:rFonts w:ascii="Times" w:eastAsia="Times" w:hAnsi="Times" w:cs="Times"/>
          <w:color w:val="000000" w:themeColor="text1"/>
        </w:rPr>
        <w:t>Incorporation into formulation, mixture or reaction products in plastic and rubber products; and</w:t>
      </w:r>
    </w:p>
    <w:p w:rsidR="5F65662C" w:rsidP="0064758C" w14:paraId="35354D16" w14:textId="7E5E9391">
      <w:pPr>
        <w:pStyle w:val="ListParagraph"/>
        <w:numPr>
          <w:ilvl w:val="0"/>
          <w:numId w:val="190"/>
        </w:numPr>
        <w:rPr>
          <w:rFonts w:ascii="Times" w:eastAsia="Times" w:hAnsi="Times" w:cs="Times"/>
          <w:color w:val="000000" w:themeColor="text1"/>
        </w:rPr>
      </w:pPr>
      <w:r w:rsidRPr="53671BB5">
        <w:rPr>
          <w:rFonts w:ascii="Times" w:eastAsia="Times" w:hAnsi="Times" w:cs="Times"/>
          <w:color w:val="000000" w:themeColor="text1"/>
        </w:rPr>
        <w:t>Intermediate in the creation or adjustment of color of other perylene pigments; </w:t>
      </w:r>
    </w:p>
    <w:p w:rsidR="5F65662C" w:rsidP="00EC6A06" w14:paraId="0ED04B51" w14:textId="459ADCDC">
      <w:pPr>
        <w:rPr>
          <w:rFonts w:ascii="Times" w:eastAsia="Times" w:hAnsi="Times" w:cs="Times"/>
          <w:color w:val="000000" w:themeColor="text1"/>
          <w:szCs w:val="22"/>
        </w:rPr>
      </w:pPr>
      <w:r w:rsidRPr="53671BB5">
        <w:rPr>
          <w:rFonts w:ascii="Times" w:eastAsia="Times" w:hAnsi="Times" w:cs="Times"/>
          <w:color w:val="000000" w:themeColor="text1"/>
          <w:szCs w:val="22"/>
        </w:rPr>
        <w:t xml:space="preserve">(ii) Require use of APF 50 respirators and equipment and area cleaning to address the risk from inhalation exposure to </w:t>
      </w:r>
      <w:r w:rsidR="00C741DA">
        <w:rPr>
          <w:rFonts w:ascii="Times" w:eastAsia="Times" w:hAnsi="Times" w:cs="Times"/>
          <w:color w:val="000000" w:themeColor="text1"/>
          <w:szCs w:val="22"/>
        </w:rPr>
        <w:t>dry powder PV29, also referred to as</w:t>
      </w:r>
      <w:r w:rsidRPr="53671BB5">
        <w:rPr>
          <w:rFonts w:ascii="Times" w:eastAsia="Times" w:hAnsi="Times" w:cs="Times"/>
          <w:color w:val="000000" w:themeColor="text1"/>
          <w:szCs w:val="22"/>
        </w:rPr>
        <w:t xml:space="preserve"> regulated PV29, if it is manufactured or purchased by entities, for the following conditions of use:</w:t>
      </w:r>
    </w:p>
    <w:p w:rsidR="5F65662C" w:rsidP="0064758C" w14:paraId="5A9D0C37" w14:textId="22539121">
      <w:pPr>
        <w:pStyle w:val="ListParagraph"/>
        <w:numPr>
          <w:ilvl w:val="0"/>
          <w:numId w:val="191"/>
        </w:numPr>
        <w:rPr>
          <w:rFonts w:ascii="Times" w:eastAsia="Times" w:hAnsi="Times" w:cs="Times"/>
          <w:color w:val="000000" w:themeColor="text1"/>
        </w:rPr>
      </w:pPr>
      <w:r w:rsidRPr="53671BB5">
        <w:rPr>
          <w:rFonts w:ascii="Times" w:eastAsia="Times" w:hAnsi="Times" w:cs="Times"/>
          <w:color w:val="000000" w:themeColor="text1"/>
        </w:rPr>
        <w:t>Recycling; </w:t>
      </w:r>
    </w:p>
    <w:p w:rsidR="5F65662C" w:rsidP="0064758C" w14:paraId="73464537" w14:textId="6E25D959">
      <w:pPr>
        <w:pStyle w:val="ListParagraph"/>
        <w:numPr>
          <w:ilvl w:val="0"/>
          <w:numId w:val="191"/>
        </w:numPr>
        <w:rPr>
          <w:rFonts w:ascii="Times" w:eastAsia="Times" w:hAnsi="Times" w:cs="Times"/>
          <w:color w:val="000000" w:themeColor="text1"/>
        </w:rPr>
      </w:pPr>
      <w:r w:rsidRPr="53671BB5">
        <w:rPr>
          <w:rFonts w:ascii="Times" w:eastAsia="Times" w:hAnsi="Times" w:cs="Times"/>
          <w:color w:val="000000" w:themeColor="text1"/>
        </w:rPr>
        <w:t>Industrial and commercial use in automobile (original equipment manufacturer (OEM) and refinishing) paints and coatings; </w:t>
      </w:r>
    </w:p>
    <w:p w:rsidR="5F65662C" w:rsidP="0064758C" w14:paraId="0B730853" w14:textId="2FB4234F">
      <w:pPr>
        <w:pStyle w:val="ListParagraph"/>
        <w:numPr>
          <w:ilvl w:val="0"/>
          <w:numId w:val="191"/>
        </w:numPr>
        <w:rPr>
          <w:rFonts w:ascii="Times" w:eastAsia="Times" w:hAnsi="Times" w:cs="Times"/>
          <w:color w:val="000000" w:themeColor="text1"/>
        </w:rPr>
      </w:pPr>
      <w:r w:rsidRPr="53671BB5">
        <w:rPr>
          <w:rFonts w:ascii="Times" w:eastAsia="Times" w:hAnsi="Times" w:cs="Times"/>
          <w:color w:val="000000" w:themeColor="text1"/>
        </w:rPr>
        <w:t>Industrial and commercial use in coatings and basecoats paints and coatings; </w:t>
      </w:r>
    </w:p>
    <w:p w:rsidR="5F65662C" w:rsidP="0064758C" w14:paraId="63811400" w14:textId="13F2CE0A">
      <w:pPr>
        <w:pStyle w:val="ListParagraph"/>
        <w:numPr>
          <w:ilvl w:val="0"/>
          <w:numId w:val="191"/>
        </w:numPr>
        <w:rPr>
          <w:rFonts w:ascii="Times" w:eastAsia="Times" w:hAnsi="Times" w:cs="Times"/>
          <w:color w:val="000000" w:themeColor="text1"/>
        </w:rPr>
      </w:pPr>
      <w:r w:rsidRPr="53671BB5">
        <w:rPr>
          <w:rFonts w:ascii="Times" w:eastAsia="Times" w:hAnsi="Times" w:cs="Times"/>
          <w:color w:val="000000" w:themeColor="text1"/>
        </w:rPr>
        <w:t>Industrial and commercial use in merchant ink for commercial printing; and </w:t>
      </w:r>
    </w:p>
    <w:p w:rsidR="5F65662C" w:rsidP="0064758C" w14:paraId="2FEA25B3" w14:textId="385B7A2E">
      <w:pPr>
        <w:pStyle w:val="ListParagraph"/>
        <w:numPr>
          <w:ilvl w:val="0"/>
          <w:numId w:val="191"/>
        </w:numPr>
        <w:rPr>
          <w:rFonts w:ascii="Times" w:eastAsia="Times" w:hAnsi="Times" w:cs="Times"/>
          <w:color w:val="000000" w:themeColor="text1"/>
        </w:rPr>
      </w:pPr>
      <w:r w:rsidRPr="53671BB5">
        <w:rPr>
          <w:rFonts w:ascii="Times" w:eastAsia="Times" w:hAnsi="Times" w:cs="Times"/>
          <w:color w:val="000000" w:themeColor="text1"/>
        </w:rPr>
        <w:t>Disposal. </w:t>
      </w:r>
    </w:p>
    <w:p w:rsidR="5A633EB3" w:rsidP="00EC6A06" w14:paraId="6CB9691B" w14:textId="49B44E8C">
      <w:pPr>
        <w:rPr>
          <w:rFonts w:ascii="Times" w:eastAsia="Times" w:hAnsi="Times" w:cs="Times"/>
          <w:color w:val="000000" w:themeColor="text1"/>
          <w:szCs w:val="22"/>
        </w:rPr>
      </w:pPr>
      <w:r w:rsidRPr="53671BB5">
        <w:rPr>
          <w:rFonts w:ascii="Times" w:eastAsia="Times" w:hAnsi="Times" w:cs="Times"/>
          <w:color w:val="000000" w:themeColor="text1"/>
          <w:szCs w:val="22"/>
        </w:rPr>
        <w:t xml:space="preserve">(iii) Require manufacturers (including importers), processors, and distributors in commerce to provide downstream notification of the requirements,  </w:t>
      </w:r>
    </w:p>
    <w:p w:rsidR="46A23524" w:rsidP="00C8723A" w14:paraId="24D9EFA8" w14:textId="799CA432">
      <w:pPr>
        <w:spacing w:line="259" w:lineRule="auto"/>
        <w:jc w:val="both"/>
        <w:rPr>
          <w:rFonts w:ascii="Times" w:eastAsia="Times" w:hAnsi="Times" w:cs="Times"/>
          <w:color w:val="000000" w:themeColor="text1"/>
          <w:szCs w:val="22"/>
        </w:rPr>
      </w:pPr>
      <w:r w:rsidRPr="53671BB5">
        <w:rPr>
          <w:rFonts w:ascii="Times" w:eastAsia="Times" w:hAnsi="Times" w:cs="Times"/>
          <w:color w:val="000000" w:themeColor="text1"/>
          <w:szCs w:val="22"/>
        </w:rPr>
        <w:t>(iv) Require recordkeeping.</w:t>
      </w:r>
    </w:p>
    <w:p w:rsidR="0074307F" w:rsidRPr="00A95A85" w:rsidP="0074307F" w14:paraId="4A733225" w14:textId="77777777">
      <w:pPr>
        <w:pStyle w:val="Heading3"/>
      </w:pPr>
      <w:bookmarkStart w:id="48" w:name="_Ref173937027"/>
      <w:bookmarkStart w:id="49" w:name="_Toc179234310"/>
      <w:r w:rsidRPr="00A95A85">
        <w:t>Alternative Regulatory Options</w:t>
      </w:r>
      <w:bookmarkEnd w:id="48"/>
      <w:bookmarkEnd w:id="49"/>
    </w:p>
    <w:p w:rsidR="00C741DA" w:rsidRPr="00C741DA" w:rsidP="00BD3D2B" w14:paraId="5937A1C7" w14:textId="0E55484E">
      <w:pPr>
        <w:spacing w:after="0"/>
        <w:ind w:left="360"/>
        <w:jc w:val="both"/>
      </w:pPr>
      <w:r>
        <w:t xml:space="preserve">The primary alternative will: </w:t>
      </w:r>
      <w:r w:rsidR="184A3E24">
        <w:t>For the following conditions of use:</w:t>
      </w:r>
    </w:p>
    <w:p w:rsidR="00C741DA" w:rsidRPr="00197EF7" w:rsidP="00506893" w14:paraId="46463725" w14:textId="77777777">
      <w:pPr>
        <w:pStyle w:val="ListParagraph"/>
        <w:spacing w:after="0"/>
        <w:jc w:val="both"/>
        <w:rPr>
          <w:rFonts w:ascii="Times New Roman" w:eastAsia="Times New Roman" w:hAnsi="Times New Roman" w:cs="Times New Roman"/>
        </w:rPr>
      </w:pPr>
    </w:p>
    <w:p w:rsidR="00C741DA" w:rsidRPr="0064758C" w:rsidP="0064758C" w14:paraId="52889FFF" w14:textId="77777777">
      <w:pPr>
        <w:pStyle w:val="ListParagraph"/>
        <w:numPr>
          <w:ilvl w:val="0"/>
          <w:numId w:val="191"/>
        </w:numPr>
        <w:rPr>
          <w:rFonts w:ascii="Times" w:eastAsia="Times" w:hAnsi="Times" w:cs="Times"/>
          <w:color w:val="000000" w:themeColor="text1"/>
        </w:rPr>
      </w:pPr>
      <w:r w:rsidRPr="0064758C">
        <w:rPr>
          <w:rFonts w:ascii="Times" w:eastAsia="Times" w:hAnsi="Times" w:cs="Times"/>
          <w:color w:val="000000" w:themeColor="text1"/>
        </w:rPr>
        <w:t>Domestic manufacture;</w:t>
      </w:r>
    </w:p>
    <w:p w:rsidR="00C741DA" w:rsidRPr="0064758C" w:rsidP="0064758C" w14:paraId="37164C20" w14:textId="416B7587">
      <w:pPr>
        <w:pStyle w:val="ListParagraph"/>
        <w:numPr>
          <w:ilvl w:val="0"/>
          <w:numId w:val="191"/>
        </w:numPr>
        <w:rPr>
          <w:rFonts w:ascii="Times" w:eastAsia="Times" w:hAnsi="Times" w:cs="Times"/>
          <w:color w:val="000000" w:themeColor="text1"/>
        </w:rPr>
      </w:pPr>
      <w:r w:rsidRPr="0064758C">
        <w:rPr>
          <w:rFonts w:ascii="Times" w:eastAsia="Times" w:hAnsi="Times" w:cs="Times"/>
          <w:color w:val="000000" w:themeColor="text1"/>
        </w:rPr>
        <w:t>Import;</w:t>
      </w:r>
    </w:p>
    <w:p w:rsidR="00C741DA" w:rsidRPr="0064758C" w:rsidP="0064758C" w14:paraId="6D732F2E" w14:textId="77777777">
      <w:pPr>
        <w:pStyle w:val="ListParagraph"/>
        <w:numPr>
          <w:ilvl w:val="0"/>
          <w:numId w:val="191"/>
        </w:numPr>
        <w:rPr>
          <w:rFonts w:ascii="Times" w:eastAsia="Times" w:hAnsi="Times" w:cs="Times"/>
          <w:color w:val="000000" w:themeColor="text1"/>
        </w:rPr>
      </w:pPr>
      <w:r w:rsidRPr="0064758C">
        <w:rPr>
          <w:rFonts w:ascii="Times" w:eastAsia="Times" w:hAnsi="Times" w:cs="Times"/>
          <w:color w:val="000000" w:themeColor="text1"/>
        </w:rPr>
        <w:t>Processing: Incorporation into formulation, mixture, or reaction products in paints and coatings;</w:t>
      </w:r>
    </w:p>
    <w:p w:rsidR="00C741DA" w:rsidRPr="0064758C" w:rsidP="0064758C" w14:paraId="76E5E374" w14:textId="77777777">
      <w:pPr>
        <w:pStyle w:val="ListParagraph"/>
        <w:numPr>
          <w:ilvl w:val="0"/>
          <w:numId w:val="191"/>
        </w:numPr>
        <w:rPr>
          <w:rFonts w:ascii="Times" w:eastAsia="Times" w:hAnsi="Times" w:cs="Times"/>
          <w:color w:val="000000" w:themeColor="text1"/>
        </w:rPr>
      </w:pPr>
      <w:r w:rsidRPr="0064758C">
        <w:rPr>
          <w:rFonts w:ascii="Times" w:eastAsia="Times" w:hAnsi="Times" w:cs="Times"/>
          <w:color w:val="000000" w:themeColor="text1"/>
        </w:rPr>
        <w:t>Processing: Incorporation into formulation, mixture, or reaction products in plastic and rubber products.;</w:t>
      </w:r>
    </w:p>
    <w:p w:rsidR="00C741DA" w:rsidRPr="0064758C" w:rsidP="0064758C" w14:paraId="6C53E122" w14:textId="50082391">
      <w:pPr>
        <w:pStyle w:val="ListParagraph"/>
        <w:numPr>
          <w:ilvl w:val="0"/>
          <w:numId w:val="191"/>
        </w:numPr>
        <w:rPr>
          <w:rFonts w:ascii="Times" w:eastAsia="Times" w:hAnsi="Times" w:cs="Times"/>
          <w:color w:val="000000" w:themeColor="text1"/>
        </w:rPr>
      </w:pPr>
      <w:r w:rsidRPr="0064758C">
        <w:rPr>
          <w:rFonts w:ascii="Times" w:eastAsia="Times" w:hAnsi="Times" w:cs="Times"/>
          <w:color w:val="000000" w:themeColor="text1"/>
        </w:rPr>
        <w:t>Processing: intermediate in the creation or adjustment of color of other perylene pigments</w:t>
      </w:r>
    </w:p>
    <w:p w:rsidR="71AF3ECC" w:rsidRPr="00506893" w:rsidP="00A22FFC" w14:paraId="72DE99D0" w14:textId="50E53C46">
      <w:pPr>
        <w:pStyle w:val="BodyText"/>
        <w:spacing w:line="259" w:lineRule="auto"/>
        <w:ind w:left="360"/>
        <w:rPr>
          <w:lang w:val="en-US"/>
        </w:rPr>
      </w:pPr>
      <w:r w:rsidRPr="00506893">
        <w:rPr>
          <w:lang w:val="en-US"/>
        </w:rPr>
        <w:t>(i)</w:t>
      </w:r>
      <w:r w:rsidR="00C741DA">
        <w:rPr>
          <w:lang w:val="en-US"/>
        </w:rPr>
        <w:t xml:space="preserve"> </w:t>
      </w:r>
      <w:r w:rsidRPr="00506893">
        <w:rPr>
          <w:lang w:val="en-US"/>
        </w:rPr>
        <w:t xml:space="preserve">Require engineering controls, such as </w:t>
      </w:r>
      <w:r w:rsidR="00BF01C3">
        <w:rPr>
          <w:lang w:val="en-US"/>
        </w:rPr>
        <w:t xml:space="preserve">high efficiency </w:t>
      </w:r>
      <w:r w:rsidR="00D934AA">
        <w:rPr>
          <w:lang w:val="en-US"/>
        </w:rPr>
        <w:t>purification air (</w:t>
      </w:r>
      <w:r w:rsidRPr="00506893">
        <w:rPr>
          <w:lang w:val="en-US"/>
        </w:rPr>
        <w:t>HEPA</w:t>
      </w:r>
      <w:r w:rsidR="00D934AA">
        <w:rPr>
          <w:lang w:val="en-US"/>
        </w:rPr>
        <w:t>)</w:t>
      </w:r>
      <w:r w:rsidRPr="00506893">
        <w:rPr>
          <w:lang w:val="en-US"/>
        </w:rPr>
        <w:t xml:space="preserve"> filters, to </w:t>
      </w:r>
      <w:r w:rsidRPr="00506893" w:rsidR="2BCCE6C7">
        <w:rPr>
          <w:lang w:val="en-US"/>
        </w:rPr>
        <w:t xml:space="preserve">reduce the concentration of regulated </w:t>
      </w:r>
      <w:r w:rsidRPr="00506893">
        <w:rPr>
          <w:lang w:val="en-US"/>
        </w:rPr>
        <w:t>PV29</w:t>
      </w:r>
      <w:r w:rsidR="00C741DA">
        <w:rPr>
          <w:lang w:val="en-US"/>
        </w:rPr>
        <w:t>,</w:t>
      </w:r>
      <w:r w:rsidRPr="00506893" w:rsidR="135E772D">
        <w:rPr>
          <w:lang w:val="en-US"/>
        </w:rPr>
        <w:t xml:space="preserve"> in workplace </w:t>
      </w:r>
      <w:r w:rsidRPr="00506893">
        <w:rPr>
          <w:lang w:val="en-US"/>
        </w:rPr>
        <w:t>air</w:t>
      </w:r>
      <w:r w:rsidR="00C741DA">
        <w:rPr>
          <w:lang w:val="en-US"/>
        </w:rPr>
        <w:t>;</w:t>
      </w:r>
    </w:p>
    <w:p w:rsidR="71AF3ECC" w:rsidP="00A22FFC" w14:paraId="69326214" w14:textId="7D8EF3C7">
      <w:pPr>
        <w:spacing w:after="0"/>
        <w:ind w:left="360"/>
        <w:jc w:val="both"/>
        <w:rPr>
          <w:szCs w:val="22"/>
          <w:lang w:val="en"/>
        </w:rPr>
      </w:pPr>
      <w:r w:rsidRPr="00506893">
        <w:rPr>
          <w:szCs w:val="22"/>
          <w:lang w:val="en"/>
        </w:rPr>
        <w:t>(ii)</w:t>
      </w:r>
      <w:r w:rsidR="00C741DA">
        <w:rPr>
          <w:szCs w:val="22"/>
          <w:lang w:val="en"/>
        </w:rPr>
        <w:t xml:space="preserve"> </w:t>
      </w:r>
      <w:r w:rsidRPr="00506893">
        <w:rPr>
          <w:szCs w:val="22"/>
          <w:lang w:val="en"/>
        </w:rPr>
        <w:t xml:space="preserve">Require APF 10 respirators when workers and ONUs are in rooms where </w:t>
      </w:r>
      <w:r w:rsidR="00C741DA">
        <w:rPr>
          <w:szCs w:val="22"/>
          <w:lang w:val="en"/>
        </w:rPr>
        <w:t>regulated</w:t>
      </w:r>
      <w:r w:rsidRPr="00506893">
        <w:rPr>
          <w:szCs w:val="22"/>
          <w:lang w:val="en"/>
        </w:rPr>
        <w:t xml:space="preserve"> PV29 is actively in use (including anywhere with an open container)</w:t>
      </w:r>
      <w:r w:rsidR="00C741DA">
        <w:rPr>
          <w:szCs w:val="22"/>
          <w:lang w:val="en"/>
        </w:rPr>
        <w:t>;</w:t>
      </w:r>
    </w:p>
    <w:p w:rsidR="00C741DA" w:rsidRPr="00506893" w:rsidP="00A22FFC" w14:paraId="30968172" w14:textId="77777777">
      <w:pPr>
        <w:spacing w:after="0"/>
        <w:ind w:left="360"/>
        <w:jc w:val="both"/>
        <w:rPr>
          <w:szCs w:val="22"/>
          <w:lang w:val="en"/>
        </w:rPr>
      </w:pPr>
    </w:p>
    <w:p w:rsidR="71AF3ECC" w:rsidP="00A22FFC" w14:paraId="2D9736ED" w14:textId="7823141B">
      <w:pPr>
        <w:spacing w:after="0"/>
        <w:ind w:left="360"/>
        <w:jc w:val="both"/>
        <w:rPr>
          <w:szCs w:val="22"/>
          <w:lang w:val="en"/>
        </w:rPr>
      </w:pPr>
      <w:r w:rsidRPr="00506893">
        <w:rPr>
          <w:szCs w:val="22"/>
          <w:lang w:val="en"/>
        </w:rPr>
        <w:t>(iii)</w:t>
      </w:r>
      <w:r w:rsidR="00C741DA">
        <w:rPr>
          <w:szCs w:val="22"/>
          <w:lang w:val="en"/>
        </w:rPr>
        <w:t xml:space="preserve"> </w:t>
      </w:r>
      <w:r w:rsidRPr="00506893">
        <w:rPr>
          <w:szCs w:val="22"/>
          <w:lang w:val="en"/>
        </w:rPr>
        <w:t>Require equipment and area cleaning</w:t>
      </w:r>
      <w:r w:rsidR="00C741DA">
        <w:rPr>
          <w:szCs w:val="22"/>
          <w:lang w:val="en"/>
        </w:rPr>
        <w:t xml:space="preserve"> (related to the use of regulated PV29);</w:t>
      </w:r>
    </w:p>
    <w:p w:rsidR="00C741DA" w:rsidRPr="00506893" w:rsidP="00A22FFC" w14:paraId="1724E4EF" w14:textId="77777777">
      <w:pPr>
        <w:spacing w:after="0"/>
        <w:ind w:left="360"/>
        <w:jc w:val="both"/>
        <w:rPr>
          <w:szCs w:val="22"/>
          <w:lang w:val="en"/>
        </w:rPr>
      </w:pPr>
    </w:p>
    <w:p w:rsidR="71AF3ECC" w:rsidP="00A22FFC" w14:paraId="0140D471" w14:textId="3DE5292B">
      <w:pPr>
        <w:spacing w:after="0"/>
        <w:ind w:left="360"/>
        <w:jc w:val="both"/>
        <w:rPr>
          <w:szCs w:val="22"/>
        </w:rPr>
      </w:pPr>
      <w:r w:rsidRPr="00506893">
        <w:rPr>
          <w:szCs w:val="22"/>
        </w:rPr>
        <w:t>(iv)</w:t>
      </w:r>
      <w:r w:rsidR="00C741DA">
        <w:rPr>
          <w:szCs w:val="22"/>
        </w:rPr>
        <w:t xml:space="preserve"> </w:t>
      </w:r>
      <w:r w:rsidRPr="00506893">
        <w:rPr>
          <w:szCs w:val="22"/>
        </w:rPr>
        <w:t>Require m</w:t>
      </w:r>
      <w:r w:rsidRPr="00506893">
        <w:rPr>
          <w:szCs w:val="22"/>
        </w:rPr>
        <w:t>onitoring</w:t>
      </w:r>
      <w:r w:rsidRPr="00506893">
        <w:rPr>
          <w:szCs w:val="22"/>
        </w:rPr>
        <w:t xml:space="preserve">. </w:t>
      </w:r>
      <w:r w:rsidRPr="00506893">
        <w:rPr>
          <w:szCs w:val="22"/>
        </w:rPr>
        <w:t xml:space="preserve">Monitoring needs to occur at least once every 3 months during a time period when </w:t>
      </w:r>
      <w:r w:rsidR="00C741DA">
        <w:rPr>
          <w:szCs w:val="22"/>
        </w:rPr>
        <w:t>regulated</w:t>
      </w:r>
      <w:r w:rsidRPr="00506893">
        <w:rPr>
          <w:szCs w:val="22"/>
        </w:rPr>
        <w:t xml:space="preserve"> PV29 is manufactured or is in use (meaning that workers have handled or are handling an open container)</w:t>
      </w:r>
      <w:r w:rsidR="00C741DA">
        <w:rPr>
          <w:szCs w:val="22"/>
        </w:rPr>
        <w:t xml:space="preserve">; </w:t>
      </w:r>
      <w:r w:rsidRPr="00506893">
        <w:rPr>
          <w:szCs w:val="22"/>
        </w:rPr>
        <w:t xml:space="preserve"> </w:t>
      </w:r>
    </w:p>
    <w:p w:rsidR="00C741DA" w:rsidRPr="00506893" w:rsidP="00506893" w14:paraId="57A43785" w14:textId="77777777">
      <w:pPr>
        <w:spacing w:after="0"/>
        <w:ind w:firstLine="360"/>
        <w:jc w:val="both"/>
        <w:rPr>
          <w:szCs w:val="22"/>
        </w:rPr>
      </w:pPr>
    </w:p>
    <w:p w:rsidR="71AF3ECC" w:rsidRPr="00506893" w14:paraId="42DA9CE7" w14:textId="09879719">
      <w:pPr>
        <w:pStyle w:val="ListParagraph"/>
        <w:numPr>
          <w:ilvl w:val="1"/>
          <w:numId w:val="39"/>
        </w:numPr>
        <w:spacing w:after="0"/>
        <w:jc w:val="both"/>
      </w:pPr>
      <w:r w:rsidRPr="00506893">
        <w:rPr>
          <w:rFonts w:ascii="Times New Roman" w:eastAsia="Times New Roman" w:hAnsi="Times New Roman" w:cs="Times New Roman"/>
        </w:rPr>
        <w:t xml:space="preserve">Exceptions: If the concentration of airborne dust is above the </w:t>
      </w:r>
      <w:r w:rsidR="00156A00">
        <w:rPr>
          <w:rFonts w:ascii="Times New Roman" w:eastAsia="Times New Roman" w:hAnsi="Times New Roman" w:cs="Times New Roman"/>
        </w:rPr>
        <w:t>National Institute for Occupational Safety and Health (</w:t>
      </w:r>
      <w:r w:rsidRPr="00506893">
        <w:rPr>
          <w:rFonts w:ascii="Times New Roman" w:eastAsia="Times New Roman" w:hAnsi="Times New Roman" w:cs="Times New Roman"/>
        </w:rPr>
        <w:t>NIOSH</w:t>
      </w:r>
      <w:r w:rsidR="00156A00">
        <w:rPr>
          <w:rFonts w:ascii="Times New Roman" w:eastAsia="Times New Roman" w:hAnsi="Times New Roman" w:cs="Times New Roman"/>
        </w:rPr>
        <w:t>)</w:t>
      </w:r>
      <w:r w:rsidRPr="00506893">
        <w:rPr>
          <w:rFonts w:ascii="Times New Roman" w:eastAsia="Times New Roman" w:hAnsi="Times New Roman" w:cs="Times New Roman"/>
        </w:rPr>
        <w:t xml:space="preserve"> 0600 </w:t>
      </w:r>
      <w:r w:rsidR="00156A00">
        <w:rPr>
          <w:rFonts w:ascii="Times New Roman" w:eastAsia="Times New Roman" w:hAnsi="Times New Roman" w:cs="Times New Roman"/>
        </w:rPr>
        <w:t>limit of detection (</w:t>
      </w:r>
      <w:r w:rsidRPr="00506893">
        <w:rPr>
          <w:rFonts w:ascii="Times New Roman" w:eastAsia="Times New Roman" w:hAnsi="Times New Roman" w:cs="Times New Roman"/>
        </w:rPr>
        <w:t>LOD</w:t>
      </w:r>
      <w:r w:rsidR="00156A00">
        <w:rPr>
          <w:rFonts w:ascii="Times New Roman" w:eastAsia="Times New Roman" w:hAnsi="Times New Roman" w:cs="Times New Roman"/>
        </w:rPr>
        <w:t>)</w:t>
      </w:r>
      <w:r w:rsidRPr="00506893">
        <w:rPr>
          <w:rFonts w:ascii="Times New Roman" w:eastAsia="Times New Roman" w:hAnsi="Times New Roman" w:cs="Times New Roman"/>
        </w:rPr>
        <w:t xml:space="preserve">, monitoring needs to occur at least once every 3 months. If the concentration of airborne dust is below the NIOSH 0600 LOD, monitoring needs to occur at least once every 6 months. All workplace dust would be considered to be PV29 when </w:t>
      </w:r>
      <w:r w:rsidR="00C741DA">
        <w:rPr>
          <w:rFonts w:ascii="Times New Roman" w:eastAsia="Times New Roman" w:hAnsi="Times New Roman" w:cs="Times New Roman"/>
        </w:rPr>
        <w:t>regulated</w:t>
      </w:r>
      <w:r w:rsidRPr="00506893">
        <w:rPr>
          <w:rFonts w:ascii="Times New Roman" w:eastAsia="Times New Roman" w:hAnsi="Times New Roman" w:cs="Times New Roman"/>
        </w:rPr>
        <w:t xml:space="preserve"> PV29 is being manufactured or is in use (meaning that workers have handled or are handling an open container). </w:t>
      </w:r>
    </w:p>
    <w:p w:rsidR="00C741DA" w:rsidRPr="00506893" w:rsidP="00506893" w14:paraId="23BDB549" w14:textId="77777777">
      <w:pPr>
        <w:pStyle w:val="ListParagraph"/>
        <w:spacing w:after="0"/>
        <w:ind w:left="1440"/>
        <w:jc w:val="both"/>
      </w:pPr>
    </w:p>
    <w:p w:rsidR="71AF3ECC" w:rsidP="00C741DA" w14:paraId="5E2A4909" w14:textId="5FB68130">
      <w:pPr>
        <w:pStyle w:val="ListParagraph"/>
        <w:numPr>
          <w:ilvl w:val="1"/>
          <w:numId w:val="39"/>
        </w:numPr>
        <w:spacing w:after="0"/>
        <w:jc w:val="both"/>
      </w:pPr>
      <w:r w:rsidRPr="00506893">
        <w:rPr>
          <w:rFonts w:ascii="Times New Roman" w:eastAsia="Times New Roman" w:hAnsi="Times New Roman" w:cs="Times New Roman"/>
        </w:rPr>
        <w:t>The monitoring method would be the NIOSH 0600 method for respirable dust. Companies would be required to monitor all airborne particulate</w:t>
      </w:r>
    </w:p>
    <w:p w:rsidR="00C741DA" w:rsidRPr="00506893" w:rsidP="00506893" w14:paraId="2A2B5E65" w14:textId="77777777">
      <w:pPr>
        <w:pStyle w:val="ListParagraph"/>
        <w:spacing w:after="0"/>
        <w:ind w:left="1440"/>
        <w:jc w:val="both"/>
      </w:pPr>
    </w:p>
    <w:p w:rsidR="71AF3ECC" w:rsidRPr="00506893" w14:paraId="1C482B7C" w14:textId="1137FA5A">
      <w:pPr>
        <w:pStyle w:val="ListParagraph"/>
        <w:numPr>
          <w:ilvl w:val="1"/>
          <w:numId w:val="39"/>
        </w:numPr>
        <w:spacing w:after="0"/>
        <w:jc w:val="both"/>
      </w:pPr>
      <w:r w:rsidRPr="00506893">
        <w:rPr>
          <w:rFonts w:ascii="Times New Roman" w:eastAsia="Times New Roman" w:hAnsi="Times New Roman" w:cs="Times New Roman"/>
        </w:rPr>
        <w:t xml:space="preserve">If there are changes to production equipment or procedures, or major disruptions, companies would be required to conduct testing to establish a new baseline for monitoring purposes. Additionally, monitoring would need to restart and occur regularly based on the cadence outlined above. </w:t>
      </w:r>
    </w:p>
    <w:p w:rsidR="7A0A5DBE" w:rsidRPr="00506893" w:rsidP="00506893" w14:paraId="4FCC0933" w14:textId="0B883210">
      <w:pPr>
        <w:spacing w:after="0"/>
        <w:ind w:firstLine="360"/>
        <w:jc w:val="both"/>
        <w:rPr>
          <w:szCs w:val="22"/>
        </w:rPr>
      </w:pPr>
      <w:r w:rsidRPr="00506893">
        <w:rPr>
          <w:szCs w:val="22"/>
        </w:rPr>
        <w:t>(v)</w:t>
      </w:r>
      <w:r w:rsidR="00C741DA">
        <w:rPr>
          <w:szCs w:val="22"/>
        </w:rPr>
        <w:t xml:space="preserve"> </w:t>
      </w:r>
      <w:r w:rsidRPr="00506893" w:rsidR="20A868C4">
        <w:rPr>
          <w:szCs w:val="22"/>
        </w:rPr>
        <w:t>Require recordkeeping</w:t>
      </w:r>
      <w:r w:rsidRPr="00506893" w:rsidR="34D129A4">
        <w:rPr>
          <w:szCs w:val="22"/>
        </w:rPr>
        <w:t>,</w:t>
      </w:r>
    </w:p>
    <w:p w:rsidR="34D129A4" w:rsidRPr="00506893" w:rsidP="00506893" w14:paraId="58596F73" w14:textId="06D31A0B">
      <w:pPr>
        <w:spacing w:after="0"/>
        <w:ind w:left="360"/>
        <w:jc w:val="both"/>
        <w:rPr>
          <w:szCs w:val="22"/>
        </w:rPr>
      </w:pPr>
    </w:p>
    <w:p w:rsidR="07D6225D" w:rsidRPr="00506893" w:rsidP="00506893" w14:paraId="38C7EBE2" w14:textId="27CBDA49">
      <w:pPr>
        <w:spacing w:after="0"/>
        <w:jc w:val="both"/>
        <w:rPr>
          <w:szCs w:val="22"/>
        </w:rPr>
      </w:pPr>
      <w:r w:rsidRPr="00506893">
        <w:rPr>
          <w:szCs w:val="22"/>
        </w:rPr>
        <w:t xml:space="preserve">For the following </w:t>
      </w:r>
      <w:r w:rsidRPr="00506893" w:rsidR="1ACEDFBD">
        <w:rPr>
          <w:szCs w:val="22"/>
        </w:rPr>
        <w:t>conditions of use:</w:t>
      </w:r>
    </w:p>
    <w:p w:rsidR="7AF070AB" w:rsidRPr="00506893" w:rsidP="7AF070AB" w14:paraId="256F2187" w14:textId="2E19342F">
      <w:pPr>
        <w:pStyle w:val="ListParagraph"/>
        <w:spacing w:after="0"/>
        <w:jc w:val="both"/>
        <w:rPr>
          <w:rFonts w:ascii="Times New Roman" w:eastAsia="Times New Roman" w:hAnsi="Times New Roman" w:cs="Times New Roman"/>
        </w:rPr>
      </w:pPr>
    </w:p>
    <w:p w:rsidR="00C741DA" w:rsidRPr="0064758C" w:rsidP="0064758C" w14:paraId="6407C491" w14:textId="0EA2E02C">
      <w:pPr>
        <w:pStyle w:val="ListParagraph"/>
        <w:numPr>
          <w:ilvl w:val="0"/>
          <w:numId w:val="191"/>
        </w:numPr>
        <w:rPr>
          <w:rFonts w:ascii="Times" w:eastAsia="Times" w:hAnsi="Times" w:cs="Times"/>
          <w:color w:val="000000" w:themeColor="text1"/>
        </w:rPr>
      </w:pPr>
      <w:r w:rsidRPr="0064758C">
        <w:rPr>
          <w:rFonts w:ascii="Times" w:eastAsia="Times" w:hAnsi="Times" w:cs="Times"/>
          <w:color w:val="000000" w:themeColor="text1"/>
        </w:rPr>
        <w:t>Processing: recycling;</w:t>
      </w:r>
    </w:p>
    <w:p w:rsidR="00C741DA" w:rsidRPr="0064758C" w:rsidP="0064758C" w14:paraId="190CCED0" w14:textId="46DD1AE9">
      <w:pPr>
        <w:pStyle w:val="ListParagraph"/>
        <w:numPr>
          <w:ilvl w:val="0"/>
          <w:numId w:val="191"/>
        </w:numPr>
        <w:rPr>
          <w:rFonts w:ascii="Times" w:eastAsia="Times" w:hAnsi="Times" w:cs="Times"/>
          <w:color w:val="000000" w:themeColor="text1"/>
        </w:rPr>
      </w:pPr>
      <w:r w:rsidRPr="0064758C">
        <w:rPr>
          <w:rFonts w:ascii="Times" w:eastAsia="Times" w:hAnsi="Times" w:cs="Times"/>
          <w:color w:val="000000" w:themeColor="text1"/>
        </w:rPr>
        <w:t>Industrial and commercial use in automobile paints and coatings (original equipment manufacturing and refinishing);</w:t>
      </w:r>
    </w:p>
    <w:p w:rsidR="00C741DA" w:rsidRPr="0064758C" w:rsidP="0064758C" w14:paraId="1B66B6C4" w14:textId="5C7F87BF">
      <w:pPr>
        <w:pStyle w:val="ListParagraph"/>
        <w:numPr>
          <w:ilvl w:val="0"/>
          <w:numId w:val="191"/>
        </w:numPr>
        <w:rPr>
          <w:rFonts w:ascii="Times" w:eastAsia="Times" w:hAnsi="Times" w:cs="Times"/>
          <w:color w:val="000000" w:themeColor="text1"/>
        </w:rPr>
      </w:pPr>
      <w:r w:rsidRPr="0064758C">
        <w:rPr>
          <w:rFonts w:ascii="Times" w:eastAsia="Times" w:hAnsi="Times" w:cs="Times"/>
          <w:color w:val="000000" w:themeColor="text1"/>
        </w:rPr>
        <w:t>Industrial and commercial use in coatings and basecoats for paints and coatings;</w:t>
      </w:r>
    </w:p>
    <w:p w:rsidR="00C741DA" w:rsidRPr="0064758C" w:rsidP="0064758C" w14:paraId="4E7E2F54" w14:textId="5D82E63F">
      <w:pPr>
        <w:pStyle w:val="ListParagraph"/>
        <w:numPr>
          <w:ilvl w:val="0"/>
          <w:numId w:val="191"/>
        </w:numPr>
        <w:rPr>
          <w:rFonts w:ascii="Times" w:eastAsia="Times" w:hAnsi="Times" w:cs="Times"/>
          <w:color w:val="000000" w:themeColor="text1"/>
        </w:rPr>
      </w:pPr>
      <w:r w:rsidRPr="0064758C">
        <w:rPr>
          <w:rFonts w:ascii="Times" w:eastAsia="Times" w:hAnsi="Times" w:cs="Times"/>
          <w:color w:val="000000" w:themeColor="text1"/>
        </w:rPr>
        <w:t xml:space="preserve">Industrial and commercial use in merchant ink for commercial printing; </w:t>
      </w:r>
    </w:p>
    <w:p w:rsidR="71AF3ECC" w:rsidRPr="006F6395" w:rsidP="00833B7A" w14:paraId="385BA9E6" w14:textId="42E8299D">
      <w:pPr>
        <w:pStyle w:val="ListParagraph"/>
        <w:numPr>
          <w:ilvl w:val="0"/>
          <w:numId w:val="191"/>
        </w:numPr>
        <w:rPr>
          <w:color w:val="000000" w:themeColor="text1"/>
        </w:rPr>
      </w:pPr>
      <w:r w:rsidRPr="0064758C">
        <w:rPr>
          <w:rFonts w:ascii="Times" w:eastAsia="Times" w:hAnsi="Times" w:cs="Times"/>
          <w:color w:val="000000" w:themeColor="text1"/>
        </w:rPr>
        <w:t>Disposal.</w:t>
      </w:r>
    </w:p>
    <w:p w:rsidR="71AF3ECC" w:rsidP="00A22FFC" w14:paraId="522B63C8" w14:textId="64C2F776">
      <w:pPr>
        <w:spacing w:after="0"/>
        <w:ind w:left="360"/>
        <w:jc w:val="both"/>
        <w:rPr>
          <w:szCs w:val="22"/>
          <w:lang w:val="en"/>
        </w:rPr>
      </w:pPr>
      <w:r w:rsidRPr="00506893">
        <w:rPr>
          <w:szCs w:val="22"/>
          <w:lang w:val="en"/>
        </w:rPr>
        <w:t>(vi)</w:t>
      </w:r>
      <w:r w:rsidR="00C741DA">
        <w:rPr>
          <w:szCs w:val="22"/>
          <w:lang w:val="en"/>
        </w:rPr>
        <w:t xml:space="preserve"> </w:t>
      </w:r>
      <w:r w:rsidRPr="00506893">
        <w:rPr>
          <w:szCs w:val="22"/>
          <w:lang w:val="en"/>
        </w:rPr>
        <w:t xml:space="preserve">Require APF 50 respirators but only in such cases where </w:t>
      </w:r>
      <w:r w:rsidR="00C741DA">
        <w:rPr>
          <w:szCs w:val="22"/>
          <w:lang w:val="en"/>
        </w:rPr>
        <w:t>regulated</w:t>
      </w:r>
      <w:r w:rsidRPr="00506893">
        <w:rPr>
          <w:szCs w:val="22"/>
          <w:lang w:val="en"/>
        </w:rPr>
        <w:t xml:space="preserve"> PV29 is present. PPE requirements would apply when workers and ONUs are in areas where dry powder PV29 is actively in use (including anywhere with an open container)</w:t>
      </w:r>
      <w:r w:rsidR="00C741DA">
        <w:rPr>
          <w:szCs w:val="22"/>
          <w:lang w:val="en"/>
        </w:rPr>
        <w:t>;</w:t>
      </w:r>
    </w:p>
    <w:p w:rsidR="00C741DA" w:rsidRPr="00506893" w:rsidP="00A22FFC" w14:paraId="3A3433B4" w14:textId="77777777">
      <w:pPr>
        <w:spacing w:after="0"/>
        <w:ind w:left="360"/>
        <w:jc w:val="both"/>
        <w:rPr>
          <w:szCs w:val="22"/>
          <w:lang w:val="en"/>
        </w:rPr>
      </w:pPr>
    </w:p>
    <w:p w:rsidR="71AF3ECC" w:rsidP="00A22FFC" w14:paraId="11E0706E" w14:textId="476BC5FD">
      <w:pPr>
        <w:spacing w:after="0"/>
        <w:ind w:left="360"/>
        <w:jc w:val="both"/>
        <w:rPr>
          <w:szCs w:val="22"/>
          <w:lang w:val="en"/>
        </w:rPr>
      </w:pPr>
      <w:r w:rsidRPr="00506893">
        <w:rPr>
          <w:szCs w:val="22"/>
          <w:lang w:val="en"/>
        </w:rPr>
        <w:t>(viii)</w:t>
      </w:r>
      <w:r w:rsidR="00C741DA">
        <w:rPr>
          <w:szCs w:val="22"/>
          <w:lang w:val="en"/>
        </w:rPr>
        <w:t xml:space="preserve"> </w:t>
      </w:r>
      <w:r w:rsidRPr="00506893">
        <w:rPr>
          <w:szCs w:val="22"/>
          <w:lang w:val="en"/>
        </w:rPr>
        <w:t>Require equipment and area cleaning</w:t>
      </w:r>
      <w:r w:rsidR="00C741DA">
        <w:rPr>
          <w:szCs w:val="22"/>
          <w:lang w:val="en"/>
        </w:rPr>
        <w:t xml:space="preserve"> (related to use of regulated PV29);</w:t>
      </w:r>
    </w:p>
    <w:p w:rsidR="00C741DA" w:rsidRPr="00506893" w:rsidP="00A22FFC" w14:paraId="62D16BF9" w14:textId="77777777">
      <w:pPr>
        <w:spacing w:after="0"/>
        <w:ind w:left="360"/>
        <w:jc w:val="both"/>
        <w:rPr>
          <w:szCs w:val="22"/>
          <w:lang w:val="en"/>
        </w:rPr>
      </w:pPr>
    </w:p>
    <w:p w:rsidR="2AD2223C" w:rsidP="00A22FFC" w14:paraId="4528D060" w14:textId="726EE4BF">
      <w:pPr>
        <w:pStyle w:val="BodyText"/>
        <w:ind w:left="360"/>
      </w:pPr>
      <w:r>
        <w:t>(ix)</w:t>
      </w:r>
      <w:r w:rsidR="00C741DA">
        <w:t xml:space="preserve"> </w:t>
      </w:r>
      <w:r w:rsidR="61911B82">
        <w:t>Require recordkeeping</w:t>
      </w:r>
      <w:r w:rsidR="00C741DA">
        <w:t>.</w:t>
      </w:r>
    </w:p>
    <w:p w:rsidR="002D09E5" w:rsidP="006514C9" w14:paraId="2EE27161" w14:textId="3381CB62">
      <w:pPr>
        <w:pStyle w:val="BodyText"/>
      </w:pPr>
      <w:r>
        <w:fldChar w:fldCharType="begin" w:fldLock="1"/>
      </w:r>
      <w:r>
        <w:rPr>
          <w:lang w:val="en-US"/>
        </w:rPr>
        <w:instrText xml:space="preserve"> REF _Ref181117881 \h </w:instrText>
      </w:r>
      <w:r>
        <w:fldChar w:fldCharType="separate"/>
      </w:r>
      <w:r w:rsidRPr="00A95A85" w:rsidR="00735BBC">
        <w:t xml:space="preserve">Table </w:t>
      </w:r>
      <w:r w:rsidR="00735BBC">
        <w:rPr>
          <w:noProof/>
        </w:rPr>
        <w:t>1</w:t>
      </w:r>
      <w:r w:rsidR="00735BBC">
        <w:noBreakHyphen/>
      </w:r>
      <w:r w:rsidR="00735BBC">
        <w:rPr>
          <w:noProof/>
        </w:rPr>
        <w:t>3</w:t>
      </w:r>
      <w:r>
        <w:fldChar w:fldCharType="end"/>
      </w:r>
      <w:r w:rsidR="008B639A">
        <w:rPr>
          <w:lang w:val="en-US"/>
        </w:rPr>
        <w:t xml:space="preserve"> </w:t>
      </w:r>
      <w:r w:rsidRPr="61B6442A">
        <w:rPr>
          <w:lang w:val="en-US"/>
        </w:rPr>
        <w:t>summarizes the proposed and alternative option requirements by condition of use considered.</w:t>
      </w:r>
    </w:p>
    <w:tbl>
      <w:tblPr>
        <w:tblW w:w="5102"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0"/>
        <w:gridCol w:w="2657"/>
        <w:gridCol w:w="2657"/>
      </w:tblGrid>
      <w:tr w14:paraId="7B16227B" w14:textId="77777777" w:rsidTr="009860E2">
        <w:tblPrEx>
          <w:tblW w:w="5102"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blHeader/>
        </w:trPr>
        <w:tc>
          <w:tcPr>
            <w:tcW w:w="9184" w:type="dxa"/>
            <w:gridSpan w:val="3"/>
            <w:tcBorders>
              <w:top w:val="nil"/>
              <w:left w:val="nil"/>
              <w:bottom w:val="single" w:sz="4" w:space="0" w:color="auto"/>
              <w:right w:val="nil"/>
            </w:tcBorders>
            <w:shd w:val="clear" w:color="auto" w:fill="auto"/>
            <w:vAlign w:val="center"/>
          </w:tcPr>
          <w:p w:rsidR="006514C9" w:rsidRPr="00A95A85" w:rsidP="009860E2" w14:paraId="0C357D57" w14:textId="6DBE6F77">
            <w:pPr>
              <w:pStyle w:val="TableTitleA"/>
            </w:pPr>
            <w:bookmarkStart w:id="50" w:name="_Ref181117881"/>
            <w:bookmarkStart w:id="51" w:name="_Ref181117859"/>
            <w:bookmarkStart w:id="52" w:name="_Toc184299549"/>
            <w:r w:rsidRPr="00A95A85">
              <w:t xml:space="preserve">Table </w:t>
            </w:r>
            <w:r>
              <w:fldChar w:fldCharType="begin" w:fldLock="1"/>
            </w:r>
            <w:r>
              <w:instrText>STYLEREF 1 \s</w:instrText>
            </w:r>
            <w:r>
              <w:fldChar w:fldCharType="separate"/>
            </w:r>
            <w:r w:rsidR="00735BBC">
              <w:rPr>
                <w:noProof/>
              </w:rPr>
              <w:t>1</w:t>
            </w:r>
            <w:r>
              <w:fldChar w:fldCharType="end"/>
            </w:r>
            <w:r>
              <w:noBreakHyphen/>
            </w:r>
            <w:r>
              <w:fldChar w:fldCharType="begin" w:fldLock="1"/>
            </w:r>
            <w:r>
              <w:instrText>SEQ Table \* ARABIC \s 1</w:instrText>
            </w:r>
            <w:r>
              <w:fldChar w:fldCharType="separate"/>
            </w:r>
            <w:r w:rsidR="00735BBC">
              <w:rPr>
                <w:noProof/>
              </w:rPr>
              <w:t>3</w:t>
            </w:r>
            <w:r>
              <w:fldChar w:fldCharType="end"/>
            </w:r>
            <w:bookmarkEnd w:id="50"/>
            <w:r w:rsidRPr="00A95A85">
              <w:t xml:space="preserve">: </w:t>
            </w:r>
            <w:r>
              <w:t xml:space="preserve">Regulatory Options by </w:t>
            </w:r>
            <w:r w:rsidRPr="00A95A85">
              <w:t>Condition of Use</w:t>
            </w:r>
            <w:bookmarkEnd w:id="51"/>
            <w:bookmarkEnd w:id="52"/>
          </w:p>
        </w:tc>
      </w:tr>
      <w:tr w14:paraId="6A404B0F" w14:textId="77777777" w:rsidTr="009860E2">
        <w:tblPrEx>
          <w:tblW w:w="5102" w:type="pct"/>
          <w:tblInd w:w="-180" w:type="dxa"/>
          <w:tblLayout w:type="fixed"/>
          <w:tblLook w:val="04A0"/>
        </w:tblPrEx>
        <w:trPr>
          <w:cantSplit/>
          <w:tblHeader/>
        </w:trPr>
        <w:tc>
          <w:tcPr>
            <w:tcW w:w="3870" w:type="dxa"/>
            <w:shd w:val="clear" w:color="auto" w:fill="013E5B"/>
            <w:noWrap/>
            <w:hideMark/>
          </w:tcPr>
          <w:p w:rsidR="006514C9" w:rsidRPr="00A95A85" w:rsidP="009860E2" w14:paraId="1B35CB83" w14:textId="77777777">
            <w:pPr>
              <w:pStyle w:val="TableSubtitle"/>
            </w:pPr>
            <w:r>
              <w:t>Condition of Use</w:t>
            </w:r>
          </w:p>
        </w:tc>
        <w:tc>
          <w:tcPr>
            <w:tcW w:w="2657" w:type="dxa"/>
            <w:shd w:val="clear" w:color="auto" w:fill="013E5B"/>
            <w:hideMark/>
          </w:tcPr>
          <w:p w:rsidR="006514C9" w:rsidRPr="00A95A85" w:rsidP="009860E2" w14:paraId="79CD19C2" w14:textId="77777777">
            <w:pPr>
              <w:pStyle w:val="TableSubtitle"/>
            </w:pPr>
            <w:r>
              <w:t>Option 1 (Proposed)</w:t>
            </w:r>
          </w:p>
        </w:tc>
        <w:tc>
          <w:tcPr>
            <w:tcW w:w="2657" w:type="dxa"/>
            <w:shd w:val="clear" w:color="auto" w:fill="013E5B"/>
            <w:hideMark/>
          </w:tcPr>
          <w:p w:rsidR="006514C9" w:rsidRPr="00A95A85" w:rsidP="009860E2" w14:paraId="4C621805" w14:textId="77777777">
            <w:pPr>
              <w:pStyle w:val="TableSubtitle"/>
            </w:pPr>
            <w:r>
              <w:t>Option 2 (Alternative)</w:t>
            </w:r>
          </w:p>
        </w:tc>
      </w:tr>
      <w:tr w14:paraId="3E6AE167" w14:textId="77777777" w:rsidTr="009860E2">
        <w:tblPrEx>
          <w:tblW w:w="5102" w:type="pct"/>
          <w:tblInd w:w="-180" w:type="dxa"/>
          <w:tblLayout w:type="fixed"/>
          <w:tblLook w:val="04A0"/>
        </w:tblPrEx>
        <w:trPr>
          <w:cantSplit/>
          <w:trHeight w:val="2520"/>
        </w:trPr>
        <w:tc>
          <w:tcPr>
            <w:tcW w:w="3870" w:type="dxa"/>
            <w:shd w:val="clear" w:color="auto" w:fill="auto"/>
            <w:noWrap/>
            <w:hideMark/>
          </w:tcPr>
          <w:p w:rsidR="006514C9" w:rsidP="009860E2" w14:paraId="3F8C7716" w14:textId="77777777">
            <w:pPr>
              <w:pStyle w:val="LTableTextAbt"/>
            </w:pPr>
            <w:r>
              <w:t>The following conditions of use are presumed to use Regulated PV29 and therefore would be subject to the requirements under the regulatory options:</w:t>
            </w:r>
          </w:p>
          <w:p w:rsidR="006514C9" w:rsidRPr="006A54A5" w:rsidP="006514C9" w14:paraId="0AC14B68" w14:textId="77777777">
            <w:pPr>
              <w:pStyle w:val="LTableTextAbt"/>
              <w:numPr>
                <w:ilvl w:val="0"/>
                <w:numId w:val="186"/>
              </w:numPr>
              <w:ind w:left="251" w:hanging="251"/>
            </w:pPr>
            <w:r w:rsidRPr="006A54A5">
              <w:t xml:space="preserve">Domestic </w:t>
            </w:r>
            <w:r>
              <w:t>m</w:t>
            </w:r>
            <w:r w:rsidRPr="006A54A5">
              <w:t>anufacture</w:t>
            </w:r>
            <w:r>
              <w:t>;</w:t>
            </w:r>
            <w:r w:rsidRPr="006A54A5">
              <w:t> </w:t>
            </w:r>
          </w:p>
          <w:p w:rsidR="006514C9" w:rsidRPr="006A54A5" w:rsidP="006514C9" w14:paraId="3476820A" w14:textId="77777777">
            <w:pPr>
              <w:pStyle w:val="LTableTextAbt"/>
              <w:numPr>
                <w:ilvl w:val="0"/>
                <w:numId w:val="186"/>
              </w:numPr>
              <w:ind w:left="251" w:hanging="251"/>
            </w:pPr>
            <w:r w:rsidRPr="006A54A5">
              <w:t>Import</w:t>
            </w:r>
            <w:r>
              <w:t>;</w:t>
            </w:r>
            <w:r w:rsidRPr="006A54A5">
              <w:t> </w:t>
            </w:r>
          </w:p>
          <w:p w:rsidR="006514C9" w:rsidRPr="006A54A5" w:rsidP="006514C9" w14:paraId="41678862" w14:textId="77777777">
            <w:pPr>
              <w:pStyle w:val="LTableTextAbt"/>
              <w:numPr>
                <w:ilvl w:val="0"/>
                <w:numId w:val="186"/>
              </w:numPr>
              <w:ind w:left="251" w:hanging="251"/>
            </w:pPr>
            <w:r w:rsidRPr="006A54A5">
              <w:t xml:space="preserve">Incorporation into </w:t>
            </w:r>
            <w:r>
              <w:t>f</w:t>
            </w:r>
            <w:r w:rsidRPr="006A54A5">
              <w:t xml:space="preserve">ormulation, </w:t>
            </w:r>
            <w:r>
              <w:t>m</w:t>
            </w:r>
            <w:r w:rsidRPr="006A54A5">
              <w:t xml:space="preserve">ixture or </w:t>
            </w:r>
            <w:r>
              <w:t>r</w:t>
            </w:r>
            <w:r w:rsidRPr="006A54A5">
              <w:t xml:space="preserve">eaction </w:t>
            </w:r>
            <w:r>
              <w:t>p</w:t>
            </w:r>
            <w:r w:rsidRPr="006A54A5">
              <w:t xml:space="preserve">roducts in </w:t>
            </w:r>
            <w:r>
              <w:t>p</w:t>
            </w:r>
            <w:r w:rsidRPr="006A54A5">
              <w:t>aints and </w:t>
            </w:r>
            <w:r>
              <w:t>c</w:t>
            </w:r>
            <w:r w:rsidRPr="006A54A5">
              <w:t>oatings</w:t>
            </w:r>
            <w:r>
              <w:t>;</w:t>
            </w:r>
            <w:r w:rsidRPr="006A54A5">
              <w:t> </w:t>
            </w:r>
          </w:p>
          <w:p w:rsidR="006514C9" w:rsidRPr="006A54A5" w:rsidP="006514C9" w14:paraId="3BE7EDC5" w14:textId="77777777">
            <w:pPr>
              <w:pStyle w:val="LTableTextAbt"/>
              <w:numPr>
                <w:ilvl w:val="0"/>
                <w:numId w:val="186"/>
              </w:numPr>
              <w:ind w:left="251" w:hanging="251"/>
            </w:pPr>
            <w:r w:rsidRPr="006A54A5">
              <w:t xml:space="preserve">Incorporation into </w:t>
            </w:r>
            <w:r>
              <w:t>f</w:t>
            </w:r>
            <w:r w:rsidRPr="006A54A5">
              <w:t xml:space="preserve">ormulation, </w:t>
            </w:r>
            <w:r>
              <w:t>m</w:t>
            </w:r>
            <w:r w:rsidRPr="006A54A5">
              <w:t xml:space="preserve">ixture or </w:t>
            </w:r>
            <w:r>
              <w:t>r</w:t>
            </w:r>
            <w:r w:rsidRPr="006A54A5">
              <w:t xml:space="preserve">eaction </w:t>
            </w:r>
            <w:r>
              <w:t>p</w:t>
            </w:r>
            <w:r w:rsidRPr="006A54A5">
              <w:t xml:space="preserve">roducts in </w:t>
            </w:r>
            <w:r>
              <w:t>p</w:t>
            </w:r>
            <w:r w:rsidRPr="006A54A5">
              <w:t>lastic and </w:t>
            </w:r>
            <w:r>
              <w:t>r</w:t>
            </w:r>
            <w:r w:rsidRPr="006A54A5">
              <w:t xml:space="preserve">ubber </w:t>
            </w:r>
            <w:r>
              <w:t>p</w:t>
            </w:r>
            <w:r w:rsidRPr="006A54A5">
              <w:t>roducts</w:t>
            </w:r>
            <w:r>
              <w:t>;</w:t>
            </w:r>
            <w:r w:rsidRPr="006A54A5">
              <w:t> </w:t>
            </w:r>
            <w:r>
              <w:t>and</w:t>
            </w:r>
          </w:p>
          <w:p w:rsidR="006514C9" w:rsidRPr="006A54A5" w:rsidP="006514C9" w14:paraId="4B99740F" w14:textId="77777777">
            <w:pPr>
              <w:pStyle w:val="LTableTextAbt"/>
              <w:numPr>
                <w:ilvl w:val="0"/>
                <w:numId w:val="186"/>
              </w:numPr>
              <w:ind w:left="251" w:hanging="251"/>
            </w:pPr>
            <w:r w:rsidRPr="006A54A5">
              <w:t xml:space="preserve">Intermediate in the </w:t>
            </w:r>
            <w:r>
              <w:t>c</w:t>
            </w:r>
            <w:r w:rsidRPr="006A54A5">
              <w:t xml:space="preserve">reation or </w:t>
            </w:r>
            <w:r>
              <w:t>a</w:t>
            </w:r>
            <w:r w:rsidRPr="006A54A5">
              <w:t xml:space="preserve">djustment of </w:t>
            </w:r>
            <w:r>
              <w:t>c</w:t>
            </w:r>
            <w:r w:rsidRPr="006A54A5">
              <w:t xml:space="preserve">olor of </w:t>
            </w:r>
            <w:r>
              <w:t>o</w:t>
            </w:r>
            <w:r w:rsidRPr="006A54A5">
              <w:t xml:space="preserve">ther </w:t>
            </w:r>
            <w:r>
              <w:t>p</w:t>
            </w:r>
            <w:r w:rsidRPr="006A54A5">
              <w:t>erylene </w:t>
            </w:r>
            <w:r>
              <w:t>p</w:t>
            </w:r>
            <w:r w:rsidRPr="006A54A5">
              <w:t>igments</w:t>
            </w:r>
            <w:r>
              <w:t>;</w:t>
            </w:r>
            <w:r w:rsidRPr="006A54A5">
              <w:t> </w:t>
            </w:r>
          </w:p>
          <w:p w:rsidR="006514C9" w:rsidRPr="00A95A85" w:rsidP="006514C9" w14:paraId="590646F4" w14:textId="77777777">
            <w:pPr>
              <w:pStyle w:val="LTableTextAbt"/>
              <w:numPr>
                <w:ilvl w:val="0"/>
                <w:numId w:val="186"/>
              </w:numPr>
              <w:ind w:left="251" w:hanging="251"/>
            </w:pPr>
          </w:p>
        </w:tc>
        <w:tc>
          <w:tcPr>
            <w:tcW w:w="2657" w:type="dxa"/>
            <w:vMerge w:val="restart"/>
            <w:shd w:val="clear" w:color="auto" w:fill="F2F2F2" w:themeFill="background1" w:themeFillShade="F2"/>
            <w:vAlign w:val="center"/>
          </w:tcPr>
          <w:p w:rsidR="006514C9" w:rsidP="009860E2" w14:paraId="60DCE0DF" w14:textId="77777777">
            <w:pPr>
              <w:pStyle w:val="CTableTextAbt"/>
              <w:ind w:left="-22"/>
              <w:jc w:val="left"/>
            </w:pPr>
            <w:r>
              <w:rPr>
                <w:rStyle w:val="normaltextrun"/>
                <w:shd w:val="clear" w:color="auto" w:fill="FFFFFF"/>
              </w:rPr>
              <w:t>Where regulated PV29 is manufactured, processed, used, or disposed:</w:t>
            </w:r>
          </w:p>
          <w:p w:rsidR="006514C9" w:rsidRPr="00515E36" w:rsidP="006514C9" w14:paraId="14ABA9E0" w14:textId="77777777">
            <w:pPr>
              <w:pStyle w:val="CTableTextAbt"/>
              <w:numPr>
                <w:ilvl w:val="0"/>
                <w:numId w:val="41"/>
              </w:numPr>
              <w:ind w:left="158" w:hanging="180"/>
              <w:jc w:val="left"/>
            </w:pPr>
            <w:r>
              <w:t xml:space="preserve">Respiratory PPE: Require </w:t>
            </w:r>
            <w:r w:rsidRPr="00A95A85">
              <w:t xml:space="preserve">APF 50 respirators when workers and ONUs are in rooms where </w:t>
            </w:r>
            <w:r>
              <w:t>regulated</w:t>
            </w:r>
            <w:r w:rsidRPr="00A95A85">
              <w:t xml:space="preserve"> PV29 is actively in use (including anywhere with an open container)</w:t>
            </w:r>
          </w:p>
          <w:p w:rsidR="006514C9" w:rsidRPr="00486A9F" w:rsidP="006514C9" w14:paraId="18A0A834" w14:textId="77777777">
            <w:pPr>
              <w:pStyle w:val="CTableTextAbt"/>
              <w:numPr>
                <w:ilvl w:val="0"/>
                <w:numId w:val="41"/>
              </w:numPr>
              <w:ind w:left="158" w:hanging="180"/>
              <w:jc w:val="left"/>
            </w:pPr>
            <w:r w:rsidRPr="00515E36">
              <w:t>Labeling and downstream notification</w:t>
            </w:r>
            <w:r>
              <w:t>: Labeling is required on</w:t>
            </w:r>
            <w:r w:rsidRPr="00515E36">
              <w:t xml:space="preserve"> </w:t>
            </w:r>
            <w:r>
              <w:t>regulated</w:t>
            </w:r>
            <w:r w:rsidRPr="00515E36">
              <w:t xml:space="preserve"> PV29 containers indicating </w:t>
            </w:r>
            <w:r>
              <w:t>regulated</w:t>
            </w:r>
            <w:r w:rsidRPr="00515E36">
              <w:t xml:space="preserve"> PV29 is in the product and therefore, the product is subject to additional requirements under TSCA section 6</w:t>
            </w:r>
            <w:r>
              <w:t xml:space="preserve">; </w:t>
            </w:r>
            <w:r>
              <w:rPr>
                <w:rStyle w:val="normaltextrun"/>
                <w:bdr w:val="none" w:sz="0" w:space="0" w:color="auto" w:frame="1"/>
              </w:rPr>
              <w:t>downstream notification through Safety Data Sheets</w:t>
            </w:r>
          </w:p>
          <w:p w:rsidR="006514C9" w:rsidRPr="0004618B" w:rsidP="006514C9" w14:paraId="6661A4B6" w14:textId="77777777">
            <w:pPr>
              <w:pStyle w:val="CTableTextAbt"/>
              <w:numPr>
                <w:ilvl w:val="0"/>
                <w:numId w:val="41"/>
              </w:numPr>
              <w:ind w:left="158" w:hanging="180"/>
              <w:jc w:val="left"/>
              <w:rPr>
                <w:b/>
                <w:bCs w:val="0"/>
              </w:rPr>
            </w:pPr>
            <w:r w:rsidRPr="00486A9F">
              <w:t xml:space="preserve">Equipment and </w:t>
            </w:r>
            <w:r>
              <w:t>A</w:t>
            </w:r>
            <w:r w:rsidRPr="00486A9F">
              <w:t xml:space="preserve">rea Cleaning </w:t>
            </w:r>
          </w:p>
          <w:p w:rsidR="006514C9" w:rsidRPr="006B2051" w:rsidP="006514C9" w14:paraId="4AF8C171" w14:textId="77777777">
            <w:pPr>
              <w:pStyle w:val="CTableTextAbt"/>
              <w:numPr>
                <w:ilvl w:val="0"/>
                <w:numId w:val="41"/>
              </w:numPr>
              <w:ind w:left="158" w:hanging="180"/>
              <w:jc w:val="left"/>
              <w:rPr>
                <w:b/>
                <w:bCs w:val="0"/>
              </w:rPr>
            </w:pPr>
            <w:r>
              <w:t>Recordkeeping</w:t>
            </w:r>
          </w:p>
        </w:tc>
        <w:tc>
          <w:tcPr>
            <w:tcW w:w="2657" w:type="dxa"/>
            <w:shd w:val="clear" w:color="auto" w:fill="F2F2F2" w:themeFill="background1" w:themeFillShade="F2"/>
            <w:vAlign w:val="center"/>
          </w:tcPr>
          <w:p w:rsidR="006514C9" w:rsidP="009860E2" w14:paraId="4421F866" w14:textId="77777777">
            <w:pPr>
              <w:pStyle w:val="CTableTextAbt"/>
              <w:keepNext/>
              <w:keepLines/>
              <w:jc w:val="left"/>
            </w:pPr>
            <w:r>
              <w:rPr>
                <w:rStyle w:val="normaltextrun"/>
                <w:shd w:val="clear" w:color="auto" w:fill="FFFFFF"/>
              </w:rPr>
              <w:t xml:space="preserve">Where regulatedPV29 is manufactured, processed, used, or disposed: </w:t>
            </w:r>
          </w:p>
          <w:p w:rsidR="006514C9" w:rsidP="006514C9" w14:paraId="66432D8E" w14:textId="77777777">
            <w:pPr>
              <w:pStyle w:val="CTableTextAbt"/>
              <w:keepNext/>
              <w:keepLines/>
              <w:numPr>
                <w:ilvl w:val="0"/>
                <w:numId w:val="41"/>
              </w:numPr>
              <w:ind w:left="158" w:hanging="180"/>
              <w:jc w:val="left"/>
            </w:pPr>
            <w:r>
              <w:t>E</w:t>
            </w:r>
            <w:r w:rsidRPr="00BB49A6">
              <w:t>ngineering controls</w:t>
            </w:r>
            <w:r>
              <w:t>: Use engineering controls</w:t>
            </w:r>
            <w:r w:rsidRPr="00BB49A6">
              <w:t xml:space="preserve">, such as HEPA filters, </w:t>
            </w:r>
            <w:r>
              <w:rPr>
                <w:rStyle w:val="normaltextrun"/>
                <w:shd w:val="clear" w:color="auto" w:fill="FFFFFF"/>
              </w:rPr>
              <w:t>to reduce the concentration of regulated PV29 in workplace air.</w:t>
            </w:r>
          </w:p>
          <w:p w:rsidR="006514C9" w:rsidP="006514C9" w14:paraId="3A378BE2" w14:textId="77777777">
            <w:pPr>
              <w:pStyle w:val="CTableTextAbt"/>
              <w:keepNext/>
              <w:keepLines/>
              <w:numPr>
                <w:ilvl w:val="0"/>
                <w:numId w:val="41"/>
              </w:numPr>
              <w:ind w:left="158" w:hanging="180"/>
              <w:jc w:val="left"/>
            </w:pPr>
            <w:r>
              <w:t xml:space="preserve">Respiratory PPE: </w:t>
            </w:r>
            <w:r w:rsidRPr="00CB1E11">
              <w:t xml:space="preserve">Require APF 10 respirators when workers and ONUs are in rooms where </w:t>
            </w:r>
            <w:r>
              <w:t>regulated</w:t>
            </w:r>
            <w:r w:rsidRPr="00CB1E11">
              <w:t xml:space="preserve"> PV29 is actively in use (including anywhere with an open container)</w:t>
            </w:r>
          </w:p>
          <w:p w:rsidR="006514C9" w:rsidP="006514C9" w14:paraId="7FFE3B22" w14:textId="77777777">
            <w:pPr>
              <w:pStyle w:val="CTableTextAbt"/>
              <w:keepNext/>
              <w:keepLines/>
              <w:numPr>
                <w:ilvl w:val="0"/>
                <w:numId w:val="41"/>
              </w:numPr>
              <w:ind w:left="158" w:hanging="180"/>
              <w:jc w:val="left"/>
            </w:pPr>
            <w:r>
              <w:t>Monitoring</w:t>
            </w:r>
            <w:r w:rsidRPr="00BB49A6">
              <w:rPr>
                <w:vertAlign w:val="superscript"/>
              </w:rPr>
              <w:t>1</w:t>
            </w:r>
            <w:r>
              <w:t xml:space="preserve">: Use </w:t>
            </w:r>
            <w:r w:rsidRPr="00C7690B">
              <w:t>NIOSH 0600 method for respirable dust</w:t>
            </w:r>
          </w:p>
          <w:p w:rsidR="006514C9" w:rsidP="006514C9" w14:paraId="572F85FB" w14:textId="77777777">
            <w:pPr>
              <w:pStyle w:val="CTableTextAbt"/>
              <w:keepNext/>
              <w:keepLines/>
              <w:numPr>
                <w:ilvl w:val="0"/>
                <w:numId w:val="41"/>
              </w:numPr>
              <w:ind w:left="158" w:hanging="180"/>
              <w:jc w:val="left"/>
            </w:pPr>
            <w:r w:rsidRPr="00486A9F">
              <w:t xml:space="preserve">Equipment and </w:t>
            </w:r>
            <w:r>
              <w:t>A</w:t>
            </w:r>
            <w:r w:rsidRPr="00486A9F">
              <w:t>rea Cleaning</w:t>
            </w:r>
          </w:p>
          <w:p w:rsidR="006514C9" w:rsidRPr="00BB49A6" w:rsidP="006514C9" w14:paraId="5533C71F" w14:textId="77777777">
            <w:pPr>
              <w:pStyle w:val="CTableTextAbt"/>
              <w:numPr>
                <w:ilvl w:val="0"/>
                <w:numId w:val="41"/>
              </w:numPr>
              <w:ind w:left="158" w:hanging="180"/>
              <w:jc w:val="left"/>
            </w:pPr>
            <w:r>
              <w:t>Recordkeeping</w:t>
            </w:r>
          </w:p>
        </w:tc>
      </w:tr>
      <w:tr w14:paraId="4A386512" w14:textId="77777777" w:rsidTr="009860E2">
        <w:tblPrEx>
          <w:tblW w:w="5102" w:type="pct"/>
          <w:tblInd w:w="-180" w:type="dxa"/>
          <w:tblLayout w:type="fixed"/>
          <w:tblLook w:val="04A0"/>
        </w:tblPrEx>
        <w:trPr>
          <w:cantSplit/>
          <w:trHeight w:val="2520"/>
        </w:trPr>
        <w:tc>
          <w:tcPr>
            <w:tcW w:w="3870" w:type="dxa"/>
            <w:shd w:val="clear" w:color="auto" w:fill="auto"/>
            <w:noWrap/>
          </w:tcPr>
          <w:p w:rsidR="006514C9" w:rsidP="009860E2" w14:paraId="255610E6" w14:textId="77777777">
            <w:pPr>
              <w:pStyle w:val="LTableTextAbt"/>
            </w:pPr>
            <w:r>
              <w:t xml:space="preserve">The following conditions of use are presumed </w:t>
            </w:r>
            <w:r>
              <w:rPr>
                <w:u w:val="single"/>
              </w:rPr>
              <w:t>n</w:t>
            </w:r>
            <w:r w:rsidRPr="0004618B">
              <w:rPr>
                <w:u w:val="single"/>
              </w:rPr>
              <w:t>ot</w:t>
            </w:r>
            <w:r>
              <w:t xml:space="preserve"> to use regulated PV29 (but are subject to the regulatory options if they do use regulated PV29):</w:t>
            </w:r>
          </w:p>
          <w:p w:rsidR="006514C9" w:rsidP="006514C9" w14:paraId="71D31148" w14:textId="77777777">
            <w:pPr>
              <w:pStyle w:val="LTableTextAbt"/>
              <w:numPr>
                <w:ilvl w:val="0"/>
                <w:numId w:val="186"/>
              </w:numPr>
              <w:ind w:left="251" w:hanging="251"/>
            </w:pPr>
            <w:r>
              <w:t xml:space="preserve">Recycling; </w:t>
            </w:r>
          </w:p>
          <w:p w:rsidR="006514C9" w:rsidP="006514C9" w14:paraId="494AED2B" w14:textId="77777777">
            <w:pPr>
              <w:pStyle w:val="LTableTextAbt"/>
              <w:numPr>
                <w:ilvl w:val="0"/>
                <w:numId w:val="186"/>
              </w:numPr>
              <w:ind w:left="251" w:hanging="251"/>
            </w:pPr>
            <w:r>
              <w:t xml:space="preserve">Industrial and commercial use in automobile (original equipment manufacturer (OEM) and refinishing) paints and coatings; </w:t>
            </w:r>
          </w:p>
          <w:p w:rsidR="006514C9" w:rsidP="006514C9" w14:paraId="5A7967C1" w14:textId="77777777">
            <w:pPr>
              <w:pStyle w:val="LTableTextAbt"/>
              <w:numPr>
                <w:ilvl w:val="0"/>
                <w:numId w:val="186"/>
              </w:numPr>
              <w:ind w:left="251" w:hanging="251"/>
            </w:pPr>
            <w:r>
              <w:t xml:space="preserve">Industrial and commercial use in coatings and basecoats paints and coatings; </w:t>
            </w:r>
          </w:p>
          <w:p w:rsidR="006514C9" w:rsidP="006514C9" w14:paraId="7E8E4ED8" w14:textId="77777777">
            <w:pPr>
              <w:pStyle w:val="LTableTextAbt"/>
              <w:numPr>
                <w:ilvl w:val="0"/>
                <w:numId w:val="186"/>
              </w:numPr>
              <w:ind w:left="251" w:hanging="251"/>
            </w:pPr>
            <w:r>
              <w:t xml:space="preserve">Industrial and commercial use in merchant ink for commercial printing; and </w:t>
            </w:r>
          </w:p>
          <w:p w:rsidR="006514C9" w:rsidP="009860E2" w14:paraId="3473BEB6" w14:textId="77777777">
            <w:pPr>
              <w:pStyle w:val="LTableTextAbt"/>
            </w:pPr>
            <w:r>
              <w:t>Disposal.</w:t>
            </w:r>
          </w:p>
        </w:tc>
        <w:tc>
          <w:tcPr>
            <w:tcW w:w="2657" w:type="dxa"/>
            <w:vMerge/>
            <w:vAlign w:val="center"/>
          </w:tcPr>
          <w:p w:rsidR="006514C9" w:rsidP="009860E2" w14:paraId="57682AE6" w14:textId="77777777">
            <w:pPr>
              <w:pStyle w:val="CTableTextAbt"/>
              <w:ind w:left="-22"/>
              <w:jc w:val="left"/>
              <w:rPr>
                <w:rStyle w:val="normaltextrun"/>
                <w:shd w:val="clear" w:color="auto" w:fill="FFFFFF"/>
              </w:rPr>
            </w:pPr>
          </w:p>
        </w:tc>
        <w:tc>
          <w:tcPr>
            <w:tcW w:w="2657" w:type="dxa"/>
            <w:shd w:val="clear" w:color="auto" w:fill="F2F2F2" w:themeFill="background1" w:themeFillShade="F2"/>
            <w:vAlign w:val="center"/>
          </w:tcPr>
          <w:p w:rsidR="006514C9" w:rsidRPr="00197EF7" w:rsidP="009860E2" w14:paraId="5242B124" w14:textId="77777777">
            <w:pPr>
              <w:pStyle w:val="CTableTextAbt"/>
              <w:keepNext/>
              <w:keepLines/>
              <w:jc w:val="left"/>
              <w:rPr>
                <w:b/>
                <w:bCs w:val="0"/>
              </w:rPr>
            </w:pPr>
            <w:r>
              <w:rPr>
                <w:rStyle w:val="normaltextrun"/>
                <w:shd w:val="clear" w:color="auto" w:fill="FFFFFF"/>
              </w:rPr>
              <w:t>Where regulated PV29 is manufactured or purchased by owners or operators:</w:t>
            </w:r>
          </w:p>
          <w:p w:rsidR="006514C9" w:rsidRPr="00BB49A6" w:rsidP="006514C9" w14:paraId="63928805" w14:textId="77777777">
            <w:pPr>
              <w:pStyle w:val="CTableTextAbt"/>
              <w:keepNext/>
              <w:keepLines/>
              <w:numPr>
                <w:ilvl w:val="0"/>
                <w:numId w:val="41"/>
              </w:numPr>
              <w:ind w:left="162" w:hanging="180"/>
              <w:jc w:val="left"/>
              <w:rPr>
                <w:b/>
                <w:bCs w:val="0"/>
              </w:rPr>
            </w:pPr>
            <w:r>
              <w:t xml:space="preserve">Respiratory PPE: </w:t>
            </w:r>
            <w:r w:rsidRPr="00BB49A6">
              <w:t xml:space="preserve">Require APF 50 respirators but only in such cases where </w:t>
            </w:r>
            <w:r>
              <w:t>regulated</w:t>
            </w:r>
            <w:r w:rsidRPr="00BB49A6">
              <w:t xml:space="preserve"> PV29 is present. PPE requirements would apply when workers and ONUs are in areas where dry powder PV29 is actively in use (including anywhere with an open container)</w:t>
            </w:r>
          </w:p>
          <w:p w:rsidR="006514C9" w:rsidP="009860E2" w14:paraId="07790EC6" w14:textId="77777777">
            <w:pPr>
              <w:pStyle w:val="CTableTextAbt"/>
              <w:jc w:val="left"/>
              <w:rPr>
                <w:rStyle w:val="normaltextrun"/>
                <w:shd w:val="clear" w:color="auto" w:fill="FFFFFF"/>
              </w:rPr>
            </w:pPr>
            <w:r>
              <w:t>Equipment and Area Cleaning</w:t>
            </w:r>
          </w:p>
        </w:tc>
      </w:tr>
      <w:tr w14:paraId="0378575F" w14:textId="77777777" w:rsidTr="009860E2">
        <w:tblPrEx>
          <w:tblW w:w="5102" w:type="pct"/>
          <w:tblInd w:w="-180" w:type="dxa"/>
          <w:tblLayout w:type="fixed"/>
          <w:tblLook w:val="04A0"/>
        </w:tblPrEx>
        <w:trPr>
          <w:cantSplit/>
        </w:trPr>
        <w:tc>
          <w:tcPr>
            <w:tcW w:w="9184" w:type="dxa"/>
            <w:gridSpan w:val="3"/>
          </w:tcPr>
          <w:p w:rsidR="006514C9" w:rsidRPr="00A95A85" w:rsidP="009860E2" w14:paraId="708A44A5" w14:textId="77777777">
            <w:pPr>
              <w:pStyle w:val="TableNote0"/>
            </w:pPr>
            <w:r w:rsidRPr="00BB49A6">
              <w:rPr>
                <w:vertAlign w:val="superscript"/>
              </w:rPr>
              <w:t>1</w:t>
            </w:r>
            <w:r>
              <w:t>Monitoring needs to occur at least once every 3 months during a time period when regulated PV29 is manufactured or is in use (meaning that workers have handled or are handling an open container). If the concentration of airborne dust is above the NIOSH 0600 LOD, monitoring needs to occur at least once every 3 months. If the concentration of airborne dust is below the NIOSH 0600 LOD, monitoring needs to occur at least once every 6 months. All workplace dust would be considered to be PV29 when powder PV29 is being manufactured or is in use (meaning that workers have handled or are handling an open container). If there are changes to production equipment or procedures, or major disruptions, companies would be required to conduct testing to establish a new baseline for monitoring purposes. Additionally, monitoring would need to restart and occur regularly based on the cadence outlined above.</w:t>
            </w:r>
          </w:p>
        </w:tc>
      </w:tr>
    </w:tbl>
    <w:p w:rsidR="006514C9" w:rsidP="006514C9" w14:paraId="02E21676" w14:textId="77777777">
      <w:pPr>
        <w:pStyle w:val="BodyText"/>
      </w:pPr>
    </w:p>
    <w:p w:rsidR="0023687E" w:rsidP="00503B52" w14:paraId="6C614889" w14:textId="77777777">
      <w:pPr>
        <w:pStyle w:val="Heading2"/>
      </w:pPr>
      <w:bookmarkStart w:id="53" w:name="_Ref180505537"/>
      <w:bookmarkStart w:id="54" w:name="_Toc184299507"/>
      <w:r w:rsidRPr="00B56426">
        <w:t>Organization of this Document</w:t>
      </w:r>
      <w:bookmarkEnd w:id="53"/>
      <w:bookmarkEnd w:id="54"/>
    </w:p>
    <w:p w:rsidR="004F68D9" w:rsidP="00832749" w14:paraId="6E9E7F6E" w14:textId="46AF4986">
      <w:pPr>
        <w:pStyle w:val="BodyText"/>
        <w:sectPr w:rsidSect="00946DC8">
          <w:footerReference w:type="default" r:id="rId23"/>
          <w:footerReference w:type="first" r:id="rId24"/>
          <w:pgSz w:w="12240" w:h="15840" w:code="1"/>
          <w:pgMar w:top="1440" w:right="1440" w:bottom="1440" w:left="1800" w:header="720" w:footer="720" w:gutter="0"/>
          <w:pgNumType w:start="1" w:chapStyle="1"/>
          <w:cols w:space="720"/>
          <w:titlePg/>
          <w:docGrid w:linePitch="299"/>
        </w:sectPr>
      </w:pPr>
      <w:r w:rsidRPr="00AB2236">
        <w:t xml:space="preserve">Chapter </w:t>
      </w:r>
      <w:r w:rsidRPr="00AB2236" w:rsidR="00552ECC">
        <w:fldChar w:fldCharType="begin" w:fldLock="1"/>
      </w:r>
      <w:r w:rsidRPr="00AB2236" w:rsidR="00552ECC">
        <w:instrText xml:space="preserve"> REF _Ref106195180 \r \h </w:instrText>
      </w:r>
      <w:r>
        <w:instrText xml:space="preserve"> \* MERGEFORMAT </w:instrText>
      </w:r>
      <w:r w:rsidRPr="00AB2236" w:rsidR="00552ECC">
        <w:fldChar w:fldCharType="separate"/>
      </w:r>
      <w:r w:rsidR="00735BBC">
        <w:t>2</w:t>
      </w:r>
      <w:r w:rsidRPr="00AB2236" w:rsidR="00552ECC">
        <w:fldChar w:fldCharType="end"/>
      </w:r>
      <w:r w:rsidRPr="00AB2236">
        <w:rPr>
          <w:lang w:val="en-US"/>
        </w:rPr>
        <w:t xml:space="preserve"> presents a discussion of the problems with </w:t>
      </w:r>
      <w:r w:rsidR="00DE0F35">
        <w:rPr>
          <w:lang w:val="en-US"/>
        </w:rPr>
        <w:t>P</w:t>
      </w:r>
      <w:r w:rsidR="006D2697">
        <w:rPr>
          <w:lang w:val="en-US"/>
        </w:rPr>
        <w:t>V29</w:t>
      </w:r>
      <w:r w:rsidRPr="00AB2236">
        <w:rPr>
          <w:lang w:val="en-US"/>
        </w:rPr>
        <w:t xml:space="preserve"> uses that are addressed through the rule. Chapter. </w:t>
      </w:r>
      <w:r>
        <w:rPr>
          <w:lang w:val="en-US"/>
        </w:rPr>
        <w:t xml:space="preserve">Chapter </w:t>
      </w:r>
      <w:r w:rsidRPr="00AB2236" w:rsidR="00552ECC">
        <w:fldChar w:fldCharType="begin" w:fldLock="1"/>
      </w:r>
      <w:r w:rsidRPr="00AB2236" w:rsidR="00552ECC">
        <w:instrText xml:space="preserve"> REF _Ref180498059 \r \h </w:instrText>
      </w:r>
      <w:r>
        <w:instrText xml:space="preserve"> \* MERGEFORMAT </w:instrText>
      </w:r>
      <w:r w:rsidRPr="00AB2236" w:rsidR="00552ECC">
        <w:fldChar w:fldCharType="separate"/>
      </w:r>
      <w:r w:rsidR="00735BBC">
        <w:t>3</w:t>
      </w:r>
      <w:r w:rsidRPr="00AB2236" w:rsidR="00552ECC">
        <w:fldChar w:fldCharType="end"/>
      </w:r>
      <w:r>
        <w:t xml:space="preserve"> presents a</w:t>
      </w:r>
      <w:r w:rsidR="00371573">
        <w:t xml:space="preserve"> profile of the affected industry sectors</w:t>
      </w:r>
      <w:r w:rsidR="00EA7BA8">
        <w:t xml:space="preserve">, </w:t>
      </w:r>
      <w:r w:rsidR="001A522C">
        <w:t xml:space="preserve">the baseline conditions that are relevant for estimating </w:t>
      </w:r>
      <w:r w:rsidR="00EA7BA8">
        <w:t>the costs and benefits of the rule, and the estimated numbers entities affected by the proposed rule. Chapter</w:t>
      </w:r>
      <w:r w:rsidR="003525B7">
        <w:t>s</w:t>
      </w:r>
      <w:r w:rsidR="00EA7BA8">
        <w:t xml:space="preserve"> </w:t>
      </w:r>
      <w:r w:rsidRPr="00AB2236" w:rsidR="00552ECC">
        <w:fldChar w:fldCharType="begin" w:fldLock="1"/>
      </w:r>
      <w:r w:rsidRPr="00AB2236" w:rsidR="00552ECC">
        <w:instrText xml:space="preserve"> REF _Ref30142408 \r \h </w:instrText>
      </w:r>
      <w:r>
        <w:instrText xml:space="preserve"> \* MERGEFORMAT </w:instrText>
      </w:r>
      <w:r w:rsidRPr="00AB2236" w:rsidR="00552ECC">
        <w:fldChar w:fldCharType="separate"/>
      </w:r>
      <w:r w:rsidR="00735BBC">
        <w:t>4</w:t>
      </w:r>
      <w:r w:rsidRPr="00AB2236" w:rsidR="00552ECC">
        <w:fldChar w:fldCharType="end"/>
      </w:r>
      <w:r w:rsidR="003525B7">
        <w:t>,</w:t>
      </w:r>
      <w:r w:rsidRPr="003525B7" w:rsidR="003525B7">
        <w:t xml:space="preserve"> </w:t>
      </w:r>
      <w:r w:rsidRPr="00AB2236" w:rsidR="003525B7">
        <w:fldChar w:fldCharType="begin" w:fldLock="1"/>
      </w:r>
      <w:r w:rsidRPr="00AB2236" w:rsidR="003525B7">
        <w:instrText xml:space="preserve"> REF _Ref180684187 \r \h </w:instrText>
      </w:r>
      <w:r w:rsidR="003525B7">
        <w:instrText xml:space="preserve"> \* MERGEFORMAT </w:instrText>
      </w:r>
      <w:r w:rsidRPr="00AB2236" w:rsidR="003525B7">
        <w:fldChar w:fldCharType="separate"/>
      </w:r>
      <w:r w:rsidR="00735BBC">
        <w:t>4.5.1</w:t>
      </w:r>
      <w:r w:rsidRPr="00AB2236" w:rsidR="003525B7">
        <w:fldChar w:fldCharType="end"/>
      </w:r>
      <w:r w:rsidR="003525B7">
        <w:t xml:space="preserve">, and </w:t>
      </w:r>
      <w:r w:rsidRPr="00AB2236" w:rsidR="003525B7">
        <w:fldChar w:fldCharType="begin" w:fldLock="1"/>
      </w:r>
      <w:r w:rsidRPr="00AB2236" w:rsidR="003525B7">
        <w:instrText xml:space="preserve"> REF _Ref106195207 \r \h </w:instrText>
      </w:r>
      <w:r w:rsidR="003525B7">
        <w:instrText xml:space="preserve"> \* MERGEFORMAT </w:instrText>
      </w:r>
      <w:r w:rsidRPr="00AB2236" w:rsidR="003525B7">
        <w:fldChar w:fldCharType="separate"/>
      </w:r>
      <w:r w:rsidR="00735BBC">
        <w:t>6</w:t>
      </w:r>
      <w:r w:rsidRPr="00AB2236" w:rsidR="003525B7">
        <w:fldChar w:fldCharType="end"/>
      </w:r>
      <w:r w:rsidR="003525B7">
        <w:t xml:space="preserve"> </w:t>
      </w:r>
      <w:r w:rsidR="00EA7BA8">
        <w:t xml:space="preserve"> presents the estimated costs</w:t>
      </w:r>
      <w:r w:rsidR="003525B7">
        <w:t xml:space="preserve">, benefits and net benefits, respectively. Chapter </w:t>
      </w:r>
      <w:r w:rsidRPr="00AB2236" w:rsidR="00552ECC">
        <w:fldChar w:fldCharType="begin" w:fldLock="1"/>
      </w:r>
      <w:r w:rsidRPr="00AB2236" w:rsidR="00552ECC">
        <w:instrText xml:space="preserve"> REF _Ref106195209 \r \h </w:instrText>
      </w:r>
      <w:r>
        <w:instrText xml:space="preserve"> \* MERGEFORMAT </w:instrText>
      </w:r>
      <w:r w:rsidRPr="00AB2236" w:rsidR="00552ECC">
        <w:fldChar w:fldCharType="separate"/>
      </w:r>
      <w:r w:rsidR="00735BBC">
        <w:t>7</w:t>
      </w:r>
      <w:r w:rsidRPr="00AB2236" w:rsidR="00552ECC">
        <w:fldChar w:fldCharType="end"/>
      </w:r>
      <w:r w:rsidR="003525B7">
        <w:t xml:space="preserve"> presents various impact analyses</w:t>
      </w:r>
      <w:r w:rsidR="0027281C">
        <w:t xml:space="preserve">. The references are listed in Chapter </w:t>
      </w:r>
      <w:r w:rsidR="0027281C">
        <w:fldChar w:fldCharType="begin" w:fldLock="1"/>
      </w:r>
      <w:r w:rsidR="0027281C">
        <w:instrText xml:space="preserve"> REF _Ref106195213 \r \h </w:instrText>
      </w:r>
      <w:r w:rsidR="0027281C">
        <w:fldChar w:fldCharType="separate"/>
      </w:r>
      <w:r w:rsidR="00735BBC">
        <w:t>8</w:t>
      </w:r>
      <w:r w:rsidR="0027281C">
        <w:fldChar w:fldCharType="end"/>
      </w:r>
      <w:r w:rsidR="0027281C">
        <w:t>.</w:t>
      </w:r>
    </w:p>
    <w:p w:rsidR="00FB581B" w:rsidRPr="00B56426" w:rsidP="00E94075" w14:paraId="11026BA8" w14:textId="77777777">
      <w:pPr>
        <w:pStyle w:val="Heading1"/>
      </w:pPr>
      <w:bookmarkStart w:id="55" w:name="_Ref106195180"/>
      <w:bookmarkStart w:id="56" w:name="_Toc184299508"/>
      <w:r w:rsidRPr="00B56426">
        <w:t>Problem Definition/Market Failure</w:t>
      </w:r>
      <w:bookmarkStart w:id="57" w:name="_Ref30142391"/>
      <w:bookmarkEnd w:id="55"/>
      <w:bookmarkEnd w:id="56"/>
    </w:p>
    <w:p w:rsidR="00395B20" w:rsidRPr="002D6301" w:rsidP="00832749" w14:paraId="24E8BD1C" w14:textId="21A1F6ED">
      <w:pPr>
        <w:pStyle w:val="BodyText"/>
      </w:pPr>
      <w:r w:rsidRPr="002D6301">
        <w:t xml:space="preserve">This report estimates and evaluates the costs and benefits expected to result from the </w:t>
      </w:r>
      <w:r w:rsidR="002D6301">
        <w:t>proposed</w:t>
      </w:r>
      <w:r w:rsidRPr="002D6301">
        <w:t xml:space="preserve"> rule </w:t>
      </w:r>
      <w:r w:rsidR="002D6301">
        <w:t>for PV29</w:t>
      </w:r>
      <w:r w:rsidRPr="002D6301">
        <w:t xml:space="preserve"> by the EPA under the authority granted by Section 6 of TSCA. The </w:t>
      </w:r>
      <w:r w:rsidR="00CA6FF3">
        <w:t>proposed</w:t>
      </w:r>
      <w:r w:rsidRPr="002D6301">
        <w:t xml:space="preserve"> rule</w:t>
      </w:r>
      <w:r w:rsidRPr="002D6301" w:rsidR="00F24A85">
        <w:t>,</w:t>
      </w:r>
      <w:r w:rsidRPr="002D6301">
        <w:t xml:space="preserve"> “</w:t>
      </w:r>
      <w:r w:rsidR="20605199">
        <w:t>Regulation of C.I. Pigment Violet 29 under TSCA Section 6(a)</w:t>
      </w:r>
      <w:r>
        <w:t>”</w:t>
      </w:r>
      <w:r w:rsidRPr="002D6301">
        <w:t xml:space="preserve"> </w:t>
      </w:r>
      <w:r w:rsidRPr="002D6301" w:rsidR="001546BE">
        <w:t xml:space="preserve">addresses the unreasonable risk </w:t>
      </w:r>
      <w:r w:rsidRPr="002D6301" w:rsidR="00F24A85">
        <w:t xml:space="preserve">from </w:t>
      </w:r>
      <w:r w:rsidR="4B6D3024">
        <w:t>PV29</w:t>
      </w:r>
      <w:r w:rsidRPr="002D6301" w:rsidR="00F24A85">
        <w:t xml:space="preserve"> </w:t>
      </w:r>
      <w:r w:rsidRPr="002D6301" w:rsidR="001546BE">
        <w:t>under the COUs</w:t>
      </w:r>
      <w:r w:rsidRPr="002D6301" w:rsidR="00293CAC">
        <w:t>.</w:t>
      </w:r>
    </w:p>
    <w:p w:rsidR="003A13AF" w:rsidRPr="00CA6FF3" w:rsidP="00503B52" w14:paraId="0FABB40A" w14:textId="72542183">
      <w:pPr>
        <w:pStyle w:val="Heading2"/>
      </w:pPr>
      <w:bookmarkStart w:id="58" w:name="_Toc184299509"/>
      <w:r>
        <w:t>PV29</w:t>
      </w:r>
      <w:r w:rsidRPr="00CA6FF3" w:rsidR="002E248D">
        <w:t xml:space="preserve"> Problem</w:t>
      </w:r>
      <w:bookmarkEnd w:id="58"/>
    </w:p>
    <w:p w:rsidR="00786EAA" w:rsidRPr="00CA6FF3" w:rsidP="00503B52" w14:paraId="4926A771" w14:textId="77777777">
      <w:pPr>
        <w:pStyle w:val="Heading3"/>
      </w:pPr>
      <w:r w:rsidRPr="00CA6FF3">
        <w:t>Sources of Exposure</w:t>
      </w:r>
    </w:p>
    <w:p w:rsidR="00B87E9F" w:rsidRPr="00B30D05" w:rsidP="00832749" w14:paraId="6AF282A6" w14:textId="38CE088A">
      <w:pPr>
        <w:pStyle w:val="BodyText"/>
      </w:pPr>
      <w:r w:rsidRPr="00CA6FF3">
        <w:t xml:space="preserve">Exposure to </w:t>
      </w:r>
      <w:r w:rsidRPr="00CA6FF3" w:rsidR="00CA6FF3">
        <w:t>PV29</w:t>
      </w:r>
      <w:r w:rsidRPr="00CA6FF3">
        <w:t xml:space="preserve"> occurs through the chemical</w:t>
      </w:r>
      <w:r w:rsidRPr="00CA6FF3" w:rsidR="00F87FA2">
        <w:t xml:space="preserve"> </w:t>
      </w:r>
      <w:r w:rsidRPr="00CA6FF3" w:rsidR="006243E1">
        <w:t>substance’s</w:t>
      </w:r>
      <w:r w:rsidRPr="00CA6FF3">
        <w:t xml:space="preserve"> COU. TSCA Section 3</w:t>
      </w:r>
      <w:r w:rsidRPr="00CA6FF3" w:rsidR="00F87FA2">
        <w:t>(4)</w:t>
      </w:r>
      <w:r w:rsidRPr="00CA6FF3">
        <w:t xml:space="preserve"> defines a chemical</w:t>
      </w:r>
      <w:r w:rsidRPr="00CA6FF3" w:rsidR="00F87FA2">
        <w:t xml:space="preserve"> substance</w:t>
      </w:r>
      <w:r w:rsidRPr="00CA6FF3">
        <w:t>’s conditions of use as ‘‘</w:t>
      </w:r>
      <w:r w:rsidRPr="00CA6FF3">
        <w:rPr>
          <w:i/>
          <w:iCs/>
        </w:rPr>
        <w:t>the circumstances, as determined by the Administrator, under which a chemical substance is intended, known, or reasonably foreseen to be manufactured, processed, distributed in commerce, used, or disposed of.”</w:t>
      </w:r>
      <w:r w:rsidRPr="00CA6FF3">
        <w:t xml:space="preserve"> EPA’s </w:t>
      </w:r>
      <w:r w:rsidRPr="00CA6FF3">
        <w:rPr>
          <w:lang w:val="en-US"/>
        </w:rPr>
        <w:t xml:space="preserve">Risk Evaluation </w:t>
      </w:r>
      <w:r w:rsidRPr="00CA6FF3" w:rsidR="00F87FA2">
        <w:rPr>
          <w:lang w:val="en-US"/>
        </w:rPr>
        <w:t xml:space="preserve">for </w:t>
      </w:r>
      <w:r w:rsidRPr="00CA6FF3" w:rsidR="00CA6FF3">
        <w:rPr>
          <w:lang w:val="en-US"/>
        </w:rPr>
        <w:t>PV29</w:t>
      </w:r>
      <w:r w:rsidRPr="00CA6FF3">
        <w:t xml:space="preserve"> evaluated </w:t>
      </w:r>
      <w:r w:rsidRPr="00B30D05">
        <w:t xml:space="preserve">whether exposure resulting from </w:t>
      </w:r>
      <w:r w:rsidRPr="00B30D05" w:rsidR="00CA6FF3">
        <w:t>PV29</w:t>
      </w:r>
      <w:r w:rsidRPr="00B30D05">
        <w:t xml:space="preserve"> conditions of use </w:t>
      </w:r>
      <w:r w:rsidRPr="00B30D05" w:rsidR="00F87FA2">
        <w:t>presents an</w:t>
      </w:r>
      <w:r w:rsidRPr="00B30D05">
        <w:t xml:space="preserve"> unreasonable risk to h</w:t>
      </w:r>
      <w:r w:rsidRPr="00B30D05" w:rsidR="00F87FA2">
        <w:t>ealth</w:t>
      </w:r>
      <w:r w:rsidRPr="00B30D05">
        <w:t xml:space="preserve"> and/or </w:t>
      </w:r>
      <w:r w:rsidRPr="00B30D05" w:rsidR="005B7C3F">
        <w:t xml:space="preserve">the </w:t>
      </w:r>
      <w:r w:rsidRPr="00B30D05">
        <w:t>environment</w:t>
      </w:r>
      <w:r w:rsidRPr="00B30D05" w:rsidR="00C83DB8">
        <w:t xml:space="preserve"> (</w:t>
      </w:r>
      <w:hyperlink w:anchor="_ENREF_65" w:tooltip="U.S. Environmental Protection Agency (EPA), 2021 #61" w:history="1">
        <w:r w:rsidRPr="00B30D05" w:rsidR="003D6084">
          <w:fldChar w:fldCharType="begin" w:fldLock="1"/>
        </w:r>
        <w:r w:rsidR="003D6084">
          <w:instrText xml:space="preserve"> ADDIN EN.CITE &lt;EndNote&gt;&lt;Cite ExcludeAuth="1"&gt;&lt;Author&gt;U.S. Environmental Protection Agency (EPA)&lt;/Author&gt;&lt;Year&gt;2021&lt;/Year&gt;&lt;RecNum&gt;61&lt;/RecNum&gt;&lt;Prefix&gt;EPA &lt;/Prefix&gt;&lt;DisplayText&gt;EPA 2021e&lt;/DisplayText&gt;&lt;record&gt;&lt;rec-number&gt;61&lt;/rec-number&gt;&lt;foreign-keys&gt;&lt;key app="EN" db-id="2apzr05radv9fjet2w6xxwdlz5e9vwfxredw" timestamp="1730757315"&gt;61&lt;/key&gt;&lt;/foreign-keys&gt;&lt;ref-type name="Generic"&gt;13&lt;/ref-type&gt;&lt;contributors&gt;&lt;authors&gt;&lt;author&gt;U.S. Environmental Protection Agency (EPA),&lt;/author&gt;&lt;/authors&gt;&lt;subsidiary-authors&gt;&lt;author&gt;Office of Chemical Safety and Pollution Prevention&lt;/author&gt;&lt;/subsidiary-authors&gt;&lt;/contributors&gt;&lt;titles&gt;&lt;title&gt;Risk Evaluation for C.I. Pigment Violet 29 (Anthra[2,1,9-def:6,5,10-d&amp;apos;e&amp;apos;f&amp;apos;]diisoquinoline-1,3,8,10(2H,9H)-tetrone)&lt;/title&gt;&lt;/titles&gt;&lt;number&gt;# 740-R-18-015&lt;/number&gt;&lt;dates&gt;&lt;year&gt;2021&lt;/year&gt;&lt;/dates&gt;&lt;urls&gt;&lt;/urls&gt;&lt;/record&gt;&lt;/Cite&gt;&lt;/EndNote&gt;</w:instrText>
        </w:r>
        <w:r w:rsidRPr="00B30D05" w:rsidR="003D6084">
          <w:fldChar w:fldCharType="separate"/>
        </w:r>
        <w:r w:rsidR="003D6084">
          <w:rPr>
            <w:noProof/>
          </w:rPr>
          <w:t>EPA 2021e</w:t>
        </w:r>
        <w:r w:rsidRPr="00B30D05" w:rsidR="003D6084">
          <w:fldChar w:fldCharType="end"/>
        </w:r>
      </w:hyperlink>
      <w:r w:rsidRPr="00B30D05" w:rsidR="00C83DB8">
        <w:rPr>
          <w:lang w:val="en-US"/>
        </w:rPr>
        <w:t>)</w:t>
      </w:r>
      <w:r w:rsidRPr="00B30D05">
        <w:t>.</w:t>
      </w:r>
    </w:p>
    <w:p w:rsidR="00DF11DE" w:rsidRPr="00B30D05" w:rsidP="00503B52" w14:paraId="748B0A05" w14:textId="56C4239B">
      <w:pPr>
        <w:pStyle w:val="Heading3"/>
      </w:pPr>
      <w:r w:rsidRPr="00B30D05">
        <w:t xml:space="preserve">Health Effects of </w:t>
      </w:r>
      <w:r w:rsidRPr="00B30D05" w:rsidR="001D7A80">
        <w:t>PV29</w:t>
      </w:r>
      <w:r w:rsidRPr="00B30D05">
        <w:t xml:space="preserve"> Exposur</w:t>
      </w:r>
      <w:r w:rsidRPr="00B30D05" w:rsidR="002D11C8">
        <w:t>e</w:t>
      </w:r>
    </w:p>
    <w:p w:rsidR="001D7A80" w:rsidRPr="00B30D05" w:rsidP="00832749" w14:paraId="441E996F" w14:textId="421A98C4">
      <w:pPr>
        <w:pStyle w:val="BodyText"/>
        <w:rPr>
          <w:lang w:val="en-US"/>
        </w:rPr>
      </w:pPr>
      <w:r w:rsidRPr="0E4AE1FD">
        <w:rPr>
          <w:rStyle w:val="normaltextrun"/>
          <w:rFonts w:eastAsiaTheme="minorEastAsia"/>
          <w:color w:val="000000"/>
          <w:shd w:val="clear" w:color="auto" w:fill="FFFFFF"/>
          <w:lang w:val="en-US"/>
        </w:rPr>
        <w:t>For assessment of risks associated with inhalation exposures to workers for PV29, EPA used an analogue, carbon black, to estimate toxicity. EPA used an analog because no data were available for PV29 for inhalation exposure. Chronic exposure to PV29 is expected to increase lung burden which may result in kinetic lung overload, a pharmacokinetic phenomenon, which is not due to the overt toxicity of the chemical, but rather the possibility that PV29 dust overwhelms the lung clearance mechanisms over time. The inhalation toxicity data on the analogue, carbon black, demonstrated increased lung burden, alveolar hyperplasia, inflammatory and morphological changes in the lower respiratory tract. </w:t>
      </w:r>
      <w:r w:rsidRPr="00B30D05">
        <w:rPr>
          <w:rStyle w:val="eop"/>
          <w:color w:val="000000"/>
          <w:shd w:val="clear" w:color="auto" w:fill="FFFFFF"/>
          <w:lang w:val="en-US"/>
        </w:rPr>
        <w:t> </w:t>
      </w:r>
      <w:r w:rsidRPr="00B30D05">
        <w:rPr>
          <w:lang w:val="en-US"/>
        </w:rPr>
        <w:t xml:space="preserve"> Hazards to environmental receptors are expected to be low.</w:t>
      </w:r>
    </w:p>
    <w:p w:rsidR="00091C7A" w:rsidRPr="00CA6FF3" w:rsidP="00503B52" w14:paraId="161C36F2" w14:textId="77777777">
      <w:pPr>
        <w:pStyle w:val="Heading3"/>
      </w:pPr>
      <w:bookmarkStart w:id="59" w:name="_Ref87616197"/>
      <w:r w:rsidRPr="00CA6FF3">
        <w:t>Regulatory Approaches for Primary and Alternative Options</w:t>
      </w:r>
      <w:bookmarkEnd w:id="59"/>
    </w:p>
    <w:p w:rsidR="00870DC6" w:rsidRPr="00CA6FF3" w:rsidP="00832749" w14:paraId="5374AD4B" w14:textId="77777777">
      <w:pPr>
        <w:pStyle w:val="BodyText"/>
      </w:pPr>
      <w:r w:rsidRPr="00CA6FF3">
        <w:t xml:space="preserve">Under TSCA section 6(a), if the EPA </w:t>
      </w:r>
      <w:r w:rsidRPr="00CA6FF3" w:rsidR="005B7C3F">
        <w:t>pursuant to TSCA section 6(b)(4)(A)</w:t>
      </w:r>
      <w:r w:rsidRPr="00CA6FF3">
        <w:t xml:space="preserve"> determines that a chemical substance presents an unreasonable risk of injury to health or the environment, without consideration of costs or other non-risk factors, including an unreasonable risk to a potentially exposed or susceptible subpopulation identified as relevant to the Agency’s risk evaluation, under the conditions of use, EPA must by rule apply one or more requirements to the extent necessary so that the chemical substance no longer presents such risk. </w:t>
      </w:r>
    </w:p>
    <w:p w:rsidR="00870DC6" w:rsidRPr="00CA6FF3" w:rsidP="00832749" w14:paraId="3E28E5BF" w14:textId="77777777">
      <w:pPr>
        <w:pStyle w:val="BodyText"/>
      </w:pPr>
      <w:r w:rsidRPr="00CA6FF3">
        <w:t xml:space="preserve">The TSCA section 6(a) requirements can include one or more, or a combination of, the following actions: </w:t>
      </w:r>
    </w:p>
    <w:p w:rsidR="00870DC6" w:rsidRPr="00CA6FF3" w:rsidP="00832749" w14:paraId="42029F83" w14:textId="77777777">
      <w:pPr>
        <w:pStyle w:val="BodyText"/>
        <w:numPr>
          <w:ilvl w:val="0"/>
          <w:numId w:val="15"/>
        </w:numPr>
      </w:pPr>
      <w:r w:rsidRPr="00CA6FF3">
        <w:t xml:space="preserve">Prohibit or otherwise restrict, or limit the manufacturing, processing, or distribution in commerce of the substance or mixture (TSCA section 6(a)(1)). </w:t>
      </w:r>
    </w:p>
    <w:p w:rsidR="00870DC6" w:rsidRPr="00CA6FF3" w:rsidP="00832749" w14:paraId="79AE373C" w14:textId="77777777">
      <w:pPr>
        <w:pStyle w:val="BodyText"/>
        <w:numPr>
          <w:ilvl w:val="0"/>
          <w:numId w:val="15"/>
        </w:numPr>
      </w:pPr>
      <w:r w:rsidRPr="4BA86F39">
        <w:rPr>
          <w:lang w:val="en-US"/>
        </w:rPr>
        <w:t xml:space="preserve">Prohibit or otherwise restrict, or limit the manufacturing, processing, or distribution in commerce of the substance or mixture for particular uses or above a specific concentration for a particular use (TSCA section 6(a)(2)). </w:t>
      </w:r>
    </w:p>
    <w:p w:rsidR="00870DC6" w:rsidRPr="00CA6FF3" w:rsidP="00832749" w14:paraId="2B89E00D" w14:textId="77777777">
      <w:pPr>
        <w:pStyle w:val="BodyText"/>
        <w:numPr>
          <w:ilvl w:val="0"/>
          <w:numId w:val="15"/>
        </w:numPr>
      </w:pPr>
      <w:r w:rsidRPr="4BA86F39">
        <w:rPr>
          <w:lang w:val="en-US"/>
        </w:rPr>
        <w:t xml:space="preserve">Require clear and adequate minimum warning and instructions with respect to its use, distribution in commerce, or disposal of the substance or mixture (TSCA section 6(a)(3)). </w:t>
      </w:r>
    </w:p>
    <w:p w:rsidR="00870DC6" w:rsidRPr="00CA6FF3" w:rsidP="00832749" w14:paraId="636511E3" w14:textId="77777777">
      <w:pPr>
        <w:pStyle w:val="BodyText"/>
        <w:numPr>
          <w:ilvl w:val="0"/>
          <w:numId w:val="15"/>
        </w:numPr>
      </w:pPr>
      <w:r w:rsidRPr="4BA86F39">
        <w:rPr>
          <w:lang w:val="en-US"/>
        </w:rPr>
        <w:t xml:space="preserve">Require record keeping, monitoring or testing by manufacturers and processors (TSCA 6(a)(4)). </w:t>
      </w:r>
    </w:p>
    <w:p w:rsidR="00870DC6" w:rsidRPr="00CA6FF3" w:rsidP="00832749" w14:paraId="376C1006" w14:textId="77777777">
      <w:pPr>
        <w:pStyle w:val="BodyText"/>
        <w:numPr>
          <w:ilvl w:val="0"/>
          <w:numId w:val="15"/>
        </w:numPr>
      </w:pPr>
      <w:r w:rsidRPr="00CA6FF3">
        <w:t>Prohibit or regulate any manner or method of commercial use of the substance or mixture (TSCA section 6(a)(5)).</w:t>
      </w:r>
    </w:p>
    <w:p w:rsidR="00870DC6" w:rsidRPr="00CA6FF3" w:rsidP="00832749" w14:paraId="47AF98DC" w14:textId="77777777">
      <w:pPr>
        <w:pStyle w:val="BodyText"/>
        <w:numPr>
          <w:ilvl w:val="0"/>
          <w:numId w:val="15"/>
        </w:numPr>
      </w:pPr>
      <w:r w:rsidRPr="00CA6FF3">
        <w:t>Prohibit or otherwise regulate any manner or method of disposal of the substance or mixture (TSCA section 6(a)(6)).</w:t>
      </w:r>
    </w:p>
    <w:p w:rsidR="00870DC6" w:rsidRPr="00CA6FF3" w:rsidP="00832749" w14:paraId="3688123B" w14:textId="77777777">
      <w:pPr>
        <w:pStyle w:val="BodyText"/>
        <w:numPr>
          <w:ilvl w:val="0"/>
          <w:numId w:val="15"/>
        </w:numPr>
      </w:pPr>
      <w:r w:rsidRPr="00CA6FF3">
        <w:t>Direct manufacturers or processors to give notice of the determination of risk to distributors and users and replace or repurchase the substance or mixture (TSCA section 6(a)(7)).</w:t>
      </w:r>
    </w:p>
    <w:p w:rsidR="00870DC6" w:rsidP="00832749" w14:paraId="1D3020E6" w14:textId="4B3251AC">
      <w:pPr>
        <w:pStyle w:val="BodyText"/>
      </w:pPr>
      <w:r w:rsidRPr="4BA86F39">
        <w:rPr>
          <w:lang w:val="en-US"/>
        </w:rPr>
        <w:t>EPA considered all of the regulatory mechanisms described above</w:t>
      </w:r>
      <w:r w:rsidRPr="4BA86F39" w:rsidR="005B7C3F">
        <w:rPr>
          <w:lang w:val="en-US"/>
        </w:rPr>
        <w:t>,</w:t>
      </w:r>
      <w:r w:rsidRPr="4BA86F39">
        <w:rPr>
          <w:lang w:val="en-US"/>
        </w:rPr>
        <w:t xml:space="preserve"> but </w:t>
      </w:r>
      <w:r w:rsidRPr="4BA86F39" w:rsidR="001D1853">
        <w:rPr>
          <w:lang w:val="en-US"/>
        </w:rPr>
        <w:t xml:space="preserve">EPA believes </w:t>
      </w:r>
      <w:r w:rsidRPr="4BA86F39">
        <w:rPr>
          <w:lang w:val="en-US"/>
        </w:rPr>
        <w:t xml:space="preserve">only a few </w:t>
      </w:r>
      <w:r w:rsidRPr="4BA86F39" w:rsidR="001D1853">
        <w:rPr>
          <w:lang w:val="en-US"/>
        </w:rPr>
        <w:t>would be</w:t>
      </w:r>
      <w:r w:rsidRPr="4BA86F39">
        <w:rPr>
          <w:lang w:val="en-US"/>
        </w:rPr>
        <w:t xml:space="preserve"> effective in addressing the identified unreasonable risk. The regulatory mechanisms that are being utilized as part of this rulemaking include </w:t>
      </w:r>
      <w:r w:rsidR="00AE49A2">
        <w:rPr>
          <w:lang w:val="en-US"/>
        </w:rPr>
        <w:t>recordkeeping</w:t>
      </w:r>
      <w:r w:rsidR="00530ED8">
        <w:rPr>
          <w:lang w:val="en-US"/>
        </w:rPr>
        <w:t xml:space="preserve">, notification, labeling, </w:t>
      </w:r>
      <w:r w:rsidR="003C304C">
        <w:rPr>
          <w:lang w:val="en-US"/>
        </w:rPr>
        <w:t xml:space="preserve">and </w:t>
      </w:r>
      <w:r w:rsidR="00092355">
        <w:rPr>
          <w:lang w:val="en-US"/>
        </w:rPr>
        <w:t xml:space="preserve">prescriptive </w:t>
      </w:r>
      <w:r w:rsidR="003C304C">
        <w:rPr>
          <w:lang w:val="en-US"/>
        </w:rPr>
        <w:t xml:space="preserve">respiratory protection </w:t>
      </w:r>
      <w:r w:rsidR="00485B29">
        <w:rPr>
          <w:lang w:val="en-US"/>
        </w:rPr>
        <w:t xml:space="preserve">and cleaning </w:t>
      </w:r>
      <w:r w:rsidR="003C304C">
        <w:rPr>
          <w:lang w:val="en-US"/>
        </w:rPr>
        <w:t>requirements.</w:t>
      </w:r>
    </w:p>
    <w:p w:rsidR="00091C7A" w:rsidRPr="00C3336D" w:rsidP="00503B52" w14:paraId="0B285A5F" w14:textId="77777777">
      <w:pPr>
        <w:pStyle w:val="Heading2"/>
      </w:pPr>
      <w:bookmarkStart w:id="60" w:name="_Toc184299510"/>
      <w:r w:rsidRPr="00C3336D">
        <w:t>Regulatory Background</w:t>
      </w:r>
      <w:bookmarkEnd w:id="60"/>
    </w:p>
    <w:p w:rsidR="007554D0" w:rsidRPr="00C3336D" w:rsidP="00832749" w14:paraId="261FB1CD" w14:textId="0E74E34F">
      <w:pPr>
        <w:pStyle w:val="BodyText"/>
      </w:pPr>
      <w:r w:rsidRPr="32C63228">
        <w:rPr>
          <w:lang w:val="en-US"/>
        </w:rPr>
        <w:t xml:space="preserve">EPA is not aware of any existing </w:t>
      </w:r>
      <w:r w:rsidRPr="32C63228" w:rsidR="002E248D">
        <w:rPr>
          <w:lang w:val="en-US"/>
        </w:rPr>
        <w:t>state</w:t>
      </w:r>
      <w:r w:rsidRPr="32C63228" w:rsidR="5E7880AA">
        <w:rPr>
          <w:lang w:val="en-US"/>
        </w:rPr>
        <w:t xml:space="preserve"> or</w:t>
      </w:r>
      <w:r w:rsidRPr="32C63228" w:rsidR="002E248D">
        <w:rPr>
          <w:lang w:val="en-US"/>
        </w:rPr>
        <w:t xml:space="preserve"> federal, </w:t>
      </w:r>
      <w:r w:rsidRPr="32C63228">
        <w:rPr>
          <w:lang w:val="en-US"/>
        </w:rPr>
        <w:t>or</w:t>
      </w:r>
      <w:r w:rsidRPr="32C63228" w:rsidR="002E248D">
        <w:rPr>
          <w:lang w:val="en-US"/>
        </w:rPr>
        <w:t xml:space="preserve"> international regulations restricting </w:t>
      </w:r>
      <w:r w:rsidRPr="32C63228">
        <w:rPr>
          <w:lang w:val="en-US"/>
        </w:rPr>
        <w:t xml:space="preserve">or </w:t>
      </w:r>
      <w:r w:rsidRPr="32C63228" w:rsidR="002E248D">
        <w:rPr>
          <w:lang w:val="en-US"/>
        </w:rPr>
        <w:t xml:space="preserve">regulating </w:t>
      </w:r>
      <w:r w:rsidRPr="32C63228">
        <w:rPr>
          <w:lang w:val="en-US"/>
        </w:rPr>
        <w:t xml:space="preserve">the </w:t>
      </w:r>
      <w:r w:rsidRPr="32C63228" w:rsidR="002E248D">
        <w:rPr>
          <w:lang w:val="en-US"/>
        </w:rPr>
        <w:t>use</w:t>
      </w:r>
      <w:r w:rsidRPr="32C63228">
        <w:rPr>
          <w:lang w:val="en-US"/>
        </w:rPr>
        <w:t xml:space="preserve"> of PV29</w:t>
      </w:r>
      <w:r w:rsidRPr="32C63228" w:rsidR="002E248D">
        <w:rPr>
          <w:lang w:val="en-US"/>
        </w:rPr>
        <w:t>.</w:t>
      </w:r>
    </w:p>
    <w:p w:rsidR="004B6ED4" w:rsidRPr="008D15E3" w:rsidP="00503B52" w14:paraId="28F4BD4C" w14:textId="5733E37B">
      <w:pPr>
        <w:pStyle w:val="Heading2"/>
      </w:pPr>
      <w:bookmarkStart w:id="61" w:name="_Toc184299511"/>
      <w:r w:rsidRPr="008D15E3">
        <w:t xml:space="preserve">Justification for Risk Management Action for </w:t>
      </w:r>
      <w:r w:rsidR="1DAB27EC">
        <w:t>PV29</w:t>
      </w:r>
      <w:bookmarkEnd w:id="61"/>
    </w:p>
    <w:p w:rsidR="007D3BAB" w:rsidRPr="00832749" w:rsidP="00832749" w14:paraId="500ECC73" w14:textId="452B1EEA">
      <w:pPr>
        <w:pStyle w:val="BodyText"/>
      </w:pPr>
      <w:r w:rsidRPr="00832749">
        <w:rPr>
          <w:lang w:val="en-US"/>
        </w:rPr>
        <w:t xml:space="preserve">This section provides legal and economic justification of the </w:t>
      </w:r>
      <w:r w:rsidRPr="00832749" w:rsidR="00C061F0">
        <w:rPr>
          <w:lang w:val="en-US"/>
        </w:rPr>
        <w:t xml:space="preserve">final </w:t>
      </w:r>
      <w:r w:rsidRPr="00832749">
        <w:rPr>
          <w:lang w:val="en-US"/>
        </w:rPr>
        <w:t xml:space="preserve">rule to regulate </w:t>
      </w:r>
      <w:r w:rsidRPr="00832749" w:rsidR="008D15E3">
        <w:rPr>
          <w:lang w:val="en-US"/>
        </w:rPr>
        <w:t>PV29</w:t>
      </w:r>
      <w:r w:rsidRPr="00832749">
        <w:rPr>
          <w:lang w:val="en-US"/>
        </w:rPr>
        <w:t xml:space="preserve"> in the United States at the federal level of government. Section</w:t>
      </w:r>
      <w:r w:rsidRPr="00832749" w:rsidR="00D73EF9">
        <w:rPr>
          <w:lang w:val="en-US"/>
        </w:rPr>
        <w:t xml:space="preserve"> </w:t>
      </w:r>
      <w:r w:rsidRPr="00832749" w:rsidR="00D73EF9">
        <w:fldChar w:fldCharType="begin" w:fldLock="1"/>
      </w:r>
      <w:r w:rsidRPr="00832749" w:rsidR="00D73EF9">
        <w:instrText xml:space="preserve"> REF _Ref106196862 \r \h </w:instrText>
      </w:r>
      <w:r w:rsidRPr="00832749" w:rsidR="0065459D">
        <w:instrText xml:space="preserve"> \* MERGEFORMAT </w:instrText>
      </w:r>
      <w:r w:rsidRPr="00832749" w:rsidR="00D73EF9">
        <w:fldChar w:fldCharType="separate"/>
      </w:r>
      <w:r w:rsidRPr="00735BBC" w:rsidR="00735BBC">
        <w:rPr>
          <w:lang w:val="en-US"/>
        </w:rPr>
        <w:t>2.3.1</w:t>
      </w:r>
      <w:r w:rsidRPr="00832749" w:rsidR="00D73EF9">
        <w:fldChar w:fldCharType="end"/>
      </w:r>
      <w:r w:rsidRPr="00832749" w:rsidR="009A27A3">
        <w:rPr>
          <w:lang w:val="en-US"/>
        </w:rPr>
        <w:t xml:space="preserve"> </w:t>
      </w:r>
      <w:r w:rsidRPr="00832749">
        <w:rPr>
          <w:lang w:val="en-US"/>
        </w:rPr>
        <w:t xml:space="preserve">indicates the statutory authority for EPA to take risk management action, Section </w:t>
      </w:r>
      <w:r w:rsidRPr="00832749" w:rsidR="00B6383D">
        <w:fldChar w:fldCharType="begin" w:fldLock="1"/>
      </w:r>
      <w:r w:rsidRPr="00832749" w:rsidR="00B6383D">
        <w:instrText xml:space="preserve"> REF _Ref122094453 \r \h </w:instrText>
      </w:r>
      <w:r w:rsidRPr="00832749" w:rsidR="00B56426">
        <w:instrText xml:space="preserve"> \* MERGEFORMAT </w:instrText>
      </w:r>
      <w:r w:rsidRPr="00832749" w:rsidR="00B6383D">
        <w:fldChar w:fldCharType="separate"/>
      </w:r>
      <w:r w:rsidRPr="00735BBC" w:rsidR="00735BBC">
        <w:rPr>
          <w:lang w:val="en-US"/>
        </w:rPr>
        <w:t>2.3.2</w:t>
      </w:r>
      <w:r w:rsidRPr="00832749" w:rsidR="00B6383D">
        <w:fldChar w:fldCharType="end"/>
      </w:r>
      <w:r w:rsidRPr="00832749" w:rsidR="00D73EF9">
        <w:rPr>
          <w:lang w:val="en-US"/>
        </w:rPr>
        <w:t xml:space="preserve"> </w:t>
      </w:r>
      <w:r w:rsidRPr="00832749" w:rsidR="008C1D2F">
        <w:rPr>
          <w:lang w:val="en-US"/>
        </w:rPr>
        <w:t xml:space="preserve">identifies </w:t>
      </w:r>
      <w:r w:rsidRPr="00832749">
        <w:rPr>
          <w:lang w:val="en-US"/>
        </w:rPr>
        <w:t xml:space="preserve">market failure in the industries where </w:t>
      </w:r>
      <w:r w:rsidR="00FF7550">
        <w:rPr>
          <w:lang w:val="en-US"/>
        </w:rPr>
        <w:t>PV29</w:t>
      </w:r>
      <w:r w:rsidRPr="00832749">
        <w:rPr>
          <w:lang w:val="en-US"/>
        </w:rPr>
        <w:t xml:space="preserve"> is used, </w:t>
      </w:r>
      <w:r w:rsidR="0049512C">
        <w:rPr>
          <w:lang w:val="en-US"/>
        </w:rPr>
        <w:t xml:space="preserve">Section </w:t>
      </w:r>
      <w:r w:rsidR="0049512C">
        <w:rPr>
          <w:lang w:val="en-US"/>
        </w:rPr>
        <w:fldChar w:fldCharType="begin" w:fldLock="1"/>
      </w:r>
      <w:r w:rsidR="0049512C">
        <w:rPr>
          <w:lang w:val="en-US"/>
        </w:rPr>
        <w:instrText xml:space="preserve"> REF _Ref181103626 \r \h </w:instrText>
      </w:r>
      <w:r w:rsidR="0049512C">
        <w:rPr>
          <w:lang w:val="en-US"/>
        </w:rPr>
        <w:fldChar w:fldCharType="separate"/>
      </w:r>
      <w:r w:rsidR="00735BBC">
        <w:rPr>
          <w:lang w:val="en-US"/>
        </w:rPr>
        <w:t>2.3.3</w:t>
      </w:r>
      <w:r w:rsidR="0049512C">
        <w:rPr>
          <w:lang w:val="en-US"/>
        </w:rPr>
        <w:fldChar w:fldCharType="end"/>
      </w:r>
      <w:r w:rsidR="0049512C">
        <w:rPr>
          <w:lang w:val="en-US"/>
        </w:rPr>
        <w:t xml:space="preserve"> </w:t>
      </w:r>
      <w:r w:rsidRPr="00832749">
        <w:rPr>
          <w:lang w:val="en-US"/>
        </w:rPr>
        <w:t xml:space="preserve">discusses regulatory remedies to address market failure from negative externalities, and </w:t>
      </w:r>
      <w:r w:rsidR="0049512C">
        <w:rPr>
          <w:lang w:val="en-US"/>
        </w:rPr>
        <w:t>S</w:t>
      </w:r>
      <w:r w:rsidR="00C638A8">
        <w:rPr>
          <w:lang w:val="en-US"/>
        </w:rPr>
        <w:t xml:space="preserve">ection </w:t>
      </w:r>
      <w:r w:rsidR="00C638A8">
        <w:rPr>
          <w:lang w:val="en-US"/>
        </w:rPr>
        <w:fldChar w:fldCharType="begin" w:fldLock="1"/>
      </w:r>
      <w:r w:rsidR="00C638A8">
        <w:rPr>
          <w:lang w:val="en-US"/>
        </w:rPr>
        <w:instrText xml:space="preserve"> REF _Ref181103565 \r \h </w:instrText>
      </w:r>
      <w:r w:rsidR="00C638A8">
        <w:rPr>
          <w:lang w:val="en-US"/>
        </w:rPr>
        <w:fldChar w:fldCharType="separate"/>
      </w:r>
      <w:r w:rsidR="00735BBC">
        <w:rPr>
          <w:lang w:val="en-US"/>
        </w:rPr>
        <w:t>2.3.4</w:t>
      </w:r>
      <w:r w:rsidR="00C638A8">
        <w:rPr>
          <w:lang w:val="en-US"/>
        </w:rPr>
        <w:fldChar w:fldCharType="end"/>
      </w:r>
      <w:r w:rsidR="00C638A8">
        <w:rPr>
          <w:lang w:val="en-US"/>
        </w:rPr>
        <w:t xml:space="preserve"> </w:t>
      </w:r>
      <w:r w:rsidRPr="00832749">
        <w:rPr>
          <w:lang w:val="en-US"/>
        </w:rPr>
        <w:t xml:space="preserve">provides justification for </w:t>
      </w:r>
      <w:r w:rsidRPr="00832749" w:rsidR="008C1D2F">
        <w:rPr>
          <w:lang w:val="en-US"/>
        </w:rPr>
        <w:t xml:space="preserve">regulation </w:t>
      </w:r>
      <w:r w:rsidRPr="00832749">
        <w:rPr>
          <w:lang w:val="en-US"/>
        </w:rPr>
        <w:t>at the federal level specifically.</w:t>
      </w:r>
    </w:p>
    <w:p w:rsidR="00493693" w:rsidRPr="008D15E3" w:rsidP="00503B52" w14:paraId="62C62853" w14:textId="77777777">
      <w:pPr>
        <w:pStyle w:val="Heading3"/>
      </w:pPr>
      <w:bookmarkStart w:id="62" w:name="_Ref106196858"/>
      <w:bookmarkStart w:id="63" w:name="_Ref106196862"/>
      <w:r w:rsidRPr="008D15E3">
        <w:t>Statutory Authority</w:t>
      </w:r>
      <w:bookmarkEnd w:id="62"/>
      <w:bookmarkEnd w:id="63"/>
    </w:p>
    <w:p w:rsidR="007654B6" w:rsidRPr="00832749" w:rsidP="00832749" w14:paraId="6705DC1B" w14:textId="77777777">
      <w:pPr>
        <w:pStyle w:val="BodyText"/>
      </w:pPr>
      <w:bookmarkStart w:id="64" w:name="_Ref106196864"/>
      <w:r w:rsidRPr="00832749">
        <w:rPr>
          <w:lang w:val="en-US"/>
        </w:rPr>
        <w:t>The Frank R. Lautenberg Chemical Safety for the 21st Century Act amended the Toxic Substances Control Act (TSCA), the nation’s primary chemicals management law, in June 2016.</w:t>
      </w:r>
      <w:r>
        <w:rPr>
          <w:rStyle w:val="FootnoteReference"/>
          <w:lang w:val="en-US"/>
        </w:rPr>
        <w:footnoteReference w:id="8"/>
      </w:r>
      <w:r w:rsidRPr="00832749">
        <w:rPr>
          <w:lang w:val="en-US"/>
        </w:rPr>
        <w:t xml:space="preserve"> Under the amended statute, EPA is required, under TSCA </w:t>
      </w:r>
      <w:r w:rsidRPr="00832749" w:rsidR="00F24A85">
        <w:rPr>
          <w:lang w:val="en-US"/>
        </w:rPr>
        <w:t>s</w:t>
      </w:r>
      <w:r w:rsidRPr="00832749">
        <w:rPr>
          <w:lang w:val="en-US"/>
        </w:rPr>
        <w:t>ection 6(b), to conduct risk evaluations to determine whether a chemical substance presents an unreasonable risk of injury to health or the environment,  including an unreasonable risk to potentially exposed or susceptible subpopulations identified as relevant to the Risk Evaluation</w:t>
      </w:r>
      <w:r w:rsidRPr="00832749" w:rsidR="00A73442">
        <w:rPr>
          <w:lang w:val="en-US"/>
        </w:rPr>
        <w:t xml:space="preserve"> under the conditions of use, without consideration of costs or other non-risk factors</w:t>
      </w:r>
      <w:r w:rsidRPr="00832749">
        <w:rPr>
          <w:lang w:val="en-US"/>
        </w:rPr>
        <w:t xml:space="preserve">. If unreasonable risk is found, </w:t>
      </w:r>
      <w:r w:rsidRPr="00832749" w:rsidR="00B222D2">
        <w:rPr>
          <w:lang w:val="en-US"/>
        </w:rPr>
        <w:t xml:space="preserve">the agency must </w:t>
      </w:r>
      <w:r w:rsidRPr="00832749" w:rsidR="00D51722">
        <w:rPr>
          <w:lang w:val="en-US"/>
        </w:rPr>
        <w:t>apply one or more of the risk management option</w:t>
      </w:r>
      <w:r w:rsidRPr="00832749" w:rsidR="00E7594E">
        <w:rPr>
          <w:lang w:val="en-US"/>
        </w:rPr>
        <w:t>s</w:t>
      </w:r>
      <w:r w:rsidRPr="00832749" w:rsidR="00D51722">
        <w:rPr>
          <w:lang w:val="en-US"/>
        </w:rPr>
        <w:t xml:space="preserve"> </w:t>
      </w:r>
      <w:r w:rsidRPr="00832749" w:rsidR="0020753E">
        <w:rPr>
          <w:lang w:val="en-US"/>
        </w:rPr>
        <w:t>listed in</w:t>
      </w:r>
      <w:r w:rsidRPr="00832749" w:rsidR="00D51722">
        <w:rPr>
          <w:lang w:val="en-US"/>
        </w:rPr>
        <w:t xml:space="preserve"> TSCA</w:t>
      </w:r>
      <w:r w:rsidRPr="00832749" w:rsidR="0020753E">
        <w:rPr>
          <w:lang w:val="en-US"/>
        </w:rPr>
        <w:t xml:space="preserve"> 6(a)</w:t>
      </w:r>
      <w:r w:rsidRPr="00832749" w:rsidR="00D51722">
        <w:rPr>
          <w:lang w:val="en-US"/>
        </w:rPr>
        <w:t xml:space="preserve"> to the extent necessary</w:t>
      </w:r>
      <w:r w:rsidRPr="00832749" w:rsidR="00B222D2">
        <w:rPr>
          <w:lang w:val="en-US"/>
        </w:rPr>
        <w:t xml:space="preserve"> to reduce or eliminate these risks</w:t>
      </w:r>
      <w:r w:rsidRPr="00832749" w:rsidR="00337BF0">
        <w:rPr>
          <w:lang w:val="en-US"/>
        </w:rPr>
        <w:t>.</w:t>
      </w:r>
      <w:r w:rsidRPr="00832749">
        <w:rPr>
          <w:lang w:val="en-US"/>
        </w:rPr>
        <w:t xml:space="preserve"> </w:t>
      </w:r>
    </w:p>
    <w:p w:rsidR="001776C0" w:rsidRPr="002841BF" w:rsidP="00503B52" w14:paraId="66D9DD7C" w14:textId="77777777">
      <w:pPr>
        <w:pStyle w:val="Heading3"/>
      </w:pPr>
      <w:bookmarkStart w:id="65" w:name="_Ref122094453"/>
      <w:r w:rsidRPr="002841BF">
        <w:t>Market Failure</w:t>
      </w:r>
      <w:bookmarkEnd w:id="64"/>
      <w:bookmarkEnd w:id="65"/>
    </w:p>
    <w:p w:rsidR="00832749" w:rsidRPr="00500E7B" w:rsidP="00832749" w14:paraId="0202E478" w14:textId="77777777">
      <w:pPr>
        <w:pStyle w:val="BodyText"/>
      </w:pPr>
      <w:r w:rsidRPr="002841BF">
        <w:rPr>
          <w:lang w:val="en-US"/>
        </w:rPr>
        <w:t>The private market is a mechanism</w:t>
      </w:r>
      <w:r w:rsidRPr="4BA86F39">
        <w:rPr>
          <w:lang w:val="en-US"/>
        </w:rPr>
        <w:t xml:space="preserve"> that can allocate resources efficiently. However, the market’s allocation of resources will not always be desirable from the standpoint of society. The market will fail to achieve a socially efficient outcome when differences exist between private market values and social values. </w:t>
      </w:r>
    </w:p>
    <w:p w:rsidR="00832749" w:rsidRPr="00500E7B" w:rsidP="00832749" w14:paraId="4403816C" w14:textId="77777777">
      <w:pPr>
        <w:pStyle w:val="BodyText"/>
      </w:pPr>
      <w:r w:rsidRPr="4BA86F39">
        <w:rPr>
          <w:lang w:val="en-US"/>
        </w:rPr>
        <w:t xml:space="preserve">Welfare economics states that a socially efficient outcome is achieved if no alternative allocation of society’s resources can make at least one person better off without making another one worse off. This is referred to as a Pareto optimal outcome. If the private market fails to achieve this efficient outcome, too little or too much is produced, resulting in a loss in economic welfare. This is referred to as a market failure. </w:t>
      </w:r>
    </w:p>
    <w:p w:rsidR="00832749" w:rsidRPr="00500E7B" w:rsidP="00832749" w14:paraId="5588DE0F" w14:textId="77777777">
      <w:pPr>
        <w:pStyle w:val="BodyText"/>
      </w:pPr>
      <w:r w:rsidRPr="4BA86F39">
        <w:rPr>
          <w:lang w:val="en-US"/>
        </w:rPr>
        <w:t xml:space="preserve">However, Pareto optimality is a strict condition and can allow for very unequal allocations. It does not address redistributive actions, in which one group is made worse off and another group is made better off. A less strict criteria for measuring economic improvement is Kaldor-Hicks efficiency. Under this criterion, </w:t>
      </w:r>
      <w:bookmarkStart w:id="66" w:name="_Hlk115078761"/>
      <w:r w:rsidRPr="4BA86F39">
        <w:rPr>
          <w:lang w:val="en-US"/>
        </w:rPr>
        <w:t>economic efficiency is improved if those who benefit from an action gain more than those who lose from that action</w:t>
      </w:r>
      <w:bookmarkEnd w:id="66"/>
      <w:r w:rsidRPr="4BA86F39">
        <w:rPr>
          <w:lang w:val="en-US"/>
        </w:rPr>
        <w:t>.</w:t>
      </w:r>
      <w:r>
        <w:rPr>
          <w:rStyle w:val="FootnoteReference"/>
          <w:lang w:val="en-US"/>
        </w:rPr>
        <w:footnoteReference w:id="9"/>
      </w:r>
      <w:r w:rsidRPr="4BA86F39">
        <w:rPr>
          <w:lang w:val="en-US"/>
        </w:rPr>
        <w:t xml:space="preserve"> This is the fundamental efficiency criterion of benefit-cost analysis: society is considered to be better off (in terms of economic efficiency) if the benefits of an action outweigh the cost of undertaking it.</w:t>
      </w:r>
    </w:p>
    <w:p w:rsidR="00832749" w:rsidP="00832749" w14:paraId="7EBBBD69" w14:textId="77777777">
      <w:pPr>
        <w:pStyle w:val="BodyText"/>
      </w:pPr>
      <w:r w:rsidRPr="4BA86F39">
        <w:rPr>
          <w:lang w:val="en-US"/>
        </w:rPr>
        <w:t>Government regulation of a private market is justified when the market fails to deliver a socially efficient outcome. If a regulation can produce benefits that exceeds its cost, then economic efficiency has been improved. The economic literature has identified the following common causes of market failure and economic inefficiency:</w:t>
      </w:r>
    </w:p>
    <w:p w:rsidR="00832749" w:rsidP="00832749" w14:paraId="035E6ECB" w14:textId="77777777">
      <w:pPr>
        <w:pStyle w:val="BodyText"/>
        <w:numPr>
          <w:ilvl w:val="0"/>
          <w:numId w:val="17"/>
        </w:numPr>
      </w:pPr>
      <w:r>
        <w:t>Existence of externalities (negative and positive);</w:t>
      </w:r>
    </w:p>
    <w:p w:rsidR="00832749" w:rsidP="00832749" w14:paraId="58CD08C8" w14:textId="77777777">
      <w:pPr>
        <w:pStyle w:val="BodyText"/>
        <w:numPr>
          <w:ilvl w:val="0"/>
          <w:numId w:val="17"/>
        </w:numPr>
      </w:pPr>
      <w:r>
        <w:t>Under-provision of common property resources and public goods;</w:t>
      </w:r>
    </w:p>
    <w:p w:rsidR="00832749" w:rsidP="00832749" w14:paraId="4CD6D2D9" w14:textId="77777777">
      <w:pPr>
        <w:pStyle w:val="BodyText"/>
        <w:numPr>
          <w:ilvl w:val="0"/>
          <w:numId w:val="17"/>
        </w:numPr>
      </w:pPr>
      <w:r>
        <w:t>Market power (e.g., monopolies); and</w:t>
      </w:r>
    </w:p>
    <w:p w:rsidR="00832749" w:rsidRPr="00500E7B" w:rsidP="00832749" w14:paraId="6863A1C7" w14:textId="77777777">
      <w:pPr>
        <w:pStyle w:val="BodyText"/>
        <w:numPr>
          <w:ilvl w:val="0"/>
          <w:numId w:val="16"/>
        </w:numPr>
      </w:pPr>
      <w:r>
        <w:t>Inadequate or asymmetric information.</w:t>
      </w:r>
      <w:r w:rsidRPr="00500E7B">
        <w:t xml:space="preserve"> </w:t>
      </w:r>
    </w:p>
    <w:p w:rsidR="00832749" w:rsidP="00832749" w14:paraId="51422C0E" w14:textId="77777777">
      <w:pPr>
        <w:pStyle w:val="BodyText"/>
      </w:pPr>
      <w:r w:rsidRPr="4BA86F39">
        <w:rPr>
          <w:lang w:val="en-US"/>
        </w:rPr>
        <w:t>This section discusses how negative externalities are present in the market for the chemical regulated under this rule.</w:t>
      </w:r>
      <w:r>
        <w:rPr>
          <w:rFonts w:eastAsiaTheme="majorEastAsia"/>
          <w:vertAlign w:val="superscript"/>
          <w:lang w:val="en-US"/>
        </w:rPr>
        <w:footnoteReference w:id="10"/>
      </w:r>
      <w:r w:rsidRPr="4BA86F39">
        <w:rPr>
          <w:lang w:val="en-US"/>
        </w:rPr>
        <w:t xml:space="preserve"> By understanding how the market is affected by this market failure, more effective regulations can be designed.</w:t>
      </w:r>
    </w:p>
    <w:p w:rsidR="002841BF" w:rsidRPr="00500E7B" w:rsidP="002841BF" w14:paraId="5810B515" w14:textId="77777777">
      <w:pPr>
        <w:pStyle w:val="Heading4"/>
      </w:pPr>
      <w:bookmarkStart w:id="67" w:name="_Toc443639859"/>
      <w:bookmarkStart w:id="68" w:name="_Toc514955273"/>
      <w:bookmarkStart w:id="69" w:name="_Toc2325720"/>
      <w:bookmarkStart w:id="70" w:name="_Toc2327433"/>
      <w:bookmarkStart w:id="71" w:name="_Toc2329225"/>
      <w:bookmarkStart w:id="72" w:name="_Toc2330642"/>
      <w:bookmarkStart w:id="73" w:name="_Toc2340811"/>
      <w:bookmarkStart w:id="74" w:name="_Toc2343809"/>
      <w:bookmarkStart w:id="75" w:name="_Toc3539442"/>
      <w:bookmarkStart w:id="76" w:name="_Toc3900810"/>
      <w:bookmarkStart w:id="77" w:name="_Toc5112324"/>
      <w:bookmarkStart w:id="78" w:name="_Toc5197488"/>
      <w:bookmarkStart w:id="79" w:name="_Toc5198755"/>
      <w:bookmarkStart w:id="80" w:name="_Toc6405163"/>
      <w:bookmarkStart w:id="81" w:name="_Toc11855436"/>
      <w:bookmarkStart w:id="82" w:name="_Toc35336752"/>
      <w:bookmarkStart w:id="83" w:name="_Toc57113986"/>
      <w:r w:rsidRPr="002841BF">
        <w:t>Externalities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2841BF" w:rsidRPr="00500E7B" w:rsidP="002841BF" w14:paraId="13FFC498" w14:textId="77777777">
      <w:pPr>
        <w:pStyle w:val="BodyText"/>
      </w:pPr>
      <w:r w:rsidRPr="4BA86F39">
        <w:rPr>
          <w:lang w:val="en-US"/>
        </w:rPr>
        <w:t xml:space="preserve">A negative externality occurs when one party’s action imposes an uncompensated negative effect on another party. For example, the manufacturer, processor, or consumer of a good may impose costs on another party if the good causes an adverse health impact that is not known or factored into the market transaction. Since these external costs are not internalized by the manufacturer, processor, or user, they are not considered in the production (or processing or use) and pricing decisions. As a result, the societal cost of these goods is under-valued and the level of output produced (or processed or used) is higher than the social optimal output level. In other words, a negative externality occurs when a firm makes decisions based on private costs instead of social costs, leading to an excess of product in the market. </w:t>
      </w:r>
    </w:p>
    <w:p w:rsidR="002841BF" w:rsidP="002841BF" w14:paraId="5625A627" w14:textId="0C79B6A5">
      <w:pPr>
        <w:pStyle w:val="BodyText"/>
      </w:pPr>
      <w:r w:rsidRPr="4BA86F39">
        <w:rPr>
          <w:lang w:val="en-US"/>
        </w:rPr>
        <w:t>EPA believes that the cause of market failure in the market for PV29 subject to this rule stems from negative externalities. A negative externality occurs when one party’s action imposes an uncompensated negative effect on an affected party. For example, the manufacturer, processor, or consumer of a good may impose uncompensated healthcare costs or damages that are not reflected in the cost of that good. Even when both parties have full information about the magnitude of the health damages—which is not always the case in the context of hazardous chemical exposures—the private market is likely to reach an efficient outcome only when bargaining is possible and transaction costs are low (</w:t>
      </w:r>
      <w:hyperlink w:anchor="_ENREF_12" w:tooltip="Coase, 1960 #12" w:history="1">
        <w:r w:rsidR="003D6084">
          <w:fldChar w:fldCharType="begin" w:fldLock="1"/>
        </w:r>
        <w:r w:rsidR="003D6084">
          <w:instrText xml:space="preserve"> ADDIN EN.CITE &lt;EndNote&gt;&lt;Cite&gt;&lt;Author&gt;Coase&lt;/Author&gt;&lt;Year&gt;1960&lt;/Year&gt;&lt;RecNum&gt;12&lt;/RecNum&gt;&lt;DisplayText&gt;Coase 1960&lt;/DisplayText&gt;&lt;record&gt;&lt;rec-number&gt;12&lt;/rec-number&gt;&lt;foreign-keys&gt;&lt;key app="EN" db-id="2apzr05radv9fjet2w6xxwdlz5e9vwfxredw" timestamp="1730757315"&gt;12&lt;/key&gt;&lt;/foreign-keys&gt;&lt;ref-type name="Journal Article"&gt;17&lt;/ref-type&gt;&lt;contributors&gt;&lt;authors&gt;&lt;author&gt;Coase, RH&lt;/author&gt;&lt;/authors&gt;&lt;/contributors&gt;&lt;titles&gt;&lt;title&gt;The Problem of Social Cost&lt;/title&gt;&lt;secondary-title&gt;Journal of Law and Economics, Vol. 3 (Oct., 1960), pp. 1-44&lt;/secondary-title&gt;&lt;/titles&gt;&lt;periodical&gt;&lt;full-title&gt;Journal of Law and Economics, Vol. 3 (Oct., 1960), pp. 1-44&lt;/full-title&gt;&lt;/periodical&gt;&lt;dates&gt;&lt;year&gt;1960&lt;/year&gt;&lt;/dates&gt;&lt;publisher&gt; The University of Chicago Press&lt;/publisher&gt;&lt;urls&gt;&lt;/urls&gt;&lt;/record&gt;&lt;/Cite&gt;&lt;/EndNote&gt;</w:instrText>
        </w:r>
        <w:r w:rsidR="003D6084">
          <w:fldChar w:fldCharType="separate"/>
        </w:r>
        <w:r w:rsidRPr="4BA86F39" w:rsidR="003D6084">
          <w:rPr>
            <w:noProof/>
            <w:lang w:val="en-US"/>
          </w:rPr>
          <w:t>Coase 1960</w:t>
        </w:r>
        <w:r w:rsidR="003D6084">
          <w:fldChar w:fldCharType="end"/>
        </w:r>
      </w:hyperlink>
      <w:r w:rsidRPr="4BA86F39">
        <w:rPr>
          <w:lang w:val="en-US"/>
        </w:rPr>
        <w:t xml:space="preserve">). While many of the adverse health effects from exposure to </w:t>
      </w:r>
      <w:r w:rsidRPr="4BA86F39" w:rsidR="004D4737">
        <w:rPr>
          <w:lang w:val="en-US"/>
        </w:rPr>
        <w:t xml:space="preserve">PV29 </w:t>
      </w:r>
      <w:r w:rsidRPr="4BA86F39">
        <w:rPr>
          <w:lang w:val="en-US"/>
        </w:rPr>
        <w:t xml:space="preserve">are </w:t>
      </w:r>
      <w:r w:rsidRPr="4BA86F39" w:rsidR="004D4737">
        <w:rPr>
          <w:lang w:val="en-US"/>
        </w:rPr>
        <w:t>known</w:t>
      </w:r>
      <w:r w:rsidRPr="4BA86F39">
        <w:rPr>
          <w:lang w:val="en-US"/>
        </w:rPr>
        <w:t xml:space="preserve"> </w:t>
      </w:r>
      <w:r w:rsidR="00F97B7C">
        <w:rPr>
          <w:lang w:val="en-US"/>
        </w:rPr>
        <w:t>(</w:t>
      </w:r>
      <w:hyperlink w:anchor="_ENREF_65" w:tooltip="U.S. Environmental Protection Agency (EPA), 2021 #61" w:history="1">
        <w:r w:rsidRPr="00CA6588" w:rsidR="003D6084">
          <w:fldChar w:fldCharType="begin" w:fldLock="1"/>
        </w:r>
        <w:r w:rsidR="003D6084">
          <w:instrText xml:space="preserve"> ADDIN EN.CITE &lt;EndNote&gt;&lt;Cite ExcludeAuth="1"&gt;&lt;Author&gt;U.S. Environmental Protection Agency (EPA)&lt;/Author&gt;&lt;Year&gt;2021&lt;/Year&gt;&lt;RecNum&gt;61&lt;/RecNum&gt;&lt;Prefix&gt;EPA &lt;/Prefix&gt;&lt;DisplayText&gt;EPA 2021e&lt;/DisplayText&gt;&lt;record&gt;&lt;rec-number&gt;61&lt;/rec-number&gt;&lt;foreign-keys&gt;&lt;key app="EN" db-id="2apzr05radv9fjet2w6xxwdlz5e9vwfxredw" timestamp="1730757315"&gt;61&lt;/key&gt;&lt;/foreign-keys&gt;&lt;ref-type name="Generic"&gt;13&lt;/ref-type&gt;&lt;contributors&gt;&lt;authors&gt;&lt;author&gt;U.S. Environmental Protection Agency (EPA),&lt;/author&gt;&lt;/authors&gt;&lt;subsidiary-authors&gt;&lt;author&gt;Office of Chemical Safety and Pollution Prevention&lt;/author&gt;&lt;/subsidiary-authors&gt;&lt;/contributors&gt;&lt;titles&gt;&lt;title&gt;Risk Evaluation for C.I. Pigment Violet 29 (Anthra[2,1,9-def:6,5,10-d&amp;apos;e&amp;apos;f&amp;apos;]diisoquinoline-1,3,8,10(2H,9H)-tetrone)&lt;/title&gt;&lt;/titles&gt;&lt;number&gt;# 740-R-18-015&lt;/number&gt;&lt;dates&gt;&lt;year&gt;2021&lt;/year&gt;&lt;/dates&gt;&lt;urls&gt;&lt;/urls&gt;&lt;/record&gt;&lt;/Cite&gt;&lt;/EndNote&gt;</w:instrText>
        </w:r>
        <w:r w:rsidRPr="00CA6588" w:rsidR="003D6084">
          <w:fldChar w:fldCharType="separate"/>
        </w:r>
        <w:r w:rsidR="003D6084">
          <w:rPr>
            <w:noProof/>
          </w:rPr>
          <w:t>EPA 2021e</w:t>
        </w:r>
        <w:r w:rsidRPr="00CA6588" w:rsidR="003D6084">
          <w:fldChar w:fldCharType="end"/>
        </w:r>
      </w:hyperlink>
      <w:r w:rsidR="00C83DB8">
        <w:t>)</w:t>
      </w:r>
      <w:r w:rsidRPr="4BA86F39">
        <w:rPr>
          <w:lang w:val="en-US"/>
        </w:rPr>
        <w:t xml:space="preserve">, some effects are difficult to quantify in humans and to predict at the individual level. Bargaining is not possible because neither party has the information or skill to predict the risk accurately. Even if the EPA provided this information, transaction costs are high because of the effort required for workers and employers to determine the correct risk-adjusted wage for each site. Therefore, the adverse health effects of </w:t>
      </w:r>
      <w:r w:rsidRPr="4BA86F39" w:rsidR="00991EB6">
        <w:rPr>
          <w:lang w:val="en-US"/>
        </w:rPr>
        <w:t xml:space="preserve">PV29 </w:t>
      </w:r>
      <w:r w:rsidRPr="4BA86F39">
        <w:rPr>
          <w:lang w:val="en-US"/>
        </w:rPr>
        <w:t xml:space="preserve">exposure are imposed on workers who may not be fully compensated for the additional burden from increased health risks and are thus not internalized by those manufacturing, processing, distributing, or using the chemical.   </w:t>
      </w:r>
    </w:p>
    <w:p w:rsidR="002841BF" w:rsidP="002841BF" w14:paraId="7D640313" w14:textId="304C2757">
      <w:pPr>
        <w:pStyle w:val="BodyText"/>
      </w:pPr>
      <w:r w:rsidRPr="4BA86F39">
        <w:rPr>
          <w:lang w:val="en-US"/>
        </w:rPr>
        <w:t>Because these external costs are not internalized by the manufacturer, processor, or user, they are therefore not considered in the production (or processing, use) and pricing decision of the manufacturer, processor or user. As a result, costs are under-valued and the level of output produced (or processed, used) is higher than the socially optimal output level. Therefore, a negative externality occurs when a firm has made decisions based on private costs instead of social costs, leading to an excess of product in the market</w:t>
      </w:r>
      <w:r w:rsidRPr="4BA86F39" w:rsidR="00A90D7B">
        <w:rPr>
          <w:lang w:val="en-US"/>
        </w:rPr>
        <w:t>.</w:t>
      </w:r>
      <w:r w:rsidRPr="4BA86F39">
        <w:rPr>
          <w:lang w:val="en-US"/>
        </w:rPr>
        <w:t xml:space="preserve"> </w:t>
      </w:r>
    </w:p>
    <w:p w:rsidR="002841BF" w:rsidP="002841BF" w14:paraId="00D6F91A" w14:textId="41F01D0F">
      <w:pPr>
        <w:pStyle w:val="BodyText"/>
      </w:pPr>
      <w:r w:rsidRPr="4BA86F39">
        <w:rPr>
          <w:lang w:val="en-US"/>
        </w:rPr>
        <w:t xml:space="preserve">While it is theoretically possible for manufactures, processers, distributers, and users to internalize the external costs of </w:t>
      </w:r>
      <w:r w:rsidRPr="4BA86F39" w:rsidR="004B79A7">
        <w:rPr>
          <w:lang w:val="en-US"/>
        </w:rPr>
        <w:t>PV29</w:t>
      </w:r>
      <w:r w:rsidRPr="4BA86F39">
        <w:rPr>
          <w:lang w:val="en-US"/>
        </w:rPr>
        <w:t xml:space="preserve"> (for example, through a pollution tax or tradable permit program), EPA believes that this is not the right approach for addressing the negative externality in this market. This approach would be administratively burdensome and impose high transaction costs in a market with a multitude of varied conditions of use. Instead, EPA’s approach is to decrease the </w:t>
      </w:r>
      <w:r w:rsidRPr="4BA86F39" w:rsidR="007C4F13">
        <w:rPr>
          <w:lang w:val="en-US"/>
        </w:rPr>
        <w:t xml:space="preserve">health risks from PV29 exposure </w:t>
      </w:r>
      <w:r w:rsidRPr="4BA86F39" w:rsidR="00624FE5">
        <w:rPr>
          <w:lang w:val="en-US"/>
        </w:rPr>
        <w:t xml:space="preserve">through worker protections </w:t>
      </w:r>
      <w:r w:rsidRPr="4BA86F39">
        <w:rPr>
          <w:lang w:val="en-US"/>
        </w:rPr>
        <w:t xml:space="preserve">and, thereby, reduce the negative externality of health impacts caused by exposure to the chemical.  </w:t>
      </w:r>
    </w:p>
    <w:p w:rsidR="002841BF" w:rsidRPr="00215F99" w:rsidP="002841BF" w14:paraId="0A0483D4" w14:textId="071ABA79">
      <w:pPr>
        <w:pStyle w:val="BodyText"/>
      </w:pPr>
      <w:r w:rsidRPr="4BA86F39">
        <w:rPr>
          <w:lang w:val="en-US"/>
        </w:rPr>
        <w:t xml:space="preserve">Society will experience health benefits from regulatory measures that </w:t>
      </w:r>
      <w:r w:rsidRPr="4BA86F39" w:rsidR="009C78AB">
        <w:rPr>
          <w:lang w:val="en-US"/>
        </w:rPr>
        <w:t>mitigate</w:t>
      </w:r>
      <w:r w:rsidRPr="4BA86F39">
        <w:rPr>
          <w:lang w:val="en-US"/>
        </w:rPr>
        <w:t xml:space="preserve"> or eliminate the </w:t>
      </w:r>
      <w:r w:rsidRPr="4BA86F39" w:rsidR="009C78AB">
        <w:rPr>
          <w:lang w:val="en-US"/>
        </w:rPr>
        <w:t xml:space="preserve">adverse health risks associated with the </w:t>
      </w:r>
      <w:r w:rsidRPr="4BA86F39">
        <w:rPr>
          <w:lang w:val="en-US"/>
        </w:rPr>
        <w:t xml:space="preserve">manufacture, processing and use of </w:t>
      </w:r>
      <w:r w:rsidRPr="4BA86F39" w:rsidR="009C78AB">
        <w:rPr>
          <w:lang w:val="en-US"/>
        </w:rPr>
        <w:t>PV29</w:t>
      </w:r>
      <w:r w:rsidRPr="4BA86F39">
        <w:rPr>
          <w:lang w:val="en-US"/>
        </w:rPr>
        <w:t xml:space="preserve">. However, society will experience </w:t>
      </w:r>
      <w:r w:rsidRPr="4BA86F39">
        <w:rPr>
          <w:i/>
          <w:lang w:val="en-US"/>
        </w:rPr>
        <w:t>net benefits</w:t>
      </w:r>
      <w:r w:rsidRPr="4BA86F39">
        <w:rPr>
          <w:lang w:val="en-US"/>
        </w:rPr>
        <w:t xml:space="preserve"> from these regulatory measures only up to the point where the benefits of reducing these negative externalities are less than the costs of achieving them. If the costs of these regulatory measures on manufacturers and users of </w:t>
      </w:r>
      <w:r w:rsidRPr="4BA86F39" w:rsidR="00073073">
        <w:rPr>
          <w:lang w:val="en-US"/>
        </w:rPr>
        <w:t>PV29</w:t>
      </w:r>
      <w:r w:rsidRPr="4BA86F39">
        <w:rPr>
          <w:lang w:val="en-US"/>
        </w:rPr>
        <w:t xml:space="preserve"> are greater than the external costs imposed by their use</w:t>
      </w:r>
      <w:r w:rsidRPr="4BA86F39" w:rsidR="00073073">
        <w:rPr>
          <w:lang w:val="en-US"/>
        </w:rPr>
        <w:t xml:space="preserve"> without additional worker protections</w:t>
      </w:r>
      <w:r w:rsidRPr="4BA86F39">
        <w:rPr>
          <w:lang w:val="en-US"/>
        </w:rPr>
        <w:t xml:space="preserve">, the regulation is too strict and the new state is also suboptimal. Social welfare would be decreased by any regulatory measure that goes beyond the point where the externalities were internalized. The economically efficient level of control is where the additional (marginal) cost of further control equals society’s willingness to pay for the next increment of control. Adverse effects may still occur at this level, but additional regulatory costs to further reduce or eliminate these effects would not be potentially Pareto optimal (that is, it would not meet the criteria for Kaldor-Hicks efficiency). Conversely, if post-rule, the cost to society from release and exposure to </w:t>
      </w:r>
      <w:r w:rsidRPr="4BA86F39" w:rsidR="001A40D0">
        <w:rPr>
          <w:lang w:val="en-US"/>
        </w:rPr>
        <w:t>PV29</w:t>
      </w:r>
      <w:r w:rsidRPr="4BA86F39">
        <w:rPr>
          <w:lang w:val="en-US"/>
        </w:rPr>
        <w:t xml:space="preserve"> remains greater than costs to regulated firms, the rule would also not produce a potentially Pareto optimal outcome. </w:t>
      </w:r>
    </w:p>
    <w:p w:rsidR="002841BF" w:rsidRPr="002841BF" w:rsidP="002841BF" w14:paraId="6A4211D0" w14:textId="77777777">
      <w:pPr>
        <w:pStyle w:val="Heading3"/>
      </w:pPr>
      <w:bookmarkStart w:id="84" w:name="_Toc111035521"/>
      <w:bookmarkStart w:id="85" w:name="_Toc114061882"/>
      <w:bookmarkStart w:id="86" w:name="_Ref181103626"/>
      <w:r w:rsidRPr="002841BF">
        <w:t>Regulatory Remedies to Reduce Negative Externalities</w:t>
      </w:r>
      <w:bookmarkEnd w:id="84"/>
      <w:bookmarkEnd w:id="85"/>
      <w:bookmarkEnd w:id="86"/>
      <w:r w:rsidRPr="002841BF">
        <w:t xml:space="preserve"> </w:t>
      </w:r>
    </w:p>
    <w:p w:rsidR="002841BF" w:rsidRPr="00215F99" w:rsidP="002841BF" w14:paraId="03B24271" w14:textId="766CBE11">
      <w:pPr>
        <w:pStyle w:val="BodyText"/>
      </w:pPr>
      <w:r w:rsidRPr="00215F99">
        <w:t>As discussed in Section</w:t>
      </w:r>
      <w:r w:rsidR="00741416">
        <w:t xml:space="preserve"> </w:t>
      </w:r>
      <w:r w:rsidR="007E314E">
        <w:fldChar w:fldCharType="begin" w:fldLock="1"/>
      </w:r>
      <w:r w:rsidR="007E314E">
        <w:instrText xml:space="preserve"> REF _Ref122094453 \r \h </w:instrText>
      </w:r>
      <w:r w:rsidR="007E314E">
        <w:fldChar w:fldCharType="separate"/>
      </w:r>
      <w:r w:rsidR="00735BBC">
        <w:t>2.3.2</w:t>
      </w:r>
      <w:r w:rsidR="007E314E">
        <w:fldChar w:fldCharType="end"/>
      </w:r>
      <w:r w:rsidRPr="00215F99">
        <w:t xml:space="preserve">, the </w:t>
      </w:r>
      <w:r w:rsidR="007E314E">
        <w:t>regulatory</w:t>
      </w:r>
      <w:r w:rsidRPr="00215F99">
        <w:t xml:space="preserve"> options detail various requirements that will reduce the negative human health </w:t>
      </w:r>
      <w:r>
        <w:t xml:space="preserve">costs associated with the negative </w:t>
      </w:r>
      <w:r w:rsidRPr="00215F99">
        <w:t xml:space="preserve">externality. EPA contends that these measures are sufficient to reduce negative externalities associated with </w:t>
      </w:r>
      <w:r w:rsidR="00646279">
        <w:t>PV29</w:t>
      </w:r>
      <w:r w:rsidRPr="00215F99">
        <w:t xml:space="preserve">. </w:t>
      </w:r>
    </w:p>
    <w:p w:rsidR="002841BF" w:rsidRPr="002841BF" w:rsidP="002841BF" w14:paraId="68AB8F69" w14:textId="77777777">
      <w:pPr>
        <w:pStyle w:val="Heading3"/>
      </w:pPr>
      <w:bookmarkStart w:id="87" w:name="_Toc111035522"/>
      <w:bookmarkStart w:id="88" w:name="_Toc114061883"/>
      <w:bookmarkStart w:id="89" w:name="_Ref181103565"/>
      <w:r w:rsidRPr="002841BF">
        <w:t>Justification for Regulation at Federal Level</w:t>
      </w:r>
      <w:bookmarkEnd w:id="87"/>
      <w:bookmarkEnd w:id="88"/>
      <w:bookmarkEnd w:id="89"/>
    </w:p>
    <w:p w:rsidR="002841BF" w:rsidP="002841BF" w14:paraId="22E46D9A" w14:textId="67EFA698">
      <w:pPr>
        <w:pStyle w:val="BodyText"/>
        <w:rPr>
          <w:lang w:val="en-US"/>
        </w:rPr>
      </w:pPr>
      <w:r w:rsidRPr="4BA86F39">
        <w:rPr>
          <w:lang w:val="en-US"/>
        </w:rPr>
        <w:t>The chemical and products associated with this rulemaking are distributed in commerce across state lines, and thus they fall under the federal jurisdiction of regulation under TSCA. It is more efficient for companies manufacturing, processing, and distributing these products to comply with a single federal standard rather than a patchwork of different state regulations</w:t>
      </w:r>
      <w:r w:rsidR="007B73F5">
        <w:rPr>
          <w:lang w:val="en-US"/>
        </w:rPr>
        <w:t>.</w:t>
      </w:r>
    </w:p>
    <w:p w:rsidR="00AC6B1F" w:rsidRPr="00215F99" w:rsidP="002841BF" w14:paraId="18A9AF59" w14:textId="5408529C">
      <w:pPr>
        <w:pStyle w:val="BodyText"/>
        <w:sectPr w:rsidSect="00946DC8">
          <w:pgSz w:w="12240" w:h="15840" w:code="1"/>
          <w:pgMar w:top="1440" w:right="1440" w:bottom="1440" w:left="1800" w:header="720" w:footer="720" w:gutter="0"/>
          <w:pgNumType w:start="1" w:chapStyle="1"/>
          <w:cols w:space="720"/>
          <w:titlePg/>
          <w:docGrid w:linePitch="299"/>
        </w:sectPr>
      </w:pPr>
    </w:p>
    <w:p w:rsidR="00062326" w:rsidP="000F0E8C" w14:paraId="615D282F" w14:textId="0AA54360">
      <w:pPr>
        <w:pStyle w:val="Heading1"/>
      </w:pPr>
      <w:bookmarkStart w:id="90" w:name="_Toc101509002"/>
      <w:bookmarkStart w:id="91" w:name="_Ref121746974"/>
      <w:bookmarkStart w:id="92" w:name="_Ref122094007"/>
      <w:bookmarkStart w:id="93" w:name="_Ref180498059"/>
      <w:bookmarkStart w:id="94" w:name="_Toc184299512"/>
      <w:r>
        <w:t>Profile and Affected Industries and B</w:t>
      </w:r>
      <w:r w:rsidRPr="00B56426" w:rsidR="002E248D">
        <w:t>aseline Analysis</w:t>
      </w:r>
      <w:bookmarkEnd w:id="90"/>
      <w:bookmarkEnd w:id="91"/>
      <w:bookmarkEnd w:id="92"/>
      <w:bookmarkEnd w:id="93"/>
      <w:bookmarkEnd w:id="94"/>
    </w:p>
    <w:p w:rsidR="00A25842" w:rsidRPr="00A25842" w:rsidP="00A25842" w14:paraId="067008D7" w14:textId="256B491F">
      <w:pPr>
        <w:pStyle w:val="BodyText"/>
        <w:rPr>
          <w:lang w:val="en-US"/>
        </w:rPr>
      </w:pPr>
      <w:r>
        <w:rPr>
          <w:lang w:val="en-US"/>
        </w:rPr>
        <w:t xml:space="preserve">Section </w:t>
      </w:r>
      <w:r>
        <w:rPr>
          <w:lang w:val="en-US"/>
        </w:rPr>
        <w:fldChar w:fldCharType="begin" w:fldLock="1"/>
      </w:r>
      <w:r>
        <w:rPr>
          <w:lang w:val="en-US"/>
        </w:rPr>
        <w:instrText xml:space="preserve"> REF _Ref180684200 \r \h </w:instrText>
      </w:r>
      <w:r>
        <w:rPr>
          <w:lang w:val="en-US"/>
        </w:rPr>
        <w:fldChar w:fldCharType="separate"/>
      </w:r>
      <w:r w:rsidR="00735BBC">
        <w:rPr>
          <w:lang w:val="en-US"/>
        </w:rPr>
        <w:t>3.1</w:t>
      </w:r>
      <w:r>
        <w:rPr>
          <w:lang w:val="en-US"/>
        </w:rPr>
        <w:fldChar w:fldCharType="end"/>
      </w:r>
      <w:r>
        <w:rPr>
          <w:lang w:val="en-US"/>
        </w:rPr>
        <w:t xml:space="preserve"> </w:t>
      </w:r>
      <w:r w:rsidR="00324DD1">
        <w:rPr>
          <w:lang w:val="en-US"/>
        </w:rPr>
        <w:t xml:space="preserve">provides </w:t>
      </w:r>
      <w:r w:rsidR="008923C3">
        <w:rPr>
          <w:lang w:val="en-US"/>
        </w:rPr>
        <w:t xml:space="preserve">information on the </w:t>
      </w:r>
      <w:r w:rsidR="003029E4">
        <w:rPr>
          <w:lang w:val="en-US"/>
        </w:rPr>
        <w:t xml:space="preserve">industries potentially affected by the rule and </w:t>
      </w:r>
      <w:r w:rsidR="00324DD1">
        <w:rPr>
          <w:lang w:val="en-US"/>
        </w:rPr>
        <w:t xml:space="preserve">estimates for the </w:t>
      </w:r>
      <w:r w:rsidR="003029E4">
        <w:rPr>
          <w:lang w:val="en-US"/>
        </w:rPr>
        <w:t>numbers of affected</w:t>
      </w:r>
      <w:r w:rsidR="008923C3">
        <w:rPr>
          <w:lang w:val="en-US"/>
        </w:rPr>
        <w:t xml:space="preserve"> entities</w:t>
      </w:r>
      <w:r w:rsidR="003029E4">
        <w:rPr>
          <w:lang w:val="en-US"/>
        </w:rPr>
        <w:t>. Section</w:t>
      </w:r>
      <w:r w:rsidR="008923C3">
        <w:rPr>
          <w:lang w:val="en-US"/>
        </w:rPr>
        <w:t xml:space="preserve"> </w:t>
      </w:r>
      <w:r>
        <w:rPr>
          <w:lang w:val="en-US"/>
        </w:rPr>
        <w:fldChar w:fldCharType="begin" w:fldLock="1"/>
      </w:r>
      <w:r>
        <w:rPr>
          <w:lang w:val="en-US"/>
        </w:rPr>
        <w:instrText xml:space="preserve"> REF _Ref181104651 \r \h </w:instrText>
      </w:r>
      <w:r>
        <w:rPr>
          <w:lang w:val="en-US"/>
        </w:rPr>
        <w:fldChar w:fldCharType="separate"/>
      </w:r>
      <w:r w:rsidR="00735BBC">
        <w:rPr>
          <w:lang w:val="en-US"/>
        </w:rPr>
        <w:t>3.2</w:t>
      </w:r>
      <w:r>
        <w:rPr>
          <w:lang w:val="en-US"/>
        </w:rPr>
        <w:fldChar w:fldCharType="end"/>
      </w:r>
      <w:r w:rsidR="003029E4">
        <w:rPr>
          <w:lang w:val="en-US"/>
        </w:rPr>
        <w:t xml:space="preserve"> provides information on the</w:t>
      </w:r>
      <w:r w:rsidR="00E6720B">
        <w:rPr>
          <w:lang w:val="en-US"/>
        </w:rPr>
        <w:t xml:space="preserve"> baseline worker exposures to PV29</w:t>
      </w:r>
      <w:r w:rsidR="003029E4">
        <w:rPr>
          <w:lang w:val="en-US"/>
        </w:rPr>
        <w:t xml:space="preserve">. </w:t>
      </w:r>
    </w:p>
    <w:p w:rsidR="005F1D5F" w:rsidRPr="00A95A85" w:rsidP="0074307F" w14:paraId="536D90F5" w14:textId="77777777">
      <w:pPr>
        <w:pStyle w:val="Heading2"/>
      </w:pPr>
      <w:bookmarkStart w:id="95" w:name="_Ref180684200"/>
      <w:bookmarkStart w:id="96" w:name="_Toc184299513"/>
      <w:r w:rsidRPr="00A95A85">
        <w:t>Potentially Affected Industries and Entities</w:t>
      </w:r>
      <w:bookmarkEnd w:id="95"/>
      <w:bookmarkEnd w:id="96"/>
    </w:p>
    <w:p w:rsidR="005F1D5F" w:rsidRPr="00A95A85" w:rsidP="00832749" w14:paraId="2D5EE99C" w14:textId="4B054BBE">
      <w:pPr>
        <w:pStyle w:val="BodyText"/>
      </w:pPr>
      <w:r w:rsidRPr="00A95A85">
        <w:t xml:space="preserve">This </w:t>
      </w:r>
      <w:r w:rsidR="00324DD1">
        <w:t>section</w:t>
      </w:r>
      <w:r w:rsidRPr="00A95A85">
        <w:t xml:space="preserve"> provides information on the cross-section of society potentially affected by the rule. It provides background on the various PV29 COUs broken out into the conditions of use </w:t>
      </w:r>
      <w:r>
        <w:t xml:space="preserve">with unreasonable risk, </w:t>
      </w:r>
      <w:r w:rsidRPr="00A95A85">
        <w:t xml:space="preserve">as </w:t>
      </w:r>
      <w:r w:rsidRPr="003C5D31">
        <w:t xml:space="preserve">depicted in </w:t>
      </w:r>
      <w:r w:rsidRPr="003C5D31">
        <w:fldChar w:fldCharType="begin" w:fldLock="1"/>
      </w:r>
      <w:r w:rsidRPr="003C5D31">
        <w:instrText xml:space="preserve"> REF _Ref70428742 </w:instrText>
      </w:r>
      <w:r>
        <w:instrText xml:space="preserve"> \* MERGEFORMAT </w:instrText>
      </w:r>
      <w:r w:rsidRPr="003C5D31">
        <w:fldChar w:fldCharType="separate"/>
      </w:r>
      <w:r w:rsidRPr="00A95A85" w:rsidR="00735BBC">
        <w:t xml:space="preserve">Table </w:t>
      </w:r>
      <w:r w:rsidR="00735BBC">
        <w:rPr>
          <w:noProof/>
        </w:rPr>
        <w:t>1</w:t>
      </w:r>
      <w:r w:rsidR="00735BBC">
        <w:rPr>
          <w:noProof/>
        </w:rPr>
        <w:noBreakHyphen/>
        <w:t>2</w:t>
      </w:r>
      <w:r w:rsidRPr="003C5D31">
        <w:fldChar w:fldCharType="end"/>
      </w:r>
      <w:r w:rsidRPr="003C5D31">
        <w:t xml:space="preserve">, broken out by lifecycle stage: Manufacture (Section </w:t>
      </w:r>
      <w:r w:rsidRPr="003C5D31">
        <w:fldChar w:fldCharType="begin" w:fldLock="1"/>
      </w:r>
      <w:r w:rsidRPr="003C5D31">
        <w:instrText xml:space="preserve"> REF _Ref175649108 \r </w:instrText>
      </w:r>
      <w:r>
        <w:instrText xml:space="preserve"> \* MERGEFORMAT </w:instrText>
      </w:r>
      <w:r w:rsidRPr="003C5D31">
        <w:fldChar w:fldCharType="separate"/>
      </w:r>
      <w:r w:rsidR="00735BBC">
        <w:t>3.1.1</w:t>
      </w:r>
      <w:r w:rsidRPr="003C5D31">
        <w:fldChar w:fldCharType="end"/>
      </w:r>
      <w:r w:rsidRPr="003C5D31">
        <w:t xml:space="preserve">); Processing (Section </w:t>
      </w:r>
      <w:r w:rsidRPr="003C5D31">
        <w:fldChar w:fldCharType="begin" w:fldLock="1"/>
      </w:r>
      <w:r w:rsidRPr="003C5D31">
        <w:instrText xml:space="preserve"> REF _Ref175649124 \r </w:instrText>
      </w:r>
      <w:r>
        <w:instrText xml:space="preserve"> \* MERGEFORMAT </w:instrText>
      </w:r>
      <w:r w:rsidRPr="003C5D31">
        <w:fldChar w:fldCharType="separate"/>
      </w:r>
      <w:r w:rsidR="00735BBC">
        <w:t>3.1.2</w:t>
      </w:r>
      <w:r w:rsidRPr="003C5D31">
        <w:fldChar w:fldCharType="end"/>
      </w:r>
      <w:r w:rsidRPr="003C5D31">
        <w:t>); Industrial/Commercia</w:t>
      </w:r>
      <w:r w:rsidRPr="00A95A85">
        <w:t xml:space="preserve">l use (Section </w:t>
      </w:r>
      <w:r>
        <w:fldChar w:fldCharType="begin" w:fldLock="1"/>
      </w:r>
      <w:r>
        <w:instrText xml:space="preserve"> REF _Ref175649152 \r </w:instrText>
      </w:r>
      <w:r>
        <w:fldChar w:fldCharType="separate"/>
      </w:r>
      <w:r w:rsidR="00735BBC">
        <w:t>3.1.3</w:t>
      </w:r>
      <w:r>
        <w:fldChar w:fldCharType="end"/>
      </w:r>
      <w:r w:rsidRPr="00A95A85">
        <w:t xml:space="preserve">); and Disposal (Section </w:t>
      </w:r>
      <w:r>
        <w:fldChar w:fldCharType="begin" w:fldLock="1"/>
      </w:r>
      <w:r>
        <w:instrText xml:space="preserve"> REF _Ref175649170 \r </w:instrText>
      </w:r>
      <w:r>
        <w:fldChar w:fldCharType="separate"/>
      </w:r>
      <w:r w:rsidR="00735BBC">
        <w:t>3.1.4</w:t>
      </w:r>
      <w:r>
        <w:fldChar w:fldCharType="end"/>
      </w:r>
      <w:r w:rsidRPr="00A95A85">
        <w:t>). Each section is broken out into the relevant categories and subcategories that further define COUs and suggests estimates of the production volume of PV29</w:t>
      </w:r>
      <w:r>
        <w:t xml:space="preserve">, </w:t>
      </w:r>
      <w:r w:rsidRPr="00A95A85">
        <w:t>the number of entities potentially affected by the proposed rule</w:t>
      </w:r>
      <w:r>
        <w:t>, and available information about existing practices around employee personal protective equipment (PPE)</w:t>
      </w:r>
      <w:r w:rsidRPr="00A95A85">
        <w:t xml:space="preserve">. Section </w:t>
      </w:r>
      <w:r>
        <w:fldChar w:fldCharType="begin" w:fldLock="1"/>
      </w:r>
      <w:r>
        <w:instrText xml:space="preserve"> REF _Ref175649220 \r </w:instrText>
      </w:r>
      <w:r>
        <w:fldChar w:fldCharType="separate"/>
      </w:r>
      <w:r w:rsidR="00735BBC">
        <w:t>3.1.5</w:t>
      </w:r>
      <w:r>
        <w:fldChar w:fldCharType="end"/>
      </w:r>
      <w:r w:rsidRPr="00A95A85">
        <w:t xml:space="preserve"> provides a summary of the industries and facility counts by COU.</w:t>
      </w:r>
    </w:p>
    <w:p w:rsidR="005F1D5F" w:rsidRPr="00A95A85" w:rsidP="00563845" w14:paraId="2D34E103" w14:textId="77777777">
      <w:pPr>
        <w:pStyle w:val="Heading3"/>
      </w:pPr>
      <w:bookmarkStart w:id="97" w:name="_Ref175649108"/>
      <w:bookmarkStart w:id="98" w:name="_Toc175217216"/>
      <w:bookmarkStart w:id="99" w:name="_Toc179234312"/>
      <w:bookmarkStart w:id="100" w:name="_Ref81898755"/>
      <w:r w:rsidRPr="00A95A85">
        <w:t>Manufacture</w:t>
      </w:r>
      <w:bookmarkEnd w:id="97"/>
      <w:bookmarkEnd w:id="98"/>
      <w:bookmarkEnd w:id="99"/>
    </w:p>
    <w:p w:rsidR="005F1D5F" w:rsidRPr="00A95A85" w:rsidP="00832749" w14:paraId="60A8F3AC" w14:textId="77777777">
      <w:pPr>
        <w:pStyle w:val="BodyText"/>
      </w:pPr>
      <w:r w:rsidRPr="4BA86F39">
        <w:rPr>
          <w:lang w:val="en-US"/>
        </w:rPr>
        <w:t>The manufacture stage includes domestic manufacturing of PV29 as well as import of PV29 from foreign markets.</w:t>
      </w:r>
    </w:p>
    <w:p w:rsidR="005F1D5F" w:rsidRPr="00A95A85" w:rsidP="00563845" w14:paraId="4C99078B" w14:textId="77777777">
      <w:pPr>
        <w:pStyle w:val="Heading4"/>
      </w:pPr>
      <w:bookmarkStart w:id="101" w:name="_Ref175230744"/>
      <w:bookmarkStart w:id="102" w:name="_Toc175217217"/>
      <w:bookmarkStart w:id="103" w:name="_Toc179234313"/>
      <w:r w:rsidRPr="00A95A85">
        <w:t xml:space="preserve">Domestic </w:t>
      </w:r>
      <w:bookmarkEnd w:id="100"/>
      <w:bookmarkEnd w:id="101"/>
      <w:bookmarkEnd w:id="102"/>
      <w:bookmarkEnd w:id="103"/>
      <w:r>
        <w:t>manufacture</w:t>
      </w:r>
    </w:p>
    <w:p w:rsidR="005F1D5F" w:rsidRPr="00A95A85" w:rsidP="00832749" w14:paraId="25C33537" w14:textId="20A7E0A6">
      <w:pPr>
        <w:pStyle w:val="BodyText"/>
      </w:pPr>
      <w:r w:rsidRPr="00A95A85">
        <w:t>PV29 is manufactured domestically solely at one</w:t>
      </w:r>
      <w:r>
        <w:t xml:space="preserve"> Sun Chemical </w:t>
      </w:r>
      <w:r w:rsidRPr="00A95A85">
        <w:t>facility in Goose Creek, S.C.</w:t>
      </w:r>
      <w:r w:rsidRPr="008F7B81">
        <w:t xml:space="preserve"> </w:t>
      </w:r>
      <w:r w:rsidR="00F924D9">
        <w:t>(</w:t>
      </w:r>
      <w:hyperlink w:anchor="_ENREF_13" w:tooltip="CPMA, 2017 #13" w:history="1">
        <w:r w:rsidR="003D6084">
          <w:fldChar w:fldCharType="begin" w:fldLock="1"/>
        </w:r>
        <w:r w:rsidR="003D6084">
          <w:instrText xml:space="preserve"> ADDIN EN.CITE &lt;EndNote&gt;&lt;Cite&gt;&lt;Author&gt;CPMA&lt;/Author&gt;&lt;Year&gt;2017&lt;/Year&gt;&lt;RecNum&gt;13&lt;/RecNum&gt;&lt;DisplayText&gt;CPMA 2017&lt;/DisplayText&gt;&lt;record&gt;&lt;rec-number&gt;13&lt;/rec-number&gt;&lt;foreign-keys&gt;&lt;key app="EN" db-id="2apzr05radv9fjet2w6xxwdlz5e9vwfxredw" timestamp="1730757315"&gt;13&lt;/key&gt;&lt;/foreign-keys&gt;&lt;ref-type name="Generic"&gt;13&lt;/ref-type&gt;&lt;contributors&gt;&lt;authors&gt;&lt;author&gt;CPMA&lt;/author&gt;&lt;/authors&gt;&lt;/contributors&gt;&lt;titles&gt;&lt;title&gt;Letter to EPA Re: The Toxicological Properties, Chemical Use (and Other) Information Relevant to EPA’s Risk Evaluation of C.I. Pigment Violet 29&lt;/title&gt;&lt;/titles&gt;&lt;dates&gt;&lt;year&gt;2017&lt;/year&gt;&lt;/dates&gt;&lt;urls&gt;&lt;/urls&gt;&lt;/record&gt;&lt;/Cite&gt;&lt;/EndNote&gt;</w:instrText>
        </w:r>
        <w:r w:rsidR="003D6084">
          <w:fldChar w:fldCharType="separate"/>
        </w:r>
        <w:r w:rsidR="003D6084">
          <w:rPr>
            <w:noProof/>
          </w:rPr>
          <w:t>CPMA 2017</w:t>
        </w:r>
        <w:r w:rsidR="003D6084">
          <w:fldChar w:fldCharType="end"/>
        </w:r>
      </w:hyperlink>
      <w:r w:rsidR="00F924D9">
        <w:t>)</w:t>
      </w:r>
      <w:r w:rsidRPr="00A95A85">
        <w:t xml:space="preserve">. </w:t>
      </w:r>
      <w:r>
        <w:t>Sun Chemical is a large provider of inks, pressroom products, and color materials</w:t>
      </w:r>
      <w:r w:rsidRPr="00A95A85">
        <w:t>.</w:t>
      </w:r>
      <w:r>
        <w:t xml:space="preserve"> It is part of the DIC Group headquartered in Japan;</w:t>
      </w:r>
      <w:r w:rsidRPr="00A95A85">
        <w:t xml:space="preserve"> </w:t>
      </w:r>
      <w:r>
        <w:fldChar w:fldCharType="begin" w:fldLock="1"/>
      </w:r>
      <w:r>
        <w:instrText>REF _Ref166841138  \* MERGEFORMAT</w:instrText>
      </w:r>
      <w:r>
        <w:fldChar w:fldCharType="separate"/>
      </w:r>
      <w:r w:rsidRPr="00A95A85" w:rsidR="00735BBC">
        <w:t xml:space="preserve">Table </w:t>
      </w:r>
      <w:r w:rsidR="00735BBC">
        <w:t>3</w:t>
      </w:r>
      <w:r w:rsidR="00735BBC">
        <w:noBreakHyphen/>
        <w:t>1</w:t>
      </w:r>
      <w:r w:rsidR="00735BBC">
        <w:fldChar w:fldCharType="end"/>
      </w:r>
      <w:r w:rsidRPr="00A95A85">
        <w:t xml:space="preserve"> summarizes available information about </w:t>
      </w:r>
      <w:r>
        <w:t>DIC</w:t>
      </w:r>
      <w:r w:rsidRPr="00A95A85">
        <w:t xml:space="preserve"> from Dun &amp; Bradstreet. </w:t>
      </w:r>
    </w:p>
    <w:p w:rsidR="005F1D5F" w:rsidRPr="00A95A85" w:rsidP="005F1D5F" w14:paraId="4CDD5107" w14:textId="0EF304D1">
      <w:pPr>
        <w:pStyle w:val="Caption"/>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6"/>
        <w:gridCol w:w="1795"/>
        <w:gridCol w:w="2704"/>
        <w:gridCol w:w="1803"/>
        <w:gridCol w:w="1711"/>
      </w:tblGrid>
      <w:tr w14:paraId="65EEC9CB" w14:textId="77777777" w:rsidTr="000A1099">
        <w:tblPrEx>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
        </w:trPr>
        <w:tc>
          <w:tcPr>
            <w:tcW w:w="5000" w:type="pct"/>
            <w:gridSpan w:val="5"/>
            <w:tcBorders>
              <w:top w:val="nil"/>
              <w:left w:val="nil"/>
              <w:bottom w:val="single" w:sz="4" w:space="0" w:color="auto"/>
              <w:right w:val="nil"/>
            </w:tcBorders>
            <w:shd w:val="clear" w:color="auto" w:fill="auto"/>
            <w:vAlign w:val="center"/>
          </w:tcPr>
          <w:p w:rsidR="000A1099" w:rsidRPr="00A95A85" w:rsidP="00026204" w14:paraId="15BF460B" w14:textId="02EDABD9">
            <w:pPr>
              <w:pStyle w:val="TableTitleA"/>
            </w:pPr>
            <w:bookmarkStart w:id="104" w:name="_Ref166841138"/>
            <w:bookmarkStart w:id="105" w:name="_Toc184299550"/>
            <w:r w:rsidRPr="00A95A85">
              <w:t xml:space="preserve">Table </w:t>
            </w:r>
            <w:r>
              <w:fldChar w:fldCharType="begin" w:fldLock="1"/>
            </w:r>
            <w:r>
              <w:instrText>STYLEREF 1 \s</w:instrText>
            </w:r>
            <w:r>
              <w:fldChar w:fldCharType="separate"/>
            </w:r>
            <w:r w:rsidR="00735BBC">
              <w:rPr>
                <w:noProof/>
              </w:rPr>
              <w:t>3</w:t>
            </w:r>
            <w:r>
              <w:fldChar w:fldCharType="end"/>
            </w:r>
            <w:r w:rsidR="000A1542">
              <w:noBreakHyphen/>
            </w:r>
            <w:r>
              <w:fldChar w:fldCharType="begin" w:fldLock="1"/>
            </w:r>
            <w:r>
              <w:instrText>SEQ Table \* ARABIC \s 1</w:instrText>
            </w:r>
            <w:r>
              <w:fldChar w:fldCharType="separate"/>
            </w:r>
            <w:r w:rsidR="00735BBC">
              <w:rPr>
                <w:noProof/>
              </w:rPr>
              <w:t>1</w:t>
            </w:r>
            <w:r>
              <w:fldChar w:fldCharType="end"/>
            </w:r>
            <w:bookmarkEnd w:id="104"/>
            <w:r w:rsidRPr="00A95A85">
              <w:t>: Company Associated with Manufacturing of C.I. Pigment Violet 29</w:t>
            </w:r>
            <w:bookmarkEnd w:id="105"/>
          </w:p>
        </w:tc>
      </w:tr>
      <w:tr w14:paraId="024A24A4" w14:textId="77777777" w:rsidTr="000A1099">
        <w:tblPrEx>
          <w:tblW w:w="5005" w:type="pct"/>
          <w:tblInd w:w="-5" w:type="dxa"/>
          <w:tblLayout w:type="fixed"/>
          <w:tblLook w:val="04A0"/>
        </w:tblPrEx>
        <w:trPr>
          <w:trHeight w:val="570"/>
        </w:trPr>
        <w:tc>
          <w:tcPr>
            <w:tcW w:w="724" w:type="pct"/>
            <w:tcBorders>
              <w:top w:val="single" w:sz="4" w:space="0" w:color="auto"/>
            </w:tcBorders>
            <w:shd w:val="clear" w:color="auto" w:fill="013E5B"/>
            <w:vAlign w:val="center"/>
            <w:hideMark/>
          </w:tcPr>
          <w:p w:rsidR="005F1D5F" w:rsidRPr="00A95A85" w:rsidP="000D7F2B" w14:paraId="617A4F69" w14:textId="77777777">
            <w:pPr>
              <w:pStyle w:val="TableSubtitle"/>
            </w:pPr>
            <w:r w:rsidRPr="00A95A85">
              <w:t>Company</w:t>
            </w:r>
          </w:p>
        </w:tc>
        <w:tc>
          <w:tcPr>
            <w:tcW w:w="958" w:type="pct"/>
            <w:tcBorders>
              <w:top w:val="single" w:sz="4" w:space="0" w:color="auto"/>
            </w:tcBorders>
            <w:shd w:val="clear" w:color="auto" w:fill="013E5B"/>
            <w:vAlign w:val="center"/>
            <w:hideMark/>
          </w:tcPr>
          <w:p w:rsidR="005F1D5F" w:rsidRPr="00A95A85" w:rsidP="000D7F2B" w14:paraId="2C454F21" w14:textId="77777777">
            <w:pPr>
              <w:pStyle w:val="TableSubtitle"/>
            </w:pPr>
            <w:r w:rsidRPr="00A95A85">
              <w:t>Parent Company</w:t>
            </w:r>
          </w:p>
        </w:tc>
        <w:tc>
          <w:tcPr>
            <w:tcW w:w="1443" w:type="pct"/>
            <w:tcBorders>
              <w:top w:val="single" w:sz="4" w:space="0" w:color="auto"/>
            </w:tcBorders>
            <w:shd w:val="clear" w:color="auto" w:fill="013E5B"/>
            <w:vAlign w:val="center"/>
            <w:hideMark/>
          </w:tcPr>
          <w:p w:rsidR="005F1D5F" w:rsidRPr="00A95A85" w:rsidP="000D7F2B" w14:paraId="79F9729C" w14:textId="77777777">
            <w:pPr>
              <w:pStyle w:val="TableSubtitle"/>
            </w:pPr>
            <w:r w:rsidRPr="00A95A85">
              <w:t>Parent Primary NAICS Code</w:t>
            </w:r>
          </w:p>
        </w:tc>
        <w:tc>
          <w:tcPr>
            <w:tcW w:w="962" w:type="pct"/>
            <w:tcBorders>
              <w:top w:val="single" w:sz="4" w:space="0" w:color="auto"/>
            </w:tcBorders>
            <w:shd w:val="clear" w:color="auto" w:fill="013E5B"/>
            <w:vAlign w:val="center"/>
            <w:hideMark/>
          </w:tcPr>
          <w:p w:rsidR="005F1D5F" w:rsidRPr="00A95A85" w:rsidP="000D7F2B" w14:paraId="71AED1C4" w14:textId="77777777">
            <w:pPr>
              <w:pStyle w:val="TableSubtitle"/>
            </w:pPr>
            <w:r w:rsidRPr="00A95A85">
              <w:t>Parent Revenue (USD)</w:t>
            </w:r>
          </w:p>
        </w:tc>
        <w:tc>
          <w:tcPr>
            <w:tcW w:w="913" w:type="pct"/>
            <w:tcBorders>
              <w:top w:val="single" w:sz="4" w:space="0" w:color="auto"/>
            </w:tcBorders>
            <w:shd w:val="clear" w:color="auto" w:fill="013E5B"/>
            <w:vAlign w:val="center"/>
            <w:hideMark/>
          </w:tcPr>
          <w:p w:rsidR="005F1D5F" w:rsidRPr="00A95A85" w:rsidP="000D7F2B" w14:paraId="5AB23939" w14:textId="77777777">
            <w:pPr>
              <w:pStyle w:val="TableSubtitle"/>
            </w:pPr>
            <w:r w:rsidRPr="00A95A85">
              <w:t>Parent Number of Employees</w:t>
            </w:r>
          </w:p>
        </w:tc>
      </w:tr>
      <w:tr w14:paraId="0C108C08" w14:textId="77777777" w:rsidTr="007B106D">
        <w:tblPrEx>
          <w:tblW w:w="5005" w:type="pct"/>
          <w:tblInd w:w="-5" w:type="dxa"/>
          <w:tblLayout w:type="fixed"/>
          <w:tblLook w:val="04A0"/>
        </w:tblPrEx>
        <w:trPr>
          <w:trHeight w:val="557"/>
        </w:trPr>
        <w:tc>
          <w:tcPr>
            <w:tcW w:w="724" w:type="pct"/>
            <w:shd w:val="clear" w:color="auto" w:fill="auto"/>
            <w:noWrap/>
            <w:vAlign w:val="center"/>
            <w:hideMark/>
          </w:tcPr>
          <w:p w:rsidR="005F1D5F" w:rsidRPr="00A95A85" w:rsidP="00801D46" w14:paraId="716C4E63" w14:textId="77777777">
            <w:pPr>
              <w:pStyle w:val="LTableTextAbt"/>
            </w:pPr>
            <w:r w:rsidRPr="00A95A85">
              <w:t>Sun Chemical</w:t>
            </w:r>
          </w:p>
        </w:tc>
        <w:tc>
          <w:tcPr>
            <w:tcW w:w="958" w:type="pct"/>
            <w:shd w:val="clear" w:color="auto" w:fill="auto"/>
            <w:noWrap/>
            <w:vAlign w:val="center"/>
          </w:tcPr>
          <w:p w:rsidR="005F1D5F" w:rsidRPr="00A95A85" w:rsidP="00801D46" w14:paraId="63082F9D" w14:textId="77777777">
            <w:pPr>
              <w:pStyle w:val="LTableTextAbt"/>
            </w:pPr>
            <w:r w:rsidRPr="00A95A85">
              <w:t>DIC Group</w:t>
            </w:r>
          </w:p>
        </w:tc>
        <w:tc>
          <w:tcPr>
            <w:tcW w:w="1443" w:type="pct"/>
            <w:shd w:val="clear" w:color="auto" w:fill="auto"/>
            <w:noWrap/>
            <w:vAlign w:val="center"/>
          </w:tcPr>
          <w:p w:rsidR="005F1D5F" w:rsidRPr="00A95A85" w:rsidP="00801D46" w14:paraId="4C179059" w14:textId="77777777">
            <w:pPr>
              <w:pStyle w:val="LTableTextAbt"/>
            </w:pPr>
            <w:r w:rsidRPr="00A95A85">
              <w:t xml:space="preserve">325910: Printing ink manufacturing </w:t>
            </w:r>
          </w:p>
        </w:tc>
        <w:tc>
          <w:tcPr>
            <w:tcW w:w="962" w:type="pct"/>
            <w:shd w:val="clear" w:color="auto" w:fill="auto"/>
            <w:noWrap/>
            <w:vAlign w:val="center"/>
          </w:tcPr>
          <w:p w:rsidR="005F1D5F" w:rsidRPr="00A95A85" w:rsidP="00801D46" w14:paraId="3F0978E7" w14:textId="77777777">
            <w:pPr>
              <w:pStyle w:val="RTableTextAbt"/>
              <w:ind w:right="340"/>
            </w:pPr>
            <w:r w:rsidRPr="00A95A85">
              <w:t>$7.4 billion</w:t>
            </w:r>
          </w:p>
        </w:tc>
        <w:tc>
          <w:tcPr>
            <w:tcW w:w="913" w:type="pct"/>
            <w:shd w:val="clear" w:color="auto" w:fill="auto"/>
            <w:noWrap/>
            <w:vAlign w:val="center"/>
          </w:tcPr>
          <w:p w:rsidR="005F1D5F" w:rsidRPr="00A95A85" w:rsidP="00801D46" w14:paraId="69701633" w14:textId="77777777">
            <w:pPr>
              <w:pStyle w:val="RTableTextAbt"/>
              <w:ind w:right="340"/>
            </w:pPr>
            <w:r w:rsidRPr="00A95A85">
              <w:t>22,255</w:t>
            </w:r>
          </w:p>
        </w:tc>
      </w:tr>
      <w:tr w14:paraId="22360BD4" w14:textId="77777777" w:rsidTr="007B106D">
        <w:tblPrEx>
          <w:tblW w:w="5005" w:type="pct"/>
          <w:tblInd w:w="-5" w:type="dxa"/>
          <w:tblLayout w:type="fixed"/>
          <w:tblLook w:val="04A0"/>
        </w:tblPrEx>
        <w:trPr>
          <w:trHeight w:val="300"/>
        </w:trPr>
        <w:tc>
          <w:tcPr>
            <w:tcW w:w="5000" w:type="pct"/>
            <w:gridSpan w:val="5"/>
          </w:tcPr>
          <w:p w:rsidR="005F1D5F" w:rsidRPr="00A95A85" w:rsidP="00CA0464" w14:paraId="71D8B8CA" w14:textId="40000F42">
            <w:pPr>
              <w:pStyle w:val="TableNote0"/>
            </w:pPr>
            <w:r w:rsidRPr="00A95A85">
              <w:t xml:space="preserve">Source: </w:t>
            </w:r>
            <w:hyperlink w:anchor="_ENREF_15" w:tooltip="Dun &amp; Bradstreet, 2024 #15" w:history="1">
              <w:r w:rsidR="003D6084">
                <w:fldChar w:fldCharType="begin" w:fldLock="1"/>
              </w:r>
              <w:r w:rsidR="003D6084">
                <w:instrText xml:space="preserve"> ADDIN EN.CITE &lt;EndNote&gt;&lt;Cite AuthorYear="1"&gt;&lt;Author&gt;Dun &amp;amp; Bradstreet&lt;/Author&gt;&lt;Year&gt;2024&lt;/Year&gt;&lt;RecNum&gt;15&lt;/RecNum&gt;&lt;DisplayText&gt;Dun &amp;amp; Bradstreet (2024)&lt;/DisplayText&gt;&lt;record&gt;&lt;rec-number&gt;15&lt;/rec-number&gt;&lt;foreign-keys&gt;&lt;key app="EN" db-id="2apzr05radv9fjet2w6xxwdlz5e9vwfxredw" timestamp="1730757315"&gt;15&lt;/key&gt;&lt;/foreign-keys&gt;&lt;ref-type name="Generic"&gt;13&lt;/ref-type&gt;&lt;contributors&gt;&lt;authors&gt;&lt;author&gt;Dun &amp;amp; Bradstreet,, Inc.,&lt;/author&gt;&lt;/authors&gt;&lt;/contributors&gt;&lt;titles&gt;&lt;title&gt;Dun &amp;amp; Bradstreet Hoovers Company Reports. Proprietary Database.&lt;/title&gt;&lt;/titles&gt;&lt;dates&gt;&lt;year&gt;2024&lt;/year&gt;&lt;/dates&gt;&lt;urls&gt;&lt;/urls&gt;&lt;/record&gt;&lt;/Cite&gt;&lt;/EndNote&gt;</w:instrText>
              </w:r>
              <w:r w:rsidR="003D6084">
                <w:fldChar w:fldCharType="separate"/>
              </w:r>
              <w:r w:rsidR="003D6084">
                <w:rPr>
                  <w:noProof/>
                </w:rPr>
                <w:t>Dun &amp; Bradstreet (2024)</w:t>
              </w:r>
              <w:r w:rsidR="003D6084">
                <w:fldChar w:fldCharType="end"/>
              </w:r>
            </w:hyperlink>
            <w:r w:rsidR="0081769B">
              <w:t xml:space="preserve"> data</w:t>
            </w:r>
          </w:p>
        </w:tc>
      </w:tr>
    </w:tbl>
    <w:p w:rsidR="005F1D5F" w:rsidRPr="00A95A85" w:rsidP="005F1D5F" w14:paraId="0E7093F8" w14:textId="77777777">
      <w:pPr>
        <w:pStyle w:val="FootnoteText"/>
      </w:pPr>
    </w:p>
    <w:p w:rsidR="005F1D5F" w:rsidRPr="00A95A85" w:rsidP="00832749" w14:paraId="0FE93D4E" w14:textId="502841C0">
      <w:pPr>
        <w:pStyle w:val="BodyText"/>
      </w:pPr>
      <w:r w:rsidRPr="4BA86F39">
        <w:rPr>
          <w:lang w:val="en-US"/>
        </w:rPr>
        <w:t>The procedure for manufacturing has been well-established and has not changed in the last 80 years</w:t>
      </w:r>
      <w:r w:rsidR="00276B3C">
        <w:rPr>
          <w:lang w:val="en-US"/>
        </w:rPr>
        <w:t xml:space="preserve"> (</w:t>
      </w:r>
      <w:hyperlink w:anchor="_ENREF_65" w:tooltip="U.S. Environmental Protection Agency (EPA), 2021 #61" w:history="1">
        <w:r w:rsidRPr="00CA6588" w:rsidR="003D6084">
          <w:fldChar w:fldCharType="begin" w:fldLock="1"/>
        </w:r>
        <w:r w:rsidR="003D6084">
          <w:instrText xml:space="preserve"> ADDIN EN.CITE &lt;EndNote&gt;&lt;Cite ExcludeAuth="1"&gt;&lt;Author&gt;U.S. Environmental Protection Agency (EPA)&lt;/Author&gt;&lt;Year&gt;2021&lt;/Year&gt;&lt;RecNum&gt;61&lt;/RecNum&gt;&lt;Prefix&gt;EPA &lt;/Prefix&gt;&lt;DisplayText&gt;EPA 2021e&lt;/DisplayText&gt;&lt;record&gt;&lt;rec-number&gt;61&lt;/rec-number&gt;&lt;foreign-keys&gt;&lt;key app="EN" db-id="2apzr05radv9fjet2w6xxwdlz5e9vwfxredw" timestamp="1730757315"&gt;61&lt;/key&gt;&lt;/foreign-keys&gt;&lt;ref-type name="Generic"&gt;13&lt;/ref-type&gt;&lt;contributors&gt;&lt;authors&gt;&lt;author&gt;U.S. Environmental Protection Agency (EPA),&lt;/author&gt;&lt;/authors&gt;&lt;subsidiary-authors&gt;&lt;author&gt;Office of Chemical Safety and Pollution Prevention&lt;/author&gt;&lt;/subsidiary-authors&gt;&lt;/contributors&gt;&lt;titles&gt;&lt;title&gt;Risk Evaluation for C.I. Pigment Violet 29 (Anthra[2,1,9-def:6,5,10-d&amp;apos;e&amp;apos;f&amp;apos;]diisoquinoline-1,3,8,10(2H,9H)-tetrone)&lt;/title&gt;&lt;/titles&gt;&lt;number&gt;# 740-R-18-015&lt;/number&gt;&lt;dates&gt;&lt;year&gt;2021&lt;/year&gt;&lt;/dates&gt;&lt;urls&gt;&lt;/urls&gt;&lt;/record&gt;&lt;/Cite&gt;&lt;/EndNote&gt;</w:instrText>
        </w:r>
        <w:r w:rsidRPr="00CA6588" w:rsidR="003D6084">
          <w:fldChar w:fldCharType="separate"/>
        </w:r>
        <w:r w:rsidR="003D6084">
          <w:rPr>
            <w:noProof/>
          </w:rPr>
          <w:t>EPA 2021e</w:t>
        </w:r>
        <w:r w:rsidRPr="00CA6588" w:rsidR="003D6084">
          <w:fldChar w:fldCharType="end"/>
        </w:r>
      </w:hyperlink>
      <w:r w:rsidR="00276B3C">
        <w:rPr>
          <w:lang w:val="en-US"/>
        </w:rPr>
        <w:t>)</w:t>
      </w:r>
      <w:r w:rsidRPr="4BA86F39">
        <w:rPr>
          <w:lang w:val="en-US"/>
        </w:rPr>
        <w:t xml:space="preserve">. The domestic manufacturer of PV29 produces it as a solid (powder) that is used within its own plant to produce other pigments or is sold to other manufacturers and processers in bags. </w:t>
      </w:r>
    </w:p>
    <w:p w:rsidR="005F1D5F" w:rsidRPr="00A95A85" w:rsidP="00832749" w14:paraId="01E19342" w14:textId="582EB395">
      <w:pPr>
        <w:pStyle w:val="BodyText"/>
      </w:pPr>
      <w:r w:rsidRPr="00A95A85">
        <w:t xml:space="preserve">According to </w:t>
      </w:r>
      <w:r>
        <w:t xml:space="preserve">information </w:t>
      </w:r>
      <w:r w:rsidRPr="00A95A85">
        <w:t xml:space="preserve">provided by Sun Chemical Corporation </w:t>
      </w:r>
      <w:r w:rsidR="006D48FC">
        <w:t>(</w:t>
      </w:r>
      <w:hyperlink w:anchor="_ENREF_60" w:tooltip="U.S. Environmental Protection Agency (EPA), 2020 #59" w:history="1">
        <w:r w:rsidR="003D6084">
          <w:fldChar w:fldCharType="begin" w:fldLock="1"/>
        </w:r>
        <w:r w:rsidR="003D6084">
          <w:instrText xml:space="preserve"> ADDIN EN.CITE &lt;EndNote&gt;&lt;Cite ExcludeAuth="1"&gt;&lt;Author&gt;U.S. Environmental Protection Agency (EPA)&lt;/Author&gt;&lt;Year&gt;2020&lt;/Year&gt;&lt;RecNum&gt;59&lt;/RecNum&gt;&lt;Prefix&gt;EPA &lt;/Prefix&gt;&lt;DisplayText&gt;EPA 2020b&lt;/DisplayText&gt;&lt;record&gt;&lt;rec-number&gt;59&lt;/rec-number&gt;&lt;foreign-keys&gt;&lt;key app="EN" db-id="2apzr05radv9fjet2w6xxwdlz5e9vwfxredw" timestamp="1730757315"&gt;59&lt;/key&gt;&lt;/foreign-keys&gt;&lt;ref-type name="Generic"&gt;13&lt;/ref-type&gt;&lt;contributors&gt;&lt;authors&gt;&lt;author&gt;U.S. Environmental Protection Agency (EPA),&lt;/author&gt;&lt;/authors&gt;&lt;/contributors&gt;&lt;titles&gt;&lt;title&gt;Chemical Risk Evaluation Meeting with Sun Chemical Corporation, Color Pigments Manufacturers Association and EPA to discuss the Downstream Processors of C.I. Pigment Violet 29 (PV29)&lt;/title&gt;&lt;/titles&gt;&lt;dates&gt;&lt;year&gt;2020&lt;/year&gt;&lt;/dates&gt;&lt;urls&gt;&lt;/urls&gt;&lt;/record&gt;&lt;/Cite&gt;&lt;/EndNote&gt;</w:instrText>
        </w:r>
        <w:r w:rsidR="003D6084">
          <w:fldChar w:fldCharType="separate"/>
        </w:r>
        <w:r w:rsidR="003D6084">
          <w:rPr>
            <w:noProof/>
          </w:rPr>
          <w:t>EPA 2020b</w:t>
        </w:r>
        <w:r w:rsidR="003D6084">
          <w:fldChar w:fldCharType="end"/>
        </w:r>
      </w:hyperlink>
      <w:r w:rsidR="006D48FC">
        <w:t>)</w:t>
      </w:r>
      <w:r w:rsidRPr="00A95A85">
        <w:t>, there are</w:t>
      </w:r>
      <w:r>
        <w:t xml:space="preserve"> between 2 and</w:t>
      </w:r>
      <w:r w:rsidRPr="00A95A85">
        <w:t xml:space="preserve"> 22 workers directly handling PV29 at the manufacturing facility, and 56 occupational non-users (ONUs) who might be exposed to the pigment during manufacturing. It also specified that there are two primary packing configurations for PV29 employed at the facility: a 20 kg bag and a 300 kg bulk bag</w:t>
      </w:r>
      <w:r w:rsidR="0072294B">
        <w:t xml:space="preserve"> (</w:t>
      </w:r>
      <w:hyperlink w:anchor="_ENREF_60" w:tooltip="U.S. Environmental Protection Agency (EPA), 2020 #59" w:history="1">
        <w:r w:rsidR="003D6084">
          <w:fldChar w:fldCharType="begin" w:fldLock="1"/>
        </w:r>
        <w:r w:rsidR="003D6084">
          <w:instrText xml:space="preserve"> ADDIN EN.CITE &lt;EndNote&gt;&lt;Cite ExcludeAuth="1"&gt;&lt;Author&gt;U.S. Environmental Protection Agency (EPA)&lt;/Author&gt;&lt;Year&gt;2020&lt;/Year&gt;&lt;RecNum&gt;59&lt;/RecNum&gt;&lt;Prefix&gt;EPA &lt;/Prefix&gt;&lt;DisplayText&gt;EPA 2020b&lt;/DisplayText&gt;&lt;record&gt;&lt;rec-number&gt;59&lt;/rec-number&gt;&lt;foreign-keys&gt;&lt;key app="EN" db-id="2apzr05radv9fjet2w6xxwdlz5e9vwfxredw" timestamp="1730757315"&gt;59&lt;/key&gt;&lt;/foreign-keys&gt;&lt;ref-type name="Generic"&gt;13&lt;/ref-type&gt;&lt;contributors&gt;&lt;authors&gt;&lt;author&gt;U.S. Environmental Protection Agency (EPA),&lt;/author&gt;&lt;/authors&gt;&lt;/contributors&gt;&lt;titles&gt;&lt;title&gt;Chemical Risk Evaluation Meeting with Sun Chemical Corporation, Color Pigments Manufacturers Association and EPA to discuss the Downstream Processors of C.I. Pigment Violet 29 (PV29)&lt;/title&gt;&lt;/titles&gt;&lt;dates&gt;&lt;year&gt;2020&lt;/year&gt;&lt;/dates&gt;&lt;urls&gt;&lt;/urls&gt;&lt;/record&gt;&lt;/Cite&gt;&lt;/EndNote&gt;</w:instrText>
        </w:r>
        <w:r w:rsidR="003D6084">
          <w:fldChar w:fldCharType="separate"/>
        </w:r>
        <w:r w:rsidR="003D6084">
          <w:rPr>
            <w:noProof/>
          </w:rPr>
          <w:t>EPA 2020b</w:t>
        </w:r>
        <w:r w:rsidR="003D6084">
          <w:fldChar w:fldCharType="end"/>
        </w:r>
      </w:hyperlink>
      <w:r w:rsidR="0072294B">
        <w:t>)</w:t>
      </w:r>
      <w:r w:rsidRPr="00A95A85">
        <w:t xml:space="preserve">. </w:t>
      </w:r>
    </w:p>
    <w:p w:rsidR="005F1D5F" w:rsidRPr="00A95A85" w:rsidP="00832749" w14:paraId="45DB0E1D" w14:textId="7305E4F0">
      <w:pPr>
        <w:pStyle w:val="BodyText"/>
      </w:pPr>
      <w:r w:rsidRPr="4BA86F39">
        <w:rPr>
          <w:lang w:val="en-US"/>
        </w:rPr>
        <w:t>Facility-wide, the minimum PPE requirements include long-sleeve shirt, long-pants, steeled-toed safety shoes, safety glasses, and hard hat</w:t>
      </w:r>
      <w:r w:rsidR="0072294B">
        <w:rPr>
          <w:lang w:val="en-US"/>
        </w:rPr>
        <w:t xml:space="preserve"> </w:t>
      </w:r>
      <w:r w:rsidR="0072294B">
        <w:t>(</w:t>
      </w:r>
      <w:hyperlink w:anchor="_ENREF_60" w:tooltip="U.S. Environmental Protection Agency (EPA), 2020 #59" w:history="1">
        <w:r w:rsidR="003D6084">
          <w:fldChar w:fldCharType="begin" w:fldLock="1"/>
        </w:r>
        <w:r w:rsidR="003D6084">
          <w:instrText xml:space="preserve"> ADDIN EN.CITE &lt;EndNote&gt;&lt;Cite ExcludeAuth="1"&gt;&lt;Author&gt;U.S. Environmental Protection Agency (EPA)&lt;/Author&gt;&lt;Year&gt;2020&lt;/Year&gt;&lt;RecNum&gt;59&lt;/RecNum&gt;&lt;Prefix&gt;EPA &lt;/Prefix&gt;&lt;DisplayText&gt;EPA 2020b&lt;/DisplayText&gt;&lt;record&gt;&lt;rec-number&gt;59&lt;/rec-number&gt;&lt;foreign-keys&gt;&lt;key app="EN" db-id="2apzr05radv9fjet2w6xxwdlz5e9vwfxredw" timestamp="1730757315"&gt;59&lt;/key&gt;&lt;/foreign-keys&gt;&lt;ref-type name="Generic"&gt;13&lt;/ref-type&gt;&lt;contributors&gt;&lt;authors&gt;&lt;author&gt;U.S. Environmental Protection Agency (EPA),&lt;/author&gt;&lt;/authors&gt;&lt;/contributors&gt;&lt;titles&gt;&lt;title&gt;Chemical Risk Evaluation Meeting with Sun Chemical Corporation, Color Pigments Manufacturers Association and EPA to discuss the Downstream Processors of C.I. Pigment Violet 29 (PV29)&lt;/title&gt;&lt;/titles&gt;&lt;dates&gt;&lt;year&gt;2020&lt;/year&gt;&lt;/dates&gt;&lt;urls&gt;&lt;/urls&gt;&lt;/record&gt;&lt;/Cite&gt;&lt;/EndNote&gt;</w:instrText>
        </w:r>
        <w:r w:rsidR="003D6084">
          <w:fldChar w:fldCharType="separate"/>
        </w:r>
        <w:r w:rsidR="003D6084">
          <w:rPr>
            <w:noProof/>
          </w:rPr>
          <w:t>EPA 2020b</w:t>
        </w:r>
        <w:r w:rsidR="003D6084">
          <w:fldChar w:fldCharType="end"/>
        </w:r>
      </w:hyperlink>
      <w:r w:rsidR="0072294B">
        <w:t>)</w:t>
      </w:r>
      <w:r w:rsidRPr="4BA86F39" w:rsidR="0039164C">
        <w:rPr>
          <w:lang w:val="en-US"/>
        </w:rPr>
        <w:t xml:space="preserve">. </w:t>
      </w:r>
      <w:r w:rsidRPr="4BA86F39">
        <w:rPr>
          <w:lang w:val="en-US"/>
        </w:rPr>
        <w:t xml:space="preserve">In the buildings where PV29 pigments are handled, additional </w:t>
      </w:r>
      <w:r w:rsidR="00C66897">
        <w:rPr>
          <w:lang w:val="en-US"/>
        </w:rPr>
        <w:t xml:space="preserve">minimum </w:t>
      </w:r>
      <w:r w:rsidRPr="4BA86F39">
        <w:rPr>
          <w:lang w:val="en-US"/>
        </w:rPr>
        <w:t xml:space="preserve">requirements include safety glasses, nitrile gloves, Tyvek coveralls, and 3M N95 8511 paper dust mask. Because PPE information comes directly from the company impacted, EPA assumes a 100% baseline compliance rate with </w:t>
      </w:r>
      <w:r w:rsidRPr="7C749AB7" w:rsidR="005B0A3C">
        <w:rPr>
          <w:lang w:val="en-US"/>
        </w:rPr>
        <w:t xml:space="preserve">Sun Chemical Corporation’s facility </w:t>
      </w:r>
      <w:r w:rsidRPr="4BA86F39">
        <w:rPr>
          <w:lang w:val="en-US"/>
        </w:rPr>
        <w:t>PPE requirements.</w:t>
      </w:r>
    </w:p>
    <w:p w:rsidR="005F1D5F" w:rsidRPr="00A95A85" w:rsidP="00832749" w14:paraId="7FB93EC8" w14:textId="28F28D9D">
      <w:pPr>
        <w:pStyle w:val="BodyText"/>
      </w:pPr>
      <w:r w:rsidRPr="4BA86F39">
        <w:rPr>
          <w:lang w:val="en-US"/>
        </w:rPr>
        <w:t xml:space="preserve">Annual production volume is approximately 600,000 lbs, as shown in </w:t>
      </w:r>
      <w:r w:rsidRPr="00A95A85">
        <w:fldChar w:fldCharType="begin" w:fldLock="1"/>
      </w:r>
      <w:r w:rsidRPr="00A95A85">
        <w:instrText xml:space="preserve"> REF _Ref70430876 \h  \* MERGEFORMAT </w:instrText>
      </w:r>
      <w:r w:rsidRPr="00A95A85">
        <w:fldChar w:fldCharType="separate"/>
      </w:r>
      <w:r w:rsidRPr="00735BBC" w:rsidR="00735BBC">
        <w:rPr>
          <w:lang w:val="en-US"/>
        </w:rPr>
        <w:t>Table 3</w:t>
      </w:r>
      <w:r w:rsidRPr="00735BBC" w:rsidR="00735BBC">
        <w:rPr>
          <w:lang w:val="en-US"/>
        </w:rPr>
        <w:noBreakHyphen/>
        <w:t>2</w:t>
      </w:r>
      <w:r w:rsidRPr="00A95A85">
        <w:fldChar w:fldCharType="end"/>
      </w:r>
      <w:r w:rsidRPr="4BA86F39">
        <w:rPr>
          <w:lang w:val="en-US"/>
        </w:rPr>
        <w:t>. According to information provided to EPA, 90 percent or 540,000 lbs of PV29 are used internally by the manufacturer, as discussed in Section</w:t>
      </w:r>
      <w:r w:rsidR="00870B10">
        <w:rPr>
          <w:lang w:val="en-US"/>
        </w:rPr>
        <w:t xml:space="preserve"> </w:t>
      </w:r>
      <w:r w:rsidR="00552E44">
        <w:rPr>
          <w:highlight w:val="yellow"/>
          <w:lang w:val="en-US"/>
        </w:rPr>
        <w:fldChar w:fldCharType="begin" w:fldLock="1"/>
      </w:r>
      <w:r w:rsidR="00552E44">
        <w:rPr>
          <w:lang w:val="en-US"/>
        </w:rPr>
        <w:instrText xml:space="preserve"> REF _Ref175217519 \r \h </w:instrText>
      </w:r>
      <w:r w:rsidR="00552E44">
        <w:rPr>
          <w:highlight w:val="yellow"/>
          <w:lang w:val="en-US"/>
        </w:rPr>
        <w:fldChar w:fldCharType="separate"/>
      </w:r>
      <w:r w:rsidR="00735BBC">
        <w:rPr>
          <w:lang w:val="en-US"/>
        </w:rPr>
        <w:t>3.1.2</w:t>
      </w:r>
      <w:r w:rsidR="00552E44">
        <w:rPr>
          <w:highlight w:val="yellow"/>
          <w:lang w:val="en-US"/>
        </w:rPr>
        <w:fldChar w:fldCharType="end"/>
      </w:r>
      <w:r w:rsidRPr="4BA86F39">
        <w:rPr>
          <w:lang w:val="en-US"/>
        </w:rPr>
        <w:t xml:space="preserve">. Of the remaining 60,000 lbs, approximately one third (20,000 lbs) goes to foreign customers </w:t>
      </w:r>
      <w:r w:rsidR="0072294B">
        <w:t>(</w:t>
      </w:r>
      <w:hyperlink w:anchor="_ENREF_60" w:tooltip="U.S. Environmental Protection Agency (EPA), 2020 #59" w:history="1">
        <w:r w:rsidR="003D6084">
          <w:fldChar w:fldCharType="begin" w:fldLock="1"/>
        </w:r>
        <w:r w:rsidR="003D6084">
          <w:instrText xml:space="preserve"> ADDIN EN.CITE &lt;EndNote&gt;&lt;Cite ExcludeAuth="1"&gt;&lt;Author&gt;U.S. Environmental Protection Agency (EPA)&lt;/Author&gt;&lt;Year&gt;2020&lt;/Year&gt;&lt;RecNum&gt;59&lt;/RecNum&gt;&lt;Prefix&gt;EPA &lt;/Prefix&gt;&lt;DisplayText&gt;EPA 2020b&lt;/DisplayText&gt;&lt;record&gt;&lt;rec-number&gt;59&lt;/rec-number&gt;&lt;foreign-keys&gt;&lt;key app="EN" db-id="2apzr05radv9fjet2w6xxwdlz5e9vwfxredw" timestamp="1730757315"&gt;59&lt;/key&gt;&lt;/foreign-keys&gt;&lt;ref-type name="Generic"&gt;13&lt;/ref-type&gt;&lt;contributors&gt;&lt;authors&gt;&lt;author&gt;U.S. Environmental Protection Agency (EPA),&lt;/author&gt;&lt;/authors&gt;&lt;/contributors&gt;&lt;titles&gt;&lt;title&gt;Chemical Risk Evaluation Meeting with Sun Chemical Corporation, Color Pigments Manufacturers Association and EPA to discuss the Downstream Processors of C.I. Pigment Violet 29 (PV29)&lt;/title&gt;&lt;/titles&gt;&lt;dates&gt;&lt;year&gt;2020&lt;/year&gt;&lt;/dates&gt;&lt;urls&gt;&lt;/urls&gt;&lt;/record&gt;&lt;/Cite&gt;&lt;/EndNote&gt;</w:instrText>
        </w:r>
        <w:r w:rsidR="003D6084">
          <w:fldChar w:fldCharType="separate"/>
        </w:r>
        <w:r w:rsidR="003D6084">
          <w:rPr>
            <w:noProof/>
          </w:rPr>
          <w:t>EPA 2020b</w:t>
        </w:r>
        <w:r w:rsidR="003D6084">
          <w:fldChar w:fldCharType="end"/>
        </w:r>
      </w:hyperlink>
      <w:r w:rsidR="0072294B">
        <w:t>)</w:t>
      </w:r>
      <w:r w:rsidRPr="4BA86F39" w:rsidR="004126B4">
        <w:rPr>
          <w:lang w:val="en-US"/>
        </w:rPr>
        <w:t xml:space="preserve"> </w:t>
      </w:r>
      <w:r w:rsidRPr="4BA86F39">
        <w:rPr>
          <w:lang w:val="en-US"/>
        </w:rPr>
        <w:t>and is not assessed further in this economic analysis. The remaining 40,000 lbs is sold to other domestic companies, including automotive paint manufacturers and plastics and rubber manufacturers, as described further in Section</w:t>
      </w:r>
      <w:r w:rsidR="00F711D4">
        <w:rPr>
          <w:lang w:val="en-US"/>
        </w:rPr>
        <w:t xml:space="preserve"> </w:t>
      </w:r>
      <w:r w:rsidR="00F711D4">
        <w:rPr>
          <w:highlight w:val="yellow"/>
          <w:lang w:val="en-US"/>
        </w:rPr>
        <w:fldChar w:fldCharType="begin" w:fldLock="1"/>
      </w:r>
      <w:r w:rsidR="00F711D4">
        <w:rPr>
          <w:lang w:val="en-US"/>
        </w:rPr>
        <w:instrText xml:space="preserve"> REF _Ref175217519 \r \h </w:instrText>
      </w:r>
      <w:r w:rsidR="00F711D4">
        <w:rPr>
          <w:highlight w:val="yellow"/>
          <w:lang w:val="en-US"/>
        </w:rPr>
        <w:fldChar w:fldCharType="separate"/>
      </w:r>
      <w:r w:rsidR="00735BBC">
        <w:rPr>
          <w:lang w:val="en-US"/>
        </w:rPr>
        <w:t>3.1.2</w:t>
      </w:r>
      <w:r w:rsidR="00F711D4">
        <w:rPr>
          <w:highlight w:val="yellow"/>
          <w:lang w:val="en-US"/>
        </w:rPr>
        <w:fldChar w:fldCharType="end"/>
      </w:r>
      <w:r w:rsidRPr="4BA86F39">
        <w:rPr>
          <w:lang w:val="en-US"/>
        </w:rPr>
        <w:t>.</w:t>
      </w:r>
    </w:p>
    <w:p w:rsidR="005F1D5F" w:rsidRPr="00A95A85" w:rsidP="005F1D5F" w14:paraId="00AA841C" w14:textId="1EB5B543">
      <w:pPr>
        <w:pStyle w:val="Caption"/>
      </w:pPr>
    </w:p>
    <w:tbl>
      <w:tblPr>
        <w:tblStyle w:val="TableGrid"/>
        <w:tblW w:w="5005" w:type="pct"/>
        <w:tblInd w:w="-5" w:type="dxa"/>
        <w:tblLook w:val="04A0"/>
      </w:tblPr>
      <w:tblGrid>
        <w:gridCol w:w="2343"/>
        <w:gridCol w:w="2342"/>
        <w:gridCol w:w="2342"/>
        <w:gridCol w:w="2342"/>
      </w:tblGrid>
      <w:tr w14:paraId="1912381F" w14:textId="77777777" w:rsidTr="003C6E58">
        <w:tblPrEx>
          <w:tblW w:w="5005" w:type="pct"/>
          <w:tblInd w:w="-5" w:type="dxa"/>
          <w:tblLook w:val="04A0"/>
        </w:tblPrEx>
        <w:trPr>
          <w:tblHeader/>
        </w:trPr>
        <w:tc>
          <w:tcPr>
            <w:tcW w:w="5000" w:type="pct"/>
            <w:gridSpan w:val="4"/>
            <w:tcBorders>
              <w:top w:val="nil"/>
              <w:left w:val="nil"/>
              <w:bottom w:val="single" w:sz="4" w:space="0" w:color="auto"/>
              <w:right w:val="nil"/>
            </w:tcBorders>
            <w:shd w:val="clear" w:color="auto" w:fill="auto"/>
          </w:tcPr>
          <w:p w:rsidR="006D5E51" w:rsidRPr="00A95A85" w:rsidP="00026204" w14:paraId="3655EA81" w14:textId="08546C27">
            <w:pPr>
              <w:pStyle w:val="TableTitleA"/>
            </w:pPr>
            <w:bookmarkStart w:id="106" w:name="_Ref70430876"/>
            <w:bookmarkStart w:id="107" w:name="_Toc184299551"/>
            <w:r w:rsidRPr="00A95A85">
              <w:t xml:space="preserve">Table </w:t>
            </w:r>
            <w:r>
              <w:fldChar w:fldCharType="begin" w:fldLock="1"/>
            </w:r>
            <w:r>
              <w:instrText>STYLEREF 1 \s</w:instrText>
            </w:r>
            <w:r>
              <w:fldChar w:fldCharType="separate"/>
            </w:r>
            <w:r w:rsidR="00735BBC">
              <w:rPr>
                <w:noProof/>
              </w:rPr>
              <w:t>3</w:t>
            </w:r>
            <w:r>
              <w:fldChar w:fldCharType="end"/>
            </w:r>
            <w:r w:rsidR="000A1542">
              <w:noBreakHyphen/>
            </w:r>
            <w:r>
              <w:fldChar w:fldCharType="begin" w:fldLock="1"/>
            </w:r>
            <w:r>
              <w:instrText>SEQ Table \* ARABIC \s 1</w:instrText>
            </w:r>
            <w:r>
              <w:fldChar w:fldCharType="separate"/>
            </w:r>
            <w:r w:rsidR="00735BBC">
              <w:rPr>
                <w:noProof/>
              </w:rPr>
              <w:t>2</w:t>
            </w:r>
            <w:r>
              <w:fldChar w:fldCharType="end"/>
            </w:r>
            <w:bookmarkEnd w:id="106"/>
            <w:r w:rsidRPr="00A95A85">
              <w:t>: National Production Volume Data for C.I. Pigment Violet 29</w:t>
            </w:r>
            <w:r>
              <w:t xml:space="preserve"> (</w:t>
            </w:r>
            <w:r w:rsidRPr="00A95A85">
              <w:t>Total Aggregate Production Volume (lbs)</w:t>
            </w:r>
            <w:r>
              <w:t>)</w:t>
            </w:r>
            <w:bookmarkEnd w:id="107"/>
          </w:p>
        </w:tc>
      </w:tr>
      <w:tr w14:paraId="5D504585" w14:textId="77777777" w:rsidTr="003C6E58">
        <w:tblPrEx>
          <w:tblW w:w="5005" w:type="pct"/>
          <w:tblInd w:w="-5" w:type="dxa"/>
          <w:tblLook w:val="04A0"/>
        </w:tblPrEx>
        <w:trPr>
          <w:tblHeader/>
        </w:trPr>
        <w:tc>
          <w:tcPr>
            <w:tcW w:w="1250" w:type="pct"/>
            <w:tcBorders>
              <w:top w:val="single" w:sz="4" w:space="0" w:color="auto"/>
            </w:tcBorders>
            <w:shd w:val="clear" w:color="auto" w:fill="013E5B"/>
          </w:tcPr>
          <w:p w:rsidR="003C6E58" w:rsidRPr="00A95A85" w:rsidP="000D7F2B" w14:paraId="54C267D3" w14:textId="77777777">
            <w:pPr>
              <w:pStyle w:val="TableSubtitle"/>
            </w:pPr>
            <w:r w:rsidRPr="00A95A85">
              <w:t>2012</w:t>
            </w:r>
          </w:p>
        </w:tc>
        <w:tc>
          <w:tcPr>
            <w:tcW w:w="1250" w:type="pct"/>
            <w:tcBorders>
              <w:top w:val="single" w:sz="4" w:space="0" w:color="auto"/>
            </w:tcBorders>
            <w:shd w:val="clear" w:color="auto" w:fill="013E5B"/>
          </w:tcPr>
          <w:p w:rsidR="003C6E58" w:rsidRPr="00A95A85" w:rsidP="000D7F2B" w14:paraId="4115F97C" w14:textId="77777777">
            <w:pPr>
              <w:pStyle w:val="TableSubtitle"/>
            </w:pPr>
            <w:r w:rsidRPr="00A95A85">
              <w:t>2013</w:t>
            </w:r>
          </w:p>
        </w:tc>
        <w:tc>
          <w:tcPr>
            <w:tcW w:w="1250" w:type="pct"/>
            <w:tcBorders>
              <w:top w:val="single" w:sz="4" w:space="0" w:color="auto"/>
            </w:tcBorders>
            <w:shd w:val="clear" w:color="auto" w:fill="013E5B"/>
          </w:tcPr>
          <w:p w:rsidR="003C6E58" w:rsidRPr="00A95A85" w:rsidP="000D7F2B" w14:paraId="0310D488" w14:textId="77777777">
            <w:pPr>
              <w:pStyle w:val="TableSubtitle"/>
            </w:pPr>
            <w:r w:rsidRPr="00A95A85">
              <w:t>2014</w:t>
            </w:r>
          </w:p>
        </w:tc>
        <w:tc>
          <w:tcPr>
            <w:tcW w:w="1250" w:type="pct"/>
            <w:tcBorders>
              <w:top w:val="single" w:sz="4" w:space="0" w:color="auto"/>
            </w:tcBorders>
            <w:shd w:val="clear" w:color="auto" w:fill="013E5B"/>
          </w:tcPr>
          <w:p w:rsidR="003C6E58" w:rsidRPr="00A95A85" w:rsidP="000D7F2B" w14:paraId="37B607A6" w14:textId="77777777">
            <w:pPr>
              <w:pStyle w:val="TableSubtitle"/>
            </w:pPr>
            <w:r w:rsidRPr="00A95A85">
              <w:t>2015</w:t>
            </w:r>
          </w:p>
        </w:tc>
      </w:tr>
      <w:tr w14:paraId="2667261D" w14:textId="77777777" w:rsidTr="003C6E58">
        <w:tblPrEx>
          <w:tblW w:w="5005" w:type="pct"/>
          <w:tblInd w:w="-5" w:type="dxa"/>
          <w:tblLook w:val="04A0"/>
        </w:tblPrEx>
        <w:tc>
          <w:tcPr>
            <w:tcW w:w="1250" w:type="pct"/>
            <w:vAlign w:val="center"/>
          </w:tcPr>
          <w:p w:rsidR="003C6E58" w:rsidRPr="00A95A85" w:rsidP="00A8465F" w14:paraId="5754B1AC" w14:textId="77777777">
            <w:pPr>
              <w:pStyle w:val="CTableTextAbt"/>
            </w:pPr>
            <w:r w:rsidRPr="00A95A85">
              <w:t>517,980</w:t>
            </w:r>
          </w:p>
        </w:tc>
        <w:tc>
          <w:tcPr>
            <w:tcW w:w="1250" w:type="pct"/>
            <w:vAlign w:val="center"/>
          </w:tcPr>
          <w:p w:rsidR="003C6E58" w:rsidRPr="00A95A85" w:rsidP="00A8465F" w14:paraId="67310AD8" w14:textId="77777777">
            <w:pPr>
              <w:pStyle w:val="CTableTextAbt"/>
            </w:pPr>
            <w:r w:rsidRPr="00A95A85">
              <w:t>474,890</w:t>
            </w:r>
          </w:p>
        </w:tc>
        <w:tc>
          <w:tcPr>
            <w:tcW w:w="1250" w:type="pct"/>
            <w:vAlign w:val="center"/>
          </w:tcPr>
          <w:p w:rsidR="003C6E58" w:rsidRPr="00A95A85" w:rsidP="00A8465F" w14:paraId="5F79E7DE" w14:textId="77777777">
            <w:pPr>
              <w:pStyle w:val="CTableTextAbt"/>
            </w:pPr>
            <w:r w:rsidRPr="00A95A85">
              <w:t>535,139</w:t>
            </w:r>
          </w:p>
        </w:tc>
        <w:tc>
          <w:tcPr>
            <w:tcW w:w="1250" w:type="pct"/>
            <w:vAlign w:val="center"/>
          </w:tcPr>
          <w:p w:rsidR="003C6E58" w:rsidRPr="00A95A85" w:rsidP="00A8465F" w14:paraId="62C122F6" w14:textId="77777777">
            <w:pPr>
              <w:pStyle w:val="CTableTextAbt"/>
            </w:pPr>
            <w:r w:rsidRPr="00A95A85">
              <w:t>603,420</w:t>
            </w:r>
          </w:p>
        </w:tc>
      </w:tr>
      <w:tr w14:paraId="22BD97FC" w14:textId="77777777" w:rsidTr="007B106D">
        <w:tblPrEx>
          <w:tblW w:w="5005" w:type="pct"/>
          <w:tblInd w:w="-5" w:type="dxa"/>
          <w:tblLook w:val="04A0"/>
        </w:tblPrEx>
        <w:tc>
          <w:tcPr>
            <w:tcW w:w="5000" w:type="pct"/>
            <w:gridSpan w:val="4"/>
          </w:tcPr>
          <w:p w:rsidR="005F1D5F" w:rsidRPr="00A95A85" w:rsidP="00CA0464" w14:paraId="5E2DEBD8" w14:textId="43D0F5DD">
            <w:pPr>
              <w:pStyle w:val="TableNote0"/>
            </w:pPr>
            <w:r w:rsidRPr="00A95A85">
              <w:t xml:space="preserve">Source: Non-confidential production data from CDR </w:t>
            </w:r>
            <w:r w:rsidR="00050912">
              <w:t>(</w:t>
            </w:r>
            <w:r w:rsidR="00494B67">
              <w:t xml:space="preserve">EPA </w:t>
            </w:r>
            <w:hyperlink w:anchor="_ENREF_53" w:tooltip="U.S. Environmental Protection Agency (EPA), 2012-2015 #53" w:history="1">
              <w:r w:rsidR="003D6084">
                <w:fldChar w:fldCharType="begin" w:fldLock="1"/>
              </w:r>
              <w:r w:rsidR="003D6084">
                <w:instrText xml:space="preserve"> ADDIN EN.CITE &lt;EndNote&gt;&lt;Cite ExcludeAuth="1"&gt;&lt;Author&gt;U.S. Environmental Protection Agency (EPA)&lt;/Author&gt;&lt;Year&gt;2012-2015&lt;/Year&gt;&lt;RecNum&gt;53&lt;/RecNum&gt;&lt;DisplayText&gt;2012-2015&lt;/DisplayText&gt;&lt;record&gt;&lt;rec-number&gt;53&lt;/rec-number&gt;&lt;foreign-keys&gt;&lt;key app="EN" db-id="2apzr05radv9fjet2w6xxwdlz5e9vwfxredw" timestamp="1730757315"&gt;53&lt;/key&gt;&lt;/foreign-keys&gt;&lt;ref-type name="Generic"&gt;13&lt;/ref-type&gt;&lt;contributors&gt;&lt;authors&gt;&lt;author&gt;U.S. Environmental Protection Agency (EPA),&lt;/author&gt;&lt;/authors&gt;&lt;/contributors&gt;&lt;titles&gt;&lt;title&gt;Non-Confidential Chemical Data Reporting (CDR) 2016-2019&lt;/title&gt;&lt;/titles&gt;&lt;dates&gt;&lt;year&gt;2012-2015&lt;/year&gt;&lt;/dates&gt;&lt;urls&gt;&lt;/urls&gt;&lt;/record&gt;&lt;/Cite&gt;&lt;/EndNote&gt;</w:instrText>
              </w:r>
              <w:r w:rsidR="003D6084">
                <w:fldChar w:fldCharType="separate"/>
              </w:r>
              <w:r w:rsidR="003D6084">
                <w:rPr>
                  <w:noProof/>
                </w:rPr>
                <w:t>2012-2015</w:t>
              </w:r>
              <w:r w:rsidR="003D6084">
                <w:fldChar w:fldCharType="end"/>
              </w:r>
            </w:hyperlink>
            <w:r w:rsidR="00050912">
              <w:t>)</w:t>
            </w:r>
            <w:r w:rsidRPr="00A95A85">
              <w:t>.</w:t>
            </w:r>
          </w:p>
        </w:tc>
      </w:tr>
    </w:tbl>
    <w:p w:rsidR="005F1D5F" w:rsidRPr="00A95A85" w:rsidP="005F1D5F" w14:paraId="5E7C6235" w14:textId="77777777">
      <w:pPr>
        <w:pStyle w:val="FootnoteText"/>
      </w:pPr>
    </w:p>
    <w:p w:rsidR="005F1D5F" w:rsidRPr="00A95A85" w:rsidP="00563845" w14:paraId="64D065EA" w14:textId="4EF6FDF9">
      <w:pPr>
        <w:pStyle w:val="Heading4"/>
      </w:pPr>
      <w:bookmarkStart w:id="108" w:name="_Ref82509304"/>
      <w:bookmarkStart w:id="109" w:name="_Ref175230783"/>
      <w:bookmarkStart w:id="110" w:name="_Toc175217218"/>
      <w:bookmarkStart w:id="111" w:name="_Toc179234314"/>
      <w:r w:rsidRPr="00A95A85">
        <w:t>Import</w:t>
      </w:r>
      <w:bookmarkEnd w:id="108"/>
      <w:r w:rsidRPr="00A95A85">
        <w:t>ing</w:t>
      </w:r>
      <w:bookmarkEnd w:id="109"/>
      <w:bookmarkEnd w:id="110"/>
      <w:bookmarkEnd w:id="111"/>
    </w:p>
    <w:p w:rsidR="005F1D5F" w:rsidRPr="00A95A85" w:rsidP="00832749" w14:paraId="29E2B9F8" w14:textId="11BCFC1B">
      <w:pPr>
        <w:pStyle w:val="BodyText"/>
      </w:pPr>
      <w:r w:rsidRPr="4BA86F39">
        <w:rPr>
          <w:lang w:val="en-US"/>
        </w:rPr>
        <w:t>EPA identified one importer of PV29</w:t>
      </w:r>
      <w:r w:rsidR="008450C1">
        <w:rPr>
          <w:lang w:val="en-US"/>
        </w:rPr>
        <w:t>, BASF</w:t>
      </w:r>
      <w:r w:rsidRPr="4BA86F39">
        <w:rPr>
          <w:lang w:val="en-US"/>
        </w:rPr>
        <w:t>.</w:t>
      </w:r>
      <w:r w:rsidR="008450C1">
        <w:rPr>
          <w:lang w:val="en-US"/>
        </w:rPr>
        <w:t xml:space="preserve"> BASF’s 2020 </w:t>
      </w:r>
      <w:r w:rsidR="00E16835">
        <w:rPr>
          <w:lang w:val="en-US"/>
        </w:rPr>
        <w:t>Chemical Data Reporting (</w:t>
      </w:r>
      <w:r w:rsidR="008450C1">
        <w:rPr>
          <w:lang w:val="en-US"/>
        </w:rPr>
        <w:t>CDR</w:t>
      </w:r>
      <w:r w:rsidR="00E16835">
        <w:rPr>
          <w:lang w:val="en-US"/>
        </w:rPr>
        <w:t>)</w:t>
      </w:r>
      <w:r w:rsidR="008450C1">
        <w:rPr>
          <w:lang w:val="en-US"/>
        </w:rPr>
        <w:t xml:space="preserve"> reporting indicates that it does import PV29, however, their reporting also suggests that it is imported in a “liquid, other solid” form</w:t>
      </w:r>
      <w:r w:rsidR="0001589C">
        <w:rPr>
          <w:lang w:val="en-US"/>
        </w:rPr>
        <w:t xml:space="preserve"> </w:t>
      </w:r>
      <w:r w:rsidR="0001589C">
        <w:t xml:space="preserve">(EPA </w:t>
      </w:r>
      <w:hyperlink w:anchor="_ENREF_53" w:tooltip="U.S. Environmental Protection Agency (EPA), 2012-2015 #53" w:history="1">
        <w:r w:rsidR="003D6084">
          <w:fldChar w:fldCharType="begin" w:fldLock="1"/>
        </w:r>
        <w:r w:rsidR="003D6084">
          <w:instrText xml:space="preserve"> ADDIN EN.CITE &lt;EndNote&gt;&lt;Cite ExcludeAuth="1"&gt;&lt;Author&gt;U.S. Environmental Protection Agency (EPA)&lt;/Author&gt;&lt;Year&gt;2012-2015&lt;/Year&gt;&lt;RecNum&gt;53&lt;/RecNum&gt;&lt;DisplayText&gt;2012-2015&lt;/DisplayText&gt;&lt;record&gt;&lt;rec-number&gt;53&lt;/rec-number&gt;&lt;foreign-keys&gt;&lt;key app="EN" db-id="2apzr05radv9fjet2w6xxwdlz5e9vwfxredw" timestamp="1730757315"&gt;53&lt;/key&gt;&lt;/foreign-keys&gt;&lt;ref-type name="Generic"&gt;13&lt;/ref-type&gt;&lt;contributors&gt;&lt;authors&gt;&lt;author&gt;U.S. Environmental Protection Agency (EPA),&lt;/author&gt;&lt;/authors&gt;&lt;/contributors&gt;&lt;titles&gt;&lt;title&gt;Non-Confidential Chemical Data Reporting (CDR) 2016-2019&lt;/title&gt;&lt;/titles&gt;&lt;dates&gt;&lt;year&gt;2012-2015&lt;/year&gt;&lt;/dates&gt;&lt;urls&gt;&lt;/urls&gt;&lt;/record&gt;&lt;/Cite&gt;&lt;/EndNote&gt;</w:instrText>
        </w:r>
        <w:r w:rsidR="003D6084">
          <w:fldChar w:fldCharType="separate"/>
        </w:r>
        <w:r w:rsidR="003D6084">
          <w:rPr>
            <w:noProof/>
          </w:rPr>
          <w:t>2012-2015</w:t>
        </w:r>
        <w:r w:rsidR="003D6084">
          <w:fldChar w:fldCharType="end"/>
        </w:r>
      </w:hyperlink>
      <w:r w:rsidR="0001589C">
        <w:t>)</w:t>
      </w:r>
      <w:r w:rsidR="005C2B4F">
        <w:rPr>
          <w:lang w:val="en-US"/>
        </w:rPr>
        <w:t>. Because CDR categories for form include multiple dry powder categories, this implies that BASF imports are not in dry powder form. However, i</w:t>
      </w:r>
      <w:r w:rsidRPr="4BA86F39" w:rsidR="005C2B4F">
        <w:rPr>
          <w:lang w:val="en-US"/>
        </w:rPr>
        <w:t xml:space="preserve">nformation </w:t>
      </w:r>
      <w:r w:rsidRPr="4BA86F39">
        <w:rPr>
          <w:lang w:val="en-US"/>
        </w:rPr>
        <w:t xml:space="preserve">provided by BASF indicates that </w:t>
      </w:r>
      <w:r w:rsidR="008450C1">
        <w:rPr>
          <w:lang w:val="en-US"/>
        </w:rPr>
        <w:t xml:space="preserve">regulated </w:t>
      </w:r>
      <w:r w:rsidRPr="4BA86F39">
        <w:rPr>
          <w:lang w:val="en-US"/>
        </w:rPr>
        <w:t xml:space="preserve">PV29 is imported at volumes below the CDR reporting threshold of 25,000 lbs. Therefore, </w:t>
      </w:r>
      <w:r w:rsidR="005C2B4F">
        <w:rPr>
          <w:lang w:val="en-US"/>
        </w:rPr>
        <w:t xml:space="preserve">EPA assumes that regulated </w:t>
      </w:r>
      <w:r w:rsidRPr="4BA86F39">
        <w:rPr>
          <w:lang w:val="en-US"/>
        </w:rPr>
        <w:t xml:space="preserve">PV29 is expected to be imported at unknown minor volumes under 25,000 lbs. According to information received from BASF, PV29 is imported as an “industrial pigment product is 80% to 90% C.I. Pigment Violet 29. The concentration of the imported tint paste is &lt;25% C.I. Pigment Violet 29. The concentration of paint/coating is &lt;3% C.I. Pigment Violet 29. The primary function of this pigment is to tint the color of a paint and would generally be formulated at levels &lt;1% but can be as high as 3%” </w:t>
      </w:r>
      <w:r w:rsidR="00F17488">
        <w:rPr>
          <w:lang w:val="en-US"/>
        </w:rPr>
        <w:t>(</w:t>
      </w:r>
      <w:hyperlink w:anchor="_ENREF_61" w:tooltip="U.S. Environmental Protection Agency (EPA), 2021 #62" w:history="1">
        <w:r w:rsidR="003D6084">
          <w:rPr>
            <w:lang w:val="en-US"/>
          </w:rPr>
          <w:fldChar w:fldCharType="begin" w:fldLock="1"/>
        </w:r>
        <w:r w:rsidR="003D6084">
          <w:rPr>
            <w:lang w:val="en-US"/>
          </w:rPr>
          <w:instrText xml:space="preserve"> ADDIN EN.CITE &lt;EndNote&gt;&lt;Cite ExcludeAuth="1"&gt;&lt;Author&gt;U.S. Environmental Protection Agency (EPA)&lt;/Author&gt;&lt;Year&gt;2021&lt;/Year&gt;&lt;RecNum&gt;62&lt;/RecNum&gt;&lt;Prefix&gt;EPA &lt;/Prefix&gt;&lt;DisplayText&gt;EPA 2021a&lt;/DisplayText&gt;&lt;record&gt;&lt;rec-number&gt;62&lt;/rec-number&gt;&lt;foreign-keys&gt;&lt;key app="EN" db-id="2apzr05radv9fjet2w6xxwdlz5e9vwfxredw" timestamp="1730757315"&gt;62&lt;/key&gt;&lt;/foreign-keys&gt;&lt;ref-type name="Generic"&gt;13&lt;/ref-type&gt;&lt;contributors&gt;&lt;authors&gt;&lt;author&gt;U.S. Environmental Protection Agency (EPA),&lt;/author&gt;&lt;/authors&gt;&lt;/contributors&gt;&lt;titles&gt;&lt;title&gt;Final Risk Evaluation for C.I. Pigment Violet 29 (Anthra[2,1,9-def:6,5,10-d&amp;apos;e&amp;apos;f&amp;apos;]diisoquinoline-1,3,8,10(2H,9H)-tetrone) Supplemental File: Information Received from Manufacturing Stakeholders&lt;/title&gt;&lt;short-title&gt;Final Risk Evaluation for C.I. Pigment Violet 29 (Anthra[2,1,9-def:6,5,10-d&amp;apos;e&amp;apos;f&amp;apos;]diisoquinoline-1,3,8,10(2H,9H)-tetrone) Supplemental File: Information Received from Manufacturing Stakeholders.&lt;/short-title&gt;&lt;/titles&gt;&lt;dates&gt;&lt;year&gt;2021&lt;/year&gt;&lt;/dates&gt;&lt;publisher&gt;Office of Chemical Safety and Pollution Prevention&lt;/publisher&gt;&lt;urls&gt;&lt;/urls&gt;&lt;/record&gt;&lt;/Cite&gt;&lt;/EndNote&gt;</w:instrText>
        </w:r>
        <w:r w:rsidR="003D6084">
          <w:rPr>
            <w:lang w:val="en-US"/>
          </w:rPr>
          <w:fldChar w:fldCharType="separate"/>
        </w:r>
        <w:r w:rsidR="003D6084">
          <w:rPr>
            <w:noProof/>
            <w:lang w:val="en-US"/>
          </w:rPr>
          <w:t>EPA 2021a</w:t>
        </w:r>
        <w:r w:rsidR="003D6084">
          <w:rPr>
            <w:lang w:val="en-US"/>
          </w:rPr>
          <w:fldChar w:fldCharType="end"/>
        </w:r>
      </w:hyperlink>
      <w:r w:rsidR="00F17488">
        <w:rPr>
          <w:lang w:val="en-US"/>
        </w:rPr>
        <w:t>).</w:t>
      </w:r>
    </w:p>
    <w:p w:rsidR="00784081" w:rsidRPr="00A95A85" w:rsidP="00832749" w14:paraId="03B7DB15" w14:textId="59345B12">
      <w:pPr>
        <w:pStyle w:val="BodyText"/>
      </w:pPr>
      <w:r w:rsidRPr="4BA86F39">
        <w:rPr>
          <w:lang w:val="en-US"/>
        </w:rPr>
        <w:t xml:space="preserve">BASF states that coatings containing PV29 are used only on automotive customer paint lines </w:t>
      </w:r>
      <w:r w:rsidR="008A40AB">
        <w:rPr>
          <w:lang w:val="en-US"/>
        </w:rPr>
        <w:t>(</w:t>
      </w:r>
      <w:hyperlink w:anchor="_ENREF_61" w:tooltip="U.S. Environmental Protection Agency (EPA), 2021 #62" w:history="1">
        <w:r w:rsidR="003D6084">
          <w:rPr>
            <w:lang w:val="en-US"/>
          </w:rPr>
          <w:fldChar w:fldCharType="begin" w:fldLock="1"/>
        </w:r>
        <w:r w:rsidR="003D6084">
          <w:rPr>
            <w:lang w:val="en-US"/>
          </w:rPr>
          <w:instrText xml:space="preserve"> ADDIN EN.CITE &lt;EndNote&gt;&lt;Cite ExcludeAuth="1"&gt;&lt;Author&gt;U.S. Environmental Protection Agency (EPA)&lt;/Author&gt;&lt;Year&gt;2021&lt;/Year&gt;&lt;RecNum&gt;62&lt;/RecNum&gt;&lt;Prefix&gt;EPA &lt;/Prefix&gt;&lt;DisplayText&gt;EPA 2021a&lt;/DisplayText&gt;&lt;record&gt;&lt;rec-number&gt;62&lt;/rec-number&gt;&lt;foreign-keys&gt;&lt;key app="EN" db-id="2apzr05radv9fjet2w6xxwdlz5e9vwfxredw" timestamp="1730757315"&gt;62&lt;/key&gt;&lt;/foreign-keys&gt;&lt;ref-type name="Generic"&gt;13&lt;/ref-type&gt;&lt;contributors&gt;&lt;authors&gt;&lt;author&gt;U.S. Environmental Protection Agency (EPA),&lt;/author&gt;&lt;/authors&gt;&lt;/contributors&gt;&lt;titles&gt;&lt;title&gt;Final Risk Evaluation for C.I. Pigment Violet 29 (Anthra[2,1,9-def:6,5,10-d&amp;apos;e&amp;apos;f&amp;apos;]diisoquinoline-1,3,8,10(2H,9H)-tetrone) Supplemental File: Information Received from Manufacturing Stakeholders&lt;/title&gt;&lt;short-title&gt;Final Risk Evaluation for C.I. Pigment Violet 29 (Anthra[2,1,9-def:6,5,10-d&amp;apos;e&amp;apos;f&amp;apos;]diisoquinoline-1,3,8,10(2H,9H)-tetrone) Supplemental File: Information Received from Manufacturing Stakeholders.&lt;/short-title&gt;&lt;/titles&gt;&lt;dates&gt;&lt;year&gt;2021&lt;/year&gt;&lt;/dates&gt;&lt;publisher&gt;Office of Chemical Safety and Pollution Prevention&lt;/publisher&gt;&lt;urls&gt;&lt;/urls&gt;&lt;/record&gt;&lt;/Cite&gt;&lt;/EndNote&gt;</w:instrText>
        </w:r>
        <w:r w:rsidR="003D6084">
          <w:rPr>
            <w:lang w:val="en-US"/>
          </w:rPr>
          <w:fldChar w:fldCharType="separate"/>
        </w:r>
        <w:r w:rsidR="003D6084">
          <w:rPr>
            <w:noProof/>
            <w:lang w:val="en-US"/>
          </w:rPr>
          <w:t>EPA 2021a</w:t>
        </w:r>
        <w:r w:rsidR="003D6084">
          <w:rPr>
            <w:lang w:val="en-US"/>
          </w:rPr>
          <w:fldChar w:fldCharType="end"/>
        </w:r>
      </w:hyperlink>
      <w:r w:rsidR="008A40AB">
        <w:rPr>
          <w:lang w:val="en-US"/>
        </w:rPr>
        <w:t>)</w:t>
      </w:r>
      <w:r w:rsidRPr="4BA86F39" w:rsidR="008B5714">
        <w:rPr>
          <w:lang w:val="en-US"/>
        </w:rPr>
        <w:t xml:space="preserve">. </w:t>
      </w:r>
      <w:r w:rsidRPr="4BA86F39">
        <w:rPr>
          <w:lang w:val="en-US"/>
        </w:rPr>
        <w:t xml:space="preserve">According to BASF’s website, the U.S. site where BASF Coatings manufactures its Automotive OEM product group is in Greenville, Ohio </w:t>
      </w:r>
      <w:r w:rsidR="008C304B">
        <w:rPr>
          <w:lang w:val="en-US"/>
        </w:rPr>
        <w:t>(</w:t>
      </w:r>
      <w:hyperlink w:anchor="_ENREF_7" w:tooltip="BASF, 2023 #7" w:history="1">
        <w:r w:rsidR="003D6084">
          <w:rPr>
            <w:lang w:val="en-US"/>
          </w:rPr>
          <w:fldChar w:fldCharType="begin" w:fldLock="1"/>
        </w:r>
        <w:r w:rsidR="003D6084">
          <w:rPr>
            <w:lang w:val="en-US"/>
          </w:rPr>
          <w:instrText xml:space="preserve"> ADDIN EN.CITE &lt;EndNote&gt;&lt;Cite&gt;&lt;Author&gt;BASF&lt;/Author&gt;&lt;Year&gt;2023&lt;/Year&gt;&lt;RecNum&gt;7&lt;/RecNum&gt;&lt;DisplayText&gt;BASF 2023&lt;/DisplayText&gt;&lt;record&gt;&lt;rec-number&gt;7&lt;/rec-number&gt;&lt;foreign-keys&gt;&lt;key app="EN" db-id="2apzr05radv9fjet2w6xxwdlz5e9vwfxredw" timestamp="1730757315"&gt;7&lt;/key&gt;&lt;/foreign-keys&gt;&lt;ref-type name="Generic"&gt;13&lt;/ref-type&gt;&lt;contributors&gt;&lt;authors&gt;&lt;author&gt;BASF,&lt;/author&gt;&lt;/authors&gt;&lt;/contributors&gt;&lt;titles&gt;&lt;title&gt;Fact Sheet: Greenville, Ohio&lt;/title&gt;&lt;short-title&gt;Fact Sheet: Greenville, Ohio&lt;/short-title&gt;&lt;/titles&gt;&lt;dates&gt;&lt;year&gt;2023&lt;/year&gt;&lt;/dates&gt;&lt;urls&gt;&lt;/urls&gt;&lt;/record&gt;&lt;/Cite&gt;&lt;/EndNote&gt;</w:instrText>
        </w:r>
        <w:r w:rsidR="003D6084">
          <w:rPr>
            <w:lang w:val="en-US"/>
          </w:rPr>
          <w:fldChar w:fldCharType="separate"/>
        </w:r>
        <w:r w:rsidR="003D6084">
          <w:rPr>
            <w:noProof/>
            <w:lang w:val="en-US"/>
          </w:rPr>
          <w:t>BASF 2023</w:t>
        </w:r>
        <w:r w:rsidR="003D6084">
          <w:rPr>
            <w:lang w:val="en-US"/>
          </w:rPr>
          <w:fldChar w:fldCharType="end"/>
        </w:r>
      </w:hyperlink>
      <w:r w:rsidR="008C304B">
        <w:rPr>
          <w:lang w:val="en-US"/>
        </w:rPr>
        <w:t>)</w:t>
      </w:r>
      <w:r w:rsidRPr="4BA86F39">
        <w:rPr>
          <w:lang w:val="en-US"/>
        </w:rPr>
        <w:t>. This facility is included under the automotive paints and coatings (processing into) use, described further under Section</w:t>
      </w:r>
      <w:r w:rsidR="009C07C6">
        <w:rPr>
          <w:lang w:val="en-US"/>
        </w:rPr>
        <w:t xml:space="preserve"> </w:t>
      </w:r>
      <w:r w:rsidR="00DA42D1">
        <w:rPr>
          <w:highlight w:val="yellow"/>
          <w:lang w:val="en-US"/>
        </w:rPr>
        <w:fldChar w:fldCharType="begin" w:fldLock="1"/>
      </w:r>
      <w:r w:rsidR="00DA42D1">
        <w:rPr>
          <w:lang w:val="en-US"/>
        </w:rPr>
        <w:instrText xml:space="preserve"> REF _Ref175217519 \r \h </w:instrText>
      </w:r>
      <w:r w:rsidR="00DA42D1">
        <w:rPr>
          <w:highlight w:val="yellow"/>
          <w:lang w:val="en-US"/>
        </w:rPr>
        <w:fldChar w:fldCharType="separate"/>
      </w:r>
      <w:r w:rsidR="00735BBC">
        <w:rPr>
          <w:lang w:val="en-US"/>
        </w:rPr>
        <w:t>3.1.2</w:t>
      </w:r>
      <w:r w:rsidR="00DA42D1">
        <w:rPr>
          <w:highlight w:val="yellow"/>
          <w:lang w:val="en-US"/>
        </w:rPr>
        <w:fldChar w:fldCharType="end"/>
      </w:r>
      <w:r w:rsidRPr="4BA86F39">
        <w:rPr>
          <w:lang w:val="en-US"/>
        </w:rPr>
        <w:t xml:space="preserve">. </w:t>
      </w:r>
      <w:r>
        <w:rPr>
          <w:lang w:val="en-US"/>
        </w:rPr>
        <w:t>EPA assumes that this facility has the same number of exposed employees and baseline PPE use as others under the processing into automotive paints and coatings condition of use.</w:t>
      </w:r>
    </w:p>
    <w:p w:rsidR="005F1D5F" w:rsidRPr="00A95A85" w:rsidP="00784081" w14:paraId="3449674D" w14:textId="77777777">
      <w:pPr>
        <w:pStyle w:val="Heading3"/>
      </w:pPr>
      <w:bookmarkStart w:id="112" w:name="_Ref175217519"/>
      <w:bookmarkStart w:id="113" w:name="_Ref175649124"/>
      <w:bookmarkStart w:id="114" w:name="_Toc175217219"/>
      <w:bookmarkStart w:id="115" w:name="_Toc179234315"/>
      <w:r w:rsidRPr="00A95A85">
        <w:t>Processing</w:t>
      </w:r>
      <w:bookmarkEnd w:id="112"/>
      <w:bookmarkEnd w:id="113"/>
      <w:bookmarkEnd w:id="114"/>
      <w:bookmarkEnd w:id="115"/>
    </w:p>
    <w:p w:rsidR="005F1D5F" w:rsidRPr="00A95A85" w:rsidP="00832749" w14:paraId="7F0CC06C" w14:textId="77777777">
      <w:pPr>
        <w:pStyle w:val="BodyText"/>
      </w:pPr>
      <w:r w:rsidRPr="4BA86F39">
        <w:rPr>
          <w:lang w:val="en-US"/>
        </w:rPr>
        <w:t xml:space="preserve">Processing of PV29 involves the use of PV29 pigment as a component of the manufacturing of another product such as paints or plastics. The processing stage also encompasses recycling, in which products containing PV29 are dismantled or transformed for alternative uses.  </w:t>
      </w:r>
    </w:p>
    <w:p w:rsidR="005F1D5F" w:rsidRPr="00A95A85" w:rsidP="002B58FE" w14:paraId="273EEC11" w14:textId="77777777">
      <w:pPr>
        <w:pStyle w:val="Heading4"/>
        <w:rPr>
          <w:color w:val="A31E15" w:themeColor="text2" w:themeShade="BF"/>
        </w:rPr>
      </w:pPr>
      <w:bookmarkStart w:id="116" w:name="_Ref175643471"/>
      <w:bookmarkStart w:id="117" w:name="_Toc175217220"/>
      <w:bookmarkStart w:id="118" w:name="_Toc179234316"/>
      <w:r w:rsidRPr="00A95A85">
        <w:t>Use as an intermediate</w:t>
      </w:r>
      <w:bookmarkEnd w:id="116"/>
      <w:bookmarkEnd w:id="117"/>
      <w:bookmarkEnd w:id="118"/>
    </w:p>
    <w:p w:rsidR="005F1D5F" w:rsidRPr="00A95A85" w:rsidP="00832749" w14:paraId="33F31354" w14:textId="5BC98949">
      <w:pPr>
        <w:pStyle w:val="BodyText"/>
      </w:pPr>
      <w:r w:rsidRPr="4BA86F39">
        <w:rPr>
          <w:lang w:val="en-US"/>
        </w:rPr>
        <w:t xml:space="preserve">In their 2016 CDR submission, Sun Chemical Corporation reported that 90 percent of their annual PV29 production volume goes to synthetic dye and pigment manufacturing at the same facility where the PV29 is manufactured </w:t>
      </w:r>
      <w:r w:rsidR="00F0385B">
        <w:rPr>
          <w:lang w:val="en-US"/>
        </w:rPr>
        <w:t>(</w:t>
      </w:r>
      <w:hyperlink w:anchor="_ENREF_55" w:tooltip="U.S. Environmental Protection Agency (EPA), 2016 #55" w:history="1">
        <w:r w:rsidR="003D6084">
          <w:fldChar w:fldCharType="begin" w:fldLock="1"/>
        </w:r>
        <w:r w:rsidR="003D6084">
          <w:instrText xml:space="preserve"> ADDIN EN.CITE &lt;EndNote&gt;&lt;Cite ExcludeAuth="1"&gt;&lt;Author&gt;U.S. Environmental Protection Agency (EPA)&lt;/Author&gt;&lt;Year&gt;2016&lt;/Year&gt;&lt;RecNum&gt;55&lt;/RecNum&gt;&lt;Prefix&gt;EPA &lt;/Prefix&gt;&lt;DisplayText&gt;EPA 2016a&lt;/DisplayText&gt;&lt;record&gt;&lt;rec-number&gt;55&lt;/rec-number&gt;&lt;foreign-keys&gt;&lt;key app="EN" db-id="2apzr05radv9fjet2w6xxwdlz5e9vwfxredw" timestamp="1730757315"&gt;55&lt;/key&gt;&lt;/foreign-keys&gt;&lt;ref-type name="Web Page"&gt;12&lt;/ref-type&gt;&lt;contributors&gt;&lt;authors&gt;&lt;author&gt;U.S. Environmental Protection Agency (EPA),&lt;/author&gt;&lt;/authors&gt;&lt;/contributors&gt;&lt;titles&gt;&lt;title&gt;Chemical Data Reporting Results&lt;/title&gt;&lt;/titles&gt;&lt;dates&gt;&lt;year&gt;2016&lt;/year&gt;&lt;/dates&gt;&lt;publisher&gt;Chemview&lt;/publisher&gt;&lt;urls&gt;&lt;related-urls&gt;&lt;url&gt;https://chemview.epa.gov/chemview&lt;/url&gt;&lt;/related-urls&gt;&lt;/urls&gt;&lt;/record&gt;&lt;/Cite&gt;&lt;/EndNote&gt;</w:instrText>
        </w:r>
        <w:r w:rsidR="003D6084">
          <w:fldChar w:fldCharType="separate"/>
        </w:r>
        <w:r w:rsidR="003D6084">
          <w:rPr>
            <w:noProof/>
          </w:rPr>
          <w:t>EPA 2016a</w:t>
        </w:r>
        <w:r w:rsidR="003D6084">
          <w:fldChar w:fldCharType="end"/>
        </w:r>
      </w:hyperlink>
      <w:r w:rsidR="00F0385B">
        <w:rPr>
          <w:lang w:val="en-US"/>
        </w:rPr>
        <w:t>)</w:t>
      </w:r>
      <w:r w:rsidRPr="4BA86F39">
        <w:rPr>
          <w:lang w:val="en-US"/>
        </w:rPr>
        <w:t xml:space="preserve">, primarily as an intermediate for the adjustment or the creation of other perylene pigments. According to the process information received, “the production of C.I. Pigment Violet 29 is the starting point for the synthesis of all other perylene pigments at the facility. Other perylenes produced at the facility may contain an estimated 0-5% residual C.I. Pigment Violet 29 in the finished pigment” </w:t>
      </w:r>
      <w:r w:rsidR="00F0385B">
        <w:rPr>
          <w:lang w:val="en-US"/>
        </w:rPr>
        <w:t>(</w:t>
      </w:r>
      <w:hyperlink w:anchor="_ENREF_65" w:tooltip="U.S. Environmental Protection Agency (EPA), 2021 #61" w:history="1">
        <w:r w:rsidR="003D6084">
          <w:fldChar w:fldCharType="begin" w:fldLock="1"/>
        </w:r>
        <w:r w:rsidR="003D6084">
          <w:instrText xml:space="preserve"> ADDIN EN.CITE &lt;EndNote&gt;&lt;Cite ExcludeAuth="1"&gt;&lt;Author&gt;U.S. Environmental Protection Agency (EPA)&lt;/Author&gt;&lt;Year&gt;2021&lt;/Year&gt;&lt;RecNum&gt;61&lt;/RecNum&gt;&lt;Prefix&gt;EPA &lt;/Prefix&gt;&lt;DisplayText&gt;EPA 2021e&lt;/DisplayText&gt;&lt;record&gt;&lt;rec-number&gt;61&lt;/rec-number&gt;&lt;foreign-keys&gt;&lt;key app="EN" db-id="2apzr05radv9fjet2w6xxwdlz5e9vwfxredw" timestamp="1730757315"&gt;61&lt;/key&gt;&lt;/foreign-keys&gt;&lt;ref-type name="Generic"&gt;13&lt;/ref-type&gt;&lt;contributors&gt;&lt;authors&gt;&lt;author&gt;U.S. Environmental Protection Agency (EPA),&lt;/author&gt;&lt;/authors&gt;&lt;subsidiary-authors&gt;&lt;author&gt;Office of Chemical Safety and Pollution Prevention&lt;/author&gt;&lt;/subsidiary-authors&gt;&lt;/contributors&gt;&lt;titles&gt;&lt;title&gt;Risk Evaluation for C.I. Pigment Violet 29 (Anthra[2,1,9-def:6,5,10-d&amp;apos;e&amp;apos;f&amp;apos;]diisoquinoline-1,3,8,10(2H,9H)-tetrone)&lt;/title&gt;&lt;/titles&gt;&lt;number&gt;# 740-R-18-015&lt;/number&gt;&lt;dates&gt;&lt;year&gt;2021&lt;/year&gt;&lt;/dates&gt;&lt;urls&gt;&lt;/urls&gt;&lt;/record&gt;&lt;/Cite&gt;&lt;/EndNote&gt;</w:instrText>
        </w:r>
        <w:r w:rsidR="003D6084">
          <w:fldChar w:fldCharType="separate"/>
        </w:r>
        <w:r w:rsidR="003D6084">
          <w:rPr>
            <w:noProof/>
          </w:rPr>
          <w:t>EPA 2021e</w:t>
        </w:r>
        <w:r w:rsidR="003D6084">
          <w:fldChar w:fldCharType="end"/>
        </w:r>
      </w:hyperlink>
      <w:r w:rsidR="00F0385B">
        <w:rPr>
          <w:lang w:val="en-US"/>
        </w:rPr>
        <w:t>)</w:t>
      </w:r>
      <w:r w:rsidRPr="4BA86F39">
        <w:rPr>
          <w:lang w:val="en-US"/>
        </w:rPr>
        <w:t>.</w:t>
      </w:r>
      <w:r w:rsidR="005C2B4F">
        <w:rPr>
          <w:lang w:val="en-US"/>
        </w:rPr>
        <w:t xml:space="preserve"> </w:t>
      </w:r>
    </w:p>
    <w:p w:rsidR="005F1D5F" w:rsidRPr="00A95A85" w:rsidP="00832749" w14:paraId="0F395E7A" w14:textId="2EA5B836">
      <w:pPr>
        <w:pStyle w:val="BodyText"/>
      </w:pPr>
      <w:r w:rsidRPr="4BA86F39">
        <w:rPr>
          <w:lang w:val="en-US"/>
        </w:rPr>
        <w:t xml:space="preserve">Using this information, EPA estimates that 540,000 lbs (90 percent of the 600,000 lb annual production volume) </w:t>
      </w:r>
      <w:r w:rsidR="005C2B4F">
        <w:rPr>
          <w:lang w:val="en-US"/>
        </w:rPr>
        <w:t xml:space="preserve">of PV29 </w:t>
      </w:r>
      <w:r w:rsidRPr="4BA86F39">
        <w:rPr>
          <w:lang w:val="en-US"/>
        </w:rPr>
        <w:t xml:space="preserve">is used as an intermediate for the adjustment or the creation of other perylene pigments internally at the manufacturing facility. </w:t>
      </w:r>
      <w:r w:rsidR="005C2B4F">
        <w:rPr>
          <w:lang w:val="en-US"/>
        </w:rPr>
        <w:t xml:space="preserve">Because they are using dry powder form PV29, workers and ONUs are assumed to be exposed to regulated PV29. </w:t>
      </w:r>
      <w:r w:rsidRPr="4BA86F39">
        <w:rPr>
          <w:lang w:val="en-US"/>
        </w:rPr>
        <w:t xml:space="preserve">EPA assumes that the same 2 to 22 workers and 56 ONUs might be exposed to </w:t>
      </w:r>
      <w:r w:rsidR="005C2B4F">
        <w:rPr>
          <w:lang w:val="en-US"/>
        </w:rPr>
        <w:t xml:space="preserve">regulated </w:t>
      </w:r>
      <w:r w:rsidRPr="4BA86F39">
        <w:rPr>
          <w:lang w:val="en-US"/>
        </w:rPr>
        <w:t xml:space="preserve">PV29 during the manufacture of other perylene pigments as during the manufacture of PV29 itself. </w:t>
      </w:r>
    </w:p>
    <w:p w:rsidR="005F1D5F" w:rsidRPr="00A95A85" w:rsidP="002B58FE" w14:paraId="26EA2372" w14:textId="77777777">
      <w:pPr>
        <w:pStyle w:val="Heading4"/>
      </w:pPr>
      <w:bookmarkStart w:id="119" w:name="_Ref175643515"/>
      <w:bookmarkStart w:id="120" w:name="_Toc175217221"/>
      <w:bookmarkStart w:id="121" w:name="_Toc179234317"/>
      <w:bookmarkStart w:id="122" w:name="_Ref167360351"/>
      <w:r w:rsidRPr="00A95A85">
        <w:t>Incorporation into formulation, mixture, or reaction products</w:t>
      </w:r>
      <w:bookmarkEnd w:id="119"/>
      <w:bookmarkEnd w:id="120"/>
      <w:bookmarkEnd w:id="121"/>
    </w:p>
    <w:p w:rsidR="005F1D5F" w:rsidRPr="00A95A85" w:rsidP="00832749" w14:paraId="7F5E9DEF" w14:textId="2F9B0114">
      <w:pPr>
        <w:pStyle w:val="BodyText"/>
      </w:pPr>
      <w:r w:rsidRPr="4BA86F39">
        <w:rPr>
          <w:lang w:val="en-US"/>
        </w:rPr>
        <w:t xml:space="preserve">In addition to using </w:t>
      </w:r>
      <w:r w:rsidR="005C2B4F">
        <w:rPr>
          <w:lang w:val="en-US"/>
        </w:rPr>
        <w:t xml:space="preserve">regulated </w:t>
      </w:r>
      <w:r w:rsidRPr="4BA86F39">
        <w:rPr>
          <w:lang w:val="en-US"/>
        </w:rPr>
        <w:t xml:space="preserve">PV29 in-house to create perylene pigments, the domestic manufacturer also sells approximately 40,000 lbs of </w:t>
      </w:r>
      <w:r w:rsidR="005C2B4F">
        <w:rPr>
          <w:lang w:val="en-US"/>
        </w:rPr>
        <w:t xml:space="preserve">regulated </w:t>
      </w:r>
      <w:r w:rsidRPr="4BA86F39">
        <w:rPr>
          <w:lang w:val="en-US"/>
        </w:rPr>
        <w:t xml:space="preserve">PV29 to other domestic companies which process it into paints, coatings, plastics, or rubber products. These </w:t>
      </w:r>
      <w:r w:rsidR="00C51950">
        <w:rPr>
          <w:lang w:val="en-US"/>
        </w:rPr>
        <w:t>manufacturers</w:t>
      </w:r>
      <w:r w:rsidRPr="4BA86F39" w:rsidR="00F65004">
        <w:rPr>
          <w:lang w:val="en-US"/>
        </w:rPr>
        <w:t xml:space="preserve"> </w:t>
      </w:r>
      <w:r w:rsidRPr="4BA86F39">
        <w:rPr>
          <w:lang w:val="en-US"/>
        </w:rPr>
        <w:t>receive PV29 in the regulated dry powder form.</w:t>
      </w:r>
    </w:p>
    <w:p w:rsidR="005F1D5F" w:rsidRPr="00A95A85" w:rsidP="004C3827" w14:paraId="6BDDCBA3" w14:textId="2B50FBC0">
      <w:pPr>
        <w:pStyle w:val="Heading5"/>
      </w:pPr>
      <w:bookmarkStart w:id="123" w:name="_Toc175217222"/>
      <w:r w:rsidRPr="00A95A85">
        <w:t>Paints and coatings</w:t>
      </w:r>
      <w:bookmarkEnd w:id="122"/>
      <w:bookmarkEnd w:id="123"/>
    </w:p>
    <w:p w:rsidR="005F1D5F" w:rsidRPr="00A95A85" w:rsidP="00832749" w14:paraId="36DA291F" w14:textId="31A55CB3">
      <w:pPr>
        <w:pStyle w:val="BodyText"/>
      </w:pPr>
      <w:r w:rsidRPr="4BA86F39">
        <w:rPr>
          <w:lang w:val="en-US"/>
        </w:rPr>
        <w:t xml:space="preserve">In their 2016 CDR submission, Sun Chemical reported that 5% of their annual production volume goes to the paint and coating manufacturing industrial sector for incorporation into a formulation, mixture, or reaction product </w:t>
      </w:r>
      <w:r w:rsidR="00F5D31B">
        <w:rPr>
          <w:lang w:val="en-US"/>
        </w:rPr>
        <w:t>(</w:t>
      </w:r>
      <w:hyperlink w:anchor="_ENREF_55" w:tooltip="U.S. Environmental Protection Agency (EPA), 2016 #55" w:history="1">
        <w:r w:rsidR="003D6084">
          <w:fldChar w:fldCharType="begin" w:fldLock="1"/>
        </w:r>
        <w:r w:rsidR="003D6084">
          <w:instrText xml:space="preserve"> ADDIN EN.CITE &lt;EndNote&gt;&lt;Cite ExcludeAuth="1"&gt;&lt;Author&gt;U.S. Environmental Protection Agency (EPA)&lt;/Author&gt;&lt;Year&gt;2016&lt;/Year&gt;&lt;RecNum&gt;55&lt;/RecNum&gt;&lt;Prefix&gt;EPA &lt;/Prefix&gt;&lt;DisplayText&gt;EPA 2016a&lt;/DisplayText&gt;&lt;record&gt;&lt;rec-number&gt;55&lt;/rec-number&gt;&lt;foreign-keys&gt;&lt;key app="EN" db-id="2apzr05radv9fjet2w6xxwdlz5e9vwfxredw" timestamp="1730757315"&gt;55&lt;/key&gt;&lt;/foreign-keys&gt;&lt;ref-type name="Web Page"&gt;12&lt;/ref-type&gt;&lt;contributors&gt;&lt;authors&gt;&lt;author&gt;U.S. Environmental Protection Agency (EPA),&lt;/author&gt;&lt;/authors&gt;&lt;/contributors&gt;&lt;titles&gt;&lt;title&gt;Chemical Data Reporting Results&lt;/title&gt;&lt;/titles&gt;&lt;dates&gt;&lt;year&gt;2016&lt;/year&gt;&lt;/dates&gt;&lt;publisher&gt;Chemview&lt;/publisher&gt;&lt;urls&gt;&lt;related-urls&gt;&lt;url&gt;https://chemview.epa.gov/chemview&lt;/url&gt;&lt;/related-urls&gt;&lt;/urls&gt;&lt;/record&gt;&lt;/Cite&gt;&lt;/EndNote&gt;</w:instrText>
        </w:r>
        <w:r w:rsidR="003D6084">
          <w:fldChar w:fldCharType="separate"/>
        </w:r>
        <w:r w:rsidR="003D6084">
          <w:rPr>
            <w:noProof/>
          </w:rPr>
          <w:t>EPA 2016a</w:t>
        </w:r>
        <w:r w:rsidR="003D6084">
          <w:fldChar w:fldCharType="end"/>
        </w:r>
      </w:hyperlink>
      <w:r w:rsidR="00F5D31B">
        <w:rPr>
          <w:lang w:val="en-US"/>
        </w:rPr>
        <w:t>)</w:t>
      </w:r>
      <w:r w:rsidR="1C59E468">
        <w:rPr>
          <w:lang w:val="en-US"/>
        </w:rPr>
        <w:t xml:space="preserve"> </w:t>
      </w:r>
      <w:r w:rsidR="04FD1E18">
        <w:rPr>
          <w:lang w:val="en-US"/>
        </w:rPr>
        <w:t>whil</w:t>
      </w:r>
      <w:r w:rsidR="1C59E468">
        <w:rPr>
          <w:lang w:val="en-US"/>
        </w:rPr>
        <w:t xml:space="preserve">e </w:t>
      </w:r>
      <w:r w:rsidR="5D673817">
        <w:rPr>
          <w:lang w:val="en-US"/>
        </w:rPr>
        <w:t xml:space="preserve">in their </w:t>
      </w:r>
      <w:r w:rsidR="1C59E468">
        <w:rPr>
          <w:lang w:val="en-US"/>
        </w:rPr>
        <w:t xml:space="preserve">2020 CDR submission </w:t>
      </w:r>
      <w:r w:rsidR="00401893">
        <w:rPr>
          <w:lang w:val="en-US"/>
        </w:rPr>
        <w:t>(</w:t>
      </w:r>
      <w:hyperlink w:anchor="_ENREF_59" w:tooltip="U.S. Environmental Protection Agency (EPA), 2020 #72" w:history="1">
        <w:r w:rsidR="003D6084">
          <w:rPr>
            <w:lang w:val="en-US"/>
          </w:rPr>
          <w:fldChar w:fldCharType="begin" w:fldLock="1"/>
        </w:r>
        <w:r w:rsidR="003D6084">
          <w:rPr>
            <w:lang w:val="en-US"/>
          </w:rPr>
          <w:instrText xml:space="preserve"> ADDIN EN.CITE &lt;EndNote&gt;&lt;Cite ExcludeAuth="1"&gt;&lt;Author&gt;U.S. Environmental Protection Agency (EPA)&lt;/Author&gt;&lt;Year&gt;2020&lt;/Year&gt;&lt;RecNum&gt;72&lt;/RecNum&gt;&lt;Prefix&gt;EPA &lt;/Prefix&gt;&lt;DisplayText&gt;EPA 2020a&lt;/DisplayText&gt;&lt;record&gt;&lt;rec-number&gt;72&lt;/rec-number&gt;&lt;foreign-keys&gt;&lt;key app="EN" db-id="2apzr05radv9fjet2w6xxwdlz5e9vwfxredw" timestamp="1730823454"&gt;72&lt;/key&gt;&lt;/foreign-keys&gt;&lt;ref-type name="Generic"&gt;13&lt;/ref-type&gt;&lt;contributors&gt;&lt;authors&gt;&lt;author&gt;U.S. Environmental Protection Agency (EPA),&lt;/author&gt;&lt;/authors&gt;&lt;/contributors&gt;&lt;titles&gt;&lt;title&gt;Chemical Data Reporting Results&lt;/title&gt;&lt;/titles&gt;&lt;dates&gt;&lt;year&gt;2020&lt;/year&gt;&lt;/dates&gt;&lt;publisher&gt;Chemview&lt;/publisher&gt;&lt;urls&gt;&lt;related-urls&gt;&lt;url&gt;https://chemview.epa.gov/chemview&lt;/url&gt;&lt;/related-urls&gt;&lt;/urls&gt;&lt;/record&gt;&lt;/Cite&gt;&lt;/EndNote&gt;</w:instrText>
        </w:r>
        <w:r w:rsidR="003D6084">
          <w:rPr>
            <w:lang w:val="en-US"/>
          </w:rPr>
          <w:fldChar w:fldCharType="separate"/>
        </w:r>
        <w:r w:rsidR="003D6084">
          <w:rPr>
            <w:noProof/>
            <w:lang w:val="en-US"/>
          </w:rPr>
          <w:t>EPA 2020a</w:t>
        </w:r>
        <w:r w:rsidR="003D6084">
          <w:rPr>
            <w:lang w:val="en-US"/>
          </w:rPr>
          <w:fldChar w:fldCharType="end"/>
        </w:r>
      </w:hyperlink>
      <w:r w:rsidR="00401893">
        <w:rPr>
          <w:lang w:val="en-US"/>
        </w:rPr>
        <w:t>)</w:t>
      </w:r>
      <w:r w:rsidR="1C59E468">
        <w:rPr>
          <w:lang w:val="en-US"/>
        </w:rPr>
        <w:t xml:space="preserve"> </w:t>
      </w:r>
      <w:r w:rsidR="393E439D">
        <w:rPr>
          <w:lang w:val="en-US"/>
        </w:rPr>
        <w:t xml:space="preserve">Sun Chemical reported that 100% of annual production goes to processing as a reactant for </w:t>
      </w:r>
      <w:r w:rsidR="48B0F71F">
        <w:rPr>
          <w:lang w:val="en-US"/>
        </w:rPr>
        <w:t>synthetic dye and pigment manufacture</w:t>
      </w:r>
      <w:r w:rsidRPr="4BA86F39">
        <w:rPr>
          <w:lang w:val="en-US"/>
        </w:rPr>
        <w:t xml:space="preserve">. Additional information provided to EPA elaborated that approximately 69% of Sun Chemical Company’s domestic market for PV29 is the paints and coatings industry </w:t>
      </w:r>
      <w:r w:rsidRPr="00743695">
        <w:rPr>
          <w:lang w:val="en-US"/>
        </w:rPr>
        <w:t>(</w:t>
      </w:r>
      <w:hyperlink w:anchor="_ENREF_63" w:tooltip="U.S. Environmental Protection Agency (EPA), 2021 #73" w:history="1">
        <w:r w:rsidR="003D6084">
          <w:rPr>
            <w:lang w:val="en-US"/>
          </w:rPr>
          <w:fldChar w:fldCharType="begin" w:fldLock="1"/>
        </w:r>
        <w:r w:rsidR="003D6084">
          <w:rPr>
            <w:lang w:val="en-US"/>
          </w:rPr>
          <w:instrText xml:space="preserve"> ADDIN EN.CITE &lt;EndNote&gt;&lt;Cite ExcludeAuth="1"&gt;&lt;Author&gt;U.S. Environmental Protection Agency (EPA)&lt;/Author&gt;&lt;Year&gt;2021&lt;/Year&gt;&lt;RecNum&gt;73&lt;/RecNum&gt;&lt;Prefix&gt;EPA &lt;/Prefix&gt;&lt;DisplayText&gt;EPA 2021c&lt;/DisplayText&gt;&lt;record&gt;&lt;rec-number&gt;73&lt;/rec-number&gt;&lt;foreign-keys&gt;&lt;key app="EN" db-id="2apzr05radv9fjet2w6xxwdlz5e9vwfxredw" timestamp="1730823757"&gt;73&lt;/key&gt;&lt;/foreign-keys&gt;&lt;ref-type name="Generic"&gt;13&lt;/ref-type&gt;&lt;contributors&gt;&lt;authors&gt;&lt;author&gt;U.S. Environmental Protection Agency (EPA),&lt;/author&gt;&lt;/authors&gt;&lt;/contributors&gt;&lt;titles&gt;&lt;title&gt;Notes from Meeting with CPMA on June 24, 2021 (compiled by Lynne Blake-Hedges)&lt;/title&gt;&lt;/titles&gt;&lt;dates&gt;&lt;year&gt;2021&lt;/year&gt;&lt;/dates&gt;&lt;urls&gt;&lt;/urls&gt;&lt;/record&gt;&lt;/Cite&gt;&lt;/EndNote&gt;</w:instrText>
        </w:r>
        <w:r w:rsidR="003D6084">
          <w:rPr>
            <w:lang w:val="en-US"/>
          </w:rPr>
          <w:fldChar w:fldCharType="separate"/>
        </w:r>
        <w:r w:rsidR="003D6084">
          <w:rPr>
            <w:noProof/>
            <w:lang w:val="en-US"/>
          </w:rPr>
          <w:t>EPA 2021c</w:t>
        </w:r>
        <w:r w:rsidR="003D6084">
          <w:rPr>
            <w:lang w:val="en-US"/>
          </w:rPr>
          <w:fldChar w:fldCharType="end"/>
        </w:r>
      </w:hyperlink>
      <w:r w:rsidRPr="00743695">
        <w:rPr>
          <w:lang w:val="en-US"/>
        </w:rPr>
        <w:t>).</w:t>
      </w:r>
      <w:r w:rsidRPr="4BA86F39">
        <w:rPr>
          <w:lang w:val="en-US"/>
        </w:rPr>
        <w:t xml:space="preserve"> Therefore, EPA estimates that 27,600 lbs (69 percent of the 40,000 lbs distributed in the domestic market) are used in the paints and coatings industry. </w:t>
      </w:r>
    </w:p>
    <w:p w:rsidR="005F1D5F" w:rsidRPr="00A95A85" w:rsidP="002B58FE" w14:paraId="6A685C4E" w14:textId="77777777">
      <w:pPr>
        <w:pStyle w:val="Heading6"/>
      </w:pPr>
      <w:r w:rsidRPr="00A95A85">
        <w:t>Automotive paints</w:t>
      </w:r>
    </w:p>
    <w:p w:rsidR="005F1D5F" w:rsidRPr="00A95A85" w:rsidP="00832749" w14:paraId="40AA1891" w14:textId="231334EA">
      <w:pPr>
        <w:pStyle w:val="BodyText"/>
      </w:pPr>
      <w:r w:rsidRPr="4BA86F39">
        <w:rPr>
          <w:lang w:val="en-US"/>
        </w:rPr>
        <w:t xml:space="preserve">A major use of PV29 is for the coloration of automotive paint. Perylene pigments’ high color strength, weatherfastness, and heat stability are key characteristics that make these pigments suitable for this use </w:t>
      </w:r>
      <w:r w:rsidR="00F0385B">
        <w:rPr>
          <w:lang w:val="en-US"/>
        </w:rPr>
        <w:t>(</w:t>
      </w:r>
      <w:hyperlink w:anchor="_ENREF_23" w:tooltip="Greene, 2002 #23" w:history="1">
        <w:r w:rsidR="003D6084">
          <w:fldChar w:fldCharType="begin" w:fldLock="1"/>
        </w:r>
        <w:r w:rsidR="003D6084">
          <w:instrText xml:space="preserve"> ADDIN EN.CITE &lt;EndNote&gt;&lt;Cite&gt;&lt;Author&gt;Greene&lt;/Author&gt;&lt;Year&gt;2002&lt;/Year&gt;&lt;RecNum&gt;23&lt;/RecNum&gt;&lt;DisplayText&gt;Greene 2002&lt;/DisplayText&gt;&lt;record&gt;&lt;rec-number&gt;23&lt;/rec-number&gt;&lt;foreign-keys&gt;&lt;key app="EN" db-id="2apzr05radv9fjet2w6xxwdlz5e9vwfxredw" timestamp="1730757315"&gt;23&lt;/key&gt;&lt;/foreign-keys&gt;&lt;ref-type name="Book Section"&gt;5&lt;/ref-type&gt;&lt;contributors&gt;&lt;authors&gt;&lt;author&gt;Greene, Michael&lt;/author&gt;&lt;/authors&gt;&lt;secondary-authors&gt;&lt;author&gt;Hugh M. Smith&lt;/author&gt;&lt;/secondary-authors&gt;&lt;/contributors&gt;&lt;titles&gt;&lt;title&gt;Perylene Pigments&lt;/title&gt;&lt;secondary-title&gt;High Performance Pigments&lt;/secondary-title&gt;&lt;/titles&gt;&lt;dates&gt;&lt;year&gt;2002&lt;/year&gt;&lt;/dates&gt;&lt;urls&gt;&lt;/urls&gt;&lt;/record&gt;&lt;/Cite&gt;&lt;/EndNote&gt;</w:instrText>
        </w:r>
        <w:r w:rsidR="003D6084">
          <w:fldChar w:fldCharType="separate"/>
        </w:r>
        <w:r w:rsidR="003D6084">
          <w:rPr>
            <w:noProof/>
          </w:rPr>
          <w:t>Greene 2002</w:t>
        </w:r>
        <w:r w:rsidR="003D6084">
          <w:fldChar w:fldCharType="end"/>
        </w:r>
      </w:hyperlink>
      <w:r w:rsidR="00F0385B">
        <w:rPr>
          <w:lang w:val="en-US"/>
        </w:rPr>
        <w:t>)</w:t>
      </w:r>
      <w:r w:rsidRPr="4BA86F39">
        <w:rPr>
          <w:lang w:val="en-US"/>
        </w:rPr>
        <w:t xml:space="preserve">. PV29 is used in paint both for original automotive equipment manufacture (in which the paint is baked onto the metal by the car manufacturer) and for refinish (where the paint is sprayed on by auto body shops) </w:t>
      </w:r>
      <w:r w:rsidR="00F0385B">
        <w:rPr>
          <w:lang w:val="en-US"/>
        </w:rPr>
        <w:t>(</w:t>
      </w:r>
      <w:hyperlink w:anchor="_ENREF_13" w:tooltip="CPMA, 2017 #13" w:history="1">
        <w:r w:rsidR="003D6084">
          <w:fldChar w:fldCharType="begin" w:fldLock="1"/>
        </w:r>
        <w:r w:rsidR="003D6084">
          <w:instrText xml:space="preserve"> ADDIN EN.CITE &lt;EndNote&gt;&lt;Cite&gt;&lt;Author&gt;CPMA&lt;/Author&gt;&lt;Year&gt;2017&lt;/Year&gt;&lt;RecNum&gt;13&lt;/RecNum&gt;&lt;DisplayText&gt;CPMA 2017&lt;/DisplayText&gt;&lt;record&gt;&lt;rec-number&gt;13&lt;/rec-number&gt;&lt;foreign-keys&gt;&lt;key app="EN" db-id="2apzr05radv9fjet2w6xxwdlz5e9vwfxredw" timestamp="1730757315"&gt;13&lt;/key&gt;&lt;/foreign-keys&gt;&lt;ref-type name="Generic"&gt;13&lt;/ref-type&gt;&lt;contributors&gt;&lt;authors&gt;&lt;author&gt;CPMA&lt;/author&gt;&lt;/authors&gt;&lt;/contributors&gt;&lt;titles&gt;&lt;title&gt;Letter to EPA Re: The Toxicological Properties, Chemical Use (and Other) Information Relevant to EPA’s Risk Evaluation of C.I. Pigment Violet 29&lt;/title&gt;&lt;/titles&gt;&lt;dates&gt;&lt;year&gt;2017&lt;/year&gt;&lt;/dates&gt;&lt;urls&gt;&lt;/urls&gt;&lt;/record&gt;&lt;/Cite&gt;&lt;/EndNote&gt;</w:instrText>
        </w:r>
        <w:r w:rsidR="003D6084">
          <w:fldChar w:fldCharType="separate"/>
        </w:r>
        <w:r w:rsidR="003D6084">
          <w:rPr>
            <w:noProof/>
          </w:rPr>
          <w:t>CPMA 2017</w:t>
        </w:r>
        <w:r w:rsidR="003D6084">
          <w:fldChar w:fldCharType="end"/>
        </w:r>
      </w:hyperlink>
      <w:r w:rsidR="00F0385B">
        <w:rPr>
          <w:lang w:val="en-US"/>
        </w:rPr>
        <w:t>)</w:t>
      </w:r>
      <w:r w:rsidRPr="4BA86F39">
        <w:rPr>
          <w:lang w:val="en-US"/>
        </w:rPr>
        <w:t>. CPMA notes that PV29 “is one of the few pigments in its color range that can withstand the high heat involved in OEM application. It is highly light-fast, and so will not fade after years of direct sun exposure.”</w:t>
      </w:r>
    </w:p>
    <w:p w:rsidR="005F1D5F" w:rsidRPr="00A95A85" w:rsidP="00832749" w14:paraId="587D52A8" w14:textId="1A64BC8B">
      <w:pPr>
        <w:pStyle w:val="BodyText"/>
      </w:pPr>
      <w:r w:rsidRPr="4BA86F39">
        <w:rPr>
          <w:lang w:val="en-US"/>
        </w:rPr>
        <w:t xml:space="preserve">Sun Chemical Corporation provided information to EPA indicating its direct customers that process PV29 for paint and coating manufacturing receive the chemical at 80% concentration in powder in bags that are manually opened and dumped into a mixer where it is milled and formulated into a tint paste. The paste is added to a wide variety of liquid base coats for the automobile industry </w:t>
      </w:r>
      <w:r w:rsidR="00F02BDE">
        <w:rPr>
          <w:lang w:val="en-US"/>
        </w:rPr>
        <w:t>(</w:t>
      </w:r>
      <w:hyperlink w:anchor="_ENREF_60" w:tooltip="U.S. Environmental Protection Agency (EPA), 2020 #59" w:history="1">
        <w:r w:rsidR="003D6084">
          <w:fldChar w:fldCharType="begin" w:fldLock="1"/>
        </w:r>
        <w:r w:rsidR="003D6084">
          <w:instrText xml:space="preserve"> ADDIN EN.CITE &lt;EndNote&gt;&lt;Cite ExcludeAuth="1"&gt;&lt;Author&gt;U.S. Environmental Protection Agency (EPA)&lt;/Author&gt;&lt;Year&gt;2020&lt;/Year&gt;&lt;RecNum&gt;59&lt;/RecNum&gt;&lt;Prefix&gt;EPA &lt;/Prefix&gt;&lt;DisplayText&gt;EPA 2020b&lt;/DisplayText&gt;&lt;record&gt;&lt;rec-number&gt;59&lt;/rec-number&gt;&lt;foreign-keys&gt;&lt;key app="EN" db-id="2apzr05radv9fjet2w6xxwdlz5e9vwfxredw" timestamp="1730757315"&gt;59&lt;/key&gt;&lt;/foreign-keys&gt;&lt;ref-type name="Generic"&gt;13&lt;/ref-type&gt;&lt;contributors&gt;&lt;authors&gt;&lt;author&gt;U.S. Environmental Protection Agency (EPA),&lt;/author&gt;&lt;/authors&gt;&lt;/contributors&gt;&lt;titles&gt;&lt;title&gt;Chemical Risk Evaluation Meeting with Sun Chemical Corporation, Color Pigments Manufacturers Association and EPA to discuss the Downstream Processors of C.I. Pigment Violet 29 (PV29)&lt;/title&gt;&lt;/titles&gt;&lt;dates&gt;&lt;year&gt;2020&lt;/year&gt;&lt;/dates&gt;&lt;urls&gt;&lt;/urls&gt;&lt;/record&gt;&lt;/Cite&gt;&lt;/EndNote&gt;</w:instrText>
        </w:r>
        <w:r w:rsidR="003D6084">
          <w:fldChar w:fldCharType="separate"/>
        </w:r>
        <w:r w:rsidR="003D6084">
          <w:rPr>
            <w:noProof/>
          </w:rPr>
          <w:t>EPA 2020b</w:t>
        </w:r>
        <w:r w:rsidR="003D6084">
          <w:fldChar w:fldCharType="end"/>
        </w:r>
      </w:hyperlink>
      <w:r w:rsidR="00F02BDE">
        <w:rPr>
          <w:lang w:val="en-US"/>
        </w:rPr>
        <w:t>)</w:t>
      </w:r>
      <w:r w:rsidRPr="4BA86F39">
        <w:rPr>
          <w:lang w:val="en-US"/>
        </w:rPr>
        <w:t>. Pigments are typically supplied to the paint and coating formulator as dry powders, press cakes, or slurries. These materials may be classified in a variety of ways including white, inert extenders, color, and functional pigments (</w:t>
      </w:r>
      <w:r w:rsidRPr="4BA86F39">
        <w:rPr>
          <w:shd w:val="clear" w:color="auto" w:fill="FAFAFA" w:themeFill="accent5" w:themeFillTint="33"/>
          <w:lang w:val="en-US"/>
        </w:rPr>
        <w:t>citation</w:t>
      </w:r>
      <w:r w:rsidRPr="4BA86F39">
        <w:rPr>
          <w:lang w:val="en-US"/>
        </w:rPr>
        <w:t>).</w:t>
      </w:r>
      <w:r w:rsidR="005C2B4F">
        <w:rPr>
          <w:lang w:val="en-US"/>
        </w:rPr>
        <w:t xml:space="preserve"> This analysis assumes that all PV29 supplied to paint and coating formulators is in the regulated PV29, or dry powder, form.</w:t>
      </w:r>
    </w:p>
    <w:p w:rsidR="005F1D5F" w:rsidRPr="00A95A85" w:rsidP="00832749" w14:paraId="5AD8EB05" w14:textId="06945661">
      <w:pPr>
        <w:pStyle w:val="BodyText"/>
        <w:rPr>
          <w:lang w:val="en-US"/>
        </w:rPr>
      </w:pPr>
      <w:r w:rsidRPr="4BA86F39">
        <w:rPr>
          <w:lang w:val="en-US"/>
        </w:rPr>
        <w:t>CPMA representatives stated that Sun Chemical provides PV29 to 14 automotive coating customers. Therefore, EPA assumes that there are 14 sites associated with this COU</w:t>
      </w:r>
      <w:r>
        <w:rPr>
          <w:rStyle w:val="FootnoteReference"/>
          <w:lang w:val="en-US"/>
        </w:rPr>
        <w:footnoteReference w:id="11"/>
      </w:r>
      <w:r w:rsidRPr="4BA86F39">
        <w:rPr>
          <w:lang w:val="en-US"/>
        </w:rPr>
        <w:t xml:space="preserve"> </w:t>
      </w:r>
      <w:r w:rsidR="00B30422">
        <w:rPr>
          <w:lang w:val="en-US"/>
        </w:rPr>
        <w:t>(</w:t>
      </w:r>
      <w:hyperlink w:anchor="_ENREF_62" w:tooltip="U.S. Environmental Protection Agency (EPA), 2021 #63" w:history="1">
        <w:r w:rsidR="003D6084">
          <w:rPr>
            <w:lang w:val="en-US"/>
          </w:rPr>
          <w:fldChar w:fldCharType="begin" w:fldLock="1"/>
        </w:r>
        <w:r w:rsidR="003D6084">
          <w:rPr>
            <w:lang w:val="en-US"/>
          </w:rPr>
          <w:instrText xml:space="preserve"> ADDIN EN.CITE &lt;EndNote&gt;&lt;Cite ExcludeAuth="1"&gt;&lt;Author&gt;U.S. Environmental Protection Agency (EPA)&lt;/Author&gt;&lt;Year&gt;2021&lt;/Year&gt;&lt;RecNum&gt;63&lt;/RecNum&gt;&lt;Prefix&gt;EPA &lt;/Prefix&gt;&lt;DisplayText&gt;EPA 2021b&lt;/DisplayText&gt;&lt;record&gt;&lt;rec-number&gt;63&lt;/rec-number&gt;&lt;foreign-keys&gt;&lt;key app="EN" db-id="2apzr05radv9fjet2w6xxwdlz5e9vwfxredw" timestamp="1730757315"&gt;63&lt;/key&gt;&lt;/foreign-keys&gt;&lt;ref-type name="Generic"&gt;13&lt;/ref-type&gt;&lt;contributors&gt;&lt;authors&gt;&lt;author&gt;U.S. Environmental Protection Agency (EPA),&lt;/author&gt;&lt;/authors&gt;&lt;/contributors&gt;&lt;titles&gt;&lt;title&gt;Notes from Meeting with CPMA on April 28, 2021 (compiled by Lynne Blake-Hedges)&lt;/title&gt;&lt;short-title&gt;Notes from Meeting with CPMA on April 28, 2021 (compiled by Lynne Blake-Hedges)&lt;/short-title&gt;&lt;/titles&gt;&lt;dates&gt;&lt;year&gt;2021&lt;/year&gt;&lt;/dates&gt;&lt;urls&gt;&lt;/urls&gt;&lt;/record&gt;&lt;/Cite&gt;&lt;/EndNote&gt;</w:instrText>
        </w:r>
        <w:r w:rsidR="003D6084">
          <w:rPr>
            <w:lang w:val="en-US"/>
          </w:rPr>
          <w:fldChar w:fldCharType="separate"/>
        </w:r>
        <w:r w:rsidR="003D6084">
          <w:rPr>
            <w:noProof/>
            <w:lang w:val="en-US"/>
          </w:rPr>
          <w:t>EPA 2021b</w:t>
        </w:r>
        <w:r w:rsidR="003D6084">
          <w:rPr>
            <w:lang w:val="en-US"/>
          </w:rPr>
          <w:fldChar w:fldCharType="end"/>
        </w:r>
      </w:hyperlink>
      <w:r w:rsidR="00B30422">
        <w:rPr>
          <w:lang w:val="en-US"/>
        </w:rPr>
        <w:t>)</w:t>
      </w:r>
      <w:r w:rsidRPr="4BA86F39">
        <w:rPr>
          <w:lang w:val="en-US"/>
        </w:rPr>
        <w:t xml:space="preserve">. However, the specific set of automotive coating manufacturing facilities that use </w:t>
      </w:r>
      <w:r w:rsidR="005C2B4F">
        <w:rPr>
          <w:lang w:val="en-US"/>
        </w:rPr>
        <w:t xml:space="preserve">regulated </w:t>
      </w:r>
      <w:r w:rsidRPr="4BA86F39">
        <w:rPr>
          <w:lang w:val="en-US"/>
        </w:rPr>
        <w:t xml:space="preserve">PV29 is unknown. EPA identified 38 active automotive paint manufacturing facilities in the United States owned by 8 parent companies, which are summarized in </w:t>
      </w:r>
      <w:r>
        <w:fldChar w:fldCharType="begin" w:fldLock="1"/>
      </w:r>
      <w:r>
        <w:instrText>REF _Ref76482938  \* MERGEFORMAT</w:instrText>
      </w:r>
      <w:r>
        <w:fldChar w:fldCharType="separate"/>
      </w:r>
      <w:r w:rsidRPr="00735BBC" w:rsidR="00735BBC">
        <w:rPr>
          <w:lang w:val="en-US"/>
        </w:rPr>
        <w:t>Table 3</w:t>
      </w:r>
      <w:r w:rsidRPr="00735BBC" w:rsidR="00735BBC">
        <w:rPr>
          <w:lang w:val="en-US"/>
        </w:rPr>
        <w:noBreakHyphen/>
        <w:t>3</w:t>
      </w:r>
      <w:r w:rsidRPr="00735BBC" w:rsidR="00735BBC">
        <w:rPr>
          <w:lang w:val="en-US"/>
        </w:rPr>
        <w:fldChar w:fldCharType="end"/>
      </w:r>
      <w:r w:rsidRPr="4BA86F39">
        <w:rPr>
          <w:lang w:val="en-US"/>
        </w:rPr>
        <w:t xml:space="preserve">. EPA expects that the 14 facilities using </w:t>
      </w:r>
      <w:r w:rsidR="005C2B4F">
        <w:rPr>
          <w:lang w:val="en-US"/>
        </w:rPr>
        <w:t xml:space="preserve">regulated </w:t>
      </w:r>
      <w:r w:rsidRPr="4BA86F39">
        <w:rPr>
          <w:lang w:val="en-US"/>
        </w:rPr>
        <w:t>PV29 are likely owned by a subset of these companies.</w:t>
      </w:r>
    </w:p>
    <w:p w:rsidR="005F1D5F" w:rsidRPr="00A95A85" w:rsidP="005F1D5F" w14:paraId="4EBCFF8C" w14:textId="7739C6D1">
      <w:pPr>
        <w:pStyle w:val="Caption"/>
      </w:pPr>
    </w:p>
    <w:tbl>
      <w:tblPr>
        <w:tblStyle w:val="TableGrid"/>
        <w:tblW w:w="5005" w:type="pct"/>
        <w:tblInd w:w="-5" w:type="dxa"/>
        <w:tblLayout w:type="fixed"/>
        <w:tblLook w:val="04A0"/>
      </w:tblPr>
      <w:tblGrid>
        <w:gridCol w:w="2256"/>
        <w:gridCol w:w="5026"/>
        <w:gridCol w:w="586"/>
        <w:gridCol w:w="1501"/>
      </w:tblGrid>
      <w:tr w14:paraId="3D74ACB1" w14:textId="77777777" w:rsidTr="00090D5F">
        <w:tblPrEx>
          <w:tblW w:w="5005" w:type="pct"/>
          <w:tblInd w:w="-5" w:type="dxa"/>
          <w:tblLayout w:type="fixed"/>
          <w:tblLook w:val="04A0"/>
        </w:tblPrEx>
        <w:trPr>
          <w:cantSplit/>
          <w:tblHeader/>
        </w:trPr>
        <w:tc>
          <w:tcPr>
            <w:tcW w:w="5000" w:type="pct"/>
            <w:gridSpan w:val="4"/>
            <w:tcBorders>
              <w:top w:val="nil"/>
              <w:left w:val="nil"/>
              <w:bottom w:val="single" w:sz="4" w:space="0" w:color="auto"/>
              <w:right w:val="nil"/>
            </w:tcBorders>
            <w:shd w:val="clear" w:color="auto" w:fill="auto"/>
            <w:vAlign w:val="center"/>
          </w:tcPr>
          <w:p w:rsidR="00090D5F" w:rsidRPr="00A95A85" w:rsidP="00026204" w14:paraId="14F2B0C8" w14:textId="06AC2BFB">
            <w:pPr>
              <w:pStyle w:val="TableTitleA"/>
            </w:pPr>
            <w:bookmarkStart w:id="124" w:name="_Ref76482938"/>
            <w:bookmarkStart w:id="125" w:name="_Toc184299552"/>
            <w:r w:rsidRPr="00A95A85">
              <w:t xml:space="preserve">Table </w:t>
            </w:r>
            <w:r>
              <w:fldChar w:fldCharType="begin" w:fldLock="1"/>
            </w:r>
            <w:r>
              <w:instrText>STYLEREF 1 \s</w:instrText>
            </w:r>
            <w:r>
              <w:fldChar w:fldCharType="separate"/>
            </w:r>
            <w:r w:rsidR="00735BBC">
              <w:rPr>
                <w:noProof/>
              </w:rPr>
              <w:t>3</w:t>
            </w:r>
            <w:r>
              <w:fldChar w:fldCharType="end"/>
            </w:r>
            <w:r w:rsidR="000A1542">
              <w:noBreakHyphen/>
            </w:r>
            <w:r>
              <w:fldChar w:fldCharType="begin" w:fldLock="1"/>
            </w:r>
            <w:r>
              <w:instrText>SEQ Table \* ARABIC \s 1</w:instrText>
            </w:r>
            <w:r>
              <w:fldChar w:fldCharType="separate"/>
            </w:r>
            <w:r w:rsidR="00735BBC">
              <w:rPr>
                <w:noProof/>
              </w:rPr>
              <w:t>3</w:t>
            </w:r>
            <w:r>
              <w:fldChar w:fldCharType="end"/>
            </w:r>
            <w:bookmarkEnd w:id="124"/>
            <w:r w:rsidRPr="00A95A85">
              <w:t>: Companies Manufacturing Automotive Paints in the United States</w:t>
            </w:r>
            <w:bookmarkEnd w:id="125"/>
          </w:p>
        </w:tc>
      </w:tr>
      <w:tr w14:paraId="37D993EE" w14:textId="77777777" w:rsidTr="00090D5F">
        <w:tblPrEx>
          <w:tblW w:w="5005" w:type="pct"/>
          <w:tblInd w:w="-5" w:type="dxa"/>
          <w:tblLayout w:type="fixed"/>
          <w:tblLook w:val="04A0"/>
        </w:tblPrEx>
        <w:trPr>
          <w:cantSplit/>
          <w:tblHeader/>
        </w:trPr>
        <w:tc>
          <w:tcPr>
            <w:tcW w:w="1204" w:type="pct"/>
            <w:tcBorders>
              <w:top w:val="single" w:sz="4" w:space="0" w:color="auto"/>
            </w:tcBorders>
            <w:shd w:val="clear" w:color="auto" w:fill="013E5B"/>
            <w:vAlign w:val="center"/>
          </w:tcPr>
          <w:p w:rsidR="005F1D5F" w:rsidRPr="00A95A85" w:rsidP="000D7F2B" w14:paraId="43A48ACE" w14:textId="77777777">
            <w:pPr>
              <w:pStyle w:val="TableSubtitle"/>
            </w:pPr>
            <w:r w:rsidRPr="00A95A85">
              <w:t>Company</w:t>
            </w:r>
          </w:p>
          <w:p w:rsidR="005F1D5F" w:rsidRPr="00A95A85" w:rsidP="000D7F2B" w14:paraId="1A6DDEB9" w14:textId="77777777">
            <w:pPr>
              <w:pStyle w:val="TableSubtitle"/>
            </w:pPr>
            <w:r w:rsidRPr="00A95A85">
              <w:t>(</w:t>
            </w:r>
            <w:r w:rsidRPr="00A95A85">
              <w:rPr>
                <w:i/>
                <w:iCs/>
              </w:rPr>
              <w:t>and subsidiaries</w:t>
            </w:r>
            <w:r w:rsidRPr="00A95A85">
              <w:t>)</w:t>
            </w:r>
          </w:p>
        </w:tc>
        <w:tc>
          <w:tcPr>
            <w:tcW w:w="2682" w:type="pct"/>
            <w:tcBorders>
              <w:top w:val="single" w:sz="4" w:space="0" w:color="auto"/>
            </w:tcBorders>
            <w:shd w:val="clear" w:color="auto" w:fill="013E5B"/>
            <w:vAlign w:val="center"/>
          </w:tcPr>
          <w:p w:rsidR="005F1D5F" w:rsidRPr="00A95A85" w:rsidP="000D7F2B" w14:paraId="0406298A" w14:textId="77777777">
            <w:pPr>
              <w:pStyle w:val="TableSubtitle"/>
              <w:rPr>
                <w:vertAlign w:val="superscript"/>
              </w:rPr>
            </w:pPr>
            <w:r w:rsidRPr="00A95A85">
              <w:t>Description</w:t>
            </w:r>
            <w:r w:rsidRPr="00A95A85">
              <w:rPr>
                <w:vertAlign w:val="superscript"/>
              </w:rPr>
              <w:t>1</w:t>
            </w:r>
          </w:p>
        </w:tc>
        <w:tc>
          <w:tcPr>
            <w:tcW w:w="1114" w:type="pct"/>
            <w:gridSpan w:val="2"/>
            <w:tcBorders>
              <w:top w:val="single" w:sz="4" w:space="0" w:color="auto"/>
            </w:tcBorders>
            <w:shd w:val="clear" w:color="auto" w:fill="013E5B"/>
            <w:vAlign w:val="center"/>
          </w:tcPr>
          <w:p w:rsidR="005F1D5F" w:rsidRPr="00A95A85" w:rsidP="000D7F2B" w14:paraId="7B744DCC" w14:textId="77777777">
            <w:pPr>
              <w:pStyle w:val="TableSubtitle"/>
              <w:rPr>
                <w:vertAlign w:val="superscript"/>
              </w:rPr>
            </w:pPr>
            <w:r w:rsidRPr="00A95A85">
              <w:t>U.S. Manufacturing Facilities</w:t>
            </w:r>
            <w:r w:rsidRPr="00A95A85">
              <w:rPr>
                <w:vertAlign w:val="superscript"/>
              </w:rPr>
              <w:t>2</w:t>
            </w:r>
          </w:p>
        </w:tc>
      </w:tr>
      <w:tr w14:paraId="67A26B0B" w14:textId="77777777" w:rsidTr="007B106D">
        <w:tblPrEx>
          <w:tblW w:w="5005" w:type="pct"/>
          <w:tblInd w:w="-5" w:type="dxa"/>
          <w:tblLayout w:type="fixed"/>
          <w:tblLook w:val="04A0"/>
        </w:tblPrEx>
        <w:trPr>
          <w:cantSplit/>
        </w:trPr>
        <w:tc>
          <w:tcPr>
            <w:tcW w:w="1204" w:type="pct"/>
            <w:vAlign w:val="center"/>
          </w:tcPr>
          <w:p w:rsidR="005F1D5F" w:rsidRPr="00A95A85" w:rsidP="00090D5F" w14:paraId="310CDF03" w14:textId="77777777">
            <w:pPr>
              <w:pStyle w:val="LTableTextAbt"/>
            </w:pPr>
            <w:r w:rsidRPr="00A95A85">
              <w:t>PPG Industries, Inc. (</w:t>
            </w:r>
            <w:r w:rsidRPr="00A95A85">
              <w:rPr>
                <w:i/>
                <w:iCs/>
              </w:rPr>
              <w:t>Hemmelrath</w:t>
            </w:r>
            <w:r w:rsidRPr="00A95A85">
              <w:t>)</w:t>
            </w:r>
          </w:p>
        </w:tc>
        <w:tc>
          <w:tcPr>
            <w:tcW w:w="2682" w:type="pct"/>
            <w:vAlign w:val="center"/>
          </w:tcPr>
          <w:p w:rsidR="005F1D5F" w:rsidRPr="00A95A85" w:rsidP="00090D5F" w14:paraId="55D44FDA" w14:textId="77777777">
            <w:pPr>
              <w:pStyle w:val="LTableTextAbt"/>
            </w:pPr>
            <w:r w:rsidRPr="00A95A85">
              <w:t>U.S. manufacturer of broad range of coatings, paints, and other materials; automotive paint manufacturing encompassed by industrial coating operating segment which accounts for approximately 40% of company revenues.</w:t>
            </w:r>
          </w:p>
        </w:tc>
        <w:tc>
          <w:tcPr>
            <w:tcW w:w="313" w:type="pct"/>
          </w:tcPr>
          <w:p w:rsidR="005F1D5F" w:rsidRPr="00A95A85" w:rsidP="00090D5F" w14:paraId="4D084F43" w14:textId="77777777">
            <w:pPr>
              <w:pStyle w:val="RTableTextAbt"/>
            </w:pPr>
            <w:r w:rsidRPr="00A95A85">
              <w:t>11</w:t>
            </w:r>
          </w:p>
        </w:tc>
        <w:tc>
          <w:tcPr>
            <w:tcW w:w="801" w:type="pct"/>
            <w:tcBorders>
              <w:right w:val="single" w:sz="4" w:space="0" w:color="auto"/>
            </w:tcBorders>
          </w:tcPr>
          <w:p w:rsidR="005F1D5F" w:rsidRPr="00A95A85" w:rsidP="00090D5F" w14:paraId="52D59AD9" w14:textId="77777777">
            <w:pPr>
              <w:pStyle w:val="RTableTextAbt"/>
              <w:rPr>
                <w:i/>
                <w:iCs/>
              </w:rPr>
            </w:pPr>
            <w:r w:rsidRPr="00A95A85">
              <w:rPr>
                <w:i/>
                <w:iCs/>
              </w:rPr>
              <w:t>AR, GA, IN, MI, NC, OH [4], PA, WI</w:t>
            </w:r>
          </w:p>
        </w:tc>
      </w:tr>
      <w:tr w14:paraId="0F62F34F" w14:textId="77777777" w:rsidTr="007B106D">
        <w:tblPrEx>
          <w:tblW w:w="5005" w:type="pct"/>
          <w:tblInd w:w="-5" w:type="dxa"/>
          <w:tblLayout w:type="fixed"/>
          <w:tblLook w:val="04A0"/>
        </w:tblPrEx>
        <w:trPr>
          <w:cantSplit/>
        </w:trPr>
        <w:tc>
          <w:tcPr>
            <w:tcW w:w="1204" w:type="pct"/>
            <w:vAlign w:val="center"/>
          </w:tcPr>
          <w:p w:rsidR="005F1D5F" w:rsidRPr="00A95A85" w:rsidP="00090D5F" w14:paraId="5CF17AA2" w14:textId="77777777">
            <w:pPr>
              <w:pStyle w:val="LTableTextAbt"/>
            </w:pPr>
            <w:r w:rsidRPr="00A95A85">
              <w:t>BASF</w:t>
            </w:r>
          </w:p>
        </w:tc>
        <w:tc>
          <w:tcPr>
            <w:tcW w:w="2682" w:type="pct"/>
            <w:vAlign w:val="center"/>
          </w:tcPr>
          <w:p w:rsidR="005F1D5F" w:rsidRPr="00A95A85" w:rsidP="00090D5F" w14:paraId="36FA796F" w14:textId="77777777">
            <w:pPr>
              <w:pStyle w:val="LTableTextAbt"/>
            </w:pPr>
            <w:r w:rsidRPr="00A95A85">
              <w:t>German company that bundles products and services for specific sectors and customers; coating segment accounts for approximately 6% of revenues.</w:t>
            </w:r>
          </w:p>
        </w:tc>
        <w:tc>
          <w:tcPr>
            <w:tcW w:w="313" w:type="pct"/>
          </w:tcPr>
          <w:p w:rsidR="005F1D5F" w:rsidRPr="00A95A85" w:rsidP="00090D5F" w14:paraId="42117655" w14:textId="77777777">
            <w:pPr>
              <w:pStyle w:val="RTableTextAbt"/>
            </w:pPr>
            <w:r w:rsidRPr="00A95A85">
              <w:t>5</w:t>
            </w:r>
          </w:p>
        </w:tc>
        <w:tc>
          <w:tcPr>
            <w:tcW w:w="801" w:type="pct"/>
            <w:tcBorders>
              <w:right w:val="single" w:sz="4" w:space="0" w:color="auto"/>
            </w:tcBorders>
          </w:tcPr>
          <w:p w:rsidR="005F1D5F" w:rsidRPr="00A95A85" w:rsidP="00090D5F" w14:paraId="32F58102" w14:textId="77777777">
            <w:pPr>
              <w:pStyle w:val="RTableTextAbt"/>
            </w:pPr>
            <w:r w:rsidRPr="00A95A85">
              <w:rPr>
                <w:i/>
                <w:iCs/>
              </w:rPr>
              <w:t>AL, NC, OH, SC, TN</w:t>
            </w:r>
          </w:p>
        </w:tc>
      </w:tr>
      <w:tr w14:paraId="318407B2" w14:textId="77777777" w:rsidTr="007B106D">
        <w:tblPrEx>
          <w:tblW w:w="5005" w:type="pct"/>
          <w:tblInd w:w="-5" w:type="dxa"/>
          <w:tblLayout w:type="fixed"/>
          <w:tblLook w:val="04A0"/>
        </w:tblPrEx>
        <w:trPr>
          <w:cantSplit/>
        </w:trPr>
        <w:tc>
          <w:tcPr>
            <w:tcW w:w="1204" w:type="pct"/>
            <w:vAlign w:val="center"/>
          </w:tcPr>
          <w:p w:rsidR="005F1D5F" w:rsidRPr="00A95A85" w:rsidP="00090D5F" w14:paraId="621CDF69" w14:textId="77777777">
            <w:pPr>
              <w:pStyle w:val="LTableTextAbt"/>
            </w:pPr>
            <w:r w:rsidRPr="00A95A85">
              <w:t>Axalta Coating Systems (</w:t>
            </w:r>
            <w:r w:rsidRPr="00A95A85">
              <w:rPr>
                <w:i/>
                <w:iCs/>
              </w:rPr>
              <w:t>Spies Hecker, Standox, Shinto Coatings</w:t>
            </w:r>
            <w:r w:rsidRPr="00A95A85">
              <w:t>)</w:t>
            </w:r>
          </w:p>
        </w:tc>
        <w:tc>
          <w:tcPr>
            <w:tcW w:w="2682" w:type="pct"/>
            <w:vAlign w:val="center"/>
          </w:tcPr>
          <w:p w:rsidR="005F1D5F" w:rsidRPr="00A95A85" w:rsidP="00090D5F" w14:paraId="08B3A474" w14:textId="77777777">
            <w:pPr>
              <w:pStyle w:val="LTableTextAbt"/>
            </w:pPr>
            <w:r w:rsidRPr="00A95A85">
              <w:t>U.S. manufacturer of high-performance coating systems supplying OEMs of light and commercial vehicles as well as performance coatings to a variety of customers (including for refinishing).</w:t>
            </w:r>
          </w:p>
        </w:tc>
        <w:tc>
          <w:tcPr>
            <w:tcW w:w="313" w:type="pct"/>
          </w:tcPr>
          <w:p w:rsidR="005F1D5F" w:rsidRPr="00A95A85" w:rsidP="00090D5F" w14:paraId="6EB8996E" w14:textId="77777777">
            <w:pPr>
              <w:pStyle w:val="RTableTextAbt"/>
            </w:pPr>
            <w:r w:rsidRPr="00A95A85">
              <w:t>4</w:t>
            </w:r>
          </w:p>
        </w:tc>
        <w:tc>
          <w:tcPr>
            <w:tcW w:w="801" w:type="pct"/>
            <w:tcBorders>
              <w:right w:val="single" w:sz="4" w:space="0" w:color="auto"/>
            </w:tcBorders>
          </w:tcPr>
          <w:p w:rsidR="005F1D5F" w:rsidRPr="00A95A85" w:rsidP="00090D5F" w14:paraId="3AE30001" w14:textId="77777777">
            <w:pPr>
              <w:pStyle w:val="RTableTextAbt"/>
            </w:pPr>
            <w:r w:rsidRPr="00A95A85">
              <w:rPr>
                <w:i/>
                <w:iCs/>
              </w:rPr>
              <w:t>MN, NC, OH, VA</w:t>
            </w:r>
          </w:p>
        </w:tc>
      </w:tr>
      <w:tr w14:paraId="440077CA" w14:textId="77777777" w:rsidTr="007B106D">
        <w:tblPrEx>
          <w:tblW w:w="5005" w:type="pct"/>
          <w:tblInd w:w="-5" w:type="dxa"/>
          <w:tblLayout w:type="fixed"/>
          <w:tblLook w:val="04A0"/>
        </w:tblPrEx>
        <w:trPr>
          <w:cantSplit/>
        </w:trPr>
        <w:tc>
          <w:tcPr>
            <w:tcW w:w="1204" w:type="pct"/>
            <w:vAlign w:val="center"/>
          </w:tcPr>
          <w:p w:rsidR="005F1D5F" w:rsidRPr="00A95A85" w:rsidP="00090D5F" w14:paraId="31280FA2" w14:textId="77777777">
            <w:pPr>
              <w:pStyle w:val="LTableTextAbt"/>
            </w:pPr>
            <w:r w:rsidRPr="00A95A85">
              <w:t>Nippon Paint Holdings Co. (</w:t>
            </w:r>
            <w:r w:rsidRPr="00A95A85">
              <w:rPr>
                <w:i/>
                <w:iCs/>
              </w:rPr>
              <w:t>Nippon Paint Automotive Americas</w:t>
            </w:r>
            <w:r w:rsidRPr="00A95A85">
              <w:t>)</w:t>
            </w:r>
          </w:p>
        </w:tc>
        <w:tc>
          <w:tcPr>
            <w:tcW w:w="2682" w:type="pct"/>
            <w:vAlign w:val="center"/>
          </w:tcPr>
          <w:p w:rsidR="005F1D5F" w:rsidRPr="00A95A85" w:rsidP="00090D5F" w14:paraId="68EC76C4" w14:textId="77777777">
            <w:pPr>
              <w:pStyle w:val="LTableTextAbt"/>
            </w:pPr>
            <w:r w:rsidRPr="00A95A85">
              <w:t>Japanese paint and coating manufacturer; automotive coating segment accounts for approximately 25% of revenues.</w:t>
            </w:r>
          </w:p>
        </w:tc>
        <w:tc>
          <w:tcPr>
            <w:tcW w:w="313" w:type="pct"/>
          </w:tcPr>
          <w:p w:rsidR="005F1D5F" w:rsidRPr="00A95A85" w:rsidP="00090D5F" w14:paraId="529530E4" w14:textId="77777777">
            <w:pPr>
              <w:pStyle w:val="RTableTextAbt"/>
            </w:pPr>
            <w:r w:rsidRPr="00A95A85">
              <w:t>2</w:t>
            </w:r>
          </w:p>
        </w:tc>
        <w:tc>
          <w:tcPr>
            <w:tcW w:w="801" w:type="pct"/>
            <w:tcBorders>
              <w:right w:val="single" w:sz="4" w:space="0" w:color="auto"/>
            </w:tcBorders>
          </w:tcPr>
          <w:p w:rsidR="005F1D5F" w:rsidRPr="00A95A85" w:rsidP="00090D5F" w14:paraId="4081860D" w14:textId="77777777">
            <w:pPr>
              <w:pStyle w:val="RTableTextAbt"/>
            </w:pPr>
            <w:r w:rsidRPr="00A95A85">
              <w:rPr>
                <w:i/>
                <w:iCs/>
              </w:rPr>
              <w:t>IL, OH</w:t>
            </w:r>
          </w:p>
        </w:tc>
      </w:tr>
      <w:tr w14:paraId="12E780C8" w14:textId="77777777" w:rsidTr="007B106D">
        <w:tblPrEx>
          <w:tblW w:w="5005" w:type="pct"/>
          <w:tblInd w:w="-5" w:type="dxa"/>
          <w:tblLayout w:type="fixed"/>
          <w:tblLook w:val="04A0"/>
        </w:tblPrEx>
        <w:trPr>
          <w:cantSplit/>
        </w:trPr>
        <w:tc>
          <w:tcPr>
            <w:tcW w:w="1204" w:type="pct"/>
            <w:vAlign w:val="center"/>
          </w:tcPr>
          <w:p w:rsidR="005F1D5F" w:rsidRPr="00A95A85" w:rsidP="00090D5F" w14:paraId="61005CC5" w14:textId="77777777">
            <w:pPr>
              <w:pStyle w:val="LTableTextAbt"/>
            </w:pPr>
            <w:r w:rsidRPr="00A95A85">
              <w:t>Kansai Paint Co. (</w:t>
            </w:r>
            <w:r w:rsidRPr="00A95A85">
              <w:rPr>
                <w:i/>
                <w:iCs/>
              </w:rPr>
              <w:t>U.S. Paint</w:t>
            </w:r>
            <w:r w:rsidRPr="00A95A85">
              <w:t>)</w:t>
            </w:r>
          </w:p>
        </w:tc>
        <w:tc>
          <w:tcPr>
            <w:tcW w:w="2682" w:type="pct"/>
            <w:vAlign w:val="center"/>
          </w:tcPr>
          <w:p w:rsidR="005F1D5F" w:rsidRPr="00A95A85" w:rsidP="00090D5F" w14:paraId="65F3C9FB" w14:textId="77777777">
            <w:pPr>
              <w:pStyle w:val="LTableTextAbt"/>
            </w:pPr>
            <w:r w:rsidRPr="00A95A85">
              <w:t>Japanese paint manufacturer and leading supplier of automotive paint to Toyota, Suzuki, Nissan, Honda, Peugeot, and Renault worldwide; automotive coatings operating segment accounts for approximately 30% of revenues.</w:t>
            </w:r>
          </w:p>
        </w:tc>
        <w:tc>
          <w:tcPr>
            <w:tcW w:w="313" w:type="pct"/>
          </w:tcPr>
          <w:p w:rsidR="005F1D5F" w:rsidRPr="00A95A85" w:rsidP="00090D5F" w14:paraId="549888E9" w14:textId="77777777">
            <w:pPr>
              <w:pStyle w:val="RTableTextAbt"/>
            </w:pPr>
            <w:r w:rsidRPr="00A95A85">
              <w:t>1</w:t>
            </w:r>
          </w:p>
        </w:tc>
        <w:tc>
          <w:tcPr>
            <w:tcW w:w="801" w:type="pct"/>
            <w:tcBorders>
              <w:right w:val="single" w:sz="4" w:space="0" w:color="auto"/>
            </w:tcBorders>
          </w:tcPr>
          <w:p w:rsidR="005F1D5F" w:rsidRPr="00A95A85" w:rsidP="00090D5F" w14:paraId="7AC92D9B" w14:textId="77777777">
            <w:pPr>
              <w:pStyle w:val="RTableTextAbt"/>
            </w:pPr>
            <w:r w:rsidRPr="00A95A85">
              <w:rPr>
                <w:i/>
                <w:iCs/>
              </w:rPr>
              <w:t>MO</w:t>
            </w:r>
          </w:p>
        </w:tc>
      </w:tr>
      <w:tr w14:paraId="46E13A0A" w14:textId="77777777" w:rsidTr="007B106D">
        <w:tblPrEx>
          <w:tblW w:w="5005" w:type="pct"/>
          <w:tblInd w:w="-5" w:type="dxa"/>
          <w:tblLayout w:type="fixed"/>
          <w:tblLook w:val="04A0"/>
        </w:tblPrEx>
        <w:trPr>
          <w:cantSplit/>
          <w:trHeight w:val="791"/>
        </w:trPr>
        <w:tc>
          <w:tcPr>
            <w:tcW w:w="1204" w:type="pct"/>
            <w:vAlign w:val="center"/>
          </w:tcPr>
          <w:p w:rsidR="005F1D5F" w:rsidRPr="00A95A85" w:rsidP="00090D5F" w14:paraId="56443AAB" w14:textId="77777777">
            <w:pPr>
              <w:pStyle w:val="LTableTextAbt"/>
            </w:pPr>
            <w:r w:rsidRPr="00A95A85">
              <w:t>Akzo Nobel Coatings (</w:t>
            </w:r>
            <w:r w:rsidRPr="00A95A85">
              <w:rPr>
                <w:i/>
                <w:iCs/>
              </w:rPr>
              <w:t>Sikkens</w:t>
            </w:r>
            <w:r w:rsidRPr="00A95A85">
              <w:t>)</w:t>
            </w:r>
          </w:p>
        </w:tc>
        <w:tc>
          <w:tcPr>
            <w:tcW w:w="2682" w:type="pct"/>
            <w:vAlign w:val="center"/>
          </w:tcPr>
          <w:p w:rsidR="005F1D5F" w:rsidRPr="00A95A85" w:rsidP="00090D5F" w14:paraId="128B8CF0" w14:textId="77777777">
            <w:pPr>
              <w:pStyle w:val="LTableTextAbt"/>
            </w:pPr>
            <w:r w:rsidRPr="00A95A85">
              <w:t>Dutch coatings manufacturer; performance coatings account for approximately 63% of operating incomes for 2023.</w:t>
            </w:r>
          </w:p>
        </w:tc>
        <w:tc>
          <w:tcPr>
            <w:tcW w:w="313" w:type="pct"/>
          </w:tcPr>
          <w:p w:rsidR="005F1D5F" w:rsidRPr="00A95A85" w:rsidP="00090D5F" w14:paraId="0EAA8C5C" w14:textId="77777777">
            <w:pPr>
              <w:pStyle w:val="RTableTextAbt"/>
            </w:pPr>
            <w:r w:rsidRPr="00A95A85">
              <w:t>7</w:t>
            </w:r>
          </w:p>
        </w:tc>
        <w:tc>
          <w:tcPr>
            <w:tcW w:w="801" w:type="pct"/>
            <w:tcBorders>
              <w:right w:val="single" w:sz="4" w:space="0" w:color="auto"/>
            </w:tcBorders>
          </w:tcPr>
          <w:p w:rsidR="005F1D5F" w:rsidRPr="00A95A85" w:rsidP="00090D5F" w14:paraId="3FD76F9A" w14:textId="77777777">
            <w:pPr>
              <w:pStyle w:val="RTableTextAbt"/>
              <w:rPr>
                <w:i/>
                <w:iCs/>
              </w:rPr>
            </w:pPr>
            <w:r w:rsidRPr="00A95A85">
              <w:rPr>
                <w:i/>
                <w:iCs/>
              </w:rPr>
              <w:t>TX [3], IL, TN [2], IN</w:t>
            </w:r>
          </w:p>
        </w:tc>
      </w:tr>
      <w:tr w14:paraId="05230583" w14:textId="77777777" w:rsidTr="007B106D">
        <w:tblPrEx>
          <w:tblW w:w="5005" w:type="pct"/>
          <w:tblInd w:w="-5" w:type="dxa"/>
          <w:tblLayout w:type="fixed"/>
          <w:tblLook w:val="04A0"/>
        </w:tblPrEx>
        <w:trPr>
          <w:cantSplit/>
          <w:trHeight w:val="791"/>
        </w:trPr>
        <w:tc>
          <w:tcPr>
            <w:tcW w:w="1204" w:type="pct"/>
            <w:vAlign w:val="center"/>
          </w:tcPr>
          <w:p w:rsidR="005F1D5F" w:rsidRPr="00A95A85" w:rsidP="00090D5F" w14:paraId="497C7C55" w14:textId="77777777">
            <w:pPr>
              <w:pStyle w:val="LTableTextAbt"/>
            </w:pPr>
            <w:r w:rsidRPr="00A95A85">
              <w:t>Beckers Group</w:t>
            </w:r>
          </w:p>
        </w:tc>
        <w:tc>
          <w:tcPr>
            <w:tcW w:w="2682" w:type="pct"/>
            <w:vAlign w:val="center"/>
          </w:tcPr>
          <w:p w:rsidR="005F1D5F" w:rsidRPr="00A95A85" w:rsidP="00090D5F" w14:paraId="47BA9588" w14:textId="77777777">
            <w:pPr>
              <w:pStyle w:val="LTableTextAbt"/>
            </w:pPr>
            <w:r w:rsidRPr="00A95A85">
              <w:t xml:space="preserve">German paint manufacturer and a leading supplier of industrial paints with approximately 1,700 employees in 20 countries. </w:t>
            </w:r>
          </w:p>
        </w:tc>
        <w:tc>
          <w:tcPr>
            <w:tcW w:w="313" w:type="pct"/>
          </w:tcPr>
          <w:p w:rsidR="005F1D5F" w:rsidRPr="00A95A85" w:rsidP="00090D5F" w14:paraId="5C075547" w14:textId="77777777">
            <w:pPr>
              <w:pStyle w:val="RTableTextAbt"/>
            </w:pPr>
            <w:r w:rsidRPr="00A95A85">
              <w:t>2</w:t>
            </w:r>
          </w:p>
        </w:tc>
        <w:tc>
          <w:tcPr>
            <w:tcW w:w="801" w:type="pct"/>
            <w:tcBorders>
              <w:right w:val="single" w:sz="4" w:space="0" w:color="auto"/>
            </w:tcBorders>
          </w:tcPr>
          <w:p w:rsidR="005F1D5F" w:rsidRPr="00A95A85" w:rsidP="00090D5F" w14:paraId="205F5A97" w14:textId="77777777">
            <w:pPr>
              <w:pStyle w:val="RTableTextAbt"/>
              <w:rPr>
                <w:i/>
                <w:iCs/>
              </w:rPr>
            </w:pPr>
            <w:r w:rsidRPr="00A95A85">
              <w:rPr>
                <w:i/>
                <w:iCs/>
              </w:rPr>
              <w:t>IL, CA</w:t>
            </w:r>
          </w:p>
        </w:tc>
      </w:tr>
      <w:tr w14:paraId="1DD05DBA" w14:textId="77777777" w:rsidTr="007B106D">
        <w:tblPrEx>
          <w:tblW w:w="5005" w:type="pct"/>
          <w:tblInd w:w="-5" w:type="dxa"/>
          <w:tblLayout w:type="fixed"/>
          <w:tblLook w:val="04A0"/>
        </w:tblPrEx>
        <w:trPr>
          <w:cantSplit/>
          <w:trHeight w:val="791"/>
        </w:trPr>
        <w:tc>
          <w:tcPr>
            <w:tcW w:w="1204" w:type="pct"/>
            <w:vAlign w:val="center"/>
          </w:tcPr>
          <w:p w:rsidR="005F1D5F" w:rsidRPr="00A95A85" w:rsidP="00090D5F" w14:paraId="2B971DFA" w14:textId="77777777">
            <w:pPr>
              <w:pStyle w:val="LTableTextAbt"/>
            </w:pPr>
            <w:r w:rsidRPr="00A95A85">
              <w:t>Sherwin Williams (</w:t>
            </w:r>
            <w:r w:rsidRPr="00A95A85">
              <w:rPr>
                <w:i/>
                <w:iCs/>
              </w:rPr>
              <w:t>Matrix System Automotive Finishes; Valspar Automotive</w:t>
            </w:r>
            <w:r w:rsidRPr="00A95A85">
              <w:t>)</w:t>
            </w:r>
          </w:p>
        </w:tc>
        <w:tc>
          <w:tcPr>
            <w:tcW w:w="2682" w:type="pct"/>
            <w:vAlign w:val="center"/>
          </w:tcPr>
          <w:p w:rsidR="005F1D5F" w:rsidRPr="00A95A85" w:rsidP="00090D5F" w14:paraId="5F65B9D0" w14:textId="77777777">
            <w:pPr>
              <w:pStyle w:val="LTableTextAbt"/>
            </w:pPr>
            <w:r w:rsidRPr="00A95A85">
              <w:t>U.S. manufacturer of automotive finishes, high-quality paint, and coating systems; performance Coatings held about 10% of sales in 2022.</w:t>
            </w:r>
          </w:p>
        </w:tc>
        <w:tc>
          <w:tcPr>
            <w:tcW w:w="313" w:type="pct"/>
          </w:tcPr>
          <w:p w:rsidR="005F1D5F" w:rsidRPr="00A95A85" w:rsidP="00090D5F" w14:paraId="5C965107" w14:textId="77777777">
            <w:pPr>
              <w:pStyle w:val="RTableTextAbt"/>
            </w:pPr>
            <w:r w:rsidRPr="00A95A85">
              <w:t>6</w:t>
            </w:r>
          </w:p>
        </w:tc>
        <w:tc>
          <w:tcPr>
            <w:tcW w:w="801" w:type="pct"/>
            <w:tcBorders>
              <w:right w:val="single" w:sz="4" w:space="0" w:color="auto"/>
            </w:tcBorders>
          </w:tcPr>
          <w:p w:rsidR="005F1D5F" w:rsidRPr="00A95A85" w:rsidP="00090D5F" w14:paraId="0DAF6C09" w14:textId="77777777">
            <w:pPr>
              <w:pStyle w:val="RTableTextAbt"/>
              <w:rPr>
                <w:i/>
                <w:iCs/>
              </w:rPr>
            </w:pPr>
            <w:r w:rsidRPr="00A95A85">
              <w:rPr>
                <w:i/>
                <w:iCs/>
              </w:rPr>
              <w:t>PA [2], NY, VA, NC, FL</w:t>
            </w:r>
          </w:p>
        </w:tc>
      </w:tr>
      <w:tr w14:paraId="28F8981B" w14:textId="77777777" w:rsidTr="007B106D">
        <w:tblPrEx>
          <w:tblW w:w="5005" w:type="pct"/>
          <w:tblInd w:w="-5" w:type="dxa"/>
          <w:tblLayout w:type="fixed"/>
          <w:tblLook w:val="04A0"/>
        </w:tblPrEx>
        <w:trPr>
          <w:cantSplit/>
        </w:trPr>
        <w:tc>
          <w:tcPr>
            <w:tcW w:w="5000" w:type="pct"/>
            <w:gridSpan w:val="4"/>
          </w:tcPr>
          <w:p w:rsidR="005F1D5F" w:rsidRPr="00090D5F" w:rsidP="00090D5F" w14:paraId="5DA874D9" w14:textId="77777777">
            <w:pPr>
              <w:pStyle w:val="TableNote0"/>
            </w:pPr>
            <w:r w:rsidRPr="00090D5F">
              <w:t>1. based on information from Chakravarty (2018) and company websites.</w:t>
            </w:r>
          </w:p>
          <w:p w:rsidR="005F1D5F" w:rsidRPr="00A95A85" w:rsidP="00090D5F" w14:paraId="22977F3A" w14:textId="77777777">
            <w:pPr>
              <w:pStyle w:val="TableNote0"/>
            </w:pPr>
            <w:r w:rsidRPr="00090D5F">
              <w:t>2. based on site location information available on company websites and cross-referenced with Google’s information regarding the verified status of the specific location (open, permanently closed, merged, etc.)</w:t>
            </w:r>
            <w:r w:rsidRPr="00A95A85">
              <w:t xml:space="preserve">  </w:t>
            </w:r>
          </w:p>
        </w:tc>
      </w:tr>
    </w:tbl>
    <w:p w:rsidR="005F1D5F" w:rsidRPr="00A95A85" w:rsidP="005F1D5F" w14:paraId="63F01AF3" w14:textId="77777777">
      <w:pPr>
        <w:pStyle w:val="FootnoteText"/>
      </w:pPr>
    </w:p>
    <w:p w:rsidR="005F1D5F" w:rsidRPr="00A95A85" w:rsidP="00832749" w14:paraId="0D46BFA3" w14:textId="5854BFDB">
      <w:pPr>
        <w:pStyle w:val="BodyText"/>
      </w:pPr>
      <w:r w:rsidRPr="4BA86F39">
        <w:rPr>
          <w:lang w:val="en-US"/>
        </w:rPr>
        <w:t xml:space="preserve">In the Risk Evaluation </w:t>
      </w:r>
      <w:r w:rsidR="00F02BDE">
        <w:rPr>
          <w:lang w:val="en-US"/>
        </w:rPr>
        <w:t>(</w:t>
      </w:r>
      <w:hyperlink w:anchor="_ENREF_65" w:tooltip="U.S. Environmental Protection Agency (EPA), 2021 #61" w:history="1">
        <w:r w:rsidR="003D6084">
          <w:fldChar w:fldCharType="begin" w:fldLock="1"/>
        </w:r>
        <w:r w:rsidR="003D6084">
          <w:instrText xml:space="preserve"> ADDIN EN.CITE &lt;EndNote&gt;&lt;Cite ExcludeAuth="1"&gt;&lt;Author&gt;U.S. Environmental Protection Agency (EPA)&lt;/Author&gt;&lt;Year&gt;2021&lt;/Year&gt;&lt;RecNum&gt;61&lt;/RecNum&gt;&lt;Prefix&gt;EPA &lt;/Prefix&gt;&lt;DisplayText&gt;EPA 2021e&lt;/DisplayText&gt;&lt;record&gt;&lt;rec-number&gt;61&lt;/rec-number&gt;&lt;foreign-keys&gt;&lt;key app="EN" db-id="2apzr05radv9fjet2w6xxwdlz5e9vwfxredw" timestamp="1730757315"&gt;61&lt;/key&gt;&lt;/foreign-keys&gt;&lt;ref-type name="Generic"&gt;13&lt;/ref-type&gt;&lt;contributors&gt;&lt;authors&gt;&lt;author&gt;U.S. Environmental Protection Agency (EPA),&lt;/author&gt;&lt;/authors&gt;&lt;subsidiary-authors&gt;&lt;author&gt;Office of Chemical Safety and Pollution Prevention&lt;/author&gt;&lt;/subsidiary-authors&gt;&lt;/contributors&gt;&lt;titles&gt;&lt;title&gt;Risk Evaluation for C.I. Pigment Violet 29 (Anthra[2,1,9-def:6,5,10-d&amp;apos;e&amp;apos;f&amp;apos;]diisoquinoline-1,3,8,10(2H,9H)-tetrone)&lt;/title&gt;&lt;/titles&gt;&lt;number&gt;# 740-R-18-015&lt;/number&gt;&lt;dates&gt;&lt;year&gt;2021&lt;/year&gt;&lt;/dates&gt;&lt;urls&gt;&lt;/urls&gt;&lt;/record&gt;&lt;/Cite&gt;&lt;/EndNote&gt;</w:instrText>
        </w:r>
        <w:r w:rsidR="003D6084">
          <w:fldChar w:fldCharType="separate"/>
        </w:r>
        <w:r w:rsidR="003D6084">
          <w:rPr>
            <w:noProof/>
          </w:rPr>
          <w:t>EPA 2021e</w:t>
        </w:r>
        <w:r w:rsidR="003D6084">
          <w:fldChar w:fldCharType="end"/>
        </w:r>
      </w:hyperlink>
      <w:r w:rsidR="00F02BDE">
        <w:rPr>
          <w:lang w:val="en-US"/>
        </w:rPr>
        <w:t>)</w:t>
      </w:r>
      <w:r w:rsidRPr="4BA86F39">
        <w:rPr>
          <w:lang w:val="en-US"/>
        </w:rPr>
        <w:t>, EPA estimated that there were 14 workers with potential direct exposure and 5 ONUs per site in this industry. Therefore, among the 14 sites, there are a total of 196 directly exposed workers and 70 ONUs.</w:t>
      </w:r>
    </w:p>
    <w:p w:rsidR="005F1D5F" w:rsidRPr="00A95A85" w:rsidP="00832749" w14:paraId="6E327E25" w14:textId="313D12B9">
      <w:pPr>
        <w:pStyle w:val="BodyText"/>
      </w:pPr>
      <w:r w:rsidRPr="00A95A85">
        <w:t>According to data provided by Sun Chemical</w:t>
      </w:r>
      <w:r w:rsidR="009D6979">
        <w:t xml:space="preserve"> (</w:t>
      </w:r>
      <w:hyperlink w:anchor="_ENREF_60" w:tooltip="U.S. Environmental Protection Agency (EPA), 2020 #59" w:history="1">
        <w:r w:rsidR="003D6084">
          <w:fldChar w:fldCharType="begin" w:fldLock="1"/>
        </w:r>
        <w:r w:rsidR="003D6084">
          <w:instrText xml:space="preserve"> ADDIN EN.CITE &lt;EndNote&gt;&lt;Cite ExcludeAuth="1"&gt;&lt;Author&gt;U.S. Environmental Protection Agency (EPA)&lt;/Author&gt;&lt;Year&gt;2020&lt;/Year&gt;&lt;RecNum&gt;59&lt;/RecNum&gt;&lt;Prefix&gt;EPA &lt;/Prefix&gt;&lt;DisplayText&gt;EPA 2020b&lt;/DisplayText&gt;&lt;record&gt;&lt;rec-number&gt;59&lt;/rec-number&gt;&lt;foreign-keys&gt;&lt;key app="EN" db-id="2apzr05radv9fjet2w6xxwdlz5e9vwfxredw" timestamp="1730757315"&gt;59&lt;/key&gt;&lt;/foreign-keys&gt;&lt;ref-type name="Generic"&gt;13&lt;/ref-type&gt;&lt;contributors&gt;&lt;authors&gt;&lt;author&gt;U.S. Environmental Protection Agency (EPA),&lt;/author&gt;&lt;/authors&gt;&lt;/contributors&gt;&lt;titles&gt;&lt;title&gt;Chemical Risk Evaluation Meeting with Sun Chemical Corporation, Color Pigments Manufacturers Association and EPA to discuss the Downstream Processors of C.I. Pigment Violet 29 (PV29)&lt;/title&gt;&lt;/titles&gt;&lt;dates&gt;&lt;year&gt;2020&lt;/year&gt;&lt;/dates&gt;&lt;urls&gt;&lt;/urls&gt;&lt;/record&gt;&lt;/Cite&gt;&lt;/EndNote&gt;</w:instrText>
        </w:r>
        <w:r w:rsidR="003D6084">
          <w:fldChar w:fldCharType="separate"/>
        </w:r>
        <w:r w:rsidR="003D6084">
          <w:rPr>
            <w:noProof/>
          </w:rPr>
          <w:t>EPA 2020b</w:t>
        </w:r>
        <w:r w:rsidR="003D6084">
          <w:fldChar w:fldCharType="end"/>
        </w:r>
      </w:hyperlink>
      <w:r w:rsidR="009D6979">
        <w:t>)</w:t>
      </w:r>
      <w:r w:rsidRPr="00A95A85">
        <w:t xml:space="preserve">, in the coatings industry, PPE worn during batch additions are typically protective clothing, respirator, and chemical resistant gloves. The summary does not specify what kind of respirators are used. As the Risk Evaluation notes, for downstream processors, SDS-recommended PPE includes safety glasses with side-shields, dust mask and goggles under certain circumstances, chemical resistant impervious gloves, and particulate respirators. EPA assumes that the companies use NIOSH-approved N95 particulate respirator. </w:t>
      </w:r>
    </w:p>
    <w:p w:rsidR="005F1D5F" w:rsidRPr="00A95A85" w:rsidP="00832749" w14:paraId="221E388B" w14:textId="313C8BEF">
      <w:pPr>
        <w:pStyle w:val="BodyText"/>
      </w:pPr>
      <w:r>
        <w:rPr>
          <w:lang w:val="en-US"/>
        </w:rPr>
        <w:t xml:space="preserve">As noted above, PPE including </w:t>
      </w:r>
      <w:r w:rsidRPr="00A95A85">
        <w:t>safety glasses with side-shields, dust mask and goggles</w:t>
      </w:r>
      <w:r>
        <w:t xml:space="preserve"> is recommended in the SDS. </w:t>
      </w:r>
      <w:r w:rsidRPr="4BA86F39">
        <w:rPr>
          <w:lang w:val="en-US"/>
        </w:rPr>
        <w:t xml:space="preserve">However, </w:t>
      </w:r>
      <w:r>
        <w:rPr>
          <w:lang w:val="en-US"/>
        </w:rPr>
        <w:t>these recommendations may not be followed 100 percent of the time. Sun Chemical reported that they do follow these recommendations and therefore the analysis assumes 100 percent adherence to the SDS recommendations in the baseline for their facility</w:t>
      </w:r>
      <w:r w:rsidRPr="2F0C11F5">
        <w:rPr>
          <w:lang w:val="en-US"/>
        </w:rPr>
        <w:t xml:space="preserve"> (See Section</w:t>
      </w:r>
      <w:r w:rsidR="00977BF5">
        <w:rPr>
          <w:lang w:val="en-US"/>
        </w:rPr>
        <w:t xml:space="preserve"> </w:t>
      </w:r>
      <w:r w:rsidR="00977BF5">
        <w:rPr>
          <w:lang w:val="en-US"/>
        </w:rPr>
        <w:fldChar w:fldCharType="begin" w:fldLock="1"/>
      </w:r>
      <w:r w:rsidR="00977BF5">
        <w:rPr>
          <w:lang w:val="en-US"/>
        </w:rPr>
        <w:instrText xml:space="preserve"> REF _Ref175649108 \r \h </w:instrText>
      </w:r>
      <w:r w:rsidR="00977BF5">
        <w:rPr>
          <w:lang w:val="en-US"/>
        </w:rPr>
        <w:fldChar w:fldCharType="separate"/>
      </w:r>
      <w:r w:rsidR="00735BBC">
        <w:rPr>
          <w:lang w:val="en-US"/>
        </w:rPr>
        <w:t>3.1.1</w:t>
      </w:r>
      <w:r w:rsidR="00977BF5">
        <w:rPr>
          <w:lang w:val="en-US"/>
        </w:rPr>
        <w:fldChar w:fldCharType="end"/>
      </w:r>
      <w:r w:rsidRPr="2F0C11F5">
        <w:rPr>
          <w:lang w:val="en-US"/>
        </w:rPr>
        <w:t>).</w:t>
      </w:r>
      <w:r>
        <w:rPr>
          <w:lang w:val="en-US"/>
        </w:rPr>
        <w:t xml:space="preserve"> For other affected facilities, the analysis uses NAICS-specific compliance rates with respiratory protection requirements according to OSHA inspection data as the estimated baseline rate of following the SDS recommendations for PPE use. </w:t>
      </w:r>
      <w:r w:rsidRPr="4BA86F39">
        <w:rPr>
          <w:lang w:val="en-US"/>
        </w:rPr>
        <w:t xml:space="preserve">From October 2020 to September 2021, </w:t>
      </w:r>
      <w:r w:rsidR="00EB528B">
        <w:rPr>
          <w:lang w:val="en-US"/>
        </w:rPr>
        <w:t xml:space="preserve">the Occupational </w:t>
      </w:r>
      <w:r w:rsidR="00E931A5">
        <w:rPr>
          <w:lang w:val="en-US"/>
        </w:rPr>
        <w:t>Safety and Health Administration (</w:t>
      </w:r>
      <w:r w:rsidRPr="4BA86F39">
        <w:rPr>
          <w:lang w:val="en-US"/>
        </w:rPr>
        <w:t>OSHA</w:t>
      </w:r>
      <w:r w:rsidR="00E931A5">
        <w:rPr>
          <w:lang w:val="en-US"/>
        </w:rPr>
        <w:t>)</w:t>
      </w:r>
      <w:r w:rsidRPr="4BA86F39">
        <w:rPr>
          <w:lang w:val="en-US"/>
        </w:rPr>
        <w:t xml:space="preserve"> performed 8 inspections at facilities in the NAICS Code 325510 (Paint and Coating Manufacturing). At two (25%) of those inspections, violations involving respiratory protection (</w:t>
      </w:r>
      <w:hyperlink r:id="rId25" w:history="1">
        <w:r w:rsidRPr="4BA86F39">
          <w:rPr>
            <w:lang w:val="en-US"/>
          </w:rPr>
          <w:t>1910.134</w:t>
        </w:r>
      </w:hyperlink>
      <w:r w:rsidRPr="4BA86F39">
        <w:rPr>
          <w:lang w:val="en-US"/>
        </w:rPr>
        <w:t xml:space="preserve">) were found </w:t>
      </w:r>
      <w:r w:rsidR="00697841">
        <w:rPr>
          <w:shd w:val="clear" w:color="auto" w:fill="FAFAFA" w:themeFill="accent5" w:themeFillTint="33"/>
          <w:lang w:val="en-US"/>
        </w:rPr>
        <w:t>(</w:t>
      </w:r>
      <w:hyperlink w:anchor="_ENREF_35" w:tooltip="Occupational Safety and Health Administration (OSHA), 2022 #35" w:history="1">
        <w:r w:rsidR="003D6084">
          <w:rPr>
            <w:shd w:val="clear" w:color="auto" w:fill="FAFAFA" w:themeFill="accent5" w:themeFillTint="33"/>
            <w:lang w:val="en-US"/>
          </w:rPr>
          <w:fldChar w:fldCharType="begin" w:fldLock="1"/>
        </w:r>
        <w:r w:rsidR="003D6084">
          <w:rPr>
            <w:shd w:val="clear" w:color="auto" w:fill="FAFAFA" w:themeFill="accent5" w:themeFillTint="33"/>
            <w:lang w:val="en-US"/>
          </w:rPr>
          <w:instrText xml:space="preserve"> ADDIN EN.CITE &lt;EndNote&gt;&lt;Cite ExcludeAuth="1"&gt;&lt;Author&gt;Occupational Safety and Health Administration (OSHA)&lt;/Author&gt;&lt;Year&gt;2022&lt;/Year&gt;&lt;RecNum&gt;35&lt;/RecNum&gt;&lt;Prefix&gt;OSHA &lt;/Prefix&gt;&lt;DisplayText&gt;OSHA 2022&lt;/DisplayText&gt;&lt;record&gt;&lt;rec-number&gt;35&lt;/rec-number&gt;&lt;foreign-keys&gt;&lt;key app="EN" db-id="2apzr05radv9fjet2w6xxwdlz5e9vwfxredw" timestamp="1730757315"&gt;35&lt;/key&gt;&lt;/foreign-keys&gt;&lt;ref-type name="Journal Article"&gt;17&lt;/ref-type&gt;&lt;contributors&gt;&lt;authors&gt;&lt;author&gt;Occupational Safety and Health Administration (OSHA),&lt;/author&gt;&lt;/authors&gt;&lt;/contributors&gt;&lt;titles&gt;&lt;title&gt;Integrated Management Information System&lt;/title&gt;&lt;/titles&gt;&lt;dates&gt;&lt;year&gt;2022&lt;/year&gt;&lt;/dates&gt;&lt;urls&gt;&lt;/urls&gt;&lt;/record&gt;&lt;/Cite&gt;&lt;/EndNote&gt;</w:instrText>
        </w:r>
        <w:r w:rsidR="003D6084">
          <w:rPr>
            <w:shd w:val="clear" w:color="auto" w:fill="FAFAFA" w:themeFill="accent5" w:themeFillTint="33"/>
            <w:lang w:val="en-US"/>
          </w:rPr>
          <w:fldChar w:fldCharType="separate"/>
        </w:r>
        <w:r w:rsidR="003D6084">
          <w:rPr>
            <w:noProof/>
            <w:shd w:val="clear" w:color="auto" w:fill="FAFAFA" w:themeFill="accent5" w:themeFillTint="33"/>
            <w:lang w:val="en-US"/>
          </w:rPr>
          <w:t>OSHA 2022</w:t>
        </w:r>
        <w:r w:rsidR="003D6084">
          <w:rPr>
            <w:shd w:val="clear" w:color="auto" w:fill="FAFAFA" w:themeFill="accent5" w:themeFillTint="33"/>
            <w:lang w:val="en-US"/>
          </w:rPr>
          <w:fldChar w:fldCharType="end"/>
        </w:r>
      </w:hyperlink>
      <w:r w:rsidR="00697841">
        <w:rPr>
          <w:shd w:val="clear" w:color="auto" w:fill="FAFAFA" w:themeFill="accent5" w:themeFillTint="33"/>
          <w:lang w:val="en-US"/>
        </w:rPr>
        <w:t>)</w:t>
      </w:r>
      <w:r w:rsidRPr="4BA86F39">
        <w:rPr>
          <w:lang w:val="en-US"/>
        </w:rPr>
        <w:t>.</w:t>
      </w:r>
    </w:p>
    <w:p w:rsidR="005F1D5F" w:rsidRPr="00A95A85" w:rsidP="002B58FE" w14:paraId="7C6C03EF" w14:textId="77777777">
      <w:pPr>
        <w:pStyle w:val="Heading6"/>
      </w:pPr>
      <w:r w:rsidRPr="00A95A85">
        <w:t>Other Paints and Coatings</w:t>
      </w:r>
    </w:p>
    <w:p w:rsidR="005F1D5F" w:rsidRPr="00A95A85" w:rsidP="00832749" w14:paraId="56DFE70D" w14:textId="44523AC7">
      <w:pPr>
        <w:pStyle w:val="BodyText"/>
      </w:pPr>
      <w:r w:rsidRPr="4BA86F39">
        <w:rPr>
          <w:lang w:val="en-US"/>
        </w:rPr>
        <w:t xml:space="preserve">PV29 has been identified as previously used in pencil lacquer, by Egyptian Coatings. However, this use ended in 2014 when the company transitioned to a mix of other pigments due to the cost of PV29 </w:t>
      </w:r>
      <w:r w:rsidR="00582FB1">
        <w:rPr>
          <w:lang w:val="en-US"/>
        </w:rPr>
        <w:t>(</w:t>
      </w:r>
      <w:hyperlink w:anchor="_ENREF_64" w:tooltip="U.S. Environmental Protection Agency (EPA), 2021 #64" w:history="1">
        <w:r w:rsidR="003D6084">
          <w:rPr>
            <w:lang w:val="en-US"/>
          </w:rPr>
          <w:fldChar w:fldCharType="begin" w:fldLock="1"/>
        </w:r>
        <w:r w:rsidR="003D6084">
          <w:rPr>
            <w:lang w:val="en-US"/>
          </w:rPr>
          <w:instrText xml:space="preserve"> ADDIN EN.CITE &lt;EndNote&gt;&lt;Cite ExcludeAuth="1"&gt;&lt;Author&gt;U.S. Environmental Protection Agency (EPA)&lt;/Author&gt;&lt;Year&gt;2021&lt;/Year&gt;&lt;RecNum&gt;64&lt;/RecNum&gt;&lt;Prefix&gt;EPA &lt;/Prefix&gt;&lt;DisplayText&gt;EPA 2021d&lt;/DisplayText&gt;&lt;record&gt;&lt;rec-number&gt;64&lt;/rec-number&gt;&lt;foreign-keys&gt;&lt;key app="EN" db-id="2apzr05radv9fjet2w6xxwdlz5e9vwfxredw" timestamp="1730757315"&gt;64&lt;/key&gt;&lt;/foreign-keys&gt;&lt;ref-type name="Generic"&gt;13&lt;/ref-type&gt;&lt;contributors&gt;&lt;authors&gt;&lt;author&gt;U.S. Environmental Protection Agency (EPA),&lt;/author&gt;&lt;/authors&gt;&lt;/contributors&gt;&lt;titles&gt;&lt;title&gt;Notes from Meeting with Egyptian Coatings on August 31, 2021 (compiled by Todd Coleman)&lt;/title&gt;&lt;/titles&gt;&lt;dates&gt;&lt;year&gt;2021&lt;/year&gt;&lt;/dates&gt;&lt;urls&gt;&lt;/urls&gt;&lt;/record&gt;&lt;/Cite&gt;&lt;/EndNote&gt;</w:instrText>
        </w:r>
        <w:r w:rsidR="003D6084">
          <w:rPr>
            <w:lang w:val="en-US"/>
          </w:rPr>
          <w:fldChar w:fldCharType="separate"/>
        </w:r>
        <w:r w:rsidR="003D6084">
          <w:rPr>
            <w:noProof/>
            <w:lang w:val="en-US"/>
          </w:rPr>
          <w:t>EPA 2021d</w:t>
        </w:r>
        <w:r w:rsidR="003D6084">
          <w:rPr>
            <w:lang w:val="en-US"/>
          </w:rPr>
          <w:fldChar w:fldCharType="end"/>
        </w:r>
      </w:hyperlink>
      <w:r w:rsidR="00582FB1">
        <w:rPr>
          <w:lang w:val="en-US"/>
        </w:rPr>
        <w:t>)</w:t>
      </w:r>
      <w:r w:rsidRPr="4BA86F39" w:rsidR="003903AC">
        <w:rPr>
          <w:lang w:val="en-US"/>
        </w:rPr>
        <w:t xml:space="preserve">.  </w:t>
      </w:r>
    </w:p>
    <w:p w:rsidR="005F1D5F" w:rsidRPr="00A95A85" w:rsidP="00832749" w14:paraId="66AFC80B" w14:textId="6C1A8B70">
      <w:pPr>
        <w:pStyle w:val="BodyText"/>
      </w:pPr>
      <w:r w:rsidRPr="4BA86F39">
        <w:rPr>
          <w:lang w:val="en-US"/>
        </w:rPr>
        <w:t xml:space="preserve">PV29 has also previously been used as a coating on office furniture, filing cabinets, and industrial equipment such as automotive in ground lifts. However, the pigment is not currently being used in these products due to customer preference </w:t>
      </w:r>
      <w:r w:rsidR="00F02BDE">
        <w:rPr>
          <w:lang w:val="en-US"/>
        </w:rPr>
        <w:t>(</w:t>
      </w:r>
      <w:hyperlink w:anchor="_ENREF_31" w:tooltip="Marcus Paint, 2021 #31" w:history="1">
        <w:r w:rsidR="003D6084">
          <w:fldChar w:fldCharType="begin" w:fldLock="1"/>
        </w:r>
        <w:r w:rsidR="003D6084">
          <w:instrText xml:space="preserve"> ADDIN EN.CITE &lt;EndNote&gt;&lt;Cite&gt;&lt;Author&gt;Marcus Paint&lt;/Author&gt;&lt;Year&gt;2021&lt;/Year&gt;&lt;RecNum&gt;31&lt;/RecNum&gt;&lt;DisplayText&gt;Marcus Paint 2021&lt;/DisplayText&gt;&lt;record&gt;&lt;rec-number&gt;31&lt;/rec-number&gt;&lt;foreign-keys&gt;&lt;key app="EN" db-id="2apzr05radv9fjet2w6xxwdlz5e9vwfxredw" timestamp="1730757315"&gt;31&lt;/key&gt;&lt;/foreign-keys&gt;&lt;ref-type name="Generic"&gt;13&lt;/ref-type&gt;&lt;contributors&gt;&lt;authors&gt;&lt;author&gt;Marcus Paint,&lt;/author&gt;&lt;/authors&gt;&lt;/contributors&gt;&lt;titles&gt;&lt;title&gt;Email message from Bob Raymond RE: Question on the use of Pigment Violet 29 from U.S. EPA. August 31, 2021.&lt;/title&gt;&lt;/titles&gt;&lt;dates&gt;&lt;year&gt;2021&lt;/year&gt;&lt;/dates&gt;&lt;urls&gt;&lt;/urls&gt;&lt;/record&gt;&lt;/Cite&gt;&lt;/EndNote&gt;</w:instrText>
        </w:r>
        <w:r w:rsidR="003D6084">
          <w:fldChar w:fldCharType="separate"/>
        </w:r>
        <w:r w:rsidR="003D6084">
          <w:rPr>
            <w:noProof/>
          </w:rPr>
          <w:t>Marcus Paint 2021</w:t>
        </w:r>
        <w:r w:rsidR="003D6084">
          <w:fldChar w:fldCharType="end"/>
        </w:r>
      </w:hyperlink>
      <w:r w:rsidR="00F02BDE">
        <w:rPr>
          <w:lang w:val="en-US"/>
        </w:rPr>
        <w:t>)</w:t>
      </w:r>
      <w:r w:rsidRPr="4BA86F39">
        <w:rPr>
          <w:lang w:val="en-US"/>
        </w:rPr>
        <w:t>. As such, EPA did not identify any facilities under the proposed rule in this category.</w:t>
      </w:r>
    </w:p>
    <w:p w:rsidR="005F1D5F" w:rsidRPr="00A95A85" w:rsidP="004C3827" w14:paraId="009A4489" w14:textId="77777777">
      <w:pPr>
        <w:pStyle w:val="Heading5"/>
      </w:pPr>
      <w:bookmarkStart w:id="126" w:name="_Ref97273665"/>
      <w:bookmarkStart w:id="127" w:name="_Toc175217223"/>
      <w:r w:rsidRPr="00A95A85">
        <w:t>Plastic and rubber products</w:t>
      </w:r>
      <w:bookmarkEnd w:id="126"/>
      <w:bookmarkEnd w:id="127"/>
    </w:p>
    <w:p w:rsidR="005F1D5F" w:rsidRPr="00A95A85" w:rsidP="00832749" w14:paraId="3943FCE2" w14:textId="0DC8175B">
      <w:pPr>
        <w:pStyle w:val="BodyText"/>
      </w:pPr>
      <w:r w:rsidRPr="4BA86F39">
        <w:rPr>
          <w:lang w:val="en-US"/>
        </w:rPr>
        <w:t>CPMA indicates that that approximately 31% of Sun Chemical Company’s domestic supply of PV29 (12,400 out of 40,000 lbs) is sold to six plastics masterbatchers</w:t>
      </w:r>
      <w:r>
        <w:rPr>
          <w:rStyle w:val="FootnoteReference"/>
          <w:lang w:val="en-US"/>
        </w:rPr>
        <w:footnoteReference w:id="12"/>
      </w:r>
      <w:r w:rsidRPr="4BA86F39">
        <w:rPr>
          <w:lang w:val="en-US"/>
        </w:rPr>
        <w:t xml:space="preserve"> in the U.S.</w:t>
      </w:r>
      <w:r w:rsidR="00EB6888">
        <w:rPr>
          <w:lang w:val="en-US"/>
        </w:rPr>
        <w:t xml:space="preserve"> </w:t>
      </w:r>
      <w:r w:rsidRPr="00A95A85" w:rsidR="00EB6888">
        <w:t>(</w:t>
      </w:r>
      <w:hyperlink w:anchor="_ENREF_62" w:tooltip="U.S. Environmental Protection Agency (EPA), 2021 #63" w:history="1">
        <w:r w:rsidR="003D6084">
          <w:fldChar w:fldCharType="begin" w:fldLock="1"/>
        </w:r>
        <w:r w:rsidR="003D6084">
          <w:instrText xml:space="preserve"> ADDIN EN.CITE &lt;EndNote&gt;&lt;Cite ExcludeAuth="1"&gt;&lt;Author&gt;U.S. Environmental Protection Agency (EPA)&lt;/Author&gt;&lt;Year&gt;2021&lt;/Year&gt;&lt;RecNum&gt;63&lt;/RecNum&gt;&lt;Prefix&gt;EPA &lt;/Prefix&gt;&lt;DisplayText&gt;EPA 2021b&lt;/DisplayText&gt;&lt;record&gt;&lt;rec-number&gt;63&lt;/rec-number&gt;&lt;foreign-keys&gt;&lt;key app="EN" db-id="2apzr05radv9fjet2w6xxwdlz5e9vwfxredw" timestamp="1730757315"&gt;63&lt;/key&gt;&lt;/foreign-keys&gt;&lt;ref-type name="Generic"&gt;13&lt;/ref-type&gt;&lt;contributors&gt;&lt;authors&gt;&lt;author&gt;U.S. Environmental Protection Agency (EPA),&lt;/author&gt;&lt;/authors&gt;&lt;/contributors&gt;&lt;titles&gt;&lt;title&gt;Notes from Meeting with CPMA on April 28, 2021 (compiled by Lynne Blake-Hedges)&lt;/title&gt;&lt;short-title&gt;Notes from Meeting with CPMA on April 28, 2021 (compiled by Lynne Blake-Hedges)&lt;/short-title&gt;&lt;/titles&gt;&lt;dates&gt;&lt;year&gt;2021&lt;/year&gt;&lt;/dates&gt;&lt;urls&gt;&lt;/urls&gt;&lt;/record&gt;&lt;/Cite&gt;&lt;/EndNote&gt;</w:instrText>
        </w:r>
        <w:r w:rsidR="003D6084">
          <w:fldChar w:fldCharType="separate"/>
        </w:r>
        <w:r w:rsidR="003D6084">
          <w:rPr>
            <w:noProof/>
          </w:rPr>
          <w:t>EPA 2021b</w:t>
        </w:r>
        <w:r w:rsidR="003D6084">
          <w:fldChar w:fldCharType="end"/>
        </w:r>
      </w:hyperlink>
      <w:r w:rsidRPr="00A95A85" w:rsidR="00EB6888">
        <w:t>)</w:t>
      </w:r>
      <w:r w:rsidRPr="4BA86F39">
        <w:rPr>
          <w:lang w:val="en-US"/>
        </w:rPr>
        <w:t>. EPA does not have information to identify these six companies, but EPA assumes they are classified under NAICS Code 325991, Custom Compounding of Purchased Resins, or 325211, Plastics Material and Resin Manufacturing.</w:t>
      </w:r>
      <w:bookmarkStart w:id="128" w:name="_Hlk73345695"/>
    </w:p>
    <w:p w:rsidR="005F1D5F" w:rsidRPr="00A95A85" w:rsidP="00832749" w14:paraId="00493E07" w14:textId="1220F436">
      <w:pPr>
        <w:pStyle w:val="BodyText"/>
      </w:pPr>
      <w:r w:rsidRPr="4BA86F39">
        <w:rPr>
          <w:lang w:val="en-US"/>
        </w:rPr>
        <w:t>Sun Chemical estimates that 80 percent (9,920 lb) of the volume designated for plastic and rubber goes to make fibers for industrial carpeting, and 20 percent (2,480 lb) goes to make automotive plastic such as for interior auto parts</w:t>
      </w:r>
      <w:r w:rsidR="00215BF7">
        <w:rPr>
          <w:lang w:val="en-US"/>
        </w:rPr>
        <w:t xml:space="preserve"> </w:t>
      </w:r>
      <w:r w:rsidR="00215BF7">
        <w:t>(</w:t>
      </w:r>
      <w:hyperlink w:anchor="_ENREF_60" w:tooltip="U.S. Environmental Protection Agency (EPA), 2020 #59" w:history="1">
        <w:r w:rsidR="003D6084">
          <w:fldChar w:fldCharType="begin" w:fldLock="1"/>
        </w:r>
        <w:r w:rsidR="003D6084">
          <w:instrText xml:space="preserve"> ADDIN EN.CITE &lt;EndNote&gt;&lt;Cite ExcludeAuth="1"&gt;&lt;Author&gt;U.S. Environmental Protection Agency (EPA)&lt;/Author&gt;&lt;Year&gt;2020&lt;/Year&gt;&lt;RecNum&gt;59&lt;/RecNum&gt;&lt;Prefix&gt;EPA &lt;/Prefix&gt;&lt;DisplayText&gt;EPA 2020b&lt;/DisplayText&gt;&lt;record&gt;&lt;rec-number&gt;59&lt;/rec-number&gt;&lt;foreign-keys&gt;&lt;key app="EN" db-id="2apzr05radv9fjet2w6xxwdlz5e9vwfxredw" timestamp="1730757315"&gt;59&lt;/key&gt;&lt;/foreign-keys&gt;&lt;ref-type name="Generic"&gt;13&lt;/ref-type&gt;&lt;contributors&gt;&lt;authors&gt;&lt;author&gt;U.S. Environmental Protection Agency (EPA),&lt;/author&gt;&lt;/authors&gt;&lt;/contributors&gt;&lt;titles&gt;&lt;title&gt;Chemical Risk Evaluation Meeting with Sun Chemical Corporation, Color Pigments Manufacturers Association and EPA to discuss the Downstream Processors of C.I. Pigment Violet 29 (PV29)&lt;/title&gt;&lt;/titles&gt;&lt;dates&gt;&lt;year&gt;2020&lt;/year&gt;&lt;/dates&gt;&lt;urls&gt;&lt;/urls&gt;&lt;/record&gt;&lt;/Cite&gt;&lt;/EndNote&gt;</w:instrText>
        </w:r>
        <w:r w:rsidR="003D6084">
          <w:fldChar w:fldCharType="separate"/>
        </w:r>
        <w:r w:rsidR="003D6084">
          <w:rPr>
            <w:noProof/>
          </w:rPr>
          <w:t>EPA 2020b</w:t>
        </w:r>
        <w:r w:rsidR="003D6084">
          <w:fldChar w:fldCharType="end"/>
        </w:r>
      </w:hyperlink>
      <w:r w:rsidR="00215BF7">
        <w:t>)</w:t>
      </w:r>
      <w:r w:rsidRPr="4BA86F39" w:rsidR="00B445B0">
        <w:rPr>
          <w:lang w:val="en-US"/>
        </w:rPr>
        <w:t xml:space="preserve">. </w:t>
      </w:r>
      <w:r w:rsidRPr="4BA86F39">
        <w:rPr>
          <w:lang w:val="en-US"/>
        </w:rPr>
        <w:t xml:space="preserve">EPA does not have information on the breakout of the 6 facilities between these two uses but assumes that the use of PV29 is similar for both. </w:t>
      </w:r>
      <w:r w:rsidR="005C2B4F">
        <w:rPr>
          <w:lang w:val="en-US"/>
        </w:rPr>
        <w:t>Additionally, EPA assumes that the entire volume of PV29 used to make plastics is regulated PV29.</w:t>
      </w:r>
    </w:p>
    <w:bookmarkEnd w:id="128"/>
    <w:p w:rsidR="005F1D5F" w:rsidRPr="00A95A85" w:rsidP="00832749" w14:paraId="14DD3BE8" w14:textId="22DAE7DE">
      <w:pPr>
        <w:pStyle w:val="BodyText"/>
      </w:pPr>
      <w:r w:rsidRPr="00A95A85">
        <w:t>According to Sun Chemical</w:t>
      </w:r>
      <w:r w:rsidR="007F37E6">
        <w:t xml:space="preserve"> (</w:t>
      </w:r>
      <w:r>
        <w:fldChar w:fldCharType="begin"/>
      </w:r>
      <w:r>
        <w:instrText xml:space="preserve"> HYPERLINK \l "_ENREF_60" \o "U.S. Environmental Protection Agency (EPA), 2020 #59" </w:instrText>
      </w:r>
      <w:r>
        <w:fldChar w:fldCharType="separate"/>
      </w:r>
      <w:r w:rsidR="003D6084">
        <w:fldChar w:fldCharType="begin" w:fldLock="1"/>
      </w:r>
      <w:r w:rsidR="003D6084">
        <w:instrText xml:space="preserve"> ADDIN EN.CITE &lt;EndNote&gt;&lt;Cite ExcludeAuth="1"&gt;&lt;Author&gt;U.S. Environmental Protection Agency (EPA)&lt;/Author&gt;&lt;Year&gt;2020&lt;/Year&gt;&lt;RecNum&gt;59&lt;/RecNum&gt;&lt;Prefix&gt;EPA &lt;/Prefix&gt;&lt;DisplayText&gt;EPA 2020b&lt;/DisplayText&gt;&lt;record&gt;&lt;rec-number&gt;59&lt;/rec-number&gt;&lt;foreign-keys&gt;&lt;key app="EN" db-id="2apzr05radv9fjet2w6xxwdlz5e9vwfxredw" timestamp="1730757315"&gt;59&lt;/key&gt;&lt;/foreign-keys&gt;&lt;ref-type name="Generic"&gt;13&lt;/ref-type&gt;&lt;contributors&gt;&lt;authors&gt;&lt;author&gt;U.S. Environmental Protection Agency (EPA),&lt;/author&gt;&lt;/authors&gt;&lt;/contributors&gt;&lt;titles&gt;&lt;title&gt;Chemical Risk Evaluation Meeting with Sun Chemical Corporation, Color Pigments Manufacturers Association and EPA to discuss the Downstream Processors of C.I. Pigment Violet 29 (PV29)&lt;/title&gt;&lt;/titles&gt;&lt;dates&gt;&lt;year&gt;2020&lt;/year&gt;&lt;/dates&gt;&lt;urls&gt;&lt;/urls&gt;&lt;/record&gt;&lt;/Cite&gt;&lt;/EndNote&gt;</w:instrText>
      </w:r>
      <w:r w:rsidR="003D6084">
        <w:fldChar w:fldCharType="separate"/>
      </w:r>
      <w:r w:rsidR="003D6084">
        <w:rPr>
          <w:noProof/>
        </w:rPr>
        <w:t>EPA 2020b</w:t>
      </w:r>
      <w:r w:rsidR="003D6084">
        <w:fldChar w:fldCharType="end"/>
      </w:r>
      <w:r>
        <w:fldChar w:fldCharType="end"/>
      </w:r>
      <w:r w:rsidR="007F37E6">
        <w:t>)</w:t>
      </w:r>
      <w:r w:rsidRPr="00A95A85">
        <w:t xml:space="preserve">, PV29 bags are typically manually opened by the processor and added to a vessel for weighing. This blend is then extruded via a continuous and closed process that incapsulates it into pellets. </w:t>
      </w:r>
    </w:p>
    <w:p w:rsidR="005F1D5F" w:rsidRPr="00A95A85" w:rsidP="00832749" w14:paraId="064FF0F4" w14:textId="24F5C6A6">
      <w:pPr>
        <w:pStyle w:val="BodyText"/>
      </w:pPr>
      <w:r w:rsidRPr="4BA86F39">
        <w:rPr>
          <w:lang w:val="en-US"/>
        </w:rPr>
        <w:t xml:space="preserve">In the Risk Evaluation </w:t>
      </w:r>
      <w:r w:rsidR="00F02BDE">
        <w:rPr>
          <w:lang w:val="en-US"/>
        </w:rPr>
        <w:t>(</w:t>
      </w:r>
      <w:hyperlink w:anchor="_ENREF_65" w:tooltip="U.S. Environmental Protection Agency (EPA), 2021 #61" w:history="1">
        <w:r w:rsidR="003D6084">
          <w:fldChar w:fldCharType="begin" w:fldLock="1"/>
        </w:r>
        <w:r w:rsidR="003D6084">
          <w:instrText xml:space="preserve"> ADDIN EN.CITE &lt;EndNote&gt;&lt;Cite ExcludeAuth="1"&gt;&lt;Author&gt;U.S. Environmental Protection Agency (EPA)&lt;/Author&gt;&lt;Year&gt;2021&lt;/Year&gt;&lt;RecNum&gt;61&lt;/RecNum&gt;&lt;Prefix&gt;EPA &lt;/Prefix&gt;&lt;DisplayText&gt;EPA 2021e&lt;/DisplayText&gt;&lt;record&gt;&lt;rec-number&gt;61&lt;/rec-number&gt;&lt;foreign-keys&gt;&lt;key app="EN" db-id="2apzr05radv9fjet2w6xxwdlz5e9vwfxredw" timestamp="1730757315"&gt;61&lt;/key&gt;&lt;/foreign-keys&gt;&lt;ref-type name="Generic"&gt;13&lt;/ref-type&gt;&lt;contributors&gt;&lt;authors&gt;&lt;author&gt;U.S. Environmental Protection Agency (EPA),&lt;/author&gt;&lt;/authors&gt;&lt;subsidiary-authors&gt;&lt;author&gt;Office of Chemical Safety and Pollution Prevention&lt;/author&gt;&lt;/subsidiary-authors&gt;&lt;/contributors&gt;&lt;titles&gt;&lt;title&gt;Risk Evaluation for C.I. Pigment Violet 29 (Anthra[2,1,9-def:6,5,10-d&amp;apos;e&amp;apos;f&amp;apos;]diisoquinoline-1,3,8,10(2H,9H)-tetrone)&lt;/title&gt;&lt;/titles&gt;&lt;number&gt;# 740-R-18-015&lt;/number&gt;&lt;dates&gt;&lt;year&gt;2021&lt;/year&gt;&lt;/dates&gt;&lt;urls&gt;&lt;/urls&gt;&lt;/record&gt;&lt;/Cite&gt;&lt;/EndNote&gt;</w:instrText>
        </w:r>
        <w:r w:rsidR="003D6084">
          <w:fldChar w:fldCharType="separate"/>
        </w:r>
        <w:r w:rsidR="003D6084">
          <w:rPr>
            <w:noProof/>
          </w:rPr>
          <w:t>EPA 2021e</w:t>
        </w:r>
        <w:r w:rsidR="003D6084">
          <w:fldChar w:fldCharType="end"/>
        </w:r>
      </w:hyperlink>
      <w:r w:rsidR="00F02BDE">
        <w:rPr>
          <w:lang w:val="en-US"/>
        </w:rPr>
        <w:t>)</w:t>
      </w:r>
      <w:r w:rsidRPr="4BA86F39">
        <w:rPr>
          <w:lang w:val="en-US"/>
        </w:rPr>
        <w:t>, EPA estimated that there were 27 workers with potential direct exposure and 12 ONUs per site. Therefore, among the six sites, there are a total of 162 directly exposed workers and 420 ONUs.</w:t>
      </w:r>
    </w:p>
    <w:p w:rsidR="005F1D5F" w:rsidRPr="00A95A85" w:rsidP="00832749" w14:paraId="43DB6EED" w14:textId="29F4FB9B">
      <w:pPr>
        <w:pStyle w:val="BodyText"/>
      </w:pPr>
      <w:r w:rsidRPr="4BA86F39">
        <w:rPr>
          <w:lang w:val="en-US"/>
        </w:rPr>
        <w:t>According to data provided by Sun Chemical to EPA</w:t>
      </w:r>
      <w:r w:rsidR="006E7F30">
        <w:rPr>
          <w:lang w:val="en-US"/>
        </w:rPr>
        <w:t xml:space="preserve"> </w:t>
      </w:r>
      <w:r w:rsidR="006E7F30">
        <w:t>(</w:t>
      </w:r>
      <w:hyperlink w:anchor="_ENREF_60" w:tooltip="U.S. Environmental Protection Agency (EPA), 2020 #59" w:history="1">
        <w:r w:rsidR="003D6084">
          <w:fldChar w:fldCharType="begin" w:fldLock="1"/>
        </w:r>
        <w:r w:rsidR="003D6084">
          <w:instrText xml:space="preserve"> ADDIN EN.CITE &lt;EndNote&gt;&lt;Cite ExcludeAuth="1"&gt;&lt;Author&gt;U.S. Environmental Protection Agency (EPA)&lt;/Author&gt;&lt;Year&gt;2020&lt;/Year&gt;&lt;RecNum&gt;59&lt;/RecNum&gt;&lt;Prefix&gt;EPA &lt;/Prefix&gt;&lt;DisplayText&gt;EPA 2020b&lt;/DisplayText&gt;&lt;record&gt;&lt;rec-number&gt;59&lt;/rec-number&gt;&lt;foreign-keys&gt;&lt;key app="EN" db-id="2apzr05radv9fjet2w6xxwdlz5e9vwfxredw" timestamp="1730757315"&gt;59&lt;/key&gt;&lt;/foreign-keys&gt;&lt;ref-type name="Generic"&gt;13&lt;/ref-type&gt;&lt;contributors&gt;&lt;authors&gt;&lt;author&gt;U.S. Environmental Protection Agency (EPA),&lt;/author&gt;&lt;/authors&gt;&lt;/contributors&gt;&lt;titles&gt;&lt;title&gt;Chemical Risk Evaluation Meeting with Sun Chemical Corporation, Color Pigments Manufacturers Association and EPA to discuss the Downstream Processors of C.I. Pigment Violet 29 (PV29)&lt;/title&gt;&lt;/titles&gt;&lt;dates&gt;&lt;year&gt;2020&lt;/year&gt;&lt;/dates&gt;&lt;urls&gt;&lt;/urls&gt;&lt;/record&gt;&lt;/Cite&gt;&lt;/EndNote&gt;</w:instrText>
        </w:r>
        <w:r w:rsidR="003D6084">
          <w:fldChar w:fldCharType="separate"/>
        </w:r>
        <w:r w:rsidR="003D6084">
          <w:rPr>
            <w:noProof/>
          </w:rPr>
          <w:t>EPA 2020b</w:t>
        </w:r>
        <w:r w:rsidR="003D6084">
          <w:fldChar w:fldCharType="end"/>
        </w:r>
      </w:hyperlink>
      <w:r w:rsidR="006E7F30">
        <w:t>)</w:t>
      </w:r>
      <w:r w:rsidRPr="4BA86F39" w:rsidR="003676AA">
        <w:rPr>
          <w:lang w:val="en-US"/>
        </w:rPr>
        <w:t xml:space="preserve">, </w:t>
      </w:r>
      <w:r w:rsidRPr="4BA86F39">
        <w:rPr>
          <w:lang w:val="en-US"/>
        </w:rPr>
        <w:t xml:space="preserve">dust collection and PPE are required in the area where a potential for exposure to dust exists. Typical PPE includes Tyvek coverings, goggles, and dust masks. OSHA </w:t>
      </w:r>
      <w:r w:rsidR="003C2B32">
        <w:rPr>
          <w:shd w:val="clear" w:color="auto" w:fill="FAFAFA" w:themeFill="accent5" w:themeFillTint="33"/>
          <w:lang w:val="en-US"/>
        </w:rPr>
        <w:t>(</w:t>
      </w:r>
      <w:hyperlink w:anchor="_ENREF_35" w:tooltip="Occupational Safety and Health Administration (OSHA), 2022 #35" w:history="1">
        <w:r w:rsidR="003D6084">
          <w:rPr>
            <w:shd w:val="clear" w:color="auto" w:fill="FAFAFA" w:themeFill="accent5" w:themeFillTint="33"/>
            <w:lang w:val="en-US"/>
          </w:rPr>
          <w:fldChar w:fldCharType="begin" w:fldLock="1"/>
        </w:r>
        <w:r w:rsidR="003D6084">
          <w:rPr>
            <w:shd w:val="clear" w:color="auto" w:fill="FAFAFA" w:themeFill="accent5" w:themeFillTint="33"/>
            <w:lang w:val="en-US"/>
          </w:rPr>
          <w:instrText xml:space="preserve"> ADDIN EN.CITE &lt;EndNote&gt;&lt;Cite ExcludeAuth="1"&gt;&lt;Author&gt;Occupational Safety and Health Administration (OSHA)&lt;/Author&gt;&lt;Year&gt;2022&lt;/Year&gt;&lt;RecNum&gt;35&lt;/RecNum&gt;&lt;DisplayText&gt;2022&lt;/DisplayText&gt;&lt;record&gt;&lt;rec-number&gt;35&lt;/rec-number&gt;&lt;foreign-keys&gt;&lt;key app="EN" db-id="2apzr05radv9fjet2w6xxwdlz5e9vwfxredw" timestamp="1730757315"&gt;35&lt;/key&gt;&lt;/foreign-keys&gt;&lt;ref-type name="Journal Article"&gt;17&lt;/ref-type&gt;&lt;contributors&gt;&lt;authors&gt;&lt;author&gt;Occupational Safety and Health Administration (OSHA),&lt;/author&gt;&lt;/authors&gt;&lt;/contributors&gt;&lt;titles&gt;&lt;title&gt;Integrated Management Information System&lt;/title&gt;&lt;/titles&gt;&lt;dates&gt;&lt;year&gt;2022&lt;/year&gt;&lt;/dates&gt;&lt;urls&gt;&lt;/urls&gt;&lt;/record&gt;&lt;/Cite&gt;&lt;/EndNote&gt;</w:instrText>
        </w:r>
        <w:r w:rsidR="003D6084">
          <w:rPr>
            <w:shd w:val="clear" w:color="auto" w:fill="FAFAFA" w:themeFill="accent5" w:themeFillTint="33"/>
            <w:lang w:val="en-US"/>
          </w:rPr>
          <w:fldChar w:fldCharType="separate"/>
        </w:r>
        <w:r w:rsidR="003D6084">
          <w:rPr>
            <w:noProof/>
            <w:shd w:val="clear" w:color="auto" w:fill="FAFAFA" w:themeFill="accent5" w:themeFillTint="33"/>
            <w:lang w:val="en-US"/>
          </w:rPr>
          <w:t>2022</w:t>
        </w:r>
        <w:r w:rsidR="003D6084">
          <w:rPr>
            <w:shd w:val="clear" w:color="auto" w:fill="FAFAFA" w:themeFill="accent5" w:themeFillTint="33"/>
            <w:lang w:val="en-US"/>
          </w:rPr>
          <w:fldChar w:fldCharType="end"/>
        </w:r>
      </w:hyperlink>
      <w:r w:rsidR="003C2B32">
        <w:rPr>
          <w:shd w:val="clear" w:color="auto" w:fill="FAFAFA" w:themeFill="accent5" w:themeFillTint="33"/>
          <w:lang w:val="en-US"/>
        </w:rPr>
        <w:t xml:space="preserve">) </w:t>
      </w:r>
      <w:r w:rsidRPr="4BA86F39">
        <w:rPr>
          <w:lang w:val="en-US"/>
        </w:rPr>
        <w:t xml:space="preserve">defines “dust mask” interchangeably with filtering facepiece, so EPA assumes that the companies use NIOSH-approved N95 particulate respirator. </w:t>
      </w:r>
    </w:p>
    <w:p w:rsidR="005F1D5F" w:rsidRPr="00A95A85" w:rsidP="00832749" w14:paraId="543B6586" w14:textId="627820E2">
      <w:pPr>
        <w:pStyle w:val="BodyText"/>
      </w:pPr>
      <w:r w:rsidRPr="00A95A85">
        <w:t>From OSHA inspections during October 2020 to September 2021</w:t>
      </w:r>
      <w:r w:rsidR="003C2B32">
        <w:t xml:space="preserve"> </w:t>
      </w:r>
      <w:r w:rsidR="003C2B32">
        <w:rPr>
          <w:shd w:val="clear" w:color="auto" w:fill="FAFAFA" w:themeFill="accent5" w:themeFillTint="33"/>
          <w:lang w:val="en-US"/>
        </w:rPr>
        <w:t>(</w:t>
      </w:r>
      <w:hyperlink w:anchor="_ENREF_35" w:tooltip="Occupational Safety and Health Administration (OSHA), 2022 #35" w:history="1">
        <w:r w:rsidR="003D6084">
          <w:rPr>
            <w:shd w:val="clear" w:color="auto" w:fill="FAFAFA" w:themeFill="accent5" w:themeFillTint="33"/>
            <w:lang w:val="en-US"/>
          </w:rPr>
          <w:fldChar w:fldCharType="begin" w:fldLock="1"/>
        </w:r>
        <w:r w:rsidR="003D6084">
          <w:rPr>
            <w:shd w:val="clear" w:color="auto" w:fill="FAFAFA" w:themeFill="accent5" w:themeFillTint="33"/>
            <w:lang w:val="en-US"/>
          </w:rPr>
          <w:instrText xml:space="preserve"> ADDIN EN.CITE &lt;EndNote&gt;&lt;Cite ExcludeAuth="1"&gt;&lt;Author&gt;Occupational Safety and Health Administration (OSHA)&lt;/Author&gt;&lt;Year&gt;2022&lt;/Year&gt;&lt;RecNum&gt;35&lt;/RecNum&gt;&lt;Prefix&gt;OSHA &lt;/Prefix&gt;&lt;DisplayText&gt;OSHA 2022&lt;/DisplayText&gt;&lt;record&gt;&lt;rec-number&gt;35&lt;/rec-number&gt;&lt;foreign-keys&gt;&lt;key app="EN" db-id="2apzr05radv9fjet2w6xxwdlz5e9vwfxredw" timestamp="1730757315"&gt;35&lt;/key&gt;&lt;/foreign-keys&gt;&lt;ref-type name="Journal Article"&gt;17&lt;/ref-type&gt;&lt;contributors&gt;&lt;authors&gt;&lt;author&gt;Occupational Safety and Health Administration (OSHA),&lt;/author&gt;&lt;/authors&gt;&lt;/contributors&gt;&lt;titles&gt;&lt;title&gt;Integrated Management Information System&lt;/title&gt;&lt;/titles&gt;&lt;dates&gt;&lt;year&gt;2022&lt;/year&gt;&lt;/dates&gt;&lt;urls&gt;&lt;/urls&gt;&lt;/record&gt;&lt;/Cite&gt;&lt;/EndNote&gt;</w:instrText>
        </w:r>
        <w:r w:rsidR="003D6084">
          <w:rPr>
            <w:shd w:val="clear" w:color="auto" w:fill="FAFAFA" w:themeFill="accent5" w:themeFillTint="33"/>
            <w:lang w:val="en-US"/>
          </w:rPr>
          <w:fldChar w:fldCharType="separate"/>
        </w:r>
        <w:r w:rsidR="003D6084">
          <w:rPr>
            <w:noProof/>
            <w:shd w:val="clear" w:color="auto" w:fill="FAFAFA" w:themeFill="accent5" w:themeFillTint="33"/>
            <w:lang w:val="en-US"/>
          </w:rPr>
          <w:t>OSHA 2022</w:t>
        </w:r>
        <w:r w:rsidR="003D6084">
          <w:rPr>
            <w:shd w:val="clear" w:color="auto" w:fill="FAFAFA" w:themeFill="accent5" w:themeFillTint="33"/>
            <w:lang w:val="en-US"/>
          </w:rPr>
          <w:fldChar w:fldCharType="end"/>
        </w:r>
      </w:hyperlink>
      <w:r w:rsidR="003C2B32">
        <w:rPr>
          <w:shd w:val="clear" w:color="auto" w:fill="FAFAFA" w:themeFill="accent5" w:themeFillTint="33"/>
          <w:lang w:val="en-US"/>
        </w:rPr>
        <w:t>)</w:t>
      </w:r>
      <w:r w:rsidRPr="00A95A85">
        <w:t>, for NAICS code 325211 (Plastics Material and Resin Manufacturing) there were no violations involving respiratory protection. For NAICS 325991 (Custom Compounding of Purchased Resins) there were respiratory protection violations at 1 inspection. Overall, among these two NAICS, there were violations at 1 out of 20 inspections (5%), so EPA assumes a 95% baseline compliance rate for this use.</w:t>
      </w:r>
    </w:p>
    <w:p w:rsidR="005F1D5F" w:rsidRPr="00A95A85" w:rsidP="002B58FE" w14:paraId="05B2B986" w14:textId="77777777">
      <w:pPr>
        <w:pStyle w:val="Heading4"/>
      </w:pPr>
      <w:bookmarkStart w:id="129" w:name="_Ref100663406"/>
      <w:bookmarkStart w:id="130" w:name="_Toc175217224"/>
      <w:bookmarkStart w:id="131" w:name="_Toc179234318"/>
      <w:bookmarkStart w:id="132" w:name="_Ref89169711"/>
      <w:r w:rsidRPr="00A95A85">
        <w:t>Recycling</w:t>
      </w:r>
      <w:bookmarkEnd w:id="129"/>
      <w:bookmarkEnd w:id="130"/>
      <w:bookmarkEnd w:id="131"/>
    </w:p>
    <w:p w:rsidR="005F1D5F" w:rsidP="00832749" w14:paraId="329A55BC" w14:textId="4F662F1F">
      <w:pPr>
        <w:pStyle w:val="BodyText"/>
        <w:rPr>
          <w:lang w:val="en-US"/>
        </w:rPr>
      </w:pPr>
      <w:r w:rsidRPr="4BA86F39">
        <w:rPr>
          <w:lang w:val="en-US"/>
        </w:rPr>
        <w:t xml:space="preserve">EPA’s Risk Evaluation </w:t>
      </w:r>
      <w:r w:rsidR="00117E1A">
        <w:rPr>
          <w:lang w:val="en-US"/>
        </w:rPr>
        <w:t>(</w:t>
      </w:r>
      <w:hyperlink w:anchor="_ENREF_65" w:tooltip="U.S. Environmental Protection Agency (EPA), 2021 #61" w:history="1">
        <w:r w:rsidR="003D6084">
          <w:fldChar w:fldCharType="begin" w:fldLock="1"/>
        </w:r>
        <w:r w:rsidR="003D6084">
          <w:instrText xml:space="preserve"> ADDIN EN.CITE &lt;EndNote&gt;&lt;Cite ExcludeAuth="1"&gt;&lt;Author&gt;U.S. Environmental Protection Agency (EPA)&lt;/Author&gt;&lt;Year&gt;2021&lt;/Year&gt;&lt;RecNum&gt;61&lt;/RecNum&gt;&lt;Prefix&gt;EPA &lt;/Prefix&gt;&lt;DisplayText&gt;EPA 2021e&lt;/DisplayText&gt;&lt;record&gt;&lt;rec-number&gt;61&lt;/rec-number&gt;&lt;foreign-keys&gt;&lt;key app="EN" db-id="2apzr05radv9fjet2w6xxwdlz5e9vwfxredw" timestamp="1730757315"&gt;61&lt;/key&gt;&lt;/foreign-keys&gt;&lt;ref-type name="Generic"&gt;13&lt;/ref-type&gt;&lt;contributors&gt;&lt;authors&gt;&lt;author&gt;U.S. Environmental Protection Agency (EPA),&lt;/author&gt;&lt;/authors&gt;&lt;subsidiary-authors&gt;&lt;author&gt;Office of Chemical Safety and Pollution Prevention&lt;/author&gt;&lt;/subsidiary-authors&gt;&lt;/contributors&gt;&lt;titles&gt;&lt;title&gt;Risk Evaluation for C.I. Pigment Violet 29 (Anthra[2,1,9-def:6,5,10-d&amp;apos;e&amp;apos;f&amp;apos;]diisoquinoline-1,3,8,10(2H,9H)-tetrone)&lt;/title&gt;&lt;/titles&gt;&lt;number&gt;# 740-R-18-015&lt;/number&gt;&lt;dates&gt;&lt;year&gt;2021&lt;/year&gt;&lt;/dates&gt;&lt;urls&gt;&lt;/urls&gt;&lt;/record&gt;&lt;/Cite&gt;&lt;/EndNote&gt;</w:instrText>
        </w:r>
        <w:r w:rsidR="003D6084">
          <w:fldChar w:fldCharType="separate"/>
        </w:r>
        <w:r w:rsidR="003D6084">
          <w:rPr>
            <w:noProof/>
          </w:rPr>
          <w:t>EPA 2021e</w:t>
        </w:r>
        <w:r w:rsidR="003D6084">
          <w:fldChar w:fldCharType="end"/>
        </w:r>
      </w:hyperlink>
      <w:r w:rsidR="00117E1A">
        <w:rPr>
          <w:lang w:val="en-US"/>
        </w:rPr>
        <w:t>)</w:t>
      </w:r>
      <w:r w:rsidRPr="4BA86F39">
        <w:rPr>
          <w:lang w:val="en-US"/>
        </w:rPr>
        <w:t xml:space="preserve"> did not find PV29-specific information for recycling. However, this chemical has been identified in articles that are commonly recycled such as plastics and painted metals which indicates that recycling may occur for waste plastics. Specifically, this analysis assumes that PV29 can be found in painted and plastic automobile parts and industrial carpets</w:t>
      </w:r>
      <w:r w:rsidR="005C2B4F">
        <w:rPr>
          <w:lang w:val="en-US"/>
        </w:rPr>
        <w:t>, however not in the regulated PV29 form</w:t>
      </w:r>
      <w:r w:rsidRPr="4BA86F39">
        <w:rPr>
          <w:lang w:val="en-US"/>
        </w:rPr>
        <w:t xml:space="preserve">. </w:t>
      </w:r>
      <w:r w:rsidR="005C2B4F">
        <w:rPr>
          <w:lang w:val="en-US"/>
        </w:rPr>
        <w:t xml:space="preserve">Therefore, EPA does not estimate that </w:t>
      </w:r>
      <w:r w:rsidR="009D20E0">
        <w:rPr>
          <w:lang w:val="en-US"/>
        </w:rPr>
        <w:t>recyclers</w:t>
      </w:r>
      <w:r w:rsidR="005C2B4F">
        <w:rPr>
          <w:lang w:val="en-US"/>
        </w:rPr>
        <w:t xml:space="preserve"> purchase or use regulated PV29</w:t>
      </w:r>
      <w:r w:rsidRPr="4BA86F39">
        <w:rPr>
          <w:lang w:val="en-US"/>
        </w:rPr>
        <w:t>.</w:t>
      </w:r>
    </w:p>
    <w:p w:rsidR="00456103" w:rsidRPr="00A95A85" w:rsidP="00456103" w14:paraId="3B7FFCA8" w14:textId="77777777">
      <w:pPr>
        <w:pStyle w:val="Heading6"/>
      </w:pPr>
      <w:r w:rsidRPr="00A95A85">
        <w:t xml:space="preserve">Automobile Recycling </w:t>
      </w:r>
    </w:p>
    <w:p w:rsidR="00456103" w:rsidRPr="00A95A85" w:rsidP="00456103" w14:paraId="380C9C76" w14:textId="23C7CB5D">
      <w:pPr>
        <w:pStyle w:val="BodyText"/>
      </w:pPr>
      <w:r w:rsidRPr="00A95A85">
        <w:t xml:space="preserve">More than 95 percent of end-of-life vehicles (ELVs) in the United States are recycled </w:t>
      </w:r>
      <w:r w:rsidR="00B218FE">
        <w:t>(</w:t>
      </w:r>
      <w:hyperlink w:anchor="_ENREF_32" w:tooltip="Mashek, 2016 #32" w:history="1">
        <w:r w:rsidR="003D6084">
          <w:fldChar w:fldCharType="begin" w:fldLock="1"/>
        </w:r>
        <w:r w:rsidR="003D6084">
          <w:instrText xml:space="preserve"> ADDIN EN.CITE &lt;EndNote&gt;&lt;Cite&gt;&lt;Author&gt;Mashek&lt;/Author&gt;&lt;Year&gt;2016&lt;/Year&gt;&lt;RecNum&gt;32&lt;/RecNum&gt;&lt;DisplayText&gt;Mashek 2016&lt;/DisplayText&gt;&lt;record&gt;&lt;rec-number&gt;32&lt;/rec-number&gt;&lt;foreign-keys&gt;&lt;key app="EN" db-id="2apzr05radv9fjet2w6xxwdlz5e9vwfxredw" timestamp="1730757315"&gt;32&lt;/key&gt;&lt;/foreign-keys&gt;&lt;ref-type name="Generic"&gt;13&lt;/ref-type&gt;&lt;contributors&gt;&lt;authors&gt;&lt;author&gt;Mashek, W.&lt;/author&gt;&lt;/authors&gt;&lt;/contributors&gt;&lt;titles&gt;&lt;title&gt;Automotive Recycling Devalued is now Revalued&lt;/title&gt;&lt;/titles&gt;&lt;dates&gt;&lt;year&gt;2016&lt;/year&gt;&lt;/dates&gt;&lt;urls&gt;&lt;related-urls&gt;&lt;url&gt;https://www.amaplast.org/archivioFiles/Allegati/Automotive-Recycling.pdf&lt;/url&gt;&lt;/related-urls&gt;&lt;/urls&gt;&lt;/record&gt;&lt;/Cite&gt;&lt;/EndNote&gt;</w:instrText>
        </w:r>
        <w:r w:rsidR="003D6084">
          <w:fldChar w:fldCharType="separate"/>
        </w:r>
        <w:r w:rsidR="003D6084">
          <w:rPr>
            <w:noProof/>
          </w:rPr>
          <w:t>Mashek 2016</w:t>
        </w:r>
        <w:r w:rsidR="003D6084">
          <w:fldChar w:fldCharType="end"/>
        </w:r>
      </w:hyperlink>
      <w:r w:rsidR="00B218FE">
        <w:t>)</w:t>
      </w:r>
      <w:r w:rsidRPr="00A95A85">
        <w:t xml:space="preserve">. Approximately 86 percent of a vehicle’s material content is recycled, reused, or used for energy recovery </w:t>
      </w:r>
      <w:r w:rsidR="001C1BF8">
        <w:t>(</w:t>
      </w:r>
      <w:hyperlink w:anchor="_ENREF_6" w:tooltip="Automotive Recyclers Association (ARA), 2021 #6" w:history="1">
        <w:r w:rsidR="003D6084">
          <w:fldChar w:fldCharType="begin" w:fldLock="1"/>
        </w:r>
        <w:r w:rsidR="003D6084">
          <w:instrText xml:space="preserve"> ADDIN EN.CITE &lt;EndNote&gt;&lt;Cite ExcludeAuth="1"&gt;&lt;Author&gt;Automotive Recyclers Association (ARA)&lt;/Author&gt;&lt;Year&gt;2021&lt;/Year&gt;&lt;RecNum&gt;6&lt;/RecNum&gt;&lt;Prefix&gt;ARA &lt;/Prefix&gt;&lt;DisplayText&gt;ARA 2021&lt;/DisplayText&gt;&lt;record&gt;&lt;rec-number&gt;6&lt;/rec-number&gt;&lt;foreign-keys&gt;&lt;key app="EN" db-id="2apzr05radv9fjet2w6xxwdlz5e9vwfxredw" timestamp="1730757315"&gt;6&lt;/key&gt;&lt;/foreign-keys&gt;&lt;ref-type name="Generic"&gt;13&lt;/ref-type&gt;&lt;contributors&gt;&lt;authors&gt;&lt;author&gt;Automotive Recyclers Association (ARA),&lt;/author&gt;&lt;/authors&gt;&lt;/contributors&gt;&lt;titles&gt;&lt;title&gt;Get to Know 21st Century Automotive Recyling&lt;/title&gt;&lt;/titles&gt;&lt;dates&gt;&lt;year&gt;2021&lt;/year&gt;&lt;/dates&gt;&lt;urls&gt;&lt;related-urls&gt;&lt;url&gt;https://www.a-r-a.org/why-use-recycled-parts.html#:~:text=Approximately%2086%20percent%20of%20a,2%2C500%20lbs.&lt;/url&gt;&lt;/related-urls&gt;&lt;/urls&gt;&lt;/record&gt;&lt;/Cite&gt;&lt;/EndNote&gt;</w:instrText>
        </w:r>
        <w:r w:rsidR="003D6084">
          <w:fldChar w:fldCharType="separate"/>
        </w:r>
        <w:r w:rsidR="003D6084">
          <w:rPr>
            <w:noProof/>
          </w:rPr>
          <w:t>ARA 2021</w:t>
        </w:r>
        <w:r w:rsidR="003D6084">
          <w:fldChar w:fldCharType="end"/>
        </w:r>
      </w:hyperlink>
      <w:r w:rsidR="001C1BF8">
        <w:t>)</w:t>
      </w:r>
      <w:r>
        <w:t>.</w:t>
      </w:r>
    </w:p>
    <w:p w:rsidR="00456103" w:rsidRPr="00A95A85" w:rsidP="00456103" w14:paraId="56DB3621" w14:textId="2345629E">
      <w:pPr>
        <w:pStyle w:val="BodyText"/>
      </w:pPr>
      <w:r w:rsidRPr="4BA86F39">
        <w:rPr>
          <w:lang w:val="en-US"/>
        </w:rPr>
        <w:t xml:space="preserve">The Automotive Recyclers Association (ARA) reports that automotive recycling businesses employ over 140,000 people at more than 9,000 locations, </w:t>
      </w:r>
      <w:bookmarkStart w:id="133" w:name="_Hlk99029030"/>
      <w:r w:rsidRPr="4BA86F39">
        <w:rPr>
          <w:lang w:val="en-US"/>
        </w:rPr>
        <w:t>representing over $32 billion in annual sales</w:t>
      </w:r>
      <w:bookmarkEnd w:id="133"/>
      <w:r w:rsidR="00BA6227">
        <w:rPr>
          <w:lang w:val="en-US"/>
        </w:rPr>
        <w:t xml:space="preserve"> (</w:t>
      </w:r>
      <w:hyperlink w:anchor="_ENREF_6" w:tooltip="Automotive Recyclers Association (ARA), 2021 #6" w:history="1">
        <w:r w:rsidR="003D6084">
          <w:fldChar w:fldCharType="begin" w:fldLock="1"/>
        </w:r>
        <w:r w:rsidR="003D6084">
          <w:instrText xml:space="preserve"> ADDIN EN.CITE &lt;EndNote&gt;&lt;Cite ExcludeAuth="1"&gt;&lt;Author&gt;Automotive Recyclers Association (ARA)&lt;/Author&gt;&lt;Year&gt;2021&lt;/Year&gt;&lt;RecNum&gt;6&lt;/RecNum&gt;&lt;Prefix&gt;ARA &lt;/Prefix&gt;&lt;DisplayText&gt;ARA 2021&lt;/DisplayText&gt;&lt;record&gt;&lt;rec-number&gt;6&lt;/rec-number&gt;&lt;foreign-keys&gt;&lt;key app="EN" db-id="2apzr05radv9fjet2w6xxwdlz5e9vwfxredw" timestamp="1730757315"&gt;6&lt;/key&gt;&lt;/foreign-keys&gt;&lt;ref-type name="Generic"&gt;13&lt;/ref-type&gt;&lt;contributors&gt;&lt;authors&gt;&lt;author&gt;Automotive Recyclers Association (ARA),&lt;/author&gt;&lt;/authors&gt;&lt;/contributors&gt;&lt;titles&gt;&lt;title&gt;Get to Know 21st Century Automotive Recyling&lt;/title&gt;&lt;/titles&gt;&lt;dates&gt;&lt;year&gt;2021&lt;/year&gt;&lt;/dates&gt;&lt;urls&gt;&lt;related-urls&gt;&lt;url&gt;https://www.a-r-a.org/why-use-recycled-parts.html#:~:text=Approximately%2086%20percent%20of%20a,2%2C500%20lbs.&lt;/url&gt;&lt;/related-urls&gt;&lt;/urls&gt;&lt;/record&gt;&lt;/Cite&gt;&lt;/EndNote&gt;</w:instrText>
        </w:r>
        <w:r w:rsidR="003D6084">
          <w:fldChar w:fldCharType="separate"/>
        </w:r>
        <w:r w:rsidR="003D6084">
          <w:rPr>
            <w:noProof/>
          </w:rPr>
          <w:t>ARA 2021</w:t>
        </w:r>
        <w:r w:rsidR="003D6084">
          <w:fldChar w:fldCharType="end"/>
        </w:r>
      </w:hyperlink>
      <w:r w:rsidR="00BA6227">
        <w:rPr>
          <w:lang w:val="en-US"/>
        </w:rPr>
        <w:t>)</w:t>
      </w:r>
      <w:r w:rsidRPr="4BA86F39">
        <w:rPr>
          <w:lang w:val="en-US"/>
        </w:rPr>
        <w:t>. Based on a sample of ARA members as listed on their website,</w:t>
      </w:r>
      <w:r>
        <w:rPr>
          <w:rStyle w:val="FootnoteReference"/>
          <w:lang w:val="en-US"/>
        </w:rPr>
        <w:footnoteReference w:id="13"/>
      </w:r>
      <w:r w:rsidRPr="4BA86F39">
        <w:rPr>
          <w:lang w:val="en-US"/>
        </w:rPr>
        <w:t xml:space="preserve"> these companies typically fall into NAICS 423140 (Motor vehicle parts (used) merchant wholesalers), 423930 (Recyclable material merchant wholesalers), and 5 62920 (Materials recovery facilities). According to data from the U.S. Census Bureau’s 2021 Statistics on U.S. </w:t>
      </w:r>
      <w:r w:rsidRPr="00C17E91">
        <w:rPr>
          <w:lang w:val="en-US"/>
        </w:rPr>
        <w:t>Businesses</w:t>
      </w:r>
      <w:r w:rsidR="00291094">
        <w:rPr>
          <w:lang w:val="en-US"/>
        </w:rPr>
        <w:t xml:space="preserve"> (SUSB)</w:t>
      </w:r>
      <w:r w:rsidRPr="00C17E91">
        <w:rPr>
          <w:lang w:val="en-US"/>
        </w:rPr>
        <w:t xml:space="preserve"> (</w:t>
      </w:r>
      <w:hyperlink w:anchor="_ENREF_50" w:tooltip="U.S. Census Bureau, 2023 #50" w:history="1">
        <w:r w:rsidRPr="00C17E91" w:rsidR="003D6084">
          <w:rPr>
            <w:lang w:val="en-US"/>
          </w:rPr>
          <w:fldChar w:fldCharType="begin" w:fldLock="1"/>
        </w:r>
        <w:r w:rsidR="003D6084">
          <w:rPr>
            <w:lang w:val="en-US"/>
          </w:rPr>
          <w:instrText xml:space="preserve"> ADDIN EN.CITE &lt;EndNote&gt;&lt;Cite&gt;&lt;Author&gt;U.S. Census Bureau&lt;/Author&gt;&lt;Year&gt;2023&lt;/Year&gt;&lt;RecNum&gt;50&lt;/RecNum&gt;&lt;DisplayText&gt;U.S. Census Bureau 2023&lt;/DisplayText&gt;&lt;record&gt;&lt;rec-number&gt;50&lt;/rec-number&gt;&lt;foreign-keys&gt;&lt;key app="EN" db-id="2apzr05radv9fjet2w6xxwdlz5e9vwfxredw" timestamp="1730757315"&gt;50&lt;/key&gt;&lt;/foreign-keys&gt;&lt;ref-type name="Generic"&gt;13&lt;/ref-type&gt;&lt;contributors&gt;&lt;authors&gt;&lt;author&gt;U.S. Census Bureau,&lt;/author&gt;&lt;/authors&gt;&lt;/contributors&gt;&lt;titles&gt;&lt;title&gt;Statistics of U.S. Businesses (SUSB). The Number of Firms and Establishments, Employment, and Annual Payroll by State, Industry, and Enterprise Employment Size: 2021&lt;/title&gt;&lt;/titles&gt;&lt;dates&gt;&lt;year&gt;2023&lt;/year&gt;&lt;/dates&gt;&lt;urls&gt;&lt;related-urls&gt;&lt;url&gt;https://www2.census.gov/programs-surveys/susb/tables/2021/us_state_6digitnaics_2021.xlsx&lt;/url&gt;&lt;/related-urls&gt;&lt;/urls&gt;&lt;/record&gt;&lt;/Cite&gt;&lt;/EndNote&gt;</w:instrText>
        </w:r>
        <w:r w:rsidRPr="00C17E91" w:rsidR="003D6084">
          <w:rPr>
            <w:lang w:val="en-US"/>
          </w:rPr>
          <w:fldChar w:fldCharType="separate"/>
        </w:r>
        <w:r w:rsidRPr="00C17E91" w:rsidR="003D6084">
          <w:rPr>
            <w:noProof/>
            <w:lang w:val="en-US"/>
          </w:rPr>
          <w:t>U.S. Census Bureau 2023</w:t>
        </w:r>
        <w:r w:rsidRPr="00C17E91" w:rsidR="003D6084">
          <w:rPr>
            <w:lang w:val="en-US"/>
          </w:rPr>
          <w:fldChar w:fldCharType="end"/>
        </w:r>
      </w:hyperlink>
      <w:r w:rsidRPr="00C17E91">
        <w:rPr>
          <w:lang w:val="en-US"/>
        </w:rPr>
        <w:t>), there</w:t>
      </w:r>
      <w:r w:rsidRPr="4BA86F39">
        <w:rPr>
          <w:lang w:val="en-US"/>
        </w:rPr>
        <w:t xml:space="preserve"> are 8,672 U.S. firms encompassed by these NAICs codes.</w:t>
      </w:r>
    </w:p>
    <w:p w:rsidR="00456103" w:rsidRPr="00A95A85" w:rsidP="00456103" w14:paraId="65660492" w14:textId="77777777">
      <w:pPr>
        <w:pStyle w:val="Heading6"/>
      </w:pPr>
      <w:r w:rsidRPr="00A95A85">
        <w:t xml:space="preserve">Industrial carpet recycling </w:t>
      </w:r>
    </w:p>
    <w:p w:rsidR="00456103" w:rsidRPr="00A95A85" w:rsidP="009F16D8" w14:paraId="0A8110C4" w14:textId="67C3C62C">
      <w:pPr>
        <w:pStyle w:val="BodyText"/>
      </w:pPr>
      <w:r w:rsidRPr="00A95A85">
        <w:t>According to the Carpet America Recovery Effort (CARE), an organization dedicated to the advancement of market-based programs to increase landfill diversion and recycling of post-consumer carpet, the total gross U</w:t>
      </w:r>
      <w:bookmarkStart w:id="134" w:name="_Hlk99029232"/>
      <w:r w:rsidRPr="00A95A85">
        <w:t>.S. collections of used carpet in 2019 were 335 million pounds</w:t>
      </w:r>
      <w:bookmarkEnd w:id="134"/>
      <w:r w:rsidRPr="00A95A85">
        <w:t xml:space="preserve">, up from 281 million pounds in 2018. Ninety-eight percent of the post-consumer carpet collected was processed in the United States </w:t>
      </w:r>
      <w:r w:rsidR="00557FA7">
        <w:t>(</w:t>
      </w:r>
      <w:hyperlink w:anchor="_ENREF_11" w:tooltip="Carpet America Recovery Effort, 2019 #11" w:history="1">
        <w:r w:rsidR="003D6084">
          <w:fldChar w:fldCharType="begin" w:fldLock="1"/>
        </w:r>
        <w:r w:rsidR="003D6084">
          <w:instrText xml:space="preserve"> ADDIN EN.CITE &lt;EndNote&gt;&lt;Cite ExcludeAuth="1"&gt;&lt;Author&gt;Carpet America Recovery Effort&lt;/Author&gt;&lt;Year&gt;2019&lt;/Year&gt;&lt;RecNum&gt;11&lt;/RecNum&gt;&lt;Prefix&gt;CARE &lt;/Prefix&gt;&lt;DisplayText&gt;CARE 2019&lt;/DisplayText&gt;&lt;record&gt;&lt;rec-number&gt;11&lt;/rec-number&gt;&lt;foreign-keys&gt;&lt;key app="EN" db-id="2apzr05radv9fjet2w6xxwdlz5e9vwfxredw" timestamp="1730757315"&gt;11&lt;/key&gt;&lt;/foreign-keys&gt;&lt;ref-type name="Generic"&gt;13&lt;/ref-type&gt;&lt;contributors&gt;&lt;authors&gt;&lt;author&gt;Carpet America Recovery Effort,&lt;/author&gt;&lt;/authors&gt;&lt;/contributors&gt;&lt;titles&gt;&lt;title&gt;CARE 2019 Annual Report&lt;/title&gt;&lt;/titles&gt;&lt;dates&gt;&lt;year&gt;2019&lt;/year&gt;&lt;/dates&gt;&lt;urls&gt;&lt;related-urls&gt;&lt;url&gt;https://carpetrecovery.org/wp-content/uploads/2020/06/CARE-2019-Annual-Report-6-7-20-FINAL-002.pdf&lt;/url&gt;&lt;/related-urls&gt;&lt;/urls&gt;&lt;/record&gt;&lt;/Cite&gt;&lt;/EndNote&gt;</w:instrText>
        </w:r>
        <w:r w:rsidR="003D6084">
          <w:fldChar w:fldCharType="separate"/>
        </w:r>
        <w:r w:rsidR="003D6084">
          <w:rPr>
            <w:noProof/>
          </w:rPr>
          <w:t>CARE 2019</w:t>
        </w:r>
        <w:r w:rsidR="003D6084">
          <w:fldChar w:fldCharType="end"/>
        </w:r>
      </w:hyperlink>
      <w:r w:rsidR="00557FA7">
        <w:t>)</w:t>
      </w:r>
      <w:r w:rsidRPr="00A95A85">
        <w:t>.</w:t>
      </w:r>
    </w:p>
    <w:p w:rsidR="00456103" w:rsidRPr="00A95A85" w:rsidP="00456103" w14:paraId="146CDEA3" w14:textId="138D294C">
      <w:pPr>
        <w:pStyle w:val="BodyText"/>
      </w:pPr>
      <w:r w:rsidRPr="4BA86F39">
        <w:rPr>
          <w:lang w:val="en-US"/>
        </w:rPr>
        <w:t>A review the “Collector Finder Map” on CARE’s website,</w:t>
      </w:r>
      <w:r>
        <w:rPr>
          <w:rStyle w:val="FootnoteReference"/>
          <w:lang w:val="en-US"/>
        </w:rPr>
        <w:footnoteReference w:id="14"/>
      </w:r>
      <w:r w:rsidRPr="4BA86F39">
        <w:rPr>
          <w:lang w:val="en-US"/>
        </w:rPr>
        <w:t xml:space="preserve"> the CARE California Carpet Stewardship Program 2020 Annual Report, the Dun &amp; Bradstreet database, and additional web-based searches (Google) yielded 70 companies associated with carpet recycling. These companies are examples only and may not be comprehensive. Note that it is not known whether or how much of any of the </w:t>
      </w:r>
      <w:r w:rsidR="00104AF3">
        <w:rPr>
          <w:lang w:val="en-US"/>
        </w:rPr>
        <w:t xml:space="preserve">post-consumer carpet </w:t>
      </w:r>
      <w:r w:rsidRPr="4BA86F39">
        <w:rPr>
          <w:lang w:val="en-US"/>
        </w:rPr>
        <w:t xml:space="preserve">material handled by these companies contains PV29. Additionally, CARE’s Voluntary Product Stewardship (VPS) program was terminated in April 2020. This program had provided financial incentives to sorters and recyclers to divert </w:t>
      </w:r>
      <w:r w:rsidR="00104AF3">
        <w:rPr>
          <w:lang w:val="en-US"/>
        </w:rPr>
        <w:t>post-consumer carpet</w:t>
      </w:r>
      <w:r w:rsidRPr="4BA86F39" w:rsidR="00104AF3">
        <w:rPr>
          <w:lang w:val="en-US"/>
        </w:rPr>
        <w:t xml:space="preserve"> </w:t>
      </w:r>
      <w:r w:rsidRPr="4BA86F39">
        <w:rPr>
          <w:lang w:val="en-US"/>
        </w:rPr>
        <w:t xml:space="preserve">from landfills </w:t>
      </w:r>
      <w:r w:rsidR="007C72A2">
        <w:rPr>
          <w:lang w:val="en-US"/>
        </w:rPr>
        <w:t>(</w:t>
      </w:r>
      <w:hyperlink w:anchor="_ENREF_72" w:tooltip="Yarbrough, 2020 #71" w:history="1">
        <w:r w:rsidR="003D6084">
          <w:rPr>
            <w:lang w:val="en-US"/>
          </w:rPr>
          <w:fldChar w:fldCharType="begin" w:fldLock="1"/>
        </w:r>
        <w:r w:rsidR="003D6084">
          <w:rPr>
            <w:lang w:val="en-US"/>
          </w:rPr>
          <w:instrText xml:space="preserve"> ADDIN EN.CITE &lt;EndNote&gt;&lt;Cite&gt;&lt;Author&gt;Yarbrough&lt;/Author&gt;&lt;Year&gt;2020&lt;/Year&gt;&lt;RecNum&gt;71&lt;/RecNum&gt;&lt;DisplayText&gt;Yarbrough 2020&lt;/DisplayText&gt;&lt;record&gt;&lt;rec-number&gt;71&lt;/rec-number&gt;&lt;foreign-keys&gt;&lt;key app="EN" db-id="2apzr05radv9fjet2w6xxwdlz5e9vwfxredw" timestamp="1730757315"&gt;71&lt;/key&gt;&lt;/foreign-keys&gt;&lt;ref-type name="Web Page"&gt;12&lt;/ref-type&gt;&lt;contributors&gt;&lt;authors&gt;&lt;author&gt;Yarbrough, Joe&lt;/author&gt;&lt;/authors&gt;&lt;/contributors&gt;&lt;titles&gt;&lt;title&gt;CRI Statement on VPS Program&lt;/title&gt;&lt;short-title&gt;CRI Statement on VPS Program&lt;/short-title&gt;&lt;/titles&gt;&lt;dates&gt;&lt;year&gt;2020&lt;/year&gt;&lt;/dates&gt;&lt;urls&gt;&lt;related-urls&gt;&lt;url&gt;https://carpetrecovery.org/cri-statement-on-vps-program/&lt;/url&gt;&lt;/related-urls&gt;&lt;/urls&gt;&lt;/record&gt;&lt;/Cite&gt;&lt;/EndNote&gt;</w:instrText>
        </w:r>
        <w:r w:rsidR="003D6084">
          <w:rPr>
            <w:lang w:val="en-US"/>
          </w:rPr>
          <w:fldChar w:fldCharType="separate"/>
        </w:r>
        <w:r w:rsidR="003D6084">
          <w:rPr>
            <w:noProof/>
            <w:lang w:val="en-US"/>
          </w:rPr>
          <w:t>Yarbrough 2020</w:t>
        </w:r>
        <w:r w:rsidR="003D6084">
          <w:rPr>
            <w:lang w:val="en-US"/>
          </w:rPr>
          <w:fldChar w:fldCharType="end"/>
        </w:r>
      </w:hyperlink>
      <w:r w:rsidR="007C72A2">
        <w:rPr>
          <w:lang w:val="en-US"/>
        </w:rPr>
        <w:t>)</w:t>
      </w:r>
      <w:r w:rsidRPr="4BA86F39">
        <w:rPr>
          <w:lang w:val="en-US"/>
        </w:rPr>
        <w:t>. It is not known how the lack of this subsidy will affect these companies; it is likely that some of them may have ceased or will cease operating. These uncertainties may drive the estimates either up or down.</w:t>
      </w:r>
    </w:p>
    <w:p w:rsidR="005F1D5F" w:rsidRPr="00A95A85" w:rsidP="004C3827" w14:paraId="65D7E290" w14:textId="71BCBECD">
      <w:pPr>
        <w:pStyle w:val="Heading3"/>
      </w:pPr>
      <w:bookmarkStart w:id="135" w:name="_Ref175649152"/>
      <w:bookmarkStart w:id="136" w:name="_Toc175217225"/>
      <w:bookmarkStart w:id="137" w:name="_Toc179234319"/>
      <w:r w:rsidRPr="00A95A85">
        <w:t>Industrial/Commercial Use</w:t>
      </w:r>
      <w:bookmarkEnd w:id="135"/>
      <w:bookmarkEnd w:id="136"/>
      <w:bookmarkEnd w:id="137"/>
    </w:p>
    <w:p w:rsidR="005F1D5F" w:rsidRPr="00A95A85" w:rsidP="00832749" w14:paraId="261BA347" w14:textId="77777777">
      <w:pPr>
        <w:pStyle w:val="BodyText"/>
      </w:pPr>
      <w:r w:rsidRPr="4BA86F39">
        <w:rPr>
          <w:lang w:val="en-US"/>
        </w:rPr>
        <w:t xml:space="preserve">Products containing PV29 are used in various industrial and commercial settings. Whereas the processing stage entails the use of raw PV29 to manufacture products (such as automotive paints), this stage involves the use of the resultant products (such as automobile painting). EPA’s risk determination identified automobile painting and refinishing and commercial printing as COUs with unreasonable risk in this stage. </w:t>
      </w:r>
    </w:p>
    <w:p w:rsidR="005F1D5F" w:rsidRPr="00A95A85" w:rsidP="00832749" w14:paraId="0D53A307" w14:textId="446E4127">
      <w:pPr>
        <w:pStyle w:val="BodyText"/>
      </w:pPr>
      <w:r w:rsidRPr="4BA86F39">
        <w:rPr>
          <w:lang w:val="en-US"/>
        </w:rPr>
        <w:t xml:space="preserve">As </w:t>
      </w:r>
      <w:r w:rsidRPr="4BA86F39" w:rsidR="006D6B16">
        <w:rPr>
          <w:lang w:val="en-US"/>
        </w:rPr>
        <w:t>described above</w:t>
      </w:r>
      <w:r w:rsidRPr="4BA86F39">
        <w:rPr>
          <w:lang w:val="en-US"/>
        </w:rPr>
        <w:t>, industrial carpets, plastic vehicle components, and other pigmented products may contain PV29. However, EPA’s risk evaluation did not identify any unreasonable risk associated with these COUs. As such, they are not evaluated further in this analysis.</w:t>
      </w:r>
    </w:p>
    <w:p w:rsidR="005F1D5F" w:rsidRPr="00A95A85" w:rsidP="00832749" w14:paraId="5CA1FAEA" w14:textId="2B8F272A">
      <w:pPr>
        <w:pStyle w:val="BodyText"/>
      </w:pPr>
      <w:r w:rsidRPr="4BA86F39">
        <w:rPr>
          <w:lang w:val="en-US"/>
        </w:rPr>
        <w:t>None of the COUs at this stage involve the use of regulated PV29; in all cases, the PV29 has already been incorporated into either a liquid (e.g. a paint) or a solid (e.g. a pellet).</w:t>
      </w:r>
    </w:p>
    <w:p w:rsidR="005F1D5F" w:rsidRPr="00A95A85" w:rsidP="004C3827" w14:paraId="4D23C5C3" w14:textId="747A2700">
      <w:pPr>
        <w:pStyle w:val="Heading4"/>
      </w:pPr>
      <w:bookmarkStart w:id="138" w:name="_Toc175217227"/>
      <w:bookmarkStart w:id="139" w:name="_Toc179234320"/>
      <w:r w:rsidRPr="00A95A85">
        <w:t>Automobile painting and refinishing</w:t>
      </w:r>
      <w:bookmarkEnd w:id="132"/>
      <w:bookmarkEnd w:id="138"/>
      <w:bookmarkEnd w:id="139"/>
    </w:p>
    <w:p w:rsidR="005F1D5F" w:rsidRPr="00A95A85" w:rsidP="00832749" w14:paraId="7066B31D" w14:textId="2EC4C49F">
      <w:pPr>
        <w:pStyle w:val="BodyText"/>
      </w:pPr>
      <w:r w:rsidRPr="4BA86F39">
        <w:rPr>
          <w:lang w:val="en-US"/>
        </w:rPr>
        <w:t xml:space="preserve">According to information submitted to EPA by CPMA, PV29 is used in paint both for original automotive equipment manufacture (in which the paint is baked onto the metal by the car manufacturer) and for refinish (where the paint may be sprayed on by auto body shops) </w:t>
      </w:r>
      <w:r w:rsidR="007F4D0A">
        <w:rPr>
          <w:lang w:val="en-US"/>
        </w:rPr>
        <w:t>(</w:t>
      </w:r>
      <w:hyperlink w:anchor="_ENREF_13" w:tooltip="CPMA, 2017 #13" w:history="1">
        <w:r w:rsidR="003D6084">
          <w:rPr>
            <w:lang w:val="en-US"/>
          </w:rPr>
          <w:fldChar w:fldCharType="begin" w:fldLock="1"/>
        </w:r>
        <w:r w:rsidR="003D6084">
          <w:rPr>
            <w:lang w:val="en-US"/>
          </w:rPr>
          <w:instrText xml:space="preserve"> ADDIN EN.CITE &lt;EndNote&gt;&lt;Cite&gt;&lt;Author&gt;CPMA&lt;/Author&gt;&lt;Year&gt;2017&lt;/Year&gt;&lt;RecNum&gt;13&lt;/RecNum&gt;&lt;DisplayText&gt;CPMA 2017&lt;/DisplayText&gt;&lt;record&gt;&lt;rec-number&gt;13&lt;/rec-number&gt;&lt;foreign-keys&gt;&lt;key app="EN" db-id="2apzr05radv9fjet2w6xxwdlz5e9vwfxredw" timestamp="1730757315"&gt;13&lt;/key&gt;&lt;/foreign-keys&gt;&lt;ref-type name="Generic"&gt;13&lt;/ref-type&gt;&lt;contributors&gt;&lt;authors&gt;&lt;author&gt;CPMA&lt;/author&gt;&lt;/authors&gt;&lt;/contributors&gt;&lt;titles&gt;&lt;title&gt;Letter to EPA Re: The Toxicological Properties, Chemical Use (and Other) Information Relevant to EPA’s Risk Evaluation of C.I. Pigment Violet 29&lt;/title&gt;&lt;/titles&gt;&lt;dates&gt;&lt;year&gt;2017&lt;/year&gt;&lt;/dates&gt;&lt;urls&gt;&lt;/urls&gt;&lt;/record&gt;&lt;/Cite&gt;&lt;/EndNote&gt;</w:instrText>
        </w:r>
        <w:r w:rsidR="003D6084">
          <w:rPr>
            <w:lang w:val="en-US"/>
          </w:rPr>
          <w:fldChar w:fldCharType="separate"/>
        </w:r>
        <w:r w:rsidR="003D6084">
          <w:rPr>
            <w:noProof/>
            <w:lang w:val="en-US"/>
          </w:rPr>
          <w:t>CPMA 2017</w:t>
        </w:r>
        <w:r w:rsidR="003D6084">
          <w:rPr>
            <w:lang w:val="en-US"/>
          </w:rPr>
          <w:fldChar w:fldCharType="end"/>
        </w:r>
      </w:hyperlink>
      <w:r w:rsidR="007F4D0A">
        <w:rPr>
          <w:lang w:val="en-US"/>
        </w:rPr>
        <w:t>)</w:t>
      </w:r>
      <w:r w:rsidRPr="4BA86F39">
        <w:rPr>
          <w:lang w:val="en-US"/>
        </w:rPr>
        <w:t xml:space="preserve">. </w:t>
      </w:r>
    </w:p>
    <w:p w:rsidR="005F1D5F" w:rsidRPr="00105ED0" w:rsidP="00105ED0" w14:paraId="2EF2413E" w14:textId="77777777">
      <w:pPr>
        <w:pStyle w:val="Heading5"/>
      </w:pPr>
      <w:r w:rsidRPr="00105ED0">
        <w:rPr>
          <w:rStyle w:val="Heading5Char"/>
          <w:b/>
        </w:rPr>
        <w:t>New Vehicles (OEM</w:t>
      </w:r>
      <w:r w:rsidRPr="00105ED0">
        <w:t xml:space="preserve">) </w:t>
      </w:r>
    </w:p>
    <w:p w:rsidR="005F1D5F" w:rsidRPr="00E408EB" w:rsidP="00832749" w14:paraId="1EBDBBF8" w14:textId="212E8FF1">
      <w:pPr>
        <w:pStyle w:val="BodyText"/>
      </w:pPr>
      <w:r w:rsidRPr="00A95A85">
        <w:t xml:space="preserve">For original equipment manufacturing (OEM), EPA assumes that </w:t>
      </w:r>
      <w:r w:rsidRPr="00E408EB">
        <w:t xml:space="preserve">workers in NAICS codes 336111 (automobile manufacturing), 336112 (light truck and utility manufacturing), and 336211 (motor vehicle body manufacturing) may be exposed to PV29. The </w:t>
      </w:r>
      <w:hyperlink w:anchor="_ENREF_50" w:tooltip="U.S. Census Bureau, 2023 #50" w:history="1">
        <w:r w:rsidRPr="00E408EB" w:rsidR="003D6084">
          <w:fldChar w:fldCharType="begin" w:fldLock="1"/>
        </w:r>
        <w:r w:rsidR="003D6084">
          <w:instrText xml:space="preserve"> ADDIN EN.CITE &lt;EndNote&gt;&lt;Cite AuthorYear="1"&gt;&lt;Author&gt;U.S. Census Bureau&lt;/Author&gt;&lt;Year&gt;2023&lt;/Year&gt;&lt;RecNum&gt;50&lt;/RecNum&gt;&lt;DisplayText&gt;U.S. Census Bureau (2023)&lt;/DisplayText&gt;&lt;record&gt;&lt;rec-number&gt;50&lt;/rec-number&gt;&lt;foreign-keys&gt;&lt;key app="EN" db-id="2apzr05radv9fjet2w6xxwdlz5e9vwfxredw" timestamp="1730757315"&gt;50&lt;/key&gt;&lt;/foreign-keys&gt;&lt;ref-type name="Generic"&gt;13&lt;/ref-type&gt;&lt;contributors&gt;&lt;authors&gt;&lt;author&gt;U.S. Census Bureau,&lt;/author&gt;&lt;/authors&gt;&lt;/contributors&gt;&lt;titles&gt;&lt;title&gt;Statistics of U.S. Businesses (SUSB). The Number of Firms and Establishments, Employment, and Annual Payroll by State, Industry, and Enterprise Employment Size: 2021&lt;/title&gt;&lt;/titles&gt;&lt;dates&gt;&lt;year&gt;2023&lt;/year&gt;&lt;/dates&gt;&lt;urls&gt;&lt;related-urls&gt;&lt;url&gt;https://www2.census.gov/programs-surveys/susb/tables/2021/us_state_6digitnaics_2021.xlsx&lt;/url&gt;&lt;/related-urls&gt;&lt;/urls&gt;&lt;/record&gt;&lt;/Cite&gt;&lt;/EndNote&gt;</w:instrText>
        </w:r>
        <w:r w:rsidRPr="00E408EB" w:rsidR="003D6084">
          <w:fldChar w:fldCharType="separate"/>
        </w:r>
        <w:r w:rsidRPr="00E408EB" w:rsidR="003D6084">
          <w:rPr>
            <w:noProof/>
          </w:rPr>
          <w:t>U.S. Census Bureau (2023)</w:t>
        </w:r>
        <w:r w:rsidRPr="00E408EB" w:rsidR="003D6084">
          <w:fldChar w:fldCharType="end"/>
        </w:r>
      </w:hyperlink>
      <w:r w:rsidRPr="00E408EB" w:rsidR="00077AA5">
        <w:t xml:space="preserve"> </w:t>
      </w:r>
      <w:r w:rsidRPr="00E408EB">
        <w:t>estimates that there are 832 U.S. firms in these three NAICSs codes.</w:t>
      </w:r>
    </w:p>
    <w:p w:rsidR="005F1D5F" w:rsidRPr="00E408EB" w:rsidP="00105ED0" w14:paraId="48C1DCBB" w14:textId="0D371A46">
      <w:pPr>
        <w:pStyle w:val="Heading5"/>
      </w:pPr>
      <w:r w:rsidRPr="00E408EB">
        <w:t xml:space="preserve">Refinishing </w:t>
      </w:r>
    </w:p>
    <w:p w:rsidR="005F1D5F" w:rsidRPr="00A95A85" w:rsidP="00832749" w14:paraId="503DBF69" w14:textId="29CBFD37">
      <w:pPr>
        <w:pStyle w:val="BodyText"/>
        <w:rPr>
          <w:lang w:val="en-US"/>
        </w:rPr>
      </w:pPr>
      <w:r w:rsidRPr="00E408EB">
        <w:rPr>
          <w:lang w:val="en-US"/>
        </w:rPr>
        <w:t>The automotive refinishing industry is comprised of 31,728 facilities nationwide (</w:t>
      </w:r>
      <w:hyperlink w:anchor="_ENREF_50" w:tooltip="U.S. Census Bureau, 2023 #50" w:history="1">
        <w:r w:rsidRPr="00E408EB" w:rsidR="003D6084">
          <w:fldChar w:fldCharType="begin" w:fldLock="1"/>
        </w:r>
        <w:r w:rsidR="003D6084">
          <w:instrText xml:space="preserve"> ADDIN EN.CITE &lt;EndNote&gt;&lt;Cite&gt;&lt;Author&gt;U.S. Census Bureau&lt;/Author&gt;&lt;Year&gt;2023&lt;/Year&gt;&lt;RecNum&gt;50&lt;/RecNum&gt;&lt;DisplayText&gt;U.S. Census Bureau 2023&lt;/DisplayText&gt;&lt;record&gt;&lt;rec-number&gt;50&lt;/rec-number&gt;&lt;foreign-keys&gt;&lt;key app="EN" db-id="2apzr05radv9fjet2w6xxwdlz5e9vwfxredw" timestamp="1730757315"&gt;50&lt;/key&gt;&lt;/foreign-keys&gt;&lt;ref-type name="Generic"&gt;13&lt;/ref-type&gt;&lt;contributors&gt;&lt;authors&gt;&lt;author&gt;U.S. Census Bureau,&lt;/author&gt;&lt;/authors&gt;&lt;/contributors&gt;&lt;titles&gt;&lt;title&gt;Statistics of U.S. Businesses (SUSB). The Number of Firms and Establishments, Employment, and Annual Payroll by State, Industry, and Enterprise Employment Size: 2021&lt;/title&gt;&lt;/titles&gt;&lt;dates&gt;&lt;year&gt;2023&lt;/year&gt;&lt;/dates&gt;&lt;urls&gt;&lt;related-urls&gt;&lt;url&gt;https://www2.census.gov/programs-surveys/susb/tables/2021/us_state_6digitnaics_2021.xlsx&lt;/url&gt;&lt;/related-urls&gt;&lt;/urls&gt;&lt;/record&gt;&lt;/Cite&gt;&lt;/EndNote&gt;</w:instrText>
        </w:r>
        <w:r w:rsidRPr="00E408EB" w:rsidR="003D6084">
          <w:fldChar w:fldCharType="separate"/>
        </w:r>
        <w:r w:rsidRPr="00E408EB" w:rsidR="003D6084">
          <w:rPr>
            <w:noProof/>
          </w:rPr>
          <w:t>U.S. Census Bureau 2023</w:t>
        </w:r>
        <w:r w:rsidRPr="00E408EB" w:rsidR="003D6084">
          <w:fldChar w:fldCharType="end"/>
        </w:r>
      </w:hyperlink>
      <w:r w:rsidRPr="00E408EB">
        <w:rPr>
          <w:lang w:val="en-US"/>
        </w:rPr>
        <w:t>) in NAICS code 811121 (automotive body, paint, and interior</w:t>
      </w:r>
      <w:r w:rsidRPr="00A34F01">
        <w:rPr>
          <w:lang w:val="en-US"/>
        </w:rPr>
        <w:t xml:space="preserve"> re</w:t>
      </w:r>
      <w:r w:rsidRPr="4BA86F39">
        <w:rPr>
          <w:lang w:val="en-US"/>
        </w:rPr>
        <w:t>pair and maintenance). Automotive refinishing shops apply coatings to motor vehicles after the original manufacturing process. Refinishing operations occur in new car dealer repair/paint shops, fleet operator repair/paint shops, production auto-body paint shops and custom-made car fabrication facilities (</w:t>
      </w:r>
      <w:hyperlink w:anchor="_ENREF_62" w:tooltip="U.S. Environmental Protection Agency (EPA), 2021 #63" w:history="1">
        <w:r w:rsidR="003D6084">
          <w:rPr>
            <w:lang w:val="en-US"/>
          </w:rPr>
          <w:fldChar w:fldCharType="begin" w:fldLock="1"/>
        </w:r>
        <w:r w:rsidR="003D6084">
          <w:rPr>
            <w:lang w:val="en-US"/>
          </w:rPr>
          <w:instrText xml:space="preserve"> ADDIN EN.CITE &lt;EndNote&gt;&lt;Cite ExcludeAuth="1"&gt;&lt;Author&gt;U.S. Environmental Protection Agency (EPA)&lt;/Author&gt;&lt;Year&gt;2021&lt;/Year&gt;&lt;RecNum&gt;63&lt;/RecNum&gt;&lt;Prefix&gt;EPA &lt;/Prefix&gt;&lt;DisplayText&gt;EPA 2021b&lt;/DisplayText&gt;&lt;record&gt;&lt;rec-number&gt;63&lt;/rec-number&gt;&lt;foreign-keys&gt;&lt;key app="EN" db-id="2apzr05radv9fjet2w6xxwdlz5e9vwfxredw" timestamp="1730757315"&gt;63&lt;/key&gt;&lt;/foreign-keys&gt;&lt;ref-type name="Generic"&gt;13&lt;/ref-type&gt;&lt;contributors&gt;&lt;authors&gt;&lt;author&gt;U.S. Environmental Protection Agency (EPA),&lt;/author&gt;&lt;/authors&gt;&lt;/contributors&gt;&lt;titles&gt;&lt;title&gt;Notes from Meeting with CPMA on April 28, 2021 (compiled by Lynne Blake-Hedges)&lt;/title&gt;&lt;short-title&gt;Notes from Meeting with CPMA on April 28, 2021 (compiled by Lynne Blake-Hedges)&lt;/short-title&gt;&lt;/titles&gt;&lt;dates&gt;&lt;year&gt;2021&lt;/year&gt;&lt;/dates&gt;&lt;urls&gt;&lt;/urls&gt;&lt;/record&gt;&lt;/Cite&gt;&lt;/EndNote&gt;</w:instrText>
        </w:r>
        <w:r w:rsidR="003D6084">
          <w:rPr>
            <w:lang w:val="en-US"/>
          </w:rPr>
          <w:fldChar w:fldCharType="separate"/>
        </w:r>
        <w:r w:rsidR="003D6084">
          <w:rPr>
            <w:noProof/>
            <w:lang w:val="en-US"/>
          </w:rPr>
          <w:t>EPA 2021b</w:t>
        </w:r>
        <w:r w:rsidR="003D6084">
          <w:rPr>
            <w:lang w:val="en-US"/>
          </w:rPr>
          <w:fldChar w:fldCharType="end"/>
        </w:r>
      </w:hyperlink>
      <w:r w:rsidRPr="4BA86F39">
        <w:rPr>
          <w:lang w:val="en-US"/>
        </w:rPr>
        <w:t xml:space="preserve">). Paint color used by the automotive refinishing ships is selected to match the existing paint. Therefore, it is not possible to determine which companies will use paints containing PV29; all automotive paint shops may have PV29-containing paint available for when it is needed, but the likelihood that it is actually used on any given day is probably very low, given the large number of paint color options available. Furthermore, it is highly unlikely that paint shop technicians would be aware of the identity of pigments used in each paint color. </w:t>
      </w:r>
    </w:p>
    <w:p w:rsidR="005F1D5F" w:rsidRPr="00A95A85" w:rsidP="00105ED0" w14:paraId="24E1E3C0" w14:textId="77777777">
      <w:pPr>
        <w:pStyle w:val="Heading4"/>
      </w:pPr>
      <w:bookmarkStart w:id="140" w:name="_Ref175231245"/>
      <w:bookmarkStart w:id="141" w:name="_Toc175217229"/>
      <w:bookmarkStart w:id="142" w:name="_Toc179234321"/>
      <w:r w:rsidRPr="00A95A85">
        <w:t>Merchant Ink for Commercial Printing</w:t>
      </w:r>
      <w:bookmarkEnd w:id="140"/>
      <w:bookmarkEnd w:id="141"/>
      <w:bookmarkEnd w:id="142"/>
    </w:p>
    <w:p w:rsidR="005F1D5F" w:rsidRPr="00A95A85" w:rsidP="00832749" w14:paraId="08EAF51A" w14:textId="3C55A1F6">
      <w:pPr>
        <w:pStyle w:val="BodyText"/>
      </w:pPr>
      <w:r w:rsidRPr="00A95A85">
        <w:t>Based on discussion with representatives of CPMA (</w:t>
      </w:r>
      <w:hyperlink w:anchor="_ENREF_62" w:tooltip="U.S. Environmental Protection Agency (EPA), 2021 #63" w:history="1">
        <w:r w:rsidR="003D6084">
          <w:fldChar w:fldCharType="begin" w:fldLock="1"/>
        </w:r>
        <w:r w:rsidR="003D6084">
          <w:instrText xml:space="preserve"> ADDIN EN.CITE &lt;EndNote&gt;&lt;Cite ExcludeAuth="1"&gt;&lt;Author&gt;U.S. Environmental Protection Agency (EPA)&lt;/Author&gt;&lt;Year&gt;2021&lt;/Year&gt;&lt;RecNum&gt;63&lt;/RecNum&gt;&lt;Prefix&gt;EPA &lt;/Prefix&gt;&lt;DisplayText&gt;EPA 2021b&lt;/DisplayText&gt;&lt;record&gt;&lt;rec-number&gt;63&lt;/rec-number&gt;&lt;foreign-keys&gt;&lt;key app="EN" db-id="2apzr05radv9fjet2w6xxwdlz5e9vwfxredw" timestamp="1730757315"&gt;63&lt;/key&gt;&lt;/foreign-keys&gt;&lt;ref-type name="Generic"&gt;13&lt;/ref-type&gt;&lt;contributors&gt;&lt;authors&gt;&lt;author&gt;U.S. Environmental Protection Agency (EPA),&lt;/author&gt;&lt;/authors&gt;&lt;/contributors&gt;&lt;titles&gt;&lt;title&gt;Notes from Meeting with CPMA on April 28, 2021 (compiled by Lynne Blake-Hedges)&lt;/title&gt;&lt;short-title&gt;Notes from Meeting with CPMA on April 28, 2021 (compiled by Lynne Blake-Hedges)&lt;/short-title&gt;&lt;/titles&gt;&lt;dates&gt;&lt;year&gt;2021&lt;/year&gt;&lt;/dates&gt;&lt;urls&gt;&lt;/urls&gt;&lt;/record&gt;&lt;/Cite&gt;&lt;/EndNote&gt;</w:instrText>
        </w:r>
        <w:r w:rsidR="003D6084">
          <w:fldChar w:fldCharType="separate"/>
        </w:r>
        <w:r w:rsidR="003D6084">
          <w:rPr>
            <w:noProof/>
          </w:rPr>
          <w:t>EPA 2021b</w:t>
        </w:r>
        <w:r w:rsidR="003D6084">
          <w:fldChar w:fldCharType="end"/>
        </w:r>
      </w:hyperlink>
      <w:r w:rsidRPr="00A95A85">
        <w:t>), EPA understands that there is no current use of PV29 in merchant ink for commercial printing. Therefore, there are no companies affected by the proposed rulemaking for this COU.</w:t>
      </w:r>
    </w:p>
    <w:p w:rsidR="005F1D5F" w:rsidRPr="00A95A85" w:rsidP="00105ED0" w14:paraId="38C98A56" w14:textId="77777777">
      <w:pPr>
        <w:pStyle w:val="Heading3"/>
      </w:pPr>
      <w:bookmarkStart w:id="143" w:name="_Ref175649170"/>
      <w:bookmarkStart w:id="144" w:name="_Toc175217230"/>
      <w:bookmarkStart w:id="145" w:name="_Toc179234322"/>
      <w:r w:rsidRPr="00A95A85">
        <w:t>Disposal</w:t>
      </w:r>
      <w:bookmarkEnd w:id="143"/>
      <w:bookmarkEnd w:id="144"/>
      <w:bookmarkEnd w:id="145"/>
    </w:p>
    <w:p w:rsidR="005F1D5F" w:rsidP="00832749" w14:paraId="26CCDF4F" w14:textId="3C6883E9">
      <w:pPr>
        <w:pStyle w:val="BodyText"/>
      </w:pPr>
      <w:r w:rsidRPr="4BA86F39">
        <w:rPr>
          <w:lang w:val="en-US"/>
        </w:rPr>
        <w:t xml:space="preserve">Each of the conditions of use of PV29 may generate waste streams that are collected and transported to third-party sites for disposal or treatment. Wastes containing PV29 that are sent to a third-party site for treatment or disposal may include wastewater, solid wastes, and other wastes. It is not possible to determine which disposal companies may handle PV29-containing waste; nor does EPA anticipate that disposal companies would know whether waste items they handle would contain PV29. The Agency expects that all disposal companies would need to comply with the proposed rule due to this absence of information. Therefore, EPA assumes that all companies within the relevant NAICS codes (listed in </w:t>
      </w:r>
      <w:r w:rsidRPr="00A95A85">
        <w:fldChar w:fldCharType="begin" w:fldLock="1"/>
      </w:r>
      <w:r w:rsidRPr="00A95A85">
        <w:instrText xml:space="preserve"> REF _Ref93570323 \h  \* MERGEFORMAT </w:instrText>
      </w:r>
      <w:r w:rsidRPr="00A95A85">
        <w:fldChar w:fldCharType="separate"/>
      </w:r>
      <w:r w:rsidRPr="00735BBC" w:rsidR="00735BBC">
        <w:rPr>
          <w:lang w:val="en-US"/>
        </w:rPr>
        <w:t xml:space="preserve">Table </w:t>
      </w:r>
      <w:r w:rsidR="00735BBC">
        <w:rPr>
          <w:noProof/>
        </w:rPr>
        <w:t>3</w:t>
      </w:r>
      <w:r w:rsidR="00735BBC">
        <w:rPr>
          <w:noProof/>
        </w:rPr>
        <w:noBreakHyphen/>
        <w:t>4</w:t>
      </w:r>
      <w:r w:rsidRPr="00A95A85">
        <w:fldChar w:fldCharType="end"/>
      </w:r>
      <w:r w:rsidRPr="4BA86F39">
        <w:rPr>
          <w:lang w:val="en-US"/>
        </w:rPr>
        <w:t xml:space="preserve">) may be affected by the proposed rulemaking.  </w:t>
      </w:r>
    </w:p>
    <w:p w:rsidR="005F1D5F" w:rsidRPr="00A95A85" w:rsidP="00832749" w14:paraId="1C9F99EA" w14:textId="0B32D083">
      <w:pPr>
        <w:pStyle w:val="BodyText"/>
      </w:pPr>
      <w:r w:rsidRPr="00A95A85">
        <w:t xml:space="preserve">Note that facilities in </w:t>
      </w:r>
      <w:r>
        <w:t>this use category</w:t>
      </w:r>
      <w:r w:rsidRPr="00A95A85">
        <w:t xml:space="preserve"> are not expected to receive or use </w:t>
      </w:r>
      <w:r>
        <w:t>regulated PV29</w:t>
      </w:r>
      <w:r w:rsidRPr="00A95A85">
        <w:t xml:space="preserve">. </w:t>
      </w:r>
    </w:p>
    <w:p w:rsidR="005F1D5F" w:rsidRPr="00A95A85" w:rsidP="005F1D5F" w14:paraId="31E07309" w14:textId="30F1747B">
      <w:pPr>
        <w:pStyle w:val="Caption"/>
      </w:pPr>
    </w:p>
    <w:tbl>
      <w:tblPr>
        <w:tblW w:w="5005" w:type="pct"/>
        <w:tblInd w:w="-5" w:type="dxa"/>
        <w:tblLayout w:type="fixed"/>
        <w:tblLook w:val="04A0"/>
      </w:tblPr>
      <w:tblGrid>
        <w:gridCol w:w="813"/>
        <w:gridCol w:w="6214"/>
        <w:gridCol w:w="2342"/>
      </w:tblGrid>
      <w:tr w14:paraId="14D9E815" w14:textId="77777777" w:rsidTr="00874F86">
        <w:tblPrEx>
          <w:tblW w:w="5005" w:type="pct"/>
          <w:tblInd w:w="-5" w:type="dxa"/>
          <w:tblLayout w:type="fixed"/>
          <w:tblLook w:val="04A0"/>
        </w:tblPrEx>
        <w:trPr>
          <w:trHeight w:val="53"/>
          <w:tblHeader/>
        </w:trPr>
        <w:tc>
          <w:tcPr>
            <w:tcW w:w="5000" w:type="pct"/>
            <w:gridSpan w:val="3"/>
            <w:tcBorders>
              <w:bottom w:val="single" w:sz="4" w:space="0" w:color="auto"/>
            </w:tcBorders>
            <w:shd w:val="clear" w:color="auto" w:fill="auto"/>
            <w:vAlign w:val="center"/>
          </w:tcPr>
          <w:p w:rsidR="00874F86" w:rsidRPr="00A95A85" w:rsidP="00026204" w14:paraId="6CC3211B" w14:textId="064390EF">
            <w:pPr>
              <w:pStyle w:val="TableTitleA"/>
            </w:pPr>
            <w:bookmarkStart w:id="146" w:name="_Ref93570323"/>
            <w:bookmarkStart w:id="147" w:name="_Toc184299553"/>
            <w:r w:rsidRPr="00A95A85">
              <w:t xml:space="preserve">Table </w:t>
            </w:r>
            <w:r>
              <w:fldChar w:fldCharType="begin" w:fldLock="1"/>
            </w:r>
            <w:r>
              <w:instrText>STYLEREF 1 \s</w:instrText>
            </w:r>
            <w:r>
              <w:fldChar w:fldCharType="separate"/>
            </w:r>
            <w:r w:rsidR="00735BBC">
              <w:rPr>
                <w:noProof/>
              </w:rPr>
              <w:t>3</w:t>
            </w:r>
            <w:r>
              <w:fldChar w:fldCharType="end"/>
            </w:r>
            <w:r w:rsidR="000A1542">
              <w:noBreakHyphen/>
            </w:r>
            <w:r>
              <w:fldChar w:fldCharType="begin" w:fldLock="1"/>
            </w:r>
            <w:r>
              <w:instrText>SEQ Table \* ARABIC \s 1</w:instrText>
            </w:r>
            <w:r>
              <w:fldChar w:fldCharType="separate"/>
            </w:r>
            <w:r w:rsidR="00735BBC">
              <w:rPr>
                <w:noProof/>
              </w:rPr>
              <w:t>4</w:t>
            </w:r>
            <w:r>
              <w:fldChar w:fldCharType="end"/>
            </w:r>
            <w:bookmarkEnd w:id="146"/>
            <w:r w:rsidRPr="00A95A85">
              <w:t>: Number of Companies Potentially Associated with Disposal of C.I. Pigment Violet 29</w:t>
            </w:r>
            <w:bookmarkEnd w:id="147"/>
          </w:p>
        </w:tc>
      </w:tr>
      <w:tr w14:paraId="7E3D21C2" w14:textId="77777777" w:rsidTr="00874F86">
        <w:tblPrEx>
          <w:tblW w:w="5005" w:type="pct"/>
          <w:tblInd w:w="-5" w:type="dxa"/>
          <w:tblLayout w:type="fixed"/>
          <w:tblLook w:val="04A0"/>
        </w:tblPrEx>
        <w:trPr>
          <w:trHeight w:val="53"/>
          <w:tblHeader/>
        </w:trPr>
        <w:tc>
          <w:tcPr>
            <w:tcW w:w="434"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5F1D5F" w:rsidRPr="00A95A85" w:rsidP="000D7F2B" w14:paraId="0AA9EF9F" w14:textId="77777777">
            <w:pPr>
              <w:pStyle w:val="TableSubtitle"/>
            </w:pPr>
            <w:r w:rsidRPr="00A95A85">
              <w:t xml:space="preserve">NAICS </w:t>
            </w:r>
          </w:p>
        </w:tc>
        <w:tc>
          <w:tcPr>
            <w:tcW w:w="3316"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5F1D5F" w:rsidRPr="00A95A85" w:rsidP="000D7F2B" w14:paraId="345A67F3" w14:textId="77777777">
            <w:pPr>
              <w:pStyle w:val="TableSubtitle"/>
            </w:pPr>
            <w:r w:rsidRPr="00A95A85">
              <w:t>NAICS Description</w:t>
            </w:r>
          </w:p>
        </w:tc>
        <w:tc>
          <w:tcPr>
            <w:tcW w:w="1250" w:type="pct"/>
            <w:tcBorders>
              <w:top w:val="single" w:sz="4" w:space="0" w:color="auto"/>
              <w:left w:val="single" w:sz="4" w:space="0" w:color="auto"/>
              <w:bottom w:val="single" w:sz="4" w:space="0" w:color="auto"/>
              <w:right w:val="single" w:sz="4" w:space="0" w:color="auto"/>
            </w:tcBorders>
            <w:shd w:val="clear" w:color="auto" w:fill="013E5B"/>
            <w:noWrap/>
            <w:vAlign w:val="center"/>
            <w:hideMark/>
          </w:tcPr>
          <w:p w:rsidR="005F1D5F" w:rsidRPr="00A95A85" w:rsidP="000D7F2B" w14:paraId="0B52B02B" w14:textId="77777777">
            <w:pPr>
              <w:pStyle w:val="TableSubtitle"/>
            </w:pPr>
            <w:r w:rsidRPr="00A95A85">
              <w:t>Firms</w:t>
            </w:r>
          </w:p>
        </w:tc>
      </w:tr>
      <w:tr w14:paraId="19C42E5D" w14:textId="77777777" w:rsidTr="007B106D">
        <w:tblPrEx>
          <w:tblW w:w="5005" w:type="pct"/>
          <w:tblInd w:w="-5" w:type="dxa"/>
          <w:tblLayout w:type="fixed"/>
          <w:tblLook w:val="04A0"/>
        </w:tblPrEx>
        <w:trPr>
          <w:trHeight w:val="315"/>
        </w:trPr>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D5F" w:rsidRPr="00A95A85" w:rsidP="00801D46" w14:paraId="0A44FBE7" w14:textId="77777777">
            <w:pPr>
              <w:pStyle w:val="LTableTextAbt"/>
            </w:pPr>
            <w:r w:rsidRPr="00A95A85">
              <w:t>221320</w:t>
            </w:r>
          </w:p>
        </w:tc>
        <w:tc>
          <w:tcPr>
            <w:tcW w:w="3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D5F" w:rsidRPr="00A95A85" w:rsidP="00801D46" w14:paraId="13807A1A" w14:textId="77777777">
            <w:pPr>
              <w:pStyle w:val="LTableTextAbt"/>
            </w:pPr>
            <w:r w:rsidRPr="00A95A85">
              <w:t>Sewage Treatment Facilities</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D5F" w:rsidRPr="00A95A85" w:rsidP="00801D46" w14:paraId="42D8FF3A" w14:textId="77777777">
            <w:pPr>
              <w:pStyle w:val="RTableTextAbt"/>
            </w:pPr>
            <w:r w:rsidRPr="00A95A85">
              <w:t>333</w:t>
            </w:r>
          </w:p>
        </w:tc>
      </w:tr>
      <w:tr w14:paraId="495B9522" w14:textId="77777777" w:rsidTr="007B106D">
        <w:tblPrEx>
          <w:tblW w:w="5005" w:type="pct"/>
          <w:tblInd w:w="-5" w:type="dxa"/>
          <w:tblLayout w:type="fixed"/>
          <w:tblLook w:val="04A0"/>
        </w:tblPrEx>
        <w:trPr>
          <w:trHeight w:val="315"/>
        </w:trPr>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D5F" w:rsidRPr="00A95A85" w:rsidP="00801D46" w14:paraId="1633548B" w14:textId="77777777">
            <w:pPr>
              <w:pStyle w:val="LTableTextAbt"/>
            </w:pPr>
            <w:r w:rsidRPr="00A95A85">
              <w:t>562111</w:t>
            </w:r>
          </w:p>
        </w:tc>
        <w:tc>
          <w:tcPr>
            <w:tcW w:w="3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1D5F" w:rsidRPr="00A95A85" w:rsidP="00801D46" w14:paraId="4A3F1929" w14:textId="77777777">
            <w:pPr>
              <w:pStyle w:val="LTableTextAbt"/>
            </w:pPr>
            <w:r w:rsidRPr="00A95A85">
              <w:t>Solid Waste Collection</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D5F" w:rsidRPr="00A95A85" w:rsidP="00801D46" w14:paraId="71B50A5D" w14:textId="77777777">
            <w:pPr>
              <w:pStyle w:val="RTableTextAbt"/>
            </w:pPr>
            <w:r w:rsidRPr="00A95A85">
              <w:t>6,813</w:t>
            </w:r>
          </w:p>
        </w:tc>
      </w:tr>
      <w:tr w14:paraId="6BA2EF06" w14:textId="77777777" w:rsidTr="007B106D">
        <w:tblPrEx>
          <w:tblW w:w="5005" w:type="pct"/>
          <w:tblInd w:w="-5" w:type="dxa"/>
          <w:tblLayout w:type="fixed"/>
          <w:tblLook w:val="04A0"/>
        </w:tblPrEx>
        <w:trPr>
          <w:trHeight w:val="315"/>
        </w:trPr>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D5F" w:rsidRPr="00A95A85" w:rsidP="00801D46" w14:paraId="59752339" w14:textId="77777777">
            <w:pPr>
              <w:pStyle w:val="LTableTextAbt"/>
            </w:pPr>
            <w:r w:rsidRPr="00A95A85">
              <w:t>562212</w:t>
            </w:r>
          </w:p>
        </w:tc>
        <w:tc>
          <w:tcPr>
            <w:tcW w:w="3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1D5F" w:rsidRPr="00A95A85" w:rsidP="00801D46" w14:paraId="7DD534CB" w14:textId="77777777">
            <w:pPr>
              <w:pStyle w:val="LTableTextAbt"/>
            </w:pPr>
            <w:r w:rsidRPr="00A95A85">
              <w:t>Solid Waste Landfill</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D5F" w:rsidRPr="00A95A85" w:rsidP="00801D46" w14:paraId="77574FF2" w14:textId="77777777">
            <w:pPr>
              <w:pStyle w:val="RTableTextAbt"/>
            </w:pPr>
            <w:r w:rsidRPr="00A95A85">
              <w:t>690</w:t>
            </w:r>
          </w:p>
        </w:tc>
      </w:tr>
      <w:tr w14:paraId="7A44FE6E" w14:textId="77777777" w:rsidTr="007B106D">
        <w:tblPrEx>
          <w:tblW w:w="5005" w:type="pct"/>
          <w:tblInd w:w="-5" w:type="dxa"/>
          <w:tblLayout w:type="fixed"/>
          <w:tblLook w:val="04A0"/>
        </w:tblPrEx>
        <w:trPr>
          <w:trHeight w:val="367"/>
        </w:trPr>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D5F" w:rsidRPr="00A95A85" w:rsidP="00801D46" w14:paraId="64B8999C" w14:textId="77777777">
            <w:pPr>
              <w:pStyle w:val="LTableTextAbt"/>
            </w:pPr>
            <w:r w:rsidRPr="00A95A85">
              <w:t>562213</w:t>
            </w:r>
          </w:p>
        </w:tc>
        <w:tc>
          <w:tcPr>
            <w:tcW w:w="3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1D5F" w:rsidRPr="00A95A85" w:rsidP="00801D46" w14:paraId="18E9ED2F" w14:textId="77777777">
            <w:pPr>
              <w:pStyle w:val="LTableTextAbt"/>
            </w:pPr>
            <w:r w:rsidRPr="00A95A85">
              <w:t>Solid Waste Combustors and Incinerators</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D5F" w:rsidRPr="00A95A85" w:rsidP="00801D46" w14:paraId="613CF30C" w14:textId="77777777">
            <w:pPr>
              <w:pStyle w:val="RTableTextAbt"/>
            </w:pPr>
            <w:r w:rsidRPr="00A95A85">
              <w:t>40</w:t>
            </w:r>
          </w:p>
        </w:tc>
      </w:tr>
      <w:tr w14:paraId="2A6AF935" w14:textId="77777777" w:rsidTr="007B106D">
        <w:tblPrEx>
          <w:tblW w:w="5005" w:type="pct"/>
          <w:tblInd w:w="-5" w:type="dxa"/>
          <w:tblLayout w:type="fixed"/>
          <w:tblLook w:val="04A0"/>
        </w:tblPrEx>
        <w:trPr>
          <w:trHeight w:val="313"/>
        </w:trPr>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D5F" w:rsidRPr="00A95A85" w:rsidP="00801D46" w14:paraId="43E1B174" w14:textId="77777777">
            <w:pPr>
              <w:pStyle w:val="LTableTextAbt"/>
            </w:pPr>
            <w:r w:rsidRPr="00A95A85">
              <w:t>562219</w:t>
            </w:r>
          </w:p>
        </w:tc>
        <w:tc>
          <w:tcPr>
            <w:tcW w:w="3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1D5F" w:rsidRPr="00A95A85" w:rsidP="00801D46" w14:paraId="446193C5" w14:textId="77777777">
            <w:pPr>
              <w:pStyle w:val="LTableTextAbt"/>
            </w:pPr>
            <w:r w:rsidRPr="00A95A85">
              <w:t xml:space="preserve">Other Nonhazardous Waste Treatment and Disposal  </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D5F" w:rsidRPr="00A95A85" w:rsidP="00801D46" w14:paraId="6E6EC43B" w14:textId="77777777">
            <w:pPr>
              <w:pStyle w:val="RTableTextAbt"/>
            </w:pPr>
            <w:r w:rsidRPr="00A95A85">
              <w:t>470</w:t>
            </w:r>
          </w:p>
        </w:tc>
      </w:tr>
      <w:tr w14:paraId="49A625CB" w14:textId="77777777" w:rsidTr="007B106D">
        <w:tblPrEx>
          <w:tblW w:w="5005" w:type="pct"/>
          <w:tblInd w:w="-5" w:type="dxa"/>
          <w:tblLayout w:type="fixed"/>
          <w:tblLook w:val="04A0"/>
        </w:tblPrEx>
        <w:trPr>
          <w:trHeight w:val="313"/>
        </w:trPr>
        <w:tc>
          <w:tcPr>
            <w:tcW w:w="37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F1D5F" w:rsidRPr="00A95A85" w:rsidP="00CA0464" w14:paraId="64E71DC6" w14:textId="77777777">
            <w:pPr>
              <w:pStyle w:val="TableText"/>
              <w:rPr>
                <w:b/>
                <w:bCs/>
              </w:rPr>
            </w:pPr>
            <w:r w:rsidRPr="00A95A85">
              <w:rPr>
                <w:b/>
                <w:bCs/>
              </w:rPr>
              <w:t>Total</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1D5F" w:rsidRPr="00A95A85" w:rsidP="00801D46" w14:paraId="116E25A0" w14:textId="77777777">
            <w:pPr>
              <w:pStyle w:val="RTableTextAbt"/>
              <w:rPr>
                <w:b/>
              </w:rPr>
            </w:pPr>
            <w:r w:rsidRPr="00A95A85">
              <w:rPr>
                <w:b/>
              </w:rPr>
              <w:t>8,346</w:t>
            </w:r>
          </w:p>
        </w:tc>
      </w:tr>
      <w:tr w14:paraId="7F27FB4A" w14:textId="77777777" w:rsidTr="007B106D">
        <w:tblPrEx>
          <w:tblW w:w="5005" w:type="pct"/>
          <w:tblInd w:w="-5" w:type="dxa"/>
          <w:tblLayout w:type="fixed"/>
          <w:tblLook w:val="04A0"/>
        </w:tblPrEx>
        <w:trPr>
          <w:trHeight w:val="332"/>
        </w:trPr>
        <w:tc>
          <w:tcPr>
            <w:tcW w:w="5000" w:type="pct"/>
            <w:gridSpan w:val="3"/>
            <w:tcBorders>
              <w:top w:val="single" w:sz="4" w:space="0" w:color="auto"/>
              <w:left w:val="single" w:sz="8" w:space="0" w:color="auto"/>
              <w:bottom w:val="single" w:sz="8" w:space="0" w:color="auto"/>
              <w:right w:val="single" w:sz="8" w:space="0" w:color="auto"/>
            </w:tcBorders>
            <w:shd w:val="clear" w:color="auto" w:fill="auto"/>
            <w:noWrap/>
            <w:vAlign w:val="center"/>
          </w:tcPr>
          <w:p w:rsidR="005F1D5F" w:rsidRPr="00801D46" w:rsidP="00801D46" w14:paraId="0604BF35" w14:textId="77777777">
            <w:pPr>
              <w:pStyle w:val="TableNote0"/>
            </w:pPr>
            <w:r w:rsidRPr="00801D46">
              <w:t>Source: BLS 2021a</w:t>
            </w:r>
          </w:p>
        </w:tc>
      </w:tr>
    </w:tbl>
    <w:p w:rsidR="005F1D5F" w:rsidRPr="00A95A85" w:rsidP="005F1D5F" w14:paraId="3BE03813" w14:textId="77777777">
      <w:pPr>
        <w:pStyle w:val="FootnoteText"/>
      </w:pPr>
    </w:p>
    <w:p w:rsidR="005F1D5F" w:rsidRPr="00A95A85" w:rsidP="00105ED0" w14:paraId="23D403DA" w14:textId="77777777">
      <w:pPr>
        <w:pStyle w:val="Heading3"/>
      </w:pPr>
      <w:bookmarkStart w:id="148" w:name="_Ref175649220"/>
      <w:bookmarkStart w:id="149" w:name="_Toc179234323"/>
      <w:r w:rsidRPr="00A95A85">
        <w:t>Summary of Relevant Industries</w:t>
      </w:r>
      <w:bookmarkEnd w:id="148"/>
      <w:bookmarkEnd w:id="149"/>
    </w:p>
    <w:p w:rsidR="005F1D5F" w:rsidP="00832749" w14:paraId="17A47899" w14:textId="2F0A8D10">
      <w:pPr>
        <w:pStyle w:val="BodyText"/>
      </w:pPr>
      <w:r>
        <w:fldChar w:fldCharType="begin" w:fldLock="1"/>
      </w:r>
      <w:r>
        <w:instrText xml:space="preserve"> REF _Ref175650858 </w:instrText>
      </w:r>
      <w:r>
        <w:fldChar w:fldCharType="separate"/>
      </w:r>
      <w:r w:rsidRPr="00A95A85" w:rsidR="00735BBC">
        <w:t xml:space="preserve">Table </w:t>
      </w:r>
      <w:r w:rsidR="00735BBC">
        <w:rPr>
          <w:noProof/>
        </w:rPr>
        <w:t>3</w:t>
      </w:r>
      <w:r w:rsidR="00735BBC">
        <w:noBreakHyphen/>
      </w:r>
      <w:r w:rsidR="00735BBC">
        <w:rPr>
          <w:noProof/>
        </w:rPr>
        <w:t>5</w:t>
      </w:r>
      <w:r>
        <w:rPr>
          <w:noProof/>
        </w:rPr>
        <w:fldChar w:fldCharType="end"/>
      </w:r>
      <w:r w:rsidRPr="4BA86F39">
        <w:rPr>
          <w:lang w:val="en-US"/>
        </w:rPr>
        <w:t xml:space="preserve"> summarizes the industries identified as relevant for each COU as well as the number of firms. It also identifies which COUs may use regulated PV29; for these industries and for the import and commercial printing industries, the firm counts represent the number of facilities that use PV29 based on information provided to EPA. For the other industries, none of which are expected to handle regulated PV29, EPA does not have information on the number of facilities; as such, the firm counts represent the total number of firms nationwide, which is an upper bound on the number that may be subject to the regulation. </w:t>
      </w:r>
    </w:p>
    <w:p w:rsidR="005F1D5F" w:rsidRPr="00A95A85" w:rsidP="00832749" w14:paraId="1BB3341D" w14:textId="56E06262">
      <w:pPr>
        <w:pStyle w:val="BodyText"/>
      </w:pPr>
      <w:r w:rsidRPr="00A95A85">
        <w:t>Based on this assessment, the COUs with unreasonable risk encompass 49,670 facilities, including 2</w:t>
      </w:r>
      <w:r w:rsidR="00784081">
        <w:t>2</w:t>
      </w:r>
      <w:r w:rsidRPr="00A95A85">
        <w:t xml:space="preserve"> facilities that are expected to handle </w:t>
      </w:r>
      <w:r>
        <w:t xml:space="preserve">regulated </w:t>
      </w:r>
      <w:r w:rsidRPr="00A95A85">
        <w:t>PV29.</w:t>
      </w:r>
    </w:p>
    <w:p w:rsidR="005F1D5F" w:rsidRPr="00A95A85" w:rsidP="005F1D5F" w14:paraId="44E30EA8" w14:textId="090790CA">
      <w:pPr>
        <w:pStyle w:val="Cap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1127"/>
        <w:gridCol w:w="2039"/>
        <w:gridCol w:w="1061"/>
        <w:gridCol w:w="4468"/>
        <w:gridCol w:w="665"/>
      </w:tblGrid>
      <w:tr w14:paraId="58D1E8CB" w14:textId="77777777" w:rsidTr="00874F8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Ex>
        <w:trPr>
          <w:cantSplit/>
          <w:tblHeader/>
        </w:trPr>
        <w:tc>
          <w:tcPr>
            <w:tcW w:w="5000" w:type="pct"/>
            <w:gridSpan w:val="5"/>
            <w:tcBorders>
              <w:top w:val="nil"/>
              <w:left w:val="nil"/>
              <w:bottom w:val="single" w:sz="4" w:space="0" w:color="auto"/>
              <w:right w:val="nil"/>
            </w:tcBorders>
            <w:shd w:val="clear" w:color="auto" w:fill="auto"/>
            <w:vAlign w:val="center"/>
          </w:tcPr>
          <w:p w:rsidR="00874F86" w:rsidRPr="00A95A85" w:rsidP="00026204" w14:paraId="1D36C28A" w14:textId="5C139A16">
            <w:pPr>
              <w:pStyle w:val="TableTitleA"/>
            </w:pPr>
            <w:bookmarkStart w:id="150" w:name="_Ref175650858"/>
            <w:bookmarkStart w:id="151" w:name="_Toc184299554"/>
            <w:r w:rsidRPr="00A95A85">
              <w:t xml:space="preserve">Table </w:t>
            </w:r>
            <w:r>
              <w:fldChar w:fldCharType="begin" w:fldLock="1"/>
            </w:r>
            <w:r>
              <w:instrText>STYLEREF 1 \s</w:instrText>
            </w:r>
            <w:r>
              <w:fldChar w:fldCharType="separate"/>
            </w:r>
            <w:r w:rsidR="00735BBC">
              <w:rPr>
                <w:noProof/>
              </w:rPr>
              <w:t>3</w:t>
            </w:r>
            <w:r>
              <w:fldChar w:fldCharType="end"/>
            </w:r>
            <w:r w:rsidR="000A1542">
              <w:noBreakHyphen/>
            </w:r>
            <w:r>
              <w:fldChar w:fldCharType="begin" w:fldLock="1"/>
            </w:r>
            <w:r>
              <w:instrText>SEQ Table \* ARABIC \s 1</w:instrText>
            </w:r>
            <w:r>
              <w:fldChar w:fldCharType="separate"/>
            </w:r>
            <w:r w:rsidR="00735BBC">
              <w:rPr>
                <w:noProof/>
              </w:rPr>
              <w:t>5</w:t>
            </w:r>
            <w:r>
              <w:fldChar w:fldCharType="end"/>
            </w:r>
            <w:bookmarkEnd w:id="150"/>
            <w:r w:rsidRPr="00A95A85">
              <w:t>: Summary of Relevant Industries and Firm Counts for COUs</w:t>
            </w:r>
            <w:r w:rsidR="00486A58">
              <w:t xml:space="preserve"> </w:t>
            </w:r>
            <w:r w:rsidRPr="00A95A85">
              <w:t>with Unreasonable Risk</w:t>
            </w:r>
            <w:bookmarkEnd w:id="151"/>
            <w:r w:rsidR="00486A58">
              <w:t xml:space="preserve"> </w:t>
            </w:r>
          </w:p>
        </w:tc>
      </w:tr>
      <w:tr w14:paraId="5C214084" w14:textId="77777777" w:rsidTr="00874F86">
        <w:tblPrEx>
          <w:tblW w:w="5000" w:type="pct"/>
          <w:tblLayout w:type="fixed"/>
          <w:tblCellMar>
            <w:left w:w="58" w:type="dxa"/>
            <w:right w:w="58" w:type="dxa"/>
          </w:tblCellMar>
          <w:tblLook w:val="04A0"/>
        </w:tblPrEx>
        <w:trPr>
          <w:cantSplit/>
          <w:tblHeader/>
        </w:trPr>
        <w:tc>
          <w:tcPr>
            <w:tcW w:w="1691" w:type="pct"/>
            <w:gridSpan w:val="2"/>
            <w:tcBorders>
              <w:top w:val="single" w:sz="4" w:space="0" w:color="auto"/>
            </w:tcBorders>
            <w:shd w:val="clear" w:color="auto" w:fill="013E5B"/>
            <w:vAlign w:val="center"/>
            <w:hideMark/>
          </w:tcPr>
          <w:p w:rsidR="005F1D5F" w:rsidRPr="00A95A85" w:rsidP="000D7F2B" w14:paraId="55B61FDE" w14:textId="77777777">
            <w:pPr>
              <w:pStyle w:val="TableSubtitle"/>
            </w:pPr>
            <w:r w:rsidRPr="00A95A85">
              <w:t>Condition of Use</w:t>
            </w:r>
          </w:p>
        </w:tc>
        <w:tc>
          <w:tcPr>
            <w:tcW w:w="567" w:type="pct"/>
            <w:tcBorders>
              <w:top w:val="single" w:sz="4" w:space="0" w:color="auto"/>
            </w:tcBorders>
            <w:shd w:val="clear" w:color="auto" w:fill="013E5B"/>
          </w:tcPr>
          <w:p w:rsidR="005F1D5F" w:rsidRPr="00A95A85" w:rsidP="000D7F2B" w14:paraId="46F16383" w14:textId="77777777">
            <w:pPr>
              <w:pStyle w:val="TableSubtitle"/>
            </w:pPr>
            <w:r>
              <w:t>Regulated</w:t>
            </w:r>
            <w:r w:rsidRPr="00A95A85">
              <w:t xml:space="preserve"> PV29?</w:t>
            </w:r>
          </w:p>
        </w:tc>
        <w:tc>
          <w:tcPr>
            <w:tcW w:w="2387" w:type="pct"/>
            <w:tcBorders>
              <w:top w:val="single" w:sz="4" w:space="0" w:color="auto"/>
            </w:tcBorders>
            <w:shd w:val="clear" w:color="auto" w:fill="013E5B"/>
            <w:vAlign w:val="center"/>
          </w:tcPr>
          <w:p w:rsidR="005F1D5F" w:rsidRPr="00A95A85" w:rsidP="000D7F2B" w14:paraId="35836697" w14:textId="77777777">
            <w:pPr>
              <w:pStyle w:val="TableSubtitle"/>
            </w:pPr>
            <w:r w:rsidRPr="00A95A85">
              <w:t>Industries</w:t>
            </w:r>
          </w:p>
        </w:tc>
        <w:tc>
          <w:tcPr>
            <w:tcW w:w="355" w:type="pct"/>
            <w:tcBorders>
              <w:top w:val="single" w:sz="4" w:space="0" w:color="auto"/>
            </w:tcBorders>
            <w:shd w:val="clear" w:color="auto" w:fill="013E5B"/>
            <w:vAlign w:val="center"/>
          </w:tcPr>
          <w:p w:rsidR="005F1D5F" w:rsidRPr="00A95A85" w:rsidP="000D7F2B" w14:paraId="0D038C12" w14:textId="77777777">
            <w:pPr>
              <w:pStyle w:val="TableSubtitle"/>
            </w:pPr>
            <w:r w:rsidRPr="00A95A85">
              <w:t>Firms</w:t>
            </w:r>
          </w:p>
        </w:tc>
      </w:tr>
      <w:tr w14:paraId="3BE4FDBE" w14:textId="77777777" w:rsidTr="00CA0464">
        <w:tblPrEx>
          <w:tblW w:w="5000" w:type="pct"/>
          <w:tblLayout w:type="fixed"/>
          <w:tblCellMar>
            <w:left w:w="58" w:type="dxa"/>
            <w:right w:w="58" w:type="dxa"/>
          </w:tblCellMar>
          <w:tblLook w:val="04A0"/>
        </w:tblPrEx>
        <w:trPr>
          <w:cantSplit/>
        </w:trPr>
        <w:tc>
          <w:tcPr>
            <w:tcW w:w="602" w:type="pct"/>
            <w:vMerge w:val="restart"/>
            <w:shd w:val="clear" w:color="auto" w:fill="auto"/>
            <w:noWrap/>
            <w:vAlign w:val="center"/>
            <w:hideMark/>
          </w:tcPr>
          <w:p w:rsidR="005F1D5F" w:rsidRPr="00A95A85" w:rsidP="00801D46" w14:paraId="02B4E7B7" w14:textId="77777777">
            <w:pPr>
              <w:pStyle w:val="LTableTextAbt"/>
            </w:pPr>
            <w:r w:rsidRPr="00A95A85">
              <w:t>Manufacture</w:t>
            </w:r>
          </w:p>
        </w:tc>
        <w:tc>
          <w:tcPr>
            <w:tcW w:w="1089" w:type="pct"/>
            <w:shd w:val="clear" w:color="auto" w:fill="auto"/>
            <w:vAlign w:val="center"/>
            <w:hideMark/>
          </w:tcPr>
          <w:p w:rsidR="005F1D5F" w:rsidRPr="00A95A85" w:rsidP="00801D46" w14:paraId="712A1033" w14:textId="77777777">
            <w:pPr>
              <w:pStyle w:val="LTableTextAbt"/>
              <w:rPr>
                <w:szCs w:val="18"/>
              </w:rPr>
            </w:pPr>
            <w:r w:rsidRPr="00A95A85">
              <w:rPr>
                <w:szCs w:val="18"/>
              </w:rPr>
              <w:t>PV29 manufacture</w:t>
            </w:r>
          </w:p>
        </w:tc>
        <w:tc>
          <w:tcPr>
            <w:tcW w:w="567" w:type="pct"/>
            <w:vAlign w:val="center"/>
          </w:tcPr>
          <w:p w:rsidR="005F1D5F" w:rsidRPr="00325B8C" w:rsidP="00801D46" w14:paraId="75BC619F" w14:textId="77777777">
            <w:pPr>
              <w:pStyle w:val="CTableTextAbt"/>
              <w:rPr>
                <w:b/>
                <w:bCs w:val="0"/>
              </w:rPr>
            </w:pPr>
            <w:r w:rsidRPr="00325B8C">
              <w:rPr>
                <w:b/>
                <w:bCs w:val="0"/>
              </w:rPr>
              <w:t>Yes</w:t>
            </w:r>
          </w:p>
        </w:tc>
        <w:tc>
          <w:tcPr>
            <w:tcW w:w="2387" w:type="pct"/>
            <w:vAlign w:val="center"/>
          </w:tcPr>
          <w:p w:rsidR="005F1D5F" w:rsidRPr="00325B8C" w:rsidP="00801D46" w14:paraId="56FA13A9" w14:textId="77777777">
            <w:pPr>
              <w:pStyle w:val="LTableTextAbt"/>
              <w:rPr>
                <w:b/>
                <w:bCs w:val="0"/>
                <w:vertAlign w:val="superscript"/>
              </w:rPr>
            </w:pPr>
            <w:r w:rsidRPr="00325B8C">
              <w:rPr>
                <w:b/>
                <w:bCs w:val="0"/>
              </w:rPr>
              <w:t xml:space="preserve">Manufacturing </w:t>
            </w:r>
            <w:r w:rsidRPr="00325B8C">
              <w:rPr>
                <w:b/>
                <w:bCs w:val="0"/>
                <w:vertAlign w:val="superscript"/>
              </w:rPr>
              <w:t>a</w:t>
            </w:r>
          </w:p>
        </w:tc>
        <w:tc>
          <w:tcPr>
            <w:tcW w:w="355" w:type="pct"/>
            <w:shd w:val="clear" w:color="auto" w:fill="auto"/>
            <w:vAlign w:val="center"/>
          </w:tcPr>
          <w:p w:rsidR="005F1D5F" w:rsidRPr="00BD3D2B" w:rsidP="00BD63C7" w14:paraId="52D120D2" w14:textId="77777777">
            <w:pPr>
              <w:pStyle w:val="RTableTextAbt"/>
              <w:rPr>
                <w:b/>
                <w:bCs w:val="0"/>
              </w:rPr>
            </w:pPr>
            <w:r w:rsidRPr="00BD3D2B">
              <w:rPr>
                <w:b/>
                <w:bCs w:val="0"/>
              </w:rPr>
              <w:t>1</w:t>
            </w:r>
          </w:p>
        </w:tc>
      </w:tr>
      <w:tr w14:paraId="14E81F2C" w14:textId="77777777" w:rsidTr="00CA0464">
        <w:tblPrEx>
          <w:tblW w:w="5000" w:type="pct"/>
          <w:tblLayout w:type="fixed"/>
          <w:tblCellMar>
            <w:left w:w="58" w:type="dxa"/>
            <w:right w:w="58" w:type="dxa"/>
          </w:tblCellMar>
          <w:tblLook w:val="04A0"/>
        </w:tblPrEx>
        <w:trPr>
          <w:cantSplit/>
        </w:trPr>
        <w:tc>
          <w:tcPr>
            <w:tcW w:w="602" w:type="pct"/>
            <w:vMerge/>
            <w:vAlign w:val="center"/>
            <w:hideMark/>
          </w:tcPr>
          <w:p w:rsidR="005F1D5F" w:rsidRPr="00A95A85" w:rsidP="00801D46" w14:paraId="5AE7399D" w14:textId="77777777">
            <w:pPr>
              <w:pStyle w:val="LTableTextAbt"/>
            </w:pPr>
          </w:p>
        </w:tc>
        <w:tc>
          <w:tcPr>
            <w:tcW w:w="1089" w:type="pct"/>
            <w:shd w:val="clear" w:color="auto" w:fill="auto"/>
            <w:vAlign w:val="center"/>
            <w:hideMark/>
          </w:tcPr>
          <w:p w:rsidR="005F1D5F" w:rsidRPr="00A95A85" w:rsidP="00801D46" w14:paraId="739A22D5" w14:textId="77777777">
            <w:pPr>
              <w:pStyle w:val="LTableTextAbt"/>
              <w:rPr>
                <w:szCs w:val="18"/>
              </w:rPr>
            </w:pPr>
            <w:r w:rsidRPr="00A95A85">
              <w:rPr>
                <w:szCs w:val="18"/>
              </w:rPr>
              <w:t>PV29 import</w:t>
            </w:r>
          </w:p>
        </w:tc>
        <w:tc>
          <w:tcPr>
            <w:tcW w:w="567" w:type="pct"/>
            <w:vAlign w:val="center"/>
          </w:tcPr>
          <w:p w:rsidR="005F1D5F" w:rsidRPr="00BD3D2B" w:rsidP="00801D46" w14:paraId="7B374DAC" w14:textId="15C129C2">
            <w:pPr>
              <w:pStyle w:val="CTableTextAbt"/>
              <w:rPr>
                <w:b/>
                <w:bCs w:val="0"/>
              </w:rPr>
            </w:pPr>
            <w:r w:rsidRPr="00BD3D2B">
              <w:rPr>
                <w:b/>
                <w:bCs w:val="0"/>
              </w:rPr>
              <w:t>Yes</w:t>
            </w:r>
          </w:p>
        </w:tc>
        <w:tc>
          <w:tcPr>
            <w:tcW w:w="2387" w:type="pct"/>
            <w:vAlign w:val="center"/>
          </w:tcPr>
          <w:p w:rsidR="005F1D5F" w:rsidRPr="00BD3D2B" w:rsidP="00801D46" w14:paraId="13ABA8E9" w14:textId="77777777">
            <w:pPr>
              <w:pStyle w:val="LTableTextAbt"/>
              <w:rPr>
                <w:b/>
                <w:bCs w:val="0"/>
                <w:vertAlign w:val="superscript"/>
              </w:rPr>
            </w:pPr>
            <w:r w:rsidRPr="00BD3D2B">
              <w:rPr>
                <w:b/>
                <w:bCs w:val="0"/>
              </w:rPr>
              <w:t xml:space="preserve">Import </w:t>
            </w:r>
            <w:r w:rsidRPr="00BD3D2B">
              <w:rPr>
                <w:b/>
                <w:bCs w:val="0"/>
                <w:vertAlign w:val="superscript"/>
              </w:rPr>
              <w:t>b</w:t>
            </w:r>
          </w:p>
        </w:tc>
        <w:tc>
          <w:tcPr>
            <w:tcW w:w="355" w:type="pct"/>
            <w:shd w:val="clear" w:color="auto" w:fill="auto"/>
            <w:vAlign w:val="center"/>
          </w:tcPr>
          <w:p w:rsidR="005F1D5F" w:rsidRPr="00BD3D2B" w:rsidP="00BD63C7" w14:paraId="3B7BBC00" w14:textId="77777777">
            <w:pPr>
              <w:pStyle w:val="RTableTextAbt"/>
              <w:rPr>
                <w:b/>
                <w:bCs w:val="0"/>
              </w:rPr>
            </w:pPr>
            <w:r w:rsidRPr="00BD3D2B">
              <w:rPr>
                <w:b/>
                <w:bCs w:val="0"/>
              </w:rPr>
              <w:t>1</w:t>
            </w:r>
          </w:p>
        </w:tc>
      </w:tr>
      <w:tr w14:paraId="07B99C80" w14:textId="77777777" w:rsidTr="00CA0464">
        <w:tblPrEx>
          <w:tblW w:w="5000" w:type="pct"/>
          <w:tblLayout w:type="fixed"/>
          <w:tblCellMar>
            <w:left w:w="58" w:type="dxa"/>
            <w:right w:w="58" w:type="dxa"/>
          </w:tblCellMar>
          <w:tblLook w:val="04A0"/>
        </w:tblPrEx>
        <w:trPr>
          <w:cantSplit/>
        </w:trPr>
        <w:tc>
          <w:tcPr>
            <w:tcW w:w="602" w:type="pct"/>
            <w:vMerge w:val="restart"/>
            <w:shd w:val="clear" w:color="auto" w:fill="auto"/>
            <w:noWrap/>
            <w:vAlign w:val="center"/>
            <w:hideMark/>
          </w:tcPr>
          <w:p w:rsidR="005F1D5F" w:rsidRPr="00A95A85" w:rsidP="00801D46" w14:paraId="2800A64A" w14:textId="77777777">
            <w:pPr>
              <w:pStyle w:val="LTableTextAbt"/>
            </w:pPr>
            <w:r w:rsidRPr="00A95A85">
              <w:t>Processing</w:t>
            </w:r>
          </w:p>
        </w:tc>
        <w:tc>
          <w:tcPr>
            <w:tcW w:w="1089" w:type="pct"/>
            <w:shd w:val="clear" w:color="auto" w:fill="auto"/>
            <w:vAlign w:val="center"/>
            <w:hideMark/>
          </w:tcPr>
          <w:p w:rsidR="005F1D5F" w:rsidRPr="00A95A85" w:rsidP="00801D46" w14:paraId="3BF82D6A" w14:textId="77777777">
            <w:pPr>
              <w:pStyle w:val="LTableTextAbt"/>
              <w:rPr>
                <w:szCs w:val="18"/>
              </w:rPr>
            </w:pPr>
            <w:r w:rsidRPr="00A95A85">
              <w:rPr>
                <w:szCs w:val="18"/>
              </w:rPr>
              <w:t>Incorporation into paints and coatings</w:t>
            </w:r>
          </w:p>
        </w:tc>
        <w:tc>
          <w:tcPr>
            <w:tcW w:w="567" w:type="pct"/>
            <w:vAlign w:val="center"/>
          </w:tcPr>
          <w:p w:rsidR="005F1D5F" w:rsidRPr="00325B8C" w:rsidP="00801D46" w14:paraId="3AF30EC1" w14:textId="77777777">
            <w:pPr>
              <w:pStyle w:val="CTableTextAbt"/>
              <w:rPr>
                <w:b/>
                <w:bCs w:val="0"/>
              </w:rPr>
            </w:pPr>
            <w:r w:rsidRPr="00325B8C">
              <w:rPr>
                <w:b/>
                <w:bCs w:val="0"/>
              </w:rPr>
              <w:t>Yes</w:t>
            </w:r>
          </w:p>
        </w:tc>
        <w:tc>
          <w:tcPr>
            <w:tcW w:w="2387" w:type="pct"/>
            <w:vAlign w:val="center"/>
          </w:tcPr>
          <w:p w:rsidR="005F1D5F" w:rsidRPr="00325B8C" w:rsidP="00801D46" w14:paraId="1989D463" w14:textId="77777777">
            <w:pPr>
              <w:pStyle w:val="LTableTextAbt"/>
              <w:rPr>
                <w:b/>
                <w:bCs w:val="0"/>
                <w:vertAlign w:val="superscript"/>
              </w:rPr>
            </w:pPr>
            <w:r w:rsidRPr="00325B8C">
              <w:rPr>
                <w:b/>
                <w:bCs w:val="0"/>
              </w:rPr>
              <w:t>Automotive paint manufacturing</w:t>
            </w:r>
            <w:r w:rsidRPr="00325B8C">
              <w:rPr>
                <w:b/>
                <w:bCs w:val="0"/>
                <w:vertAlign w:val="superscript"/>
              </w:rPr>
              <w:t xml:space="preserve"> c</w:t>
            </w:r>
          </w:p>
        </w:tc>
        <w:tc>
          <w:tcPr>
            <w:tcW w:w="355" w:type="pct"/>
            <w:shd w:val="clear" w:color="auto" w:fill="auto"/>
            <w:vAlign w:val="center"/>
          </w:tcPr>
          <w:p w:rsidR="005F1D5F" w:rsidRPr="00BD3D2B" w:rsidP="00BD63C7" w14:paraId="57A59E60" w14:textId="77777777">
            <w:pPr>
              <w:pStyle w:val="RTableTextAbt"/>
              <w:rPr>
                <w:b/>
                <w:bCs w:val="0"/>
              </w:rPr>
            </w:pPr>
            <w:r w:rsidRPr="00BD3D2B">
              <w:rPr>
                <w:b/>
                <w:bCs w:val="0"/>
              </w:rPr>
              <w:t>14</w:t>
            </w:r>
          </w:p>
        </w:tc>
      </w:tr>
      <w:tr w14:paraId="3D19EFB4" w14:textId="77777777" w:rsidTr="00CA0464">
        <w:tblPrEx>
          <w:tblW w:w="5000" w:type="pct"/>
          <w:tblLayout w:type="fixed"/>
          <w:tblCellMar>
            <w:left w:w="58" w:type="dxa"/>
            <w:right w:w="58" w:type="dxa"/>
          </w:tblCellMar>
          <w:tblLook w:val="04A0"/>
        </w:tblPrEx>
        <w:trPr>
          <w:cantSplit/>
          <w:trHeight w:val="62"/>
        </w:trPr>
        <w:tc>
          <w:tcPr>
            <w:tcW w:w="602" w:type="pct"/>
            <w:vMerge/>
            <w:vAlign w:val="center"/>
            <w:hideMark/>
          </w:tcPr>
          <w:p w:rsidR="005F1D5F" w:rsidRPr="00A95A85" w:rsidP="00801D46" w14:paraId="76B582E2" w14:textId="77777777">
            <w:pPr>
              <w:pStyle w:val="LTableTextAbt"/>
            </w:pPr>
          </w:p>
        </w:tc>
        <w:tc>
          <w:tcPr>
            <w:tcW w:w="1089" w:type="pct"/>
            <w:vMerge w:val="restart"/>
            <w:shd w:val="clear" w:color="auto" w:fill="auto"/>
            <w:vAlign w:val="center"/>
            <w:hideMark/>
          </w:tcPr>
          <w:p w:rsidR="005F1D5F" w:rsidRPr="00A95A85" w:rsidP="00801D46" w14:paraId="2C6B14A2" w14:textId="77777777">
            <w:pPr>
              <w:pStyle w:val="LTableTextAbt"/>
              <w:rPr>
                <w:szCs w:val="18"/>
              </w:rPr>
            </w:pPr>
            <w:r w:rsidRPr="00A95A85">
              <w:rPr>
                <w:szCs w:val="18"/>
              </w:rPr>
              <w:t>Incorporation into plastic and rubber products</w:t>
            </w:r>
          </w:p>
        </w:tc>
        <w:tc>
          <w:tcPr>
            <w:tcW w:w="567" w:type="pct"/>
            <w:vMerge w:val="restart"/>
            <w:vAlign w:val="center"/>
          </w:tcPr>
          <w:p w:rsidR="005F1D5F" w:rsidRPr="00325B8C" w:rsidP="00801D46" w14:paraId="2303607F" w14:textId="77777777">
            <w:pPr>
              <w:pStyle w:val="CTableTextAbt"/>
              <w:rPr>
                <w:b/>
                <w:bCs w:val="0"/>
              </w:rPr>
            </w:pPr>
            <w:r w:rsidRPr="00325B8C">
              <w:rPr>
                <w:b/>
                <w:bCs w:val="0"/>
              </w:rPr>
              <w:t>Yes</w:t>
            </w:r>
          </w:p>
        </w:tc>
        <w:tc>
          <w:tcPr>
            <w:tcW w:w="2387" w:type="pct"/>
            <w:vAlign w:val="center"/>
          </w:tcPr>
          <w:p w:rsidR="005F1D5F" w:rsidRPr="00325B8C" w:rsidP="00801D46" w14:paraId="5399B337" w14:textId="77777777">
            <w:pPr>
              <w:pStyle w:val="LTableTextAbt"/>
              <w:rPr>
                <w:b/>
                <w:bCs w:val="0"/>
              </w:rPr>
            </w:pPr>
            <w:r w:rsidRPr="00325B8C">
              <w:rPr>
                <w:b/>
                <w:bCs w:val="0"/>
              </w:rPr>
              <w:t xml:space="preserve">Industrial carpet manufacturing </w:t>
            </w:r>
            <w:r w:rsidRPr="00325B8C">
              <w:rPr>
                <w:b/>
                <w:bCs w:val="0"/>
                <w:vertAlign w:val="superscript"/>
              </w:rPr>
              <w:t>c</w:t>
            </w:r>
          </w:p>
        </w:tc>
        <w:tc>
          <w:tcPr>
            <w:tcW w:w="355" w:type="pct"/>
            <w:vMerge w:val="restart"/>
            <w:shd w:val="clear" w:color="auto" w:fill="auto"/>
            <w:vAlign w:val="center"/>
          </w:tcPr>
          <w:p w:rsidR="005F1D5F" w:rsidRPr="00BD3D2B" w:rsidP="00BD63C7" w14:paraId="4A7D1EF8" w14:textId="77777777">
            <w:pPr>
              <w:pStyle w:val="RTableTextAbt"/>
              <w:rPr>
                <w:b/>
                <w:bCs w:val="0"/>
              </w:rPr>
            </w:pPr>
            <w:r w:rsidRPr="00BD3D2B">
              <w:rPr>
                <w:b/>
                <w:bCs w:val="0"/>
              </w:rPr>
              <w:t>6</w:t>
            </w:r>
          </w:p>
        </w:tc>
      </w:tr>
      <w:tr w14:paraId="33D5DC7B" w14:textId="77777777" w:rsidTr="00CA0464">
        <w:tblPrEx>
          <w:tblW w:w="5000" w:type="pct"/>
          <w:tblLayout w:type="fixed"/>
          <w:tblCellMar>
            <w:left w:w="58" w:type="dxa"/>
            <w:right w:w="58" w:type="dxa"/>
          </w:tblCellMar>
          <w:tblLook w:val="04A0"/>
        </w:tblPrEx>
        <w:trPr>
          <w:cantSplit/>
          <w:trHeight w:val="188"/>
        </w:trPr>
        <w:tc>
          <w:tcPr>
            <w:tcW w:w="602" w:type="pct"/>
            <w:vMerge/>
            <w:vAlign w:val="center"/>
          </w:tcPr>
          <w:p w:rsidR="005F1D5F" w:rsidRPr="00A95A85" w:rsidP="00801D46" w14:paraId="270D9D8A" w14:textId="77777777">
            <w:pPr>
              <w:pStyle w:val="LTableTextAbt"/>
            </w:pPr>
          </w:p>
        </w:tc>
        <w:tc>
          <w:tcPr>
            <w:tcW w:w="1089" w:type="pct"/>
            <w:vMerge/>
            <w:shd w:val="clear" w:color="auto" w:fill="auto"/>
            <w:vAlign w:val="center"/>
          </w:tcPr>
          <w:p w:rsidR="005F1D5F" w:rsidRPr="00A95A85" w:rsidP="00801D46" w14:paraId="5061861B" w14:textId="77777777">
            <w:pPr>
              <w:pStyle w:val="LTableTextAbt"/>
              <w:rPr>
                <w:szCs w:val="18"/>
              </w:rPr>
            </w:pPr>
          </w:p>
        </w:tc>
        <w:tc>
          <w:tcPr>
            <w:tcW w:w="567" w:type="pct"/>
            <w:vMerge/>
            <w:vAlign w:val="center"/>
          </w:tcPr>
          <w:p w:rsidR="005F1D5F" w:rsidRPr="00325B8C" w:rsidP="00801D46" w14:paraId="4862A4E2" w14:textId="77777777">
            <w:pPr>
              <w:pStyle w:val="CTableTextAbt"/>
              <w:rPr>
                <w:b/>
                <w:bCs w:val="0"/>
              </w:rPr>
            </w:pPr>
          </w:p>
        </w:tc>
        <w:tc>
          <w:tcPr>
            <w:tcW w:w="2387" w:type="pct"/>
            <w:vAlign w:val="center"/>
          </w:tcPr>
          <w:p w:rsidR="005F1D5F" w:rsidRPr="00325B8C" w:rsidP="00801D46" w14:paraId="0B5C3B3C" w14:textId="77777777">
            <w:pPr>
              <w:pStyle w:val="LTableTextAbt"/>
              <w:rPr>
                <w:b/>
                <w:bCs w:val="0"/>
              </w:rPr>
            </w:pPr>
            <w:r w:rsidRPr="00325B8C">
              <w:rPr>
                <w:b/>
                <w:bCs w:val="0"/>
              </w:rPr>
              <w:t xml:space="preserve">Automotive parts manufacturing </w:t>
            </w:r>
            <w:r w:rsidRPr="00325B8C">
              <w:rPr>
                <w:b/>
                <w:bCs w:val="0"/>
                <w:vertAlign w:val="superscript"/>
              </w:rPr>
              <w:t>c</w:t>
            </w:r>
          </w:p>
        </w:tc>
        <w:tc>
          <w:tcPr>
            <w:tcW w:w="355" w:type="pct"/>
            <w:vMerge/>
            <w:shd w:val="clear" w:color="auto" w:fill="auto"/>
            <w:vAlign w:val="center"/>
          </w:tcPr>
          <w:p w:rsidR="005F1D5F" w:rsidRPr="00BD3D2B" w:rsidP="00BD63C7" w14:paraId="6C592B0F" w14:textId="77777777">
            <w:pPr>
              <w:pStyle w:val="RTableTextAbt"/>
              <w:rPr>
                <w:b/>
                <w:bCs w:val="0"/>
              </w:rPr>
            </w:pPr>
          </w:p>
        </w:tc>
      </w:tr>
      <w:tr w14:paraId="60D337E3" w14:textId="77777777" w:rsidTr="00CA0464">
        <w:tblPrEx>
          <w:tblW w:w="5000" w:type="pct"/>
          <w:tblLayout w:type="fixed"/>
          <w:tblCellMar>
            <w:left w:w="58" w:type="dxa"/>
            <w:right w:w="58" w:type="dxa"/>
          </w:tblCellMar>
          <w:tblLook w:val="04A0"/>
        </w:tblPrEx>
        <w:trPr>
          <w:cantSplit/>
        </w:trPr>
        <w:tc>
          <w:tcPr>
            <w:tcW w:w="602" w:type="pct"/>
            <w:vMerge/>
            <w:vAlign w:val="center"/>
            <w:hideMark/>
          </w:tcPr>
          <w:p w:rsidR="005F1D5F" w:rsidRPr="00A95A85" w:rsidP="00801D46" w14:paraId="2E78223E" w14:textId="77777777">
            <w:pPr>
              <w:pStyle w:val="LTableTextAbt"/>
            </w:pPr>
          </w:p>
        </w:tc>
        <w:tc>
          <w:tcPr>
            <w:tcW w:w="1089" w:type="pct"/>
            <w:shd w:val="clear" w:color="auto" w:fill="auto"/>
            <w:vAlign w:val="center"/>
            <w:hideMark/>
          </w:tcPr>
          <w:p w:rsidR="005F1D5F" w:rsidRPr="00A95A85" w:rsidP="00801D46" w14:paraId="51C669E8" w14:textId="77777777">
            <w:pPr>
              <w:pStyle w:val="LTableTextAbt"/>
              <w:rPr>
                <w:szCs w:val="18"/>
              </w:rPr>
            </w:pPr>
            <w:r w:rsidRPr="00A95A85">
              <w:rPr>
                <w:szCs w:val="18"/>
              </w:rPr>
              <w:t>Creation or adjustment to other perylene</w:t>
            </w:r>
            <w:r>
              <w:rPr>
                <w:szCs w:val="18"/>
              </w:rPr>
              <w:t>s</w:t>
            </w:r>
            <w:r w:rsidRPr="00A95A85">
              <w:rPr>
                <w:szCs w:val="18"/>
              </w:rPr>
              <w:t xml:space="preserve"> pigments</w:t>
            </w:r>
          </w:p>
        </w:tc>
        <w:tc>
          <w:tcPr>
            <w:tcW w:w="567" w:type="pct"/>
            <w:vAlign w:val="center"/>
          </w:tcPr>
          <w:p w:rsidR="005F1D5F" w:rsidRPr="00325B8C" w:rsidP="00801D46" w14:paraId="43D9CAC3" w14:textId="77777777">
            <w:pPr>
              <w:pStyle w:val="CTableTextAbt"/>
              <w:rPr>
                <w:b/>
                <w:bCs w:val="0"/>
              </w:rPr>
            </w:pPr>
            <w:r w:rsidRPr="00325B8C">
              <w:rPr>
                <w:b/>
                <w:bCs w:val="0"/>
              </w:rPr>
              <w:t>Yes</w:t>
            </w:r>
          </w:p>
        </w:tc>
        <w:tc>
          <w:tcPr>
            <w:tcW w:w="2387" w:type="pct"/>
            <w:vAlign w:val="center"/>
          </w:tcPr>
          <w:p w:rsidR="005F1D5F" w:rsidRPr="00325B8C" w:rsidP="00801D46" w14:paraId="154480BF" w14:textId="77777777">
            <w:pPr>
              <w:pStyle w:val="LTableTextAbt"/>
              <w:rPr>
                <w:b/>
                <w:bCs w:val="0"/>
                <w:vertAlign w:val="superscript"/>
              </w:rPr>
            </w:pPr>
            <w:r w:rsidRPr="00325B8C">
              <w:rPr>
                <w:b/>
                <w:bCs w:val="0"/>
              </w:rPr>
              <w:t xml:space="preserve">Pigment manufacturing </w:t>
            </w:r>
            <w:r w:rsidRPr="00325B8C">
              <w:rPr>
                <w:b/>
                <w:bCs w:val="0"/>
                <w:vertAlign w:val="superscript"/>
              </w:rPr>
              <w:t>d</w:t>
            </w:r>
          </w:p>
        </w:tc>
        <w:tc>
          <w:tcPr>
            <w:tcW w:w="355" w:type="pct"/>
            <w:shd w:val="clear" w:color="auto" w:fill="auto"/>
            <w:vAlign w:val="center"/>
          </w:tcPr>
          <w:p w:rsidR="005F1D5F" w:rsidRPr="00BD3D2B" w:rsidP="00BD63C7" w14:paraId="000BD411" w14:textId="64DCC20A">
            <w:pPr>
              <w:pStyle w:val="RTableTextAbt"/>
              <w:rPr>
                <w:b/>
                <w:bCs w:val="0"/>
                <w:vertAlign w:val="superscript"/>
              </w:rPr>
            </w:pPr>
            <w:r w:rsidRPr="00BD3D2B">
              <w:rPr>
                <w:b/>
                <w:bCs w:val="0"/>
              </w:rPr>
              <w:t>1</w:t>
            </w:r>
            <w:r w:rsidRPr="00BD3D2B">
              <w:rPr>
                <w:b/>
                <w:bCs w:val="0"/>
                <w:vertAlign w:val="superscript"/>
              </w:rPr>
              <w:t>d</w:t>
            </w:r>
          </w:p>
        </w:tc>
      </w:tr>
      <w:tr w14:paraId="2A15025B" w14:textId="77777777" w:rsidTr="00CA0464">
        <w:tblPrEx>
          <w:tblW w:w="5000" w:type="pct"/>
          <w:tblLayout w:type="fixed"/>
          <w:tblCellMar>
            <w:left w:w="58" w:type="dxa"/>
            <w:right w:w="58" w:type="dxa"/>
          </w:tblCellMar>
          <w:tblLook w:val="04A0"/>
        </w:tblPrEx>
        <w:trPr>
          <w:cantSplit/>
        </w:trPr>
        <w:tc>
          <w:tcPr>
            <w:tcW w:w="602" w:type="pct"/>
            <w:vMerge/>
            <w:vAlign w:val="center"/>
            <w:hideMark/>
          </w:tcPr>
          <w:p w:rsidR="005F1D5F" w:rsidRPr="00A95A85" w:rsidP="00801D46" w14:paraId="2213E3A6" w14:textId="77777777">
            <w:pPr>
              <w:pStyle w:val="LTableTextAbt"/>
            </w:pPr>
          </w:p>
        </w:tc>
        <w:tc>
          <w:tcPr>
            <w:tcW w:w="1089" w:type="pct"/>
            <w:vMerge w:val="restart"/>
            <w:shd w:val="clear" w:color="auto" w:fill="auto"/>
            <w:vAlign w:val="center"/>
            <w:hideMark/>
          </w:tcPr>
          <w:p w:rsidR="005F1D5F" w:rsidRPr="00A95A85" w:rsidP="00801D46" w14:paraId="701112CC" w14:textId="77777777">
            <w:pPr>
              <w:pStyle w:val="LTableTextAbt"/>
              <w:rPr>
                <w:szCs w:val="18"/>
              </w:rPr>
            </w:pPr>
            <w:r w:rsidRPr="00A95A85">
              <w:rPr>
                <w:szCs w:val="18"/>
              </w:rPr>
              <w:t>Recycling</w:t>
            </w:r>
          </w:p>
        </w:tc>
        <w:tc>
          <w:tcPr>
            <w:tcW w:w="567" w:type="pct"/>
            <w:vMerge w:val="restart"/>
            <w:vAlign w:val="center"/>
          </w:tcPr>
          <w:p w:rsidR="005F1D5F" w:rsidRPr="00A95A85" w:rsidP="00801D46" w14:paraId="5A0AFE7D" w14:textId="77777777">
            <w:pPr>
              <w:pStyle w:val="CTableTextAbt"/>
              <w:rPr>
                <w:rFonts w:cs="Arial"/>
              </w:rPr>
            </w:pPr>
            <w:r w:rsidRPr="00A95A85">
              <w:rPr>
                <w:rFonts w:cs="Arial"/>
              </w:rPr>
              <w:t>No</w:t>
            </w:r>
          </w:p>
        </w:tc>
        <w:tc>
          <w:tcPr>
            <w:tcW w:w="2387" w:type="pct"/>
            <w:vAlign w:val="center"/>
          </w:tcPr>
          <w:p w:rsidR="005F1D5F" w:rsidRPr="00A95A85" w:rsidP="00801D46" w14:paraId="72D1EE47" w14:textId="77777777">
            <w:pPr>
              <w:pStyle w:val="LTableTextAbt"/>
              <w:rPr>
                <w:vertAlign w:val="superscript"/>
              </w:rPr>
            </w:pPr>
            <w:r w:rsidRPr="00A95A85">
              <w:rPr>
                <w:rFonts w:cs="Arial"/>
              </w:rPr>
              <w:t xml:space="preserve">Motor vehicle parts (used) merchant wholesalers (423140) </w:t>
            </w:r>
            <w:r w:rsidRPr="00A95A85">
              <w:rPr>
                <w:rFonts w:cs="Arial"/>
                <w:vertAlign w:val="superscript"/>
              </w:rPr>
              <w:t>e</w:t>
            </w:r>
          </w:p>
        </w:tc>
        <w:tc>
          <w:tcPr>
            <w:tcW w:w="355" w:type="pct"/>
            <w:shd w:val="clear" w:color="auto" w:fill="auto"/>
            <w:vAlign w:val="center"/>
          </w:tcPr>
          <w:p w:rsidR="005F1D5F" w:rsidRPr="00A95A85" w:rsidP="00BD63C7" w14:paraId="7AAF1712" w14:textId="77777777">
            <w:pPr>
              <w:pStyle w:val="RTableTextAbt"/>
            </w:pPr>
            <w:r w:rsidRPr="00A95A85">
              <w:rPr>
                <w:rFonts w:cs="Arial"/>
                <w:szCs w:val="19"/>
              </w:rPr>
              <w:t>1,410</w:t>
            </w:r>
          </w:p>
        </w:tc>
      </w:tr>
      <w:tr w14:paraId="6146E7D0" w14:textId="77777777" w:rsidTr="00CA0464">
        <w:tblPrEx>
          <w:tblW w:w="5000" w:type="pct"/>
          <w:tblLayout w:type="fixed"/>
          <w:tblCellMar>
            <w:left w:w="58" w:type="dxa"/>
            <w:right w:w="58" w:type="dxa"/>
          </w:tblCellMar>
          <w:tblLook w:val="04A0"/>
        </w:tblPrEx>
        <w:trPr>
          <w:cantSplit/>
        </w:trPr>
        <w:tc>
          <w:tcPr>
            <w:tcW w:w="602" w:type="pct"/>
            <w:vMerge/>
            <w:vAlign w:val="center"/>
          </w:tcPr>
          <w:p w:rsidR="005F1D5F" w:rsidRPr="00A95A85" w:rsidP="00801D46" w14:paraId="0308176F" w14:textId="77777777">
            <w:pPr>
              <w:pStyle w:val="LTableTextAbt"/>
            </w:pPr>
          </w:p>
        </w:tc>
        <w:tc>
          <w:tcPr>
            <w:tcW w:w="1089" w:type="pct"/>
            <w:vMerge/>
            <w:shd w:val="clear" w:color="auto" w:fill="auto"/>
            <w:vAlign w:val="center"/>
          </w:tcPr>
          <w:p w:rsidR="005F1D5F" w:rsidRPr="00A95A85" w:rsidP="00801D46" w14:paraId="68779D8B" w14:textId="77777777">
            <w:pPr>
              <w:pStyle w:val="LTableTextAbt"/>
            </w:pPr>
          </w:p>
        </w:tc>
        <w:tc>
          <w:tcPr>
            <w:tcW w:w="567" w:type="pct"/>
            <w:vMerge/>
            <w:vAlign w:val="center"/>
          </w:tcPr>
          <w:p w:rsidR="005F1D5F" w:rsidRPr="00A95A85" w:rsidP="00801D46" w14:paraId="4FE3BB62" w14:textId="77777777">
            <w:pPr>
              <w:pStyle w:val="CTableTextAbt"/>
              <w:rPr>
                <w:rFonts w:cs="Arial"/>
              </w:rPr>
            </w:pPr>
          </w:p>
        </w:tc>
        <w:tc>
          <w:tcPr>
            <w:tcW w:w="2387" w:type="pct"/>
            <w:vAlign w:val="center"/>
          </w:tcPr>
          <w:p w:rsidR="005F1D5F" w:rsidRPr="00A95A85" w:rsidP="00801D46" w14:paraId="6E987FEE" w14:textId="77777777">
            <w:pPr>
              <w:pStyle w:val="LTableTextAbt"/>
              <w:rPr>
                <w:vertAlign w:val="superscript"/>
              </w:rPr>
            </w:pPr>
            <w:r w:rsidRPr="00A95A85">
              <w:rPr>
                <w:rFonts w:cs="Arial"/>
              </w:rPr>
              <w:t xml:space="preserve">Recyclable material merchant wholesalers (423930) </w:t>
            </w:r>
            <w:r w:rsidRPr="00A95A85">
              <w:rPr>
                <w:rFonts w:cs="Arial"/>
                <w:vertAlign w:val="superscript"/>
              </w:rPr>
              <w:t>e</w:t>
            </w:r>
          </w:p>
        </w:tc>
        <w:tc>
          <w:tcPr>
            <w:tcW w:w="355" w:type="pct"/>
            <w:shd w:val="clear" w:color="auto" w:fill="auto"/>
            <w:vAlign w:val="center"/>
          </w:tcPr>
          <w:p w:rsidR="005F1D5F" w:rsidRPr="00A95A85" w:rsidP="00BD63C7" w14:paraId="6B70CBCA" w14:textId="77777777">
            <w:pPr>
              <w:pStyle w:val="RTableTextAbt"/>
            </w:pPr>
            <w:r w:rsidRPr="00A95A85">
              <w:rPr>
                <w:rFonts w:cs="Arial"/>
                <w:szCs w:val="19"/>
              </w:rPr>
              <w:t>6,261</w:t>
            </w:r>
          </w:p>
        </w:tc>
      </w:tr>
      <w:tr w14:paraId="794902E4" w14:textId="77777777" w:rsidTr="00CA0464">
        <w:tblPrEx>
          <w:tblW w:w="5000" w:type="pct"/>
          <w:tblLayout w:type="fixed"/>
          <w:tblCellMar>
            <w:left w:w="58" w:type="dxa"/>
            <w:right w:w="58" w:type="dxa"/>
          </w:tblCellMar>
          <w:tblLook w:val="04A0"/>
        </w:tblPrEx>
        <w:trPr>
          <w:cantSplit/>
        </w:trPr>
        <w:tc>
          <w:tcPr>
            <w:tcW w:w="602" w:type="pct"/>
            <w:vMerge/>
            <w:vAlign w:val="center"/>
          </w:tcPr>
          <w:p w:rsidR="005F1D5F" w:rsidRPr="00A95A85" w:rsidP="00801D46" w14:paraId="7837F1E6" w14:textId="77777777">
            <w:pPr>
              <w:pStyle w:val="LTableTextAbt"/>
            </w:pPr>
          </w:p>
        </w:tc>
        <w:tc>
          <w:tcPr>
            <w:tcW w:w="1089" w:type="pct"/>
            <w:vMerge/>
            <w:shd w:val="clear" w:color="auto" w:fill="auto"/>
            <w:vAlign w:val="center"/>
          </w:tcPr>
          <w:p w:rsidR="005F1D5F" w:rsidRPr="00A95A85" w:rsidP="00801D46" w14:paraId="1547EE82" w14:textId="77777777">
            <w:pPr>
              <w:pStyle w:val="LTableTextAbt"/>
            </w:pPr>
          </w:p>
        </w:tc>
        <w:tc>
          <w:tcPr>
            <w:tcW w:w="567" w:type="pct"/>
            <w:vMerge/>
            <w:vAlign w:val="center"/>
          </w:tcPr>
          <w:p w:rsidR="005F1D5F" w:rsidRPr="00A95A85" w:rsidP="00801D46" w14:paraId="03959EB6" w14:textId="77777777">
            <w:pPr>
              <w:pStyle w:val="CTableTextAbt"/>
              <w:rPr>
                <w:rFonts w:cs="Arial"/>
              </w:rPr>
            </w:pPr>
          </w:p>
        </w:tc>
        <w:tc>
          <w:tcPr>
            <w:tcW w:w="2387" w:type="pct"/>
            <w:vAlign w:val="center"/>
          </w:tcPr>
          <w:p w:rsidR="005F1D5F" w:rsidRPr="00A95A85" w:rsidP="00801D46" w14:paraId="1DF66969" w14:textId="77777777">
            <w:pPr>
              <w:pStyle w:val="LTableTextAbt"/>
              <w:rPr>
                <w:vertAlign w:val="superscript"/>
              </w:rPr>
            </w:pPr>
            <w:r w:rsidRPr="00A95A85">
              <w:rPr>
                <w:rFonts w:cs="Arial"/>
              </w:rPr>
              <w:t xml:space="preserve">Materials recovery facilities (562920) </w:t>
            </w:r>
            <w:r w:rsidRPr="00A95A85">
              <w:rPr>
                <w:rFonts w:cs="Arial"/>
                <w:vertAlign w:val="superscript"/>
              </w:rPr>
              <w:t>e</w:t>
            </w:r>
          </w:p>
        </w:tc>
        <w:tc>
          <w:tcPr>
            <w:tcW w:w="355" w:type="pct"/>
            <w:shd w:val="clear" w:color="auto" w:fill="auto"/>
            <w:vAlign w:val="center"/>
          </w:tcPr>
          <w:p w:rsidR="005F1D5F" w:rsidRPr="00A95A85" w:rsidP="00BD63C7" w14:paraId="1136AAF4" w14:textId="77777777">
            <w:pPr>
              <w:pStyle w:val="RTableTextAbt"/>
            </w:pPr>
            <w:r w:rsidRPr="00A95A85">
              <w:rPr>
                <w:rFonts w:cs="Arial"/>
                <w:szCs w:val="19"/>
              </w:rPr>
              <w:t>1,001</w:t>
            </w:r>
          </w:p>
        </w:tc>
      </w:tr>
      <w:tr w14:paraId="67E01028" w14:textId="77777777" w:rsidTr="00CA0464">
        <w:tblPrEx>
          <w:tblW w:w="5000" w:type="pct"/>
          <w:tblLayout w:type="fixed"/>
          <w:tblCellMar>
            <w:left w:w="58" w:type="dxa"/>
            <w:right w:w="58" w:type="dxa"/>
          </w:tblCellMar>
          <w:tblLook w:val="04A0"/>
        </w:tblPrEx>
        <w:trPr>
          <w:cantSplit/>
        </w:trPr>
        <w:tc>
          <w:tcPr>
            <w:tcW w:w="602" w:type="pct"/>
            <w:vMerge/>
            <w:tcBorders>
              <w:bottom w:val="single" w:sz="4" w:space="0" w:color="auto"/>
            </w:tcBorders>
            <w:vAlign w:val="center"/>
          </w:tcPr>
          <w:p w:rsidR="005F1D5F" w:rsidRPr="00A95A85" w:rsidP="00801D46" w14:paraId="0100E423" w14:textId="77777777">
            <w:pPr>
              <w:pStyle w:val="LTableTextAbt"/>
            </w:pPr>
          </w:p>
        </w:tc>
        <w:tc>
          <w:tcPr>
            <w:tcW w:w="1089" w:type="pct"/>
            <w:vMerge/>
            <w:tcBorders>
              <w:bottom w:val="single" w:sz="4" w:space="0" w:color="auto"/>
            </w:tcBorders>
            <w:shd w:val="clear" w:color="auto" w:fill="auto"/>
            <w:vAlign w:val="center"/>
          </w:tcPr>
          <w:p w:rsidR="005F1D5F" w:rsidRPr="00A95A85" w:rsidP="00801D46" w14:paraId="1A3CB735" w14:textId="77777777">
            <w:pPr>
              <w:pStyle w:val="LTableTextAbt"/>
            </w:pPr>
          </w:p>
        </w:tc>
        <w:tc>
          <w:tcPr>
            <w:tcW w:w="567" w:type="pct"/>
            <w:vMerge/>
            <w:vAlign w:val="center"/>
          </w:tcPr>
          <w:p w:rsidR="005F1D5F" w:rsidRPr="00A95A85" w:rsidP="00801D46" w14:paraId="264D3157" w14:textId="77777777">
            <w:pPr>
              <w:pStyle w:val="CTableTextAbt"/>
              <w:rPr>
                <w:rFonts w:cs="Arial"/>
              </w:rPr>
            </w:pPr>
          </w:p>
        </w:tc>
        <w:tc>
          <w:tcPr>
            <w:tcW w:w="2387" w:type="pct"/>
            <w:vAlign w:val="center"/>
          </w:tcPr>
          <w:p w:rsidR="005F1D5F" w:rsidRPr="00A95A85" w:rsidP="00801D46" w14:paraId="7A6AA7B6" w14:textId="77777777">
            <w:pPr>
              <w:pStyle w:val="LTableTextAbt"/>
              <w:rPr>
                <w:rFonts w:cs="Arial"/>
                <w:vertAlign w:val="superscript"/>
              </w:rPr>
            </w:pPr>
            <w:r w:rsidRPr="00A95A85">
              <w:rPr>
                <w:rFonts w:cs="Arial"/>
              </w:rPr>
              <w:t xml:space="preserve">Carpet recycling </w:t>
            </w:r>
            <w:r w:rsidRPr="00A95A85">
              <w:rPr>
                <w:rFonts w:cs="Arial"/>
                <w:vertAlign w:val="superscript"/>
              </w:rPr>
              <w:t>f</w:t>
            </w:r>
          </w:p>
        </w:tc>
        <w:tc>
          <w:tcPr>
            <w:tcW w:w="355" w:type="pct"/>
            <w:shd w:val="clear" w:color="auto" w:fill="auto"/>
            <w:vAlign w:val="center"/>
          </w:tcPr>
          <w:p w:rsidR="005F1D5F" w:rsidRPr="00A95A85" w:rsidP="00BD63C7" w14:paraId="68B0F626" w14:textId="77777777">
            <w:pPr>
              <w:pStyle w:val="RTableTextAbt"/>
            </w:pPr>
            <w:r w:rsidRPr="00A95A85">
              <w:t>70</w:t>
            </w:r>
          </w:p>
        </w:tc>
      </w:tr>
      <w:tr w14:paraId="3CE9B8C0" w14:textId="77777777" w:rsidTr="00CA0464">
        <w:tblPrEx>
          <w:tblW w:w="5000" w:type="pct"/>
          <w:tblLayout w:type="fixed"/>
          <w:tblCellMar>
            <w:left w:w="58" w:type="dxa"/>
            <w:right w:w="58" w:type="dxa"/>
          </w:tblCellMar>
          <w:tblLook w:val="04A0"/>
        </w:tblPrEx>
        <w:trPr>
          <w:cantSplit/>
        </w:trPr>
        <w:tc>
          <w:tcPr>
            <w:tcW w:w="602" w:type="pct"/>
            <w:vMerge w:val="restart"/>
            <w:shd w:val="clear" w:color="auto" w:fill="auto"/>
            <w:vAlign w:val="center"/>
            <w:hideMark/>
          </w:tcPr>
          <w:p w:rsidR="005F1D5F" w:rsidRPr="00A95A85" w:rsidP="00801D46" w14:paraId="19D8AE24" w14:textId="77777777">
            <w:pPr>
              <w:pStyle w:val="LTableTextAbt"/>
            </w:pPr>
            <w:r w:rsidRPr="00A95A85">
              <w:t>Industrial/ commercial use</w:t>
            </w:r>
          </w:p>
        </w:tc>
        <w:tc>
          <w:tcPr>
            <w:tcW w:w="1089" w:type="pct"/>
            <w:vMerge w:val="restart"/>
            <w:shd w:val="clear" w:color="auto" w:fill="auto"/>
            <w:vAlign w:val="center"/>
          </w:tcPr>
          <w:p w:rsidR="005F1D5F" w:rsidRPr="00A95A85" w:rsidP="00801D46" w14:paraId="289D6C3A" w14:textId="77777777">
            <w:pPr>
              <w:pStyle w:val="LTableTextAbt"/>
              <w:rPr>
                <w:szCs w:val="18"/>
              </w:rPr>
            </w:pPr>
            <w:r w:rsidRPr="00A95A85">
              <w:rPr>
                <w:szCs w:val="18"/>
              </w:rPr>
              <w:t>Paints and coatings</w:t>
            </w:r>
          </w:p>
        </w:tc>
        <w:tc>
          <w:tcPr>
            <w:tcW w:w="567" w:type="pct"/>
            <w:vMerge w:val="restart"/>
            <w:vAlign w:val="center"/>
          </w:tcPr>
          <w:p w:rsidR="005F1D5F" w:rsidRPr="00A95A85" w:rsidP="00801D46" w14:paraId="3A4DBC0C" w14:textId="77777777">
            <w:pPr>
              <w:pStyle w:val="CTableTextAbt"/>
              <w:rPr>
                <w:rFonts w:cs="Arial"/>
              </w:rPr>
            </w:pPr>
            <w:r w:rsidRPr="00A95A85">
              <w:rPr>
                <w:rFonts w:cs="Arial"/>
              </w:rPr>
              <w:t>No</w:t>
            </w:r>
          </w:p>
        </w:tc>
        <w:tc>
          <w:tcPr>
            <w:tcW w:w="2387" w:type="pct"/>
            <w:vAlign w:val="center"/>
          </w:tcPr>
          <w:p w:rsidR="005F1D5F" w:rsidRPr="00A95A85" w:rsidP="00801D46" w14:paraId="5333DD11" w14:textId="77777777">
            <w:pPr>
              <w:pStyle w:val="LTableTextAbt"/>
              <w:rPr>
                <w:vertAlign w:val="superscript"/>
              </w:rPr>
            </w:pPr>
            <w:r w:rsidRPr="00A95A85">
              <w:rPr>
                <w:rFonts w:cs="Arial"/>
              </w:rPr>
              <w:t xml:space="preserve">Automobile Manufacturing (336111) </w:t>
            </w:r>
            <w:r w:rsidRPr="00A95A85">
              <w:rPr>
                <w:rFonts w:cs="Arial"/>
                <w:vertAlign w:val="superscript"/>
              </w:rPr>
              <w:t>e</w:t>
            </w:r>
          </w:p>
        </w:tc>
        <w:tc>
          <w:tcPr>
            <w:tcW w:w="355" w:type="pct"/>
            <w:shd w:val="clear" w:color="auto" w:fill="auto"/>
            <w:vAlign w:val="center"/>
          </w:tcPr>
          <w:p w:rsidR="005F1D5F" w:rsidRPr="00A95A85" w:rsidP="00BD63C7" w14:paraId="07B4C4AC" w14:textId="77777777">
            <w:pPr>
              <w:pStyle w:val="RTableTextAbt"/>
            </w:pPr>
            <w:r w:rsidRPr="00A95A85">
              <w:rPr>
                <w:rFonts w:cs="Arial"/>
                <w:szCs w:val="19"/>
              </w:rPr>
              <w:t>162</w:t>
            </w:r>
          </w:p>
        </w:tc>
      </w:tr>
      <w:tr w14:paraId="23C34BB7" w14:textId="77777777" w:rsidTr="00CA0464">
        <w:tblPrEx>
          <w:tblW w:w="5000" w:type="pct"/>
          <w:tblLayout w:type="fixed"/>
          <w:tblCellMar>
            <w:left w:w="58" w:type="dxa"/>
            <w:right w:w="58" w:type="dxa"/>
          </w:tblCellMar>
          <w:tblLook w:val="04A0"/>
        </w:tblPrEx>
        <w:trPr>
          <w:cantSplit/>
        </w:trPr>
        <w:tc>
          <w:tcPr>
            <w:tcW w:w="602" w:type="pct"/>
            <w:vMerge/>
            <w:shd w:val="clear" w:color="auto" w:fill="auto"/>
            <w:vAlign w:val="center"/>
          </w:tcPr>
          <w:p w:rsidR="005F1D5F" w:rsidRPr="00A95A85" w:rsidP="00801D46" w14:paraId="6D61756A" w14:textId="77777777">
            <w:pPr>
              <w:pStyle w:val="LTableTextAbt"/>
            </w:pPr>
          </w:p>
        </w:tc>
        <w:tc>
          <w:tcPr>
            <w:tcW w:w="1089" w:type="pct"/>
            <w:vMerge/>
            <w:shd w:val="clear" w:color="auto" w:fill="auto"/>
            <w:vAlign w:val="center"/>
          </w:tcPr>
          <w:p w:rsidR="005F1D5F" w:rsidRPr="00A95A85" w:rsidP="00801D46" w14:paraId="4EE25147" w14:textId="77777777">
            <w:pPr>
              <w:pStyle w:val="LTableTextAbt"/>
              <w:rPr>
                <w:szCs w:val="18"/>
              </w:rPr>
            </w:pPr>
          </w:p>
        </w:tc>
        <w:tc>
          <w:tcPr>
            <w:tcW w:w="567" w:type="pct"/>
            <w:vMerge/>
            <w:vAlign w:val="center"/>
          </w:tcPr>
          <w:p w:rsidR="005F1D5F" w:rsidRPr="00A95A85" w:rsidP="00801D46" w14:paraId="5B54EEAD" w14:textId="77777777">
            <w:pPr>
              <w:pStyle w:val="CTableTextAbt"/>
              <w:rPr>
                <w:rFonts w:cs="Arial"/>
              </w:rPr>
            </w:pPr>
          </w:p>
        </w:tc>
        <w:tc>
          <w:tcPr>
            <w:tcW w:w="2387" w:type="pct"/>
            <w:vAlign w:val="center"/>
          </w:tcPr>
          <w:p w:rsidR="005F1D5F" w:rsidRPr="00A95A85" w:rsidP="00801D46" w14:paraId="6455538A" w14:textId="77777777">
            <w:pPr>
              <w:pStyle w:val="LTableTextAbt"/>
              <w:rPr>
                <w:vertAlign w:val="superscript"/>
              </w:rPr>
            </w:pPr>
            <w:r w:rsidRPr="00A95A85">
              <w:rPr>
                <w:rFonts w:cs="Arial"/>
              </w:rPr>
              <w:t xml:space="preserve">Light Truck and Utility Vehicle Manufacturing (336112) </w:t>
            </w:r>
            <w:r w:rsidRPr="00A95A85">
              <w:rPr>
                <w:rFonts w:cs="Arial"/>
                <w:vertAlign w:val="superscript"/>
              </w:rPr>
              <w:t>e</w:t>
            </w:r>
          </w:p>
        </w:tc>
        <w:tc>
          <w:tcPr>
            <w:tcW w:w="355" w:type="pct"/>
            <w:shd w:val="clear" w:color="auto" w:fill="auto"/>
            <w:vAlign w:val="center"/>
          </w:tcPr>
          <w:p w:rsidR="005F1D5F" w:rsidRPr="00A95A85" w:rsidP="00BD63C7" w14:paraId="3872B62A" w14:textId="77777777">
            <w:pPr>
              <w:pStyle w:val="RTableTextAbt"/>
            </w:pPr>
            <w:r w:rsidRPr="00A95A85">
              <w:rPr>
                <w:rFonts w:cs="Arial"/>
                <w:szCs w:val="19"/>
              </w:rPr>
              <w:t>59</w:t>
            </w:r>
          </w:p>
        </w:tc>
      </w:tr>
      <w:tr w14:paraId="62B83773" w14:textId="77777777" w:rsidTr="00CA0464">
        <w:tblPrEx>
          <w:tblW w:w="5000" w:type="pct"/>
          <w:tblLayout w:type="fixed"/>
          <w:tblCellMar>
            <w:left w:w="58" w:type="dxa"/>
            <w:right w:w="58" w:type="dxa"/>
          </w:tblCellMar>
          <w:tblLook w:val="04A0"/>
        </w:tblPrEx>
        <w:trPr>
          <w:cantSplit/>
        </w:trPr>
        <w:tc>
          <w:tcPr>
            <w:tcW w:w="602" w:type="pct"/>
            <w:vMerge/>
            <w:shd w:val="clear" w:color="auto" w:fill="auto"/>
            <w:vAlign w:val="center"/>
          </w:tcPr>
          <w:p w:rsidR="005F1D5F" w:rsidRPr="00A95A85" w:rsidP="00801D46" w14:paraId="163C78E2" w14:textId="77777777">
            <w:pPr>
              <w:pStyle w:val="LTableTextAbt"/>
            </w:pPr>
          </w:p>
        </w:tc>
        <w:tc>
          <w:tcPr>
            <w:tcW w:w="1089" w:type="pct"/>
            <w:vMerge/>
            <w:shd w:val="clear" w:color="auto" w:fill="auto"/>
            <w:vAlign w:val="center"/>
          </w:tcPr>
          <w:p w:rsidR="005F1D5F" w:rsidRPr="00A95A85" w:rsidP="00801D46" w14:paraId="28F641EE" w14:textId="77777777">
            <w:pPr>
              <w:pStyle w:val="LTableTextAbt"/>
              <w:rPr>
                <w:szCs w:val="18"/>
              </w:rPr>
            </w:pPr>
          </w:p>
        </w:tc>
        <w:tc>
          <w:tcPr>
            <w:tcW w:w="567" w:type="pct"/>
            <w:vMerge/>
            <w:vAlign w:val="center"/>
          </w:tcPr>
          <w:p w:rsidR="005F1D5F" w:rsidRPr="00A95A85" w:rsidP="00801D46" w14:paraId="0A4C1A69" w14:textId="77777777">
            <w:pPr>
              <w:pStyle w:val="CTableTextAbt"/>
              <w:rPr>
                <w:rFonts w:cs="Arial"/>
              </w:rPr>
            </w:pPr>
          </w:p>
        </w:tc>
        <w:tc>
          <w:tcPr>
            <w:tcW w:w="2387" w:type="pct"/>
            <w:vAlign w:val="center"/>
          </w:tcPr>
          <w:p w:rsidR="005F1D5F" w:rsidRPr="00A95A85" w:rsidP="00801D46" w14:paraId="249DE48B" w14:textId="77777777">
            <w:pPr>
              <w:pStyle w:val="LTableTextAbt"/>
              <w:rPr>
                <w:vertAlign w:val="superscript"/>
              </w:rPr>
            </w:pPr>
            <w:r w:rsidRPr="00A95A85">
              <w:rPr>
                <w:rFonts w:cs="Arial"/>
              </w:rPr>
              <w:t xml:space="preserve">Motor Vehicle Body Manufacturing (336211) </w:t>
            </w:r>
            <w:r w:rsidRPr="00A95A85">
              <w:rPr>
                <w:rFonts w:cs="Arial"/>
                <w:vertAlign w:val="superscript"/>
              </w:rPr>
              <w:t>e</w:t>
            </w:r>
          </w:p>
        </w:tc>
        <w:tc>
          <w:tcPr>
            <w:tcW w:w="355" w:type="pct"/>
            <w:shd w:val="clear" w:color="auto" w:fill="auto"/>
            <w:vAlign w:val="center"/>
          </w:tcPr>
          <w:p w:rsidR="005F1D5F" w:rsidRPr="00A95A85" w:rsidP="00BD63C7" w14:paraId="58557D64" w14:textId="77777777">
            <w:pPr>
              <w:pStyle w:val="RTableTextAbt"/>
            </w:pPr>
            <w:r w:rsidRPr="00A95A85">
              <w:rPr>
                <w:rFonts w:cs="Arial"/>
                <w:szCs w:val="19"/>
              </w:rPr>
              <w:t>611</w:t>
            </w:r>
          </w:p>
        </w:tc>
      </w:tr>
      <w:tr w14:paraId="016B1D4D" w14:textId="77777777" w:rsidTr="00CA0464">
        <w:tblPrEx>
          <w:tblW w:w="5000" w:type="pct"/>
          <w:tblLayout w:type="fixed"/>
          <w:tblCellMar>
            <w:left w:w="58" w:type="dxa"/>
            <w:right w:w="58" w:type="dxa"/>
          </w:tblCellMar>
          <w:tblLook w:val="04A0"/>
        </w:tblPrEx>
        <w:trPr>
          <w:cantSplit/>
        </w:trPr>
        <w:tc>
          <w:tcPr>
            <w:tcW w:w="602" w:type="pct"/>
            <w:vMerge/>
            <w:shd w:val="clear" w:color="auto" w:fill="auto"/>
            <w:vAlign w:val="center"/>
          </w:tcPr>
          <w:p w:rsidR="005F1D5F" w:rsidRPr="00A95A85" w:rsidP="00801D46" w14:paraId="5034139D" w14:textId="77777777">
            <w:pPr>
              <w:pStyle w:val="LTableTextAbt"/>
            </w:pPr>
          </w:p>
        </w:tc>
        <w:tc>
          <w:tcPr>
            <w:tcW w:w="1089" w:type="pct"/>
            <w:vMerge/>
            <w:shd w:val="clear" w:color="auto" w:fill="auto"/>
            <w:vAlign w:val="center"/>
          </w:tcPr>
          <w:p w:rsidR="005F1D5F" w:rsidRPr="00A95A85" w:rsidP="00801D46" w14:paraId="78E149E5" w14:textId="77777777">
            <w:pPr>
              <w:pStyle w:val="LTableTextAbt"/>
              <w:rPr>
                <w:szCs w:val="18"/>
              </w:rPr>
            </w:pPr>
          </w:p>
        </w:tc>
        <w:tc>
          <w:tcPr>
            <w:tcW w:w="567" w:type="pct"/>
            <w:vMerge/>
            <w:vAlign w:val="center"/>
          </w:tcPr>
          <w:p w:rsidR="005F1D5F" w:rsidRPr="00A95A85" w:rsidP="00801D46" w14:paraId="75DCCA8D" w14:textId="77777777">
            <w:pPr>
              <w:pStyle w:val="CTableTextAbt"/>
              <w:rPr>
                <w:rFonts w:ascii="Aptos" w:hAnsi="Aptos" w:cs="Arial"/>
              </w:rPr>
            </w:pPr>
          </w:p>
        </w:tc>
        <w:tc>
          <w:tcPr>
            <w:tcW w:w="2387" w:type="pct"/>
            <w:vAlign w:val="center"/>
          </w:tcPr>
          <w:p w:rsidR="005F1D5F" w:rsidRPr="00384AC4" w:rsidP="00384AC4" w14:paraId="325386DF" w14:textId="77777777">
            <w:pPr>
              <w:pStyle w:val="LTableTextAbt"/>
            </w:pPr>
            <w:r w:rsidRPr="00384AC4">
              <w:t xml:space="preserve">Automotive Body, Paint and Interior Repair and Maintenance (811121) </w:t>
            </w:r>
            <w:r w:rsidRPr="00384AC4">
              <w:rPr>
                <w:vertAlign w:val="superscript"/>
              </w:rPr>
              <w:t>e</w:t>
            </w:r>
          </w:p>
        </w:tc>
        <w:tc>
          <w:tcPr>
            <w:tcW w:w="355" w:type="pct"/>
            <w:shd w:val="clear" w:color="auto" w:fill="auto"/>
            <w:vAlign w:val="center"/>
          </w:tcPr>
          <w:p w:rsidR="005F1D5F" w:rsidRPr="00A95A85" w:rsidP="00BD63C7" w14:paraId="4969F865" w14:textId="77777777">
            <w:pPr>
              <w:pStyle w:val="RTableTextAbt"/>
              <w:rPr>
                <w:rFonts w:ascii="Aptos" w:hAnsi="Aptos" w:cs="Arial"/>
                <w:sz w:val="19"/>
                <w:szCs w:val="19"/>
              </w:rPr>
            </w:pPr>
            <w:r w:rsidRPr="00A95A85">
              <w:rPr>
                <w:rFonts w:ascii="Aptos" w:hAnsi="Aptos" w:cs="Arial"/>
                <w:sz w:val="19"/>
                <w:szCs w:val="19"/>
              </w:rPr>
              <w:t>31,728</w:t>
            </w:r>
          </w:p>
        </w:tc>
      </w:tr>
      <w:tr w14:paraId="0F9DAEE1" w14:textId="77777777" w:rsidTr="00CA0464">
        <w:tblPrEx>
          <w:tblW w:w="5000" w:type="pct"/>
          <w:tblLayout w:type="fixed"/>
          <w:tblCellMar>
            <w:left w:w="58" w:type="dxa"/>
            <w:right w:w="58" w:type="dxa"/>
          </w:tblCellMar>
          <w:tblLook w:val="04A0"/>
        </w:tblPrEx>
        <w:trPr>
          <w:cantSplit/>
        </w:trPr>
        <w:tc>
          <w:tcPr>
            <w:tcW w:w="602" w:type="pct"/>
            <w:vMerge/>
            <w:shd w:val="clear" w:color="auto" w:fill="auto"/>
            <w:vAlign w:val="center"/>
            <w:hideMark/>
          </w:tcPr>
          <w:p w:rsidR="005F1D5F" w:rsidRPr="00A95A85" w:rsidP="00801D46" w14:paraId="054FC7F3" w14:textId="77777777">
            <w:pPr>
              <w:pStyle w:val="LTableTextAbt"/>
            </w:pPr>
          </w:p>
        </w:tc>
        <w:tc>
          <w:tcPr>
            <w:tcW w:w="1089" w:type="pct"/>
            <w:shd w:val="clear" w:color="auto" w:fill="auto"/>
            <w:vAlign w:val="center"/>
          </w:tcPr>
          <w:p w:rsidR="005F1D5F" w:rsidRPr="00A95A85" w:rsidP="00801D46" w14:paraId="60B678DD" w14:textId="77777777">
            <w:pPr>
              <w:pStyle w:val="LTableTextAbt"/>
              <w:rPr>
                <w:szCs w:val="18"/>
              </w:rPr>
            </w:pPr>
            <w:r w:rsidRPr="00A95A85">
              <w:rPr>
                <w:szCs w:val="18"/>
              </w:rPr>
              <w:t xml:space="preserve">Merchant ink </w:t>
            </w:r>
          </w:p>
        </w:tc>
        <w:tc>
          <w:tcPr>
            <w:tcW w:w="567" w:type="pct"/>
            <w:vAlign w:val="center"/>
          </w:tcPr>
          <w:p w:rsidR="005F1D5F" w:rsidRPr="00A95A85" w:rsidP="00801D46" w14:paraId="5347957A" w14:textId="77777777">
            <w:pPr>
              <w:pStyle w:val="CTableTextAbt"/>
            </w:pPr>
            <w:r w:rsidRPr="00A95A85">
              <w:t>No</w:t>
            </w:r>
          </w:p>
        </w:tc>
        <w:tc>
          <w:tcPr>
            <w:tcW w:w="2387" w:type="pct"/>
            <w:vAlign w:val="center"/>
          </w:tcPr>
          <w:p w:rsidR="005F1D5F" w:rsidRPr="00A95A85" w:rsidP="00801D46" w14:paraId="7C3E4614" w14:textId="77777777">
            <w:pPr>
              <w:pStyle w:val="LTableTextAbt"/>
              <w:rPr>
                <w:vertAlign w:val="superscript"/>
              </w:rPr>
            </w:pPr>
            <w:r w:rsidRPr="00A95A85">
              <w:t xml:space="preserve">Commercial printing </w:t>
            </w:r>
            <w:r w:rsidRPr="00A95A85">
              <w:rPr>
                <w:vertAlign w:val="superscript"/>
              </w:rPr>
              <w:t>g</w:t>
            </w:r>
          </w:p>
        </w:tc>
        <w:tc>
          <w:tcPr>
            <w:tcW w:w="355" w:type="pct"/>
            <w:shd w:val="clear" w:color="auto" w:fill="auto"/>
            <w:vAlign w:val="center"/>
          </w:tcPr>
          <w:p w:rsidR="005F1D5F" w:rsidRPr="00A95A85" w:rsidP="00BD63C7" w14:paraId="7C136885" w14:textId="77777777">
            <w:pPr>
              <w:pStyle w:val="RTableTextAbt"/>
            </w:pPr>
            <w:r w:rsidRPr="00A95A85">
              <w:t>0</w:t>
            </w:r>
          </w:p>
        </w:tc>
      </w:tr>
      <w:tr w14:paraId="25AFC90C" w14:textId="77777777" w:rsidTr="00CA0464">
        <w:tblPrEx>
          <w:tblW w:w="5000" w:type="pct"/>
          <w:tblLayout w:type="fixed"/>
          <w:tblCellMar>
            <w:left w:w="58" w:type="dxa"/>
            <w:right w:w="58" w:type="dxa"/>
          </w:tblCellMar>
          <w:tblLook w:val="04A0"/>
        </w:tblPrEx>
        <w:trPr>
          <w:cantSplit/>
        </w:trPr>
        <w:tc>
          <w:tcPr>
            <w:tcW w:w="1691" w:type="pct"/>
            <w:gridSpan w:val="2"/>
            <w:vMerge w:val="restart"/>
            <w:shd w:val="clear" w:color="auto" w:fill="auto"/>
            <w:vAlign w:val="center"/>
            <w:hideMark/>
          </w:tcPr>
          <w:p w:rsidR="005F1D5F" w:rsidRPr="00A95A85" w:rsidP="00801D46" w14:paraId="2F4AAB41" w14:textId="77777777">
            <w:pPr>
              <w:pStyle w:val="LTableTextAbt"/>
            </w:pPr>
            <w:r w:rsidRPr="00A95A85">
              <w:t>Disposal</w:t>
            </w:r>
          </w:p>
        </w:tc>
        <w:tc>
          <w:tcPr>
            <w:tcW w:w="567" w:type="pct"/>
            <w:vMerge w:val="restart"/>
            <w:vAlign w:val="center"/>
          </w:tcPr>
          <w:p w:rsidR="005F1D5F" w:rsidRPr="00A95A85" w:rsidP="00801D46" w14:paraId="5E98BB52" w14:textId="77777777">
            <w:pPr>
              <w:pStyle w:val="CTableTextAbt"/>
              <w:rPr>
                <w:rFonts w:cs="Arial"/>
              </w:rPr>
            </w:pPr>
            <w:r w:rsidRPr="00A95A85">
              <w:rPr>
                <w:rFonts w:cs="Arial"/>
              </w:rPr>
              <w:t>No</w:t>
            </w:r>
          </w:p>
        </w:tc>
        <w:tc>
          <w:tcPr>
            <w:tcW w:w="2387" w:type="pct"/>
            <w:vAlign w:val="center"/>
          </w:tcPr>
          <w:p w:rsidR="005F1D5F" w:rsidRPr="00A95A85" w:rsidP="00801D46" w14:paraId="24572969" w14:textId="77777777">
            <w:pPr>
              <w:pStyle w:val="LTableTextAbt"/>
              <w:rPr>
                <w:vertAlign w:val="superscript"/>
              </w:rPr>
            </w:pPr>
            <w:r w:rsidRPr="00A95A85">
              <w:rPr>
                <w:rFonts w:cs="Arial"/>
              </w:rPr>
              <w:t xml:space="preserve">Sewage Treatment Facilities (221320) </w:t>
            </w:r>
            <w:r w:rsidRPr="00A95A85">
              <w:rPr>
                <w:rFonts w:cs="Arial"/>
                <w:vertAlign w:val="superscript"/>
              </w:rPr>
              <w:t>e</w:t>
            </w:r>
          </w:p>
        </w:tc>
        <w:tc>
          <w:tcPr>
            <w:tcW w:w="355" w:type="pct"/>
            <w:shd w:val="clear" w:color="auto" w:fill="auto"/>
            <w:vAlign w:val="center"/>
          </w:tcPr>
          <w:p w:rsidR="005F1D5F" w:rsidRPr="00A95A85" w:rsidP="00BD63C7" w14:paraId="3EDC54D8" w14:textId="77777777">
            <w:pPr>
              <w:pStyle w:val="RTableTextAbt"/>
            </w:pPr>
            <w:r w:rsidRPr="00A95A85">
              <w:rPr>
                <w:rFonts w:cs="Arial"/>
                <w:szCs w:val="19"/>
              </w:rPr>
              <w:t>333</w:t>
            </w:r>
          </w:p>
        </w:tc>
      </w:tr>
      <w:tr w14:paraId="6FF77C0D" w14:textId="77777777" w:rsidTr="00CA0464">
        <w:tblPrEx>
          <w:tblW w:w="5000" w:type="pct"/>
          <w:tblLayout w:type="fixed"/>
          <w:tblCellMar>
            <w:left w:w="58" w:type="dxa"/>
            <w:right w:w="58" w:type="dxa"/>
          </w:tblCellMar>
          <w:tblLook w:val="04A0"/>
        </w:tblPrEx>
        <w:trPr>
          <w:cantSplit/>
        </w:trPr>
        <w:tc>
          <w:tcPr>
            <w:tcW w:w="1691" w:type="pct"/>
            <w:gridSpan w:val="2"/>
            <w:vMerge/>
            <w:shd w:val="clear" w:color="auto" w:fill="auto"/>
            <w:vAlign w:val="center"/>
          </w:tcPr>
          <w:p w:rsidR="005F1D5F" w:rsidRPr="00A95A85" w:rsidP="00CA0464" w14:paraId="63C09E62" w14:textId="77777777">
            <w:pPr>
              <w:pStyle w:val="TableText"/>
              <w:keepNext/>
            </w:pPr>
          </w:p>
        </w:tc>
        <w:tc>
          <w:tcPr>
            <w:tcW w:w="567" w:type="pct"/>
            <w:vMerge/>
          </w:tcPr>
          <w:p w:rsidR="005F1D5F" w:rsidRPr="00A95A85" w:rsidP="00CA0464" w14:paraId="6F890B50" w14:textId="77777777">
            <w:pPr>
              <w:pStyle w:val="TableText"/>
              <w:keepNext/>
              <w:rPr>
                <w:rFonts w:cs="Arial"/>
                <w:color w:val="000000"/>
                <w:szCs w:val="18"/>
              </w:rPr>
            </w:pPr>
          </w:p>
        </w:tc>
        <w:tc>
          <w:tcPr>
            <w:tcW w:w="2387" w:type="pct"/>
            <w:vAlign w:val="center"/>
          </w:tcPr>
          <w:p w:rsidR="005F1D5F" w:rsidRPr="00A95A85" w:rsidP="00801D46" w14:paraId="7783E39C" w14:textId="77777777">
            <w:pPr>
              <w:pStyle w:val="LTableTextAbt"/>
            </w:pPr>
            <w:r w:rsidRPr="00A95A85">
              <w:rPr>
                <w:rFonts w:cs="Arial"/>
              </w:rPr>
              <w:t xml:space="preserve">Solid Waste Collection (562111) </w:t>
            </w:r>
            <w:r w:rsidRPr="00A95A85">
              <w:rPr>
                <w:rFonts w:cs="Arial"/>
                <w:vertAlign w:val="superscript"/>
              </w:rPr>
              <w:t>e</w:t>
            </w:r>
          </w:p>
        </w:tc>
        <w:tc>
          <w:tcPr>
            <w:tcW w:w="355" w:type="pct"/>
            <w:shd w:val="clear" w:color="auto" w:fill="auto"/>
            <w:vAlign w:val="center"/>
          </w:tcPr>
          <w:p w:rsidR="005F1D5F" w:rsidRPr="00A95A85" w:rsidP="00BD63C7" w14:paraId="19BFD913" w14:textId="77777777">
            <w:pPr>
              <w:pStyle w:val="RTableTextAbt"/>
            </w:pPr>
            <w:r w:rsidRPr="00A95A85">
              <w:rPr>
                <w:rFonts w:cs="Arial"/>
                <w:szCs w:val="19"/>
              </w:rPr>
              <w:t>6,813</w:t>
            </w:r>
          </w:p>
        </w:tc>
      </w:tr>
      <w:tr w14:paraId="36A002E8" w14:textId="77777777" w:rsidTr="00CA0464">
        <w:tblPrEx>
          <w:tblW w:w="5000" w:type="pct"/>
          <w:tblLayout w:type="fixed"/>
          <w:tblCellMar>
            <w:left w:w="58" w:type="dxa"/>
            <w:right w:w="58" w:type="dxa"/>
          </w:tblCellMar>
          <w:tblLook w:val="04A0"/>
        </w:tblPrEx>
        <w:trPr>
          <w:cantSplit/>
        </w:trPr>
        <w:tc>
          <w:tcPr>
            <w:tcW w:w="1691" w:type="pct"/>
            <w:gridSpan w:val="2"/>
            <w:vMerge/>
            <w:shd w:val="clear" w:color="auto" w:fill="auto"/>
            <w:vAlign w:val="center"/>
          </w:tcPr>
          <w:p w:rsidR="005F1D5F" w:rsidRPr="00A95A85" w:rsidP="00CA0464" w14:paraId="045EE9E0" w14:textId="77777777">
            <w:pPr>
              <w:pStyle w:val="TableText"/>
              <w:keepNext/>
            </w:pPr>
          </w:p>
        </w:tc>
        <w:tc>
          <w:tcPr>
            <w:tcW w:w="567" w:type="pct"/>
            <w:vMerge/>
          </w:tcPr>
          <w:p w:rsidR="005F1D5F" w:rsidRPr="00A95A85" w:rsidP="00CA0464" w14:paraId="483EE042" w14:textId="77777777">
            <w:pPr>
              <w:pStyle w:val="TableText"/>
              <w:keepNext/>
              <w:rPr>
                <w:rFonts w:cs="Arial"/>
                <w:color w:val="000000"/>
                <w:szCs w:val="18"/>
              </w:rPr>
            </w:pPr>
          </w:p>
        </w:tc>
        <w:tc>
          <w:tcPr>
            <w:tcW w:w="2387" w:type="pct"/>
            <w:vAlign w:val="center"/>
          </w:tcPr>
          <w:p w:rsidR="005F1D5F" w:rsidRPr="00A95A85" w:rsidP="00801D46" w14:paraId="2F2E326C" w14:textId="77777777">
            <w:pPr>
              <w:pStyle w:val="LTableTextAbt"/>
            </w:pPr>
            <w:r w:rsidRPr="00A95A85">
              <w:rPr>
                <w:rFonts w:cs="Arial"/>
              </w:rPr>
              <w:t xml:space="preserve">Solid Waste Landfill (562212) </w:t>
            </w:r>
            <w:r w:rsidRPr="00A95A85">
              <w:rPr>
                <w:rFonts w:cs="Arial"/>
                <w:vertAlign w:val="superscript"/>
              </w:rPr>
              <w:t>e</w:t>
            </w:r>
          </w:p>
        </w:tc>
        <w:tc>
          <w:tcPr>
            <w:tcW w:w="355" w:type="pct"/>
            <w:shd w:val="clear" w:color="auto" w:fill="auto"/>
            <w:vAlign w:val="center"/>
          </w:tcPr>
          <w:p w:rsidR="005F1D5F" w:rsidRPr="00A95A85" w:rsidP="00BD63C7" w14:paraId="1A512909" w14:textId="77777777">
            <w:pPr>
              <w:pStyle w:val="RTableTextAbt"/>
            </w:pPr>
            <w:r w:rsidRPr="00A95A85">
              <w:rPr>
                <w:rFonts w:cs="Arial"/>
                <w:szCs w:val="19"/>
              </w:rPr>
              <w:t>690</w:t>
            </w:r>
          </w:p>
        </w:tc>
      </w:tr>
      <w:tr w14:paraId="7742E067" w14:textId="77777777" w:rsidTr="00CA0464">
        <w:tblPrEx>
          <w:tblW w:w="5000" w:type="pct"/>
          <w:tblLayout w:type="fixed"/>
          <w:tblCellMar>
            <w:left w:w="58" w:type="dxa"/>
            <w:right w:w="58" w:type="dxa"/>
          </w:tblCellMar>
          <w:tblLook w:val="04A0"/>
        </w:tblPrEx>
        <w:trPr>
          <w:cantSplit/>
        </w:trPr>
        <w:tc>
          <w:tcPr>
            <w:tcW w:w="1691" w:type="pct"/>
            <w:gridSpan w:val="2"/>
            <w:vMerge/>
            <w:shd w:val="clear" w:color="auto" w:fill="auto"/>
            <w:vAlign w:val="center"/>
          </w:tcPr>
          <w:p w:rsidR="005F1D5F" w:rsidRPr="00A95A85" w:rsidP="00CA0464" w14:paraId="339C4072" w14:textId="77777777">
            <w:pPr>
              <w:pStyle w:val="TableText"/>
              <w:keepNext/>
            </w:pPr>
          </w:p>
        </w:tc>
        <w:tc>
          <w:tcPr>
            <w:tcW w:w="567" w:type="pct"/>
            <w:vMerge/>
          </w:tcPr>
          <w:p w:rsidR="005F1D5F" w:rsidRPr="00A95A85" w:rsidP="00CA0464" w14:paraId="0C6117CE" w14:textId="77777777">
            <w:pPr>
              <w:pStyle w:val="TableText"/>
              <w:keepNext/>
              <w:rPr>
                <w:rFonts w:cs="Arial"/>
                <w:color w:val="000000"/>
                <w:szCs w:val="18"/>
              </w:rPr>
            </w:pPr>
          </w:p>
        </w:tc>
        <w:tc>
          <w:tcPr>
            <w:tcW w:w="2387" w:type="pct"/>
            <w:vAlign w:val="center"/>
          </w:tcPr>
          <w:p w:rsidR="005F1D5F" w:rsidRPr="00A95A85" w:rsidP="00801D46" w14:paraId="03DAEAC5" w14:textId="77777777">
            <w:pPr>
              <w:pStyle w:val="LTableTextAbt"/>
            </w:pPr>
            <w:r w:rsidRPr="00A95A85">
              <w:rPr>
                <w:rFonts w:cs="Arial"/>
              </w:rPr>
              <w:t xml:space="preserve">Solid Waste Combustors and Incinerators (562212) </w:t>
            </w:r>
            <w:r w:rsidRPr="00A95A85">
              <w:rPr>
                <w:rFonts w:cs="Arial"/>
                <w:vertAlign w:val="superscript"/>
              </w:rPr>
              <w:t>e</w:t>
            </w:r>
          </w:p>
        </w:tc>
        <w:tc>
          <w:tcPr>
            <w:tcW w:w="355" w:type="pct"/>
            <w:shd w:val="clear" w:color="auto" w:fill="auto"/>
            <w:vAlign w:val="center"/>
          </w:tcPr>
          <w:p w:rsidR="005F1D5F" w:rsidRPr="00A95A85" w:rsidP="00BD63C7" w14:paraId="006D2C23" w14:textId="77777777">
            <w:pPr>
              <w:pStyle w:val="RTableTextAbt"/>
            </w:pPr>
            <w:r w:rsidRPr="00A95A85">
              <w:rPr>
                <w:rFonts w:cs="Arial"/>
                <w:szCs w:val="19"/>
              </w:rPr>
              <w:t>40</w:t>
            </w:r>
          </w:p>
        </w:tc>
      </w:tr>
      <w:tr w14:paraId="35F49CCF" w14:textId="77777777" w:rsidTr="00CA0464">
        <w:tblPrEx>
          <w:tblW w:w="5000" w:type="pct"/>
          <w:tblLayout w:type="fixed"/>
          <w:tblCellMar>
            <w:left w:w="58" w:type="dxa"/>
            <w:right w:w="58" w:type="dxa"/>
          </w:tblCellMar>
          <w:tblLook w:val="04A0"/>
        </w:tblPrEx>
        <w:trPr>
          <w:cantSplit/>
        </w:trPr>
        <w:tc>
          <w:tcPr>
            <w:tcW w:w="1691" w:type="pct"/>
            <w:gridSpan w:val="2"/>
            <w:vMerge/>
            <w:shd w:val="clear" w:color="auto" w:fill="auto"/>
            <w:vAlign w:val="center"/>
          </w:tcPr>
          <w:p w:rsidR="005F1D5F" w:rsidRPr="00A95A85" w:rsidP="00CA0464" w14:paraId="5BA7B745" w14:textId="77777777">
            <w:pPr>
              <w:pStyle w:val="TableText"/>
              <w:keepNext/>
            </w:pPr>
          </w:p>
        </w:tc>
        <w:tc>
          <w:tcPr>
            <w:tcW w:w="567" w:type="pct"/>
            <w:vMerge/>
          </w:tcPr>
          <w:p w:rsidR="005F1D5F" w:rsidRPr="00A95A85" w:rsidP="00CA0464" w14:paraId="4C2EAE01" w14:textId="77777777">
            <w:pPr>
              <w:pStyle w:val="TableText"/>
              <w:keepNext/>
              <w:rPr>
                <w:rFonts w:cs="Arial"/>
                <w:color w:val="000000"/>
                <w:szCs w:val="18"/>
              </w:rPr>
            </w:pPr>
          </w:p>
        </w:tc>
        <w:tc>
          <w:tcPr>
            <w:tcW w:w="2387" w:type="pct"/>
            <w:vAlign w:val="center"/>
          </w:tcPr>
          <w:p w:rsidR="005F1D5F" w:rsidRPr="00A95A85" w:rsidP="00801D46" w14:paraId="35D63155" w14:textId="77777777">
            <w:pPr>
              <w:pStyle w:val="LTableTextAbt"/>
            </w:pPr>
            <w:r w:rsidRPr="00A95A85">
              <w:rPr>
                <w:rFonts w:cs="Arial"/>
              </w:rPr>
              <w:t xml:space="preserve">Other Nonhazardous Waste Treatment and Disposal  (562219) </w:t>
            </w:r>
            <w:r w:rsidRPr="00A95A85">
              <w:rPr>
                <w:rFonts w:cs="Arial"/>
                <w:vertAlign w:val="superscript"/>
              </w:rPr>
              <w:t>e</w:t>
            </w:r>
          </w:p>
        </w:tc>
        <w:tc>
          <w:tcPr>
            <w:tcW w:w="355" w:type="pct"/>
            <w:shd w:val="clear" w:color="auto" w:fill="auto"/>
            <w:vAlign w:val="center"/>
          </w:tcPr>
          <w:p w:rsidR="005F1D5F" w:rsidRPr="00A95A85" w:rsidP="00BD63C7" w14:paraId="752F62F7" w14:textId="77777777">
            <w:pPr>
              <w:pStyle w:val="RTableTextAbt"/>
            </w:pPr>
            <w:r w:rsidRPr="00A95A85">
              <w:rPr>
                <w:rFonts w:cs="Arial"/>
                <w:szCs w:val="19"/>
              </w:rPr>
              <w:t>470</w:t>
            </w:r>
          </w:p>
        </w:tc>
      </w:tr>
      <w:tr w14:paraId="2DC948D8" w14:textId="77777777" w:rsidTr="00CA0464">
        <w:tblPrEx>
          <w:tblW w:w="5000" w:type="pct"/>
          <w:tblLayout w:type="fixed"/>
          <w:tblCellMar>
            <w:left w:w="58" w:type="dxa"/>
            <w:right w:w="58" w:type="dxa"/>
          </w:tblCellMar>
          <w:tblLook w:val="04A0"/>
        </w:tblPrEx>
        <w:trPr>
          <w:cantSplit/>
        </w:trPr>
        <w:tc>
          <w:tcPr>
            <w:tcW w:w="5000" w:type="pct"/>
            <w:gridSpan w:val="5"/>
          </w:tcPr>
          <w:p w:rsidR="005F1D5F" w:rsidRPr="00A95A85" w:rsidP="00CA0464" w14:paraId="04308D71" w14:textId="1C40D4D0">
            <w:pPr>
              <w:pStyle w:val="TableNote0"/>
            </w:pPr>
            <w:r w:rsidRPr="00A95A85">
              <w:t>a. PV29 is manufactured domestically by a single firm; see Section</w:t>
            </w:r>
            <w:r w:rsidR="001B153A">
              <w:t xml:space="preserve"> </w:t>
            </w:r>
            <w:r w:rsidR="00007570">
              <w:fldChar w:fldCharType="begin" w:fldLock="1"/>
            </w:r>
            <w:r w:rsidR="00007570">
              <w:instrText xml:space="preserve"> REF _Ref175649108 \r \h </w:instrText>
            </w:r>
            <w:r w:rsidR="00007570">
              <w:fldChar w:fldCharType="separate"/>
            </w:r>
            <w:r w:rsidR="00735BBC">
              <w:t>3.1.1</w:t>
            </w:r>
            <w:r w:rsidR="00007570">
              <w:fldChar w:fldCharType="end"/>
            </w:r>
            <w:r w:rsidRPr="00A95A85">
              <w:t>.</w:t>
            </w:r>
          </w:p>
          <w:p w:rsidR="005F1D5F" w:rsidRPr="00A95A85" w:rsidP="00CA0464" w14:paraId="55AECC2A" w14:textId="3620B5AF">
            <w:pPr>
              <w:pStyle w:val="TableNote0"/>
            </w:pPr>
            <w:r w:rsidRPr="00A95A85">
              <w:t>b.</w:t>
            </w:r>
            <w:r w:rsidR="00784081">
              <w:t xml:space="preserve"> PV29 is imported by a single firm which processes it into automotive paint; see Section </w:t>
            </w:r>
            <w:r w:rsidR="00007570">
              <w:fldChar w:fldCharType="begin" w:fldLock="1"/>
            </w:r>
            <w:r w:rsidR="00007570">
              <w:instrText xml:space="preserve"> REF _Ref175649108 \r \h </w:instrText>
            </w:r>
            <w:r w:rsidR="00007570">
              <w:fldChar w:fldCharType="separate"/>
            </w:r>
            <w:r w:rsidR="00735BBC">
              <w:t>3.1.1</w:t>
            </w:r>
            <w:r w:rsidR="00007570">
              <w:fldChar w:fldCharType="end"/>
            </w:r>
            <w:r w:rsidR="00784081">
              <w:t>.</w:t>
            </w:r>
          </w:p>
          <w:p w:rsidR="005F1D5F" w:rsidRPr="00A95A85" w:rsidP="00CA0464" w14:paraId="2DDB563A" w14:textId="77777777">
            <w:pPr>
              <w:pStyle w:val="TableNote0"/>
            </w:pPr>
            <w:r w:rsidRPr="00A95A85">
              <w:t>c. Number of firms based on information provided by domestic manufacturer (EPA 2021d).</w:t>
            </w:r>
          </w:p>
          <w:p w:rsidR="005F1D5F" w:rsidRPr="00A95A85" w:rsidP="00CA0464" w14:paraId="5287C948" w14:textId="77777777">
            <w:pPr>
              <w:pStyle w:val="TableNote0"/>
            </w:pPr>
            <w:r w:rsidRPr="00A95A85">
              <w:t xml:space="preserve">d. The firm that manufactures PV29 uses it to manufacture pigments; there are no additional facilities in this industry. </w:t>
            </w:r>
          </w:p>
          <w:p w:rsidR="005F1D5F" w:rsidRPr="00A95A85" w:rsidP="00CA0464" w14:paraId="3E41C3AC" w14:textId="02E1EB67">
            <w:pPr>
              <w:pStyle w:val="TableNote0"/>
            </w:pPr>
            <w:r w:rsidRPr="00A95A85">
              <w:t xml:space="preserve">e. Number of firms based on data from </w:t>
            </w:r>
            <w:r w:rsidRPr="4A8A1481" w:rsidR="004F5690">
              <w:rPr>
                <w:noProof/>
              </w:rPr>
              <w:t>Census Bureau (2023)</w:t>
            </w:r>
          </w:p>
          <w:p w:rsidR="005F1D5F" w:rsidRPr="00A95A85" w:rsidP="00CA0464" w14:paraId="7BFC6244" w14:textId="72B257BB">
            <w:pPr>
              <w:pStyle w:val="TableNote0"/>
            </w:pPr>
            <w:r w:rsidRPr="00A95A85">
              <w:t>f. Number of firms based on industry data; see Section</w:t>
            </w:r>
            <w:r w:rsidR="00500E08">
              <w:t xml:space="preserve"> </w:t>
            </w:r>
            <w:r w:rsidR="00500E08">
              <w:fldChar w:fldCharType="begin" w:fldLock="1"/>
            </w:r>
            <w:r w:rsidR="00500E08">
              <w:instrText xml:space="preserve"> REF _Ref175217519 \r \h </w:instrText>
            </w:r>
            <w:r w:rsidR="00500E08">
              <w:fldChar w:fldCharType="separate"/>
            </w:r>
            <w:r w:rsidR="00735BBC">
              <w:t>3.1.2</w:t>
            </w:r>
            <w:r w:rsidR="00500E08">
              <w:fldChar w:fldCharType="end"/>
            </w:r>
            <w:r w:rsidRPr="00A95A85">
              <w:t>.</w:t>
            </w:r>
          </w:p>
          <w:p w:rsidR="005F1D5F" w:rsidP="00CA0464" w14:paraId="20041384" w14:textId="3243C046">
            <w:pPr>
              <w:pStyle w:val="TableNote0"/>
            </w:pPr>
            <w:r w:rsidRPr="00A95A85">
              <w:t>g. Available information indicates there is no use of PV29 in merchant ink for commercial printing; see Section</w:t>
            </w:r>
            <w:r w:rsidR="001B153A">
              <w:t xml:space="preserve"> </w:t>
            </w:r>
            <w:r w:rsidR="008D5AF1">
              <w:fldChar w:fldCharType="begin" w:fldLock="1"/>
            </w:r>
            <w:r w:rsidR="008D5AF1">
              <w:instrText xml:space="preserve"> REF _Ref175649152 \r \h </w:instrText>
            </w:r>
            <w:r w:rsidR="008D5AF1">
              <w:fldChar w:fldCharType="separate"/>
            </w:r>
            <w:r w:rsidR="00735BBC">
              <w:t>3.1.3</w:t>
            </w:r>
            <w:r w:rsidR="008D5AF1">
              <w:fldChar w:fldCharType="end"/>
            </w:r>
            <w:r w:rsidRPr="00A95A85">
              <w:t xml:space="preserve">. </w:t>
            </w:r>
          </w:p>
          <w:p w:rsidR="00CB74FE" w:rsidRPr="00A95A85" w:rsidP="00CA0464" w14:paraId="1C52C12B" w14:textId="12B6B80E">
            <w:pPr>
              <w:pStyle w:val="TableNote0"/>
            </w:pPr>
          </w:p>
        </w:tc>
      </w:tr>
    </w:tbl>
    <w:p w:rsidR="005F1D5F" w:rsidRPr="00A95A85" w:rsidP="005F1D5F" w14:paraId="1DFC3F1E" w14:textId="77777777">
      <w:pPr>
        <w:pStyle w:val="FootnoteText"/>
      </w:pPr>
    </w:p>
    <w:p w:rsidR="005F1D5F" w:rsidRPr="003E4C56" w:rsidP="003E4C56" w14:paraId="710E21A9" w14:textId="77777777">
      <w:pPr>
        <w:pStyle w:val="Heading2"/>
        <w:rPr>
          <w:rStyle w:val="TableTextChar"/>
          <w:rFonts w:ascii="Arial" w:hAnsi="Arial" w:eastAsiaTheme="minorEastAsia"/>
        </w:rPr>
      </w:pPr>
      <w:bookmarkStart w:id="152" w:name="_Ref181104651"/>
      <w:bookmarkStart w:id="153" w:name="_Toc184299514"/>
      <w:r w:rsidRPr="003E4C56">
        <w:rPr>
          <w:rStyle w:val="TableTextChar"/>
          <w:rFonts w:ascii="Arial" w:hAnsi="Arial" w:eastAsiaTheme="minorEastAsia"/>
        </w:rPr>
        <w:t>Worker Exposure to Regulated PV29</w:t>
      </w:r>
      <w:bookmarkEnd w:id="152"/>
      <w:bookmarkEnd w:id="153"/>
    </w:p>
    <w:p w:rsidR="005F1D5F" w:rsidRPr="00A95A85" w:rsidP="00832749" w14:paraId="462E4056" w14:textId="327E3B28">
      <w:pPr>
        <w:pStyle w:val="BodyText"/>
      </w:pPr>
      <w:r>
        <w:t xml:space="preserve">Because the costs and benefits of the rule depend in part on the number of employees in regulated facilities, </w:t>
      </w:r>
      <w:r w:rsidRPr="00A95A85">
        <w:t>it is also necessary to estimate the number of workers who may be exposed</w:t>
      </w:r>
      <w:r>
        <w:t xml:space="preserve"> to regulated PV29</w:t>
      </w:r>
      <w:r w:rsidRPr="00A95A85">
        <w:t xml:space="preserve"> either directly or as part of peripheral duties (ONUs). For each </w:t>
      </w:r>
      <w:r>
        <w:t>use category</w:t>
      </w:r>
      <w:r w:rsidRPr="00A95A85">
        <w:t xml:space="preserve">, EPA estimated the number of exposed workers based on methods detailed in the Risk Evaluation </w:t>
      </w:r>
      <w:r w:rsidR="00117E1A">
        <w:t>(</w:t>
      </w:r>
      <w:hyperlink w:anchor="_ENREF_65" w:tooltip="U.S. Environmental Protection Agency (EPA), 2021 #61" w:history="1">
        <w:r w:rsidR="003D6084">
          <w:fldChar w:fldCharType="begin" w:fldLock="1"/>
        </w:r>
        <w:r w:rsidR="003D6084">
          <w:instrText xml:space="preserve"> ADDIN EN.CITE &lt;EndNote&gt;&lt;Cite ExcludeAuth="1"&gt;&lt;Author&gt;U.S. Environmental Protection Agency (EPA)&lt;/Author&gt;&lt;Year&gt;2021&lt;/Year&gt;&lt;RecNum&gt;61&lt;/RecNum&gt;&lt;Prefix&gt;EPA &lt;/Prefix&gt;&lt;DisplayText&gt;EPA 2021e&lt;/DisplayText&gt;&lt;record&gt;&lt;rec-number&gt;61&lt;/rec-number&gt;&lt;foreign-keys&gt;&lt;key app="EN" db-id="2apzr05radv9fjet2w6xxwdlz5e9vwfxredw" timestamp="1730757315"&gt;61&lt;/key&gt;&lt;/foreign-keys&gt;&lt;ref-type name="Generic"&gt;13&lt;/ref-type&gt;&lt;contributors&gt;&lt;authors&gt;&lt;author&gt;U.S. Environmental Protection Agency (EPA),&lt;/author&gt;&lt;/authors&gt;&lt;subsidiary-authors&gt;&lt;author&gt;Office of Chemical Safety and Pollution Prevention&lt;/author&gt;&lt;/subsidiary-authors&gt;&lt;/contributors&gt;&lt;titles&gt;&lt;title&gt;Risk Evaluation for C.I. Pigment Violet 29 (Anthra[2,1,9-def:6,5,10-d&amp;apos;e&amp;apos;f&amp;apos;]diisoquinoline-1,3,8,10(2H,9H)-tetrone)&lt;/title&gt;&lt;/titles&gt;&lt;number&gt;# 740-R-18-015&lt;/number&gt;&lt;dates&gt;&lt;year&gt;2021&lt;/year&gt;&lt;/dates&gt;&lt;urls&gt;&lt;/urls&gt;&lt;/record&gt;&lt;/Cite&gt;&lt;/EndNote&gt;</w:instrText>
        </w:r>
        <w:r w:rsidR="003D6084">
          <w:fldChar w:fldCharType="separate"/>
        </w:r>
        <w:r w:rsidR="003D6084">
          <w:rPr>
            <w:noProof/>
          </w:rPr>
          <w:t>EPA 2021e</w:t>
        </w:r>
        <w:r w:rsidR="003D6084">
          <w:fldChar w:fldCharType="end"/>
        </w:r>
      </w:hyperlink>
      <w:r w:rsidR="00117E1A">
        <w:t>)</w:t>
      </w:r>
      <w:r w:rsidRPr="00A95A85">
        <w:t xml:space="preserve"> and </w:t>
      </w:r>
      <w:r w:rsidRPr="00DB6E1D">
        <w:t xml:space="preserve">summarized in Sections </w:t>
      </w:r>
      <w:r>
        <w:fldChar w:fldCharType="begin" w:fldLock="1"/>
      </w:r>
      <w:r>
        <w:instrText>REF _Ref175649108 \r \* MERGEFORMAT</w:instrText>
      </w:r>
      <w:r>
        <w:fldChar w:fldCharType="separate"/>
      </w:r>
      <w:r w:rsidR="00735BBC">
        <w:t>3.1.1</w:t>
      </w:r>
      <w:r w:rsidR="00735BBC">
        <w:fldChar w:fldCharType="end"/>
      </w:r>
      <w:r w:rsidRPr="00DB6E1D">
        <w:t xml:space="preserve"> and </w:t>
      </w:r>
      <w:r>
        <w:fldChar w:fldCharType="begin" w:fldLock="1"/>
      </w:r>
      <w:r>
        <w:instrText>REF _Ref175217519 \r \* MERGEFORMAT</w:instrText>
      </w:r>
      <w:r>
        <w:fldChar w:fldCharType="separate"/>
      </w:r>
      <w:r w:rsidR="00735BBC">
        <w:t>3.1.2</w:t>
      </w:r>
      <w:r w:rsidR="00735BBC">
        <w:fldChar w:fldCharType="end"/>
      </w:r>
      <w:r w:rsidRPr="00DB6E1D">
        <w:t xml:space="preserve">. </w:t>
      </w:r>
      <w:r w:rsidRPr="00DB6E1D">
        <w:fldChar w:fldCharType="begin" w:fldLock="1"/>
      </w:r>
      <w:r w:rsidRPr="00DB6E1D">
        <w:instrText>REF _Ref166692540</w:instrText>
      </w:r>
      <w:r>
        <w:instrText xml:space="preserve"> \* MERGEFORMAT </w:instrText>
      </w:r>
      <w:r w:rsidRPr="00DB6E1D">
        <w:fldChar w:fldCharType="separate"/>
      </w:r>
      <w:r w:rsidRPr="00A95A85" w:rsidR="00735BBC">
        <w:t xml:space="preserve">Table </w:t>
      </w:r>
      <w:r w:rsidR="00735BBC">
        <w:rPr>
          <w:noProof/>
        </w:rPr>
        <w:t>3</w:t>
      </w:r>
      <w:r w:rsidR="00735BBC">
        <w:rPr>
          <w:noProof/>
        </w:rPr>
        <w:noBreakHyphen/>
        <w:t>6</w:t>
      </w:r>
      <w:r w:rsidRPr="00DB6E1D">
        <w:fldChar w:fldCharType="end"/>
      </w:r>
      <w:r w:rsidRPr="00A95A85">
        <w:t xml:space="preserve"> summarizes the estimates.</w:t>
      </w:r>
    </w:p>
    <w:tbl>
      <w:tblPr>
        <w:tblStyle w:val="TableGrid"/>
        <w:tblW w:w="5000" w:type="pct"/>
        <w:tblLook w:val="04A0"/>
      </w:tblPr>
      <w:tblGrid>
        <w:gridCol w:w="4343"/>
        <w:gridCol w:w="1256"/>
        <w:gridCol w:w="1256"/>
        <w:gridCol w:w="1155"/>
        <w:gridCol w:w="1350"/>
      </w:tblGrid>
      <w:tr w14:paraId="627BE6C8" w14:textId="77777777" w:rsidTr="00F72E7E">
        <w:tblPrEx>
          <w:tblW w:w="5000" w:type="pct"/>
          <w:tblLook w:val="04A0"/>
        </w:tblPrEx>
        <w:trPr>
          <w:cantSplit/>
          <w:tblHeader/>
        </w:trPr>
        <w:tc>
          <w:tcPr>
            <w:tcW w:w="5000" w:type="pct"/>
            <w:gridSpan w:val="5"/>
            <w:tcBorders>
              <w:top w:val="nil"/>
              <w:left w:val="nil"/>
              <w:bottom w:val="single" w:sz="4" w:space="0" w:color="auto"/>
              <w:right w:val="nil"/>
            </w:tcBorders>
            <w:shd w:val="clear" w:color="auto" w:fill="auto"/>
            <w:vAlign w:val="center"/>
          </w:tcPr>
          <w:p w:rsidR="00F72E7E" w:rsidRPr="00A95A85" w:rsidP="00026204" w14:paraId="329A3F51" w14:textId="5E521471">
            <w:pPr>
              <w:pStyle w:val="TableTitleA"/>
            </w:pPr>
            <w:bookmarkStart w:id="154" w:name="_Ref166692540"/>
            <w:bookmarkStart w:id="155" w:name="_Toc184299555"/>
            <w:r w:rsidRPr="00A95A85">
              <w:t xml:space="preserve">Table </w:t>
            </w:r>
            <w:r>
              <w:fldChar w:fldCharType="begin" w:fldLock="1"/>
            </w:r>
            <w:r>
              <w:instrText>STYLEREF 1 \s</w:instrText>
            </w:r>
            <w:r>
              <w:fldChar w:fldCharType="separate"/>
            </w:r>
            <w:r w:rsidR="00735BBC">
              <w:rPr>
                <w:noProof/>
              </w:rPr>
              <w:t>3</w:t>
            </w:r>
            <w:r>
              <w:fldChar w:fldCharType="end"/>
            </w:r>
            <w:r w:rsidR="000A1542">
              <w:noBreakHyphen/>
            </w:r>
            <w:r>
              <w:fldChar w:fldCharType="begin" w:fldLock="1"/>
            </w:r>
            <w:r>
              <w:instrText>SEQ Table \* ARABIC \s 1</w:instrText>
            </w:r>
            <w:r>
              <w:fldChar w:fldCharType="separate"/>
            </w:r>
            <w:r w:rsidR="00735BBC">
              <w:rPr>
                <w:noProof/>
              </w:rPr>
              <w:t>6</w:t>
            </w:r>
            <w:r>
              <w:fldChar w:fldCharType="end"/>
            </w:r>
            <w:bookmarkEnd w:id="154"/>
            <w:r w:rsidRPr="00A95A85">
              <w:t>: Number of Affected Sites and Exposed Workers</w:t>
            </w:r>
            <w:bookmarkEnd w:id="155"/>
          </w:p>
        </w:tc>
      </w:tr>
      <w:tr w14:paraId="36207BE4" w14:textId="77777777" w:rsidTr="008A1C23">
        <w:tblPrEx>
          <w:tblW w:w="5000" w:type="pct"/>
          <w:tblLook w:val="04A0"/>
        </w:tblPrEx>
        <w:trPr>
          <w:cantSplit/>
          <w:tblHeader/>
        </w:trPr>
        <w:tc>
          <w:tcPr>
            <w:tcW w:w="2320" w:type="pct"/>
            <w:vMerge w:val="restart"/>
            <w:tcBorders>
              <w:top w:val="single" w:sz="4" w:space="0" w:color="auto"/>
            </w:tcBorders>
            <w:shd w:val="clear" w:color="auto" w:fill="013E5B"/>
            <w:vAlign w:val="center"/>
          </w:tcPr>
          <w:p w:rsidR="005F1D5F" w:rsidRPr="00A95A85" w:rsidP="000D7F2B" w14:paraId="472FC778" w14:textId="77777777">
            <w:pPr>
              <w:pStyle w:val="TableSubtitle"/>
            </w:pPr>
            <w:r>
              <w:t>Use category</w:t>
            </w:r>
          </w:p>
        </w:tc>
        <w:tc>
          <w:tcPr>
            <w:tcW w:w="671" w:type="pct"/>
            <w:vMerge w:val="restart"/>
            <w:tcBorders>
              <w:top w:val="single" w:sz="4" w:space="0" w:color="auto"/>
            </w:tcBorders>
            <w:shd w:val="clear" w:color="auto" w:fill="013E5B"/>
            <w:vAlign w:val="center"/>
          </w:tcPr>
          <w:p w:rsidR="005F1D5F" w:rsidRPr="00A95A85" w:rsidP="000D7F2B" w14:paraId="0F042E86" w14:textId="77777777">
            <w:pPr>
              <w:pStyle w:val="TableSubtitle"/>
              <w:rPr>
                <w:vertAlign w:val="superscript"/>
              </w:rPr>
            </w:pPr>
            <w:r w:rsidRPr="00A95A85">
              <w:t xml:space="preserve">Affected facilities </w:t>
            </w:r>
            <w:r w:rsidRPr="00A95A85">
              <w:rPr>
                <w:vertAlign w:val="superscript"/>
              </w:rPr>
              <w:t>a</w:t>
            </w:r>
          </w:p>
        </w:tc>
        <w:tc>
          <w:tcPr>
            <w:tcW w:w="1288" w:type="pct"/>
            <w:gridSpan w:val="2"/>
            <w:tcBorders>
              <w:top w:val="single" w:sz="4" w:space="0" w:color="auto"/>
            </w:tcBorders>
            <w:shd w:val="clear" w:color="auto" w:fill="013E5B"/>
            <w:vAlign w:val="center"/>
          </w:tcPr>
          <w:p w:rsidR="005F1D5F" w:rsidRPr="00A95A85" w:rsidP="000D7F2B" w14:paraId="2E797BAF" w14:textId="35974847">
            <w:pPr>
              <w:pStyle w:val="TableSubtitle"/>
              <w:rPr>
                <w:vertAlign w:val="superscript"/>
              </w:rPr>
            </w:pPr>
            <w:r>
              <w:t xml:space="preserve">Exposed </w:t>
            </w:r>
            <w:r w:rsidR="00EA335A">
              <w:t>employees</w:t>
            </w:r>
            <w:r w:rsidRPr="00A95A85">
              <w:t xml:space="preserve"> </w:t>
            </w:r>
            <w:r w:rsidRPr="00A95A85">
              <w:t xml:space="preserve">per facility </w:t>
            </w:r>
            <w:r w:rsidRPr="00A95A85">
              <w:rPr>
                <w:vertAlign w:val="superscript"/>
              </w:rPr>
              <w:t>b</w:t>
            </w:r>
          </w:p>
        </w:tc>
        <w:tc>
          <w:tcPr>
            <w:tcW w:w="721" w:type="pct"/>
            <w:vMerge w:val="restart"/>
            <w:tcBorders>
              <w:top w:val="single" w:sz="4" w:space="0" w:color="auto"/>
            </w:tcBorders>
            <w:shd w:val="clear" w:color="auto" w:fill="013E5B"/>
            <w:vAlign w:val="center"/>
          </w:tcPr>
          <w:p w:rsidR="005F1D5F" w:rsidRPr="00A95A85" w:rsidP="000D7F2B" w14:paraId="058ABA7A" w14:textId="36DADB1F">
            <w:pPr>
              <w:pStyle w:val="TableSubtitle"/>
              <w:rPr>
                <w:vertAlign w:val="superscript"/>
              </w:rPr>
            </w:pPr>
            <w:r w:rsidRPr="00A95A85">
              <w:t xml:space="preserve">Total </w:t>
            </w:r>
            <w:r w:rsidR="0099484B">
              <w:t>exposed employees</w:t>
            </w:r>
            <w:r w:rsidRPr="00A95A85">
              <w:t xml:space="preserve"> </w:t>
            </w:r>
            <w:r w:rsidRPr="00A95A85">
              <w:rPr>
                <w:vertAlign w:val="superscript"/>
              </w:rPr>
              <w:t>c</w:t>
            </w:r>
          </w:p>
        </w:tc>
      </w:tr>
      <w:tr w14:paraId="3AD33C54" w14:textId="77777777" w:rsidTr="008A1C23">
        <w:tblPrEx>
          <w:tblW w:w="5000" w:type="pct"/>
          <w:tblLook w:val="04A0"/>
        </w:tblPrEx>
        <w:trPr>
          <w:cantSplit/>
          <w:tblHeader/>
        </w:trPr>
        <w:tc>
          <w:tcPr>
            <w:tcW w:w="2320" w:type="pct"/>
            <w:vMerge/>
            <w:vAlign w:val="center"/>
          </w:tcPr>
          <w:p w:rsidR="005F1D5F" w:rsidRPr="00A95A85" w:rsidP="00CA0464" w14:paraId="173D9BB1" w14:textId="77777777">
            <w:pPr>
              <w:pStyle w:val="TableColumnHeader"/>
            </w:pPr>
          </w:p>
        </w:tc>
        <w:tc>
          <w:tcPr>
            <w:tcW w:w="671" w:type="pct"/>
            <w:vMerge/>
            <w:vAlign w:val="center"/>
          </w:tcPr>
          <w:p w:rsidR="005F1D5F" w:rsidRPr="00A95A85" w:rsidP="00CA0464" w14:paraId="318AA22E" w14:textId="77777777">
            <w:pPr>
              <w:pStyle w:val="TableColumnHeader"/>
            </w:pPr>
          </w:p>
        </w:tc>
        <w:tc>
          <w:tcPr>
            <w:tcW w:w="671" w:type="pct"/>
            <w:tcBorders>
              <w:top w:val="single" w:sz="4" w:space="0" w:color="auto"/>
            </w:tcBorders>
            <w:shd w:val="clear" w:color="auto" w:fill="013E5B"/>
            <w:vAlign w:val="center"/>
          </w:tcPr>
          <w:p w:rsidR="005F1D5F" w:rsidRPr="00A95A85" w:rsidP="000D7F2B" w14:paraId="2E7C8020" w14:textId="7CDA4C27">
            <w:pPr>
              <w:pStyle w:val="TableSubtitle"/>
            </w:pPr>
            <w:r>
              <w:t>Workers</w:t>
            </w:r>
          </w:p>
        </w:tc>
        <w:tc>
          <w:tcPr>
            <w:tcW w:w="617" w:type="pct"/>
            <w:tcBorders>
              <w:top w:val="single" w:sz="4" w:space="0" w:color="auto"/>
            </w:tcBorders>
            <w:shd w:val="clear" w:color="auto" w:fill="013E5B"/>
            <w:vAlign w:val="center"/>
          </w:tcPr>
          <w:p w:rsidR="005F1D5F" w:rsidRPr="00A95A85" w:rsidP="000D7F2B" w14:paraId="794C150D" w14:textId="77777777">
            <w:pPr>
              <w:pStyle w:val="TableSubtitle"/>
              <w:rPr>
                <w:vertAlign w:val="superscript"/>
              </w:rPr>
            </w:pPr>
            <w:r w:rsidRPr="00A95A85">
              <w:t>ONUs</w:t>
            </w:r>
          </w:p>
        </w:tc>
        <w:tc>
          <w:tcPr>
            <w:tcW w:w="721" w:type="pct"/>
            <w:vMerge/>
            <w:vAlign w:val="center"/>
          </w:tcPr>
          <w:p w:rsidR="005F1D5F" w:rsidRPr="00A95A85" w:rsidP="00CA0464" w14:paraId="76D09439" w14:textId="77777777">
            <w:pPr>
              <w:pStyle w:val="TableColumnHeader"/>
              <w:rPr>
                <w:sz w:val="19"/>
                <w:szCs w:val="19"/>
                <w:vertAlign w:val="superscript"/>
              </w:rPr>
            </w:pPr>
          </w:p>
        </w:tc>
      </w:tr>
      <w:tr w14:paraId="51EC29AD" w14:textId="77777777" w:rsidTr="008A1C23">
        <w:tblPrEx>
          <w:tblW w:w="5000" w:type="pct"/>
          <w:tblLook w:val="04A0"/>
        </w:tblPrEx>
        <w:trPr>
          <w:cantSplit/>
        </w:trPr>
        <w:tc>
          <w:tcPr>
            <w:tcW w:w="2320" w:type="pct"/>
            <w:shd w:val="clear" w:color="auto" w:fill="auto"/>
          </w:tcPr>
          <w:p w:rsidR="005F1D5F" w:rsidRPr="00A95A85" w:rsidP="00644176" w14:paraId="54BE3277" w14:textId="77777777">
            <w:pPr>
              <w:pStyle w:val="LTableTextAbt"/>
            </w:pPr>
            <w:r w:rsidRPr="00A95A85">
              <w:t>Domestic manufacturing and intermediate processing</w:t>
            </w:r>
          </w:p>
        </w:tc>
        <w:tc>
          <w:tcPr>
            <w:tcW w:w="671" w:type="pct"/>
            <w:shd w:val="clear" w:color="auto" w:fill="auto"/>
            <w:vAlign w:val="center"/>
          </w:tcPr>
          <w:p w:rsidR="005F1D5F" w:rsidRPr="00A95A85" w:rsidP="00644176" w14:paraId="1FA2D1CE" w14:textId="77777777">
            <w:pPr>
              <w:pStyle w:val="RTableTextAbt"/>
            </w:pPr>
            <w:r w:rsidRPr="00A95A85">
              <w:t>1</w:t>
            </w:r>
          </w:p>
        </w:tc>
        <w:tc>
          <w:tcPr>
            <w:tcW w:w="671" w:type="pct"/>
            <w:vAlign w:val="center"/>
          </w:tcPr>
          <w:p w:rsidR="005F1D5F" w:rsidRPr="00A95A85" w:rsidP="00644176" w14:paraId="445785C1" w14:textId="77777777">
            <w:pPr>
              <w:pStyle w:val="RTableTextAbt"/>
            </w:pPr>
            <w:r w:rsidRPr="00A95A85">
              <w:t xml:space="preserve"> 2 to 22</w:t>
            </w:r>
          </w:p>
        </w:tc>
        <w:tc>
          <w:tcPr>
            <w:tcW w:w="617" w:type="pct"/>
            <w:vAlign w:val="center"/>
          </w:tcPr>
          <w:p w:rsidR="005F1D5F" w:rsidRPr="00A95A85" w:rsidP="00644176" w14:paraId="6CB3269C" w14:textId="77777777">
            <w:pPr>
              <w:pStyle w:val="RTableTextAbt"/>
            </w:pPr>
            <w:r w:rsidRPr="00A95A85">
              <w:t>56</w:t>
            </w:r>
          </w:p>
        </w:tc>
        <w:tc>
          <w:tcPr>
            <w:tcW w:w="721" w:type="pct"/>
            <w:vAlign w:val="center"/>
          </w:tcPr>
          <w:p w:rsidR="005F1D5F" w:rsidRPr="00A95A85" w:rsidP="00644176" w14:paraId="2FDD2549" w14:textId="77777777">
            <w:pPr>
              <w:pStyle w:val="RTableTextAbt"/>
            </w:pPr>
            <w:r w:rsidRPr="00A95A85">
              <w:t>58 to 78</w:t>
            </w:r>
          </w:p>
        </w:tc>
      </w:tr>
      <w:tr w14:paraId="014AE469" w14:textId="77777777" w:rsidTr="008A1C23">
        <w:tblPrEx>
          <w:tblW w:w="5000" w:type="pct"/>
          <w:tblLook w:val="04A0"/>
        </w:tblPrEx>
        <w:trPr>
          <w:cantSplit/>
        </w:trPr>
        <w:tc>
          <w:tcPr>
            <w:tcW w:w="2320" w:type="pct"/>
            <w:shd w:val="clear" w:color="auto" w:fill="auto"/>
          </w:tcPr>
          <w:p w:rsidR="00784081" w:rsidRPr="00A95A85" w:rsidP="00644176" w14:paraId="01C9815C" w14:textId="6AE79562">
            <w:pPr>
              <w:pStyle w:val="LTableTextAbt"/>
            </w:pPr>
            <w:r>
              <w:t>PV29 importing</w:t>
            </w:r>
          </w:p>
        </w:tc>
        <w:tc>
          <w:tcPr>
            <w:tcW w:w="671" w:type="pct"/>
            <w:shd w:val="clear" w:color="auto" w:fill="auto"/>
            <w:vAlign w:val="center"/>
          </w:tcPr>
          <w:p w:rsidR="00784081" w:rsidRPr="00A95A85" w:rsidP="00644176" w14:paraId="2A7456C1" w14:textId="6A7F4083">
            <w:pPr>
              <w:pStyle w:val="RTableTextAbt"/>
            </w:pPr>
            <w:r>
              <w:t>1</w:t>
            </w:r>
          </w:p>
        </w:tc>
        <w:tc>
          <w:tcPr>
            <w:tcW w:w="671" w:type="pct"/>
            <w:vAlign w:val="center"/>
          </w:tcPr>
          <w:p w:rsidR="00784081" w:rsidRPr="00A95A85" w:rsidP="00644176" w14:paraId="4C30E3A9" w14:textId="479612BC">
            <w:pPr>
              <w:pStyle w:val="RTableTextAbt"/>
            </w:pPr>
            <w:r>
              <w:t>14</w:t>
            </w:r>
          </w:p>
        </w:tc>
        <w:tc>
          <w:tcPr>
            <w:tcW w:w="617" w:type="pct"/>
            <w:vAlign w:val="center"/>
          </w:tcPr>
          <w:p w:rsidR="00784081" w:rsidRPr="00A95A85" w:rsidP="00644176" w14:paraId="0A9AA80F" w14:textId="567A72F0">
            <w:pPr>
              <w:pStyle w:val="RTableTextAbt"/>
            </w:pPr>
            <w:r>
              <w:t>5</w:t>
            </w:r>
          </w:p>
        </w:tc>
        <w:tc>
          <w:tcPr>
            <w:tcW w:w="721" w:type="pct"/>
            <w:vAlign w:val="center"/>
          </w:tcPr>
          <w:p w:rsidR="00784081" w:rsidRPr="00A95A85" w:rsidP="00644176" w14:paraId="6A2DFCDF" w14:textId="0633D959">
            <w:pPr>
              <w:pStyle w:val="RTableTextAbt"/>
            </w:pPr>
            <w:r>
              <w:t>19</w:t>
            </w:r>
          </w:p>
        </w:tc>
      </w:tr>
      <w:tr w14:paraId="3D5D29DF" w14:textId="77777777" w:rsidTr="008A1C23">
        <w:tblPrEx>
          <w:tblW w:w="5000" w:type="pct"/>
          <w:tblLook w:val="04A0"/>
        </w:tblPrEx>
        <w:trPr>
          <w:cantSplit/>
        </w:trPr>
        <w:tc>
          <w:tcPr>
            <w:tcW w:w="2320" w:type="pct"/>
            <w:shd w:val="clear" w:color="auto" w:fill="auto"/>
          </w:tcPr>
          <w:p w:rsidR="005F1D5F" w:rsidRPr="00A95A85" w:rsidP="00644176" w14:paraId="6C07A89D" w14:textId="77777777">
            <w:pPr>
              <w:pStyle w:val="LTableTextAbt"/>
            </w:pPr>
            <w:r w:rsidRPr="00A95A85">
              <w:t>Processing into automotive paints &amp; coatings</w:t>
            </w:r>
          </w:p>
        </w:tc>
        <w:tc>
          <w:tcPr>
            <w:tcW w:w="671" w:type="pct"/>
            <w:shd w:val="clear" w:color="auto" w:fill="auto"/>
            <w:vAlign w:val="center"/>
          </w:tcPr>
          <w:p w:rsidR="005F1D5F" w:rsidRPr="00A95A85" w:rsidP="00644176" w14:paraId="7CDC75E9" w14:textId="77777777">
            <w:pPr>
              <w:pStyle w:val="RTableTextAbt"/>
            </w:pPr>
            <w:r w:rsidRPr="00A95A85">
              <w:t>14</w:t>
            </w:r>
          </w:p>
        </w:tc>
        <w:tc>
          <w:tcPr>
            <w:tcW w:w="671" w:type="pct"/>
            <w:vAlign w:val="center"/>
          </w:tcPr>
          <w:p w:rsidR="005F1D5F" w:rsidRPr="00A95A85" w:rsidP="00644176" w14:paraId="30A4549F" w14:textId="77777777">
            <w:pPr>
              <w:pStyle w:val="RTableTextAbt"/>
            </w:pPr>
            <w:r w:rsidRPr="00A95A85">
              <w:t>14</w:t>
            </w:r>
          </w:p>
        </w:tc>
        <w:tc>
          <w:tcPr>
            <w:tcW w:w="617" w:type="pct"/>
            <w:vAlign w:val="center"/>
          </w:tcPr>
          <w:p w:rsidR="005F1D5F" w:rsidRPr="00A95A85" w:rsidP="00644176" w14:paraId="2B4F1DAC" w14:textId="77777777">
            <w:pPr>
              <w:pStyle w:val="RTableTextAbt"/>
            </w:pPr>
            <w:r w:rsidRPr="00A95A85">
              <w:t>5</w:t>
            </w:r>
          </w:p>
        </w:tc>
        <w:tc>
          <w:tcPr>
            <w:tcW w:w="721" w:type="pct"/>
            <w:vAlign w:val="center"/>
          </w:tcPr>
          <w:p w:rsidR="005F1D5F" w:rsidRPr="00A95A85" w:rsidP="00644176" w14:paraId="15321505" w14:textId="77777777">
            <w:pPr>
              <w:pStyle w:val="RTableTextAbt"/>
            </w:pPr>
            <w:r w:rsidRPr="00A95A85">
              <w:t>266</w:t>
            </w:r>
          </w:p>
        </w:tc>
      </w:tr>
      <w:tr w14:paraId="10B6200E" w14:textId="77777777" w:rsidTr="008A1C23">
        <w:tblPrEx>
          <w:tblW w:w="5000" w:type="pct"/>
          <w:tblLook w:val="04A0"/>
        </w:tblPrEx>
        <w:trPr>
          <w:cantSplit/>
        </w:trPr>
        <w:tc>
          <w:tcPr>
            <w:tcW w:w="2320" w:type="pct"/>
            <w:shd w:val="clear" w:color="auto" w:fill="auto"/>
          </w:tcPr>
          <w:p w:rsidR="005F1D5F" w:rsidRPr="00A95A85" w:rsidP="00644176" w14:paraId="3A1C2DAC" w14:textId="77777777">
            <w:pPr>
              <w:pStyle w:val="LTableTextAbt"/>
            </w:pPr>
            <w:r w:rsidRPr="00A95A85">
              <w:t>Processing into plastics &amp; rubber products</w:t>
            </w:r>
          </w:p>
        </w:tc>
        <w:tc>
          <w:tcPr>
            <w:tcW w:w="671" w:type="pct"/>
            <w:shd w:val="clear" w:color="auto" w:fill="auto"/>
            <w:vAlign w:val="center"/>
          </w:tcPr>
          <w:p w:rsidR="005F1D5F" w:rsidRPr="00A95A85" w:rsidP="00644176" w14:paraId="6610FB45" w14:textId="77777777">
            <w:pPr>
              <w:pStyle w:val="RTableTextAbt"/>
            </w:pPr>
            <w:r w:rsidRPr="00A95A85">
              <w:t>6</w:t>
            </w:r>
          </w:p>
        </w:tc>
        <w:tc>
          <w:tcPr>
            <w:tcW w:w="671" w:type="pct"/>
            <w:vAlign w:val="center"/>
          </w:tcPr>
          <w:p w:rsidR="005F1D5F" w:rsidRPr="00A95A85" w:rsidP="00644176" w14:paraId="34847376" w14:textId="77777777">
            <w:pPr>
              <w:pStyle w:val="RTableTextAbt"/>
            </w:pPr>
            <w:r w:rsidRPr="00A95A85">
              <w:t>27</w:t>
            </w:r>
          </w:p>
        </w:tc>
        <w:tc>
          <w:tcPr>
            <w:tcW w:w="617" w:type="pct"/>
            <w:vAlign w:val="center"/>
          </w:tcPr>
          <w:p w:rsidR="005F1D5F" w:rsidRPr="00A95A85" w:rsidP="00644176" w14:paraId="584E5733" w14:textId="77777777">
            <w:pPr>
              <w:pStyle w:val="RTableTextAbt"/>
            </w:pPr>
            <w:r w:rsidRPr="00A95A85">
              <w:t>12</w:t>
            </w:r>
          </w:p>
        </w:tc>
        <w:tc>
          <w:tcPr>
            <w:tcW w:w="721" w:type="pct"/>
            <w:vAlign w:val="center"/>
          </w:tcPr>
          <w:p w:rsidR="005F1D5F" w:rsidRPr="00A95A85" w:rsidP="00644176" w14:paraId="5074177E" w14:textId="77777777">
            <w:pPr>
              <w:pStyle w:val="RTableTextAbt"/>
            </w:pPr>
            <w:r w:rsidRPr="00A95A85">
              <w:t>234</w:t>
            </w:r>
          </w:p>
        </w:tc>
      </w:tr>
      <w:tr w14:paraId="2FC2610A" w14:textId="77777777" w:rsidTr="008A1C23">
        <w:tblPrEx>
          <w:tblW w:w="5000" w:type="pct"/>
          <w:tblLook w:val="04A0"/>
        </w:tblPrEx>
        <w:trPr>
          <w:cantSplit/>
        </w:trPr>
        <w:tc>
          <w:tcPr>
            <w:tcW w:w="2320" w:type="pct"/>
            <w:shd w:val="clear" w:color="auto" w:fill="auto"/>
          </w:tcPr>
          <w:p w:rsidR="005F1D5F" w:rsidRPr="00A95A85" w:rsidP="00644176" w14:paraId="35F8866A" w14:textId="77777777">
            <w:pPr>
              <w:pStyle w:val="LTableTextAbt"/>
              <w:rPr>
                <w:b/>
              </w:rPr>
            </w:pPr>
            <w:r w:rsidRPr="00A95A85">
              <w:rPr>
                <w:b/>
              </w:rPr>
              <w:t>Total</w:t>
            </w:r>
          </w:p>
        </w:tc>
        <w:tc>
          <w:tcPr>
            <w:tcW w:w="671" w:type="pct"/>
            <w:shd w:val="clear" w:color="auto" w:fill="auto"/>
            <w:vAlign w:val="center"/>
          </w:tcPr>
          <w:p w:rsidR="005F1D5F" w:rsidRPr="00A95A85" w:rsidP="00644176" w14:paraId="1A49555F" w14:textId="4C8D400B">
            <w:pPr>
              <w:pStyle w:val="RTableTextAbt"/>
              <w:rPr>
                <w:b/>
              </w:rPr>
            </w:pPr>
            <w:r>
              <w:rPr>
                <w:b/>
              </w:rPr>
              <w:t>22</w:t>
            </w:r>
          </w:p>
        </w:tc>
        <w:tc>
          <w:tcPr>
            <w:tcW w:w="671" w:type="pct"/>
            <w:vAlign w:val="center"/>
          </w:tcPr>
          <w:p w:rsidR="005F1D5F" w:rsidRPr="00A95A85" w:rsidP="00644176" w14:paraId="0A5CCE38" w14:textId="77777777">
            <w:pPr>
              <w:pStyle w:val="RTableTextAbt"/>
              <w:rPr>
                <w:b/>
              </w:rPr>
            </w:pPr>
          </w:p>
        </w:tc>
        <w:tc>
          <w:tcPr>
            <w:tcW w:w="617" w:type="pct"/>
            <w:vAlign w:val="center"/>
          </w:tcPr>
          <w:p w:rsidR="005F1D5F" w:rsidRPr="00A95A85" w:rsidP="00644176" w14:paraId="255FF05E" w14:textId="77777777">
            <w:pPr>
              <w:pStyle w:val="RTableTextAbt"/>
              <w:rPr>
                <w:b/>
              </w:rPr>
            </w:pPr>
          </w:p>
        </w:tc>
        <w:tc>
          <w:tcPr>
            <w:tcW w:w="721" w:type="pct"/>
            <w:vAlign w:val="center"/>
          </w:tcPr>
          <w:p w:rsidR="005F1D5F" w:rsidRPr="00A95A85" w:rsidP="00644176" w14:paraId="6C951E90" w14:textId="43D2A8A1">
            <w:pPr>
              <w:pStyle w:val="RTableTextAbt"/>
              <w:rPr>
                <w:b/>
              </w:rPr>
            </w:pPr>
            <w:r w:rsidRPr="00A95A85">
              <w:rPr>
                <w:b/>
              </w:rPr>
              <w:t>5</w:t>
            </w:r>
            <w:r w:rsidR="00784081">
              <w:rPr>
                <w:b/>
              </w:rPr>
              <w:t>77</w:t>
            </w:r>
            <w:r w:rsidRPr="00A95A85">
              <w:rPr>
                <w:b/>
              </w:rPr>
              <w:t xml:space="preserve"> to 5</w:t>
            </w:r>
            <w:r w:rsidR="00784081">
              <w:rPr>
                <w:b/>
              </w:rPr>
              <w:t>97</w:t>
            </w:r>
          </w:p>
        </w:tc>
      </w:tr>
      <w:tr w14:paraId="0EEB2C56" w14:textId="77777777" w:rsidTr="00CA0464">
        <w:tblPrEx>
          <w:tblW w:w="5000" w:type="pct"/>
          <w:tblLook w:val="04A0"/>
        </w:tblPrEx>
        <w:trPr>
          <w:cantSplit/>
        </w:trPr>
        <w:tc>
          <w:tcPr>
            <w:tcW w:w="5000" w:type="pct"/>
            <w:gridSpan w:val="5"/>
            <w:shd w:val="clear" w:color="auto" w:fill="auto"/>
          </w:tcPr>
          <w:p w:rsidR="005F1D5F" w:rsidRPr="00A95A85" w:rsidP="00CA0464" w14:paraId="4F1197AC" w14:textId="77777777">
            <w:pPr>
              <w:pStyle w:val="TableNote0"/>
            </w:pPr>
            <w:r>
              <w:t>ONU</w:t>
            </w:r>
            <w:r w:rsidRPr="00A95A85">
              <w:t xml:space="preserve"> = occupational non-users</w:t>
            </w:r>
          </w:p>
          <w:p w:rsidR="005F1D5F" w:rsidRPr="00A95A85" w:rsidP="00CA0464" w14:paraId="70F46F8F" w14:textId="77777777">
            <w:pPr>
              <w:pStyle w:val="TableNote0"/>
            </w:pPr>
            <w:r w:rsidRPr="00A95A85">
              <w:t>a. Based on information provided by Sun Chemical.</w:t>
            </w:r>
          </w:p>
          <w:p w:rsidR="005F1D5F" w:rsidRPr="00A95A85" w:rsidP="00CA0464" w14:paraId="6C68A520" w14:textId="14A407BE">
            <w:pPr>
              <w:pStyle w:val="TableNote0"/>
            </w:pPr>
            <w:r>
              <w:t>b. For domestic manufacturing, based on information provided by Sun Chemical (</w:t>
            </w:r>
            <w:r w:rsidRPr="001269E4">
              <w:rPr>
                <w:shd w:val="clear" w:color="auto" w:fill="FAFAFA" w:themeFill="accent5" w:themeFillTint="33"/>
              </w:rPr>
              <w:t>citation</w:t>
            </w:r>
            <w:r>
              <w:t xml:space="preserve">); for others, based on </w:t>
            </w:r>
            <w:r w:rsidR="00117E1A">
              <w:t>EPA (</w:t>
            </w:r>
            <w:hyperlink w:anchor="_ENREF_65" w:tooltip="U.S. Environmental Protection Agency (EPA), 2021 #61" w:history="1">
              <w:r w:rsidR="003D6084">
                <w:fldChar w:fldCharType="begin" w:fldLock="1"/>
              </w:r>
              <w:r w:rsidR="003D6084">
                <w:instrText xml:space="preserve"> ADDIN EN.CITE &lt;EndNote&gt;&lt;Cite ExcludeAuth="1"&gt;&lt;Author&gt;U.S. Environmental Protection Agency (EPA)&lt;/Author&gt;&lt;Year&gt;2021&lt;/Year&gt;&lt;RecNum&gt;61&lt;/RecNum&gt;&lt;DisplayText&gt;2021e&lt;/DisplayText&gt;&lt;record&gt;&lt;rec-number&gt;61&lt;/rec-number&gt;&lt;foreign-keys&gt;&lt;key app="EN" db-id="2apzr05radv9fjet2w6xxwdlz5e9vwfxredw" timestamp="1730757315"&gt;61&lt;/key&gt;&lt;/foreign-keys&gt;&lt;ref-type name="Generic"&gt;13&lt;/ref-type&gt;&lt;contributors&gt;&lt;authors&gt;&lt;author&gt;U.S. Environmental Protection Agency (EPA),&lt;/author&gt;&lt;/authors&gt;&lt;subsidiary-authors&gt;&lt;author&gt;Office of Chemical Safety and Pollution Prevention&lt;/author&gt;&lt;/subsidiary-authors&gt;&lt;/contributors&gt;&lt;titles&gt;&lt;title&gt;Risk Evaluation for C.I. Pigment Violet 29 (Anthra[2,1,9-def:6,5,10-d&amp;apos;e&amp;apos;f&amp;apos;]diisoquinoline-1,3,8,10(2H,9H)-tetrone)&lt;/title&gt;&lt;/titles&gt;&lt;number&gt;# 740-R-18-015&lt;/number&gt;&lt;dates&gt;&lt;year&gt;2021&lt;/year&gt;&lt;/dates&gt;&lt;urls&gt;&lt;/urls&gt;&lt;/record&gt;&lt;/Cite&gt;&lt;/EndNote&gt;</w:instrText>
              </w:r>
              <w:r w:rsidR="003D6084">
                <w:fldChar w:fldCharType="separate"/>
              </w:r>
              <w:r w:rsidR="003D6084">
                <w:rPr>
                  <w:noProof/>
                </w:rPr>
                <w:t>2021e</w:t>
              </w:r>
              <w:r w:rsidR="003D6084">
                <w:fldChar w:fldCharType="end"/>
              </w:r>
            </w:hyperlink>
            <w:r w:rsidR="00117E1A">
              <w:t>)</w:t>
            </w:r>
            <w:r>
              <w:t>.</w:t>
            </w:r>
          </w:p>
          <w:p w:rsidR="005F1D5F" w:rsidRPr="00A95A85" w:rsidP="00CA0464" w14:paraId="0593B749" w14:textId="77777777">
            <w:pPr>
              <w:pStyle w:val="TableNote0"/>
            </w:pPr>
            <w:r w:rsidRPr="00A95A85">
              <w:t>c. Sum of direct and ONUs per facility times the number of affected facilities.</w:t>
            </w:r>
          </w:p>
        </w:tc>
      </w:tr>
    </w:tbl>
    <w:p w:rsidR="005F1D5F" w:rsidRPr="00A95A85" w:rsidP="005F1D5F" w14:paraId="6F109749" w14:textId="77777777">
      <w:pPr>
        <w:pStyle w:val="FootnoteText"/>
      </w:pPr>
    </w:p>
    <w:p w:rsidR="005F1D5F" w:rsidP="00832749" w14:paraId="1C38D2C0" w14:textId="72CBDCD3">
      <w:pPr>
        <w:pStyle w:val="BodyText"/>
      </w:pPr>
      <w:r w:rsidRPr="4BA86F39">
        <w:rPr>
          <w:rStyle w:val="TableTextChar"/>
          <w:rFonts w:ascii="Times New Roman" w:hAnsi="Times New Roman" w:eastAsiaTheme="minorEastAsia"/>
          <w:lang w:val="en-US"/>
        </w:rPr>
        <w:t xml:space="preserve">The Risk Evaluation also summarizes available data on the concentrations of PV29 to which the </w:t>
      </w:r>
      <w:r w:rsidR="00ED1395">
        <w:rPr>
          <w:rStyle w:val="TableTextChar"/>
          <w:rFonts w:ascii="Times New Roman" w:hAnsi="Times New Roman" w:eastAsiaTheme="minorEastAsia"/>
          <w:lang w:val="en-US"/>
        </w:rPr>
        <w:t>employees</w:t>
      </w:r>
      <w:r w:rsidRPr="4BA86F39" w:rsidR="00ED1395">
        <w:rPr>
          <w:rStyle w:val="TableTextChar"/>
          <w:rFonts w:ascii="Times New Roman" w:hAnsi="Times New Roman" w:eastAsiaTheme="minorEastAsia"/>
          <w:lang w:val="en-US"/>
        </w:rPr>
        <w:t xml:space="preserve"> </w:t>
      </w:r>
      <w:r w:rsidRPr="4BA86F39">
        <w:rPr>
          <w:rStyle w:val="TableTextChar"/>
          <w:rFonts w:ascii="Times New Roman" w:hAnsi="Times New Roman" w:eastAsiaTheme="minorEastAsia"/>
          <w:lang w:val="en-US"/>
        </w:rPr>
        <w:t>may be exposed, based on monitoring conducted by Sun Chemical</w:t>
      </w:r>
      <w:r w:rsidRPr="4BA86F39">
        <w:rPr>
          <w:lang w:val="en-US"/>
        </w:rPr>
        <w:t xml:space="preserve"> </w:t>
      </w:r>
      <w:r w:rsidR="00117E1A">
        <w:rPr>
          <w:lang w:val="en-US"/>
        </w:rPr>
        <w:t>(</w:t>
      </w:r>
      <w:hyperlink w:anchor="_ENREF_45" w:tooltip="The EI Group, 2020 #45" w:history="1">
        <w:r w:rsidRPr="00F72E7E" w:rsidR="003D6084">
          <w:rPr>
            <w:rStyle w:val="TableTextChar"/>
            <w:rFonts w:ascii="Times New Roman" w:hAnsi="Times New Roman" w:eastAsiaTheme="minorEastAsia"/>
          </w:rPr>
          <w:fldChar w:fldCharType="begin" w:fldLock="1"/>
        </w:r>
        <w:r w:rsidR="003D6084">
          <w:rPr>
            <w:rStyle w:val="TableTextChar"/>
            <w:rFonts w:ascii="Times New Roman" w:hAnsi="Times New Roman" w:eastAsiaTheme="minorEastAsia"/>
          </w:rPr>
          <w:instrText xml:space="preserve"> ADDIN EN.CITE &lt;EndNote&gt;&lt;Cite&gt;&lt;Author&gt;The EI Group&lt;/Author&gt;&lt;Year&gt;2020&lt;/Year&gt;&lt;RecNum&gt;45&lt;/RecNum&gt;&lt;DisplayText&gt;The EI Group 2020&lt;/DisplayText&gt;&lt;record&gt;&lt;rec-number&gt;45&lt;/rec-number&gt;&lt;foreign-keys&gt;&lt;key app="EN" db-id="2apzr05radv9fjet2w6xxwdlz5e9vwfxredw" timestamp="1730757315"&gt;45&lt;/key&gt;&lt;/foreign-keys&gt;&lt;ref-type name="Report"&gt;27&lt;/ref-type&gt;&lt;contributors&gt;&lt;authors&gt;&lt;author&gt;The EI Group,&lt;/author&gt;&lt;/authors&gt;&lt;/contributors&gt;&lt;titles&gt;&lt;title&gt;Industrial Hygiene Survey: Sun Chemical Corporation&lt;/title&gt;&lt;/titles&gt;&lt;number&gt;EI Project No 1HCH200035.00&lt;/number&gt;&lt;dates&gt;&lt;year&gt;2020&lt;/year&gt;&lt;/dates&gt;&lt;urls&gt;&lt;/urls&gt;&lt;/record&gt;&lt;/Cite&gt;&lt;/EndNote&gt;</w:instrText>
        </w:r>
        <w:r w:rsidRPr="00F72E7E" w:rsidR="003D6084">
          <w:rPr>
            <w:rStyle w:val="TableTextChar"/>
            <w:rFonts w:ascii="Times New Roman" w:hAnsi="Times New Roman" w:eastAsiaTheme="minorEastAsia"/>
          </w:rPr>
          <w:fldChar w:fldCharType="separate"/>
        </w:r>
        <w:r w:rsidR="003D6084">
          <w:rPr>
            <w:rStyle w:val="TableTextChar"/>
            <w:rFonts w:ascii="Times New Roman" w:hAnsi="Times New Roman" w:eastAsiaTheme="minorEastAsia"/>
            <w:noProof/>
          </w:rPr>
          <w:t>The EI Group 2020</w:t>
        </w:r>
        <w:r w:rsidRPr="00F72E7E" w:rsidR="003D6084">
          <w:rPr>
            <w:rStyle w:val="TableTextChar"/>
            <w:rFonts w:ascii="Times New Roman" w:hAnsi="Times New Roman" w:eastAsiaTheme="minorEastAsia"/>
          </w:rPr>
          <w:fldChar w:fldCharType="end"/>
        </w:r>
      </w:hyperlink>
      <w:r w:rsidR="00117E1A">
        <w:rPr>
          <w:lang w:val="en-US"/>
        </w:rPr>
        <w:t>)</w:t>
      </w:r>
      <w:r w:rsidRPr="4BA86F39">
        <w:rPr>
          <w:rStyle w:val="TableTextChar"/>
          <w:rFonts w:ascii="Times New Roman" w:hAnsi="Times New Roman" w:eastAsiaTheme="minorEastAsia"/>
          <w:lang w:val="en-US"/>
        </w:rPr>
        <w:t>. Specifically, the company monitored 11 operators</w:t>
      </w:r>
      <w:r>
        <w:rPr>
          <w:rStyle w:val="FootnoteReference"/>
          <w:rFonts w:eastAsiaTheme="minorEastAsia"/>
          <w:lang w:val="en-US"/>
        </w:rPr>
        <w:footnoteReference w:id="15"/>
      </w:r>
      <w:r w:rsidRPr="4BA86F39">
        <w:rPr>
          <w:rStyle w:val="TableTextChar"/>
          <w:rFonts w:ascii="Times New Roman" w:hAnsi="Times New Roman" w:eastAsiaTheme="minorEastAsia"/>
          <w:lang w:val="en-US"/>
        </w:rPr>
        <w:t xml:space="preserve"> using the NIOSH 0600 tests. The operators performed various functions that either directly handled dry powder PV29 or were in the same area where it was being handled (ONUs). The monitoring program grouped the operator functions into 5 “similar exposure groups” (SEGs) and into day and night shifts. As shown in </w:t>
      </w:r>
      <w:r w:rsidRPr="00F72E7E">
        <w:rPr>
          <w:rStyle w:val="TableTextChar"/>
          <w:rFonts w:ascii="Times New Roman" w:hAnsi="Times New Roman" w:eastAsiaTheme="minorEastAsia"/>
        </w:rPr>
        <w:fldChar w:fldCharType="begin" w:fldLock="1"/>
      </w:r>
      <w:r w:rsidRPr="00F72E7E">
        <w:rPr>
          <w:rStyle w:val="TableTextChar"/>
          <w:rFonts w:ascii="Times New Roman" w:hAnsi="Times New Roman" w:eastAsiaTheme="minorEastAsia"/>
        </w:rPr>
        <w:instrText xml:space="preserve"> REF _Ref179818489 </w:instrText>
      </w:r>
      <w:r w:rsidR="00F72E7E">
        <w:rPr>
          <w:rStyle w:val="TableTextChar"/>
          <w:rFonts w:ascii="Times New Roman" w:hAnsi="Times New Roman" w:eastAsiaTheme="minorEastAsia"/>
        </w:rPr>
        <w:instrText xml:space="preserve"> \* MERGEFORMAT </w:instrText>
      </w:r>
      <w:r w:rsidRPr="00F72E7E">
        <w:rPr>
          <w:rStyle w:val="TableTextChar"/>
          <w:rFonts w:ascii="Times New Roman" w:hAnsi="Times New Roman" w:eastAsiaTheme="minorEastAsia"/>
        </w:rPr>
        <w:fldChar w:fldCharType="separate"/>
      </w:r>
      <w:r w:rsidRPr="00735BBC" w:rsidR="00735BBC">
        <w:rPr>
          <w:lang w:val="en-US"/>
        </w:rPr>
        <w:t>Table 3</w:t>
      </w:r>
      <w:r w:rsidRPr="00735BBC" w:rsidR="00735BBC">
        <w:rPr>
          <w:lang w:val="en-US"/>
        </w:rPr>
        <w:noBreakHyphen/>
        <w:t>7</w:t>
      </w:r>
      <w:r w:rsidRPr="00F72E7E">
        <w:rPr>
          <w:rStyle w:val="TableTextChar"/>
          <w:rFonts w:ascii="Times New Roman" w:hAnsi="Times New Roman" w:eastAsiaTheme="minorEastAsia"/>
        </w:rPr>
        <w:fldChar w:fldCharType="end"/>
      </w:r>
      <w:r w:rsidRPr="4BA86F39">
        <w:rPr>
          <w:rStyle w:val="TableTextChar"/>
          <w:rFonts w:ascii="Times New Roman" w:hAnsi="Times New Roman" w:eastAsiaTheme="minorEastAsia"/>
          <w:lang w:val="en-US"/>
        </w:rPr>
        <w:t>, the overall average concentration for all workers was 0.37 mg/m</w:t>
      </w:r>
      <w:r w:rsidRPr="00005413" w:rsidR="00005413">
        <w:rPr>
          <w:rStyle w:val="TableTextChar"/>
          <w:rFonts w:ascii="Times New Roman" w:hAnsi="Times New Roman" w:eastAsiaTheme="minorEastAsia"/>
          <w:vertAlign w:val="superscript"/>
          <w:lang w:val="en-US"/>
        </w:rPr>
        <w:t>3</w:t>
      </w:r>
      <w:r w:rsidRPr="4BA86F39">
        <w:rPr>
          <w:rStyle w:val="TableTextChar"/>
          <w:rFonts w:ascii="Times New Roman" w:hAnsi="Times New Roman" w:eastAsiaTheme="minorEastAsia"/>
          <w:lang w:val="en-US"/>
        </w:rPr>
        <w:t xml:space="preserve"> and was similar for direct workers and ONUs. Each SEG had average concentrations between 0.32 mg/m</w:t>
      </w:r>
      <w:r w:rsidRPr="00005413" w:rsidR="00005413">
        <w:rPr>
          <w:rStyle w:val="TableTextChar"/>
          <w:rFonts w:ascii="Times New Roman" w:hAnsi="Times New Roman" w:eastAsiaTheme="minorEastAsia"/>
          <w:vertAlign w:val="superscript"/>
          <w:lang w:val="en-US"/>
        </w:rPr>
        <w:t>3</w:t>
      </w:r>
      <w:r w:rsidRPr="4BA86F39">
        <w:rPr>
          <w:rStyle w:val="TableTextChar"/>
          <w:rFonts w:ascii="Times New Roman" w:hAnsi="Times New Roman" w:eastAsiaTheme="minorEastAsia"/>
          <w:lang w:val="en-US"/>
        </w:rPr>
        <w:t xml:space="preserve"> and 0.44 mg/m</w:t>
      </w:r>
      <w:r w:rsidRPr="00005413">
        <w:rPr>
          <w:rStyle w:val="TableTextChar"/>
          <w:rFonts w:ascii="Times New Roman" w:hAnsi="Times New Roman" w:eastAsiaTheme="minorEastAsia"/>
          <w:vertAlign w:val="superscript"/>
          <w:lang w:val="en-US"/>
        </w:rPr>
        <w:t>3</w:t>
      </w:r>
      <w:r w:rsidRPr="4BA86F39">
        <w:rPr>
          <w:rStyle w:val="TableTextChar"/>
          <w:rFonts w:ascii="Times New Roman" w:hAnsi="Times New Roman" w:eastAsiaTheme="minorEastAsia"/>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1"/>
        <w:gridCol w:w="1372"/>
        <w:gridCol w:w="1172"/>
        <w:gridCol w:w="1675"/>
        <w:gridCol w:w="2170"/>
      </w:tblGrid>
      <w:tr w14:paraId="00657498" w14:textId="77777777" w:rsidTr="00F72E7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0"/>
        </w:trPr>
        <w:tc>
          <w:tcPr>
            <w:tcW w:w="5000" w:type="pct"/>
            <w:gridSpan w:val="5"/>
            <w:tcBorders>
              <w:top w:val="nil"/>
              <w:left w:val="nil"/>
              <w:bottom w:val="single" w:sz="4" w:space="0" w:color="auto"/>
              <w:right w:val="nil"/>
            </w:tcBorders>
            <w:shd w:val="clear" w:color="auto" w:fill="auto"/>
            <w:noWrap/>
            <w:vAlign w:val="center"/>
          </w:tcPr>
          <w:p w:rsidR="00F72E7E" w:rsidP="00026204" w14:paraId="35D325FF" w14:textId="73CF0AEA">
            <w:pPr>
              <w:pStyle w:val="TableTitleA"/>
            </w:pPr>
            <w:bookmarkStart w:id="156" w:name="_Ref179818489"/>
            <w:bookmarkStart w:id="157" w:name="_Toc184299556"/>
            <w:r>
              <w:t xml:space="preserve">Table </w:t>
            </w:r>
            <w:r>
              <w:fldChar w:fldCharType="begin" w:fldLock="1"/>
            </w:r>
            <w:r>
              <w:instrText>STYLEREF 1 \s</w:instrText>
            </w:r>
            <w:r>
              <w:fldChar w:fldCharType="separate"/>
            </w:r>
            <w:r w:rsidR="00735BBC">
              <w:rPr>
                <w:noProof/>
              </w:rPr>
              <w:t>3</w:t>
            </w:r>
            <w:r>
              <w:fldChar w:fldCharType="end"/>
            </w:r>
            <w:r w:rsidR="000A1542">
              <w:noBreakHyphen/>
            </w:r>
            <w:r>
              <w:fldChar w:fldCharType="begin" w:fldLock="1"/>
            </w:r>
            <w:r>
              <w:instrText>SEQ Table \* ARABIC \s 1</w:instrText>
            </w:r>
            <w:r>
              <w:fldChar w:fldCharType="separate"/>
            </w:r>
            <w:r w:rsidR="00735BBC">
              <w:rPr>
                <w:noProof/>
              </w:rPr>
              <w:t>7</w:t>
            </w:r>
            <w:r>
              <w:fldChar w:fldCharType="end"/>
            </w:r>
            <w:bookmarkEnd w:id="156"/>
            <w:r>
              <w:t>: Summary of Regulated PV29 Concentrations in Manufacturing Facility</w:t>
            </w:r>
            <w:bookmarkEnd w:id="157"/>
          </w:p>
        </w:tc>
      </w:tr>
      <w:tr w14:paraId="5671CBF7" w14:textId="77777777" w:rsidTr="00644176">
        <w:tblPrEx>
          <w:tblW w:w="5000" w:type="pct"/>
          <w:tblLayout w:type="fixed"/>
          <w:tblLook w:val="04A0"/>
        </w:tblPrEx>
        <w:trPr>
          <w:trHeight w:val="260"/>
        </w:trPr>
        <w:tc>
          <w:tcPr>
            <w:tcW w:w="1587" w:type="pct"/>
            <w:tcBorders>
              <w:top w:val="single" w:sz="4" w:space="0" w:color="auto"/>
            </w:tcBorders>
            <w:shd w:val="clear" w:color="auto" w:fill="013E5B"/>
            <w:noWrap/>
            <w:vAlign w:val="center"/>
          </w:tcPr>
          <w:p w:rsidR="005F1D5F" w:rsidRPr="00B146BA" w:rsidP="000D7F2B" w14:paraId="4AF9D56F" w14:textId="77777777">
            <w:pPr>
              <w:pStyle w:val="TableSubtitle"/>
            </w:pPr>
          </w:p>
        </w:tc>
        <w:tc>
          <w:tcPr>
            <w:tcW w:w="733" w:type="pct"/>
            <w:tcBorders>
              <w:top w:val="single" w:sz="4" w:space="0" w:color="auto"/>
            </w:tcBorders>
            <w:shd w:val="clear" w:color="auto" w:fill="013E5B"/>
            <w:noWrap/>
            <w:vAlign w:val="center"/>
          </w:tcPr>
          <w:p w:rsidR="005F1D5F" w:rsidRPr="00B146BA" w:rsidP="000D7F2B" w14:paraId="6D7DDA50" w14:textId="77777777">
            <w:pPr>
              <w:pStyle w:val="TableSubtitle"/>
            </w:pPr>
            <w:r>
              <w:t>Observations</w:t>
            </w:r>
          </w:p>
        </w:tc>
        <w:tc>
          <w:tcPr>
            <w:tcW w:w="626" w:type="pct"/>
            <w:tcBorders>
              <w:top w:val="single" w:sz="4" w:space="0" w:color="auto"/>
            </w:tcBorders>
            <w:shd w:val="clear" w:color="auto" w:fill="013E5B"/>
            <w:noWrap/>
            <w:vAlign w:val="center"/>
          </w:tcPr>
          <w:p w:rsidR="005F1D5F" w:rsidRPr="00B146BA" w:rsidP="000D7F2B" w14:paraId="102D2AD9" w14:textId="77777777">
            <w:pPr>
              <w:pStyle w:val="TableSubtitle"/>
            </w:pPr>
            <w:r>
              <w:t>Samples</w:t>
            </w:r>
          </w:p>
        </w:tc>
        <w:tc>
          <w:tcPr>
            <w:tcW w:w="895" w:type="pct"/>
            <w:tcBorders>
              <w:top w:val="single" w:sz="4" w:space="0" w:color="auto"/>
            </w:tcBorders>
            <w:shd w:val="clear" w:color="auto" w:fill="013E5B"/>
          </w:tcPr>
          <w:p w:rsidR="005F1D5F" w:rsidP="000D7F2B" w14:paraId="2FD17D02" w14:textId="77777777">
            <w:pPr>
              <w:pStyle w:val="TableSubtitle"/>
            </w:pPr>
            <w:r>
              <w:t>Average minutes per sample</w:t>
            </w:r>
          </w:p>
        </w:tc>
        <w:tc>
          <w:tcPr>
            <w:tcW w:w="1159" w:type="pct"/>
            <w:tcBorders>
              <w:top w:val="single" w:sz="4" w:space="0" w:color="auto"/>
            </w:tcBorders>
            <w:shd w:val="clear" w:color="auto" w:fill="013E5B"/>
            <w:noWrap/>
            <w:vAlign w:val="center"/>
          </w:tcPr>
          <w:p w:rsidR="005F1D5F" w:rsidRPr="00B146BA" w:rsidP="000D7F2B" w14:paraId="12B575B8" w14:textId="77777777">
            <w:pPr>
              <w:pStyle w:val="TableSubtitle"/>
            </w:pPr>
            <w:r>
              <w:t>Average concentration (mg/m</w:t>
            </w:r>
            <w:r w:rsidRPr="00C167C2">
              <w:rPr>
                <w:vertAlign w:val="superscript"/>
              </w:rPr>
              <w:t>3</w:t>
            </w:r>
            <w:r>
              <w:t>)</w:t>
            </w:r>
          </w:p>
        </w:tc>
      </w:tr>
      <w:tr w14:paraId="4382A8D4" w14:textId="77777777" w:rsidTr="00644176">
        <w:tblPrEx>
          <w:tblW w:w="5000" w:type="pct"/>
          <w:tblLayout w:type="fixed"/>
          <w:tblLook w:val="04A0"/>
        </w:tblPrEx>
        <w:trPr>
          <w:trHeight w:val="260"/>
        </w:trPr>
        <w:tc>
          <w:tcPr>
            <w:tcW w:w="1587" w:type="pct"/>
            <w:shd w:val="clear" w:color="auto" w:fill="auto"/>
            <w:noWrap/>
            <w:vAlign w:val="center"/>
            <w:hideMark/>
          </w:tcPr>
          <w:p w:rsidR="005F1D5F" w:rsidRPr="00B146BA" w:rsidP="00644176" w14:paraId="66AA9E71" w14:textId="248C27CB">
            <w:pPr>
              <w:pStyle w:val="LTableTextAbt"/>
            </w:pPr>
            <w:r>
              <w:t>O</w:t>
            </w:r>
            <w:r w:rsidRPr="00B146BA">
              <w:t>verall</w:t>
            </w:r>
          </w:p>
        </w:tc>
        <w:tc>
          <w:tcPr>
            <w:tcW w:w="733" w:type="pct"/>
            <w:shd w:val="clear" w:color="auto" w:fill="auto"/>
            <w:noWrap/>
            <w:vAlign w:val="center"/>
            <w:hideMark/>
          </w:tcPr>
          <w:p w:rsidR="005F1D5F" w:rsidRPr="00B146BA" w:rsidP="00644176" w14:paraId="3A8D3B7A" w14:textId="77777777">
            <w:pPr>
              <w:pStyle w:val="RTableTextAbt"/>
              <w:ind w:right="279"/>
            </w:pPr>
            <w:r w:rsidRPr="00B146BA">
              <w:t>13</w:t>
            </w:r>
          </w:p>
        </w:tc>
        <w:tc>
          <w:tcPr>
            <w:tcW w:w="626" w:type="pct"/>
            <w:shd w:val="clear" w:color="auto" w:fill="auto"/>
            <w:noWrap/>
            <w:vAlign w:val="center"/>
            <w:hideMark/>
          </w:tcPr>
          <w:p w:rsidR="005F1D5F" w:rsidRPr="00B146BA" w:rsidP="00644176" w14:paraId="572F9CC6" w14:textId="77777777">
            <w:pPr>
              <w:pStyle w:val="RTableTextAbt"/>
              <w:ind w:right="279"/>
            </w:pPr>
            <w:r w:rsidRPr="00B146BA">
              <w:t>28</w:t>
            </w:r>
          </w:p>
        </w:tc>
        <w:tc>
          <w:tcPr>
            <w:tcW w:w="895" w:type="pct"/>
          </w:tcPr>
          <w:p w:rsidR="005F1D5F" w:rsidRPr="00B146BA" w:rsidP="00644176" w14:paraId="589E2F85" w14:textId="77777777">
            <w:pPr>
              <w:pStyle w:val="RTableTextAbt"/>
              <w:ind w:right="279"/>
            </w:pPr>
            <w:r>
              <w:t>47</w:t>
            </w:r>
          </w:p>
        </w:tc>
        <w:tc>
          <w:tcPr>
            <w:tcW w:w="1159" w:type="pct"/>
            <w:shd w:val="clear" w:color="auto" w:fill="auto"/>
            <w:noWrap/>
            <w:vAlign w:val="center"/>
            <w:hideMark/>
          </w:tcPr>
          <w:p w:rsidR="005F1D5F" w:rsidRPr="00B146BA" w:rsidP="00644176" w14:paraId="4791E81E" w14:textId="77777777">
            <w:pPr>
              <w:pStyle w:val="RTableTextAbt"/>
              <w:ind w:right="279"/>
            </w:pPr>
            <w:r w:rsidRPr="00B146BA">
              <w:t>0.37</w:t>
            </w:r>
          </w:p>
        </w:tc>
      </w:tr>
      <w:tr w14:paraId="6BC7F675" w14:textId="77777777" w:rsidTr="00BB18B6">
        <w:tblPrEx>
          <w:tblW w:w="5000" w:type="pct"/>
          <w:tblLayout w:type="fixed"/>
          <w:tblLook w:val="04A0"/>
        </w:tblPrEx>
        <w:trPr>
          <w:trHeight w:val="260"/>
        </w:trPr>
        <w:tc>
          <w:tcPr>
            <w:tcW w:w="5000" w:type="pct"/>
            <w:gridSpan w:val="5"/>
            <w:shd w:val="clear" w:color="auto" w:fill="97CFDA"/>
          </w:tcPr>
          <w:p w:rsidR="005F1D5F" w:rsidRPr="00B146BA" w:rsidP="00BB18B6" w14:paraId="0693B65E" w14:textId="6FA51A09">
            <w:pPr>
              <w:pStyle w:val="BSUBT"/>
            </w:pPr>
            <w:r w:rsidRPr="00BB18B6">
              <w:t xml:space="preserve">By </w:t>
            </w:r>
            <w:r w:rsidRPr="00BB18B6" w:rsidR="005F003E">
              <w:t xml:space="preserve">employee </w:t>
            </w:r>
            <w:r w:rsidRPr="00BB18B6">
              <w:t>type </w:t>
            </w:r>
          </w:p>
        </w:tc>
      </w:tr>
      <w:tr w14:paraId="2A0395BC" w14:textId="77777777" w:rsidTr="00644176">
        <w:tblPrEx>
          <w:tblW w:w="5000" w:type="pct"/>
          <w:tblLayout w:type="fixed"/>
          <w:tblLook w:val="04A0"/>
        </w:tblPrEx>
        <w:trPr>
          <w:trHeight w:val="260"/>
        </w:trPr>
        <w:tc>
          <w:tcPr>
            <w:tcW w:w="1587" w:type="pct"/>
            <w:shd w:val="clear" w:color="auto" w:fill="auto"/>
            <w:noWrap/>
            <w:vAlign w:val="center"/>
            <w:hideMark/>
          </w:tcPr>
          <w:p w:rsidR="005F1D5F" w:rsidP="00644176" w14:paraId="7146DD30" w14:textId="62C5926C">
            <w:pPr>
              <w:pStyle w:val="LTableTextAbt"/>
            </w:pPr>
            <w:r>
              <w:t>Worker</w:t>
            </w:r>
          </w:p>
        </w:tc>
        <w:tc>
          <w:tcPr>
            <w:tcW w:w="733" w:type="pct"/>
            <w:shd w:val="clear" w:color="auto" w:fill="auto"/>
            <w:noWrap/>
            <w:vAlign w:val="center"/>
            <w:hideMark/>
          </w:tcPr>
          <w:p w:rsidR="005F1D5F" w:rsidRPr="00B146BA" w:rsidP="00644176" w14:paraId="46A06FDA" w14:textId="77777777">
            <w:pPr>
              <w:pStyle w:val="RTableTextAbt"/>
              <w:ind w:right="279"/>
            </w:pPr>
            <w:r w:rsidRPr="00B146BA">
              <w:t>9</w:t>
            </w:r>
          </w:p>
        </w:tc>
        <w:tc>
          <w:tcPr>
            <w:tcW w:w="626" w:type="pct"/>
            <w:shd w:val="clear" w:color="auto" w:fill="auto"/>
            <w:noWrap/>
            <w:vAlign w:val="center"/>
            <w:hideMark/>
          </w:tcPr>
          <w:p w:rsidR="005F1D5F" w:rsidRPr="00B146BA" w:rsidP="00644176" w14:paraId="13EFC9F3" w14:textId="77777777">
            <w:pPr>
              <w:pStyle w:val="RTableTextAbt"/>
              <w:ind w:right="279"/>
            </w:pPr>
            <w:r w:rsidRPr="00B146BA">
              <w:t>22</w:t>
            </w:r>
          </w:p>
        </w:tc>
        <w:tc>
          <w:tcPr>
            <w:tcW w:w="895" w:type="pct"/>
            <w:vAlign w:val="center"/>
          </w:tcPr>
          <w:p w:rsidR="005F1D5F" w:rsidRPr="00B146BA" w:rsidP="00644176" w14:paraId="71233B41" w14:textId="77777777">
            <w:pPr>
              <w:pStyle w:val="RTableTextAbt"/>
              <w:ind w:right="279"/>
            </w:pPr>
            <w:r>
              <w:rPr>
                <w:rFonts w:cs="Arial"/>
                <w:szCs w:val="18"/>
              </w:rPr>
              <w:t>49</w:t>
            </w:r>
          </w:p>
        </w:tc>
        <w:tc>
          <w:tcPr>
            <w:tcW w:w="1159" w:type="pct"/>
            <w:shd w:val="clear" w:color="auto" w:fill="auto"/>
            <w:noWrap/>
            <w:vAlign w:val="center"/>
            <w:hideMark/>
          </w:tcPr>
          <w:p w:rsidR="005F1D5F" w:rsidRPr="00B146BA" w:rsidP="00644176" w14:paraId="6FA50D7E" w14:textId="77777777">
            <w:pPr>
              <w:pStyle w:val="RTableTextAbt"/>
              <w:ind w:right="279"/>
            </w:pPr>
            <w:r w:rsidRPr="00B146BA">
              <w:t>0.37</w:t>
            </w:r>
          </w:p>
        </w:tc>
      </w:tr>
      <w:tr w14:paraId="10B9C280" w14:textId="77777777" w:rsidTr="00644176">
        <w:tblPrEx>
          <w:tblW w:w="5000" w:type="pct"/>
          <w:tblLayout w:type="fixed"/>
          <w:tblLook w:val="04A0"/>
        </w:tblPrEx>
        <w:trPr>
          <w:trHeight w:val="260"/>
        </w:trPr>
        <w:tc>
          <w:tcPr>
            <w:tcW w:w="1587" w:type="pct"/>
            <w:shd w:val="clear" w:color="auto" w:fill="auto"/>
            <w:noWrap/>
            <w:vAlign w:val="center"/>
            <w:hideMark/>
          </w:tcPr>
          <w:p w:rsidR="005F1D5F" w:rsidP="00644176" w14:paraId="6694039E" w14:textId="77777777">
            <w:pPr>
              <w:pStyle w:val="LTableTextAbt"/>
            </w:pPr>
            <w:r>
              <w:t>ONU</w:t>
            </w:r>
          </w:p>
        </w:tc>
        <w:tc>
          <w:tcPr>
            <w:tcW w:w="733" w:type="pct"/>
            <w:shd w:val="clear" w:color="auto" w:fill="auto"/>
            <w:noWrap/>
            <w:vAlign w:val="center"/>
            <w:hideMark/>
          </w:tcPr>
          <w:p w:rsidR="005F1D5F" w:rsidRPr="00B146BA" w:rsidP="00644176" w14:paraId="575BB8B0" w14:textId="77777777">
            <w:pPr>
              <w:pStyle w:val="RTableTextAbt"/>
              <w:ind w:right="279"/>
            </w:pPr>
            <w:r w:rsidRPr="00B146BA">
              <w:t>4</w:t>
            </w:r>
          </w:p>
        </w:tc>
        <w:tc>
          <w:tcPr>
            <w:tcW w:w="626" w:type="pct"/>
            <w:shd w:val="clear" w:color="auto" w:fill="auto"/>
            <w:noWrap/>
            <w:vAlign w:val="center"/>
            <w:hideMark/>
          </w:tcPr>
          <w:p w:rsidR="005F1D5F" w:rsidRPr="00B146BA" w:rsidP="00644176" w14:paraId="74C90E2D" w14:textId="77777777">
            <w:pPr>
              <w:pStyle w:val="RTableTextAbt"/>
              <w:ind w:right="279"/>
            </w:pPr>
            <w:r w:rsidRPr="00B146BA">
              <w:t>6</w:t>
            </w:r>
          </w:p>
        </w:tc>
        <w:tc>
          <w:tcPr>
            <w:tcW w:w="895" w:type="pct"/>
            <w:vAlign w:val="center"/>
          </w:tcPr>
          <w:p w:rsidR="005F1D5F" w:rsidRPr="00B146BA" w:rsidP="00644176" w14:paraId="6031D72C" w14:textId="77777777">
            <w:pPr>
              <w:pStyle w:val="RTableTextAbt"/>
              <w:ind w:right="279"/>
            </w:pPr>
            <w:r>
              <w:rPr>
                <w:rFonts w:cs="Arial"/>
                <w:szCs w:val="18"/>
              </w:rPr>
              <w:t>38</w:t>
            </w:r>
          </w:p>
        </w:tc>
        <w:tc>
          <w:tcPr>
            <w:tcW w:w="1159" w:type="pct"/>
            <w:shd w:val="clear" w:color="auto" w:fill="auto"/>
            <w:noWrap/>
            <w:vAlign w:val="center"/>
            <w:hideMark/>
          </w:tcPr>
          <w:p w:rsidR="005F1D5F" w:rsidRPr="00B146BA" w:rsidP="00644176" w14:paraId="73189284" w14:textId="77777777">
            <w:pPr>
              <w:pStyle w:val="RTableTextAbt"/>
              <w:ind w:right="279"/>
            </w:pPr>
            <w:r w:rsidRPr="00B146BA">
              <w:t>0.36</w:t>
            </w:r>
          </w:p>
        </w:tc>
      </w:tr>
      <w:tr w14:paraId="344362E0" w14:textId="77777777" w:rsidTr="00BB18B6">
        <w:tblPrEx>
          <w:tblW w:w="5000" w:type="pct"/>
          <w:tblLayout w:type="fixed"/>
          <w:tblLook w:val="04A0"/>
        </w:tblPrEx>
        <w:trPr>
          <w:trHeight w:val="260"/>
        </w:trPr>
        <w:tc>
          <w:tcPr>
            <w:tcW w:w="5000" w:type="pct"/>
            <w:gridSpan w:val="5"/>
            <w:shd w:val="clear" w:color="auto" w:fill="97CFDA"/>
          </w:tcPr>
          <w:p w:rsidR="005F1D5F" w:rsidRPr="00B146BA" w:rsidP="00BB18B6" w14:paraId="41675562" w14:textId="77777777">
            <w:pPr>
              <w:pStyle w:val="BSUBT"/>
            </w:pPr>
            <w:r w:rsidRPr="00B146BA">
              <w:t xml:space="preserve">By </w:t>
            </w:r>
            <w:r>
              <w:t>SEG</w:t>
            </w:r>
          </w:p>
        </w:tc>
      </w:tr>
      <w:tr w14:paraId="56696DC1" w14:textId="77777777" w:rsidTr="00644176">
        <w:tblPrEx>
          <w:tblW w:w="5000" w:type="pct"/>
          <w:tblLayout w:type="fixed"/>
          <w:tblLook w:val="04A0"/>
        </w:tblPrEx>
        <w:trPr>
          <w:trHeight w:val="260"/>
        </w:trPr>
        <w:tc>
          <w:tcPr>
            <w:tcW w:w="1587" w:type="pct"/>
            <w:shd w:val="clear" w:color="auto" w:fill="auto"/>
            <w:noWrap/>
            <w:vAlign w:val="center"/>
            <w:hideMark/>
          </w:tcPr>
          <w:p w:rsidR="005F1D5F" w:rsidP="00644176" w14:paraId="1834EFCA" w14:textId="77777777">
            <w:pPr>
              <w:pStyle w:val="LTableTextAbt"/>
            </w:pPr>
            <w:r w:rsidRPr="00481608">
              <w:t>1.</w:t>
            </w:r>
            <w:r>
              <w:t xml:space="preserve"> Spray dryer pack-out</w:t>
            </w:r>
          </w:p>
        </w:tc>
        <w:tc>
          <w:tcPr>
            <w:tcW w:w="733" w:type="pct"/>
            <w:shd w:val="clear" w:color="auto" w:fill="auto"/>
            <w:noWrap/>
            <w:vAlign w:val="center"/>
            <w:hideMark/>
          </w:tcPr>
          <w:p w:rsidR="005F1D5F" w:rsidRPr="00B146BA" w:rsidP="00644176" w14:paraId="41DFC5A4" w14:textId="77777777">
            <w:pPr>
              <w:pStyle w:val="RTableTextAbt"/>
              <w:ind w:right="279"/>
            </w:pPr>
            <w:r w:rsidRPr="00B146BA">
              <w:t>4</w:t>
            </w:r>
          </w:p>
        </w:tc>
        <w:tc>
          <w:tcPr>
            <w:tcW w:w="626" w:type="pct"/>
            <w:shd w:val="clear" w:color="auto" w:fill="auto"/>
            <w:noWrap/>
            <w:vAlign w:val="center"/>
            <w:hideMark/>
          </w:tcPr>
          <w:p w:rsidR="005F1D5F" w:rsidRPr="00B146BA" w:rsidP="00644176" w14:paraId="40ADF354" w14:textId="77777777">
            <w:pPr>
              <w:pStyle w:val="RTableTextAbt"/>
              <w:ind w:right="279"/>
            </w:pPr>
            <w:r w:rsidRPr="00B146BA">
              <w:t>10</w:t>
            </w:r>
          </w:p>
        </w:tc>
        <w:tc>
          <w:tcPr>
            <w:tcW w:w="895" w:type="pct"/>
            <w:vAlign w:val="center"/>
          </w:tcPr>
          <w:p w:rsidR="005F1D5F" w:rsidRPr="00B146BA" w:rsidP="00644176" w14:paraId="6C5CB3AE" w14:textId="77777777">
            <w:pPr>
              <w:pStyle w:val="RTableTextAbt"/>
              <w:ind w:right="279"/>
            </w:pPr>
            <w:r>
              <w:rPr>
                <w:rFonts w:cs="Arial"/>
                <w:szCs w:val="18"/>
              </w:rPr>
              <w:t>29</w:t>
            </w:r>
          </w:p>
        </w:tc>
        <w:tc>
          <w:tcPr>
            <w:tcW w:w="1159" w:type="pct"/>
            <w:shd w:val="clear" w:color="auto" w:fill="auto"/>
            <w:noWrap/>
            <w:vAlign w:val="center"/>
            <w:hideMark/>
          </w:tcPr>
          <w:p w:rsidR="005F1D5F" w:rsidRPr="00B146BA" w:rsidP="00644176" w14:paraId="3B661611" w14:textId="77777777">
            <w:pPr>
              <w:pStyle w:val="RTableTextAbt"/>
              <w:ind w:right="279"/>
            </w:pPr>
            <w:r w:rsidRPr="00B146BA">
              <w:t>0.44</w:t>
            </w:r>
          </w:p>
        </w:tc>
      </w:tr>
      <w:tr w14:paraId="63FEA0B7" w14:textId="77777777" w:rsidTr="00644176">
        <w:tblPrEx>
          <w:tblW w:w="5000" w:type="pct"/>
          <w:tblLayout w:type="fixed"/>
          <w:tblLook w:val="04A0"/>
        </w:tblPrEx>
        <w:trPr>
          <w:trHeight w:val="260"/>
        </w:trPr>
        <w:tc>
          <w:tcPr>
            <w:tcW w:w="1587" w:type="pct"/>
            <w:shd w:val="clear" w:color="auto" w:fill="auto"/>
            <w:noWrap/>
            <w:vAlign w:val="center"/>
            <w:hideMark/>
          </w:tcPr>
          <w:p w:rsidR="005F1D5F" w:rsidP="00644176" w14:paraId="25A46E51" w14:textId="77777777">
            <w:pPr>
              <w:pStyle w:val="LTableTextAbt"/>
            </w:pPr>
            <w:r>
              <w:t>2. Bag transfer to IPCs for salt grinding</w:t>
            </w:r>
          </w:p>
        </w:tc>
        <w:tc>
          <w:tcPr>
            <w:tcW w:w="733" w:type="pct"/>
            <w:shd w:val="clear" w:color="auto" w:fill="auto"/>
            <w:noWrap/>
            <w:vAlign w:val="center"/>
            <w:hideMark/>
          </w:tcPr>
          <w:p w:rsidR="005F1D5F" w:rsidRPr="00B146BA" w:rsidP="00644176" w14:paraId="3028CDCD" w14:textId="77777777">
            <w:pPr>
              <w:pStyle w:val="RTableTextAbt"/>
              <w:ind w:right="279"/>
            </w:pPr>
            <w:r w:rsidRPr="00B146BA">
              <w:t>1</w:t>
            </w:r>
          </w:p>
        </w:tc>
        <w:tc>
          <w:tcPr>
            <w:tcW w:w="626" w:type="pct"/>
            <w:shd w:val="clear" w:color="auto" w:fill="auto"/>
            <w:noWrap/>
            <w:vAlign w:val="center"/>
            <w:hideMark/>
          </w:tcPr>
          <w:p w:rsidR="005F1D5F" w:rsidRPr="00B146BA" w:rsidP="00644176" w14:paraId="286C0A0A" w14:textId="77777777">
            <w:pPr>
              <w:pStyle w:val="RTableTextAbt"/>
              <w:ind w:right="279"/>
            </w:pPr>
            <w:r w:rsidRPr="00B146BA">
              <w:t>1</w:t>
            </w:r>
          </w:p>
        </w:tc>
        <w:tc>
          <w:tcPr>
            <w:tcW w:w="895" w:type="pct"/>
            <w:vAlign w:val="center"/>
          </w:tcPr>
          <w:p w:rsidR="005F1D5F" w:rsidRPr="00B146BA" w:rsidP="00644176" w14:paraId="53C9EFEF" w14:textId="77777777">
            <w:pPr>
              <w:pStyle w:val="RTableTextAbt"/>
              <w:ind w:right="279"/>
            </w:pPr>
            <w:r>
              <w:rPr>
                <w:rFonts w:cs="Arial"/>
                <w:szCs w:val="18"/>
              </w:rPr>
              <w:t>35</w:t>
            </w:r>
          </w:p>
        </w:tc>
        <w:tc>
          <w:tcPr>
            <w:tcW w:w="1159" w:type="pct"/>
            <w:shd w:val="clear" w:color="auto" w:fill="auto"/>
            <w:noWrap/>
            <w:vAlign w:val="center"/>
            <w:hideMark/>
          </w:tcPr>
          <w:p w:rsidR="005F1D5F" w:rsidRPr="00B146BA" w:rsidP="00644176" w14:paraId="0506768D" w14:textId="77777777">
            <w:pPr>
              <w:pStyle w:val="RTableTextAbt"/>
              <w:ind w:right="279"/>
            </w:pPr>
            <w:r w:rsidRPr="00B146BA">
              <w:t>0.35</w:t>
            </w:r>
          </w:p>
        </w:tc>
      </w:tr>
      <w:tr w14:paraId="786EC6CE" w14:textId="77777777" w:rsidTr="00644176">
        <w:tblPrEx>
          <w:tblW w:w="5000" w:type="pct"/>
          <w:tblLayout w:type="fixed"/>
          <w:tblLook w:val="04A0"/>
        </w:tblPrEx>
        <w:trPr>
          <w:trHeight w:val="260"/>
        </w:trPr>
        <w:tc>
          <w:tcPr>
            <w:tcW w:w="1587" w:type="pct"/>
            <w:shd w:val="clear" w:color="auto" w:fill="auto"/>
            <w:noWrap/>
            <w:vAlign w:val="center"/>
            <w:hideMark/>
          </w:tcPr>
          <w:p w:rsidR="005F1D5F" w:rsidP="00644176" w14:paraId="3A686DBD" w14:textId="77777777">
            <w:pPr>
              <w:pStyle w:val="LTableTextAbt"/>
            </w:pPr>
            <w:r>
              <w:t>3. Tray dryer unloading</w:t>
            </w:r>
          </w:p>
        </w:tc>
        <w:tc>
          <w:tcPr>
            <w:tcW w:w="733" w:type="pct"/>
            <w:shd w:val="clear" w:color="auto" w:fill="auto"/>
            <w:noWrap/>
            <w:vAlign w:val="center"/>
            <w:hideMark/>
          </w:tcPr>
          <w:p w:rsidR="005F1D5F" w:rsidRPr="00B146BA" w:rsidP="00644176" w14:paraId="5346BCA8" w14:textId="77777777">
            <w:pPr>
              <w:pStyle w:val="RTableTextAbt"/>
              <w:ind w:right="279"/>
            </w:pPr>
            <w:r w:rsidRPr="00B146BA">
              <w:t>4</w:t>
            </w:r>
          </w:p>
        </w:tc>
        <w:tc>
          <w:tcPr>
            <w:tcW w:w="626" w:type="pct"/>
            <w:shd w:val="clear" w:color="auto" w:fill="auto"/>
            <w:noWrap/>
            <w:vAlign w:val="center"/>
            <w:hideMark/>
          </w:tcPr>
          <w:p w:rsidR="005F1D5F" w:rsidRPr="00B146BA" w:rsidP="00644176" w14:paraId="5BC0606E" w14:textId="77777777">
            <w:pPr>
              <w:pStyle w:val="RTableTextAbt"/>
              <w:ind w:right="279"/>
            </w:pPr>
            <w:r w:rsidRPr="00B146BA">
              <w:t>7</w:t>
            </w:r>
          </w:p>
        </w:tc>
        <w:tc>
          <w:tcPr>
            <w:tcW w:w="895" w:type="pct"/>
            <w:vAlign w:val="center"/>
          </w:tcPr>
          <w:p w:rsidR="005F1D5F" w:rsidRPr="00B146BA" w:rsidP="00644176" w14:paraId="7E404F46" w14:textId="77777777">
            <w:pPr>
              <w:pStyle w:val="RTableTextAbt"/>
              <w:ind w:right="279"/>
            </w:pPr>
            <w:r>
              <w:rPr>
                <w:rFonts w:cs="Arial"/>
                <w:szCs w:val="18"/>
              </w:rPr>
              <w:t>37</w:t>
            </w:r>
          </w:p>
        </w:tc>
        <w:tc>
          <w:tcPr>
            <w:tcW w:w="1159" w:type="pct"/>
            <w:shd w:val="clear" w:color="auto" w:fill="auto"/>
            <w:noWrap/>
            <w:vAlign w:val="center"/>
            <w:hideMark/>
          </w:tcPr>
          <w:p w:rsidR="005F1D5F" w:rsidRPr="00B146BA" w:rsidP="00644176" w14:paraId="042E1F2D" w14:textId="77777777">
            <w:pPr>
              <w:pStyle w:val="RTableTextAbt"/>
              <w:ind w:right="279"/>
            </w:pPr>
            <w:r w:rsidRPr="00B146BA">
              <w:t>0.34</w:t>
            </w:r>
          </w:p>
        </w:tc>
      </w:tr>
      <w:tr w14:paraId="67E2F4A8" w14:textId="77777777" w:rsidTr="00644176">
        <w:tblPrEx>
          <w:tblW w:w="5000" w:type="pct"/>
          <w:tblLayout w:type="fixed"/>
          <w:tblLook w:val="04A0"/>
        </w:tblPrEx>
        <w:trPr>
          <w:trHeight w:val="260"/>
        </w:trPr>
        <w:tc>
          <w:tcPr>
            <w:tcW w:w="1587" w:type="pct"/>
            <w:shd w:val="clear" w:color="auto" w:fill="auto"/>
            <w:noWrap/>
            <w:vAlign w:val="center"/>
            <w:hideMark/>
          </w:tcPr>
          <w:p w:rsidR="005F1D5F" w:rsidP="00644176" w14:paraId="4CCDB549" w14:textId="77777777">
            <w:pPr>
              <w:pStyle w:val="LTableTextAbt"/>
            </w:pPr>
            <w:r>
              <w:t>4. Grind and blend charging</w:t>
            </w:r>
          </w:p>
        </w:tc>
        <w:tc>
          <w:tcPr>
            <w:tcW w:w="733" w:type="pct"/>
            <w:shd w:val="clear" w:color="auto" w:fill="auto"/>
            <w:noWrap/>
            <w:vAlign w:val="center"/>
            <w:hideMark/>
          </w:tcPr>
          <w:p w:rsidR="005F1D5F" w:rsidRPr="00B146BA" w:rsidP="00644176" w14:paraId="0AB09374" w14:textId="77777777">
            <w:pPr>
              <w:pStyle w:val="RTableTextAbt"/>
              <w:ind w:right="279"/>
            </w:pPr>
            <w:r w:rsidRPr="00B146BA">
              <w:t>1</w:t>
            </w:r>
          </w:p>
        </w:tc>
        <w:tc>
          <w:tcPr>
            <w:tcW w:w="626" w:type="pct"/>
            <w:shd w:val="clear" w:color="auto" w:fill="auto"/>
            <w:noWrap/>
            <w:vAlign w:val="center"/>
            <w:hideMark/>
          </w:tcPr>
          <w:p w:rsidR="005F1D5F" w:rsidRPr="00B146BA" w:rsidP="00644176" w14:paraId="33158C21" w14:textId="77777777">
            <w:pPr>
              <w:pStyle w:val="RTableTextAbt"/>
              <w:ind w:right="279"/>
            </w:pPr>
            <w:r w:rsidRPr="00B146BA">
              <w:t>3</w:t>
            </w:r>
          </w:p>
        </w:tc>
        <w:tc>
          <w:tcPr>
            <w:tcW w:w="895" w:type="pct"/>
            <w:vAlign w:val="center"/>
          </w:tcPr>
          <w:p w:rsidR="005F1D5F" w:rsidRPr="00B146BA" w:rsidP="00644176" w14:paraId="5CAD904C" w14:textId="77777777">
            <w:pPr>
              <w:pStyle w:val="RTableTextAbt"/>
              <w:ind w:right="279"/>
            </w:pPr>
            <w:r>
              <w:rPr>
                <w:rFonts w:cs="Arial"/>
                <w:szCs w:val="18"/>
              </w:rPr>
              <w:t>33</w:t>
            </w:r>
          </w:p>
        </w:tc>
        <w:tc>
          <w:tcPr>
            <w:tcW w:w="1159" w:type="pct"/>
            <w:shd w:val="clear" w:color="auto" w:fill="auto"/>
            <w:noWrap/>
            <w:vAlign w:val="center"/>
            <w:hideMark/>
          </w:tcPr>
          <w:p w:rsidR="005F1D5F" w:rsidRPr="00B146BA" w:rsidP="00644176" w14:paraId="0985AA4D" w14:textId="77777777">
            <w:pPr>
              <w:pStyle w:val="RTableTextAbt"/>
              <w:ind w:right="279"/>
            </w:pPr>
            <w:r w:rsidRPr="00B146BA">
              <w:t>0.37</w:t>
            </w:r>
          </w:p>
        </w:tc>
      </w:tr>
      <w:tr w14:paraId="5F9E5462" w14:textId="77777777" w:rsidTr="00644176">
        <w:tblPrEx>
          <w:tblW w:w="5000" w:type="pct"/>
          <w:tblLayout w:type="fixed"/>
          <w:tblLook w:val="04A0"/>
        </w:tblPrEx>
        <w:trPr>
          <w:trHeight w:val="260"/>
        </w:trPr>
        <w:tc>
          <w:tcPr>
            <w:tcW w:w="1587" w:type="pct"/>
            <w:shd w:val="clear" w:color="auto" w:fill="auto"/>
            <w:noWrap/>
            <w:vAlign w:val="center"/>
            <w:hideMark/>
          </w:tcPr>
          <w:p w:rsidR="005F1D5F" w:rsidP="00644176" w14:paraId="08D0C313" w14:textId="77777777">
            <w:pPr>
              <w:pStyle w:val="LTableTextAbt"/>
            </w:pPr>
            <w:r>
              <w:t>5. Grind and blend pack-out</w:t>
            </w:r>
          </w:p>
        </w:tc>
        <w:tc>
          <w:tcPr>
            <w:tcW w:w="733" w:type="pct"/>
            <w:shd w:val="clear" w:color="auto" w:fill="auto"/>
            <w:noWrap/>
            <w:vAlign w:val="center"/>
            <w:hideMark/>
          </w:tcPr>
          <w:p w:rsidR="005F1D5F" w:rsidRPr="00B146BA" w:rsidP="00644176" w14:paraId="4BD874E9" w14:textId="77777777">
            <w:pPr>
              <w:pStyle w:val="RTableTextAbt"/>
              <w:ind w:right="279"/>
            </w:pPr>
            <w:r w:rsidRPr="00B146BA">
              <w:t>3</w:t>
            </w:r>
          </w:p>
        </w:tc>
        <w:tc>
          <w:tcPr>
            <w:tcW w:w="626" w:type="pct"/>
            <w:shd w:val="clear" w:color="auto" w:fill="auto"/>
            <w:noWrap/>
            <w:vAlign w:val="center"/>
            <w:hideMark/>
          </w:tcPr>
          <w:p w:rsidR="005F1D5F" w:rsidRPr="00B146BA" w:rsidP="00644176" w14:paraId="4A09F3A6" w14:textId="77777777">
            <w:pPr>
              <w:pStyle w:val="RTableTextAbt"/>
              <w:ind w:right="279"/>
            </w:pPr>
            <w:r w:rsidRPr="00B146BA">
              <w:t>7</w:t>
            </w:r>
          </w:p>
        </w:tc>
        <w:tc>
          <w:tcPr>
            <w:tcW w:w="895" w:type="pct"/>
            <w:vAlign w:val="center"/>
          </w:tcPr>
          <w:p w:rsidR="005F1D5F" w:rsidRPr="00B146BA" w:rsidP="00644176" w14:paraId="7AD4FB72" w14:textId="77777777">
            <w:pPr>
              <w:pStyle w:val="RTableTextAbt"/>
              <w:ind w:right="279"/>
            </w:pPr>
            <w:r>
              <w:rPr>
                <w:rFonts w:cs="Arial"/>
                <w:szCs w:val="18"/>
              </w:rPr>
              <w:t>90</w:t>
            </w:r>
          </w:p>
        </w:tc>
        <w:tc>
          <w:tcPr>
            <w:tcW w:w="1159" w:type="pct"/>
            <w:shd w:val="clear" w:color="auto" w:fill="auto"/>
            <w:noWrap/>
            <w:vAlign w:val="center"/>
            <w:hideMark/>
          </w:tcPr>
          <w:p w:rsidR="005F1D5F" w:rsidRPr="00B146BA" w:rsidP="00644176" w14:paraId="57BF43F1" w14:textId="77777777">
            <w:pPr>
              <w:pStyle w:val="RTableTextAbt"/>
              <w:ind w:right="279"/>
            </w:pPr>
            <w:r w:rsidRPr="00B146BA">
              <w:t>0.32</w:t>
            </w:r>
          </w:p>
        </w:tc>
      </w:tr>
      <w:tr w14:paraId="35C7F3C7" w14:textId="77777777" w:rsidTr="00CA0464">
        <w:tblPrEx>
          <w:tblW w:w="5000" w:type="pct"/>
          <w:tblLayout w:type="fixed"/>
          <w:tblLook w:val="04A0"/>
        </w:tblPrEx>
        <w:trPr>
          <w:trHeight w:val="260"/>
        </w:trPr>
        <w:tc>
          <w:tcPr>
            <w:tcW w:w="5000" w:type="pct"/>
            <w:gridSpan w:val="5"/>
          </w:tcPr>
          <w:p w:rsidR="005F1D5F" w:rsidRPr="00A95A85" w:rsidP="00CA0464" w14:paraId="581819A7" w14:textId="77777777">
            <w:pPr>
              <w:pStyle w:val="TableNote0"/>
            </w:pPr>
            <w:r>
              <w:t>IPCs = integrated process containers; ONU</w:t>
            </w:r>
            <w:r w:rsidRPr="00A95A85">
              <w:t xml:space="preserve"> = occupational non-users</w:t>
            </w:r>
            <w:r>
              <w:t>; SEG = similar exposure group</w:t>
            </w:r>
          </w:p>
          <w:p w:rsidR="005F1D5F" w:rsidRPr="00B146BA" w:rsidP="00CA0464" w14:paraId="2F9D04A5" w14:textId="37307D80">
            <w:pPr>
              <w:pStyle w:val="TableNote0"/>
            </w:pPr>
            <w:r>
              <w:t xml:space="preserve">Source: based on data from </w:t>
            </w:r>
            <w:r w:rsidR="00117E1A">
              <w:t>EPA (</w:t>
            </w:r>
            <w:hyperlink w:anchor="_ENREF_65" w:tooltip="U.S. Environmental Protection Agency (EPA), 2021 #61" w:history="1">
              <w:r w:rsidR="003D6084">
                <w:fldChar w:fldCharType="begin" w:fldLock="1"/>
              </w:r>
              <w:r w:rsidR="003D6084">
                <w:instrText xml:space="preserve"> ADDIN EN.CITE &lt;EndNote&gt;&lt;Cite ExcludeAuth="1"&gt;&lt;Author&gt;U.S. Environmental Protection Agency (EPA)&lt;/Author&gt;&lt;Year&gt;2021&lt;/Year&gt;&lt;RecNum&gt;61&lt;/RecNum&gt;&lt;DisplayText&gt;2021e&lt;/DisplayText&gt;&lt;record&gt;&lt;rec-number&gt;61&lt;/rec-number&gt;&lt;foreign-keys&gt;&lt;key app="EN" db-id="2apzr05radv9fjet2w6xxwdlz5e9vwfxredw" timestamp="1730757315"&gt;61&lt;/key&gt;&lt;/foreign-keys&gt;&lt;ref-type name="Generic"&gt;13&lt;/ref-type&gt;&lt;contributors&gt;&lt;authors&gt;&lt;author&gt;U.S. Environmental Protection Agency (EPA),&lt;/author&gt;&lt;/authors&gt;&lt;subsidiary-authors&gt;&lt;author&gt;Office of Chemical Safety and Pollution Prevention&lt;/author&gt;&lt;/subsidiary-authors&gt;&lt;/contributors&gt;&lt;titles&gt;&lt;title&gt;Risk Evaluation for C.I. Pigment Violet 29 (Anthra[2,1,9-def:6,5,10-d&amp;apos;e&amp;apos;f&amp;apos;]diisoquinoline-1,3,8,10(2H,9H)-tetrone)&lt;/title&gt;&lt;/titles&gt;&lt;number&gt;# 740-R-18-015&lt;/number&gt;&lt;dates&gt;&lt;year&gt;2021&lt;/year&gt;&lt;/dates&gt;&lt;urls&gt;&lt;/urls&gt;&lt;/record&gt;&lt;/Cite&gt;&lt;/EndNote&gt;</w:instrText>
              </w:r>
              <w:r w:rsidR="003D6084">
                <w:fldChar w:fldCharType="separate"/>
              </w:r>
              <w:r w:rsidR="003D6084">
                <w:rPr>
                  <w:noProof/>
                </w:rPr>
                <w:t>2021e</w:t>
              </w:r>
              <w:r w:rsidR="003D6084">
                <w:fldChar w:fldCharType="end"/>
              </w:r>
            </w:hyperlink>
            <w:r w:rsidR="00117E1A">
              <w:t xml:space="preserve">) </w:t>
            </w:r>
            <w:r>
              <w:t xml:space="preserve">and </w:t>
            </w:r>
            <w:hyperlink w:anchor="_ENREF_45" w:tooltip="The EI Group, 2020 #45" w:history="1">
              <w:r w:rsidR="003D6084">
                <w:fldChar w:fldCharType="begin" w:fldLock="1"/>
              </w:r>
              <w:r w:rsidR="003D6084">
                <w:instrText xml:space="preserve"> ADDIN EN.CITE &lt;EndNote&gt;&lt;Cite AuthorYear="1"&gt;&lt;Author&gt;The EI Group&lt;/Author&gt;&lt;Year&gt;2020&lt;/Year&gt;&lt;RecNum&gt;45&lt;/RecNum&gt;&lt;DisplayText&gt;The EI Group (2020)&lt;/DisplayText&gt;&lt;record&gt;&lt;rec-number&gt;45&lt;/rec-number&gt;&lt;foreign-keys&gt;&lt;key app="EN" db-id="2apzr05radv9fjet2w6xxwdlz5e9vwfxredw" timestamp="1730757315"&gt;45&lt;/key&gt;&lt;/foreign-keys&gt;&lt;ref-type name="Report"&gt;27&lt;/ref-type&gt;&lt;contributors&gt;&lt;authors&gt;&lt;author&gt;The EI Group,&lt;/author&gt;&lt;/authors&gt;&lt;/contributors&gt;&lt;titles&gt;&lt;title&gt;Industrial Hygiene Survey: Sun Chemical Corporation&lt;/title&gt;&lt;/titles&gt;&lt;number&gt;EI Project No 1HCH200035.00&lt;/number&gt;&lt;dates&gt;&lt;year&gt;2020&lt;/year&gt;&lt;/dates&gt;&lt;urls&gt;&lt;/urls&gt;&lt;/record&gt;&lt;/Cite&gt;&lt;/EndNote&gt;</w:instrText>
              </w:r>
              <w:r w:rsidR="003D6084">
                <w:fldChar w:fldCharType="separate"/>
              </w:r>
              <w:r w:rsidR="003D6084">
                <w:rPr>
                  <w:noProof/>
                </w:rPr>
                <w:t>The EI Group (2020)</w:t>
              </w:r>
              <w:r w:rsidR="003D6084">
                <w:fldChar w:fldCharType="end"/>
              </w:r>
            </w:hyperlink>
            <w:r>
              <w:t>.</w:t>
            </w:r>
          </w:p>
        </w:tc>
      </w:tr>
    </w:tbl>
    <w:p w:rsidR="00903054" w:rsidP="00832749" w14:paraId="0B9B5773" w14:textId="77777777">
      <w:pPr>
        <w:pStyle w:val="BodyText"/>
      </w:pPr>
    </w:p>
    <w:p w:rsidR="000F3931" w:rsidP="00832749" w14:paraId="0C50AA17" w14:textId="77777777">
      <w:pPr>
        <w:pStyle w:val="BodyText"/>
        <w:sectPr w:rsidSect="00946DC8">
          <w:headerReference w:type="even" r:id="rId26"/>
          <w:footerReference w:type="even" r:id="rId27"/>
          <w:pgSz w:w="12240" w:h="15840" w:code="1"/>
          <w:pgMar w:top="1440" w:right="1440" w:bottom="1440" w:left="1440" w:header="1080" w:footer="720" w:gutter="0"/>
          <w:pgNumType w:start="1" w:chapStyle="1"/>
          <w:cols w:space="720"/>
          <w:docGrid w:linePitch="360"/>
        </w:sectPr>
      </w:pPr>
    </w:p>
    <w:p w:rsidR="001C2987" w:rsidP="00503B52" w14:paraId="56C064CC" w14:textId="77777777">
      <w:pPr>
        <w:pStyle w:val="Heading1"/>
      </w:pPr>
      <w:bookmarkStart w:id="158" w:name="_Ref30142408"/>
      <w:bookmarkStart w:id="159" w:name="_Ref30142411"/>
      <w:bookmarkStart w:id="160" w:name="_Toc111035627"/>
      <w:bookmarkStart w:id="161" w:name="_Toc111037073"/>
      <w:bookmarkStart w:id="162" w:name="_Toc114062004"/>
      <w:bookmarkStart w:id="163" w:name="_Toc118475868"/>
      <w:bookmarkStart w:id="164" w:name="_Toc184299515"/>
      <w:bookmarkEnd w:id="57"/>
      <w:r w:rsidRPr="00B56426">
        <w:t>Cost Analysis</w:t>
      </w:r>
      <w:bookmarkEnd w:id="158"/>
      <w:bookmarkEnd w:id="159"/>
      <w:bookmarkEnd w:id="160"/>
      <w:bookmarkEnd w:id="161"/>
      <w:bookmarkEnd w:id="162"/>
      <w:bookmarkEnd w:id="163"/>
      <w:bookmarkEnd w:id="164"/>
    </w:p>
    <w:p w:rsidR="007B6745" w:rsidRPr="007B6745" w:rsidP="00832749" w14:paraId="784BB8BD" w14:textId="5443300C">
      <w:pPr>
        <w:pStyle w:val="BodyText"/>
      </w:pPr>
      <w:r w:rsidRPr="0E4AE1FD">
        <w:rPr>
          <w:lang w:val="en-US"/>
        </w:rPr>
        <w:t>This section presents EPA’s estimated incremental costs for implementation of the proposed regulation. It first provides an overview of assumptions and methods that are generally applicable, including the analysis time period and assume</w:t>
      </w:r>
      <w:r w:rsidRPr="0E4AE1FD" w:rsidR="0853C618">
        <w:rPr>
          <w:lang w:val="en-US"/>
        </w:rPr>
        <w:t>d</w:t>
      </w:r>
      <w:r w:rsidRPr="0E4AE1FD">
        <w:rPr>
          <w:lang w:val="en-US"/>
        </w:rPr>
        <w:t xml:space="preserve"> estimated labor rates (Section </w:t>
      </w:r>
      <w:r>
        <w:fldChar w:fldCharType="begin" w:fldLock="1"/>
      </w:r>
      <w:r>
        <w:instrText xml:space="preserve"> REF _Ref180403978 \r  \* MERGEFORMAT </w:instrText>
      </w:r>
      <w:r>
        <w:fldChar w:fldCharType="separate"/>
      </w:r>
      <w:r w:rsidRPr="00735BBC" w:rsidR="00735BBC">
        <w:rPr>
          <w:lang w:val="en-US"/>
        </w:rPr>
        <w:t>4.1</w:t>
      </w:r>
      <w:r w:rsidRPr="00735BBC" w:rsidR="00735BBC">
        <w:rPr>
          <w:lang w:val="en-US"/>
        </w:rPr>
        <w:fldChar w:fldCharType="end"/>
      </w:r>
      <w:r w:rsidRPr="0E4AE1FD">
        <w:rPr>
          <w:lang w:val="en-US"/>
        </w:rPr>
        <w:t xml:space="preserve">). Section </w:t>
      </w:r>
      <w:r>
        <w:fldChar w:fldCharType="begin" w:fldLock="1"/>
      </w:r>
      <w:r>
        <w:instrText xml:space="preserve">REF _Ref167098354 \r \* MERGEFORMAT </w:instrText>
      </w:r>
      <w:r>
        <w:fldChar w:fldCharType="separate"/>
      </w:r>
      <w:r w:rsidRPr="00735BBC" w:rsidR="00735BBC">
        <w:rPr>
          <w:lang w:val="en-US"/>
        </w:rPr>
        <w:t>4.2</w:t>
      </w:r>
      <w:r w:rsidRPr="00735BBC" w:rsidR="00735BBC">
        <w:rPr>
          <w:lang w:val="en-US"/>
        </w:rPr>
        <w:fldChar w:fldCharType="end"/>
      </w:r>
      <w:r w:rsidRPr="0E4AE1FD">
        <w:rPr>
          <w:lang w:val="en-US"/>
        </w:rPr>
        <w:t xml:space="preserve"> details the estimated costs for all covered industries to become familiar with the rule requirements, and Section </w:t>
      </w:r>
      <w:r>
        <w:fldChar w:fldCharType="begin" w:fldLock="1"/>
      </w:r>
      <w:r>
        <w:instrText xml:space="preserve">REF _Ref179298552 \r \* MERGEFORMAT </w:instrText>
      </w:r>
      <w:r>
        <w:fldChar w:fldCharType="separate"/>
      </w:r>
      <w:r w:rsidRPr="00735BBC" w:rsidR="00735BBC">
        <w:rPr>
          <w:lang w:val="en-US"/>
        </w:rPr>
        <w:t>4.3</w:t>
      </w:r>
      <w:r w:rsidRPr="00735BBC" w:rsidR="00735BBC">
        <w:rPr>
          <w:lang w:val="en-US"/>
        </w:rPr>
        <w:fldChar w:fldCharType="end"/>
      </w:r>
      <w:r w:rsidRPr="0E4AE1FD">
        <w:rPr>
          <w:lang w:val="en-US"/>
        </w:rPr>
        <w:t xml:space="preserve"> describes the estimated costs for the regulatory requirements applicable to facilities handling </w:t>
      </w:r>
      <w:r w:rsidRPr="0E4AE1FD" w:rsidR="61350D30">
        <w:rPr>
          <w:lang w:val="en-US"/>
        </w:rPr>
        <w:t>regulated</w:t>
      </w:r>
      <w:r w:rsidRPr="0E4AE1FD">
        <w:rPr>
          <w:lang w:val="en-US"/>
        </w:rPr>
        <w:t xml:space="preserve"> PV29. Section </w:t>
      </w:r>
      <w:r>
        <w:fldChar w:fldCharType="begin" w:fldLock="1"/>
      </w:r>
      <w:r>
        <w:instrText xml:space="preserve">REF _Ref179298578 \r \* MERGEFORMAT </w:instrText>
      </w:r>
      <w:r>
        <w:fldChar w:fldCharType="separate"/>
      </w:r>
      <w:r w:rsidRPr="00735BBC" w:rsidR="00735BBC">
        <w:rPr>
          <w:lang w:val="en-US"/>
        </w:rPr>
        <w:t>4.4</w:t>
      </w:r>
      <w:r w:rsidRPr="00735BBC" w:rsidR="00735BBC">
        <w:rPr>
          <w:lang w:val="en-US"/>
        </w:rPr>
        <w:fldChar w:fldCharType="end"/>
      </w:r>
      <w:r w:rsidRPr="0E4AE1FD">
        <w:rPr>
          <w:lang w:val="en-US"/>
        </w:rPr>
        <w:t xml:space="preserve"> summarizes the total estimated annualized and total costs to industry, and Section </w:t>
      </w:r>
      <w:r>
        <w:fldChar w:fldCharType="begin" w:fldLock="1"/>
      </w:r>
      <w:r>
        <w:instrText xml:space="preserve"> REF _Ref180409107 \r  \* MERGEFORMAT </w:instrText>
      </w:r>
      <w:r>
        <w:fldChar w:fldCharType="separate"/>
      </w:r>
      <w:r w:rsidRPr="00735BBC" w:rsidR="00735BBC">
        <w:rPr>
          <w:lang w:val="en-US"/>
        </w:rPr>
        <w:t>4.5</w:t>
      </w:r>
      <w:r w:rsidRPr="00735BBC" w:rsidR="00735BBC">
        <w:rPr>
          <w:lang w:val="en-US"/>
        </w:rPr>
        <w:fldChar w:fldCharType="end"/>
      </w:r>
      <w:r w:rsidRPr="0E4AE1FD">
        <w:rPr>
          <w:lang w:val="en-US"/>
        </w:rPr>
        <w:t xml:space="preserve"> describes unquantified potential costs and key uncertainties in the cost analysis.</w:t>
      </w:r>
    </w:p>
    <w:p w:rsidR="007B6745" w:rsidRPr="007B6745" w:rsidP="00105ED0" w14:paraId="0BFB308F" w14:textId="77777777">
      <w:pPr>
        <w:pStyle w:val="Heading2"/>
      </w:pPr>
      <w:bookmarkStart w:id="165" w:name="_Ref180403978"/>
      <w:bookmarkStart w:id="166" w:name="_Toc184299516"/>
      <w:r w:rsidRPr="007B6745">
        <w:t>Method and assumptions</w:t>
      </w:r>
      <w:bookmarkEnd w:id="165"/>
      <w:bookmarkEnd w:id="166"/>
    </w:p>
    <w:p w:rsidR="007B6745" w:rsidRPr="007B6745" w:rsidP="00832749" w14:paraId="3E82A834" w14:textId="20AB2713">
      <w:pPr>
        <w:pStyle w:val="BodyText"/>
      </w:pPr>
      <w:r w:rsidRPr="007B6745">
        <w:t xml:space="preserve">The total costs of the proposed rule include labor costs for covered facilities to become familiar with the rule requirements (Section </w:t>
      </w:r>
      <w:r>
        <w:fldChar w:fldCharType="begin" w:fldLock="1"/>
      </w:r>
      <w:r>
        <w:instrText>REF _Ref180404087 \r  \* MERGEFORMAT</w:instrText>
      </w:r>
      <w:r>
        <w:fldChar w:fldCharType="separate"/>
      </w:r>
      <w:r w:rsidR="00735BBC">
        <w:t>4.2</w:t>
      </w:r>
      <w:r w:rsidR="00735BBC">
        <w:fldChar w:fldCharType="end"/>
      </w:r>
      <w:r w:rsidRPr="007B6745">
        <w:t xml:space="preserve">) and to implement actions needed to comply (Section </w:t>
      </w:r>
      <w:r>
        <w:fldChar w:fldCharType="begin" w:fldLock="1"/>
      </w:r>
      <w:r>
        <w:instrText>REF _Ref180404119 \r  \* MERGEFORMAT</w:instrText>
      </w:r>
      <w:r>
        <w:fldChar w:fldCharType="separate"/>
      </w:r>
      <w:r w:rsidR="00735BBC">
        <w:t>4.3</w:t>
      </w:r>
      <w:r w:rsidR="00735BBC">
        <w:fldChar w:fldCharType="end"/>
      </w:r>
      <w:r w:rsidRPr="007B6745">
        <w:t xml:space="preserve">). For both categories of costs, </w:t>
      </w:r>
      <w:r>
        <w:fldChar w:fldCharType="begin" w:fldLock="1"/>
      </w:r>
      <w:r>
        <w:instrText>REF _Ref175676776 \* MERGEFORMAT</w:instrText>
      </w:r>
      <w:r>
        <w:fldChar w:fldCharType="separate"/>
      </w:r>
      <w:r w:rsidRPr="007B6745" w:rsidR="00735BBC">
        <w:t xml:space="preserve">Table </w:t>
      </w:r>
      <w:r w:rsidR="00735BBC">
        <w:t>4</w:t>
      </w:r>
      <w:r w:rsidR="00735BBC">
        <w:noBreakHyphen/>
        <w:t>1</w:t>
      </w:r>
      <w:r w:rsidR="00735BBC">
        <w:fldChar w:fldCharType="end"/>
      </w:r>
      <w:r w:rsidRPr="007B6745">
        <w:t xml:space="preserve"> shows the labor rates for relevant occupations in the three industries encompassing the COUs based on the U.S. Bureau of Labor Statistics’ </w:t>
      </w:r>
      <w:r w:rsidR="00FB4058">
        <w:t xml:space="preserve">(BLS) </w:t>
      </w:r>
      <w:r w:rsidRPr="007B6745">
        <w:t xml:space="preserve">Employer Costs for Employee Compensation dataset </w:t>
      </w:r>
      <w:r w:rsidR="00117E1A">
        <w:t>(</w:t>
      </w:r>
      <w:hyperlink w:anchor="_ENREF_9" w:tooltip="Bureau of Labor Statistics, 2024 #8" w:history="1">
        <w:r w:rsidRPr="007B6745" w:rsidR="003D6084">
          <w:fldChar w:fldCharType="begin" w:fldLock="1"/>
        </w:r>
        <w:r w:rsidR="003D6084">
          <w:instrText xml:space="preserve"> ADDIN EN.CITE &lt;EndNote&gt;&lt;Cite&gt;&lt;Author&gt;Bureau of Labor Statistics&lt;/Author&gt;&lt;Year&gt;2024&lt;/Year&gt;&lt;RecNum&gt;8&lt;/RecNum&gt;&lt;DisplayText&gt;Bureau of Labor Statistics 2024b&lt;/DisplayText&gt;&lt;record&gt;&lt;rec-number&gt;8&lt;/rec-number&gt;&lt;foreign-keys&gt;&lt;key app="EN" db-id="2apzr05radv9fjet2w6xxwdlz5e9vwfxredw" timestamp="1730757315"&gt;8&lt;/key&gt;&lt;/foreign-keys&gt;&lt;ref-type name="Dataset"&gt;59&lt;/ref-type&gt;&lt;contributors&gt;&lt;authors&gt;&lt;author&gt;Bureau of Labor Statistics,&lt;/author&gt;&lt;/authors&gt;&lt;/contributors&gt;&lt;titles&gt;&lt;title&gt;Employer Costs for Employee Compensation Historical Supplementary Tables, National Compensation Survey: December 2023 &lt;/title&gt;&lt;/titles&gt;&lt;dates&gt;&lt;year&gt;2024&lt;/year&gt;&lt;/dates&gt;&lt;urls&gt;&lt;/urls&gt;&lt;/record&gt;&lt;/Cite&gt;&lt;/EndNote&gt;</w:instrText>
        </w:r>
        <w:r w:rsidRPr="007B6745" w:rsidR="003D6084">
          <w:fldChar w:fldCharType="separate"/>
        </w:r>
        <w:r w:rsidR="003D6084">
          <w:rPr>
            <w:noProof/>
          </w:rPr>
          <w:t>Bureau of Labor Statistics 2024b</w:t>
        </w:r>
        <w:r w:rsidRPr="007B6745" w:rsidR="003D6084">
          <w:fldChar w:fldCharType="end"/>
        </w:r>
      </w:hyperlink>
      <w:r w:rsidR="00117E1A">
        <w:t>)</w:t>
      </w:r>
      <w:r w:rsidRPr="007B6745">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1307"/>
        <w:gridCol w:w="2203"/>
        <w:gridCol w:w="2250"/>
        <w:gridCol w:w="1440"/>
        <w:gridCol w:w="1080"/>
        <w:gridCol w:w="1080"/>
      </w:tblGrid>
      <w:tr w14:paraId="03557C96" w14:textId="77777777" w:rsidTr="00752CB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Ex>
        <w:trPr>
          <w:trHeight w:val="20"/>
          <w:tblHeader/>
        </w:trPr>
        <w:tc>
          <w:tcPr>
            <w:tcW w:w="5000" w:type="pct"/>
            <w:gridSpan w:val="6"/>
            <w:tcBorders>
              <w:top w:val="nil"/>
              <w:left w:val="nil"/>
              <w:bottom w:val="single" w:sz="4" w:space="0" w:color="auto"/>
              <w:right w:val="nil"/>
            </w:tcBorders>
            <w:shd w:val="clear" w:color="auto" w:fill="auto"/>
            <w:vAlign w:val="center"/>
          </w:tcPr>
          <w:p w:rsidR="00133A33" w:rsidRPr="007B6745" w:rsidP="00026204" w14:paraId="1400F220" w14:textId="063E4987">
            <w:pPr>
              <w:pStyle w:val="TableTitleA"/>
            </w:pPr>
            <w:bookmarkStart w:id="167" w:name="_Ref175676776"/>
            <w:bookmarkStart w:id="168" w:name="_Ref181202260"/>
            <w:bookmarkStart w:id="169" w:name="_Toc184299557"/>
            <w:r w:rsidRPr="007B6745">
              <w:t xml:space="preserve">Table </w:t>
            </w:r>
            <w:r>
              <w:fldChar w:fldCharType="begin" w:fldLock="1"/>
            </w:r>
            <w:r>
              <w:instrText>STYLEREF 1 \s</w:instrText>
            </w:r>
            <w:r>
              <w:fldChar w:fldCharType="separate"/>
            </w:r>
            <w:r w:rsidR="00735BBC">
              <w:rPr>
                <w:noProof/>
              </w:rPr>
              <w:t>4</w:t>
            </w:r>
            <w:r>
              <w:fldChar w:fldCharType="end"/>
            </w:r>
            <w:r w:rsidR="000A1542">
              <w:noBreakHyphen/>
            </w:r>
            <w:r>
              <w:fldChar w:fldCharType="begin" w:fldLock="1"/>
            </w:r>
            <w:r>
              <w:instrText>SEQ Table \* ARABIC \s 1</w:instrText>
            </w:r>
            <w:r>
              <w:fldChar w:fldCharType="separate"/>
            </w:r>
            <w:r w:rsidR="00735BBC">
              <w:rPr>
                <w:noProof/>
              </w:rPr>
              <w:t>1</w:t>
            </w:r>
            <w:r>
              <w:fldChar w:fldCharType="end"/>
            </w:r>
            <w:bookmarkEnd w:id="167"/>
            <w:r w:rsidRPr="007B6745">
              <w:t>: Fully Loaded Hourly Labor Rates for Relevant Occupations (2023$)</w:t>
            </w:r>
            <w:bookmarkEnd w:id="168"/>
            <w:bookmarkEnd w:id="169"/>
          </w:p>
        </w:tc>
      </w:tr>
      <w:tr w14:paraId="1C5E64CC" w14:textId="77777777" w:rsidTr="00475F7F">
        <w:tblPrEx>
          <w:tblW w:w="5000" w:type="pct"/>
          <w:tblLayout w:type="fixed"/>
          <w:tblCellMar>
            <w:left w:w="58" w:type="dxa"/>
            <w:right w:w="58" w:type="dxa"/>
          </w:tblCellMar>
          <w:tblLook w:val="04A0"/>
        </w:tblPrEx>
        <w:trPr>
          <w:trHeight w:val="20"/>
          <w:tblHeader/>
        </w:trPr>
        <w:tc>
          <w:tcPr>
            <w:tcW w:w="698"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133A33" w:rsidRPr="007B6745" w:rsidP="000D7F2B" w14:paraId="64A6F337" w14:textId="77777777">
            <w:pPr>
              <w:pStyle w:val="TableSubtitle"/>
            </w:pPr>
            <w:r w:rsidRPr="007B6745">
              <w:t>Industry</w:t>
            </w:r>
          </w:p>
        </w:tc>
        <w:tc>
          <w:tcPr>
            <w:tcW w:w="1177"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133A33" w:rsidRPr="007B6745" w:rsidP="000D7F2B" w14:paraId="73CD785E" w14:textId="77777777">
            <w:pPr>
              <w:pStyle w:val="TableSubtitle"/>
            </w:pPr>
            <w:r w:rsidRPr="007B6745">
              <w:t>Use Categories</w:t>
            </w:r>
          </w:p>
        </w:tc>
        <w:tc>
          <w:tcPr>
            <w:tcW w:w="1202"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133A33" w:rsidRPr="007B6745" w:rsidP="000D7F2B" w14:paraId="2C8FA3DD" w14:textId="77777777">
            <w:pPr>
              <w:pStyle w:val="TableSubtitle"/>
              <w:rPr>
                <w:vertAlign w:val="superscript"/>
              </w:rPr>
            </w:pPr>
            <w:r w:rsidRPr="007B6745">
              <w:t>Occupation</w:t>
            </w:r>
          </w:p>
        </w:tc>
        <w:tc>
          <w:tcPr>
            <w:tcW w:w="769"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133A33" w:rsidRPr="007B6745" w:rsidP="000D7F2B" w14:paraId="1D8E168D" w14:textId="20942CB1">
            <w:pPr>
              <w:pStyle w:val="TableSubtitle"/>
              <w:rPr>
                <w:vertAlign w:val="superscript"/>
              </w:rPr>
            </w:pPr>
            <w:r w:rsidRPr="007B6745">
              <w:t xml:space="preserve">Total </w:t>
            </w:r>
            <w:r w:rsidR="00182DDD">
              <w:t>C</w:t>
            </w:r>
            <w:r w:rsidRPr="007B6745">
              <w:t>ompensation</w:t>
            </w:r>
            <w:r w:rsidRPr="007B6745">
              <w:rPr>
                <w:vertAlign w:val="superscript"/>
              </w:rPr>
              <w:t>a</w:t>
            </w:r>
          </w:p>
        </w:tc>
        <w:tc>
          <w:tcPr>
            <w:tcW w:w="577"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133A33" w:rsidRPr="007B6745" w:rsidP="000D7F2B" w14:paraId="6F03DAB7" w14:textId="191D07F1">
            <w:pPr>
              <w:pStyle w:val="TableSubtitle"/>
              <w:rPr>
                <w:vertAlign w:val="superscript"/>
              </w:rPr>
            </w:pPr>
            <w:r w:rsidRPr="007B6745">
              <w:t>Overhead</w:t>
            </w:r>
            <w:r w:rsidRPr="007B6745">
              <w:rPr>
                <w:vertAlign w:val="superscript"/>
              </w:rPr>
              <w:t>b</w:t>
            </w:r>
          </w:p>
        </w:tc>
        <w:tc>
          <w:tcPr>
            <w:tcW w:w="577"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133A33" w:rsidRPr="007B6745" w:rsidP="000D7F2B" w14:paraId="01EA80DE" w14:textId="2504683E">
            <w:pPr>
              <w:pStyle w:val="TableSubtitle"/>
              <w:rPr>
                <w:vertAlign w:val="superscript"/>
              </w:rPr>
            </w:pPr>
            <w:r w:rsidRPr="007B6745">
              <w:t>Loaded hourly rate</w:t>
            </w:r>
            <w:r w:rsidRPr="007B6745">
              <w:rPr>
                <w:vertAlign w:val="superscript"/>
              </w:rPr>
              <w:t>c</w:t>
            </w:r>
          </w:p>
        </w:tc>
      </w:tr>
      <w:tr w14:paraId="0F136CD5" w14:textId="77777777" w:rsidTr="00475F7F">
        <w:tblPrEx>
          <w:tblW w:w="5000" w:type="pct"/>
          <w:tblLayout w:type="fixed"/>
          <w:tblCellMar>
            <w:left w:w="58" w:type="dxa"/>
            <w:right w:w="58" w:type="dxa"/>
          </w:tblCellMar>
          <w:tblLook w:val="04A0"/>
        </w:tblPrEx>
        <w:trPr>
          <w:trHeight w:val="437"/>
        </w:trPr>
        <w:tc>
          <w:tcPr>
            <w:tcW w:w="698" w:type="pct"/>
            <w:vMerge w:val="restart"/>
            <w:tcBorders>
              <w:top w:val="single" w:sz="4" w:space="0" w:color="auto"/>
              <w:left w:val="single" w:sz="4" w:space="0" w:color="auto"/>
              <w:bottom w:val="single" w:sz="4" w:space="0" w:color="auto"/>
              <w:right w:val="single" w:sz="4" w:space="0" w:color="auto"/>
            </w:tcBorders>
            <w:vAlign w:val="center"/>
            <w:hideMark/>
          </w:tcPr>
          <w:p w:rsidR="00133A33" w:rsidRPr="007B6745" w:rsidP="00644176" w14:paraId="6C4D96AA" w14:textId="77777777">
            <w:pPr>
              <w:pStyle w:val="LTableTextAbt"/>
            </w:pPr>
            <w:r w:rsidRPr="007B6745">
              <w:t>Manufacturing</w:t>
            </w:r>
          </w:p>
        </w:tc>
        <w:tc>
          <w:tcPr>
            <w:tcW w:w="1177" w:type="pct"/>
            <w:vMerge w:val="restart"/>
            <w:tcBorders>
              <w:top w:val="single" w:sz="4" w:space="0" w:color="auto"/>
              <w:left w:val="single" w:sz="4" w:space="0" w:color="auto"/>
              <w:bottom w:val="single" w:sz="4" w:space="0" w:color="auto"/>
              <w:right w:val="single" w:sz="4" w:space="0" w:color="auto"/>
            </w:tcBorders>
            <w:vAlign w:val="center"/>
            <w:hideMark/>
          </w:tcPr>
          <w:p w:rsidR="00133A33" w:rsidP="00644176" w14:paraId="7799DD35" w14:textId="77777777">
            <w:pPr>
              <w:pStyle w:val="LTableTextAbt"/>
            </w:pPr>
            <w:r w:rsidRPr="007B6745">
              <w:t>PV29 manufacturing and intermediate processing</w:t>
            </w:r>
          </w:p>
          <w:p w:rsidR="00784081" w:rsidRPr="007B6745" w:rsidP="00644176" w14:paraId="6F7213F3" w14:textId="2A873493">
            <w:pPr>
              <w:pStyle w:val="LTableTextAbt"/>
            </w:pPr>
            <w:r>
              <w:t>PV29 importing</w:t>
            </w:r>
          </w:p>
          <w:p w:rsidR="00133A33" w:rsidRPr="007B6745" w:rsidP="00644176" w14:paraId="64C8385B" w14:textId="77777777">
            <w:pPr>
              <w:pStyle w:val="LTableTextAbt"/>
            </w:pPr>
            <w:r w:rsidRPr="007B6745">
              <w:t>Processing into automotive paints and coatings</w:t>
            </w:r>
          </w:p>
          <w:p w:rsidR="00133A33" w:rsidRPr="007B6745" w:rsidP="00644176" w14:paraId="7026EFDF" w14:textId="77777777">
            <w:pPr>
              <w:pStyle w:val="LTableTextAbt"/>
            </w:pPr>
            <w:r w:rsidRPr="007B6745">
              <w:t>Processing into plastics and rubber products</w:t>
            </w:r>
          </w:p>
          <w:p w:rsidR="00133A33" w:rsidRPr="007B6745" w:rsidP="00644176" w14:paraId="20CD1EAC" w14:textId="77777777">
            <w:pPr>
              <w:pStyle w:val="LTableTextAbt"/>
            </w:pPr>
            <w:r w:rsidRPr="007B6745">
              <w:t>Automotive painting (new vehicles)</w:t>
            </w:r>
          </w:p>
        </w:tc>
        <w:tc>
          <w:tcPr>
            <w:tcW w:w="1202" w:type="pct"/>
            <w:vMerge w:val="restart"/>
            <w:tcBorders>
              <w:top w:val="single" w:sz="4" w:space="0" w:color="auto"/>
              <w:left w:val="single" w:sz="4" w:space="0" w:color="auto"/>
              <w:bottom w:val="single" w:sz="4" w:space="0" w:color="auto"/>
              <w:right w:val="single" w:sz="4" w:space="0" w:color="auto"/>
            </w:tcBorders>
            <w:noWrap/>
            <w:vAlign w:val="center"/>
            <w:hideMark/>
          </w:tcPr>
          <w:p w:rsidR="00133A33" w:rsidRPr="007B6745" w:rsidP="00644176" w14:paraId="781E6C3F" w14:textId="77777777">
            <w:pPr>
              <w:pStyle w:val="LTableTextAbt"/>
            </w:pPr>
            <w:r w:rsidRPr="007B6745">
              <w:t xml:space="preserve">Management, business, and financial </w:t>
            </w:r>
          </w:p>
        </w:tc>
        <w:tc>
          <w:tcPr>
            <w:tcW w:w="769" w:type="pct"/>
            <w:vMerge w:val="restart"/>
            <w:tcBorders>
              <w:top w:val="single" w:sz="4" w:space="0" w:color="auto"/>
              <w:left w:val="single" w:sz="4" w:space="0" w:color="auto"/>
              <w:bottom w:val="single" w:sz="4" w:space="0" w:color="auto"/>
              <w:right w:val="single" w:sz="4" w:space="0" w:color="auto"/>
            </w:tcBorders>
            <w:noWrap/>
            <w:vAlign w:val="center"/>
            <w:hideMark/>
          </w:tcPr>
          <w:p w:rsidR="00133A33" w:rsidRPr="007B6745" w:rsidP="00752CB2" w14:paraId="422B9CD4" w14:textId="77777777">
            <w:pPr>
              <w:pStyle w:val="RTableTextAbt"/>
              <w:ind w:right="305"/>
            </w:pPr>
            <w:r w:rsidRPr="007B6745">
              <w:t>$77.56</w:t>
            </w:r>
          </w:p>
        </w:tc>
        <w:tc>
          <w:tcPr>
            <w:tcW w:w="577" w:type="pct"/>
            <w:vMerge w:val="restart"/>
            <w:tcBorders>
              <w:top w:val="single" w:sz="4" w:space="0" w:color="auto"/>
              <w:left w:val="single" w:sz="4" w:space="0" w:color="auto"/>
              <w:bottom w:val="single" w:sz="4" w:space="0" w:color="auto"/>
              <w:right w:val="single" w:sz="4" w:space="0" w:color="auto"/>
            </w:tcBorders>
            <w:noWrap/>
            <w:vAlign w:val="center"/>
            <w:hideMark/>
          </w:tcPr>
          <w:p w:rsidR="00133A33" w:rsidRPr="007B6745" w:rsidP="00752CB2" w14:paraId="1E2C593E" w14:textId="77777777">
            <w:pPr>
              <w:pStyle w:val="RTableTextAbt"/>
              <w:ind w:right="305"/>
            </w:pPr>
            <w:r w:rsidRPr="007B6745">
              <w:t>$15.51</w:t>
            </w:r>
          </w:p>
        </w:tc>
        <w:tc>
          <w:tcPr>
            <w:tcW w:w="577" w:type="pct"/>
            <w:vMerge w:val="restart"/>
            <w:tcBorders>
              <w:top w:val="single" w:sz="4" w:space="0" w:color="auto"/>
              <w:left w:val="single" w:sz="4" w:space="0" w:color="auto"/>
              <w:bottom w:val="single" w:sz="4" w:space="0" w:color="auto"/>
              <w:right w:val="single" w:sz="4" w:space="0" w:color="auto"/>
            </w:tcBorders>
            <w:noWrap/>
            <w:vAlign w:val="center"/>
            <w:hideMark/>
          </w:tcPr>
          <w:p w:rsidR="00133A33" w:rsidRPr="007B6745" w:rsidP="00752CB2" w14:paraId="26686C67" w14:textId="77777777">
            <w:pPr>
              <w:pStyle w:val="RTableTextAbt"/>
              <w:ind w:right="305"/>
            </w:pPr>
            <w:r w:rsidRPr="007B6745">
              <w:t>$93.07</w:t>
            </w:r>
          </w:p>
        </w:tc>
      </w:tr>
      <w:tr w14:paraId="75CCE3BE" w14:textId="77777777" w:rsidTr="00475F7F">
        <w:tblPrEx>
          <w:tblW w:w="5000" w:type="pct"/>
          <w:tblLayout w:type="fixed"/>
          <w:tblCellMar>
            <w:left w:w="58" w:type="dxa"/>
            <w:right w:w="58" w:type="dxa"/>
          </w:tblCellMar>
          <w:tblLook w:val="04A0"/>
        </w:tblPrEx>
        <w:trPr>
          <w:trHeight w:val="300"/>
        </w:trPr>
        <w:tc>
          <w:tcPr>
            <w:tcW w:w="698" w:type="pct"/>
            <w:vMerge/>
            <w:tcBorders>
              <w:top w:val="single" w:sz="4" w:space="0" w:color="auto"/>
              <w:left w:val="single" w:sz="4" w:space="0" w:color="auto"/>
              <w:bottom w:val="single" w:sz="4" w:space="0" w:color="auto"/>
              <w:right w:val="single" w:sz="4" w:space="0" w:color="auto"/>
            </w:tcBorders>
            <w:vAlign w:val="center"/>
            <w:hideMark/>
          </w:tcPr>
          <w:p w:rsidR="00133A33" w:rsidRPr="007B6745" w:rsidP="00644176" w14:paraId="7742F0CE" w14:textId="77777777">
            <w:pPr>
              <w:pStyle w:val="LTableTextAbt"/>
              <w:rPr>
                <w:rFonts w:eastAsia="Times New Roman"/>
              </w:rPr>
            </w:pPr>
          </w:p>
        </w:tc>
        <w:tc>
          <w:tcPr>
            <w:tcW w:w="1177" w:type="pct"/>
            <w:vMerge/>
            <w:tcBorders>
              <w:top w:val="single" w:sz="4" w:space="0" w:color="auto"/>
              <w:left w:val="single" w:sz="4" w:space="0" w:color="auto"/>
              <w:bottom w:val="single" w:sz="4" w:space="0" w:color="auto"/>
              <w:right w:val="single" w:sz="4" w:space="0" w:color="auto"/>
            </w:tcBorders>
            <w:vAlign w:val="center"/>
            <w:hideMark/>
          </w:tcPr>
          <w:p w:rsidR="00133A33" w:rsidRPr="007B6745" w:rsidP="00644176" w14:paraId="5E1D0F56" w14:textId="77777777">
            <w:pPr>
              <w:pStyle w:val="LTableTextAbt"/>
              <w:rPr>
                <w:rFonts w:eastAsia="Times New Roman"/>
              </w:rPr>
            </w:pPr>
          </w:p>
        </w:tc>
        <w:tc>
          <w:tcPr>
            <w:tcW w:w="1202" w:type="pct"/>
            <w:vMerge/>
            <w:tcBorders>
              <w:top w:val="single" w:sz="4" w:space="0" w:color="auto"/>
              <w:left w:val="single" w:sz="4" w:space="0" w:color="auto"/>
              <w:bottom w:val="single" w:sz="4" w:space="0" w:color="auto"/>
              <w:right w:val="single" w:sz="4" w:space="0" w:color="auto"/>
            </w:tcBorders>
            <w:vAlign w:val="center"/>
            <w:hideMark/>
          </w:tcPr>
          <w:p w:rsidR="00133A33" w:rsidRPr="007B6745" w:rsidP="00644176" w14:paraId="1BE243DD" w14:textId="77777777">
            <w:pPr>
              <w:pStyle w:val="LTableTextAbt"/>
              <w:rPr>
                <w:rFonts w:eastAsia="Times New Roman"/>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rsidR="00133A33" w:rsidRPr="007B6745" w:rsidP="00752CB2" w14:paraId="52524528" w14:textId="77777777">
            <w:pPr>
              <w:pStyle w:val="RTableTextAbt"/>
              <w:ind w:right="305"/>
              <w:rPr>
                <w:rFonts w:eastAsia="Times New Roman"/>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rsidR="00133A33" w:rsidRPr="007B6745" w:rsidP="00752CB2" w14:paraId="3934017F" w14:textId="77777777">
            <w:pPr>
              <w:pStyle w:val="RTableTextAbt"/>
              <w:ind w:right="305"/>
              <w:rPr>
                <w:rFonts w:eastAsia="Times New Roman"/>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rsidR="00133A33" w:rsidRPr="007B6745" w:rsidP="00752CB2" w14:paraId="1B2A498B" w14:textId="77777777">
            <w:pPr>
              <w:pStyle w:val="RTableTextAbt"/>
              <w:ind w:right="305"/>
              <w:rPr>
                <w:rFonts w:eastAsia="Times New Roman"/>
              </w:rPr>
            </w:pPr>
          </w:p>
        </w:tc>
      </w:tr>
      <w:tr w14:paraId="478E1344" w14:textId="77777777" w:rsidTr="00475F7F">
        <w:tblPrEx>
          <w:tblW w:w="5000" w:type="pct"/>
          <w:tblLayout w:type="fixed"/>
          <w:tblCellMar>
            <w:left w:w="58" w:type="dxa"/>
            <w:right w:w="58" w:type="dxa"/>
          </w:tblCellMar>
          <w:tblLook w:val="04A0"/>
        </w:tblPrEx>
        <w:trPr>
          <w:trHeight w:val="437"/>
        </w:trPr>
        <w:tc>
          <w:tcPr>
            <w:tcW w:w="698" w:type="pct"/>
            <w:vMerge/>
            <w:tcBorders>
              <w:top w:val="single" w:sz="4" w:space="0" w:color="auto"/>
              <w:left w:val="single" w:sz="4" w:space="0" w:color="auto"/>
              <w:bottom w:val="single" w:sz="4" w:space="0" w:color="auto"/>
              <w:right w:val="single" w:sz="4" w:space="0" w:color="auto"/>
            </w:tcBorders>
            <w:vAlign w:val="center"/>
            <w:hideMark/>
          </w:tcPr>
          <w:p w:rsidR="00133A33" w:rsidRPr="007B6745" w:rsidP="00644176" w14:paraId="5049F313" w14:textId="77777777">
            <w:pPr>
              <w:pStyle w:val="LTableTextAbt"/>
              <w:rPr>
                <w:rFonts w:eastAsia="Times New Roman"/>
              </w:rPr>
            </w:pPr>
          </w:p>
        </w:tc>
        <w:tc>
          <w:tcPr>
            <w:tcW w:w="1177" w:type="pct"/>
            <w:vMerge/>
            <w:tcBorders>
              <w:top w:val="single" w:sz="4" w:space="0" w:color="auto"/>
              <w:left w:val="single" w:sz="4" w:space="0" w:color="auto"/>
              <w:bottom w:val="single" w:sz="4" w:space="0" w:color="auto"/>
              <w:right w:val="single" w:sz="4" w:space="0" w:color="auto"/>
            </w:tcBorders>
            <w:vAlign w:val="center"/>
            <w:hideMark/>
          </w:tcPr>
          <w:p w:rsidR="00133A33" w:rsidRPr="007B6745" w:rsidP="00644176" w14:paraId="3FFEEDE7" w14:textId="77777777">
            <w:pPr>
              <w:pStyle w:val="LTableTextAbt"/>
              <w:rPr>
                <w:rFonts w:eastAsia="Times New Roman"/>
              </w:rPr>
            </w:pPr>
          </w:p>
        </w:tc>
        <w:tc>
          <w:tcPr>
            <w:tcW w:w="1202" w:type="pct"/>
            <w:vMerge w:val="restart"/>
            <w:tcBorders>
              <w:top w:val="single" w:sz="4" w:space="0" w:color="auto"/>
              <w:left w:val="single" w:sz="4" w:space="0" w:color="auto"/>
              <w:bottom w:val="single" w:sz="4" w:space="0" w:color="auto"/>
              <w:right w:val="single" w:sz="4" w:space="0" w:color="auto"/>
            </w:tcBorders>
            <w:noWrap/>
            <w:vAlign w:val="center"/>
            <w:hideMark/>
          </w:tcPr>
          <w:p w:rsidR="00133A33" w:rsidRPr="007B6745" w:rsidP="00644176" w14:paraId="31F99421" w14:textId="77777777">
            <w:pPr>
              <w:pStyle w:val="LTableTextAbt"/>
              <w:rPr>
                <w:rFonts w:eastAsia="Times New Roman"/>
              </w:rPr>
            </w:pPr>
            <w:r w:rsidRPr="007B6745">
              <w:t xml:space="preserve">Installation, maintenance, and repair </w:t>
            </w:r>
          </w:p>
        </w:tc>
        <w:tc>
          <w:tcPr>
            <w:tcW w:w="769" w:type="pct"/>
            <w:vMerge w:val="restart"/>
            <w:tcBorders>
              <w:top w:val="single" w:sz="4" w:space="0" w:color="auto"/>
              <w:left w:val="single" w:sz="4" w:space="0" w:color="auto"/>
              <w:bottom w:val="single" w:sz="4" w:space="0" w:color="auto"/>
              <w:right w:val="single" w:sz="4" w:space="0" w:color="auto"/>
            </w:tcBorders>
            <w:noWrap/>
            <w:vAlign w:val="center"/>
            <w:hideMark/>
          </w:tcPr>
          <w:p w:rsidR="00133A33" w:rsidRPr="007B6745" w:rsidP="00752CB2" w14:paraId="4EB48E54" w14:textId="77777777">
            <w:pPr>
              <w:pStyle w:val="RTableTextAbt"/>
              <w:ind w:right="305"/>
            </w:pPr>
            <w:r w:rsidRPr="007B6745">
              <w:t>$49.17</w:t>
            </w:r>
          </w:p>
        </w:tc>
        <w:tc>
          <w:tcPr>
            <w:tcW w:w="577" w:type="pct"/>
            <w:vMerge w:val="restart"/>
            <w:tcBorders>
              <w:top w:val="single" w:sz="4" w:space="0" w:color="auto"/>
              <w:left w:val="single" w:sz="4" w:space="0" w:color="auto"/>
              <w:bottom w:val="single" w:sz="4" w:space="0" w:color="auto"/>
              <w:right w:val="single" w:sz="4" w:space="0" w:color="auto"/>
            </w:tcBorders>
            <w:noWrap/>
            <w:vAlign w:val="center"/>
            <w:hideMark/>
          </w:tcPr>
          <w:p w:rsidR="00133A33" w:rsidRPr="007B6745" w:rsidP="00752CB2" w14:paraId="7FC50C45" w14:textId="77777777">
            <w:pPr>
              <w:pStyle w:val="RTableTextAbt"/>
              <w:ind w:right="305"/>
            </w:pPr>
            <w:r w:rsidRPr="007B6745">
              <w:t>$9.83</w:t>
            </w:r>
          </w:p>
        </w:tc>
        <w:tc>
          <w:tcPr>
            <w:tcW w:w="577" w:type="pct"/>
            <w:vMerge w:val="restart"/>
            <w:tcBorders>
              <w:top w:val="single" w:sz="4" w:space="0" w:color="auto"/>
              <w:left w:val="single" w:sz="4" w:space="0" w:color="auto"/>
              <w:bottom w:val="single" w:sz="4" w:space="0" w:color="auto"/>
              <w:right w:val="single" w:sz="4" w:space="0" w:color="auto"/>
            </w:tcBorders>
            <w:noWrap/>
            <w:vAlign w:val="center"/>
            <w:hideMark/>
          </w:tcPr>
          <w:p w:rsidR="00133A33" w:rsidRPr="007B6745" w:rsidP="00752CB2" w14:paraId="4574B884" w14:textId="77777777">
            <w:pPr>
              <w:pStyle w:val="RTableTextAbt"/>
              <w:ind w:right="305"/>
            </w:pPr>
            <w:r w:rsidRPr="007B6745">
              <w:t>$59.00</w:t>
            </w:r>
          </w:p>
        </w:tc>
      </w:tr>
      <w:tr w14:paraId="3F89740B" w14:textId="77777777" w:rsidTr="00475F7F">
        <w:tblPrEx>
          <w:tblW w:w="5000" w:type="pct"/>
          <w:tblLayout w:type="fixed"/>
          <w:tblCellMar>
            <w:left w:w="58" w:type="dxa"/>
            <w:right w:w="58" w:type="dxa"/>
          </w:tblCellMar>
          <w:tblLook w:val="04A0"/>
        </w:tblPrEx>
        <w:trPr>
          <w:trHeight w:val="300"/>
        </w:trPr>
        <w:tc>
          <w:tcPr>
            <w:tcW w:w="698" w:type="pct"/>
            <w:vMerge/>
            <w:tcBorders>
              <w:top w:val="single" w:sz="4" w:space="0" w:color="auto"/>
              <w:left w:val="single" w:sz="4" w:space="0" w:color="auto"/>
              <w:bottom w:val="single" w:sz="4" w:space="0" w:color="auto"/>
              <w:right w:val="single" w:sz="4" w:space="0" w:color="auto"/>
            </w:tcBorders>
            <w:vAlign w:val="center"/>
            <w:hideMark/>
          </w:tcPr>
          <w:p w:rsidR="00133A33" w:rsidRPr="007B6745" w:rsidP="00644176" w14:paraId="3085FC09" w14:textId="77777777">
            <w:pPr>
              <w:pStyle w:val="LTableTextAbt"/>
              <w:rPr>
                <w:rFonts w:eastAsia="Times New Roman"/>
              </w:rPr>
            </w:pPr>
          </w:p>
        </w:tc>
        <w:tc>
          <w:tcPr>
            <w:tcW w:w="1177" w:type="pct"/>
            <w:vMerge/>
            <w:tcBorders>
              <w:top w:val="single" w:sz="4" w:space="0" w:color="auto"/>
              <w:left w:val="single" w:sz="4" w:space="0" w:color="auto"/>
              <w:bottom w:val="single" w:sz="4" w:space="0" w:color="auto"/>
              <w:right w:val="single" w:sz="4" w:space="0" w:color="auto"/>
            </w:tcBorders>
            <w:vAlign w:val="center"/>
            <w:hideMark/>
          </w:tcPr>
          <w:p w:rsidR="00133A33" w:rsidRPr="007B6745" w:rsidP="00644176" w14:paraId="1F22A111" w14:textId="77777777">
            <w:pPr>
              <w:pStyle w:val="LTableTextAbt"/>
              <w:rPr>
                <w:rFonts w:eastAsia="Times New Roman"/>
              </w:rPr>
            </w:pPr>
          </w:p>
        </w:tc>
        <w:tc>
          <w:tcPr>
            <w:tcW w:w="1202" w:type="pct"/>
            <w:vMerge/>
            <w:tcBorders>
              <w:top w:val="single" w:sz="4" w:space="0" w:color="auto"/>
              <w:left w:val="single" w:sz="4" w:space="0" w:color="auto"/>
              <w:bottom w:val="single" w:sz="4" w:space="0" w:color="auto"/>
              <w:right w:val="single" w:sz="4" w:space="0" w:color="auto"/>
            </w:tcBorders>
            <w:vAlign w:val="center"/>
            <w:hideMark/>
          </w:tcPr>
          <w:p w:rsidR="00133A33" w:rsidRPr="007B6745" w:rsidP="00644176" w14:paraId="0E89BAB5" w14:textId="77777777">
            <w:pPr>
              <w:pStyle w:val="LTableTextAbt"/>
              <w:rPr>
                <w:rFonts w:eastAsia="Times New Roman"/>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rsidR="00133A33" w:rsidRPr="007B6745" w:rsidP="00752CB2" w14:paraId="54CC67B4" w14:textId="77777777">
            <w:pPr>
              <w:pStyle w:val="RTableTextAbt"/>
              <w:ind w:right="305"/>
              <w:rPr>
                <w:rFonts w:eastAsia="Times New Roman"/>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rsidR="00133A33" w:rsidRPr="007B6745" w:rsidP="00752CB2" w14:paraId="40B335D7" w14:textId="77777777">
            <w:pPr>
              <w:pStyle w:val="RTableTextAbt"/>
              <w:ind w:right="305"/>
              <w:rPr>
                <w:rFonts w:eastAsia="Times New Roman"/>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rsidR="00133A33" w:rsidRPr="007B6745" w:rsidP="00752CB2" w14:paraId="36253D97" w14:textId="77777777">
            <w:pPr>
              <w:pStyle w:val="RTableTextAbt"/>
              <w:ind w:right="305"/>
              <w:rPr>
                <w:rFonts w:eastAsia="Times New Roman"/>
              </w:rPr>
            </w:pPr>
          </w:p>
        </w:tc>
      </w:tr>
      <w:tr w14:paraId="5270E176" w14:textId="77777777" w:rsidTr="00475F7F">
        <w:tblPrEx>
          <w:tblW w:w="5000" w:type="pct"/>
          <w:tblLayout w:type="fixed"/>
          <w:tblCellMar>
            <w:left w:w="58" w:type="dxa"/>
            <w:right w:w="58" w:type="dxa"/>
          </w:tblCellMar>
          <w:tblLook w:val="04A0"/>
        </w:tblPrEx>
        <w:trPr>
          <w:trHeight w:val="437"/>
        </w:trPr>
        <w:tc>
          <w:tcPr>
            <w:tcW w:w="698" w:type="pct"/>
            <w:vMerge/>
            <w:tcBorders>
              <w:top w:val="single" w:sz="4" w:space="0" w:color="auto"/>
              <w:left w:val="single" w:sz="4" w:space="0" w:color="auto"/>
              <w:bottom w:val="single" w:sz="4" w:space="0" w:color="auto"/>
              <w:right w:val="single" w:sz="4" w:space="0" w:color="auto"/>
            </w:tcBorders>
            <w:vAlign w:val="center"/>
          </w:tcPr>
          <w:p w:rsidR="00475F7F" w:rsidRPr="007B6745" w:rsidP="00475F7F" w14:paraId="296E3997" w14:textId="77777777">
            <w:pPr>
              <w:pStyle w:val="LTableTextAbt"/>
              <w:rPr>
                <w:rFonts w:eastAsia="Times New Roman"/>
              </w:rPr>
            </w:pPr>
          </w:p>
        </w:tc>
        <w:tc>
          <w:tcPr>
            <w:tcW w:w="1177" w:type="pct"/>
            <w:vMerge/>
            <w:tcBorders>
              <w:top w:val="single" w:sz="4" w:space="0" w:color="auto"/>
              <w:left w:val="single" w:sz="4" w:space="0" w:color="auto"/>
              <w:bottom w:val="single" w:sz="4" w:space="0" w:color="auto"/>
              <w:right w:val="single" w:sz="4" w:space="0" w:color="auto"/>
            </w:tcBorders>
            <w:vAlign w:val="center"/>
          </w:tcPr>
          <w:p w:rsidR="00475F7F" w:rsidRPr="007B6745" w:rsidP="00475F7F" w14:paraId="04A40D62" w14:textId="77777777">
            <w:pPr>
              <w:pStyle w:val="LTableTextAbt"/>
              <w:rPr>
                <w:rFonts w:eastAsia="Times New Roman"/>
              </w:rPr>
            </w:pPr>
          </w:p>
        </w:tc>
        <w:tc>
          <w:tcPr>
            <w:tcW w:w="1202" w:type="pct"/>
            <w:tcBorders>
              <w:top w:val="single" w:sz="4" w:space="0" w:color="auto"/>
              <w:left w:val="single" w:sz="4" w:space="0" w:color="auto"/>
              <w:bottom w:val="single" w:sz="4" w:space="0" w:color="auto"/>
              <w:right w:val="single" w:sz="4" w:space="0" w:color="auto"/>
            </w:tcBorders>
            <w:noWrap/>
            <w:vAlign w:val="center"/>
          </w:tcPr>
          <w:p w:rsidR="00475F7F" w:rsidRPr="007B6745" w:rsidP="00475F7F" w14:paraId="24A20C92" w14:textId="2CADF744">
            <w:pPr>
              <w:pStyle w:val="LTableTextAbt"/>
            </w:pPr>
            <w:r w:rsidRPr="007B6745">
              <w:t xml:space="preserve">Production </w:t>
            </w:r>
          </w:p>
        </w:tc>
        <w:tc>
          <w:tcPr>
            <w:tcW w:w="769" w:type="pct"/>
            <w:tcBorders>
              <w:top w:val="single" w:sz="4" w:space="0" w:color="auto"/>
              <w:left w:val="single" w:sz="4" w:space="0" w:color="auto"/>
              <w:bottom w:val="single" w:sz="4" w:space="0" w:color="auto"/>
              <w:right w:val="single" w:sz="4" w:space="0" w:color="auto"/>
            </w:tcBorders>
            <w:noWrap/>
            <w:vAlign w:val="center"/>
          </w:tcPr>
          <w:p w:rsidR="00475F7F" w:rsidRPr="007B6745" w:rsidP="00475F7F" w14:paraId="77C8F7B4" w14:textId="28F3ABEB">
            <w:pPr>
              <w:pStyle w:val="RTableTextAbt"/>
              <w:ind w:right="305"/>
              <w:rPr>
                <w:lang w:val="en-GB"/>
              </w:rPr>
            </w:pPr>
            <w:r w:rsidRPr="007B6745">
              <w:rPr>
                <w:lang w:val="en-GB"/>
              </w:rPr>
              <w:t>$35.15</w:t>
            </w:r>
          </w:p>
        </w:tc>
        <w:tc>
          <w:tcPr>
            <w:tcW w:w="577" w:type="pct"/>
            <w:tcBorders>
              <w:top w:val="single" w:sz="4" w:space="0" w:color="auto"/>
              <w:left w:val="single" w:sz="4" w:space="0" w:color="auto"/>
              <w:bottom w:val="single" w:sz="4" w:space="0" w:color="auto"/>
              <w:right w:val="single" w:sz="4" w:space="0" w:color="auto"/>
            </w:tcBorders>
            <w:noWrap/>
            <w:vAlign w:val="center"/>
          </w:tcPr>
          <w:p w:rsidR="00475F7F" w:rsidRPr="007B6745" w:rsidP="00475F7F" w14:paraId="73D3BD35" w14:textId="27172366">
            <w:pPr>
              <w:pStyle w:val="RTableTextAbt"/>
              <w:ind w:right="305"/>
              <w:rPr>
                <w:lang w:val="en-GB"/>
              </w:rPr>
            </w:pPr>
            <w:r w:rsidRPr="007B6745">
              <w:rPr>
                <w:lang w:val="en-GB"/>
              </w:rPr>
              <w:t>$7.03</w:t>
            </w:r>
          </w:p>
        </w:tc>
        <w:tc>
          <w:tcPr>
            <w:tcW w:w="577" w:type="pct"/>
            <w:tcBorders>
              <w:top w:val="single" w:sz="4" w:space="0" w:color="auto"/>
              <w:left w:val="single" w:sz="4" w:space="0" w:color="auto"/>
              <w:bottom w:val="single" w:sz="4" w:space="0" w:color="auto"/>
              <w:right w:val="single" w:sz="4" w:space="0" w:color="auto"/>
            </w:tcBorders>
            <w:noWrap/>
            <w:vAlign w:val="center"/>
          </w:tcPr>
          <w:p w:rsidR="00475F7F" w:rsidRPr="007B6745" w:rsidP="00475F7F" w14:paraId="1D0E8E2C" w14:textId="3DB5CF67">
            <w:pPr>
              <w:pStyle w:val="RTableTextAbt"/>
              <w:ind w:right="305"/>
              <w:rPr>
                <w:lang w:val="en-GB"/>
              </w:rPr>
            </w:pPr>
            <w:r w:rsidRPr="007B6745">
              <w:rPr>
                <w:lang w:val="en-GB"/>
              </w:rPr>
              <w:t>$42.18</w:t>
            </w:r>
          </w:p>
        </w:tc>
      </w:tr>
      <w:tr w14:paraId="1FD7A6A9" w14:textId="77777777" w:rsidTr="00475F7F">
        <w:tblPrEx>
          <w:tblW w:w="5000" w:type="pct"/>
          <w:tblLayout w:type="fixed"/>
          <w:tblCellMar>
            <w:left w:w="58" w:type="dxa"/>
            <w:right w:w="58" w:type="dxa"/>
          </w:tblCellMar>
          <w:tblLook w:val="04A0"/>
        </w:tblPrEx>
        <w:trPr>
          <w:trHeight w:val="437"/>
        </w:trPr>
        <w:tc>
          <w:tcPr>
            <w:tcW w:w="698" w:type="pct"/>
            <w:vMerge/>
            <w:tcBorders>
              <w:top w:val="single" w:sz="4" w:space="0" w:color="auto"/>
              <w:left w:val="single" w:sz="4" w:space="0" w:color="auto"/>
              <w:bottom w:val="single" w:sz="4" w:space="0" w:color="auto"/>
              <w:right w:val="single" w:sz="4" w:space="0" w:color="auto"/>
            </w:tcBorders>
            <w:vAlign w:val="center"/>
            <w:hideMark/>
          </w:tcPr>
          <w:p w:rsidR="00F26047" w:rsidRPr="007B6745" w:rsidP="00F26047" w14:paraId="1735A08B" w14:textId="77777777">
            <w:pPr>
              <w:pStyle w:val="LTableTextAbt"/>
              <w:rPr>
                <w:rFonts w:eastAsia="Times New Roman"/>
              </w:rPr>
            </w:pPr>
          </w:p>
        </w:tc>
        <w:tc>
          <w:tcPr>
            <w:tcW w:w="1177" w:type="pct"/>
            <w:vMerge/>
            <w:tcBorders>
              <w:top w:val="single" w:sz="4" w:space="0" w:color="auto"/>
              <w:left w:val="single" w:sz="4" w:space="0" w:color="auto"/>
              <w:bottom w:val="single" w:sz="4" w:space="0" w:color="auto"/>
              <w:right w:val="single" w:sz="4" w:space="0" w:color="auto"/>
            </w:tcBorders>
            <w:vAlign w:val="center"/>
            <w:hideMark/>
          </w:tcPr>
          <w:p w:rsidR="00F26047" w:rsidRPr="007B6745" w:rsidP="00F26047" w14:paraId="7F5CA01A" w14:textId="77777777">
            <w:pPr>
              <w:pStyle w:val="LTableTextAbt"/>
              <w:rPr>
                <w:rFonts w:eastAsia="Times New Roman"/>
              </w:rPr>
            </w:pPr>
          </w:p>
        </w:tc>
        <w:tc>
          <w:tcPr>
            <w:tcW w:w="1202" w:type="pct"/>
            <w:tcBorders>
              <w:top w:val="single" w:sz="4" w:space="0" w:color="auto"/>
              <w:left w:val="single" w:sz="4" w:space="0" w:color="auto"/>
              <w:bottom w:val="single" w:sz="4" w:space="0" w:color="auto"/>
              <w:right w:val="single" w:sz="4" w:space="0" w:color="auto"/>
            </w:tcBorders>
            <w:noWrap/>
            <w:vAlign w:val="center"/>
          </w:tcPr>
          <w:p w:rsidR="00F26047" w:rsidRPr="007B6745" w:rsidP="00F26047" w14:paraId="1F76FAB6" w14:textId="7CB41D71">
            <w:pPr>
              <w:pStyle w:val="LTableTextAbt"/>
              <w:rPr>
                <w:rFonts w:eastAsia="Times New Roman"/>
              </w:rPr>
            </w:pPr>
            <w:r>
              <w:t xml:space="preserve">Certified Industrial </w:t>
            </w:r>
            <w:r w:rsidRPr="00DF47D5">
              <w:t>Hygienist</w:t>
            </w:r>
          </w:p>
        </w:tc>
        <w:tc>
          <w:tcPr>
            <w:tcW w:w="769" w:type="pct"/>
            <w:tcBorders>
              <w:top w:val="single" w:sz="4" w:space="0" w:color="auto"/>
              <w:left w:val="single" w:sz="4" w:space="0" w:color="auto"/>
              <w:bottom w:val="single" w:sz="4" w:space="0" w:color="auto"/>
              <w:right w:val="single" w:sz="4" w:space="0" w:color="auto"/>
            </w:tcBorders>
            <w:noWrap/>
            <w:vAlign w:val="center"/>
          </w:tcPr>
          <w:p w:rsidR="00F26047" w:rsidRPr="007B6745" w:rsidP="00F26047" w14:paraId="327CD5EF" w14:textId="24DA6779">
            <w:pPr>
              <w:pStyle w:val="RTableTextAbt"/>
              <w:ind w:right="305"/>
            </w:pPr>
            <w:r>
              <w:rPr>
                <w:szCs w:val="18"/>
              </w:rPr>
              <w:t>$61.76</w:t>
            </w:r>
          </w:p>
        </w:tc>
        <w:tc>
          <w:tcPr>
            <w:tcW w:w="577" w:type="pct"/>
            <w:tcBorders>
              <w:top w:val="single" w:sz="4" w:space="0" w:color="auto"/>
              <w:left w:val="single" w:sz="4" w:space="0" w:color="auto"/>
              <w:bottom w:val="single" w:sz="4" w:space="0" w:color="auto"/>
              <w:right w:val="single" w:sz="4" w:space="0" w:color="auto"/>
            </w:tcBorders>
            <w:noWrap/>
            <w:vAlign w:val="center"/>
          </w:tcPr>
          <w:p w:rsidR="00F26047" w:rsidRPr="007B6745" w:rsidP="00F26047" w14:paraId="7A28060A" w14:textId="69C04454">
            <w:pPr>
              <w:pStyle w:val="RTableTextAbt"/>
              <w:ind w:right="305"/>
            </w:pPr>
            <w:r>
              <w:rPr>
                <w:szCs w:val="18"/>
              </w:rPr>
              <w:t xml:space="preserve">$12.35 </w:t>
            </w:r>
          </w:p>
        </w:tc>
        <w:tc>
          <w:tcPr>
            <w:tcW w:w="577" w:type="pct"/>
            <w:tcBorders>
              <w:top w:val="single" w:sz="4" w:space="0" w:color="auto"/>
              <w:left w:val="single" w:sz="4" w:space="0" w:color="auto"/>
              <w:bottom w:val="single" w:sz="4" w:space="0" w:color="auto"/>
              <w:right w:val="single" w:sz="4" w:space="0" w:color="auto"/>
            </w:tcBorders>
            <w:noWrap/>
            <w:vAlign w:val="center"/>
          </w:tcPr>
          <w:p w:rsidR="00F26047" w:rsidRPr="007B6745" w:rsidP="00F26047" w14:paraId="6C7CB420" w14:textId="100A2D46">
            <w:pPr>
              <w:pStyle w:val="RTableTextAbt"/>
              <w:ind w:right="305"/>
            </w:pPr>
            <w:r>
              <w:rPr>
                <w:szCs w:val="18"/>
              </w:rPr>
              <w:t xml:space="preserve">$74.12 </w:t>
            </w:r>
          </w:p>
        </w:tc>
      </w:tr>
      <w:tr w14:paraId="60C531C3" w14:textId="77777777" w:rsidTr="00475F7F">
        <w:tblPrEx>
          <w:tblW w:w="5000" w:type="pct"/>
          <w:tblLayout w:type="fixed"/>
          <w:tblCellMar>
            <w:left w:w="58" w:type="dxa"/>
            <w:right w:w="58" w:type="dxa"/>
          </w:tblCellMar>
          <w:tblLook w:val="04A0"/>
        </w:tblPrEx>
        <w:trPr>
          <w:trHeight w:val="437"/>
        </w:trPr>
        <w:tc>
          <w:tcPr>
            <w:tcW w:w="698" w:type="pct"/>
            <w:vMerge w:val="restart"/>
            <w:tcBorders>
              <w:top w:val="single" w:sz="4" w:space="0" w:color="auto"/>
              <w:left w:val="single" w:sz="4" w:space="0" w:color="auto"/>
              <w:bottom w:val="single" w:sz="4" w:space="0" w:color="auto"/>
              <w:right w:val="single" w:sz="4" w:space="0" w:color="auto"/>
            </w:tcBorders>
            <w:vAlign w:val="center"/>
            <w:hideMark/>
          </w:tcPr>
          <w:p w:rsidR="00F26047" w:rsidRPr="007B6745" w:rsidP="00F26047" w14:paraId="2F216B93" w14:textId="206C8259">
            <w:pPr>
              <w:pStyle w:val="LTableTextAbt"/>
            </w:pPr>
            <w:r>
              <w:t>T</w:t>
            </w:r>
            <w:r w:rsidRPr="007B6745">
              <w:t>rade, transportation, and utilities</w:t>
            </w:r>
          </w:p>
        </w:tc>
        <w:tc>
          <w:tcPr>
            <w:tcW w:w="1177" w:type="pct"/>
            <w:vMerge w:val="restart"/>
            <w:tcBorders>
              <w:top w:val="single" w:sz="4" w:space="0" w:color="auto"/>
              <w:left w:val="single" w:sz="4" w:space="0" w:color="auto"/>
              <w:bottom w:val="single" w:sz="4" w:space="0" w:color="auto"/>
              <w:right w:val="single" w:sz="4" w:space="0" w:color="auto"/>
            </w:tcBorders>
            <w:vAlign w:val="center"/>
            <w:hideMark/>
          </w:tcPr>
          <w:p w:rsidR="00F26047" w:rsidRPr="007B6745" w:rsidP="00F26047" w14:paraId="256127D6" w14:textId="77777777">
            <w:pPr>
              <w:pStyle w:val="LTableTextAbt"/>
            </w:pPr>
            <w:r w:rsidRPr="007B6745">
              <w:t>Recycling</w:t>
            </w:r>
          </w:p>
          <w:p w:rsidR="00F26047" w:rsidRPr="007B6745" w:rsidP="00F26047" w14:paraId="1B420965" w14:textId="77777777">
            <w:pPr>
              <w:pStyle w:val="LTableTextAbt"/>
            </w:pPr>
            <w:r w:rsidRPr="007B6745">
              <w:t>Disposal</w:t>
            </w:r>
          </w:p>
        </w:tc>
        <w:tc>
          <w:tcPr>
            <w:tcW w:w="1202" w:type="pct"/>
            <w:tcBorders>
              <w:top w:val="single" w:sz="4" w:space="0" w:color="auto"/>
              <w:left w:val="single" w:sz="4" w:space="0" w:color="auto"/>
              <w:bottom w:val="single" w:sz="4" w:space="0" w:color="auto"/>
              <w:right w:val="single" w:sz="4" w:space="0" w:color="auto"/>
            </w:tcBorders>
            <w:noWrap/>
            <w:vAlign w:val="center"/>
            <w:hideMark/>
          </w:tcPr>
          <w:p w:rsidR="00F26047" w:rsidRPr="007B6745" w:rsidP="00F26047" w14:paraId="4F6F3A90" w14:textId="77777777">
            <w:pPr>
              <w:pStyle w:val="LTableTextAbt"/>
            </w:pPr>
            <w:r w:rsidRPr="007B6745">
              <w:t xml:space="preserve">Management, business, and financial </w:t>
            </w:r>
          </w:p>
        </w:tc>
        <w:tc>
          <w:tcPr>
            <w:tcW w:w="769" w:type="pct"/>
            <w:tcBorders>
              <w:top w:val="single" w:sz="4" w:space="0" w:color="auto"/>
              <w:left w:val="single" w:sz="4" w:space="0" w:color="auto"/>
              <w:bottom w:val="single" w:sz="4" w:space="0" w:color="auto"/>
              <w:right w:val="single" w:sz="4" w:space="0" w:color="auto"/>
            </w:tcBorders>
            <w:noWrap/>
            <w:vAlign w:val="center"/>
            <w:hideMark/>
          </w:tcPr>
          <w:p w:rsidR="00F26047" w:rsidRPr="007B6745" w:rsidP="00F26047" w14:paraId="79267C1A" w14:textId="77777777">
            <w:pPr>
              <w:pStyle w:val="RTableTextAbt"/>
              <w:ind w:right="305"/>
              <w:rPr>
                <w:lang w:val="en-GB"/>
              </w:rPr>
            </w:pPr>
            <w:r w:rsidRPr="007B6745">
              <w:t>$78.92</w:t>
            </w:r>
          </w:p>
        </w:tc>
        <w:tc>
          <w:tcPr>
            <w:tcW w:w="577" w:type="pct"/>
            <w:tcBorders>
              <w:top w:val="single" w:sz="4" w:space="0" w:color="auto"/>
              <w:left w:val="single" w:sz="4" w:space="0" w:color="auto"/>
              <w:bottom w:val="single" w:sz="4" w:space="0" w:color="auto"/>
              <w:right w:val="single" w:sz="4" w:space="0" w:color="auto"/>
            </w:tcBorders>
            <w:noWrap/>
            <w:vAlign w:val="center"/>
            <w:hideMark/>
          </w:tcPr>
          <w:p w:rsidR="00F26047" w:rsidRPr="007B6745" w:rsidP="00F26047" w14:paraId="5473F0D3" w14:textId="77777777">
            <w:pPr>
              <w:pStyle w:val="RTableTextAbt"/>
              <w:ind w:right="305"/>
              <w:rPr>
                <w:lang w:val="en-GB"/>
              </w:rPr>
            </w:pPr>
            <w:r w:rsidRPr="007B6745">
              <w:t>$15.78</w:t>
            </w:r>
          </w:p>
        </w:tc>
        <w:tc>
          <w:tcPr>
            <w:tcW w:w="577" w:type="pct"/>
            <w:tcBorders>
              <w:top w:val="single" w:sz="4" w:space="0" w:color="auto"/>
              <w:left w:val="single" w:sz="4" w:space="0" w:color="auto"/>
              <w:bottom w:val="single" w:sz="4" w:space="0" w:color="auto"/>
              <w:right w:val="single" w:sz="4" w:space="0" w:color="auto"/>
            </w:tcBorders>
            <w:noWrap/>
            <w:vAlign w:val="center"/>
            <w:hideMark/>
          </w:tcPr>
          <w:p w:rsidR="00F26047" w:rsidRPr="007B6745" w:rsidP="00F26047" w14:paraId="7EEAA065" w14:textId="77777777">
            <w:pPr>
              <w:pStyle w:val="RTableTextAbt"/>
              <w:ind w:right="305"/>
              <w:rPr>
                <w:lang w:val="en-GB"/>
              </w:rPr>
            </w:pPr>
            <w:r w:rsidRPr="007B6745">
              <w:t>$94.70</w:t>
            </w:r>
          </w:p>
        </w:tc>
      </w:tr>
      <w:tr w14:paraId="6CB24DD5" w14:textId="77777777" w:rsidTr="00475F7F">
        <w:tblPrEx>
          <w:tblW w:w="5000" w:type="pct"/>
          <w:tblLayout w:type="fixed"/>
          <w:tblCellMar>
            <w:left w:w="58" w:type="dxa"/>
            <w:right w:w="58" w:type="dxa"/>
          </w:tblCellMar>
          <w:tblLook w:val="04A0"/>
        </w:tblPrEx>
        <w:trPr>
          <w:trHeight w:val="437"/>
        </w:trPr>
        <w:tc>
          <w:tcPr>
            <w:tcW w:w="698" w:type="pct"/>
            <w:vMerge/>
            <w:tcBorders>
              <w:top w:val="single" w:sz="4" w:space="0" w:color="auto"/>
              <w:left w:val="single" w:sz="4" w:space="0" w:color="auto"/>
              <w:bottom w:val="single" w:sz="4" w:space="0" w:color="auto"/>
              <w:right w:val="single" w:sz="4" w:space="0" w:color="auto"/>
            </w:tcBorders>
            <w:vAlign w:val="center"/>
            <w:hideMark/>
          </w:tcPr>
          <w:p w:rsidR="00F26047" w:rsidRPr="007B6745" w:rsidP="00F26047" w14:paraId="0812DFE8" w14:textId="77777777">
            <w:pPr>
              <w:pStyle w:val="LTableTextAbt"/>
              <w:rPr>
                <w:rFonts w:eastAsia="Times New Roman"/>
              </w:rPr>
            </w:pPr>
          </w:p>
        </w:tc>
        <w:tc>
          <w:tcPr>
            <w:tcW w:w="1177" w:type="pct"/>
            <w:vMerge/>
            <w:tcBorders>
              <w:top w:val="single" w:sz="4" w:space="0" w:color="auto"/>
              <w:left w:val="single" w:sz="4" w:space="0" w:color="auto"/>
              <w:bottom w:val="single" w:sz="4" w:space="0" w:color="auto"/>
              <w:right w:val="single" w:sz="4" w:space="0" w:color="auto"/>
            </w:tcBorders>
            <w:vAlign w:val="center"/>
            <w:hideMark/>
          </w:tcPr>
          <w:p w:rsidR="00F26047" w:rsidRPr="007B6745" w:rsidP="00F26047" w14:paraId="5724877E" w14:textId="77777777">
            <w:pPr>
              <w:pStyle w:val="LTableTextAbt"/>
              <w:rPr>
                <w:rFonts w:eastAsia="Times New Roman"/>
              </w:rPr>
            </w:pPr>
          </w:p>
        </w:tc>
        <w:tc>
          <w:tcPr>
            <w:tcW w:w="1202" w:type="pct"/>
            <w:tcBorders>
              <w:top w:val="single" w:sz="4" w:space="0" w:color="auto"/>
              <w:left w:val="single" w:sz="4" w:space="0" w:color="auto"/>
              <w:bottom w:val="single" w:sz="4" w:space="0" w:color="auto"/>
              <w:right w:val="single" w:sz="4" w:space="0" w:color="auto"/>
            </w:tcBorders>
            <w:noWrap/>
            <w:vAlign w:val="center"/>
            <w:hideMark/>
          </w:tcPr>
          <w:p w:rsidR="00F26047" w:rsidRPr="007B6745" w:rsidP="00F26047" w14:paraId="2F6EE02A" w14:textId="77777777">
            <w:pPr>
              <w:pStyle w:val="LTableTextAbt"/>
            </w:pPr>
            <w:r w:rsidRPr="007B6745">
              <w:t xml:space="preserve">Production, transportation, and material moving </w:t>
            </w:r>
          </w:p>
        </w:tc>
        <w:tc>
          <w:tcPr>
            <w:tcW w:w="769" w:type="pct"/>
            <w:tcBorders>
              <w:top w:val="single" w:sz="4" w:space="0" w:color="auto"/>
              <w:left w:val="single" w:sz="4" w:space="0" w:color="auto"/>
              <w:bottom w:val="single" w:sz="4" w:space="0" w:color="auto"/>
              <w:right w:val="single" w:sz="4" w:space="0" w:color="auto"/>
            </w:tcBorders>
            <w:noWrap/>
            <w:vAlign w:val="center"/>
            <w:hideMark/>
          </w:tcPr>
          <w:p w:rsidR="00F26047" w:rsidRPr="007B6745" w:rsidP="00F26047" w14:paraId="4B9A7A9B" w14:textId="77777777">
            <w:pPr>
              <w:pStyle w:val="RTableTextAbt"/>
              <w:ind w:right="305"/>
            </w:pPr>
            <w:r w:rsidRPr="007B6745">
              <w:rPr>
                <w:lang w:val="en-GB"/>
              </w:rPr>
              <w:t>$36.60</w:t>
            </w:r>
          </w:p>
        </w:tc>
        <w:tc>
          <w:tcPr>
            <w:tcW w:w="577" w:type="pct"/>
            <w:tcBorders>
              <w:top w:val="single" w:sz="4" w:space="0" w:color="auto"/>
              <w:left w:val="single" w:sz="4" w:space="0" w:color="auto"/>
              <w:bottom w:val="single" w:sz="4" w:space="0" w:color="auto"/>
              <w:right w:val="single" w:sz="4" w:space="0" w:color="auto"/>
            </w:tcBorders>
            <w:noWrap/>
            <w:vAlign w:val="center"/>
            <w:hideMark/>
          </w:tcPr>
          <w:p w:rsidR="00F26047" w:rsidRPr="007B6745" w:rsidP="00F26047" w14:paraId="005E73DD" w14:textId="77777777">
            <w:pPr>
              <w:pStyle w:val="RTableTextAbt"/>
              <w:ind w:right="305"/>
            </w:pPr>
            <w:r w:rsidRPr="007B6745">
              <w:rPr>
                <w:lang w:val="en-GB"/>
              </w:rPr>
              <w:t>$7.32</w:t>
            </w:r>
          </w:p>
        </w:tc>
        <w:tc>
          <w:tcPr>
            <w:tcW w:w="577" w:type="pct"/>
            <w:tcBorders>
              <w:top w:val="single" w:sz="4" w:space="0" w:color="auto"/>
              <w:left w:val="single" w:sz="4" w:space="0" w:color="auto"/>
              <w:bottom w:val="single" w:sz="4" w:space="0" w:color="auto"/>
              <w:right w:val="single" w:sz="4" w:space="0" w:color="auto"/>
            </w:tcBorders>
            <w:noWrap/>
            <w:vAlign w:val="center"/>
            <w:hideMark/>
          </w:tcPr>
          <w:p w:rsidR="00F26047" w:rsidRPr="007B6745" w:rsidP="00F26047" w14:paraId="428F99CF" w14:textId="77777777">
            <w:pPr>
              <w:pStyle w:val="RTableTextAbt"/>
              <w:ind w:right="305"/>
            </w:pPr>
            <w:r w:rsidRPr="007B6745">
              <w:rPr>
                <w:lang w:val="en-GB"/>
              </w:rPr>
              <w:t>$43.92</w:t>
            </w:r>
          </w:p>
        </w:tc>
      </w:tr>
      <w:tr w14:paraId="70F6C364" w14:textId="77777777" w:rsidTr="00475F7F">
        <w:tblPrEx>
          <w:tblW w:w="5000" w:type="pct"/>
          <w:tblLayout w:type="fixed"/>
          <w:tblCellMar>
            <w:left w:w="58" w:type="dxa"/>
            <w:right w:w="58" w:type="dxa"/>
          </w:tblCellMar>
          <w:tblLook w:val="04A0"/>
        </w:tblPrEx>
        <w:trPr>
          <w:trHeight w:val="20"/>
        </w:trPr>
        <w:tc>
          <w:tcPr>
            <w:tcW w:w="698" w:type="pct"/>
            <w:vMerge w:val="restart"/>
            <w:tcBorders>
              <w:top w:val="single" w:sz="4" w:space="0" w:color="auto"/>
              <w:left w:val="single" w:sz="4" w:space="0" w:color="auto"/>
              <w:bottom w:val="single" w:sz="4" w:space="0" w:color="auto"/>
              <w:right w:val="single" w:sz="4" w:space="0" w:color="auto"/>
            </w:tcBorders>
            <w:vAlign w:val="center"/>
            <w:hideMark/>
          </w:tcPr>
          <w:p w:rsidR="00F26047" w:rsidRPr="007B6745" w:rsidP="00F26047" w14:paraId="0F60D96C" w14:textId="77777777">
            <w:pPr>
              <w:pStyle w:val="LTableTextAbt"/>
            </w:pPr>
            <w:r w:rsidRPr="007B6745">
              <w:t>Service providing</w:t>
            </w:r>
          </w:p>
        </w:tc>
        <w:tc>
          <w:tcPr>
            <w:tcW w:w="1177" w:type="pct"/>
            <w:vMerge w:val="restart"/>
            <w:tcBorders>
              <w:top w:val="single" w:sz="4" w:space="0" w:color="auto"/>
              <w:left w:val="single" w:sz="4" w:space="0" w:color="auto"/>
              <w:bottom w:val="single" w:sz="4" w:space="0" w:color="auto"/>
              <w:right w:val="single" w:sz="4" w:space="0" w:color="auto"/>
            </w:tcBorders>
            <w:vAlign w:val="center"/>
            <w:hideMark/>
          </w:tcPr>
          <w:p w:rsidR="00F26047" w:rsidRPr="007B6745" w:rsidP="00F26047" w14:paraId="1181AD39" w14:textId="77777777">
            <w:pPr>
              <w:pStyle w:val="LTableTextAbt"/>
            </w:pPr>
            <w:r w:rsidRPr="007B6745">
              <w:t>Automotive refinishing</w:t>
            </w:r>
          </w:p>
        </w:tc>
        <w:tc>
          <w:tcPr>
            <w:tcW w:w="1202" w:type="pct"/>
            <w:tcBorders>
              <w:top w:val="single" w:sz="4" w:space="0" w:color="auto"/>
              <w:left w:val="single" w:sz="4" w:space="0" w:color="auto"/>
              <w:bottom w:val="single" w:sz="4" w:space="0" w:color="auto"/>
              <w:right w:val="single" w:sz="4" w:space="0" w:color="auto"/>
            </w:tcBorders>
            <w:noWrap/>
            <w:vAlign w:val="center"/>
            <w:hideMark/>
          </w:tcPr>
          <w:p w:rsidR="00F26047" w:rsidRPr="007B6745" w:rsidP="00F26047" w14:paraId="36DF24E5" w14:textId="77777777">
            <w:pPr>
              <w:pStyle w:val="LTableTextAbt"/>
            </w:pPr>
            <w:r w:rsidRPr="007B6745">
              <w:t xml:space="preserve">Management, business, and financial </w:t>
            </w:r>
          </w:p>
        </w:tc>
        <w:tc>
          <w:tcPr>
            <w:tcW w:w="769" w:type="pct"/>
            <w:tcBorders>
              <w:top w:val="single" w:sz="4" w:space="0" w:color="auto"/>
              <w:left w:val="single" w:sz="4" w:space="0" w:color="auto"/>
              <w:bottom w:val="single" w:sz="4" w:space="0" w:color="auto"/>
              <w:right w:val="single" w:sz="4" w:space="0" w:color="auto"/>
            </w:tcBorders>
            <w:noWrap/>
            <w:vAlign w:val="center"/>
            <w:hideMark/>
          </w:tcPr>
          <w:p w:rsidR="00F26047" w:rsidRPr="007B6745" w:rsidP="00F26047" w14:paraId="29974015" w14:textId="77777777">
            <w:pPr>
              <w:pStyle w:val="RTableTextAbt"/>
              <w:ind w:right="305"/>
            </w:pPr>
            <w:r w:rsidRPr="007B6745">
              <w:t>$82.98</w:t>
            </w:r>
          </w:p>
        </w:tc>
        <w:tc>
          <w:tcPr>
            <w:tcW w:w="577" w:type="pct"/>
            <w:tcBorders>
              <w:top w:val="single" w:sz="4" w:space="0" w:color="auto"/>
              <w:left w:val="single" w:sz="4" w:space="0" w:color="auto"/>
              <w:bottom w:val="single" w:sz="4" w:space="0" w:color="auto"/>
              <w:right w:val="single" w:sz="4" w:space="0" w:color="auto"/>
            </w:tcBorders>
            <w:noWrap/>
            <w:vAlign w:val="center"/>
            <w:hideMark/>
          </w:tcPr>
          <w:p w:rsidR="00F26047" w:rsidRPr="007B6745" w:rsidP="00F26047" w14:paraId="2A8225C5" w14:textId="77777777">
            <w:pPr>
              <w:pStyle w:val="RTableTextAbt"/>
              <w:ind w:right="305"/>
            </w:pPr>
            <w:r w:rsidRPr="007B6745">
              <w:t>$16.60</w:t>
            </w:r>
          </w:p>
        </w:tc>
        <w:tc>
          <w:tcPr>
            <w:tcW w:w="577" w:type="pct"/>
            <w:tcBorders>
              <w:top w:val="single" w:sz="4" w:space="0" w:color="auto"/>
              <w:left w:val="single" w:sz="4" w:space="0" w:color="auto"/>
              <w:bottom w:val="single" w:sz="4" w:space="0" w:color="auto"/>
              <w:right w:val="single" w:sz="4" w:space="0" w:color="auto"/>
            </w:tcBorders>
            <w:noWrap/>
            <w:vAlign w:val="center"/>
            <w:hideMark/>
          </w:tcPr>
          <w:p w:rsidR="00F26047" w:rsidRPr="007B6745" w:rsidP="00F26047" w14:paraId="5DEFBC9F" w14:textId="77777777">
            <w:pPr>
              <w:pStyle w:val="RTableTextAbt"/>
              <w:ind w:right="305"/>
            </w:pPr>
            <w:r w:rsidRPr="007B6745">
              <w:t>$99.58</w:t>
            </w:r>
          </w:p>
        </w:tc>
      </w:tr>
      <w:tr w14:paraId="3CE0629C" w14:textId="77777777" w:rsidTr="00475F7F">
        <w:tblPrEx>
          <w:tblW w:w="5000" w:type="pct"/>
          <w:tblLayout w:type="fixed"/>
          <w:tblCellMar>
            <w:left w:w="58" w:type="dxa"/>
            <w:right w:w="58" w:type="dxa"/>
          </w:tblCellMar>
          <w:tblLook w:val="04A0"/>
        </w:tblPrEx>
        <w:trPr>
          <w:trHeight w:val="432"/>
        </w:trPr>
        <w:tc>
          <w:tcPr>
            <w:tcW w:w="698" w:type="pct"/>
            <w:vMerge/>
            <w:tcBorders>
              <w:top w:val="single" w:sz="4" w:space="0" w:color="auto"/>
              <w:left w:val="single" w:sz="4" w:space="0" w:color="auto"/>
              <w:bottom w:val="single" w:sz="4" w:space="0" w:color="auto"/>
              <w:right w:val="single" w:sz="4" w:space="0" w:color="auto"/>
            </w:tcBorders>
            <w:vAlign w:val="center"/>
            <w:hideMark/>
          </w:tcPr>
          <w:p w:rsidR="00F26047" w:rsidRPr="007B6745" w:rsidP="00F26047" w14:paraId="45B2D81A" w14:textId="77777777">
            <w:pPr>
              <w:pStyle w:val="BodyText"/>
            </w:pPr>
          </w:p>
        </w:tc>
        <w:tc>
          <w:tcPr>
            <w:tcW w:w="1177" w:type="pct"/>
            <w:vMerge/>
            <w:tcBorders>
              <w:top w:val="single" w:sz="4" w:space="0" w:color="auto"/>
              <w:left w:val="single" w:sz="4" w:space="0" w:color="auto"/>
              <w:bottom w:val="single" w:sz="4" w:space="0" w:color="auto"/>
              <w:right w:val="single" w:sz="4" w:space="0" w:color="auto"/>
            </w:tcBorders>
            <w:vAlign w:val="center"/>
            <w:hideMark/>
          </w:tcPr>
          <w:p w:rsidR="00F26047" w:rsidRPr="007B6745" w:rsidP="00F26047" w14:paraId="79193230" w14:textId="77777777">
            <w:pPr>
              <w:pStyle w:val="BodyText"/>
            </w:pPr>
          </w:p>
        </w:tc>
        <w:tc>
          <w:tcPr>
            <w:tcW w:w="1202" w:type="pct"/>
            <w:tcBorders>
              <w:top w:val="single" w:sz="4" w:space="0" w:color="auto"/>
              <w:left w:val="single" w:sz="4" w:space="0" w:color="auto"/>
              <w:bottom w:val="single" w:sz="4" w:space="0" w:color="auto"/>
              <w:right w:val="single" w:sz="4" w:space="0" w:color="auto"/>
            </w:tcBorders>
            <w:noWrap/>
            <w:vAlign w:val="center"/>
            <w:hideMark/>
          </w:tcPr>
          <w:p w:rsidR="00F26047" w:rsidRPr="007B6745" w:rsidP="00F26047" w14:paraId="56A745FC" w14:textId="77777777">
            <w:pPr>
              <w:pStyle w:val="LTableTextAbt"/>
            </w:pPr>
            <w:r w:rsidRPr="007B6745">
              <w:t xml:space="preserve">Production </w:t>
            </w:r>
          </w:p>
        </w:tc>
        <w:tc>
          <w:tcPr>
            <w:tcW w:w="769" w:type="pct"/>
            <w:tcBorders>
              <w:top w:val="single" w:sz="4" w:space="0" w:color="auto"/>
              <w:left w:val="single" w:sz="4" w:space="0" w:color="auto"/>
              <w:bottom w:val="single" w:sz="4" w:space="0" w:color="auto"/>
              <w:right w:val="single" w:sz="4" w:space="0" w:color="auto"/>
            </w:tcBorders>
            <w:noWrap/>
            <w:vAlign w:val="center"/>
            <w:hideMark/>
          </w:tcPr>
          <w:p w:rsidR="00F26047" w:rsidRPr="007B6745" w:rsidP="00F26047" w14:paraId="6A34B9C6" w14:textId="77777777">
            <w:pPr>
              <w:pStyle w:val="RTableTextAbt"/>
              <w:ind w:right="305"/>
            </w:pPr>
            <w:r w:rsidRPr="007B6745">
              <w:rPr>
                <w:lang w:val="en-GB"/>
              </w:rPr>
              <w:t>$29.88</w:t>
            </w:r>
          </w:p>
        </w:tc>
        <w:tc>
          <w:tcPr>
            <w:tcW w:w="577" w:type="pct"/>
            <w:tcBorders>
              <w:top w:val="single" w:sz="4" w:space="0" w:color="auto"/>
              <w:left w:val="single" w:sz="4" w:space="0" w:color="auto"/>
              <w:bottom w:val="single" w:sz="4" w:space="0" w:color="auto"/>
              <w:right w:val="single" w:sz="4" w:space="0" w:color="auto"/>
            </w:tcBorders>
            <w:noWrap/>
            <w:vAlign w:val="center"/>
            <w:hideMark/>
          </w:tcPr>
          <w:p w:rsidR="00F26047" w:rsidRPr="007B6745" w:rsidP="00F26047" w14:paraId="03C7C9FC" w14:textId="77777777">
            <w:pPr>
              <w:pStyle w:val="RTableTextAbt"/>
              <w:ind w:right="305"/>
            </w:pPr>
            <w:r w:rsidRPr="007B6745">
              <w:rPr>
                <w:lang w:val="en-GB"/>
              </w:rPr>
              <w:t>$5.98</w:t>
            </w:r>
          </w:p>
        </w:tc>
        <w:tc>
          <w:tcPr>
            <w:tcW w:w="577" w:type="pct"/>
            <w:tcBorders>
              <w:top w:val="single" w:sz="4" w:space="0" w:color="auto"/>
              <w:left w:val="single" w:sz="4" w:space="0" w:color="auto"/>
              <w:bottom w:val="single" w:sz="4" w:space="0" w:color="auto"/>
              <w:right w:val="single" w:sz="4" w:space="0" w:color="auto"/>
            </w:tcBorders>
            <w:noWrap/>
            <w:vAlign w:val="center"/>
            <w:hideMark/>
          </w:tcPr>
          <w:p w:rsidR="00F26047" w:rsidRPr="007B6745" w:rsidP="00F26047" w14:paraId="229C6EFD" w14:textId="77777777">
            <w:pPr>
              <w:pStyle w:val="RTableTextAbt"/>
              <w:ind w:right="305"/>
            </w:pPr>
            <w:r w:rsidRPr="007B6745">
              <w:rPr>
                <w:lang w:val="en-GB"/>
              </w:rPr>
              <w:t>$35.86</w:t>
            </w:r>
          </w:p>
        </w:tc>
      </w:tr>
      <w:tr w14:paraId="6F64AB5A" w14:textId="77777777" w:rsidTr="00752CB2">
        <w:tblPrEx>
          <w:tblW w:w="5000" w:type="pct"/>
          <w:tblLayout w:type="fixed"/>
          <w:tblCellMar>
            <w:left w:w="58" w:type="dxa"/>
            <w:right w:w="58" w:type="dxa"/>
          </w:tblCellMar>
          <w:tblLook w:val="04A0"/>
        </w:tblPrEx>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F26047" w:rsidRPr="007B6745" w:rsidP="00F26047" w14:paraId="0733D471" w14:textId="5A3FCFB4">
            <w:pPr>
              <w:pStyle w:val="TableNote0"/>
            </w:pPr>
            <w:r w:rsidRPr="007B6745">
              <w:t xml:space="preserve">a. Source: </w:t>
            </w:r>
            <w:hyperlink w:anchor="_ENREF_9" w:tooltip="Bureau of Labor Statistics, 2024 #8" w:history="1">
              <w:r w:rsidRPr="007B6745" w:rsidR="003D6084">
                <w:fldChar w:fldCharType="begin" w:fldLock="1"/>
              </w:r>
              <w:r w:rsidR="003D6084">
                <w:instrText xml:space="preserve"> ADDIN EN.CITE &lt;EndNote&gt;&lt;Cite&gt;&lt;Author&gt;Bureau of Labor Statistics&lt;/Author&gt;&lt;Year&gt;2024&lt;/Year&gt;&lt;RecNum&gt;8&lt;/RecNum&gt;&lt;DisplayText&gt;Bureau of Labor Statistics 2024b&lt;/DisplayText&gt;&lt;record&gt;&lt;rec-number&gt;8&lt;/rec-number&gt;&lt;foreign-keys&gt;&lt;key app="EN" db-id="2apzr05radv9fjet2w6xxwdlz5e9vwfxredw" timestamp="1730757315"&gt;8&lt;/key&gt;&lt;/foreign-keys&gt;&lt;ref-type name="Dataset"&gt;59&lt;/ref-type&gt;&lt;contributors&gt;&lt;authors&gt;&lt;author&gt;Bureau of Labor Statistics,&lt;/author&gt;&lt;/authors&gt;&lt;/contributors&gt;&lt;titles&gt;&lt;title&gt;Employer Costs for Employee Compensation Historical Supplementary Tables, National Compensation Survey: December 2023 &lt;/title&gt;&lt;/titles&gt;&lt;dates&gt;&lt;year&gt;2024&lt;/year&gt;&lt;/dates&gt;&lt;urls&gt;&lt;/urls&gt;&lt;/record&gt;&lt;/Cite&gt;&lt;/EndNote&gt;</w:instrText>
              </w:r>
              <w:r w:rsidRPr="007B6745" w:rsidR="003D6084">
                <w:fldChar w:fldCharType="separate"/>
              </w:r>
              <w:r w:rsidR="003D6084">
                <w:rPr>
                  <w:noProof/>
                </w:rPr>
                <w:t>Bureau of Labor Statistics 2024b</w:t>
              </w:r>
              <w:r w:rsidRPr="007B6745" w:rsidR="003D6084">
                <w:fldChar w:fldCharType="end"/>
              </w:r>
            </w:hyperlink>
          </w:p>
          <w:p w:rsidR="00F26047" w:rsidRPr="007B6745" w:rsidP="00F26047" w14:paraId="6A699764" w14:textId="77777777">
            <w:pPr>
              <w:pStyle w:val="TableNote0"/>
            </w:pPr>
            <w:r w:rsidRPr="007B6745">
              <w:t>b. Total compensation times assumed overhead rate of 20%.</w:t>
            </w:r>
          </w:p>
          <w:p w:rsidR="00F26047" w:rsidRPr="007B6745" w:rsidP="00F26047" w14:paraId="6FE1B4D6" w14:textId="77777777">
            <w:pPr>
              <w:pStyle w:val="TableNote0"/>
            </w:pPr>
            <w:r w:rsidRPr="007B6745">
              <w:t>c. Sum of total compensation and overhead</w:t>
            </w:r>
          </w:p>
        </w:tc>
      </w:tr>
    </w:tbl>
    <w:p w:rsidR="007B6745" w:rsidRPr="007B6745" w:rsidP="00832749" w14:paraId="040E8340" w14:textId="77777777">
      <w:pPr>
        <w:pStyle w:val="BodyText"/>
      </w:pPr>
    </w:p>
    <w:p w:rsidR="007B6745" w:rsidRPr="007B6745" w:rsidP="00832749" w14:paraId="3BCDE2ED" w14:textId="49D4A23A">
      <w:pPr>
        <w:pStyle w:val="BodyText"/>
      </w:pPr>
      <w:r w:rsidRPr="070B23C7">
        <w:rPr>
          <w:lang w:val="en-US"/>
        </w:rPr>
        <w:t xml:space="preserve">The recommendation in EPA’s </w:t>
      </w:r>
      <w:r w:rsidRPr="070B23C7" w:rsidR="00582FB1">
        <w:rPr>
          <w:lang w:val="en-US"/>
        </w:rPr>
        <w:t>(</w:t>
      </w:r>
      <w:hyperlink w:anchor="_ENREF_56" w:tooltip="U.S. Environmental Protection Agency (EPA), 2016 #56" w:history="1">
        <w:r w:rsidR="003D6084">
          <w:fldChar w:fldCharType="begin" w:fldLock="1"/>
        </w:r>
        <w:r w:rsidR="003D6084">
          <w:instrText xml:space="preserve"> ADDIN EN.CITE &lt;EndNote&gt;&lt;Cite ExcludeAuth="1"&gt;&lt;Author&gt;U.S. Environmental Protection Agency (EPA)&lt;/Author&gt;&lt;Year&gt;2016&lt;/Year&gt;&lt;RecNum&gt;56&lt;/RecNum&gt;&lt;DisplayText&gt;2016b&lt;/DisplayText&gt;&lt;record&gt;&lt;rec-number&gt;56&lt;/rec-number&gt;&lt;foreign-keys&gt;&lt;key app="EN" db-id="2apzr05radv9fjet2w6xxwdlz5e9vwfxredw" timestamp="1730757315"&gt;56&lt;/key&gt;&lt;/foreign-keys&gt;&lt;ref-type name="Report"&gt;27&lt;/ref-type&gt;&lt;contributors&gt;&lt;authors&gt;&lt;author&gt;U.S. Environmental Protection Agency (EPA),&lt;/author&gt;&lt;/authors&gt;&lt;/contributors&gt;&lt;titles&gt;&lt;title&gt;Guidelines for Preparing Economic Analyses&lt;/title&gt;&lt;/titles&gt;&lt;dates&gt;&lt;year&gt;2016&lt;/year&gt;&lt;/dates&gt;&lt;urls&gt;&lt;/urls&gt;&lt;/record&gt;&lt;/Cite&gt;&lt;/EndNote&gt;</w:instrText>
        </w:r>
        <w:r w:rsidR="003D6084">
          <w:fldChar w:fldCharType="separate"/>
        </w:r>
        <w:r w:rsidRPr="070B23C7" w:rsidR="003D6084">
          <w:rPr>
            <w:noProof/>
            <w:lang w:val="en-US"/>
          </w:rPr>
          <w:t>2016b</w:t>
        </w:r>
        <w:r w:rsidR="003D6084">
          <w:fldChar w:fldCharType="end"/>
        </w:r>
      </w:hyperlink>
      <w:r w:rsidRPr="070B23C7" w:rsidR="00582FB1">
        <w:rPr>
          <w:lang w:val="en-US"/>
        </w:rPr>
        <w:t>)</w:t>
      </w:r>
      <w:r w:rsidR="00582FB1">
        <w:rPr>
          <w:lang w:val="en-US"/>
        </w:rPr>
        <w:t xml:space="preserve"> </w:t>
      </w:r>
      <w:r w:rsidRPr="070B23C7">
        <w:rPr>
          <w:lang w:val="en-US"/>
        </w:rPr>
        <w:t xml:space="preserve">Guidelines for Preparing Economic Analyses that “the time horizon should be long enough that the net benefits for all future years (beyond the time horizon) are expected to be negligible when discounted to the present.” </w:t>
      </w:r>
      <w:r w:rsidRPr="070B23C7" w:rsidR="00CA0464">
        <w:rPr>
          <w:lang w:val="en-US"/>
        </w:rPr>
        <w:t>EPA selected</w:t>
      </w:r>
      <w:r w:rsidR="007C1F02">
        <w:rPr>
          <w:lang w:val="en-US"/>
        </w:rPr>
        <w:t xml:space="preserve"> </w:t>
      </w:r>
      <w:r w:rsidR="00D120F8">
        <w:rPr>
          <w:lang w:val="en-US"/>
        </w:rPr>
        <w:t xml:space="preserve">a </w:t>
      </w:r>
      <w:r w:rsidRPr="070B23C7" w:rsidR="00CA0464">
        <w:rPr>
          <w:lang w:val="en-US"/>
        </w:rPr>
        <w:t>relatively short time</w:t>
      </w:r>
      <w:r w:rsidR="00D120F8">
        <w:rPr>
          <w:lang w:val="en-US"/>
        </w:rPr>
        <w:t xml:space="preserve"> horizon</w:t>
      </w:r>
      <w:r w:rsidRPr="070B23C7" w:rsidR="00CA0464">
        <w:rPr>
          <w:lang w:val="en-US"/>
        </w:rPr>
        <w:t xml:space="preserve"> </w:t>
      </w:r>
      <w:r w:rsidR="00D120F8">
        <w:rPr>
          <w:lang w:val="en-US"/>
        </w:rPr>
        <w:t xml:space="preserve">of 15 years </w:t>
      </w:r>
      <w:r w:rsidRPr="070B23C7" w:rsidR="00CA0464">
        <w:rPr>
          <w:lang w:val="en-US"/>
        </w:rPr>
        <w:t xml:space="preserve">because </w:t>
      </w:r>
      <w:r w:rsidRPr="070B23C7" w:rsidR="008B2E9F">
        <w:rPr>
          <w:lang w:val="en-US"/>
        </w:rPr>
        <w:t xml:space="preserve">annual </w:t>
      </w:r>
      <w:r w:rsidRPr="070B23C7" w:rsidR="00F33C46">
        <w:rPr>
          <w:lang w:val="en-US"/>
        </w:rPr>
        <w:t xml:space="preserve">recurring </w:t>
      </w:r>
      <w:r w:rsidR="00B04020">
        <w:rPr>
          <w:lang w:val="en-US"/>
        </w:rPr>
        <w:t xml:space="preserve">monetized </w:t>
      </w:r>
      <w:r w:rsidRPr="070B23C7" w:rsidR="00F33C46">
        <w:rPr>
          <w:lang w:val="en-US"/>
        </w:rPr>
        <w:t xml:space="preserve">costs </w:t>
      </w:r>
      <w:r w:rsidRPr="070B23C7" w:rsidR="008B2E9F">
        <w:rPr>
          <w:lang w:val="en-US"/>
        </w:rPr>
        <w:t xml:space="preserve">and annual recurring </w:t>
      </w:r>
      <w:r w:rsidR="00B04020">
        <w:rPr>
          <w:lang w:val="en-US"/>
        </w:rPr>
        <w:t xml:space="preserve">monetized </w:t>
      </w:r>
      <w:r w:rsidRPr="070B23C7" w:rsidR="008B2E9F">
        <w:rPr>
          <w:lang w:val="en-US"/>
        </w:rPr>
        <w:t>benefits are estimated to be the same each year</w:t>
      </w:r>
      <w:r w:rsidRPr="070B23C7" w:rsidR="00CA0464">
        <w:rPr>
          <w:lang w:val="en-US"/>
        </w:rPr>
        <w:t>.</w:t>
      </w:r>
      <w:r w:rsidR="00CB13FF">
        <w:rPr>
          <w:lang w:val="en-US"/>
        </w:rPr>
        <w:t xml:space="preserve"> In addition, </w:t>
      </w:r>
      <w:r w:rsidR="004A2550">
        <w:rPr>
          <w:lang w:val="en-US"/>
        </w:rPr>
        <w:t xml:space="preserve">the annual </w:t>
      </w:r>
      <w:r w:rsidRPr="070B23C7" w:rsidR="004A2550">
        <w:rPr>
          <w:lang w:val="en-US"/>
        </w:rPr>
        <w:t>recurring costs</w:t>
      </w:r>
      <w:r w:rsidR="004A2550">
        <w:rPr>
          <w:lang w:val="en-US"/>
        </w:rPr>
        <w:t xml:space="preserve"> exceed </w:t>
      </w:r>
      <w:r w:rsidR="007F7361">
        <w:rPr>
          <w:lang w:val="en-US"/>
        </w:rPr>
        <w:t xml:space="preserve">the annual recurring benefits, and </w:t>
      </w:r>
      <w:r w:rsidR="00DD67F5">
        <w:rPr>
          <w:lang w:val="en-US"/>
        </w:rPr>
        <w:t xml:space="preserve">therefore </w:t>
      </w:r>
      <w:r w:rsidR="00772C84">
        <w:rPr>
          <w:lang w:val="en-US"/>
        </w:rPr>
        <w:t xml:space="preserve">net </w:t>
      </w:r>
      <w:r w:rsidR="00476B44">
        <w:rPr>
          <w:lang w:val="en-US"/>
        </w:rPr>
        <w:t xml:space="preserve">benefits </w:t>
      </w:r>
      <w:r w:rsidR="00772C84">
        <w:rPr>
          <w:lang w:val="en-US"/>
        </w:rPr>
        <w:t xml:space="preserve">will remain </w:t>
      </w:r>
      <w:r w:rsidR="000F1C00">
        <w:rPr>
          <w:lang w:val="en-US"/>
        </w:rPr>
        <w:t xml:space="preserve">negative </w:t>
      </w:r>
      <w:r w:rsidR="001F15E7">
        <w:rPr>
          <w:lang w:val="en-US"/>
        </w:rPr>
        <w:t>irrespective of the analysis time horizon selected.</w:t>
      </w:r>
      <w:r w:rsidR="00772C84">
        <w:rPr>
          <w:lang w:val="en-US"/>
        </w:rPr>
        <w:t xml:space="preserve"> </w:t>
      </w:r>
      <w:r w:rsidR="00E31A44">
        <w:rPr>
          <w:lang w:val="en-US"/>
        </w:rPr>
        <w:t>However, it should be noted that the relative effect of the initial costs on net benefits would decrease with a longer time horizon, and therefore the magnitude of the negative net benefits would decrease as the analytical time horizon is increased.</w:t>
      </w:r>
      <w:r w:rsidR="004A2550">
        <w:rPr>
          <w:lang w:val="en-US"/>
        </w:rPr>
        <w:t xml:space="preserve"> </w:t>
      </w:r>
      <w:r w:rsidRPr="070B23C7" w:rsidR="00CA0464">
        <w:rPr>
          <w:lang w:val="en-US"/>
        </w:rPr>
        <w:t xml:space="preserve"> </w:t>
      </w:r>
      <w:r w:rsidRPr="070B23C7" w:rsidR="008B2E9F">
        <w:rPr>
          <w:lang w:val="en-US"/>
        </w:rPr>
        <w:t xml:space="preserve"> </w:t>
      </w:r>
      <w:r w:rsidRPr="070B23C7">
        <w:rPr>
          <w:lang w:val="en-US"/>
        </w:rPr>
        <w:t xml:space="preserve"> </w:t>
      </w:r>
    </w:p>
    <w:p w:rsidR="007B6745" w:rsidRPr="007B6745" w:rsidP="00105ED0" w14:paraId="64876C2C" w14:textId="77777777">
      <w:pPr>
        <w:pStyle w:val="Heading2"/>
      </w:pPr>
      <w:bookmarkStart w:id="170" w:name="_Ref167098354"/>
      <w:bookmarkStart w:id="171" w:name="_Toc179234325"/>
      <w:bookmarkStart w:id="172" w:name="_Ref180404087"/>
      <w:bookmarkStart w:id="173" w:name="_Toc184299517"/>
      <w:bookmarkStart w:id="174" w:name="_Ref166841479"/>
      <w:bookmarkStart w:id="175" w:name="_Toc56508428"/>
      <w:r w:rsidRPr="007B6745">
        <w:t>Rule Familiarization Costs</w:t>
      </w:r>
      <w:bookmarkEnd w:id="170"/>
      <w:bookmarkEnd w:id="171"/>
      <w:bookmarkEnd w:id="172"/>
      <w:bookmarkEnd w:id="173"/>
    </w:p>
    <w:p w:rsidR="007B6745" w:rsidRPr="007B6745" w:rsidP="00832749" w14:paraId="3A4DB82A" w14:textId="0DECAB8A">
      <w:pPr>
        <w:pStyle w:val="BodyText"/>
      </w:pPr>
      <w:r w:rsidRPr="703ACCD8">
        <w:rPr>
          <w:lang w:val="en-US"/>
        </w:rPr>
        <w:t xml:space="preserve">EPA assumes that each facility </w:t>
      </w:r>
      <w:r w:rsidR="00486A58">
        <w:rPr>
          <w:lang w:val="en-US"/>
        </w:rPr>
        <w:t xml:space="preserve">within each of the affected COUs </w:t>
      </w:r>
      <w:r w:rsidRPr="703ACCD8">
        <w:rPr>
          <w:lang w:val="en-US"/>
        </w:rPr>
        <w:t>would incur initial rule familiarization burden of one managerial labor hour, with a loaded hourly wage rate depending on the relevant industry (</w:t>
      </w:r>
      <w:r>
        <w:fldChar w:fldCharType="begin" w:fldLock="1"/>
      </w:r>
      <w:r>
        <w:instrText>REF _Ref175676776  \* MERGEFORMAT</w:instrText>
      </w:r>
      <w:r>
        <w:fldChar w:fldCharType="separate"/>
      </w:r>
      <w:r w:rsidRPr="00735BBC" w:rsidR="00735BBC">
        <w:rPr>
          <w:lang w:val="en-US"/>
        </w:rPr>
        <w:t>Table 4</w:t>
      </w:r>
      <w:r w:rsidRPr="00735BBC" w:rsidR="00735BBC">
        <w:rPr>
          <w:lang w:val="en-US"/>
        </w:rPr>
        <w:noBreakHyphen/>
        <w:t>1</w:t>
      </w:r>
      <w:r w:rsidRPr="00735BBC" w:rsidR="00735BBC">
        <w:rPr>
          <w:lang w:val="en-US"/>
        </w:rPr>
        <w:fldChar w:fldCharType="end"/>
      </w:r>
      <w:r w:rsidRPr="703ACCD8">
        <w:rPr>
          <w:lang w:val="en-US"/>
        </w:rPr>
        <w:t>).</w:t>
      </w:r>
      <w:r w:rsidR="0011529D">
        <w:rPr>
          <w:lang w:val="en-US"/>
        </w:rPr>
        <w:t xml:space="preserve"> </w:t>
      </w:r>
      <w:r w:rsidR="002E7D8D">
        <w:rPr>
          <w:lang w:val="en-US"/>
        </w:rPr>
        <w:t xml:space="preserve">Rule familiarization costs are estimated </w:t>
      </w:r>
      <w:r w:rsidR="0022338C">
        <w:rPr>
          <w:lang w:val="en-US"/>
        </w:rPr>
        <w:t xml:space="preserve">for entities using regulated PV29 and </w:t>
      </w:r>
      <w:r w:rsidR="00D76008">
        <w:rPr>
          <w:lang w:val="en-US"/>
        </w:rPr>
        <w:t>entities that are using PV29 that is not regulated (i.e., PV29 that is not in powdered form)</w:t>
      </w:r>
      <w:r w:rsidR="00FC46E7">
        <w:rPr>
          <w:lang w:val="en-US"/>
        </w:rPr>
        <w:t>.</w:t>
      </w:r>
      <w:r w:rsidR="00074974">
        <w:rPr>
          <w:lang w:val="en-US"/>
        </w:rPr>
        <w:t xml:space="preserve"> Entities using PV29 </w:t>
      </w:r>
      <w:r w:rsidR="00A31037">
        <w:rPr>
          <w:lang w:val="en-US"/>
        </w:rPr>
        <w:t xml:space="preserve">that is not regulated are assumed to review the rule </w:t>
      </w:r>
      <w:r w:rsidR="00A8123B">
        <w:rPr>
          <w:lang w:val="en-US"/>
        </w:rPr>
        <w:t xml:space="preserve">in order to determine </w:t>
      </w:r>
      <w:r w:rsidR="00E153AE">
        <w:rPr>
          <w:lang w:val="en-US"/>
        </w:rPr>
        <w:t>that it does not apply to them.</w:t>
      </w:r>
      <w:r w:rsidR="00DA0D84">
        <w:rPr>
          <w:lang w:val="en-US"/>
        </w:rPr>
        <w:t xml:space="preserve"> </w:t>
      </w:r>
      <w:r>
        <w:fldChar w:fldCharType="begin" w:fldLock="1"/>
      </w:r>
      <w:r>
        <w:instrText>REF _Ref175676796  \* MERGEFORMAT</w:instrText>
      </w:r>
      <w:r>
        <w:fldChar w:fldCharType="separate"/>
      </w:r>
      <w:r w:rsidRPr="00735BBC" w:rsidR="00735BBC">
        <w:rPr>
          <w:lang w:val="en-US"/>
        </w:rPr>
        <w:t>Table 4</w:t>
      </w:r>
      <w:r w:rsidRPr="00735BBC" w:rsidR="00735BBC">
        <w:rPr>
          <w:lang w:val="en-US"/>
        </w:rPr>
        <w:noBreakHyphen/>
        <w:t>2</w:t>
      </w:r>
      <w:r w:rsidRPr="00735BBC" w:rsidR="00735BBC">
        <w:rPr>
          <w:lang w:val="en-US"/>
        </w:rPr>
        <w:fldChar w:fldCharType="end"/>
      </w:r>
      <w:r w:rsidRPr="703ACCD8">
        <w:rPr>
          <w:lang w:val="en-US"/>
        </w:rPr>
        <w:t xml:space="preserve"> summarizes the resultant one-time costs, which are the same under the proposed and alternative options.</w:t>
      </w:r>
    </w:p>
    <w:tbl>
      <w:tblPr>
        <w:tblW w:w="5000" w:type="pct"/>
        <w:tblLook w:val="04A0"/>
      </w:tblPr>
      <w:tblGrid>
        <w:gridCol w:w="4011"/>
        <w:gridCol w:w="1685"/>
        <w:gridCol w:w="1831"/>
        <w:gridCol w:w="1833"/>
      </w:tblGrid>
      <w:tr w14:paraId="3788E374" w14:textId="77777777" w:rsidTr="006762E6">
        <w:tblPrEx>
          <w:tblW w:w="5000" w:type="pct"/>
          <w:tblLook w:val="04A0"/>
        </w:tblPrEx>
        <w:trPr>
          <w:trHeight w:val="189"/>
          <w:tblHeader/>
        </w:trPr>
        <w:tc>
          <w:tcPr>
            <w:tcW w:w="5000" w:type="pct"/>
            <w:gridSpan w:val="4"/>
            <w:tcBorders>
              <w:top w:val="nil"/>
              <w:left w:val="nil"/>
              <w:bottom w:val="single" w:sz="4" w:space="0" w:color="auto"/>
              <w:right w:val="nil"/>
            </w:tcBorders>
            <w:vAlign w:val="center"/>
            <w:hideMark/>
          </w:tcPr>
          <w:p w:rsidR="007B6745" w:rsidRPr="007B6745" w:rsidP="00026204" w14:paraId="529EF77A" w14:textId="71F6538A">
            <w:pPr>
              <w:pStyle w:val="TableTitleA"/>
            </w:pPr>
            <w:bookmarkStart w:id="176" w:name="_Ref175676796"/>
            <w:bookmarkStart w:id="177" w:name="_Toc184299558"/>
            <w:r w:rsidRPr="007B6745">
              <w:t xml:space="preserve">Table </w:t>
            </w:r>
            <w:r>
              <w:fldChar w:fldCharType="begin" w:fldLock="1"/>
            </w:r>
            <w:r>
              <w:instrText>STYLEREF 1 \s</w:instrText>
            </w:r>
            <w:r>
              <w:fldChar w:fldCharType="separate"/>
            </w:r>
            <w:r w:rsidR="00735BBC">
              <w:rPr>
                <w:noProof/>
              </w:rPr>
              <w:t>4</w:t>
            </w:r>
            <w:r>
              <w:fldChar w:fldCharType="end"/>
            </w:r>
            <w:r w:rsidR="000A1542">
              <w:noBreakHyphen/>
            </w:r>
            <w:r>
              <w:fldChar w:fldCharType="begin" w:fldLock="1"/>
            </w:r>
            <w:r>
              <w:instrText>SEQ Table \* ARABIC \s 1</w:instrText>
            </w:r>
            <w:r>
              <w:fldChar w:fldCharType="separate"/>
            </w:r>
            <w:r w:rsidR="00735BBC">
              <w:rPr>
                <w:noProof/>
              </w:rPr>
              <w:t>2</w:t>
            </w:r>
            <w:r>
              <w:fldChar w:fldCharType="end"/>
            </w:r>
            <w:bookmarkEnd w:id="176"/>
            <w:r w:rsidRPr="007B6745">
              <w:t>: Total One-time Rule Familiarization Costs by Use</w:t>
            </w:r>
            <w:bookmarkEnd w:id="177"/>
          </w:p>
        </w:tc>
      </w:tr>
      <w:tr w14:paraId="45E6C41A" w14:textId="77777777" w:rsidTr="000D7F2B">
        <w:tblPrEx>
          <w:tblW w:w="5000" w:type="pct"/>
          <w:tblLook w:val="04A0"/>
        </w:tblPrEx>
        <w:trPr>
          <w:trHeight w:val="701"/>
          <w:tblHeader/>
        </w:trPr>
        <w:tc>
          <w:tcPr>
            <w:tcW w:w="2143"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198AB4B5" w14:textId="77777777">
            <w:pPr>
              <w:pStyle w:val="TableSubtitle"/>
            </w:pPr>
            <w:r w:rsidRPr="007B6745">
              <w:t> Use category</w:t>
            </w:r>
          </w:p>
        </w:tc>
        <w:tc>
          <w:tcPr>
            <w:tcW w:w="900" w:type="pct"/>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794335E1" w14:textId="77777777">
            <w:pPr>
              <w:pStyle w:val="TableSubtitle"/>
            </w:pPr>
            <w:r w:rsidRPr="007B6745">
              <w:t>Facilities</w:t>
            </w:r>
          </w:p>
        </w:tc>
        <w:tc>
          <w:tcPr>
            <w:tcW w:w="978" w:type="pct"/>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2276E66F" w14:textId="0EB46A13">
            <w:pPr>
              <w:pStyle w:val="TableSubtitle"/>
              <w:rPr>
                <w:vertAlign w:val="superscript"/>
              </w:rPr>
            </w:pPr>
            <w:r w:rsidRPr="007B6745">
              <w:t>Labor Rate</w:t>
            </w:r>
            <w:r w:rsidRPr="007B6745">
              <w:rPr>
                <w:vertAlign w:val="superscript"/>
              </w:rPr>
              <w:t>a</w:t>
            </w:r>
          </w:p>
        </w:tc>
        <w:tc>
          <w:tcPr>
            <w:tcW w:w="979" w:type="pct"/>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4673072B" w14:textId="5117203A">
            <w:pPr>
              <w:pStyle w:val="TableSubtitle"/>
              <w:rPr>
                <w:vertAlign w:val="superscript"/>
              </w:rPr>
            </w:pPr>
            <w:r w:rsidRPr="007B6745">
              <w:t>Total one-time costs</w:t>
            </w:r>
            <w:r w:rsidRPr="007B6745">
              <w:rPr>
                <w:vertAlign w:val="superscript"/>
              </w:rPr>
              <w:t>b</w:t>
            </w:r>
          </w:p>
        </w:tc>
      </w:tr>
      <w:tr w14:paraId="09E8000B" w14:textId="77777777" w:rsidTr="007B6745">
        <w:tblPrEx>
          <w:tblW w:w="5000" w:type="pct"/>
          <w:tblLook w:val="04A0"/>
        </w:tblPrEx>
        <w:trPr>
          <w:trHeight w:val="300"/>
        </w:trPr>
        <w:tc>
          <w:tcPr>
            <w:tcW w:w="2143" w:type="pct"/>
            <w:tcBorders>
              <w:top w:val="single" w:sz="4" w:space="0" w:color="auto"/>
              <w:left w:val="single" w:sz="4" w:space="0" w:color="auto"/>
              <w:bottom w:val="single" w:sz="4" w:space="0" w:color="auto"/>
              <w:right w:val="single" w:sz="4" w:space="0" w:color="auto"/>
            </w:tcBorders>
            <w:vAlign w:val="bottom"/>
            <w:hideMark/>
          </w:tcPr>
          <w:p w:rsidR="005C5508" w:rsidRPr="007B6745" w:rsidP="005C5508" w14:paraId="40FDFE39" w14:textId="77777777">
            <w:pPr>
              <w:pStyle w:val="LTableTextAbt"/>
            </w:pPr>
            <w:r w:rsidRPr="007B6745">
              <w:t>PV29 manufacturing and intermediate processing</w:t>
            </w:r>
          </w:p>
        </w:tc>
        <w:tc>
          <w:tcPr>
            <w:tcW w:w="900" w:type="pct"/>
            <w:tcBorders>
              <w:top w:val="single" w:sz="4" w:space="0" w:color="auto"/>
              <w:left w:val="nil"/>
              <w:bottom w:val="single" w:sz="4" w:space="0" w:color="auto"/>
              <w:right w:val="single" w:sz="4" w:space="0" w:color="auto"/>
            </w:tcBorders>
            <w:noWrap/>
            <w:vAlign w:val="center"/>
            <w:hideMark/>
          </w:tcPr>
          <w:p w:rsidR="005C5508" w:rsidRPr="007B6745" w:rsidP="005C5508" w14:paraId="6B0EB64F" w14:textId="77777777">
            <w:pPr>
              <w:pStyle w:val="RTableTextAbt"/>
            </w:pPr>
            <w:r w:rsidRPr="007B6745">
              <w:t>1</w:t>
            </w:r>
          </w:p>
        </w:tc>
        <w:tc>
          <w:tcPr>
            <w:tcW w:w="978" w:type="pct"/>
            <w:tcBorders>
              <w:top w:val="single" w:sz="4" w:space="0" w:color="auto"/>
              <w:left w:val="nil"/>
              <w:bottom w:val="single" w:sz="4" w:space="0" w:color="auto"/>
              <w:right w:val="single" w:sz="4" w:space="0" w:color="auto"/>
            </w:tcBorders>
            <w:noWrap/>
            <w:vAlign w:val="center"/>
            <w:hideMark/>
          </w:tcPr>
          <w:p w:rsidR="005C5508" w:rsidRPr="007B6745" w:rsidP="005C5508" w14:paraId="2E74DA3A" w14:textId="77777777">
            <w:pPr>
              <w:pStyle w:val="RTableTextAbt"/>
              <w:ind w:right="487"/>
            </w:pPr>
            <w:r w:rsidRPr="007B6745">
              <w:t>$93.07</w:t>
            </w:r>
          </w:p>
        </w:tc>
        <w:tc>
          <w:tcPr>
            <w:tcW w:w="979" w:type="pct"/>
            <w:tcBorders>
              <w:top w:val="single" w:sz="4" w:space="0" w:color="auto"/>
              <w:left w:val="nil"/>
              <w:bottom w:val="single" w:sz="4" w:space="0" w:color="auto"/>
              <w:right w:val="single" w:sz="4" w:space="0" w:color="auto"/>
            </w:tcBorders>
            <w:noWrap/>
            <w:vAlign w:val="center"/>
            <w:hideMark/>
          </w:tcPr>
          <w:p w:rsidR="005C5508" w:rsidRPr="005C5508" w:rsidP="005C5508" w14:paraId="53E4C1B4" w14:textId="7201DE12">
            <w:pPr>
              <w:pStyle w:val="RTableTextAbt"/>
            </w:pPr>
            <w:bookmarkStart w:id="178" w:name="RANGE!F9:F16"/>
            <w:r w:rsidRPr="00BD3D2B">
              <w:t>$93</w:t>
            </w:r>
            <w:bookmarkEnd w:id="178"/>
          </w:p>
        </w:tc>
      </w:tr>
      <w:tr w14:paraId="4CE3D4E2" w14:textId="77777777" w:rsidTr="007B6745">
        <w:tblPrEx>
          <w:tblW w:w="5000" w:type="pct"/>
          <w:tblLook w:val="04A0"/>
        </w:tblPrEx>
        <w:trPr>
          <w:trHeight w:val="300"/>
        </w:trPr>
        <w:tc>
          <w:tcPr>
            <w:tcW w:w="2143" w:type="pct"/>
            <w:tcBorders>
              <w:top w:val="single" w:sz="4" w:space="0" w:color="auto"/>
              <w:left w:val="single" w:sz="4" w:space="0" w:color="auto"/>
              <w:bottom w:val="single" w:sz="4" w:space="0" w:color="auto"/>
              <w:right w:val="single" w:sz="4" w:space="0" w:color="auto"/>
            </w:tcBorders>
            <w:vAlign w:val="bottom"/>
            <w:hideMark/>
          </w:tcPr>
          <w:p w:rsidR="005C5508" w:rsidRPr="007B6745" w:rsidP="005C5508" w14:paraId="24565DD2" w14:textId="77777777">
            <w:pPr>
              <w:pStyle w:val="LTableTextAbt"/>
            </w:pPr>
            <w:r w:rsidRPr="007B6745">
              <w:t>PV29 importing</w:t>
            </w:r>
          </w:p>
        </w:tc>
        <w:tc>
          <w:tcPr>
            <w:tcW w:w="900" w:type="pct"/>
            <w:tcBorders>
              <w:top w:val="single" w:sz="4" w:space="0" w:color="auto"/>
              <w:left w:val="nil"/>
              <w:bottom w:val="single" w:sz="4" w:space="0" w:color="auto"/>
              <w:right w:val="single" w:sz="4" w:space="0" w:color="auto"/>
            </w:tcBorders>
            <w:noWrap/>
            <w:vAlign w:val="center"/>
            <w:hideMark/>
          </w:tcPr>
          <w:p w:rsidR="005C5508" w:rsidRPr="007B6745" w:rsidP="005C5508" w14:paraId="205A0121" w14:textId="77777777">
            <w:pPr>
              <w:pStyle w:val="RTableTextAbt"/>
            </w:pPr>
            <w:r w:rsidRPr="007B6745">
              <w:t>1</w:t>
            </w:r>
          </w:p>
        </w:tc>
        <w:tc>
          <w:tcPr>
            <w:tcW w:w="978" w:type="pct"/>
            <w:tcBorders>
              <w:top w:val="single" w:sz="4" w:space="0" w:color="auto"/>
              <w:left w:val="nil"/>
              <w:bottom w:val="single" w:sz="4" w:space="0" w:color="auto"/>
              <w:right w:val="single" w:sz="4" w:space="0" w:color="auto"/>
            </w:tcBorders>
            <w:noWrap/>
            <w:vAlign w:val="center"/>
            <w:hideMark/>
          </w:tcPr>
          <w:p w:rsidR="005C5508" w:rsidRPr="007B6745" w:rsidP="005C5508" w14:paraId="37EA1F89" w14:textId="73C5825C">
            <w:pPr>
              <w:pStyle w:val="RTableTextAbt"/>
              <w:ind w:right="487"/>
            </w:pPr>
            <w:r w:rsidRPr="007B6745">
              <w:t>$9</w:t>
            </w:r>
            <w:r w:rsidR="00784081">
              <w:t>3.07</w:t>
            </w:r>
          </w:p>
        </w:tc>
        <w:tc>
          <w:tcPr>
            <w:tcW w:w="979" w:type="pct"/>
            <w:tcBorders>
              <w:top w:val="single" w:sz="4" w:space="0" w:color="auto"/>
              <w:left w:val="nil"/>
              <w:bottom w:val="single" w:sz="4" w:space="0" w:color="auto"/>
              <w:right w:val="single" w:sz="4" w:space="0" w:color="auto"/>
            </w:tcBorders>
            <w:noWrap/>
            <w:vAlign w:val="center"/>
            <w:hideMark/>
          </w:tcPr>
          <w:p w:rsidR="005C5508" w:rsidRPr="005C5508" w:rsidP="005C5508" w14:paraId="2BC8AEBA" w14:textId="4CF7FD65">
            <w:pPr>
              <w:pStyle w:val="RTableTextAbt"/>
            </w:pPr>
            <w:r w:rsidRPr="00BD3D2B">
              <w:t>$9</w:t>
            </w:r>
            <w:r w:rsidR="00784081">
              <w:t>3</w:t>
            </w:r>
          </w:p>
        </w:tc>
      </w:tr>
      <w:tr w14:paraId="35273055" w14:textId="77777777" w:rsidTr="007B6745">
        <w:tblPrEx>
          <w:tblW w:w="5000" w:type="pct"/>
          <w:tblLook w:val="04A0"/>
        </w:tblPrEx>
        <w:trPr>
          <w:trHeight w:val="300"/>
        </w:trPr>
        <w:tc>
          <w:tcPr>
            <w:tcW w:w="2143" w:type="pct"/>
            <w:tcBorders>
              <w:top w:val="single" w:sz="4" w:space="0" w:color="auto"/>
              <w:left w:val="single" w:sz="4" w:space="0" w:color="auto"/>
              <w:bottom w:val="single" w:sz="4" w:space="0" w:color="auto"/>
              <w:right w:val="single" w:sz="4" w:space="0" w:color="auto"/>
            </w:tcBorders>
            <w:vAlign w:val="bottom"/>
            <w:hideMark/>
          </w:tcPr>
          <w:p w:rsidR="005C5508" w:rsidRPr="007B6745" w:rsidP="005C5508" w14:paraId="5B6ACE99" w14:textId="77777777">
            <w:pPr>
              <w:pStyle w:val="LTableTextAbt"/>
            </w:pPr>
            <w:r w:rsidRPr="007B6745">
              <w:t>Processing into automotive paints and coatings</w:t>
            </w:r>
          </w:p>
        </w:tc>
        <w:tc>
          <w:tcPr>
            <w:tcW w:w="900" w:type="pct"/>
            <w:tcBorders>
              <w:top w:val="single" w:sz="4" w:space="0" w:color="auto"/>
              <w:left w:val="nil"/>
              <w:bottom w:val="single" w:sz="4" w:space="0" w:color="auto"/>
              <w:right w:val="single" w:sz="4" w:space="0" w:color="auto"/>
            </w:tcBorders>
            <w:noWrap/>
            <w:vAlign w:val="center"/>
            <w:hideMark/>
          </w:tcPr>
          <w:p w:rsidR="005C5508" w:rsidRPr="007B6745" w:rsidP="005C5508" w14:paraId="2B849E06" w14:textId="77777777">
            <w:pPr>
              <w:pStyle w:val="RTableTextAbt"/>
            </w:pPr>
            <w:r w:rsidRPr="007B6745">
              <w:t>14</w:t>
            </w:r>
          </w:p>
        </w:tc>
        <w:tc>
          <w:tcPr>
            <w:tcW w:w="978" w:type="pct"/>
            <w:tcBorders>
              <w:top w:val="single" w:sz="4" w:space="0" w:color="auto"/>
              <w:left w:val="nil"/>
              <w:bottom w:val="single" w:sz="4" w:space="0" w:color="auto"/>
              <w:right w:val="single" w:sz="4" w:space="0" w:color="auto"/>
            </w:tcBorders>
            <w:noWrap/>
            <w:vAlign w:val="center"/>
            <w:hideMark/>
          </w:tcPr>
          <w:p w:rsidR="005C5508" w:rsidRPr="007B6745" w:rsidP="005C5508" w14:paraId="19AF08E0" w14:textId="77777777">
            <w:pPr>
              <w:pStyle w:val="RTableTextAbt"/>
              <w:ind w:right="487"/>
            </w:pPr>
            <w:r w:rsidRPr="007B6745">
              <w:t>$93.07</w:t>
            </w:r>
          </w:p>
        </w:tc>
        <w:tc>
          <w:tcPr>
            <w:tcW w:w="979" w:type="pct"/>
            <w:tcBorders>
              <w:top w:val="single" w:sz="4" w:space="0" w:color="auto"/>
              <w:left w:val="nil"/>
              <w:bottom w:val="single" w:sz="4" w:space="0" w:color="auto"/>
              <w:right w:val="single" w:sz="4" w:space="0" w:color="auto"/>
            </w:tcBorders>
            <w:noWrap/>
            <w:vAlign w:val="center"/>
            <w:hideMark/>
          </w:tcPr>
          <w:p w:rsidR="005C5508" w:rsidRPr="005C5508" w:rsidP="005C5508" w14:paraId="6AF431CB" w14:textId="4F6685CA">
            <w:pPr>
              <w:pStyle w:val="RTableTextAbt"/>
            </w:pPr>
            <w:r w:rsidRPr="00BD3D2B">
              <w:t>$1,303</w:t>
            </w:r>
          </w:p>
        </w:tc>
      </w:tr>
      <w:tr w14:paraId="42B813BB" w14:textId="77777777" w:rsidTr="007B6745">
        <w:tblPrEx>
          <w:tblW w:w="5000" w:type="pct"/>
          <w:tblLook w:val="04A0"/>
        </w:tblPrEx>
        <w:trPr>
          <w:trHeight w:val="300"/>
        </w:trPr>
        <w:tc>
          <w:tcPr>
            <w:tcW w:w="2143" w:type="pct"/>
            <w:tcBorders>
              <w:top w:val="single" w:sz="4" w:space="0" w:color="auto"/>
              <w:left w:val="single" w:sz="4" w:space="0" w:color="auto"/>
              <w:bottom w:val="single" w:sz="4" w:space="0" w:color="auto"/>
              <w:right w:val="single" w:sz="4" w:space="0" w:color="auto"/>
            </w:tcBorders>
            <w:vAlign w:val="bottom"/>
            <w:hideMark/>
          </w:tcPr>
          <w:p w:rsidR="005C5508" w:rsidRPr="007B6745" w:rsidP="005C5508" w14:paraId="3B7602D2" w14:textId="77777777">
            <w:pPr>
              <w:pStyle w:val="LTableTextAbt"/>
            </w:pPr>
            <w:r w:rsidRPr="007B6745">
              <w:t>Processing into plastic and rubber products</w:t>
            </w:r>
          </w:p>
        </w:tc>
        <w:tc>
          <w:tcPr>
            <w:tcW w:w="900" w:type="pct"/>
            <w:tcBorders>
              <w:top w:val="single" w:sz="4" w:space="0" w:color="auto"/>
              <w:left w:val="nil"/>
              <w:bottom w:val="single" w:sz="4" w:space="0" w:color="auto"/>
              <w:right w:val="single" w:sz="4" w:space="0" w:color="auto"/>
            </w:tcBorders>
            <w:noWrap/>
            <w:vAlign w:val="center"/>
            <w:hideMark/>
          </w:tcPr>
          <w:p w:rsidR="005C5508" w:rsidRPr="007B6745" w:rsidP="005C5508" w14:paraId="3957193E" w14:textId="77777777">
            <w:pPr>
              <w:pStyle w:val="RTableTextAbt"/>
            </w:pPr>
            <w:r w:rsidRPr="007B6745">
              <w:t>6</w:t>
            </w:r>
          </w:p>
        </w:tc>
        <w:tc>
          <w:tcPr>
            <w:tcW w:w="978" w:type="pct"/>
            <w:tcBorders>
              <w:top w:val="single" w:sz="4" w:space="0" w:color="auto"/>
              <w:left w:val="nil"/>
              <w:bottom w:val="single" w:sz="4" w:space="0" w:color="auto"/>
              <w:right w:val="single" w:sz="4" w:space="0" w:color="auto"/>
            </w:tcBorders>
            <w:noWrap/>
            <w:vAlign w:val="center"/>
            <w:hideMark/>
          </w:tcPr>
          <w:p w:rsidR="005C5508" w:rsidRPr="007B6745" w:rsidP="005C5508" w14:paraId="5D702907" w14:textId="77777777">
            <w:pPr>
              <w:pStyle w:val="RTableTextAbt"/>
              <w:ind w:right="487"/>
            </w:pPr>
            <w:r w:rsidRPr="007B6745">
              <w:t>$93.07</w:t>
            </w:r>
          </w:p>
        </w:tc>
        <w:tc>
          <w:tcPr>
            <w:tcW w:w="979" w:type="pct"/>
            <w:tcBorders>
              <w:top w:val="single" w:sz="4" w:space="0" w:color="auto"/>
              <w:left w:val="nil"/>
              <w:bottom w:val="single" w:sz="4" w:space="0" w:color="auto"/>
              <w:right w:val="single" w:sz="4" w:space="0" w:color="auto"/>
            </w:tcBorders>
            <w:noWrap/>
            <w:vAlign w:val="center"/>
            <w:hideMark/>
          </w:tcPr>
          <w:p w:rsidR="005C5508" w:rsidRPr="005C5508" w:rsidP="005C5508" w14:paraId="32E2D2A7" w14:textId="5C20F78A">
            <w:pPr>
              <w:pStyle w:val="RTableTextAbt"/>
            </w:pPr>
            <w:r w:rsidRPr="00BD3D2B">
              <w:t>$558</w:t>
            </w:r>
          </w:p>
        </w:tc>
      </w:tr>
      <w:tr w14:paraId="4DFF53CC" w14:textId="77777777" w:rsidTr="007B6745">
        <w:tblPrEx>
          <w:tblW w:w="5000" w:type="pct"/>
          <w:tblLook w:val="04A0"/>
        </w:tblPrEx>
        <w:trPr>
          <w:trHeight w:val="300"/>
        </w:trPr>
        <w:tc>
          <w:tcPr>
            <w:tcW w:w="2143" w:type="pct"/>
            <w:tcBorders>
              <w:top w:val="single" w:sz="4" w:space="0" w:color="auto"/>
              <w:left w:val="single" w:sz="4" w:space="0" w:color="auto"/>
              <w:bottom w:val="single" w:sz="4" w:space="0" w:color="auto"/>
              <w:right w:val="single" w:sz="4" w:space="0" w:color="auto"/>
            </w:tcBorders>
            <w:vAlign w:val="bottom"/>
            <w:hideMark/>
          </w:tcPr>
          <w:p w:rsidR="005C5508" w:rsidRPr="007B6745" w:rsidP="005C5508" w14:paraId="2AD9B637" w14:textId="77777777">
            <w:pPr>
              <w:pStyle w:val="LTableTextAbt"/>
            </w:pPr>
            <w:r w:rsidRPr="007B6745">
              <w:t>Recycling</w:t>
            </w:r>
          </w:p>
        </w:tc>
        <w:tc>
          <w:tcPr>
            <w:tcW w:w="900" w:type="pct"/>
            <w:tcBorders>
              <w:top w:val="single" w:sz="4" w:space="0" w:color="auto"/>
              <w:left w:val="nil"/>
              <w:bottom w:val="single" w:sz="4" w:space="0" w:color="auto"/>
              <w:right w:val="single" w:sz="4" w:space="0" w:color="auto"/>
            </w:tcBorders>
            <w:noWrap/>
            <w:vAlign w:val="center"/>
            <w:hideMark/>
          </w:tcPr>
          <w:p w:rsidR="005C5508" w:rsidRPr="007B6745" w:rsidP="005C5508" w14:paraId="7D30282E" w14:textId="77777777">
            <w:pPr>
              <w:pStyle w:val="RTableTextAbt"/>
            </w:pPr>
            <w:r w:rsidRPr="007B6745">
              <w:t>8,742</w:t>
            </w:r>
          </w:p>
        </w:tc>
        <w:tc>
          <w:tcPr>
            <w:tcW w:w="978" w:type="pct"/>
            <w:tcBorders>
              <w:top w:val="single" w:sz="4" w:space="0" w:color="auto"/>
              <w:left w:val="nil"/>
              <w:bottom w:val="single" w:sz="4" w:space="0" w:color="auto"/>
              <w:right w:val="single" w:sz="4" w:space="0" w:color="auto"/>
            </w:tcBorders>
            <w:noWrap/>
            <w:vAlign w:val="center"/>
            <w:hideMark/>
          </w:tcPr>
          <w:p w:rsidR="005C5508" w:rsidRPr="007B6745" w:rsidP="005C5508" w14:paraId="3B826280" w14:textId="77777777">
            <w:pPr>
              <w:pStyle w:val="RTableTextAbt"/>
              <w:ind w:right="487"/>
            </w:pPr>
            <w:r w:rsidRPr="007B6745">
              <w:t>$94.70</w:t>
            </w:r>
          </w:p>
        </w:tc>
        <w:tc>
          <w:tcPr>
            <w:tcW w:w="979" w:type="pct"/>
            <w:tcBorders>
              <w:top w:val="single" w:sz="4" w:space="0" w:color="auto"/>
              <w:left w:val="nil"/>
              <w:bottom w:val="single" w:sz="4" w:space="0" w:color="auto"/>
              <w:right w:val="single" w:sz="4" w:space="0" w:color="auto"/>
            </w:tcBorders>
            <w:noWrap/>
            <w:vAlign w:val="center"/>
            <w:hideMark/>
          </w:tcPr>
          <w:p w:rsidR="005C5508" w:rsidRPr="005C5508" w:rsidP="005C5508" w14:paraId="140990A9" w14:textId="13A0C8CE">
            <w:pPr>
              <w:pStyle w:val="RTableTextAbt"/>
            </w:pPr>
            <w:r w:rsidRPr="00BD3D2B">
              <w:t>$827,867</w:t>
            </w:r>
          </w:p>
        </w:tc>
      </w:tr>
      <w:tr w14:paraId="28BC6E4B" w14:textId="77777777" w:rsidTr="007B6745">
        <w:tblPrEx>
          <w:tblW w:w="5000" w:type="pct"/>
          <w:tblLook w:val="04A0"/>
        </w:tblPrEx>
        <w:trPr>
          <w:trHeight w:val="300"/>
        </w:trPr>
        <w:tc>
          <w:tcPr>
            <w:tcW w:w="2143" w:type="pct"/>
            <w:tcBorders>
              <w:top w:val="single" w:sz="4" w:space="0" w:color="auto"/>
              <w:left w:val="single" w:sz="4" w:space="0" w:color="auto"/>
              <w:bottom w:val="single" w:sz="4" w:space="0" w:color="auto"/>
              <w:right w:val="single" w:sz="4" w:space="0" w:color="auto"/>
            </w:tcBorders>
            <w:vAlign w:val="bottom"/>
            <w:hideMark/>
          </w:tcPr>
          <w:p w:rsidR="005C5508" w:rsidRPr="007B6745" w:rsidP="005C5508" w14:paraId="573E9FFC" w14:textId="77777777">
            <w:pPr>
              <w:pStyle w:val="LTableTextAbt"/>
            </w:pPr>
            <w:r w:rsidRPr="007B6745">
              <w:t>Automotive painting (new vehicles)</w:t>
            </w:r>
          </w:p>
        </w:tc>
        <w:tc>
          <w:tcPr>
            <w:tcW w:w="900" w:type="pct"/>
            <w:tcBorders>
              <w:top w:val="single" w:sz="4" w:space="0" w:color="auto"/>
              <w:left w:val="nil"/>
              <w:bottom w:val="single" w:sz="4" w:space="0" w:color="auto"/>
              <w:right w:val="single" w:sz="4" w:space="0" w:color="auto"/>
            </w:tcBorders>
            <w:noWrap/>
            <w:vAlign w:val="center"/>
            <w:hideMark/>
          </w:tcPr>
          <w:p w:rsidR="005C5508" w:rsidRPr="007B6745" w:rsidP="005C5508" w14:paraId="188C6F73" w14:textId="77777777">
            <w:pPr>
              <w:pStyle w:val="RTableTextAbt"/>
            </w:pPr>
            <w:r w:rsidRPr="007B6745">
              <w:t>832</w:t>
            </w:r>
          </w:p>
        </w:tc>
        <w:tc>
          <w:tcPr>
            <w:tcW w:w="978" w:type="pct"/>
            <w:tcBorders>
              <w:top w:val="single" w:sz="4" w:space="0" w:color="auto"/>
              <w:left w:val="nil"/>
              <w:bottom w:val="single" w:sz="4" w:space="0" w:color="auto"/>
              <w:right w:val="single" w:sz="4" w:space="0" w:color="auto"/>
            </w:tcBorders>
            <w:noWrap/>
            <w:vAlign w:val="center"/>
            <w:hideMark/>
          </w:tcPr>
          <w:p w:rsidR="005C5508" w:rsidRPr="007B6745" w:rsidP="005C5508" w14:paraId="5E9C4DA4" w14:textId="77777777">
            <w:pPr>
              <w:pStyle w:val="RTableTextAbt"/>
              <w:ind w:right="487"/>
            </w:pPr>
            <w:r w:rsidRPr="007B6745">
              <w:t>$93.07</w:t>
            </w:r>
          </w:p>
        </w:tc>
        <w:tc>
          <w:tcPr>
            <w:tcW w:w="979" w:type="pct"/>
            <w:tcBorders>
              <w:top w:val="single" w:sz="4" w:space="0" w:color="auto"/>
              <w:left w:val="nil"/>
              <w:bottom w:val="single" w:sz="4" w:space="0" w:color="auto"/>
              <w:right w:val="single" w:sz="4" w:space="0" w:color="auto"/>
            </w:tcBorders>
            <w:noWrap/>
            <w:vAlign w:val="center"/>
            <w:hideMark/>
          </w:tcPr>
          <w:p w:rsidR="005C5508" w:rsidRPr="005C5508" w:rsidP="005C5508" w14:paraId="2D5B75A1" w14:textId="3557D5C2">
            <w:pPr>
              <w:pStyle w:val="RTableTextAbt"/>
            </w:pPr>
            <w:r w:rsidRPr="00BD3D2B">
              <w:t>$77,434</w:t>
            </w:r>
          </w:p>
        </w:tc>
      </w:tr>
      <w:tr w14:paraId="7002580C" w14:textId="77777777" w:rsidTr="007B6745">
        <w:tblPrEx>
          <w:tblW w:w="5000" w:type="pct"/>
          <w:tblLook w:val="04A0"/>
        </w:tblPrEx>
        <w:trPr>
          <w:trHeight w:val="300"/>
        </w:trPr>
        <w:tc>
          <w:tcPr>
            <w:tcW w:w="2143" w:type="pct"/>
            <w:tcBorders>
              <w:top w:val="single" w:sz="4" w:space="0" w:color="auto"/>
              <w:left w:val="single" w:sz="4" w:space="0" w:color="auto"/>
              <w:bottom w:val="single" w:sz="4" w:space="0" w:color="auto"/>
              <w:right w:val="single" w:sz="4" w:space="0" w:color="auto"/>
            </w:tcBorders>
            <w:vAlign w:val="bottom"/>
            <w:hideMark/>
          </w:tcPr>
          <w:p w:rsidR="005C5508" w:rsidRPr="007B6745" w:rsidP="005C5508" w14:paraId="5FDFEDB0" w14:textId="77777777">
            <w:pPr>
              <w:pStyle w:val="LTableTextAbt"/>
            </w:pPr>
            <w:r w:rsidRPr="007B6745">
              <w:t>Automotive refinishing</w:t>
            </w:r>
          </w:p>
        </w:tc>
        <w:tc>
          <w:tcPr>
            <w:tcW w:w="900" w:type="pct"/>
            <w:tcBorders>
              <w:top w:val="single" w:sz="4" w:space="0" w:color="auto"/>
              <w:left w:val="nil"/>
              <w:bottom w:val="single" w:sz="4" w:space="0" w:color="auto"/>
              <w:right w:val="single" w:sz="4" w:space="0" w:color="auto"/>
            </w:tcBorders>
            <w:noWrap/>
            <w:vAlign w:val="center"/>
            <w:hideMark/>
          </w:tcPr>
          <w:p w:rsidR="005C5508" w:rsidRPr="007B6745" w:rsidP="005C5508" w14:paraId="2CAE6CDA" w14:textId="77777777">
            <w:pPr>
              <w:pStyle w:val="RTableTextAbt"/>
            </w:pPr>
            <w:r w:rsidRPr="007B6745">
              <w:t>31,728</w:t>
            </w:r>
          </w:p>
        </w:tc>
        <w:tc>
          <w:tcPr>
            <w:tcW w:w="978" w:type="pct"/>
            <w:tcBorders>
              <w:top w:val="single" w:sz="4" w:space="0" w:color="auto"/>
              <w:left w:val="nil"/>
              <w:bottom w:val="single" w:sz="4" w:space="0" w:color="auto"/>
              <w:right w:val="single" w:sz="4" w:space="0" w:color="auto"/>
            </w:tcBorders>
            <w:noWrap/>
            <w:vAlign w:val="center"/>
            <w:hideMark/>
          </w:tcPr>
          <w:p w:rsidR="005C5508" w:rsidRPr="007B6745" w:rsidP="005C5508" w14:paraId="3A92C0F6" w14:textId="77777777">
            <w:pPr>
              <w:pStyle w:val="RTableTextAbt"/>
              <w:ind w:right="487"/>
            </w:pPr>
            <w:r w:rsidRPr="007B6745">
              <w:t>$99.58</w:t>
            </w:r>
          </w:p>
        </w:tc>
        <w:tc>
          <w:tcPr>
            <w:tcW w:w="979" w:type="pct"/>
            <w:tcBorders>
              <w:top w:val="single" w:sz="4" w:space="0" w:color="auto"/>
              <w:left w:val="nil"/>
              <w:bottom w:val="single" w:sz="4" w:space="0" w:color="auto"/>
              <w:right w:val="single" w:sz="4" w:space="0" w:color="auto"/>
            </w:tcBorders>
            <w:noWrap/>
            <w:vAlign w:val="center"/>
            <w:hideMark/>
          </w:tcPr>
          <w:p w:rsidR="005C5508" w:rsidRPr="005C5508" w:rsidP="005C5508" w14:paraId="2B016813" w14:textId="5DA05CE8">
            <w:pPr>
              <w:pStyle w:val="RTableTextAbt"/>
            </w:pPr>
            <w:r w:rsidRPr="00BD3D2B">
              <w:t>$3,159,474</w:t>
            </w:r>
          </w:p>
        </w:tc>
      </w:tr>
      <w:tr w14:paraId="1F4E2D2B" w14:textId="77777777" w:rsidTr="007B6745">
        <w:tblPrEx>
          <w:tblW w:w="5000" w:type="pct"/>
          <w:tblLook w:val="04A0"/>
        </w:tblPrEx>
        <w:trPr>
          <w:trHeight w:val="300"/>
        </w:trPr>
        <w:tc>
          <w:tcPr>
            <w:tcW w:w="2143" w:type="pct"/>
            <w:tcBorders>
              <w:top w:val="single" w:sz="4" w:space="0" w:color="auto"/>
              <w:left w:val="single" w:sz="4" w:space="0" w:color="auto"/>
              <w:bottom w:val="single" w:sz="4" w:space="0" w:color="auto"/>
              <w:right w:val="single" w:sz="4" w:space="0" w:color="auto"/>
            </w:tcBorders>
            <w:vAlign w:val="bottom"/>
            <w:hideMark/>
          </w:tcPr>
          <w:p w:rsidR="005C5508" w:rsidRPr="007B6745" w:rsidP="005C5508" w14:paraId="24F8B893" w14:textId="77777777">
            <w:pPr>
              <w:pStyle w:val="LTableTextAbt"/>
            </w:pPr>
            <w:r w:rsidRPr="007B6745">
              <w:t>Disposal</w:t>
            </w:r>
          </w:p>
        </w:tc>
        <w:tc>
          <w:tcPr>
            <w:tcW w:w="900" w:type="pct"/>
            <w:tcBorders>
              <w:top w:val="single" w:sz="4" w:space="0" w:color="auto"/>
              <w:left w:val="nil"/>
              <w:bottom w:val="single" w:sz="4" w:space="0" w:color="auto"/>
              <w:right w:val="single" w:sz="4" w:space="0" w:color="auto"/>
            </w:tcBorders>
            <w:noWrap/>
            <w:vAlign w:val="center"/>
            <w:hideMark/>
          </w:tcPr>
          <w:p w:rsidR="005C5508" w:rsidRPr="007B6745" w:rsidP="005C5508" w14:paraId="74CDAEC0" w14:textId="77777777">
            <w:pPr>
              <w:pStyle w:val="RTableTextAbt"/>
            </w:pPr>
            <w:r w:rsidRPr="007B6745">
              <w:t>8,346</w:t>
            </w:r>
          </w:p>
        </w:tc>
        <w:tc>
          <w:tcPr>
            <w:tcW w:w="978" w:type="pct"/>
            <w:tcBorders>
              <w:top w:val="single" w:sz="4" w:space="0" w:color="auto"/>
              <w:left w:val="nil"/>
              <w:bottom w:val="single" w:sz="4" w:space="0" w:color="auto"/>
              <w:right w:val="single" w:sz="4" w:space="0" w:color="auto"/>
            </w:tcBorders>
            <w:noWrap/>
            <w:vAlign w:val="center"/>
            <w:hideMark/>
          </w:tcPr>
          <w:p w:rsidR="005C5508" w:rsidRPr="007B6745" w:rsidP="005C5508" w14:paraId="11B5E34E" w14:textId="77777777">
            <w:pPr>
              <w:pStyle w:val="RTableTextAbt"/>
              <w:ind w:right="487"/>
            </w:pPr>
            <w:r w:rsidRPr="007B6745">
              <w:t>$94.70</w:t>
            </w:r>
          </w:p>
        </w:tc>
        <w:tc>
          <w:tcPr>
            <w:tcW w:w="979" w:type="pct"/>
            <w:tcBorders>
              <w:top w:val="single" w:sz="4" w:space="0" w:color="auto"/>
              <w:left w:val="nil"/>
              <w:bottom w:val="single" w:sz="4" w:space="0" w:color="auto"/>
              <w:right w:val="single" w:sz="4" w:space="0" w:color="auto"/>
            </w:tcBorders>
            <w:noWrap/>
            <w:vAlign w:val="center"/>
            <w:hideMark/>
          </w:tcPr>
          <w:p w:rsidR="005C5508" w:rsidRPr="005C5508" w:rsidP="005C5508" w14:paraId="09DDDC04" w14:textId="22D7E777">
            <w:pPr>
              <w:pStyle w:val="RTableTextAbt"/>
            </w:pPr>
            <w:r w:rsidRPr="00BD3D2B">
              <w:t>$790,366</w:t>
            </w:r>
          </w:p>
        </w:tc>
      </w:tr>
      <w:tr w14:paraId="03A26909" w14:textId="77777777" w:rsidTr="007B6745">
        <w:tblPrEx>
          <w:tblW w:w="5000" w:type="pct"/>
          <w:tblLook w:val="04A0"/>
        </w:tblPrEx>
        <w:trPr>
          <w:trHeight w:val="300"/>
        </w:trPr>
        <w:tc>
          <w:tcPr>
            <w:tcW w:w="2143" w:type="pct"/>
            <w:tcBorders>
              <w:top w:val="single" w:sz="4" w:space="0" w:color="auto"/>
              <w:left w:val="single" w:sz="4" w:space="0" w:color="auto"/>
              <w:bottom w:val="single" w:sz="4" w:space="0" w:color="auto"/>
              <w:right w:val="single" w:sz="4" w:space="0" w:color="auto"/>
            </w:tcBorders>
            <w:vAlign w:val="bottom"/>
            <w:hideMark/>
          </w:tcPr>
          <w:p w:rsidR="005C5508" w:rsidRPr="007B6745" w:rsidP="005C5508" w14:paraId="15278871" w14:textId="77777777">
            <w:pPr>
              <w:pStyle w:val="LTableTextAbt"/>
            </w:pPr>
            <w:r w:rsidRPr="007B6745">
              <w:rPr>
                <w:b/>
              </w:rPr>
              <w:t>Total</w:t>
            </w:r>
          </w:p>
        </w:tc>
        <w:tc>
          <w:tcPr>
            <w:tcW w:w="900" w:type="pct"/>
            <w:tcBorders>
              <w:top w:val="single" w:sz="4" w:space="0" w:color="auto"/>
              <w:left w:val="nil"/>
              <w:bottom w:val="single" w:sz="4" w:space="0" w:color="auto"/>
              <w:right w:val="single" w:sz="4" w:space="0" w:color="auto"/>
            </w:tcBorders>
            <w:noWrap/>
            <w:vAlign w:val="bottom"/>
            <w:hideMark/>
          </w:tcPr>
          <w:p w:rsidR="005C5508" w:rsidRPr="007B6745" w:rsidP="005C5508" w14:paraId="28AA04E9" w14:textId="77777777">
            <w:pPr>
              <w:pStyle w:val="RTableTextAbt"/>
            </w:pPr>
            <w:r w:rsidRPr="007B6745">
              <w:rPr>
                <w:b/>
              </w:rPr>
              <w:t>49,670</w:t>
            </w:r>
          </w:p>
        </w:tc>
        <w:tc>
          <w:tcPr>
            <w:tcW w:w="978" w:type="pct"/>
            <w:tcBorders>
              <w:top w:val="single" w:sz="4" w:space="0" w:color="auto"/>
              <w:left w:val="nil"/>
              <w:bottom w:val="single" w:sz="4" w:space="0" w:color="auto"/>
              <w:right w:val="single" w:sz="4" w:space="0" w:color="auto"/>
            </w:tcBorders>
            <w:noWrap/>
            <w:vAlign w:val="bottom"/>
            <w:hideMark/>
          </w:tcPr>
          <w:p w:rsidR="005C5508" w:rsidRPr="007B6745" w:rsidP="005C5508" w14:paraId="1D8B186B" w14:textId="77777777">
            <w:pPr>
              <w:pStyle w:val="RTableTextAbt"/>
            </w:pPr>
            <w:r w:rsidRPr="007B6745">
              <w:rPr>
                <w:b/>
              </w:rPr>
              <w:t> </w:t>
            </w:r>
          </w:p>
        </w:tc>
        <w:tc>
          <w:tcPr>
            <w:tcW w:w="979" w:type="pct"/>
            <w:tcBorders>
              <w:top w:val="single" w:sz="4" w:space="0" w:color="auto"/>
              <w:left w:val="nil"/>
              <w:bottom w:val="single" w:sz="4" w:space="0" w:color="auto"/>
              <w:right w:val="single" w:sz="4" w:space="0" w:color="auto"/>
            </w:tcBorders>
            <w:noWrap/>
            <w:vAlign w:val="center"/>
            <w:hideMark/>
          </w:tcPr>
          <w:p w:rsidR="005C5508" w:rsidRPr="00BD3D2B" w:rsidP="005C5508" w14:paraId="7C347611" w14:textId="6604EE60">
            <w:pPr>
              <w:pStyle w:val="RTableTextAbt"/>
              <w:rPr>
                <w:b/>
                <w:bCs w:val="0"/>
              </w:rPr>
            </w:pPr>
            <w:r w:rsidRPr="00BD3D2B">
              <w:rPr>
                <w:b/>
                <w:bCs w:val="0"/>
              </w:rPr>
              <w:t>$4,857,1</w:t>
            </w:r>
            <w:r w:rsidR="000769D8">
              <w:rPr>
                <w:b/>
                <w:bCs w:val="0"/>
              </w:rPr>
              <w:t>88</w:t>
            </w:r>
          </w:p>
        </w:tc>
      </w:tr>
      <w:tr w14:paraId="3850DDBD" w14:textId="77777777" w:rsidTr="007B6745">
        <w:tblPrEx>
          <w:tblW w:w="5000" w:type="pct"/>
          <w:tblLook w:val="04A0"/>
        </w:tblPrEx>
        <w:trPr>
          <w:trHeight w:val="30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B6745" w:rsidRPr="007B6745" w:rsidP="00B55011" w14:paraId="08A41F51" w14:textId="428E2CB6">
            <w:pPr>
              <w:pStyle w:val="TableNote0"/>
            </w:pPr>
            <w:r w:rsidRPr="007B6745">
              <w:t xml:space="preserve">a. See </w:t>
            </w:r>
            <w:r w:rsidRPr="007B6745">
              <w:fldChar w:fldCharType="begin" w:fldLock="1"/>
            </w:r>
            <w:r w:rsidRPr="007B6745">
              <w:instrText>REF _Ref175676776</w:instrText>
            </w:r>
            <w:r w:rsidR="00B55011">
              <w:instrText xml:space="preserve"> \* MERGEFORMAT </w:instrText>
            </w:r>
            <w:r w:rsidRPr="007B6745">
              <w:fldChar w:fldCharType="separate"/>
            </w:r>
            <w:r w:rsidRPr="007B6745" w:rsidR="00735BBC">
              <w:t xml:space="preserve">Table </w:t>
            </w:r>
            <w:r w:rsidR="00735BBC">
              <w:t>4</w:t>
            </w:r>
            <w:r w:rsidR="00735BBC">
              <w:noBreakHyphen/>
              <w:t>1</w:t>
            </w:r>
            <w:r w:rsidRPr="007B6745">
              <w:fldChar w:fldCharType="end"/>
            </w:r>
            <w:r w:rsidRPr="007B6745">
              <w:t>; based on managerial occupation in relevant industry</w:t>
            </w:r>
          </w:p>
          <w:p w:rsidR="007B6745" w:rsidRPr="007B6745" w:rsidP="00B55011" w14:paraId="1B521DE0" w14:textId="7AC5EB70">
            <w:pPr>
              <w:pStyle w:val="TableNote0"/>
            </w:pPr>
            <w:r w:rsidRPr="007B6745">
              <w:t>b. Number of facilities times one hour per facility times labor rate</w:t>
            </w:r>
            <w:r w:rsidR="00784081">
              <w:t>; rounded to the nearest dollar</w:t>
            </w:r>
          </w:p>
        </w:tc>
      </w:tr>
    </w:tbl>
    <w:p w:rsidR="007B6745" w:rsidRPr="007B6745" w:rsidP="00832749" w14:paraId="11575A74" w14:textId="77777777">
      <w:pPr>
        <w:pStyle w:val="BodyText"/>
      </w:pPr>
    </w:p>
    <w:p w:rsidR="007B6745" w:rsidRPr="007B6745" w:rsidP="00105ED0" w14:paraId="5F35CFDB" w14:textId="77777777">
      <w:pPr>
        <w:pStyle w:val="Heading2"/>
      </w:pPr>
      <w:bookmarkStart w:id="179" w:name="_Toc179234326"/>
      <w:bookmarkStart w:id="180" w:name="_Ref179298552"/>
      <w:bookmarkStart w:id="181" w:name="_Ref180404119"/>
      <w:bookmarkStart w:id="182" w:name="_Toc184299518"/>
      <w:r w:rsidRPr="007B6745">
        <w:t>Compliance Costs</w:t>
      </w:r>
      <w:bookmarkEnd w:id="179"/>
      <w:bookmarkEnd w:id="180"/>
      <w:bookmarkEnd w:id="181"/>
      <w:bookmarkEnd w:id="182"/>
    </w:p>
    <w:p w:rsidR="007B6745" w:rsidRPr="007B6745" w:rsidP="00832749" w14:paraId="2E73FBD9" w14:textId="7FD5ACC5">
      <w:pPr>
        <w:pStyle w:val="BodyText"/>
      </w:pPr>
      <w:r w:rsidRPr="4BA86F39">
        <w:rPr>
          <w:lang w:val="en-US"/>
        </w:rPr>
        <w:t xml:space="preserve">Under both the proposed and alternative regulatory options, facilities handling regulated PV29 would be subject to various requirements pertaining to PPE, labeling and downstream notification, cleaning, and recordkeeping. Because many of the COUs encounter PV29 only after it has been incorporated into other liquid or solid products where it is encapsulated and no longer a dry powder form, only a subset of facilities would be subject to these requirements. Specifically, </w:t>
      </w:r>
      <w:r w:rsidR="00486A58">
        <w:rPr>
          <w:lang w:val="en-US"/>
        </w:rPr>
        <w:t>EPA estimates that the</w:t>
      </w:r>
      <w:r w:rsidRPr="4BA86F39">
        <w:rPr>
          <w:lang w:val="en-US"/>
        </w:rPr>
        <w:t xml:space="preserve"> COUs that involve handling dry powder PV29 are: </w:t>
      </w:r>
    </w:p>
    <w:p w:rsidR="007B6745" w:rsidP="00832749" w14:paraId="32916DE7" w14:textId="08D9EFDD">
      <w:pPr>
        <w:pStyle w:val="BodyText"/>
        <w:numPr>
          <w:ilvl w:val="0"/>
          <w:numId w:val="31"/>
        </w:numPr>
      </w:pPr>
      <w:r w:rsidRPr="007B6745">
        <w:t xml:space="preserve">Domestic </w:t>
      </w:r>
      <w:r w:rsidR="00880597">
        <w:t>PV</w:t>
      </w:r>
      <w:r w:rsidR="00E45C91">
        <w:t xml:space="preserve">29 </w:t>
      </w:r>
      <w:r w:rsidRPr="007B6745">
        <w:t>manufacture;</w:t>
      </w:r>
    </w:p>
    <w:p w:rsidR="00880597" w:rsidRPr="007B6745" w:rsidP="00832749" w14:paraId="613BFB92" w14:textId="3AC698A4">
      <w:pPr>
        <w:pStyle w:val="BodyText"/>
        <w:numPr>
          <w:ilvl w:val="0"/>
          <w:numId w:val="31"/>
        </w:numPr>
      </w:pPr>
      <w:r>
        <w:t xml:space="preserve">PV29 </w:t>
      </w:r>
      <w:r w:rsidR="00B95989">
        <w:t>importing</w:t>
      </w:r>
      <w:r w:rsidR="002828B1">
        <w:t>;</w:t>
      </w:r>
    </w:p>
    <w:p w:rsidR="007B6745" w:rsidRPr="007B6745" w:rsidP="00832749" w14:paraId="103207FE" w14:textId="77777777">
      <w:pPr>
        <w:pStyle w:val="BodyText"/>
        <w:numPr>
          <w:ilvl w:val="0"/>
          <w:numId w:val="31"/>
        </w:numPr>
      </w:pPr>
      <w:r w:rsidRPr="007B6745">
        <w:t>Intermediate processing for other perylene pigments;</w:t>
      </w:r>
    </w:p>
    <w:p w:rsidR="007B6745" w:rsidRPr="007B6745" w:rsidP="00832749" w14:paraId="6A696347" w14:textId="77777777">
      <w:pPr>
        <w:pStyle w:val="BodyText"/>
        <w:numPr>
          <w:ilvl w:val="0"/>
          <w:numId w:val="31"/>
        </w:numPr>
      </w:pPr>
      <w:r w:rsidRPr="007B6745">
        <w:t>Processing into automotive paints and coatings; and</w:t>
      </w:r>
    </w:p>
    <w:p w:rsidR="007B6745" w:rsidRPr="007B6745" w:rsidP="00832749" w14:paraId="681289FC" w14:textId="77777777">
      <w:pPr>
        <w:pStyle w:val="BodyText"/>
        <w:numPr>
          <w:ilvl w:val="0"/>
          <w:numId w:val="31"/>
        </w:numPr>
      </w:pPr>
      <w:r w:rsidRPr="007B6745">
        <w:t>Processing into plastic and rubber products.</w:t>
      </w:r>
    </w:p>
    <w:p w:rsidR="007B6745" w:rsidRPr="007B6745" w:rsidP="00832749" w14:paraId="2A4477AB" w14:textId="0C074F41">
      <w:pPr>
        <w:pStyle w:val="BodyText"/>
      </w:pPr>
      <w:r w:rsidRPr="47F4D8F7">
        <w:rPr>
          <w:lang w:val="en-US"/>
        </w:rPr>
        <w:t xml:space="preserve">Since a single facility performs both the domestic manufacture and intermediate processing COUs, the rest of this analysis refers to a single “domestic manufacturing and intermediate processing” use category to encompass them. </w:t>
      </w:r>
      <w:r w:rsidRPr="007B6745">
        <w:fldChar w:fldCharType="begin" w:fldLock="1"/>
      </w:r>
      <w:r w:rsidRPr="007B6745">
        <w:instrText xml:space="preserve"> REF _Ref180054057 </w:instrText>
      </w:r>
      <w:r w:rsidR="00B55011">
        <w:instrText xml:space="preserve"> \* MERGEFORMAT </w:instrText>
      </w:r>
      <w:r w:rsidRPr="007B6745">
        <w:fldChar w:fldCharType="separate"/>
      </w:r>
      <w:r w:rsidRPr="00735BBC" w:rsidR="00735BBC">
        <w:rPr>
          <w:lang w:val="en-US"/>
        </w:rPr>
        <w:t>Table 4</w:t>
      </w:r>
      <w:r w:rsidRPr="00735BBC" w:rsidR="00735BBC">
        <w:rPr>
          <w:lang w:val="en-US"/>
        </w:rPr>
        <w:noBreakHyphen/>
        <w:t>3</w:t>
      </w:r>
      <w:r w:rsidRPr="007B6745">
        <w:fldChar w:fldCharType="end"/>
      </w:r>
      <w:r w:rsidRPr="47F4D8F7">
        <w:rPr>
          <w:lang w:val="en-US"/>
        </w:rPr>
        <w:t xml:space="preserve"> shows the number of affected facilities and workers for the </w:t>
      </w:r>
      <w:r w:rsidR="007C719E">
        <w:rPr>
          <w:lang w:val="en-US"/>
        </w:rPr>
        <w:t>four</w:t>
      </w:r>
      <w:r w:rsidRPr="47F4D8F7" w:rsidR="007C719E">
        <w:rPr>
          <w:lang w:val="en-US"/>
        </w:rPr>
        <w:t xml:space="preserve"> </w:t>
      </w:r>
      <w:r w:rsidRPr="47F4D8F7">
        <w:rPr>
          <w:lang w:val="en-US"/>
        </w:rPr>
        <w:t xml:space="preserve">resultant use categories that are expected to handle regulated PV29. As described in Section </w:t>
      </w:r>
      <w:r w:rsidR="00D35B7F">
        <w:rPr>
          <w:highlight w:val="yellow"/>
          <w:lang w:val="en-US"/>
        </w:rPr>
        <w:fldChar w:fldCharType="begin" w:fldLock="1"/>
      </w:r>
      <w:r w:rsidR="00D35B7F">
        <w:rPr>
          <w:lang w:val="en-US"/>
        </w:rPr>
        <w:instrText xml:space="preserve"> REF _Ref180498059 \r \h </w:instrText>
      </w:r>
      <w:r w:rsidR="00D35B7F">
        <w:rPr>
          <w:highlight w:val="yellow"/>
          <w:lang w:val="en-US"/>
        </w:rPr>
        <w:fldChar w:fldCharType="separate"/>
      </w:r>
      <w:r w:rsidR="00735BBC">
        <w:rPr>
          <w:lang w:val="en-US"/>
        </w:rPr>
        <w:t>3</w:t>
      </w:r>
      <w:r w:rsidR="00D35B7F">
        <w:rPr>
          <w:highlight w:val="yellow"/>
          <w:lang w:val="en-US"/>
        </w:rPr>
        <w:fldChar w:fldCharType="end"/>
      </w:r>
      <w:r w:rsidRPr="47F4D8F7">
        <w:rPr>
          <w:lang w:val="en-US"/>
        </w:rPr>
        <w:t xml:space="preserve">, both domestic manufacturing and intermediate processing for perylene pigments occur at a single facility in the United States, and the manufacturer sells powder PV29 to an additional 20 customers that process it into paints/coatings or plastic/rubber products </w:t>
      </w:r>
      <w:r w:rsidR="00881983">
        <w:rPr>
          <w:lang w:val="en-US"/>
        </w:rPr>
        <w:t>(</w:t>
      </w:r>
      <w:hyperlink w:anchor="_ENREF_60" w:tooltip="U.S. Environmental Protection Agency (EPA), 2020 #59" w:history="1">
        <w:r w:rsidR="003D6084">
          <w:fldChar w:fldCharType="begin" w:fldLock="1"/>
        </w:r>
        <w:r w:rsidR="003D6084">
          <w:instrText xml:space="preserve"> ADDIN EN.CITE &lt;EndNote&gt;&lt;Cite ExcludeAuth="1"&gt;&lt;Author&gt;U.S. Environmental Protection Agency (EPA)&lt;/Author&gt;&lt;Year&gt;2020&lt;/Year&gt;&lt;RecNum&gt;59&lt;/RecNum&gt;&lt;Prefix&gt;EPA &lt;/Prefix&gt;&lt;DisplayText&gt;EPA 2020b&lt;/DisplayText&gt;&lt;record&gt;&lt;rec-number&gt;59&lt;/rec-number&gt;&lt;foreign-keys&gt;&lt;key app="EN" db-id="2apzr05radv9fjet2w6xxwdlz5e9vwfxredw" timestamp="1730757315"&gt;59&lt;/key&gt;&lt;/foreign-keys&gt;&lt;ref-type name="Generic"&gt;13&lt;/ref-type&gt;&lt;contributors&gt;&lt;authors&gt;&lt;author&gt;U.S. Environmental Protection Agency (EPA),&lt;/author&gt;&lt;/authors&gt;&lt;/contributors&gt;&lt;titles&gt;&lt;title&gt;Chemical Risk Evaluation Meeting with Sun Chemical Corporation, Color Pigments Manufacturers Association and EPA to discuss the Downstream Processors of C.I. Pigment Violet 29 (PV29)&lt;/title&gt;&lt;/titles&gt;&lt;dates&gt;&lt;year&gt;2020&lt;/year&gt;&lt;/dates&gt;&lt;urls&gt;&lt;/urls&gt;&lt;/record&gt;&lt;/Cite&gt;&lt;/EndNote&gt;</w:instrText>
        </w:r>
        <w:r w:rsidR="003D6084">
          <w:fldChar w:fldCharType="separate"/>
        </w:r>
        <w:r w:rsidR="003D6084">
          <w:rPr>
            <w:noProof/>
          </w:rPr>
          <w:t>EPA 2020b</w:t>
        </w:r>
        <w:r w:rsidR="003D6084">
          <w:fldChar w:fldCharType="end"/>
        </w:r>
      </w:hyperlink>
      <w:r w:rsidR="00881983">
        <w:rPr>
          <w:lang w:val="en-US"/>
        </w:rPr>
        <w:t>)</w:t>
      </w:r>
      <w:r w:rsidRPr="47F4D8F7">
        <w:rPr>
          <w:lang w:val="en-US"/>
        </w:rPr>
        <w:t xml:space="preserve">. </w:t>
      </w:r>
      <w:r w:rsidR="007C719E">
        <w:rPr>
          <w:lang w:val="en-US"/>
        </w:rPr>
        <w:t xml:space="preserve">There is also one facility that imports PV29 and processes it into automotive paints and coatings. </w:t>
      </w:r>
      <w:r w:rsidRPr="47F4D8F7">
        <w:rPr>
          <w:lang w:val="en-US"/>
        </w:rPr>
        <w:t xml:space="preserve">As such, EPA expects that these requirements would apply to </w:t>
      </w:r>
      <w:r w:rsidRPr="47F4D8F7" w:rsidR="007C719E">
        <w:rPr>
          <w:lang w:val="en-US"/>
        </w:rPr>
        <w:t>2</w:t>
      </w:r>
      <w:r w:rsidR="007C719E">
        <w:rPr>
          <w:lang w:val="en-US"/>
        </w:rPr>
        <w:t xml:space="preserve">2 </w:t>
      </w:r>
      <w:r w:rsidRPr="47F4D8F7">
        <w:rPr>
          <w:lang w:val="en-US"/>
        </w:rPr>
        <w:t xml:space="preserve">total facilities. </w:t>
      </w:r>
    </w:p>
    <w:p w:rsidR="007B6745" w:rsidRPr="007B6745" w:rsidP="00832749" w14:paraId="1FAF9CE9" w14:textId="56AA1EB8">
      <w:pPr>
        <w:pStyle w:val="BodyText"/>
      </w:pPr>
    </w:p>
    <w:tbl>
      <w:tblPr>
        <w:tblStyle w:val="TableGrid"/>
        <w:tblW w:w="5000" w:type="pct"/>
        <w:tblLook w:val="04A0"/>
      </w:tblPr>
      <w:tblGrid>
        <w:gridCol w:w="4343"/>
        <w:gridCol w:w="1256"/>
        <w:gridCol w:w="1256"/>
        <w:gridCol w:w="1258"/>
        <w:gridCol w:w="1247"/>
      </w:tblGrid>
      <w:tr w14:paraId="0B951CA5" w14:textId="77777777" w:rsidTr="006762E6">
        <w:tblPrEx>
          <w:tblW w:w="5000" w:type="pct"/>
          <w:tblLook w:val="04A0"/>
        </w:tblPrEx>
        <w:trPr>
          <w:cantSplit/>
          <w:tblHeader/>
        </w:trPr>
        <w:tc>
          <w:tcPr>
            <w:tcW w:w="5000" w:type="pct"/>
            <w:gridSpan w:val="5"/>
            <w:tcBorders>
              <w:top w:val="nil"/>
              <w:left w:val="nil"/>
              <w:bottom w:val="single" w:sz="4" w:space="0" w:color="auto"/>
              <w:right w:val="nil"/>
            </w:tcBorders>
            <w:shd w:val="clear" w:color="auto" w:fill="auto"/>
            <w:vAlign w:val="center"/>
          </w:tcPr>
          <w:p w:rsidR="006762E6" w:rsidRPr="007B6745" w:rsidP="00026204" w14:paraId="4086B9DD" w14:textId="4534B286">
            <w:pPr>
              <w:pStyle w:val="TableTitleA"/>
            </w:pPr>
            <w:bookmarkStart w:id="183" w:name="_Ref180054057"/>
            <w:bookmarkStart w:id="184" w:name="_Toc184299559"/>
            <w:r w:rsidRPr="007B6745">
              <w:t xml:space="preserve">Table </w:t>
            </w:r>
            <w:r>
              <w:fldChar w:fldCharType="begin" w:fldLock="1"/>
            </w:r>
            <w:r>
              <w:instrText>STYLEREF 1 \s</w:instrText>
            </w:r>
            <w:r>
              <w:fldChar w:fldCharType="separate"/>
            </w:r>
            <w:r w:rsidR="00735BBC">
              <w:rPr>
                <w:noProof/>
              </w:rPr>
              <w:t>4</w:t>
            </w:r>
            <w:r>
              <w:fldChar w:fldCharType="end"/>
            </w:r>
            <w:r w:rsidR="000A1542">
              <w:noBreakHyphen/>
            </w:r>
            <w:r>
              <w:fldChar w:fldCharType="begin" w:fldLock="1"/>
            </w:r>
            <w:r>
              <w:instrText>SEQ Table \* ARABIC \s 1</w:instrText>
            </w:r>
            <w:r>
              <w:fldChar w:fldCharType="separate"/>
            </w:r>
            <w:r w:rsidR="00735BBC">
              <w:rPr>
                <w:noProof/>
              </w:rPr>
              <w:t>3</w:t>
            </w:r>
            <w:r>
              <w:fldChar w:fldCharType="end"/>
            </w:r>
            <w:bookmarkEnd w:id="183"/>
            <w:r w:rsidRPr="007B6745">
              <w:t>: Number of Affected Sites and Exposed Workers</w:t>
            </w:r>
            <w:bookmarkEnd w:id="184"/>
          </w:p>
        </w:tc>
      </w:tr>
      <w:tr w14:paraId="68E81FA6" w14:textId="77777777" w:rsidTr="006762E6">
        <w:tblPrEx>
          <w:tblW w:w="5000" w:type="pct"/>
          <w:tblLook w:val="04A0"/>
        </w:tblPrEx>
        <w:trPr>
          <w:cantSplit/>
          <w:tblHeader/>
        </w:trPr>
        <w:tc>
          <w:tcPr>
            <w:tcW w:w="2320"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2F235C8E" w14:textId="77777777">
            <w:pPr>
              <w:pStyle w:val="TableSubtitle"/>
            </w:pPr>
            <w:r w:rsidRPr="007B6745">
              <w:t>Use category</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7AA2791E" w14:textId="77777777">
            <w:pPr>
              <w:pStyle w:val="TableSubtitle"/>
              <w:rPr>
                <w:vertAlign w:val="superscript"/>
              </w:rPr>
            </w:pPr>
            <w:r w:rsidRPr="007B6745">
              <w:t xml:space="preserve">Affected facilities </w:t>
            </w:r>
            <w:r w:rsidRPr="007B6745">
              <w:rPr>
                <w:vertAlign w:val="superscript"/>
              </w:rPr>
              <w:t>a</w:t>
            </w:r>
          </w:p>
        </w:tc>
        <w:tc>
          <w:tcPr>
            <w:tcW w:w="1343"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460D6351" w14:textId="77777777">
            <w:pPr>
              <w:pStyle w:val="TableSubtitle"/>
              <w:rPr>
                <w:vertAlign w:val="superscript"/>
              </w:rPr>
            </w:pPr>
            <w:r w:rsidRPr="007B6745">
              <w:t xml:space="preserve">Workers per facility </w:t>
            </w:r>
            <w:r w:rsidRPr="007B6745">
              <w:rPr>
                <w:vertAlign w:val="superscript"/>
              </w:rPr>
              <w:t>b</w:t>
            </w:r>
          </w:p>
        </w:tc>
        <w:tc>
          <w:tcPr>
            <w:tcW w:w="665"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0AA7F82A" w14:textId="77777777">
            <w:pPr>
              <w:pStyle w:val="TableSubtitle"/>
              <w:rPr>
                <w:vertAlign w:val="superscript"/>
              </w:rPr>
            </w:pPr>
            <w:r w:rsidRPr="007B6745">
              <w:t xml:space="preserve">Total workers </w:t>
            </w:r>
            <w:r w:rsidRPr="007B6745">
              <w:rPr>
                <w:vertAlign w:val="superscript"/>
              </w:rPr>
              <w:t>c</w:t>
            </w:r>
          </w:p>
        </w:tc>
      </w:tr>
      <w:tr w14:paraId="418DBCE0" w14:textId="77777777" w:rsidTr="000D7F2B">
        <w:tblPrEx>
          <w:tblW w:w="5000" w:type="pct"/>
          <w:tblLook w:val="04A0"/>
        </w:tblPrEx>
        <w:trPr>
          <w:cantSplit/>
          <w:tblHeader/>
        </w:trPr>
        <w:tc>
          <w:tcPr>
            <w:tcW w:w="0" w:type="auto"/>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2C130C95" w14:textId="77777777">
            <w:pPr>
              <w:pStyle w:val="TableSubtitle"/>
            </w:pPr>
          </w:p>
        </w:tc>
        <w:tc>
          <w:tcPr>
            <w:tcW w:w="0" w:type="auto"/>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71D66B78" w14:textId="77777777">
            <w:pPr>
              <w:pStyle w:val="TableSubtitle"/>
              <w:rPr>
                <w:vertAlign w:val="superscript"/>
              </w:rPr>
            </w:pPr>
          </w:p>
        </w:tc>
        <w:tc>
          <w:tcPr>
            <w:tcW w:w="671"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49E5D567" w14:textId="77777777">
            <w:pPr>
              <w:pStyle w:val="TableSubtitle"/>
            </w:pPr>
            <w:r w:rsidRPr="007B6745">
              <w:t>Direct</w:t>
            </w:r>
          </w:p>
        </w:tc>
        <w:tc>
          <w:tcPr>
            <w:tcW w:w="672"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11389F2C" w14:textId="77777777">
            <w:pPr>
              <w:pStyle w:val="TableSubtitle"/>
              <w:rPr>
                <w:vertAlign w:val="superscript"/>
              </w:rPr>
            </w:pPr>
            <w:r w:rsidRPr="007B6745">
              <w:t>ONUs</w:t>
            </w:r>
          </w:p>
        </w:tc>
        <w:tc>
          <w:tcPr>
            <w:tcW w:w="0" w:type="auto"/>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832749" w14:paraId="443F0ACA" w14:textId="77777777">
            <w:pPr>
              <w:pStyle w:val="BodyText"/>
              <w:rPr>
                <w:vertAlign w:val="superscript"/>
              </w:rPr>
            </w:pPr>
          </w:p>
        </w:tc>
      </w:tr>
      <w:tr w14:paraId="2EDEFE0F" w14:textId="77777777" w:rsidTr="006762E6">
        <w:tblPrEx>
          <w:tblW w:w="5000" w:type="pct"/>
          <w:tblLook w:val="04A0"/>
        </w:tblPrEx>
        <w:trPr>
          <w:cantSplit/>
        </w:trPr>
        <w:tc>
          <w:tcPr>
            <w:tcW w:w="2320" w:type="pct"/>
            <w:tcBorders>
              <w:top w:val="single" w:sz="4" w:space="0" w:color="auto"/>
              <w:left w:val="single" w:sz="4" w:space="0" w:color="auto"/>
              <w:bottom w:val="single" w:sz="4" w:space="0" w:color="auto"/>
              <w:right w:val="single" w:sz="4" w:space="0" w:color="auto"/>
            </w:tcBorders>
            <w:hideMark/>
          </w:tcPr>
          <w:p w:rsidR="007B6745" w:rsidRPr="007B6745" w:rsidP="00983CD5" w14:paraId="7593C0E0" w14:textId="250DD2D2">
            <w:pPr>
              <w:pStyle w:val="LTableTextAbt"/>
            </w:pPr>
            <w:r>
              <w:t>PV29</w:t>
            </w:r>
            <w:r w:rsidRPr="007B6745">
              <w:t xml:space="preserve"> </w:t>
            </w:r>
            <w:r w:rsidRPr="007B6745">
              <w:t>manufacturing and intermediate processing</w:t>
            </w:r>
          </w:p>
        </w:tc>
        <w:tc>
          <w:tcPr>
            <w:tcW w:w="671"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405B59F8" w14:textId="77777777">
            <w:pPr>
              <w:pStyle w:val="RTableTextAbt"/>
            </w:pPr>
            <w:r w:rsidRPr="007B6745">
              <w:t>1</w:t>
            </w:r>
          </w:p>
        </w:tc>
        <w:tc>
          <w:tcPr>
            <w:tcW w:w="671"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0B975E08" w14:textId="77777777">
            <w:pPr>
              <w:pStyle w:val="RTableTextAbt"/>
            </w:pPr>
            <w:r w:rsidRPr="007B6745">
              <w:t xml:space="preserve"> 2 to 22</w:t>
            </w:r>
          </w:p>
        </w:tc>
        <w:tc>
          <w:tcPr>
            <w:tcW w:w="672"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48FF11B4" w14:textId="77777777">
            <w:pPr>
              <w:pStyle w:val="RTableTextAbt"/>
            </w:pPr>
            <w:r w:rsidRPr="007B6745">
              <w:t>56</w:t>
            </w:r>
          </w:p>
        </w:tc>
        <w:tc>
          <w:tcPr>
            <w:tcW w:w="665"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7C56F417" w14:textId="77777777">
            <w:pPr>
              <w:pStyle w:val="RTableTextAbt"/>
            </w:pPr>
            <w:r w:rsidRPr="007B6745">
              <w:t>58 to 78</w:t>
            </w:r>
          </w:p>
        </w:tc>
      </w:tr>
      <w:tr w14:paraId="281E5550" w14:textId="77777777" w:rsidTr="006762E6">
        <w:tblPrEx>
          <w:tblW w:w="5000" w:type="pct"/>
          <w:tblLook w:val="04A0"/>
        </w:tblPrEx>
        <w:trPr>
          <w:cantSplit/>
        </w:trPr>
        <w:tc>
          <w:tcPr>
            <w:tcW w:w="2320" w:type="pct"/>
            <w:tcBorders>
              <w:top w:val="single" w:sz="4" w:space="0" w:color="auto"/>
              <w:left w:val="single" w:sz="4" w:space="0" w:color="auto"/>
              <w:bottom w:val="single" w:sz="4" w:space="0" w:color="auto"/>
              <w:right w:val="single" w:sz="4" w:space="0" w:color="auto"/>
            </w:tcBorders>
          </w:tcPr>
          <w:p w:rsidR="007C719E" w:rsidRPr="007B6745" w:rsidP="00983CD5" w14:paraId="6DFB6340" w14:textId="6FBC7D8B">
            <w:pPr>
              <w:pStyle w:val="LTableTextAbt"/>
            </w:pPr>
            <w:r>
              <w:t>PV</w:t>
            </w:r>
            <w:r w:rsidR="00AD5E53">
              <w:t>2</w:t>
            </w:r>
            <w:r>
              <w:t>9 importing</w:t>
            </w:r>
          </w:p>
        </w:tc>
        <w:tc>
          <w:tcPr>
            <w:tcW w:w="671" w:type="pct"/>
            <w:tcBorders>
              <w:top w:val="single" w:sz="4" w:space="0" w:color="auto"/>
              <w:left w:val="single" w:sz="4" w:space="0" w:color="auto"/>
              <w:bottom w:val="single" w:sz="4" w:space="0" w:color="auto"/>
              <w:right w:val="single" w:sz="4" w:space="0" w:color="auto"/>
            </w:tcBorders>
            <w:vAlign w:val="center"/>
          </w:tcPr>
          <w:p w:rsidR="007C719E" w:rsidRPr="007B6745" w:rsidP="00983CD5" w14:paraId="601B7606" w14:textId="08BB3046">
            <w:pPr>
              <w:pStyle w:val="RTableTextAbt"/>
            </w:pPr>
            <w:r>
              <w:t>1</w:t>
            </w:r>
          </w:p>
        </w:tc>
        <w:tc>
          <w:tcPr>
            <w:tcW w:w="671" w:type="pct"/>
            <w:tcBorders>
              <w:top w:val="single" w:sz="4" w:space="0" w:color="auto"/>
              <w:left w:val="single" w:sz="4" w:space="0" w:color="auto"/>
              <w:bottom w:val="single" w:sz="4" w:space="0" w:color="auto"/>
              <w:right w:val="single" w:sz="4" w:space="0" w:color="auto"/>
            </w:tcBorders>
            <w:vAlign w:val="center"/>
          </w:tcPr>
          <w:p w:rsidR="007C719E" w:rsidRPr="007B6745" w:rsidP="00983CD5" w14:paraId="188BB40D" w14:textId="5291B36C">
            <w:pPr>
              <w:pStyle w:val="RTableTextAbt"/>
            </w:pPr>
            <w:r>
              <w:t>14</w:t>
            </w:r>
          </w:p>
        </w:tc>
        <w:tc>
          <w:tcPr>
            <w:tcW w:w="672" w:type="pct"/>
            <w:tcBorders>
              <w:top w:val="single" w:sz="4" w:space="0" w:color="auto"/>
              <w:left w:val="single" w:sz="4" w:space="0" w:color="auto"/>
              <w:bottom w:val="single" w:sz="4" w:space="0" w:color="auto"/>
              <w:right w:val="single" w:sz="4" w:space="0" w:color="auto"/>
            </w:tcBorders>
            <w:vAlign w:val="center"/>
          </w:tcPr>
          <w:p w:rsidR="007C719E" w:rsidRPr="007B6745" w:rsidP="00983CD5" w14:paraId="42871177" w14:textId="00BD1C81">
            <w:pPr>
              <w:pStyle w:val="RTableTextAbt"/>
            </w:pPr>
            <w:r>
              <w:t>5</w:t>
            </w:r>
          </w:p>
        </w:tc>
        <w:tc>
          <w:tcPr>
            <w:tcW w:w="665" w:type="pct"/>
            <w:tcBorders>
              <w:top w:val="single" w:sz="4" w:space="0" w:color="auto"/>
              <w:left w:val="single" w:sz="4" w:space="0" w:color="auto"/>
              <w:bottom w:val="single" w:sz="4" w:space="0" w:color="auto"/>
              <w:right w:val="single" w:sz="4" w:space="0" w:color="auto"/>
            </w:tcBorders>
            <w:vAlign w:val="center"/>
          </w:tcPr>
          <w:p w:rsidR="007C719E" w:rsidRPr="007B6745" w:rsidP="00983CD5" w14:paraId="52B5EBA7" w14:textId="765A8E58">
            <w:pPr>
              <w:pStyle w:val="RTableTextAbt"/>
            </w:pPr>
            <w:r>
              <w:t>19</w:t>
            </w:r>
          </w:p>
        </w:tc>
      </w:tr>
      <w:tr w14:paraId="76B9F9B3" w14:textId="77777777" w:rsidTr="006762E6">
        <w:tblPrEx>
          <w:tblW w:w="5000" w:type="pct"/>
          <w:tblLook w:val="04A0"/>
        </w:tblPrEx>
        <w:trPr>
          <w:cantSplit/>
        </w:trPr>
        <w:tc>
          <w:tcPr>
            <w:tcW w:w="2320" w:type="pct"/>
            <w:tcBorders>
              <w:top w:val="single" w:sz="4" w:space="0" w:color="auto"/>
              <w:left w:val="single" w:sz="4" w:space="0" w:color="auto"/>
              <w:bottom w:val="single" w:sz="4" w:space="0" w:color="auto"/>
              <w:right w:val="single" w:sz="4" w:space="0" w:color="auto"/>
            </w:tcBorders>
            <w:hideMark/>
          </w:tcPr>
          <w:p w:rsidR="007B6745" w:rsidRPr="007B6745" w:rsidP="00983CD5" w14:paraId="3BC547E9" w14:textId="77777777">
            <w:pPr>
              <w:pStyle w:val="LTableTextAbt"/>
            </w:pPr>
            <w:r w:rsidRPr="007B6745">
              <w:t>Processing into automotive paints &amp; coatings</w:t>
            </w:r>
          </w:p>
        </w:tc>
        <w:tc>
          <w:tcPr>
            <w:tcW w:w="671"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1A6493E8" w14:textId="77777777">
            <w:pPr>
              <w:pStyle w:val="RTableTextAbt"/>
            </w:pPr>
            <w:r w:rsidRPr="007B6745">
              <w:t>14</w:t>
            </w:r>
          </w:p>
        </w:tc>
        <w:tc>
          <w:tcPr>
            <w:tcW w:w="671"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1F8AF217" w14:textId="77777777">
            <w:pPr>
              <w:pStyle w:val="RTableTextAbt"/>
            </w:pPr>
            <w:r w:rsidRPr="007B6745">
              <w:t>14</w:t>
            </w:r>
          </w:p>
        </w:tc>
        <w:tc>
          <w:tcPr>
            <w:tcW w:w="672"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307628C9" w14:textId="77777777">
            <w:pPr>
              <w:pStyle w:val="RTableTextAbt"/>
            </w:pPr>
            <w:r w:rsidRPr="007B6745">
              <w:t>5</w:t>
            </w:r>
          </w:p>
        </w:tc>
        <w:tc>
          <w:tcPr>
            <w:tcW w:w="665"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400764FC" w14:textId="77777777">
            <w:pPr>
              <w:pStyle w:val="RTableTextAbt"/>
            </w:pPr>
            <w:r w:rsidRPr="007B6745">
              <w:t>266</w:t>
            </w:r>
          </w:p>
        </w:tc>
      </w:tr>
      <w:tr w14:paraId="092E134D" w14:textId="77777777" w:rsidTr="006762E6">
        <w:tblPrEx>
          <w:tblW w:w="5000" w:type="pct"/>
          <w:tblLook w:val="04A0"/>
        </w:tblPrEx>
        <w:trPr>
          <w:cantSplit/>
        </w:trPr>
        <w:tc>
          <w:tcPr>
            <w:tcW w:w="2320" w:type="pct"/>
            <w:tcBorders>
              <w:top w:val="single" w:sz="4" w:space="0" w:color="auto"/>
              <w:left w:val="single" w:sz="4" w:space="0" w:color="auto"/>
              <w:bottom w:val="single" w:sz="4" w:space="0" w:color="auto"/>
              <w:right w:val="single" w:sz="4" w:space="0" w:color="auto"/>
            </w:tcBorders>
            <w:hideMark/>
          </w:tcPr>
          <w:p w:rsidR="007B6745" w:rsidRPr="007B6745" w:rsidP="00983CD5" w14:paraId="57AD4648" w14:textId="77777777">
            <w:pPr>
              <w:pStyle w:val="LTableTextAbt"/>
            </w:pPr>
            <w:r w:rsidRPr="007B6745">
              <w:t>Processing into plastics &amp; rubber products</w:t>
            </w:r>
          </w:p>
        </w:tc>
        <w:tc>
          <w:tcPr>
            <w:tcW w:w="671"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2D6E148B" w14:textId="77777777">
            <w:pPr>
              <w:pStyle w:val="RTableTextAbt"/>
            </w:pPr>
            <w:r w:rsidRPr="007B6745">
              <w:t>6</w:t>
            </w:r>
          </w:p>
        </w:tc>
        <w:tc>
          <w:tcPr>
            <w:tcW w:w="671"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7316F0E9" w14:textId="77777777">
            <w:pPr>
              <w:pStyle w:val="RTableTextAbt"/>
            </w:pPr>
            <w:r w:rsidRPr="007B6745">
              <w:t>27</w:t>
            </w:r>
          </w:p>
        </w:tc>
        <w:tc>
          <w:tcPr>
            <w:tcW w:w="672"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5225015F" w14:textId="77777777">
            <w:pPr>
              <w:pStyle w:val="RTableTextAbt"/>
            </w:pPr>
            <w:r w:rsidRPr="007B6745">
              <w:t>12</w:t>
            </w:r>
          </w:p>
        </w:tc>
        <w:tc>
          <w:tcPr>
            <w:tcW w:w="665"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70B2748C" w14:textId="77777777">
            <w:pPr>
              <w:pStyle w:val="RTableTextAbt"/>
            </w:pPr>
            <w:r w:rsidRPr="007B6745">
              <w:t>234</w:t>
            </w:r>
          </w:p>
        </w:tc>
      </w:tr>
      <w:tr w14:paraId="713A2842" w14:textId="77777777" w:rsidTr="006762E6">
        <w:tblPrEx>
          <w:tblW w:w="5000" w:type="pct"/>
          <w:tblLook w:val="04A0"/>
        </w:tblPrEx>
        <w:trPr>
          <w:cantSplit/>
        </w:trPr>
        <w:tc>
          <w:tcPr>
            <w:tcW w:w="2320" w:type="pct"/>
            <w:tcBorders>
              <w:top w:val="single" w:sz="4" w:space="0" w:color="auto"/>
              <w:left w:val="single" w:sz="4" w:space="0" w:color="auto"/>
              <w:bottom w:val="single" w:sz="4" w:space="0" w:color="auto"/>
              <w:right w:val="single" w:sz="4" w:space="0" w:color="auto"/>
            </w:tcBorders>
            <w:hideMark/>
          </w:tcPr>
          <w:p w:rsidR="007B6745" w:rsidRPr="007B6745" w:rsidP="00983CD5" w14:paraId="47A72EF0" w14:textId="77777777">
            <w:pPr>
              <w:pStyle w:val="LTableTextAbt"/>
              <w:rPr>
                <w:b/>
              </w:rPr>
            </w:pPr>
            <w:r w:rsidRPr="007B6745">
              <w:rPr>
                <w:b/>
              </w:rPr>
              <w:t>Total</w:t>
            </w:r>
          </w:p>
        </w:tc>
        <w:tc>
          <w:tcPr>
            <w:tcW w:w="671"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73C08F57" w14:textId="193542C7">
            <w:pPr>
              <w:pStyle w:val="RTableTextAbt"/>
              <w:rPr>
                <w:b/>
              </w:rPr>
            </w:pPr>
            <w:r w:rsidRPr="007B6745">
              <w:rPr>
                <w:b/>
              </w:rPr>
              <w:t>2</w:t>
            </w:r>
            <w:r w:rsidR="007C719E">
              <w:rPr>
                <w:b/>
              </w:rPr>
              <w:t>2</w:t>
            </w:r>
          </w:p>
        </w:tc>
        <w:tc>
          <w:tcPr>
            <w:tcW w:w="671" w:type="pct"/>
            <w:tcBorders>
              <w:top w:val="single" w:sz="4" w:space="0" w:color="auto"/>
              <w:left w:val="single" w:sz="4" w:space="0" w:color="auto"/>
              <w:bottom w:val="single" w:sz="4" w:space="0" w:color="auto"/>
              <w:right w:val="single" w:sz="4" w:space="0" w:color="auto"/>
            </w:tcBorders>
            <w:vAlign w:val="center"/>
          </w:tcPr>
          <w:p w:rsidR="007B6745" w:rsidRPr="007B6745" w:rsidP="00983CD5" w14:paraId="3D47FADC" w14:textId="77777777">
            <w:pPr>
              <w:pStyle w:val="RTableTextAbt"/>
              <w:rPr>
                <w:b/>
              </w:rPr>
            </w:pPr>
          </w:p>
        </w:tc>
        <w:tc>
          <w:tcPr>
            <w:tcW w:w="672" w:type="pct"/>
            <w:tcBorders>
              <w:top w:val="single" w:sz="4" w:space="0" w:color="auto"/>
              <w:left w:val="single" w:sz="4" w:space="0" w:color="auto"/>
              <w:bottom w:val="single" w:sz="4" w:space="0" w:color="auto"/>
              <w:right w:val="single" w:sz="4" w:space="0" w:color="auto"/>
            </w:tcBorders>
            <w:vAlign w:val="center"/>
          </w:tcPr>
          <w:p w:rsidR="007B6745" w:rsidRPr="007B6745" w:rsidP="00983CD5" w14:paraId="0D6FA650" w14:textId="77777777">
            <w:pPr>
              <w:pStyle w:val="RTableTextAbt"/>
              <w:rPr>
                <w:b/>
              </w:rPr>
            </w:pPr>
          </w:p>
        </w:tc>
        <w:tc>
          <w:tcPr>
            <w:tcW w:w="665"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0F4BFD1E" w14:textId="79975430">
            <w:pPr>
              <w:pStyle w:val="RTableTextAbt"/>
              <w:rPr>
                <w:b/>
              </w:rPr>
            </w:pPr>
            <w:r>
              <w:rPr>
                <w:b/>
              </w:rPr>
              <w:t>577</w:t>
            </w:r>
            <w:r w:rsidRPr="007B6745">
              <w:rPr>
                <w:b/>
              </w:rPr>
              <w:t xml:space="preserve"> </w:t>
            </w:r>
            <w:r w:rsidRPr="007B6745">
              <w:rPr>
                <w:b/>
              </w:rPr>
              <w:t xml:space="preserve">to </w:t>
            </w:r>
            <w:r>
              <w:rPr>
                <w:b/>
              </w:rPr>
              <w:t>597</w:t>
            </w:r>
          </w:p>
        </w:tc>
      </w:tr>
      <w:tr w14:paraId="391E6718" w14:textId="77777777" w:rsidTr="007B6745">
        <w:tblPrEx>
          <w:tblW w:w="5000" w:type="pct"/>
          <w:tblLook w:val="04A0"/>
        </w:tblPrEx>
        <w:trPr>
          <w:cantSplit/>
        </w:trPr>
        <w:tc>
          <w:tcPr>
            <w:tcW w:w="5000" w:type="pct"/>
            <w:gridSpan w:val="5"/>
            <w:tcBorders>
              <w:top w:val="single" w:sz="4" w:space="0" w:color="auto"/>
              <w:left w:val="single" w:sz="4" w:space="0" w:color="auto"/>
              <w:bottom w:val="single" w:sz="4" w:space="0" w:color="auto"/>
              <w:right w:val="single" w:sz="4" w:space="0" w:color="auto"/>
            </w:tcBorders>
            <w:hideMark/>
          </w:tcPr>
          <w:p w:rsidR="007B6745" w:rsidRPr="007B6745" w:rsidP="00983CD5" w14:paraId="5F276D4D" w14:textId="77777777">
            <w:pPr>
              <w:pStyle w:val="TableNote0"/>
            </w:pPr>
            <w:r w:rsidRPr="007B6745">
              <w:t>ONU = occupational non-users</w:t>
            </w:r>
          </w:p>
          <w:p w:rsidR="007B6745" w:rsidRPr="007B6745" w:rsidP="00983CD5" w14:paraId="06991099" w14:textId="5192C75E">
            <w:pPr>
              <w:pStyle w:val="TableNote0"/>
            </w:pPr>
            <w:r w:rsidRPr="007B6745">
              <w:t>Source: see</w:t>
            </w:r>
            <w:r w:rsidR="0003249D">
              <w:t xml:space="preserve"> </w:t>
            </w:r>
            <w:r w:rsidR="00332438">
              <w:fldChar w:fldCharType="begin" w:fldLock="1"/>
            </w:r>
            <w:r w:rsidR="00332438">
              <w:instrText xml:space="preserve"> REF _Ref166692540 \h </w:instrText>
            </w:r>
            <w:r w:rsidR="00332438">
              <w:fldChar w:fldCharType="separate"/>
            </w:r>
            <w:r w:rsidRPr="00A95A85" w:rsidR="00735BBC">
              <w:t xml:space="preserve">Table </w:t>
            </w:r>
            <w:r w:rsidR="00735BBC">
              <w:rPr>
                <w:noProof/>
              </w:rPr>
              <w:t>3</w:t>
            </w:r>
            <w:r w:rsidR="00735BBC">
              <w:noBreakHyphen/>
            </w:r>
            <w:r w:rsidR="00735BBC">
              <w:rPr>
                <w:noProof/>
              </w:rPr>
              <w:t>6</w:t>
            </w:r>
            <w:r w:rsidR="00332438">
              <w:fldChar w:fldCharType="end"/>
            </w:r>
          </w:p>
        </w:tc>
      </w:tr>
    </w:tbl>
    <w:p w:rsidR="007B6745" w:rsidRPr="007B6745" w:rsidP="00832749" w14:paraId="5E65CF52" w14:textId="77777777">
      <w:pPr>
        <w:pStyle w:val="BodyText"/>
      </w:pPr>
    </w:p>
    <w:p w:rsidR="007B6745" w:rsidRPr="007B6745" w:rsidP="00832749" w14:paraId="02CF6132" w14:textId="2CE3C047">
      <w:pPr>
        <w:pStyle w:val="BodyText"/>
      </w:pPr>
      <w:r>
        <w:fldChar w:fldCharType="begin" w:fldLock="1"/>
      </w:r>
      <w:r>
        <w:instrText>REF _Ref180405033  \* MERGEFORMAT</w:instrText>
      </w:r>
      <w:r>
        <w:fldChar w:fldCharType="separate"/>
      </w:r>
      <w:r w:rsidRPr="007B6745" w:rsidR="00735BBC">
        <w:t xml:space="preserve">Table </w:t>
      </w:r>
      <w:r w:rsidR="00735BBC">
        <w:t>4</w:t>
      </w:r>
      <w:r w:rsidR="00735BBC">
        <w:noBreakHyphen/>
        <w:t>4</w:t>
      </w:r>
      <w:r w:rsidR="00735BBC">
        <w:fldChar w:fldCharType="end"/>
      </w:r>
      <w:r w:rsidRPr="007B6745">
        <w:t xml:space="preserve"> summarizes the </w:t>
      </w:r>
      <w:r w:rsidR="007C719E">
        <w:t xml:space="preserve">types of </w:t>
      </w:r>
      <w:r w:rsidRPr="007B6745">
        <w:t xml:space="preserve">costs that may be incurred under the proposed and alternative options, providing cross-references to the applicable section of the cost analysis. </w:t>
      </w:r>
    </w:p>
    <w:tbl>
      <w:tblPr>
        <w:tblStyle w:val="TableGrid"/>
        <w:tblW w:w="5000" w:type="pct"/>
        <w:tblLook w:val="04A0"/>
      </w:tblPr>
      <w:tblGrid>
        <w:gridCol w:w="2081"/>
        <w:gridCol w:w="2767"/>
        <w:gridCol w:w="874"/>
        <w:gridCol w:w="2724"/>
        <w:gridCol w:w="914"/>
      </w:tblGrid>
      <w:tr w14:paraId="7848AB65" w14:textId="77777777" w:rsidTr="00CC2A6F">
        <w:tblPrEx>
          <w:tblW w:w="5000" w:type="pct"/>
          <w:tblLook w:val="04A0"/>
        </w:tblPrEx>
        <w:trPr>
          <w:tblHeader/>
        </w:trPr>
        <w:tc>
          <w:tcPr>
            <w:tcW w:w="5000" w:type="pct"/>
            <w:gridSpan w:val="5"/>
            <w:tcBorders>
              <w:top w:val="nil"/>
              <w:left w:val="nil"/>
              <w:bottom w:val="single" w:sz="4" w:space="0" w:color="auto"/>
              <w:right w:val="nil"/>
            </w:tcBorders>
            <w:shd w:val="clear" w:color="auto" w:fill="auto"/>
            <w:vAlign w:val="center"/>
          </w:tcPr>
          <w:p w:rsidR="00CC2A6F" w:rsidRPr="00CC2A6F" w:rsidP="00026204" w14:paraId="6CD31139" w14:textId="68687394">
            <w:pPr>
              <w:pStyle w:val="TableTitleA"/>
            </w:pPr>
            <w:bookmarkStart w:id="185" w:name="_Ref180405033"/>
            <w:bookmarkStart w:id="186" w:name="_Toc184299560"/>
            <w:r w:rsidRPr="007B6745">
              <w:t xml:space="preserve">Table </w:t>
            </w:r>
            <w:r>
              <w:fldChar w:fldCharType="begin" w:fldLock="1"/>
            </w:r>
            <w:r>
              <w:instrText>STYLEREF 1 \s</w:instrText>
            </w:r>
            <w:r>
              <w:fldChar w:fldCharType="separate"/>
            </w:r>
            <w:r w:rsidR="00735BBC">
              <w:rPr>
                <w:noProof/>
              </w:rPr>
              <w:t>4</w:t>
            </w:r>
            <w:r>
              <w:fldChar w:fldCharType="end"/>
            </w:r>
            <w:r w:rsidR="000A1542">
              <w:noBreakHyphen/>
            </w:r>
            <w:r>
              <w:fldChar w:fldCharType="begin" w:fldLock="1"/>
            </w:r>
            <w:r>
              <w:instrText>SEQ Table \* ARABIC \s 1</w:instrText>
            </w:r>
            <w:r>
              <w:fldChar w:fldCharType="separate"/>
            </w:r>
            <w:r w:rsidR="00735BBC">
              <w:rPr>
                <w:noProof/>
              </w:rPr>
              <w:t>4</w:t>
            </w:r>
            <w:r>
              <w:fldChar w:fldCharType="end"/>
            </w:r>
            <w:bookmarkEnd w:id="185"/>
            <w:r w:rsidRPr="007B6745">
              <w:t>: Summary of Control Measures Required for Regulated PV29 under Regulatory Options</w:t>
            </w:r>
            <w:bookmarkEnd w:id="186"/>
          </w:p>
        </w:tc>
      </w:tr>
      <w:tr w14:paraId="1C1F3A4D" w14:textId="77777777" w:rsidTr="00CC2A6F">
        <w:tblPrEx>
          <w:tblW w:w="5000" w:type="pct"/>
          <w:tblLook w:val="04A0"/>
        </w:tblPrEx>
        <w:trPr>
          <w:tblHeader/>
        </w:trPr>
        <w:tc>
          <w:tcPr>
            <w:tcW w:w="1112"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217BC0DF" w14:textId="77777777">
            <w:pPr>
              <w:pStyle w:val="TableSubtitle"/>
            </w:pPr>
            <w:r w:rsidRPr="007B6745">
              <w:t>Control Category</w:t>
            </w:r>
          </w:p>
        </w:tc>
        <w:tc>
          <w:tcPr>
            <w:tcW w:w="1945"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23A2F857" w14:textId="77777777">
            <w:pPr>
              <w:pStyle w:val="TableSubtitle"/>
            </w:pPr>
            <w:r w:rsidRPr="007B6745">
              <w:t>Proposed Option</w:t>
            </w:r>
          </w:p>
        </w:tc>
        <w:tc>
          <w:tcPr>
            <w:tcW w:w="1943"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3E1DE677" w14:textId="77777777">
            <w:pPr>
              <w:pStyle w:val="TableSubtitle"/>
            </w:pPr>
            <w:r w:rsidRPr="007B6745">
              <w:t>Alternative Option</w:t>
            </w:r>
          </w:p>
        </w:tc>
      </w:tr>
      <w:tr w14:paraId="0322230E" w14:textId="77777777" w:rsidTr="00CC2A6F">
        <w:tblPrEx>
          <w:tblW w:w="5000" w:type="pct"/>
          <w:tblLook w:val="04A0"/>
        </w:tblPrEx>
        <w:trPr>
          <w:tblHeader/>
        </w:trPr>
        <w:tc>
          <w:tcPr>
            <w:tcW w:w="0" w:type="auto"/>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750C51FE" w14:textId="77777777">
            <w:pPr>
              <w:pStyle w:val="TableSubtitle"/>
            </w:pPr>
          </w:p>
        </w:tc>
        <w:tc>
          <w:tcPr>
            <w:tcW w:w="1478"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74B27C0D" w14:textId="77777777">
            <w:pPr>
              <w:pStyle w:val="TableSubtitle"/>
            </w:pPr>
            <w:r w:rsidRPr="007B6745">
              <w:t>Requirement</w:t>
            </w:r>
          </w:p>
        </w:tc>
        <w:tc>
          <w:tcPr>
            <w:tcW w:w="467"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7E4DE572" w14:textId="77777777">
            <w:pPr>
              <w:pStyle w:val="TableSubtitle"/>
            </w:pPr>
            <w:r w:rsidRPr="007B6745">
              <w:t>Section</w:t>
            </w:r>
          </w:p>
        </w:tc>
        <w:tc>
          <w:tcPr>
            <w:tcW w:w="1455"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0D6847D2" w14:textId="77777777">
            <w:pPr>
              <w:pStyle w:val="TableSubtitle"/>
            </w:pPr>
            <w:r w:rsidRPr="007B6745">
              <w:t>Requirement</w:t>
            </w:r>
          </w:p>
        </w:tc>
        <w:tc>
          <w:tcPr>
            <w:tcW w:w="488"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7497EB13" w14:textId="77777777">
            <w:pPr>
              <w:pStyle w:val="TableSubtitle"/>
            </w:pPr>
            <w:r w:rsidRPr="007B6745">
              <w:t>Section</w:t>
            </w:r>
          </w:p>
        </w:tc>
      </w:tr>
      <w:tr w14:paraId="5D513B8A" w14:textId="77777777" w:rsidTr="00CC2A6F">
        <w:tblPrEx>
          <w:tblW w:w="5000" w:type="pct"/>
          <w:tblLook w:val="04A0"/>
        </w:tblPrEx>
        <w:tc>
          <w:tcPr>
            <w:tcW w:w="1112"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4FA779F8" w14:textId="77777777">
            <w:pPr>
              <w:pStyle w:val="LTableTextAbt"/>
            </w:pPr>
            <w:r w:rsidRPr="007B6745">
              <w:t>Personal protective equipment (PPE)</w:t>
            </w:r>
          </w:p>
        </w:tc>
        <w:tc>
          <w:tcPr>
            <w:tcW w:w="1478"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66FF0D8A" w14:textId="77777777">
            <w:pPr>
              <w:pStyle w:val="LTableTextAbt"/>
            </w:pPr>
            <w:r w:rsidRPr="007B6745">
              <w:t>APF 50 respirators in rooms where dry powder PV29 is in use</w:t>
            </w:r>
          </w:p>
        </w:tc>
        <w:tc>
          <w:tcPr>
            <w:tcW w:w="467"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61B74DEF" w14:textId="0F328B0A">
            <w:pPr>
              <w:pStyle w:val="RTableTextAbt"/>
            </w:pPr>
            <w:r>
              <w:fldChar w:fldCharType="begin" w:fldLock="1"/>
            </w:r>
            <w:r>
              <w:instrText xml:space="preserve"> REF _Ref177575723 \r \h </w:instrText>
            </w:r>
            <w:r>
              <w:fldChar w:fldCharType="separate"/>
            </w:r>
            <w:r w:rsidR="00735BBC">
              <w:t>4.3.1</w:t>
            </w:r>
            <w:r>
              <w:fldChar w:fldCharType="end"/>
            </w:r>
          </w:p>
        </w:tc>
        <w:tc>
          <w:tcPr>
            <w:tcW w:w="1455"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5035ABC1" w14:textId="77777777">
            <w:pPr>
              <w:pStyle w:val="LTableTextAbt"/>
            </w:pPr>
            <w:r w:rsidRPr="007B6745">
              <w:t xml:space="preserve">APF 10 respirators in rooms where dry powder PV29 is in use </w:t>
            </w:r>
          </w:p>
        </w:tc>
        <w:tc>
          <w:tcPr>
            <w:tcW w:w="488"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360AF477" w14:textId="01CE6EAE">
            <w:pPr>
              <w:pStyle w:val="RTableTextAbt"/>
            </w:pPr>
            <w:r>
              <w:fldChar w:fldCharType="begin" w:fldLock="1"/>
            </w:r>
            <w:r>
              <w:instrText xml:space="preserve"> REF _Ref177575723 \r \h </w:instrText>
            </w:r>
            <w:r>
              <w:fldChar w:fldCharType="separate"/>
            </w:r>
            <w:r w:rsidR="00735BBC">
              <w:t>4.3.1</w:t>
            </w:r>
            <w:r>
              <w:fldChar w:fldCharType="end"/>
            </w:r>
          </w:p>
        </w:tc>
      </w:tr>
      <w:tr w14:paraId="652BF460" w14:textId="77777777" w:rsidTr="00CC2A6F">
        <w:tblPrEx>
          <w:tblW w:w="5000" w:type="pct"/>
          <w:tblLook w:val="04A0"/>
        </w:tblPrEx>
        <w:tc>
          <w:tcPr>
            <w:tcW w:w="1112"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106613D3" w14:textId="77777777">
            <w:pPr>
              <w:pStyle w:val="LTableTextAbt"/>
            </w:pPr>
            <w:r w:rsidRPr="007B6745">
              <w:t>Labeling and downstream notification</w:t>
            </w:r>
          </w:p>
        </w:tc>
        <w:tc>
          <w:tcPr>
            <w:tcW w:w="1478"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37132E57" w14:textId="77777777">
            <w:pPr>
              <w:pStyle w:val="LTableTextAbt"/>
            </w:pPr>
            <w:r w:rsidRPr="007B6745">
              <w:t>Required</w:t>
            </w:r>
          </w:p>
        </w:tc>
        <w:tc>
          <w:tcPr>
            <w:tcW w:w="467"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75E58B48" w14:textId="38D8E465">
            <w:pPr>
              <w:pStyle w:val="RTableTextAbt"/>
            </w:pPr>
            <w:r>
              <w:fldChar w:fldCharType="begin" w:fldLock="1"/>
            </w:r>
            <w:r>
              <w:instrText>REF _Ref177575747 \r  \* MERGEFORMAT</w:instrText>
            </w:r>
            <w:r>
              <w:fldChar w:fldCharType="separate"/>
            </w:r>
            <w:r w:rsidR="00735BBC">
              <w:t>4.3.2</w:t>
            </w:r>
            <w:r w:rsidR="00735BBC">
              <w:fldChar w:fldCharType="end"/>
            </w:r>
          </w:p>
        </w:tc>
        <w:tc>
          <w:tcPr>
            <w:tcW w:w="1455"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021D3488" w14:textId="77777777">
            <w:pPr>
              <w:pStyle w:val="LTableTextAbt"/>
            </w:pPr>
            <w:r w:rsidRPr="007B6745">
              <w:t>None</w:t>
            </w:r>
          </w:p>
        </w:tc>
        <w:tc>
          <w:tcPr>
            <w:tcW w:w="488"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3575041F" w14:textId="77777777">
            <w:pPr>
              <w:pStyle w:val="RTableTextAbt"/>
            </w:pPr>
            <w:r w:rsidRPr="007B6745">
              <w:t>NA</w:t>
            </w:r>
          </w:p>
        </w:tc>
      </w:tr>
      <w:tr w14:paraId="4627E4B0" w14:textId="77777777" w:rsidTr="00CC2A6F">
        <w:tblPrEx>
          <w:tblW w:w="5000" w:type="pct"/>
          <w:tblLook w:val="04A0"/>
        </w:tblPrEx>
        <w:tc>
          <w:tcPr>
            <w:tcW w:w="1112"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624AF2EB" w14:textId="77777777">
            <w:pPr>
              <w:pStyle w:val="LTableTextAbt"/>
            </w:pPr>
            <w:r w:rsidRPr="007B6745">
              <w:t>Equipment and area cleaning</w:t>
            </w:r>
          </w:p>
        </w:tc>
        <w:tc>
          <w:tcPr>
            <w:tcW w:w="1478"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70561EB9" w14:textId="77777777">
            <w:pPr>
              <w:pStyle w:val="LTableTextAbt"/>
            </w:pPr>
            <w:r w:rsidRPr="007B6745">
              <w:t>Required</w:t>
            </w:r>
          </w:p>
        </w:tc>
        <w:tc>
          <w:tcPr>
            <w:tcW w:w="467"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32E59AFD" w14:textId="77C9204D">
            <w:pPr>
              <w:pStyle w:val="RTableTextAbt"/>
            </w:pPr>
            <w:r>
              <w:fldChar w:fldCharType="begin" w:fldLock="1"/>
            </w:r>
            <w:r>
              <w:instrText>REF _Ref177575759 \r  \* MERGEFORMAT</w:instrText>
            </w:r>
            <w:r>
              <w:fldChar w:fldCharType="separate"/>
            </w:r>
            <w:r w:rsidR="00735BBC">
              <w:t>4.3.2</w:t>
            </w:r>
            <w:r w:rsidR="00735BBC">
              <w:fldChar w:fldCharType="end"/>
            </w:r>
          </w:p>
        </w:tc>
        <w:tc>
          <w:tcPr>
            <w:tcW w:w="1455"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2D77B873" w14:textId="77777777">
            <w:pPr>
              <w:pStyle w:val="LTableTextAbt"/>
            </w:pPr>
            <w:r w:rsidRPr="007B6745">
              <w:t>Required</w:t>
            </w:r>
          </w:p>
        </w:tc>
        <w:tc>
          <w:tcPr>
            <w:tcW w:w="488"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64EBD3C4" w14:textId="028AC083">
            <w:pPr>
              <w:pStyle w:val="RTableTextAbt"/>
            </w:pPr>
            <w:r>
              <w:fldChar w:fldCharType="begin" w:fldLock="1"/>
            </w:r>
            <w:r>
              <w:instrText>REF _Ref177575759 \r  \* MERGEFORMAT</w:instrText>
            </w:r>
            <w:r>
              <w:fldChar w:fldCharType="separate"/>
            </w:r>
            <w:r w:rsidR="00735BBC">
              <w:t>4.3.2</w:t>
            </w:r>
            <w:r w:rsidR="00735BBC">
              <w:fldChar w:fldCharType="end"/>
            </w:r>
          </w:p>
        </w:tc>
      </w:tr>
      <w:tr w14:paraId="410B36AD" w14:textId="77777777" w:rsidTr="00CC2A6F">
        <w:tblPrEx>
          <w:tblW w:w="5000" w:type="pct"/>
          <w:tblLook w:val="04A0"/>
        </w:tblPrEx>
        <w:tc>
          <w:tcPr>
            <w:tcW w:w="1112"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037D0FA7" w14:textId="77777777">
            <w:pPr>
              <w:pStyle w:val="LTableTextAbt"/>
            </w:pPr>
            <w:r w:rsidRPr="007B6745">
              <w:t>Monitoring</w:t>
            </w:r>
          </w:p>
        </w:tc>
        <w:tc>
          <w:tcPr>
            <w:tcW w:w="1478"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6FCE39BB" w14:textId="77777777">
            <w:pPr>
              <w:pStyle w:val="LTableTextAbt"/>
            </w:pPr>
            <w:r w:rsidRPr="007B6745">
              <w:t>None</w:t>
            </w:r>
          </w:p>
        </w:tc>
        <w:tc>
          <w:tcPr>
            <w:tcW w:w="467"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5589A063" w14:textId="77777777">
            <w:pPr>
              <w:pStyle w:val="RTableTextAbt"/>
            </w:pPr>
            <w:r w:rsidRPr="007B6745">
              <w:t>NA</w:t>
            </w:r>
          </w:p>
        </w:tc>
        <w:tc>
          <w:tcPr>
            <w:tcW w:w="1455"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1BDACDB5" w14:textId="77777777">
            <w:pPr>
              <w:pStyle w:val="LTableTextAbt"/>
            </w:pPr>
            <w:r w:rsidRPr="007B6745">
              <w:t>At least once every 3 months during period when powder PV29 is manufactured or used</w:t>
            </w:r>
          </w:p>
        </w:tc>
        <w:tc>
          <w:tcPr>
            <w:tcW w:w="488"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34126721" w14:textId="6E991BD1">
            <w:pPr>
              <w:pStyle w:val="RTableTextAbt"/>
            </w:pPr>
            <w:r>
              <w:fldChar w:fldCharType="begin" w:fldLock="1"/>
            </w:r>
            <w:r>
              <w:instrText>REF _Ref177575852 \r  \* MERGEFORMAT</w:instrText>
            </w:r>
            <w:r>
              <w:fldChar w:fldCharType="separate"/>
            </w:r>
            <w:r w:rsidR="00735BBC">
              <w:t>4.3.4</w:t>
            </w:r>
            <w:r w:rsidR="00735BBC">
              <w:fldChar w:fldCharType="end"/>
            </w:r>
          </w:p>
        </w:tc>
      </w:tr>
      <w:tr w14:paraId="18750283" w14:textId="77777777" w:rsidTr="00CC2A6F">
        <w:tblPrEx>
          <w:tblW w:w="5000" w:type="pct"/>
          <w:tblLook w:val="04A0"/>
        </w:tblPrEx>
        <w:tc>
          <w:tcPr>
            <w:tcW w:w="1112"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663D74F2" w14:textId="77777777">
            <w:pPr>
              <w:pStyle w:val="LTableTextAbt"/>
            </w:pPr>
            <w:r w:rsidRPr="007B6745">
              <w:t>Engineering controls</w:t>
            </w:r>
          </w:p>
        </w:tc>
        <w:tc>
          <w:tcPr>
            <w:tcW w:w="1478"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5EBC498B" w14:textId="77777777">
            <w:pPr>
              <w:pStyle w:val="LTableTextAbt"/>
            </w:pPr>
            <w:r w:rsidRPr="007B6745">
              <w:t>None</w:t>
            </w:r>
          </w:p>
        </w:tc>
        <w:tc>
          <w:tcPr>
            <w:tcW w:w="467"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785E4D55" w14:textId="77777777">
            <w:pPr>
              <w:pStyle w:val="RTableTextAbt"/>
            </w:pPr>
            <w:r w:rsidRPr="007B6745">
              <w:t>NA</w:t>
            </w:r>
          </w:p>
        </w:tc>
        <w:tc>
          <w:tcPr>
            <w:tcW w:w="1455"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54C9AF09" w14:textId="77777777">
            <w:pPr>
              <w:pStyle w:val="LTableTextAbt"/>
            </w:pPr>
            <w:r w:rsidRPr="007B6745">
              <w:t>Use of engineering controls so that air concentration is below the limit of detection</w:t>
            </w:r>
          </w:p>
        </w:tc>
        <w:tc>
          <w:tcPr>
            <w:tcW w:w="488" w:type="pct"/>
            <w:tcBorders>
              <w:top w:val="single" w:sz="4" w:space="0" w:color="auto"/>
              <w:left w:val="single" w:sz="4" w:space="0" w:color="auto"/>
              <w:bottom w:val="single" w:sz="4" w:space="0" w:color="auto"/>
              <w:right w:val="single" w:sz="4" w:space="0" w:color="auto"/>
            </w:tcBorders>
            <w:vAlign w:val="center"/>
            <w:hideMark/>
          </w:tcPr>
          <w:p w:rsidR="007B6745" w:rsidRPr="007B6745" w:rsidP="00983CD5" w14:paraId="584CE188" w14:textId="107A37D0">
            <w:pPr>
              <w:pStyle w:val="RTableTextAbt"/>
            </w:pPr>
            <w:r w:rsidRPr="007B6745">
              <w:rPr>
                <w:lang w:val="en-GB"/>
              </w:rPr>
              <w:fldChar w:fldCharType="begin" w:fldLock="1"/>
            </w:r>
            <w:r w:rsidRPr="007B6745">
              <w:instrText xml:space="preserve"> REF _Ref179295651 \r </w:instrText>
            </w:r>
            <w:r w:rsidR="00983CD5">
              <w:instrText xml:space="preserve"> \* MERGEFORMAT </w:instrText>
            </w:r>
            <w:r w:rsidRPr="007B6745">
              <w:rPr>
                <w:lang w:val="en-GB"/>
              </w:rPr>
              <w:fldChar w:fldCharType="separate"/>
            </w:r>
            <w:r w:rsidR="00735BBC">
              <w:t>4.3.5</w:t>
            </w:r>
            <w:r w:rsidRPr="007B6745">
              <w:fldChar w:fldCharType="end"/>
            </w:r>
          </w:p>
        </w:tc>
      </w:tr>
    </w:tbl>
    <w:p w:rsidR="007B6745" w:rsidRPr="007B6745" w:rsidP="00832749" w14:paraId="5BEE28D7" w14:textId="77777777">
      <w:pPr>
        <w:pStyle w:val="BodyText"/>
      </w:pPr>
    </w:p>
    <w:p w:rsidR="007B6745" w:rsidRPr="007B6745" w:rsidP="00105ED0" w14:paraId="5AA1A45C" w14:textId="77777777">
      <w:pPr>
        <w:pStyle w:val="Heading3"/>
      </w:pPr>
      <w:bookmarkStart w:id="187" w:name="_Ref177575723"/>
      <w:bookmarkStart w:id="188" w:name="_Toc179234327"/>
      <w:r w:rsidRPr="007B6745">
        <w:t>Personal Protective Equipment (PPE)</w:t>
      </w:r>
      <w:bookmarkEnd w:id="187"/>
      <w:bookmarkEnd w:id="188"/>
      <w:r w:rsidRPr="007B6745">
        <w:t xml:space="preserve"> </w:t>
      </w:r>
      <w:bookmarkEnd w:id="174"/>
    </w:p>
    <w:p w:rsidR="007B6745" w:rsidRPr="007B6745" w:rsidP="00832749" w14:paraId="062B389D" w14:textId="7D50901B">
      <w:pPr>
        <w:pStyle w:val="BodyText"/>
      </w:pPr>
      <w:r w:rsidRPr="47F4D8F7">
        <w:rPr>
          <w:lang w:val="en-US"/>
        </w:rPr>
        <w:t>This section presents the estimated costs associated with the respirator provision of the rule, which would be applicable to the 2</w:t>
      </w:r>
      <w:r w:rsidR="007C719E">
        <w:rPr>
          <w:lang w:val="en-US"/>
        </w:rPr>
        <w:t>2</w:t>
      </w:r>
      <w:r w:rsidRPr="47F4D8F7">
        <w:rPr>
          <w:lang w:val="en-US"/>
        </w:rPr>
        <w:t xml:space="preserve"> facilities that handle regulated PV29 under the proposed and alternative regulatory options. </w:t>
      </w:r>
      <w:r w:rsidRPr="007B6745">
        <w:fldChar w:fldCharType="begin" w:fldLock="1"/>
      </w:r>
      <w:r w:rsidRPr="007B6745">
        <w:instrText xml:space="preserve"> REF _Ref180054057 </w:instrText>
      </w:r>
      <w:r w:rsidR="00105ED0">
        <w:instrText xml:space="preserve"> \* MERGEFORMAT </w:instrText>
      </w:r>
      <w:r w:rsidRPr="007B6745">
        <w:fldChar w:fldCharType="separate"/>
      </w:r>
      <w:r w:rsidRPr="00735BBC" w:rsidR="00735BBC">
        <w:rPr>
          <w:lang w:val="en-US"/>
        </w:rPr>
        <w:t>Table 4</w:t>
      </w:r>
      <w:r w:rsidRPr="00735BBC" w:rsidR="00735BBC">
        <w:rPr>
          <w:lang w:val="en-US"/>
        </w:rPr>
        <w:noBreakHyphen/>
        <w:t>3</w:t>
      </w:r>
      <w:r w:rsidRPr="007B6745">
        <w:fldChar w:fldCharType="end"/>
      </w:r>
      <w:r w:rsidRPr="47F4D8F7">
        <w:rPr>
          <w:lang w:val="en-US"/>
        </w:rPr>
        <w:t xml:space="preserve"> shows the number of facilities and exposed workers broken out by use category.</w:t>
      </w:r>
    </w:p>
    <w:p w:rsidR="007B6745" w:rsidRPr="007B6745" w:rsidP="00832749" w14:paraId="432794AF" w14:textId="77777777">
      <w:pPr>
        <w:pStyle w:val="BodyText"/>
      </w:pPr>
      <w:r w:rsidRPr="007B6745">
        <w:t>Respirators are grouped into different classes defined by the air supply system, operating mode, and the type of facepiece. The major air supply systems (as defined in 29 CFR 1910.134(b)) are:</w:t>
      </w:r>
    </w:p>
    <w:p w:rsidR="007B6745" w:rsidRPr="007B6745" w:rsidP="00832749" w14:paraId="607FD982" w14:textId="77777777">
      <w:pPr>
        <w:pStyle w:val="BodyText"/>
        <w:numPr>
          <w:ilvl w:val="0"/>
          <w:numId w:val="32"/>
        </w:numPr>
      </w:pPr>
      <w:r w:rsidRPr="007B6745">
        <w:t>Air Purifying Respirator (APR). A respirator with an air-purifying filter, cartridge, or canister that removes specific air contaminants by passing ambient air through the air-purifying element.</w:t>
      </w:r>
    </w:p>
    <w:p w:rsidR="007B6745" w:rsidRPr="007B6745" w:rsidP="00832749" w14:paraId="23C84B90" w14:textId="77777777">
      <w:pPr>
        <w:pStyle w:val="BodyText"/>
        <w:numPr>
          <w:ilvl w:val="0"/>
          <w:numId w:val="32"/>
        </w:numPr>
      </w:pPr>
      <w:r w:rsidRPr="007B6745">
        <w:t>Atmosphere-Supplying Respirator. A respirator that supplies breathing air from a source independent of the ambient atmosphere. Includes SAR and SCBA units.</w:t>
      </w:r>
    </w:p>
    <w:p w:rsidR="007B6745" w:rsidRPr="007B6745" w:rsidP="00832749" w14:paraId="5607860A" w14:textId="2095BC8F">
      <w:pPr>
        <w:pStyle w:val="BodyText"/>
        <w:numPr>
          <w:ilvl w:val="0"/>
          <w:numId w:val="32"/>
        </w:numPr>
      </w:pPr>
      <w:r w:rsidRPr="47F4D8F7">
        <w:rPr>
          <w:lang w:val="en-US"/>
        </w:rPr>
        <w:t>Powered Air-Purifying Respirator (PAPR). A type of air purifying respirator that uses a blower to force the ambient air through air-purifying elements to the inlet covering. The inlet covering is the portion of a respirator that forms the protective barrier between the user’s respiratory tract and an air-purifying device or breathing air source.</w:t>
      </w:r>
    </w:p>
    <w:p w:rsidR="007B6745" w:rsidRPr="007B6745" w:rsidP="00832749" w14:paraId="79AE0658" w14:textId="77777777">
      <w:pPr>
        <w:pStyle w:val="BodyText"/>
        <w:numPr>
          <w:ilvl w:val="0"/>
          <w:numId w:val="32"/>
        </w:numPr>
      </w:pPr>
      <w:r w:rsidRPr="007B6745">
        <w:t>Self-Contained Breathing Apparatus (SCBA). An atmosphere-supplying respirator, where the source of breathing air is designed to be carried by the user.</w:t>
      </w:r>
    </w:p>
    <w:p w:rsidR="007B6745" w:rsidRPr="007B6745" w:rsidP="00832749" w14:paraId="24366092" w14:textId="77777777">
      <w:pPr>
        <w:pStyle w:val="BodyText"/>
        <w:numPr>
          <w:ilvl w:val="0"/>
          <w:numId w:val="32"/>
        </w:numPr>
      </w:pPr>
      <w:r w:rsidRPr="007B6745">
        <w:t>Supplied-Air Respirator (SAR). An atmosphere-supplying respirator, where the source of breathing air is not designed to be carried by the user.</w:t>
      </w:r>
    </w:p>
    <w:p w:rsidR="007B6745" w:rsidRPr="007B6745" w:rsidP="00832749" w14:paraId="55238B97" w14:textId="77777777">
      <w:pPr>
        <w:pStyle w:val="BodyText"/>
      </w:pPr>
      <w:r w:rsidRPr="007B6745">
        <w:t>The types of operating modes (as defined in 29 CFR 1910.134(b)) are:</w:t>
      </w:r>
    </w:p>
    <w:p w:rsidR="007B6745" w:rsidRPr="007B6745" w:rsidP="00832749" w14:paraId="4FAF15CB" w14:textId="77777777">
      <w:pPr>
        <w:pStyle w:val="BodyText"/>
        <w:numPr>
          <w:ilvl w:val="0"/>
          <w:numId w:val="33"/>
        </w:numPr>
      </w:pPr>
      <w:r w:rsidRPr="007B6745">
        <w:t>Continuous Flow Mode. Provides a continuous flow of breathable air to the respirator facepiece.</w:t>
      </w:r>
    </w:p>
    <w:p w:rsidR="007B6745" w:rsidRPr="007B6745" w:rsidP="00832749" w14:paraId="0AE3E2D8" w14:textId="77777777">
      <w:pPr>
        <w:pStyle w:val="BodyText"/>
        <w:numPr>
          <w:ilvl w:val="0"/>
          <w:numId w:val="33"/>
        </w:numPr>
      </w:pPr>
      <w:r w:rsidRPr="007B6745">
        <w:t>Demand Mode. Admits breathing air to the facepiece only when a negative pressure is created inside the facepiece by inhalation.</w:t>
      </w:r>
    </w:p>
    <w:p w:rsidR="007B6745" w:rsidRPr="007B6745" w:rsidP="00832749" w14:paraId="638220A1" w14:textId="77777777">
      <w:pPr>
        <w:pStyle w:val="BodyText"/>
        <w:numPr>
          <w:ilvl w:val="0"/>
          <w:numId w:val="33"/>
        </w:numPr>
      </w:pPr>
      <w:r w:rsidRPr="007B6745">
        <w:t>Positive Pressure Mode. The pressure inside the respirator inlet covering exceeds the ambient air pressure outside the respirator.</w:t>
      </w:r>
    </w:p>
    <w:p w:rsidR="007B6745" w:rsidRPr="007B6745" w:rsidP="00832749" w14:paraId="122AA81E" w14:textId="77777777">
      <w:pPr>
        <w:pStyle w:val="BodyText"/>
        <w:numPr>
          <w:ilvl w:val="0"/>
          <w:numId w:val="33"/>
        </w:numPr>
      </w:pPr>
      <w:r w:rsidRPr="007B6745">
        <w:t>Pressure Demand Mode. Admits breathing air to the facepiece when the positive pressure is reduced inside the facepiece by inhalation.</w:t>
      </w:r>
    </w:p>
    <w:p w:rsidR="007B6745" w:rsidRPr="007B6745" w:rsidP="00832749" w14:paraId="09804265" w14:textId="77777777">
      <w:pPr>
        <w:pStyle w:val="BodyText"/>
      </w:pPr>
      <w:r w:rsidRPr="007B6745">
        <w:t>The major facepiece types (as defined in 29 CFR 1910.134(b), unless otherwise noted) are:</w:t>
      </w:r>
    </w:p>
    <w:p w:rsidR="007B6745" w:rsidRPr="007B6745" w:rsidP="00832749" w14:paraId="187FD8B6" w14:textId="151D75E3">
      <w:pPr>
        <w:pStyle w:val="BodyText"/>
        <w:numPr>
          <w:ilvl w:val="0"/>
          <w:numId w:val="33"/>
        </w:numPr>
      </w:pPr>
      <w:r w:rsidRPr="47F4D8F7">
        <w:rPr>
          <w:lang w:val="en-US"/>
        </w:rPr>
        <w:t>Full Facepiece. Covers from the hairline to below the chin, and typically provides eye protection as well (NIOSH 2012).</w:t>
      </w:r>
    </w:p>
    <w:p w:rsidR="007B6745" w:rsidRPr="007B6745" w:rsidP="00832749" w14:paraId="7BA9848C" w14:textId="77777777">
      <w:pPr>
        <w:pStyle w:val="BodyText"/>
        <w:numPr>
          <w:ilvl w:val="0"/>
          <w:numId w:val="33"/>
        </w:numPr>
      </w:pPr>
      <w:r w:rsidRPr="007B6745">
        <w:t>Half Mask. Covers the nose, mouth, and under the chin (NIOSH 2012).</w:t>
      </w:r>
    </w:p>
    <w:p w:rsidR="007B6745" w:rsidRPr="007B6745" w:rsidP="00832749" w14:paraId="314EE52C" w14:textId="77777777">
      <w:pPr>
        <w:pStyle w:val="BodyText"/>
        <w:numPr>
          <w:ilvl w:val="0"/>
          <w:numId w:val="33"/>
        </w:numPr>
      </w:pPr>
      <w:r w:rsidRPr="007B6745">
        <w:t>Helmet/Hood. A helmet is a rigid covering that also provides head protection against impact and penetration. A hood is designed to completely cover the head and neck and may also cover portions of the shoulders and torso.</w:t>
      </w:r>
    </w:p>
    <w:p w:rsidR="007B6745" w:rsidRPr="007B6745" w:rsidP="00832749" w14:paraId="3ABA9BA2" w14:textId="77777777">
      <w:pPr>
        <w:pStyle w:val="BodyText"/>
        <w:numPr>
          <w:ilvl w:val="0"/>
          <w:numId w:val="33"/>
        </w:numPr>
      </w:pPr>
      <w:r w:rsidRPr="007B6745">
        <w:t>Loose-Fitting Facepiece. A respiratory inlet covering that is designed to form a partial seal with the face.</w:t>
      </w:r>
    </w:p>
    <w:p w:rsidR="007B6745" w:rsidRPr="007B6745" w:rsidP="00832749" w14:paraId="23F156BE" w14:textId="77777777">
      <w:pPr>
        <w:pStyle w:val="BodyText"/>
        <w:numPr>
          <w:ilvl w:val="0"/>
          <w:numId w:val="33"/>
        </w:numPr>
      </w:pPr>
      <w:r w:rsidRPr="007B6745">
        <w:t>Quarter Mask. Covers the mouth and nose, and the lower sealing surface rests between the chin and mouth (NIOSH 2012).</w:t>
      </w:r>
    </w:p>
    <w:p w:rsidR="007B6745" w:rsidRPr="007B6745" w:rsidP="00832749" w14:paraId="7C997609" w14:textId="5A707D6F">
      <w:pPr>
        <w:pStyle w:val="BodyText"/>
      </w:pPr>
      <w:r w:rsidRPr="007B6745">
        <w:noBreakHyphen/>
      </w:r>
      <w:r w:rsidRPr="47F4D8F7">
        <w:rPr>
          <w:lang w:val="en-US"/>
        </w:rPr>
        <w:t xml:space="preserve">Each respirator has a numeric Assigned Protection Factor (APF) which indicates the level of protection offered from airborne particulates. </w:t>
      </w:r>
      <w:r w:rsidRPr="007B6745">
        <w:fldChar w:fldCharType="begin" w:fldLock="1"/>
      </w:r>
      <w:r w:rsidRPr="007B6745">
        <w:instrText xml:space="preserve"> REF _Ref78803093 \h  \* MERGEFORMAT </w:instrText>
      </w:r>
      <w:r w:rsidRPr="007B6745">
        <w:fldChar w:fldCharType="separate"/>
      </w:r>
      <w:r w:rsidRPr="00735BBC" w:rsidR="00735BBC">
        <w:rPr>
          <w:lang w:val="en-US"/>
        </w:rPr>
        <w:t>Table 4</w:t>
      </w:r>
      <w:r w:rsidRPr="00735BBC" w:rsidR="00735BBC">
        <w:rPr>
          <w:lang w:val="en-US"/>
        </w:rPr>
        <w:noBreakHyphen/>
        <w:t>5</w:t>
      </w:r>
      <w:r w:rsidRPr="007B6745">
        <w:fldChar w:fldCharType="end"/>
      </w:r>
      <w:r w:rsidRPr="47F4D8F7">
        <w:rPr>
          <w:lang w:val="en-US"/>
        </w:rPr>
        <w:t xml:space="preserve"> reproduces Table 1 of the Respiratory Protection Standard (29 CFR 1910.134(d)(3)(i)(A)) and presents each type of respirator with its expected APF.</w:t>
      </w:r>
    </w:p>
    <w:p w:rsidR="007B6745" w:rsidRPr="007B6745" w:rsidP="00832749" w14:paraId="26522E42" w14:textId="0B2AF0E7">
      <w:pPr>
        <w:pStyle w:val="BodyText"/>
      </w:pPr>
    </w:p>
    <w:tbl>
      <w:tblPr>
        <w:tblStyle w:val="TableGrid"/>
        <w:tblW w:w="5000" w:type="pct"/>
        <w:tblInd w:w="-5" w:type="dxa"/>
        <w:tblLook w:val="04A0"/>
      </w:tblPr>
      <w:tblGrid>
        <w:gridCol w:w="3508"/>
        <w:gridCol w:w="1097"/>
        <w:gridCol w:w="1187"/>
        <w:gridCol w:w="1187"/>
        <w:gridCol w:w="1187"/>
        <w:gridCol w:w="1194"/>
      </w:tblGrid>
      <w:tr w14:paraId="16BBBC8A" w14:textId="77777777" w:rsidTr="00CC2A6F">
        <w:tblPrEx>
          <w:tblW w:w="5000" w:type="pct"/>
          <w:tblInd w:w="-5" w:type="dxa"/>
          <w:tblLook w:val="04A0"/>
        </w:tblPrEx>
        <w:tc>
          <w:tcPr>
            <w:tcW w:w="5000" w:type="pct"/>
            <w:gridSpan w:val="6"/>
            <w:tcBorders>
              <w:top w:val="nil"/>
              <w:left w:val="nil"/>
              <w:bottom w:val="single" w:sz="4" w:space="0" w:color="auto"/>
              <w:right w:val="nil"/>
            </w:tcBorders>
            <w:shd w:val="clear" w:color="auto" w:fill="auto"/>
            <w:vAlign w:val="center"/>
          </w:tcPr>
          <w:p w:rsidR="00CC2A6F" w:rsidRPr="007B6745" w:rsidP="00026204" w14:paraId="12D88039" w14:textId="7F540693">
            <w:pPr>
              <w:pStyle w:val="TableTitleA"/>
            </w:pPr>
            <w:bookmarkStart w:id="189" w:name="_Ref78803093"/>
            <w:bookmarkStart w:id="190" w:name="_Toc184299561"/>
            <w:r w:rsidRPr="007B6745">
              <w:t xml:space="preserve">Table </w:t>
            </w:r>
            <w:r>
              <w:fldChar w:fldCharType="begin" w:fldLock="1"/>
            </w:r>
            <w:r>
              <w:instrText>STYLEREF 1 \s</w:instrText>
            </w:r>
            <w:r>
              <w:fldChar w:fldCharType="separate"/>
            </w:r>
            <w:r w:rsidR="00735BBC">
              <w:rPr>
                <w:noProof/>
              </w:rPr>
              <w:t>4</w:t>
            </w:r>
            <w:r>
              <w:fldChar w:fldCharType="end"/>
            </w:r>
            <w:r w:rsidR="000A1542">
              <w:noBreakHyphen/>
            </w:r>
            <w:r>
              <w:fldChar w:fldCharType="begin" w:fldLock="1"/>
            </w:r>
            <w:r>
              <w:instrText>SEQ Table \* ARABIC \s 1</w:instrText>
            </w:r>
            <w:r>
              <w:fldChar w:fldCharType="separate"/>
            </w:r>
            <w:r w:rsidR="00735BBC">
              <w:rPr>
                <w:noProof/>
              </w:rPr>
              <w:t>5</w:t>
            </w:r>
            <w:r>
              <w:fldChar w:fldCharType="end"/>
            </w:r>
            <w:bookmarkEnd w:id="189"/>
            <w:r w:rsidRPr="007B6745">
              <w:t>: Assigned Protection Factors (APF) for Respirators in OSHA Standard 29 CFR 1910.134</w:t>
            </w:r>
            <w:bookmarkEnd w:id="190"/>
          </w:p>
        </w:tc>
      </w:tr>
      <w:tr w14:paraId="21FC5664" w14:textId="77777777" w:rsidTr="00CC2A6F">
        <w:tblPrEx>
          <w:tblW w:w="5000" w:type="pct"/>
          <w:tblInd w:w="-5" w:type="dxa"/>
          <w:tblLook w:val="04A0"/>
        </w:tblPrEx>
        <w:tc>
          <w:tcPr>
            <w:tcW w:w="1874"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39C55E89" w14:textId="77777777">
            <w:pPr>
              <w:pStyle w:val="TableSubtitle"/>
            </w:pPr>
            <w:r w:rsidRPr="007B6745">
              <w:t>Type of Respirator</w:t>
            </w:r>
          </w:p>
        </w:tc>
        <w:tc>
          <w:tcPr>
            <w:tcW w:w="586"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63C88F53" w14:textId="77777777">
            <w:pPr>
              <w:pStyle w:val="TableSubtitle"/>
            </w:pPr>
            <w:r w:rsidRPr="007B6745">
              <w:t>Quarter Mask</w:t>
            </w:r>
          </w:p>
        </w:tc>
        <w:tc>
          <w:tcPr>
            <w:tcW w:w="634"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202F5007" w14:textId="77777777">
            <w:pPr>
              <w:pStyle w:val="TableSubtitle"/>
            </w:pPr>
            <w:r w:rsidRPr="007B6745">
              <w:t>Half Mask</w:t>
            </w:r>
          </w:p>
        </w:tc>
        <w:tc>
          <w:tcPr>
            <w:tcW w:w="634"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521DCD19" w14:textId="77777777">
            <w:pPr>
              <w:pStyle w:val="TableSubtitle"/>
            </w:pPr>
            <w:r w:rsidRPr="007B6745">
              <w:t>Full Facepiece</w:t>
            </w:r>
          </w:p>
        </w:tc>
        <w:tc>
          <w:tcPr>
            <w:tcW w:w="634"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5C520688" w14:textId="77777777">
            <w:pPr>
              <w:pStyle w:val="TableSubtitle"/>
            </w:pPr>
            <w:r w:rsidRPr="007B6745">
              <w:t>Helmet/</w:t>
            </w:r>
          </w:p>
          <w:p w:rsidR="007B6745" w:rsidRPr="007B6745" w:rsidP="000D7F2B" w14:paraId="51D17010" w14:textId="77777777">
            <w:pPr>
              <w:pStyle w:val="TableSubtitle"/>
            </w:pPr>
            <w:r w:rsidRPr="007B6745">
              <w:t>Hood</w:t>
            </w:r>
          </w:p>
        </w:tc>
        <w:tc>
          <w:tcPr>
            <w:tcW w:w="637"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6AC4FBCA" w14:textId="77777777">
            <w:pPr>
              <w:pStyle w:val="TableSubtitle"/>
            </w:pPr>
            <w:r w:rsidRPr="007B6745">
              <w:t>Loose-Fitting Facepiece</w:t>
            </w:r>
          </w:p>
        </w:tc>
      </w:tr>
      <w:tr w14:paraId="32F5AF92" w14:textId="77777777" w:rsidTr="00CC2A6F">
        <w:tblPrEx>
          <w:tblW w:w="5000" w:type="pct"/>
          <w:tblInd w:w="-5" w:type="dxa"/>
          <w:tblLook w:val="04A0"/>
        </w:tblPrEx>
        <w:tc>
          <w:tcPr>
            <w:tcW w:w="1874"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688B0448" w14:textId="77777777">
            <w:pPr>
              <w:pStyle w:val="LTableTextAbt"/>
            </w:pPr>
            <w:r w:rsidRPr="007B6745">
              <w:t>Air-Purifying Respirator (APR)</w:t>
            </w:r>
          </w:p>
        </w:tc>
        <w:tc>
          <w:tcPr>
            <w:tcW w:w="586"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383022B6" w14:textId="77777777">
            <w:pPr>
              <w:pStyle w:val="CTableTextAbt"/>
            </w:pPr>
            <w:r w:rsidRPr="007B6745">
              <w:t>5</w:t>
            </w:r>
          </w:p>
        </w:tc>
        <w:tc>
          <w:tcPr>
            <w:tcW w:w="634"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29B070D1" w14:textId="77777777">
            <w:pPr>
              <w:pStyle w:val="CTableTextAbt"/>
            </w:pPr>
            <w:r w:rsidRPr="007B6745">
              <w:t>10</w:t>
            </w:r>
          </w:p>
        </w:tc>
        <w:tc>
          <w:tcPr>
            <w:tcW w:w="634"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70E4CD73" w14:textId="77777777">
            <w:pPr>
              <w:pStyle w:val="CTableTextAbt"/>
            </w:pPr>
            <w:r w:rsidRPr="007B6745">
              <w:t>50</w:t>
            </w:r>
          </w:p>
        </w:tc>
        <w:tc>
          <w:tcPr>
            <w:tcW w:w="634"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14AAB894" w14:textId="77777777">
            <w:pPr>
              <w:pStyle w:val="CTableTextAbt"/>
            </w:pPr>
            <w:r w:rsidRPr="007B6745">
              <w:t>-</w:t>
            </w:r>
          </w:p>
        </w:tc>
        <w:tc>
          <w:tcPr>
            <w:tcW w:w="637"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7477CCB8" w14:textId="77777777">
            <w:pPr>
              <w:pStyle w:val="CTableTextAbt"/>
            </w:pPr>
            <w:r w:rsidRPr="007B6745">
              <w:t>-</w:t>
            </w:r>
          </w:p>
        </w:tc>
      </w:tr>
      <w:tr w14:paraId="4EB37829" w14:textId="77777777" w:rsidTr="00CC2A6F">
        <w:tblPrEx>
          <w:tblW w:w="5000" w:type="pct"/>
          <w:tblInd w:w="-5" w:type="dxa"/>
          <w:tblLook w:val="04A0"/>
        </w:tblPrEx>
        <w:tc>
          <w:tcPr>
            <w:tcW w:w="1874"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165D5047" w14:textId="77777777">
            <w:pPr>
              <w:pStyle w:val="LTableTextAbt"/>
            </w:pPr>
            <w:r w:rsidRPr="007B6745">
              <w:t>Powered Air-Purifying Respirator (PAPR)</w:t>
            </w:r>
          </w:p>
        </w:tc>
        <w:tc>
          <w:tcPr>
            <w:tcW w:w="586"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14DD7E46" w14:textId="77777777">
            <w:pPr>
              <w:pStyle w:val="CTableTextAbt"/>
            </w:pPr>
            <w:r w:rsidRPr="007B6745">
              <w:t>-</w:t>
            </w:r>
          </w:p>
        </w:tc>
        <w:tc>
          <w:tcPr>
            <w:tcW w:w="634"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10420C0A" w14:textId="77777777">
            <w:pPr>
              <w:pStyle w:val="CTableTextAbt"/>
            </w:pPr>
            <w:r w:rsidRPr="007B6745">
              <w:t>50</w:t>
            </w:r>
          </w:p>
        </w:tc>
        <w:tc>
          <w:tcPr>
            <w:tcW w:w="634"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50D48F7C" w14:textId="77777777">
            <w:pPr>
              <w:pStyle w:val="CTableTextAbt"/>
            </w:pPr>
            <w:r w:rsidRPr="007B6745">
              <w:t>1,000</w:t>
            </w:r>
          </w:p>
        </w:tc>
        <w:tc>
          <w:tcPr>
            <w:tcW w:w="634"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05915633" w14:textId="77777777">
            <w:pPr>
              <w:pStyle w:val="CTableTextAbt"/>
              <w:rPr>
                <w:vertAlign w:val="superscript"/>
              </w:rPr>
            </w:pPr>
            <w:r w:rsidRPr="007B6745">
              <w:t xml:space="preserve">25/1,000 </w:t>
            </w:r>
            <w:r w:rsidRPr="007B6745">
              <w:rPr>
                <w:vertAlign w:val="superscript"/>
              </w:rPr>
              <w:t>a</w:t>
            </w:r>
          </w:p>
        </w:tc>
        <w:tc>
          <w:tcPr>
            <w:tcW w:w="637"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33A4A750" w14:textId="77777777">
            <w:pPr>
              <w:pStyle w:val="CTableTextAbt"/>
            </w:pPr>
            <w:r w:rsidRPr="007B6745">
              <w:t>25</w:t>
            </w:r>
          </w:p>
        </w:tc>
      </w:tr>
      <w:tr w14:paraId="16445076" w14:textId="77777777" w:rsidTr="00C71F79">
        <w:tblPrEx>
          <w:tblW w:w="5000" w:type="pct"/>
          <w:tblInd w:w="-5" w:type="dxa"/>
          <w:tblLook w:val="04A0"/>
        </w:tblPrEx>
        <w:tc>
          <w:tcPr>
            <w:tcW w:w="5000" w:type="pct"/>
            <w:gridSpan w:val="6"/>
            <w:tcBorders>
              <w:top w:val="single" w:sz="4" w:space="0" w:color="auto"/>
              <w:left w:val="single" w:sz="4" w:space="0" w:color="auto"/>
              <w:bottom w:val="single" w:sz="4" w:space="0" w:color="auto"/>
              <w:right w:val="single" w:sz="4" w:space="0" w:color="auto"/>
            </w:tcBorders>
            <w:shd w:val="clear" w:color="auto" w:fill="97CFDA"/>
            <w:vAlign w:val="center"/>
            <w:hideMark/>
          </w:tcPr>
          <w:p w:rsidR="007B6745" w:rsidRPr="004C1514" w:rsidP="00C71F79" w14:paraId="56159D67" w14:textId="77777777">
            <w:pPr>
              <w:pStyle w:val="BSUBT"/>
            </w:pPr>
            <w:r w:rsidRPr="004C1514">
              <w:t>Supplied-Air Respirator (SAR) or Airline Respirator</w:t>
            </w:r>
          </w:p>
        </w:tc>
      </w:tr>
      <w:tr w14:paraId="6C7514AA" w14:textId="77777777" w:rsidTr="00CC2A6F">
        <w:tblPrEx>
          <w:tblW w:w="5000" w:type="pct"/>
          <w:tblInd w:w="-5" w:type="dxa"/>
          <w:tblLook w:val="04A0"/>
        </w:tblPrEx>
        <w:tc>
          <w:tcPr>
            <w:tcW w:w="1874"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55CF82C0" w14:textId="77777777">
            <w:pPr>
              <w:pStyle w:val="LTableTextAbt"/>
            </w:pPr>
            <w:r w:rsidRPr="007B6745">
              <w:t>Demand mode</w:t>
            </w:r>
          </w:p>
        </w:tc>
        <w:tc>
          <w:tcPr>
            <w:tcW w:w="586"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14D7EF52" w14:textId="77777777">
            <w:pPr>
              <w:pStyle w:val="CTableTextAbt"/>
            </w:pPr>
            <w:r w:rsidRPr="007B6745">
              <w:t>-</w:t>
            </w:r>
          </w:p>
        </w:tc>
        <w:tc>
          <w:tcPr>
            <w:tcW w:w="634"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3B04E206" w14:textId="77777777">
            <w:pPr>
              <w:pStyle w:val="CTableTextAbt"/>
            </w:pPr>
            <w:r w:rsidRPr="007B6745">
              <w:t>10</w:t>
            </w:r>
          </w:p>
        </w:tc>
        <w:tc>
          <w:tcPr>
            <w:tcW w:w="634"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455FD3BA" w14:textId="77777777">
            <w:pPr>
              <w:pStyle w:val="CTableTextAbt"/>
            </w:pPr>
            <w:r w:rsidRPr="007B6745">
              <w:t>50</w:t>
            </w:r>
          </w:p>
        </w:tc>
        <w:tc>
          <w:tcPr>
            <w:tcW w:w="634" w:type="pct"/>
            <w:tcBorders>
              <w:top w:val="single" w:sz="4" w:space="0" w:color="auto"/>
              <w:left w:val="single" w:sz="4" w:space="0" w:color="auto"/>
              <w:bottom w:val="single" w:sz="4" w:space="0" w:color="auto"/>
              <w:right w:val="single" w:sz="4" w:space="0" w:color="auto"/>
            </w:tcBorders>
            <w:vAlign w:val="center"/>
          </w:tcPr>
          <w:p w:rsidR="007B6745" w:rsidRPr="007B6745" w:rsidP="007A54EA" w14:paraId="084A4E5B" w14:textId="77777777">
            <w:pPr>
              <w:pStyle w:val="CTableTextAbt"/>
            </w:pPr>
          </w:p>
        </w:tc>
        <w:tc>
          <w:tcPr>
            <w:tcW w:w="637" w:type="pct"/>
            <w:tcBorders>
              <w:top w:val="single" w:sz="4" w:space="0" w:color="auto"/>
              <w:left w:val="single" w:sz="4" w:space="0" w:color="auto"/>
              <w:bottom w:val="single" w:sz="4" w:space="0" w:color="auto"/>
              <w:right w:val="single" w:sz="4" w:space="0" w:color="auto"/>
            </w:tcBorders>
            <w:vAlign w:val="center"/>
          </w:tcPr>
          <w:p w:rsidR="007B6745" w:rsidRPr="007B6745" w:rsidP="007A54EA" w14:paraId="25ACACFC" w14:textId="77777777">
            <w:pPr>
              <w:pStyle w:val="CTableTextAbt"/>
            </w:pPr>
          </w:p>
        </w:tc>
      </w:tr>
      <w:tr w14:paraId="3E6B8447" w14:textId="77777777" w:rsidTr="00CC2A6F">
        <w:tblPrEx>
          <w:tblW w:w="5000" w:type="pct"/>
          <w:tblInd w:w="-5" w:type="dxa"/>
          <w:tblLook w:val="04A0"/>
        </w:tblPrEx>
        <w:tc>
          <w:tcPr>
            <w:tcW w:w="1874"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62A6A4C8" w14:textId="77777777">
            <w:pPr>
              <w:pStyle w:val="LTableTextAbt"/>
            </w:pPr>
            <w:r w:rsidRPr="007B6745">
              <w:t>Continuous flow mode</w:t>
            </w:r>
          </w:p>
        </w:tc>
        <w:tc>
          <w:tcPr>
            <w:tcW w:w="586"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2E0C8392" w14:textId="77777777">
            <w:pPr>
              <w:pStyle w:val="CTableTextAbt"/>
            </w:pPr>
            <w:r w:rsidRPr="007B6745">
              <w:t>-</w:t>
            </w:r>
          </w:p>
        </w:tc>
        <w:tc>
          <w:tcPr>
            <w:tcW w:w="634"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312035A2" w14:textId="77777777">
            <w:pPr>
              <w:pStyle w:val="CTableTextAbt"/>
            </w:pPr>
            <w:r w:rsidRPr="007B6745">
              <w:t>50</w:t>
            </w:r>
          </w:p>
        </w:tc>
        <w:tc>
          <w:tcPr>
            <w:tcW w:w="634"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3BB6472B" w14:textId="77777777">
            <w:pPr>
              <w:pStyle w:val="CTableTextAbt"/>
            </w:pPr>
            <w:r w:rsidRPr="007B6745">
              <w:t>1,000</w:t>
            </w:r>
          </w:p>
        </w:tc>
        <w:tc>
          <w:tcPr>
            <w:tcW w:w="634"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5AD502C1" w14:textId="77777777">
            <w:pPr>
              <w:pStyle w:val="CTableTextAbt"/>
            </w:pPr>
            <w:r w:rsidRPr="007B6745">
              <w:t xml:space="preserve">25/1,000 </w:t>
            </w:r>
            <w:r w:rsidRPr="007B6745">
              <w:rPr>
                <w:vertAlign w:val="superscript"/>
              </w:rPr>
              <w:t>a</w:t>
            </w:r>
          </w:p>
        </w:tc>
        <w:tc>
          <w:tcPr>
            <w:tcW w:w="637"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38D7808D" w14:textId="77777777">
            <w:pPr>
              <w:pStyle w:val="CTableTextAbt"/>
            </w:pPr>
            <w:r w:rsidRPr="007B6745">
              <w:t>25</w:t>
            </w:r>
          </w:p>
        </w:tc>
      </w:tr>
      <w:tr w14:paraId="4C462B21" w14:textId="77777777" w:rsidTr="00CC2A6F">
        <w:tblPrEx>
          <w:tblW w:w="5000" w:type="pct"/>
          <w:tblInd w:w="-5" w:type="dxa"/>
          <w:tblLook w:val="04A0"/>
        </w:tblPrEx>
        <w:tc>
          <w:tcPr>
            <w:tcW w:w="1874"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3DBE7694" w14:textId="77777777">
            <w:pPr>
              <w:pStyle w:val="LTableTextAbt"/>
            </w:pPr>
            <w:r w:rsidRPr="007B6745">
              <w:t>Pressure-demand or other positive-pressure mode</w:t>
            </w:r>
          </w:p>
        </w:tc>
        <w:tc>
          <w:tcPr>
            <w:tcW w:w="586"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4ED7DCFD" w14:textId="77777777">
            <w:pPr>
              <w:pStyle w:val="CTableTextAbt"/>
            </w:pPr>
            <w:r w:rsidRPr="007B6745">
              <w:t>-</w:t>
            </w:r>
          </w:p>
        </w:tc>
        <w:tc>
          <w:tcPr>
            <w:tcW w:w="634"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4A45ABDA" w14:textId="77777777">
            <w:pPr>
              <w:pStyle w:val="CTableTextAbt"/>
            </w:pPr>
            <w:r w:rsidRPr="007B6745">
              <w:t>50</w:t>
            </w:r>
          </w:p>
        </w:tc>
        <w:tc>
          <w:tcPr>
            <w:tcW w:w="634"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6DDEB125" w14:textId="77777777">
            <w:pPr>
              <w:pStyle w:val="CTableTextAbt"/>
            </w:pPr>
            <w:r w:rsidRPr="007B6745">
              <w:t>1,000</w:t>
            </w:r>
          </w:p>
        </w:tc>
        <w:tc>
          <w:tcPr>
            <w:tcW w:w="634"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133EC850" w14:textId="77777777">
            <w:pPr>
              <w:pStyle w:val="CTableTextAbt"/>
            </w:pPr>
            <w:r w:rsidRPr="007B6745">
              <w:t>-</w:t>
            </w:r>
          </w:p>
        </w:tc>
        <w:tc>
          <w:tcPr>
            <w:tcW w:w="637"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6A975FE1" w14:textId="77777777">
            <w:pPr>
              <w:pStyle w:val="CTableTextAbt"/>
            </w:pPr>
            <w:r w:rsidRPr="007B6745">
              <w:t>-</w:t>
            </w:r>
          </w:p>
        </w:tc>
      </w:tr>
      <w:tr w14:paraId="5D427A2A" w14:textId="77777777" w:rsidTr="00C71F79">
        <w:tblPrEx>
          <w:tblW w:w="5000" w:type="pct"/>
          <w:tblInd w:w="-5" w:type="dxa"/>
          <w:tblLook w:val="04A0"/>
        </w:tblPrEx>
        <w:tc>
          <w:tcPr>
            <w:tcW w:w="5000" w:type="pct"/>
            <w:gridSpan w:val="6"/>
            <w:tcBorders>
              <w:top w:val="single" w:sz="4" w:space="0" w:color="auto"/>
              <w:left w:val="single" w:sz="4" w:space="0" w:color="auto"/>
              <w:bottom w:val="single" w:sz="4" w:space="0" w:color="auto"/>
              <w:right w:val="single" w:sz="4" w:space="0" w:color="auto"/>
            </w:tcBorders>
            <w:shd w:val="clear" w:color="auto" w:fill="97CFDA"/>
            <w:vAlign w:val="center"/>
            <w:hideMark/>
          </w:tcPr>
          <w:p w:rsidR="007B6745" w:rsidRPr="004C1514" w:rsidP="00C71F79" w14:paraId="3AF17C83" w14:textId="77777777">
            <w:pPr>
              <w:pStyle w:val="BSUBT"/>
            </w:pPr>
            <w:r w:rsidRPr="004C1514">
              <w:t>Self-Contained Breathing Apparatus (SCBA)</w:t>
            </w:r>
          </w:p>
        </w:tc>
      </w:tr>
      <w:tr w14:paraId="7759AC09" w14:textId="77777777" w:rsidTr="00CC2A6F">
        <w:tblPrEx>
          <w:tblW w:w="5000" w:type="pct"/>
          <w:tblInd w:w="-5" w:type="dxa"/>
          <w:tblLook w:val="04A0"/>
        </w:tblPrEx>
        <w:tc>
          <w:tcPr>
            <w:tcW w:w="1874"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5A558F86" w14:textId="77777777">
            <w:pPr>
              <w:pStyle w:val="LTableTextAbt"/>
            </w:pPr>
            <w:r w:rsidRPr="007B6745">
              <w:t>Demand Mode</w:t>
            </w:r>
          </w:p>
        </w:tc>
        <w:tc>
          <w:tcPr>
            <w:tcW w:w="586" w:type="pct"/>
            <w:tcBorders>
              <w:top w:val="single" w:sz="4" w:space="0" w:color="auto"/>
              <w:left w:val="single" w:sz="4" w:space="0" w:color="auto"/>
              <w:bottom w:val="single" w:sz="4" w:space="0" w:color="auto"/>
              <w:right w:val="single" w:sz="4" w:space="0" w:color="auto"/>
            </w:tcBorders>
            <w:hideMark/>
          </w:tcPr>
          <w:p w:rsidR="007B6745" w:rsidRPr="007B6745" w:rsidP="007A54EA" w14:paraId="1F6FE199" w14:textId="77777777">
            <w:pPr>
              <w:pStyle w:val="CTableTextAbt"/>
            </w:pPr>
            <w:r w:rsidRPr="007B6745">
              <w:t>-</w:t>
            </w:r>
          </w:p>
        </w:tc>
        <w:tc>
          <w:tcPr>
            <w:tcW w:w="634"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222E5CDC" w14:textId="77777777">
            <w:pPr>
              <w:pStyle w:val="CTableTextAbt"/>
            </w:pPr>
            <w:r w:rsidRPr="007B6745">
              <w:t>10</w:t>
            </w:r>
          </w:p>
        </w:tc>
        <w:tc>
          <w:tcPr>
            <w:tcW w:w="634"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67AD3930" w14:textId="77777777">
            <w:pPr>
              <w:pStyle w:val="CTableTextAbt"/>
            </w:pPr>
            <w:r w:rsidRPr="007B6745">
              <w:t>50</w:t>
            </w:r>
          </w:p>
        </w:tc>
        <w:tc>
          <w:tcPr>
            <w:tcW w:w="634"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7B77DB66" w14:textId="77777777">
            <w:pPr>
              <w:pStyle w:val="CTableTextAbt"/>
            </w:pPr>
            <w:r w:rsidRPr="007B6745">
              <w:t>50</w:t>
            </w:r>
          </w:p>
        </w:tc>
        <w:tc>
          <w:tcPr>
            <w:tcW w:w="637"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4028C6A6" w14:textId="77777777">
            <w:pPr>
              <w:pStyle w:val="CTableTextAbt"/>
            </w:pPr>
            <w:r w:rsidRPr="007B6745">
              <w:t>-</w:t>
            </w:r>
          </w:p>
        </w:tc>
      </w:tr>
      <w:tr w14:paraId="1EAA0942" w14:textId="77777777" w:rsidTr="00CC2A6F">
        <w:tblPrEx>
          <w:tblW w:w="5000" w:type="pct"/>
          <w:tblInd w:w="-5" w:type="dxa"/>
          <w:tblLook w:val="04A0"/>
        </w:tblPrEx>
        <w:tc>
          <w:tcPr>
            <w:tcW w:w="1874"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4629DE63" w14:textId="77777777">
            <w:pPr>
              <w:pStyle w:val="LTableTextAbt"/>
            </w:pPr>
            <w:r w:rsidRPr="007B6745">
              <w:t>Pressure-demand or other positive-pressure mode (e.g. open/closed circuit)</w:t>
            </w:r>
          </w:p>
        </w:tc>
        <w:tc>
          <w:tcPr>
            <w:tcW w:w="586"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4F456563" w14:textId="77777777">
            <w:pPr>
              <w:pStyle w:val="CTableTextAbt"/>
            </w:pPr>
            <w:r w:rsidRPr="007B6745">
              <w:t>-</w:t>
            </w:r>
          </w:p>
        </w:tc>
        <w:tc>
          <w:tcPr>
            <w:tcW w:w="634"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344F769C" w14:textId="77777777">
            <w:pPr>
              <w:pStyle w:val="CTableTextAbt"/>
            </w:pPr>
            <w:r w:rsidRPr="007B6745">
              <w:t>-</w:t>
            </w:r>
          </w:p>
        </w:tc>
        <w:tc>
          <w:tcPr>
            <w:tcW w:w="634"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67860ADF" w14:textId="77777777">
            <w:pPr>
              <w:pStyle w:val="CTableTextAbt"/>
            </w:pPr>
            <w:r w:rsidRPr="007B6745">
              <w:t>10,000</w:t>
            </w:r>
          </w:p>
        </w:tc>
        <w:tc>
          <w:tcPr>
            <w:tcW w:w="634"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1C5C02CD" w14:textId="77777777">
            <w:pPr>
              <w:pStyle w:val="CTableTextAbt"/>
            </w:pPr>
            <w:r w:rsidRPr="007B6745">
              <w:t>10,000</w:t>
            </w:r>
          </w:p>
        </w:tc>
        <w:tc>
          <w:tcPr>
            <w:tcW w:w="637" w:type="pct"/>
            <w:tcBorders>
              <w:top w:val="single" w:sz="4" w:space="0" w:color="auto"/>
              <w:left w:val="single" w:sz="4" w:space="0" w:color="auto"/>
              <w:bottom w:val="single" w:sz="4" w:space="0" w:color="auto"/>
              <w:right w:val="single" w:sz="4" w:space="0" w:color="auto"/>
            </w:tcBorders>
            <w:vAlign w:val="center"/>
            <w:hideMark/>
          </w:tcPr>
          <w:p w:rsidR="007B6745" w:rsidRPr="007B6745" w:rsidP="007A54EA" w14:paraId="10E43AA2" w14:textId="77777777">
            <w:pPr>
              <w:pStyle w:val="CTableTextAbt"/>
            </w:pPr>
            <w:r w:rsidRPr="007B6745">
              <w:t>-</w:t>
            </w:r>
          </w:p>
        </w:tc>
      </w:tr>
      <w:tr w14:paraId="21D74950" w14:textId="77777777" w:rsidTr="007B6745">
        <w:tblPrEx>
          <w:tblW w:w="5000" w:type="pct"/>
          <w:tblInd w:w="-5" w:type="dxa"/>
          <w:tblLook w:val="04A0"/>
        </w:tblPrEx>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7B6745" w:rsidRPr="007B6745" w:rsidP="001A1C7F" w14:paraId="7C31E97D" w14:textId="77777777">
            <w:pPr>
              <w:pStyle w:val="Tablenotes0"/>
            </w:pPr>
            <w:r w:rsidRPr="007B6745">
              <w:t xml:space="preserve">a. The employer must have evidence provided by the respirator manufacturer that testing of these respirators demonstrates performance at a level of protection of 1,000 or greater to receive an APF of 1,000. </w:t>
            </w:r>
          </w:p>
        </w:tc>
      </w:tr>
    </w:tbl>
    <w:p w:rsidR="007B6745" w:rsidRPr="007B6745" w:rsidP="00832749" w14:paraId="5B2440ED" w14:textId="77777777">
      <w:pPr>
        <w:pStyle w:val="BodyText"/>
      </w:pPr>
    </w:p>
    <w:p w:rsidR="007B6745" w:rsidRPr="007B6745" w:rsidP="00832749" w14:paraId="18DBAD26" w14:textId="2734BCFB">
      <w:pPr>
        <w:pStyle w:val="BodyText"/>
      </w:pPr>
      <w:r w:rsidRPr="47F4D8F7">
        <w:rPr>
          <w:lang w:val="en-US"/>
        </w:rPr>
        <w:t xml:space="preserve">Not all respirators presented in </w:t>
      </w:r>
      <w:r w:rsidRPr="007B6745">
        <w:fldChar w:fldCharType="begin" w:fldLock="1"/>
      </w:r>
      <w:r w:rsidRPr="007B6745">
        <w:instrText xml:space="preserve"> REF _Ref78803093 \h  \* MERGEFORMAT </w:instrText>
      </w:r>
      <w:r w:rsidRPr="007B6745">
        <w:fldChar w:fldCharType="separate"/>
      </w:r>
      <w:r w:rsidRPr="00735BBC" w:rsidR="00735BBC">
        <w:rPr>
          <w:lang w:val="en-US"/>
        </w:rPr>
        <w:t>Table 4</w:t>
      </w:r>
      <w:r w:rsidRPr="00735BBC" w:rsidR="00735BBC">
        <w:rPr>
          <w:lang w:val="en-US"/>
        </w:rPr>
        <w:noBreakHyphen/>
        <w:t>5</w:t>
      </w:r>
      <w:r w:rsidRPr="007B6745">
        <w:fldChar w:fldCharType="end"/>
      </w:r>
      <w:r w:rsidRPr="47F4D8F7">
        <w:rPr>
          <w:lang w:val="en-US"/>
        </w:rPr>
        <w:t xml:space="preserve"> would be suitable under the rule. To identify respirators for this cost analysis, EPA excluded demand-mode SARs and SCBAs because demand mode creates negative pressure in the mask during inhalation, which is prohibited under the proposed rule. Additionally, SAR respirators operated in pressure-demand and other positive-pressure modes require a high-pressure air supply provided by a compressed air cylinder or the combination of a fixed air filtration panel and an air compressor. Both of these air supply systems are expected to be more costly than the pump needed to supply a SAR respirator operated in continuous flow mode. As such, EPA also excluded pressure-demand SAR respirators from the cost analysis. </w:t>
      </w:r>
    </w:p>
    <w:p w:rsidR="007B6745" w:rsidRPr="007B6745" w:rsidP="00832749" w14:paraId="3E8E579B" w14:textId="02D1C370">
      <w:pPr>
        <w:pStyle w:val="BodyText"/>
      </w:pPr>
      <w:r w:rsidRPr="47F4D8F7">
        <w:rPr>
          <w:lang w:val="en-US"/>
        </w:rPr>
        <w:t xml:space="preserve">The specific PPE requirements under the proposed and alternative options differ. Under the proposed option, it is expected that a respirator controlling PV29 exposure at an APF 50 level will sufficiently manage exposure risk from PV29. Workers and ONUs in rooms where dry powder PV29 is actively in use (including anywhere with an open container) must be required to use PPE with an APF of at least 50 to minimize exposure. </w:t>
      </w:r>
    </w:p>
    <w:p w:rsidR="007B6745" w:rsidRPr="007B6745" w:rsidP="00832749" w14:paraId="75C3B61D" w14:textId="75350F5E">
      <w:pPr>
        <w:pStyle w:val="BodyText"/>
      </w:pPr>
      <w:r w:rsidRPr="47F4D8F7">
        <w:rPr>
          <w:lang w:val="en-US"/>
        </w:rPr>
        <w:t xml:space="preserve">Abt </w:t>
      </w:r>
      <w:r w:rsidR="00117E1A">
        <w:rPr>
          <w:lang w:val="en-US"/>
        </w:rPr>
        <w:t>Global’s</w:t>
      </w:r>
      <w:r w:rsidRPr="47F4D8F7">
        <w:rPr>
          <w:lang w:val="en-US"/>
        </w:rPr>
        <w:t xml:space="preserve"> </w:t>
      </w:r>
      <w:r w:rsidR="00117E1A">
        <w:rPr>
          <w:lang w:val="en-US"/>
        </w:rPr>
        <w:t>(</w:t>
      </w:r>
      <w:hyperlink w:anchor="_ENREF_1" w:tooltip="Abt Global, 2024 #1" w:history="1">
        <w:r w:rsidRPr="007B6745" w:rsidR="003D6084">
          <w:fldChar w:fldCharType="begin" w:fldLock="1"/>
        </w:r>
        <w:r w:rsidR="003D6084">
          <w:instrText xml:space="preserve"> ADDIN EN.CITE &lt;EndNote&gt;&lt;Cite ExcludeAuth="1"&gt;&lt;Author&gt;Abt Global&lt;/Author&gt;&lt;Year&gt;2024&lt;/Year&gt;&lt;RecNum&gt;1&lt;/RecNum&gt;&lt;DisplayText&gt;2024&lt;/DisplayText&gt;&lt;record&gt;&lt;rec-number&gt;1&lt;/rec-number&gt;&lt;foreign-keys&gt;&lt;key app="EN" db-id="2apzr05radv9fjet2w6xxwdlz5e9vwfxredw" timestamp="1730757315"&gt;1&lt;/key&gt;&lt;/foreign-keys&gt;&lt;ref-type name="Report"&gt;27&lt;/ref-type&gt;&lt;contributors&gt;&lt;authors&gt;&lt;author&gt;Abt Global,&lt;/author&gt;&lt;/authors&gt;&lt;/contributors&gt;&lt;titles&gt;&lt;title&gt;Estimated Costs for Respirator PPE for TSCA Risk Management Economic Analyses &lt;/title&gt;&lt;/titles&gt;&lt;dates&gt;&lt;year&gt;2024&lt;/year&gt;&lt;/dates&gt;&lt;publisher&gt;Submitted to U.S. EPA Economic and Policy Analysis Branch&lt;/publisher&gt;&lt;urls&gt;&lt;/urls&gt;&lt;/record&gt;&lt;/Cite&gt;&lt;Cite ExcludeAuth="1"&gt;&lt;Author&gt;Abt Global&lt;/Author&gt;&lt;Year&gt;2024&lt;/Year&gt;&lt;RecNum&gt;1&lt;/RecNum&gt;&lt;record&gt;&lt;rec-number&gt;1&lt;/rec-number&gt;&lt;foreign-keys&gt;&lt;key app="EN" db-id="2apzr05radv9fjet2w6xxwdlz5e9vwfxredw" timestamp="1730757315"&gt;1&lt;/key&gt;&lt;/foreign-keys&gt;&lt;ref-type name="Report"&gt;27&lt;/ref-type&gt;&lt;contributors&gt;&lt;authors&gt;&lt;author&gt;Abt Global,&lt;/author&gt;&lt;/authors&gt;&lt;/contributors&gt;&lt;titles&gt;&lt;title&gt;Estimated Costs for Respirator PPE for TSCA Risk Management Economic Analyses &lt;/title&gt;&lt;/titles&gt;&lt;dates&gt;&lt;year&gt;2024&lt;/year&gt;&lt;/dates&gt;&lt;publisher&gt;Submitted to U.S. EPA Economic and Policy Analysis Branch&lt;/publisher&gt;&lt;urls&gt;&lt;/urls&gt;&lt;/record&gt;&lt;/Cite&gt;&lt;/EndNote&gt;</w:instrText>
        </w:r>
        <w:r w:rsidRPr="007B6745" w:rsidR="003D6084">
          <w:fldChar w:fldCharType="separate"/>
        </w:r>
        <w:r w:rsidR="003D6084">
          <w:rPr>
            <w:noProof/>
          </w:rPr>
          <w:t>2024</w:t>
        </w:r>
        <w:r w:rsidRPr="007B6745" w:rsidR="003D6084">
          <w:fldChar w:fldCharType="end"/>
        </w:r>
      </w:hyperlink>
      <w:r w:rsidR="00117E1A">
        <w:rPr>
          <w:lang w:val="en-US"/>
        </w:rPr>
        <w:t>)</w:t>
      </w:r>
      <w:r w:rsidRPr="47F4D8F7">
        <w:rPr>
          <w:lang w:val="en-US"/>
        </w:rPr>
        <w:t xml:space="preserve"> </w:t>
      </w:r>
      <w:r w:rsidR="00A7753E">
        <w:rPr>
          <w:lang w:val="en-US"/>
        </w:rPr>
        <w:t xml:space="preserve">report </w:t>
      </w:r>
      <w:r w:rsidRPr="47F4D8F7">
        <w:rPr>
          <w:lang w:val="en-US"/>
        </w:rPr>
        <w:t xml:space="preserve">documents EPA’s unit costs for respirators, which includes equipment purchase costs and replacement costs as well as costs associated with medical evaluations, fit testing, annual training, and annual cleaning and maintenance. Annual costs are based on the useful life (i.e., the number of years until a respirator or respirator component needs to be replaced), as well as the number of years until a medical evaluation, fit testing, or training is required. </w:t>
      </w:r>
    </w:p>
    <w:p w:rsidR="007B6745" w:rsidRPr="007B6745" w:rsidP="00832749" w14:paraId="3FB6979E" w14:textId="11037712">
      <w:pPr>
        <w:pStyle w:val="BodyText"/>
      </w:pPr>
      <w:r w:rsidRPr="007B6745">
        <w:fldChar w:fldCharType="begin" w:fldLock="1"/>
      </w:r>
      <w:r w:rsidRPr="007B6745">
        <w:instrText xml:space="preserve"> REF _Ref177570727 </w:instrText>
      </w:r>
      <w:r w:rsidR="00105ED0">
        <w:instrText xml:space="preserve"> \* MERGEFORMAT </w:instrText>
      </w:r>
      <w:r w:rsidRPr="007B6745">
        <w:fldChar w:fldCharType="separate"/>
      </w:r>
      <w:r w:rsidRPr="007B6745" w:rsidR="00735BBC">
        <w:t xml:space="preserve">Table </w:t>
      </w:r>
      <w:r w:rsidR="00735BBC">
        <w:t>4</w:t>
      </w:r>
      <w:r w:rsidR="00735BBC">
        <w:noBreakHyphen/>
        <w:t>6</w:t>
      </w:r>
      <w:r w:rsidRPr="007B6745">
        <w:fldChar w:fldCharType="end"/>
      </w:r>
      <w:r w:rsidRPr="007B6745">
        <w:t xml:space="preserve"> and </w:t>
      </w:r>
      <w:r w:rsidRPr="007B6745">
        <w:fldChar w:fldCharType="begin" w:fldLock="1"/>
      </w:r>
      <w:r w:rsidRPr="007B6745">
        <w:instrText xml:space="preserve"> REF _Ref177570736 </w:instrText>
      </w:r>
      <w:r w:rsidR="00105ED0">
        <w:instrText xml:space="preserve"> \* MERGEFORMAT </w:instrText>
      </w:r>
      <w:r w:rsidRPr="007B6745">
        <w:fldChar w:fldCharType="separate"/>
      </w:r>
      <w:r w:rsidRPr="007B6745" w:rsidR="00735BBC">
        <w:t xml:space="preserve">Table </w:t>
      </w:r>
      <w:r w:rsidR="00735BBC">
        <w:t>4</w:t>
      </w:r>
      <w:r w:rsidR="00735BBC">
        <w:noBreakHyphen/>
        <w:t>7</w:t>
      </w:r>
      <w:r w:rsidRPr="007B6745">
        <w:fldChar w:fldCharType="end"/>
      </w:r>
      <w:r w:rsidRPr="007B6745">
        <w:t xml:space="preserve"> summarize the resultant one-time and annual recurring unit costs for the selected respirators, respectively. </w:t>
      </w:r>
      <w:r w:rsidR="004E471D">
        <w:rPr>
          <w:lang w:val="en-US"/>
        </w:rPr>
        <w:t xml:space="preserve">In addition to the </w:t>
      </w:r>
      <w:r w:rsidRPr="4BA86F39" w:rsidR="004E471D">
        <w:rPr>
          <w:lang w:val="en-US"/>
        </w:rPr>
        <w:t>per-worker costs</w:t>
      </w:r>
      <w:r w:rsidR="004E471D">
        <w:rPr>
          <w:lang w:val="en-US"/>
        </w:rPr>
        <w:t xml:space="preserve">, there are </w:t>
      </w:r>
      <w:r w:rsidRPr="4BA86F39" w:rsidR="004E471D">
        <w:rPr>
          <w:lang w:val="en-US"/>
        </w:rPr>
        <w:t xml:space="preserve">additional costs associated with the development of a respirator program </w:t>
      </w:r>
      <w:r w:rsidR="003123AF">
        <w:rPr>
          <w:lang w:val="en-US"/>
        </w:rPr>
        <w:t>written plan</w:t>
      </w:r>
      <w:r w:rsidRPr="4BA86F39" w:rsidR="003123AF">
        <w:rPr>
          <w:lang w:val="en-US"/>
        </w:rPr>
        <w:t xml:space="preserve"> </w:t>
      </w:r>
      <w:r w:rsidRPr="4BA86F39" w:rsidR="004E471D">
        <w:rPr>
          <w:lang w:val="en-US"/>
        </w:rPr>
        <w:t xml:space="preserve">at affected facilities, which has an estimated one-time cost of $593 and annual recurring costs of $148 </w:t>
      </w:r>
      <w:r w:rsidR="004E471D">
        <w:rPr>
          <w:lang w:val="en-US"/>
        </w:rPr>
        <w:t>(</w:t>
      </w:r>
      <w:hyperlink w:anchor="_ENREF_1" w:tooltip="Abt Global, 2024 #1" w:history="1">
        <w:r w:rsidRPr="007B6745" w:rsidR="003D6084">
          <w:fldChar w:fldCharType="begin" w:fldLock="1"/>
        </w:r>
        <w:r w:rsidR="003D6084">
          <w:instrText xml:space="preserve"> ADDIN EN.CITE &lt;EndNote&gt;&lt;Cite&gt;&lt;Author&gt;Abt Global&lt;/Author&gt;&lt;Year&gt;2024&lt;/Year&gt;&lt;RecNum&gt;1&lt;/RecNum&gt;&lt;DisplayText&gt;Abt Global 2024&lt;/DisplayText&gt;&lt;record&gt;&lt;rec-number&gt;1&lt;/rec-number&gt;&lt;foreign-keys&gt;&lt;key app="EN" db-id="2apzr05radv9fjet2w6xxwdlz5e9vwfxredw" timestamp="1730757315"&gt;1&lt;/key&gt;&lt;/foreign-keys&gt;&lt;ref-type name="Report"&gt;27&lt;/ref-type&gt;&lt;contributors&gt;&lt;authors&gt;&lt;author&gt;Abt Global,&lt;/author&gt;&lt;/authors&gt;&lt;/contributors&gt;&lt;titles&gt;&lt;title&gt;Estimated Costs for Respirator PPE for TSCA Risk Management Economic Analyses &lt;/title&gt;&lt;/titles&gt;&lt;dates&gt;&lt;year&gt;2024&lt;/year&gt;&lt;/dates&gt;&lt;publisher&gt;Submitted to U.S. EPA Economic and Policy Analysis Branch&lt;/publisher&gt;&lt;urls&gt;&lt;/urls&gt;&lt;/record&gt;&lt;/Cite&gt;&lt;/EndNote&gt;</w:instrText>
        </w:r>
        <w:r w:rsidRPr="007B6745" w:rsidR="003D6084">
          <w:fldChar w:fldCharType="separate"/>
        </w:r>
        <w:r w:rsidR="003D6084">
          <w:rPr>
            <w:noProof/>
          </w:rPr>
          <w:t>Abt Global 2024</w:t>
        </w:r>
        <w:r w:rsidRPr="007B6745" w:rsidR="003D6084">
          <w:fldChar w:fldCharType="end"/>
        </w:r>
      </w:hyperlink>
      <w:r w:rsidR="004E471D">
        <w:rPr>
          <w:lang w:val="en-US"/>
        </w:rPr>
        <w:t>)</w:t>
      </w:r>
      <w:r w:rsidRPr="4BA86F39" w:rsidR="004E471D">
        <w:rPr>
          <w:lang w:val="en-US"/>
        </w:rPr>
        <w:t>. EPA assumes that each affected facility would incur this cost. Additionally, the rule requires recordkeeping associated with the PPE program. EPA assumes that these requirements would entail 2 hours of managerial time per year. Based on the managerial labor rates in the manufacturing sector (</w:t>
      </w:r>
      <w:r w:rsidRPr="007B6745" w:rsidR="004E471D">
        <w:fldChar w:fldCharType="begin" w:fldLock="1"/>
      </w:r>
      <w:r w:rsidRPr="007B6745" w:rsidR="004E471D">
        <w:instrText xml:space="preserve"> REF _Ref175676776 </w:instrText>
      </w:r>
      <w:r w:rsidR="004E471D">
        <w:instrText xml:space="preserve"> \* MERGEFORMAT </w:instrText>
      </w:r>
      <w:r w:rsidRPr="007B6745" w:rsidR="004E471D">
        <w:fldChar w:fldCharType="separate"/>
      </w:r>
      <w:r w:rsidRPr="00735BBC" w:rsidR="00735BBC">
        <w:rPr>
          <w:lang w:val="en-US"/>
        </w:rPr>
        <w:t>Table 4</w:t>
      </w:r>
      <w:r w:rsidRPr="00735BBC" w:rsidR="00735BBC">
        <w:rPr>
          <w:lang w:val="en-US"/>
        </w:rPr>
        <w:noBreakHyphen/>
        <w:t>1</w:t>
      </w:r>
      <w:r w:rsidRPr="007B6745" w:rsidR="004E471D">
        <w:fldChar w:fldCharType="end"/>
      </w:r>
      <w:r w:rsidRPr="4BA86F39" w:rsidR="004E471D">
        <w:rPr>
          <w:lang w:val="en-US"/>
        </w:rPr>
        <w:t>), this equates to $186 annually.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1352"/>
        <w:gridCol w:w="1170"/>
        <w:gridCol w:w="1260"/>
        <w:gridCol w:w="900"/>
      </w:tblGrid>
      <w:tr w14:paraId="133E910C" w14:textId="77777777" w:rsidTr="0064758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78"/>
          <w:tblHeader/>
        </w:trPr>
        <w:tc>
          <w:tcPr>
            <w:tcW w:w="5000" w:type="pct"/>
            <w:gridSpan w:val="5"/>
            <w:tcBorders>
              <w:top w:val="nil"/>
              <w:left w:val="nil"/>
              <w:bottom w:val="single" w:sz="4" w:space="0" w:color="auto"/>
              <w:right w:val="nil"/>
            </w:tcBorders>
            <w:shd w:val="clear" w:color="auto" w:fill="auto"/>
            <w:vAlign w:val="center"/>
          </w:tcPr>
          <w:p w:rsidR="00CC2A6F" w:rsidRPr="007B6745" w:rsidP="00026204" w14:paraId="1F301912" w14:textId="7DFB2A92">
            <w:pPr>
              <w:pStyle w:val="TableTitleA"/>
            </w:pPr>
            <w:bookmarkStart w:id="191" w:name="_Ref177570727"/>
            <w:bookmarkStart w:id="192" w:name="_Toc184299562"/>
            <w:r w:rsidRPr="007B6745">
              <w:t xml:space="preserve">Table </w:t>
            </w:r>
            <w:r>
              <w:fldChar w:fldCharType="begin" w:fldLock="1"/>
            </w:r>
            <w:r>
              <w:instrText>STYLEREF 1 \s</w:instrText>
            </w:r>
            <w:r>
              <w:fldChar w:fldCharType="separate"/>
            </w:r>
            <w:r w:rsidR="00735BBC">
              <w:rPr>
                <w:noProof/>
              </w:rPr>
              <w:t>4</w:t>
            </w:r>
            <w:r>
              <w:fldChar w:fldCharType="end"/>
            </w:r>
            <w:r w:rsidR="000A1542">
              <w:noBreakHyphen/>
            </w:r>
            <w:r>
              <w:fldChar w:fldCharType="begin" w:fldLock="1"/>
            </w:r>
            <w:r>
              <w:instrText>SEQ Table \* ARABIC \s 1</w:instrText>
            </w:r>
            <w:r>
              <w:fldChar w:fldCharType="separate"/>
            </w:r>
            <w:r w:rsidR="00735BBC">
              <w:rPr>
                <w:noProof/>
              </w:rPr>
              <w:t>6</w:t>
            </w:r>
            <w:r>
              <w:fldChar w:fldCharType="end"/>
            </w:r>
            <w:bookmarkEnd w:id="191"/>
            <w:r w:rsidRPr="007B6745">
              <w:t>: Estimated Initial Respirator Costs (2023$)</w:t>
            </w:r>
            <w:bookmarkEnd w:id="192"/>
          </w:p>
        </w:tc>
      </w:tr>
      <w:tr w14:paraId="22C331A6" w14:textId="77777777" w:rsidTr="00951071">
        <w:tblPrEx>
          <w:tblW w:w="5000" w:type="pct"/>
          <w:tblLayout w:type="fixed"/>
          <w:tblLook w:val="04A0"/>
        </w:tblPrEx>
        <w:trPr>
          <w:trHeight w:val="98"/>
          <w:tblHeader/>
        </w:trPr>
        <w:tc>
          <w:tcPr>
            <w:tcW w:w="2499" w:type="pct"/>
            <w:vMerge w:val="restart"/>
            <w:tcBorders>
              <w:top w:val="single" w:sz="4" w:space="0" w:color="auto"/>
              <w:left w:val="single" w:sz="4" w:space="0" w:color="auto"/>
              <w:right w:val="single" w:sz="4" w:space="0" w:color="auto"/>
            </w:tcBorders>
            <w:shd w:val="clear" w:color="auto" w:fill="013E5B"/>
            <w:vAlign w:val="center"/>
            <w:hideMark/>
          </w:tcPr>
          <w:p w:rsidR="00951071" w:rsidRPr="007B6745" w:rsidP="00286137" w14:paraId="5AE35A25" w14:textId="77777777">
            <w:pPr>
              <w:pStyle w:val="TableSubtitle"/>
            </w:pPr>
            <w:r w:rsidRPr="007B6745">
              <w:t>Respirator System</w:t>
            </w:r>
          </w:p>
        </w:tc>
        <w:tc>
          <w:tcPr>
            <w:tcW w:w="722" w:type="pct"/>
            <w:vMerge w:val="restart"/>
            <w:tcBorders>
              <w:top w:val="single" w:sz="4" w:space="0" w:color="auto"/>
              <w:left w:val="single" w:sz="4" w:space="0" w:color="auto"/>
              <w:right w:val="single" w:sz="4" w:space="0" w:color="auto"/>
            </w:tcBorders>
            <w:shd w:val="clear" w:color="auto" w:fill="013E5B"/>
            <w:vAlign w:val="center"/>
          </w:tcPr>
          <w:p w:rsidR="00951071" w:rsidRPr="007B6745" w:rsidP="00286137" w14:paraId="799B1265" w14:textId="3757D153">
            <w:pPr>
              <w:pStyle w:val="TableSubtitle"/>
            </w:pPr>
            <w:r>
              <w:t>Per Facility Program Costs</w:t>
            </w:r>
          </w:p>
        </w:tc>
        <w:tc>
          <w:tcPr>
            <w:tcW w:w="1779" w:type="pct"/>
            <w:gridSpan w:val="3"/>
            <w:tcBorders>
              <w:top w:val="single" w:sz="4" w:space="0" w:color="auto"/>
              <w:left w:val="single" w:sz="4" w:space="0" w:color="auto"/>
              <w:bottom w:val="single" w:sz="4" w:space="0" w:color="auto"/>
              <w:right w:val="single" w:sz="4" w:space="0" w:color="auto"/>
            </w:tcBorders>
            <w:shd w:val="clear" w:color="auto" w:fill="013E5B"/>
            <w:vAlign w:val="center"/>
          </w:tcPr>
          <w:p w:rsidR="00951071" w:rsidRPr="007B6745" w:rsidP="00286137" w14:paraId="3172F8E5" w14:textId="3B1120B3">
            <w:pPr>
              <w:pStyle w:val="TableSubtitle"/>
            </w:pPr>
            <w:r>
              <w:t>Per Worker Costs</w:t>
            </w:r>
          </w:p>
        </w:tc>
      </w:tr>
      <w:tr w14:paraId="131CFAC2" w14:textId="77777777" w:rsidTr="00951071">
        <w:tblPrEx>
          <w:tblW w:w="5000" w:type="pct"/>
          <w:tblLayout w:type="fixed"/>
          <w:tblLook w:val="04A0"/>
        </w:tblPrEx>
        <w:trPr>
          <w:trHeight w:val="175"/>
          <w:tblHeader/>
        </w:trPr>
        <w:tc>
          <w:tcPr>
            <w:tcW w:w="2499" w:type="pct"/>
            <w:vMerge/>
            <w:tcBorders>
              <w:left w:val="single" w:sz="4" w:space="0" w:color="auto"/>
              <w:bottom w:val="single" w:sz="4" w:space="0" w:color="auto"/>
              <w:right w:val="single" w:sz="4" w:space="0" w:color="auto"/>
            </w:tcBorders>
            <w:shd w:val="clear" w:color="auto" w:fill="013E5B"/>
            <w:vAlign w:val="center"/>
          </w:tcPr>
          <w:p w:rsidR="00951071" w:rsidRPr="007B6745" w:rsidP="00286137" w14:paraId="33AFA9C0" w14:textId="77777777">
            <w:pPr>
              <w:pStyle w:val="TableSubtitle"/>
            </w:pPr>
          </w:p>
        </w:tc>
        <w:tc>
          <w:tcPr>
            <w:tcW w:w="722" w:type="pct"/>
            <w:vMerge/>
            <w:tcBorders>
              <w:left w:val="single" w:sz="4" w:space="0" w:color="auto"/>
              <w:bottom w:val="single" w:sz="4" w:space="0" w:color="auto"/>
              <w:right w:val="single" w:sz="4" w:space="0" w:color="auto"/>
            </w:tcBorders>
            <w:shd w:val="clear" w:color="auto" w:fill="013E5B"/>
            <w:vAlign w:val="center"/>
          </w:tcPr>
          <w:p w:rsidR="00951071" w:rsidRPr="007B6745" w:rsidP="00286137" w14:paraId="750FF7B3" w14:textId="77777777">
            <w:pPr>
              <w:pStyle w:val="TableSubtitle"/>
            </w:pPr>
          </w:p>
        </w:tc>
        <w:tc>
          <w:tcPr>
            <w:tcW w:w="625" w:type="pct"/>
            <w:tcBorders>
              <w:top w:val="single" w:sz="4" w:space="0" w:color="auto"/>
              <w:left w:val="single" w:sz="4" w:space="0" w:color="auto"/>
              <w:bottom w:val="single" w:sz="4" w:space="0" w:color="auto"/>
              <w:right w:val="single" w:sz="4" w:space="0" w:color="auto"/>
            </w:tcBorders>
            <w:shd w:val="clear" w:color="auto" w:fill="013E5B"/>
            <w:vAlign w:val="center"/>
          </w:tcPr>
          <w:p w:rsidR="00951071" w:rsidRPr="007B6745" w:rsidP="00286137" w14:paraId="009E7CC7" w14:textId="465A655D">
            <w:pPr>
              <w:pStyle w:val="TableSubtitle"/>
            </w:pPr>
            <w:r w:rsidRPr="007B6745">
              <w:t>Equipment</w:t>
            </w:r>
          </w:p>
        </w:tc>
        <w:tc>
          <w:tcPr>
            <w:tcW w:w="673" w:type="pct"/>
            <w:tcBorders>
              <w:left w:val="single" w:sz="4" w:space="0" w:color="auto"/>
              <w:bottom w:val="single" w:sz="4" w:space="0" w:color="auto"/>
              <w:right w:val="single" w:sz="4" w:space="0" w:color="auto"/>
            </w:tcBorders>
            <w:shd w:val="clear" w:color="auto" w:fill="013E5B"/>
            <w:vAlign w:val="center"/>
          </w:tcPr>
          <w:p w:rsidR="00951071" w:rsidRPr="007B6745" w:rsidP="00286137" w14:paraId="5B257D63" w14:textId="14EF893D">
            <w:pPr>
              <w:pStyle w:val="TableSubtitle"/>
            </w:pPr>
            <w:r w:rsidRPr="007B6745">
              <w:t>Medical Evaluation</w:t>
            </w:r>
          </w:p>
        </w:tc>
        <w:tc>
          <w:tcPr>
            <w:tcW w:w="481" w:type="pct"/>
            <w:tcBorders>
              <w:left w:val="single" w:sz="4" w:space="0" w:color="auto"/>
              <w:bottom w:val="single" w:sz="4" w:space="0" w:color="auto"/>
              <w:right w:val="single" w:sz="4" w:space="0" w:color="auto"/>
            </w:tcBorders>
            <w:shd w:val="clear" w:color="auto" w:fill="013E5B"/>
            <w:vAlign w:val="center"/>
          </w:tcPr>
          <w:p w:rsidR="00951071" w:rsidRPr="007B6745" w:rsidP="00286137" w14:paraId="4848276A" w14:textId="4470A494">
            <w:pPr>
              <w:pStyle w:val="TableSubtitle"/>
            </w:pPr>
            <w:r w:rsidRPr="007B6745">
              <w:t>Total</w:t>
            </w:r>
          </w:p>
        </w:tc>
      </w:tr>
      <w:tr w14:paraId="6C1E411D" w14:textId="77777777" w:rsidTr="00951071">
        <w:tblPrEx>
          <w:tblW w:w="5000" w:type="pct"/>
          <w:tblLayout w:type="fixed"/>
          <w:tblLook w:val="04A0"/>
        </w:tblPrEx>
        <w:trPr>
          <w:trHeight w:val="280"/>
        </w:trPr>
        <w:tc>
          <w:tcPr>
            <w:tcW w:w="2499" w:type="pct"/>
            <w:tcBorders>
              <w:top w:val="single" w:sz="4" w:space="0" w:color="auto"/>
              <w:left w:val="single" w:sz="4" w:space="0" w:color="auto"/>
              <w:bottom w:val="single" w:sz="4" w:space="0" w:color="auto"/>
              <w:right w:val="single" w:sz="4" w:space="0" w:color="auto"/>
            </w:tcBorders>
            <w:noWrap/>
            <w:vAlign w:val="center"/>
            <w:hideMark/>
          </w:tcPr>
          <w:p w:rsidR="00286137" w:rsidRPr="007520DD" w:rsidP="00286137" w14:paraId="35547995" w14:textId="5DE8D6F1">
            <w:pPr>
              <w:pStyle w:val="LTableTextAbt"/>
            </w:pPr>
            <w:r w:rsidRPr="007520DD">
              <w:t>APR, Half Mask</w:t>
            </w:r>
            <w:r w:rsidR="00482E48">
              <w:t xml:space="preserve"> (APF</w:t>
            </w:r>
            <w:r w:rsidR="006C227D">
              <w:t xml:space="preserve"> 10)</w:t>
            </w:r>
          </w:p>
        </w:tc>
        <w:tc>
          <w:tcPr>
            <w:tcW w:w="722" w:type="pct"/>
            <w:tcBorders>
              <w:top w:val="single" w:sz="4" w:space="0" w:color="auto"/>
              <w:left w:val="single" w:sz="4" w:space="0" w:color="auto"/>
              <w:bottom w:val="single" w:sz="4" w:space="0" w:color="auto"/>
              <w:right w:val="single" w:sz="4" w:space="0" w:color="auto"/>
            </w:tcBorders>
            <w:vAlign w:val="center"/>
          </w:tcPr>
          <w:p w:rsidR="00286137" w:rsidRPr="007B6745" w14:paraId="756AF403" w14:textId="18FB28B4">
            <w:pPr>
              <w:pStyle w:val="RTableTextAbt"/>
              <w:ind w:right="320"/>
            </w:pPr>
            <w:r>
              <w:t>$593</w:t>
            </w:r>
          </w:p>
        </w:tc>
        <w:tc>
          <w:tcPr>
            <w:tcW w:w="625" w:type="pct"/>
            <w:tcBorders>
              <w:top w:val="single" w:sz="4" w:space="0" w:color="auto"/>
              <w:left w:val="single" w:sz="4" w:space="0" w:color="auto"/>
              <w:bottom w:val="single" w:sz="4" w:space="0" w:color="auto"/>
              <w:right w:val="single" w:sz="4" w:space="0" w:color="auto"/>
            </w:tcBorders>
            <w:vAlign w:val="center"/>
          </w:tcPr>
          <w:p w:rsidR="00286137" w:rsidRPr="007B6745" w:rsidP="00286137" w14:paraId="04C91F86" w14:textId="719F1C69">
            <w:pPr>
              <w:pStyle w:val="RTableTextAbt"/>
            </w:pPr>
            <w:r w:rsidRPr="007B6745">
              <w:t xml:space="preserve">$2,047 </w:t>
            </w:r>
          </w:p>
        </w:tc>
        <w:tc>
          <w:tcPr>
            <w:tcW w:w="673" w:type="pct"/>
            <w:tcBorders>
              <w:top w:val="single" w:sz="4" w:space="0" w:color="auto"/>
              <w:left w:val="single" w:sz="4" w:space="0" w:color="auto"/>
              <w:bottom w:val="single" w:sz="4" w:space="0" w:color="auto"/>
              <w:right w:val="single" w:sz="4" w:space="0" w:color="auto"/>
            </w:tcBorders>
            <w:vAlign w:val="center"/>
            <w:hideMark/>
          </w:tcPr>
          <w:p w:rsidR="00286137" w:rsidRPr="007B6745" w:rsidP="00286137" w14:paraId="32CB1BB7" w14:textId="77777777">
            <w:pPr>
              <w:pStyle w:val="RTableTextAbt"/>
            </w:pPr>
            <w:r w:rsidRPr="007B6745">
              <w:t xml:space="preserve">$107 </w:t>
            </w:r>
          </w:p>
        </w:tc>
        <w:tc>
          <w:tcPr>
            <w:tcW w:w="481" w:type="pct"/>
            <w:tcBorders>
              <w:top w:val="single" w:sz="4" w:space="0" w:color="auto"/>
              <w:left w:val="single" w:sz="4" w:space="0" w:color="auto"/>
              <w:bottom w:val="single" w:sz="4" w:space="0" w:color="auto"/>
              <w:right w:val="single" w:sz="4" w:space="0" w:color="auto"/>
            </w:tcBorders>
            <w:vAlign w:val="center"/>
            <w:hideMark/>
          </w:tcPr>
          <w:p w:rsidR="00286137" w:rsidRPr="007B6745" w:rsidP="00286137" w14:paraId="34F312A0" w14:textId="6A7F753D">
            <w:pPr>
              <w:pStyle w:val="RTableTextAbt"/>
            </w:pPr>
            <w:r>
              <w:rPr>
                <w:szCs w:val="18"/>
              </w:rPr>
              <w:t xml:space="preserve">$2,154 </w:t>
            </w:r>
          </w:p>
        </w:tc>
      </w:tr>
      <w:tr w14:paraId="78DE07E4" w14:textId="77777777" w:rsidTr="00951071">
        <w:tblPrEx>
          <w:tblW w:w="5000" w:type="pct"/>
          <w:tblLayout w:type="fixed"/>
          <w:tblLook w:val="04A0"/>
        </w:tblPrEx>
        <w:trPr>
          <w:trHeight w:val="280"/>
        </w:trPr>
        <w:tc>
          <w:tcPr>
            <w:tcW w:w="2499" w:type="pct"/>
            <w:tcBorders>
              <w:top w:val="single" w:sz="4" w:space="0" w:color="auto"/>
              <w:left w:val="single" w:sz="4" w:space="0" w:color="auto"/>
              <w:bottom w:val="single" w:sz="4" w:space="0" w:color="auto"/>
              <w:right w:val="single" w:sz="4" w:space="0" w:color="auto"/>
            </w:tcBorders>
            <w:noWrap/>
            <w:vAlign w:val="center"/>
            <w:hideMark/>
          </w:tcPr>
          <w:p w:rsidR="00286137" w:rsidRPr="007520DD" w:rsidP="00286137" w14:paraId="5FB4F031" w14:textId="3E794847">
            <w:pPr>
              <w:pStyle w:val="LTableTextAbt"/>
            </w:pPr>
            <w:r w:rsidRPr="007520DD">
              <w:t>PAPR, Loose-Fitting Facepiece</w:t>
            </w:r>
            <w:r w:rsidR="006C227D">
              <w:t xml:space="preserve"> (APF 25)</w:t>
            </w:r>
          </w:p>
        </w:tc>
        <w:tc>
          <w:tcPr>
            <w:tcW w:w="722" w:type="pct"/>
            <w:tcBorders>
              <w:top w:val="single" w:sz="4" w:space="0" w:color="auto"/>
              <w:left w:val="single" w:sz="4" w:space="0" w:color="auto"/>
              <w:bottom w:val="single" w:sz="4" w:space="0" w:color="auto"/>
              <w:right w:val="single" w:sz="4" w:space="0" w:color="auto"/>
            </w:tcBorders>
            <w:vAlign w:val="center"/>
          </w:tcPr>
          <w:p w:rsidR="00286137" w:rsidRPr="007B6745" w14:paraId="22822377" w14:textId="757B4F43">
            <w:pPr>
              <w:pStyle w:val="RTableTextAbt"/>
              <w:ind w:right="320"/>
            </w:pPr>
            <w:r>
              <w:t>$593</w:t>
            </w:r>
          </w:p>
        </w:tc>
        <w:tc>
          <w:tcPr>
            <w:tcW w:w="625" w:type="pct"/>
            <w:tcBorders>
              <w:top w:val="single" w:sz="4" w:space="0" w:color="auto"/>
              <w:left w:val="single" w:sz="4" w:space="0" w:color="auto"/>
              <w:bottom w:val="single" w:sz="4" w:space="0" w:color="auto"/>
              <w:right w:val="single" w:sz="4" w:space="0" w:color="auto"/>
            </w:tcBorders>
            <w:vAlign w:val="center"/>
          </w:tcPr>
          <w:p w:rsidR="00286137" w:rsidRPr="007B6745" w:rsidP="00286137" w14:paraId="3B6F6EFA" w14:textId="0011CF66">
            <w:pPr>
              <w:pStyle w:val="RTableTextAbt"/>
            </w:pPr>
            <w:r w:rsidRPr="007B6745">
              <w:t xml:space="preserve">$1,933 </w:t>
            </w:r>
          </w:p>
        </w:tc>
        <w:tc>
          <w:tcPr>
            <w:tcW w:w="673" w:type="pct"/>
            <w:tcBorders>
              <w:top w:val="single" w:sz="4" w:space="0" w:color="auto"/>
              <w:left w:val="single" w:sz="4" w:space="0" w:color="auto"/>
              <w:bottom w:val="single" w:sz="4" w:space="0" w:color="auto"/>
              <w:right w:val="single" w:sz="4" w:space="0" w:color="auto"/>
            </w:tcBorders>
            <w:vAlign w:val="center"/>
            <w:hideMark/>
          </w:tcPr>
          <w:p w:rsidR="00286137" w:rsidRPr="007B6745" w:rsidP="00286137" w14:paraId="3D014B3B" w14:textId="77777777">
            <w:pPr>
              <w:pStyle w:val="RTableTextAbt"/>
            </w:pPr>
            <w:r w:rsidRPr="007B6745">
              <w:t xml:space="preserve">$107 </w:t>
            </w:r>
          </w:p>
        </w:tc>
        <w:tc>
          <w:tcPr>
            <w:tcW w:w="481" w:type="pct"/>
            <w:tcBorders>
              <w:top w:val="single" w:sz="4" w:space="0" w:color="auto"/>
              <w:left w:val="single" w:sz="4" w:space="0" w:color="auto"/>
              <w:bottom w:val="single" w:sz="4" w:space="0" w:color="auto"/>
              <w:right w:val="single" w:sz="4" w:space="0" w:color="auto"/>
            </w:tcBorders>
            <w:vAlign w:val="center"/>
            <w:hideMark/>
          </w:tcPr>
          <w:p w:rsidR="00286137" w:rsidRPr="007B6745" w:rsidP="00286137" w14:paraId="75AFEB2D" w14:textId="6281C8F3">
            <w:pPr>
              <w:pStyle w:val="RTableTextAbt"/>
            </w:pPr>
            <w:r>
              <w:rPr>
                <w:szCs w:val="18"/>
              </w:rPr>
              <w:t xml:space="preserve">$2,040 </w:t>
            </w:r>
          </w:p>
        </w:tc>
      </w:tr>
      <w:tr w14:paraId="06E9BD6A" w14:textId="77777777" w:rsidTr="00951071">
        <w:tblPrEx>
          <w:tblW w:w="5000" w:type="pct"/>
          <w:tblLayout w:type="fixed"/>
          <w:tblLook w:val="04A0"/>
        </w:tblPrEx>
        <w:trPr>
          <w:trHeight w:val="280"/>
        </w:trPr>
        <w:tc>
          <w:tcPr>
            <w:tcW w:w="2499" w:type="pct"/>
            <w:tcBorders>
              <w:top w:val="single" w:sz="4" w:space="0" w:color="auto"/>
              <w:left w:val="single" w:sz="4" w:space="0" w:color="auto"/>
              <w:bottom w:val="single" w:sz="4" w:space="0" w:color="auto"/>
              <w:right w:val="single" w:sz="4" w:space="0" w:color="auto"/>
            </w:tcBorders>
            <w:noWrap/>
            <w:vAlign w:val="center"/>
            <w:hideMark/>
          </w:tcPr>
          <w:p w:rsidR="00286137" w:rsidRPr="007520DD" w:rsidP="00286137" w14:paraId="78E1C16B" w14:textId="7900F798">
            <w:pPr>
              <w:pStyle w:val="LTableTextAbt"/>
            </w:pPr>
            <w:r w:rsidRPr="007520DD">
              <w:t>SAR, Loose-Fitting Facepiece</w:t>
            </w:r>
            <w:r w:rsidR="006C227D">
              <w:t xml:space="preserve"> (APF 25)</w:t>
            </w:r>
          </w:p>
        </w:tc>
        <w:tc>
          <w:tcPr>
            <w:tcW w:w="722" w:type="pct"/>
            <w:tcBorders>
              <w:top w:val="single" w:sz="4" w:space="0" w:color="auto"/>
              <w:left w:val="single" w:sz="4" w:space="0" w:color="auto"/>
              <w:bottom w:val="single" w:sz="4" w:space="0" w:color="auto"/>
              <w:right w:val="single" w:sz="4" w:space="0" w:color="auto"/>
            </w:tcBorders>
            <w:vAlign w:val="center"/>
          </w:tcPr>
          <w:p w:rsidR="00286137" w:rsidRPr="007B6745" w14:paraId="7A0347D7" w14:textId="169CB12F">
            <w:pPr>
              <w:pStyle w:val="RTableTextAbt"/>
              <w:ind w:right="320"/>
            </w:pPr>
            <w:r>
              <w:t>$593</w:t>
            </w:r>
          </w:p>
        </w:tc>
        <w:tc>
          <w:tcPr>
            <w:tcW w:w="625" w:type="pct"/>
            <w:tcBorders>
              <w:top w:val="single" w:sz="4" w:space="0" w:color="auto"/>
              <w:left w:val="single" w:sz="4" w:space="0" w:color="auto"/>
              <w:bottom w:val="single" w:sz="4" w:space="0" w:color="auto"/>
              <w:right w:val="single" w:sz="4" w:space="0" w:color="auto"/>
            </w:tcBorders>
            <w:vAlign w:val="center"/>
          </w:tcPr>
          <w:p w:rsidR="00286137" w:rsidRPr="007B6745" w:rsidP="00286137" w14:paraId="07C60F00" w14:textId="464E3B38">
            <w:pPr>
              <w:pStyle w:val="RTableTextAbt"/>
            </w:pPr>
            <w:r w:rsidRPr="007B6745">
              <w:t xml:space="preserve">$1,388 </w:t>
            </w:r>
          </w:p>
        </w:tc>
        <w:tc>
          <w:tcPr>
            <w:tcW w:w="673" w:type="pct"/>
            <w:tcBorders>
              <w:top w:val="single" w:sz="4" w:space="0" w:color="auto"/>
              <w:left w:val="single" w:sz="4" w:space="0" w:color="auto"/>
              <w:bottom w:val="single" w:sz="4" w:space="0" w:color="auto"/>
              <w:right w:val="single" w:sz="4" w:space="0" w:color="auto"/>
            </w:tcBorders>
            <w:vAlign w:val="center"/>
            <w:hideMark/>
          </w:tcPr>
          <w:p w:rsidR="00286137" w:rsidRPr="007B6745" w:rsidP="00286137" w14:paraId="543A207B" w14:textId="77777777">
            <w:pPr>
              <w:pStyle w:val="RTableTextAbt"/>
            </w:pPr>
            <w:r w:rsidRPr="007B6745">
              <w:t xml:space="preserve">$107 </w:t>
            </w:r>
          </w:p>
        </w:tc>
        <w:tc>
          <w:tcPr>
            <w:tcW w:w="481" w:type="pct"/>
            <w:tcBorders>
              <w:top w:val="single" w:sz="4" w:space="0" w:color="auto"/>
              <w:left w:val="single" w:sz="4" w:space="0" w:color="auto"/>
              <w:bottom w:val="single" w:sz="4" w:space="0" w:color="auto"/>
              <w:right w:val="single" w:sz="4" w:space="0" w:color="auto"/>
            </w:tcBorders>
            <w:vAlign w:val="center"/>
            <w:hideMark/>
          </w:tcPr>
          <w:p w:rsidR="00286137" w:rsidRPr="007B6745" w:rsidP="00286137" w14:paraId="54FCF256" w14:textId="67AF3CCB">
            <w:pPr>
              <w:pStyle w:val="RTableTextAbt"/>
            </w:pPr>
            <w:r>
              <w:rPr>
                <w:szCs w:val="18"/>
              </w:rPr>
              <w:t xml:space="preserve">$1,495 </w:t>
            </w:r>
          </w:p>
        </w:tc>
      </w:tr>
      <w:tr w14:paraId="06AEF192" w14:textId="77777777" w:rsidTr="00951071">
        <w:tblPrEx>
          <w:tblW w:w="5000" w:type="pct"/>
          <w:tblLayout w:type="fixed"/>
          <w:tblLook w:val="04A0"/>
        </w:tblPrEx>
        <w:trPr>
          <w:trHeight w:val="280"/>
        </w:trPr>
        <w:tc>
          <w:tcPr>
            <w:tcW w:w="2499" w:type="pct"/>
            <w:tcBorders>
              <w:top w:val="single" w:sz="4" w:space="0" w:color="auto"/>
              <w:left w:val="single" w:sz="4" w:space="0" w:color="auto"/>
              <w:bottom w:val="single" w:sz="4" w:space="0" w:color="auto"/>
              <w:right w:val="single" w:sz="4" w:space="0" w:color="auto"/>
            </w:tcBorders>
            <w:noWrap/>
            <w:vAlign w:val="center"/>
            <w:hideMark/>
          </w:tcPr>
          <w:p w:rsidR="00286137" w:rsidRPr="007520DD" w:rsidP="00286137" w14:paraId="50143BC3" w14:textId="2D981AFC">
            <w:pPr>
              <w:pStyle w:val="LTableTextAbt"/>
            </w:pPr>
            <w:r w:rsidRPr="007520DD">
              <w:t>APR, Full Facepiece</w:t>
            </w:r>
            <w:r w:rsidR="006C227D">
              <w:t xml:space="preserve"> (APF 50)</w:t>
            </w:r>
          </w:p>
        </w:tc>
        <w:tc>
          <w:tcPr>
            <w:tcW w:w="722" w:type="pct"/>
            <w:tcBorders>
              <w:top w:val="single" w:sz="4" w:space="0" w:color="auto"/>
              <w:left w:val="single" w:sz="4" w:space="0" w:color="auto"/>
              <w:bottom w:val="single" w:sz="4" w:space="0" w:color="auto"/>
              <w:right w:val="single" w:sz="4" w:space="0" w:color="auto"/>
            </w:tcBorders>
            <w:vAlign w:val="center"/>
          </w:tcPr>
          <w:p w:rsidR="00286137" w:rsidRPr="007B6745" w14:paraId="1522BAA2" w14:textId="144604A9">
            <w:pPr>
              <w:pStyle w:val="RTableTextAbt"/>
              <w:ind w:right="320"/>
            </w:pPr>
            <w:r>
              <w:t>$593</w:t>
            </w:r>
          </w:p>
        </w:tc>
        <w:tc>
          <w:tcPr>
            <w:tcW w:w="625" w:type="pct"/>
            <w:tcBorders>
              <w:top w:val="single" w:sz="4" w:space="0" w:color="auto"/>
              <w:left w:val="single" w:sz="4" w:space="0" w:color="auto"/>
              <w:bottom w:val="single" w:sz="4" w:space="0" w:color="auto"/>
              <w:right w:val="single" w:sz="4" w:space="0" w:color="auto"/>
            </w:tcBorders>
            <w:vAlign w:val="center"/>
          </w:tcPr>
          <w:p w:rsidR="00286137" w:rsidRPr="007B6745" w:rsidP="00286137" w14:paraId="334580C8" w14:textId="4242B1E8">
            <w:pPr>
              <w:pStyle w:val="RTableTextAbt"/>
            </w:pPr>
            <w:r w:rsidRPr="007B6745">
              <w:t xml:space="preserve">$2,270 </w:t>
            </w:r>
          </w:p>
        </w:tc>
        <w:tc>
          <w:tcPr>
            <w:tcW w:w="673" w:type="pct"/>
            <w:tcBorders>
              <w:top w:val="single" w:sz="4" w:space="0" w:color="auto"/>
              <w:left w:val="single" w:sz="4" w:space="0" w:color="auto"/>
              <w:bottom w:val="single" w:sz="4" w:space="0" w:color="auto"/>
              <w:right w:val="single" w:sz="4" w:space="0" w:color="auto"/>
            </w:tcBorders>
            <w:vAlign w:val="center"/>
            <w:hideMark/>
          </w:tcPr>
          <w:p w:rsidR="00286137" w:rsidRPr="007B6745" w:rsidP="00286137" w14:paraId="0C6A4370" w14:textId="77777777">
            <w:pPr>
              <w:pStyle w:val="RTableTextAbt"/>
            </w:pPr>
            <w:r w:rsidRPr="007B6745">
              <w:t xml:space="preserve">$107 </w:t>
            </w:r>
          </w:p>
        </w:tc>
        <w:tc>
          <w:tcPr>
            <w:tcW w:w="481" w:type="pct"/>
            <w:tcBorders>
              <w:top w:val="single" w:sz="4" w:space="0" w:color="auto"/>
              <w:left w:val="single" w:sz="4" w:space="0" w:color="auto"/>
              <w:bottom w:val="single" w:sz="4" w:space="0" w:color="auto"/>
              <w:right w:val="single" w:sz="4" w:space="0" w:color="auto"/>
            </w:tcBorders>
            <w:vAlign w:val="center"/>
            <w:hideMark/>
          </w:tcPr>
          <w:p w:rsidR="00286137" w:rsidRPr="007B6745" w:rsidP="00286137" w14:paraId="63A9DDCD" w14:textId="2AD66502">
            <w:pPr>
              <w:pStyle w:val="RTableTextAbt"/>
            </w:pPr>
            <w:r>
              <w:rPr>
                <w:szCs w:val="18"/>
              </w:rPr>
              <w:t xml:space="preserve">$2,377 </w:t>
            </w:r>
          </w:p>
        </w:tc>
      </w:tr>
      <w:tr w14:paraId="5707297E" w14:textId="77777777" w:rsidTr="00951071">
        <w:tblPrEx>
          <w:tblW w:w="5000" w:type="pct"/>
          <w:tblLayout w:type="fixed"/>
          <w:tblLook w:val="04A0"/>
        </w:tblPrEx>
        <w:trPr>
          <w:trHeight w:val="280"/>
        </w:trPr>
        <w:tc>
          <w:tcPr>
            <w:tcW w:w="2499" w:type="pct"/>
            <w:tcBorders>
              <w:top w:val="single" w:sz="4" w:space="0" w:color="auto"/>
              <w:left w:val="single" w:sz="4" w:space="0" w:color="auto"/>
              <w:bottom w:val="single" w:sz="4" w:space="0" w:color="auto"/>
              <w:right w:val="single" w:sz="4" w:space="0" w:color="auto"/>
            </w:tcBorders>
            <w:noWrap/>
            <w:vAlign w:val="center"/>
            <w:hideMark/>
          </w:tcPr>
          <w:p w:rsidR="00286137" w:rsidRPr="007520DD" w:rsidP="00286137" w14:paraId="00761754" w14:textId="1FAF9927">
            <w:pPr>
              <w:pStyle w:val="LTableTextAbt"/>
            </w:pPr>
            <w:r w:rsidRPr="007520DD">
              <w:t>PAPR, Half Mask</w:t>
            </w:r>
            <w:r w:rsidR="006C227D">
              <w:t xml:space="preserve"> (APF 50)</w:t>
            </w:r>
          </w:p>
        </w:tc>
        <w:tc>
          <w:tcPr>
            <w:tcW w:w="722" w:type="pct"/>
            <w:tcBorders>
              <w:top w:val="single" w:sz="4" w:space="0" w:color="auto"/>
              <w:left w:val="single" w:sz="4" w:space="0" w:color="auto"/>
              <w:bottom w:val="single" w:sz="4" w:space="0" w:color="auto"/>
              <w:right w:val="single" w:sz="4" w:space="0" w:color="auto"/>
            </w:tcBorders>
            <w:vAlign w:val="center"/>
          </w:tcPr>
          <w:p w:rsidR="00286137" w:rsidRPr="007B6745" w14:paraId="3D6D29E4" w14:textId="5D2D7DCB">
            <w:pPr>
              <w:pStyle w:val="RTableTextAbt"/>
              <w:ind w:right="320"/>
            </w:pPr>
            <w:r>
              <w:t>$593</w:t>
            </w:r>
          </w:p>
        </w:tc>
        <w:tc>
          <w:tcPr>
            <w:tcW w:w="625" w:type="pct"/>
            <w:tcBorders>
              <w:top w:val="single" w:sz="4" w:space="0" w:color="auto"/>
              <w:left w:val="single" w:sz="4" w:space="0" w:color="auto"/>
              <w:bottom w:val="single" w:sz="4" w:space="0" w:color="auto"/>
              <w:right w:val="single" w:sz="4" w:space="0" w:color="auto"/>
            </w:tcBorders>
            <w:vAlign w:val="center"/>
          </w:tcPr>
          <w:p w:rsidR="00286137" w:rsidRPr="007B6745" w:rsidP="00286137" w14:paraId="4D69A836" w14:textId="13AFDB3D">
            <w:pPr>
              <w:pStyle w:val="RTableTextAbt"/>
            </w:pPr>
            <w:r w:rsidRPr="007B6745">
              <w:t xml:space="preserve">$1,897 </w:t>
            </w:r>
          </w:p>
        </w:tc>
        <w:tc>
          <w:tcPr>
            <w:tcW w:w="673" w:type="pct"/>
            <w:tcBorders>
              <w:top w:val="single" w:sz="4" w:space="0" w:color="auto"/>
              <w:left w:val="single" w:sz="4" w:space="0" w:color="auto"/>
              <w:bottom w:val="single" w:sz="4" w:space="0" w:color="auto"/>
              <w:right w:val="single" w:sz="4" w:space="0" w:color="auto"/>
            </w:tcBorders>
            <w:vAlign w:val="center"/>
            <w:hideMark/>
          </w:tcPr>
          <w:p w:rsidR="00286137" w:rsidRPr="007B6745" w:rsidP="00286137" w14:paraId="69671062" w14:textId="77777777">
            <w:pPr>
              <w:pStyle w:val="RTableTextAbt"/>
            </w:pPr>
            <w:r w:rsidRPr="007B6745">
              <w:t xml:space="preserve">$107 </w:t>
            </w:r>
          </w:p>
        </w:tc>
        <w:tc>
          <w:tcPr>
            <w:tcW w:w="481" w:type="pct"/>
            <w:tcBorders>
              <w:top w:val="single" w:sz="4" w:space="0" w:color="auto"/>
              <w:left w:val="single" w:sz="4" w:space="0" w:color="auto"/>
              <w:bottom w:val="single" w:sz="4" w:space="0" w:color="auto"/>
              <w:right w:val="single" w:sz="4" w:space="0" w:color="auto"/>
            </w:tcBorders>
            <w:vAlign w:val="center"/>
            <w:hideMark/>
          </w:tcPr>
          <w:p w:rsidR="00286137" w:rsidRPr="007B6745" w:rsidP="00286137" w14:paraId="31EC7311" w14:textId="52424BBC">
            <w:pPr>
              <w:pStyle w:val="RTableTextAbt"/>
            </w:pPr>
            <w:r>
              <w:rPr>
                <w:szCs w:val="18"/>
              </w:rPr>
              <w:t xml:space="preserve">$2,004 </w:t>
            </w:r>
          </w:p>
        </w:tc>
      </w:tr>
      <w:tr w14:paraId="0601491C" w14:textId="77777777" w:rsidTr="00951071">
        <w:tblPrEx>
          <w:tblW w:w="5000" w:type="pct"/>
          <w:tblLayout w:type="fixed"/>
          <w:tblLook w:val="04A0"/>
        </w:tblPrEx>
        <w:trPr>
          <w:trHeight w:val="280"/>
        </w:trPr>
        <w:tc>
          <w:tcPr>
            <w:tcW w:w="2499" w:type="pct"/>
            <w:tcBorders>
              <w:top w:val="single" w:sz="4" w:space="0" w:color="auto"/>
              <w:left w:val="single" w:sz="4" w:space="0" w:color="auto"/>
              <w:bottom w:val="single" w:sz="4" w:space="0" w:color="auto"/>
              <w:right w:val="single" w:sz="4" w:space="0" w:color="auto"/>
            </w:tcBorders>
            <w:noWrap/>
            <w:vAlign w:val="center"/>
            <w:hideMark/>
          </w:tcPr>
          <w:p w:rsidR="00286137" w:rsidRPr="007520DD" w:rsidP="00286137" w14:paraId="48CFAA34" w14:textId="097392CD">
            <w:pPr>
              <w:pStyle w:val="LTableTextAbt"/>
            </w:pPr>
            <w:r w:rsidRPr="007520DD">
              <w:t>SAR, Continuous Flow Half</w:t>
            </w:r>
            <w:r w:rsidR="006C227D">
              <w:t xml:space="preserve"> (APF 50)</w:t>
            </w:r>
            <w:r w:rsidRPr="007520DD">
              <w:t xml:space="preserve"> Mask</w:t>
            </w:r>
          </w:p>
        </w:tc>
        <w:tc>
          <w:tcPr>
            <w:tcW w:w="722" w:type="pct"/>
            <w:tcBorders>
              <w:top w:val="single" w:sz="4" w:space="0" w:color="auto"/>
              <w:left w:val="single" w:sz="4" w:space="0" w:color="auto"/>
              <w:bottom w:val="single" w:sz="4" w:space="0" w:color="auto"/>
              <w:right w:val="single" w:sz="4" w:space="0" w:color="auto"/>
            </w:tcBorders>
            <w:vAlign w:val="center"/>
          </w:tcPr>
          <w:p w:rsidR="00286137" w:rsidRPr="007B6745" w14:paraId="192FBE11" w14:textId="353FA9A4">
            <w:pPr>
              <w:pStyle w:val="RTableTextAbt"/>
              <w:ind w:right="320"/>
            </w:pPr>
            <w:r>
              <w:t>$593</w:t>
            </w:r>
          </w:p>
        </w:tc>
        <w:tc>
          <w:tcPr>
            <w:tcW w:w="625" w:type="pct"/>
            <w:tcBorders>
              <w:top w:val="single" w:sz="4" w:space="0" w:color="auto"/>
              <w:left w:val="single" w:sz="4" w:space="0" w:color="auto"/>
              <w:bottom w:val="single" w:sz="4" w:space="0" w:color="auto"/>
              <w:right w:val="single" w:sz="4" w:space="0" w:color="auto"/>
            </w:tcBorders>
            <w:vAlign w:val="center"/>
          </w:tcPr>
          <w:p w:rsidR="00286137" w:rsidRPr="007B6745" w:rsidP="00286137" w14:paraId="61C16827" w14:textId="5C7A7159">
            <w:pPr>
              <w:pStyle w:val="RTableTextAbt"/>
            </w:pPr>
            <w:r w:rsidRPr="007B6745">
              <w:t xml:space="preserve">$1,352 </w:t>
            </w:r>
          </w:p>
        </w:tc>
        <w:tc>
          <w:tcPr>
            <w:tcW w:w="673" w:type="pct"/>
            <w:tcBorders>
              <w:top w:val="single" w:sz="4" w:space="0" w:color="auto"/>
              <w:left w:val="single" w:sz="4" w:space="0" w:color="auto"/>
              <w:bottom w:val="single" w:sz="4" w:space="0" w:color="auto"/>
              <w:right w:val="single" w:sz="4" w:space="0" w:color="auto"/>
            </w:tcBorders>
            <w:vAlign w:val="center"/>
            <w:hideMark/>
          </w:tcPr>
          <w:p w:rsidR="00286137" w:rsidRPr="007B6745" w:rsidP="00286137" w14:paraId="53C58326" w14:textId="77777777">
            <w:pPr>
              <w:pStyle w:val="RTableTextAbt"/>
            </w:pPr>
            <w:r w:rsidRPr="007B6745">
              <w:t xml:space="preserve">$107 </w:t>
            </w:r>
          </w:p>
        </w:tc>
        <w:tc>
          <w:tcPr>
            <w:tcW w:w="481" w:type="pct"/>
            <w:tcBorders>
              <w:top w:val="single" w:sz="4" w:space="0" w:color="auto"/>
              <w:left w:val="single" w:sz="4" w:space="0" w:color="auto"/>
              <w:bottom w:val="single" w:sz="4" w:space="0" w:color="auto"/>
              <w:right w:val="single" w:sz="4" w:space="0" w:color="auto"/>
            </w:tcBorders>
            <w:vAlign w:val="center"/>
            <w:hideMark/>
          </w:tcPr>
          <w:p w:rsidR="00286137" w:rsidRPr="007B6745" w:rsidP="00286137" w14:paraId="5B45209F" w14:textId="0C896D50">
            <w:pPr>
              <w:pStyle w:val="RTableTextAbt"/>
            </w:pPr>
            <w:r>
              <w:rPr>
                <w:szCs w:val="18"/>
              </w:rPr>
              <w:t xml:space="preserve">$1,459 </w:t>
            </w:r>
          </w:p>
        </w:tc>
      </w:tr>
      <w:tr w14:paraId="3088A015" w14:textId="77777777" w:rsidTr="00951071">
        <w:tblPrEx>
          <w:tblW w:w="5000" w:type="pct"/>
          <w:tblLayout w:type="fixed"/>
          <w:tblLook w:val="04A0"/>
        </w:tblPrEx>
        <w:trPr>
          <w:trHeight w:val="280"/>
        </w:trPr>
        <w:tc>
          <w:tcPr>
            <w:tcW w:w="2499" w:type="pct"/>
            <w:tcBorders>
              <w:top w:val="single" w:sz="4" w:space="0" w:color="auto"/>
              <w:left w:val="single" w:sz="4" w:space="0" w:color="auto"/>
              <w:bottom w:val="single" w:sz="4" w:space="0" w:color="auto"/>
              <w:right w:val="single" w:sz="4" w:space="0" w:color="auto"/>
            </w:tcBorders>
            <w:noWrap/>
            <w:vAlign w:val="center"/>
            <w:hideMark/>
          </w:tcPr>
          <w:p w:rsidR="00286137" w:rsidRPr="007520DD" w:rsidP="00286137" w14:paraId="7A5E6660" w14:textId="3F845E13">
            <w:pPr>
              <w:pStyle w:val="LTableTextAbt"/>
            </w:pPr>
            <w:r w:rsidRPr="007520DD">
              <w:t>PAPR, Full Facepiece</w:t>
            </w:r>
            <w:r w:rsidR="006C227D">
              <w:t xml:space="preserve"> (APF 1,000)</w:t>
            </w:r>
          </w:p>
        </w:tc>
        <w:tc>
          <w:tcPr>
            <w:tcW w:w="722" w:type="pct"/>
            <w:tcBorders>
              <w:top w:val="single" w:sz="4" w:space="0" w:color="auto"/>
              <w:left w:val="single" w:sz="4" w:space="0" w:color="auto"/>
              <w:bottom w:val="single" w:sz="4" w:space="0" w:color="auto"/>
              <w:right w:val="single" w:sz="4" w:space="0" w:color="auto"/>
            </w:tcBorders>
            <w:vAlign w:val="center"/>
          </w:tcPr>
          <w:p w:rsidR="00286137" w:rsidRPr="007B6745" w14:paraId="647244EF" w14:textId="665BCAB3">
            <w:pPr>
              <w:pStyle w:val="RTableTextAbt"/>
              <w:ind w:right="320"/>
            </w:pPr>
            <w:r>
              <w:t>$593</w:t>
            </w:r>
          </w:p>
        </w:tc>
        <w:tc>
          <w:tcPr>
            <w:tcW w:w="625" w:type="pct"/>
            <w:tcBorders>
              <w:top w:val="single" w:sz="4" w:space="0" w:color="auto"/>
              <w:left w:val="single" w:sz="4" w:space="0" w:color="auto"/>
              <w:bottom w:val="single" w:sz="4" w:space="0" w:color="auto"/>
              <w:right w:val="single" w:sz="4" w:space="0" w:color="auto"/>
            </w:tcBorders>
            <w:vAlign w:val="center"/>
          </w:tcPr>
          <w:p w:rsidR="00286137" w:rsidRPr="007B6745" w:rsidP="00286137" w14:paraId="128A5B5A" w14:textId="605B5A64">
            <w:pPr>
              <w:pStyle w:val="RTableTextAbt"/>
            </w:pPr>
            <w:r w:rsidRPr="007B6745">
              <w:t xml:space="preserve">$2,076 </w:t>
            </w:r>
          </w:p>
        </w:tc>
        <w:tc>
          <w:tcPr>
            <w:tcW w:w="673" w:type="pct"/>
            <w:tcBorders>
              <w:top w:val="single" w:sz="4" w:space="0" w:color="auto"/>
              <w:left w:val="single" w:sz="4" w:space="0" w:color="auto"/>
              <w:bottom w:val="single" w:sz="4" w:space="0" w:color="auto"/>
              <w:right w:val="single" w:sz="4" w:space="0" w:color="auto"/>
            </w:tcBorders>
            <w:vAlign w:val="center"/>
            <w:hideMark/>
          </w:tcPr>
          <w:p w:rsidR="00286137" w:rsidRPr="007B6745" w:rsidP="00286137" w14:paraId="60DF4384" w14:textId="77777777">
            <w:pPr>
              <w:pStyle w:val="RTableTextAbt"/>
            </w:pPr>
            <w:r w:rsidRPr="007B6745">
              <w:t xml:space="preserve">$107 </w:t>
            </w:r>
          </w:p>
        </w:tc>
        <w:tc>
          <w:tcPr>
            <w:tcW w:w="481" w:type="pct"/>
            <w:tcBorders>
              <w:top w:val="single" w:sz="4" w:space="0" w:color="auto"/>
              <w:left w:val="single" w:sz="4" w:space="0" w:color="auto"/>
              <w:bottom w:val="single" w:sz="4" w:space="0" w:color="auto"/>
              <w:right w:val="single" w:sz="4" w:space="0" w:color="auto"/>
            </w:tcBorders>
            <w:vAlign w:val="center"/>
            <w:hideMark/>
          </w:tcPr>
          <w:p w:rsidR="00286137" w:rsidRPr="007B6745" w:rsidP="00286137" w14:paraId="702E0527" w14:textId="2F064AED">
            <w:pPr>
              <w:pStyle w:val="RTableTextAbt"/>
            </w:pPr>
            <w:r>
              <w:rPr>
                <w:szCs w:val="18"/>
              </w:rPr>
              <w:t xml:space="preserve">$2,183 </w:t>
            </w:r>
          </w:p>
        </w:tc>
      </w:tr>
      <w:tr w14:paraId="5AECF4EC" w14:textId="77777777" w:rsidTr="00951071">
        <w:tblPrEx>
          <w:tblW w:w="5000" w:type="pct"/>
          <w:tblLayout w:type="fixed"/>
          <w:tblLook w:val="04A0"/>
        </w:tblPrEx>
        <w:trPr>
          <w:trHeight w:val="280"/>
        </w:trPr>
        <w:tc>
          <w:tcPr>
            <w:tcW w:w="2499" w:type="pct"/>
            <w:tcBorders>
              <w:top w:val="single" w:sz="4" w:space="0" w:color="auto"/>
              <w:left w:val="single" w:sz="4" w:space="0" w:color="auto"/>
              <w:bottom w:val="single" w:sz="4" w:space="0" w:color="auto"/>
              <w:right w:val="single" w:sz="4" w:space="0" w:color="auto"/>
            </w:tcBorders>
            <w:noWrap/>
            <w:vAlign w:val="center"/>
            <w:hideMark/>
          </w:tcPr>
          <w:p w:rsidR="00286137" w:rsidRPr="007520DD" w:rsidP="00286137" w14:paraId="0472034D" w14:textId="1918E649">
            <w:pPr>
              <w:pStyle w:val="LTableTextAbt"/>
            </w:pPr>
            <w:r w:rsidRPr="007520DD">
              <w:t>PAPR, Helmet/Hood</w:t>
            </w:r>
            <w:r w:rsidR="006C227D">
              <w:t xml:space="preserve"> (APF 1,000)</w:t>
            </w:r>
          </w:p>
        </w:tc>
        <w:tc>
          <w:tcPr>
            <w:tcW w:w="722" w:type="pct"/>
            <w:tcBorders>
              <w:top w:val="single" w:sz="4" w:space="0" w:color="auto"/>
              <w:left w:val="single" w:sz="4" w:space="0" w:color="auto"/>
              <w:bottom w:val="single" w:sz="4" w:space="0" w:color="auto"/>
              <w:right w:val="single" w:sz="4" w:space="0" w:color="auto"/>
            </w:tcBorders>
            <w:vAlign w:val="center"/>
          </w:tcPr>
          <w:p w:rsidR="00286137" w:rsidRPr="007B6745" w14:paraId="1A759DFD" w14:textId="6A7C11DC">
            <w:pPr>
              <w:pStyle w:val="RTableTextAbt"/>
              <w:ind w:right="320"/>
            </w:pPr>
            <w:r>
              <w:t>$593</w:t>
            </w:r>
          </w:p>
        </w:tc>
        <w:tc>
          <w:tcPr>
            <w:tcW w:w="625" w:type="pct"/>
            <w:tcBorders>
              <w:top w:val="single" w:sz="4" w:space="0" w:color="auto"/>
              <w:left w:val="single" w:sz="4" w:space="0" w:color="auto"/>
              <w:bottom w:val="single" w:sz="4" w:space="0" w:color="auto"/>
              <w:right w:val="single" w:sz="4" w:space="0" w:color="auto"/>
            </w:tcBorders>
            <w:vAlign w:val="center"/>
          </w:tcPr>
          <w:p w:rsidR="00286137" w:rsidRPr="007B6745" w:rsidP="00286137" w14:paraId="24F540E5" w14:textId="2BA7A038">
            <w:pPr>
              <w:pStyle w:val="RTableTextAbt"/>
            </w:pPr>
            <w:r w:rsidRPr="007B6745">
              <w:t xml:space="preserve">$1,974 </w:t>
            </w:r>
          </w:p>
        </w:tc>
        <w:tc>
          <w:tcPr>
            <w:tcW w:w="673" w:type="pct"/>
            <w:tcBorders>
              <w:top w:val="single" w:sz="4" w:space="0" w:color="auto"/>
              <w:left w:val="single" w:sz="4" w:space="0" w:color="auto"/>
              <w:bottom w:val="single" w:sz="4" w:space="0" w:color="auto"/>
              <w:right w:val="single" w:sz="4" w:space="0" w:color="auto"/>
            </w:tcBorders>
            <w:vAlign w:val="center"/>
            <w:hideMark/>
          </w:tcPr>
          <w:p w:rsidR="00286137" w:rsidRPr="007B6745" w:rsidP="00286137" w14:paraId="6FC75333" w14:textId="77777777">
            <w:pPr>
              <w:pStyle w:val="RTableTextAbt"/>
            </w:pPr>
            <w:r w:rsidRPr="007B6745">
              <w:t xml:space="preserve">$107 </w:t>
            </w:r>
          </w:p>
        </w:tc>
        <w:tc>
          <w:tcPr>
            <w:tcW w:w="481" w:type="pct"/>
            <w:tcBorders>
              <w:top w:val="single" w:sz="4" w:space="0" w:color="auto"/>
              <w:left w:val="single" w:sz="4" w:space="0" w:color="auto"/>
              <w:bottom w:val="single" w:sz="4" w:space="0" w:color="auto"/>
              <w:right w:val="single" w:sz="4" w:space="0" w:color="auto"/>
            </w:tcBorders>
            <w:vAlign w:val="center"/>
            <w:hideMark/>
          </w:tcPr>
          <w:p w:rsidR="00286137" w:rsidRPr="007B6745" w:rsidP="00286137" w14:paraId="4CCFCCB4" w14:textId="3FF1FCBF">
            <w:pPr>
              <w:pStyle w:val="RTableTextAbt"/>
            </w:pPr>
            <w:r>
              <w:rPr>
                <w:szCs w:val="18"/>
              </w:rPr>
              <w:t xml:space="preserve">$2,081 </w:t>
            </w:r>
          </w:p>
        </w:tc>
      </w:tr>
      <w:tr w14:paraId="1DDA9F85" w14:textId="77777777" w:rsidTr="00951071">
        <w:tblPrEx>
          <w:tblW w:w="5000" w:type="pct"/>
          <w:tblLayout w:type="fixed"/>
          <w:tblLook w:val="04A0"/>
        </w:tblPrEx>
        <w:trPr>
          <w:trHeight w:val="280"/>
        </w:trPr>
        <w:tc>
          <w:tcPr>
            <w:tcW w:w="2499" w:type="pct"/>
            <w:tcBorders>
              <w:top w:val="single" w:sz="4" w:space="0" w:color="auto"/>
              <w:left w:val="single" w:sz="4" w:space="0" w:color="auto"/>
              <w:bottom w:val="single" w:sz="4" w:space="0" w:color="auto"/>
              <w:right w:val="single" w:sz="4" w:space="0" w:color="auto"/>
            </w:tcBorders>
            <w:noWrap/>
            <w:vAlign w:val="center"/>
            <w:hideMark/>
          </w:tcPr>
          <w:p w:rsidR="00286137" w:rsidRPr="007520DD" w:rsidP="00286137" w14:paraId="4F7CF247" w14:textId="2CB3D17F">
            <w:pPr>
              <w:pStyle w:val="LTableTextAbt"/>
            </w:pPr>
            <w:r w:rsidRPr="007520DD">
              <w:t>SAR, Continuous Flow Full Facepiece</w:t>
            </w:r>
            <w:r w:rsidR="00F45F72">
              <w:t xml:space="preserve"> (APF 1,000)</w:t>
            </w:r>
          </w:p>
        </w:tc>
        <w:tc>
          <w:tcPr>
            <w:tcW w:w="722" w:type="pct"/>
            <w:tcBorders>
              <w:top w:val="single" w:sz="4" w:space="0" w:color="auto"/>
              <w:left w:val="single" w:sz="4" w:space="0" w:color="auto"/>
              <w:bottom w:val="single" w:sz="4" w:space="0" w:color="auto"/>
              <w:right w:val="single" w:sz="4" w:space="0" w:color="auto"/>
            </w:tcBorders>
            <w:vAlign w:val="center"/>
          </w:tcPr>
          <w:p w:rsidR="00286137" w:rsidRPr="007B6745" w14:paraId="060A8165" w14:textId="34C62726">
            <w:pPr>
              <w:pStyle w:val="RTableTextAbt"/>
              <w:ind w:right="320"/>
            </w:pPr>
            <w:r>
              <w:t>$593</w:t>
            </w:r>
          </w:p>
        </w:tc>
        <w:tc>
          <w:tcPr>
            <w:tcW w:w="625" w:type="pct"/>
            <w:tcBorders>
              <w:top w:val="single" w:sz="4" w:space="0" w:color="auto"/>
              <w:left w:val="single" w:sz="4" w:space="0" w:color="auto"/>
              <w:bottom w:val="single" w:sz="4" w:space="0" w:color="auto"/>
              <w:right w:val="single" w:sz="4" w:space="0" w:color="auto"/>
            </w:tcBorders>
            <w:vAlign w:val="center"/>
          </w:tcPr>
          <w:p w:rsidR="00286137" w:rsidRPr="007B6745" w:rsidP="00286137" w14:paraId="076760E4" w14:textId="58BA61C7">
            <w:pPr>
              <w:pStyle w:val="RTableTextAbt"/>
            </w:pPr>
            <w:r w:rsidRPr="007B6745">
              <w:t xml:space="preserve">$1,531 </w:t>
            </w:r>
          </w:p>
        </w:tc>
        <w:tc>
          <w:tcPr>
            <w:tcW w:w="673" w:type="pct"/>
            <w:tcBorders>
              <w:top w:val="single" w:sz="4" w:space="0" w:color="auto"/>
              <w:left w:val="single" w:sz="4" w:space="0" w:color="auto"/>
              <w:bottom w:val="single" w:sz="4" w:space="0" w:color="auto"/>
              <w:right w:val="single" w:sz="4" w:space="0" w:color="auto"/>
            </w:tcBorders>
            <w:vAlign w:val="center"/>
            <w:hideMark/>
          </w:tcPr>
          <w:p w:rsidR="00286137" w:rsidRPr="007B6745" w:rsidP="00286137" w14:paraId="23FCCF2A" w14:textId="77777777">
            <w:pPr>
              <w:pStyle w:val="RTableTextAbt"/>
            </w:pPr>
            <w:r w:rsidRPr="007B6745">
              <w:t xml:space="preserve">$107 </w:t>
            </w:r>
          </w:p>
        </w:tc>
        <w:tc>
          <w:tcPr>
            <w:tcW w:w="481" w:type="pct"/>
            <w:tcBorders>
              <w:top w:val="single" w:sz="4" w:space="0" w:color="auto"/>
              <w:left w:val="single" w:sz="4" w:space="0" w:color="auto"/>
              <w:bottom w:val="single" w:sz="4" w:space="0" w:color="auto"/>
              <w:right w:val="single" w:sz="4" w:space="0" w:color="auto"/>
            </w:tcBorders>
            <w:vAlign w:val="center"/>
            <w:hideMark/>
          </w:tcPr>
          <w:p w:rsidR="00286137" w:rsidRPr="007B6745" w:rsidP="00286137" w14:paraId="34A44AE9" w14:textId="19AEBEF1">
            <w:pPr>
              <w:pStyle w:val="RTableTextAbt"/>
            </w:pPr>
            <w:r>
              <w:rPr>
                <w:szCs w:val="18"/>
              </w:rPr>
              <w:t xml:space="preserve">$1,638 </w:t>
            </w:r>
          </w:p>
        </w:tc>
      </w:tr>
      <w:tr w14:paraId="6A2CD780" w14:textId="77777777" w:rsidTr="00951071">
        <w:tblPrEx>
          <w:tblW w:w="5000" w:type="pct"/>
          <w:tblLayout w:type="fixed"/>
          <w:tblLook w:val="04A0"/>
        </w:tblPrEx>
        <w:trPr>
          <w:trHeight w:val="280"/>
        </w:trPr>
        <w:tc>
          <w:tcPr>
            <w:tcW w:w="2499" w:type="pct"/>
            <w:tcBorders>
              <w:top w:val="single" w:sz="4" w:space="0" w:color="auto"/>
              <w:left w:val="single" w:sz="4" w:space="0" w:color="auto"/>
              <w:bottom w:val="single" w:sz="4" w:space="0" w:color="auto"/>
              <w:right w:val="single" w:sz="4" w:space="0" w:color="auto"/>
            </w:tcBorders>
            <w:noWrap/>
            <w:vAlign w:val="center"/>
            <w:hideMark/>
          </w:tcPr>
          <w:p w:rsidR="00286137" w:rsidRPr="007520DD" w:rsidP="00286137" w14:paraId="672660BE" w14:textId="25B6F3FD">
            <w:pPr>
              <w:pStyle w:val="LTableTextAbt"/>
            </w:pPr>
            <w:r w:rsidRPr="007520DD">
              <w:t>SAR, Continuous Flow Helmet/Hood</w:t>
            </w:r>
            <w:r w:rsidR="00F45F72">
              <w:t xml:space="preserve"> (APF 1,000)</w:t>
            </w:r>
          </w:p>
        </w:tc>
        <w:tc>
          <w:tcPr>
            <w:tcW w:w="722" w:type="pct"/>
            <w:tcBorders>
              <w:top w:val="single" w:sz="4" w:space="0" w:color="auto"/>
              <w:left w:val="single" w:sz="4" w:space="0" w:color="auto"/>
              <w:bottom w:val="single" w:sz="4" w:space="0" w:color="auto"/>
              <w:right w:val="single" w:sz="4" w:space="0" w:color="auto"/>
            </w:tcBorders>
            <w:vAlign w:val="center"/>
          </w:tcPr>
          <w:p w:rsidR="00286137" w:rsidRPr="007B6745" w14:paraId="59F4BDF6" w14:textId="30D8AACE">
            <w:pPr>
              <w:pStyle w:val="RTableTextAbt"/>
              <w:ind w:right="320"/>
            </w:pPr>
            <w:r>
              <w:t>$593</w:t>
            </w:r>
          </w:p>
        </w:tc>
        <w:tc>
          <w:tcPr>
            <w:tcW w:w="625" w:type="pct"/>
            <w:tcBorders>
              <w:top w:val="single" w:sz="4" w:space="0" w:color="auto"/>
              <w:left w:val="single" w:sz="4" w:space="0" w:color="auto"/>
              <w:bottom w:val="single" w:sz="4" w:space="0" w:color="auto"/>
              <w:right w:val="single" w:sz="4" w:space="0" w:color="auto"/>
            </w:tcBorders>
            <w:vAlign w:val="center"/>
          </w:tcPr>
          <w:p w:rsidR="00286137" w:rsidRPr="007B6745" w:rsidP="00286137" w14:paraId="465A5867" w14:textId="0145FC8B">
            <w:pPr>
              <w:pStyle w:val="RTableTextAbt"/>
            </w:pPr>
            <w:r w:rsidRPr="007B6745">
              <w:t xml:space="preserve">$1,520 </w:t>
            </w:r>
          </w:p>
        </w:tc>
        <w:tc>
          <w:tcPr>
            <w:tcW w:w="673" w:type="pct"/>
            <w:tcBorders>
              <w:top w:val="single" w:sz="4" w:space="0" w:color="auto"/>
              <w:left w:val="single" w:sz="4" w:space="0" w:color="auto"/>
              <w:bottom w:val="single" w:sz="4" w:space="0" w:color="auto"/>
              <w:right w:val="single" w:sz="4" w:space="0" w:color="auto"/>
            </w:tcBorders>
            <w:vAlign w:val="center"/>
            <w:hideMark/>
          </w:tcPr>
          <w:p w:rsidR="00286137" w:rsidRPr="007B6745" w:rsidP="00286137" w14:paraId="12FE392B" w14:textId="77777777">
            <w:pPr>
              <w:pStyle w:val="RTableTextAbt"/>
            </w:pPr>
            <w:r w:rsidRPr="007B6745">
              <w:t xml:space="preserve">$107 </w:t>
            </w:r>
          </w:p>
        </w:tc>
        <w:tc>
          <w:tcPr>
            <w:tcW w:w="481" w:type="pct"/>
            <w:tcBorders>
              <w:top w:val="single" w:sz="4" w:space="0" w:color="auto"/>
              <w:left w:val="single" w:sz="4" w:space="0" w:color="auto"/>
              <w:bottom w:val="single" w:sz="4" w:space="0" w:color="auto"/>
              <w:right w:val="single" w:sz="4" w:space="0" w:color="auto"/>
            </w:tcBorders>
            <w:vAlign w:val="center"/>
            <w:hideMark/>
          </w:tcPr>
          <w:p w:rsidR="00286137" w:rsidRPr="007B6745" w:rsidP="00286137" w14:paraId="3DE3E09E" w14:textId="60F0908E">
            <w:pPr>
              <w:pStyle w:val="RTableTextAbt"/>
            </w:pPr>
            <w:r>
              <w:rPr>
                <w:szCs w:val="18"/>
              </w:rPr>
              <w:t xml:space="preserve">$1,627 </w:t>
            </w:r>
          </w:p>
        </w:tc>
      </w:tr>
      <w:tr w14:paraId="6751F21F" w14:textId="77777777" w:rsidTr="00951071">
        <w:tblPrEx>
          <w:tblW w:w="5000" w:type="pct"/>
          <w:tblLayout w:type="fixed"/>
          <w:tblLook w:val="04A0"/>
        </w:tblPrEx>
        <w:trPr>
          <w:trHeight w:val="280"/>
        </w:trPr>
        <w:tc>
          <w:tcPr>
            <w:tcW w:w="2499" w:type="pct"/>
            <w:tcBorders>
              <w:top w:val="single" w:sz="4" w:space="0" w:color="auto"/>
              <w:left w:val="single" w:sz="4" w:space="0" w:color="auto"/>
              <w:bottom w:val="single" w:sz="4" w:space="0" w:color="auto"/>
              <w:right w:val="single" w:sz="4" w:space="0" w:color="auto"/>
            </w:tcBorders>
            <w:noWrap/>
            <w:vAlign w:val="center"/>
            <w:hideMark/>
          </w:tcPr>
          <w:p w:rsidR="00286137" w:rsidRPr="007520DD" w:rsidP="00286137" w14:paraId="55543BFD" w14:textId="14E29A5C">
            <w:pPr>
              <w:pStyle w:val="LTableTextAbt"/>
            </w:pPr>
            <w:r w:rsidRPr="007520DD">
              <w:t>SCBA, Positive-pressure Mode, Full Facepiece</w:t>
            </w:r>
            <w:r w:rsidR="00F45F72">
              <w:t xml:space="preserve"> (APF 10,000)</w:t>
            </w:r>
          </w:p>
        </w:tc>
        <w:tc>
          <w:tcPr>
            <w:tcW w:w="722" w:type="pct"/>
            <w:tcBorders>
              <w:top w:val="single" w:sz="4" w:space="0" w:color="auto"/>
              <w:left w:val="single" w:sz="4" w:space="0" w:color="auto"/>
              <w:bottom w:val="single" w:sz="4" w:space="0" w:color="auto"/>
              <w:right w:val="single" w:sz="4" w:space="0" w:color="auto"/>
            </w:tcBorders>
            <w:vAlign w:val="center"/>
          </w:tcPr>
          <w:p w:rsidR="00286137" w:rsidRPr="007B6745" w14:paraId="238713CF" w14:textId="031D7E0D">
            <w:pPr>
              <w:pStyle w:val="RTableTextAbt"/>
              <w:ind w:right="320"/>
            </w:pPr>
            <w:r>
              <w:t>$593</w:t>
            </w:r>
          </w:p>
        </w:tc>
        <w:tc>
          <w:tcPr>
            <w:tcW w:w="625" w:type="pct"/>
            <w:tcBorders>
              <w:top w:val="single" w:sz="4" w:space="0" w:color="auto"/>
              <w:left w:val="single" w:sz="4" w:space="0" w:color="auto"/>
              <w:bottom w:val="single" w:sz="4" w:space="0" w:color="auto"/>
              <w:right w:val="single" w:sz="4" w:space="0" w:color="auto"/>
            </w:tcBorders>
            <w:vAlign w:val="center"/>
          </w:tcPr>
          <w:p w:rsidR="00286137" w:rsidRPr="007B6745" w:rsidP="00286137" w14:paraId="1B8E47BB" w14:textId="74F60D86">
            <w:pPr>
              <w:pStyle w:val="RTableTextAbt"/>
            </w:pPr>
            <w:r w:rsidRPr="007B6745">
              <w:t xml:space="preserve">$8,531 </w:t>
            </w:r>
          </w:p>
        </w:tc>
        <w:tc>
          <w:tcPr>
            <w:tcW w:w="673" w:type="pct"/>
            <w:tcBorders>
              <w:top w:val="single" w:sz="4" w:space="0" w:color="auto"/>
              <w:left w:val="single" w:sz="4" w:space="0" w:color="auto"/>
              <w:bottom w:val="single" w:sz="4" w:space="0" w:color="auto"/>
              <w:right w:val="single" w:sz="4" w:space="0" w:color="auto"/>
            </w:tcBorders>
            <w:vAlign w:val="center"/>
            <w:hideMark/>
          </w:tcPr>
          <w:p w:rsidR="00286137" w:rsidRPr="007B6745" w:rsidP="00286137" w14:paraId="3C629D36" w14:textId="77777777">
            <w:pPr>
              <w:pStyle w:val="RTableTextAbt"/>
            </w:pPr>
            <w:r w:rsidRPr="007B6745">
              <w:t xml:space="preserve">$107 </w:t>
            </w:r>
          </w:p>
        </w:tc>
        <w:tc>
          <w:tcPr>
            <w:tcW w:w="481" w:type="pct"/>
            <w:tcBorders>
              <w:top w:val="single" w:sz="4" w:space="0" w:color="auto"/>
              <w:left w:val="single" w:sz="4" w:space="0" w:color="auto"/>
              <w:bottom w:val="single" w:sz="4" w:space="0" w:color="auto"/>
              <w:right w:val="single" w:sz="4" w:space="0" w:color="auto"/>
            </w:tcBorders>
            <w:vAlign w:val="center"/>
            <w:hideMark/>
          </w:tcPr>
          <w:p w:rsidR="00286137" w:rsidRPr="007B6745" w:rsidP="00286137" w14:paraId="2E35F703" w14:textId="78CAD9DB">
            <w:pPr>
              <w:pStyle w:val="RTableTextAbt"/>
            </w:pPr>
            <w:r>
              <w:rPr>
                <w:szCs w:val="18"/>
              </w:rPr>
              <w:t xml:space="preserve">$8,638 </w:t>
            </w:r>
          </w:p>
        </w:tc>
      </w:tr>
      <w:tr w14:paraId="47A60691" w14:textId="77777777" w:rsidTr="00951071">
        <w:tblPrEx>
          <w:tblW w:w="5000" w:type="pct"/>
          <w:tblLayout w:type="fixed"/>
          <w:tblLook w:val="04A0"/>
        </w:tblPrEx>
        <w:trPr>
          <w:trHeight w:val="280"/>
        </w:trPr>
        <w:tc>
          <w:tcPr>
            <w:tcW w:w="2499" w:type="pct"/>
            <w:tcBorders>
              <w:top w:val="single" w:sz="4" w:space="0" w:color="auto"/>
              <w:left w:val="single" w:sz="4" w:space="0" w:color="auto"/>
              <w:bottom w:val="single" w:sz="4" w:space="0" w:color="auto"/>
              <w:right w:val="single" w:sz="4" w:space="0" w:color="auto"/>
            </w:tcBorders>
            <w:noWrap/>
            <w:vAlign w:val="center"/>
            <w:hideMark/>
          </w:tcPr>
          <w:p w:rsidR="00286137" w:rsidRPr="007520DD" w:rsidP="00286137" w14:paraId="4DC28CC4" w14:textId="5F1A0092">
            <w:pPr>
              <w:pStyle w:val="LTableTextAbt"/>
            </w:pPr>
            <w:r w:rsidRPr="007520DD">
              <w:t>SCBA, Positive-pressure Mode, Helmet/Hood</w:t>
            </w:r>
            <w:r w:rsidR="00F45F72">
              <w:t xml:space="preserve"> (APF 10,000)</w:t>
            </w:r>
          </w:p>
        </w:tc>
        <w:tc>
          <w:tcPr>
            <w:tcW w:w="722" w:type="pct"/>
            <w:tcBorders>
              <w:top w:val="single" w:sz="4" w:space="0" w:color="auto"/>
              <w:left w:val="single" w:sz="4" w:space="0" w:color="auto"/>
              <w:bottom w:val="single" w:sz="4" w:space="0" w:color="auto"/>
              <w:right w:val="single" w:sz="4" w:space="0" w:color="auto"/>
            </w:tcBorders>
            <w:vAlign w:val="center"/>
          </w:tcPr>
          <w:p w:rsidR="00286137" w:rsidRPr="007B6745" w14:paraId="11095B3B" w14:textId="1D796AB4">
            <w:pPr>
              <w:pStyle w:val="RTableTextAbt"/>
              <w:ind w:right="320"/>
            </w:pPr>
            <w:r>
              <w:t>$593</w:t>
            </w:r>
          </w:p>
        </w:tc>
        <w:tc>
          <w:tcPr>
            <w:tcW w:w="625" w:type="pct"/>
            <w:tcBorders>
              <w:top w:val="single" w:sz="4" w:space="0" w:color="auto"/>
              <w:left w:val="single" w:sz="4" w:space="0" w:color="auto"/>
              <w:bottom w:val="single" w:sz="4" w:space="0" w:color="auto"/>
              <w:right w:val="single" w:sz="4" w:space="0" w:color="auto"/>
            </w:tcBorders>
            <w:vAlign w:val="center"/>
          </w:tcPr>
          <w:p w:rsidR="00286137" w:rsidRPr="007B6745" w:rsidP="00286137" w14:paraId="3B9F1E8F" w14:textId="1E71D441">
            <w:pPr>
              <w:pStyle w:val="RTableTextAbt"/>
            </w:pPr>
            <w:r w:rsidRPr="007B6745">
              <w:t xml:space="preserve">$8,769 </w:t>
            </w:r>
          </w:p>
        </w:tc>
        <w:tc>
          <w:tcPr>
            <w:tcW w:w="673" w:type="pct"/>
            <w:tcBorders>
              <w:top w:val="single" w:sz="4" w:space="0" w:color="auto"/>
              <w:left w:val="single" w:sz="4" w:space="0" w:color="auto"/>
              <w:bottom w:val="single" w:sz="4" w:space="0" w:color="auto"/>
              <w:right w:val="single" w:sz="4" w:space="0" w:color="auto"/>
            </w:tcBorders>
            <w:vAlign w:val="center"/>
            <w:hideMark/>
          </w:tcPr>
          <w:p w:rsidR="00286137" w:rsidRPr="007B6745" w:rsidP="00286137" w14:paraId="6264283E" w14:textId="77777777">
            <w:pPr>
              <w:pStyle w:val="RTableTextAbt"/>
            </w:pPr>
            <w:r w:rsidRPr="007B6745">
              <w:t xml:space="preserve">$107 </w:t>
            </w:r>
          </w:p>
        </w:tc>
        <w:tc>
          <w:tcPr>
            <w:tcW w:w="481" w:type="pct"/>
            <w:tcBorders>
              <w:top w:val="single" w:sz="4" w:space="0" w:color="auto"/>
              <w:left w:val="single" w:sz="4" w:space="0" w:color="auto"/>
              <w:bottom w:val="single" w:sz="4" w:space="0" w:color="auto"/>
              <w:right w:val="single" w:sz="4" w:space="0" w:color="auto"/>
            </w:tcBorders>
            <w:vAlign w:val="center"/>
            <w:hideMark/>
          </w:tcPr>
          <w:p w:rsidR="00286137" w:rsidRPr="007B6745" w:rsidP="00286137" w14:paraId="3768B9A0" w14:textId="5E999E29">
            <w:pPr>
              <w:pStyle w:val="RTableTextAbt"/>
            </w:pPr>
            <w:r>
              <w:rPr>
                <w:szCs w:val="18"/>
              </w:rPr>
              <w:t xml:space="preserve">$8,876 </w:t>
            </w:r>
          </w:p>
        </w:tc>
      </w:tr>
      <w:tr w14:paraId="664BB54E" w14:textId="77777777" w:rsidTr="0064758C">
        <w:tblPrEx>
          <w:tblW w:w="5000" w:type="pct"/>
          <w:tblLayout w:type="fixed"/>
          <w:tblLook w:val="04A0"/>
        </w:tblPrEx>
        <w:trPr>
          <w:trHeight w:val="360"/>
        </w:trPr>
        <w:tc>
          <w:tcPr>
            <w:tcW w:w="5000" w:type="pct"/>
            <w:gridSpan w:val="5"/>
            <w:tcBorders>
              <w:top w:val="single" w:sz="4" w:space="0" w:color="auto"/>
              <w:left w:val="single" w:sz="4" w:space="0" w:color="auto"/>
              <w:bottom w:val="single" w:sz="4" w:space="0" w:color="auto"/>
              <w:right w:val="single" w:sz="4" w:space="0" w:color="auto"/>
            </w:tcBorders>
            <w:hideMark/>
          </w:tcPr>
          <w:p w:rsidR="00286137" w:rsidRPr="007B6745" w:rsidP="00286137" w14:paraId="4756C18A" w14:textId="6E3CF286">
            <w:pPr>
              <w:pStyle w:val="TableNote0"/>
            </w:pPr>
            <w:r w:rsidRPr="007B6745">
              <w:t xml:space="preserve">Source: Based on costs for manufacturing sector from </w:t>
            </w:r>
            <w:r w:rsidRPr="47F4D8F7" w:rsidR="00843B82">
              <w:t xml:space="preserve">Abt </w:t>
            </w:r>
            <w:r w:rsidR="00843B82">
              <w:t>Global’s</w:t>
            </w:r>
            <w:r w:rsidRPr="47F4D8F7" w:rsidR="00843B82">
              <w:t xml:space="preserve"> </w:t>
            </w:r>
            <w:r w:rsidR="00843B82">
              <w:t>(</w:t>
            </w:r>
            <w:hyperlink w:anchor="_ENREF_1" w:tooltip="Abt Global, 2024 #1" w:history="1">
              <w:r w:rsidRPr="007B6745" w:rsidR="003D6084">
                <w:fldChar w:fldCharType="begin" w:fldLock="1"/>
              </w:r>
              <w:r w:rsidR="003D6084">
                <w:instrText xml:space="preserve"> ADDIN EN.CITE &lt;EndNote&gt;&lt;Cite ExcludeAuth="1"&gt;&lt;Author&gt;Abt Global&lt;/Author&gt;&lt;Year&gt;2024&lt;/Year&gt;&lt;RecNum&gt;1&lt;/RecNum&gt;&lt;DisplayText&gt;2024&lt;/DisplayText&gt;&lt;record&gt;&lt;rec-number&gt;1&lt;/rec-number&gt;&lt;foreign-keys&gt;&lt;key app="EN" db-id="2apzr05radv9fjet2w6xxwdlz5e9vwfxredw" timestamp="1730757315"&gt;1&lt;/key&gt;&lt;/foreign-keys&gt;&lt;ref-type name="Report"&gt;27&lt;/ref-type&gt;&lt;contributors&gt;&lt;authors&gt;&lt;author&gt;Abt Global,&lt;/author&gt;&lt;/authors&gt;&lt;/contributors&gt;&lt;titles&gt;&lt;title&gt;Estimated Costs for Respirator PPE for TSCA Risk Management Economic Analyses &lt;/title&gt;&lt;/titles&gt;&lt;dates&gt;&lt;year&gt;2024&lt;/year&gt;&lt;/dates&gt;&lt;publisher&gt;Submitted to U.S. EPA Economic and Policy Analysis Branch&lt;/publisher&gt;&lt;urls&gt;&lt;/urls&gt;&lt;/record&gt;&lt;/Cite&gt;&lt;Cite ExcludeAuth="1"&gt;&lt;Author&gt;Abt Global&lt;/Author&gt;&lt;Year&gt;2024&lt;/Year&gt;&lt;RecNum&gt;1&lt;/RecNum&gt;&lt;record&gt;&lt;rec-number&gt;1&lt;/rec-number&gt;&lt;foreign-keys&gt;&lt;key app="EN" db-id="2apzr05radv9fjet2w6xxwdlz5e9vwfxredw" timestamp="1730757315"&gt;1&lt;/key&gt;&lt;/foreign-keys&gt;&lt;ref-type name="Report"&gt;27&lt;/ref-type&gt;&lt;contributors&gt;&lt;authors&gt;&lt;author&gt;Abt Global,&lt;/author&gt;&lt;/authors&gt;&lt;/contributors&gt;&lt;titles&gt;&lt;title&gt;Estimated Costs for Respirator PPE for TSCA Risk Management Economic Analyses &lt;/title&gt;&lt;/titles&gt;&lt;dates&gt;&lt;year&gt;2024&lt;/year&gt;&lt;/dates&gt;&lt;publisher&gt;Submitted to U.S. EPA Economic and Policy Analysis Branch&lt;/publisher&gt;&lt;urls&gt;&lt;/urls&gt;&lt;/record&gt;&lt;/Cite&gt;&lt;/EndNote&gt;</w:instrText>
              </w:r>
              <w:r w:rsidRPr="007B6745" w:rsidR="003D6084">
                <w:fldChar w:fldCharType="separate"/>
              </w:r>
              <w:r w:rsidR="003D6084">
                <w:rPr>
                  <w:noProof/>
                </w:rPr>
                <w:t>2024</w:t>
              </w:r>
              <w:r w:rsidRPr="007B6745" w:rsidR="003D6084">
                <w:fldChar w:fldCharType="end"/>
              </w:r>
            </w:hyperlink>
            <w:r w:rsidR="00843B82">
              <w:t>)</w:t>
            </w:r>
            <w:r w:rsidRPr="47F4D8F7" w:rsidR="00843B82">
              <w:t xml:space="preserve"> </w:t>
            </w:r>
            <w:r w:rsidR="00843B82">
              <w:t>report</w:t>
            </w:r>
            <w:r w:rsidRPr="007B6745">
              <w:t xml:space="preserve"> </w:t>
            </w:r>
            <w:r w:rsidR="00843B82">
              <w:t>(</w:t>
            </w:r>
            <w:r w:rsidRPr="007B6745">
              <w:t xml:space="preserve">Table </w:t>
            </w:r>
            <w:r w:rsidR="007201A3">
              <w:t xml:space="preserve">4 and Table </w:t>
            </w:r>
            <w:r w:rsidRPr="007B6745">
              <w:t>16); rounded to the nearest dollar</w:t>
            </w:r>
          </w:p>
        </w:tc>
      </w:tr>
    </w:tbl>
    <w:p w:rsidR="007B6745" w:rsidRPr="007B6745" w:rsidP="00832749" w14:paraId="017759F1" w14:textId="77777777">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2430"/>
        <w:gridCol w:w="1441"/>
        <w:gridCol w:w="1080"/>
        <w:gridCol w:w="1080"/>
        <w:gridCol w:w="811"/>
        <w:gridCol w:w="900"/>
        <w:gridCol w:w="899"/>
        <w:gridCol w:w="719"/>
      </w:tblGrid>
      <w:tr w14:paraId="28464D26" w14:textId="77777777" w:rsidTr="0064758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Ex>
        <w:trPr>
          <w:trHeight w:val="81"/>
          <w:tblHeader/>
        </w:trPr>
        <w:tc>
          <w:tcPr>
            <w:tcW w:w="5000" w:type="pct"/>
            <w:gridSpan w:val="8"/>
            <w:tcBorders>
              <w:top w:val="nil"/>
              <w:left w:val="nil"/>
              <w:bottom w:val="single" w:sz="4" w:space="0" w:color="auto"/>
              <w:right w:val="nil"/>
            </w:tcBorders>
            <w:shd w:val="clear" w:color="auto" w:fill="auto"/>
            <w:vAlign w:val="center"/>
          </w:tcPr>
          <w:p w:rsidR="00CC2A6F" w:rsidRPr="007B6745" w:rsidP="00026204" w14:paraId="09088E43" w14:textId="01A12124">
            <w:pPr>
              <w:pStyle w:val="TableTitleA"/>
            </w:pPr>
            <w:bookmarkStart w:id="193" w:name="_Ref177570736"/>
            <w:bookmarkStart w:id="194" w:name="_Toc184299563"/>
            <w:r w:rsidRPr="007B6745">
              <w:t xml:space="preserve">Table </w:t>
            </w:r>
            <w:r>
              <w:fldChar w:fldCharType="begin" w:fldLock="1"/>
            </w:r>
            <w:r>
              <w:instrText>STYLEREF 1 \s</w:instrText>
            </w:r>
            <w:r>
              <w:fldChar w:fldCharType="separate"/>
            </w:r>
            <w:r w:rsidR="00735BBC">
              <w:rPr>
                <w:noProof/>
              </w:rPr>
              <w:t>4</w:t>
            </w:r>
            <w:r>
              <w:fldChar w:fldCharType="end"/>
            </w:r>
            <w:r w:rsidR="000A1542">
              <w:noBreakHyphen/>
            </w:r>
            <w:r>
              <w:fldChar w:fldCharType="begin" w:fldLock="1"/>
            </w:r>
            <w:r>
              <w:instrText>SEQ Table \* ARABIC \s 1</w:instrText>
            </w:r>
            <w:r>
              <w:fldChar w:fldCharType="separate"/>
            </w:r>
            <w:r w:rsidR="00735BBC">
              <w:rPr>
                <w:noProof/>
              </w:rPr>
              <w:t>7</w:t>
            </w:r>
            <w:r>
              <w:fldChar w:fldCharType="end"/>
            </w:r>
            <w:bookmarkEnd w:id="193"/>
            <w:r w:rsidRPr="007B6745">
              <w:t>: Estimated Annual Recurring Respirator Costs (2023$)</w:t>
            </w:r>
            <w:bookmarkEnd w:id="194"/>
          </w:p>
        </w:tc>
      </w:tr>
      <w:tr w14:paraId="30227BF0" w14:textId="77777777" w:rsidTr="00507995">
        <w:tblPrEx>
          <w:tblW w:w="5000" w:type="pct"/>
          <w:tblLayout w:type="fixed"/>
          <w:tblCellMar>
            <w:left w:w="58" w:type="dxa"/>
            <w:right w:w="58" w:type="dxa"/>
          </w:tblCellMar>
          <w:tblLook w:val="04A0"/>
        </w:tblPrEx>
        <w:trPr>
          <w:trHeight w:val="188"/>
          <w:tblHeader/>
        </w:trPr>
        <w:tc>
          <w:tcPr>
            <w:tcW w:w="1298" w:type="pct"/>
            <w:vMerge w:val="restart"/>
            <w:tcBorders>
              <w:top w:val="single" w:sz="4" w:space="0" w:color="auto"/>
              <w:left w:val="single" w:sz="4" w:space="0" w:color="auto"/>
              <w:right w:val="single" w:sz="4" w:space="0" w:color="auto"/>
            </w:tcBorders>
            <w:shd w:val="clear" w:color="auto" w:fill="013E5B"/>
            <w:vAlign w:val="center"/>
          </w:tcPr>
          <w:p w:rsidR="00951071" w:rsidRPr="007B6745" w:rsidP="00C63440" w14:paraId="02C5D785" w14:textId="6EB745E9">
            <w:pPr>
              <w:pStyle w:val="TableSubtitle"/>
            </w:pPr>
            <w:r w:rsidRPr="007B6745">
              <w:t>Respirator System</w:t>
            </w:r>
          </w:p>
        </w:tc>
        <w:tc>
          <w:tcPr>
            <w:tcW w:w="770" w:type="pct"/>
            <w:vMerge w:val="restart"/>
            <w:tcBorders>
              <w:top w:val="single" w:sz="4" w:space="0" w:color="auto"/>
              <w:left w:val="single" w:sz="4" w:space="0" w:color="auto"/>
              <w:right w:val="single" w:sz="4" w:space="0" w:color="auto"/>
            </w:tcBorders>
            <w:shd w:val="clear" w:color="auto" w:fill="013E5B"/>
            <w:vAlign w:val="center"/>
          </w:tcPr>
          <w:p w:rsidR="00951071" w:rsidRPr="007B6745" w:rsidP="00C63440" w14:paraId="7AE9C076" w14:textId="4035FA93">
            <w:pPr>
              <w:pStyle w:val="TableSubtitle"/>
            </w:pPr>
            <w:r>
              <w:t>Per Facility Program and Recordkeeping Costs</w:t>
            </w:r>
          </w:p>
        </w:tc>
        <w:tc>
          <w:tcPr>
            <w:tcW w:w="2932" w:type="pct"/>
            <w:gridSpan w:val="6"/>
            <w:tcBorders>
              <w:top w:val="single" w:sz="4" w:space="0" w:color="auto"/>
              <w:left w:val="single" w:sz="4" w:space="0" w:color="auto"/>
              <w:bottom w:val="single" w:sz="4" w:space="0" w:color="auto"/>
              <w:right w:val="single" w:sz="4" w:space="0" w:color="auto"/>
            </w:tcBorders>
            <w:shd w:val="clear" w:color="auto" w:fill="013E5B"/>
            <w:vAlign w:val="center"/>
          </w:tcPr>
          <w:p w:rsidR="00951071" w:rsidRPr="007B6745" w:rsidP="00C63440" w14:paraId="74A9C61F" w14:textId="6983B21D">
            <w:pPr>
              <w:pStyle w:val="TableSubtitle"/>
            </w:pPr>
            <w:r>
              <w:t>Per Worker Costs</w:t>
            </w:r>
          </w:p>
        </w:tc>
      </w:tr>
      <w:tr w14:paraId="71815CD3" w14:textId="77777777" w:rsidTr="00507995">
        <w:tblPrEx>
          <w:tblW w:w="5000" w:type="pct"/>
          <w:tblLayout w:type="fixed"/>
          <w:tblCellMar>
            <w:left w:w="58" w:type="dxa"/>
            <w:right w:w="58" w:type="dxa"/>
          </w:tblCellMar>
          <w:tblLook w:val="04A0"/>
        </w:tblPrEx>
        <w:trPr>
          <w:trHeight w:val="600"/>
          <w:tblHeader/>
        </w:trPr>
        <w:tc>
          <w:tcPr>
            <w:tcW w:w="1298" w:type="pct"/>
            <w:vMerge/>
            <w:tcBorders>
              <w:left w:val="single" w:sz="4" w:space="0" w:color="auto"/>
              <w:bottom w:val="single" w:sz="4" w:space="0" w:color="auto"/>
              <w:right w:val="single" w:sz="4" w:space="0" w:color="auto"/>
            </w:tcBorders>
            <w:shd w:val="clear" w:color="auto" w:fill="013E5B"/>
            <w:vAlign w:val="center"/>
            <w:hideMark/>
          </w:tcPr>
          <w:p w:rsidR="00951071" w:rsidRPr="007B6745" w:rsidP="00C63440" w14:paraId="62C148AA" w14:textId="7FB67386">
            <w:pPr>
              <w:pStyle w:val="TableSubtitle"/>
            </w:pPr>
          </w:p>
        </w:tc>
        <w:tc>
          <w:tcPr>
            <w:tcW w:w="770" w:type="pct"/>
            <w:vMerge/>
            <w:tcBorders>
              <w:left w:val="single" w:sz="4" w:space="0" w:color="auto"/>
              <w:bottom w:val="single" w:sz="4" w:space="0" w:color="auto"/>
              <w:right w:val="single" w:sz="4" w:space="0" w:color="auto"/>
            </w:tcBorders>
            <w:shd w:val="clear" w:color="auto" w:fill="013E5B"/>
            <w:vAlign w:val="center"/>
            <w:hideMark/>
          </w:tcPr>
          <w:p w:rsidR="00951071" w:rsidRPr="007B6745" w:rsidP="00C63440" w14:paraId="56C74835" w14:textId="16049BF8">
            <w:pPr>
              <w:pStyle w:val="TableSubtitle"/>
            </w:pPr>
          </w:p>
        </w:tc>
        <w:tc>
          <w:tcPr>
            <w:tcW w:w="577" w:type="pct"/>
            <w:tcBorders>
              <w:top w:val="single" w:sz="4" w:space="0" w:color="auto"/>
              <w:left w:val="single" w:sz="4" w:space="0" w:color="auto"/>
              <w:bottom w:val="single" w:sz="4" w:space="0" w:color="auto"/>
              <w:right w:val="single" w:sz="4" w:space="0" w:color="auto"/>
            </w:tcBorders>
            <w:shd w:val="clear" w:color="auto" w:fill="013E5B"/>
            <w:vAlign w:val="center"/>
          </w:tcPr>
          <w:p w:rsidR="00951071" w:rsidRPr="007B6745" w:rsidP="00C63440" w14:paraId="2C0D9EE4" w14:textId="11A31C68">
            <w:pPr>
              <w:pStyle w:val="TableSubtitle"/>
            </w:pPr>
            <w:r w:rsidRPr="007B6745">
              <w:t>Equipment</w:t>
            </w:r>
          </w:p>
        </w:tc>
        <w:tc>
          <w:tcPr>
            <w:tcW w:w="577"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951071" w:rsidRPr="007B6745" w:rsidP="00C63440" w14:paraId="21955158" w14:textId="77777777">
            <w:pPr>
              <w:pStyle w:val="TableSubtitle"/>
            </w:pPr>
            <w:r w:rsidRPr="007B6745">
              <w:t>Medical Evaluation</w:t>
            </w:r>
          </w:p>
        </w:tc>
        <w:tc>
          <w:tcPr>
            <w:tcW w:w="433"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951071" w:rsidRPr="007B6745" w:rsidP="00C63440" w14:paraId="785E5F81" w14:textId="77777777">
            <w:pPr>
              <w:pStyle w:val="TableSubtitle"/>
            </w:pPr>
            <w:r w:rsidRPr="007B6745">
              <w:t>Fit Test</w:t>
            </w:r>
          </w:p>
        </w:tc>
        <w:tc>
          <w:tcPr>
            <w:tcW w:w="481"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951071" w:rsidRPr="007B6745" w:rsidP="00C63440" w14:paraId="5782BD17" w14:textId="77777777">
            <w:pPr>
              <w:pStyle w:val="TableSubtitle"/>
            </w:pPr>
            <w:r w:rsidRPr="007B6745">
              <w:t>Training</w:t>
            </w:r>
          </w:p>
        </w:tc>
        <w:tc>
          <w:tcPr>
            <w:tcW w:w="480"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951071" w:rsidRPr="007B6745" w:rsidP="00C63440" w14:paraId="4D9D047B" w14:textId="77777777">
            <w:pPr>
              <w:pStyle w:val="TableSubtitle"/>
            </w:pPr>
            <w:r w:rsidRPr="007B6745">
              <w:t>Cleaning</w:t>
            </w:r>
          </w:p>
        </w:tc>
        <w:tc>
          <w:tcPr>
            <w:tcW w:w="384"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951071" w:rsidRPr="007B6745" w:rsidP="00C63440" w14:paraId="1BC1B675" w14:textId="77777777">
            <w:pPr>
              <w:pStyle w:val="TableSubtitle"/>
            </w:pPr>
            <w:r w:rsidRPr="007B6745">
              <w:t>Total</w:t>
            </w:r>
          </w:p>
        </w:tc>
      </w:tr>
      <w:tr w14:paraId="3F5D3F99" w14:textId="77777777" w:rsidTr="0064758C">
        <w:tblPrEx>
          <w:tblW w:w="5000" w:type="pct"/>
          <w:tblLayout w:type="fixed"/>
          <w:tblCellMar>
            <w:left w:w="58" w:type="dxa"/>
            <w:right w:w="58" w:type="dxa"/>
          </w:tblCellMar>
          <w:tblLook w:val="04A0"/>
        </w:tblPrEx>
        <w:trPr>
          <w:trHeight w:val="280"/>
        </w:trPr>
        <w:tc>
          <w:tcPr>
            <w:tcW w:w="1298" w:type="pct"/>
            <w:tcBorders>
              <w:top w:val="single" w:sz="4" w:space="0" w:color="auto"/>
              <w:left w:val="single" w:sz="4" w:space="0" w:color="auto"/>
              <w:bottom w:val="single" w:sz="4" w:space="0" w:color="auto"/>
              <w:right w:val="single" w:sz="4" w:space="0" w:color="auto"/>
            </w:tcBorders>
            <w:noWrap/>
            <w:vAlign w:val="center"/>
            <w:hideMark/>
          </w:tcPr>
          <w:p w:rsidR="00F45F72" w:rsidRPr="00FB19EF" w:rsidP="00F45F72" w14:paraId="0AD2FEF2" w14:textId="71DABF27">
            <w:pPr>
              <w:pStyle w:val="LTableTextAbt"/>
            </w:pPr>
            <w:r w:rsidRPr="007520DD">
              <w:t>APR, Half Mask</w:t>
            </w:r>
            <w:r>
              <w:t xml:space="preserve"> (APF 10)</w:t>
            </w:r>
          </w:p>
        </w:tc>
        <w:tc>
          <w:tcPr>
            <w:tcW w:w="770" w:type="pct"/>
            <w:tcBorders>
              <w:top w:val="single" w:sz="4" w:space="0" w:color="auto"/>
              <w:left w:val="single" w:sz="4" w:space="0" w:color="auto"/>
              <w:bottom w:val="single" w:sz="4" w:space="0" w:color="auto"/>
              <w:right w:val="single" w:sz="4" w:space="0" w:color="auto"/>
            </w:tcBorders>
            <w:vAlign w:val="center"/>
          </w:tcPr>
          <w:p w:rsidR="00F45F72" w:rsidRPr="007B6745" w14:paraId="1C5487E7" w14:textId="6FE42EA1">
            <w:pPr>
              <w:pStyle w:val="RTableTextAbt"/>
              <w:ind w:right="309"/>
            </w:pPr>
            <w:r>
              <w:t>$334</w:t>
            </w:r>
          </w:p>
        </w:tc>
        <w:tc>
          <w:tcPr>
            <w:tcW w:w="577" w:type="pct"/>
            <w:tcBorders>
              <w:top w:val="single" w:sz="4" w:space="0" w:color="auto"/>
              <w:left w:val="single" w:sz="4" w:space="0" w:color="auto"/>
              <w:bottom w:val="single" w:sz="4" w:space="0" w:color="auto"/>
              <w:right w:val="single" w:sz="4" w:space="0" w:color="auto"/>
            </w:tcBorders>
            <w:vAlign w:val="center"/>
          </w:tcPr>
          <w:p w:rsidR="00F45F72" w:rsidRPr="007B6745" w:rsidP="00F45F72" w14:paraId="5B8B39CB" w14:textId="681499FA">
            <w:pPr>
              <w:pStyle w:val="RTableTextAbt"/>
            </w:pPr>
            <w:r w:rsidRPr="007B6745">
              <w:t xml:space="preserve">$2,036 </w:t>
            </w:r>
          </w:p>
        </w:tc>
        <w:tc>
          <w:tcPr>
            <w:tcW w:w="577"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0734FD36" w14:textId="77777777">
            <w:pPr>
              <w:pStyle w:val="RTableTextAbt"/>
            </w:pPr>
            <w:r w:rsidRPr="007B6745">
              <w:t xml:space="preserve">$21 </w:t>
            </w:r>
          </w:p>
        </w:tc>
        <w:tc>
          <w:tcPr>
            <w:tcW w:w="433"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16E2B9A4" w14:textId="77777777">
            <w:pPr>
              <w:pStyle w:val="RTableTextAbt"/>
            </w:pPr>
            <w:r w:rsidRPr="007B6745">
              <w:t xml:space="preserve">$66 </w:t>
            </w:r>
          </w:p>
        </w:tc>
        <w:tc>
          <w:tcPr>
            <w:tcW w:w="481"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12F884D3" w14:textId="77777777">
            <w:pPr>
              <w:pStyle w:val="RTableTextAbt"/>
            </w:pPr>
            <w:r w:rsidRPr="007B6745">
              <w:t xml:space="preserve">$131 </w:t>
            </w:r>
          </w:p>
        </w:tc>
        <w:tc>
          <w:tcPr>
            <w:tcW w:w="480"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630C47A0" w14:textId="77777777">
            <w:pPr>
              <w:pStyle w:val="RTableTextAbt"/>
            </w:pPr>
            <w:r w:rsidRPr="007B6745">
              <w:t xml:space="preserve">$439 </w:t>
            </w:r>
          </w:p>
        </w:tc>
        <w:tc>
          <w:tcPr>
            <w:tcW w:w="384"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6924AF12" w14:textId="77777777">
            <w:pPr>
              <w:pStyle w:val="RTableTextAbt"/>
            </w:pPr>
            <w:r w:rsidRPr="007B6745">
              <w:t xml:space="preserve">$2,693 </w:t>
            </w:r>
          </w:p>
        </w:tc>
      </w:tr>
      <w:tr w14:paraId="363E9867" w14:textId="77777777" w:rsidTr="0064758C">
        <w:tblPrEx>
          <w:tblW w:w="5000" w:type="pct"/>
          <w:tblLayout w:type="fixed"/>
          <w:tblCellMar>
            <w:left w:w="58" w:type="dxa"/>
            <w:right w:w="58" w:type="dxa"/>
          </w:tblCellMar>
          <w:tblLook w:val="04A0"/>
        </w:tblPrEx>
        <w:trPr>
          <w:trHeight w:val="280"/>
        </w:trPr>
        <w:tc>
          <w:tcPr>
            <w:tcW w:w="1298" w:type="pct"/>
            <w:tcBorders>
              <w:top w:val="single" w:sz="4" w:space="0" w:color="auto"/>
              <w:left w:val="single" w:sz="4" w:space="0" w:color="auto"/>
              <w:bottom w:val="single" w:sz="4" w:space="0" w:color="auto"/>
              <w:right w:val="single" w:sz="4" w:space="0" w:color="auto"/>
            </w:tcBorders>
            <w:noWrap/>
            <w:vAlign w:val="center"/>
            <w:hideMark/>
          </w:tcPr>
          <w:p w:rsidR="00F45F72" w:rsidRPr="00FB19EF" w:rsidP="00F45F72" w14:paraId="775DA64C" w14:textId="1FDDD33F">
            <w:pPr>
              <w:pStyle w:val="LTableTextAbt"/>
            </w:pPr>
            <w:r w:rsidRPr="007520DD">
              <w:t>PAPR, Loose-Fitting Facepiece</w:t>
            </w:r>
            <w:r>
              <w:t xml:space="preserve"> (APF 25)</w:t>
            </w:r>
          </w:p>
        </w:tc>
        <w:tc>
          <w:tcPr>
            <w:tcW w:w="770" w:type="pct"/>
            <w:tcBorders>
              <w:top w:val="single" w:sz="4" w:space="0" w:color="auto"/>
              <w:left w:val="single" w:sz="4" w:space="0" w:color="auto"/>
              <w:bottom w:val="single" w:sz="4" w:space="0" w:color="auto"/>
              <w:right w:val="single" w:sz="4" w:space="0" w:color="auto"/>
            </w:tcBorders>
            <w:vAlign w:val="center"/>
          </w:tcPr>
          <w:p w:rsidR="00F45F72" w:rsidRPr="007B6745" w14:paraId="058CA199" w14:textId="1BFDDC00">
            <w:pPr>
              <w:pStyle w:val="RTableTextAbt"/>
              <w:ind w:right="309"/>
            </w:pPr>
            <w:r>
              <w:t>$334</w:t>
            </w:r>
          </w:p>
        </w:tc>
        <w:tc>
          <w:tcPr>
            <w:tcW w:w="577" w:type="pct"/>
            <w:tcBorders>
              <w:top w:val="single" w:sz="4" w:space="0" w:color="auto"/>
              <w:left w:val="single" w:sz="4" w:space="0" w:color="auto"/>
              <w:bottom w:val="single" w:sz="4" w:space="0" w:color="auto"/>
              <w:right w:val="single" w:sz="4" w:space="0" w:color="auto"/>
            </w:tcBorders>
            <w:vAlign w:val="center"/>
          </w:tcPr>
          <w:p w:rsidR="00F45F72" w:rsidRPr="007B6745" w:rsidP="00F45F72" w14:paraId="5EC1AA05" w14:textId="7963FF0F">
            <w:pPr>
              <w:pStyle w:val="RTableTextAbt"/>
            </w:pPr>
            <w:r w:rsidRPr="007B6745">
              <w:t xml:space="preserve">$1,073 </w:t>
            </w:r>
          </w:p>
        </w:tc>
        <w:tc>
          <w:tcPr>
            <w:tcW w:w="577"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46A457C2" w14:textId="77777777">
            <w:pPr>
              <w:pStyle w:val="RTableTextAbt"/>
            </w:pPr>
            <w:r w:rsidRPr="007B6745">
              <w:t xml:space="preserve">$21 </w:t>
            </w:r>
          </w:p>
        </w:tc>
        <w:tc>
          <w:tcPr>
            <w:tcW w:w="433"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29C7946E" w14:textId="77777777">
            <w:pPr>
              <w:pStyle w:val="RTableTextAbt"/>
            </w:pPr>
            <w:r w:rsidRPr="007B6745">
              <w:t xml:space="preserve">$0 </w:t>
            </w:r>
          </w:p>
        </w:tc>
        <w:tc>
          <w:tcPr>
            <w:tcW w:w="481"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68960977" w14:textId="77777777">
            <w:pPr>
              <w:pStyle w:val="RTableTextAbt"/>
            </w:pPr>
            <w:r w:rsidRPr="007B6745">
              <w:t xml:space="preserve">$262 </w:t>
            </w:r>
          </w:p>
        </w:tc>
        <w:tc>
          <w:tcPr>
            <w:tcW w:w="480"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5EF5FB56" w14:textId="77777777">
            <w:pPr>
              <w:pStyle w:val="RTableTextAbt"/>
            </w:pPr>
            <w:r w:rsidRPr="007B6745">
              <w:t xml:space="preserve">$439 </w:t>
            </w:r>
          </w:p>
        </w:tc>
        <w:tc>
          <w:tcPr>
            <w:tcW w:w="384"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1DB7FBAB" w14:textId="77777777">
            <w:pPr>
              <w:pStyle w:val="RTableTextAbt"/>
            </w:pPr>
            <w:r w:rsidRPr="007B6745">
              <w:t xml:space="preserve">$1,795 </w:t>
            </w:r>
          </w:p>
        </w:tc>
      </w:tr>
      <w:tr w14:paraId="695635E3" w14:textId="77777777" w:rsidTr="0064758C">
        <w:tblPrEx>
          <w:tblW w:w="5000" w:type="pct"/>
          <w:tblLayout w:type="fixed"/>
          <w:tblCellMar>
            <w:left w:w="58" w:type="dxa"/>
            <w:right w:w="58" w:type="dxa"/>
          </w:tblCellMar>
          <w:tblLook w:val="04A0"/>
        </w:tblPrEx>
        <w:trPr>
          <w:trHeight w:val="280"/>
        </w:trPr>
        <w:tc>
          <w:tcPr>
            <w:tcW w:w="1298" w:type="pct"/>
            <w:tcBorders>
              <w:top w:val="single" w:sz="4" w:space="0" w:color="auto"/>
              <w:left w:val="single" w:sz="4" w:space="0" w:color="auto"/>
              <w:bottom w:val="single" w:sz="4" w:space="0" w:color="auto"/>
              <w:right w:val="single" w:sz="4" w:space="0" w:color="auto"/>
            </w:tcBorders>
            <w:noWrap/>
            <w:vAlign w:val="center"/>
            <w:hideMark/>
          </w:tcPr>
          <w:p w:rsidR="00F45F72" w:rsidRPr="00FB19EF" w:rsidP="00F45F72" w14:paraId="1A69739F" w14:textId="74EDA3BE">
            <w:pPr>
              <w:pStyle w:val="LTableTextAbt"/>
            </w:pPr>
            <w:r w:rsidRPr="007520DD">
              <w:t>SAR, Loose-Fitting Facepiece</w:t>
            </w:r>
            <w:r>
              <w:t xml:space="preserve"> (APF 25)</w:t>
            </w:r>
          </w:p>
        </w:tc>
        <w:tc>
          <w:tcPr>
            <w:tcW w:w="770" w:type="pct"/>
            <w:tcBorders>
              <w:top w:val="single" w:sz="4" w:space="0" w:color="auto"/>
              <w:left w:val="single" w:sz="4" w:space="0" w:color="auto"/>
              <w:bottom w:val="single" w:sz="4" w:space="0" w:color="auto"/>
              <w:right w:val="single" w:sz="4" w:space="0" w:color="auto"/>
            </w:tcBorders>
            <w:vAlign w:val="center"/>
          </w:tcPr>
          <w:p w:rsidR="00F45F72" w:rsidRPr="007B6745" w14:paraId="018D7EED" w14:textId="5BAFB59F">
            <w:pPr>
              <w:pStyle w:val="RTableTextAbt"/>
              <w:ind w:right="309"/>
            </w:pPr>
            <w:r>
              <w:t>$334</w:t>
            </w:r>
          </w:p>
        </w:tc>
        <w:tc>
          <w:tcPr>
            <w:tcW w:w="577" w:type="pct"/>
            <w:tcBorders>
              <w:top w:val="single" w:sz="4" w:space="0" w:color="auto"/>
              <w:left w:val="single" w:sz="4" w:space="0" w:color="auto"/>
              <w:bottom w:val="single" w:sz="4" w:space="0" w:color="auto"/>
              <w:right w:val="single" w:sz="4" w:space="0" w:color="auto"/>
            </w:tcBorders>
            <w:vAlign w:val="center"/>
          </w:tcPr>
          <w:p w:rsidR="00F45F72" w:rsidRPr="007B6745" w:rsidP="00F45F72" w14:paraId="5A856A2F" w14:textId="0C3CCA3A">
            <w:pPr>
              <w:pStyle w:val="RTableTextAbt"/>
            </w:pPr>
            <w:r w:rsidRPr="007B6745">
              <w:t xml:space="preserve">$322 </w:t>
            </w:r>
          </w:p>
        </w:tc>
        <w:tc>
          <w:tcPr>
            <w:tcW w:w="577"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4B477B98" w14:textId="77777777">
            <w:pPr>
              <w:pStyle w:val="RTableTextAbt"/>
            </w:pPr>
            <w:r w:rsidRPr="007B6745">
              <w:t xml:space="preserve">$21 </w:t>
            </w:r>
          </w:p>
        </w:tc>
        <w:tc>
          <w:tcPr>
            <w:tcW w:w="433"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105D4CFD" w14:textId="77777777">
            <w:pPr>
              <w:pStyle w:val="RTableTextAbt"/>
            </w:pPr>
            <w:r w:rsidRPr="007B6745">
              <w:t xml:space="preserve">$0 </w:t>
            </w:r>
          </w:p>
        </w:tc>
        <w:tc>
          <w:tcPr>
            <w:tcW w:w="481"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665F466C" w14:textId="77777777">
            <w:pPr>
              <w:pStyle w:val="RTableTextAbt"/>
            </w:pPr>
            <w:r w:rsidRPr="007B6745">
              <w:t xml:space="preserve">$262 </w:t>
            </w:r>
          </w:p>
        </w:tc>
        <w:tc>
          <w:tcPr>
            <w:tcW w:w="480"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701D8622" w14:textId="77777777">
            <w:pPr>
              <w:pStyle w:val="RTableTextAbt"/>
            </w:pPr>
            <w:r w:rsidRPr="007B6745">
              <w:t xml:space="preserve">$439 </w:t>
            </w:r>
          </w:p>
        </w:tc>
        <w:tc>
          <w:tcPr>
            <w:tcW w:w="384"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37AFAB95" w14:textId="77777777">
            <w:pPr>
              <w:pStyle w:val="RTableTextAbt"/>
            </w:pPr>
            <w:r w:rsidRPr="007B6745">
              <w:t xml:space="preserve">$1,044 </w:t>
            </w:r>
          </w:p>
        </w:tc>
      </w:tr>
      <w:tr w14:paraId="78B8D288" w14:textId="77777777" w:rsidTr="0064758C">
        <w:tblPrEx>
          <w:tblW w:w="5000" w:type="pct"/>
          <w:tblLayout w:type="fixed"/>
          <w:tblCellMar>
            <w:left w:w="58" w:type="dxa"/>
            <w:right w:w="58" w:type="dxa"/>
          </w:tblCellMar>
          <w:tblLook w:val="04A0"/>
        </w:tblPrEx>
        <w:trPr>
          <w:trHeight w:val="280"/>
        </w:trPr>
        <w:tc>
          <w:tcPr>
            <w:tcW w:w="1298" w:type="pct"/>
            <w:tcBorders>
              <w:top w:val="single" w:sz="4" w:space="0" w:color="auto"/>
              <w:left w:val="single" w:sz="4" w:space="0" w:color="auto"/>
              <w:bottom w:val="single" w:sz="4" w:space="0" w:color="auto"/>
              <w:right w:val="single" w:sz="4" w:space="0" w:color="auto"/>
            </w:tcBorders>
            <w:noWrap/>
            <w:vAlign w:val="center"/>
            <w:hideMark/>
          </w:tcPr>
          <w:p w:rsidR="00F45F72" w:rsidRPr="00FB19EF" w:rsidP="00F45F72" w14:paraId="2B5E3F99" w14:textId="7ED76981">
            <w:pPr>
              <w:pStyle w:val="LTableTextAbt"/>
            </w:pPr>
            <w:r w:rsidRPr="007520DD">
              <w:t>APR, Full Facepiece</w:t>
            </w:r>
            <w:r>
              <w:t xml:space="preserve"> (APF 50)</w:t>
            </w:r>
          </w:p>
        </w:tc>
        <w:tc>
          <w:tcPr>
            <w:tcW w:w="770" w:type="pct"/>
            <w:tcBorders>
              <w:top w:val="single" w:sz="4" w:space="0" w:color="auto"/>
              <w:left w:val="single" w:sz="4" w:space="0" w:color="auto"/>
              <w:bottom w:val="single" w:sz="4" w:space="0" w:color="auto"/>
              <w:right w:val="single" w:sz="4" w:space="0" w:color="auto"/>
            </w:tcBorders>
            <w:vAlign w:val="center"/>
          </w:tcPr>
          <w:p w:rsidR="00F45F72" w:rsidRPr="007B6745" w14:paraId="303AB97C" w14:textId="28F7646A">
            <w:pPr>
              <w:pStyle w:val="RTableTextAbt"/>
              <w:ind w:right="309"/>
            </w:pPr>
            <w:r>
              <w:t>$334</w:t>
            </w:r>
          </w:p>
        </w:tc>
        <w:tc>
          <w:tcPr>
            <w:tcW w:w="577" w:type="pct"/>
            <w:tcBorders>
              <w:top w:val="single" w:sz="4" w:space="0" w:color="auto"/>
              <w:left w:val="single" w:sz="4" w:space="0" w:color="auto"/>
              <w:bottom w:val="single" w:sz="4" w:space="0" w:color="auto"/>
              <w:right w:val="single" w:sz="4" w:space="0" w:color="auto"/>
            </w:tcBorders>
            <w:vAlign w:val="center"/>
          </w:tcPr>
          <w:p w:rsidR="00F45F72" w:rsidRPr="007B6745" w:rsidP="00F45F72" w14:paraId="59BAAD44" w14:textId="1326DC94">
            <w:pPr>
              <w:pStyle w:val="RTableTextAbt"/>
            </w:pPr>
            <w:r w:rsidRPr="007B6745">
              <w:t xml:space="preserve">$2,148 </w:t>
            </w:r>
          </w:p>
        </w:tc>
        <w:tc>
          <w:tcPr>
            <w:tcW w:w="577"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6995FDFD" w14:textId="77777777">
            <w:pPr>
              <w:pStyle w:val="RTableTextAbt"/>
            </w:pPr>
            <w:r w:rsidRPr="007B6745">
              <w:t xml:space="preserve">$21 </w:t>
            </w:r>
          </w:p>
        </w:tc>
        <w:tc>
          <w:tcPr>
            <w:tcW w:w="433"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3A3DCF84" w14:textId="77777777">
            <w:pPr>
              <w:pStyle w:val="RTableTextAbt"/>
            </w:pPr>
            <w:r w:rsidRPr="007B6745">
              <w:t xml:space="preserve">$66 </w:t>
            </w:r>
          </w:p>
        </w:tc>
        <w:tc>
          <w:tcPr>
            <w:tcW w:w="481"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704ED769" w14:textId="77777777">
            <w:pPr>
              <w:pStyle w:val="RTableTextAbt"/>
            </w:pPr>
            <w:r w:rsidRPr="007B6745">
              <w:t xml:space="preserve">$131 </w:t>
            </w:r>
          </w:p>
        </w:tc>
        <w:tc>
          <w:tcPr>
            <w:tcW w:w="480"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1BAADCE5" w14:textId="77777777">
            <w:pPr>
              <w:pStyle w:val="RTableTextAbt"/>
            </w:pPr>
            <w:r w:rsidRPr="007B6745">
              <w:t xml:space="preserve">$439 </w:t>
            </w:r>
          </w:p>
        </w:tc>
        <w:tc>
          <w:tcPr>
            <w:tcW w:w="384"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04E8F983" w14:textId="77777777">
            <w:pPr>
              <w:pStyle w:val="RTableTextAbt"/>
            </w:pPr>
            <w:r w:rsidRPr="007B6745">
              <w:t xml:space="preserve">$2,805 </w:t>
            </w:r>
          </w:p>
        </w:tc>
      </w:tr>
      <w:tr w14:paraId="4FC2405F" w14:textId="77777777" w:rsidTr="0064758C">
        <w:tblPrEx>
          <w:tblW w:w="5000" w:type="pct"/>
          <w:tblLayout w:type="fixed"/>
          <w:tblCellMar>
            <w:left w:w="58" w:type="dxa"/>
            <w:right w:w="58" w:type="dxa"/>
          </w:tblCellMar>
          <w:tblLook w:val="04A0"/>
        </w:tblPrEx>
        <w:trPr>
          <w:trHeight w:val="280"/>
        </w:trPr>
        <w:tc>
          <w:tcPr>
            <w:tcW w:w="1298" w:type="pct"/>
            <w:tcBorders>
              <w:top w:val="single" w:sz="4" w:space="0" w:color="auto"/>
              <w:left w:val="single" w:sz="4" w:space="0" w:color="auto"/>
              <w:bottom w:val="single" w:sz="4" w:space="0" w:color="auto"/>
              <w:right w:val="single" w:sz="4" w:space="0" w:color="auto"/>
            </w:tcBorders>
            <w:noWrap/>
            <w:vAlign w:val="center"/>
            <w:hideMark/>
          </w:tcPr>
          <w:p w:rsidR="00F45F72" w:rsidRPr="00FB19EF" w:rsidP="00F45F72" w14:paraId="6571913B" w14:textId="35D3F560">
            <w:pPr>
              <w:pStyle w:val="LTableTextAbt"/>
            </w:pPr>
            <w:r w:rsidRPr="007520DD">
              <w:t>PAPR, Half Mask</w:t>
            </w:r>
            <w:r>
              <w:t xml:space="preserve"> (APF 50)</w:t>
            </w:r>
          </w:p>
        </w:tc>
        <w:tc>
          <w:tcPr>
            <w:tcW w:w="770" w:type="pct"/>
            <w:tcBorders>
              <w:top w:val="single" w:sz="4" w:space="0" w:color="auto"/>
              <w:left w:val="single" w:sz="4" w:space="0" w:color="auto"/>
              <w:bottom w:val="single" w:sz="4" w:space="0" w:color="auto"/>
              <w:right w:val="single" w:sz="4" w:space="0" w:color="auto"/>
            </w:tcBorders>
            <w:vAlign w:val="center"/>
          </w:tcPr>
          <w:p w:rsidR="00F45F72" w:rsidRPr="007B6745" w14:paraId="4C8F59A8" w14:textId="1F792690">
            <w:pPr>
              <w:pStyle w:val="RTableTextAbt"/>
              <w:ind w:right="309"/>
            </w:pPr>
            <w:r>
              <w:t>$334</w:t>
            </w:r>
          </w:p>
        </w:tc>
        <w:tc>
          <w:tcPr>
            <w:tcW w:w="577" w:type="pct"/>
            <w:tcBorders>
              <w:top w:val="single" w:sz="4" w:space="0" w:color="auto"/>
              <w:left w:val="single" w:sz="4" w:space="0" w:color="auto"/>
              <w:bottom w:val="single" w:sz="4" w:space="0" w:color="auto"/>
              <w:right w:val="single" w:sz="4" w:space="0" w:color="auto"/>
            </w:tcBorders>
            <w:vAlign w:val="center"/>
          </w:tcPr>
          <w:p w:rsidR="00F45F72" w:rsidRPr="007B6745" w:rsidP="00F45F72" w14:paraId="50DD7EF1" w14:textId="54E8D482">
            <w:pPr>
              <w:pStyle w:val="RTableTextAbt"/>
            </w:pPr>
            <w:r w:rsidRPr="007B6745">
              <w:t xml:space="preserve">$1,061 </w:t>
            </w:r>
          </w:p>
        </w:tc>
        <w:tc>
          <w:tcPr>
            <w:tcW w:w="577"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5C5BBCB7" w14:textId="77777777">
            <w:pPr>
              <w:pStyle w:val="RTableTextAbt"/>
            </w:pPr>
            <w:r w:rsidRPr="007B6745">
              <w:t xml:space="preserve">$21 </w:t>
            </w:r>
          </w:p>
        </w:tc>
        <w:tc>
          <w:tcPr>
            <w:tcW w:w="433"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4663982A" w14:textId="77777777">
            <w:pPr>
              <w:pStyle w:val="RTableTextAbt"/>
            </w:pPr>
            <w:r w:rsidRPr="007B6745">
              <w:t xml:space="preserve">$158 </w:t>
            </w:r>
          </w:p>
        </w:tc>
        <w:tc>
          <w:tcPr>
            <w:tcW w:w="481"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75D15B5F" w14:textId="77777777">
            <w:pPr>
              <w:pStyle w:val="RTableTextAbt"/>
            </w:pPr>
            <w:r w:rsidRPr="007B6745">
              <w:t xml:space="preserve">$262 </w:t>
            </w:r>
          </w:p>
        </w:tc>
        <w:tc>
          <w:tcPr>
            <w:tcW w:w="480"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7BAB3CBA" w14:textId="77777777">
            <w:pPr>
              <w:pStyle w:val="RTableTextAbt"/>
            </w:pPr>
            <w:r w:rsidRPr="007B6745">
              <w:t xml:space="preserve">$439 </w:t>
            </w:r>
          </w:p>
        </w:tc>
        <w:tc>
          <w:tcPr>
            <w:tcW w:w="384"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73459717" w14:textId="77777777">
            <w:pPr>
              <w:pStyle w:val="RTableTextAbt"/>
            </w:pPr>
            <w:r w:rsidRPr="007B6745">
              <w:t xml:space="preserve">$1,941 </w:t>
            </w:r>
          </w:p>
        </w:tc>
      </w:tr>
      <w:tr w14:paraId="5B96E3DD" w14:textId="77777777" w:rsidTr="0064758C">
        <w:tblPrEx>
          <w:tblW w:w="5000" w:type="pct"/>
          <w:tblLayout w:type="fixed"/>
          <w:tblCellMar>
            <w:left w:w="58" w:type="dxa"/>
            <w:right w:w="58" w:type="dxa"/>
          </w:tblCellMar>
          <w:tblLook w:val="04A0"/>
        </w:tblPrEx>
        <w:trPr>
          <w:trHeight w:val="280"/>
        </w:trPr>
        <w:tc>
          <w:tcPr>
            <w:tcW w:w="1298" w:type="pct"/>
            <w:tcBorders>
              <w:top w:val="single" w:sz="4" w:space="0" w:color="auto"/>
              <w:left w:val="single" w:sz="4" w:space="0" w:color="auto"/>
              <w:bottom w:val="single" w:sz="4" w:space="0" w:color="auto"/>
              <w:right w:val="single" w:sz="4" w:space="0" w:color="auto"/>
            </w:tcBorders>
            <w:noWrap/>
            <w:vAlign w:val="center"/>
            <w:hideMark/>
          </w:tcPr>
          <w:p w:rsidR="00F45F72" w:rsidRPr="00FB19EF" w:rsidP="00F45F72" w14:paraId="6A2C4F75" w14:textId="05C92F1E">
            <w:pPr>
              <w:pStyle w:val="LTableTextAbt"/>
            </w:pPr>
            <w:r w:rsidRPr="007520DD">
              <w:t>SAR, Continuous Flow Half</w:t>
            </w:r>
            <w:r>
              <w:t xml:space="preserve"> (APF 50)</w:t>
            </w:r>
            <w:r w:rsidRPr="007520DD">
              <w:t xml:space="preserve"> Mask</w:t>
            </w:r>
          </w:p>
        </w:tc>
        <w:tc>
          <w:tcPr>
            <w:tcW w:w="770" w:type="pct"/>
            <w:tcBorders>
              <w:top w:val="single" w:sz="4" w:space="0" w:color="auto"/>
              <w:left w:val="single" w:sz="4" w:space="0" w:color="auto"/>
              <w:bottom w:val="single" w:sz="4" w:space="0" w:color="auto"/>
              <w:right w:val="single" w:sz="4" w:space="0" w:color="auto"/>
            </w:tcBorders>
            <w:vAlign w:val="center"/>
          </w:tcPr>
          <w:p w:rsidR="00F45F72" w:rsidRPr="007B6745" w14:paraId="73174981" w14:textId="12214C58">
            <w:pPr>
              <w:pStyle w:val="RTableTextAbt"/>
              <w:ind w:right="309"/>
            </w:pPr>
            <w:r>
              <w:t>$334</w:t>
            </w:r>
          </w:p>
        </w:tc>
        <w:tc>
          <w:tcPr>
            <w:tcW w:w="577" w:type="pct"/>
            <w:tcBorders>
              <w:top w:val="single" w:sz="4" w:space="0" w:color="auto"/>
              <w:left w:val="single" w:sz="4" w:space="0" w:color="auto"/>
              <w:bottom w:val="single" w:sz="4" w:space="0" w:color="auto"/>
              <w:right w:val="single" w:sz="4" w:space="0" w:color="auto"/>
            </w:tcBorders>
            <w:vAlign w:val="center"/>
          </w:tcPr>
          <w:p w:rsidR="00F45F72" w:rsidRPr="007B6745" w:rsidP="00F45F72" w14:paraId="40F11844" w14:textId="032D68A8">
            <w:pPr>
              <w:pStyle w:val="RTableTextAbt"/>
            </w:pPr>
            <w:r w:rsidRPr="007B6745">
              <w:t xml:space="preserve">$310 </w:t>
            </w:r>
          </w:p>
        </w:tc>
        <w:tc>
          <w:tcPr>
            <w:tcW w:w="577"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7C3CBD98" w14:textId="77777777">
            <w:pPr>
              <w:pStyle w:val="RTableTextAbt"/>
            </w:pPr>
            <w:r w:rsidRPr="007B6745">
              <w:t xml:space="preserve">$21 </w:t>
            </w:r>
          </w:p>
        </w:tc>
        <w:tc>
          <w:tcPr>
            <w:tcW w:w="433"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414268B4" w14:textId="77777777">
            <w:pPr>
              <w:pStyle w:val="RTableTextAbt"/>
            </w:pPr>
            <w:r w:rsidRPr="007B6745">
              <w:t xml:space="preserve">$158 </w:t>
            </w:r>
          </w:p>
        </w:tc>
        <w:tc>
          <w:tcPr>
            <w:tcW w:w="481"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2BB79E3A" w14:textId="77777777">
            <w:pPr>
              <w:pStyle w:val="RTableTextAbt"/>
            </w:pPr>
            <w:r w:rsidRPr="007B6745">
              <w:t xml:space="preserve">$262 </w:t>
            </w:r>
          </w:p>
        </w:tc>
        <w:tc>
          <w:tcPr>
            <w:tcW w:w="480"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3E3DF2EF" w14:textId="77777777">
            <w:pPr>
              <w:pStyle w:val="RTableTextAbt"/>
            </w:pPr>
            <w:r w:rsidRPr="007B6745">
              <w:t xml:space="preserve">$439 </w:t>
            </w:r>
          </w:p>
        </w:tc>
        <w:tc>
          <w:tcPr>
            <w:tcW w:w="384"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699D88D3" w14:textId="77777777">
            <w:pPr>
              <w:pStyle w:val="RTableTextAbt"/>
            </w:pPr>
            <w:r w:rsidRPr="007B6745">
              <w:t xml:space="preserve">$1,190 </w:t>
            </w:r>
          </w:p>
        </w:tc>
      </w:tr>
      <w:tr w14:paraId="721B7FEF" w14:textId="77777777" w:rsidTr="0064758C">
        <w:tblPrEx>
          <w:tblW w:w="5000" w:type="pct"/>
          <w:tblLayout w:type="fixed"/>
          <w:tblCellMar>
            <w:left w:w="58" w:type="dxa"/>
            <w:right w:w="58" w:type="dxa"/>
          </w:tblCellMar>
          <w:tblLook w:val="04A0"/>
        </w:tblPrEx>
        <w:trPr>
          <w:trHeight w:val="280"/>
        </w:trPr>
        <w:tc>
          <w:tcPr>
            <w:tcW w:w="1298" w:type="pct"/>
            <w:tcBorders>
              <w:top w:val="single" w:sz="4" w:space="0" w:color="auto"/>
              <w:left w:val="single" w:sz="4" w:space="0" w:color="auto"/>
              <w:bottom w:val="single" w:sz="4" w:space="0" w:color="auto"/>
              <w:right w:val="single" w:sz="4" w:space="0" w:color="auto"/>
            </w:tcBorders>
            <w:noWrap/>
            <w:vAlign w:val="center"/>
            <w:hideMark/>
          </w:tcPr>
          <w:p w:rsidR="00F45F72" w:rsidRPr="00FB19EF" w:rsidP="00F45F72" w14:paraId="46B06DA0" w14:textId="227A9986">
            <w:pPr>
              <w:pStyle w:val="LTableTextAbt"/>
            </w:pPr>
            <w:r w:rsidRPr="007520DD">
              <w:t>PAPR, Full Facepiece</w:t>
            </w:r>
            <w:r>
              <w:t xml:space="preserve"> (APF 1,000)</w:t>
            </w:r>
          </w:p>
        </w:tc>
        <w:tc>
          <w:tcPr>
            <w:tcW w:w="770" w:type="pct"/>
            <w:tcBorders>
              <w:top w:val="single" w:sz="4" w:space="0" w:color="auto"/>
              <w:left w:val="single" w:sz="4" w:space="0" w:color="auto"/>
              <w:bottom w:val="single" w:sz="4" w:space="0" w:color="auto"/>
              <w:right w:val="single" w:sz="4" w:space="0" w:color="auto"/>
            </w:tcBorders>
            <w:vAlign w:val="center"/>
          </w:tcPr>
          <w:p w:rsidR="00F45F72" w:rsidRPr="007B6745" w14:paraId="3E002A60" w14:textId="54605D14">
            <w:pPr>
              <w:pStyle w:val="RTableTextAbt"/>
              <w:ind w:right="309"/>
            </w:pPr>
            <w:r>
              <w:t>$334</w:t>
            </w:r>
          </w:p>
        </w:tc>
        <w:tc>
          <w:tcPr>
            <w:tcW w:w="577" w:type="pct"/>
            <w:tcBorders>
              <w:top w:val="single" w:sz="4" w:space="0" w:color="auto"/>
              <w:left w:val="single" w:sz="4" w:space="0" w:color="auto"/>
              <w:bottom w:val="single" w:sz="4" w:space="0" w:color="auto"/>
              <w:right w:val="single" w:sz="4" w:space="0" w:color="auto"/>
            </w:tcBorders>
            <w:vAlign w:val="center"/>
          </w:tcPr>
          <w:p w:rsidR="00F45F72" w:rsidRPr="007B6745" w:rsidP="00F45F72" w14:paraId="796A72E1" w14:textId="001497F4">
            <w:pPr>
              <w:pStyle w:val="RTableTextAbt"/>
            </w:pPr>
            <w:r w:rsidRPr="007B6745">
              <w:t xml:space="preserve">$1,121 </w:t>
            </w:r>
          </w:p>
        </w:tc>
        <w:tc>
          <w:tcPr>
            <w:tcW w:w="577"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03C62731" w14:textId="77777777">
            <w:pPr>
              <w:pStyle w:val="RTableTextAbt"/>
            </w:pPr>
            <w:r w:rsidRPr="007B6745">
              <w:t xml:space="preserve">$21 </w:t>
            </w:r>
          </w:p>
        </w:tc>
        <w:tc>
          <w:tcPr>
            <w:tcW w:w="433"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63DA233E" w14:textId="77777777">
            <w:pPr>
              <w:pStyle w:val="RTableTextAbt"/>
            </w:pPr>
            <w:r w:rsidRPr="007B6745">
              <w:t xml:space="preserve">$158 </w:t>
            </w:r>
          </w:p>
        </w:tc>
        <w:tc>
          <w:tcPr>
            <w:tcW w:w="481"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4286F450" w14:textId="77777777">
            <w:pPr>
              <w:pStyle w:val="RTableTextAbt"/>
            </w:pPr>
            <w:r w:rsidRPr="007B6745">
              <w:t xml:space="preserve">$262 </w:t>
            </w:r>
          </w:p>
        </w:tc>
        <w:tc>
          <w:tcPr>
            <w:tcW w:w="480"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4E578564" w14:textId="77777777">
            <w:pPr>
              <w:pStyle w:val="RTableTextAbt"/>
            </w:pPr>
            <w:r w:rsidRPr="007B6745">
              <w:t xml:space="preserve">$439 </w:t>
            </w:r>
          </w:p>
        </w:tc>
        <w:tc>
          <w:tcPr>
            <w:tcW w:w="384"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0EA52F7D" w14:textId="77777777">
            <w:pPr>
              <w:pStyle w:val="RTableTextAbt"/>
            </w:pPr>
            <w:r w:rsidRPr="007B6745">
              <w:t xml:space="preserve">$2,001 </w:t>
            </w:r>
          </w:p>
        </w:tc>
      </w:tr>
      <w:tr w14:paraId="126AA572" w14:textId="77777777" w:rsidTr="0064758C">
        <w:tblPrEx>
          <w:tblW w:w="5000" w:type="pct"/>
          <w:tblLayout w:type="fixed"/>
          <w:tblCellMar>
            <w:left w:w="58" w:type="dxa"/>
            <w:right w:w="58" w:type="dxa"/>
          </w:tblCellMar>
          <w:tblLook w:val="04A0"/>
        </w:tblPrEx>
        <w:trPr>
          <w:trHeight w:val="280"/>
        </w:trPr>
        <w:tc>
          <w:tcPr>
            <w:tcW w:w="1298" w:type="pct"/>
            <w:tcBorders>
              <w:top w:val="single" w:sz="4" w:space="0" w:color="auto"/>
              <w:left w:val="single" w:sz="4" w:space="0" w:color="auto"/>
              <w:bottom w:val="single" w:sz="4" w:space="0" w:color="auto"/>
              <w:right w:val="single" w:sz="4" w:space="0" w:color="auto"/>
            </w:tcBorders>
            <w:noWrap/>
            <w:vAlign w:val="center"/>
            <w:hideMark/>
          </w:tcPr>
          <w:p w:rsidR="00F45F72" w:rsidRPr="00FB19EF" w:rsidP="00F45F72" w14:paraId="2407F680" w14:textId="0FDFB956">
            <w:pPr>
              <w:pStyle w:val="LTableTextAbt"/>
            </w:pPr>
            <w:r w:rsidRPr="007520DD">
              <w:t>PAPR, Helmet/Hood</w:t>
            </w:r>
            <w:r>
              <w:t xml:space="preserve"> (APF 1,000)</w:t>
            </w:r>
          </w:p>
        </w:tc>
        <w:tc>
          <w:tcPr>
            <w:tcW w:w="770" w:type="pct"/>
            <w:tcBorders>
              <w:top w:val="single" w:sz="4" w:space="0" w:color="auto"/>
              <w:left w:val="single" w:sz="4" w:space="0" w:color="auto"/>
              <w:bottom w:val="single" w:sz="4" w:space="0" w:color="auto"/>
              <w:right w:val="single" w:sz="4" w:space="0" w:color="auto"/>
            </w:tcBorders>
            <w:vAlign w:val="center"/>
          </w:tcPr>
          <w:p w:rsidR="00F45F72" w:rsidRPr="007B6745" w14:paraId="1A9A5B12" w14:textId="14D5CF64">
            <w:pPr>
              <w:pStyle w:val="RTableTextAbt"/>
              <w:ind w:right="309"/>
            </w:pPr>
            <w:r>
              <w:t>$334</w:t>
            </w:r>
          </w:p>
        </w:tc>
        <w:tc>
          <w:tcPr>
            <w:tcW w:w="577" w:type="pct"/>
            <w:tcBorders>
              <w:top w:val="single" w:sz="4" w:space="0" w:color="auto"/>
              <w:left w:val="single" w:sz="4" w:space="0" w:color="auto"/>
              <w:bottom w:val="single" w:sz="4" w:space="0" w:color="auto"/>
              <w:right w:val="single" w:sz="4" w:space="0" w:color="auto"/>
            </w:tcBorders>
            <w:vAlign w:val="center"/>
          </w:tcPr>
          <w:p w:rsidR="00F45F72" w:rsidRPr="007B6745" w:rsidP="00F45F72" w14:paraId="60885DF2" w14:textId="3116117C">
            <w:pPr>
              <w:pStyle w:val="RTableTextAbt"/>
            </w:pPr>
            <w:r w:rsidRPr="007B6745">
              <w:t xml:space="preserve">$1,087 </w:t>
            </w:r>
          </w:p>
        </w:tc>
        <w:tc>
          <w:tcPr>
            <w:tcW w:w="577"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6A88F7C2" w14:textId="77777777">
            <w:pPr>
              <w:pStyle w:val="RTableTextAbt"/>
            </w:pPr>
            <w:r w:rsidRPr="007B6745">
              <w:t xml:space="preserve">$21 </w:t>
            </w:r>
          </w:p>
        </w:tc>
        <w:tc>
          <w:tcPr>
            <w:tcW w:w="433"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2395CE6E" w14:textId="77777777">
            <w:pPr>
              <w:pStyle w:val="RTableTextAbt"/>
            </w:pPr>
            <w:r w:rsidRPr="007B6745">
              <w:t xml:space="preserve">$158 </w:t>
            </w:r>
          </w:p>
        </w:tc>
        <w:tc>
          <w:tcPr>
            <w:tcW w:w="481"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451D1C97" w14:textId="77777777">
            <w:pPr>
              <w:pStyle w:val="RTableTextAbt"/>
            </w:pPr>
            <w:r w:rsidRPr="007B6745">
              <w:t xml:space="preserve">$262 </w:t>
            </w:r>
          </w:p>
        </w:tc>
        <w:tc>
          <w:tcPr>
            <w:tcW w:w="480"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08DEA367" w14:textId="77777777">
            <w:pPr>
              <w:pStyle w:val="RTableTextAbt"/>
            </w:pPr>
            <w:r w:rsidRPr="007B6745">
              <w:t xml:space="preserve">$439 </w:t>
            </w:r>
          </w:p>
        </w:tc>
        <w:tc>
          <w:tcPr>
            <w:tcW w:w="384"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602F5206" w14:textId="77777777">
            <w:pPr>
              <w:pStyle w:val="RTableTextAbt"/>
            </w:pPr>
            <w:r w:rsidRPr="007B6745">
              <w:t xml:space="preserve">$1,967 </w:t>
            </w:r>
          </w:p>
        </w:tc>
      </w:tr>
      <w:tr w14:paraId="530D5393" w14:textId="77777777" w:rsidTr="0064758C">
        <w:tblPrEx>
          <w:tblW w:w="5000" w:type="pct"/>
          <w:tblLayout w:type="fixed"/>
          <w:tblCellMar>
            <w:left w:w="58" w:type="dxa"/>
            <w:right w:w="58" w:type="dxa"/>
          </w:tblCellMar>
          <w:tblLook w:val="04A0"/>
        </w:tblPrEx>
        <w:trPr>
          <w:trHeight w:val="280"/>
        </w:trPr>
        <w:tc>
          <w:tcPr>
            <w:tcW w:w="1298" w:type="pct"/>
            <w:tcBorders>
              <w:top w:val="single" w:sz="4" w:space="0" w:color="auto"/>
              <w:left w:val="single" w:sz="4" w:space="0" w:color="auto"/>
              <w:bottom w:val="single" w:sz="4" w:space="0" w:color="auto"/>
              <w:right w:val="single" w:sz="4" w:space="0" w:color="auto"/>
            </w:tcBorders>
            <w:noWrap/>
            <w:vAlign w:val="center"/>
            <w:hideMark/>
          </w:tcPr>
          <w:p w:rsidR="00F45F72" w:rsidRPr="00FB19EF" w:rsidP="00F45F72" w14:paraId="2059C428" w14:textId="6981FD2D">
            <w:pPr>
              <w:pStyle w:val="LTableTextAbt"/>
            </w:pPr>
            <w:r w:rsidRPr="007520DD">
              <w:t>SAR, Continuous Flow Full Facepiece</w:t>
            </w:r>
            <w:r>
              <w:t xml:space="preserve"> (APF 1,000)</w:t>
            </w:r>
          </w:p>
        </w:tc>
        <w:tc>
          <w:tcPr>
            <w:tcW w:w="770" w:type="pct"/>
            <w:tcBorders>
              <w:top w:val="single" w:sz="4" w:space="0" w:color="auto"/>
              <w:left w:val="single" w:sz="4" w:space="0" w:color="auto"/>
              <w:bottom w:val="single" w:sz="4" w:space="0" w:color="auto"/>
              <w:right w:val="single" w:sz="4" w:space="0" w:color="auto"/>
            </w:tcBorders>
            <w:vAlign w:val="center"/>
          </w:tcPr>
          <w:p w:rsidR="00F45F72" w:rsidRPr="007B6745" w14:paraId="5700004B" w14:textId="3ADA9CFC">
            <w:pPr>
              <w:pStyle w:val="RTableTextAbt"/>
              <w:ind w:right="309"/>
            </w:pPr>
            <w:r>
              <w:t>$334</w:t>
            </w:r>
          </w:p>
        </w:tc>
        <w:tc>
          <w:tcPr>
            <w:tcW w:w="577" w:type="pct"/>
            <w:tcBorders>
              <w:top w:val="single" w:sz="4" w:space="0" w:color="auto"/>
              <w:left w:val="single" w:sz="4" w:space="0" w:color="auto"/>
              <w:bottom w:val="single" w:sz="4" w:space="0" w:color="auto"/>
              <w:right w:val="single" w:sz="4" w:space="0" w:color="auto"/>
            </w:tcBorders>
            <w:vAlign w:val="center"/>
          </w:tcPr>
          <w:p w:rsidR="00F45F72" w:rsidRPr="007B6745" w:rsidP="00F45F72" w14:paraId="2EC6FFC9" w14:textId="36A9821B">
            <w:pPr>
              <w:pStyle w:val="RTableTextAbt"/>
            </w:pPr>
            <w:r w:rsidRPr="007B6745">
              <w:t xml:space="preserve">$370 </w:t>
            </w:r>
          </w:p>
        </w:tc>
        <w:tc>
          <w:tcPr>
            <w:tcW w:w="577"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234F7FEA" w14:textId="77777777">
            <w:pPr>
              <w:pStyle w:val="RTableTextAbt"/>
            </w:pPr>
            <w:r w:rsidRPr="007B6745">
              <w:t xml:space="preserve">$21 </w:t>
            </w:r>
          </w:p>
        </w:tc>
        <w:tc>
          <w:tcPr>
            <w:tcW w:w="433"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3BEAE8D5" w14:textId="77777777">
            <w:pPr>
              <w:pStyle w:val="RTableTextAbt"/>
            </w:pPr>
            <w:r w:rsidRPr="007B6745">
              <w:t xml:space="preserve">$158 </w:t>
            </w:r>
          </w:p>
        </w:tc>
        <w:tc>
          <w:tcPr>
            <w:tcW w:w="481"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3DF30F64" w14:textId="77777777">
            <w:pPr>
              <w:pStyle w:val="RTableTextAbt"/>
            </w:pPr>
            <w:r w:rsidRPr="007B6745">
              <w:t xml:space="preserve">$262 </w:t>
            </w:r>
          </w:p>
        </w:tc>
        <w:tc>
          <w:tcPr>
            <w:tcW w:w="480"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30A24B44" w14:textId="77777777">
            <w:pPr>
              <w:pStyle w:val="RTableTextAbt"/>
            </w:pPr>
            <w:r w:rsidRPr="007B6745">
              <w:t xml:space="preserve">$439 </w:t>
            </w:r>
          </w:p>
        </w:tc>
        <w:tc>
          <w:tcPr>
            <w:tcW w:w="384"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5D2E44AC" w14:textId="77777777">
            <w:pPr>
              <w:pStyle w:val="RTableTextAbt"/>
            </w:pPr>
            <w:r w:rsidRPr="007B6745">
              <w:t xml:space="preserve">$1,250 </w:t>
            </w:r>
          </w:p>
        </w:tc>
      </w:tr>
      <w:tr w14:paraId="52CCDAA5" w14:textId="77777777" w:rsidTr="0064758C">
        <w:tblPrEx>
          <w:tblW w:w="5000" w:type="pct"/>
          <w:tblLayout w:type="fixed"/>
          <w:tblCellMar>
            <w:left w:w="58" w:type="dxa"/>
            <w:right w:w="58" w:type="dxa"/>
          </w:tblCellMar>
          <w:tblLook w:val="04A0"/>
        </w:tblPrEx>
        <w:trPr>
          <w:trHeight w:val="280"/>
        </w:trPr>
        <w:tc>
          <w:tcPr>
            <w:tcW w:w="1298" w:type="pct"/>
            <w:tcBorders>
              <w:top w:val="single" w:sz="4" w:space="0" w:color="auto"/>
              <w:left w:val="single" w:sz="4" w:space="0" w:color="auto"/>
              <w:bottom w:val="single" w:sz="4" w:space="0" w:color="auto"/>
              <w:right w:val="single" w:sz="4" w:space="0" w:color="auto"/>
            </w:tcBorders>
            <w:noWrap/>
            <w:vAlign w:val="center"/>
            <w:hideMark/>
          </w:tcPr>
          <w:p w:rsidR="00F45F72" w:rsidRPr="00FB19EF" w:rsidP="00F45F72" w14:paraId="414C071E" w14:textId="6FC55020">
            <w:pPr>
              <w:pStyle w:val="LTableTextAbt"/>
            </w:pPr>
            <w:r w:rsidRPr="007520DD">
              <w:t>SAR, Continuous Flow Helmet/Hood</w:t>
            </w:r>
            <w:r>
              <w:t xml:space="preserve"> (APF 1,000)</w:t>
            </w:r>
          </w:p>
        </w:tc>
        <w:tc>
          <w:tcPr>
            <w:tcW w:w="770" w:type="pct"/>
            <w:tcBorders>
              <w:top w:val="single" w:sz="4" w:space="0" w:color="auto"/>
              <w:left w:val="single" w:sz="4" w:space="0" w:color="auto"/>
              <w:bottom w:val="single" w:sz="4" w:space="0" w:color="auto"/>
              <w:right w:val="single" w:sz="4" w:space="0" w:color="auto"/>
            </w:tcBorders>
            <w:vAlign w:val="center"/>
          </w:tcPr>
          <w:p w:rsidR="00F45F72" w:rsidRPr="007B6745" w14:paraId="4FF1B6E5" w14:textId="7F9FE0FE">
            <w:pPr>
              <w:pStyle w:val="RTableTextAbt"/>
              <w:ind w:right="309"/>
            </w:pPr>
            <w:r>
              <w:t>$334</w:t>
            </w:r>
          </w:p>
        </w:tc>
        <w:tc>
          <w:tcPr>
            <w:tcW w:w="577" w:type="pct"/>
            <w:tcBorders>
              <w:top w:val="single" w:sz="4" w:space="0" w:color="auto"/>
              <w:left w:val="single" w:sz="4" w:space="0" w:color="auto"/>
              <w:bottom w:val="single" w:sz="4" w:space="0" w:color="auto"/>
              <w:right w:val="single" w:sz="4" w:space="0" w:color="auto"/>
            </w:tcBorders>
            <w:vAlign w:val="center"/>
          </w:tcPr>
          <w:p w:rsidR="00F45F72" w:rsidRPr="007B6745" w:rsidP="00F45F72" w14:paraId="1CB9E623" w14:textId="1FF11A4B">
            <w:pPr>
              <w:pStyle w:val="RTableTextAbt"/>
            </w:pPr>
            <w:r w:rsidRPr="007B6745">
              <w:t xml:space="preserve">$357 </w:t>
            </w:r>
          </w:p>
        </w:tc>
        <w:tc>
          <w:tcPr>
            <w:tcW w:w="577"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22BE9732" w14:textId="77777777">
            <w:pPr>
              <w:pStyle w:val="RTableTextAbt"/>
            </w:pPr>
            <w:r w:rsidRPr="007B6745">
              <w:t xml:space="preserve">$21 </w:t>
            </w:r>
          </w:p>
        </w:tc>
        <w:tc>
          <w:tcPr>
            <w:tcW w:w="433"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04BB21C6" w14:textId="77777777">
            <w:pPr>
              <w:pStyle w:val="RTableTextAbt"/>
            </w:pPr>
            <w:r w:rsidRPr="007B6745">
              <w:t xml:space="preserve">$158 </w:t>
            </w:r>
          </w:p>
        </w:tc>
        <w:tc>
          <w:tcPr>
            <w:tcW w:w="481"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1A0B5CC8" w14:textId="77777777">
            <w:pPr>
              <w:pStyle w:val="RTableTextAbt"/>
            </w:pPr>
            <w:r w:rsidRPr="007B6745">
              <w:t xml:space="preserve">$262 </w:t>
            </w:r>
          </w:p>
        </w:tc>
        <w:tc>
          <w:tcPr>
            <w:tcW w:w="480"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40F332CF" w14:textId="77777777">
            <w:pPr>
              <w:pStyle w:val="RTableTextAbt"/>
            </w:pPr>
            <w:r w:rsidRPr="007B6745">
              <w:t xml:space="preserve">$439 </w:t>
            </w:r>
          </w:p>
        </w:tc>
        <w:tc>
          <w:tcPr>
            <w:tcW w:w="384"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4CF0F3FC" w14:textId="77777777">
            <w:pPr>
              <w:pStyle w:val="RTableTextAbt"/>
            </w:pPr>
            <w:r w:rsidRPr="007B6745">
              <w:t xml:space="preserve">$1,237 </w:t>
            </w:r>
          </w:p>
        </w:tc>
      </w:tr>
      <w:tr w14:paraId="7319EBB4" w14:textId="77777777" w:rsidTr="0064758C">
        <w:tblPrEx>
          <w:tblW w:w="5000" w:type="pct"/>
          <w:tblLayout w:type="fixed"/>
          <w:tblCellMar>
            <w:left w:w="58" w:type="dxa"/>
            <w:right w:w="58" w:type="dxa"/>
          </w:tblCellMar>
          <w:tblLook w:val="04A0"/>
        </w:tblPrEx>
        <w:trPr>
          <w:trHeight w:val="280"/>
        </w:trPr>
        <w:tc>
          <w:tcPr>
            <w:tcW w:w="1298" w:type="pct"/>
            <w:tcBorders>
              <w:top w:val="single" w:sz="4" w:space="0" w:color="auto"/>
              <w:left w:val="single" w:sz="4" w:space="0" w:color="auto"/>
              <w:bottom w:val="single" w:sz="4" w:space="0" w:color="auto"/>
              <w:right w:val="single" w:sz="4" w:space="0" w:color="auto"/>
            </w:tcBorders>
            <w:noWrap/>
            <w:vAlign w:val="center"/>
            <w:hideMark/>
          </w:tcPr>
          <w:p w:rsidR="00F45F72" w:rsidRPr="00FB19EF" w:rsidP="00F45F72" w14:paraId="17ECCC74" w14:textId="33877CC4">
            <w:pPr>
              <w:pStyle w:val="LTableTextAbt"/>
            </w:pPr>
            <w:r w:rsidRPr="007520DD">
              <w:t>SCBA, Positive-pressure Mode, Full Facepiece</w:t>
            </w:r>
            <w:r>
              <w:t xml:space="preserve"> (APF 10,000)</w:t>
            </w:r>
          </w:p>
        </w:tc>
        <w:tc>
          <w:tcPr>
            <w:tcW w:w="770" w:type="pct"/>
            <w:tcBorders>
              <w:top w:val="single" w:sz="4" w:space="0" w:color="auto"/>
              <w:left w:val="single" w:sz="4" w:space="0" w:color="auto"/>
              <w:bottom w:val="single" w:sz="4" w:space="0" w:color="auto"/>
              <w:right w:val="single" w:sz="4" w:space="0" w:color="auto"/>
            </w:tcBorders>
            <w:vAlign w:val="center"/>
          </w:tcPr>
          <w:p w:rsidR="00F45F72" w:rsidRPr="007B6745" w14:paraId="646F39D4" w14:textId="6FCA34DB">
            <w:pPr>
              <w:pStyle w:val="RTableTextAbt"/>
              <w:ind w:right="309"/>
            </w:pPr>
            <w:r>
              <w:t>$334</w:t>
            </w:r>
          </w:p>
        </w:tc>
        <w:tc>
          <w:tcPr>
            <w:tcW w:w="577" w:type="pct"/>
            <w:tcBorders>
              <w:top w:val="single" w:sz="4" w:space="0" w:color="auto"/>
              <w:left w:val="single" w:sz="4" w:space="0" w:color="auto"/>
              <w:bottom w:val="single" w:sz="4" w:space="0" w:color="auto"/>
              <w:right w:val="single" w:sz="4" w:space="0" w:color="auto"/>
            </w:tcBorders>
            <w:vAlign w:val="center"/>
          </w:tcPr>
          <w:p w:rsidR="00F45F72" w:rsidRPr="007B6745" w:rsidP="00F45F72" w14:paraId="726C2FD1" w14:textId="7F8A6E2F">
            <w:pPr>
              <w:pStyle w:val="RTableTextAbt"/>
            </w:pPr>
            <w:r w:rsidRPr="007B6745">
              <w:t xml:space="preserve">$1,218 </w:t>
            </w:r>
          </w:p>
        </w:tc>
        <w:tc>
          <w:tcPr>
            <w:tcW w:w="577"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3B734F2D" w14:textId="77777777">
            <w:pPr>
              <w:pStyle w:val="RTableTextAbt"/>
            </w:pPr>
            <w:r w:rsidRPr="007B6745">
              <w:t xml:space="preserve">$21 </w:t>
            </w:r>
          </w:p>
        </w:tc>
        <w:tc>
          <w:tcPr>
            <w:tcW w:w="433"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51B13AB4" w14:textId="77777777">
            <w:pPr>
              <w:pStyle w:val="RTableTextAbt"/>
            </w:pPr>
            <w:r w:rsidRPr="007B6745">
              <w:t xml:space="preserve">$158 </w:t>
            </w:r>
          </w:p>
        </w:tc>
        <w:tc>
          <w:tcPr>
            <w:tcW w:w="481"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1725DE90" w14:textId="77777777">
            <w:pPr>
              <w:pStyle w:val="RTableTextAbt"/>
            </w:pPr>
            <w:r w:rsidRPr="007B6745">
              <w:t xml:space="preserve">$524 </w:t>
            </w:r>
          </w:p>
        </w:tc>
        <w:tc>
          <w:tcPr>
            <w:tcW w:w="480"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22D8059E" w14:textId="77777777">
            <w:pPr>
              <w:pStyle w:val="RTableTextAbt"/>
            </w:pPr>
            <w:r w:rsidRPr="007B6745">
              <w:t xml:space="preserve">$439 </w:t>
            </w:r>
          </w:p>
        </w:tc>
        <w:tc>
          <w:tcPr>
            <w:tcW w:w="384"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545C46EE" w14:textId="77777777">
            <w:pPr>
              <w:pStyle w:val="RTableTextAbt"/>
            </w:pPr>
            <w:r w:rsidRPr="007B6745">
              <w:t xml:space="preserve">$2,360 </w:t>
            </w:r>
          </w:p>
        </w:tc>
      </w:tr>
      <w:tr w14:paraId="5BCCA119" w14:textId="77777777" w:rsidTr="0064758C">
        <w:tblPrEx>
          <w:tblW w:w="5000" w:type="pct"/>
          <w:tblLayout w:type="fixed"/>
          <w:tblCellMar>
            <w:left w:w="58" w:type="dxa"/>
            <w:right w:w="58" w:type="dxa"/>
          </w:tblCellMar>
          <w:tblLook w:val="04A0"/>
        </w:tblPrEx>
        <w:trPr>
          <w:trHeight w:val="280"/>
        </w:trPr>
        <w:tc>
          <w:tcPr>
            <w:tcW w:w="1298" w:type="pct"/>
            <w:tcBorders>
              <w:top w:val="single" w:sz="4" w:space="0" w:color="auto"/>
              <w:left w:val="single" w:sz="4" w:space="0" w:color="auto"/>
              <w:bottom w:val="single" w:sz="4" w:space="0" w:color="auto"/>
              <w:right w:val="single" w:sz="4" w:space="0" w:color="auto"/>
            </w:tcBorders>
            <w:noWrap/>
            <w:vAlign w:val="center"/>
            <w:hideMark/>
          </w:tcPr>
          <w:p w:rsidR="00F45F72" w:rsidRPr="00FB19EF" w:rsidP="00F45F72" w14:paraId="44745106" w14:textId="1F698948">
            <w:pPr>
              <w:pStyle w:val="LTableTextAbt"/>
            </w:pPr>
            <w:r w:rsidRPr="007520DD">
              <w:t>SCBA, Positive-pressure Mode, Helmet/Hood</w:t>
            </w:r>
            <w:r>
              <w:t xml:space="preserve"> (APF 10,000)</w:t>
            </w:r>
          </w:p>
        </w:tc>
        <w:tc>
          <w:tcPr>
            <w:tcW w:w="770" w:type="pct"/>
            <w:tcBorders>
              <w:top w:val="single" w:sz="4" w:space="0" w:color="auto"/>
              <w:left w:val="single" w:sz="4" w:space="0" w:color="auto"/>
              <w:bottom w:val="single" w:sz="4" w:space="0" w:color="auto"/>
              <w:right w:val="single" w:sz="4" w:space="0" w:color="auto"/>
            </w:tcBorders>
            <w:vAlign w:val="center"/>
          </w:tcPr>
          <w:p w:rsidR="00F45F72" w:rsidRPr="007B6745" w14:paraId="5475282E" w14:textId="2EC440C3">
            <w:pPr>
              <w:pStyle w:val="RTableTextAbt"/>
              <w:ind w:right="309"/>
            </w:pPr>
            <w:r>
              <w:t>$334</w:t>
            </w:r>
          </w:p>
        </w:tc>
        <w:tc>
          <w:tcPr>
            <w:tcW w:w="577" w:type="pct"/>
            <w:tcBorders>
              <w:top w:val="single" w:sz="4" w:space="0" w:color="auto"/>
              <w:left w:val="single" w:sz="4" w:space="0" w:color="auto"/>
              <w:bottom w:val="single" w:sz="4" w:space="0" w:color="auto"/>
              <w:right w:val="single" w:sz="4" w:space="0" w:color="auto"/>
            </w:tcBorders>
            <w:vAlign w:val="center"/>
          </w:tcPr>
          <w:p w:rsidR="00F45F72" w:rsidRPr="007B6745" w:rsidP="00F45F72" w14:paraId="3D553E1A" w14:textId="7CB1F117">
            <w:pPr>
              <w:pStyle w:val="RTableTextAbt"/>
            </w:pPr>
            <w:r w:rsidRPr="007B6745">
              <w:t xml:space="preserve">$1,297 </w:t>
            </w:r>
          </w:p>
        </w:tc>
        <w:tc>
          <w:tcPr>
            <w:tcW w:w="577"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0A3C4D01" w14:textId="77777777">
            <w:pPr>
              <w:pStyle w:val="RTableTextAbt"/>
            </w:pPr>
            <w:r w:rsidRPr="007B6745">
              <w:t xml:space="preserve">$21 </w:t>
            </w:r>
          </w:p>
        </w:tc>
        <w:tc>
          <w:tcPr>
            <w:tcW w:w="433"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4662E5DF" w14:textId="77777777">
            <w:pPr>
              <w:pStyle w:val="RTableTextAbt"/>
            </w:pPr>
            <w:r w:rsidRPr="007B6745">
              <w:t xml:space="preserve">$158 </w:t>
            </w:r>
          </w:p>
        </w:tc>
        <w:tc>
          <w:tcPr>
            <w:tcW w:w="481"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5B1972ED" w14:textId="77777777">
            <w:pPr>
              <w:pStyle w:val="RTableTextAbt"/>
            </w:pPr>
            <w:r w:rsidRPr="007B6745">
              <w:t xml:space="preserve">$524 </w:t>
            </w:r>
          </w:p>
        </w:tc>
        <w:tc>
          <w:tcPr>
            <w:tcW w:w="480"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7A5AE2E8" w14:textId="77777777">
            <w:pPr>
              <w:pStyle w:val="RTableTextAbt"/>
            </w:pPr>
            <w:r w:rsidRPr="007B6745">
              <w:t xml:space="preserve">$439 </w:t>
            </w:r>
          </w:p>
        </w:tc>
        <w:tc>
          <w:tcPr>
            <w:tcW w:w="384" w:type="pct"/>
            <w:tcBorders>
              <w:top w:val="single" w:sz="4" w:space="0" w:color="auto"/>
              <w:left w:val="single" w:sz="4" w:space="0" w:color="auto"/>
              <w:bottom w:val="single" w:sz="4" w:space="0" w:color="auto"/>
              <w:right w:val="single" w:sz="4" w:space="0" w:color="auto"/>
            </w:tcBorders>
            <w:vAlign w:val="center"/>
            <w:hideMark/>
          </w:tcPr>
          <w:p w:rsidR="00F45F72" w:rsidRPr="007B6745" w:rsidP="00F45F72" w14:paraId="0BBFE54E" w14:textId="77777777">
            <w:pPr>
              <w:pStyle w:val="RTableTextAbt"/>
            </w:pPr>
            <w:r w:rsidRPr="007B6745">
              <w:t xml:space="preserve">$2,439 </w:t>
            </w:r>
          </w:p>
        </w:tc>
      </w:tr>
      <w:tr w14:paraId="2F9ECA42" w14:textId="77777777" w:rsidTr="0064758C">
        <w:tblPrEx>
          <w:tblW w:w="5000" w:type="pct"/>
          <w:tblLayout w:type="fixed"/>
          <w:tblCellMar>
            <w:left w:w="58" w:type="dxa"/>
            <w:right w:w="58" w:type="dxa"/>
          </w:tblCellMar>
          <w:tblLook w:val="04A0"/>
        </w:tblPrEx>
        <w:trPr>
          <w:trHeight w:val="360"/>
        </w:trPr>
        <w:tc>
          <w:tcPr>
            <w:tcW w:w="5000" w:type="pct"/>
            <w:gridSpan w:val="8"/>
            <w:tcBorders>
              <w:top w:val="single" w:sz="4" w:space="0" w:color="auto"/>
              <w:left w:val="single" w:sz="4" w:space="0" w:color="auto"/>
              <w:bottom w:val="single" w:sz="4" w:space="0" w:color="auto"/>
              <w:right w:val="single" w:sz="4" w:space="0" w:color="auto"/>
            </w:tcBorders>
            <w:hideMark/>
          </w:tcPr>
          <w:p w:rsidR="00F45F72" w:rsidRPr="007B6745" w:rsidP="00F45F72" w14:paraId="544D2C06" w14:textId="000D4C8C">
            <w:pPr>
              <w:pStyle w:val="TableNote0"/>
            </w:pPr>
            <w:r w:rsidRPr="007B6745">
              <w:t xml:space="preserve">Source: </w:t>
            </w:r>
            <w:r w:rsidR="00843B82">
              <w:t xml:space="preserve">Per facility costs include </w:t>
            </w:r>
            <w:r w:rsidR="00003C06">
              <w:t>the per facility respirator program</w:t>
            </w:r>
            <w:r w:rsidR="00434CD3">
              <w:t xml:space="preserve"> written plan</w:t>
            </w:r>
            <w:r w:rsidR="00003C06">
              <w:t xml:space="preserve"> costs of </w:t>
            </w:r>
            <w:r w:rsidR="00063078">
              <w:t xml:space="preserve">$148 from </w:t>
            </w:r>
            <w:r w:rsidRPr="47F4D8F7" w:rsidR="00063078">
              <w:t xml:space="preserve">Abt </w:t>
            </w:r>
            <w:r w:rsidR="00063078">
              <w:t>Global’s</w:t>
            </w:r>
            <w:r w:rsidRPr="47F4D8F7" w:rsidR="00063078">
              <w:t xml:space="preserve"> </w:t>
            </w:r>
            <w:r w:rsidR="00063078">
              <w:t>(</w:t>
            </w:r>
            <w:hyperlink w:anchor="_ENREF_1" w:tooltip="Abt Global, 2024 #1" w:history="1">
              <w:r w:rsidRPr="007B6745" w:rsidR="003D6084">
                <w:fldChar w:fldCharType="begin" w:fldLock="1"/>
              </w:r>
              <w:r w:rsidR="003D6084">
                <w:instrText xml:space="preserve"> ADDIN EN.CITE &lt;EndNote&gt;&lt;Cite ExcludeAuth="1"&gt;&lt;Author&gt;Abt Global&lt;/Author&gt;&lt;Year&gt;2024&lt;/Year&gt;&lt;RecNum&gt;1&lt;/RecNum&gt;&lt;DisplayText&gt;2024&lt;/DisplayText&gt;&lt;record&gt;&lt;rec-number&gt;1&lt;/rec-number&gt;&lt;foreign-keys&gt;&lt;key app="EN" db-id="2apzr05radv9fjet2w6xxwdlz5e9vwfxredw" timestamp="1730757315"&gt;1&lt;/key&gt;&lt;/foreign-keys&gt;&lt;ref-type name="Report"&gt;27&lt;/ref-type&gt;&lt;contributors&gt;&lt;authors&gt;&lt;author&gt;Abt Global,&lt;/author&gt;&lt;/authors&gt;&lt;/contributors&gt;&lt;titles&gt;&lt;title&gt;Estimated Costs for Respirator PPE for TSCA Risk Management Economic Analyses &lt;/title&gt;&lt;/titles&gt;&lt;dates&gt;&lt;year&gt;2024&lt;/year&gt;&lt;/dates&gt;&lt;publisher&gt;Submitted to U.S. EPA Economic and Policy Analysis Branch&lt;/publisher&gt;&lt;urls&gt;&lt;/urls&gt;&lt;/record&gt;&lt;/Cite&gt;&lt;Cite ExcludeAuth="1"&gt;&lt;Author&gt;Abt Global&lt;/Author&gt;&lt;Year&gt;2024&lt;/Year&gt;&lt;RecNum&gt;1&lt;/RecNum&gt;&lt;record&gt;&lt;rec-number&gt;1&lt;/rec-number&gt;&lt;foreign-keys&gt;&lt;key app="EN" db-id="2apzr05radv9fjet2w6xxwdlz5e9vwfxredw" timestamp="1730757315"&gt;1&lt;/key&gt;&lt;/foreign-keys&gt;&lt;ref-type name="Report"&gt;27&lt;/ref-type&gt;&lt;contributors&gt;&lt;authors&gt;&lt;author&gt;Abt Global,&lt;/author&gt;&lt;/authors&gt;&lt;/contributors&gt;&lt;titles&gt;&lt;title&gt;Estimated Costs for Respirator PPE for TSCA Risk Management Economic Analyses &lt;/title&gt;&lt;/titles&gt;&lt;dates&gt;&lt;year&gt;2024&lt;/year&gt;&lt;/dates&gt;&lt;publisher&gt;Submitted to U.S. EPA Economic and Policy Analysis Branch&lt;/publisher&gt;&lt;urls&gt;&lt;/urls&gt;&lt;/record&gt;&lt;/Cite&gt;&lt;/EndNote&gt;</w:instrText>
              </w:r>
              <w:r w:rsidRPr="007B6745" w:rsidR="003D6084">
                <w:fldChar w:fldCharType="separate"/>
              </w:r>
              <w:r w:rsidR="003D6084">
                <w:rPr>
                  <w:noProof/>
                </w:rPr>
                <w:t>2024</w:t>
              </w:r>
              <w:r w:rsidRPr="007B6745" w:rsidR="003D6084">
                <w:fldChar w:fldCharType="end"/>
              </w:r>
            </w:hyperlink>
            <w:r w:rsidR="00063078">
              <w:t>)</w:t>
            </w:r>
            <w:r w:rsidRPr="47F4D8F7" w:rsidR="00063078">
              <w:t xml:space="preserve"> </w:t>
            </w:r>
            <w:r w:rsidR="00063078">
              <w:t>report</w:t>
            </w:r>
            <w:r w:rsidRPr="007B6745" w:rsidR="00063078">
              <w:t xml:space="preserve"> </w:t>
            </w:r>
            <w:r w:rsidR="00063078">
              <w:t>(</w:t>
            </w:r>
            <w:r w:rsidR="00775F93">
              <w:t>Table 4</w:t>
            </w:r>
            <w:r w:rsidR="00063078">
              <w:t xml:space="preserve">) </w:t>
            </w:r>
            <w:r w:rsidR="00775F93">
              <w:t xml:space="preserve">and a </w:t>
            </w:r>
            <w:r w:rsidR="009D49C6">
              <w:t xml:space="preserve">recordkeeping cost of </w:t>
            </w:r>
            <w:r w:rsidR="00775F93">
              <w:t xml:space="preserve">$186 </w:t>
            </w:r>
            <w:r w:rsidR="009D49C6">
              <w:t xml:space="preserve">associated with 2 hours of </w:t>
            </w:r>
            <w:r w:rsidR="008C053E">
              <w:t xml:space="preserve">manufacturing managerial </w:t>
            </w:r>
            <w:r w:rsidR="009D49C6">
              <w:t>labor</w:t>
            </w:r>
            <w:r w:rsidR="008C053E">
              <w:t xml:space="preserve"> (see wage rates in </w:t>
            </w:r>
            <w:r w:rsidR="008C053E">
              <w:fldChar w:fldCharType="begin" w:fldLock="1"/>
            </w:r>
            <w:r w:rsidR="008C053E">
              <w:instrText xml:space="preserve"> REF _Ref175676776 \h </w:instrText>
            </w:r>
            <w:r w:rsidR="008C053E">
              <w:fldChar w:fldCharType="separate"/>
            </w:r>
            <w:r w:rsidRPr="007B6745" w:rsidR="00735BBC">
              <w:t xml:space="preserve">Table </w:t>
            </w:r>
            <w:r w:rsidR="00735BBC">
              <w:rPr>
                <w:noProof/>
              </w:rPr>
              <w:t>4</w:t>
            </w:r>
            <w:r w:rsidR="00735BBC">
              <w:noBreakHyphen/>
            </w:r>
            <w:r w:rsidR="00735BBC">
              <w:rPr>
                <w:noProof/>
              </w:rPr>
              <w:t>1</w:t>
            </w:r>
            <w:r w:rsidR="008C053E">
              <w:fldChar w:fldCharType="end"/>
            </w:r>
            <w:r w:rsidR="008C053E">
              <w:t>).</w:t>
            </w:r>
            <w:r w:rsidR="009D49C6">
              <w:t xml:space="preserve"> </w:t>
            </w:r>
            <w:r w:rsidR="00775F93">
              <w:t>Per worker costs are b</w:t>
            </w:r>
            <w:r w:rsidRPr="007B6745" w:rsidR="00775F93">
              <w:t xml:space="preserve">ased </w:t>
            </w:r>
            <w:r w:rsidRPr="007B6745">
              <w:t xml:space="preserve">on costs for manufacturing sector from </w:t>
            </w:r>
            <w:r w:rsidRPr="47F4D8F7" w:rsidR="008C053E">
              <w:t xml:space="preserve">Abt </w:t>
            </w:r>
            <w:r w:rsidR="008C053E">
              <w:t>Global’s</w:t>
            </w:r>
            <w:r w:rsidRPr="47F4D8F7" w:rsidR="008C053E">
              <w:t xml:space="preserve"> </w:t>
            </w:r>
            <w:r w:rsidR="008C053E">
              <w:t>(</w:t>
            </w:r>
            <w:hyperlink w:anchor="_ENREF_1" w:tooltip="Abt Global, 2024 #1" w:history="1">
              <w:r w:rsidRPr="007B6745" w:rsidR="003D6084">
                <w:fldChar w:fldCharType="begin" w:fldLock="1"/>
              </w:r>
              <w:r w:rsidR="003D6084">
                <w:instrText xml:space="preserve"> ADDIN EN.CITE &lt;EndNote&gt;&lt;Cite ExcludeAuth="1"&gt;&lt;Author&gt;Abt Global&lt;/Author&gt;&lt;Year&gt;2024&lt;/Year&gt;&lt;RecNum&gt;1&lt;/RecNum&gt;&lt;DisplayText&gt;2024&lt;/DisplayText&gt;&lt;record&gt;&lt;rec-number&gt;1&lt;/rec-number&gt;&lt;foreign-keys&gt;&lt;key app="EN" db-id="2apzr05radv9fjet2w6xxwdlz5e9vwfxredw" timestamp="1730757315"&gt;1&lt;/key&gt;&lt;/foreign-keys&gt;&lt;ref-type name="Report"&gt;27&lt;/ref-type&gt;&lt;contributors&gt;&lt;authors&gt;&lt;author&gt;Abt Global,&lt;/author&gt;&lt;/authors&gt;&lt;/contributors&gt;&lt;titles&gt;&lt;title&gt;Estimated Costs for Respirator PPE for TSCA Risk Management Economic Analyses &lt;/title&gt;&lt;/titles&gt;&lt;dates&gt;&lt;year&gt;2024&lt;/year&gt;&lt;/dates&gt;&lt;publisher&gt;Submitted to U.S. EPA Economic and Policy Analysis Branch&lt;/publisher&gt;&lt;urls&gt;&lt;/urls&gt;&lt;/record&gt;&lt;/Cite&gt;&lt;Cite ExcludeAuth="1"&gt;&lt;Author&gt;Abt Global&lt;/Author&gt;&lt;Year&gt;2024&lt;/Year&gt;&lt;RecNum&gt;1&lt;/RecNum&gt;&lt;record&gt;&lt;rec-number&gt;1&lt;/rec-number&gt;&lt;foreign-keys&gt;&lt;key app="EN" db-id="2apzr05radv9fjet2w6xxwdlz5e9vwfxredw" timestamp="1730757315"&gt;1&lt;/key&gt;&lt;/foreign-keys&gt;&lt;ref-type name="Report"&gt;27&lt;/ref-type&gt;&lt;contributors&gt;&lt;authors&gt;&lt;author&gt;Abt Global,&lt;/author&gt;&lt;/authors&gt;&lt;/contributors&gt;&lt;titles&gt;&lt;title&gt;Estimated Costs for Respirator PPE for TSCA Risk Management Economic Analyses &lt;/title&gt;&lt;/titles&gt;&lt;dates&gt;&lt;year&gt;2024&lt;/year&gt;&lt;/dates&gt;&lt;publisher&gt;Submitted to U.S. EPA Economic and Policy Analysis Branch&lt;/publisher&gt;&lt;urls&gt;&lt;/urls&gt;&lt;/record&gt;&lt;/Cite&gt;&lt;/EndNote&gt;</w:instrText>
              </w:r>
              <w:r w:rsidRPr="007B6745" w:rsidR="003D6084">
                <w:fldChar w:fldCharType="separate"/>
              </w:r>
              <w:r w:rsidR="003D6084">
                <w:rPr>
                  <w:noProof/>
                </w:rPr>
                <w:t>2024</w:t>
              </w:r>
              <w:r w:rsidRPr="007B6745" w:rsidR="003D6084">
                <w:fldChar w:fldCharType="end"/>
              </w:r>
            </w:hyperlink>
            <w:r w:rsidR="008C053E">
              <w:t>)</w:t>
            </w:r>
            <w:r w:rsidRPr="47F4D8F7" w:rsidR="008C053E">
              <w:t xml:space="preserve"> </w:t>
            </w:r>
            <w:r w:rsidR="008C053E">
              <w:t>report</w:t>
            </w:r>
            <w:r w:rsidRPr="007B6745" w:rsidR="008C053E">
              <w:t xml:space="preserve"> </w:t>
            </w:r>
            <w:r w:rsidR="008C053E">
              <w:t xml:space="preserve">(Table 17) </w:t>
            </w:r>
            <w:r w:rsidRPr="007B6745">
              <w:t>rounded to the nearest dollar.</w:t>
            </w:r>
          </w:p>
        </w:tc>
      </w:tr>
    </w:tbl>
    <w:p w:rsidR="007B6745" w:rsidRPr="007B6745" w:rsidP="00832749" w14:paraId="79C204EA" w14:textId="77777777">
      <w:pPr>
        <w:pStyle w:val="BodyText"/>
      </w:pPr>
    </w:p>
    <w:p w:rsidR="007B6745" w:rsidRPr="007B6745" w:rsidP="00832749" w14:paraId="6DED564C" w14:textId="77777777">
      <w:pPr>
        <w:pStyle w:val="BodyText"/>
      </w:pPr>
      <w:r w:rsidRPr="007B6745">
        <w:t xml:space="preserve">As such, for each use category, the PPE costs are calculated as follows: </w:t>
      </w:r>
    </w:p>
    <w:p w:rsidR="007B6745" w:rsidRPr="007B6745" w:rsidP="71946AC6" w14:paraId="451489C2" w14:textId="46EA1818">
      <w:pPr>
        <w:pStyle w:val="BodyText"/>
        <w:jc w:val="center"/>
      </w:pPr>
      <m:oMathPara>
        <m:oMath>
          <m:r>
            <m:rPr>
              <m:sty m:val="p"/>
            </m:rPr>
            <w:rPr>
              <w:rFonts w:ascii="Cambria Math" w:hAnsi="Cambria Math"/>
            </w:rPr>
            <m:t>PPE costs=(number of facilities ×[program written plan costs+reccordkeeping costs])+(number of exposed workers × respirator costs)</m:t>
          </m:r>
        </m:oMath>
      </m:oMathPara>
    </w:p>
    <w:p w:rsidR="007B6745" w:rsidRPr="007B6745" w:rsidP="00832749" w14:paraId="3FF5C3E6" w14:textId="0471C588">
      <w:pPr>
        <w:pStyle w:val="BodyText"/>
      </w:pPr>
      <w:r w:rsidRPr="4BA86F39">
        <w:rPr>
          <w:lang w:val="en-US"/>
        </w:rPr>
        <w:t>Additionally, as described in Section</w:t>
      </w:r>
      <w:r w:rsidR="009976A4">
        <w:rPr>
          <w:lang w:val="en-US"/>
        </w:rPr>
        <w:t xml:space="preserve"> </w:t>
      </w:r>
      <w:r w:rsidR="009976A4">
        <w:rPr>
          <w:lang w:val="en-US"/>
        </w:rPr>
        <w:fldChar w:fldCharType="begin" w:fldLock="1"/>
      </w:r>
      <w:r w:rsidR="009976A4">
        <w:rPr>
          <w:lang w:val="en-US"/>
        </w:rPr>
        <w:instrText xml:space="preserve"> REF _Ref180498059 \r \h </w:instrText>
      </w:r>
      <w:r w:rsidR="009976A4">
        <w:rPr>
          <w:lang w:val="en-US"/>
        </w:rPr>
        <w:fldChar w:fldCharType="separate"/>
      </w:r>
      <w:r w:rsidR="00735BBC">
        <w:rPr>
          <w:lang w:val="en-US"/>
        </w:rPr>
        <w:t>3</w:t>
      </w:r>
      <w:r w:rsidR="009976A4">
        <w:rPr>
          <w:lang w:val="en-US"/>
        </w:rPr>
        <w:fldChar w:fldCharType="end"/>
      </w:r>
      <w:r w:rsidRPr="4BA86F39">
        <w:rPr>
          <w:lang w:val="en-US"/>
        </w:rPr>
        <w:t xml:space="preserve">, the facilities affected by the PPE requirement already have some baseline PPE usage among exposed workers. Specifically, based on information provided by Sun Chemical, EPA assumes that 100% of workers in the domestic manufacturing facility currently use an N95 mask with an APF of 10. Based on data from past OSHA inspections, EPA assumes that 75% of workers in automotive paint manufacturing </w:t>
      </w:r>
      <w:r w:rsidR="007C719E">
        <w:rPr>
          <w:lang w:val="en-US"/>
        </w:rPr>
        <w:t xml:space="preserve">(including the facility that imports PV29) </w:t>
      </w:r>
      <w:r w:rsidRPr="4BA86F39">
        <w:rPr>
          <w:lang w:val="en-US"/>
        </w:rPr>
        <w:t xml:space="preserve">and 95% of workers in plastic and rubber manufacturing currently use an N95 mask. Since the PPE requirements under the proposed rule would replace these existing PPE practices, the incremental costs of the proposed rule are estimated as the increased costs of the mandated respirators relative to the costs of existing practices.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0"/>
        <w:gridCol w:w="3121"/>
        <w:gridCol w:w="3119"/>
      </w:tblGrid>
      <w:tr w14:paraId="36351EE9" w14:textId="77777777" w:rsidTr="00CC2A6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trPr>
        <w:tc>
          <w:tcPr>
            <w:tcW w:w="5000" w:type="pct"/>
            <w:gridSpan w:val="3"/>
            <w:tcBorders>
              <w:top w:val="nil"/>
              <w:left w:val="nil"/>
              <w:bottom w:val="single" w:sz="4" w:space="0" w:color="auto"/>
              <w:right w:val="nil"/>
            </w:tcBorders>
            <w:shd w:val="clear" w:color="auto" w:fill="auto"/>
            <w:vAlign w:val="center"/>
          </w:tcPr>
          <w:p w:rsidR="00CC2A6F" w:rsidRPr="007B6745" w:rsidP="00026204" w14:paraId="58EA791C" w14:textId="1E0B89CD">
            <w:pPr>
              <w:pStyle w:val="TableTitleA"/>
            </w:pPr>
            <w:bookmarkStart w:id="195" w:name="_Ref180053468"/>
            <w:bookmarkStart w:id="196" w:name="_Toc184299564"/>
            <w:r w:rsidRPr="007B6745">
              <w:t xml:space="preserve">Table </w:t>
            </w:r>
            <w:r>
              <w:fldChar w:fldCharType="begin" w:fldLock="1"/>
            </w:r>
            <w:r>
              <w:instrText>STYLEREF 1 \s</w:instrText>
            </w:r>
            <w:r>
              <w:fldChar w:fldCharType="separate"/>
            </w:r>
            <w:r w:rsidR="00735BBC">
              <w:rPr>
                <w:noProof/>
              </w:rPr>
              <w:t>4</w:t>
            </w:r>
            <w:r>
              <w:fldChar w:fldCharType="end"/>
            </w:r>
            <w:r w:rsidR="000A1542">
              <w:noBreakHyphen/>
            </w:r>
            <w:r>
              <w:fldChar w:fldCharType="begin" w:fldLock="1"/>
            </w:r>
            <w:r>
              <w:instrText>SEQ Table \* ARABIC \s 1</w:instrText>
            </w:r>
            <w:r>
              <w:fldChar w:fldCharType="separate"/>
            </w:r>
            <w:r w:rsidR="00735BBC">
              <w:rPr>
                <w:noProof/>
              </w:rPr>
              <w:t>8</w:t>
            </w:r>
            <w:r>
              <w:fldChar w:fldCharType="end"/>
            </w:r>
            <w:bookmarkEnd w:id="195"/>
            <w:r w:rsidRPr="007B6745">
              <w:t>: Unit Costs for N95 Mask (3M</w:t>
            </w:r>
            <w:r w:rsidRPr="007B6745">
              <w:rPr>
                <w:vertAlign w:val="superscript"/>
              </w:rPr>
              <w:t>TM</w:t>
            </w:r>
            <w:r w:rsidRPr="007B6745">
              <w:t xml:space="preserve"> Particulate Respirator 851; 2023</w:t>
            </w:r>
            <w:r w:rsidRPr="007B6745" w:rsidR="009F509B">
              <w:rPr>
                <w:b/>
                <w:bCs/>
                <w:sz w:val="24"/>
              </w:rPr>
              <w:t>$)</w:t>
            </w:r>
            <w:bookmarkEnd w:id="196"/>
          </w:p>
        </w:tc>
      </w:tr>
      <w:tr w14:paraId="3B2769CA" w14:textId="77777777" w:rsidTr="00CC2A6F">
        <w:tblPrEx>
          <w:tblW w:w="5000" w:type="pct"/>
          <w:tblLook w:val="04A0"/>
        </w:tblPrEx>
        <w:trPr>
          <w:trHeight w:val="278"/>
          <w:tblHeader/>
        </w:trPr>
        <w:tc>
          <w:tcPr>
            <w:tcW w:w="1667"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264B275C" w14:textId="77777777">
            <w:pPr>
              <w:pStyle w:val="TableSubtitle"/>
            </w:pPr>
            <w:r w:rsidRPr="007B6745">
              <w:t>Distributor</w:t>
            </w:r>
          </w:p>
        </w:tc>
        <w:tc>
          <w:tcPr>
            <w:tcW w:w="1667"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2C31AC78" w14:textId="77777777">
            <w:pPr>
              <w:pStyle w:val="TableSubtitle"/>
            </w:pPr>
            <w:r w:rsidRPr="007B6745">
              <w:t>Unit Cost</w:t>
            </w:r>
          </w:p>
        </w:tc>
        <w:tc>
          <w:tcPr>
            <w:tcW w:w="1666" w:type="pct"/>
            <w:tcBorders>
              <w:top w:val="single" w:sz="4" w:space="0" w:color="auto"/>
              <w:left w:val="single" w:sz="4" w:space="0" w:color="auto"/>
              <w:bottom w:val="single" w:sz="4" w:space="0" w:color="auto"/>
              <w:right w:val="single" w:sz="4" w:space="0" w:color="auto"/>
            </w:tcBorders>
            <w:shd w:val="clear" w:color="auto" w:fill="013E5B"/>
            <w:hideMark/>
          </w:tcPr>
          <w:p w:rsidR="007B6745" w:rsidRPr="007B6745" w:rsidP="000D7F2B" w14:paraId="08B24C57" w14:textId="77777777">
            <w:pPr>
              <w:pStyle w:val="TableSubtitle"/>
            </w:pPr>
            <w:r w:rsidRPr="007B6745">
              <w:t>Source</w:t>
            </w:r>
          </w:p>
        </w:tc>
      </w:tr>
      <w:tr w14:paraId="2B871721" w14:textId="77777777" w:rsidTr="009860E2">
        <w:tblPrEx>
          <w:tblW w:w="5000" w:type="pct"/>
          <w:tblLook w:val="04A0"/>
        </w:tblPrEx>
        <w:trPr>
          <w:trHeight w:val="280"/>
        </w:trPr>
        <w:tc>
          <w:tcPr>
            <w:tcW w:w="1667" w:type="pct"/>
            <w:tcBorders>
              <w:top w:val="single" w:sz="4" w:space="0" w:color="auto"/>
              <w:left w:val="single" w:sz="4" w:space="0" w:color="auto"/>
              <w:bottom w:val="single" w:sz="4" w:space="0" w:color="auto"/>
              <w:right w:val="single" w:sz="4" w:space="0" w:color="auto"/>
            </w:tcBorders>
            <w:noWrap/>
            <w:vAlign w:val="center"/>
            <w:hideMark/>
          </w:tcPr>
          <w:p w:rsidR="006A2E23" w:rsidRPr="007B6745" w:rsidP="006A2E23" w14:paraId="72124F75" w14:textId="77777777">
            <w:pPr>
              <w:pStyle w:val="LTableTextAbt"/>
            </w:pPr>
            <w:r w:rsidRPr="007B6745">
              <w:t>Industrial Safety Products</w:t>
            </w:r>
          </w:p>
        </w:tc>
        <w:tc>
          <w:tcPr>
            <w:tcW w:w="1667" w:type="pct"/>
            <w:tcBorders>
              <w:top w:val="single" w:sz="4" w:space="0" w:color="auto"/>
              <w:left w:val="single" w:sz="4" w:space="0" w:color="auto"/>
              <w:bottom w:val="single" w:sz="4" w:space="0" w:color="auto"/>
              <w:right w:val="single" w:sz="4" w:space="0" w:color="auto"/>
            </w:tcBorders>
            <w:vAlign w:val="center"/>
            <w:hideMark/>
          </w:tcPr>
          <w:p w:rsidR="006A2E23" w:rsidRPr="007B6745" w:rsidP="006A2E23" w14:paraId="437F3CFB" w14:textId="77777777">
            <w:pPr>
              <w:pStyle w:val="RTableTextAbt"/>
              <w:ind w:right="1177"/>
            </w:pPr>
            <w:r w:rsidRPr="007B6745">
              <w:t>$2.11</w:t>
            </w:r>
          </w:p>
        </w:tc>
        <w:tc>
          <w:tcPr>
            <w:tcW w:w="1666" w:type="pct"/>
            <w:tcBorders>
              <w:top w:val="single" w:sz="4" w:space="0" w:color="auto"/>
              <w:left w:val="single" w:sz="4" w:space="0" w:color="auto"/>
              <w:bottom w:val="single" w:sz="4" w:space="0" w:color="auto"/>
              <w:right w:val="single" w:sz="4" w:space="0" w:color="auto"/>
            </w:tcBorders>
            <w:shd w:val="clear" w:color="auto" w:fill="FAFAFA" w:themeFill="accent5" w:themeFillTint="33"/>
            <w:vAlign w:val="center"/>
          </w:tcPr>
          <w:p w:rsidR="006A2E23" w:rsidRPr="007B6745" w:rsidP="006A2E23" w14:paraId="03533E3B" w14:textId="3FAA9954">
            <w:pPr>
              <w:pStyle w:val="BodyText"/>
            </w:pPr>
            <w:hyperlink w:anchor="_ENREF_28" w:tooltip="Industrial Safety Products, 2024 #28" w:history="1">
              <w:r w:rsidRPr="00A8110C" w:rsidR="003D6084">
                <w:rPr>
                  <w:szCs w:val="18"/>
                </w:rPr>
                <w:fldChar w:fldCharType="begin" w:fldLock="1"/>
              </w:r>
              <w:r w:rsidR="003D6084">
                <w:rPr>
                  <w:szCs w:val="18"/>
                </w:rPr>
                <w:instrText xml:space="preserve"> ADDIN EN.CITE &lt;EndNote&gt;&lt;Cite&gt;&lt;Author&gt;Industrial Safety Products&lt;/Author&gt;&lt;Year&gt;2024&lt;/Year&gt;&lt;RecNum&gt;28&lt;/RecNum&gt;&lt;DisplayText&gt;Industrial Safety Products 2024&lt;/DisplayText&gt;&lt;record&gt;&lt;rec-number&gt;28&lt;/rec-number&gt;&lt;foreign-keys&gt;&lt;key app="EN" db-id="2apzr05radv9fjet2w6xxwdlz5e9vwfxredw" timestamp="1730757315"&gt;28&lt;/key&gt;&lt;/foreign-keys&gt;&lt;ref-type name="Web Page"&gt;12&lt;/ref-type&gt;&lt;contributors&gt;&lt;authors&gt;&lt;author&gt;Industrial Safety Products,&lt;/author&gt;&lt;/authors&gt;&lt;/contributors&gt;&lt;titles&gt;&lt;title&gt;3M 8511 Particulate Respirator, N95 (80 Ea/Case)&lt;/title&gt;&lt;/titles&gt;&lt;volume&gt;2024&lt;/volume&gt;&lt;number&gt;10/31&lt;/number&gt;&lt;dates&gt;&lt;year&gt;2024&lt;/year&gt;&lt;pub-dates&gt;&lt;date&gt;10/31/24&lt;/date&gt;&lt;/pub-dates&gt;&lt;/dates&gt;&lt;publisher&gt;Industrial Safety Products&lt;/publisher&gt;&lt;urls&gt;&lt;related-urls&gt;&lt;url&gt;https://www.industrialsafetyproducts.com/3m-8511-particulate-respirator-n95-80-ea-case/&lt;/url&gt;&lt;/related-urls&gt;&lt;/urls&gt;&lt;/record&gt;&lt;/Cite&gt;&lt;/EndNote&gt;</w:instrText>
              </w:r>
              <w:r w:rsidRPr="00A8110C" w:rsidR="003D6084">
                <w:rPr>
                  <w:szCs w:val="18"/>
                </w:rPr>
                <w:fldChar w:fldCharType="separate"/>
              </w:r>
              <w:r w:rsidR="003D6084">
                <w:rPr>
                  <w:noProof/>
                  <w:szCs w:val="18"/>
                </w:rPr>
                <w:t>Industrial Safety Products 2024</w:t>
              </w:r>
              <w:r w:rsidRPr="00A8110C" w:rsidR="003D6084">
                <w:rPr>
                  <w:szCs w:val="18"/>
                </w:rPr>
                <w:fldChar w:fldCharType="end"/>
              </w:r>
            </w:hyperlink>
          </w:p>
        </w:tc>
      </w:tr>
      <w:tr w14:paraId="4FA08BDA" w14:textId="77777777" w:rsidTr="009860E2">
        <w:tblPrEx>
          <w:tblW w:w="5000" w:type="pct"/>
          <w:tblLook w:val="04A0"/>
        </w:tblPrEx>
        <w:trPr>
          <w:trHeight w:val="280"/>
        </w:trPr>
        <w:tc>
          <w:tcPr>
            <w:tcW w:w="1667" w:type="pct"/>
            <w:tcBorders>
              <w:top w:val="single" w:sz="4" w:space="0" w:color="auto"/>
              <w:left w:val="single" w:sz="4" w:space="0" w:color="auto"/>
              <w:bottom w:val="single" w:sz="4" w:space="0" w:color="auto"/>
              <w:right w:val="single" w:sz="4" w:space="0" w:color="auto"/>
            </w:tcBorders>
            <w:noWrap/>
            <w:vAlign w:val="center"/>
            <w:hideMark/>
          </w:tcPr>
          <w:p w:rsidR="006A2E23" w:rsidRPr="007B6745" w:rsidP="006A2E23" w14:paraId="788F2195" w14:textId="77777777">
            <w:pPr>
              <w:pStyle w:val="LTableTextAbt"/>
            </w:pPr>
            <w:r w:rsidRPr="007B6745">
              <w:t>GT Midwest</w:t>
            </w:r>
          </w:p>
        </w:tc>
        <w:tc>
          <w:tcPr>
            <w:tcW w:w="1667" w:type="pct"/>
            <w:tcBorders>
              <w:top w:val="single" w:sz="4" w:space="0" w:color="auto"/>
              <w:left w:val="single" w:sz="4" w:space="0" w:color="auto"/>
              <w:bottom w:val="single" w:sz="4" w:space="0" w:color="auto"/>
              <w:right w:val="single" w:sz="4" w:space="0" w:color="auto"/>
            </w:tcBorders>
            <w:vAlign w:val="center"/>
            <w:hideMark/>
          </w:tcPr>
          <w:p w:rsidR="006A2E23" w:rsidRPr="007B6745" w:rsidP="006A2E23" w14:paraId="260844BF" w14:textId="77777777">
            <w:pPr>
              <w:pStyle w:val="RTableTextAbt"/>
              <w:ind w:right="1177"/>
            </w:pPr>
            <w:r w:rsidRPr="007B6745">
              <w:t>$3.74</w:t>
            </w:r>
          </w:p>
        </w:tc>
        <w:tc>
          <w:tcPr>
            <w:tcW w:w="1666" w:type="pct"/>
            <w:tcBorders>
              <w:top w:val="single" w:sz="4" w:space="0" w:color="auto"/>
              <w:left w:val="single" w:sz="4" w:space="0" w:color="auto"/>
              <w:bottom w:val="single" w:sz="4" w:space="0" w:color="auto"/>
              <w:right w:val="single" w:sz="4" w:space="0" w:color="auto"/>
            </w:tcBorders>
            <w:shd w:val="clear" w:color="auto" w:fill="FAFAFA" w:themeFill="accent5" w:themeFillTint="33"/>
            <w:vAlign w:val="center"/>
          </w:tcPr>
          <w:p w:rsidR="006A2E23" w:rsidRPr="007B6745" w:rsidP="006A2E23" w14:paraId="2642115B" w14:textId="4E1C258B">
            <w:pPr>
              <w:pStyle w:val="BodyText"/>
            </w:pPr>
            <w:hyperlink w:anchor="_ENREF_24" w:tooltip="GT Midwest, 2024 #24" w:history="1">
              <w:r w:rsidRPr="00A8110C" w:rsidR="003D6084">
                <w:rPr>
                  <w:szCs w:val="18"/>
                </w:rPr>
                <w:fldChar w:fldCharType="begin" w:fldLock="1"/>
              </w:r>
              <w:r w:rsidR="003D6084">
                <w:rPr>
                  <w:szCs w:val="18"/>
                </w:rPr>
                <w:instrText xml:space="preserve"> ADDIN EN.CITE &lt;EndNote&gt;&lt;Cite&gt;&lt;Author&gt;GT Midwest&lt;/Author&gt;&lt;Year&gt;2024&lt;/Year&gt;&lt;RecNum&gt;24&lt;/RecNum&gt;&lt;DisplayText&gt;GT Midwest 2024&lt;/DisplayText&gt;&lt;record&gt;&lt;rec-number&gt;24&lt;/rec-number&gt;&lt;foreign-keys&gt;&lt;key app="EN" db-id="2apzr05radv9fjet2w6xxwdlz5e9vwfxredw" timestamp="1730757315"&gt;24&lt;/key&gt;&lt;/foreign-keys&gt;&lt;ref-type name="Web Page"&gt;12&lt;/ref-type&gt;&lt;contributors&gt;&lt;authors&gt;&lt;author&gt;GT Midwest,&lt;/author&gt;&lt;/authors&gt;&lt;/contributors&gt;&lt;titles&gt;&lt;title&gt;3M™ 7000002056 N Series Cup Style Disposable Particulate Respirator, Standard, Resists: Airborne Biological Particles, Certain Oil, Non-Oil Based Particles, Dust and other Particles&lt;/title&gt;&lt;/titles&gt;&lt;volume&gt;2024&lt;/volume&gt;&lt;number&gt;10/31&lt;/number&gt;&lt;dates&gt;&lt;year&gt;2024&lt;/year&gt;&lt;pub-dates&gt;&lt;date&gt;10/31/24&lt;/date&gt;&lt;/pub-dates&gt;&lt;/dates&gt;&lt;publisher&gt;GT Midwest&lt;/publisher&gt;&lt;urls&gt;&lt;related-urls&gt;&lt;url&gt;https://www.gtmidwest.com/2314468/Product/3mtrade-7000002056&lt;/url&gt;&lt;/related-urls&gt;&lt;/urls&gt;&lt;/record&gt;&lt;/Cite&gt;&lt;/EndNote&gt;</w:instrText>
              </w:r>
              <w:r w:rsidRPr="00A8110C" w:rsidR="003D6084">
                <w:rPr>
                  <w:szCs w:val="18"/>
                </w:rPr>
                <w:fldChar w:fldCharType="separate"/>
              </w:r>
              <w:r w:rsidR="003D6084">
                <w:rPr>
                  <w:noProof/>
                  <w:szCs w:val="18"/>
                </w:rPr>
                <w:t>GT Midwest 2024</w:t>
              </w:r>
              <w:r w:rsidRPr="00A8110C" w:rsidR="003D6084">
                <w:rPr>
                  <w:szCs w:val="18"/>
                </w:rPr>
                <w:fldChar w:fldCharType="end"/>
              </w:r>
            </w:hyperlink>
          </w:p>
        </w:tc>
      </w:tr>
      <w:tr w14:paraId="24A93295" w14:textId="77777777" w:rsidTr="009860E2">
        <w:tblPrEx>
          <w:tblW w:w="5000" w:type="pct"/>
          <w:tblLook w:val="04A0"/>
        </w:tblPrEx>
        <w:trPr>
          <w:trHeight w:val="280"/>
        </w:trPr>
        <w:tc>
          <w:tcPr>
            <w:tcW w:w="1667" w:type="pct"/>
            <w:tcBorders>
              <w:top w:val="single" w:sz="4" w:space="0" w:color="auto"/>
              <w:left w:val="single" w:sz="4" w:space="0" w:color="auto"/>
              <w:bottom w:val="single" w:sz="4" w:space="0" w:color="auto"/>
              <w:right w:val="single" w:sz="4" w:space="0" w:color="auto"/>
            </w:tcBorders>
            <w:noWrap/>
            <w:vAlign w:val="center"/>
            <w:hideMark/>
          </w:tcPr>
          <w:p w:rsidR="006A2E23" w:rsidRPr="007B6745" w:rsidP="006A2E23" w14:paraId="5D220216" w14:textId="77777777">
            <w:pPr>
              <w:pStyle w:val="LTableTextAbt"/>
            </w:pPr>
            <w:r w:rsidRPr="007B6745">
              <w:t>Stauffer Gloves &amp; Safety</w:t>
            </w:r>
          </w:p>
        </w:tc>
        <w:tc>
          <w:tcPr>
            <w:tcW w:w="1667" w:type="pct"/>
            <w:tcBorders>
              <w:top w:val="single" w:sz="4" w:space="0" w:color="auto"/>
              <w:left w:val="single" w:sz="4" w:space="0" w:color="auto"/>
              <w:bottom w:val="single" w:sz="4" w:space="0" w:color="auto"/>
              <w:right w:val="single" w:sz="4" w:space="0" w:color="auto"/>
            </w:tcBorders>
            <w:vAlign w:val="center"/>
            <w:hideMark/>
          </w:tcPr>
          <w:p w:rsidR="006A2E23" w:rsidRPr="007B6745" w:rsidP="006A2E23" w14:paraId="7CB6E24D" w14:textId="5709A0AF">
            <w:pPr>
              <w:pStyle w:val="RTableTextAbt"/>
              <w:ind w:right="1177"/>
            </w:pPr>
            <w:r w:rsidRPr="007B6745">
              <w:t>$2.24</w:t>
            </w:r>
          </w:p>
        </w:tc>
        <w:tc>
          <w:tcPr>
            <w:tcW w:w="1666" w:type="pct"/>
            <w:tcBorders>
              <w:top w:val="single" w:sz="4" w:space="0" w:color="auto"/>
              <w:left w:val="single" w:sz="4" w:space="0" w:color="auto"/>
              <w:bottom w:val="single" w:sz="4" w:space="0" w:color="auto"/>
              <w:right w:val="single" w:sz="4" w:space="0" w:color="auto"/>
            </w:tcBorders>
            <w:shd w:val="clear" w:color="auto" w:fill="FAFAFA" w:themeFill="accent5" w:themeFillTint="33"/>
            <w:vAlign w:val="center"/>
          </w:tcPr>
          <w:p w:rsidR="006A2E23" w:rsidRPr="007B6745" w:rsidP="006A2E23" w14:paraId="0F149BC9" w14:textId="2EF55C80">
            <w:pPr>
              <w:pStyle w:val="BodyText"/>
            </w:pPr>
            <w:hyperlink w:anchor="_ENREF_42" w:tooltip="Stauffer Gloves &amp; Safety, 2024 #42" w:history="1">
              <w:r w:rsidRPr="00A8110C" w:rsidR="003D6084">
                <w:rPr>
                  <w:szCs w:val="18"/>
                </w:rPr>
                <w:fldChar w:fldCharType="begin" w:fldLock="1"/>
              </w:r>
              <w:r w:rsidR="003D6084">
                <w:rPr>
                  <w:szCs w:val="18"/>
                </w:rPr>
                <w:instrText xml:space="preserve"> ADDIN EN.CITE &lt;EndNote&gt;&lt;Cite&gt;&lt;Author&gt;Stauffer Gloves &amp;amp; Safety&lt;/Author&gt;&lt;Year&gt;2024&lt;/Year&gt;&lt;RecNum&gt;42&lt;/RecNum&gt;&lt;DisplayText&gt;Stauffer Gloves &amp;amp; Safety 2024&lt;/DisplayText&gt;&lt;record&gt;&lt;rec-number&gt;42&lt;/rec-number&gt;&lt;foreign-keys&gt;&lt;key app="EN" db-id="2apzr05radv9fjet2w6xxwdlz5e9vwfxredw" timestamp="1730757315"&gt;42&lt;/key&gt;&lt;/foreign-keys&gt;&lt;ref-type name="Web Page"&gt;12&lt;/ref-type&gt;&lt;contributors&gt;&lt;authors&gt;&lt;author&gt;Stauffer Gloves &amp;amp; Safety,&lt;/author&gt;&lt;/authors&gt;&lt;/contributors&gt;&lt;titles&gt;&lt;title&gt;N95 Particulate Respirator Mask, Cool Flow Exhalation Valve - (Box of 10)&lt;/title&gt;&lt;/titles&gt;&lt;volume&gt;2024&lt;/volume&gt;&lt;number&gt;10/31&lt;/number&gt;&lt;dates&gt;&lt;year&gt;2024&lt;/year&gt;&lt;/dates&gt;&lt;publisher&gt;Stauffer Gloves &amp;amp; Safety&lt;/publisher&gt;&lt;urls&gt;&lt;related-urls&gt;&lt;url&gt;https://www.stauffersafety.com/Product/3m-8511-n95-particulate-respirator-mask-cool-flow-exhalation-valve-558144&lt;/url&gt;&lt;/related-urls&gt;&lt;/urls&gt;&lt;/record&gt;&lt;/Cite&gt;&lt;/EndNote&gt;</w:instrText>
              </w:r>
              <w:r w:rsidRPr="00A8110C" w:rsidR="003D6084">
                <w:rPr>
                  <w:szCs w:val="18"/>
                </w:rPr>
                <w:fldChar w:fldCharType="separate"/>
              </w:r>
              <w:r w:rsidR="003D6084">
                <w:rPr>
                  <w:noProof/>
                  <w:szCs w:val="18"/>
                </w:rPr>
                <w:t>Stauffer Gloves &amp; Safety 2024</w:t>
              </w:r>
              <w:r w:rsidRPr="00A8110C" w:rsidR="003D6084">
                <w:rPr>
                  <w:szCs w:val="18"/>
                </w:rPr>
                <w:fldChar w:fldCharType="end"/>
              </w:r>
            </w:hyperlink>
          </w:p>
        </w:tc>
      </w:tr>
      <w:tr w14:paraId="59829083" w14:textId="77777777" w:rsidTr="009860E2">
        <w:tblPrEx>
          <w:tblW w:w="5000" w:type="pct"/>
          <w:tblLook w:val="04A0"/>
        </w:tblPrEx>
        <w:trPr>
          <w:trHeight w:val="280"/>
        </w:trPr>
        <w:tc>
          <w:tcPr>
            <w:tcW w:w="1667" w:type="pct"/>
            <w:tcBorders>
              <w:top w:val="single" w:sz="4" w:space="0" w:color="auto"/>
              <w:left w:val="single" w:sz="4" w:space="0" w:color="auto"/>
              <w:bottom w:val="single" w:sz="4" w:space="0" w:color="auto"/>
              <w:right w:val="single" w:sz="4" w:space="0" w:color="auto"/>
            </w:tcBorders>
            <w:noWrap/>
            <w:vAlign w:val="center"/>
            <w:hideMark/>
          </w:tcPr>
          <w:p w:rsidR="006A2E23" w:rsidRPr="007B6745" w:rsidP="006A2E23" w14:paraId="0A063953" w14:textId="77777777">
            <w:pPr>
              <w:pStyle w:val="LTableTextAbt"/>
            </w:pPr>
            <w:r w:rsidRPr="007B6745">
              <w:t>American Products</w:t>
            </w:r>
          </w:p>
        </w:tc>
        <w:tc>
          <w:tcPr>
            <w:tcW w:w="1667" w:type="pct"/>
            <w:tcBorders>
              <w:top w:val="single" w:sz="4" w:space="0" w:color="auto"/>
              <w:left w:val="single" w:sz="4" w:space="0" w:color="auto"/>
              <w:bottom w:val="single" w:sz="4" w:space="0" w:color="auto"/>
              <w:right w:val="single" w:sz="4" w:space="0" w:color="auto"/>
            </w:tcBorders>
            <w:vAlign w:val="center"/>
            <w:hideMark/>
          </w:tcPr>
          <w:p w:rsidR="006A2E23" w:rsidRPr="007B6745" w:rsidP="006A2E23" w14:paraId="2BD1EBA9" w14:textId="0C152205">
            <w:pPr>
              <w:pStyle w:val="RTableTextAbt"/>
              <w:ind w:right="1177"/>
            </w:pPr>
            <w:r w:rsidRPr="007B6745">
              <w:t>$2.1</w:t>
            </w:r>
            <w:r w:rsidR="00F7312C">
              <w:t>7</w:t>
            </w:r>
          </w:p>
        </w:tc>
        <w:tc>
          <w:tcPr>
            <w:tcW w:w="1666" w:type="pct"/>
            <w:tcBorders>
              <w:top w:val="single" w:sz="4" w:space="0" w:color="auto"/>
              <w:left w:val="single" w:sz="4" w:space="0" w:color="auto"/>
              <w:bottom w:val="single" w:sz="4" w:space="0" w:color="auto"/>
              <w:right w:val="single" w:sz="4" w:space="0" w:color="auto"/>
            </w:tcBorders>
            <w:shd w:val="clear" w:color="auto" w:fill="FAFAFA" w:themeFill="accent5" w:themeFillTint="33"/>
            <w:vAlign w:val="center"/>
          </w:tcPr>
          <w:p w:rsidR="006A2E23" w:rsidRPr="007B6745" w:rsidP="006A2E23" w14:paraId="2F4A8950" w14:textId="59FA7344">
            <w:pPr>
              <w:pStyle w:val="BodyText"/>
            </w:pPr>
            <w:hyperlink w:anchor="_ENREF_4" w:tooltip="AmPro Online, 2024 #4" w:history="1">
              <w:r w:rsidRPr="00A8110C" w:rsidR="003D6084">
                <w:rPr>
                  <w:szCs w:val="18"/>
                </w:rPr>
                <w:fldChar w:fldCharType="begin" w:fldLock="1"/>
              </w:r>
              <w:r w:rsidR="003D6084">
                <w:rPr>
                  <w:szCs w:val="18"/>
                </w:rPr>
                <w:instrText xml:space="preserve"> ADDIN EN.CITE &lt;EndNote&gt;&lt;Cite&gt;&lt;Author&gt;AmPro Online&lt;/Author&gt;&lt;Year&gt;2024&lt;/Year&gt;&lt;RecNum&gt;4&lt;/RecNum&gt;&lt;DisplayText&gt;AmPro Online 2024&lt;/DisplayText&gt;&lt;record&gt;&lt;rec-number&gt;4&lt;/rec-number&gt;&lt;foreign-keys&gt;&lt;key app="EN" db-id="2apzr05radv9fjet2w6xxwdlz5e9vwfxredw" timestamp="1730757315"&gt;4&lt;/key&gt;&lt;/foreign-keys&gt;&lt;ref-type name="Web Page"&gt;12&lt;/ref-type&gt;&lt;contributors&gt;&lt;authors&gt;&lt;author&gt;AmPro Online,&lt;/author&gt;&lt;/authors&gt;&lt;/contributors&gt;&lt;titles&gt;&lt;title&gt;3M N95 Respirator Mask 8511 w/ Valve 10 per box&lt;/title&gt;&lt;/titles&gt;&lt;volume&gt;2024&lt;/volume&gt;&lt;number&gt;11/26&lt;/number&gt;&lt;dates&gt;&lt;year&gt;2024&lt;/year&gt;&lt;/dates&gt;&lt;urls&gt;&lt;related-urls&gt;&lt;url&gt;https://www.officesupply.com/cleaning-breakroom/first-safety-security/safety/safety-masks/particulate-respirator-cool-flow-exhalation-valve-standard-size/p22382.html&lt;/url&gt;&lt;/related-urls&gt;&lt;/urls&gt;&lt;/record&gt;&lt;/Cite&gt;&lt;/EndNote&gt;</w:instrText>
              </w:r>
              <w:r w:rsidRPr="00A8110C" w:rsidR="003D6084">
                <w:rPr>
                  <w:szCs w:val="18"/>
                </w:rPr>
                <w:fldChar w:fldCharType="separate"/>
              </w:r>
              <w:r w:rsidR="003D6084">
                <w:rPr>
                  <w:noProof/>
                  <w:szCs w:val="18"/>
                </w:rPr>
                <w:t>AmPro Online 2024</w:t>
              </w:r>
              <w:r w:rsidRPr="00A8110C" w:rsidR="003D6084">
                <w:rPr>
                  <w:szCs w:val="18"/>
                </w:rPr>
                <w:fldChar w:fldCharType="end"/>
              </w:r>
            </w:hyperlink>
          </w:p>
        </w:tc>
      </w:tr>
      <w:tr w14:paraId="698FB2AA" w14:textId="77777777" w:rsidTr="009860E2">
        <w:tblPrEx>
          <w:tblW w:w="5000" w:type="pct"/>
          <w:tblLook w:val="04A0"/>
        </w:tblPrEx>
        <w:trPr>
          <w:trHeight w:val="280"/>
        </w:trPr>
        <w:tc>
          <w:tcPr>
            <w:tcW w:w="1667" w:type="pct"/>
            <w:tcBorders>
              <w:top w:val="single" w:sz="4" w:space="0" w:color="auto"/>
              <w:left w:val="single" w:sz="4" w:space="0" w:color="auto"/>
              <w:bottom w:val="single" w:sz="4" w:space="0" w:color="auto"/>
              <w:right w:val="single" w:sz="4" w:space="0" w:color="auto"/>
            </w:tcBorders>
            <w:noWrap/>
            <w:vAlign w:val="center"/>
            <w:hideMark/>
          </w:tcPr>
          <w:p w:rsidR="006A2E23" w:rsidRPr="007B6745" w:rsidP="006A2E23" w14:paraId="00EED240" w14:textId="77777777">
            <w:pPr>
              <w:pStyle w:val="LTableTextAbt"/>
            </w:pPr>
            <w:r w:rsidRPr="007B6745">
              <w:t>Strobels Supply</w:t>
            </w:r>
          </w:p>
        </w:tc>
        <w:tc>
          <w:tcPr>
            <w:tcW w:w="1667" w:type="pct"/>
            <w:tcBorders>
              <w:top w:val="single" w:sz="4" w:space="0" w:color="auto"/>
              <w:left w:val="single" w:sz="4" w:space="0" w:color="auto"/>
              <w:bottom w:val="single" w:sz="4" w:space="0" w:color="auto"/>
              <w:right w:val="single" w:sz="4" w:space="0" w:color="auto"/>
            </w:tcBorders>
            <w:vAlign w:val="center"/>
            <w:hideMark/>
          </w:tcPr>
          <w:p w:rsidR="006A2E23" w:rsidRPr="007B6745" w:rsidP="006A2E23" w14:paraId="6504A0DD" w14:textId="77777777">
            <w:pPr>
              <w:pStyle w:val="RTableTextAbt"/>
              <w:ind w:right="1177"/>
            </w:pPr>
            <w:r w:rsidRPr="007B6745">
              <w:t>$2.32</w:t>
            </w:r>
          </w:p>
        </w:tc>
        <w:tc>
          <w:tcPr>
            <w:tcW w:w="1666" w:type="pct"/>
            <w:tcBorders>
              <w:top w:val="single" w:sz="4" w:space="0" w:color="auto"/>
              <w:left w:val="single" w:sz="4" w:space="0" w:color="auto"/>
              <w:bottom w:val="single" w:sz="4" w:space="0" w:color="auto"/>
              <w:right w:val="single" w:sz="4" w:space="0" w:color="auto"/>
            </w:tcBorders>
            <w:shd w:val="clear" w:color="auto" w:fill="FAFAFA" w:themeFill="accent5" w:themeFillTint="33"/>
            <w:vAlign w:val="center"/>
          </w:tcPr>
          <w:p w:rsidR="006A2E23" w:rsidRPr="007B6745" w:rsidP="006A2E23" w14:paraId="7D9C204A" w14:textId="388487CA">
            <w:pPr>
              <w:pStyle w:val="BodyText"/>
            </w:pPr>
            <w:hyperlink w:anchor="_ENREF_44" w:tooltip="Strobels Supply, 2024 #44" w:history="1">
              <w:r w:rsidRPr="00A8110C" w:rsidR="003D6084">
                <w:rPr>
                  <w:szCs w:val="18"/>
                </w:rPr>
                <w:fldChar w:fldCharType="begin" w:fldLock="1"/>
              </w:r>
              <w:r w:rsidR="003D6084">
                <w:rPr>
                  <w:szCs w:val="18"/>
                </w:rPr>
                <w:instrText xml:space="preserve"> ADDIN EN.CITE &lt;EndNote&gt;&lt;Cite&gt;&lt;Author&gt;Strobels Supply&lt;/Author&gt;&lt;Year&gt;2024&lt;/Year&gt;&lt;RecNum&gt;44&lt;/RecNum&gt;&lt;DisplayText&gt;Strobels Supply 2024&lt;/DisplayText&gt;&lt;record&gt;&lt;rec-number&gt;44&lt;/rec-number&gt;&lt;foreign-keys&gt;&lt;key app="EN" db-id="2apzr05radv9fjet2w6xxwdlz5e9vwfxredw" timestamp="1730757315"&gt;44&lt;/key&gt;&lt;/foreign-keys&gt;&lt;ref-type name="Web Page"&gt;12&lt;/ref-type&gt;&lt;contributors&gt;&lt;authors&gt;&lt;author&gt;Strobels Supply,&lt;/author&gt;&lt;/authors&gt;&lt;/contributors&gt;&lt;titles&gt;&lt;title&gt;3M Particulate Respirator 8511, N95 80 EA/Case&lt;/title&gt;&lt;/titles&gt;&lt;volume&gt;2024&lt;/volume&gt;&lt;number&gt;10/31&lt;/number&gt;&lt;dates&gt;&lt;year&gt;2024&lt;/year&gt;&lt;/dates&gt;&lt;publisher&gt;Strobels Supply&lt;/publisher&gt;&lt;urls&gt;&lt;related-urls&gt;&lt;url&gt;https://www.strobelssupply.com/3m-particulate-respirator-8511-n95-80-ea-case/?gad_source=1&amp;amp;gclid=Cj0KCQjw1Yy5BhD-ARIsAI0RbXZ1GIqwS2FS2nuptQqVQDU9_bqlXnZ2YbmtD0_G3T0LSN5zrkHnccoaAh4NEALw_wcB&lt;/url&gt;&lt;/related-urls&gt;&lt;/urls&gt;&lt;/record&gt;&lt;/Cite&gt;&lt;/EndNote&gt;</w:instrText>
              </w:r>
              <w:r w:rsidRPr="00A8110C" w:rsidR="003D6084">
                <w:rPr>
                  <w:szCs w:val="18"/>
                </w:rPr>
                <w:fldChar w:fldCharType="separate"/>
              </w:r>
              <w:r w:rsidR="003D6084">
                <w:rPr>
                  <w:noProof/>
                  <w:szCs w:val="18"/>
                </w:rPr>
                <w:t>Strobels Supply 2024</w:t>
              </w:r>
              <w:r w:rsidRPr="00A8110C" w:rsidR="003D6084">
                <w:rPr>
                  <w:szCs w:val="18"/>
                </w:rPr>
                <w:fldChar w:fldCharType="end"/>
              </w:r>
            </w:hyperlink>
          </w:p>
        </w:tc>
      </w:tr>
      <w:tr w14:paraId="1800FEF7" w14:textId="77777777" w:rsidTr="009860E2">
        <w:tblPrEx>
          <w:tblW w:w="5000" w:type="pct"/>
          <w:tblLook w:val="04A0"/>
        </w:tblPrEx>
        <w:trPr>
          <w:trHeight w:val="280"/>
        </w:trPr>
        <w:tc>
          <w:tcPr>
            <w:tcW w:w="1667" w:type="pct"/>
            <w:tcBorders>
              <w:top w:val="single" w:sz="4" w:space="0" w:color="auto"/>
              <w:left w:val="single" w:sz="4" w:space="0" w:color="auto"/>
              <w:bottom w:val="single" w:sz="4" w:space="0" w:color="auto"/>
              <w:right w:val="single" w:sz="4" w:space="0" w:color="auto"/>
            </w:tcBorders>
            <w:noWrap/>
            <w:vAlign w:val="center"/>
            <w:hideMark/>
          </w:tcPr>
          <w:p w:rsidR="006A2E23" w:rsidRPr="007B6745" w:rsidP="006A2E23" w14:paraId="48C6004B" w14:textId="77777777">
            <w:pPr>
              <w:pStyle w:val="LTableTextAbt"/>
            </w:pPr>
            <w:r w:rsidRPr="007B6745">
              <w:t>Hillas Packaging</w:t>
            </w:r>
          </w:p>
        </w:tc>
        <w:tc>
          <w:tcPr>
            <w:tcW w:w="1667" w:type="pct"/>
            <w:tcBorders>
              <w:top w:val="single" w:sz="4" w:space="0" w:color="auto"/>
              <w:left w:val="single" w:sz="4" w:space="0" w:color="auto"/>
              <w:bottom w:val="single" w:sz="4" w:space="0" w:color="auto"/>
              <w:right w:val="single" w:sz="4" w:space="0" w:color="auto"/>
            </w:tcBorders>
            <w:vAlign w:val="center"/>
            <w:hideMark/>
          </w:tcPr>
          <w:p w:rsidR="006A2E23" w:rsidRPr="007B6745" w:rsidP="006A2E23" w14:paraId="6F062398" w14:textId="77777777">
            <w:pPr>
              <w:pStyle w:val="RTableTextAbt"/>
              <w:ind w:right="1177"/>
            </w:pPr>
            <w:r w:rsidRPr="007B6745">
              <w:t>$2.41</w:t>
            </w:r>
          </w:p>
        </w:tc>
        <w:tc>
          <w:tcPr>
            <w:tcW w:w="1666" w:type="pct"/>
            <w:tcBorders>
              <w:top w:val="single" w:sz="4" w:space="0" w:color="auto"/>
              <w:left w:val="single" w:sz="4" w:space="0" w:color="auto"/>
              <w:bottom w:val="single" w:sz="4" w:space="0" w:color="auto"/>
              <w:right w:val="single" w:sz="4" w:space="0" w:color="auto"/>
            </w:tcBorders>
            <w:shd w:val="clear" w:color="auto" w:fill="FAFAFA" w:themeFill="accent5" w:themeFillTint="33"/>
            <w:vAlign w:val="center"/>
          </w:tcPr>
          <w:p w:rsidR="006A2E23" w:rsidRPr="007B6745" w:rsidP="006A2E23" w14:paraId="59908311" w14:textId="4E6C3CE6">
            <w:pPr>
              <w:pStyle w:val="BodyText"/>
            </w:pPr>
            <w:hyperlink w:anchor="_ENREF_27" w:tooltip="Hillas Packaging, 2024 #27" w:history="1">
              <w:r w:rsidRPr="00A8110C" w:rsidR="003D6084">
                <w:rPr>
                  <w:szCs w:val="18"/>
                </w:rPr>
                <w:fldChar w:fldCharType="begin" w:fldLock="1"/>
              </w:r>
              <w:r w:rsidR="003D6084">
                <w:rPr>
                  <w:szCs w:val="18"/>
                </w:rPr>
                <w:instrText xml:space="preserve"> ADDIN EN.CITE &lt;EndNote&gt;&lt;Cite&gt;&lt;Author&gt;Hillas Packaging&lt;/Author&gt;&lt;Year&gt;2024&lt;/Year&gt;&lt;RecNum&gt;27&lt;/RecNum&gt;&lt;DisplayText&gt;Hillas Packaging 2024&lt;/DisplayText&gt;&lt;record&gt;&lt;rec-number&gt;27&lt;/rec-number&gt;&lt;foreign-keys&gt;&lt;key app="EN" db-id="2apzr05radv9fjet2w6xxwdlz5e9vwfxredw" timestamp="1730757315"&gt;27&lt;/key&gt;&lt;/foreign-keys&gt;&lt;ref-type name="Web Page"&gt;12&lt;/ref-type&gt;&lt;contributors&gt;&lt;authors&gt;&lt;author&gt;Hillas Packaging,&lt;/author&gt;&lt;/authors&gt;&lt;/contributors&gt;&lt;titles&gt;&lt;title&gt;3M Particulate Respirator 8511, N95 80 EA/Case&lt;/title&gt;&lt;/titles&gt;&lt;volume&gt;2024&lt;/volume&gt;&lt;number&gt;10/31&lt;/number&gt;&lt;dates&gt;&lt;year&gt;2024&lt;/year&gt;&lt;pub-dates&gt;&lt;date&gt;10/31/24&lt;/date&gt;&lt;/pub-dates&gt;&lt;/dates&gt;&lt;publisher&gt;Hillas Packaging&lt;/publisher&gt;&lt;urls&gt;&lt;related-urls&gt;&lt;url&gt;https://www.hillas.com/Categories/3M-Class-95-Particulate-Respirators/3M-Particulate-Respirator-8511-N95-80-EA-Case.html?srsltid=AfmBOoruYmEUjsdmsykEmpcOLYokC_qTyHkPDUk-Ruc6smrWJjNamK6L&lt;/url&gt;&lt;/related-urls&gt;&lt;/urls&gt;&lt;/record&gt;&lt;/Cite&gt;&lt;/EndNote&gt;</w:instrText>
              </w:r>
              <w:r w:rsidRPr="00A8110C" w:rsidR="003D6084">
                <w:rPr>
                  <w:szCs w:val="18"/>
                </w:rPr>
                <w:fldChar w:fldCharType="separate"/>
              </w:r>
              <w:r w:rsidR="003D6084">
                <w:rPr>
                  <w:noProof/>
                  <w:szCs w:val="18"/>
                </w:rPr>
                <w:t>Hillas Packaging 2024</w:t>
              </w:r>
              <w:r w:rsidRPr="00A8110C" w:rsidR="003D6084">
                <w:rPr>
                  <w:szCs w:val="18"/>
                </w:rPr>
                <w:fldChar w:fldCharType="end"/>
              </w:r>
            </w:hyperlink>
          </w:p>
        </w:tc>
      </w:tr>
      <w:tr w14:paraId="4DC83A81" w14:textId="77777777" w:rsidTr="004130DF">
        <w:tblPrEx>
          <w:tblW w:w="5000" w:type="pct"/>
          <w:tblLook w:val="04A0"/>
        </w:tblPrEx>
        <w:trPr>
          <w:trHeight w:val="280"/>
        </w:trPr>
        <w:tc>
          <w:tcPr>
            <w:tcW w:w="1667" w:type="pct"/>
            <w:tcBorders>
              <w:top w:val="single" w:sz="4" w:space="0" w:color="auto"/>
              <w:left w:val="single" w:sz="4" w:space="0" w:color="auto"/>
              <w:bottom w:val="single" w:sz="4" w:space="0" w:color="auto"/>
              <w:right w:val="single" w:sz="4" w:space="0" w:color="auto"/>
            </w:tcBorders>
            <w:noWrap/>
            <w:vAlign w:val="center"/>
            <w:hideMark/>
          </w:tcPr>
          <w:p w:rsidR="007B6745" w:rsidRPr="007B6745" w:rsidP="004130DF" w14:paraId="794210C2" w14:textId="77777777">
            <w:pPr>
              <w:pStyle w:val="LTableTextAbt"/>
            </w:pPr>
            <w:r w:rsidRPr="007B6745">
              <w:rPr>
                <w:b/>
              </w:rPr>
              <w:t>Average</w:t>
            </w:r>
          </w:p>
        </w:tc>
        <w:tc>
          <w:tcPr>
            <w:tcW w:w="1667" w:type="pct"/>
            <w:tcBorders>
              <w:top w:val="single" w:sz="4" w:space="0" w:color="auto"/>
              <w:left w:val="single" w:sz="4" w:space="0" w:color="auto"/>
              <w:bottom w:val="single" w:sz="4" w:space="0" w:color="auto"/>
              <w:right w:val="single" w:sz="4" w:space="0" w:color="auto"/>
            </w:tcBorders>
            <w:vAlign w:val="center"/>
            <w:hideMark/>
          </w:tcPr>
          <w:p w:rsidR="007B6745" w:rsidRPr="007B6745" w:rsidP="004130DF" w14:paraId="7689EA2B" w14:textId="4F334F17">
            <w:pPr>
              <w:pStyle w:val="RTableTextAbt"/>
              <w:ind w:right="1177"/>
            </w:pPr>
            <w:r w:rsidRPr="007B6745">
              <w:rPr>
                <w:b/>
              </w:rPr>
              <w:t>$2.</w:t>
            </w:r>
            <w:r w:rsidR="00F7312C">
              <w:rPr>
                <w:b/>
              </w:rPr>
              <w:t>50</w:t>
            </w:r>
          </w:p>
        </w:tc>
        <w:tc>
          <w:tcPr>
            <w:tcW w:w="1666" w:type="pct"/>
            <w:tcBorders>
              <w:top w:val="single" w:sz="4" w:space="0" w:color="auto"/>
              <w:left w:val="single" w:sz="4" w:space="0" w:color="auto"/>
              <w:bottom w:val="single" w:sz="4" w:space="0" w:color="auto"/>
              <w:right w:val="single" w:sz="4" w:space="0" w:color="auto"/>
            </w:tcBorders>
            <w:shd w:val="clear" w:color="auto" w:fill="FAFAFA" w:themeFill="accent5" w:themeFillTint="33"/>
          </w:tcPr>
          <w:p w:rsidR="007B6745" w:rsidRPr="007B6745" w:rsidP="00832749" w14:paraId="23E97207" w14:textId="77777777">
            <w:pPr>
              <w:pStyle w:val="BodyText"/>
            </w:pPr>
          </w:p>
        </w:tc>
      </w:tr>
    </w:tbl>
    <w:p w:rsidR="007B6745" w:rsidRPr="007B6745" w:rsidP="00832749" w14:paraId="1579370A" w14:textId="77777777">
      <w:pPr>
        <w:pStyle w:val="BodyText"/>
      </w:pPr>
    </w:p>
    <w:p w:rsidR="007B6745" w:rsidRPr="007B6745" w:rsidP="00832749" w14:paraId="66413BBE" w14:textId="4599881B">
      <w:pPr>
        <w:pStyle w:val="BodyText"/>
      </w:pPr>
      <w:r w:rsidRPr="007B6745">
        <w:t>EPA estimates that N95 masking entails a one-time cost of $107 and annual recurring costs of $</w:t>
      </w:r>
      <w:r w:rsidR="00835C0E">
        <w:t>283</w:t>
      </w:r>
      <w:r w:rsidRPr="007B6745">
        <w:t xml:space="preserve">, as shown in </w:t>
      </w:r>
      <w:r>
        <w:fldChar w:fldCharType="begin" w:fldLock="1"/>
      </w:r>
      <w:r>
        <w:instrText>REF _Ref177032102  \* MERGEFORMAT</w:instrText>
      </w:r>
      <w:r>
        <w:fldChar w:fldCharType="separate"/>
      </w:r>
      <w:r w:rsidRPr="007B6745" w:rsidR="00735BBC">
        <w:t xml:space="preserve">Table </w:t>
      </w:r>
      <w:r w:rsidR="00735BBC">
        <w:t>4</w:t>
      </w:r>
      <w:r w:rsidR="00735BBC">
        <w:noBreakHyphen/>
        <w:t>9</w:t>
      </w:r>
      <w:r w:rsidR="00735BBC">
        <w:fldChar w:fldCharType="end"/>
      </w:r>
      <w:r w:rsidRPr="007B6745">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1391"/>
        <w:gridCol w:w="1391"/>
        <w:gridCol w:w="1391"/>
        <w:gridCol w:w="1391"/>
        <w:gridCol w:w="1391"/>
      </w:tblGrid>
      <w:tr w14:paraId="50C864FD" w14:textId="77777777" w:rsidTr="00CC2A6F">
        <w:tblPrEx>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0"/>
          <w:tblHeader/>
        </w:trPr>
        <w:tc>
          <w:tcPr>
            <w:tcW w:w="5000" w:type="pct"/>
            <w:gridSpan w:val="6"/>
            <w:tcBorders>
              <w:top w:val="nil"/>
              <w:left w:val="nil"/>
              <w:bottom w:val="single" w:sz="4" w:space="0" w:color="auto"/>
              <w:right w:val="nil"/>
            </w:tcBorders>
            <w:shd w:val="clear" w:color="auto" w:fill="auto"/>
            <w:vAlign w:val="center"/>
          </w:tcPr>
          <w:p w:rsidR="00CC2A6F" w:rsidRPr="007B6745" w:rsidP="00026204" w14:paraId="466FF9A1" w14:textId="3A69D14E">
            <w:pPr>
              <w:pStyle w:val="TableTitleA"/>
            </w:pPr>
            <w:bookmarkStart w:id="197" w:name="_Ref177032102"/>
            <w:bookmarkStart w:id="198" w:name="_Toc184299565"/>
            <w:r w:rsidRPr="007B6745">
              <w:t xml:space="preserve">Table </w:t>
            </w:r>
            <w:r>
              <w:fldChar w:fldCharType="begin" w:fldLock="1"/>
            </w:r>
            <w:r>
              <w:instrText>STYLEREF 1 \s</w:instrText>
            </w:r>
            <w:r>
              <w:fldChar w:fldCharType="separate"/>
            </w:r>
            <w:r w:rsidR="00735BBC">
              <w:rPr>
                <w:noProof/>
              </w:rPr>
              <w:t>4</w:t>
            </w:r>
            <w:r>
              <w:fldChar w:fldCharType="end"/>
            </w:r>
            <w:r w:rsidR="000A1542">
              <w:noBreakHyphen/>
            </w:r>
            <w:r>
              <w:fldChar w:fldCharType="begin" w:fldLock="1"/>
            </w:r>
            <w:r>
              <w:instrText>SEQ Table \* ARABIC \s 1</w:instrText>
            </w:r>
            <w:r>
              <w:fldChar w:fldCharType="separate"/>
            </w:r>
            <w:r w:rsidR="00735BBC">
              <w:rPr>
                <w:noProof/>
              </w:rPr>
              <w:t>9</w:t>
            </w:r>
            <w:r>
              <w:fldChar w:fldCharType="end"/>
            </w:r>
            <w:bookmarkEnd w:id="197"/>
            <w:r w:rsidRPr="007B6745">
              <w:t>: Estimated Initial and Recurring Costs for N95 Masking (per worker; 2023$)</w:t>
            </w:r>
            <w:bookmarkEnd w:id="198"/>
          </w:p>
        </w:tc>
      </w:tr>
      <w:tr w14:paraId="36FD1071" w14:textId="77777777" w:rsidTr="00CC2A6F">
        <w:tblPrEx>
          <w:tblW w:w="5000" w:type="pct"/>
          <w:tblInd w:w="-5" w:type="dxa"/>
          <w:tblLook w:val="04A0"/>
        </w:tblPrEx>
        <w:trPr>
          <w:trHeight w:val="600"/>
          <w:tblHeader/>
        </w:trPr>
        <w:tc>
          <w:tcPr>
            <w:tcW w:w="1285"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16FFB4F6" w14:textId="77777777">
            <w:pPr>
              <w:pStyle w:val="TableSubtitle"/>
            </w:pPr>
            <w:r w:rsidRPr="007B6745">
              <w:t> </w:t>
            </w:r>
          </w:p>
        </w:tc>
        <w:tc>
          <w:tcPr>
            <w:tcW w:w="743"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6ACE0720" w14:textId="77777777">
            <w:pPr>
              <w:pStyle w:val="TableSubtitle"/>
              <w:rPr>
                <w:vertAlign w:val="superscript"/>
              </w:rPr>
            </w:pPr>
            <w:r w:rsidRPr="007B6745">
              <w:t xml:space="preserve">Equipment </w:t>
            </w:r>
            <w:r w:rsidRPr="007B6745">
              <w:rPr>
                <w:vertAlign w:val="superscript"/>
              </w:rPr>
              <w:t>a</w:t>
            </w:r>
          </w:p>
        </w:tc>
        <w:tc>
          <w:tcPr>
            <w:tcW w:w="743"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7CF43495" w14:textId="77777777">
            <w:pPr>
              <w:pStyle w:val="TableSubtitle"/>
              <w:rPr>
                <w:vertAlign w:val="superscript"/>
              </w:rPr>
            </w:pPr>
            <w:r w:rsidRPr="007B6745">
              <w:t xml:space="preserve">Medical evaluation </w:t>
            </w:r>
            <w:r w:rsidRPr="007B6745">
              <w:rPr>
                <w:vertAlign w:val="superscript"/>
              </w:rPr>
              <w:t>b</w:t>
            </w:r>
          </w:p>
        </w:tc>
        <w:tc>
          <w:tcPr>
            <w:tcW w:w="743"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3F922FF1" w14:textId="77777777">
            <w:pPr>
              <w:pStyle w:val="TableSubtitle"/>
              <w:rPr>
                <w:vertAlign w:val="superscript"/>
              </w:rPr>
            </w:pPr>
            <w:r w:rsidRPr="007B6745">
              <w:t xml:space="preserve">Fit test </w:t>
            </w:r>
            <w:r w:rsidRPr="007B6745">
              <w:rPr>
                <w:vertAlign w:val="superscript"/>
              </w:rPr>
              <w:t>b</w:t>
            </w:r>
          </w:p>
        </w:tc>
        <w:tc>
          <w:tcPr>
            <w:tcW w:w="743"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6645F51C" w14:textId="77777777">
            <w:pPr>
              <w:pStyle w:val="TableSubtitle"/>
            </w:pPr>
            <w:r w:rsidRPr="007B6745">
              <w:t xml:space="preserve">Training </w:t>
            </w:r>
            <w:r w:rsidRPr="007B6745">
              <w:rPr>
                <w:vertAlign w:val="superscript"/>
              </w:rPr>
              <w:t>b</w:t>
            </w:r>
          </w:p>
        </w:tc>
        <w:tc>
          <w:tcPr>
            <w:tcW w:w="743"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24D914BB" w14:textId="77777777">
            <w:pPr>
              <w:pStyle w:val="TableSubtitle"/>
            </w:pPr>
            <w:r w:rsidRPr="007B6745">
              <w:t>Total cost</w:t>
            </w:r>
          </w:p>
        </w:tc>
      </w:tr>
      <w:tr w14:paraId="6DF1F07C" w14:textId="77777777" w:rsidTr="00CC2A6F">
        <w:tblPrEx>
          <w:tblW w:w="5000" w:type="pct"/>
          <w:tblInd w:w="-5" w:type="dxa"/>
          <w:tblLook w:val="04A0"/>
        </w:tblPrEx>
        <w:trPr>
          <w:trHeight w:val="260"/>
        </w:trPr>
        <w:tc>
          <w:tcPr>
            <w:tcW w:w="1285" w:type="pct"/>
            <w:tcBorders>
              <w:top w:val="single" w:sz="4" w:space="0" w:color="auto"/>
              <w:left w:val="single" w:sz="4" w:space="0" w:color="auto"/>
              <w:bottom w:val="single" w:sz="4" w:space="0" w:color="auto"/>
              <w:right w:val="single" w:sz="4" w:space="0" w:color="auto"/>
            </w:tcBorders>
            <w:noWrap/>
            <w:vAlign w:val="center"/>
            <w:hideMark/>
          </w:tcPr>
          <w:p w:rsidR="007B6745" w:rsidRPr="007B6745" w:rsidP="007A54EA" w14:paraId="256C95F8" w14:textId="77777777">
            <w:pPr>
              <w:pStyle w:val="LTableTextAbt"/>
            </w:pPr>
            <w:r w:rsidRPr="007B6745">
              <w:t>Initial costs</w:t>
            </w:r>
          </w:p>
        </w:tc>
        <w:tc>
          <w:tcPr>
            <w:tcW w:w="743" w:type="pct"/>
            <w:tcBorders>
              <w:top w:val="single" w:sz="4" w:space="0" w:color="auto"/>
              <w:left w:val="single" w:sz="4" w:space="0" w:color="auto"/>
              <w:bottom w:val="single" w:sz="4" w:space="0" w:color="auto"/>
              <w:right w:val="single" w:sz="4" w:space="0" w:color="auto"/>
            </w:tcBorders>
            <w:hideMark/>
          </w:tcPr>
          <w:p w:rsidR="007B6745" w:rsidRPr="007B6745" w:rsidP="00FB19EF" w14:paraId="51C2198B" w14:textId="77777777">
            <w:pPr>
              <w:pStyle w:val="RTableTextAbt"/>
            </w:pPr>
            <w:r w:rsidRPr="007B6745">
              <w:t xml:space="preserve">$0 </w:t>
            </w:r>
          </w:p>
        </w:tc>
        <w:tc>
          <w:tcPr>
            <w:tcW w:w="743" w:type="pct"/>
            <w:tcBorders>
              <w:top w:val="single" w:sz="4" w:space="0" w:color="auto"/>
              <w:left w:val="single" w:sz="4" w:space="0" w:color="auto"/>
              <w:bottom w:val="single" w:sz="4" w:space="0" w:color="auto"/>
              <w:right w:val="single" w:sz="4" w:space="0" w:color="auto"/>
            </w:tcBorders>
            <w:hideMark/>
          </w:tcPr>
          <w:p w:rsidR="007B6745" w:rsidRPr="007B6745" w:rsidP="00FB19EF" w14:paraId="1E5ACA28" w14:textId="77777777">
            <w:pPr>
              <w:pStyle w:val="RTableTextAbt"/>
            </w:pPr>
            <w:r w:rsidRPr="007B6745">
              <w:t xml:space="preserve">$107 </w:t>
            </w:r>
          </w:p>
        </w:tc>
        <w:tc>
          <w:tcPr>
            <w:tcW w:w="743" w:type="pct"/>
            <w:tcBorders>
              <w:top w:val="single" w:sz="4" w:space="0" w:color="auto"/>
              <w:left w:val="single" w:sz="4" w:space="0" w:color="auto"/>
              <w:bottom w:val="single" w:sz="4" w:space="0" w:color="auto"/>
              <w:right w:val="single" w:sz="4" w:space="0" w:color="auto"/>
            </w:tcBorders>
            <w:hideMark/>
          </w:tcPr>
          <w:p w:rsidR="007B6745" w:rsidRPr="007B6745" w:rsidP="00FB19EF" w14:paraId="1C0A2026" w14:textId="77777777">
            <w:pPr>
              <w:pStyle w:val="RTableTextAbt"/>
            </w:pPr>
            <w:r w:rsidRPr="007B6745">
              <w:t xml:space="preserve">$0 </w:t>
            </w:r>
          </w:p>
        </w:tc>
        <w:tc>
          <w:tcPr>
            <w:tcW w:w="743" w:type="pct"/>
            <w:tcBorders>
              <w:top w:val="single" w:sz="4" w:space="0" w:color="auto"/>
              <w:left w:val="single" w:sz="4" w:space="0" w:color="auto"/>
              <w:bottom w:val="single" w:sz="4" w:space="0" w:color="auto"/>
              <w:right w:val="single" w:sz="4" w:space="0" w:color="auto"/>
            </w:tcBorders>
            <w:hideMark/>
          </w:tcPr>
          <w:p w:rsidR="007B6745" w:rsidRPr="007B6745" w:rsidP="00FB19EF" w14:paraId="4B800D72" w14:textId="77777777">
            <w:pPr>
              <w:pStyle w:val="RTableTextAbt"/>
            </w:pPr>
            <w:r w:rsidRPr="007B6745">
              <w:t xml:space="preserve">$0 </w:t>
            </w:r>
          </w:p>
        </w:tc>
        <w:tc>
          <w:tcPr>
            <w:tcW w:w="743" w:type="pct"/>
            <w:tcBorders>
              <w:top w:val="single" w:sz="4" w:space="0" w:color="auto"/>
              <w:left w:val="single" w:sz="4" w:space="0" w:color="auto"/>
              <w:bottom w:val="single" w:sz="4" w:space="0" w:color="auto"/>
              <w:right w:val="single" w:sz="4" w:space="0" w:color="auto"/>
            </w:tcBorders>
            <w:hideMark/>
          </w:tcPr>
          <w:p w:rsidR="007B6745" w:rsidRPr="007B6745" w:rsidP="00FB19EF" w14:paraId="0A90BEBC" w14:textId="77777777">
            <w:pPr>
              <w:pStyle w:val="RTableTextAbt"/>
            </w:pPr>
            <w:r w:rsidRPr="007B6745">
              <w:t xml:space="preserve">$107 </w:t>
            </w:r>
          </w:p>
        </w:tc>
      </w:tr>
      <w:tr w14:paraId="5A78D2ED" w14:textId="77777777" w:rsidTr="00CC2A6F">
        <w:tblPrEx>
          <w:tblW w:w="5000" w:type="pct"/>
          <w:tblInd w:w="-5" w:type="dxa"/>
          <w:tblLook w:val="04A0"/>
        </w:tblPrEx>
        <w:trPr>
          <w:trHeight w:val="260"/>
        </w:trPr>
        <w:tc>
          <w:tcPr>
            <w:tcW w:w="1285" w:type="pct"/>
            <w:tcBorders>
              <w:top w:val="single" w:sz="4" w:space="0" w:color="auto"/>
              <w:left w:val="single" w:sz="4" w:space="0" w:color="auto"/>
              <w:bottom w:val="single" w:sz="4" w:space="0" w:color="auto"/>
              <w:right w:val="single" w:sz="4" w:space="0" w:color="auto"/>
            </w:tcBorders>
            <w:noWrap/>
            <w:vAlign w:val="center"/>
            <w:hideMark/>
          </w:tcPr>
          <w:p w:rsidR="007B6745" w:rsidRPr="007B6745" w:rsidP="007A54EA" w14:paraId="75A3BC1B" w14:textId="77777777">
            <w:pPr>
              <w:pStyle w:val="LTableTextAbt"/>
            </w:pPr>
            <w:r w:rsidRPr="007B6745">
              <w:t>Annual recurring costs</w:t>
            </w:r>
          </w:p>
        </w:tc>
        <w:tc>
          <w:tcPr>
            <w:tcW w:w="743" w:type="pct"/>
            <w:tcBorders>
              <w:top w:val="single" w:sz="4" w:space="0" w:color="auto"/>
              <w:left w:val="single" w:sz="4" w:space="0" w:color="auto"/>
              <w:bottom w:val="single" w:sz="4" w:space="0" w:color="auto"/>
              <w:right w:val="single" w:sz="4" w:space="0" w:color="auto"/>
            </w:tcBorders>
            <w:hideMark/>
          </w:tcPr>
          <w:p w:rsidR="007B6745" w:rsidRPr="007B6745" w:rsidP="00FB19EF" w14:paraId="257449C7" w14:textId="76FD5959">
            <w:pPr>
              <w:pStyle w:val="RTableTextAbt"/>
            </w:pPr>
            <w:r w:rsidRPr="007B6745">
              <w:t>$</w:t>
            </w:r>
            <w:r w:rsidR="005C0153">
              <w:t>65</w:t>
            </w:r>
            <w:r w:rsidRPr="007B6745" w:rsidR="005C0153">
              <w:t xml:space="preserve"> </w:t>
            </w:r>
          </w:p>
        </w:tc>
        <w:tc>
          <w:tcPr>
            <w:tcW w:w="743" w:type="pct"/>
            <w:tcBorders>
              <w:top w:val="single" w:sz="4" w:space="0" w:color="auto"/>
              <w:left w:val="single" w:sz="4" w:space="0" w:color="auto"/>
              <w:bottom w:val="single" w:sz="4" w:space="0" w:color="auto"/>
              <w:right w:val="single" w:sz="4" w:space="0" w:color="auto"/>
            </w:tcBorders>
            <w:hideMark/>
          </w:tcPr>
          <w:p w:rsidR="007B6745" w:rsidRPr="007B6745" w:rsidP="00FB19EF" w14:paraId="793F1568" w14:textId="77777777">
            <w:pPr>
              <w:pStyle w:val="RTableTextAbt"/>
            </w:pPr>
            <w:r w:rsidRPr="007B6745">
              <w:t xml:space="preserve">$21 </w:t>
            </w:r>
          </w:p>
        </w:tc>
        <w:tc>
          <w:tcPr>
            <w:tcW w:w="743" w:type="pct"/>
            <w:tcBorders>
              <w:top w:val="single" w:sz="4" w:space="0" w:color="auto"/>
              <w:left w:val="single" w:sz="4" w:space="0" w:color="auto"/>
              <w:bottom w:val="single" w:sz="4" w:space="0" w:color="auto"/>
              <w:right w:val="single" w:sz="4" w:space="0" w:color="auto"/>
            </w:tcBorders>
            <w:hideMark/>
          </w:tcPr>
          <w:p w:rsidR="007B6745" w:rsidRPr="007B6745" w:rsidP="00FB19EF" w14:paraId="042526E1" w14:textId="77777777">
            <w:pPr>
              <w:pStyle w:val="RTableTextAbt"/>
            </w:pPr>
            <w:r w:rsidRPr="007B6745">
              <w:t xml:space="preserve">$66 </w:t>
            </w:r>
          </w:p>
        </w:tc>
        <w:tc>
          <w:tcPr>
            <w:tcW w:w="743" w:type="pct"/>
            <w:tcBorders>
              <w:top w:val="single" w:sz="4" w:space="0" w:color="auto"/>
              <w:left w:val="single" w:sz="4" w:space="0" w:color="auto"/>
              <w:bottom w:val="single" w:sz="4" w:space="0" w:color="auto"/>
              <w:right w:val="single" w:sz="4" w:space="0" w:color="auto"/>
            </w:tcBorders>
            <w:hideMark/>
          </w:tcPr>
          <w:p w:rsidR="007B6745" w:rsidRPr="007B6745" w:rsidP="00FB19EF" w14:paraId="20512F07" w14:textId="77777777">
            <w:pPr>
              <w:pStyle w:val="RTableTextAbt"/>
            </w:pPr>
            <w:r w:rsidRPr="007B6745">
              <w:t xml:space="preserve">$131 </w:t>
            </w:r>
          </w:p>
        </w:tc>
        <w:tc>
          <w:tcPr>
            <w:tcW w:w="743" w:type="pct"/>
            <w:tcBorders>
              <w:top w:val="single" w:sz="4" w:space="0" w:color="auto"/>
              <w:left w:val="single" w:sz="4" w:space="0" w:color="auto"/>
              <w:bottom w:val="single" w:sz="4" w:space="0" w:color="auto"/>
              <w:right w:val="single" w:sz="4" w:space="0" w:color="auto"/>
            </w:tcBorders>
            <w:hideMark/>
          </w:tcPr>
          <w:p w:rsidR="007B6745" w:rsidRPr="007B6745" w:rsidP="00FB19EF" w14:paraId="6585D63D" w14:textId="5CF81B29">
            <w:pPr>
              <w:pStyle w:val="RTableTextAbt"/>
            </w:pPr>
            <w:r w:rsidRPr="007B6745">
              <w:t>$</w:t>
            </w:r>
            <w:r w:rsidR="00755291">
              <w:t>283</w:t>
            </w:r>
            <w:r w:rsidRPr="007B6745" w:rsidR="00755291">
              <w:t xml:space="preserve"> </w:t>
            </w:r>
          </w:p>
        </w:tc>
      </w:tr>
      <w:tr w14:paraId="52A0C5A5" w14:textId="77777777" w:rsidTr="007B6745">
        <w:tblPrEx>
          <w:tblW w:w="5000" w:type="pct"/>
          <w:tblInd w:w="-5" w:type="dxa"/>
          <w:tblLook w:val="04A0"/>
        </w:tblPrEx>
        <w:trPr>
          <w:trHeight w:val="260"/>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rsidR="007B6745" w:rsidRPr="007B6745" w:rsidP="00FB19EF" w14:paraId="6840B619" w14:textId="609F1FDE">
            <w:pPr>
              <w:pStyle w:val="TableNote0"/>
            </w:pPr>
            <w:r w:rsidRPr="007B6745">
              <w:t>a. based on 2</w:t>
            </w:r>
            <w:r w:rsidR="00F75CA5">
              <w:t>6</w:t>
            </w:r>
            <w:r w:rsidRPr="007B6745">
              <w:t xml:space="preserve"> masks per year at a cost of $2.</w:t>
            </w:r>
            <w:r w:rsidR="00F75CA5">
              <w:t>50</w:t>
            </w:r>
            <w:r w:rsidRPr="007B6745">
              <w:t xml:space="preserve"> per mask (</w:t>
            </w:r>
            <w:r w:rsidRPr="007B6745">
              <w:fldChar w:fldCharType="begin" w:fldLock="1"/>
            </w:r>
            <w:r w:rsidRPr="007B6745">
              <w:instrText xml:space="preserve"> REF _Ref180053468 </w:instrText>
            </w:r>
            <w:r w:rsidR="00FB19EF">
              <w:instrText xml:space="preserve"> \* MERGEFORMAT </w:instrText>
            </w:r>
            <w:r w:rsidRPr="007B6745">
              <w:fldChar w:fldCharType="separate"/>
            </w:r>
            <w:r w:rsidRPr="007B6745" w:rsidR="00735BBC">
              <w:t xml:space="preserve">Table </w:t>
            </w:r>
            <w:r w:rsidR="00735BBC">
              <w:t>4</w:t>
            </w:r>
            <w:r w:rsidR="00735BBC">
              <w:noBreakHyphen/>
              <w:t>8</w:t>
            </w:r>
            <w:r w:rsidRPr="007B6745">
              <w:fldChar w:fldCharType="end"/>
            </w:r>
            <w:r w:rsidRPr="007B6745">
              <w:t>).</w:t>
            </w:r>
          </w:p>
          <w:p w:rsidR="007B6745" w:rsidRPr="007B6745" w:rsidP="00FB19EF" w14:paraId="1596BB6B" w14:textId="4E2367AE">
            <w:pPr>
              <w:pStyle w:val="TableNote0"/>
            </w:pPr>
            <w:r w:rsidRPr="007B6745">
              <w:t>b. based on costs equivalent to an APR half-mask (</w:t>
            </w:r>
            <w:hyperlink w:anchor="_ENREF_1" w:tooltip="Abt Global, 2024 #1" w:history="1">
              <w:r w:rsidR="003D6084">
                <w:fldChar w:fldCharType="begin" w:fldLock="1"/>
              </w:r>
              <w:r w:rsidR="003D6084">
                <w:instrText xml:space="preserve"> ADDIN EN.CITE &lt;EndNote&gt;&lt;Cite&gt;&lt;Author&gt;Abt Global&lt;/Author&gt;&lt;Year&gt;2024&lt;/Year&gt;&lt;RecNum&gt;1&lt;/RecNum&gt;&lt;DisplayText&gt;Abt Global 2024&lt;/DisplayText&gt;&lt;record&gt;&lt;rec-number&gt;1&lt;/rec-number&gt;&lt;foreign-keys&gt;&lt;key app="EN" db-id="2apzr05radv9fjet2w6xxwdlz5e9vwfxredw" timestamp="1730757315"&gt;1&lt;/key&gt;&lt;/foreign-keys&gt;&lt;ref-type name="Report"&gt;27&lt;/ref-type&gt;&lt;contributors&gt;&lt;authors&gt;&lt;author&gt;Abt Global,&lt;/author&gt;&lt;/authors&gt;&lt;/contributors&gt;&lt;titles&gt;&lt;title&gt;Estimated Costs for Respirator PPE for TSCA Risk Management Economic Analyses &lt;/title&gt;&lt;/titles&gt;&lt;dates&gt;&lt;year&gt;2024&lt;/year&gt;&lt;/dates&gt;&lt;publisher&gt;Submitted to U.S. EPA Economic and Policy Analysis Branch&lt;/publisher&gt;&lt;urls&gt;&lt;/urls&gt;&lt;/record&gt;&lt;/Cite&gt;&lt;/EndNote&gt;</w:instrText>
              </w:r>
              <w:r w:rsidR="003D6084">
                <w:fldChar w:fldCharType="separate"/>
              </w:r>
              <w:r w:rsidR="003D6084">
                <w:rPr>
                  <w:noProof/>
                </w:rPr>
                <w:t>Abt Global 2024</w:t>
              </w:r>
              <w:r w:rsidR="003D6084">
                <w:fldChar w:fldCharType="end"/>
              </w:r>
            </w:hyperlink>
            <w:r w:rsidRPr="007B6745">
              <w:t>)</w:t>
            </w:r>
          </w:p>
        </w:tc>
      </w:tr>
    </w:tbl>
    <w:p w:rsidR="007B6745" w:rsidRPr="007B6745" w:rsidP="00832749" w14:paraId="7CCB399B" w14:textId="77777777">
      <w:pPr>
        <w:pStyle w:val="BodyText"/>
      </w:pPr>
    </w:p>
    <w:p w:rsidR="007B6745" w:rsidRPr="007B6745" w:rsidP="00832749" w14:paraId="1B6DFA61" w14:textId="56867191">
      <w:pPr>
        <w:pStyle w:val="BodyText"/>
        <w:rPr>
          <w:lang w:val="en-US"/>
        </w:rPr>
      </w:pPr>
      <w:r w:rsidRPr="007B6745">
        <w:fldChar w:fldCharType="begin" w:fldLock="1"/>
      </w:r>
      <w:r w:rsidRPr="007B6745">
        <w:instrText>REF _Ref177571502</w:instrText>
      </w:r>
      <w:r w:rsidR="00105ED0">
        <w:instrText xml:space="preserve"> \* MERGEFORMAT </w:instrText>
      </w:r>
      <w:r w:rsidRPr="007B6745">
        <w:fldChar w:fldCharType="separate"/>
      </w:r>
      <w:r w:rsidRPr="00735BBC" w:rsidR="00735BBC">
        <w:rPr>
          <w:lang w:val="en-US"/>
        </w:rPr>
        <w:t>Table 4</w:t>
      </w:r>
      <w:r w:rsidRPr="00735BBC" w:rsidR="00735BBC">
        <w:rPr>
          <w:lang w:val="en-US"/>
        </w:rPr>
        <w:noBreakHyphen/>
        <w:t>10</w:t>
      </w:r>
      <w:r w:rsidRPr="007B6745">
        <w:fldChar w:fldCharType="end"/>
      </w:r>
      <w:r w:rsidRPr="4BA86F39">
        <w:rPr>
          <w:lang w:val="en-US"/>
        </w:rPr>
        <w:t xml:space="preserve"> shows the calculation of the one-time and annual recurring PPE costs under the baseline using these assumptions. Although some of the facilities may have existing respirator program</w:t>
      </w:r>
      <w:r w:rsidR="00B3668C">
        <w:rPr>
          <w:lang w:val="en-US"/>
        </w:rPr>
        <w:t xml:space="preserve"> written plan</w:t>
      </w:r>
      <w:r w:rsidRPr="4BA86F39">
        <w:rPr>
          <w:lang w:val="en-US"/>
        </w:rPr>
        <w:t>s governing the use of PPE, EPA assumes that the respirator program</w:t>
      </w:r>
      <w:r w:rsidR="00B3668C">
        <w:rPr>
          <w:lang w:val="en-US"/>
        </w:rPr>
        <w:t xml:space="preserve"> written plans</w:t>
      </w:r>
      <w:r w:rsidRPr="4BA86F39">
        <w:rPr>
          <w:lang w:val="en-US"/>
        </w:rPr>
        <w:t xml:space="preserve"> would need to be revised or replaced under the rule and as such are not included in the baseline cost estimates.</w:t>
      </w:r>
      <w:r>
        <w:rPr>
          <w:vertAlign w:val="superscript"/>
          <w:lang w:val="en-US"/>
        </w:rPr>
        <w:footnoteReference w:id="16"/>
      </w:r>
      <w:r w:rsidR="00CD6FB7">
        <w:rPr>
          <w:lang w:val="en-US"/>
        </w:rPr>
        <w:t xml:space="preserve"> For the baseline PPE costs besides the respirator program written plan,</w:t>
      </w:r>
      <w:r w:rsidRPr="4BA86F39" w:rsidR="00CD6FB7">
        <w:rPr>
          <w:lang w:val="en-US"/>
        </w:rPr>
        <w:t xml:space="preserve"> </w:t>
      </w:r>
      <w:r w:rsidR="00CD6FB7">
        <w:rPr>
          <w:lang w:val="en-US"/>
        </w:rPr>
        <w:t>the economic analysis estimates the baseline costs by adjusting the costs of a respiratory PPE program by the baseline compliance percentage. However, this may result in an underestimate of the baseline costs (and a corresponding overestimate of the incremental costs) if the true baseline costs incurred are closer to the full costs of a respiratory PPE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8"/>
        <w:gridCol w:w="1335"/>
        <w:gridCol w:w="951"/>
        <w:gridCol w:w="951"/>
        <w:gridCol w:w="951"/>
        <w:gridCol w:w="951"/>
        <w:gridCol w:w="951"/>
        <w:gridCol w:w="952"/>
      </w:tblGrid>
      <w:tr w14:paraId="5CA76A2A" w14:textId="77777777" w:rsidTr="00F760A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9"/>
          <w:tblHeader/>
        </w:trPr>
        <w:tc>
          <w:tcPr>
            <w:tcW w:w="9360" w:type="dxa"/>
            <w:gridSpan w:val="8"/>
            <w:tcBorders>
              <w:top w:val="nil"/>
              <w:left w:val="nil"/>
              <w:bottom w:val="single" w:sz="4" w:space="0" w:color="auto"/>
              <w:right w:val="nil"/>
            </w:tcBorders>
            <w:shd w:val="clear" w:color="auto" w:fill="auto"/>
            <w:vAlign w:val="center"/>
          </w:tcPr>
          <w:p w:rsidR="00CC2A6F" w:rsidRPr="007B6745" w:rsidP="00026204" w14:paraId="02C50D99" w14:textId="5F256D34">
            <w:pPr>
              <w:pStyle w:val="TableTitleA"/>
            </w:pPr>
            <w:bookmarkStart w:id="199" w:name="_Ref177571502"/>
            <w:bookmarkStart w:id="200" w:name="_Toc184299566"/>
            <w:r w:rsidRPr="007B6745">
              <w:t xml:space="preserve">Table </w:t>
            </w:r>
            <w:r>
              <w:fldChar w:fldCharType="begin" w:fldLock="1"/>
            </w:r>
            <w:r>
              <w:instrText>STYLEREF 1 \s</w:instrText>
            </w:r>
            <w:r>
              <w:fldChar w:fldCharType="separate"/>
            </w:r>
            <w:r w:rsidR="00735BBC">
              <w:rPr>
                <w:noProof/>
              </w:rPr>
              <w:t>4</w:t>
            </w:r>
            <w:r>
              <w:fldChar w:fldCharType="end"/>
            </w:r>
            <w:r w:rsidR="000A1542">
              <w:noBreakHyphen/>
            </w:r>
            <w:r>
              <w:fldChar w:fldCharType="begin" w:fldLock="1"/>
            </w:r>
            <w:r>
              <w:instrText>SEQ Table \* ARABIC \s 1</w:instrText>
            </w:r>
            <w:r>
              <w:fldChar w:fldCharType="separate"/>
            </w:r>
            <w:r w:rsidR="00735BBC">
              <w:rPr>
                <w:noProof/>
              </w:rPr>
              <w:t>10</w:t>
            </w:r>
            <w:r>
              <w:fldChar w:fldCharType="end"/>
            </w:r>
            <w:bookmarkEnd w:id="199"/>
            <w:r w:rsidRPr="007B6745">
              <w:t>: Calculation of Baseline PPE Costs (2023$)</w:t>
            </w:r>
            <w:bookmarkEnd w:id="200"/>
          </w:p>
        </w:tc>
      </w:tr>
      <w:tr w14:paraId="474211DF" w14:textId="77777777" w:rsidTr="00F760A7">
        <w:tblPrEx>
          <w:tblW w:w="5000" w:type="pct"/>
          <w:tblLayout w:type="fixed"/>
          <w:tblLook w:val="04A0"/>
        </w:tblPrEx>
        <w:trPr>
          <w:trHeight w:val="280"/>
          <w:tblHeader/>
        </w:trPr>
        <w:tc>
          <w:tcPr>
            <w:tcW w:w="2318" w:type="dxa"/>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40984BE0" w14:textId="77777777">
            <w:pPr>
              <w:pStyle w:val="TableSubtitle"/>
            </w:pPr>
            <w:r w:rsidRPr="007B6745">
              <w:t>Use category</w:t>
            </w:r>
          </w:p>
        </w:tc>
        <w:tc>
          <w:tcPr>
            <w:tcW w:w="1335" w:type="dxa"/>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2DA3AE90" w14:textId="6F884D9C">
            <w:pPr>
              <w:pStyle w:val="TableSubtitle"/>
              <w:rPr>
                <w:vertAlign w:val="superscript"/>
              </w:rPr>
            </w:pPr>
            <w:r>
              <w:t xml:space="preserve">Baseline </w:t>
            </w:r>
            <w:r w:rsidRPr="007B6745">
              <w:t>PPE Compliance</w:t>
            </w:r>
            <w:r w:rsidRPr="007B6745">
              <w:rPr>
                <w:vertAlign w:val="superscript"/>
              </w:rPr>
              <w:t>a</w:t>
            </w:r>
          </w:p>
        </w:tc>
        <w:tc>
          <w:tcPr>
            <w:tcW w:w="1902" w:type="dxa"/>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7B6C8A26" w14:textId="77777777">
            <w:pPr>
              <w:pStyle w:val="TableSubtitle"/>
              <w:rPr>
                <w:vertAlign w:val="superscript"/>
              </w:rPr>
            </w:pPr>
            <w:r w:rsidRPr="007B6745">
              <w:t xml:space="preserve">Exposed workers </w:t>
            </w:r>
            <w:r w:rsidRPr="007B6745">
              <w:rPr>
                <w:vertAlign w:val="superscript"/>
              </w:rPr>
              <w:t>b</w:t>
            </w:r>
          </w:p>
        </w:tc>
        <w:tc>
          <w:tcPr>
            <w:tcW w:w="1902" w:type="dxa"/>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0DFCCAB8" w14:textId="77777777">
            <w:pPr>
              <w:pStyle w:val="TableSubtitle"/>
              <w:rPr>
                <w:vertAlign w:val="superscript"/>
              </w:rPr>
            </w:pPr>
            <w:r w:rsidRPr="007B6745">
              <w:t xml:space="preserve">One-time costs </w:t>
            </w:r>
            <w:r w:rsidRPr="007B6745">
              <w:rPr>
                <w:vertAlign w:val="superscript"/>
              </w:rPr>
              <w:t>c</w:t>
            </w:r>
          </w:p>
        </w:tc>
        <w:tc>
          <w:tcPr>
            <w:tcW w:w="1903" w:type="dxa"/>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35F9B283" w14:textId="77777777">
            <w:pPr>
              <w:pStyle w:val="TableSubtitle"/>
              <w:rPr>
                <w:vertAlign w:val="superscript"/>
              </w:rPr>
            </w:pPr>
            <w:r w:rsidRPr="007B6745">
              <w:t xml:space="preserve">Annual costs </w:t>
            </w:r>
            <w:r w:rsidRPr="007B6745">
              <w:rPr>
                <w:vertAlign w:val="superscript"/>
              </w:rPr>
              <w:t>d</w:t>
            </w:r>
          </w:p>
        </w:tc>
      </w:tr>
      <w:tr w14:paraId="5CC9532D" w14:textId="77777777" w:rsidTr="00F42CCC">
        <w:tblPrEx>
          <w:tblW w:w="5000" w:type="pct"/>
          <w:tblLayout w:type="fixed"/>
          <w:tblLook w:val="04A0"/>
        </w:tblPrEx>
        <w:trPr>
          <w:trHeight w:val="300"/>
          <w:tblHeader/>
        </w:trPr>
        <w:tc>
          <w:tcPr>
            <w:tcW w:w="2318" w:type="dxa"/>
            <w:vMerge/>
            <w:vAlign w:val="center"/>
            <w:hideMark/>
          </w:tcPr>
          <w:p w:rsidR="007B6745" w:rsidRPr="007B6745" w:rsidP="000D7F2B" w14:paraId="4CB48063" w14:textId="77777777">
            <w:pPr>
              <w:pStyle w:val="TableSubtitle"/>
            </w:pPr>
          </w:p>
        </w:tc>
        <w:tc>
          <w:tcPr>
            <w:tcW w:w="1335" w:type="dxa"/>
            <w:vMerge/>
            <w:vAlign w:val="center"/>
            <w:hideMark/>
          </w:tcPr>
          <w:p w:rsidR="007B6745" w:rsidRPr="007B6745" w:rsidP="000D7F2B" w14:paraId="43AE30C7" w14:textId="77777777">
            <w:pPr>
              <w:pStyle w:val="TableSubtitle"/>
              <w:rPr>
                <w:vertAlign w:val="superscript"/>
              </w:rPr>
            </w:pPr>
          </w:p>
        </w:tc>
        <w:tc>
          <w:tcPr>
            <w:tcW w:w="951" w:type="dxa"/>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0C9221D4" w14:textId="77777777">
            <w:pPr>
              <w:pStyle w:val="TableSubtitle"/>
            </w:pPr>
            <w:r w:rsidRPr="007B6745">
              <w:t>Low</w:t>
            </w:r>
          </w:p>
        </w:tc>
        <w:tc>
          <w:tcPr>
            <w:tcW w:w="951" w:type="dxa"/>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5D288C31" w14:textId="77777777">
            <w:pPr>
              <w:pStyle w:val="TableSubtitle"/>
            </w:pPr>
            <w:r w:rsidRPr="007B6745">
              <w:t>High</w:t>
            </w:r>
          </w:p>
        </w:tc>
        <w:tc>
          <w:tcPr>
            <w:tcW w:w="951" w:type="dxa"/>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77972D42" w14:textId="77777777">
            <w:pPr>
              <w:pStyle w:val="TableSubtitle"/>
            </w:pPr>
            <w:r w:rsidRPr="007B6745">
              <w:t>Low</w:t>
            </w:r>
          </w:p>
        </w:tc>
        <w:tc>
          <w:tcPr>
            <w:tcW w:w="951" w:type="dxa"/>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7DB027AC" w14:textId="77777777">
            <w:pPr>
              <w:pStyle w:val="TableSubtitle"/>
            </w:pPr>
            <w:r w:rsidRPr="007B6745">
              <w:t>High</w:t>
            </w:r>
          </w:p>
        </w:tc>
        <w:tc>
          <w:tcPr>
            <w:tcW w:w="951" w:type="dxa"/>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69EEE47F" w14:textId="77777777">
            <w:pPr>
              <w:pStyle w:val="TableSubtitle"/>
            </w:pPr>
            <w:r w:rsidRPr="007B6745">
              <w:t>Low</w:t>
            </w:r>
          </w:p>
        </w:tc>
        <w:tc>
          <w:tcPr>
            <w:tcW w:w="952" w:type="dxa"/>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0CC0D573" w14:textId="77777777">
            <w:pPr>
              <w:pStyle w:val="TableSubtitle"/>
            </w:pPr>
            <w:r w:rsidRPr="007B6745">
              <w:t>High</w:t>
            </w:r>
          </w:p>
        </w:tc>
      </w:tr>
      <w:tr w14:paraId="171842F5" w14:textId="77777777" w:rsidTr="00F760A7">
        <w:tblPrEx>
          <w:tblW w:w="5000" w:type="pct"/>
          <w:tblLayout w:type="fixed"/>
          <w:tblLook w:val="04A0"/>
        </w:tblPrEx>
        <w:trPr>
          <w:trHeight w:val="260"/>
        </w:trPr>
        <w:tc>
          <w:tcPr>
            <w:tcW w:w="2318" w:type="dxa"/>
            <w:tcBorders>
              <w:top w:val="single" w:sz="4" w:space="0" w:color="auto"/>
              <w:left w:val="single" w:sz="4" w:space="0" w:color="auto"/>
              <w:bottom w:val="single" w:sz="4" w:space="0" w:color="auto"/>
              <w:right w:val="single" w:sz="4" w:space="0" w:color="auto"/>
            </w:tcBorders>
            <w:noWrap/>
            <w:vAlign w:val="center"/>
            <w:hideMark/>
          </w:tcPr>
          <w:p w:rsidR="007C719E" w:rsidRPr="007B6745" w:rsidP="007C719E" w14:paraId="3288BA3E" w14:textId="466FA5B5">
            <w:pPr>
              <w:pStyle w:val="LTableTextAbt"/>
            </w:pPr>
            <w:r w:rsidRPr="007B6745">
              <w:t>PV29 manufacturing</w:t>
            </w:r>
            <w:r w:rsidR="005268FE">
              <w:t xml:space="preserve"> </w:t>
            </w:r>
            <w:r>
              <w:t>and intermediate processing</w:t>
            </w:r>
          </w:p>
        </w:tc>
        <w:tc>
          <w:tcPr>
            <w:tcW w:w="1335" w:type="dxa"/>
            <w:tcBorders>
              <w:top w:val="single" w:sz="4" w:space="0" w:color="auto"/>
              <w:left w:val="single" w:sz="4" w:space="0" w:color="auto"/>
              <w:bottom w:val="single" w:sz="4" w:space="0" w:color="auto"/>
              <w:right w:val="single" w:sz="4" w:space="0" w:color="auto"/>
            </w:tcBorders>
            <w:vAlign w:val="center"/>
            <w:hideMark/>
          </w:tcPr>
          <w:p w:rsidR="007C719E" w:rsidRPr="004E7E1C" w:rsidP="004E7E1C" w14:paraId="425DAEA5" w14:textId="47B2C60C">
            <w:pPr>
              <w:pStyle w:val="RTableTextAbt"/>
            </w:pPr>
            <w:r w:rsidRPr="004E7E1C">
              <w:t>100%</w:t>
            </w:r>
          </w:p>
        </w:tc>
        <w:tc>
          <w:tcPr>
            <w:tcW w:w="951" w:type="dxa"/>
            <w:tcBorders>
              <w:top w:val="single" w:sz="4" w:space="0" w:color="auto"/>
              <w:left w:val="single" w:sz="4" w:space="0" w:color="auto"/>
              <w:bottom w:val="single" w:sz="4" w:space="0" w:color="auto"/>
              <w:right w:val="single" w:sz="4" w:space="0" w:color="auto"/>
            </w:tcBorders>
            <w:vAlign w:val="center"/>
            <w:hideMark/>
          </w:tcPr>
          <w:p w:rsidR="007C719E" w:rsidRPr="004E7E1C" w:rsidP="004E7E1C" w14:paraId="1F01CCC8" w14:textId="249A8AC3">
            <w:pPr>
              <w:pStyle w:val="RTableTextAbt"/>
            </w:pPr>
            <w:r w:rsidRPr="004E7E1C">
              <w:t>58</w:t>
            </w:r>
          </w:p>
        </w:tc>
        <w:tc>
          <w:tcPr>
            <w:tcW w:w="951" w:type="dxa"/>
            <w:tcBorders>
              <w:top w:val="single" w:sz="4" w:space="0" w:color="auto"/>
              <w:left w:val="single" w:sz="4" w:space="0" w:color="auto"/>
              <w:bottom w:val="single" w:sz="4" w:space="0" w:color="auto"/>
              <w:right w:val="single" w:sz="4" w:space="0" w:color="auto"/>
            </w:tcBorders>
            <w:vAlign w:val="center"/>
            <w:hideMark/>
          </w:tcPr>
          <w:p w:rsidR="007C719E" w:rsidRPr="004E7E1C" w:rsidP="004E7E1C" w14:paraId="2319CA28" w14:textId="60A35A44">
            <w:pPr>
              <w:pStyle w:val="RTableTextAbt"/>
            </w:pPr>
            <w:r w:rsidRPr="004E7E1C">
              <w:t>78</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7C719E" w:rsidRPr="004E7E1C" w:rsidP="004E7E1C" w14:paraId="2F6D2E88" w14:textId="6F6889FC">
            <w:pPr>
              <w:pStyle w:val="RTableTextAbt"/>
            </w:pPr>
            <w:r w:rsidRPr="004E7E1C">
              <w:t xml:space="preserve">$6,206 </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7C719E" w:rsidRPr="004E7E1C" w:rsidP="004E7E1C" w14:paraId="0A9EF49F" w14:textId="1B5D2822">
            <w:pPr>
              <w:pStyle w:val="RTableTextAbt"/>
            </w:pPr>
            <w:r w:rsidRPr="004E7E1C">
              <w:t xml:space="preserve">$8,346 </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7C719E" w:rsidRPr="004E7E1C" w:rsidP="004E7E1C" w14:paraId="0F1B29BE" w14:textId="77BD5885">
            <w:pPr>
              <w:pStyle w:val="RTableTextAbt"/>
            </w:pPr>
            <w:r w:rsidRPr="004E7E1C">
              <w:t xml:space="preserve">$16,414 </w:t>
            </w:r>
          </w:p>
        </w:tc>
        <w:tc>
          <w:tcPr>
            <w:tcW w:w="952" w:type="dxa"/>
            <w:tcBorders>
              <w:top w:val="single" w:sz="4" w:space="0" w:color="auto"/>
              <w:left w:val="single" w:sz="4" w:space="0" w:color="auto"/>
              <w:bottom w:val="single" w:sz="4" w:space="0" w:color="auto"/>
              <w:right w:val="single" w:sz="4" w:space="0" w:color="auto"/>
            </w:tcBorders>
            <w:noWrap/>
            <w:vAlign w:val="center"/>
            <w:hideMark/>
          </w:tcPr>
          <w:p w:rsidR="007C719E" w:rsidRPr="004E7E1C" w:rsidP="004E7E1C" w14:paraId="201D176C" w14:textId="2B9F4B6B">
            <w:pPr>
              <w:pStyle w:val="RTableTextAbt"/>
            </w:pPr>
            <w:r w:rsidRPr="004E7E1C">
              <w:t xml:space="preserve">$22,074 </w:t>
            </w:r>
          </w:p>
        </w:tc>
      </w:tr>
      <w:tr w14:paraId="3DB3B2E1" w14:textId="77777777" w:rsidTr="00F760A7">
        <w:tblPrEx>
          <w:tblW w:w="5000" w:type="pct"/>
          <w:tblLayout w:type="fixed"/>
          <w:tblLook w:val="04A0"/>
        </w:tblPrEx>
        <w:trPr>
          <w:trHeight w:val="260"/>
        </w:trPr>
        <w:tc>
          <w:tcPr>
            <w:tcW w:w="2318" w:type="dxa"/>
            <w:tcBorders>
              <w:top w:val="single" w:sz="4" w:space="0" w:color="auto"/>
              <w:left w:val="single" w:sz="4" w:space="0" w:color="auto"/>
              <w:bottom w:val="single" w:sz="4" w:space="0" w:color="auto"/>
              <w:right w:val="single" w:sz="4" w:space="0" w:color="auto"/>
            </w:tcBorders>
            <w:noWrap/>
            <w:vAlign w:val="center"/>
          </w:tcPr>
          <w:p w:rsidR="007C719E" w:rsidRPr="007B6745" w:rsidP="007C719E" w14:paraId="24A497FC" w14:textId="44644BB3">
            <w:pPr>
              <w:pStyle w:val="LTableTextAbt"/>
            </w:pPr>
            <w:r>
              <w:t>PV29 importing</w:t>
            </w:r>
          </w:p>
        </w:tc>
        <w:tc>
          <w:tcPr>
            <w:tcW w:w="1335" w:type="dxa"/>
            <w:tcBorders>
              <w:top w:val="single" w:sz="4" w:space="0" w:color="auto"/>
              <w:left w:val="single" w:sz="4" w:space="0" w:color="auto"/>
              <w:bottom w:val="single" w:sz="4" w:space="0" w:color="auto"/>
              <w:right w:val="single" w:sz="4" w:space="0" w:color="auto"/>
            </w:tcBorders>
            <w:vAlign w:val="center"/>
          </w:tcPr>
          <w:p w:rsidR="007C719E" w:rsidRPr="004E7E1C" w:rsidP="004E7E1C" w14:paraId="59676E0B" w14:textId="06516989">
            <w:pPr>
              <w:pStyle w:val="RTableTextAbt"/>
            </w:pPr>
            <w:r w:rsidRPr="004E7E1C">
              <w:t>75%</w:t>
            </w:r>
          </w:p>
        </w:tc>
        <w:tc>
          <w:tcPr>
            <w:tcW w:w="951" w:type="dxa"/>
            <w:tcBorders>
              <w:top w:val="single" w:sz="4" w:space="0" w:color="auto"/>
              <w:left w:val="single" w:sz="4" w:space="0" w:color="auto"/>
              <w:bottom w:val="single" w:sz="4" w:space="0" w:color="auto"/>
              <w:right w:val="single" w:sz="4" w:space="0" w:color="auto"/>
            </w:tcBorders>
            <w:vAlign w:val="center"/>
          </w:tcPr>
          <w:p w:rsidR="007C719E" w:rsidRPr="004E7E1C" w:rsidP="004E7E1C" w14:paraId="6FF5917B" w14:textId="7C4A6ACF">
            <w:pPr>
              <w:pStyle w:val="RTableTextAbt"/>
            </w:pPr>
            <w:r w:rsidRPr="004E7E1C">
              <w:t>19</w:t>
            </w:r>
          </w:p>
        </w:tc>
        <w:tc>
          <w:tcPr>
            <w:tcW w:w="951" w:type="dxa"/>
            <w:tcBorders>
              <w:top w:val="single" w:sz="4" w:space="0" w:color="auto"/>
              <w:left w:val="single" w:sz="4" w:space="0" w:color="auto"/>
              <w:bottom w:val="single" w:sz="4" w:space="0" w:color="auto"/>
              <w:right w:val="single" w:sz="4" w:space="0" w:color="auto"/>
            </w:tcBorders>
            <w:vAlign w:val="center"/>
          </w:tcPr>
          <w:p w:rsidR="007C719E" w:rsidRPr="004E7E1C" w:rsidP="004E7E1C" w14:paraId="3ADB14B2" w14:textId="4DF07053">
            <w:pPr>
              <w:pStyle w:val="RTableTextAbt"/>
            </w:pPr>
            <w:r w:rsidRPr="004E7E1C">
              <w:t>19</w:t>
            </w:r>
          </w:p>
        </w:tc>
        <w:tc>
          <w:tcPr>
            <w:tcW w:w="951" w:type="dxa"/>
            <w:tcBorders>
              <w:top w:val="single" w:sz="4" w:space="0" w:color="auto"/>
              <w:left w:val="single" w:sz="4" w:space="0" w:color="auto"/>
              <w:bottom w:val="single" w:sz="4" w:space="0" w:color="auto"/>
              <w:right w:val="single" w:sz="4" w:space="0" w:color="auto"/>
            </w:tcBorders>
            <w:noWrap/>
            <w:vAlign w:val="center"/>
          </w:tcPr>
          <w:p w:rsidR="007C719E" w:rsidRPr="004E7E1C" w:rsidP="004E7E1C" w14:paraId="01B5B1A2" w14:textId="1C11F400">
            <w:pPr>
              <w:pStyle w:val="RTableTextAbt"/>
            </w:pPr>
            <w:r w:rsidRPr="004E7E1C">
              <w:t xml:space="preserve">$1,525 </w:t>
            </w:r>
          </w:p>
        </w:tc>
        <w:tc>
          <w:tcPr>
            <w:tcW w:w="951" w:type="dxa"/>
            <w:tcBorders>
              <w:top w:val="single" w:sz="4" w:space="0" w:color="auto"/>
              <w:left w:val="single" w:sz="4" w:space="0" w:color="auto"/>
              <w:bottom w:val="single" w:sz="4" w:space="0" w:color="auto"/>
              <w:right w:val="single" w:sz="4" w:space="0" w:color="auto"/>
            </w:tcBorders>
            <w:noWrap/>
            <w:vAlign w:val="center"/>
          </w:tcPr>
          <w:p w:rsidR="007C719E" w:rsidRPr="004E7E1C" w:rsidP="004E7E1C" w14:paraId="326C3379" w14:textId="77CA614A">
            <w:pPr>
              <w:pStyle w:val="RTableTextAbt"/>
            </w:pPr>
            <w:r w:rsidRPr="004E7E1C">
              <w:t xml:space="preserve">$1,525 </w:t>
            </w:r>
          </w:p>
        </w:tc>
        <w:tc>
          <w:tcPr>
            <w:tcW w:w="951" w:type="dxa"/>
            <w:tcBorders>
              <w:top w:val="single" w:sz="4" w:space="0" w:color="auto"/>
              <w:left w:val="single" w:sz="4" w:space="0" w:color="auto"/>
              <w:bottom w:val="single" w:sz="4" w:space="0" w:color="auto"/>
              <w:right w:val="single" w:sz="4" w:space="0" w:color="auto"/>
            </w:tcBorders>
            <w:noWrap/>
            <w:vAlign w:val="center"/>
          </w:tcPr>
          <w:p w:rsidR="007C719E" w:rsidRPr="004E7E1C" w:rsidP="004E7E1C" w14:paraId="7BFF7575" w14:textId="192E13A7">
            <w:pPr>
              <w:pStyle w:val="RTableTextAbt"/>
            </w:pPr>
            <w:r w:rsidRPr="004E7E1C">
              <w:t xml:space="preserve">$4,033 </w:t>
            </w:r>
          </w:p>
        </w:tc>
        <w:tc>
          <w:tcPr>
            <w:tcW w:w="952" w:type="dxa"/>
            <w:tcBorders>
              <w:top w:val="single" w:sz="4" w:space="0" w:color="auto"/>
              <w:left w:val="single" w:sz="4" w:space="0" w:color="auto"/>
              <w:bottom w:val="single" w:sz="4" w:space="0" w:color="auto"/>
              <w:right w:val="single" w:sz="4" w:space="0" w:color="auto"/>
            </w:tcBorders>
            <w:noWrap/>
            <w:vAlign w:val="center"/>
          </w:tcPr>
          <w:p w:rsidR="007C719E" w:rsidRPr="004E7E1C" w:rsidP="004E7E1C" w14:paraId="124A0BCF" w14:textId="17B4B035">
            <w:pPr>
              <w:pStyle w:val="RTableTextAbt"/>
            </w:pPr>
            <w:r w:rsidRPr="004E7E1C">
              <w:t xml:space="preserve">$4,033 </w:t>
            </w:r>
          </w:p>
        </w:tc>
      </w:tr>
      <w:tr w14:paraId="0B4AD9B7" w14:textId="77777777" w:rsidTr="00F760A7">
        <w:tblPrEx>
          <w:tblW w:w="5000" w:type="pct"/>
          <w:tblLayout w:type="fixed"/>
          <w:tblLook w:val="04A0"/>
        </w:tblPrEx>
        <w:trPr>
          <w:trHeight w:val="260"/>
        </w:trPr>
        <w:tc>
          <w:tcPr>
            <w:tcW w:w="2318" w:type="dxa"/>
            <w:tcBorders>
              <w:top w:val="single" w:sz="4" w:space="0" w:color="auto"/>
              <w:left w:val="single" w:sz="4" w:space="0" w:color="auto"/>
              <w:bottom w:val="single" w:sz="4" w:space="0" w:color="auto"/>
              <w:right w:val="single" w:sz="4" w:space="0" w:color="auto"/>
            </w:tcBorders>
            <w:noWrap/>
            <w:vAlign w:val="center"/>
            <w:hideMark/>
          </w:tcPr>
          <w:p w:rsidR="007C719E" w:rsidRPr="007B6745" w:rsidP="007C719E" w14:paraId="18CD77BD" w14:textId="77777777">
            <w:pPr>
              <w:pStyle w:val="LTableTextAbt"/>
            </w:pPr>
            <w:r w:rsidRPr="007B6745">
              <w:t>Processing into automotive paints and coatings</w:t>
            </w:r>
          </w:p>
        </w:tc>
        <w:tc>
          <w:tcPr>
            <w:tcW w:w="1335" w:type="dxa"/>
            <w:tcBorders>
              <w:top w:val="single" w:sz="4" w:space="0" w:color="auto"/>
              <w:left w:val="single" w:sz="4" w:space="0" w:color="auto"/>
              <w:bottom w:val="single" w:sz="4" w:space="0" w:color="auto"/>
              <w:right w:val="single" w:sz="4" w:space="0" w:color="auto"/>
            </w:tcBorders>
            <w:vAlign w:val="center"/>
            <w:hideMark/>
          </w:tcPr>
          <w:p w:rsidR="007C719E" w:rsidRPr="004E7E1C" w:rsidP="004E7E1C" w14:paraId="1D77531F" w14:textId="396C03AF">
            <w:pPr>
              <w:pStyle w:val="RTableTextAbt"/>
            </w:pPr>
            <w:r w:rsidRPr="004E7E1C">
              <w:t>75%</w:t>
            </w:r>
          </w:p>
        </w:tc>
        <w:tc>
          <w:tcPr>
            <w:tcW w:w="951" w:type="dxa"/>
            <w:tcBorders>
              <w:top w:val="single" w:sz="4" w:space="0" w:color="auto"/>
              <w:left w:val="single" w:sz="4" w:space="0" w:color="auto"/>
              <w:bottom w:val="single" w:sz="4" w:space="0" w:color="auto"/>
              <w:right w:val="single" w:sz="4" w:space="0" w:color="auto"/>
            </w:tcBorders>
            <w:vAlign w:val="center"/>
            <w:hideMark/>
          </w:tcPr>
          <w:p w:rsidR="007C719E" w:rsidRPr="004E7E1C" w:rsidP="004E7E1C" w14:paraId="05BC8E5A" w14:textId="174EFDA8">
            <w:pPr>
              <w:pStyle w:val="RTableTextAbt"/>
            </w:pPr>
            <w:r w:rsidRPr="004E7E1C">
              <w:t>266</w:t>
            </w:r>
          </w:p>
        </w:tc>
        <w:tc>
          <w:tcPr>
            <w:tcW w:w="951" w:type="dxa"/>
            <w:tcBorders>
              <w:top w:val="single" w:sz="4" w:space="0" w:color="auto"/>
              <w:left w:val="single" w:sz="4" w:space="0" w:color="auto"/>
              <w:bottom w:val="single" w:sz="4" w:space="0" w:color="auto"/>
              <w:right w:val="single" w:sz="4" w:space="0" w:color="auto"/>
            </w:tcBorders>
            <w:vAlign w:val="center"/>
            <w:hideMark/>
          </w:tcPr>
          <w:p w:rsidR="007C719E" w:rsidRPr="004E7E1C" w:rsidP="004E7E1C" w14:paraId="2DADCE1D" w14:textId="78E48B65">
            <w:pPr>
              <w:pStyle w:val="RTableTextAbt"/>
            </w:pPr>
            <w:r w:rsidRPr="004E7E1C">
              <w:t>266</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7C719E" w:rsidRPr="004E7E1C" w:rsidP="004E7E1C" w14:paraId="7FC909F2" w14:textId="66EAFF4D">
            <w:pPr>
              <w:pStyle w:val="RTableTextAbt"/>
            </w:pPr>
            <w:r w:rsidRPr="004E7E1C">
              <w:t xml:space="preserve">$21,347 </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7C719E" w:rsidRPr="004E7E1C" w:rsidP="004E7E1C" w14:paraId="5E8F79D4" w14:textId="4111932C">
            <w:pPr>
              <w:pStyle w:val="RTableTextAbt"/>
            </w:pPr>
            <w:r w:rsidRPr="004E7E1C">
              <w:t xml:space="preserve">$21,347 </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7C719E" w:rsidRPr="004E7E1C" w:rsidP="004E7E1C" w14:paraId="4141B007" w14:textId="1601FF15">
            <w:pPr>
              <w:pStyle w:val="RTableTextAbt"/>
            </w:pPr>
            <w:r w:rsidRPr="004E7E1C">
              <w:t xml:space="preserve">$56,459 </w:t>
            </w:r>
          </w:p>
        </w:tc>
        <w:tc>
          <w:tcPr>
            <w:tcW w:w="952" w:type="dxa"/>
            <w:tcBorders>
              <w:top w:val="single" w:sz="4" w:space="0" w:color="auto"/>
              <w:left w:val="single" w:sz="4" w:space="0" w:color="auto"/>
              <w:bottom w:val="single" w:sz="4" w:space="0" w:color="auto"/>
              <w:right w:val="single" w:sz="4" w:space="0" w:color="auto"/>
            </w:tcBorders>
            <w:noWrap/>
            <w:vAlign w:val="center"/>
            <w:hideMark/>
          </w:tcPr>
          <w:p w:rsidR="007C719E" w:rsidRPr="004E7E1C" w:rsidP="004E7E1C" w14:paraId="100AD99B" w14:textId="1DFCC237">
            <w:pPr>
              <w:pStyle w:val="RTableTextAbt"/>
            </w:pPr>
            <w:r w:rsidRPr="004E7E1C">
              <w:t xml:space="preserve">$56,459 </w:t>
            </w:r>
          </w:p>
        </w:tc>
      </w:tr>
      <w:tr w14:paraId="3FC95884" w14:textId="77777777" w:rsidTr="00F760A7">
        <w:tblPrEx>
          <w:tblW w:w="5000" w:type="pct"/>
          <w:tblLayout w:type="fixed"/>
          <w:tblLook w:val="04A0"/>
        </w:tblPrEx>
        <w:trPr>
          <w:trHeight w:val="260"/>
        </w:trPr>
        <w:tc>
          <w:tcPr>
            <w:tcW w:w="2318" w:type="dxa"/>
            <w:tcBorders>
              <w:top w:val="single" w:sz="4" w:space="0" w:color="auto"/>
              <w:left w:val="single" w:sz="4" w:space="0" w:color="auto"/>
              <w:bottom w:val="single" w:sz="4" w:space="0" w:color="auto"/>
              <w:right w:val="single" w:sz="4" w:space="0" w:color="auto"/>
            </w:tcBorders>
            <w:noWrap/>
            <w:vAlign w:val="center"/>
            <w:hideMark/>
          </w:tcPr>
          <w:p w:rsidR="007C719E" w:rsidRPr="007B6745" w:rsidP="007C719E" w14:paraId="518F031E" w14:textId="77777777">
            <w:pPr>
              <w:pStyle w:val="LTableTextAbt"/>
            </w:pPr>
            <w:r w:rsidRPr="007B6745">
              <w:t>Processing into plastic and rubber products</w:t>
            </w:r>
          </w:p>
        </w:tc>
        <w:tc>
          <w:tcPr>
            <w:tcW w:w="1335" w:type="dxa"/>
            <w:tcBorders>
              <w:top w:val="single" w:sz="4" w:space="0" w:color="auto"/>
              <w:left w:val="single" w:sz="4" w:space="0" w:color="auto"/>
              <w:bottom w:val="single" w:sz="4" w:space="0" w:color="auto"/>
              <w:right w:val="single" w:sz="4" w:space="0" w:color="auto"/>
            </w:tcBorders>
            <w:vAlign w:val="center"/>
            <w:hideMark/>
          </w:tcPr>
          <w:p w:rsidR="007C719E" w:rsidRPr="004E7E1C" w:rsidP="004E7E1C" w14:paraId="7677743B" w14:textId="0ED90009">
            <w:pPr>
              <w:pStyle w:val="RTableTextAbt"/>
            </w:pPr>
            <w:r w:rsidRPr="004E7E1C">
              <w:t>95%</w:t>
            </w:r>
          </w:p>
        </w:tc>
        <w:tc>
          <w:tcPr>
            <w:tcW w:w="951" w:type="dxa"/>
            <w:tcBorders>
              <w:top w:val="single" w:sz="4" w:space="0" w:color="auto"/>
              <w:left w:val="single" w:sz="4" w:space="0" w:color="auto"/>
              <w:bottom w:val="single" w:sz="4" w:space="0" w:color="auto"/>
              <w:right w:val="single" w:sz="4" w:space="0" w:color="auto"/>
            </w:tcBorders>
            <w:vAlign w:val="center"/>
            <w:hideMark/>
          </w:tcPr>
          <w:p w:rsidR="007C719E" w:rsidRPr="004E7E1C" w:rsidP="004E7E1C" w14:paraId="5FB2EF92" w14:textId="2625D657">
            <w:pPr>
              <w:pStyle w:val="RTableTextAbt"/>
            </w:pPr>
            <w:r w:rsidRPr="004E7E1C">
              <w:t>234</w:t>
            </w:r>
          </w:p>
        </w:tc>
        <w:tc>
          <w:tcPr>
            <w:tcW w:w="951" w:type="dxa"/>
            <w:tcBorders>
              <w:top w:val="single" w:sz="4" w:space="0" w:color="auto"/>
              <w:left w:val="single" w:sz="4" w:space="0" w:color="auto"/>
              <w:bottom w:val="single" w:sz="4" w:space="0" w:color="auto"/>
              <w:right w:val="single" w:sz="4" w:space="0" w:color="auto"/>
            </w:tcBorders>
            <w:vAlign w:val="center"/>
            <w:hideMark/>
          </w:tcPr>
          <w:p w:rsidR="007C719E" w:rsidRPr="004E7E1C" w:rsidP="004E7E1C" w14:paraId="6E9DA2DB" w14:textId="54D13BC7">
            <w:pPr>
              <w:pStyle w:val="RTableTextAbt"/>
            </w:pPr>
            <w:r w:rsidRPr="004E7E1C">
              <w:t>234</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7C719E" w:rsidRPr="004E7E1C" w:rsidP="004E7E1C" w14:paraId="307D9E33" w14:textId="2562A5FA">
            <w:pPr>
              <w:pStyle w:val="RTableTextAbt"/>
            </w:pPr>
            <w:r w:rsidRPr="004E7E1C">
              <w:t xml:space="preserve">$23,786 </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7C719E" w:rsidRPr="004E7E1C" w:rsidP="004E7E1C" w14:paraId="5E2AE111" w14:textId="11AD48DC">
            <w:pPr>
              <w:pStyle w:val="RTableTextAbt"/>
            </w:pPr>
            <w:r w:rsidRPr="004E7E1C">
              <w:t xml:space="preserve">$23,786 </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7C719E" w:rsidRPr="004E7E1C" w:rsidP="004E7E1C" w14:paraId="2E094183" w14:textId="0D095D1B">
            <w:pPr>
              <w:pStyle w:val="RTableTextAbt"/>
            </w:pPr>
            <w:r w:rsidRPr="004E7E1C">
              <w:t xml:space="preserve">$62,911 </w:t>
            </w:r>
          </w:p>
        </w:tc>
        <w:tc>
          <w:tcPr>
            <w:tcW w:w="952" w:type="dxa"/>
            <w:tcBorders>
              <w:top w:val="single" w:sz="4" w:space="0" w:color="auto"/>
              <w:left w:val="single" w:sz="4" w:space="0" w:color="auto"/>
              <w:bottom w:val="single" w:sz="4" w:space="0" w:color="auto"/>
              <w:right w:val="single" w:sz="4" w:space="0" w:color="auto"/>
            </w:tcBorders>
            <w:noWrap/>
            <w:vAlign w:val="center"/>
            <w:hideMark/>
          </w:tcPr>
          <w:p w:rsidR="007C719E" w:rsidRPr="004E7E1C" w:rsidP="004E7E1C" w14:paraId="34230D7E" w14:textId="2A01A95B">
            <w:pPr>
              <w:pStyle w:val="RTableTextAbt"/>
            </w:pPr>
            <w:r w:rsidRPr="004E7E1C">
              <w:t xml:space="preserve">$62,911 </w:t>
            </w:r>
          </w:p>
        </w:tc>
      </w:tr>
      <w:tr w14:paraId="33CFAAB6" w14:textId="77777777" w:rsidTr="00F760A7">
        <w:tblPrEx>
          <w:tblW w:w="5000" w:type="pct"/>
          <w:tblLayout w:type="fixed"/>
          <w:tblLook w:val="04A0"/>
        </w:tblPrEx>
        <w:trPr>
          <w:trHeight w:val="280"/>
        </w:trPr>
        <w:tc>
          <w:tcPr>
            <w:tcW w:w="2318" w:type="dxa"/>
            <w:tcBorders>
              <w:top w:val="single" w:sz="4" w:space="0" w:color="auto"/>
              <w:left w:val="single" w:sz="4" w:space="0" w:color="auto"/>
              <w:bottom w:val="single" w:sz="4" w:space="0" w:color="auto"/>
              <w:right w:val="single" w:sz="4" w:space="0" w:color="auto"/>
            </w:tcBorders>
            <w:vAlign w:val="center"/>
            <w:hideMark/>
          </w:tcPr>
          <w:p w:rsidR="007C719E" w:rsidRPr="007B6745" w:rsidP="007C719E" w14:paraId="2A558D35" w14:textId="77777777">
            <w:pPr>
              <w:pStyle w:val="LTableTextAbt"/>
              <w:rPr>
                <w:b/>
              </w:rPr>
            </w:pPr>
            <w:r w:rsidRPr="007B6745">
              <w:rPr>
                <w:b/>
              </w:rPr>
              <w:t>Total</w:t>
            </w:r>
          </w:p>
        </w:tc>
        <w:tc>
          <w:tcPr>
            <w:tcW w:w="1335" w:type="dxa"/>
            <w:tcBorders>
              <w:top w:val="single" w:sz="4" w:space="0" w:color="auto"/>
              <w:left w:val="single" w:sz="4" w:space="0" w:color="auto"/>
              <w:bottom w:val="single" w:sz="4" w:space="0" w:color="auto"/>
              <w:right w:val="single" w:sz="4" w:space="0" w:color="auto"/>
            </w:tcBorders>
            <w:noWrap/>
            <w:vAlign w:val="center"/>
            <w:hideMark/>
          </w:tcPr>
          <w:p w:rsidR="007C719E" w:rsidRPr="004E7E1C" w:rsidP="004E7E1C" w14:paraId="2F16E825" w14:textId="3BFC0E87">
            <w:pPr>
              <w:pStyle w:val="RTableTextAbt"/>
            </w:pPr>
            <w:r w:rsidRPr="004E7E1C">
              <w:t> </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7C719E" w:rsidRPr="009E27A4" w:rsidP="004E7E1C" w14:paraId="1CD4AEA2" w14:textId="7B5B02D1">
            <w:pPr>
              <w:pStyle w:val="RTableTextAbt"/>
              <w:rPr>
                <w:b/>
                <w:bCs w:val="0"/>
              </w:rPr>
            </w:pPr>
            <w:r w:rsidRPr="009E27A4">
              <w:rPr>
                <w:b/>
                <w:bCs w:val="0"/>
              </w:rPr>
              <w:t>577</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7C719E" w:rsidRPr="009E27A4" w:rsidP="004E7E1C" w14:paraId="263C3281" w14:textId="5269173F">
            <w:pPr>
              <w:pStyle w:val="RTableTextAbt"/>
              <w:rPr>
                <w:b/>
                <w:bCs w:val="0"/>
              </w:rPr>
            </w:pPr>
            <w:r w:rsidRPr="009E27A4">
              <w:rPr>
                <w:b/>
                <w:bCs w:val="0"/>
              </w:rPr>
              <w:t>597</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7C719E" w:rsidRPr="009E27A4" w:rsidP="004E7E1C" w14:paraId="6E6A346F" w14:textId="68E2F6FC">
            <w:pPr>
              <w:pStyle w:val="RTableTextAbt"/>
              <w:rPr>
                <w:b/>
                <w:bCs w:val="0"/>
              </w:rPr>
            </w:pPr>
            <w:r w:rsidRPr="009E27A4">
              <w:rPr>
                <w:b/>
                <w:bCs w:val="0"/>
              </w:rPr>
              <w:t xml:space="preserve">$52,864 </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7C719E" w:rsidRPr="009E27A4" w:rsidP="004E7E1C" w14:paraId="7B6A81A7" w14:textId="3FBCC081">
            <w:pPr>
              <w:pStyle w:val="RTableTextAbt"/>
              <w:rPr>
                <w:b/>
                <w:bCs w:val="0"/>
              </w:rPr>
            </w:pPr>
            <w:r w:rsidRPr="009E27A4">
              <w:rPr>
                <w:b/>
                <w:bCs w:val="0"/>
              </w:rPr>
              <w:t xml:space="preserve">$55,004 </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7C719E" w:rsidRPr="009E27A4" w:rsidP="004E7E1C" w14:paraId="3FFCE345" w14:textId="424FC48C">
            <w:pPr>
              <w:pStyle w:val="RTableTextAbt"/>
              <w:rPr>
                <w:b/>
                <w:bCs w:val="0"/>
              </w:rPr>
            </w:pPr>
            <w:r w:rsidRPr="009E27A4">
              <w:rPr>
                <w:b/>
                <w:bCs w:val="0"/>
              </w:rPr>
              <w:t>$139,817</w:t>
            </w:r>
          </w:p>
        </w:tc>
        <w:tc>
          <w:tcPr>
            <w:tcW w:w="952" w:type="dxa"/>
            <w:tcBorders>
              <w:top w:val="single" w:sz="4" w:space="0" w:color="auto"/>
              <w:left w:val="single" w:sz="4" w:space="0" w:color="auto"/>
              <w:bottom w:val="single" w:sz="4" w:space="0" w:color="auto"/>
              <w:right w:val="single" w:sz="4" w:space="0" w:color="auto"/>
            </w:tcBorders>
            <w:noWrap/>
            <w:vAlign w:val="center"/>
            <w:hideMark/>
          </w:tcPr>
          <w:p w:rsidR="007C719E" w:rsidRPr="009E27A4" w:rsidP="004E7E1C" w14:paraId="63A7B4CB" w14:textId="09340D7F">
            <w:pPr>
              <w:pStyle w:val="RTableTextAbt"/>
              <w:rPr>
                <w:b/>
                <w:bCs w:val="0"/>
              </w:rPr>
            </w:pPr>
            <w:r w:rsidRPr="009E27A4">
              <w:rPr>
                <w:b/>
                <w:bCs w:val="0"/>
              </w:rPr>
              <w:t>$145,477</w:t>
            </w:r>
          </w:p>
        </w:tc>
      </w:tr>
      <w:tr w14:paraId="4E09BA49" w14:textId="77777777" w:rsidTr="00F760A7">
        <w:tblPrEx>
          <w:tblW w:w="5000" w:type="pct"/>
          <w:tblLayout w:type="fixed"/>
          <w:tblLook w:val="04A0"/>
        </w:tblPrEx>
        <w:trPr>
          <w:trHeight w:val="280"/>
        </w:trPr>
        <w:tc>
          <w:tcPr>
            <w:tcW w:w="9360" w:type="dxa"/>
            <w:gridSpan w:val="8"/>
            <w:tcBorders>
              <w:top w:val="single" w:sz="4" w:space="0" w:color="auto"/>
              <w:left w:val="single" w:sz="4" w:space="0" w:color="auto"/>
              <w:bottom w:val="single" w:sz="4" w:space="0" w:color="auto"/>
              <w:right w:val="single" w:sz="4" w:space="0" w:color="auto"/>
            </w:tcBorders>
            <w:vAlign w:val="center"/>
            <w:hideMark/>
          </w:tcPr>
          <w:p w:rsidR="007B6745" w:rsidRPr="007B6745" w:rsidP="00F760A7" w14:paraId="40D4CF39" w14:textId="77777777">
            <w:pPr>
              <w:pStyle w:val="TableNote0"/>
            </w:pPr>
            <w:r w:rsidRPr="007B6745">
              <w:t>PPE= personal protective equipment</w:t>
            </w:r>
          </w:p>
          <w:p w:rsidR="007B6745" w:rsidRPr="00FA5507" w:rsidP="00F760A7" w14:paraId="3F1EA602" w14:textId="18FD329E">
            <w:pPr>
              <w:pStyle w:val="TableNote0"/>
            </w:pPr>
            <w:r w:rsidRPr="007B6745">
              <w:t>a</w:t>
            </w:r>
            <w:r w:rsidRPr="00FA5507">
              <w:t>. See Se</w:t>
            </w:r>
            <w:r w:rsidRPr="0007603C">
              <w:t xml:space="preserve">ction </w:t>
            </w:r>
            <w:r w:rsidRPr="0007603C" w:rsidR="0007603C">
              <w:fldChar w:fldCharType="begin" w:fldLock="1"/>
            </w:r>
            <w:r w:rsidRPr="0007603C" w:rsidR="0007603C">
              <w:instrText xml:space="preserve"> REF _Ref180498059 \r \h </w:instrText>
            </w:r>
            <w:r w:rsidR="0007603C">
              <w:instrText xml:space="preserve"> \* MERGEFORMAT </w:instrText>
            </w:r>
            <w:r w:rsidRPr="0007603C" w:rsidR="0007603C">
              <w:fldChar w:fldCharType="separate"/>
            </w:r>
            <w:r w:rsidR="00735BBC">
              <w:t>3</w:t>
            </w:r>
            <w:r w:rsidRPr="0007603C" w:rsidR="0007603C">
              <w:fldChar w:fldCharType="end"/>
            </w:r>
          </w:p>
          <w:p w:rsidR="007B6745" w:rsidRPr="007B6745" w:rsidP="00F760A7" w14:paraId="15D36E93" w14:textId="77627A15">
            <w:pPr>
              <w:pStyle w:val="TableNote0"/>
            </w:pPr>
            <w:r w:rsidRPr="00FA5507">
              <w:t xml:space="preserve">b. See </w:t>
            </w:r>
            <w:r w:rsidRPr="00FA5507" w:rsidR="00FA5507">
              <w:fldChar w:fldCharType="begin" w:fldLock="1"/>
            </w:r>
            <w:r w:rsidRPr="00FA5507" w:rsidR="00FA5507">
              <w:instrText xml:space="preserve"> REF _Ref179818489 \h </w:instrText>
            </w:r>
            <w:r w:rsidR="00FA5507">
              <w:instrText xml:space="preserve"> \* MERGEFORMAT </w:instrText>
            </w:r>
            <w:r w:rsidRPr="00FA5507" w:rsidR="00FA5507">
              <w:fldChar w:fldCharType="separate"/>
            </w:r>
            <w:r w:rsidR="00735BBC">
              <w:t xml:space="preserve">Table </w:t>
            </w:r>
            <w:r w:rsidR="00735BBC">
              <w:rPr>
                <w:noProof/>
              </w:rPr>
              <w:t>3</w:t>
            </w:r>
            <w:r w:rsidR="00735BBC">
              <w:rPr>
                <w:noProof/>
              </w:rPr>
              <w:noBreakHyphen/>
              <w:t>7</w:t>
            </w:r>
            <w:r w:rsidRPr="00FA5507" w:rsidR="00FA5507">
              <w:fldChar w:fldCharType="end"/>
            </w:r>
            <w:r w:rsidRPr="00FA5507" w:rsidR="00FA5507">
              <w:t xml:space="preserve"> for the estimated</w:t>
            </w:r>
            <w:r w:rsidR="00FA5507">
              <w:t xml:space="preserve"> numbers of </w:t>
            </w:r>
            <w:r w:rsidRPr="007B6745">
              <w:t>directly exposed workers and occupational non-users (ONUs)</w:t>
            </w:r>
          </w:p>
          <w:p w:rsidR="007B6745" w:rsidRPr="007B6745" w:rsidP="00F760A7" w14:paraId="6B45BAB1" w14:textId="487DF61D">
            <w:pPr>
              <w:pStyle w:val="TableNote0"/>
            </w:pPr>
            <w:r w:rsidRPr="007B6745">
              <w:t>c. Number of exposed workers times $107 (</w:t>
            </w:r>
            <w:r w:rsidRPr="007B6745">
              <w:fldChar w:fldCharType="begin" w:fldLock="1"/>
            </w:r>
            <w:r w:rsidRPr="007B6745">
              <w:instrText xml:space="preserve"> REF _Ref177032102 </w:instrText>
            </w:r>
            <w:r w:rsidR="00F760A7">
              <w:instrText xml:space="preserve"> \* MERGEFORMAT </w:instrText>
            </w:r>
            <w:r w:rsidRPr="007B6745">
              <w:fldChar w:fldCharType="separate"/>
            </w:r>
            <w:r w:rsidRPr="007B6745" w:rsidR="00735BBC">
              <w:t xml:space="preserve">Table </w:t>
            </w:r>
            <w:r w:rsidR="00735BBC">
              <w:t>4</w:t>
            </w:r>
            <w:r w:rsidR="00735BBC">
              <w:noBreakHyphen/>
              <w:t>9</w:t>
            </w:r>
            <w:r w:rsidRPr="007B6745">
              <w:fldChar w:fldCharType="end"/>
            </w:r>
            <w:r w:rsidRPr="007B6745">
              <w:t>) times PPE compliance; rounded to the nearest dollar</w:t>
            </w:r>
          </w:p>
          <w:p w:rsidR="007B6745" w:rsidRPr="007B6745" w:rsidP="00F760A7" w14:paraId="6D180877" w14:textId="66F86AC8">
            <w:pPr>
              <w:pStyle w:val="TableNote0"/>
            </w:pPr>
            <w:r w:rsidRPr="007B6745">
              <w:t>d. Number of exposed workers times $277 (</w:t>
            </w:r>
            <w:r w:rsidRPr="007B6745">
              <w:fldChar w:fldCharType="begin" w:fldLock="1"/>
            </w:r>
            <w:r w:rsidRPr="007B6745">
              <w:instrText xml:space="preserve"> REF _Ref177032102 </w:instrText>
            </w:r>
            <w:r w:rsidR="00F760A7">
              <w:instrText xml:space="preserve"> \* MERGEFORMAT </w:instrText>
            </w:r>
            <w:r w:rsidRPr="007B6745">
              <w:fldChar w:fldCharType="separate"/>
            </w:r>
            <w:r w:rsidRPr="007B6745" w:rsidR="00735BBC">
              <w:t xml:space="preserve">Table </w:t>
            </w:r>
            <w:r w:rsidR="00735BBC">
              <w:t>4</w:t>
            </w:r>
            <w:r w:rsidR="00735BBC">
              <w:noBreakHyphen/>
              <w:t>9</w:t>
            </w:r>
            <w:r w:rsidRPr="007B6745">
              <w:fldChar w:fldCharType="end"/>
            </w:r>
            <w:r w:rsidRPr="007B6745">
              <w:t>) times PPE compliance; rounded to the nearest dollar</w:t>
            </w:r>
          </w:p>
        </w:tc>
      </w:tr>
    </w:tbl>
    <w:p w:rsidR="00E43153" w:rsidP="00BD3D2B" w14:paraId="09C8E700" w14:textId="77777777">
      <w:bookmarkStart w:id="201" w:name="_Ref177574499"/>
    </w:p>
    <w:p w:rsidR="007B6745" w:rsidRPr="007B6745" w:rsidP="00832749" w14:paraId="359BBC7D" w14:textId="2F16690D">
      <w:pPr>
        <w:pStyle w:val="Heading4"/>
      </w:pPr>
      <w:r w:rsidRPr="007B6745">
        <w:t>Proposed Option</w:t>
      </w:r>
      <w:bookmarkEnd w:id="201"/>
    </w:p>
    <w:p w:rsidR="007B6745" w:rsidRPr="007B6745" w:rsidP="00832749" w14:paraId="329AE825" w14:textId="7932E189">
      <w:pPr>
        <w:pStyle w:val="BodyText"/>
      </w:pPr>
      <w:r w:rsidRPr="4BA86F39">
        <w:rPr>
          <w:lang w:val="en-US"/>
        </w:rPr>
        <w:t>To estimate the costs of the PPE provisions of the proposed option, EPA used the average one-time and recurring unit costs for all respirators with an APF of 50 or higher (</w:t>
      </w:r>
      <w:r w:rsidRPr="007B6745">
        <w:fldChar w:fldCharType="begin" w:fldLock="1"/>
      </w:r>
      <w:r w:rsidRPr="007B6745">
        <w:instrText xml:space="preserve"> REF _Ref78803093 </w:instrText>
      </w:r>
      <w:r w:rsidR="00105ED0">
        <w:instrText xml:space="preserve"> \* MERGEFORMAT </w:instrText>
      </w:r>
      <w:r w:rsidRPr="007B6745">
        <w:fldChar w:fldCharType="separate"/>
      </w:r>
      <w:r w:rsidRPr="00735BBC" w:rsidR="00735BBC">
        <w:rPr>
          <w:lang w:val="en-US"/>
        </w:rPr>
        <w:t>Table 4</w:t>
      </w:r>
      <w:r w:rsidRPr="00735BBC" w:rsidR="00735BBC">
        <w:rPr>
          <w:lang w:val="en-US"/>
        </w:rPr>
        <w:noBreakHyphen/>
        <w:t>5</w:t>
      </w:r>
      <w:r w:rsidRPr="007B6745">
        <w:fldChar w:fldCharType="end"/>
      </w:r>
      <w:r w:rsidRPr="4BA86F39">
        <w:rPr>
          <w:lang w:val="en-US"/>
        </w:rPr>
        <w:t xml:space="preserve">). Based on the costs shown in </w:t>
      </w:r>
      <w:r w:rsidRPr="007B6745">
        <w:fldChar w:fldCharType="begin" w:fldLock="1"/>
      </w:r>
      <w:r w:rsidRPr="007B6745">
        <w:instrText xml:space="preserve"> REF _Ref177570727 </w:instrText>
      </w:r>
      <w:r w:rsidR="00105ED0">
        <w:instrText xml:space="preserve"> \* MERGEFORMAT </w:instrText>
      </w:r>
      <w:r w:rsidRPr="007B6745">
        <w:fldChar w:fldCharType="separate"/>
      </w:r>
      <w:r w:rsidRPr="00735BBC" w:rsidR="00735BBC">
        <w:rPr>
          <w:lang w:val="en-US"/>
        </w:rPr>
        <w:t>Table 4</w:t>
      </w:r>
      <w:r w:rsidRPr="00735BBC" w:rsidR="00735BBC">
        <w:rPr>
          <w:lang w:val="en-US"/>
        </w:rPr>
        <w:noBreakHyphen/>
        <w:t>6</w:t>
      </w:r>
      <w:r w:rsidRPr="007B6745">
        <w:fldChar w:fldCharType="end"/>
      </w:r>
      <w:r w:rsidRPr="4BA86F39">
        <w:rPr>
          <w:lang w:val="en-US"/>
        </w:rPr>
        <w:t xml:space="preserve"> and </w:t>
      </w:r>
      <w:r w:rsidRPr="007B6745">
        <w:fldChar w:fldCharType="begin" w:fldLock="1"/>
      </w:r>
      <w:r w:rsidRPr="007B6745">
        <w:instrText xml:space="preserve"> REF _Ref177570736 </w:instrText>
      </w:r>
      <w:r w:rsidR="00105ED0">
        <w:instrText xml:space="preserve"> \* MERGEFORMAT </w:instrText>
      </w:r>
      <w:r w:rsidRPr="007B6745">
        <w:fldChar w:fldCharType="separate"/>
      </w:r>
      <w:r w:rsidRPr="00735BBC" w:rsidR="00735BBC">
        <w:rPr>
          <w:lang w:val="en-US"/>
        </w:rPr>
        <w:t>Table 4</w:t>
      </w:r>
      <w:r w:rsidRPr="00735BBC" w:rsidR="00735BBC">
        <w:rPr>
          <w:lang w:val="en-US"/>
        </w:rPr>
        <w:noBreakHyphen/>
        <w:t>7</w:t>
      </w:r>
      <w:r w:rsidRPr="007B6745">
        <w:fldChar w:fldCharType="end"/>
      </w:r>
      <w:r w:rsidRPr="4BA86F39">
        <w:rPr>
          <w:lang w:val="en-US"/>
        </w:rPr>
        <w:t xml:space="preserve"> for these respirators, EPA applied the average unit cost per exposed worker of $3,431 initially and $1,910 annually. </w:t>
      </w:r>
      <w:r w:rsidRPr="007B6745">
        <w:fldChar w:fldCharType="begin" w:fldLock="1"/>
      </w:r>
      <w:r w:rsidRPr="007B6745">
        <w:instrText>REF _Ref177570998</w:instrText>
      </w:r>
      <w:r w:rsidR="00105ED0">
        <w:instrText xml:space="preserve"> \* MERGEFORMAT </w:instrText>
      </w:r>
      <w:r w:rsidRPr="007B6745">
        <w:fldChar w:fldCharType="separate"/>
      </w:r>
      <w:r w:rsidRPr="00735BBC" w:rsidR="00735BBC">
        <w:rPr>
          <w:lang w:val="en-US"/>
        </w:rPr>
        <w:t>Table 4</w:t>
      </w:r>
      <w:r w:rsidRPr="00735BBC" w:rsidR="00735BBC">
        <w:rPr>
          <w:lang w:val="en-US"/>
        </w:rPr>
        <w:noBreakHyphen/>
        <w:t>11</w:t>
      </w:r>
      <w:r w:rsidRPr="007B6745">
        <w:fldChar w:fldCharType="end"/>
      </w:r>
      <w:r w:rsidRPr="4BA86F39">
        <w:rPr>
          <w:lang w:val="en-US"/>
        </w:rPr>
        <w:t xml:space="preserve"> and </w:t>
      </w:r>
      <w:r w:rsidRPr="007B6745">
        <w:fldChar w:fldCharType="begin" w:fldLock="1"/>
      </w:r>
      <w:r w:rsidRPr="007B6745">
        <w:instrText>REF _Ref177571005</w:instrText>
      </w:r>
      <w:r w:rsidR="00105ED0">
        <w:instrText xml:space="preserve"> \* MERGEFORMAT </w:instrText>
      </w:r>
      <w:r w:rsidRPr="007B6745">
        <w:fldChar w:fldCharType="separate"/>
      </w:r>
      <w:r w:rsidRPr="00735BBC" w:rsidR="00735BBC">
        <w:rPr>
          <w:lang w:val="en-US"/>
        </w:rPr>
        <w:t>Table 4</w:t>
      </w:r>
      <w:r w:rsidRPr="00735BBC" w:rsidR="00735BBC">
        <w:rPr>
          <w:lang w:val="en-US"/>
        </w:rPr>
        <w:noBreakHyphen/>
        <w:t>12</w:t>
      </w:r>
      <w:r w:rsidRPr="007B6745">
        <w:fldChar w:fldCharType="end"/>
      </w:r>
      <w:r w:rsidRPr="4BA86F39">
        <w:rPr>
          <w:lang w:val="en-US"/>
        </w:rPr>
        <w:t xml:space="preserve"> show these calculations for the one-time (initial) and annual recurring PPE costs respectively, broken out by use category. The incremental PPE costs of the rule are the total PPE costs under the rule (</w:t>
      </w:r>
      <w:r w:rsidRPr="007B6745">
        <w:fldChar w:fldCharType="begin" w:fldLock="1"/>
      </w:r>
      <w:r w:rsidRPr="007B6745">
        <w:instrText>REF _Ref177570998</w:instrText>
      </w:r>
      <w:r w:rsidR="00105ED0">
        <w:instrText xml:space="preserve"> \* MERGEFORMAT </w:instrText>
      </w:r>
      <w:r w:rsidRPr="007B6745">
        <w:fldChar w:fldCharType="separate"/>
      </w:r>
      <w:r w:rsidRPr="00735BBC" w:rsidR="00735BBC">
        <w:rPr>
          <w:lang w:val="en-US"/>
        </w:rPr>
        <w:t>Table 4</w:t>
      </w:r>
      <w:r w:rsidRPr="00735BBC" w:rsidR="00735BBC">
        <w:rPr>
          <w:lang w:val="en-US"/>
        </w:rPr>
        <w:noBreakHyphen/>
        <w:t>11</w:t>
      </w:r>
      <w:r w:rsidRPr="007B6745">
        <w:fldChar w:fldCharType="end"/>
      </w:r>
      <w:r w:rsidRPr="4BA86F39">
        <w:rPr>
          <w:lang w:val="en-US"/>
        </w:rPr>
        <w:t xml:space="preserve"> and </w:t>
      </w:r>
      <w:r w:rsidRPr="007B6745">
        <w:fldChar w:fldCharType="begin" w:fldLock="1"/>
      </w:r>
      <w:r w:rsidRPr="007B6745">
        <w:instrText>REF _Ref177571005</w:instrText>
      </w:r>
      <w:r w:rsidR="00105ED0">
        <w:instrText xml:space="preserve"> \* MERGEFORMAT </w:instrText>
      </w:r>
      <w:r w:rsidRPr="007B6745">
        <w:fldChar w:fldCharType="separate"/>
      </w:r>
      <w:r w:rsidRPr="00735BBC" w:rsidR="00735BBC">
        <w:rPr>
          <w:lang w:val="en-US"/>
        </w:rPr>
        <w:t>Table 4</w:t>
      </w:r>
      <w:r w:rsidRPr="00735BBC" w:rsidR="00735BBC">
        <w:rPr>
          <w:lang w:val="en-US"/>
        </w:rPr>
        <w:noBreakHyphen/>
        <w:t>12</w:t>
      </w:r>
      <w:r w:rsidRPr="007B6745">
        <w:fldChar w:fldCharType="end"/>
      </w:r>
      <w:r w:rsidRPr="4BA86F39">
        <w:rPr>
          <w:lang w:val="en-US"/>
        </w:rPr>
        <w:t>) minus the PPE costs under the baseline (</w:t>
      </w:r>
      <w:r w:rsidRPr="007B6745">
        <w:fldChar w:fldCharType="begin" w:fldLock="1"/>
      </w:r>
      <w:r w:rsidRPr="007B6745">
        <w:instrText>REF _Ref177571502</w:instrText>
      </w:r>
      <w:r w:rsidR="00105ED0">
        <w:instrText xml:space="preserve"> \* MERGEFORMAT </w:instrText>
      </w:r>
      <w:r w:rsidRPr="007B6745">
        <w:fldChar w:fldCharType="separate"/>
      </w:r>
      <w:r w:rsidRPr="00735BBC" w:rsidR="00735BBC">
        <w:rPr>
          <w:lang w:val="en-US"/>
        </w:rPr>
        <w:t>Table 4</w:t>
      </w:r>
      <w:r w:rsidRPr="00735BBC" w:rsidR="00735BBC">
        <w:rPr>
          <w:lang w:val="en-US"/>
        </w:rPr>
        <w:noBreakHyphen/>
        <w:t>10</w:t>
      </w:r>
      <w:r w:rsidRPr="007B6745">
        <w:fldChar w:fldCharType="end"/>
      </w:r>
      <w:r w:rsidRPr="4BA86F39">
        <w:rPr>
          <w:lang w:val="en-US"/>
        </w:rPr>
        <w:t xml:space="preserve">).  </w:t>
      </w:r>
      <w:r w:rsidRPr="007B6745">
        <w:fldChar w:fldCharType="begin" w:fldLock="1"/>
      </w:r>
      <w:r w:rsidRPr="007B6745">
        <w:instrText>REF _Ref177572140</w:instrText>
      </w:r>
      <w:r w:rsidR="00105ED0">
        <w:instrText xml:space="preserve"> \* MERGEFORMAT </w:instrText>
      </w:r>
      <w:r w:rsidRPr="007B6745">
        <w:fldChar w:fldCharType="separate"/>
      </w:r>
      <w:r w:rsidRPr="00735BBC" w:rsidR="00735BBC">
        <w:rPr>
          <w:lang w:val="en-US"/>
        </w:rPr>
        <w:t>Table 4</w:t>
      </w:r>
      <w:r w:rsidRPr="00735BBC" w:rsidR="00735BBC">
        <w:rPr>
          <w:lang w:val="en-US"/>
        </w:rPr>
        <w:noBreakHyphen/>
        <w:t>13</w:t>
      </w:r>
      <w:r w:rsidRPr="007B6745">
        <w:fldChar w:fldCharType="end"/>
      </w:r>
      <w:r w:rsidRPr="4BA86F39">
        <w:rPr>
          <w:lang w:val="en-US"/>
        </w:rPr>
        <w:t xml:space="preserve"> shows the resultant incremental PPE costs under the proposed option.</w:t>
      </w:r>
    </w:p>
    <w:p w:rsidR="007B6745" w:rsidRPr="007B6745" w:rsidP="00832749" w14:paraId="7BC89A05" w14:textId="77777777">
      <w:pPr>
        <w:pStyle w:val="BodyText"/>
      </w:pPr>
      <w:r w:rsidRPr="4BA86F39">
        <w:rPr>
          <w:lang w:val="en-US"/>
        </w:rPr>
        <w:t xml:space="preserve">It is worth noting that a number of factors are taken into account when selecting a respirator, including cost, comfort, compatibility with the facility layout, and mobility requirements of the job. Thus, it is likely that respirator selection is not based solely on required APF or cost alone and that facilities may provide respirators with APFs above what is required. </w:t>
      </w:r>
    </w:p>
    <w:p w:rsidR="007B6745" w:rsidRPr="007B6745" w:rsidP="00832749" w14:paraId="59C9B610" w14:textId="7FD8DF2C">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2699"/>
        <w:gridCol w:w="865"/>
        <w:gridCol w:w="1449"/>
        <w:gridCol w:w="1449"/>
        <w:gridCol w:w="1449"/>
        <w:gridCol w:w="1449"/>
      </w:tblGrid>
      <w:tr w14:paraId="5F59BE2F" w14:textId="77777777" w:rsidTr="00BD3D2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Ex>
        <w:trPr>
          <w:trHeight w:val="99"/>
          <w:tblHeader/>
        </w:trPr>
        <w:tc>
          <w:tcPr>
            <w:tcW w:w="5000" w:type="pct"/>
            <w:gridSpan w:val="6"/>
            <w:tcBorders>
              <w:top w:val="nil"/>
              <w:left w:val="nil"/>
              <w:right w:val="nil"/>
            </w:tcBorders>
            <w:shd w:val="clear" w:color="auto" w:fill="auto"/>
            <w:vAlign w:val="center"/>
          </w:tcPr>
          <w:p w:rsidR="00CC2A6F" w:rsidRPr="007B6745" w:rsidP="00026204" w14:paraId="1117F68A" w14:textId="1CF1B6AB">
            <w:pPr>
              <w:pStyle w:val="TableTitleA"/>
            </w:pPr>
            <w:bookmarkStart w:id="202" w:name="_Ref177570998"/>
            <w:bookmarkStart w:id="203" w:name="_Toc184299567"/>
            <w:r w:rsidRPr="007B6745">
              <w:t xml:space="preserve">Table </w:t>
            </w:r>
            <w:r>
              <w:fldChar w:fldCharType="begin" w:fldLock="1"/>
            </w:r>
            <w:r>
              <w:instrText>STYLEREF 1 \s</w:instrText>
            </w:r>
            <w:r>
              <w:fldChar w:fldCharType="separate"/>
            </w:r>
            <w:r w:rsidR="00735BBC">
              <w:rPr>
                <w:noProof/>
              </w:rPr>
              <w:t>4</w:t>
            </w:r>
            <w:r>
              <w:fldChar w:fldCharType="end"/>
            </w:r>
            <w:r w:rsidR="000A1542">
              <w:noBreakHyphen/>
            </w:r>
            <w:r>
              <w:fldChar w:fldCharType="begin" w:fldLock="1"/>
            </w:r>
            <w:r>
              <w:instrText>SEQ Table \* ARABIC \s 1</w:instrText>
            </w:r>
            <w:r>
              <w:fldChar w:fldCharType="separate"/>
            </w:r>
            <w:r w:rsidR="00735BBC">
              <w:rPr>
                <w:noProof/>
              </w:rPr>
              <w:t>11</w:t>
            </w:r>
            <w:r>
              <w:fldChar w:fldCharType="end"/>
            </w:r>
            <w:bookmarkEnd w:id="202"/>
            <w:r w:rsidRPr="007B6745">
              <w:t>: Calculation of One-time PPE Costs under the Proposed Option (2023$)</w:t>
            </w:r>
            <w:bookmarkEnd w:id="203"/>
          </w:p>
        </w:tc>
      </w:tr>
      <w:tr w14:paraId="2C6D43D3" w14:textId="77777777" w:rsidTr="00BD3D2B">
        <w:tblPrEx>
          <w:tblW w:w="5000" w:type="pct"/>
          <w:tblLayout w:type="fixed"/>
          <w:tblCellMar>
            <w:left w:w="58" w:type="dxa"/>
            <w:right w:w="58" w:type="dxa"/>
          </w:tblCellMar>
          <w:tblLook w:val="04A0"/>
        </w:tblPrEx>
        <w:trPr>
          <w:trHeight w:val="280"/>
          <w:tblHeader/>
        </w:trPr>
        <w:tc>
          <w:tcPr>
            <w:tcW w:w="1442"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2A5A7495" w14:textId="77777777">
            <w:pPr>
              <w:pStyle w:val="TableSubtitle"/>
            </w:pPr>
            <w:r w:rsidRPr="007B6745">
              <w:t>Use category</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6B3739C4" w14:textId="77777777">
            <w:pPr>
              <w:pStyle w:val="TableSubtitle"/>
            </w:pPr>
            <w:r w:rsidRPr="007B6745">
              <w:t>Program costs</w:t>
            </w:r>
            <w:r w:rsidRPr="007B6745">
              <w:rPr>
                <w:vertAlign w:val="superscript"/>
              </w:rPr>
              <w:t xml:space="preserve"> a</w:t>
            </w:r>
          </w:p>
        </w:tc>
        <w:tc>
          <w:tcPr>
            <w:tcW w:w="1548"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40AFF28A" w14:textId="77777777">
            <w:pPr>
              <w:pStyle w:val="TableSubtitle"/>
            </w:pPr>
            <w:r w:rsidRPr="007B6745">
              <w:t>Respirator costs</w:t>
            </w:r>
            <w:r w:rsidRPr="007B6745">
              <w:rPr>
                <w:vertAlign w:val="superscript"/>
              </w:rPr>
              <w:t xml:space="preserve"> b</w:t>
            </w:r>
          </w:p>
        </w:tc>
        <w:tc>
          <w:tcPr>
            <w:tcW w:w="1548"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38F865FC" w14:textId="77777777">
            <w:pPr>
              <w:pStyle w:val="TableSubtitle"/>
            </w:pPr>
            <w:r w:rsidRPr="007B6745">
              <w:t>Total costs</w:t>
            </w:r>
            <w:r w:rsidRPr="007B6745">
              <w:rPr>
                <w:vertAlign w:val="superscript"/>
              </w:rPr>
              <w:t xml:space="preserve"> c</w:t>
            </w:r>
          </w:p>
        </w:tc>
      </w:tr>
      <w:tr w14:paraId="6EF8CA3D" w14:textId="77777777" w:rsidTr="00BD3D2B">
        <w:tblPrEx>
          <w:tblW w:w="5000" w:type="pct"/>
          <w:tblLayout w:type="fixed"/>
          <w:tblCellMar>
            <w:left w:w="58" w:type="dxa"/>
            <w:right w:w="58" w:type="dxa"/>
          </w:tblCellMar>
          <w:tblLook w:val="04A0"/>
        </w:tblPrEx>
        <w:trPr>
          <w:trHeight w:val="300"/>
          <w:tblHeader/>
        </w:trPr>
        <w:tc>
          <w:tcPr>
            <w:tcW w:w="1442" w:type="pct"/>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76CFAFDE" w14:textId="77777777">
            <w:pPr>
              <w:pStyle w:val="TableSubtitle"/>
            </w:pPr>
          </w:p>
        </w:tc>
        <w:tc>
          <w:tcPr>
            <w:tcW w:w="462" w:type="pct"/>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189ADD06" w14:textId="77777777">
            <w:pPr>
              <w:pStyle w:val="TableSubtitle"/>
            </w:pPr>
          </w:p>
        </w:tc>
        <w:tc>
          <w:tcPr>
            <w:tcW w:w="774"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081DEEF3" w14:textId="77777777">
            <w:pPr>
              <w:pStyle w:val="TableSubtitle"/>
            </w:pPr>
            <w:r w:rsidRPr="007B6745">
              <w:t>Low</w:t>
            </w:r>
          </w:p>
        </w:tc>
        <w:tc>
          <w:tcPr>
            <w:tcW w:w="774"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7F64837D" w14:textId="77777777">
            <w:pPr>
              <w:pStyle w:val="TableSubtitle"/>
            </w:pPr>
            <w:r w:rsidRPr="007B6745">
              <w:t>High</w:t>
            </w:r>
          </w:p>
        </w:tc>
        <w:tc>
          <w:tcPr>
            <w:tcW w:w="774"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4E1560D9" w14:textId="77777777">
            <w:pPr>
              <w:pStyle w:val="TableSubtitle"/>
            </w:pPr>
            <w:r w:rsidRPr="007B6745">
              <w:t>Low</w:t>
            </w:r>
          </w:p>
        </w:tc>
        <w:tc>
          <w:tcPr>
            <w:tcW w:w="774"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25314A36" w14:textId="77777777">
            <w:pPr>
              <w:pStyle w:val="TableSubtitle"/>
            </w:pPr>
            <w:r w:rsidRPr="007B6745">
              <w:t>High</w:t>
            </w:r>
          </w:p>
        </w:tc>
      </w:tr>
      <w:tr w14:paraId="6CF8CE71" w14:textId="77777777" w:rsidTr="00BD3D2B">
        <w:tblPrEx>
          <w:tblW w:w="5000" w:type="pct"/>
          <w:tblLayout w:type="fixed"/>
          <w:tblCellMar>
            <w:left w:w="58" w:type="dxa"/>
            <w:right w:w="58" w:type="dxa"/>
          </w:tblCellMar>
          <w:tblLook w:val="04A0"/>
        </w:tblPrEx>
        <w:trPr>
          <w:trHeight w:val="260"/>
        </w:trPr>
        <w:tc>
          <w:tcPr>
            <w:tcW w:w="1442"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59737115" w14:textId="77777777">
            <w:pPr>
              <w:pStyle w:val="LTableTextAbt"/>
            </w:pPr>
            <w:r w:rsidRPr="007B6745">
              <w:t>PV29 manufacturing and intermediate processing</w:t>
            </w:r>
          </w:p>
        </w:tc>
        <w:tc>
          <w:tcPr>
            <w:tcW w:w="462" w:type="pct"/>
            <w:tcBorders>
              <w:top w:val="single" w:sz="4" w:space="0" w:color="auto"/>
              <w:left w:val="single" w:sz="4" w:space="0" w:color="auto"/>
              <w:bottom w:val="single" w:sz="4" w:space="0" w:color="auto"/>
              <w:right w:val="single" w:sz="4" w:space="0" w:color="auto"/>
            </w:tcBorders>
            <w:vAlign w:val="center"/>
            <w:hideMark/>
          </w:tcPr>
          <w:p w:rsidR="007D109A" w:rsidRPr="009E27A4" w:rsidP="009E27A4" w14:paraId="3CC61443" w14:textId="47698CA8">
            <w:pPr>
              <w:pStyle w:val="RTableTextAbt"/>
            </w:pPr>
            <w:r w:rsidRPr="009E27A4">
              <w:t xml:space="preserve">$593 </w:t>
            </w:r>
          </w:p>
        </w:tc>
        <w:tc>
          <w:tcPr>
            <w:tcW w:w="774" w:type="pct"/>
            <w:tcBorders>
              <w:top w:val="single" w:sz="4" w:space="0" w:color="auto"/>
              <w:left w:val="single" w:sz="4" w:space="0" w:color="auto"/>
              <w:bottom w:val="single" w:sz="4" w:space="0" w:color="auto"/>
              <w:right w:val="single" w:sz="4" w:space="0" w:color="auto"/>
            </w:tcBorders>
            <w:noWrap/>
            <w:vAlign w:val="center"/>
            <w:hideMark/>
          </w:tcPr>
          <w:p w:rsidR="007D109A" w:rsidRPr="009E27A4" w:rsidP="009E27A4" w14:paraId="16041BD2" w14:textId="5550DD55">
            <w:pPr>
              <w:pStyle w:val="RTableTextAbt"/>
            </w:pPr>
            <w:r w:rsidRPr="009E27A4">
              <w:t xml:space="preserve">$198,998 </w:t>
            </w:r>
          </w:p>
        </w:tc>
        <w:tc>
          <w:tcPr>
            <w:tcW w:w="774" w:type="pct"/>
            <w:tcBorders>
              <w:top w:val="single" w:sz="4" w:space="0" w:color="auto"/>
              <w:left w:val="single" w:sz="4" w:space="0" w:color="auto"/>
              <w:bottom w:val="single" w:sz="4" w:space="0" w:color="auto"/>
              <w:right w:val="single" w:sz="4" w:space="0" w:color="auto"/>
            </w:tcBorders>
            <w:noWrap/>
            <w:vAlign w:val="center"/>
            <w:hideMark/>
          </w:tcPr>
          <w:p w:rsidR="007D109A" w:rsidRPr="009E27A4" w:rsidP="009E27A4" w14:paraId="36ABF3B9" w14:textId="663E783A">
            <w:pPr>
              <w:pStyle w:val="RTableTextAbt"/>
            </w:pPr>
            <w:r w:rsidRPr="009E27A4">
              <w:t xml:space="preserve">$267,618 </w:t>
            </w:r>
          </w:p>
        </w:tc>
        <w:tc>
          <w:tcPr>
            <w:tcW w:w="774" w:type="pct"/>
            <w:tcBorders>
              <w:top w:val="single" w:sz="4" w:space="0" w:color="auto"/>
              <w:left w:val="single" w:sz="4" w:space="0" w:color="auto"/>
              <w:bottom w:val="single" w:sz="4" w:space="0" w:color="auto"/>
              <w:right w:val="single" w:sz="4" w:space="0" w:color="auto"/>
            </w:tcBorders>
            <w:noWrap/>
            <w:vAlign w:val="center"/>
            <w:hideMark/>
          </w:tcPr>
          <w:p w:rsidR="007D109A" w:rsidRPr="009E27A4" w:rsidP="009E27A4" w14:paraId="7DB1CF07" w14:textId="18FC237D">
            <w:pPr>
              <w:pStyle w:val="RTableTextAbt"/>
            </w:pPr>
            <w:r w:rsidRPr="009E27A4">
              <w:t xml:space="preserve">$199,591 </w:t>
            </w:r>
          </w:p>
        </w:tc>
        <w:tc>
          <w:tcPr>
            <w:tcW w:w="774" w:type="pct"/>
            <w:tcBorders>
              <w:top w:val="single" w:sz="4" w:space="0" w:color="auto"/>
              <w:left w:val="single" w:sz="4" w:space="0" w:color="auto"/>
              <w:bottom w:val="single" w:sz="4" w:space="0" w:color="auto"/>
              <w:right w:val="single" w:sz="4" w:space="0" w:color="auto"/>
            </w:tcBorders>
            <w:noWrap/>
            <w:vAlign w:val="center"/>
            <w:hideMark/>
          </w:tcPr>
          <w:p w:rsidR="007D109A" w:rsidRPr="009E27A4" w:rsidP="009E27A4" w14:paraId="2960430B" w14:textId="46BC5679">
            <w:pPr>
              <w:pStyle w:val="RTableTextAbt"/>
            </w:pPr>
            <w:r w:rsidRPr="009E27A4">
              <w:t xml:space="preserve">$268,211 </w:t>
            </w:r>
          </w:p>
        </w:tc>
      </w:tr>
      <w:tr w14:paraId="78C33CEF" w14:textId="77777777" w:rsidTr="00BD3D2B">
        <w:tblPrEx>
          <w:tblW w:w="5000" w:type="pct"/>
          <w:tblLayout w:type="fixed"/>
          <w:tblCellMar>
            <w:left w:w="58" w:type="dxa"/>
            <w:right w:w="58" w:type="dxa"/>
          </w:tblCellMar>
          <w:tblLook w:val="04A0"/>
        </w:tblPrEx>
        <w:trPr>
          <w:trHeight w:val="260"/>
        </w:trPr>
        <w:tc>
          <w:tcPr>
            <w:tcW w:w="1442" w:type="pct"/>
            <w:tcBorders>
              <w:top w:val="single" w:sz="4" w:space="0" w:color="auto"/>
              <w:left w:val="single" w:sz="4" w:space="0" w:color="auto"/>
              <w:bottom w:val="single" w:sz="4" w:space="0" w:color="auto"/>
              <w:right w:val="single" w:sz="4" w:space="0" w:color="auto"/>
            </w:tcBorders>
            <w:noWrap/>
          </w:tcPr>
          <w:p w:rsidR="007D109A" w:rsidRPr="007B6745" w:rsidP="007D109A" w14:paraId="2043FA91" w14:textId="626AF96C">
            <w:pPr>
              <w:pStyle w:val="LTableTextAbt"/>
            </w:pPr>
            <w:r>
              <w:t>PV</w:t>
            </w:r>
            <w:r w:rsidR="00AD5E53">
              <w:t>2</w:t>
            </w:r>
            <w:r>
              <w:t>9 importing</w:t>
            </w:r>
          </w:p>
        </w:tc>
        <w:tc>
          <w:tcPr>
            <w:tcW w:w="462" w:type="pct"/>
            <w:tcBorders>
              <w:top w:val="single" w:sz="4" w:space="0" w:color="auto"/>
              <w:left w:val="single" w:sz="4" w:space="0" w:color="auto"/>
              <w:bottom w:val="single" w:sz="4" w:space="0" w:color="auto"/>
              <w:right w:val="single" w:sz="4" w:space="0" w:color="auto"/>
            </w:tcBorders>
            <w:vAlign w:val="center"/>
          </w:tcPr>
          <w:p w:rsidR="007D109A" w:rsidRPr="009E27A4" w:rsidP="009E27A4" w14:paraId="6AF04518" w14:textId="5E17028F">
            <w:pPr>
              <w:pStyle w:val="RTableTextAbt"/>
            </w:pPr>
            <w:r w:rsidRPr="009E27A4">
              <w:t xml:space="preserve">$593 </w:t>
            </w:r>
          </w:p>
        </w:tc>
        <w:tc>
          <w:tcPr>
            <w:tcW w:w="774" w:type="pct"/>
            <w:tcBorders>
              <w:top w:val="single" w:sz="4" w:space="0" w:color="auto"/>
              <w:left w:val="single" w:sz="4" w:space="0" w:color="auto"/>
              <w:bottom w:val="single" w:sz="4" w:space="0" w:color="auto"/>
              <w:right w:val="single" w:sz="4" w:space="0" w:color="auto"/>
            </w:tcBorders>
            <w:noWrap/>
            <w:vAlign w:val="center"/>
          </w:tcPr>
          <w:p w:rsidR="007D109A" w:rsidRPr="009E27A4" w:rsidP="009E27A4" w14:paraId="1E97A14F" w14:textId="3B8A34A8">
            <w:pPr>
              <w:pStyle w:val="RTableTextAbt"/>
            </w:pPr>
            <w:r w:rsidRPr="009E27A4">
              <w:t xml:space="preserve">$65,189 </w:t>
            </w:r>
          </w:p>
        </w:tc>
        <w:tc>
          <w:tcPr>
            <w:tcW w:w="774" w:type="pct"/>
            <w:tcBorders>
              <w:top w:val="single" w:sz="4" w:space="0" w:color="auto"/>
              <w:left w:val="single" w:sz="4" w:space="0" w:color="auto"/>
              <w:bottom w:val="single" w:sz="4" w:space="0" w:color="auto"/>
              <w:right w:val="single" w:sz="4" w:space="0" w:color="auto"/>
            </w:tcBorders>
            <w:noWrap/>
            <w:vAlign w:val="center"/>
          </w:tcPr>
          <w:p w:rsidR="007D109A" w:rsidRPr="009E27A4" w:rsidP="009E27A4" w14:paraId="3A140348" w14:textId="4012E4CD">
            <w:pPr>
              <w:pStyle w:val="RTableTextAbt"/>
            </w:pPr>
            <w:r w:rsidRPr="009E27A4">
              <w:t xml:space="preserve">$65,189 </w:t>
            </w:r>
          </w:p>
        </w:tc>
        <w:tc>
          <w:tcPr>
            <w:tcW w:w="774" w:type="pct"/>
            <w:tcBorders>
              <w:top w:val="single" w:sz="4" w:space="0" w:color="auto"/>
              <w:left w:val="single" w:sz="4" w:space="0" w:color="auto"/>
              <w:bottom w:val="single" w:sz="4" w:space="0" w:color="auto"/>
              <w:right w:val="single" w:sz="4" w:space="0" w:color="auto"/>
            </w:tcBorders>
            <w:noWrap/>
            <w:vAlign w:val="center"/>
          </w:tcPr>
          <w:p w:rsidR="007D109A" w:rsidRPr="009E27A4" w:rsidP="009E27A4" w14:paraId="2CCEA1BF" w14:textId="2FE06929">
            <w:pPr>
              <w:pStyle w:val="RTableTextAbt"/>
            </w:pPr>
            <w:r w:rsidRPr="009E27A4">
              <w:t xml:space="preserve">$65,782 </w:t>
            </w:r>
          </w:p>
        </w:tc>
        <w:tc>
          <w:tcPr>
            <w:tcW w:w="774" w:type="pct"/>
            <w:tcBorders>
              <w:top w:val="single" w:sz="4" w:space="0" w:color="auto"/>
              <w:left w:val="single" w:sz="4" w:space="0" w:color="auto"/>
              <w:bottom w:val="single" w:sz="4" w:space="0" w:color="auto"/>
              <w:right w:val="single" w:sz="4" w:space="0" w:color="auto"/>
            </w:tcBorders>
            <w:noWrap/>
            <w:vAlign w:val="center"/>
          </w:tcPr>
          <w:p w:rsidR="007D109A" w:rsidRPr="009E27A4" w:rsidP="009E27A4" w14:paraId="0E1FE5E5" w14:textId="4F2F17D2">
            <w:pPr>
              <w:pStyle w:val="RTableTextAbt"/>
            </w:pPr>
            <w:r w:rsidRPr="009E27A4">
              <w:t xml:space="preserve">$65,782 </w:t>
            </w:r>
          </w:p>
        </w:tc>
      </w:tr>
      <w:tr w14:paraId="7F96CC63" w14:textId="77777777" w:rsidTr="00BD3D2B">
        <w:tblPrEx>
          <w:tblW w:w="5000" w:type="pct"/>
          <w:tblLayout w:type="fixed"/>
          <w:tblCellMar>
            <w:left w:w="58" w:type="dxa"/>
            <w:right w:w="58" w:type="dxa"/>
          </w:tblCellMar>
          <w:tblLook w:val="04A0"/>
        </w:tblPrEx>
        <w:trPr>
          <w:trHeight w:val="260"/>
        </w:trPr>
        <w:tc>
          <w:tcPr>
            <w:tcW w:w="1442"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2014AFE7" w14:textId="77777777">
            <w:pPr>
              <w:pStyle w:val="LTableTextAbt"/>
            </w:pPr>
            <w:r w:rsidRPr="007B6745">
              <w:t>Processing into automotive paints and coatings</w:t>
            </w:r>
          </w:p>
        </w:tc>
        <w:tc>
          <w:tcPr>
            <w:tcW w:w="462" w:type="pct"/>
            <w:tcBorders>
              <w:top w:val="single" w:sz="4" w:space="0" w:color="auto"/>
              <w:left w:val="single" w:sz="4" w:space="0" w:color="auto"/>
              <w:bottom w:val="single" w:sz="4" w:space="0" w:color="auto"/>
              <w:right w:val="single" w:sz="4" w:space="0" w:color="auto"/>
            </w:tcBorders>
            <w:vAlign w:val="center"/>
            <w:hideMark/>
          </w:tcPr>
          <w:p w:rsidR="007D109A" w:rsidRPr="009E27A4" w:rsidP="009E27A4" w14:paraId="54ACE54B" w14:textId="39CAC50A">
            <w:pPr>
              <w:pStyle w:val="RTableTextAbt"/>
            </w:pPr>
            <w:r w:rsidRPr="009E27A4">
              <w:t xml:space="preserve">$8,302 </w:t>
            </w:r>
          </w:p>
        </w:tc>
        <w:tc>
          <w:tcPr>
            <w:tcW w:w="774" w:type="pct"/>
            <w:tcBorders>
              <w:top w:val="single" w:sz="4" w:space="0" w:color="auto"/>
              <w:left w:val="single" w:sz="4" w:space="0" w:color="auto"/>
              <w:bottom w:val="single" w:sz="4" w:space="0" w:color="auto"/>
              <w:right w:val="single" w:sz="4" w:space="0" w:color="auto"/>
            </w:tcBorders>
            <w:noWrap/>
            <w:vAlign w:val="center"/>
            <w:hideMark/>
          </w:tcPr>
          <w:p w:rsidR="007D109A" w:rsidRPr="009E27A4" w:rsidP="009E27A4" w14:paraId="07E546D1" w14:textId="373B867E">
            <w:pPr>
              <w:pStyle w:val="RTableTextAbt"/>
            </w:pPr>
            <w:r w:rsidRPr="009E27A4">
              <w:t xml:space="preserve">$912,646 </w:t>
            </w:r>
          </w:p>
        </w:tc>
        <w:tc>
          <w:tcPr>
            <w:tcW w:w="774" w:type="pct"/>
            <w:tcBorders>
              <w:top w:val="single" w:sz="4" w:space="0" w:color="auto"/>
              <w:left w:val="single" w:sz="4" w:space="0" w:color="auto"/>
              <w:bottom w:val="single" w:sz="4" w:space="0" w:color="auto"/>
              <w:right w:val="single" w:sz="4" w:space="0" w:color="auto"/>
            </w:tcBorders>
            <w:noWrap/>
            <w:vAlign w:val="center"/>
            <w:hideMark/>
          </w:tcPr>
          <w:p w:rsidR="007D109A" w:rsidRPr="009E27A4" w:rsidP="009E27A4" w14:paraId="01DA67DE" w14:textId="2871AE63">
            <w:pPr>
              <w:pStyle w:val="RTableTextAbt"/>
            </w:pPr>
            <w:r w:rsidRPr="009E27A4">
              <w:t xml:space="preserve">$912,646 </w:t>
            </w:r>
          </w:p>
        </w:tc>
        <w:tc>
          <w:tcPr>
            <w:tcW w:w="774" w:type="pct"/>
            <w:tcBorders>
              <w:top w:val="single" w:sz="4" w:space="0" w:color="auto"/>
              <w:left w:val="single" w:sz="4" w:space="0" w:color="auto"/>
              <w:bottom w:val="single" w:sz="4" w:space="0" w:color="auto"/>
              <w:right w:val="single" w:sz="4" w:space="0" w:color="auto"/>
            </w:tcBorders>
            <w:noWrap/>
            <w:vAlign w:val="center"/>
            <w:hideMark/>
          </w:tcPr>
          <w:p w:rsidR="007D109A" w:rsidRPr="009E27A4" w:rsidP="009E27A4" w14:paraId="32CF5C02" w14:textId="629FD575">
            <w:pPr>
              <w:pStyle w:val="RTableTextAbt"/>
            </w:pPr>
            <w:r w:rsidRPr="009E27A4">
              <w:t xml:space="preserve">$920,948 </w:t>
            </w:r>
          </w:p>
        </w:tc>
        <w:tc>
          <w:tcPr>
            <w:tcW w:w="774" w:type="pct"/>
            <w:tcBorders>
              <w:top w:val="single" w:sz="4" w:space="0" w:color="auto"/>
              <w:left w:val="single" w:sz="4" w:space="0" w:color="auto"/>
              <w:bottom w:val="single" w:sz="4" w:space="0" w:color="auto"/>
              <w:right w:val="single" w:sz="4" w:space="0" w:color="auto"/>
            </w:tcBorders>
            <w:noWrap/>
            <w:vAlign w:val="center"/>
            <w:hideMark/>
          </w:tcPr>
          <w:p w:rsidR="007D109A" w:rsidRPr="009E27A4" w:rsidP="009E27A4" w14:paraId="58098096" w14:textId="7B3AB78A">
            <w:pPr>
              <w:pStyle w:val="RTableTextAbt"/>
            </w:pPr>
            <w:r w:rsidRPr="009E27A4">
              <w:t xml:space="preserve">$920,948 </w:t>
            </w:r>
          </w:p>
        </w:tc>
      </w:tr>
      <w:tr w14:paraId="0FD83988" w14:textId="77777777" w:rsidTr="00BD3D2B">
        <w:tblPrEx>
          <w:tblW w:w="5000" w:type="pct"/>
          <w:tblLayout w:type="fixed"/>
          <w:tblCellMar>
            <w:left w:w="58" w:type="dxa"/>
            <w:right w:w="58" w:type="dxa"/>
          </w:tblCellMar>
          <w:tblLook w:val="04A0"/>
        </w:tblPrEx>
        <w:trPr>
          <w:trHeight w:val="260"/>
        </w:trPr>
        <w:tc>
          <w:tcPr>
            <w:tcW w:w="1442"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572BE042" w14:textId="77777777">
            <w:pPr>
              <w:pStyle w:val="LTableTextAbt"/>
            </w:pPr>
            <w:r w:rsidRPr="007B6745">
              <w:t>Processing into plastic and rubber products</w:t>
            </w:r>
          </w:p>
        </w:tc>
        <w:tc>
          <w:tcPr>
            <w:tcW w:w="462" w:type="pct"/>
            <w:tcBorders>
              <w:top w:val="single" w:sz="4" w:space="0" w:color="auto"/>
              <w:left w:val="single" w:sz="4" w:space="0" w:color="auto"/>
              <w:bottom w:val="single" w:sz="4" w:space="0" w:color="auto"/>
              <w:right w:val="single" w:sz="4" w:space="0" w:color="auto"/>
            </w:tcBorders>
            <w:vAlign w:val="center"/>
            <w:hideMark/>
          </w:tcPr>
          <w:p w:rsidR="007D109A" w:rsidRPr="009E27A4" w:rsidP="009E27A4" w14:paraId="49472C34" w14:textId="423DFA25">
            <w:pPr>
              <w:pStyle w:val="RTableTextAbt"/>
            </w:pPr>
            <w:r w:rsidRPr="009E27A4">
              <w:t xml:space="preserve">$3,558 </w:t>
            </w:r>
          </w:p>
        </w:tc>
        <w:tc>
          <w:tcPr>
            <w:tcW w:w="774" w:type="pct"/>
            <w:tcBorders>
              <w:top w:val="single" w:sz="4" w:space="0" w:color="auto"/>
              <w:left w:val="single" w:sz="4" w:space="0" w:color="auto"/>
              <w:bottom w:val="single" w:sz="4" w:space="0" w:color="auto"/>
              <w:right w:val="single" w:sz="4" w:space="0" w:color="auto"/>
            </w:tcBorders>
            <w:noWrap/>
            <w:vAlign w:val="center"/>
            <w:hideMark/>
          </w:tcPr>
          <w:p w:rsidR="007D109A" w:rsidRPr="009E27A4" w:rsidP="009E27A4" w14:paraId="4A7793C4" w14:textId="2AA91BE6">
            <w:pPr>
              <w:pStyle w:val="RTableTextAbt"/>
            </w:pPr>
            <w:r w:rsidRPr="009E27A4">
              <w:t xml:space="preserve">$802,854 </w:t>
            </w:r>
          </w:p>
        </w:tc>
        <w:tc>
          <w:tcPr>
            <w:tcW w:w="774" w:type="pct"/>
            <w:tcBorders>
              <w:top w:val="single" w:sz="4" w:space="0" w:color="auto"/>
              <w:left w:val="single" w:sz="4" w:space="0" w:color="auto"/>
              <w:bottom w:val="single" w:sz="4" w:space="0" w:color="auto"/>
              <w:right w:val="single" w:sz="4" w:space="0" w:color="auto"/>
            </w:tcBorders>
            <w:noWrap/>
            <w:vAlign w:val="center"/>
            <w:hideMark/>
          </w:tcPr>
          <w:p w:rsidR="007D109A" w:rsidRPr="009E27A4" w:rsidP="009E27A4" w14:paraId="686CADFA" w14:textId="518817FE">
            <w:pPr>
              <w:pStyle w:val="RTableTextAbt"/>
            </w:pPr>
            <w:r w:rsidRPr="009E27A4">
              <w:t xml:space="preserve">$802,854 </w:t>
            </w:r>
          </w:p>
        </w:tc>
        <w:tc>
          <w:tcPr>
            <w:tcW w:w="774" w:type="pct"/>
            <w:tcBorders>
              <w:top w:val="single" w:sz="4" w:space="0" w:color="auto"/>
              <w:left w:val="single" w:sz="4" w:space="0" w:color="auto"/>
              <w:bottom w:val="single" w:sz="4" w:space="0" w:color="auto"/>
              <w:right w:val="single" w:sz="4" w:space="0" w:color="auto"/>
            </w:tcBorders>
            <w:noWrap/>
            <w:vAlign w:val="center"/>
            <w:hideMark/>
          </w:tcPr>
          <w:p w:rsidR="007D109A" w:rsidRPr="009E27A4" w:rsidP="009E27A4" w14:paraId="2C5B3F9D" w14:textId="0DCAD8E7">
            <w:pPr>
              <w:pStyle w:val="RTableTextAbt"/>
            </w:pPr>
            <w:r w:rsidRPr="009E27A4">
              <w:t xml:space="preserve">$806,412 </w:t>
            </w:r>
          </w:p>
        </w:tc>
        <w:tc>
          <w:tcPr>
            <w:tcW w:w="774" w:type="pct"/>
            <w:tcBorders>
              <w:top w:val="single" w:sz="4" w:space="0" w:color="auto"/>
              <w:left w:val="single" w:sz="4" w:space="0" w:color="auto"/>
              <w:bottom w:val="single" w:sz="4" w:space="0" w:color="auto"/>
              <w:right w:val="single" w:sz="4" w:space="0" w:color="auto"/>
            </w:tcBorders>
            <w:noWrap/>
            <w:vAlign w:val="center"/>
            <w:hideMark/>
          </w:tcPr>
          <w:p w:rsidR="007D109A" w:rsidRPr="009E27A4" w:rsidP="009E27A4" w14:paraId="43A4442D" w14:textId="4633A0C6">
            <w:pPr>
              <w:pStyle w:val="RTableTextAbt"/>
            </w:pPr>
            <w:r w:rsidRPr="009E27A4">
              <w:t xml:space="preserve">$806,412 </w:t>
            </w:r>
          </w:p>
        </w:tc>
      </w:tr>
      <w:tr w14:paraId="1D84C5BC" w14:textId="77777777" w:rsidTr="00BD3D2B">
        <w:tblPrEx>
          <w:tblW w:w="5000" w:type="pct"/>
          <w:tblLayout w:type="fixed"/>
          <w:tblCellMar>
            <w:left w:w="58" w:type="dxa"/>
            <w:right w:w="58" w:type="dxa"/>
          </w:tblCellMar>
          <w:tblLook w:val="04A0"/>
        </w:tblPrEx>
        <w:trPr>
          <w:trHeight w:val="280"/>
        </w:trPr>
        <w:tc>
          <w:tcPr>
            <w:tcW w:w="1442" w:type="pct"/>
            <w:tcBorders>
              <w:top w:val="single" w:sz="4" w:space="0" w:color="auto"/>
              <w:left w:val="single" w:sz="4" w:space="0" w:color="auto"/>
              <w:bottom w:val="single" w:sz="4" w:space="0" w:color="auto"/>
              <w:right w:val="single" w:sz="4" w:space="0" w:color="auto"/>
            </w:tcBorders>
            <w:hideMark/>
          </w:tcPr>
          <w:p w:rsidR="007D109A" w:rsidRPr="007B6745" w:rsidP="007D109A" w14:paraId="7523DF4F" w14:textId="77777777">
            <w:pPr>
              <w:pStyle w:val="LTableTextAbt"/>
              <w:rPr>
                <w:b/>
              </w:rPr>
            </w:pPr>
            <w:r w:rsidRPr="007B6745">
              <w:rPr>
                <w:b/>
              </w:rPr>
              <w:t>Total</w:t>
            </w:r>
          </w:p>
        </w:tc>
        <w:tc>
          <w:tcPr>
            <w:tcW w:w="462" w:type="pct"/>
            <w:tcBorders>
              <w:top w:val="single" w:sz="4" w:space="0" w:color="auto"/>
              <w:left w:val="single" w:sz="4" w:space="0" w:color="auto"/>
              <w:bottom w:val="single" w:sz="4" w:space="0" w:color="auto"/>
              <w:right w:val="single" w:sz="4" w:space="0" w:color="auto"/>
            </w:tcBorders>
            <w:vAlign w:val="center"/>
            <w:hideMark/>
          </w:tcPr>
          <w:p w:rsidR="007D109A" w:rsidRPr="009E27A4" w:rsidP="009E27A4" w14:paraId="7C3ACFC8" w14:textId="1D244416">
            <w:pPr>
              <w:pStyle w:val="RTableTextAbt"/>
              <w:rPr>
                <w:b/>
                <w:bCs w:val="0"/>
              </w:rPr>
            </w:pPr>
            <w:r w:rsidRPr="009E27A4">
              <w:rPr>
                <w:b/>
                <w:bCs w:val="0"/>
              </w:rPr>
              <w:t xml:space="preserve">$13,046 </w:t>
            </w:r>
          </w:p>
        </w:tc>
        <w:tc>
          <w:tcPr>
            <w:tcW w:w="774" w:type="pct"/>
            <w:tcBorders>
              <w:top w:val="single" w:sz="4" w:space="0" w:color="auto"/>
              <w:left w:val="single" w:sz="4" w:space="0" w:color="auto"/>
              <w:bottom w:val="single" w:sz="4" w:space="0" w:color="auto"/>
              <w:right w:val="single" w:sz="4" w:space="0" w:color="auto"/>
            </w:tcBorders>
            <w:noWrap/>
            <w:vAlign w:val="center"/>
            <w:hideMark/>
          </w:tcPr>
          <w:p w:rsidR="007D109A" w:rsidRPr="009E27A4" w:rsidP="009E27A4" w14:paraId="7742360C" w14:textId="60B4FF76">
            <w:pPr>
              <w:pStyle w:val="RTableTextAbt"/>
              <w:rPr>
                <w:b/>
                <w:bCs w:val="0"/>
              </w:rPr>
            </w:pPr>
            <w:r w:rsidRPr="009E27A4">
              <w:rPr>
                <w:b/>
                <w:bCs w:val="0"/>
              </w:rPr>
              <w:t xml:space="preserve">$1,979,687 </w:t>
            </w:r>
          </w:p>
        </w:tc>
        <w:tc>
          <w:tcPr>
            <w:tcW w:w="774" w:type="pct"/>
            <w:tcBorders>
              <w:top w:val="single" w:sz="4" w:space="0" w:color="auto"/>
              <w:left w:val="single" w:sz="4" w:space="0" w:color="auto"/>
              <w:bottom w:val="single" w:sz="4" w:space="0" w:color="auto"/>
              <w:right w:val="single" w:sz="4" w:space="0" w:color="auto"/>
            </w:tcBorders>
            <w:noWrap/>
            <w:vAlign w:val="center"/>
            <w:hideMark/>
          </w:tcPr>
          <w:p w:rsidR="007D109A" w:rsidRPr="009E27A4" w:rsidP="009E27A4" w14:paraId="42205715" w14:textId="04A02CB6">
            <w:pPr>
              <w:pStyle w:val="RTableTextAbt"/>
              <w:rPr>
                <w:b/>
                <w:bCs w:val="0"/>
              </w:rPr>
            </w:pPr>
            <w:r w:rsidRPr="009E27A4">
              <w:rPr>
                <w:b/>
                <w:bCs w:val="0"/>
              </w:rPr>
              <w:t xml:space="preserve">$2,048,307 </w:t>
            </w:r>
          </w:p>
        </w:tc>
        <w:tc>
          <w:tcPr>
            <w:tcW w:w="774" w:type="pct"/>
            <w:tcBorders>
              <w:top w:val="single" w:sz="4" w:space="0" w:color="auto"/>
              <w:left w:val="single" w:sz="4" w:space="0" w:color="auto"/>
              <w:bottom w:val="single" w:sz="4" w:space="0" w:color="auto"/>
              <w:right w:val="single" w:sz="4" w:space="0" w:color="auto"/>
            </w:tcBorders>
            <w:noWrap/>
            <w:vAlign w:val="center"/>
            <w:hideMark/>
          </w:tcPr>
          <w:p w:rsidR="007D109A" w:rsidRPr="009E27A4" w:rsidP="009E27A4" w14:paraId="6DB989AE" w14:textId="312996BC">
            <w:pPr>
              <w:pStyle w:val="RTableTextAbt"/>
              <w:rPr>
                <w:b/>
                <w:bCs w:val="0"/>
              </w:rPr>
            </w:pPr>
            <w:r w:rsidRPr="009E27A4">
              <w:rPr>
                <w:b/>
                <w:bCs w:val="0"/>
              </w:rPr>
              <w:t xml:space="preserve">$1,992,733 </w:t>
            </w:r>
          </w:p>
        </w:tc>
        <w:tc>
          <w:tcPr>
            <w:tcW w:w="774" w:type="pct"/>
            <w:tcBorders>
              <w:top w:val="single" w:sz="4" w:space="0" w:color="auto"/>
              <w:left w:val="single" w:sz="4" w:space="0" w:color="auto"/>
              <w:bottom w:val="single" w:sz="4" w:space="0" w:color="auto"/>
              <w:right w:val="single" w:sz="4" w:space="0" w:color="auto"/>
            </w:tcBorders>
            <w:noWrap/>
            <w:vAlign w:val="center"/>
            <w:hideMark/>
          </w:tcPr>
          <w:p w:rsidR="007D109A" w:rsidRPr="009E27A4" w:rsidP="009E27A4" w14:paraId="01E3DC3D" w14:textId="11C0C6FA">
            <w:pPr>
              <w:pStyle w:val="RTableTextAbt"/>
              <w:rPr>
                <w:b/>
                <w:bCs w:val="0"/>
              </w:rPr>
            </w:pPr>
            <w:r w:rsidRPr="009E27A4">
              <w:rPr>
                <w:b/>
                <w:bCs w:val="0"/>
              </w:rPr>
              <w:t xml:space="preserve">$2,061,353 </w:t>
            </w:r>
          </w:p>
        </w:tc>
      </w:tr>
      <w:tr w14:paraId="6C6E4689" w14:textId="77777777" w:rsidTr="00BD3D2B">
        <w:tblPrEx>
          <w:tblW w:w="5000" w:type="pct"/>
          <w:tblLayout w:type="fixed"/>
          <w:tblCellMar>
            <w:left w:w="58" w:type="dxa"/>
            <w:right w:w="58" w:type="dxa"/>
          </w:tblCellMar>
          <w:tblLook w:val="04A0"/>
        </w:tblPrEx>
        <w:trPr>
          <w:trHeight w:val="280"/>
        </w:trPr>
        <w:tc>
          <w:tcPr>
            <w:tcW w:w="5000" w:type="pct"/>
            <w:gridSpan w:val="6"/>
            <w:tcBorders>
              <w:top w:val="single" w:sz="4" w:space="0" w:color="auto"/>
              <w:left w:val="single" w:sz="4" w:space="0" w:color="auto"/>
              <w:bottom w:val="single" w:sz="4" w:space="0" w:color="auto"/>
              <w:right w:val="single" w:sz="4" w:space="0" w:color="auto"/>
            </w:tcBorders>
            <w:hideMark/>
          </w:tcPr>
          <w:p w:rsidR="007B6745" w:rsidRPr="007B6745" w:rsidP="00F760A7" w14:paraId="09A29246" w14:textId="77777777">
            <w:pPr>
              <w:pStyle w:val="LTableTextAbt"/>
            </w:pPr>
            <w:r w:rsidRPr="007B6745">
              <w:t>PPE = personal protective equipment</w:t>
            </w:r>
          </w:p>
          <w:p w:rsidR="007B6745" w:rsidRPr="007B6745" w:rsidP="00F760A7" w14:paraId="3CD22ACC" w14:textId="12F1E465">
            <w:pPr>
              <w:pStyle w:val="LTableTextAbt"/>
            </w:pPr>
            <w:r w:rsidRPr="007B6745">
              <w:t>a. Number of facilities (</w:t>
            </w:r>
            <w:r w:rsidRPr="007B6745">
              <w:fldChar w:fldCharType="begin" w:fldLock="1"/>
            </w:r>
            <w:r w:rsidRPr="007B6745">
              <w:instrText xml:space="preserve"> REF _Ref180054057 </w:instrText>
            </w:r>
            <w:r w:rsidR="00F760A7">
              <w:instrText xml:space="preserve"> \* MERGEFORMAT </w:instrText>
            </w:r>
            <w:r w:rsidRPr="007B6745">
              <w:fldChar w:fldCharType="separate"/>
            </w:r>
            <w:r w:rsidRPr="007B6745" w:rsidR="00735BBC">
              <w:t xml:space="preserve">Table </w:t>
            </w:r>
            <w:r w:rsidR="00735BBC">
              <w:t>4</w:t>
            </w:r>
            <w:r w:rsidR="00735BBC">
              <w:noBreakHyphen/>
              <w:t>3</w:t>
            </w:r>
            <w:r w:rsidRPr="007B6745">
              <w:fldChar w:fldCharType="end"/>
            </w:r>
            <w:r w:rsidRPr="007B6745">
              <w:t>) times $593, the one-time costs to develop a PPE program (</w:t>
            </w:r>
            <w:hyperlink w:anchor="_ENREF_1" w:tooltip="Abt Global, 2024 #1" w:history="1">
              <w:r w:rsidR="003D6084">
                <w:fldChar w:fldCharType="begin" w:fldLock="1"/>
              </w:r>
              <w:r w:rsidR="003D6084">
                <w:instrText xml:space="preserve"> ADDIN EN.CITE &lt;EndNote&gt;&lt;Cite&gt;&lt;Author&gt;Abt Global&lt;/Author&gt;&lt;Year&gt;2024&lt;/Year&gt;&lt;RecNum&gt;1&lt;/RecNum&gt;&lt;DisplayText&gt;Abt Global 2024&lt;/DisplayText&gt;&lt;record&gt;&lt;rec-number&gt;1&lt;/rec-number&gt;&lt;foreign-keys&gt;&lt;key app="EN" db-id="2apzr05radv9fjet2w6xxwdlz5e9vwfxredw" timestamp="1730757315"&gt;1&lt;/key&gt;&lt;/foreign-keys&gt;&lt;ref-type name="Report"&gt;27&lt;/ref-type&gt;&lt;contributors&gt;&lt;authors&gt;&lt;author&gt;Abt Global,&lt;/author&gt;&lt;/authors&gt;&lt;/contributors&gt;&lt;titles&gt;&lt;title&gt;Estimated Costs for Respirator PPE for TSCA Risk Management Economic Analyses &lt;/title&gt;&lt;/titles&gt;&lt;dates&gt;&lt;year&gt;2024&lt;/year&gt;&lt;/dates&gt;&lt;publisher&gt;Submitted to U.S. EPA Economic and Policy Analysis Branch&lt;/publisher&gt;&lt;urls&gt;&lt;/urls&gt;&lt;/record&gt;&lt;/Cite&gt;&lt;/EndNote&gt;</w:instrText>
              </w:r>
              <w:r w:rsidR="003D6084">
                <w:fldChar w:fldCharType="separate"/>
              </w:r>
              <w:r w:rsidR="003D6084">
                <w:rPr>
                  <w:noProof/>
                </w:rPr>
                <w:t>Abt Global 2024</w:t>
              </w:r>
              <w:r w:rsidR="003D6084">
                <w:fldChar w:fldCharType="end"/>
              </w:r>
            </w:hyperlink>
            <w:r w:rsidRPr="007B6745">
              <w:t>)</w:t>
            </w:r>
          </w:p>
          <w:p w:rsidR="007B6745" w:rsidRPr="007B6745" w:rsidP="00F760A7" w14:paraId="65C0A3C2" w14:textId="2D56CDA8">
            <w:pPr>
              <w:pStyle w:val="LTableTextAbt"/>
            </w:pPr>
            <w:r w:rsidRPr="007B6745">
              <w:t>b. Number of exposed workers (</w:t>
            </w:r>
            <w:r w:rsidRPr="007B6745">
              <w:fldChar w:fldCharType="begin" w:fldLock="1"/>
            </w:r>
            <w:r w:rsidRPr="007B6745">
              <w:instrText xml:space="preserve"> REF _Ref180054057 </w:instrText>
            </w:r>
            <w:r w:rsidR="00F760A7">
              <w:instrText xml:space="preserve"> \* MERGEFORMAT </w:instrText>
            </w:r>
            <w:r w:rsidRPr="007B6745">
              <w:fldChar w:fldCharType="separate"/>
            </w:r>
            <w:r w:rsidRPr="007B6745" w:rsidR="00735BBC">
              <w:t xml:space="preserve">Table </w:t>
            </w:r>
            <w:r w:rsidR="00735BBC">
              <w:t>4</w:t>
            </w:r>
            <w:r w:rsidR="00735BBC">
              <w:noBreakHyphen/>
              <w:t>3</w:t>
            </w:r>
            <w:r w:rsidRPr="007B6745">
              <w:fldChar w:fldCharType="end"/>
            </w:r>
            <w:r w:rsidRPr="007B6745">
              <w:t>) times $3,431, the average one-time cost for respirators with APF50 and higher (</w:t>
            </w:r>
            <w:r w:rsidRPr="007B6745">
              <w:fldChar w:fldCharType="begin" w:fldLock="1"/>
            </w:r>
            <w:r w:rsidRPr="007B6745">
              <w:instrText xml:space="preserve"> REF _Ref177570727 </w:instrText>
            </w:r>
            <w:r w:rsidR="00F760A7">
              <w:instrText xml:space="preserve"> \* MERGEFORMAT </w:instrText>
            </w:r>
            <w:r w:rsidRPr="007B6745">
              <w:fldChar w:fldCharType="separate"/>
            </w:r>
            <w:r w:rsidRPr="007B6745" w:rsidR="00735BBC">
              <w:t xml:space="preserve">Table </w:t>
            </w:r>
            <w:r w:rsidR="00735BBC">
              <w:t>4</w:t>
            </w:r>
            <w:r w:rsidR="00735BBC">
              <w:noBreakHyphen/>
              <w:t>6</w:t>
            </w:r>
            <w:r w:rsidRPr="007B6745">
              <w:fldChar w:fldCharType="end"/>
            </w:r>
            <w:r w:rsidRPr="007B6745">
              <w:t>)</w:t>
            </w:r>
          </w:p>
          <w:p w:rsidR="007B6745" w:rsidRPr="007B6745" w:rsidP="00F760A7" w14:paraId="2A57268A" w14:textId="77777777">
            <w:pPr>
              <w:pStyle w:val="LTableTextAbt"/>
            </w:pPr>
            <w:r w:rsidRPr="007B6745">
              <w:t>c. Sum of program costs and respirator costs</w:t>
            </w:r>
          </w:p>
        </w:tc>
      </w:tr>
    </w:tbl>
    <w:p w:rsidR="007B6745" w:rsidRPr="007B6745" w:rsidP="00832749" w14:paraId="330CACE7" w14:textId="5D72E6A7">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3061"/>
        <w:gridCol w:w="988"/>
        <w:gridCol w:w="1441"/>
        <w:gridCol w:w="968"/>
        <w:gridCol w:w="968"/>
        <w:gridCol w:w="968"/>
        <w:gridCol w:w="966"/>
      </w:tblGrid>
      <w:tr w14:paraId="4C6A1756" w14:textId="77777777" w:rsidTr="007C39E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Ex>
        <w:trPr>
          <w:trHeight w:val="189"/>
          <w:tblHeader/>
        </w:trPr>
        <w:tc>
          <w:tcPr>
            <w:tcW w:w="5000" w:type="pct"/>
            <w:gridSpan w:val="7"/>
            <w:tcBorders>
              <w:top w:val="nil"/>
              <w:left w:val="nil"/>
              <w:right w:val="nil"/>
            </w:tcBorders>
            <w:shd w:val="clear" w:color="auto" w:fill="auto"/>
            <w:vAlign w:val="center"/>
          </w:tcPr>
          <w:p w:rsidR="00CC2A6F" w:rsidRPr="00026204" w:rsidP="00026204" w14:paraId="6D5AB8A2" w14:textId="33FC93F9">
            <w:pPr>
              <w:pStyle w:val="TableTitleA"/>
            </w:pPr>
            <w:bookmarkStart w:id="204" w:name="_Ref177571005"/>
            <w:bookmarkStart w:id="205" w:name="_Toc184299568"/>
            <w:r w:rsidRPr="00026204">
              <w:t xml:space="preserve">Table </w:t>
            </w:r>
            <w:r>
              <w:fldChar w:fldCharType="begin" w:fldLock="1"/>
            </w:r>
            <w:r>
              <w:instrText>STYLEREF 1 \s</w:instrText>
            </w:r>
            <w:r>
              <w:fldChar w:fldCharType="separate"/>
            </w:r>
            <w:r w:rsidR="00735BBC">
              <w:rPr>
                <w:noProof/>
              </w:rPr>
              <w:t>4</w:t>
            </w:r>
            <w:r>
              <w:fldChar w:fldCharType="end"/>
            </w:r>
            <w:r w:rsidR="000A1542">
              <w:noBreakHyphen/>
            </w:r>
            <w:r>
              <w:fldChar w:fldCharType="begin" w:fldLock="1"/>
            </w:r>
            <w:r>
              <w:instrText>SEQ Table \* ARABIC \s 1</w:instrText>
            </w:r>
            <w:r>
              <w:fldChar w:fldCharType="separate"/>
            </w:r>
            <w:r w:rsidR="00735BBC">
              <w:rPr>
                <w:noProof/>
              </w:rPr>
              <w:t>12</w:t>
            </w:r>
            <w:r>
              <w:fldChar w:fldCharType="end"/>
            </w:r>
            <w:bookmarkEnd w:id="204"/>
            <w:r w:rsidRPr="00026204">
              <w:t>: Proposed Option Annual Recurring PPE Costs (2023$)</w:t>
            </w:r>
            <w:bookmarkEnd w:id="205"/>
          </w:p>
        </w:tc>
      </w:tr>
      <w:tr w14:paraId="27C903D2" w14:textId="77777777" w:rsidTr="007C39E7">
        <w:tblPrEx>
          <w:tblW w:w="5000" w:type="pct"/>
          <w:tblLayout w:type="fixed"/>
          <w:tblCellMar>
            <w:left w:w="58" w:type="dxa"/>
            <w:right w:w="58" w:type="dxa"/>
          </w:tblCellMar>
          <w:tblLook w:val="04A0"/>
        </w:tblPrEx>
        <w:trPr>
          <w:trHeight w:val="280"/>
          <w:tblHeader/>
        </w:trPr>
        <w:tc>
          <w:tcPr>
            <w:tcW w:w="1635"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0851E7B2" w14:textId="77777777">
            <w:pPr>
              <w:pStyle w:val="TableSubtitle"/>
            </w:pPr>
            <w:r w:rsidRPr="007B6745">
              <w:t>Use category</w:t>
            </w:r>
          </w:p>
        </w:tc>
        <w:tc>
          <w:tcPr>
            <w:tcW w:w="528"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49325FF8" w14:textId="77777777">
            <w:pPr>
              <w:pStyle w:val="TableSubtitle"/>
            </w:pPr>
            <w:r w:rsidRPr="007B6745">
              <w:t>Program costs</w:t>
            </w:r>
            <w:r w:rsidRPr="007B6745">
              <w:rPr>
                <w:vertAlign w:val="superscript"/>
              </w:rPr>
              <w:t xml:space="preserve"> a</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2C9891CD" w14:textId="77777777">
            <w:pPr>
              <w:pStyle w:val="TableSubtitle"/>
              <w:rPr>
                <w:vertAlign w:val="superscript"/>
              </w:rPr>
            </w:pPr>
            <w:r w:rsidRPr="007B6745">
              <w:t xml:space="preserve">Recordkeeping costs </w:t>
            </w:r>
            <w:r w:rsidRPr="007B6745">
              <w:rPr>
                <w:vertAlign w:val="superscript"/>
              </w:rPr>
              <w:t>b</w:t>
            </w:r>
          </w:p>
        </w:tc>
        <w:tc>
          <w:tcPr>
            <w:tcW w:w="1034"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741E1DBE" w14:textId="77777777">
            <w:pPr>
              <w:pStyle w:val="TableSubtitle"/>
            </w:pPr>
            <w:r w:rsidRPr="007B6745">
              <w:t>Respirator costs</w:t>
            </w:r>
            <w:r w:rsidRPr="007B6745">
              <w:rPr>
                <w:vertAlign w:val="superscript"/>
              </w:rPr>
              <w:t xml:space="preserve"> c</w:t>
            </w:r>
          </w:p>
        </w:tc>
        <w:tc>
          <w:tcPr>
            <w:tcW w:w="1034"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4267EBAC" w14:textId="77777777">
            <w:pPr>
              <w:pStyle w:val="TableSubtitle"/>
            </w:pPr>
            <w:r w:rsidRPr="007B6745">
              <w:t>Total costs</w:t>
            </w:r>
            <w:r w:rsidRPr="007B6745">
              <w:rPr>
                <w:vertAlign w:val="superscript"/>
              </w:rPr>
              <w:t xml:space="preserve"> d</w:t>
            </w:r>
          </w:p>
        </w:tc>
      </w:tr>
      <w:tr w14:paraId="11823B7F" w14:textId="77777777" w:rsidTr="007C39E7">
        <w:tblPrEx>
          <w:tblW w:w="5000" w:type="pct"/>
          <w:tblLayout w:type="fixed"/>
          <w:tblCellMar>
            <w:left w:w="58" w:type="dxa"/>
            <w:right w:w="58" w:type="dxa"/>
          </w:tblCellMar>
          <w:tblLook w:val="04A0"/>
        </w:tblPrEx>
        <w:trPr>
          <w:trHeight w:val="300"/>
          <w:tblHeader/>
        </w:trPr>
        <w:tc>
          <w:tcPr>
            <w:tcW w:w="1635" w:type="pct"/>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65A45D10" w14:textId="77777777">
            <w:pPr>
              <w:pStyle w:val="TableSubtitle"/>
            </w:pPr>
          </w:p>
        </w:tc>
        <w:tc>
          <w:tcPr>
            <w:tcW w:w="528" w:type="pct"/>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6D931D7B" w14:textId="77777777">
            <w:pPr>
              <w:pStyle w:val="TableSubtitle"/>
            </w:pPr>
          </w:p>
        </w:tc>
        <w:tc>
          <w:tcPr>
            <w:tcW w:w="770" w:type="pct"/>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3FDEDC63" w14:textId="77777777">
            <w:pPr>
              <w:pStyle w:val="TableSubtitle"/>
              <w:rPr>
                <w:vertAlign w:val="superscript"/>
              </w:rPr>
            </w:pPr>
          </w:p>
        </w:tc>
        <w:tc>
          <w:tcPr>
            <w:tcW w:w="517"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63B9A099" w14:textId="77777777">
            <w:pPr>
              <w:pStyle w:val="TableSubtitle"/>
            </w:pPr>
            <w:r w:rsidRPr="007B6745">
              <w:t>Low</w:t>
            </w:r>
          </w:p>
        </w:tc>
        <w:tc>
          <w:tcPr>
            <w:tcW w:w="517"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6352F73B" w14:textId="77777777">
            <w:pPr>
              <w:pStyle w:val="TableSubtitle"/>
            </w:pPr>
            <w:r w:rsidRPr="007B6745">
              <w:t>High</w:t>
            </w:r>
          </w:p>
        </w:tc>
        <w:tc>
          <w:tcPr>
            <w:tcW w:w="517"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00E3709F" w14:textId="77777777">
            <w:pPr>
              <w:pStyle w:val="TableSubtitle"/>
            </w:pPr>
            <w:r w:rsidRPr="007B6745">
              <w:t>Low</w:t>
            </w:r>
          </w:p>
        </w:tc>
        <w:tc>
          <w:tcPr>
            <w:tcW w:w="517"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3064439A" w14:textId="77777777">
            <w:pPr>
              <w:pStyle w:val="TableSubtitle"/>
            </w:pPr>
            <w:r w:rsidRPr="007B6745">
              <w:t>High</w:t>
            </w:r>
          </w:p>
        </w:tc>
      </w:tr>
      <w:tr w14:paraId="34FCA10E" w14:textId="77777777" w:rsidTr="007C39E7">
        <w:tblPrEx>
          <w:tblW w:w="5000" w:type="pct"/>
          <w:tblLayout w:type="fixed"/>
          <w:tblCellMar>
            <w:left w:w="58" w:type="dxa"/>
            <w:right w:w="58" w:type="dxa"/>
          </w:tblCellMar>
          <w:tblLook w:val="04A0"/>
        </w:tblPrEx>
        <w:trPr>
          <w:trHeight w:val="260"/>
        </w:trPr>
        <w:tc>
          <w:tcPr>
            <w:tcW w:w="1635"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4C31403B" w14:textId="77777777">
            <w:pPr>
              <w:pStyle w:val="LTableTextAbt"/>
            </w:pPr>
            <w:r w:rsidRPr="007B6745">
              <w:t>PV29 manufacturing and intermediate processing</w:t>
            </w:r>
          </w:p>
        </w:tc>
        <w:tc>
          <w:tcPr>
            <w:tcW w:w="528" w:type="pct"/>
            <w:tcBorders>
              <w:top w:val="single" w:sz="4" w:space="0" w:color="auto"/>
              <w:left w:val="single" w:sz="4" w:space="0" w:color="auto"/>
              <w:bottom w:val="single" w:sz="4" w:space="0" w:color="auto"/>
              <w:right w:val="single" w:sz="4" w:space="0" w:color="auto"/>
            </w:tcBorders>
            <w:hideMark/>
          </w:tcPr>
          <w:p w:rsidR="007D109A" w:rsidRPr="007B6745" w:rsidP="007D109A" w14:paraId="1879E566" w14:textId="370DF4DC">
            <w:pPr>
              <w:pStyle w:val="RTableTextAbt"/>
            </w:pPr>
            <w:r w:rsidRPr="001F782E">
              <w:t xml:space="preserve">$148 </w:t>
            </w:r>
          </w:p>
        </w:tc>
        <w:tc>
          <w:tcPr>
            <w:tcW w:w="770" w:type="pct"/>
            <w:tcBorders>
              <w:top w:val="single" w:sz="4" w:space="0" w:color="auto"/>
              <w:left w:val="single" w:sz="4" w:space="0" w:color="auto"/>
              <w:bottom w:val="single" w:sz="4" w:space="0" w:color="auto"/>
              <w:right w:val="single" w:sz="4" w:space="0" w:color="auto"/>
            </w:tcBorders>
            <w:hideMark/>
          </w:tcPr>
          <w:p w:rsidR="007D109A" w:rsidRPr="007B6745" w:rsidP="007D109A" w14:paraId="176240A4" w14:textId="0B475ADF">
            <w:pPr>
              <w:pStyle w:val="RTableTextAbt"/>
            </w:pPr>
            <w:r w:rsidRPr="001F782E">
              <w:t xml:space="preserve">$186 </w:t>
            </w:r>
          </w:p>
        </w:tc>
        <w:tc>
          <w:tcPr>
            <w:tcW w:w="517"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2F568B1A" w14:textId="6BAD2739">
            <w:pPr>
              <w:pStyle w:val="RTableTextAbt"/>
            </w:pPr>
            <w:r w:rsidRPr="001F782E">
              <w:t xml:space="preserve">$110,780 </w:t>
            </w:r>
          </w:p>
        </w:tc>
        <w:tc>
          <w:tcPr>
            <w:tcW w:w="517"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26232EC7" w14:textId="028EBB63">
            <w:pPr>
              <w:pStyle w:val="RTableTextAbt"/>
            </w:pPr>
            <w:r w:rsidRPr="001F782E">
              <w:t xml:space="preserve">$148,980 </w:t>
            </w:r>
          </w:p>
        </w:tc>
        <w:tc>
          <w:tcPr>
            <w:tcW w:w="517"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2EC642F7" w14:textId="591957D0">
            <w:pPr>
              <w:pStyle w:val="RTableTextAbt"/>
            </w:pPr>
            <w:r w:rsidRPr="001F782E">
              <w:t xml:space="preserve">$111,114 </w:t>
            </w:r>
          </w:p>
        </w:tc>
        <w:tc>
          <w:tcPr>
            <w:tcW w:w="517"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0703B9D4" w14:textId="20C66339">
            <w:pPr>
              <w:pStyle w:val="RTableTextAbt"/>
            </w:pPr>
            <w:r w:rsidRPr="001F782E">
              <w:t xml:space="preserve">$149,314 </w:t>
            </w:r>
          </w:p>
        </w:tc>
      </w:tr>
      <w:tr w14:paraId="78E031EB" w14:textId="77777777" w:rsidTr="007C39E7">
        <w:tblPrEx>
          <w:tblW w:w="5000" w:type="pct"/>
          <w:tblLayout w:type="fixed"/>
          <w:tblCellMar>
            <w:left w:w="58" w:type="dxa"/>
            <w:right w:w="58" w:type="dxa"/>
          </w:tblCellMar>
          <w:tblLook w:val="04A0"/>
        </w:tblPrEx>
        <w:trPr>
          <w:trHeight w:val="260"/>
        </w:trPr>
        <w:tc>
          <w:tcPr>
            <w:tcW w:w="1635" w:type="pct"/>
            <w:tcBorders>
              <w:top w:val="single" w:sz="4" w:space="0" w:color="auto"/>
              <w:left w:val="single" w:sz="4" w:space="0" w:color="auto"/>
              <w:bottom w:val="single" w:sz="4" w:space="0" w:color="auto"/>
              <w:right w:val="single" w:sz="4" w:space="0" w:color="auto"/>
            </w:tcBorders>
            <w:noWrap/>
          </w:tcPr>
          <w:p w:rsidR="007D109A" w:rsidRPr="007B6745" w:rsidP="007D109A" w14:paraId="7A1D2C4C" w14:textId="0020E71C">
            <w:pPr>
              <w:pStyle w:val="LTableTextAbt"/>
            </w:pPr>
            <w:r>
              <w:t>PV29 importing</w:t>
            </w:r>
          </w:p>
        </w:tc>
        <w:tc>
          <w:tcPr>
            <w:tcW w:w="528" w:type="pct"/>
            <w:tcBorders>
              <w:top w:val="single" w:sz="4" w:space="0" w:color="auto"/>
              <w:left w:val="single" w:sz="4" w:space="0" w:color="auto"/>
              <w:bottom w:val="single" w:sz="4" w:space="0" w:color="auto"/>
              <w:right w:val="single" w:sz="4" w:space="0" w:color="auto"/>
            </w:tcBorders>
          </w:tcPr>
          <w:p w:rsidR="007D109A" w:rsidRPr="007B6745" w:rsidP="007D109A" w14:paraId="4C3966C8" w14:textId="325AC2F4">
            <w:pPr>
              <w:pStyle w:val="RTableTextAbt"/>
              <w:rPr>
                <w:lang w:val="en-GB"/>
              </w:rPr>
            </w:pPr>
            <w:r w:rsidRPr="001F782E">
              <w:t xml:space="preserve">$148 </w:t>
            </w:r>
          </w:p>
        </w:tc>
        <w:tc>
          <w:tcPr>
            <w:tcW w:w="770" w:type="pct"/>
            <w:tcBorders>
              <w:top w:val="single" w:sz="4" w:space="0" w:color="auto"/>
              <w:left w:val="single" w:sz="4" w:space="0" w:color="auto"/>
              <w:bottom w:val="single" w:sz="4" w:space="0" w:color="auto"/>
              <w:right w:val="single" w:sz="4" w:space="0" w:color="auto"/>
            </w:tcBorders>
          </w:tcPr>
          <w:p w:rsidR="007D109A" w:rsidRPr="007B6745" w:rsidP="007D109A" w14:paraId="5128D435" w14:textId="5EF5C888">
            <w:pPr>
              <w:pStyle w:val="RTableTextAbt"/>
              <w:rPr>
                <w:lang w:val="en-GB"/>
              </w:rPr>
            </w:pPr>
            <w:r w:rsidRPr="001F782E">
              <w:t xml:space="preserve">$186 </w:t>
            </w:r>
          </w:p>
        </w:tc>
        <w:tc>
          <w:tcPr>
            <w:tcW w:w="517" w:type="pct"/>
            <w:tcBorders>
              <w:top w:val="single" w:sz="4" w:space="0" w:color="auto"/>
              <w:left w:val="single" w:sz="4" w:space="0" w:color="auto"/>
              <w:bottom w:val="single" w:sz="4" w:space="0" w:color="auto"/>
              <w:right w:val="single" w:sz="4" w:space="0" w:color="auto"/>
            </w:tcBorders>
            <w:noWrap/>
          </w:tcPr>
          <w:p w:rsidR="007D109A" w:rsidRPr="007B6745" w:rsidP="007D109A" w14:paraId="2661CF05" w14:textId="161AE499">
            <w:pPr>
              <w:pStyle w:val="RTableTextAbt"/>
              <w:rPr>
                <w:lang w:val="en-GB"/>
              </w:rPr>
            </w:pPr>
            <w:r w:rsidRPr="001F782E">
              <w:t xml:space="preserve">$36,290 </w:t>
            </w:r>
          </w:p>
        </w:tc>
        <w:tc>
          <w:tcPr>
            <w:tcW w:w="517" w:type="pct"/>
            <w:tcBorders>
              <w:top w:val="single" w:sz="4" w:space="0" w:color="auto"/>
              <w:left w:val="single" w:sz="4" w:space="0" w:color="auto"/>
              <w:bottom w:val="single" w:sz="4" w:space="0" w:color="auto"/>
              <w:right w:val="single" w:sz="4" w:space="0" w:color="auto"/>
            </w:tcBorders>
            <w:noWrap/>
          </w:tcPr>
          <w:p w:rsidR="007D109A" w:rsidRPr="007B6745" w:rsidP="007D109A" w14:paraId="114FBD86" w14:textId="20C0773C">
            <w:pPr>
              <w:pStyle w:val="RTableTextAbt"/>
              <w:rPr>
                <w:lang w:val="en-GB"/>
              </w:rPr>
            </w:pPr>
            <w:r w:rsidRPr="001F782E">
              <w:t xml:space="preserve">$36,290 </w:t>
            </w:r>
          </w:p>
        </w:tc>
        <w:tc>
          <w:tcPr>
            <w:tcW w:w="517" w:type="pct"/>
            <w:tcBorders>
              <w:top w:val="single" w:sz="4" w:space="0" w:color="auto"/>
              <w:left w:val="single" w:sz="4" w:space="0" w:color="auto"/>
              <w:bottom w:val="single" w:sz="4" w:space="0" w:color="auto"/>
              <w:right w:val="single" w:sz="4" w:space="0" w:color="auto"/>
            </w:tcBorders>
            <w:noWrap/>
          </w:tcPr>
          <w:p w:rsidR="007D109A" w:rsidRPr="007B6745" w:rsidP="007D109A" w14:paraId="3B2674D4" w14:textId="12AAEE60">
            <w:pPr>
              <w:pStyle w:val="RTableTextAbt"/>
              <w:rPr>
                <w:lang w:val="en-GB"/>
              </w:rPr>
            </w:pPr>
            <w:r w:rsidRPr="001F782E">
              <w:t xml:space="preserve">$36,624 </w:t>
            </w:r>
          </w:p>
        </w:tc>
        <w:tc>
          <w:tcPr>
            <w:tcW w:w="517" w:type="pct"/>
            <w:tcBorders>
              <w:top w:val="single" w:sz="4" w:space="0" w:color="auto"/>
              <w:left w:val="single" w:sz="4" w:space="0" w:color="auto"/>
              <w:bottom w:val="single" w:sz="4" w:space="0" w:color="auto"/>
              <w:right w:val="single" w:sz="4" w:space="0" w:color="auto"/>
            </w:tcBorders>
            <w:noWrap/>
          </w:tcPr>
          <w:p w:rsidR="007D109A" w:rsidRPr="007B6745" w:rsidP="007D109A" w14:paraId="4D5CB6DE" w14:textId="4287877B">
            <w:pPr>
              <w:pStyle w:val="RTableTextAbt"/>
              <w:rPr>
                <w:lang w:val="en-GB"/>
              </w:rPr>
            </w:pPr>
            <w:r w:rsidRPr="001F782E">
              <w:t xml:space="preserve">$36,624 </w:t>
            </w:r>
          </w:p>
        </w:tc>
      </w:tr>
      <w:tr w14:paraId="39EA0E19" w14:textId="77777777" w:rsidTr="007C39E7">
        <w:tblPrEx>
          <w:tblW w:w="5000" w:type="pct"/>
          <w:tblLayout w:type="fixed"/>
          <w:tblCellMar>
            <w:left w:w="58" w:type="dxa"/>
            <w:right w:w="58" w:type="dxa"/>
          </w:tblCellMar>
          <w:tblLook w:val="04A0"/>
        </w:tblPrEx>
        <w:trPr>
          <w:trHeight w:val="260"/>
        </w:trPr>
        <w:tc>
          <w:tcPr>
            <w:tcW w:w="1635"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5ABB61E9" w14:textId="77777777">
            <w:pPr>
              <w:pStyle w:val="LTableTextAbt"/>
            </w:pPr>
            <w:r w:rsidRPr="007B6745">
              <w:t>Processing into automotive paints and coatings</w:t>
            </w:r>
          </w:p>
        </w:tc>
        <w:tc>
          <w:tcPr>
            <w:tcW w:w="528" w:type="pct"/>
            <w:tcBorders>
              <w:top w:val="single" w:sz="4" w:space="0" w:color="auto"/>
              <w:left w:val="single" w:sz="4" w:space="0" w:color="auto"/>
              <w:bottom w:val="single" w:sz="4" w:space="0" w:color="auto"/>
              <w:right w:val="single" w:sz="4" w:space="0" w:color="auto"/>
            </w:tcBorders>
            <w:hideMark/>
          </w:tcPr>
          <w:p w:rsidR="007D109A" w:rsidRPr="007B6745" w:rsidP="007D109A" w14:paraId="61A820F4" w14:textId="708DD996">
            <w:pPr>
              <w:pStyle w:val="RTableTextAbt"/>
            </w:pPr>
            <w:r w:rsidRPr="001F782E">
              <w:t xml:space="preserve">$2,072 </w:t>
            </w:r>
          </w:p>
        </w:tc>
        <w:tc>
          <w:tcPr>
            <w:tcW w:w="770" w:type="pct"/>
            <w:tcBorders>
              <w:top w:val="single" w:sz="4" w:space="0" w:color="auto"/>
              <w:left w:val="single" w:sz="4" w:space="0" w:color="auto"/>
              <w:bottom w:val="single" w:sz="4" w:space="0" w:color="auto"/>
              <w:right w:val="single" w:sz="4" w:space="0" w:color="auto"/>
            </w:tcBorders>
            <w:hideMark/>
          </w:tcPr>
          <w:p w:rsidR="007D109A" w:rsidRPr="007B6745" w:rsidP="007D109A" w14:paraId="0A050D68" w14:textId="3A3D4CA1">
            <w:pPr>
              <w:pStyle w:val="RTableTextAbt"/>
            </w:pPr>
            <w:r w:rsidRPr="001F782E">
              <w:t xml:space="preserve">$2,604 </w:t>
            </w:r>
          </w:p>
        </w:tc>
        <w:tc>
          <w:tcPr>
            <w:tcW w:w="517"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7EDFFD4F" w14:textId="2A861875">
            <w:pPr>
              <w:pStyle w:val="RTableTextAbt"/>
            </w:pPr>
            <w:r w:rsidRPr="001F782E">
              <w:t xml:space="preserve">$508,060 </w:t>
            </w:r>
          </w:p>
        </w:tc>
        <w:tc>
          <w:tcPr>
            <w:tcW w:w="517"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7205B82E" w14:textId="436766DD">
            <w:pPr>
              <w:pStyle w:val="RTableTextAbt"/>
            </w:pPr>
            <w:r w:rsidRPr="001F782E">
              <w:t xml:space="preserve">$508,060 </w:t>
            </w:r>
          </w:p>
        </w:tc>
        <w:tc>
          <w:tcPr>
            <w:tcW w:w="517"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6077BFE9" w14:textId="11AE0AF7">
            <w:pPr>
              <w:pStyle w:val="RTableTextAbt"/>
            </w:pPr>
            <w:r w:rsidRPr="001F782E">
              <w:t xml:space="preserve">$512,736 </w:t>
            </w:r>
          </w:p>
        </w:tc>
        <w:tc>
          <w:tcPr>
            <w:tcW w:w="517"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6D0A2994" w14:textId="75BFB44A">
            <w:pPr>
              <w:pStyle w:val="RTableTextAbt"/>
            </w:pPr>
            <w:r w:rsidRPr="001F782E">
              <w:t xml:space="preserve">$512,736 </w:t>
            </w:r>
          </w:p>
        </w:tc>
      </w:tr>
      <w:tr w14:paraId="6102F361" w14:textId="77777777" w:rsidTr="007C39E7">
        <w:tblPrEx>
          <w:tblW w:w="5000" w:type="pct"/>
          <w:tblLayout w:type="fixed"/>
          <w:tblCellMar>
            <w:left w:w="58" w:type="dxa"/>
            <w:right w:w="58" w:type="dxa"/>
          </w:tblCellMar>
          <w:tblLook w:val="04A0"/>
        </w:tblPrEx>
        <w:trPr>
          <w:trHeight w:val="260"/>
        </w:trPr>
        <w:tc>
          <w:tcPr>
            <w:tcW w:w="1635"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632BAE52" w14:textId="77777777">
            <w:pPr>
              <w:pStyle w:val="LTableTextAbt"/>
            </w:pPr>
            <w:r w:rsidRPr="007B6745">
              <w:t>Processing into plastic and rubber products</w:t>
            </w:r>
          </w:p>
        </w:tc>
        <w:tc>
          <w:tcPr>
            <w:tcW w:w="528" w:type="pct"/>
            <w:tcBorders>
              <w:top w:val="single" w:sz="4" w:space="0" w:color="auto"/>
              <w:left w:val="single" w:sz="4" w:space="0" w:color="auto"/>
              <w:bottom w:val="single" w:sz="4" w:space="0" w:color="auto"/>
              <w:right w:val="single" w:sz="4" w:space="0" w:color="auto"/>
            </w:tcBorders>
            <w:hideMark/>
          </w:tcPr>
          <w:p w:rsidR="007D109A" w:rsidRPr="007B6745" w:rsidP="007D109A" w14:paraId="1DCB6671" w14:textId="22582249">
            <w:pPr>
              <w:pStyle w:val="RTableTextAbt"/>
            </w:pPr>
            <w:r w:rsidRPr="001F782E">
              <w:t xml:space="preserve">$888 </w:t>
            </w:r>
          </w:p>
        </w:tc>
        <w:tc>
          <w:tcPr>
            <w:tcW w:w="770" w:type="pct"/>
            <w:tcBorders>
              <w:top w:val="single" w:sz="4" w:space="0" w:color="auto"/>
              <w:left w:val="single" w:sz="4" w:space="0" w:color="auto"/>
              <w:bottom w:val="single" w:sz="4" w:space="0" w:color="auto"/>
              <w:right w:val="single" w:sz="4" w:space="0" w:color="auto"/>
            </w:tcBorders>
            <w:hideMark/>
          </w:tcPr>
          <w:p w:rsidR="007D109A" w:rsidRPr="007B6745" w:rsidP="007D109A" w14:paraId="1F25D10C" w14:textId="5487B40C">
            <w:pPr>
              <w:pStyle w:val="RTableTextAbt"/>
            </w:pPr>
            <w:r w:rsidRPr="001F782E">
              <w:t xml:space="preserve">$1,116 </w:t>
            </w:r>
          </w:p>
        </w:tc>
        <w:tc>
          <w:tcPr>
            <w:tcW w:w="517"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08D18497" w14:textId="1C51B08E">
            <w:pPr>
              <w:pStyle w:val="RTableTextAbt"/>
            </w:pPr>
            <w:r w:rsidRPr="001F782E">
              <w:t xml:space="preserve">$446,940 </w:t>
            </w:r>
          </w:p>
        </w:tc>
        <w:tc>
          <w:tcPr>
            <w:tcW w:w="517"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68D8566A" w14:textId="5C8028FD">
            <w:pPr>
              <w:pStyle w:val="RTableTextAbt"/>
            </w:pPr>
            <w:r w:rsidRPr="001F782E">
              <w:t xml:space="preserve">$446,940 </w:t>
            </w:r>
          </w:p>
        </w:tc>
        <w:tc>
          <w:tcPr>
            <w:tcW w:w="517"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4E781E3D" w14:textId="174F839B">
            <w:pPr>
              <w:pStyle w:val="RTableTextAbt"/>
            </w:pPr>
            <w:r w:rsidRPr="001F782E">
              <w:t xml:space="preserve">$448,944 </w:t>
            </w:r>
          </w:p>
        </w:tc>
        <w:tc>
          <w:tcPr>
            <w:tcW w:w="517"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712CDC0E" w14:textId="607880F6">
            <w:pPr>
              <w:pStyle w:val="RTableTextAbt"/>
            </w:pPr>
            <w:r w:rsidRPr="001F782E">
              <w:t xml:space="preserve">$448,944 </w:t>
            </w:r>
          </w:p>
        </w:tc>
      </w:tr>
      <w:tr w14:paraId="0B66FE49" w14:textId="77777777" w:rsidTr="007C39E7">
        <w:tblPrEx>
          <w:tblW w:w="5000" w:type="pct"/>
          <w:tblLayout w:type="fixed"/>
          <w:tblCellMar>
            <w:left w:w="58" w:type="dxa"/>
            <w:right w:w="58" w:type="dxa"/>
          </w:tblCellMar>
          <w:tblLook w:val="04A0"/>
        </w:tblPrEx>
        <w:trPr>
          <w:trHeight w:val="280"/>
        </w:trPr>
        <w:tc>
          <w:tcPr>
            <w:tcW w:w="1635" w:type="pct"/>
            <w:tcBorders>
              <w:top w:val="single" w:sz="4" w:space="0" w:color="auto"/>
              <w:left w:val="single" w:sz="4" w:space="0" w:color="auto"/>
              <w:bottom w:val="single" w:sz="4" w:space="0" w:color="auto"/>
              <w:right w:val="single" w:sz="4" w:space="0" w:color="auto"/>
            </w:tcBorders>
            <w:hideMark/>
          </w:tcPr>
          <w:p w:rsidR="007D109A" w:rsidRPr="007D109A" w:rsidP="007D109A" w14:paraId="493FB877" w14:textId="77777777">
            <w:pPr>
              <w:pStyle w:val="LTableTextAbt"/>
              <w:rPr>
                <w:b/>
              </w:rPr>
            </w:pPr>
            <w:r w:rsidRPr="007D109A">
              <w:rPr>
                <w:b/>
              </w:rPr>
              <w:t>Total</w:t>
            </w:r>
          </w:p>
        </w:tc>
        <w:tc>
          <w:tcPr>
            <w:tcW w:w="528" w:type="pct"/>
            <w:tcBorders>
              <w:top w:val="single" w:sz="4" w:space="0" w:color="auto"/>
              <w:left w:val="single" w:sz="4" w:space="0" w:color="auto"/>
              <w:bottom w:val="single" w:sz="4" w:space="0" w:color="auto"/>
              <w:right w:val="single" w:sz="4" w:space="0" w:color="auto"/>
            </w:tcBorders>
            <w:hideMark/>
          </w:tcPr>
          <w:p w:rsidR="007D109A" w:rsidRPr="00BD3D2B" w:rsidP="007D109A" w14:paraId="2C947A1C" w14:textId="09F84B4A">
            <w:pPr>
              <w:pStyle w:val="RTableTextAbt"/>
              <w:rPr>
                <w:b/>
              </w:rPr>
            </w:pPr>
            <w:r w:rsidRPr="00BD3D2B">
              <w:rPr>
                <w:b/>
              </w:rPr>
              <w:t xml:space="preserve">$3,256 </w:t>
            </w:r>
          </w:p>
        </w:tc>
        <w:tc>
          <w:tcPr>
            <w:tcW w:w="770" w:type="pct"/>
            <w:tcBorders>
              <w:top w:val="single" w:sz="4" w:space="0" w:color="auto"/>
              <w:left w:val="single" w:sz="4" w:space="0" w:color="auto"/>
              <w:bottom w:val="single" w:sz="4" w:space="0" w:color="auto"/>
              <w:right w:val="single" w:sz="4" w:space="0" w:color="auto"/>
            </w:tcBorders>
            <w:noWrap/>
            <w:hideMark/>
          </w:tcPr>
          <w:p w:rsidR="007D109A" w:rsidRPr="00BD3D2B" w:rsidP="007D109A" w14:paraId="571D4595" w14:textId="156D1B45">
            <w:pPr>
              <w:pStyle w:val="RTableTextAbt"/>
              <w:rPr>
                <w:b/>
              </w:rPr>
            </w:pPr>
            <w:r w:rsidRPr="00BD3D2B">
              <w:rPr>
                <w:b/>
              </w:rPr>
              <w:t xml:space="preserve">$4,092 </w:t>
            </w:r>
          </w:p>
        </w:tc>
        <w:tc>
          <w:tcPr>
            <w:tcW w:w="517" w:type="pct"/>
            <w:tcBorders>
              <w:top w:val="single" w:sz="4" w:space="0" w:color="auto"/>
              <w:left w:val="single" w:sz="4" w:space="0" w:color="auto"/>
              <w:bottom w:val="single" w:sz="4" w:space="0" w:color="auto"/>
              <w:right w:val="single" w:sz="4" w:space="0" w:color="auto"/>
            </w:tcBorders>
            <w:noWrap/>
            <w:hideMark/>
          </w:tcPr>
          <w:p w:rsidR="007D109A" w:rsidRPr="00BD3D2B" w:rsidP="007D109A" w14:paraId="190354ED" w14:textId="15BBE130">
            <w:pPr>
              <w:pStyle w:val="RTableTextAbt"/>
              <w:rPr>
                <w:b/>
              </w:rPr>
            </w:pPr>
            <w:r w:rsidRPr="00BD3D2B">
              <w:rPr>
                <w:b/>
              </w:rPr>
              <w:t xml:space="preserve">$1,102,070 </w:t>
            </w:r>
          </w:p>
        </w:tc>
        <w:tc>
          <w:tcPr>
            <w:tcW w:w="517" w:type="pct"/>
            <w:tcBorders>
              <w:top w:val="single" w:sz="4" w:space="0" w:color="auto"/>
              <w:left w:val="single" w:sz="4" w:space="0" w:color="auto"/>
              <w:bottom w:val="single" w:sz="4" w:space="0" w:color="auto"/>
              <w:right w:val="single" w:sz="4" w:space="0" w:color="auto"/>
            </w:tcBorders>
            <w:noWrap/>
            <w:hideMark/>
          </w:tcPr>
          <w:p w:rsidR="007D109A" w:rsidRPr="00BD3D2B" w:rsidP="007D109A" w14:paraId="2FDDBBE0" w14:textId="63BAADFA">
            <w:pPr>
              <w:pStyle w:val="RTableTextAbt"/>
              <w:rPr>
                <w:b/>
              </w:rPr>
            </w:pPr>
            <w:r w:rsidRPr="00BD3D2B">
              <w:rPr>
                <w:b/>
              </w:rPr>
              <w:t xml:space="preserve">$1,140,270 </w:t>
            </w:r>
          </w:p>
        </w:tc>
        <w:tc>
          <w:tcPr>
            <w:tcW w:w="517" w:type="pct"/>
            <w:tcBorders>
              <w:top w:val="single" w:sz="4" w:space="0" w:color="auto"/>
              <w:left w:val="single" w:sz="4" w:space="0" w:color="auto"/>
              <w:bottom w:val="single" w:sz="4" w:space="0" w:color="auto"/>
              <w:right w:val="single" w:sz="4" w:space="0" w:color="auto"/>
            </w:tcBorders>
            <w:noWrap/>
            <w:hideMark/>
          </w:tcPr>
          <w:p w:rsidR="007D109A" w:rsidRPr="00BD3D2B" w:rsidP="007D109A" w14:paraId="687D478E" w14:textId="0BB12ADD">
            <w:pPr>
              <w:pStyle w:val="RTableTextAbt"/>
              <w:rPr>
                <w:b/>
              </w:rPr>
            </w:pPr>
            <w:r w:rsidRPr="00BD3D2B">
              <w:rPr>
                <w:b/>
              </w:rPr>
              <w:t xml:space="preserve">$1,109,418 </w:t>
            </w:r>
          </w:p>
        </w:tc>
        <w:tc>
          <w:tcPr>
            <w:tcW w:w="517" w:type="pct"/>
            <w:tcBorders>
              <w:top w:val="single" w:sz="4" w:space="0" w:color="auto"/>
              <w:left w:val="single" w:sz="4" w:space="0" w:color="auto"/>
              <w:bottom w:val="single" w:sz="4" w:space="0" w:color="auto"/>
              <w:right w:val="single" w:sz="4" w:space="0" w:color="auto"/>
            </w:tcBorders>
            <w:noWrap/>
            <w:hideMark/>
          </w:tcPr>
          <w:p w:rsidR="007D109A" w:rsidRPr="00BD3D2B" w:rsidP="007D109A" w14:paraId="292F01DB" w14:textId="26C60800">
            <w:pPr>
              <w:pStyle w:val="RTableTextAbt"/>
              <w:rPr>
                <w:b/>
              </w:rPr>
            </w:pPr>
            <w:r w:rsidRPr="00BD3D2B">
              <w:rPr>
                <w:b/>
              </w:rPr>
              <w:t xml:space="preserve">$1,147,618 </w:t>
            </w:r>
          </w:p>
        </w:tc>
      </w:tr>
      <w:tr w14:paraId="2B08CF3F" w14:textId="77777777" w:rsidTr="007C39E7">
        <w:tblPrEx>
          <w:tblW w:w="5000" w:type="pct"/>
          <w:tblLayout w:type="fixed"/>
          <w:tblCellMar>
            <w:left w:w="58" w:type="dxa"/>
            <w:right w:w="58" w:type="dxa"/>
          </w:tblCellMar>
          <w:tblLook w:val="04A0"/>
        </w:tblPrEx>
        <w:trPr>
          <w:trHeight w:val="280"/>
        </w:trPr>
        <w:tc>
          <w:tcPr>
            <w:tcW w:w="5000" w:type="pct"/>
            <w:gridSpan w:val="7"/>
            <w:tcBorders>
              <w:top w:val="single" w:sz="4" w:space="0" w:color="auto"/>
              <w:left w:val="single" w:sz="4" w:space="0" w:color="auto"/>
              <w:bottom w:val="single" w:sz="4" w:space="0" w:color="auto"/>
              <w:right w:val="single" w:sz="4" w:space="0" w:color="auto"/>
            </w:tcBorders>
            <w:hideMark/>
          </w:tcPr>
          <w:p w:rsidR="007B6745" w:rsidRPr="007B6745" w:rsidP="00F760A7" w14:paraId="0935F430" w14:textId="77777777">
            <w:pPr>
              <w:pStyle w:val="TableNote0"/>
            </w:pPr>
            <w:r w:rsidRPr="007B6745">
              <w:t>PPE = personal protective equipment</w:t>
            </w:r>
          </w:p>
          <w:p w:rsidR="007B6745" w:rsidRPr="007B6745" w:rsidP="00F760A7" w14:paraId="75E59BB8" w14:textId="569706DF">
            <w:pPr>
              <w:pStyle w:val="TableNote0"/>
            </w:pPr>
            <w:r w:rsidRPr="007B6745">
              <w:t>a. Number of facilities (</w:t>
            </w:r>
            <w:r w:rsidRPr="007B6745">
              <w:fldChar w:fldCharType="begin" w:fldLock="1"/>
            </w:r>
            <w:r w:rsidRPr="007B6745">
              <w:instrText xml:space="preserve"> REF _Ref180054057 </w:instrText>
            </w:r>
            <w:r w:rsidR="00F760A7">
              <w:instrText xml:space="preserve"> \* MERGEFORMAT </w:instrText>
            </w:r>
            <w:r w:rsidRPr="007B6745">
              <w:fldChar w:fldCharType="separate"/>
            </w:r>
            <w:r w:rsidRPr="007B6745" w:rsidR="00735BBC">
              <w:t xml:space="preserve">Table </w:t>
            </w:r>
            <w:r w:rsidR="00735BBC">
              <w:t>4</w:t>
            </w:r>
            <w:r w:rsidR="00735BBC">
              <w:noBreakHyphen/>
              <w:t>3</w:t>
            </w:r>
            <w:r w:rsidRPr="007B6745">
              <w:fldChar w:fldCharType="end"/>
            </w:r>
            <w:r w:rsidRPr="007B6745">
              <w:t>) times $148, the annual PPE program cost (</w:t>
            </w:r>
            <w:hyperlink w:anchor="_ENREF_1" w:tooltip="Abt Global, 2024 #1" w:history="1">
              <w:r w:rsidR="003D6084">
                <w:fldChar w:fldCharType="begin" w:fldLock="1"/>
              </w:r>
              <w:r w:rsidR="003D6084">
                <w:instrText xml:space="preserve"> ADDIN EN.CITE &lt;EndNote&gt;&lt;Cite&gt;&lt;Author&gt;Abt Global&lt;/Author&gt;&lt;Year&gt;2024&lt;/Year&gt;&lt;RecNum&gt;1&lt;/RecNum&gt;&lt;DisplayText&gt;Abt Global 2024&lt;/DisplayText&gt;&lt;record&gt;&lt;rec-number&gt;1&lt;/rec-number&gt;&lt;foreign-keys&gt;&lt;key app="EN" db-id="2apzr05radv9fjet2w6xxwdlz5e9vwfxredw" timestamp="1730757315"&gt;1&lt;/key&gt;&lt;/foreign-keys&gt;&lt;ref-type name="Report"&gt;27&lt;/ref-type&gt;&lt;contributors&gt;&lt;authors&gt;&lt;author&gt;Abt Global,&lt;/author&gt;&lt;/authors&gt;&lt;/contributors&gt;&lt;titles&gt;&lt;title&gt;Estimated Costs for Respirator PPE for TSCA Risk Management Economic Analyses &lt;/title&gt;&lt;/titles&gt;&lt;dates&gt;&lt;year&gt;2024&lt;/year&gt;&lt;/dates&gt;&lt;publisher&gt;Submitted to U.S. EPA Economic and Policy Analysis Branch&lt;/publisher&gt;&lt;urls&gt;&lt;/urls&gt;&lt;/record&gt;&lt;/Cite&gt;&lt;/EndNote&gt;</w:instrText>
              </w:r>
              <w:r w:rsidR="003D6084">
                <w:fldChar w:fldCharType="separate"/>
              </w:r>
              <w:r w:rsidR="003D6084">
                <w:rPr>
                  <w:noProof/>
                </w:rPr>
                <w:t>Abt Global 2024</w:t>
              </w:r>
              <w:r w:rsidR="003D6084">
                <w:fldChar w:fldCharType="end"/>
              </w:r>
            </w:hyperlink>
            <w:r w:rsidRPr="007B6745">
              <w:t>)</w:t>
            </w:r>
          </w:p>
          <w:p w:rsidR="007B6745" w:rsidRPr="007B6745" w:rsidP="00F760A7" w14:paraId="0493CA39" w14:textId="77777777">
            <w:pPr>
              <w:pStyle w:val="TableNote0"/>
            </w:pPr>
            <w:r w:rsidRPr="007B6745">
              <w:t>b. Number of facilities times $186, the estimated annual recordkeeping cost</w:t>
            </w:r>
          </w:p>
          <w:p w:rsidR="007B6745" w:rsidRPr="007B6745" w:rsidP="00F760A7" w14:paraId="34C1A13C" w14:textId="42ED84D7">
            <w:pPr>
              <w:pStyle w:val="TableNote0"/>
            </w:pPr>
            <w:r w:rsidRPr="007B6745">
              <w:t>c. Number of exposed workers (</w:t>
            </w:r>
            <w:r w:rsidRPr="007B6745">
              <w:fldChar w:fldCharType="begin" w:fldLock="1"/>
            </w:r>
            <w:r w:rsidRPr="007B6745">
              <w:instrText xml:space="preserve"> REF _Ref180054057 </w:instrText>
            </w:r>
            <w:r w:rsidR="00F760A7">
              <w:instrText xml:space="preserve"> \* MERGEFORMAT </w:instrText>
            </w:r>
            <w:r w:rsidRPr="007B6745">
              <w:fldChar w:fldCharType="separate"/>
            </w:r>
            <w:r w:rsidRPr="007B6745" w:rsidR="00735BBC">
              <w:t xml:space="preserve">Table </w:t>
            </w:r>
            <w:r w:rsidR="00735BBC">
              <w:t>4</w:t>
            </w:r>
            <w:r w:rsidR="00735BBC">
              <w:noBreakHyphen/>
              <w:t>3</w:t>
            </w:r>
            <w:r w:rsidRPr="007B6745">
              <w:fldChar w:fldCharType="end"/>
            </w:r>
            <w:r w:rsidRPr="007B6745">
              <w:t>) times $1,918, the average annual cost for respirators with APF50 and higher (</w:t>
            </w:r>
            <w:r w:rsidRPr="007B6745">
              <w:fldChar w:fldCharType="begin" w:fldLock="1"/>
            </w:r>
            <w:r w:rsidRPr="007B6745">
              <w:instrText xml:space="preserve"> REF _Ref177570736 </w:instrText>
            </w:r>
            <w:r w:rsidR="00F760A7">
              <w:instrText xml:space="preserve"> \* MERGEFORMAT </w:instrText>
            </w:r>
            <w:r w:rsidRPr="007B6745">
              <w:fldChar w:fldCharType="separate"/>
            </w:r>
            <w:r w:rsidRPr="007B6745" w:rsidR="00735BBC">
              <w:t xml:space="preserve">Table </w:t>
            </w:r>
            <w:r w:rsidR="00735BBC">
              <w:t>4</w:t>
            </w:r>
            <w:r w:rsidR="00735BBC">
              <w:noBreakHyphen/>
              <w:t>7</w:t>
            </w:r>
            <w:r w:rsidRPr="007B6745">
              <w:fldChar w:fldCharType="end"/>
            </w:r>
            <w:r w:rsidRPr="007B6745">
              <w:t>)</w:t>
            </w:r>
          </w:p>
          <w:p w:rsidR="007B6745" w:rsidRPr="007B6745" w:rsidP="00F760A7" w14:paraId="03533AF1" w14:textId="77777777">
            <w:pPr>
              <w:pStyle w:val="TableNote0"/>
            </w:pPr>
            <w:r w:rsidRPr="007B6745">
              <w:t>d. Sum of program costs, recordkeeping costs, and respirator costs</w:t>
            </w:r>
          </w:p>
        </w:tc>
      </w:tr>
    </w:tbl>
    <w:p w:rsidR="007B6745" w:rsidRPr="007B6745" w:rsidP="00832749" w14:paraId="0C03775D" w14:textId="77777777">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tblPr>
      <w:tblGrid>
        <w:gridCol w:w="4881"/>
        <w:gridCol w:w="1198"/>
        <w:gridCol w:w="1198"/>
        <w:gridCol w:w="1016"/>
        <w:gridCol w:w="1067"/>
      </w:tblGrid>
      <w:tr w14:paraId="093A450A" w14:textId="77777777" w:rsidTr="0002620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tblPrEx>
        <w:trPr>
          <w:trHeight w:val="280"/>
          <w:tblHeader/>
        </w:trPr>
        <w:tc>
          <w:tcPr>
            <w:tcW w:w="5000" w:type="pct"/>
            <w:gridSpan w:val="5"/>
            <w:tcBorders>
              <w:top w:val="nil"/>
              <w:left w:val="nil"/>
              <w:bottom w:val="single" w:sz="4" w:space="0" w:color="auto"/>
              <w:right w:val="nil"/>
            </w:tcBorders>
            <w:shd w:val="clear" w:color="auto" w:fill="auto"/>
            <w:vAlign w:val="center"/>
          </w:tcPr>
          <w:p w:rsidR="00026204" w:rsidRPr="00986E4C" w:rsidP="00986E4C" w14:paraId="28BD823E" w14:textId="42C77A10">
            <w:pPr>
              <w:pStyle w:val="TableTitleA"/>
            </w:pPr>
            <w:bookmarkStart w:id="206" w:name="_Ref177572140"/>
            <w:bookmarkStart w:id="207" w:name="_Ref177572023"/>
            <w:bookmarkStart w:id="208" w:name="_Toc184299569"/>
            <w:r w:rsidRPr="00986E4C">
              <w:t xml:space="preserve">Table </w:t>
            </w:r>
            <w:r>
              <w:fldChar w:fldCharType="begin" w:fldLock="1"/>
            </w:r>
            <w:r>
              <w:instrText>STYLEREF 1 \s</w:instrText>
            </w:r>
            <w:r>
              <w:fldChar w:fldCharType="separate"/>
            </w:r>
            <w:r w:rsidR="00735BBC">
              <w:rPr>
                <w:noProof/>
              </w:rPr>
              <w:t>4</w:t>
            </w:r>
            <w:r>
              <w:fldChar w:fldCharType="end"/>
            </w:r>
            <w:r w:rsidRPr="00986E4C" w:rsidR="000A1542">
              <w:noBreakHyphen/>
            </w:r>
            <w:r>
              <w:fldChar w:fldCharType="begin" w:fldLock="1"/>
            </w:r>
            <w:r>
              <w:instrText>SEQ Table \* ARABIC \s 1</w:instrText>
            </w:r>
            <w:r>
              <w:fldChar w:fldCharType="separate"/>
            </w:r>
            <w:r w:rsidR="00735BBC">
              <w:rPr>
                <w:noProof/>
              </w:rPr>
              <w:t>13</w:t>
            </w:r>
            <w:r>
              <w:fldChar w:fldCharType="end"/>
            </w:r>
            <w:bookmarkEnd w:id="206"/>
            <w:r w:rsidRPr="00986E4C">
              <w:t>: Proposed Option Incremental One-time and Annual Recurring PPE Costs</w:t>
            </w:r>
            <w:bookmarkEnd w:id="207"/>
            <w:r w:rsidRPr="00986E4C">
              <w:t xml:space="preserve"> (2023$)</w:t>
            </w:r>
            <w:bookmarkEnd w:id="208"/>
          </w:p>
        </w:tc>
      </w:tr>
      <w:tr w14:paraId="128C6B54" w14:textId="77777777" w:rsidTr="00F326FB">
        <w:tblPrEx>
          <w:tblW w:w="5000" w:type="pct"/>
          <w:tblCellMar>
            <w:left w:w="58" w:type="dxa"/>
            <w:right w:w="58" w:type="dxa"/>
          </w:tblCellMar>
          <w:tblLook w:val="04A0"/>
        </w:tblPrEx>
        <w:trPr>
          <w:trHeight w:val="280"/>
          <w:tblHeader/>
        </w:trPr>
        <w:tc>
          <w:tcPr>
            <w:tcW w:w="2607"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2E3BE581" w14:textId="77777777">
            <w:pPr>
              <w:pStyle w:val="TableSubtitle"/>
            </w:pPr>
            <w:r w:rsidRPr="007B6745">
              <w:t>Use category</w:t>
            </w:r>
          </w:p>
        </w:tc>
        <w:tc>
          <w:tcPr>
            <w:tcW w:w="1280"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4AE05B82" w14:textId="77777777">
            <w:pPr>
              <w:pStyle w:val="TableSubtitle"/>
              <w:rPr>
                <w:vertAlign w:val="superscript"/>
              </w:rPr>
            </w:pPr>
            <w:r w:rsidRPr="007B6745">
              <w:t>One-time</w:t>
            </w:r>
            <w:r w:rsidRPr="007B6745">
              <w:rPr>
                <w:vertAlign w:val="superscript"/>
              </w:rPr>
              <w:t xml:space="preserve"> a</w:t>
            </w:r>
          </w:p>
        </w:tc>
        <w:tc>
          <w:tcPr>
            <w:tcW w:w="1113"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1C23554F" w14:textId="77777777">
            <w:pPr>
              <w:pStyle w:val="TableSubtitle"/>
              <w:rPr>
                <w:vertAlign w:val="superscript"/>
              </w:rPr>
            </w:pPr>
            <w:r w:rsidRPr="007B6745">
              <w:t>Annual Recurring</w:t>
            </w:r>
            <w:r w:rsidRPr="007B6745">
              <w:rPr>
                <w:vertAlign w:val="superscript"/>
              </w:rPr>
              <w:t xml:space="preserve"> b</w:t>
            </w:r>
          </w:p>
        </w:tc>
      </w:tr>
      <w:tr w14:paraId="13288FF4" w14:textId="77777777" w:rsidTr="00F326FB">
        <w:tblPrEx>
          <w:tblW w:w="5000" w:type="pct"/>
          <w:tblCellMar>
            <w:left w:w="58" w:type="dxa"/>
            <w:right w:w="58" w:type="dxa"/>
          </w:tblCellMar>
          <w:tblLook w:val="04A0"/>
        </w:tblPrEx>
        <w:trPr>
          <w:trHeight w:val="300"/>
          <w:tblHeader/>
        </w:trPr>
        <w:tc>
          <w:tcPr>
            <w:tcW w:w="0" w:type="auto"/>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2FFE2EC3" w14:textId="77777777">
            <w:pPr>
              <w:pStyle w:val="TableSubtitle"/>
            </w:pPr>
          </w:p>
        </w:tc>
        <w:tc>
          <w:tcPr>
            <w:tcW w:w="640"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4554BFFD" w14:textId="77777777">
            <w:pPr>
              <w:pStyle w:val="TableSubtitle"/>
            </w:pPr>
            <w:r w:rsidRPr="007B6745">
              <w:t>Low</w:t>
            </w:r>
          </w:p>
        </w:tc>
        <w:tc>
          <w:tcPr>
            <w:tcW w:w="640"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5F561BE2" w14:textId="77777777">
            <w:pPr>
              <w:pStyle w:val="TableSubtitle"/>
            </w:pPr>
            <w:r w:rsidRPr="007B6745">
              <w:t>High</w:t>
            </w:r>
          </w:p>
        </w:tc>
        <w:tc>
          <w:tcPr>
            <w:tcW w:w="543"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0578982E" w14:textId="77777777">
            <w:pPr>
              <w:pStyle w:val="TableSubtitle"/>
            </w:pPr>
            <w:r w:rsidRPr="007B6745">
              <w:t>Low</w:t>
            </w:r>
          </w:p>
        </w:tc>
        <w:tc>
          <w:tcPr>
            <w:tcW w:w="570"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7E72BF79" w14:textId="77777777">
            <w:pPr>
              <w:pStyle w:val="TableSubtitle"/>
            </w:pPr>
            <w:r w:rsidRPr="007B6745">
              <w:t>High</w:t>
            </w:r>
          </w:p>
        </w:tc>
      </w:tr>
      <w:tr w14:paraId="439F1C4A" w14:textId="77777777" w:rsidTr="00F326FB">
        <w:tblPrEx>
          <w:tblW w:w="5000" w:type="pct"/>
          <w:tblCellMar>
            <w:left w:w="58" w:type="dxa"/>
            <w:right w:w="58" w:type="dxa"/>
          </w:tblCellMar>
          <w:tblLook w:val="04A0"/>
        </w:tblPrEx>
        <w:trPr>
          <w:trHeight w:val="260"/>
        </w:trPr>
        <w:tc>
          <w:tcPr>
            <w:tcW w:w="2607"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16273505" w14:textId="77777777">
            <w:pPr>
              <w:pStyle w:val="LTableTextAbt"/>
            </w:pPr>
            <w:r w:rsidRPr="007B6745">
              <w:t>PV29 manufacturing and intermediate processing</w:t>
            </w:r>
          </w:p>
        </w:tc>
        <w:tc>
          <w:tcPr>
            <w:tcW w:w="640"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7929CF30" w14:textId="7F0BFE69">
            <w:pPr>
              <w:pStyle w:val="RTableTextAbt"/>
            </w:pPr>
            <w:r w:rsidRPr="00BF2D77">
              <w:t xml:space="preserve">$193,385 </w:t>
            </w:r>
          </w:p>
        </w:tc>
        <w:tc>
          <w:tcPr>
            <w:tcW w:w="640"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53FE647D" w14:textId="541206DB">
            <w:pPr>
              <w:pStyle w:val="RTableTextAbt"/>
            </w:pPr>
            <w:r w:rsidRPr="00BF2D77">
              <w:t xml:space="preserve">$259,865 </w:t>
            </w:r>
          </w:p>
        </w:tc>
        <w:tc>
          <w:tcPr>
            <w:tcW w:w="543"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6161F995" w14:textId="3CCF5D7A">
            <w:pPr>
              <w:pStyle w:val="RTableTextAbt"/>
            </w:pPr>
            <w:r w:rsidRPr="00BF2D77">
              <w:t xml:space="preserve">$94,700 </w:t>
            </w:r>
          </w:p>
        </w:tc>
        <w:tc>
          <w:tcPr>
            <w:tcW w:w="570"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06B0B1BC" w14:textId="24CF4216">
            <w:pPr>
              <w:pStyle w:val="RTableTextAbt"/>
            </w:pPr>
            <w:r w:rsidRPr="00BF2D77">
              <w:t xml:space="preserve">$127,240 </w:t>
            </w:r>
          </w:p>
        </w:tc>
      </w:tr>
      <w:tr w14:paraId="54DDA917" w14:textId="77777777" w:rsidTr="00F326FB">
        <w:tblPrEx>
          <w:tblW w:w="5000" w:type="pct"/>
          <w:tblCellMar>
            <w:left w:w="58" w:type="dxa"/>
            <w:right w:w="58" w:type="dxa"/>
          </w:tblCellMar>
          <w:tblLook w:val="04A0"/>
        </w:tblPrEx>
        <w:trPr>
          <w:trHeight w:val="260"/>
        </w:trPr>
        <w:tc>
          <w:tcPr>
            <w:tcW w:w="2607" w:type="pct"/>
            <w:tcBorders>
              <w:top w:val="single" w:sz="4" w:space="0" w:color="auto"/>
              <w:left w:val="single" w:sz="4" w:space="0" w:color="auto"/>
              <w:bottom w:val="single" w:sz="4" w:space="0" w:color="auto"/>
              <w:right w:val="single" w:sz="4" w:space="0" w:color="auto"/>
            </w:tcBorders>
            <w:noWrap/>
          </w:tcPr>
          <w:p w:rsidR="007D109A" w:rsidRPr="007B6745" w:rsidP="007D109A" w14:paraId="4759A108" w14:textId="0EBF383E">
            <w:pPr>
              <w:pStyle w:val="LTableTextAbt"/>
            </w:pPr>
            <w:r>
              <w:t>PV29 importing</w:t>
            </w:r>
          </w:p>
        </w:tc>
        <w:tc>
          <w:tcPr>
            <w:tcW w:w="640" w:type="pct"/>
            <w:tcBorders>
              <w:top w:val="single" w:sz="4" w:space="0" w:color="auto"/>
              <w:left w:val="single" w:sz="4" w:space="0" w:color="auto"/>
              <w:bottom w:val="single" w:sz="4" w:space="0" w:color="auto"/>
              <w:right w:val="single" w:sz="4" w:space="0" w:color="auto"/>
            </w:tcBorders>
            <w:noWrap/>
          </w:tcPr>
          <w:p w:rsidR="007D109A" w:rsidRPr="007B6745" w:rsidP="007D109A" w14:paraId="54838EEA" w14:textId="7CC5E1BA">
            <w:pPr>
              <w:pStyle w:val="RTableTextAbt"/>
              <w:rPr>
                <w:lang w:val="en-GB"/>
              </w:rPr>
            </w:pPr>
            <w:r w:rsidRPr="00BF2D77">
              <w:t xml:space="preserve">$64,257 </w:t>
            </w:r>
          </w:p>
        </w:tc>
        <w:tc>
          <w:tcPr>
            <w:tcW w:w="640" w:type="pct"/>
            <w:tcBorders>
              <w:top w:val="single" w:sz="4" w:space="0" w:color="auto"/>
              <w:left w:val="single" w:sz="4" w:space="0" w:color="auto"/>
              <w:bottom w:val="single" w:sz="4" w:space="0" w:color="auto"/>
              <w:right w:val="single" w:sz="4" w:space="0" w:color="auto"/>
            </w:tcBorders>
            <w:noWrap/>
          </w:tcPr>
          <w:p w:rsidR="007D109A" w:rsidRPr="007B6745" w:rsidP="007D109A" w14:paraId="560E8D22" w14:textId="4E71A610">
            <w:pPr>
              <w:pStyle w:val="RTableTextAbt"/>
              <w:rPr>
                <w:lang w:val="en-GB"/>
              </w:rPr>
            </w:pPr>
            <w:r w:rsidRPr="00BF2D77">
              <w:t xml:space="preserve">$64,257 </w:t>
            </w:r>
          </w:p>
        </w:tc>
        <w:tc>
          <w:tcPr>
            <w:tcW w:w="543" w:type="pct"/>
            <w:tcBorders>
              <w:top w:val="single" w:sz="4" w:space="0" w:color="auto"/>
              <w:left w:val="single" w:sz="4" w:space="0" w:color="auto"/>
              <w:bottom w:val="single" w:sz="4" w:space="0" w:color="auto"/>
              <w:right w:val="single" w:sz="4" w:space="0" w:color="auto"/>
            </w:tcBorders>
            <w:noWrap/>
          </w:tcPr>
          <w:p w:rsidR="007D109A" w:rsidRPr="007B6745" w:rsidP="007D109A" w14:paraId="0749414C" w14:textId="78FC99A3">
            <w:pPr>
              <w:pStyle w:val="RTableTextAbt"/>
              <w:rPr>
                <w:lang w:val="en-GB"/>
              </w:rPr>
            </w:pPr>
            <w:r w:rsidRPr="00BF2D77">
              <w:t xml:space="preserve">$32,591 </w:t>
            </w:r>
          </w:p>
        </w:tc>
        <w:tc>
          <w:tcPr>
            <w:tcW w:w="570" w:type="pct"/>
            <w:tcBorders>
              <w:top w:val="single" w:sz="4" w:space="0" w:color="auto"/>
              <w:left w:val="single" w:sz="4" w:space="0" w:color="auto"/>
              <w:bottom w:val="single" w:sz="4" w:space="0" w:color="auto"/>
              <w:right w:val="single" w:sz="4" w:space="0" w:color="auto"/>
            </w:tcBorders>
            <w:noWrap/>
          </w:tcPr>
          <w:p w:rsidR="007D109A" w:rsidRPr="007B6745" w:rsidP="007D109A" w14:paraId="205AC253" w14:textId="0D9EFCA7">
            <w:pPr>
              <w:pStyle w:val="RTableTextAbt"/>
              <w:rPr>
                <w:lang w:val="en-GB"/>
              </w:rPr>
            </w:pPr>
            <w:r w:rsidRPr="00BF2D77">
              <w:t xml:space="preserve">$32,591 </w:t>
            </w:r>
          </w:p>
        </w:tc>
      </w:tr>
      <w:tr w14:paraId="5FC82599" w14:textId="77777777" w:rsidTr="00F326FB">
        <w:tblPrEx>
          <w:tblW w:w="5000" w:type="pct"/>
          <w:tblCellMar>
            <w:left w:w="58" w:type="dxa"/>
            <w:right w:w="58" w:type="dxa"/>
          </w:tblCellMar>
          <w:tblLook w:val="04A0"/>
        </w:tblPrEx>
        <w:trPr>
          <w:trHeight w:val="260"/>
        </w:trPr>
        <w:tc>
          <w:tcPr>
            <w:tcW w:w="2607"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4A0D160E" w14:textId="77777777">
            <w:pPr>
              <w:pStyle w:val="LTableTextAbt"/>
            </w:pPr>
            <w:r w:rsidRPr="007B6745">
              <w:t>Processing into automotive paints and coatings</w:t>
            </w:r>
          </w:p>
        </w:tc>
        <w:tc>
          <w:tcPr>
            <w:tcW w:w="640"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7313E263" w14:textId="602DA071">
            <w:pPr>
              <w:pStyle w:val="RTableTextAbt"/>
            </w:pPr>
            <w:r w:rsidRPr="00BF2D77">
              <w:t xml:space="preserve">$899,601 </w:t>
            </w:r>
          </w:p>
        </w:tc>
        <w:tc>
          <w:tcPr>
            <w:tcW w:w="640"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5CE0DEDB" w14:textId="6B70B2C0">
            <w:pPr>
              <w:pStyle w:val="RTableTextAbt"/>
            </w:pPr>
            <w:r w:rsidRPr="00BF2D77">
              <w:t xml:space="preserve">$899,601 </w:t>
            </w:r>
          </w:p>
        </w:tc>
        <w:tc>
          <w:tcPr>
            <w:tcW w:w="543"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39D2712B" w14:textId="111B191F">
            <w:pPr>
              <w:pStyle w:val="RTableTextAbt"/>
            </w:pPr>
            <w:r w:rsidRPr="00BF2D77">
              <w:t xml:space="preserve">$456,277 </w:t>
            </w:r>
          </w:p>
        </w:tc>
        <w:tc>
          <w:tcPr>
            <w:tcW w:w="570"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594C50E4" w14:textId="7AA953F6">
            <w:pPr>
              <w:pStyle w:val="RTableTextAbt"/>
            </w:pPr>
            <w:r w:rsidRPr="00BF2D77">
              <w:t xml:space="preserve">$456,277 </w:t>
            </w:r>
          </w:p>
        </w:tc>
      </w:tr>
      <w:tr w14:paraId="40537FB9" w14:textId="77777777" w:rsidTr="00F326FB">
        <w:tblPrEx>
          <w:tblW w:w="5000" w:type="pct"/>
          <w:tblCellMar>
            <w:left w:w="58" w:type="dxa"/>
            <w:right w:w="58" w:type="dxa"/>
          </w:tblCellMar>
          <w:tblLook w:val="04A0"/>
        </w:tblPrEx>
        <w:trPr>
          <w:trHeight w:val="260"/>
        </w:trPr>
        <w:tc>
          <w:tcPr>
            <w:tcW w:w="2607"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1C575891" w14:textId="77777777">
            <w:pPr>
              <w:pStyle w:val="LTableTextAbt"/>
            </w:pPr>
            <w:r w:rsidRPr="007B6745">
              <w:t>Processing into plastic and rubber products</w:t>
            </w:r>
          </w:p>
        </w:tc>
        <w:tc>
          <w:tcPr>
            <w:tcW w:w="640"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5DED816D" w14:textId="7AD79A1F">
            <w:pPr>
              <w:pStyle w:val="RTableTextAbt"/>
            </w:pPr>
            <w:r w:rsidRPr="00BF2D77">
              <w:t xml:space="preserve">$782,626 </w:t>
            </w:r>
          </w:p>
        </w:tc>
        <w:tc>
          <w:tcPr>
            <w:tcW w:w="640"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7B8B08C3" w14:textId="3695401A">
            <w:pPr>
              <w:pStyle w:val="RTableTextAbt"/>
            </w:pPr>
            <w:r w:rsidRPr="00BF2D77">
              <w:t xml:space="preserve">$782,626 </w:t>
            </w:r>
          </w:p>
        </w:tc>
        <w:tc>
          <w:tcPr>
            <w:tcW w:w="543"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1FDC1CB3" w14:textId="07F03DD7">
            <w:pPr>
              <w:pStyle w:val="RTableTextAbt"/>
            </w:pPr>
            <w:r w:rsidRPr="00BF2D77">
              <w:t xml:space="preserve">$386,033 </w:t>
            </w:r>
          </w:p>
        </w:tc>
        <w:tc>
          <w:tcPr>
            <w:tcW w:w="570"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5A45BC3E" w14:textId="18F08A4E">
            <w:pPr>
              <w:pStyle w:val="RTableTextAbt"/>
            </w:pPr>
            <w:r w:rsidRPr="00BF2D77">
              <w:t xml:space="preserve">$386,033 </w:t>
            </w:r>
          </w:p>
        </w:tc>
      </w:tr>
      <w:tr w14:paraId="4B337111" w14:textId="77777777" w:rsidTr="00F326FB">
        <w:tblPrEx>
          <w:tblW w:w="5000" w:type="pct"/>
          <w:tblCellMar>
            <w:left w:w="58" w:type="dxa"/>
            <w:right w:w="58" w:type="dxa"/>
          </w:tblCellMar>
          <w:tblLook w:val="04A0"/>
        </w:tblPrEx>
        <w:trPr>
          <w:trHeight w:val="280"/>
        </w:trPr>
        <w:tc>
          <w:tcPr>
            <w:tcW w:w="2607" w:type="pct"/>
            <w:tcBorders>
              <w:top w:val="single" w:sz="4" w:space="0" w:color="auto"/>
              <w:left w:val="single" w:sz="4" w:space="0" w:color="auto"/>
              <w:bottom w:val="single" w:sz="4" w:space="0" w:color="auto"/>
              <w:right w:val="single" w:sz="4" w:space="0" w:color="auto"/>
            </w:tcBorders>
            <w:hideMark/>
          </w:tcPr>
          <w:p w:rsidR="007D109A" w:rsidRPr="007B6745" w:rsidP="007D109A" w14:paraId="5E57B6F2" w14:textId="77777777">
            <w:pPr>
              <w:pStyle w:val="LTableTextAbt"/>
              <w:rPr>
                <w:b/>
              </w:rPr>
            </w:pPr>
            <w:r w:rsidRPr="007B6745">
              <w:rPr>
                <w:b/>
              </w:rPr>
              <w:t>Total</w:t>
            </w:r>
          </w:p>
        </w:tc>
        <w:tc>
          <w:tcPr>
            <w:tcW w:w="640" w:type="pct"/>
            <w:tcBorders>
              <w:top w:val="single" w:sz="4" w:space="0" w:color="auto"/>
              <w:left w:val="single" w:sz="4" w:space="0" w:color="auto"/>
              <w:bottom w:val="single" w:sz="4" w:space="0" w:color="auto"/>
              <w:right w:val="single" w:sz="4" w:space="0" w:color="auto"/>
            </w:tcBorders>
            <w:noWrap/>
            <w:hideMark/>
          </w:tcPr>
          <w:p w:rsidR="007D109A" w:rsidRPr="00713C49" w:rsidP="007D109A" w14:paraId="66123A7A" w14:textId="6DE97AD5">
            <w:pPr>
              <w:pStyle w:val="RTableTextAbt"/>
              <w:rPr>
                <w:b/>
                <w:bCs w:val="0"/>
              </w:rPr>
            </w:pPr>
            <w:r w:rsidRPr="00713C49">
              <w:rPr>
                <w:b/>
                <w:bCs w:val="0"/>
              </w:rPr>
              <w:t xml:space="preserve">$1,939,869 </w:t>
            </w:r>
          </w:p>
        </w:tc>
        <w:tc>
          <w:tcPr>
            <w:tcW w:w="640" w:type="pct"/>
            <w:tcBorders>
              <w:top w:val="single" w:sz="4" w:space="0" w:color="auto"/>
              <w:left w:val="single" w:sz="4" w:space="0" w:color="auto"/>
              <w:bottom w:val="single" w:sz="4" w:space="0" w:color="auto"/>
              <w:right w:val="single" w:sz="4" w:space="0" w:color="auto"/>
            </w:tcBorders>
            <w:noWrap/>
            <w:hideMark/>
          </w:tcPr>
          <w:p w:rsidR="007D109A" w:rsidRPr="00713C49" w:rsidP="007D109A" w14:paraId="645A4EFB" w14:textId="0EA865E6">
            <w:pPr>
              <w:pStyle w:val="RTableTextAbt"/>
              <w:rPr>
                <w:b/>
                <w:bCs w:val="0"/>
              </w:rPr>
            </w:pPr>
            <w:r w:rsidRPr="00713C49">
              <w:rPr>
                <w:b/>
                <w:bCs w:val="0"/>
              </w:rPr>
              <w:t xml:space="preserve">$2,006,349 </w:t>
            </w:r>
          </w:p>
        </w:tc>
        <w:tc>
          <w:tcPr>
            <w:tcW w:w="543" w:type="pct"/>
            <w:tcBorders>
              <w:top w:val="single" w:sz="4" w:space="0" w:color="auto"/>
              <w:left w:val="single" w:sz="4" w:space="0" w:color="auto"/>
              <w:bottom w:val="single" w:sz="4" w:space="0" w:color="auto"/>
              <w:right w:val="single" w:sz="4" w:space="0" w:color="auto"/>
            </w:tcBorders>
            <w:noWrap/>
            <w:hideMark/>
          </w:tcPr>
          <w:p w:rsidR="007D109A" w:rsidRPr="00713C49" w:rsidP="007D109A" w14:paraId="7794EC44" w14:textId="66A71916">
            <w:pPr>
              <w:pStyle w:val="RTableTextAbt"/>
              <w:rPr>
                <w:b/>
                <w:bCs w:val="0"/>
              </w:rPr>
            </w:pPr>
            <w:r w:rsidRPr="00713C49">
              <w:rPr>
                <w:b/>
                <w:bCs w:val="0"/>
              </w:rPr>
              <w:t xml:space="preserve">$969,601 </w:t>
            </w:r>
          </w:p>
        </w:tc>
        <w:tc>
          <w:tcPr>
            <w:tcW w:w="570" w:type="pct"/>
            <w:tcBorders>
              <w:top w:val="single" w:sz="4" w:space="0" w:color="auto"/>
              <w:left w:val="single" w:sz="4" w:space="0" w:color="auto"/>
              <w:bottom w:val="single" w:sz="4" w:space="0" w:color="auto"/>
              <w:right w:val="single" w:sz="4" w:space="0" w:color="auto"/>
            </w:tcBorders>
            <w:noWrap/>
            <w:hideMark/>
          </w:tcPr>
          <w:p w:rsidR="007D109A" w:rsidRPr="00713C49" w:rsidP="007D109A" w14:paraId="2738DAED" w14:textId="4E6F0FC1">
            <w:pPr>
              <w:pStyle w:val="RTableTextAbt"/>
              <w:rPr>
                <w:b/>
                <w:bCs w:val="0"/>
              </w:rPr>
            </w:pPr>
            <w:r w:rsidRPr="00713C49">
              <w:rPr>
                <w:b/>
                <w:bCs w:val="0"/>
              </w:rPr>
              <w:t xml:space="preserve">$1,002,141 </w:t>
            </w:r>
          </w:p>
        </w:tc>
      </w:tr>
      <w:tr w14:paraId="0F7BC59D" w14:textId="77777777" w:rsidTr="007B6745">
        <w:tblPrEx>
          <w:tblW w:w="5000" w:type="pct"/>
          <w:tblCellMar>
            <w:left w:w="58" w:type="dxa"/>
            <w:right w:w="58" w:type="dxa"/>
          </w:tblCellMar>
          <w:tblLook w:val="04A0"/>
        </w:tblPrEx>
        <w:trPr>
          <w:trHeight w:val="280"/>
        </w:trPr>
        <w:tc>
          <w:tcPr>
            <w:tcW w:w="5000" w:type="pct"/>
            <w:gridSpan w:val="5"/>
            <w:tcBorders>
              <w:top w:val="single" w:sz="4" w:space="0" w:color="auto"/>
              <w:left w:val="single" w:sz="4" w:space="0" w:color="auto"/>
              <w:bottom w:val="single" w:sz="4" w:space="0" w:color="auto"/>
              <w:right w:val="single" w:sz="4" w:space="0" w:color="auto"/>
            </w:tcBorders>
            <w:hideMark/>
          </w:tcPr>
          <w:p w:rsidR="007B6745" w:rsidRPr="007B6745" w:rsidP="00F326FB" w14:paraId="0F857125" w14:textId="77777777">
            <w:pPr>
              <w:pStyle w:val="TableNote0"/>
            </w:pPr>
            <w:r w:rsidRPr="007B6745">
              <w:t>PPE = personal protective equipment</w:t>
            </w:r>
          </w:p>
          <w:p w:rsidR="007B6745" w:rsidRPr="007B6745" w:rsidP="00F326FB" w14:paraId="0D52555D" w14:textId="3A4FFE54">
            <w:pPr>
              <w:pStyle w:val="TableNote0"/>
            </w:pPr>
            <w:r w:rsidRPr="007B6745">
              <w:t>a. Proposed rule one-time costs (</w:t>
            </w:r>
            <w:r w:rsidRPr="007B6745">
              <w:fldChar w:fldCharType="begin" w:fldLock="1"/>
            </w:r>
            <w:r w:rsidRPr="007B6745">
              <w:instrText>REF _Ref177570998</w:instrText>
            </w:r>
            <w:r w:rsidR="00F326FB">
              <w:instrText xml:space="preserve"> \* MERGEFORMAT </w:instrText>
            </w:r>
            <w:r w:rsidRPr="007B6745">
              <w:fldChar w:fldCharType="separate"/>
            </w:r>
            <w:r w:rsidRPr="007B6745" w:rsidR="00735BBC">
              <w:t xml:space="preserve">Table </w:t>
            </w:r>
            <w:r w:rsidR="00735BBC">
              <w:t>4</w:t>
            </w:r>
            <w:r w:rsidR="00735BBC">
              <w:noBreakHyphen/>
              <w:t>11</w:t>
            </w:r>
            <w:r w:rsidRPr="007B6745">
              <w:fldChar w:fldCharType="end"/>
            </w:r>
            <w:r w:rsidRPr="007B6745">
              <w:t>) minus baseline one-time costs (</w:t>
            </w:r>
            <w:r w:rsidRPr="007B6745">
              <w:fldChar w:fldCharType="begin" w:fldLock="1"/>
            </w:r>
            <w:r w:rsidRPr="007B6745">
              <w:instrText>REF _Ref177571502</w:instrText>
            </w:r>
            <w:r w:rsidR="00F326FB">
              <w:instrText xml:space="preserve"> \* MERGEFORMAT </w:instrText>
            </w:r>
            <w:r w:rsidRPr="007B6745">
              <w:fldChar w:fldCharType="separate"/>
            </w:r>
            <w:r w:rsidRPr="007B6745" w:rsidR="00735BBC">
              <w:t xml:space="preserve">Table </w:t>
            </w:r>
            <w:r w:rsidR="00735BBC">
              <w:t>4</w:t>
            </w:r>
            <w:r w:rsidR="00735BBC">
              <w:noBreakHyphen/>
              <w:t>10</w:t>
            </w:r>
            <w:r w:rsidRPr="007B6745">
              <w:fldChar w:fldCharType="end"/>
            </w:r>
            <w:r w:rsidRPr="007B6745">
              <w:t>)</w:t>
            </w:r>
          </w:p>
          <w:p w:rsidR="007B6745" w:rsidRPr="007B6745" w:rsidP="00F326FB" w14:paraId="2AA177C0" w14:textId="1C7A37F5">
            <w:pPr>
              <w:pStyle w:val="TableNote0"/>
            </w:pPr>
            <w:r w:rsidRPr="007B6745">
              <w:t>b. Proposed rule annual recurring costs (</w:t>
            </w:r>
            <w:r w:rsidRPr="007B6745">
              <w:fldChar w:fldCharType="begin" w:fldLock="1"/>
            </w:r>
            <w:r w:rsidRPr="007B6745">
              <w:instrText>REF _Ref177571005</w:instrText>
            </w:r>
            <w:r w:rsidR="00F326FB">
              <w:instrText xml:space="preserve"> \* MERGEFORMAT </w:instrText>
            </w:r>
            <w:r w:rsidRPr="007B6745">
              <w:fldChar w:fldCharType="separate"/>
            </w:r>
            <w:r w:rsidRPr="00026204" w:rsidR="00735BBC">
              <w:t xml:space="preserve">Table </w:t>
            </w:r>
            <w:r w:rsidR="00735BBC">
              <w:t>4</w:t>
            </w:r>
            <w:r w:rsidR="00735BBC">
              <w:noBreakHyphen/>
              <w:t>12</w:t>
            </w:r>
            <w:r w:rsidRPr="007B6745">
              <w:fldChar w:fldCharType="end"/>
            </w:r>
            <w:r w:rsidRPr="007B6745">
              <w:t>) minus baseline annual recurring costs (</w:t>
            </w:r>
            <w:r w:rsidRPr="007B6745">
              <w:fldChar w:fldCharType="begin" w:fldLock="1"/>
            </w:r>
            <w:r w:rsidRPr="007B6745">
              <w:instrText>REF _Ref177571502</w:instrText>
            </w:r>
            <w:r w:rsidR="00F326FB">
              <w:instrText xml:space="preserve"> \* MERGEFORMAT </w:instrText>
            </w:r>
            <w:r w:rsidRPr="007B6745">
              <w:fldChar w:fldCharType="separate"/>
            </w:r>
            <w:r w:rsidRPr="007B6745" w:rsidR="00735BBC">
              <w:t xml:space="preserve">Table </w:t>
            </w:r>
            <w:r w:rsidR="00735BBC">
              <w:t>4</w:t>
            </w:r>
            <w:r w:rsidR="00735BBC">
              <w:noBreakHyphen/>
              <w:t>10</w:t>
            </w:r>
            <w:r w:rsidRPr="007B6745">
              <w:fldChar w:fldCharType="end"/>
            </w:r>
            <w:r w:rsidRPr="007B6745">
              <w:t>)</w:t>
            </w:r>
          </w:p>
        </w:tc>
      </w:tr>
    </w:tbl>
    <w:p w:rsidR="007B6745" w:rsidRPr="007B6745" w:rsidP="00832749" w14:paraId="1A58C8BE" w14:textId="77777777">
      <w:pPr>
        <w:pStyle w:val="BodyText"/>
      </w:pPr>
    </w:p>
    <w:p w:rsidR="007B6745" w:rsidRPr="007B6745" w:rsidP="00832749" w14:paraId="5B19D70C" w14:textId="77777777">
      <w:pPr>
        <w:pStyle w:val="Heading4"/>
      </w:pPr>
      <w:bookmarkStart w:id="209" w:name="_Ref177574527"/>
      <w:r w:rsidRPr="007B6745">
        <w:t>Alternative Option</w:t>
      </w:r>
      <w:bookmarkEnd w:id="209"/>
    </w:p>
    <w:p w:rsidR="007B6745" w:rsidRPr="007B6745" w:rsidP="00832749" w14:paraId="095BBFC7" w14:textId="5D747D1B">
      <w:pPr>
        <w:pStyle w:val="BodyText"/>
      </w:pPr>
      <w:r w:rsidRPr="4BA86F39">
        <w:rPr>
          <w:lang w:val="en-US"/>
        </w:rPr>
        <w:t>The alternative option requires that all workers wear PPE with an APF of 10 or higher when regulated PV29 is in use. As described in Section</w:t>
      </w:r>
      <w:r w:rsidR="00CE0FA7">
        <w:rPr>
          <w:lang w:val="en-US"/>
        </w:rPr>
        <w:fldChar w:fldCharType="begin" w:fldLock="1"/>
      </w:r>
      <w:r w:rsidR="00CE0FA7">
        <w:rPr>
          <w:lang w:val="en-US"/>
        </w:rPr>
        <w:instrText xml:space="preserve"> REF _Ref180498059 \r \h </w:instrText>
      </w:r>
      <w:r w:rsidR="00CE0FA7">
        <w:rPr>
          <w:lang w:val="en-US"/>
        </w:rPr>
        <w:fldChar w:fldCharType="separate"/>
      </w:r>
      <w:r w:rsidR="00735BBC">
        <w:rPr>
          <w:lang w:val="en-US"/>
        </w:rPr>
        <w:t>3</w:t>
      </w:r>
      <w:r w:rsidR="00CE0FA7">
        <w:rPr>
          <w:lang w:val="en-US"/>
        </w:rPr>
        <w:fldChar w:fldCharType="end"/>
      </w:r>
      <w:r w:rsidRPr="4BA86F39">
        <w:rPr>
          <w:lang w:val="en-US"/>
        </w:rPr>
        <w:t xml:space="preserve">, facilities that handle regulated PV29 already use N95 masks which are APF10, with compliance rates of 75 percent to 100 percent depending on the use category (see </w:t>
      </w:r>
      <w:r w:rsidRPr="007B6745">
        <w:fldChar w:fldCharType="begin" w:fldLock="1"/>
      </w:r>
      <w:r w:rsidRPr="007B6745">
        <w:instrText xml:space="preserve"> REF _Ref177571502 </w:instrText>
      </w:r>
      <w:r w:rsidR="00105ED0">
        <w:instrText xml:space="preserve"> \* MERGEFORMAT </w:instrText>
      </w:r>
      <w:r w:rsidRPr="007B6745">
        <w:fldChar w:fldCharType="separate"/>
      </w:r>
      <w:r w:rsidRPr="00735BBC" w:rsidR="00735BBC">
        <w:rPr>
          <w:lang w:val="en-US"/>
        </w:rPr>
        <w:t>Table 4</w:t>
      </w:r>
      <w:r w:rsidRPr="00735BBC" w:rsidR="00735BBC">
        <w:rPr>
          <w:lang w:val="en-US"/>
        </w:rPr>
        <w:noBreakHyphen/>
        <w:t>10</w:t>
      </w:r>
      <w:r w:rsidRPr="007B6745">
        <w:fldChar w:fldCharType="end"/>
      </w:r>
      <w:r w:rsidRPr="4BA86F39">
        <w:rPr>
          <w:lang w:val="en-US"/>
        </w:rPr>
        <w:t xml:space="preserve">). Under the alternative option, EPA assumes that facilities would incur costs associated with providing N95 masks to all exposed workers, as well as program and recordkeeping costs equivalent to the proposed option. </w:t>
      </w:r>
      <w:r w:rsidRPr="007B6745">
        <w:fldChar w:fldCharType="begin" w:fldLock="1"/>
      </w:r>
      <w:r w:rsidRPr="007B6745">
        <w:instrText xml:space="preserve"> REF _Ref177634870 </w:instrText>
      </w:r>
      <w:r w:rsidR="00105ED0">
        <w:instrText xml:space="preserve"> \* MERGEFORMAT </w:instrText>
      </w:r>
      <w:r w:rsidRPr="007B6745">
        <w:fldChar w:fldCharType="separate"/>
      </w:r>
      <w:r w:rsidRPr="00735BBC" w:rsidR="00735BBC">
        <w:rPr>
          <w:lang w:val="en-US"/>
        </w:rPr>
        <w:t>Table 4</w:t>
      </w:r>
      <w:r w:rsidRPr="00735BBC" w:rsidR="00735BBC">
        <w:rPr>
          <w:lang w:val="en-US"/>
        </w:rPr>
        <w:noBreakHyphen/>
        <w:t>14</w:t>
      </w:r>
      <w:r w:rsidRPr="007B6745">
        <w:fldChar w:fldCharType="end"/>
      </w:r>
      <w:r w:rsidRPr="4BA86F39">
        <w:rPr>
          <w:lang w:val="en-US"/>
        </w:rPr>
        <w:t xml:space="preserve"> and </w:t>
      </w:r>
      <w:r w:rsidRPr="007B6745">
        <w:fldChar w:fldCharType="begin" w:fldLock="1"/>
      </w:r>
      <w:r w:rsidRPr="007B6745">
        <w:instrText xml:space="preserve"> REF _Ref177634881 </w:instrText>
      </w:r>
      <w:r w:rsidR="00105ED0">
        <w:instrText xml:space="preserve"> \* MERGEFORMAT </w:instrText>
      </w:r>
      <w:r w:rsidRPr="007B6745">
        <w:fldChar w:fldCharType="separate"/>
      </w:r>
      <w:r w:rsidRPr="00735BBC" w:rsidR="00735BBC">
        <w:rPr>
          <w:lang w:val="en-US"/>
        </w:rPr>
        <w:t>Table 4</w:t>
      </w:r>
      <w:r w:rsidRPr="00735BBC" w:rsidR="00735BBC">
        <w:rPr>
          <w:lang w:val="en-US"/>
        </w:rPr>
        <w:noBreakHyphen/>
        <w:t>15</w:t>
      </w:r>
      <w:r w:rsidRPr="007B6745">
        <w:fldChar w:fldCharType="end"/>
      </w:r>
      <w:r w:rsidRPr="4BA86F39">
        <w:rPr>
          <w:lang w:val="en-US"/>
        </w:rPr>
        <w:t xml:space="preserve"> show the resultant total one-time and annual recurring costs. </w:t>
      </w:r>
    </w:p>
    <w:p w:rsidR="007B6745" w:rsidRPr="007B6745" w:rsidP="00832749" w14:paraId="1FD8F5A9" w14:textId="4431166C">
      <w:pPr>
        <w:pStyle w:val="BodyText"/>
      </w:pPr>
      <w:r w:rsidRPr="4BA86F39">
        <w:rPr>
          <w:lang w:val="en-US"/>
        </w:rPr>
        <w:t>The incremental PPE costs are the total PPE costs minus the PPE costs under the baseline (</w:t>
      </w:r>
      <w:r w:rsidRPr="007B6745">
        <w:fldChar w:fldCharType="begin" w:fldLock="1"/>
      </w:r>
      <w:r w:rsidRPr="007B6745">
        <w:instrText>REF _Ref177571502</w:instrText>
      </w:r>
      <w:r w:rsidR="00105ED0">
        <w:instrText xml:space="preserve"> \* MERGEFORMAT </w:instrText>
      </w:r>
      <w:r w:rsidRPr="007B6745">
        <w:fldChar w:fldCharType="separate"/>
      </w:r>
      <w:r w:rsidRPr="00735BBC" w:rsidR="00735BBC">
        <w:rPr>
          <w:lang w:val="en-US"/>
        </w:rPr>
        <w:t>Table 4</w:t>
      </w:r>
      <w:r w:rsidRPr="00735BBC" w:rsidR="00735BBC">
        <w:rPr>
          <w:lang w:val="en-US"/>
        </w:rPr>
        <w:noBreakHyphen/>
        <w:t>10</w:t>
      </w:r>
      <w:r w:rsidRPr="007B6745">
        <w:fldChar w:fldCharType="end"/>
      </w:r>
      <w:r w:rsidRPr="4BA86F39">
        <w:rPr>
          <w:lang w:val="en-US"/>
        </w:rPr>
        <w:t xml:space="preserve">).  </w:t>
      </w:r>
      <w:r w:rsidRPr="007B6745">
        <w:fldChar w:fldCharType="begin" w:fldLock="1"/>
      </w:r>
      <w:r w:rsidRPr="007B6745">
        <w:instrText>REF _Ref177634923</w:instrText>
      </w:r>
      <w:r w:rsidR="00105ED0">
        <w:instrText xml:space="preserve"> \* MERGEFORMAT </w:instrText>
      </w:r>
      <w:r w:rsidRPr="007B6745">
        <w:fldChar w:fldCharType="separate"/>
      </w:r>
      <w:r w:rsidRPr="00735BBC" w:rsidR="00735BBC">
        <w:rPr>
          <w:lang w:val="en-US"/>
        </w:rPr>
        <w:t>Table 4</w:t>
      </w:r>
      <w:r w:rsidRPr="00735BBC" w:rsidR="00735BBC">
        <w:rPr>
          <w:lang w:val="en-US"/>
        </w:rPr>
        <w:noBreakHyphen/>
        <w:t>16</w:t>
      </w:r>
      <w:r w:rsidRPr="007B6745">
        <w:fldChar w:fldCharType="end"/>
      </w:r>
      <w:r w:rsidRPr="4BA86F39">
        <w:rPr>
          <w:lang w:val="en-US"/>
        </w:rPr>
        <w:t xml:space="preserve"> shows the resultant incremental PPE costs under the alternative option.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tblPr>
      <w:tblGrid>
        <w:gridCol w:w="3685"/>
        <w:gridCol w:w="857"/>
        <w:gridCol w:w="1204"/>
        <w:gridCol w:w="1204"/>
        <w:gridCol w:w="1204"/>
        <w:gridCol w:w="1206"/>
      </w:tblGrid>
      <w:tr w14:paraId="4784505F" w14:textId="77777777" w:rsidTr="0002620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tblPrEx>
        <w:trPr>
          <w:trHeight w:val="279"/>
          <w:tblHeader/>
        </w:trPr>
        <w:tc>
          <w:tcPr>
            <w:tcW w:w="5000" w:type="pct"/>
            <w:gridSpan w:val="6"/>
            <w:tcBorders>
              <w:top w:val="nil"/>
              <w:left w:val="nil"/>
              <w:bottom w:val="single" w:sz="4" w:space="0" w:color="auto"/>
              <w:right w:val="nil"/>
            </w:tcBorders>
            <w:shd w:val="clear" w:color="auto" w:fill="auto"/>
            <w:vAlign w:val="center"/>
          </w:tcPr>
          <w:p w:rsidR="00026204" w:rsidRPr="00026204" w:rsidP="00026204" w14:paraId="5A855114" w14:textId="7B30FB34">
            <w:pPr>
              <w:pStyle w:val="TableTitleA"/>
            </w:pPr>
            <w:bookmarkStart w:id="210" w:name="_Ref177634870"/>
            <w:bookmarkStart w:id="211" w:name="_Toc184299570"/>
            <w:r w:rsidRPr="007B6745">
              <w:t xml:space="preserve">Table </w:t>
            </w:r>
            <w:r>
              <w:fldChar w:fldCharType="begin" w:fldLock="1"/>
            </w:r>
            <w:r>
              <w:instrText>STYLEREF 1 \s</w:instrText>
            </w:r>
            <w:r>
              <w:fldChar w:fldCharType="separate"/>
            </w:r>
            <w:r w:rsidR="00735BBC">
              <w:rPr>
                <w:noProof/>
              </w:rPr>
              <w:t>4</w:t>
            </w:r>
            <w:r>
              <w:fldChar w:fldCharType="end"/>
            </w:r>
            <w:r w:rsidR="000A1542">
              <w:noBreakHyphen/>
            </w:r>
            <w:r>
              <w:fldChar w:fldCharType="begin" w:fldLock="1"/>
            </w:r>
            <w:r>
              <w:instrText>SEQ Table \* ARABIC \s 1</w:instrText>
            </w:r>
            <w:r>
              <w:fldChar w:fldCharType="separate"/>
            </w:r>
            <w:r w:rsidR="00735BBC">
              <w:rPr>
                <w:noProof/>
              </w:rPr>
              <w:t>14</w:t>
            </w:r>
            <w:r>
              <w:fldChar w:fldCharType="end"/>
            </w:r>
            <w:bookmarkEnd w:id="210"/>
            <w:r w:rsidRPr="007B6745">
              <w:t>: Alternative Option Total One-time PPE Costs</w:t>
            </w:r>
            <w:r>
              <w:t xml:space="preserve"> </w:t>
            </w:r>
            <w:r w:rsidRPr="007B6745">
              <w:t>(2023$)</w:t>
            </w:r>
            <w:bookmarkEnd w:id="211"/>
          </w:p>
        </w:tc>
      </w:tr>
      <w:tr w14:paraId="216BEE0D" w14:textId="77777777" w:rsidTr="007D109A">
        <w:tblPrEx>
          <w:tblW w:w="5000" w:type="pct"/>
          <w:tblCellMar>
            <w:left w:w="58" w:type="dxa"/>
            <w:right w:w="58" w:type="dxa"/>
          </w:tblCellMar>
          <w:tblLook w:val="04A0"/>
        </w:tblPrEx>
        <w:trPr>
          <w:trHeight w:val="280"/>
          <w:tblHeader/>
        </w:trPr>
        <w:tc>
          <w:tcPr>
            <w:tcW w:w="1863"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1646E5BF" w14:textId="77777777">
            <w:pPr>
              <w:pStyle w:val="TableSubtitle"/>
            </w:pPr>
            <w:r w:rsidRPr="007B6745">
              <w:t>Use category</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38E89253" w14:textId="15C4DBFA">
            <w:pPr>
              <w:pStyle w:val="TableSubtitle"/>
            </w:pPr>
            <w:r w:rsidRPr="007B6745">
              <w:t>Program costs</w:t>
            </w:r>
            <w:r w:rsidRPr="007B6745">
              <w:rPr>
                <w:vertAlign w:val="superscript"/>
              </w:rPr>
              <w:t>a</w:t>
            </w:r>
          </w:p>
        </w:tc>
        <w:tc>
          <w:tcPr>
            <w:tcW w:w="1350"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4D424DFF" w14:textId="1E64337D">
            <w:pPr>
              <w:pStyle w:val="TableSubtitle"/>
            </w:pPr>
            <w:r w:rsidRPr="007B6745">
              <w:t>Respirator costs</w:t>
            </w:r>
            <w:r w:rsidRPr="007B6745">
              <w:rPr>
                <w:vertAlign w:val="superscript"/>
              </w:rPr>
              <w:t>b</w:t>
            </w:r>
          </w:p>
        </w:tc>
        <w:tc>
          <w:tcPr>
            <w:tcW w:w="1350"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03B7134C" w14:textId="4B6E5BC2">
            <w:pPr>
              <w:pStyle w:val="TableSubtitle"/>
            </w:pPr>
            <w:r w:rsidRPr="007B6745">
              <w:t>Total costs</w:t>
            </w:r>
            <w:r w:rsidRPr="007B6745">
              <w:rPr>
                <w:vertAlign w:val="superscript"/>
              </w:rPr>
              <w:t>c</w:t>
            </w:r>
          </w:p>
        </w:tc>
      </w:tr>
      <w:tr w14:paraId="3D1A41AB" w14:textId="77777777" w:rsidTr="007D109A">
        <w:tblPrEx>
          <w:tblW w:w="5000" w:type="pct"/>
          <w:tblCellMar>
            <w:left w:w="58" w:type="dxa"/>
            <w:right w:w="58" w:type="dxa"/>
          </w:tblCellMar>
          <w:tblLook w:val="04A0"/>
        </w:tblPrEx>
        <w:trPr>
          <w:trHeight w:val="300"/>
          <w:tblHeader/>
        </w:trPr>
        <w:tc>
          <w:tcPr>
            <w:tcW w:w="0" w:type="auto"/>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44983F57" w14:textId="77777777">
            <w:pPr>
              <w:pStyle w:val="TableSubtitle"/>
            </w:pPr>
          </w:p>
        </w:tc>
        <w:tc>
          <w:tcPr>
            <w:tcW w:w="0" w:type="auto"/>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1FC2C58C" w14:textId="77777777">
            <w:pPr>
              <w:pStyle w:val="TableSubtitle"/>
            </w:pPr>
          </w:p>
        </w:tc>
        <w:tc>
          <w:tcPr>
            <w:tcW w:w="675"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0E2156A4" w14:textId="77777777">
            <w:pPr>
              <w:pStyle w:val="TableSubtitle"/>
            </w:pPr>
            <w:r w:rsidRPr="007B6745">
              <w:t>Low</w:t>
            </w:r>
          </w:p>
        </w:tc>
        <w:tc>
          <w:tcPr>
            <w:tcW w:w="675"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30058FB2" w14:textId="77777777">
            <w:pPr>
              <w:pStyle w:val="TableSubtitle"/>
            </w:pPr>
            <w:r w:rsidRPr="007B6745">
              <w:t>High</w:t>
            </w:r>
          </w:p>
        </w:tc>
        <w:tc>
          <w:tcPr>
            <w:tcW w:w="675"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60666964" w14:textId="77777777">
            <w:pPr>
              <w:pStyle w:val="TableSubtitle"/>
            </w:pPr>
            <w:r w:rsidRPr="007B6745">
              <w:t>Low</w:t>
            </w:r>
          </w:p>
        </w:tc>
        <w:tc>
          <w:tcPr>
            <w:tcW w:w="675"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53E61757" w14:textId="77777777">
            <w:pPr>
              <w:pStyle w:val="TableSubtitle"/>
            </w:pPr>
            <w:r w:rsidRPr="007B6745">
              <w:t>High</w:t>
            </w:r>
          </w:p>
        </w:tc>
      </w:tr>
      <w:tr w14:paraId="0CFE8674" w14:textId="77777777" w:rsidTr="00BD3D2B">
        <w:tblPrEx>
          <w:tblW w:w="5000" w:type="pct"/>
          <w:tblCellMar>
            <w:left w:w="58" w:type="dxa"/>
            <w:right w:w="58" w:type="dxa"/>
          </w:tblCellMar>
          <w:tblLook w:val="04A0"/>
        </w:tblPrEx>
        <w:trPr>
          <w:trHeight w:val="260"/>
        </w:trPr>
        <w:tc>
          <w:tcPr>
            <w:tcW w:w="1863"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33560787" w14:textId="77777777">
            <w:pPr>
              <w:pStyle w:val="LTableTextAbt"/>
            </w:pPr>
            <w:r w:rsidRPr="007B6745">
              <w:t>PV29 manufacturing and intermediate processing</w:t>
            </w:r>
          </w:p>
        </w:tc>
        <w:tc>
          <w:tcPr>
            <w:tcW w:w="436" w:type="pct"/>
            <w:tcBorders>
              <w:top w:val="single" w:sz="4" w:space="0" w:color="auto"/>
              <w:left w:val="single" w:sz="4" w:space="0" w:color="auto"/>
              <w:bottom w:val="single" w:sz="4" w:space="0" w:color="auto"/>
              <w:right w:val="single" w:sz="4" w:space="0" w:color="auto"/>
            </w:tcBorders>
            <w:hideMark/>
          </w:tcPr>
          <w:p w:rsidR="007D109A" w:rsidRPr="007B6745" w:rsidP="007D109A" w14:paraId="066B87AF" w14:textId="0C4BB3D1">
            <w:pPr>
              <w:pStyle w:val="RTableTextAbt"/>
            </w:pPr>
            <w:r w:rsidRPr="00EF1C45">
              <w:t xml:space="preserve">$593 </w:t>
            </w:r>
          </w:p>
        </w:tc>
        <w:tc>
          <w:tcPr>
            <w:tcW w:w="675"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6640FC8B" w14:textId="6F28F460">
            <w:pPr>
              <w:pStyle w:val="RTableTextAbt"/>
            </w:pPr>
            <w:r w:rsidRPr="00645F61">
              <w:t xml:space="preserve">$6,206 </w:t>
            </w:r>
          </w:p>
        </w:tc>
        <w:tc>
          <w:tcPr>
            <w:tcW w:w="675"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662554A2" w14:textId="4E5DCC9D">
            <w:pPr>
              <w:pStyle w:val="RTableTextAbt"/>
            </w:pPr>
            <w:r w:rsidRPr="00645F61">
              <w:t xml:space="preserve">$8,346 </w:t>
            </w:r>
          </w:p>
        </w:tc>
        <w:tc>
          <w:tcPr>
            <w:tcW w:w="675"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412CB985" w14:textId="649DF87E">
            <w:pPr>
              <w:pStyle w:val="RTableTextAbt"/>
            </w:pPr>
            <w:r w:rsidRPr="00645F61">
              <w:t xml:space="preserve">$6,799 </w:t>
            </w:r>
          </w:p>
        </w:tc>
        <w:tc>
          <w:tcPr>
            <w:tcW w:w="675"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6BD60805" w14:textId="2513055E">
            <w:pPr>
              <w:pStyle w:val="RTableTextAbt"/>
            </w:pPr>
            <w:r w:rsidRPr="00645F61">
              <w:t xml:space="preserve">$8,939 </w:t>
            </w:r>
          </w:p>
        </w:tc>
      </w:tr>
      <w:tr w14:paraId="32372299" w14:textId="77777777" w:rsidTr="00BD3D2B">
        <w:tblPrEx>
          <w:tblW w:w="5000" w:type="pct"/>
          <w:tblCellMar>
            <w:left w:w="58" w:type="dxa"/>
            <w:right w:w="58" w:type="dxa"/>
          </w:tblCellMar>
          <w:tblLook w:val="04A0"/>
        </w:tblPrEx>
        <w:trPr>
          <w:trHeight w:val="260"/>
        </w:trPr>
        <w:tc>
          <w:tcPr>
            <w:tcW w:w="1863" w:type="pct"/>
            <w:tcBorders>
              <w:top w:val="single" w:sz="4" w:space="0" w:color="auto"/>
              <w:left w:val="single" w:sz="4" w:space="0" w:color="auto"/>
              <w:bottom w:val="single" w:sz="4" w:space="0" w:color="auto"/>
              <w:right w:val="single" w:sz="4" w:space="0" w:color="auto"/>
            </w:tcBorders>
            <w:noWrap/>
          </w:tcPr>
          <w:p w:rsidR="007D109A" w:rsidRPr="007B6745" w:rsidP="007D109A" w14:paraId="051658A6" w14:textId="613039F0">
            <w:pPr>
              <w:pStyle w:val="LTableTextAbt"/>
            </w:pPr>
            <w:r>
              <w:t>PV29 importing</w:t>
            </w:r>
          </w:p>
        </w:tc>
        <w:tc>
          <w:tcPr>
            <w:tcW w:w="436" w:type="pct"/>
            <w:tcBorders>
              <w:top w:val="single" w:sz="4" w:space="0" w:color="auto"/>
              <w:left w:val="single" w:sz="4" w:space="0" w:color="auto"/>
              <w:bottom w:val="single" w:sz="4" w:space="0" w:color="auto"/>
              <w:right w:val="single" w:sz="4" w:space="0" w:color="auto"/>
            </w:tcBorders>
          </w:tcPr>
          <w:p w:rsidR="007D109A" w:rsidRPr="007B6745" w:rsidP="007D109A" w14:paraId="455396A5" w14:textId="44899506">
            <w:pPr>
              <w:pStyle w:val="RTableTextAbt"/>
            </w:pPr>
            <w:r w:rsidRPr="00EF1C45">
              <w:t xml:space="preserve">$593 </w:t>
            </w:r>
          </w:p>
        </w:tc>
        <w:tc>
          <w:tcPr>
            <w:tcW w:w="675" w:type="pct"/>
            <w:tcBorders>
              <w:top w:val="single" w:sz="4" w:space="0" w:color="auto"/>
              <w:left w:val="single" w:sz="4" w:space="0" w:color="auto"/>
              <w:bottom w:val="single" w:sz="4" w:space="0" w:color="auto"/>
              <w:right w:val="single" w:sz="4" w:space="0" w:color="auto"/>
            </w:tcBorders>
            <w:noWrap/>
          </w:tcPr>
          <w:p w:rsidR="007D109A" w:rsidRPr="007B6745" w:rsidP="007D109A" w14:paraId="32C71694" w14:textId="06DFD1A3">
            <w:pPr>
              <w:pStyle w:val="RTableTextAbt"/>
              <w:rPr>
                <w:lang w:val="en-GB"/>
              </w:rPr>
            </w:pPr>
            <w:r w:rsidRPr="00645F61">
              <w:t xml:space="preserve">$2,033 </w:t>
            </w:r>
          </w:p>
        </w:tc>
        <w:tc>
          <w:tcPr>
            <w:tcW w:w="675" w:type="pct"/>
            <w:tcBorders>
              <w:top w:val="single" w:sz="4" w:space="0" w:color="auto"/>
              <w:left w:val="single" w:sz="4" w:space="0" w:color="auto"/>
              <w:bottom w:val="single" w:sz="4" w:space="0" w:color="auto"/>
              <w:right w:val="single" w:sz="4" w:space="0" w:color="auto"/>
            </w:tcBorders>
            <w:noWrap/>
          </w:tcPr>
          <w:p w:rsidR="007D109A" w:rsidRPr="007B6745" w:rsidP="007D109A" w14:paraId="1AB9EF0E" w14:textId="537A024E">
            <w:pPr>
              <w:pStyle w:val="RTableTextAbt"/>
              <w:rPr>
                <w:lang w:val="en-GB"/>
              </w:rPr>
            </w:pPr>
            <w:r w:rsidRPr="00645F61">
              <w:t xml:space="preserve">$2,033 </w:t>
            </w:r>
          </w:p>
        </w:tc>
        <w:tc>
          <w:tcPr>
            <w:tcW w:w="675" w:type="pct"/>
            <w:tcBorders>
              <w:top w:val="single" w:sz="4" w:space="0" w:color="auto"/>
              <w:left w:val="single" w:sz="4" w:space="0" w:color="auto"/>
              <w:bottom w:val="single" w:sz="4" w:space="0" w:color="auto"/>
              <w:right w:val="single" w:sz="4" w:space="0" w:color="auto"/>
            </w:tcBorders>
            <w:noWrap/>
          </w:tcPr>
          <w:p w:rsidR="007D109A" w:rsidRPr="007B6745" w:rsidP="007D109A" w14:paraId="6A14A3E8" w14:textId="0AB73BA1">
            <w:pPr>
              <w:pStyle w:val="RTableTextAbt"/>
              <w:rPr>
                <w:lang w:val="en-GB"/>
              </w:rPr>
            </w:pPr>
            <w:r w:rsidRPr="00645F61">
              <w:t xml:space="preserve">$2,626 </w:t>
            </w:r>
          </w:p>
        </w:tc>
        <w:tc>
          <w:tcPr>
            <w:tcW w:w="675" w:type="pct"/>
            <w:tcBorders>
              <w:top w:val="single" w:sz="4" w:space="0" w:color="auto"/>
              <w:left w:val="single" w:sz="4" w:space="0" w:color="auto"/>
              <w:bottom w:val="single" w:sz="4" w:space="0" w:color="auto"/>
              <w:right w:val="single" w:sz="4" w:space="0" w:color="auto"/>
            </w:tcBorders>
            <w:noWrap/>
          </w:tcPr>
          <w:p w:rsidR="007D109A" w:rsidRPr="007B6745" w:rsidP="007D109A" w14:paraId="34E0E17C" w14:textId="327736C0">
            <w:pPr>
              <w:pStyle w:val="RTableTextAbt"/>
              <w:rPr>
                <w:lang w:val="en-GB"/>
              </w:rPr>
            </w:pPr>
            <w:r w:rsidRPr="00645F61">
              <w:t xml:space="preserve">$2,626 </w:t>
            </w:r>
          </w:p>
        </w:tc>
      </w:tr>
      <w:tr w14:paraId="6FD3A36B" w14:textId="77777777" w:rsidTr="00BD3D2B">
        <w:tblPrEx>
          <w:tblW w:w="5000" w:type="pct"/>
          <w:tblCellMar>
            <w:left w:w="58" w:type="dxa"/>
            <w:right w:w="58" w:type="dxa"/>
          </w:tblCellMar>
          <w:tblLook w:val="04A0"/>
        </w:tblPrEx>
        <w:trPr>
          <w:trHeight w:val="260"/>
        </w:trPr>
        <w:tc>
          <w:tcPr>
            <w:tcW w:w="1863"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1B78D381" w14:textId="77777777">
            <w:pPr>
              <w:pStyle w:val="LTableTextAbt"/>
            </w:pPr>
            <w:r w:rsidRPr="007B6745">
              <w:t>Processing into automotive paints and coatings</w:t>
            </w:r>
          </w:p>
        </w:tc>
        <w:tc>
          <w:tcPr>
            <w:tcW w:w="436" w:type="pct"/>
            <w:tcBorders>
              <w:top w:val="single" w:sz="4" w:space="0" w:color="auto"/>
              <w:left w:val="single" w:sz="4" w:space="0" w:color="auto"/>
              <w:bottom w:val="single" w:sz="4" w:space="0" w:color="auto"/>
              <w:right w:val="single" w:sz="4" w:space="0" w:color="auto"/>
            </w:tcBorders>
            <w:hideMark/>
          </w:tcPr>
          <w:p w:rsidR="007D109A" w:rsidRPr="007B6745" w:rsidP="007D109A" w14:paraId="0556BAA8" w14:textId="3BC30D77">
            <w:pPr>
              <w:pStyle w:val="RTableTextAbt"/>
            </w:pPr>
            <w:r w:rsidRPr="00EF1C45">
              <w:t xml:space="preserve">$8,302 </w:t>
            </w:r>
          </w:p>
        </w:tc>
        <w:tc>
          <w:tcPr>
            <w:tcW w:w="675"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6B437ABF" w14:textId="7798EF2C">
            <w:pPr>
              <w:pStyle w:val="RTableTextAbt"/>
            </w:pPr>
            <w:r w:rsidRPr="00645F61">
              <w:t xml:space="preserve">$28,462 </w:t>
            </w:r>
          </w:p>
        </w:tc>
        <w:tc>
          <w:tcPr>
            <w:tcW w:w="675"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16C8E8AD" w14:textId="3B59930C">
            <w:pPr>
              <w:pStyle w:val="RTableTextAbt"/>
            </w:pPr>
            <w:r w:rsidRPr="00645F61">
              <w:t xml:space="preserve">$28,462 </w:t>
            </w:r>
          </w:p>
        </w:tc>
        <w:tc>
          <w:tcPr>
            <w:tcW w:w="675"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3492EEEB" w14:textId="5294DF48">
            <w:pPr>
              <w:pStyle w:val="RTableTextAbt"/>
            </w:pPr>
            <w:r w:rsidRPr="00645F61">
              <w:t xml:space="preserve">$36,764 </w:t>
            </w:r>
          </w:p>
        </w:tc>
        <w:tc>
          <w:tcPr>
            <w:tcW w:w="675"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03E47E73" w14:textId="3E55CA4B">
            <w:pPr>
              <w:pStyle w:val="RTableTextAbt"/>
            </w:pPr>
            <w:r w:rsidRPr="00645F61">
              <w:t xml:space="preserve">$36,764 </w:t>
            </w:r>
          </w:p>
        </w:tc>
      </w:tr>
      <w:tr w14:paraId="22C2F772" w14:textId="77777777" w:rsidTr="00BD3D2B">
        <w:tblPrEx>
          <w:tblW w:w="5000" w:type="pct"/>
          <w:tblCellMar>
            <w:left w:w="58" w:type="dxa"/>
            <w:right w:w="58" w:type="dxa"/>
          </w:tblCellMar>
          <w:tblLook w:val="04A0"/>
        </w:tblPrEx>
        <w:trPr>
          <w:trHeight w:val="260"/>
        </w:trPr>
        <w:tc>
          <w:tcPr>
            <w:tcW w:w="1863"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25312F11" w14:textId="77777777">
            <w:pPr>
              <w:pStyle w:val="LTableTextAbt"/>
            </w:pPr>
            <w:r w:rsidRPr="007B6745">
              <w:t>Processing into plastic and rubber products</w:t>
            </w:r>
          </w:p>
        </w:tc>
        <w:tc>
          <w:tcPr>
            <w:tcW w:w="436" w:type="pct"/>
            <w:tcBorders>
              <w:top w:val="single" w:sz="4" w:space="0" w:color="auto"/>
              <w:left w:val="single" w:sz="4" w:space="0" w:color="auto"/>
              <w:bottom w:val="single" w:sz="4" w:space="0" w:color="auto"/>
              <w:right w:val="single" w:sz="4" w:space="0" w:color="auto"/>
            </w:tcBorders>
            <w:hideMark/>
          </w:tcPr>
          <w:p w:rsidR="007D109A" w:rsidRPr="007B6745" w:rsidP="007D109A" w14:paraId="6AE767EE" w14:textId="48CE77E8">
            <w:pPr>
              <w:pStyle w:val="RTableTextAbt"/>
            </w:pPr>
            <w:r w:rsidRPr="00EF1C45">
              <w:t xml:space="preserve">$3,558 </w:t>
            </w:r>
          </w:p>
        </w:tc>
        <w:tc>
          <w:tcPr>
            <w:tcW w:w="675"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4A8AFD9C" w14:textId="3FE026AA">
            <w:pPr>
              <w:pStyle w:val="RTableTextAbt"/>
            </w:pPr>
            <w:r w:rsidRPr="00645F61">
              <w:t xml:space="preserve">$25,038 </w:t>
            </w:r>
          </w:p>
        </w:tc>
        <w:tc>
          <w:tcPr>
            <w:tcW w:w="675"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51303618" w14:textId="7CE71358">
            <w:pPr>
              <w:pStyle w:val="RTableTextAbt"/>
            </w:pPr>
            <w:r w:rsidRPr="00645F61">
              <w:t xml:space="preserve">$25,038 </w:t>
            </w:r>
          </w:p>
        </w:tc>
        <w:tc>
          <w:tcPr>
            <w:tcW w:w="675"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41980A30" w14:textId="161EFC98">
            <w:pPr>
              <w:pStyle w:val="RTableTextAbt"/>
            </w:pPr>
            <w:r w:rsidRPr="00645F61">
              <w:t xml:space="preserve">$28,596 </w:t>
            </w:r>
          </w:p>
        </w:tc>
        <w:tc>
          <w:tcPr>
            <w:tcW w:w="675"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00CBBA9E" w14:textId="0E8A1DD3">
            <w:pPr>
              <w:pStyle w:val="RTableTextAbt"/>
            </w:pPr>
            <w:r w:rsidRPr="00645F61">
              <w:t xml:space="preserve">$28,596 </w:t>
            </w:r>
          </w:p>
        </w:tc>
      </w:tr>
      <w:tr w14:paraId="3A979434" w14:textId="77777777" w:rsidTr="00BD3D2B">
        <w:tblPrEx>
          <w:tblW w:w="5000" w:type="pct"/>
          <w:tblCellMar>
            <w:left w:w="58" w:type="dxa"/>
            <w:right w:w="58" w:type="dxa"/>
          </w:tblCellMar>
          <w:tblLook w:val="04A0"/>
        </w:tblPrEx>
        <w:trPr>
          <w:trHeight w:val="280"/>
        </w:trPr>
        <w:tc>
          <w:tcPr>
            <w:tcW w:w="1863" w:type="pct"/>
            <w:tcBorders>
              <w:top w:val="single" w:sz="4" w:space="0" w:color="auto"/>
              <w:left w:val="single" w:sz="4" w:space="0" w:color="auto"/>
              <w:bottom w:val="single" w:sz="4" w:space="0" w:color="auto"/>
              <w:right w:val="single" w:sz="4" w:space="0" w:color="auto"/>
            </w:tcBorders>
            <w:hideMark/>
          </w:tcPr>
          <w:p w:rsidR="007D109A" w:rsidRPr="007B6745" w:rsidP="007D109A" w14:paraId="2C9BA529" w14:textId="77777777">
            <w:pPr>
              <w:pStyle w:val="LTableTextAbt"/>
              <w:rPr>
                <w:b/>
              </w:rPr>
            </w:pPr>
            <w:r w:rsidRPr="007B6745">
              <w:rPr>
                <w:b/>
              </w:rPr>
              <w:t>Total</w:t>
            </w:r>
          </w:p>
        </w:tc>
        <w:tc>
          <w:tcPr>
            <w:tcW w:w="436" w:type="pct"/>
            <w:tcBorders>
              <w:top w:val="single" w:sz="4" w:space="0" w:color="auto"/>
              <w:left w:val="single" w:sz="4" w:space="0" w:color="auto"/>
              <w:bottom w:val="single" w:sz="4" w:space="0" w:color="auto"/>
              <w:right w:val="single" w:sz="4" w:space="0" w:color="auto"/>
            </w:tcBorders>
            <w:hideMark/>
          </w:tcPr>
          <w:p w:rsidR="007D109A" w:rsidRPr="0036383D" w:rsidP="007D109A" w14:paraId="6A1BE594" w14:textId="771CBDBC">
            <w:pPr>
              <w:pStyle w:val="RTableTextAbt"/>
              <w:rPr>
                <w:b/>
                <w:bCs w:val="0"/>
              </w:rPr>
            </w:pPr>
            <w:r w:rsidRPr="0036383D">
              <w:rPr>
                <w:b/>
                <w:bCs w:val="0"/>
              </w:rPr>
              <w:t xml:space="preserve">$13,046 </w:t>
            </w:r>
          </w:p>
        </w:tc>
        <w:tc>
          <w:tcPr>
            <w:tcW w:w="675" w:type="pct"/>
            <w:tcBorders>
              <w:top w:val="single" w:sz="4" w:space="0" w:color="auto"/>
              <w:left w:val="single" w:sz="4" w:space="0" w:color="auto"/>
              <w:bottom w:val="single" w:sz="4" w:space="0" w:color="auto"/>
              <w:right w:val="single" w:sz="4" w:space="0" w:color="auto"/>
            </w:tcBorders>
            <w:noWrap/>
            <w:hideMark/>
          </w:tcPr>
          <w:p w:rsidR="007D109A" w:rsidRPr="0036383D" w:rsidP="007D109A" w14:paraId="4B43527E" w14:textId="4C989E0E">
            <w:pPr>
              <w:pStyle w:val="RTableTextAbt"/>
              <w:rPr>
                <w:b/>
                <w:bCs w:val="0"/>
              </w:rPr>
            </w:pPr>
            <w:r w:rsidRPr="0036383D">
              <w:rPr>
                <w:b/>
                <w:bCs w:val="0"/>
              </w:rPr>
              <w:t xml:space="preserve">$61,739 </w:t>
            </w:r>
          </w:p>
        </w:tc>
        <w:tc>
          <w:tcPr>
            <w:tcW w:w="675" w:type="pct"/>
            <w:tcBorders>
              <w:top w:val="single" w:sz="4" w:space="0" w:color="auto"/>
              <w:left w:val="single" w:sz="4" w:space="0" w:color="auto"/>
              <w:bottom w:val="single" w:sz="4" w:space="0" w:color="auto"/>
              <w:right w:val="single" w:sz="4" w:space="0" w:color="auto"/>
            </w:tcBorders>
            <w:noWrap/>
            <w:hideMark/>
          </w:tcPr>
          <w:p w:rsidR="007D109A" w:rsidRPr="0036383D" w:rsidP="007D109A" w14:paraId="70C08755" w14:textId="4FC28416">
            <w:pPr>
              <w:pStyle w:val="RTableTextAbt"/>
              <w:rPr>
                <w:b/>
                <w:bCs w:val="0"/>
              </w:rPr>
            </w:pPr>
            <w:r w:rsidRPr="0036383D">
              <w:rPr>
                <w:b/>
                <w:bCs w:val="0"/>
              </w:rPr>
              <w:t xml:space="preserve">$63,879 </w:t>
            </w:r>
          </w:p>
        </w:tc>
        <w:tc>
          <w:tcPr>
            <w:tcW w:w="675" w:type="pct"/>
            <w:tcBorders>
              <w:top w:val="single" w:sz="4" w:space="0" w:color="auto"/>
              <w:left w:val="single" w:sz="4" w:space="0" w:color="auto"/>
              <w:bottom w:val="single" w:sz="4" w:space="0" w:color="auto"/>
              <w:right w:val="single" w:sz="4" w:space="0" w:color="auto"/>
            </w:tcBorders>
            <w:noWrap/>
            <w:hideMark/>
          </w:tcPr>
          <w:p w:rsidR="007D109A" w:rsidRPr="0036383D" w:rsidP="007D109A" w14:paraId="2514C6BC" w14:textId="3AF5BD32">
            <w:pPr>
              <w:pStyle w:val="RTableTextAbt"/>
              <w:rPr>
                <w:b/>
                <w:bCs w:val="0"/>
              </w:rPr>
            </w:pPr>
            <w:r w:rsidRPr="0036383D">
              <w:rPr>
                <w:b/>
                <w:bCs w:val="0"/>
              </w:rPr>
              <w:t xml:space="preserve">$74,785 </w:t>
            </w:r>
          </w:p>
        </w:tc>
        <w:tc>
          <w:tcPr>
            <w:tcW w:w="675" w:type="pct"/>
            <w:tcBorders>
              <w:top w:val="single" w:sz="4" w:space="0" w:color="auto"/>
              <w:left w:val="single" w:sz="4" w:space="0" w:color="auto"/>
              <w:bottom w:val="single" w:sz="4" w:space="0" w:color="auto"/>
              <w:right w:val="single" w:sz="4" w:space="0" w:color="auto"/>
            </w:tcBorders>
            <w:noWrap/>
            <w:hideMark/>
          </w:tcPr>
          <w:p w:rsidR="007D109A" w:rsidRPr="0036383D" w:rsidP="007D109A" w14:paraId="2918E1B5" w14:textId="45DFD6C8">
            <w:pPr>
              <w:pStyle w:val="RTableTextAbt"/>
              <w:rPr>
                <w:b/>
                <w:bCs w:val="0"/>
              </w:rPr>
            </w:pPr>
            <w:r w:rsidRPr="0036383D">
              <w:rPr>
                <w:b/>
                <w:bCs w:val="0"/>
              </w:rPr>
              <w:t xml:space="preserve">$76,925 </w:t>
            </w:r>
          </w:p>
        </w:tc>
      </w:tr>
      <w:tr w14:paraId="69DDA9AA" w14:textId="77777777" w:rsidTr="007B6745">
        <w:tblPrEx>
          <w:tblW w:w="5000" w:type="pct"/>
          <w:tblCellMar>
            <w:left w:w="58" w:type="dxa"/>
            <w:right w:w="58" w:type="dxa"/>
          </w:tblCellMar>
          <w:tblLook w:val="04A0"/>
        </w:tblPrEx>
        <w:trPr>
          <w:trHeight w:val="280"/>
        </w:trPr>
        <w:tc>
          <w:tcPr>
            <w:tcW w:w="5000" w:type="pct"/>
            <w:gridSpan w:val="6"/>
            <w:tcBorders>
              <w:top w:val="single" w:sz="4" w:space="0" w:color="auto"/>
              <w:left w:val="single" w:sz="4" w:space="0" w:color="auto"/>
              <w:bottom w:val="single" w:sz="4" w:space="0" w:color="auto"/>
              <w:right w:val="single" w:sz="4" w:space="0" w:color="auto"/>
            </w:tcBorders>
            <w:hideMark/>
          </w:tcPr>
          <w:p w:rsidR="007B6745" w:rsidRPr="007B6745" w:rsidP="00F326FB" w14:paraId="641D5240" w14:textId="77777777">
            <w:pPr>
              <w:pStyle w:val="TableNote0"/>
            </w:pPr>
            <w:r w:rsidRPr="007B6745">
              <w:t>PPE = personal protective equipment</w:t>
            </w:r>
          </w:p>
          <w:p w:rsidR="007B6745" w:rsidRPr="007B6745" w:rsidP="00F326FB" w14:paraId="53E94667" w14:textId="728D63C5">
            <w:pPr>
              <w:pStyle w:val="TableNote0"/>
            </w:pPr>
            <w:r w:rsidRPr="007B6745">
              <w:t>a. Number of facilities (</w:t>
            </w:r>
            <w:r w:rsidRPr="007B6745">
              <w:fldChar w:fldCharType="begin" w:fldLock="1"/>
            </w:r>
            <w:r w:rsidRPr="007B6745">
              <w:instrText xml:space="preserve"> REF _Ref180054057 </w:instrText>
            </w:r>
            <w:r w:rsidR="00F326FB">
              <w:instrText xml:space="preserve"> \* MERGEFORMAT </w:instrText>
            </w:r>
            <w:r w:rsidRPr="007B6745">
              <w:fldChar w:fldCharType="separate"/>
            </w:r>
            <w:r w:rsidRPr="007B6745" w:rsidR="00735BBC">
              <w:t xml:space="preserve">Table </w:t>
            </w:r>
            <w:r w:rsidR="00735BBC">
              <w:t>4</w:t>
            </w:r>
            <w:r w:rsidR="00735BBC">
              <w:noBreakHyphen/>
              <w:t>3</w:t>
            </w:r>
            <w:r w:rsidRPr="007B6745">
              <w:fldChar w:fldCharType="end"/>
            </w:r>
            <w:r w:rsidRPr="007B6745">
              <w:t>) times $593, the one-time costs to develop a PPE program (</w:t>
            </w:r>
            <w:hyperlink w:anchor="_ENREF_1" w:tooltip="Abt Global, 2024 #1" w:history="1">
              <w:r w:rsidR="003D6084">
                <w:fldChar w:fldCharType="begin" w:fldLock="1"/>
              </w:r>
              <w:r w:rsidR="003D6084">
                <w:instrText xml:space="preserve"> ADDIN EN.CITE &lt;EndNote&gt;&lt;Cite&gt;&lt;Author&gt;Abt Global&lt;/Author&gt;&lt;Year&gt;2024&lt;/Year&gt;&lt;RecNum&gt;1&lt;/RecNum&gt;&lt;DisplayText&gt;Abt Global 2024&lt;/DisplayText&gt;&lt;record&gt;&lt;rec-number&gt;1&lt;/rec-number&gt;&lt;foreign-keys&gt;&lt;key app="EN" db-id="2apzr05radv9fjet2w6xxwdlz5e9vwfxredw" timestamp="1730757315"&gt;1&lt;/key&gt;&lt;/foreign-keys&gt;&lt;ref-type name="Report"&gt;27&lt;/ref-type&gt;&lt;contributors&gt;&lt;authors&gt;&lt;author&gt;Abt Global,&lt;/author&gt;&lt;/authors&gt;&lt;/contributors&gt;&lt;titles&gt;&lt;title&gt;Estimated Costs for Respirator PPE for TSCA Risk Management Economic Analyses &lt;/title&gt;&lt;/titles&gt;&lt;dates&gt;&lt;year&gt;2024&lt;/year&gt;&lt;/dates&gt;&lt;publisher&gt;Submitted to U.S. EPA Economic and Policy Analysis Branch&lt;/publisher&gt;&lt;urls&gt;&lt;/urls&gt;&lt;/record&gt;&lt;/Cite&gt;&lt;/EndNote&gt;</w:instrText>
              </w:r>
              <w:r w:rsidR="003D6084">
                <w:fldChar w:fldCharType="separate"/>
              </w:r>
              <w:r w:rsidR="003D6084">
                <w:rPr>
                  <w:noProof/>
                </w:rPr>
                <w:t>Abt Global 2024</w:t>
              </w:r>
              <w:r w:rsidR="003D6084">
                <w:fldChar w:fldCharType="end"/>
              </w:r>
            </w:hyperlink>
            <w:r w:rsidRPr="007B6745">
              <w:t>)</w:t>
            </w:r>
          </w:p>
          <w:p w:rsidR="007B6745" w:rsidRPr="007B6745" w:rsidP="00F326FB" w14:paraId="373EBF80" w14:textId="06246CDC">
            <w:pPr>
              <w:pStyle w:val="TableNote0"/>
            </w:pPr>
            <w:r w:rsidRPr="007B6745">
              <w:t>b. Number of exposed workers (</w:t>
            </w:r>
            <w:r w:rsidRPr="007B6745">
              <w:fldChar w:fldCharType="begin" w:fldLock="1"/>
            </w:r>
            <w:r w:rsidRPr="007B6745">
              <w:instrText xml:space="preserve"> REF _Ref180054057 </w:instrText>
            </w:r>
            <w:r w:rsidR="00F326FB">
              <w:instrText xml:space="preserve"> \* MERGEFORMAT </w:instrText>
            </w:r>
            <w:r w:rsidRPr="007B6745">
              <w:fldChar w:fldCharType="separate"/>
            </w:r>
            <w:r w:rsidRPr="007B6745" w:rsidR="00735BBC">
              <w:t xml:space="preserve">Table </w:t>
            </w:r>
            <w:r w:rsidR="00735BBC">
              <w:t>4</w:t>
            </w:r>
            <w:r w:rsidR="00735BBC">
              <w:noBreakHyphen/>
              <w:t>3</w:t>
            </w:r>
            <w:r w:rsidRPr="007B6745">
              <w:fldChar w:fldCharType="end"/>
            </w:r>
            <w:r w:rsidRPr="007B6745">
              <w:t>) times $107, the average one-time cost for N95 masks (</w:t>
            </w:r>
            <w:r w:rsidRPr="007B6745">
              <w:fldChar w:fldCharType="begin" w:fldLock="1"/>
            </w:r>
            <w:r w:rsidRPr="007B6745">
              <w:instrText xml:space="preserve"> REF _Ref177032102 </w:instrText>
            </w:r>
            <w:r w:rsidR="00F326FB">
              <w:instrText xml:space="preserve"> \* MERGEFORMAT </w:instrText>
            </w:r>
            <w:r w:rsidRPr="007B6745">
              <w:fldChar w:fldCharType="separate"/>
            </w:r>
            <w:r w:rsidRPr="007B6745" w:rsidR="00735BBC">
              <w:t xml:space="preserve">Table </w:t>
            </w:r>
            <w:r w:rsidR="00735BBC">
              <w:t>4</w:t>
            </w:r>
            <w:r w:rsidR="00735BBC">
              <w:noBreakHyphen/>
              <w:t>9</w:t>
            </w:r>
            <w:r w:rsidRPr="007B6745">
              <w:fldChar w:fldCharType="end"/>
            </w:r>
            <w:r w:rsidRPr="007B6745">
              <w:t>)</w:t>
            </w:r>
          </w:p>
          <w:p w:rsidR="007B6745" w:rsidRPr="007B6745" w:rsidP="00F326FB" w14:paraId="7D45626B" w14:textId="77777777">
            <w:pPr>
              <w:pStyle w:val="TableNote0"/>
            </w:pPr>
            <w:r w:rsidRPr="007B6745">
              <w:t>c. Sum of program costs and respirator costs</w:t>
            </w:r>
          </w:p>
        </w:tc>
      </w:tr>
    </w:tbl>
    <w:p w:rsidR="007B6745" w:rsidRPr="007B6745" w:rsidP="00832749" w14:paraId="77C2D644" w14:textId="77777777">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tblPr>
      <w:tblGrid>
        <w:gridCol w:w="3685"/>
        <w:gridCol w:w="857"/>
        <w:gridCol w:w="1417"/>
        <w:gridCol w:w="849"/>
        <w:gridCol w:w="850"/>
        <w:gridCol w:w="850"/>
        <w:gridCol w:w="852"/>
      </w:tblGrid>
      <w:tr w14:paraId="03B5A03C" w14:textId="77777777" w:rsidTr="0002620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tblPrEx>
        <w:trPr>
          <w:trHeight w:val="280"/>
          <w:tblHeader/>
        </w:trPr>
        <w:tc>
          <w:tcPr>
            <w:tcW w:w="5000" w:type="pct"/>
            <w:gridSpan w:val="7"/>
            <w:tcBorders>
              <w:top w:val="nil"/>
              <w:left w:val="nil"/>
              <w:bottom w:val="single" w:sz="4" w:space="0" w:color="auto"/>
              <w:right w:val="nil"/>
            </w:tcBorders>
            <w:shd w:val="clear" w:color="auto" w:fill="auto"/>
            <w:vAlign w:val="center"/>
          </w:tcPr>
          <w:p w:rsidR="00026204" w:rsidRPr="00986E4C" w:rsidP="00986E4C" w14:paraId="4B61D859" w14:textId="35055C1C">
            <w:pPr>
              <w:pStyle w:val="TableTitleA"/>
            </w:pPr>
            <w:bookmarkStart w:id="212" w:name="_Ref177634881"/>
            <w:bookmarkStart w:id="213" w:name="_Toc184299571"/>
            <w:r w:rsidRPr="00986E4C">
              <w:t xml:space="preserve">Table </w:t>
            </w:r>
            <w:r>
              <w:fldChar w:fldCharType="begin" w:fldLock="1"/>
            </w:r>
            <w:r>
              <w:instrText>STYLEREF 1 \s</w:instrText>
            </w:r>
            <w:r>
              <w:fldChar w:fldCharType="separate"/>
            </w:r>
            <w:r w:rsidR="00735BBC">
              <w:rPr>
                <w:noProof/>
              </w:rPr>
              <w:t>4</w:t>
            </w:r>
            <w:r>
              <w:fldChar w:fldCharType="end"/>
            </w:r>
            <w:r w:rsidRPr="00986E4C" w:rsidR="000A1542">
              <w:noBreakHyphen/>
            </w:r>
            <w:r>
              <w:fldChar w:fldCharType="begin" w:fldLock="1"/>
            </w:r>
            <w:r>
              <w:instrText>SEQ Table \* ARABIC \s 1</w:instrText>
            </w:r>
            <w:r>
              <w:fldChar w:fldCharType="separate"/>
            </w:r>
            <w:r w:rsidR="00735BBC">
              <w:rPr>
                <w:noProof/>
              </w:rPr>
              <w:t>15</w:t>
            </w:r>
            <w:r>
              <w:fldChar w:fldCharType="end"/>
            </w:r>
            <w:bookmarkEnd w:id="212"/>
            <w:r w:rsidRPr="00986E4C">
              <w:t>: Alternative Option Total Annual Recurring PPE Costs (2023$)</w:t>
            </w:r>
            <w:bookmarkEnd w:id="213"/>
          </w:p>
        </w:tc>
      </w:tr>
      <w:tr w14:paraId="45052CB9" w14:textId="77777777" w:rsidTr="007D109A">
        <w:tblPrEx>
          <w:tblW w:w="5000" w:type="pct"/>
          <w:tblCellMar>
            <w:left w:w="58" w:type="dxa"/>
            <w:right w:w="58" w:type="dxa"/>
          </w:tblCellMar>
          <w:tblLook w:val="04A0"/>
        </w:tblPrEx>
        <w:trPr>
          <w:trHeight w:val="280"/>
          <w:tblHeader/>
        </w:trPr>
        <w:tc>
          <w:tcPr>
            <w:tcW w:w="1968"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6C133EDA" w14:textId="77777777">
            <w:pPr>
              <w:pStyle w:val="TableSubtitle"/>
            </w:pPr>
            <w:r w:rsidRPr="007B6745">
              <w:t>Use category</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395F2EA0" w14:textId="41D3B16E">
            <w:pPr>
              <w:pStyle w:val="TableSubtitle"/>
            </w:pPr>
            <w:r w:rsidRPr="007B6745">
              <w:t>Program costs</w:t>
            </w:r>
            <w:r w:rsidRPr="007B6745">
              <w:rPr>
                <w:vertAlign w:val="superscript"/>
              </w:rPr>
              <w:t>a</w:t>
            </w:r>
          </w:p>
        </w:tc>
        <w:tc>
          <w:tcPr>
            <w:tcW w:w="757"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138C8CAA" w14:textId="789D2EC3">
            <w:pPr>
              <w:pStyle w:val="TableSubtitle"/>
              <w:rPr>
                <w:vertAlign w:val="superscript"/>
              </w:rPr>
            </w:pPr>
            <w:r w:rsidRPr="007B6745">
              <w:t>Recordkeeping costs</w:t>
            </w:r>
            <w:r w:rsidRPr="007B6745">
              <w:rPr>
                <w:vertAlign w:val="superscript"/>
              </w:rPr>
              <w:t>b</w:t>
            </w:r>
          </w:p>
        </w:tc>
        <w:tc>
          <w:tcPr>
            <w:tcW w:w="908"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11FD15C0" w14:textId="323D029F">
            <w:pPr>
              <w:pStyle w:val="TableSubtitle"/>
            </w:pPr>
            <w:r w:rsidRPr="007B6745">
              <w:t>Respirator costs</w:t>
            </w:r>
            <w:r w:rsidRPr="007B6745">
              <w:rPr>
                <w:vertAlign w:val="superscript"/>
              </w:rPr>
              <w:t>c</w:t>
            </w:r>
          </w:p>
        </w:tc>
        <w:tc>
          <w:tcPr>
            <w:tcW w:w="909"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35381EDF" w14:textId="592CB886">
            <w:pPr>
              <w:pStyle w:val="TableSubtitle"/>
            </w:pPr>
            <w:r w:rsidRPr="007B6745">
              <w:t>Total costs</w:t>
            </w:r>
            <w:r w:rsidRPr="007B6745">
              <w:rPr>
                <w:vertAlign w:val="superscript"/>
              </w:rPr>
              <w:t>d</w:t>
            </w:r>
          </w:p>
        </w:tc>
      </w:tr>
      <w:tr w14:paraId="5E64E80B" w14:textId="77777777" w:rsidTr="007D109A">
        <w:tblPrEx>
          <w:tblW w:w="5000" w:type="pct"/>
          <w:tblCellMar>
            <w:left w:w="58" w:type="dxa"/>
            <w:right w:w="58" w:type="dxa"/>
          </w:tblCellMar>
          <w:tblLook w:val="04A0"/>
        </w:tblPrEx>
        <w:trPr>
          <w:trHeight w:val="300"/>
          <w:tblHeader/>
        </w:trPr>
        <w:tc>
          <w:tcPr>
            <w:tcW w:w="0" w:type="auto"/>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72919BA2" w14:textId="77777777">
            <w:pPr>
              <w:pStyle w:val="TableSubtitle"/>
            </w:pPr>
          </w:p>
        </w:tc>
        <w:tc>
          <w:tcPr>
            <w:tcW w:w="0" w:type="auto"/>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570C7B4E" w14:textId="77777777">
            <w:pPr>
              <w:pStyle w:val="TableSubtitle"/>
            </w:pPr>
          </w:p>
        </w:tc>
        <w:tc>
          <w:tcPr>
            <w:tcW w:w="0" w:type="auto"/>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14E33714" w14:textId="77777777">
            <w:pPr>
              <w:pStyle w:val="TableSubtitle"/>
              <w:rPr>
                <w:vertAlign w:val="superscript"/>
              </w:rPr>
            </w:pPr>
          </w:p>
        </w:tc>
        <w:tc>
          <w:tcPr>
            <w:tcW w:w="454"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6BC4C8A3" w14:textId="77777777">
            <w:pPr>
              <w:pStyle w:val="TableSubtitle"/>
            </w:pPr>
            <w:r w:rsidRPr="007B6745">
              <w:t>Low</w:t>
            </w:r>
          </w:p>
        </w:tc>
        <w:tc>
          <w:tcPr>
            <w:tcW w:w="454"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77521544" w14:textId="77777777">
            <w:pPr>
              <w:pStyle w:val="TableSubtitle"/>
            </w:pPr>
            <w:r w:rsidRPr="007B6745">
              <w:t>High</w:t>
            </w:r>
          </w:p>
        </w:tc>
        <w:tc>
          <w:tcPr>
            <w:tcW w:w="454"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2306BBE1" w14:textId="77777777">
            <w:pPr>
              <w:pStyle w:val="TableSubtitle"/>
            </w:pPr>
            <w:r w:rsidRPr="007B6745">
              <w:t>Low</w:t>
            </w:r>
          </w:p>
        </w:tc>
        <w:tc>
          <w:tcPr>
            <w:tcW w:w="455"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5462690D" w14:textId="77777777">
            <w:pPr>
              <w:pStyle w:val="TableSubtitle"/>
            </w:pPr>
            <w:r w:rsidRPr="007B6745">
              <w:t>High</w:t>
            </w:r>
          </w:p>
        </w:tc>
      </w:tr>
      <w:tr w14:paraId="3A98998E" w14:textId="77777777" w:rsidTr="00BD3D2B">
        <w:tblPrEx>
          <w:tblW w:w="5000" w:type="pct"/>
          <w:tblCellMar>
            <w:left w:w="58" w:type="dxa"/>
            <w:right w:w="58" w:type="dxa"/>
          </w:tblCellMar>
          <w:tblLook w:val="04A0"/>
        </w:tblPrEx>
        <w:trPr>
          <w:trHeight w:val="260"/>
        </w:trPr>
        <w:tc>
          <w:tcPr>
            <w:tcW w:w="1968"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6026E368" w14:textId="77777777">
            <w:pPr>
              <w:pStyle w:val="LTableTextAbt"/>
            </w:pPr>
            <w:r w:rsidRPr="007B6745">
              <w:t>PV29 manufacturing and intermediate processing</w:t>
            </w:r>
          </w:p>
        </w:tc>
        <w:tc>
          <w:tcPr>
            <w:tcW w:w="458" w:type="pct"/>
            <w:tcBorders>
              <w:top w:val="single" w:sz="4" w:space="0" w:color="auto"/>
              <w:left w:val="single" w:sz="4" w:space="0" w:color="auto"/>
              <w:bottom w:val="single" w:sz="4" w:space="0" w:color="auto"/>
              <w:right w:val="single" w:sz="4" w:space="0" w:color="auto"/>
            </w:tcBorders>
            <w:hideMark/>
          </w:tcPr>
          <w:p w:rsidR="007D109A" w:rsidRPr="007B6745" w:rsidP="007D109A" w14:paraId="4EEEFED2" w14:textId="6CD40FC6">
            <w:pPr>
              <w:pStyle w:val="RTableTextAbt"/>
            </w:pPr>
            <w:r w:rsidRPr="00265B32">
              <w:t xml:space="preserve">$148 </w:t>
            </w:r>
          </w:p>
        </w:tc>
        <w:tc>
          <w:tcPr>
            <w:tcW w:w="757" w:type="pct"/>
            <w:tcBorders>
              <w:top w:val="single" w:sz="4" w:space="0" w:color="auto"/>
              <w:left w:val="single" w:sz="4" w:space="0" w:color="auto"/>
              <w:bottom w:val="single" w:sz="4" w:space="0" w:color="auto"/>
              <w:right w:val="single" w:sz="4" w:space="0" w:color="auto"/>
            </w:tcBorders>
            <w:hideMark/>
          </w:tcPr>
          <w:p w:rsidR="007D109A" w:rsidRPr="007B6745" w:rsidP="007D109A" w14:paraId="41B2A9A9" w14:textId="00AB0B21">
            <w:pPr>
              <w:pStyle w:val="RTableTextAbt"/>
              <w:ind w:right="316"/>
            </w:pPr>
            <w:r w:rsidRPr="00265B32">
              <w:t xml:space="preserve">$186 </w:t>
            </w:r>
          </w:p>
        </w:tc>
        <w:tc>
          <w:tcPr>
            <w:tcW w:w="454"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7E239D65" w14:textId="00797481">
            <w:pPr>
              <w:pStyle w:val="RTableTextAbt"/>
            </w:pPr>
            <w:r w:rsidRPr="00265B32">
              <w:t xml:space="preserve">$16,414 </w:t>
            </w:r>
          </w:p>
        </w:tc>
        <w:tc>
          <w:tcPr>
            <w:tcW w:w="454"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375A2633" w14:textId="7BE0E6BF">
            <w:pPr>
              <w:pStyle w:val="RTableTextAbt"/>
            </w:pPr>
            <w:r w:rsidRPr="00265B32">
              <w:t xml:space="preserve">$22,074 </w:t>
            </w:r>
          </w:p>
        </w:tc>
        <w:tc>
          <w:tcPr>
            <w:tcW w:w="454"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18784BC5" w14:textId="02A13F81">
            <w:pPr>
              <w:pStyle w:val="RTableTextAbt"/>
            </w:pPr>
            <w:r w:rsidRPr="00265B32">
              <w:t xml:space="preserve">$16,748 </w:t>
            </w:r>
          </w:p>
        </w:tc>
        <w:tc>
          <w:tcPr>
            <w:tcW w:w="455"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59FF84DB" w14:textId="79A21DB0">
            <w:pPr>
              <w:pStyle w:val="RTableTextAbt"/>
            </w:pPr>
            <w:r w:rsidRPr="00265B32">
              <w:t xml:space="preserve">$22,408 </w:t>
            </w:r>
          </w:p>
        </w:tc>
      </w:tr>
      <w:tr w14:paraId="3A3AE2DF" w14:textId="77777777" w:rsidTr="00BD3D2B">
        <w:tblPrEx>
          <w:tblW w:w="5000" w:type="pct"/>
          <w:tblCellMar>
            <w:left w:w="58" w:type="dxa"/>
            <w:right w:w="58" w:type="dxa"/>
          </w:tblCellMar>
          <w:tblLook w:val="04A0"/>
        </w:tblPrEx>
        <w:trPr>
          <w:trHeight w:val="260"/>
        </w:trPr>
        <w:tc>
          <w:tcPr>
            <w:tcW w:w="1968" w:type="pct"/>
            <w:tcBorders>
              <w:top w:val="single" w:sz="4" w:space="0" w:color="auto"/>
              <w:left w:val="single" w:sz="4" w:space="0" w:color="auto"/>
              <w:bottom w:val="single" w:sz="4" w:space="0" w:color="auto"/>
              <w:right w:val="single" w:sz="4" w:space="0" w:color="auto"/>
            </w:tcBorders>
            <w:noWrap/>
          </w:tcPr>
          <w:p w:rsidR="007D109A" w:rsidRPr="007B6745" w:rsidP="007D109A" w14:paraId="182E6D04" w14:textId="05E4AA24">
            <w:pPr>
              <w:pStyle w:val="LTableTextAbt"/>
            </w:pPr>
            <w:r>
              <w:t>PV29 importing</w:t>
            </w:r>
          </w:p>
        </w:tc>
        <w:tc>
          <w:tcPr>
            <w:tcW w:w="458" w:type="pct"/>
            <w:tcBorders>
              <w:top w:val="single" w:sz="4" w:space="0" w:color="auto"/>
              <w:left w:val="single" w:sz="4" w:space="0" w:color="auto"/>
              <w:bottom w:val="single" w:sz="4" w:space="0" w:color="auto"/>
              <w:right w:val="single" w:sz="4" w:space="0" w:color="auto"/>
            </w:tcBorders>
          </w:tcPr>
          <w:p w:rsidR="007D109A" w:rsidRPr="007B6745" w:rsidP="007D109A" w14:paraId="4818E927" w14:textId="32358AB2">
            <w:pPr>
              <w:pStyle w:val="RTableTextAbt"/>
              <w:rPr>
                <w:lang w:val="en-GB"/>
              </w:rPr>
            </w:pPr>
            <w:r w:rsidRPr="00265B32">
              <w:t xml:space="preserve">$148 </w:t>
            </w:r>
          </w:p>
        </w:tc>
        <w:tc>
          <w:tcPr>
            <w:tcW w:w="757" w:type="pct"/>
            <w:tcBorders>
              <w:top w:val="single" w:sz="4" w:space="0" w:color="auto"/>
              <w:left w:val="single" w:sz="4" w:space="0" w:color="auto"/>
              <w:bottom w:val="single" w:sz="4" w:space="0" w:color="auto"/>
              <w:right w:val="single" w:sz="4" w:space="0" w:color="auto"/>
            </w:tcBorders>
          </w:tcPr>
          <w:p w:rsidR="007D109A" w:rsidRPr="007B6745" w:rsidP="007D109A" w14:paraId="7EB54791" w14:textId="4B16989E">
            <w:pPr>
              <w:pStyle w:val="RTableTextAbt"/>
              <w:ind w:right="316"/>
              <w:rPr>
                <w:lang w:val="en-GB"/>
              </w:rPr>
            </w:pPr>
            <w:r w:rsidRPr="00265B32">
              <w:t xml:space="preserve">$186 </w:t>
            </w:r>
          </w:p>
        </w:tc>
        <w:tc>
          <w:tcPr>
            <w:tcW w:w="454" w:type="pct"/>
            <w:tcBorders>
              <w:top w:val="single" w:sz="4" w:space="0" w:color="auto"/>
              <w:left w:val="single" w:sz="4" w:space="0" w:color="auto"/>
              <w:bottom w:val="single" w:sz="4" w:space="0" w:color="auto"/>
              <w:right w:val="single" w:sz="4" w:space="0" w:color="auto"/>
            </w:tcBorders>
            <w:noWrap/>
          </w:tcPr>
          <w:p w:rsidR="007D109A" w:rsidRPr="007B6745" w:rsidP="007D109A" w14:paraId="0B87940B" w14:textId="3CE9C9F4">
            <w:pPr>
              <w:pStyle w:val="RTableTextAbt"/>
              <w:rPr>
                <w:lang w:val="en-GB"/>
              </w:rPr>
            </w:pPr>
            <w:r w:rsidRPr="00265B32">
              <w:t xml:space="preserve">$5,377 </w:t>
            </w:r>
          </w:p>
        </w:tc>
        <w:tc>
          <w:tcPr>
            <w:tcW w:w="454" w:type="pct"/>
            <w:tcBorders>
              <w:top w:val="single" w:sz="4" w:space="0" w:color="auto"/>
              <w:left w:val="single" w:sz="4" w:space="0" w:color="auto"/>
              <w:bottom w:val="single" w:sz="4" w:space="0" w:color="auto"/>
              <w:right w:val="single" w:sz="4" w:space="0" w:color="auto"/>
            </w:tcBorders>
            <w:noWrap/>
          </w:tcPr>
          <w:p w:rsidR="007D109A" w:rsidRPr="007B6745" w:rsidP="007D109A" w14:paraId="6B4721F7" w14:textId="6FF56656">
            <w:pPr>
              <w:pStyle w:val="RTableTextAbt"/>
              <w:rPr>
                <w:lang w:val="en-GB"/>
              </w:rPr>
            </w:pPr>
            <w:r w:rsidRPr="00265B32">
              <w:t xml:space="preserve">$5,377 </w:t>
            </w:r>
          </w:p>
        </w:tc>
        <w:tc>
          <w:tcPr>
            <w:tcW w:w="454" w:type="pct"/>
            <w:tcBorders>
              <w:top w:val="single" w:sz="4" w:space="0" w:color="auto"/>
              <w:left w:val="single" w:sz="4" w:space="0" w:color="auto"/>
              <w:bottom w:val="single" w:sz="4" w:space="0" w:color="auto"/>
              <w:right w:val="single" w:sz="4" w:space="0" w:color="auto"/>
            </w:tcBorders>
            <w:noWrap/>
          </w:tcPr>
          <w:p w:rsidR="007D109A" w:rsidRPr="007B6745" w:rsidP="007D109A" w14:paraId="22EEF4DF" w14:textId="3463E322">
            <w:pPr>
              <w:pStyle w:val="RTableTextAbt"/>
              <w:rPr>
                <w:lang w:val="en-GB"/>
              </w:rPr>
            </w:pPr>
            <w:r w:rsidRPr="00265B32">
              <w:t xml:space="preserve">$5,711 </w:t>
            </w:r>
          </w:p>
        </w:tc>
        <w:tc>
          <w:tcPr>
            <w:tcW w:w="455" w:type="pct"/>
            <w:tcBorders>
              <w:top w:val="single" w:sz="4" w:space="0" w:color="auto"/>
              <w:left w:val="single" w:sz="4" w:space="0" w:color="auto"/>
              <w:bottom w:val="single" w:sz="4" w:space="0" w:color="auto"/>
              <w:right w:val="single" w:sz="4" w:space="0" w:color="auto"/>
            </w:tcBorders>
            <w:noWrap/>
          </w:tcPr>
          <w:p w:rsidR="007D109A" w:rsidRPr="007B6745" w:rsidP="007D109A" w14:paraId="4434D778" w14:textId="770D6CC9">
            <w:pPr>
              <w:pStyle w:val="RTableTextAbt"/>
              <w:rPr>
                <w:lang w:val="en-GB"/>
              </w:rPr>
            </w:pPr>
            <w:r w:rsidRPr="00265B32">
              <w:t xml:space="preserve">$5,711 </w:t>
            </w:r>
          </w:p>
        </w:tc>
      </w:tr>
      <w:tr w14:paraId="66AD0F7D" w14:textId="77777777" w:rsidTr="00BD3D2B">
        <w:tblPrEx>
          <w:tblW w:w="5000" w:type="pct"/>
          <w:tblCellMar>
            <w:left w:w="58" w:type="dxa"/>
            <w:right w:w="58" w:type="dxa"/>
          </w:tblCellMar>
          <w:tblLook w:val="04A0"/>
        </w:tblPrEx>
        <w:trPr>
          <w:trHeight w:val="260"/>
        </w:trPr>
        <w:tc>
          <w:tcPr>
            <w:tcW w:w="1968"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0B47A7D1" w14:textId="77777777">
            <w:pPr>
              <w:pStyle w:val="LTableTextAbt"/>
            </w:pPr>
            <w:r w:rsidRPr="007B6745">
              <w:t>Processing into automotive paints and coatings</w:t>
            </w:r>
          </w:p>
        </w:tc>
        <w:tc>
          <w:tcPr>
            <w:tcW w:w="458" w:type="pct"/>
            <w:tcBorders>
              <w:top w:val="single" w:sz="4" w:space="0" w:color="auto"/>
              <w:left w:val="single" w:sz="4" w:space="0" w:color="auto"/>
              <w:bottom w:val="single" w:sz="4" w:space="0" w:color="auto"/>
              <w:right w:val="single" w:sz="4" w:space="0" w:color="auto"/>
            </w:tcBorders>
            <w:hideMark/>
          </w:tcPr>
          <w:p w:rsidR="007D109A" w:rsidRPr="007B6745" w:rsidP="007D109A" w14:paraId="56FDBE7D" w14:textId="35CA6FDD">
            <w:pPr>
              <w:pStyle w:val="RTableTextAbt"/>
            </w:pPr>
            <w:r w:rsidRPr="00265B32">
              <w:t xml:space="preserve">$2,072 </w:t>
            </w:r>
          </w:p>
        </w:tc>
        <w:tc>
          <w:tcPr>
            <w:tcW w:w="757" w:type="pct"/>
            <w:tcBorders>
              <w:top w:val="single" w:sz="4" w:space="0" w:color="auto"/>
              <w:left w:val="single" w:sz="4" w:space="0" w:color="auto"/>
              <w:bottom w:val="single" w:sz="4" w:space="0" w:color="auto"/>
              <w:right w:val="single" w:sz="4" w:space="0" w:color="auto"/>
            </w:tcBorders>
            <w:hideMark/>
          </w:tcPr>
          <w:p w:rsidR="007D109A" w:rsidRPr="007B6745" w:rsidP="007D109A" w14:paraId="5F8198C6" w14:textId="3BCF20F2">
            <w:pPr>
              <w:pStyle w:val="RTableTextAbt"/>
              <w:ind w:right="316"/>
            </w:pPr>
            <w:r w:rsidRPr="00265B32">
              <w:t xml:space="preserve">$2,604 </w:t>
            </w:r>
          </w:p>
        </w:tc>
        <w:tc>
          <w:tcPr>
            <w:tcW w:w="454"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09CEDC31" w14:textId="54A9CAE9">
            <w:pPr>
              <w:pStyle w:val="RTableTextAbt"/>
            </w:pPr>
            <w:r w:rsidRPr="00265B32">
              <w:t xml:space="preserve">$75,278 </w:t>
            </w:r>
          </w:p>
        </w:tc>
        <w:tc>
          <w:tcPr>
            <w:tcW w:w="454"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5FE20BBB" w14:textId="17379ABD">
            <w:pPr>
              <w:pStyle w:val="RTableTextAbt"/>
            </w:pPr>
            <w:r w:rsidRPr="00265B32">
              <w:t xml:space="preserve">$75,278 </w:t>
            </w:r>
          </w:p>
        </w:tc>
        <w:tc>
          <w:tcPr>
            <w:tcW w:w="454"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7DE8ED28" w14:textId="612BA1E8">
            <w:pPr>
              <w:pStyle w:val="RTableTextAbt"/>
            </w:pPr>
            <w:r w:rsidRPr="00265B32">
              <w:t xml:space="preserve">$79,954 </w:t>
            </w:r>
          </w:p>
        </w:tc>
        <w:tc>
          <w:tcPr>
            <w:tcW w:w="455"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6BDF0AC5" w14:textId="4801AA14">
            <w:pPr>
              <w:pStyle w:val="RTableTextAbt"/>
            </w:pPr>
            <w:r w:rsidRPr="00265B32">
              <w:t xml:space="preserve">$79,954 </w:t>
            </w:r>
          </w:p>
        </w:tc>
      </w:tr>
      <w:tr w14:paraId="3E78D5BF" w14:textId="77777777" w:rsidTr="00BD3D2B">
        <w:tblPrEx>
          <w:tblW w:w="5000" w:type="pct"/>
          <w:tblCellMar>
            <w:left w:w="58" w:type="dxa"/>
            <w:right w:w="58" w:type="dxa"/>
          </w:tblCellMar>
          <w:tblLook w:val="04A0"/>
        </w:tblPrEx>
        <w:trPr>
          <w:trHeight w:val="260"/>
        </w:trPr>
        <w:tc>
          <w:tcPr>
            <w:tcW w:w="1968"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18382C38" w14:textId="77777777">
            <w:pPr>
              <w:pStyle w:val="LTableTextAbt"/>
            </w:pPr>
            <w:r w:rsidRPr="007B6745">
              <w:t>Processing into plastic and rubber products</w:t>
            </w:r>
          </w:p>
        </w:tc>
        <w:tc>
          <w:tcPr>
            <w:tcW w:w="458" w:type="pct"/>
            <w:tcBorders>
              <w:top w:val="single" w:sz="4" w:space="0" w:color="auto"/>
              <w:left w:val="single" w:sz="4" w:space="0" w:color="auto"/>
              <w:bottom w:val="single" w:sz="4" w:space="0" w:color="auto"/>
              <w:right w:val="single" w:sz="4" w:space="0" w:color="auto"/>
            </w:tcBorders>
            <w:hideMark/>
          </w:tcPr>
          <w:p w:rsidR="007D109A" w:rsidRPr="007B6745" w:rsidP="007D109A" w14:paraId="3E0512D9" w14:textId="7B903ECD">
            <w:pPr>
              <w:pStyle w:val="RTableTextAbt"/>
            </w:pPr>
            <w:r w:rsidRPr="00265B32">
              <w:t xml:space="preserve">$888 </w:t>
            </w:r>
          </w:p>
        </w:tc>
        <w:tc>
          <w:tcPr>
            <w:tcW w:w="757" w:type="pct"/>
            <w:tcBorders>
              <w:top w:val="single" w:sz="4" w:space="0" w:color="auto"/>
              <w:left w:val="single" w:sz="4" w:space="0" w:color="auto"/>
              <w:bottom w:val="single" w:sz="4" w:space="0" w:color="auto"/>
              <w:right w:val="single" w:sz="4" w:space="0" w:color="auto"/>
            </w:tcBorders>
            <w:hideMark/>
          </w:tcPr>
          <w:p w:rsidR="007D109A" w:rsidRPr="007B6745" w:rsidP="007D109A" w14:paraId="63B0D2A4" w14:textId="1D02DB3B">
            <w:pPr>
              <w:pStyle w:val="RTableTextAbt"/>
              <w:ind w:right="316"/>
            </w:pPr>
            <w:r w:rsidRPr="00265B32">
              <w:t xml:space="preserve">$1,116 </w:t>
            </w:r>
          </w:p>
        </w:tc>
        <w:tc>
          <w:tcPr>
            <w:tcW w:w="454"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118DC62E" w14:textId="6202AF2E">
            <w:pPr>
              <w:pStyle w:val="RTableTextAbt"/>
            </w:pPr>
            <w:r w:rsidRPr="00265B32">
              <w:t xml:space="preserve">$66,222 </w:t>
            </w:r>
          </w:p>
        </w:tc>
        <w:tc>
          <w:tcPr>
            <w:tcW w:w="454"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06F89C12" w14:textId="3065E8D6">
            <w:pPr>
              <w:pStyle w:val="RTableTextAbt"/>
            </w:pPr>
            <w:r w:rsidRPr="00265B32">
              <w:t xml:space="preserve">$66,222 </w:t>
            </w:r>
          </w:p>
        </w:tc>
        <w:tc>
          <w:tcPr>
            <w:tcW w:w="454"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0A880B5A" w14:textId="7C00D8CD">
            <w:pPr>
              <w:pStyle w:val="RTableTextAbt"/>
            </w:pPr>
            <w:r w:rsidRPr="00265B32">
              <w:t xml:space="preserve">$68,226 </w:t>
            </w:r>
          </w:p>
        </w:tc>
        <w:tc>
          <w:tcPr>
            <w:tcW w:w="455"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202820A3" w14:textId="6B2381C0">
            <w:pPr>
              <w:pStyle w:val="RTableTextAbt"/>
            </w:pPr>
            <w:r w:rsidRPr="00265B32">
              <w:t xml:space="preserve">$68,226 </w:t>
            </w:r>
          </w:p>
        </w:tc>
      </w:tr>
      <w:tr w14:paraId="451288EE" w14:textId="77777777" w:rsidTr="00BD3D2B">
        <w:tblPrEx>
          <w:tblW w:w="5000" w:type="pct"/>
          <w:tblCellMar>
            <w:left w:w="58" w:type="dxa"/>
            <w:right w:w="58" w:type="dxa"/>
          </w:tblCellMar>
          <w:tblLook w:val="04A0"/>
        </w:tblPrEx>
        <w:trPr>
          <w:trHeight w:val="280"/>
        </w:trPr>
        <w:tc>
          <w:tcPr>
            <w:tcW w:w="1968" w:type="pct"/>
            <w:tcBorders>
              <w:top w:val="single" w:sz="4" w:space="0" w:color="auto"/>
              <w:left w:val="single" w:sz="4" w:space="0" w:color="auto"/>
              <w:bottom w:val="single" w:sz="4" w:space="0" w:color="auto"/>
              <w:right w:val="single" w:sz="4" w:space="0" w:color="auto"/>
            </w:tcBorders>
            <w:hideMark/>
          </w:tcPr>
          <w:p w:rsidR="007D109A" w:rsidRPr="007B6745" w:rsidP="007D109A" w14:paraId="3CACD3A2" w14:textId="77777777">
            <w:pPr>
              <w:pStyle w:val="LTableTextAbt"/>
              <w:rPr>
                <w:b/>
              </w:rPr>
            </w:pPr>
            <w:r w:rsidRPr="007B6745">
              <w:rPr>
                <w:b/>
              </w:rPr>
              <w:t>Total</w:t>
            </w:r>
          </w:p>
        </w:tc>
        <w:tc>
          <w:tcPr>
            <w:tcW w:w="458" w:type="pct"/>
            <w:tcBorders>
              <w:top w:val="single" w:sz="4" w:space="0" w:color="auto"/>
              <w:left w:val="single" w:sz="4" w:space="0" w:color="auto"/>
              <w:bottom w:val="single" w:sz="4" w:space="0" w:color="auto"/>
              <w:right w:val="single" w:sz="4" w:space="0" w:color="auto"/>
            </w:tcBorders>
            <w:hideMark/>
          </w:tcPr>
          <w:p w:rsidR="007D109A" w:rsidRPr="00F270B2" w:rsidP="007D109A" w14:paraId="4D3FC01F" w14:textId="3E7E067E">
            <w:pPr>
              <w:pStyle w:val="RTableTextAbt"/>
              <w:rPr>
                <w:b/>
                <w:bCs w:val="0"/>
              </w:rPr>
            </w:pPr>
            <w:r w:rsidRPr="00F270B2">
              <w:rPr>
                <w:b/>
                <w:bCs w:val="0"/>
              </w:rPr>
              <w:t xml:space="preserve">$3,256 </w:t>
            </w:r>
          </w:p>
        </w:tc>
        <w:tc>
          <w:tcPr>
            <w:tcW w:w="757" w:type="pct"/>
            <w:tcBorders>
              <w:top w:val="single" w:sz="4" w:space="0" w:color="auto"/>
              <w:left w:val="single" w:sz="4" w:space="0" w:color="auto"/>
              <w:bottom w:val="single" w:sz="4" w:space="0" w:color="auto"/>
              <w:right w:val="single" w:sz="4" w:space="0" w:color="auto"/>
            </w:tcBorders>
            <w:noWrap/>
            <w:hideMark/>
          </w:tcPr>
          <w:p w:rsidR="007D109A" w:rsidRPr="00F270B2" w:rsidP="007D109A" w14:paraId="21BA5009" w14:textId="30F44BE4">
            <w:pPr>
              <w:pStyle w:val="RTableTextAbt"/>
              <w:ind w:right="316"/>
              <w:rPr>
                <w:b/>
                <w:bCs w:val="0"/>
              </w:rPr>
            </w:pPr>
            <w:r w:rsidRPr="00F270B2">
              <w:rPr>
                <w:b/>
                <w:bCs w:val="0"/>
              </w:rPr>
              <w:t xml:space="preserve">$4,092 </w:t>
            </w:r>
          </w:p>
        </w:tc>
        <w:tc>
          <w:tcPr>
            <w:tcW w:w="454" w:type="pct"/>
            <w:tcBorders>
              <w:top w:val="single" w:sz="4" w:space="0" w:color="auto"/>
              <w:left w:val="single" w:sz="4" w:space="0" w:color="auto"/>
              <w:bottom w:val="single" w:sz="4" w:space="0" w:color="auto"/>
              <w:right w:val="single" w:sz="4" w:space="0" w:color="auto"/>
            </w:tcBorders>
            <w:noWrap/>
            <w:hideMark/>
          </w:tcPr>
          <w:p w:rsidR="007D109A" w:rsidRPr="00F270B2" w:rsidP="007D109A" w14:paraId="039D3CE5" w14:textId="6C00432B">
            <w:pPr>
              <w:pStyle w:val="RTableTextAbt"/>
              <w:rPr>
                <w:b/>
                <w:bCs w:val="0"/>
              </w:rPr>
            </w:pPr>
            <w:r w:rsidRPr="00F270B2">
              <w:rPr>
                <w:b/>
                <w:bCs w:val="0"/>
              </w:rPr>
              <w:t xml:space="preserve">$163,291 </w:t>
            </w:r>
          </w:p>
        </w:tc>
        <w:tc>
          <w:tcPr>
            <w:tcW w:w="454" w:type="pct"/>
            <w:tcBorders>
              <w:top w:val="single" w:sz="4" w:space="0" w:color="auto"/>
              <w:left w:val="single" w:sz="4" w:space="0" w:color="auto"/>
              <w:bottom w:val="single" w:sz="4" w:space="0" w:color="auto"/>
              <w:right w:val="single" w:sz="4" w:space="0" w:color="auto"/>
            </w:tcBorders>
            <w:noWrap/>
            <w:hideMark/>
          </w:tcPr>
          <w:p w:rsidR="007D109A" w:rsidRPr="00F270B2" w:rsidP="007D109A" w14:paraId="4235C594" w14:textId="05BBF28E">
            <w:pPr>
              <w:pStyle w:val="RTableTextAbt"/>
              <w:rPr>
                <w:b/>
                <w:bCs w:val="0"/>
              </w:rPr>
            </w:pPr>
            <w:r w:rsidRPr="00F270B2">
              <w:rPr>
                <w:b/>
                <w:bCs w:val="0"/>
              </w:rPr>
              <w:t xml:space="preserve">$168,951 </w:t>
            </w:r>
          </w:p>
        </w:tc>
        <w:tc>
          <w:tcPr>
            <w:tcW w:w="454" w:type="pct"/>
            <w:tcBorders>
              <w:top w:val="single" w:sz="4" w:space="0" w:color="auto"/>
              <w:left w:val="single" w:sz="4" w:space="0" w:color="auto"/>
              <w:bottom w:val="single" w:sz="4" w:space="0" w:color="auto"/>
              <w:right w:val="single" w:sz="4" w:space="0" w:color="auto"/>
            </w:tcBorders>
            <w:noWrap/>
            <w:hideMark/>
          </w:tcPr>
          <w:p w:rsidR="007D109A" w:rsidRPr="00F270B2" w:rsidP="007D109A" w14:paraId="23E994EF" w14:textId="7D6CB035">
            <w:pPr>
              <w:pStyle w:val="RTableTextAbt"/>
              <w:rPr>
                <w:b/>
                <w:bCs w:val="0"/>
              </w:rPr>
            </w:pPr>
            <w:r w:rsidRPr="00F270B2">
              <w:rPr>
                <w:b/>
                <w:bCs w:val="0"/>
              </w:rPr>
              <w:t xml:space="preserve">$170,639 </w:t>
            </w:r>
          </w:p>
        </w:tc>
        <w:tc>
          <w:tcPr>
            <w:tcW w:w="455" w:type="pct"/>
            <w:tcBorders>
              <w:top w:val="single" w:sz="4" w:space="0" w:color="auto"/>
              <w:left w:val="single" w:sz="4" w:space="0" w:color="auto"/>
              <w:bottom w:val="single" w:sz="4" w:space="0" w:color="auto"/>
              <w:right w:val="single" w:sz="4" w:space="0" w:color="auto"/>
            </w:tcBorders>
            <w:noWrap/>
            <w:hideMark/>
          </w:tcPr>
          <w:p w:rsidR="007D109A" w:rsidRPr="00F270B2" w:rsidP="007D109A" w14:paraId="53036A51" w14:textId="1E14892B">
            <w:pPr>
              <w:pStyle w:val="RTableTextAbt"/>
              <w:rPr>
                <w:b/>
                <w:bCs w:val="0"/>
              </w:rPr>
            </w:pPr>
            <w:r w:rsidRPr="00F270B2">
              <w:rPr>
                <w:b/>
                <w:bCs w:val="0"/>
              </w:rPr>
              <w:t xml:space="preserve">$176,299 </w:t>
            </w:r>
          </w:p>
        </w:tc>
      </w:tr>
      <w:tr w14:paraId="4C6A2A37" w14:textId="77777777" w:rsidTr="007B6745">
        <w:tblPrEx>
          <w:tblW w:w="5000" w:type="pct"/>
          <w:tblCellMar>
            <w:left w:w="58" w:type="dxa"/>
            <w:right w:w="58" w:type="dxa"/>
          </w:tblCellMar>
          <w:tblLook w:val="04A0"/>
        </w:tblPrEx>
        <w:trPr>
          <w:trHeight w:val="280"/>
        </w:trPr>
        <w:tc>
          <w:tcPr>
            <w:tcW w:w="5000" w:type="pct"/>
            <w:gridSpan w:val="7"/>
            <w:tcBorders>
              <w:top w:val="single" w:sz="4" w:space="0" w:color="auto"/>
              <w:left w:val="single" w:sz="4" w:space="0" w:color="auto"/>
              <w:bottom w:val="single" w:sz="4" w:space="0" w:color="auto"/>
              <w:right w:val="single" w:sz="4" w:space="0" w:color="auto"/>
            </w:tcBorders>
            <w:hideMark/>
          </w:tcPr>
          <w:p w:rsidR="007B6745" w:rsidRPr="007B6745" w:rsidP="00F326FB" w14:paraId="731BF4B0" w14:textId="77777777">
            <w:pPr>
              <w:pStyle w:val="TableNote0"/>
            </w:pPr>
            <w:r w:rsidRPr="007B6745">
              <w:t>PPE = personal protective equipment</w:t>
            </w:r>
          </w:p>
          <w:p w:rsidR="007B6745" w:rsidRPr="007B6745" w:rsidP="00F326FB" w14:paraId="1287092A" w14:textId="6AB97AD7">
            <w:pPr>
              <w:pStyle w:val="TableNote0"/>
            </w:pPr>
            <w:r w:rsidRPr="007B6745">
              <w:t>a. Number of facilities (</w:t>
            </w:r>
            <w:r w:rsidRPr="007B6745">
              <w:fldChar w:fldCharType="begin" w:fldLock="1"/>
            </w:r>
            <w:r w:rsidRPr="007B6745">
              <w:instrText xml:space="preserve"> REF _Ref180054057 </w:instrText>
            </w:r>
            <w:r w:rsidR="00F326FB">
              <w:instrText xml:space="preserve"> \* MERGEFORMAT </w:instrText>
            </w:r>
            <w:r w:rsidRPr="007B6745">
              <w:fldChar w:fldCharType="separate"/>
            </w:r>
            <w:r w:rsidRPr="007B6745" w:rsidR="00735BBC">
              <w:t xml:space="preserve">Table </w:t>
            </w:r>
            <w:r w:rsidR="00735BBC">
              <w:t>4</w:t>
            </w:r>
            <w:r w:rsidR="00735BBC">
              <w:noBreakHyphen/>
              <w:t>3</w:t>
            </w:r>
            <w:r w:rsidRPr="007B6745">
              <w:fldChar w:fldCharType="end"/>
            </w:r>
            <w:r w:rsidRPr="007B6745">
              <w:t>) times $148, the annual PPE program cost (</w:t>
            </w:r>
            <w:hyperlink w:anchor="_ENREF_1" w:tooltip="Abt Global, 2024 #1" w:history="1">
              <w:r w:rsidR="003D6084">
                <w:fldChar w:fldCharType="begin" w:fldLock="1"/>
              </w:r>
              <w:r w:rsidR="003D6084">
                <w:instrText xml:space="preserve"> ADDIN EN.CITE &lt;EndNote&gt;&lt;Cite&gt;&lt;Author&gt;Abt Global&lt;/Author&gt;&lt;Year&gt;2024&lt;/Year&gt;&lt;RecNum&gt;1&lt;/RecNum&gt;&lt;DisplayText&gt;Abt Global 2024&lt;/DisplayText&gt;&lt;record&gt;&lt;rec-number&gt;1&lt;/rec-number&gt;&lt;foreign-keys&gt;&lt;key app="EN" db-id="2apzr05radv9fjet2w6xxwdlz5e9vwfxredw" timestamp="1730757315"&gt;1&lt;/key&gt;&lt;/foreign-keys&gt;&lt;ref-type name="Report"&gt;27&lt;/ref-type&gt;&lt;contributors&gt;&lt;authors&gt;&lt;author&gt;Abt Global,&lt;/author&gt;&lt;/authors&gt;&lt;/contributors&gt;&lt;titles&gt;&lt;title&gt;Estimated Costs for Respirator PPE for TSCA Risk Management Economic Analyses &lt;/title&gt;&lt;/titles&gt;&lt;dates&gt;&lt;year&gt;2024&lt;/year&gt;&lt;/dates&gt;&lt;publisher&gt;Submitted to U.S. EPA Economic and Policy Analysis Branch&lt;/publisher&gt;&lt;urls&gt;&lt;/urls&gt;&lt;/record&gt;&lt;/Cite&gt;&lt;/EndNote&gt;</w:instrText>
              </w:r>
              <w:r w:rsidR="003D6084">
                <w:fldChar w:fldCharType="separate"/>
              </w:r>
              <w:r w:rsidR="003D6084">
                <w:rPr>
                  <w:noProof/>
                </w:rPr>
                <w:t>Abt Global 2024</w:t>
              </w:r>
              <w:r w:rsidR="003D6084">
                <w:fldChar w:fldCharType="end"/>
              </w:r>
            </w:hyperlink>
            <w:r w:rsidRPr="007B6745">
              <w:t>)</w:t>
            </w:r>
          </w:p>
          <w:p w:rsidR="007B6745" w:rsidRPr="007B6745" w:rsidP="00F326FB" w14:paraId="6177423C" w14:textId="77777777">
            <w:pPr>
              <w:pStyle w:val="TableNote0"/>
            </w:pPr>
            <w:r w:rsidRPr="007B6745">
              <w:t>b. Number of facilities times $186, the estimated annual recordkeeping cost</w:t>
            </w:r>
          </w:p>
          <w:p w:rsidR="007B6745" w:rsidRPr="007B6745" w:rsidP="00F326FB" w14:paraId="3734D78E" w14:textId="0D5EFE5E">
            <w:pPr>
              <w:pStyle w:val="TableNote0"/>
            </w:pPr>
            <w:r w:rsidRPr="007B6745">
              <w:t>c. Number of exposed workers (</w:t>
            </w:r>
            <w:r w:rsidRPr="007B6745">
              <w:fldChar w:fldCharType="begin" w:fldLock="1"/>
            </w:r>
            <w:r w:rsidRPr="007B6745">
              <w:instrText xml:space="preserve"> REF _Ref180054057 </w:instrText>
            </w:r>
            <w:r w:rsidR="00F326FB">
              <w:instrText xml:space="preserve"> \* MERGEFORMAT </w:instrText>
            </w:r>
            <w:r w:rsidRPr="007B6745">
              <w:fldChar w:fldCharType="separate"/>
            </w:r>
            <w:r w:rsidRPr="007B6745" w:rsidR="00735BBC">
              <w:t xml:space="preserve">Table </w:t>
            </w:r>
            <w:r w:rsidR="00735BBC">
              <w:t>4</w:t>
            </w:r>
            <w:r w:rsidR="00735BBC">
              <w:noBreakHyphen/>
              <w:t>3</w:t>
            </w:r>
            <w:r w:rsidRPr="007B6745">
              <w:fldChar w:fldCharType="end"/>
            </w:r>
            <w:r w:rsidRPr="007B6745">
              <w:t xml:space="preserve">) times $283, the average annual cost </w:t>
            </w:r>
            <w:r w:rsidRPr="00E97EB6">
              <w:t>for N95 masks (</w:t>
            </w:r>
            <w:r w:rsidRPr="00E97EB6">
              <w:fldChar w:fldCharType="begin" w:fldLock="1"/>
            </w:r>
            <w:r w:rsidRPr="00E97EB6">
              <w:instrText xml:space="preserve"> REF _Ref177032102 </w:instrText>
            </w:r>
            <w:r w:rsidRPr="00E97EB6" w:rsidR="00F326FB">
              <w:instrText xml:space="preserve"> \* MERGEFORMAT </w:instrText>
            </w:r>
            <w:r w:rsidRPr="00E97EB6">
              <w:fldChar w:fldCharType="separate"/>
            </w:r>
            <w:r w:rsidRPr="007B6745" w:rsidR="00735BBC">
              <w:t xml:space="preserve">Table </w:t>
            </w:r>
            <w:r w:rsidR="00735BBC">
              <w:t>4</w:t>
            </w:r>
            <w:r w:rsidR="00735BBC">
              <w:noBreakHyphen/>
              <w:t>9</w:t>
            </w:r>
            <w:r w:rsidRPr="00E97EB6">
              <w:fldChar w:fldCharType="end"/>
            </w:r>
            <w:r w:rsidRPr="00E97EB6">
              <w:t>)</w:t>
            </w:r>
          </w:p>
          <w:p w:rsidR="007B6745" w:rsidRPr="007B6745" w:rsidP="00F326FB" w14:paraId="013E41AD" w14:textId="77777777">
            <w:pPr>
              <w:pStyle w:val="TableNote0"/>
            </w:pPr>
            <w:r w:rsidRPr="007B6745">
              <w:t>d. Sum of program costs, recordkeeping costs, respirator costs</w:t>
            </w:r>
          </w:p>
        </w:tc>
      </w:tr>
    </w:tbl>
    <w:p w:rsidR="007B6745" w:rsidRPr="007B6745" w:rsidP="00832749" w14:paraId="1FE26BCE" w14:textId="77777777">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tblPr>
      <w:tblGrid>
        <w:gridCol w:w="4881"/>
        <w:gridCol w:w="1120"/>
        <w:gridCol w:w="1121"/>
        <w:gridCol w:w="1119"/>
        <w:gridCol w:w="1119"/>
      </w:tblGrid>
      <w:tr w14:paraId="6D1BBE74" w14:textId="77777777" w:rsidTr="0002620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tblPrEx>
        <w:trPr>
          <w:trHeight w:val="234"/>
          <w:tblHeader/>
        </w:trPr>
        <w:tc>
          <w:tcPr>
            <w:tcW w:w="5000" w:type="pct"/>
            <w:gridSpan w:val="5"/>
            <w:tcBorders>
              <w:top w:val="nil"/>
              <w:left w:val="nil"/>
              <w:bottom w:val="single" w:sz="4" w:space="0" w:color="auto"/>
              <w:right w:val="nil"/>
            </w:tcBorders>
            <w:shd w:val="clear" w:color="auto" w:fill="auto"/>
            <w:vAlign w:val="center"/>
          </w:tcPr>
          <w:p w:rsidR="00026204" w:rsidRPr="00986E4C" w:rsidP="00986E4C" w14:paraId="2076154C" w14:textId="12C3DF59">
            <w:pPr>
              <w:pStyle w:val="TableTitleA"/>
            </w:pPr>
            <w:bookmarkStart w:id="214" w:name="_Ref177634923"/>
            <w:bookmarkStart w:id="215" w:name="_Toc184299572"/>
            <w:r w:rsidRPr="00986E4C">
              <w:t xml:space="preserve">Table </w:t>
            </w:r>
            <w:r>
              <w:fldChar w:fldCharType="begin" w:fldLock="1"/>
            </w:r>
            <w:r>
              <w:instrText>STYLEREF 1 \s</w:instrText>
            </w:r>
            <w:r>
              <w:fldChar w:fldCharType="separate"/>
            </w:r>
            <w:r w:rsidR="00735BBC">
              <w:rPr>
                <w:noProof/>
              </w:rPr>
              <w:t>4</w:t>
            </w:r>
            <w:r>
              <w:fldChar w:fldCharType="end"/>
            </w:r>
            <w:r w:rsidRPr="00986E4C" w:rsidR="000A1542">
              <w:noBreakHyphen/>
            </w:r>
            <w:r>
              <w:fldChar w:fldCharType="begin" w:fldLock="1"/>
            </w:r>
            <w:r>
              <w:instrText>SEQ Table \* ARABIC \s 1</w:instrText>
            </w:r>
            <w:r>
              <w:fldChar w:fldCharType="separate"/>
            </w:r>
            <w:r w:rsidR="00735BBC">
              <w:rPr>
                <w:noProof/>
              </w:rPr>
              <w:t>16</w:t>
            </w:r>
            <w:r>
              <w:fldChar w:fldCharType="end"/>
            </w:r>
            <w:bookmarkEnd w:id="214"/>
            <w:r w:rsidRPr="00986E4C">
              <w:t>: Alternative Option Incremental One-time and Annual Recurring PPE Costs (2023$)</w:t>
            </w:r>
            <w:bookmarkEnd w:id="215"/>
          </w:p>
        </w:tc>
      </w:tr>
      <w:tr w14:paraId="509DA54A" w14:textId="77777777" w:rsidTr="00026204">
        <w:tblPrEx>
          <w:tblW w:w="5000" w:type="pct"/>
          <w:tblCellMar>
            <w:left w:w="58" w:type="dxa"/>
            <w:right w:w="58" w:type="dxa"/>
          </w:tblCellMar>
          <w:tblLook w:val="04A0"/>
        </w:tblPrEx>
        <w:trPr>
          <w:trHeight w:val="280"/>
          <w:tblHeader/>
        </w:trPr>
        <w:tc>
          <w:tcPr>
            <w:tcW w:w="2607"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7C462EBA" w14:textId="77777777">
            <w:pPr>
              <w:pStyle w:val="TableSubtitle"/>
            </w:pPr>
            <w:r w:rsidRPr="007B6745">
              <w:t>Use Category</w:t>
            </w:r>
          </w:p>
        </w:tc>
        <w:tc>
          <w:tcPr>
            <w:tcW w:w="1197"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2B7B86A4" w14:textId="77777777">
            <w:pPr>
              <w:pStyle w:val="TableSubtitle"/>
              <w:rPr>
                <w:vertAlign w:val="superscript"/>
              </w:rPr>
            </w:pPr>
            <w:r w:rsidRPr="007B6745">
              <w:t>One-time</w:t>
            </w:r>
            <w:r w:rsidRPr="007B6745">
              <w:rPr>
                <w:vertAlign w:val="superscript"/>
              </w:rPr>
              <w:t xml:space="preserve"> a</w:t>
            </w:r>
          </w:p>
        </w:tc>
        <w:tc>
          <w:tcPr>
            <w:tcW w:w="1196"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3CE8F8CD" w14:textId="77777777">
            <w:pPr>
              <w:pStyle w:val="TableSubtitle"/>
              <w:rPr>
                <w:vertAlign w:val="superscript"/>
              </w:rPr>
            </w:pPr>
            <w:r w:rsidRPr="007B6745">
              <w:t>Annual Recurring</w:t>
            </w:r>
            <w:r w:rsidRPr="007B6745">
              <w:rPr>
                <w:vertAlign w:val="superscript"/>
              </w:rPr>
              <w:t xml:space="preserve"> b</w:t>
            </w:r>
          </w:p>
        </w:tc>
      </w:tr>
      <w:tr w14:paraId="2ABB5FB6" w14:textId="77777777" w:rsidTr="00026204">
        <w:tblPrEx>
          <w:tblW w:w="5000" w:type="pct"/>
          <w:tblCellMar>
            <w:left w:w="58" w:type="dxa"/>
            <w:right w:w="58" w:type="dxa"/>
          </w:tblCellMar>
          <w:tblLook w:val="04A0"/>
        </w:tblPrEx>
        <w:trPr>
          <w:trHeight w:val="300"/>
          <w:tblHeader/>
        </w:trPr>
        <w:tc>
          <w:tcPr>
            <w:tcW w:w="0" w:type="auto"/>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4ADAF966" w14:textId="77777777">
            <w:pPr>
              <w:pStyle w:val="TableSubtitle"/>
            </w:pPr>
          </w:p>
        </w:tc>
        <w:tc>
          <w:tcPr>
            <w:tcW w:w="598"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4D9E9F03" w14:textId="77777777">
            <w:pPr>
              <w:pStyle w:val="TableSubtitle"/>
            </w:pPr>
            <w:r w:rsidRPr="007B6745">
              <w:t>Low</w:t>
            </w:r>
          </w:p>
        </w:tc>
        <w:tc>
          <w:tcPr>
            <w:tcW w:w="599"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59471193" w14:textId="77777777">
            <w:pPr>
              <w:pStyle w:val="TableSubtitle"/>
            </w:pPr>
            <w:r w:rsidRPr="007B6745">
              <w:t>High</w:t>
            </w:r>
          </w:p>
        </w:tc>
        <w:tc>
          <w:tcPr>
            <w:tcW w:w="598"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167A2C4A" w14:textId="77777777">
            <w:pPr>
              <w:pStyle w:val="TableSubtitle"/>
            </w:pPr>
            <w:r w:rsidRPr="007B6745">
              <w:t>Low</w:t>
            </w:r>
          </w:p>
        </w:tc>
        <w:tc>
          <w:tcPr>
            <w:tcW w:w="598"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6801DE55" w14:textId="77777777">
            <w:pPr>
              <w:pStyle w:val="TableSubtitle"/>
            </w:pPr>
            <w:r w:rsidRPr="007B6745">
              <w:t>High</w:t>
            </w:r>
          </w:p>
        </w:tc>
      </w:tr>
      <w:tr w14:paraId="2BE3FE59" w14:textId="77777777" w:rsidTr="00026204">
        <w:tblPrEx>
          <w:tblW w:w="5000" w:type="pct"/>
          <w:tblCellMar>
            <w:left w:w="58" w:type="dxa"/>
            <w:right w:w="58" w:type="dxa"/>
          </w:tblCellMar>
          <w:tblLook w:val="04A0"/>
        </w:tblPrEx>
        <w:trPr>
          <w:trHeight w:val="260"/>
        </w:trPr>
        <w:tc>
          <w:tcPr>
            <w:tcW w:w="2607"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7153941E" w14:textId="77777777">
            <w:pPr>
              <w:pStyle w:val="LTableTextAbt"/>
            </w:pPr>
            <w:r w:rsidRPr="007B6745">
              <w:t>PV29 manufacturing and intermediate processing</w:t>
            </w:r>
          </w:p>
        </w:tc>
        <w:tc>
          <w:tcPr>
            <w:tcW w:w="598"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2E663C49" w14:textId="79B88620">
            <w:pPr>
              <w:pStyle w:val="RTableTextAbt"/>
            </w:pPr>
            <w:r w:rsidRPr="003F4822">
              <w:t xml:space="preserve">$593 </w:t>
            </w:r>
          </w:p>
        </w:tc>
        <w:tc>
          <w:tcPr>
            <w:tcW w:w="599"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232379E3" w14:textId="691AEEC3">
            <w:pPr>
              <w:pStyle w:val="RTableTextAbt"/>
            </w:pPr>
            <w:r w:rsidRPr="003F4822">
              <w:t xml:space="preserve">$593 </w:t>
            </w:r>
          </w:p>
        </w:tc>
        <w:tc>
          <w:tcPr>
            <w:tcW w:w="598"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2307CA3D" w14:textId="7ECCF83B">
            <w:pPr>
              <w:pStyle w:val="RTableTextAbt"/>
            </w:pPr>
            <w:r w:rsidRPr="003F4822">
              <w:t xml:space="preserve">$334 </w:t>
            </w:r>
          </w:p>
        </w:tc>
        <w:tc>
          <w:tcPr>
            <w:tcW w:w="598"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7CE658A7" w14:textId="452ABDC0">
            <w:pPr>
              <w:pStyle w:val="RTableTextAbt"/>
            </w:pPr>
            <w:r w:rsidRPr="003F4822">
              <w:t xml:space="preserve">$334 </w:t>
            </w:r>
          </w:p>
        </w:tc>
      </w:tr>
      <w:tr w14:paraId="13A72FA3" w14:textId="77777777" w:rsidTr="00026204">
        <w:tblPrEx>
          <w:tblW w:w="5000" w:type="pct"/>
          <w:tblCellMar>
            <w:left w:w="58" w:type="dxa"/>
            <w:right w:w="58" w:type="dxa"/>
          </w:tblCellMar>
          <w:tblLook w:val="04A0"/>
        </w:tblPrEx>
        <w:trPr>
          <w:trHeight w:val="260"/>
        </w:trPr>
        <w:tc>
          <w:tcPr>
            <w:tcW w:w="2607" w:type="pct"/>
            <w:tcBorders>
              <w:top w:val="single" w:sz="4" w:space="0" w:color="auto"/>
              <w:left w:val="single" w:sz="4" w:space="0" w:color="auto"/>
              <w:bottom w:val="single" w:sz="4" w:space="0" w:color="auto"/>
              <w:right w:val="single" w:sz="4" w:space="0" w:color="auto"/>
            </w:tcBorders>
            <w:noWrap/>
          </w:tcPr>
          <w:p w:rsidR="007D109A" w:rsidRPr="007B6745" w:rsidP="007D109A" w14:paraId="586F1E01" w14:textId="6E779379">
            <w:pPr>
              <w:pStyle w:val="LTableTextAbt"/>
            </w:pPr>
            <w:r>
              <w:t>PV29 importing</w:t>
            </w:r>
          </w:p>
        </w:tc>
        <w:tc>
          <w:tcPr>
            <w:tcW w:w="598" w:type="pct"/>
            <w:tcBorders>
              <w:top w:val="single" w:sz="4" w:space="0" w:color="auto"/>
              <w:left w:val="single" w:sz="4" w:space="0" w:color="auto"/>
              <w:bottom w:val="single" w:sz="4" w:space="0" w:color="auto"/>
              <w:right w:val="single" w:sz="4" w:space="0" w:color="auto"/>
            </w:tcBorders>
            <w:noWrap/>
          </w:tcPr>
          <w:p w:rsidR="007D109A" w:rsidRPr="007B6745" w:rsidP="007D109A" w14:paraId="39DEEE38" w14:textId="57ED0724">
            <w:pPr>
              <w:pStyle w:val="RTableTextAbt"/>
              <w:rPr>
                <w:lang w:val="en-GB"/>
              </w:rPr>
            </w:pPr>
            <w:r w:rsidRPr="003F4822">
              <w:t xml:space="preserve">$1,101 </w:t>
            </w:r>
          </w:p>
        </w:tc>
        <w:tc>
          <w:tcPr>
            <w:tcW w:w="599" w:type="pct"/>
            <w:tcBorders>
              <w:top w:val="single" w:sz="4" w:space="0" w:color="auto"/>
              <w:left w:val="single" w:sz="4" w:space="0" w:color="auto"/>
              <w:bottom w:val="single" w:sz="4" w:space="0" w:color="auto"/>
              <w:right w:val="single" w:sz="4" w:space="0" w:color="auto"/>
            </w:tcBorders>
            <w:noWrap/>
          </w:tcPr>
          <w:p w:rsidR="007D109A" w:rsidRPr="007B6745" w:rsidP="007D109A" w14:paraId="3865BCBA" w14:textId="3B37C75F">
            <w:pPr>
              <w:pStyle w:val="RTableTextAbt"/>
              <w:rPr>
                <w:lang w:val="en-GB"/>
              </w:rPr>
            </w:pPr>
            <w:r w:rsidRPr="003F4822">
              <w:t xml:space="preserve">$1,101 </w:t>
            </w:r>
          </w:p>
        </w:tc>
        <w:tc>
          <w:tcPr>
            <w:tcW w:w="598" w:type="pct"/>
            <w:tcBorders>
              <w:top w:val="single" w:sz="4" w:space="0" w:color="auto"/>
              <w:left w:val="single" w:sz="4" w:space="0" w:color="auto"/>
              <w:bottom w:val="single" w:sz="4" w:space="0" w:color="auto"/>
              <w:right w:val="single" w:sz="4" w:space="0" w:color="auto"/>
            </w:tcBorders>
            <w:noWrap/>
          </w:tcPr>
          <w:p w:rsidR="007D109A" w:rsidRPr="007B6745" w:rsidP="007D109A" w14:paraId="3205F201" w14:textId="65E85270">
            <w:pPr>
              <w:pStyle w:val="RTableTextAbt"/>
              <w:rPr>
                <w:lang w:val="en-GB"/>
              </w:rPr>
            </w:pPr>
            <w:r w:rsidRPr="003F4822">
              <w:t xml:space="preserve">$1,678 </w:t>
            </w:r>
          </w:p>
        </w:tc>
        <w:tc>
          <w:tcPr>
            <w:tcW w:w="598" w:type="pct"/>
            <w:tcBorders>
              <w:top w:val="single" w:sz="4" w:space="0" w:color="auto"/>
              <w:left w:val="single" w:sz="4" w:space="0" w:color="auto"/>
              <w:bottom w:val="single" w:sz="4" w:space="0" w:color="auto"/>
              <w:right w:val="single" w:sz="4" w:space="0" w:color="auto"/>
            </w:tcBorders>
            <w:noWrap/>
          </w:tcPr>
          <w:p w:rsidR="007D109A" w:rsidRPr="007B6745" w:rsidP="007D109A" w14:paraId="2921E050" w14:textId="1CAF851B">
            <w:pPr>
              <w:pStyle w:val="RTableTextAbt"/>
              <w:rPr>
                <w:lang w:val="en-GB"/>
              </w:rPr>
            </w:pPr>
            <w:r w:rsidRPr="003F4822">
              <w:t xml:space="preserve">$1,678 </w:t>
            </w:r>
          </w:p>
        </w:tc>
      </w:tr>
      <w:tr w14:paraId="7475DAF0" w14:textId="77777777" w:rsidTr="00026204">
        <w:tblPrEx>
          <w:tblW w:w="5000" w:type="pct"/>
          <w:tblCellMar>
            <w:left w:w="58" w:type="dxa"/>
            <w:right w:w="58" w:type="dxa"/>
          </w:tblCellMar>
          <w:tblLook w:val="04A0"/>
        </w:tblPrEx>
        <w:trPr>
          <w:trHeight w:val="260"/>
        </w:trPr>
        <w:tc>
          <w:tcPr>
            <w:tcW w:w="2607"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64A16396" w14:textId="77777777">
            <w:pPr>
              <w:pStyle w:val="LTableTextAbt"/>
            </w:pPr>
            <w:r w:rsidRPr="007B6745">
              <w:t>Processing into automotive paints and coatings</w:t>
            </w:r>
          </w:p>
        </w:tc>
        <w:tc>
          <w:tcPr>
            <w:tcW w:w="598"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1E7667BB" w14:textId="3A7438A0">
            <w:pPr>
              <w:pStyle w:val="RTableTextAbt"/>
            </w:pPr>
            <w:r w:rsidRPr="003F4822">
              <w:t xml:space="preserve">$15,417 </w:t>
            </w:r>
          </w:p>
        </w:tc>
        <w:tc>
          <w:tcPr>
            <w:tcW w:w="599"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3F763C89" w14:textId="01101738">
            <w:pPr>
              <w:pStyle w:val="RTableTextAbt"/>
            </w:pPr>
            <w:r w:rsidRPr="003F4822">
              <w:t xml:space="preserve">$15,417 </w:t>
            </w:r>
          </w:p>
        </w:tc>
        <w:tc>
          <w:tcPr>
            <w:tcW w:w="598"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35FD382D" w14:textId="3FA9C37D">
            <w:pPr>
              <w:pStyle w:val="RTableTextAbt"/>
            </w:pPr>
            <w:r w:rsidRPr="003F4822">
              <w:t xml:space="preserve">$23,495 </w:t>
            </w:r>
          </w:p>
        </w:tc>
        <w:tc>
          <w:tcPr>
            <w:tcW w:w="598"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4E60D91C" w14:textId="5B6AD640">
            <w:pPr>
              <w:pStyle w:val="RTableTextAbt"/>
            </w:pPr>
            <w:r w:rsidRPr="003F4822">
              <w:t xml:space="preserve">$23,495 </w:t>
            </w:r>
          </w:p>
        </w:tc>
      </w:tr>
      <w:tr w14:paraId="31C77C66" w14:textId="77777777" w:rsidTr="00026204">
        <w:tblPrEx>
          <w:tblW w:w="5000" w:type="pct"/>
          <w:tblCellMar>
            <w:left w:w="58" w:type="dxa"/>
            <w:right w:w="58" w:type="dxa"/>
          </w:tblCellMar>
          <w:tblLook w:val="04A0"/>
        </w:tblPrEx>
        <w:trPr>
          <w:trHeight w:val="260"/>
        </w:trPr>
        <w:tc>
          <w:tcPr>
            <w:tcW w:w="2607"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685D2C3C" w14:textId="77777777">
            <w:pPr>
              <w:pStyle w:val="LTableTextAbt"/>
            </w:pPr>
            <w:r w:rsidRPr="007B6745">
              <w:t>Processing into plastic and rubber products</w:t>
            </w:r>
          </w:p>
        </w:tc>
        <w:tc>
          <w:tcPr>
            <w:tcW w:w="598"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5976EE29" w14:textId="36F6CDCE">
            <w:pPr>
              <w:pStyle w:val="RTableTextAbt"/>
            </w:pPr>
            <w:r w:rsidRPr="003F4822">
              <w:t xml:space="preserve">$4,810 </w:t>
            </w:r>
          </w:p>
        </w:tc>
        <w:tc>
          <w:tcPr>
            <w:tcW w:w="599"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429B781B" w14:textId="1C98056C">
            <w:pPr>
              <w:pStyle w:val="RTableTextAbt"/>
            </w:pPr>
            <w:r w:rsidRPr="003F4822">
              <w:t xml:space="preserve">$4,810 </w:t>
            </w:r>
          </w:p>
        </w:tc>
        <w:tc>
          <w:tcPr>
            <w:tcW w:w="598"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615B7C26" w14:textId="27112DA0">
            <w:pPr>
              <w:pStyle w:val="RTableTextAbt"/>
            </w:pPr>
            <w:r w:rsidRPr="003F4822">
              <w:t xml:space="preserve">$5,315 </w:t>
            </w:r>
          </w:p>
        </w:tc>
        <w:tc>
          <w:tcPr>
            <w:tcW w:w="598" w:type="pct"/>
            <w:tcBorders>
              <w:top w:val="single" w:sz="4" w:space="0" w:color="auto"/>
              <w:left w:val="single" w:sz="4" w:space="0" w:color="auto"/>
              <w:bottom w:val="single" w:sz="4" w:space="0" w:color="auto"/>
              <w:right w:val="single" w:sz="4" w:space="0" w:color="auto"/>
            </w:tcBorders>
            <w:noWrap/>
            <w:hideMark/>
          </w:tcPr>
          <w:p w:rsidR="007D109A" w:rsidRPr="007B6745" w:rsidP="007D109A" w14:paraId="0DB69D91" w14:textId="3A1046EB">
            <w:pPr>
              <w:pStyle w:val="RTableTextAbt"/>
            </w:pPr>
            <w:r w:rsidRPr="003F4822">
              <w:t xml:space="preserve">$5,315 </w:t>
            </w:r>
          </w:p>
        </w:tc>
      </w:tr>
      <w:tr w14:paraId="1899B9CD" w14:textId="77777777" w:rsidTr="00026204">
        <w:tblPrEx>
          <w:tblW w:w="5000" w:type="pct"/>
          <w:tblCellMar>
            <w:left w:w="58" w:type="dxa"/>
            <w:right w:w="58" w:type="dxa"/>
          </w:tblCellMar>
          <w:tblLook w:val="04A0"/>
        </w:tblPrEx>
        <w:trPr>
          <w:trHeight w:val="280"/>
        </w:trPr>
        <w:tc>
          <w:tcPr>
            <w:tcW w:w="2607" w:type="pct"/>
            <w:tcBorders>
              <w:top w:val="single" w:sz="4" w:space="0" w:color="auto"/>
              <w:left w:val="single" w:sz="4" w:space="0" w:color="auto"/>
              <w:bottom w:val="single" w:sz="4" w:space="0" w:color="auto"/>
              <w:right w:val="single" w:sz="4" w:space="0" w:color="auto"/>
            </w:tcBorders>
            <w:hideMark/>
          </w:tcPr>
          <w:p w:rsidR="007D109A" w:rsidRPr="007B6745" w:rsidP="007D109A" w14:paraId="4CFC1BC9" w14:textId="77777777">
            <w:pPr>
              <w:pStyle w:val="LTableTextAbt"/>
              <w:rPr>
                <w:b/>
              </w:rPr>
            </w:pPr>
            <w:r w:rsidRPr="007B6745">
              <w:rPr>
                <w:b/>
              </w:rPr>
              <w:t>Total</w:t>
            </w:r>
          </w:p>
        </w:tc>
        <w:tc>
          <w:tcPr>
            <w:tcW w:w="598" w:type="pct"/>
            <w:tcBorders>
              <w:top w:val="single" w:sz="4" w:space="0" w:color="auto"/>
              <w:left w:val="single" w:sz="4" w:space="0" w:color="auto"/>
              <w:bottom w:val="single" w:sz="4" w:space="0" w:color="auto"/>
              <w:right w:val="single" w:sz="4" w:space="0" w:color="auto"/>
            </w:tcBorders>
            <w:noWrap/>
            <w:hideMark/>
          </w:tcPr>
          <w:p w:rsidR="007D109A" w:rsidRPr="008924D7" w:rsidP="007D109A" w14:paraId="7EC2D9D6" w14:textId="131F2E56">
            <w:pPr>
              <w:pStyle w:val="RTableTextAbt"/>
              <w:rPr>
                <w:b/>
                <w:bCs w:val="0"/>
              </w:rPr>
            </w:pPr>
            <w:r w:rsidRPr="008924D7">
              <w:rPr>
                <w:b/>
                <w:bCs w:val="0"/>
              </w:rPr>
              <w:t xml:space="preserve">$21,921 </w:t>
            </w:r>
          </w:p>
        </w:tc>
        <w:tc>
          <w:tcPr>
            <w:tcW w:w="599" w:type="pct"/>
            <w:tcBorders>
              <w:top w:val="single" w:sz="4" w:space="0" w:color="auto"/>
              <w:left w:val="single" w:sz="4" w:space="0" w:color="auto"/>
              <w:bottom w:val="single" w:sz="4" w:space="0" w:color="auto"/>
              <w:right w:val="single" w:sz="4" w:space="0" w:color="auto"/>
            </w:tcBorders>
            <w:noWrap/>
            <w:hideMark/>
          </w:tcPr>
          <w:p w:rsidR="007D109A" w:rsidRPr="008924D7" w:rsidP="007D109A" w14:paraId="142BF58F" w14:textId="2478FEC8">
            <w:pPr>
              <w:pStyle w:val="RTableTextAbt"/>
              <w:rPr>
                <w:b/>
                <w:bCs w:val="0"/>
              </w:rPr>
            </w:pPr>
            <w:r w:rsidRPr="008924D7">
              <w:rPr>
                <w:b/>
                <w:bCs w:val="0"/>
              </w:rPr>
              <w:t xml:space="preserve">$21,921 </w:t>
            </w:r>
          </w:p>
        </w:tc>
        <w:tc>
          <w:tcPr>
            <w:tcW w:w="598" w:type="pct"/>
            <w:tcBorders>
              <w:top w:val="single" w:sz="4" w:space="0" w:color="auto"/>
              <w:left w:val="single" w:sz="4" w:space="0" w:color="auto"/>
              <w:bottom w:val="single" w:sz="4" w:space="0" w:color="auto"/>
              <w:right w:val="single" w:sz="4" w:space="0" w:color="auto"/>
            </w:tcBorders>
            <w:noWrap/>
            <w:hideMark/>
          </w:tcPr>
          <w:p w:rsidR="007D109A" w:rsidRPr="008924D7" w:rsidP="007D109A" w14:paraId="75782A84" w14:textId="49DF38FF">
            <w:pPr>
              <w:pStyle w:val="RTableTextAbt"/>
              <w:rPr>
                <w:b/>
                <w:bCs w:val="0"/>
              </w:rPr>
            </w:pPr>
            <w:r w:rsidRPr="008924D7">
              <w:rPr>
                <w:b/>
                <w:bCs w:val="0"/>
              </w:rPr>
              <w:t xml:space="preserve">$30,822 </w:t>
            </w:r>
          </w:p>
        </w:tc>
        <w:tc>
          <w:tcPr>
            <w:tcW w:w="598" w:type="pct"/>
            <w:tcBorders>
              <w:top w:val="single" w:sz="4" w:space="0" w:color="auto"/>
              <w:left w:val="single" w:sz="4" w:space="0" w:color="auto"/>
              <w:bottom w:val="single" w:sz="4" w:space="0" w:color="auto"/>
              <w:right w:val="single" w:sz="4" w:space="0" w:color="auto"/>
            </w:tcBorders>
            <w:noWrap/>
            <w:hideMark/>
          </w:tcPr>
          <w:p w:rsidR="007D109A" w:rsidRPr="008924D7" w:rsidP="007D109A" w14:paraId="1E03F34E" w14:textId="713D839F">
            <w:pPr>
              <w:pStyle w:val="RTableTextAbt"/>
              <w:rPr>
                <w:b/>
                <w:bCs w:val="0"/>
              </w:rPr>
            </w:pPr>
            <w:r w:rsidRPr="008924D7">
              <w:rPr>
                <w:b/>
                <w:bCs w:val="0"/>
              </w:rPr>
              <w:t xml:space="preserve">$30,822 </w:t>
            </w:r>
          </w:p>
        </w:tc>
      </w:tr>
      <w:tr w14:paraId="792AB44E" w14:textId="77777777" w:rsidTr="007B6745">
        <w:tblPrEx>
          <w:tblW w:w="5000" w:type="pct"/>
          <w:tblCellMar>
            <w:left w:w="58" w:type="dxa"/>
            <w:right w:w="58" w:type="dxa"/>
          </w:tblCellMar>
          <w:tblLook w:val="04A0"/>
        </w:tblPrEx>
        <w:trPr>
          <w:trHeight w:val="280"/>
        </w:trPr>
        <w:tc>
          <w:tcPr>
            <w:tcW w:w="5000" w:type="pct"/>
            <w:gridSpan w:val="5"/>
            <w:tcBorders>
              <w:top w:val="single" w:sz="4" w:space="0" w:color="auto"/>
              <w:left w:val="single" w:sz="4" w:space="0" w:color="auto"/>
              <w:bottom w:val="single" w:sz="4" w:space="0" w:color="auto"/>
              <w:right w:val="single" w:sz="4" w:space="0" w:color="auto"/>
            </w:tcBorders>
            <w:hideMark/>
          </w:tcPr>
          <w:p w:rsidR="007B6745" w:rsidRPr="007B6745" w:rsidP="004B79C7" w14:paraId="5C79A55E" w14:textId="77777777">
            <w:pPr>
              <w:pStyle w:val="TableNote0"/>
            </w:pPr>
            <w:r w:rsidRPr="007B6745">
              <w:t>PPE= personal protective equipment</w:t>
            </w:r>
          </w:p>
          <w:p w:rsidR="007B6745" w:rsidRPr="007B6745" w:rsidP="004B79C7" w14:paraId="41C9F452" w14:textId="2C87DFB4">
            <w:pPr>
              <w:pStyle w:val="TableNote0"/>
            </w:pPr>
            <w:r w:rsidRPr="007B6745">
              <w:t>a. Alternative option one-time costs (</w:t>
            </w:r>
            <w:r w:rsidRPr="007B6745">
              <w:fldChar w:fldCharType="begin" w:fldLock="1"/>
            </w:r>
            <w:r w:rsidRPr="007B6745">
              <w:instrText>REF _Ref177634870</w:instrText>
            </w:r>
            <w:r w:rsidR="00026204">
              <w:instrText xml:space="preserve"> \* MERGEFORMAT </w:instrText>
            </w:r>
            <w:r w:rsidRPr="007B6745">
              <w:fldChar w:fldCharType="separate"/>
            </w:r>
            <w:r w:rsidRPr="007B6745" w:rsidR="00735BBC">
              <w:t xml:space="preserve">Table </w:t>
            </w:r>
            <w:r w:rsidR="00735BBC">
              <w:t>4</w:t>
            </w:r>
            <w:r w:rsidR="00735BBC">
              <w:noBreakHyphen/>
              <w:t>14</w:t>
            </w:r>
            <w:r w:rsidRPr="007B6745">
              <w:fldChar w:fldCharType="end"/>
            </w:r>
            <w:r w:rsidRPr="007B6745">
              <w:t>) minus baseline one-time costs (</w:t>
            </w:r>
            <w:r w:rsidRPr="007B6745">
              <w:fldChar w:fldCharType="begin" w:fldLock="1"/>
            </w:r>
            <w:r w:rsidRPr="007B6745">
              <w:instrText>REF _Ref177571502</w:instrText>
            </w:r>
            <w:r w:rsidR="00026204">
              <w:instrText xml:space="preserve"> \* MERGEFORMAT </w:instrText>
            </w:r>
            <w:r w:rsidRPr="007B6745">
              <w:fldChar w:fldCharType="separate"/>
            </w:r>
            <w:r w:rsidRPr="007B6745" w:rsidR="00735BBC">
              <w:t xml:space="preserve">Table </w:t>
            </w:r>
            <w:r w:rsidR="00735BBC">
              <w:t>4</w:t>
            </w:r>
            <w:r w:rsidR="00735BBC">
              <w:noBreakHyphen/>
              <w:t>10</w:t>
            </w:r>
            <w:r w:rsidRPr="007B6745">
              <w:fldChar w:fldCharType="end"/>
            </w:r>
            <w:r w:rsidRPr="007B6745">
              <w:t>)</w:t>
            </w:r>
          </w:p>
          <w:p w:rsidR="007B6745" w:rsidRPr="007B6745" w:rsidP="004B79C7" w14:paraId="7BAEBA36" w14:textId="785AAB7F">
            <w:pPr>
              <w:pStyle w:val="TableNote0"/>
            </w:pPr>
            <w:r w:rsidRPr="007B6745">
              <w:t>b. Alternative option annual recurring costs (</w:t>
            </w:r>
            <w:r w:rsidRPr="007B6745">
              <w:fldChar w:fldCharType="begin" w:fldLock="1"/>
            </w:r>
            <w:r w:rsidRPr="007B6745">
              <w:instrText>REF _Ref177634881</w:instrText>
            </w:r>
            <w:r w:rsidR="00026204">
              <w:instrText xml:space="preserve"> \* MERGEFORMAT </w:instrText>
            </w:r>
            <w:r w:rsidRPr="007B6745">
              <w:fldChar w:fldCharType="separate"/>
            </w:r>
            <w:r w:rsidRPr="00986E4C" w:rsidR="00735BBC">
              <w:t xml:space="preserve">Table </w:t>
            </w:r>
            <w:r w:rsidR="00735BBC">
              <w:t>4</w:t>
            </w:r>
            <w:r w:rsidRPr="00986E4C" w:rsidR="00735BBC">
              <w:noBreakHyphen/>
            </w:r>
            <w:r w:rsidR="00735BBC">
              <w:t>15</w:t>
            </w:r>
            <w:r w:rsidRPr="007B6745">
              <w:fldChar w:fldCharType="end"/>
            </w:r>
            <w:r w:rsidRPr="007B6745">
              <w:t>) minus baseline annual recurring costs (</w:t>
            </w:r>
            <w:r w:rsidRPr="007B6745">
              <w:fldChar w:fldCharType="begin" w:fldLock="1"/>
            </w:r>
            <w:r w:rsidRPr="007B6745">
              <w:instrText>REF _Ref177571502</w:instrText>
            </w:r>
            <w:r w:rsidR="00026204">
              <w:instrText xml:space="preserve"> \* MERGEFORMAT </w:instrText>
            </w:r>
            <w:r w:rsidRPr="007B6745">
              <w:fldChar w:fldCharType="separate"/>
            </w:r>
            <w:r w:rsidRPr="007B6745" w:rsidR="00735BBC">
              <w:t xml:space="preserve">Table </w:t>
            </w:r>
            <w:r w:rsidR="00735BBC">
              <w:t>4</w:t>
            </w:r>
            <w:r w:rsidR="00735BBC">
              <w:noBreakHyphen/>
              <w:t>10</w:t>
            </w:r>
            <w:r w:rsidRPr="007B6745">
              <w:fldChar w:fldCharType="end"/>
            </w:r>
            <w:r w:rsidRPr="007B6745">
              <w:t>)</w:t>
            </w:r>
          </w:p>
        </w:tc>
      </w:tr>
    </w:tbl>
    <w:p w:rsidR="007B6745" w:rsidRPr="007B6745" w:rsidP="00832749" w14:paraId="76541CED" w14:textId="77777777">
      <w:pPr>
        <w:pStyle w:val="BodyText"/>
      </w:pPr>
    </w:p>
    <w:p w:rsidR="007B6745" w:rsidRPr="007B6745" w:rsidP="00AF31BB" w14:paraId="13E6B566" w14:textId="7A412DE5">
      <w:pPr>
        <w:pStyle w:val="Heading3"/>
      </w:pPr>
      <w:bookmarkStart w:id="216" w:name="_Toc179234329"/>
      <w:bookmarkStart w:id="217" w:name="_Ref177575759"/>
      <w:bookmarkStart w:id="218" w:name="_Ref166850590"/>
      <w:bookmarkStart w:id="219" w:name="_Toc179234328"/>
      <w:bookmarkStart w:id="220" w:name="_Ref177575747"/>
      <w:bookmarkStart w:id="221" w:name="_Ref76461986"/>
      <w:bookmarkStart w:id="222" w:name="_Toc56508429"/>
      <w:bookmarkEnd w:id="175"/>
      <w:r w:rsidRPr="007B6745">
        <w:t>Equipment and area cleaning</w:t>
      </w:r>
      <w:bookmarkEnd w:id="216"/>
      <w:bookmarkEnd w:id="217"/>
    </w:p>
    <w:p w:rsidR="007B6745" w:rsidRPr="007B6745" w:rsidP="00832749" w14:paraId="14C9C2EE" w14:textId="1172ED36">
      <w:pPr>
        <w:pStyle w:val="BodyText"/>
      </w:pPr>
      <w:r w:rsidRPr="4BA86F39">
        <w:rPr>
          <w:lang w:val="en-US"/>
        </w:rPr>
        <w:t xml:space="preserve">The proposed and alternative options both require that facilities conduct equipment and area cleaning anytime regulated PV29 is used. EPA assumes that each affected facility would incur a one-time cost of 4 managerial hours to develop a cleaning plan and program, and a weekly cleaning burden of four maintenance labor hours, including 15 minutes for recordkeeping. </w:t>
      </w:r>
      <w:r w:rsidRPr="007B6745">
        <w:fldChar w:fldCharType="begin" w:fldLock="1"/>
      </w:r>
      <w:r w:rsidRPr="007B6745">
        <w:instrText xml:space="preserve"> REF _Ref180056746 </w:instrText>
      </w:r>
      <w:r w:rsidR="00105ED0">
        <w:instrText xml:space="preserve"> \* MERGEFORMAT </w:instrText>
      </w:r>
      <w:r w:rsidRPr="007B6745">
        <w:fldChar w:fldCharType="separate"/>
      </w:r>
      <w:r w:rsidRPr="00735BBC" w:rsidR="00735BBC">
        <w:rPr>
          <w:lang w:val="en-US"/>
        </w:rPr>
        <w:t>Table 4</w:t>
      </w:r>
      <w:r w:rsidRPr="00735BBC" w:rsidR="00735BBC">
        <w:rPr>
          <w:lang w:val="en-US"/>
        </w:rPr>
        <w:noBreakHyphen/>
        <w:t>17</w:t>
      </w:r>
      <w:r w:rsidRPr="007B6745">
        <w:fldChar w:fldCharType="end"/>
      </w:r>
      <w:r w:rsidRPr="4BA86F39">
        <w:rPr>
          <w:lang w:val="en-US"/>
        </w:rPr>
        <w:t xml:space="preserve"> and </w:t>
      </w:r>
      <w:r w:rsidRPr="007B6745">
        <w:fldChar w:fldCharType="begin" w:fldLock="1"/>
      </w:r>
      <w:r w:rsidRPr="007B6745">
        <w:instrText xml:space="preserve"> REF _Ref180056753 </w:instrText>
      </w:r>
      <w:r w:rsidR="00105ED0">
        <w:instrText xml:space="preserve"> \* MERGEFORMAT </w:instrText>
      </w:r>
      <w:r w:rsidRPr="007B6745">
        <w:fldChar w:fldCharType="separate"/>
      </w:r>
      <w:r w:rsidRPr="00735BBC" w:rsidR="00735BBC">
        <w:rPr>
          <w:lang w:val="en-US"/>
        </w:rPr>
        <w:t>Table 4</w:t>
      </w:r>
      <w:r w:rsidRPr="00735BBC" w:rsidR="00735BBC">
        <w:rPr>
          <w:lang w:val="en-US"/>
        </w:rPr>
        <w:noBreakHyphen/>
        <w:t>18</w:t>
      </w:r>
      <w:r w:rsidRPr="007B6745">
        <w:fldChar w:fldCharType="end"/>
      </w:r>
      <w:r w:rsidRPr="4BA86F39">
        <w:rPr>
          <w:lang w:val="en-US"/>
        </w:rPr>
        <w:t xml:space="preserve"> show the resultant one-time and annual cleaning costs under both the proposed rule and the alternative option.</w:t>
      </w:r>
      <w:r w:rsidR="000A2209">
        <w:rPr>
          <w:lang w:val="en-US"/>
        </w:rPr>
        <w:t xml:space="preserve"> </w:t>
      </w:r>
      <w:r w:rsidR="0052396A">
        <w:rPr>
          <w:lang w:val="en-US"/>
        </w:rPr>
        <w:t>This analysis assumes that the total cost of cleaning will be attributable to the proposed rule</w:t>
      </w:r>
      <w:r w:rsidR="007A6225">
        <w:rPr>
          <w:lang w:val="en-US"/>
        </w:rPr>
        <w:t>.</w:t>
      </w:r>
      <w:r w:rsidR="0052396A">
        <w:rPr>
          <w:lang w:val="en-US"/>
        </w:rPr>
        <w:t xml:space="preserve"> </w:t>
      </w:r>
      <w:r w:rsidR="007A6225">
        <w:rPr>
          <w:lang w:val="en-US"/>
        </w:rPr>
        <w:t>H</w:t>
      </w:r>
      <w:r w:rsidR="0052396A">
        <w:rPr>
          <w:lang w:val="en-US"/>
        </w:rPr>
        <w:t xml:space="preserve">owever, it is likely that many facilities are likely performing some type of cleaning </w:t>
      </w:r>
      <w:r w:rsidR="006848F1">
        <w:rPr>
          <w:lang w:val="en-US"/>
        </w:rPr>
        <w:t>in</w:t>
      </w:r>
      <w:r w:rsidR="0052396A">
        <w:rPr>
          <w:lang w:val="en-US"/>
        </w:rPr>
        <w:t xml:space="preserve"> the baseline</w:t>
      </w:r>
      <w:r w:rsidR="00703F82">
        <w:rPr>
          <w:lang w:val="en-US"/>
        </w:rPr>
        <w:t xml:space="preserve">. For example, </w:t>
      </w:r>
      <w:hyperlink w:anchor="_ENREF_45" w:tooltip="The EI Group, 2020 #45" w:history="1">
        <w:r w:rsidRPr="00F72E7E" w:rsidR="003D6084">
          <w:rPr>
            <w:rStyle w:val="TableTextChar"/>
            <w:rFonts w:ascii="Times New Roman" w:hAnsi="Times New Roman" w:eastAsiaTheme="minorEastAsia"/>
          </w:rPr>
          <w:fldChar w:fldCharType="begin" w:fldLock="1"/>
        </w:r>
        <w:r w:rsidR="003D6084">
          <w:rPr>
            <w:rStyle w:val="TableTextChar"/>
            <w:rFonts w:ascii="Times New Roman" w:hAnsi="Times New Roman" w:eastAsiaTheme="minorEastAsia"/>
          </w:rPr>
          <w:instrText xml:space="preserve"> ADDIN EN.CITE &lt;EndNote&gt;&lt;Cite AuthorYear="1"&gt;&lt;Author&gt;The EI Group&lt;/Author&gt;&lt;Year&gt;2020&lt;/Year&gt;&lt;RecNum&gt;45&lt;/RecNum&gt;&lt;DisplayText&gt;The EI Group (2020)&lt;/DisplayText&gt;&lt;record&gt;&lt;rec-number&gt;45&lt;/rec-number&gt;&lt;foreign-keys&gt;&lt;key app="EN" db-id="2apzr05radv9fjet2w6xxwdlz5e9vwfxredw" timestamp="1730757315"&gt;45&lt;/key&gt;&lt;/foreign-keys&gt;&lt;ref-type name="Report"&gt;27&lt;/ref-type&gt;&lt;contributors&gt;&lt;authors&gt;&lt;author&gt;The EI Group,&lt;/author&gt;&lt;/authors&gt;&lt;/contributors&gt;&lt;titles&gt;&lt;title&gt;Industrial Hygiene Survey: Sun Chemical Corporation&lt;/title&gt;&lt;/titles&gt;&lt;number&gt;EI Project No 1HCH200035.00&lt;/number&gt;&lt;dates&gt;&lt;year&gt;2020&lt;/year&gt;&lt;/dates&gt;&lt;urls&gt;&lt;/urls&gt;&lt;/record&gt;&lt;/Cite&gt;&lt;/EndNote&gt;</w:instrText>
        </w:r>
        <w:r w:rsidRPr="00F72E7E" w:rsidR="003D6084">
          <w:rPr>
            <w:rStyle w:val="TableTextChar"/>
            <w:rFonts w:ascii="Times New Roman" w:hAnsi="Times New Roman" w:eastAsiaTheme="minorEastAsia"/>
          </w:rPr>
          <w:fldChar w:fldCharType="separate"/>
        </w:r>
        <w:r w:rsidR="003D6084">
          <w:rPr>
            <w:rStyle w:val="TableTextChar"/>
            <w:rFonts w:ascii="Times New Roman" w:hAnsi="Times New Roman" w:eastAsiaTheme="minorEastAsia"/>
            <w:noProof/>
          </w:rPr>
          <w:t>The EI Group (2020)</w:t>
        </w:r>
        <w:r w:rsidRPr="00F72E7E" w:rsidR="003D6084">
          <w:rPr>
            <w:rStyle w:val="TableTextChar"/>
            <w:rFonts w:ascii="Times New Roman" w:hAnsi="Times New Roman" w:eastAsiaTheme="minorEastAsia"/>
          </w:rPr>
          <w:fldChar w:fldCharType="end"/>
        </w:r>
      </w:hyperlink>
      <w:r w:rsidR="00703F82">
        <w:rPr>
          <w:lang w:val="en-US"/>
        </w:rPr>
        <w:t xml:space="preserve"> reported that employees performing pack-out activities “also conducted housekeeping activities including extra bag and box disposal and cleaning floors with water hose.” </w:t>
      </w:r>
      <w:r w:rsidR="000A2209">
        <w:rPr>
          <w:lang w:val="en-US"/>
        </w:rPr>
        <w:t xml:space="preserve">To </w:t>
      </w:r>
      <w:r w:rsidR="00FC6AD8">
        <w:rPr>
          <w:lang w:val="en-US"/>
        </w:rPr>
        <w:t xml:space="preserve">the extent to which cleaning is already being performed </w:t>
      </w:r>
      <w:r w:rsidR="00BB4255">
        <w:rPr>
          <w:lang w:val="en-US"/>
        </w:rPr>
        <w:t xml:space="preserve">in the baseline, </w:t>
      </w:r>
      <w:r w:rsidR="00175068">
        <w:rPr>
          <w:lang w:val="en-US"/>
        </w:rPr>
        <w:t xml:space="preserve">EPA’s assumption of </w:t>
      </w:r>
      <w:r w:rsidR="00BB4255">
        <w:rPr>
          <w:lang w:val="en-US"/>
        </w:rPr>
        <w:t xml:space="preserve">no baseline cleaning may </w:t>
      </w:r>
      <w:r w:rsidR="008B6446">
        <w:rPr>
          <w:lang w:val="en-US"/>
        </w:rPr>
        <w:t>result in an overestimate of</w:t>
      </w:r>
      <w:r w:rsidR="00BB4255">
        <w:rPr>
          <w:lang w:val="en-US"/>
        </w:rPr>
        <w:t xml:space="preserve"> cleaning costs.</w:t>
      </w:r>
    </w:p>
    <w:p w:rsidR="007B6745" w:rsidRPr="007B6745" w:rsidP="00832749" w14:paraId="1B47D2C5" w14:textId="028D2A6E">
      <w:pPr>
        <w:pStyle w:val="BodyText"/>
      </w:pPr>
    </w:p>
    <w:tbl>
      <w:tblPr>
        <w:tblW w:w="5005" w:type="pct"/>
        <w:tblInd w:w="-5" w:type="dxa"/>
        <w:tblLook w:val="04A0"/>
      </w:tblPr>
      <w:tblGrid>
        <w:gridCol w:w="3848"/>
        <w:gridCol w:w="1045"/>
        <w:gridCol w:w="1492"/>
        <w:gridCol w:w="1730"/>
        <w:gridCol w:w="1254"/>
      </w:tblGrid>
      <w:tr w14:paraId="71AF1203" w14:textId="77777777" w:rsidTr="004B79C7">
        <w:tblPrEx>
          <w:tblW w:w="5005" w:type="pct"/>
          <w:tblInd w:w="-5" w:type="dxa"/>
          <w:tblLook w:val="04A0"/>
        </w:tblPrEx>
        <w:trPr>
          <w:trHeight w:val="260"/>
          <w:tblHeader/>
        </w:trPr>
        <w:tc>
          <w:tcPr>
            <w:tcW w:w="5000" w:type="pct"/>
            <w:gridSpan w:val="5"/>
            <w:tcBorders>
              <w:bottom w:val="single" w:sz="4" w:space="0" w:color="auto"/>
            </w:tcBorders>
            <w:shd w:val="clear" w:color="auto" w:fill="auto"/>
            <w:vAlign w:val="center"/>
          </w:tcPr>
          <w:p w:rsidR="004B79C7" w:rsidRPr="004B79C7" w:rsidP="004B79C7" w14:paraId="024023EE" w14:textId="2337666C">
            <w:pPr>
              <w:pStyle w:val="TableTitleA"/>
            </w:pPr>
            <w:bookmarkStart w:id="223" w:name="_Ref180056746"/>
            <w:bookmarkStart w:id="224" w:name="_Toc184299573"/>
            <w:r w:rsidRPr="007B6745">
              <w:t xml:space="preserve">Table </w:t>
            </w:r>
            <w:r>
              <w:fldChar w:fldCharType="begin" w:fldLock="1"/>
            </w:r>
            <w:r>
              <w:instrText>STYLEREF 1 \s</w:instrText>
            </w:r>
            <w:r>
              <w:fldChar w:fldCharType="separate"/>
            </w:r>
            <w:r w:rsidR="00735BBC">
              <w:rPr>
                <w:noProof/>
              </w:rPr>
              <w:t>4</w:t>
            </w:r>
            <w:r>
              <w:fldChar w:fldCharType="end"/>
            </w:r>
            <w:r w:rsidR="000A1542">
              <w:noBreakHyphen/>
            </w:r>
            <w:r>
              <w:fldChar w:fldCharType="begin" w:fldLock="1"/>
            </w:r>
            <w:r>
              <w:instrText>SEQ Table \* ARABIC \s 1</w:instrText>
            </w:r>
            <w:r>
              <w:fldChar w:fldCharType="separate"/>
            </w:r>
            <w:r w:rsidR="00735BBC">
              <w:rPr>
                <w:noProof/>
              </w:rPr>
              <w:t>17</w:t>
            </w:r>
            <w:r>
              <w:fldChar w:fldCharType="end"/>
            </w:r>
            <w:bookmarkEnd w:id="223"/>
            <w:r w:rsidRPr="007B6745">
              <w:t>: Total One-Time Incremental Cleaning Costs by Use (2023$)</w:t>
            </w:r>
            <w:bookmarkEnd w:id="224"/>
          </w:p>
        </w:tc>
      </w:tr>
      <w:tr w14:paraId="78625419" w14:textId="77777777" w:rsidTr="004B79C7">
        <w:tblPrEx>
          <w:tblW w:w="5005" w:type="pct"/>
          <w:tblInd w:w="-5" w:type="dxa"/>
          <w:tblLook w:val="04A0"/>
        </w:tblPrEx>
        <w:trPr>
          <w:trHeight w:val="260"/>
          <w:tblHeader/>
        </w:trPr>
        <w:tc>
          <w:tcPr>
            <w:tcW w:w="2054"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2D6D8CC9" w14:textId="77777777">
            <w:pPr>
              <w:pStyle w:val="TableSubtitle"/>
            </w:pPr>
            <w:r w:rsidRPr="007B6745">
              <w:t>Use category </w:t>
            </w:r>
          </w:p>
        </w:tc>
        <w:tc>
          <w:tcPr>
            <w:tcW w:w="558" w:type="pct"/>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5EBEBDDB" w14:textId="77777777">
            <w:pPr>
              <w:pStyle w:val="TableSubtitle"/>
            </w:pPr>
            <w:r w:rsidRPr="007B6745">
              <w:t>Facilities</w:t>
            </w:r>
          </w:p>
        </w:tc>
        <w:tc>
          <w:tcPr>
            <w:tcW w:w="796" w:type="pct"/>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5686554C" w14:textId="6EE63529">
            <w:pPr>
              <w:pStyle w:val="TableSubtitle"/>
              <w:rPr>
                <w:vertAlign w:val="superscript"/>
              </w:rPr>
            </w:pPr>
            <w:r w:rsidRPr="007B6745">
              <w:t>Total hours</w:t>
            </w:r>
            <w:r w:rsidRPr="007B6745">
              <w:rPr>
                <w:vertAlign w:val="superscript"/>
              </w:rPr>
              <w:t>a</w:t>
            </w:r>
          </w:p>
        </w:tc>
        <w:tc>
          <w:tcPr>
            <w:tcW w:w="923" w:type="pct"/>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7A831D2C" w14:textId="2BF0D9D9">
            <w:pPr>
              <w:pStyle w:val="TableSubtitle"/>
              <w:rPr>
                <w:vertAlign w:val="superscript"/>
              </w:rPr>
            </w:pPr>
            <w:r w:rsidRPr="007B6745">
              <w:t>Hourly labor rate</w:t>
            </w:r>
            <w:r w:rsidRPr="007B6745">
              <w:rPr>
                <w:vertAlign w:val="superscript"/>
              </w:rPr>
              <w:t>b</w:t>
            </w:r>
          </w:p>
        </w:tc>
        <w:tc>
          <w:tcPr>
            <w:tcW w:w="669" w:type="pct"/>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130315A7" w14:textId="6E56C911">
            <w:pPr>
              <w:pStyle w:val="TableSubtitle"/>
              <w:rPr>
                <w:vertAlign w:val="superscript"/>
              </w:rPr>
            </w:pPr>
            <w:r w:rsidRPr="007B6745">
              <w:t>Total costs</w:t>
            </w:r>
            <w:r w:rsidRPr="007B6745">
              <w:rPr>
                <w:vertAlign w:val="superscript"/>
              </w:rPr>
              <w:t>c</w:t>
            </w:r>
          </w:p>
        </w:tc>
      </w:tr>
      <w:tr w14:paraId="7F62C09D" w14:textId="77777777" w:rsidTr="007B6745">
        <w:tblPrEx>
          <w:tblW w:w="5005" w:type="pct"/>
          <w:tblInd w:w="-5" w:type="dxa"/>
          <w:tblLook w:val="04A0"/>
        </w:tblPrEx>
        <w:trPr>
          <w:trHeight w:val="300"/>
        </w:trPr>
        <w:tc>
          <w:tcPr>
            <w:tcW w:w="2054" w:type="pct"/>
            <w:tcBorders>
              <w:top w:val="single" w:sz="4" w:space="0" w:color="auto"/>
              <w:left w:val="single" w:sz="4" w:space="0" w:color="auto"/>
              <w:bottom w:val="single" w:sz="4" w:space="0" w:color="auto"/>
              <w:right w:val="single" w:sz="4" w:space="0" w:color="auto"/>
            </w:tcBorders>
            <w:vAlign w:val="bottom"/>
            <w:hideMark/>
          </w:tcPr>
          <w:p w:rsidR="007D109A" w:rsidRPr="007B6745" w:rsidP="007D109A" w14:paraId="6F413844" w14:textId="77777777">
            <w:pPr>
              <w:pStyle w:val="LTableTextAbt"/>
            </w:pPr>
            <w:r w:rsidRPr="007B6745">
              <w:t>PV29 manufacturing and intermediate processing</w:t>
            </w:r>
          </w:p>
        </w:tc>
        <w:tc>
          <w:tcPr>
            <w:tcW w:w="558" w:type="pct"/>
            <w:tcBorders>
              <w:top w:val="single" w:sz="4" w:space="0" w:color="auto"/>
              <w:left w:val="nil"/>
              <w:bottom w:val="single" w:sz="4" w:space="0" w:color="auto"/>
              <w:right w:val="single" w:sz="4" w:space="0" w:color="auto"/>
            </w:tcBorders>
            <w:noWrap/>
            <w:hideMark/>
          </w:tcPr>
          <w:p w:rsidR="007D109A" w:rsidRPr="007B6745" w:rsidP="007D109A" w14:paraId="34188C34" w14:textId="6B511CCA">
            <w:pPr>
              <w:pStyle w:val="RTableTextAbt"/>
            </w:pPr>
            <w:r w:rsidRPr="003A4C59">
              <w:t>1</w:t>
            </w:r>
          </w:p>
        </w:tc>
        <w:tc>
          <w:tcPr>
            <w:tcW w:w="796" w:type="pct"/>
            <w:tcBorders>
              <w:top w:val="single" w:sz="4" w:space="0" w:color="auto"/>
              <w:left w:val="nil"/>
              <w:bottom w:val="single" w:sz="4" w:space="0" w:color="auto"/>
              <w:right w:val="single" w:sz="4" w:space="0" w:color="auto"/>
            </w:tcBorders>
            <w:noWrap/>
            <w:hideMark/>
          </w:tcPr>
          <w:p w:rsidR="007D109A" w:rsidRPr="007B6745" w:rsidP="007D109A" w14:paraId="2CC77857" w14:textId="554DA841">
            <w:pPr>
              <w:pStyle w:val="RTableTextAbt"/>
            </w:pPr>
            <w:r w:rsidRPr="003A4C59">
              <w:t>4</w:t>
            </w:r>
          </w:p>
        </w:tc>
        <w:tc>
          <w:tcPr>
            <w:tcW w:w="923" w:type="pct"/>
            <w:tcBorders>
              <w:top w:val="single" w:sz="4" w:space="0" w:color="auto"/>
              <w:left w:val="nil"/>
              <w:bottom w:val="single" w:sz="4" w:space="0" w:color="auto"/>
              <w:right w:val="single" w:sz="4" w:space="0" w:color="auto"/>
            </w:tcBorders>
            <w:noWrap/>
            <w:hideMark/>
          </w:tcPr>
          <w:p w:rsidR="007D109A" w:rsidRPr="007B6745" w:rsidP="007D109A" w14:paraId="7B606616" w14:textId="0DDFE919">
            <w:pPr>
              <w:pStyle w:val="RTableTextAbt"/>
            </w:pPr>
            <w:r w:rsidRPr="003A4C59">
              <w:t>$93.07</w:t>
            </w:r>
          </w:p>
        </w:tc>
        <w:tc>
          <w:tcPr>
            <w:tcW w:w="669" w:type="pct"/>
            <w:tcBorders>
              <w:top w:val="single" w:sz="4" w:space="0" w:color="auto"/>
              <w:left w:val="nil"/>
              <w:bottom w:val="single" w:sz="4" w:space="0" w:color="auto"/>
              <w:right w:val="single" w:sz="4" w:space="0" w:color="auto"/>
            </w:tcBorders>
            <w:noWrap/>
            <w:hideMark/>
          </w:tcPr>
          <w:p w:rsidR="007D109A" w:rsidRPr="007B6745" w:rsidP="007D109A" w14:paraId="3C395AF2" w14:textId="6E0A83C7">
            <w:pPr>
              <w:pStyle w:val="RTableTextAbt"/>
            </w:pPr>
            <w:r w:rsidRPr="003A4C59">
              <w:t>$372</w:t>
            </w:r>
          </w:p>
        </w:tc>
      </w:tr>
      <w:tr w14:paraId="7437880F" w14:textId="77777777" w:rsidTr="007B6745">
        <w:tblPrEx>
          <w:tblW w:w="5005" w:type="pct"/>
          <w:tblInd w:w="-5" w:type="dxa"/>
          <w:tblLook w:val="04A0"/>
        </w:tblPrEx>
        <w:trPr>
          <w:trHeight w:val="300"/>
        </w:trPr>
        <w:tc>
          <w:tcPr>
            <w:tcW w:w="2054" w:type="pct"/>
            <w:tcBorders>
              <w:top w:val="single" w:sz="4" w:space="0" w:color="auto"/>
              <w:left w:val="single" w:sz="4" w:space="0" w:color="auto"/>
              <w:bottom w:val="single" w:sz="4" w:space="0" w:color="auto"/>
              <w:right w:val="single" w:sz="4" w:space="0" w:color="auto"/>
            </w:tcBorders>
            <w:vAlign w:val="bottom"/>
          </w:tcPr>
          <w:p w:rsidR="007D109A" w:rsidRPr="007B6745" w:rsidP="007D109A" w14:paraId="0D9B7769" w14:textId="75CF155B">
            <w:pPr>
              <w:pStyle w:val="LTableTextAbt"/>
            </w:pPr>
            <w:r>
              <w:t>PV29 importing</w:t>
            </w:r>
          </w:p>
        </w:tc>
        <w:tc>
          <w:tcPr>
            <w:tcW w:w="558" w:type="pct"/>
            <w:tcBorders>
              <w:top w:val="single" w:sz="4" w:space="0" w:color="auto"/>
              <w:left w:val="nil"/>
              <w:bottom w:val="single" w:sz="4" w:space="0" w:color="auto"/>
              <w:right w:val="single" w:sz="4" w:space="0" w:color="auto"/>
            </w:tcBorders>
            <w:noWrap/>
          </w:tcPr>
          <w:p w:rsidR="007D109A" w:rsidRPr="007B6745" w:rsidP="007D109A" w14:paraId="2040B1AA" w14:textId="76AB7A27">
            <w:pPr>
              <w:pStyle w:val="RTableTextAbt"/>
            </w:pPr>
            <w:r w:rsidRPr="003A4C59">
              <w:t>1</w:t>
            </w:r>
          </w:p>
        </w:tc>
        <w:tc>
          <w:tcPr>
            <w:tcW w:w="796" w:type="pct"/>
            <w:tcBorders>
              <w:top w:val="single" w:sz="4" w:space="0" w:color="auto"/>
              <w:left w:val="nil"/>
              <w:bottom w:val="single" w:sz="4" w:space="0" w:color="auto"/>
              <w:right w:val="single" w:sz="4" w:space="0" w:color="auto"/>
            </w:tcBorders>
            <w:noWrap/>
          </w:tcPr>
          <w:p w:rsidR="007D109A" w:rsidRPr="007B6745" w:rsidP="007D109A" w14:paraId="6CEC9B46" w14:textId="2B7A33AA">
            <w:pPr>
              <w:pStyle w:val="RTableTextAbt"/>
            </w:pPr>
            <w:r w:rsidRPr="003A4C59">
              <w:t>4</w:t>
            </w:r>
          </w:p>
        </w:tc>
        <w:tc>
          <w:tcPr>
            <w:tcW w:w="923" w:type="pct"/>
            <w:tcBorders>
              <w:top w:val="single" w:sz="4" w:space="0" w:color="auto"/>
              <w:left w:val="nil"/>
              <w:bottom w:val="single" w:sz="4" w:space="0" w:color="auto"/>
              <w:right w:val="single" w:sz="4" w:space="0" w:color="auto"/>
            </w:tcBorders>
            <w:noWrap/>
          </w:tcPr>
          <w:p w:rsidR="007D109A" w:rsidRPr="007B6745" w:rsidP="007D109A" w14:paraId="4C0DC870" w14:textId="0A1CC03A">
            <w:pPr>
              <w:pStyle w:val="RTableTextAbt"/>
            </w:pPr>
            <w:r w:rsidRPr="003A4C59">
              <w:t>$93.07</w:t>
            </w:r>
          </w:p>
        </w:tc>
        <w:tc>
          <w:tcPr>
            <w:tcW w:w="669" w:type="pct"/>
            <w:tcBorders>
              <w:top w:val="single" w:sz="4" w:space="0" w:color="auto"/>
              <w:left w:val="nil"/>
              <w:bottom w:val="single" w:sz="4" w:space="0" w:color="auto"/>
              <w:right w:val="single" w:sz="4" w:space="0" w:color="auto"/>
            </w:tcBorders>
            <w:noWrap/>
          </w:tcPr>
          <w:p w:rsidR="007D109A" w:rsidRPr="007B6745" w:rsidP="007D109A" w14:paraId="47CF3BD7" w14:textId="0C071EC8">
            <w:pPr>
              <w:pStyle w:val="RTableTextAbt"/>
            </w:pPr>
            <w:r w:rsidRPr="003A4C59">
              <w:t>$372</w:t>
            </w:r>
          </w:p>
        </w:tc>
      </w:tr>
      <w:tr w14:paraId="022B82E6" w14:textId="77777777" w:rsidTr="007B6745">
        <w:tblPrEx>
          <w:tblW w:w="5005" w:type="pct"/>
          <w:tblInd w:w="-5" w:type="dxa"/>
          <w:tblLook w:val="04A0"/>
        </w:tblPrEx>
        <w:trPr>
          <w:trHeight w:val="300"/>
        </w:trPr>
        <w:tc>
          <w:tcPr>
            <w:tcW w:w="2054" w:type="pct"/>
            <w:tcBorders>
              <w:top w:val="single" w:sz="4" w:space="0" w:color="auto"/>
              <w:left w:val="single" w:sz="4" w:space="0" w:color="auto"/>
              <w:bottom w:val="single" w:sz="4" w:space="0" w:color="auto"/>
              <w:right w:val="single" w:sz="4" w:space="0" w:color="auto"/>
            </w:tcBorders>
            <w:vAlign w:val="bottom"/>
            <w:hideMark/>
          </w:tcPr>
          <w:p w:rsidR="007D109A" w:rsidRPr="007B6745" w:rsidP="007D109A" w14:paraId="0A844AEA" w14:textId="77777777">
            <w:pPr>
              <w:pStyle w:val="LTableTextAbt"/>
            </w:pPr>
            <w:r w:rsidRPr="007B6745">
              <w:t>Processing into automotive paints and coatings</w:t>
            </w:r>
          </w:p>
        </w:tc>
        <w:tc>
          <w:tcPr>
            <w:tcW w:w="558" w:type="pct"/>
            <w:tcBorders>
              <w:top w:val="single" w:sz="4" w:space="0" w:color="auto"/>
              <w:left w:val="nil"/>
              <w:bottom w:val="single" w:sz="4" w:space="0" w:color="auto"/>
              <w:right w:val="single" w:sz="4" w:space="0" w:color="auto"/>
            </w:tcBorders>
            <w:noWrap/>
            <w:hideMark/>
          </w:tcPr>
          <w:p w:rsidR="007D109A" w:rsidRPr="007B6745" w:rsidP="007D109A" w14:paraId="103A9A80" w14:textId="69EA74DA">
            <w:pPr>
              <w:pStyle w:val="RTableTextAbt"/>
            </w:pPr>
            <w:r w:rsidRPr="003A4C59">
              <w:t>14</w:t>
            </w:r>
          </w:p>
        </w:tc>
        <w:tc>
          <w:tcPr>
            <w:tcW w:w="796" w:type="pct"/>
            <w:tcBorders>
              <w:top w:val="single" w:sz="4" w:space="0" w:color="auto"/>
              <w:left w:val="nil"/>
              <w:bottom w:val="single" w:sz="4" w:space="0" w:color="auto"/>
              <w:right w:val="single" w:sz="4" w:space="0" w:color="auto"/>
            </w:tcBorders>
            <w:noWrap/>
            <w:hideMark/>
          </w:tcPr>
          <w:p w:rsidR="007D109A" w:rsidRPr="007B6745" w:rsidP="007D109A" w14:paraId="3345C969" w14:textId="501AFBEA">
            <w:pPr>
              <w:pStyle w:val="RTableTextAbt"/>
            </w:pPr>
            <w:r w:rsidRPr="003A4C59">
              <w:t>56</w:t>
            </w:r>
          </w:p>
        </w:tc>
        <w:tc>
          <w:tcPr>
            <w:tcW w:w="923" w:type="pct"/>
            <w:tcBorders>
              <w:top w:val="single" w:sz="4" w:space="0" w:color="auto"/>
              <w:left w:val="nil"/>
              <w:bottom w:val="single" w:sz="4" w:space="0" w:color="auto"/>
              <w:right w:val="single" w:sz="4" w:space="0" w:color="auto"/>
            </w:tcBorders>
            <w:noWrap/>
            <w:hideMark/>
          </w:tcPr>
          <w:p w:rsidR="007D109A" w:rsidRPr="007B6745" w:rsidP="007D109A" w14:paraId="174CA1BB" w14:textId="22605E91">
            <w:pPr>
              <w:pStyle w:val="RTableTextAbt"/>
            </w:pPr>
            <w:r w:rsidRPr="003A4C59">
              <w:t>$93.07</w:t>
            </w:r>
          </w:p>
        </w:tc>
        <w:tc>
          <w:tcPr>
            <w:tcW w:w="669" w:type="pct"/>
            <w:tcBorders>
              <w:top w:val="single" w:sz="4" w:space="0" w:color="auto"/>
              <w:left w:val="nil"/>
              <w:bottom w:val="single" w:sz="4" w:space="0" w:color="auto"/>
              <w:right w:val="single" w:sz="4" w:space="0" w:color="auto"/>
            </w:tcBorders>
            <w:noWrap/>
            <w:hideMark/>
          </w:tcPr>
          <w:p w:rsidR="007D109A" w:rsidRPr="007B6745" w:rsidP="007D109A" w14:paraId="71E53B94" w14:textId="74C7A430">
            <w:pPr>
              <w:pStyle w:val="RTableTextAbt"/>
            </w:pPr>
            <w:r w:rsidRPr="003A4C59">
              <w:t>$5,212</w:t>
            </w:r>
          </w:p>
        </w:tc>
      </w:tr>
      <w:tr w14:paraId="6B2C17DE" w14:textId="77777777" w:rsidTr="007B6745">
        <w:tblPrEx>
          <w:tblW w:w="5005" w:type="pct"/>
          <w:tblInd w:w="-5" w:type="dxa"/>
          <w:tblLook w:val="04A0"/>
        </w:tblPrEx>
        <w:trPr>
          <w:trHeight w:val="300"/>
        </w:trPr>
        <w:tc>
          <w:tcPr>
            <w:tcW w:w="2054" w:type="pct"/>
            <w:tcBorders>
              <w:top w:val="single" w:sz="4" w:space="0" w:color="auto"/>
              <w:left w:val="single" w:sz="4" w:space="0" w:color="auto"/>
              <w:bottom w:val="single" w:sz="4" w:space="0" w:color="auto"/>
              <w:right w:val="single" w:sz="4" w:space="0" w:color="auto"/>
            </w:tcBorders>
            <w:vAlign w:val="bottom"/>
            <w:hideMark/>
          </w:tcPr>
          <w:p w:rsidR="007D109A" w:rsidRPr="007B6745" w:rsidP="007D109A" w14:paraId="5A4954D8" w14:textId="77777777">
            <w:pPr>
              <w:pStyle w:val="LTableTextAbt"/>
            </w:pPr>
            <w:r w:rsidRPr="007B6745">
              <w:t>Processing into plastic and rubber products</w:t>
            </w:r>
          </w:p>
        </w:tc>
        <w:tc>
          <w:tcPr>
            <w:tcW w:w="558" w:type="pct"/>
            <w:tcBorders>
              <w:top w:val="single" w:sz="4" w:space="0" w:color="auto"/>
              <w:left w:val="nil"/>
              <w:bottom w:val="single" w:sz="4" w:space="0" w:color="auto"/>
              <w:right w:val="single" w:sz="4" w:space="0" w:color="auto"/>
            </w:tcBorders>
            <w:noWrap/>
            <w:hideMark/>
          </w:tcPr>
          <w:p w:rsidR="007D109A" w:rsidRPr="007B6745" w:rsidP="007D109A" w14:paraId="4A48D184" w14:textId="0792BAB7">
            <w:pPr>
              <w:pStyle w:val="RTableTextAbt"/>
            </w:pPr>
            <w:r w:rsidRPr="003A4C59">
              <w:t>6</w:t>
            </w:r>
          </w:p>
        </w:tc>
        <w:tc>
          <w:tcPr>
            <w:tcW w:w="796" w:type="pct"/>
            <w:tcBorders>
              <w:top w:val="single" w:sz="4" w:space="0" w:color="auto"/>
              <w:left w:val="nil"/>
              <w:bottom w:val="single" w:sz="4" w:space="0" w:color="auto"/>
              <w:right w:val="single" w:sz="4" w:space="0" w:color="auto"/>
            </w:tcBorders>
            <w:noWrap/>
            <w:hideMark/>
          </w:tcPr>
          <w:p w:rsidR="007D109A" w:rsidRPr="007B6745" w:rsidP="007D109A" w14:paraId="669A86C6" w14:textId="5BB9680C">
            <w:pPr>
              <w:pStyle w:val="RTableTextAbt"/>
            </w:pPr>
            <w:r w:rsidRPr="003A4C59">
              <w:t>24</w:t>
            </w:r>
          </w:p>
        </w:tc>
        <w:tc>
          <w:tcPr>
            <w:tcW w:w="923" w:type="pct"/>
            <w:tcBorders>
              <w:top w:val="single" w:sz="4" w:space="0" w:color="auto"/>
              <w:left w:val="nil"/>
              <w:bottom w:val="single" w:sz="4" w:space="0" w:color="auto"/>
              <w:right w:val="single" w:sz="4" w:space="0" w:color="auto"/>
            </w:tcBorders>
            <w:noWrap/>
            <w:hideMark/>
          </w:tcPr>
          <w:p w:rsidR="007D109A" w:rsidRPr="007B6745" w:rsidP="007D109A" w14:paraId="51314141" w14:textId="61E98B55">
            <w:pPr>
              <w:pStyle w:val="RTableTextAbt"/>
            </w:pPr>
            <w:r w:rsidRPr="003A4C59">
              <w:t>$93.07</w:t>
            </w:r>
          </w:p>
        </w:tc>
        <w:tc>
          <w:tcPr>
            <w:tcW w:w="669" w:type="pct"/>
            <w:tcBorders>
              <w:top w:val="single" w:sz="4" w:space="0" w:color="auto"/>
              <w:left w:val="nil"/>
              <w:bottom w:val="single" w:sz="4" w:space="0" w:color="auto"/>
              <w:right w:val="single" w:sz="4" w:space="0" w:color="auto"/>
            </w:tcBorders>
            <w:noWrap/>
            <w:hideMark/>
          </w:tcPr>
          <w:p w:rsidR="007D109A" w:rsidRPr="007B6745" w:rsidP="007D109A" w14:paraId="69A146F5" w14:textId="25A7015E">
            <w:pPr>
              <w:pStyle w:val="RTableTextAbt"/>
            </w:pPr>
            <w:r w:rsidRPr="003A4C59">
              <w:t>$2,234</w:t>
            </w:r>
          </w:p>
        </w:tc>
      </w:tr>
      <w:tr w14:paraId="7D791EED" w14:textId="77777777" w:rsidTr="007B6745">
        <w:tblPrEx>
          <w:tblW w:w="5005" w:type="pct"/>
          <w:tblInd w:w="-5" w:type="dxa"/>
          <w:tblLook w:val="04A0"/>
        </w:tblPrEx>
        <w:trPr>
          <w:trHeight w:val="300"/>
        </w:trPr>
        <w:tc>
          <w:tcPr>
            <w:tcW w:w="2054" w:type="pct"/>
            <w:tcBorders>
              <w:top w:val="single" w:sz="4" w:space="0" w:color="auto"/>
              <w:left w:val="single" w:sz="4" w:space="0" w:color="auto"/>
              <w:bottom w:val="single" w:sz="4" w:space="0" w:color="auto"/>
              <w:right w:val="single" w:sz="4" w:space="0" w:color="auto"/>
            </w:tcBorders>
            <w:vAlign w:val="bottom"/>
            <w:hideMark/>
          </w:tcPr>
          <w:p w:rsidR="007D109A" w:rsidRPr="007B6745" w:rsidP="007D109A" w14:paraId="159C8AF3" w14:textId="77777777">
            <w:pPr>
              <w:pStyle w:val="LTableTextAbt"/>
              <w:rPr>
                <w:b/>
              </w:rPr>
            </w:pPr>
            <w:r w:rsidRPr="007B6745">
              <w:rPr>
                <w:b/>
              </w:rPr>
              <w:t>Total</w:t>
            </w:r>
          </w:p>
        </w:tc>
        <w:tc>
          <w:tcPr>
            <w:tcW w:w="558" w:type="pct"/>
            <w:tcBorders>
              <w:top w:val="single" w:sz="4" w:space="0" w:color="auto"/>
              <w:left w:val="nil"/>
              <w:bottom w:val="single" w:sz="4" w:space="0" w:color="auto"/>
              <w:right w:val="single" w:sz="4" w:space="0" w:color="auto"/>
            </w:tcBorders>
            <w:noWrap/>
            <w:hideMark/>
          </w:tcPr>
          <w:p w:rsidR="007D109A" w:rsidRPr="00983B8D" w:rsidP="007D109A" w14:paraId="318B43F3" w14:textId="3C2A6F5F">
            <w:pPr>
              <w:pStyle w:val="RTableTextAbt"/>
              <w:rPr>
                <w:b/>
                <w:bCs w:val="0"/>
              </w:rPr>
            </w:pPr>
            <w:r w:rsidRPr="00983B8D">
              <w:rPr>
                <w:b/>
                <w:bCs w:val="0"/>
              </w:rPr>
              <w:t>22</w:t>
            </w:r>
          </w:p>
        </w:tc>
        <w:tc>
          <w:tcPr>
            <w:tcW w:w="796" w:type="pct"/>
            <w:tcBorders>
              <w:top w:val="single" w:sz="4" w:space="0" w:color="auto"/>
              <w:left w:val="nil"/>
              <w:bottom w:val="single" w:sz="4" w:space="0" w:color="auto"/>
              <w:right w:val="single" w:sz="4" w:space="0" w:color="auto"/>
            </w:tcBorders>
            <w:noWrap/>
            <w:hideMark/>
          </w:tcPr>
          <w:p w:rsidR="007D109A" w:rsidRPr="00983B8D" w:rsidP="007D109A" w14:paraId="46BA998B" w14:textId="41C3D655">
            <w:pPr>
              <w:pStyle w:val="RTableTextAbt"/>
              <w:rPr>
                <w:b/>
                <w:bCs w:val="0"/>
              </w:rPr>
            </w:pPr>
            <w:r w:rsidRPr="00983B8D">
              <w:rPr>
                <w:b/>
                <w:bCs w:val="0"/>
              </w:rPr>
              <w:t>88</w:t>
            </w:r>
          </w:p>
        </w:tc>
        <w:tc>
          <w:tcPr>
            <w:tcW w:w="923" w:type="pct"/>
            <w:tcBorders>
              <w:top w:val="single" w:sz="4" w:space="0" w:color="auto"/>
              <w:left w:val="nil"/>
              <w:bottom w:val="single" w:sz="4" w:space="0" w:color="auto"/>
              <w:right w:val="single" w:sz="4" w:space="0" w:color="auto"/>
            </w:tcBorders>
            <w:noWrap/>
          </w:tcPr>
          <w:p w:rsidR="007D109A" w:rsidRPr="00983B8D" w:rsidP="007D109A" w14:paraId="7FA14248" w14:textId="77777777">
            <w:pPr>
              <w:pStyle w:val="RTableTextAbt"/>
              <w:rPr>
                <w:b/>
                <w:bCs w:val="0"/>
              </w:rPr>
            </w:pPr>
          </w:p>
        </w:tc>
        <w:tc>
          <w:tcPr>
            <w:tcW w:w="669" w:type="pct"/>
            <w:tcBorders>
              <w:top w:val="single" w:sz="4" w:space="0" w:color="auto"/>
              <w:left w:val="nil"/>
              <w:bottom w:val="single" w:sz="4" w:space="0" w:color="auto"/>
              <w:right w:val="single" w:sz="4" w:space="0" w:color="auto"/>
            </w:tcBorders>
            <w:noWrap/>
            <w:hideMark/>
          </w:tcPr>
          <w:p w:rsidR="007D109A" w:rsidRPr="00983B8D" w:rsidP="007D109A" w14:paraId="6878CDB9" w14:textId="5195199D">
            <w:pPr>
              <w:pStyle w:val="RTableTextAbt"/>
              <w:rPr>
                <w:b/>
                <w:bCs w:val="0"/>
              </w:rPr>
            </w:pPr>
            <w:r w:rsidRPr="00983B8D">
              <w:rPr>
                <w:b/>
                <w:bCs w:val="0"/>
              </w:rPr>
              <w:t>$8,190</w:t>
            </w:r>
          </w:p>
        </w:tc>
      </w:tr>
      <w:tr w14:paraId="4E60CD6A" w14:textId="77777777" w:rsidTr="007B6745">
        <w:tblPrEx>
          <w:tblW w:w="5005" w:type="pct"/>
          <w:tblInd w:w="-5" w:type="dxa"/>
          <w:tblLook w:val="04A0"/>
        </w:tblPrEx>
        <w:trPr>
          <w:trHeight w:val="30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7B6745" w:rsidRPr="007B6745" w:rsidP="002162DE" w14:paraId="2AA45971" w14:textId="77777777">
            <w:pPr>
              <w:pStyle w:val="TableNote0"/>
            </w:pPr>
            <w:r w:rsidRPr="007B6745">
              <w:t>a. Number of facilities times 4 hours</w:t>
            </w:r>
          </w:p>
          <w:p w:rsidR="007B6745" w:rsidRPr="007B6745" w:rsidP="002162DE" w14:paraId="7E081AE4" w14:textId="07C4680B">
            <w:pPr>
              <w:pStyle w:val="TableNote0"/>
            </w:pPr>
            <w:r w:rsidRPr="007B6745">
              <w:t>b. Fully loaded hourly wage rate for managerial positions in the manufacturing industry (</w:t>
            </w:r>
            <w:r w:rsidRPr="007B6745">
              <w:fldChar w:fldCharType="begin" w:fldLock="1"/>
            </w:r>
            <w:r w:rsidRPr="007B6745">
              <w:instrText>REF _Ref175676776</w:instrText>
            </w:r>
            <w:r w:rsidR="002162DE">
              <w:instrText xml:space="preserve"> \* MERGEFORMAT </w:instrText>
            </w:r>
            <w:r w:rsidRPr="007B6745">
              <w:fldChar w:fldCharType="separate"/>
            </w:r>
            <w:r w:rsidRPr="007B6745" w:rsidR="00735BBC">
              <w:t xml:space="preserve">Table </w:t>
            </w:r>
            <w:r w:rsidR="00735BBC">
              <w:t>4</w:t>
            </w:r>
            <w:r w:rsidR="00735BBC">
              <w:noBreakHyphen/>
              <w:t>1</w:t>
            </w:r>
            <w:r w:rsidRPr="007B6745">
              <w:fldChar w:fldCharType="end"/>
            </w:r>
            <w:r w:rsidRPr="007B6745">
              <w:t>)</w:t>
            </w:r>
          </w:p>
          <w:p w:rsidR="007B6745" w:rsidRPr="007B6745" w:rsidP="002162DE" w14:paraId="17FC8AAD" w14:textId="77777777">
            <w:pPr>
              <w:pStyle w:val="TableNote0"/>
            </w:pPr>
            <w:r w:rsidRPr="007B6745">
              <w:t>c. Total hours times hourly labor rate, rounded to the nearest dollar.</w:t>
            </w:r>
          </w:p>
        </w:tc>
      </w:tr>
    </w:tbl>
    <w:p w:rsidR="007B6745" w:rsidRPr="007B6745" w:rsidP="00832749" w14:paraId="72B528AE" w14:textId="77777777">
      <w:pPr>
        <w:pStyle w:val="BodyText"/>
      </w:pPr>
    </w:p>
    <w:tbl>
      <w:tblPr>
        <w:tblW w:w="5005" w:type="pct"/>
        <w:tblInd w:w="-5" w:type="dxa"/>
        <w:tblLook w:val="04A0"/>
      </w:tblPr>
      <w:tblGrid>
        <w:gridCol w:w="3848"/>
        <w:gridCol w:w="1045"/>
        <w:gridCol w:w="1492"/>
        <w:gridCol w:w="1730"/>
        <w:gridCol w:w="1254"/>
      </w:tblGrid>
      <w:tr w14:paraId="0FD83C64" w14:textId="77777777" w:rsidTr="00BF45A3">
        <w:tblPrEx>
          <w:tblW w:w="5005" w:type="pct"/>
          <w:tblInd w:w="-5" w:type="dxa"/>
          <w:tblLook w:val="04A0"/>
        </w:tblPrEx>
        <w:trPr>
          <w:trHeight w:val="278"/>
          <w:tblHeader/>
        </w:trPr>
        <w:tc>
          <w:tcPr>
            <w:tcW w:w="5000" w:type="pct"/>
            <w:gridSpan w:val="5"/>
            <w:tcBorders>
              <w:bottom w:val="single" w:sz="4" w:space="0" w:color="auto"/>
            </w:tcBorders>
            <w:shd w:val="clear" w:color="auto" w:fill="auto"/>
          </w:tcPr>
          <w:p w:rsidR="00BF45A3" w:rsidRPr="00BF45A3" w:rsidP="00BF45A3" w14:paraId="4981B3B6" w14:textId="2E0910B0">
            <w:pPr>
              <w:pStyle w:val="TableTitleA"/>
            </w:pPr>
            <w:bookmarkStart w:id="225" w:name="_Ref180056753"/>
            <w:bookmarkStart w:id="226" w:name="_Toc184299574"/>
            <w:r w:rsidRPr="007B6745">
              <w:t xml:space="preserve">Table </w:t>
            </w:r>
            <w:r>
              <w:fldChar w:fldCharType="begin" w:fldLock="1"/>
            </w:r>
            <w:r>
              <w:instrText>STYLEREF 1 \s</w:instrText>
            </w:r>
            <w:r>
              <w:fldChar w:fldCharType="separate"/>
            </w:r>
            <w:r w:rsidR="00735BBC">
              <w:rPr>
                <w:noProof/>
              </w:rPr>
              <w:t>4</w:t>
            </w:r>
            <w:r>
              <w:fldChar w:fldCharType="end"/>
            </w:r>
            <w:r w:rsidR="000A1542">
              <w:noBreakHyphen/>
            </w:r>
            <w:r>
              <w:fldChar w:fldCharType="begin" w:fldLock="1"/>
            </w:r>
            <w:r>
              <w:instrText>SEQ Table \* ARABIC \s 1</w:instrText>
            </w:r>
            <w:r>
              <w:fldChar w:fldCharType="separate"/>
            </w:r>
            <w:r w:rsidR="00735BBC">
              <w:rPr>
                <w:noProof/>
              </w:rPr>
              <w:t>18</w:t>
            </w:r>
            <w:r>
              <w:fldChar w:fldCharType="end"/>
            </w:r>
            <w:bookmarkEnd w:id="225"/>
            <w:r w:rsidRPr="007B6745">
              <w:t>: Total Annual Incremental Cleaning Costs by Use (2023$)</w:t>
            </w:r>
            <w:bookmarkEnd w:id="226"/>
          </w:p>
        </w:tc>
      </w:tr>
      <w:tr w14:paraId="56D6DF59" w14:textId="77777777" w:rsidTr="00BF45A3">
        <w:tblPrEx>
          <w:tblW w:w="5005" w:type="pct"/>
          <w:tblInd w:w="-5" w:type="dxa"/>
          <w:tblLook w:val="04A0"/>
        </w:tblPrEx>
        <w:trPr>
          <w:trHeight w:val="278"/>
          <w:tblHeader/>
        </w:trPr>
        <w:tc>
          <w:tcPr>
            <w:tcW w:w="2054" w:type="pct"/>
            <w:tcBorders>
              <w:top w:val="single" w:sz="4" w:space="0" w:color="auto"/>
              <w:left w:val="single" w:sz="4" w:space="0" w:color="auto"/>
              <w:bottom w:val="single" w:sz="4" w:space="0" w:color="auto"/>
              <w:right w:val="single" w:sz="4" w:space="0" w:color="auto"/>
            </w:tcBorders>
            <w:shd w:val="clear" w:color="auto" w:fill="013E5B"/>
            <w:hideMark/>
          </w:tcPr>
          <w:p w:rsidR="007B6745" w:rsidRPr="007B6745" w:rsidP="000D7F2B" w14:paraId="6C693D4E" w14:textId="77777777">
            <w:pPr>
              <w:pStyle w:val="TableSubtitle"/>
            </w:pPr>
            <w:r w:rsidRPr="007B6745">
              <w:t xml:space="preserve">Use category </w:t>
            </w:r>
          </w:p>
        </w:tc>
        <w:tc>
          <w:tcPr>
            <w:tcW w:w="558" w:type="pct"/>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1C61BBF2" w14:textId="77777777">
            <w:pPr>
              <w:pStyle w:val="TableSubtitle"/>
            </w:pPr>
            <w:r w:rsidRPr="007B6745">
              <w:t>Facilities</w:t>
            </w:r>
          </w:p>
        </w:tc>
        <w:tc>
          <w:tcPr>
            <w:tcW w:w="796" w:type="pct"/>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6C73E7E3" w14:textId="7324532B">
            <w:pPr>
              <w:pStyle w:val="TableSubtitle"/>
              <w:rPr>
                <w:vertAlign w:val="superscript"/>
              </w:rPr>
            </w:pPr>
            <w:r w:rsidRPr="007B6745">
              <w:t>Total hours</w:t>
            </w:r>
            <w:r w:rsidRPr="007B6745">
              <w:rPr>
                <w:vertAlign w:val="superscript"/>
              </w:rPr>
              <w:t>a</w:t>
            </w:r>
          </w:p>
        </w:tc>
        <w:tc>
          <w:tcPr>
            <w:tcW w:w="923" w:type="pct"/>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3593D96A" w14:textId="69307A41">
            <w:pPr>
              <w:pStyle w:val="TableSubtitle"/>
              <w:rPr>
                <w:vertAlign w:val="superscript"/>
              </w:rPr>
            </w:pPr>
            <w:r w:rsidRPr="007B6745">
              <w:t>Hourly labor rate</w:t>
            </w:r>
            <w:r w:rsidRPr="007B6745">
              <w:rPr>
                <w:vertAlign w:val="superscript"/>
              </w:rPr>
              <w:t>b</w:t>
            </w:r>
          </w:p>
        </w:tc>
        <w:tc>
          <w:tcPr>
            <w:tcW w:w="669" w:type="pct"/>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04088B5B" w14:textId="666787AA">
            <w:pPr>
              <w:pStyle w:val="TableSubtitle"/>
              <w:rPr>
                <w:vertAlign w:val="superscript"/>
              </w:rPr>
            </w:pPr>
            <w:r w:rsidRPr="007B6745">
              <w:t>Total costs</w:t>
            </w:r>
            <w:r w:rsidRPr="007B6745">
              <w:rPr>
                <w:vertAlign w:val="superscript"/>
              </w:rPr>
              <w:t>c</w:t>
            </w:r>
          </w:p>
        </w:tc>
      </w:tr>
      <w:tr w14:paraId="4C1E4699" w14:textId="77777777" w:rsidTr="007B6745">
        <w:tblPrEx>
          <w:tblW w:w="5005" w:type="pct"/>
          <w:tblInd w:w="-5" w:type="dxa"/>
          <w:tblLook w:val="04A0"/>
        </w:tblPrEx>
        <w:trPr>
          <w:trHeight w:val="300"/>
        </w:trPr>
        <w:tc>
          <w:tcPr>
            <w:tcW w:w="2054" w:type="pct"/>
            <w:tcBorders>
              <w:top w:val="single" w:sz="4" w:space="0" w:color="auto"/>
              <w:left w:val="single" w:sz="4" w:space="0" w:color="auto"/>
              <w:bottom w:val="single" w:sz="4" w:space="0" w:color="auto"/>
              <w:right w:val="single" w:sz="4" w:space="0" w:color="auto"/>
            </w:tcBorders>
            <w:hideMark/>
          </w:tcPr>
          <w:p w:rsidR="007D109A" w:rsidRPr="007B6745" w:rsidP="007D109A" w14:paraId="0C434981" w14:textId="77777777">
            <w:pPr>
              <w:pStyle w:val="LTableTextAbt"/>
            </w:pPr>
            <w:r w:rsidRPr="007B6745">
              <w:t>PV29 manufacturing and intermediate processing</w:t>
            </w:r>
          </w:p>
        </w:tc>
        <w:tc>
          <w:tcPr>
            <w:tcW w:w="558" w:type="pct"/>
            <w:tcBorders>
              <w:top w:val="single" w:sz="4" w:space="0" w:color="auto"/>
              <w:left w:val="nil"/>
              <w:bottom w:val="single" w:sz="4" w:space="0" w:color="auto"/>
              <w:right w:val="single" w:sz="4" w:space="0" w:color="auto"/>
            </w:tcBorders>
            <w:noWrap/>
            <w:hideMark/>
          </w:tcPr>
          <w:p w:rsidR="007D109A" w:rsidRPr="007B6745" w:rsidP="007D109A" w14:paraId="0C678A1F" w14:textId="50F8CA00">
            <w:pPr>
              <w:pStyle w:val="RTableTextAbt"/>
            </w:pPr>
            <w:r w:rsidRPr="00BE31CB">
              <w:t>1</w:t>
            </w:r>
          </w:p>
        </w:tc>
        <w:tc>
          <w:tcPr>
            <w:tcW w:w="796" w:type="pct"/>
            <w:tcBorders>
              <w:top w:val="single" w:sz="4" w:space="0" w:color="auto"/>
              <w:left w:val="nil"/>
              <w:bottom w:val="single" w:sz="4" w:space="0" w:color="auto"/>
              <w:right w:val="single" w:sz="4" w:space="0" w:color="auto"/>
            </w:tcBorders>
            <w:noWrap/>
            <w:hideMark/>
          </w:tcPr>
          <w:p w:rsidR="007D109A" w:rsidRPr="007B6745" w:rsidP="007D109A" w14:paraId="7B2A79D6" w14:textId="0BB1F0C7">
            <w:pPr>
              <w:pStyle w:val="RTableTextAbt"/>
            </w:pPr>
            <w:r w:rsidRPr="00BE31CB">
              <w:t>208</w:t>
            </w:r>
          </w:p>
        </w:tc>
        <w:tc>
          <w:tcPr>
            <w:tcW w:w="923" w:type="pct"/>
            <w:tcBorders>
              <w:top w:val="single" w:sz="4" w:space="0" w:color="auto"/>
              <w:left w:val="nil"/>
              <w:bottom w:val="single" w:sz="4" w:space="0" w:color="auto"/>
              <w:right w:val="single" w:sz="4" w:space="0" w:color="auto"/>
            </w:tcBorders>
            <w:noWrap/>
            <w:hideMark/>
          </w:tcPr>
          <w:p w:rsidR="007D109A" w:rsidRPr="007B6745" w:rsidP="007D109A" w14:paraId="2790F7E3" w14:textId="17337A0C">
            <w:pPr>
              <w:pStyle w:val="RTableTextAbt"/>
            </w:pPr>
            <w:r w:rsidRPr="00BE31CB">
              <w:t>$59.00</w:t>
            </w:r>
          </w:p>
        </w:tc>
        <w:tc>
          <w:tcPr>
            <w:tcW w:w="669" w:type="pct"/>
            <w:tcBorders>
              <w:top w:val="single" w:sz="4" w:space="0" w:color="auto"/>
              <w:left w:val="nil"/>
              <w:bottom w:val="single" w:sz="4" w:space="0" w:color="auto"/>
              <w:right w:val="single" w:sz="4" w:space="0" w:color="auto"/>
            </w:tcBorders>
            <w:noWrap/>
            <w:hideMark/>
          </w:tcPr>
          <w:p w:rsidR="007D109A" w:rsidRPr="007B6745" w:rsidP="007D109A" w14:paraId="7F827DBA" w14:textId="10B57B8B">
            <w:pPr>
              <w:pStyle w:val="RTableTextAbt"/>
            </w:pPr>
            <w:r w:rsidRPr="00BE31CB">
              <w:t>$12,272</w:t>
            </w:r>
          </w:p>
        </w:tc>
      </w:tr>
      <w:tr w14:paraId="03A75B3E" w14:textId="77777777" w:rsidTr="007B6745">
        <w:tblPrEx>
          <w:tblW w:w="5005" w:type="pct"/>
          <w:tblInd w:w="-5" w:type="dxa"/>
          <w:tblLook w:val="04A0"/>
        </w:tblPrEx>
        <w:trPr>
          <w:trHeight w:val="300"/>
        </w:trPr>
        <w:tc>
          <w:tcPr>
            <w:tcW w:w="2054" w:type="pct"/>
            <w:tcBorders>
              <w:top w:val="single" w:sz="4" w:space="0" w:color="auto"/>
              <w:left w:val="single" w:sz="4" w:space="0" w:color="auto"/>
              <w:bottom w:val="single" w:sz="4" w:space="0" w:color="auto"/>
              <w:right w:val="single" w:sz="4" w:space="0" w:color="auto"/>
            </w:tcBorders>
            <w:vAlign w:val="bottom"/>
          </w:tcPr>
          <w:p w:rsidR="007D109A" w:rsidRPr="007B6745" w:rsidP="007D109A" w14:paraId="61394C15" w14:textId="43D9E8CD">
            <w:pPr>
              <w:pStyle w:val="LTableTextAbt"/>
            </w:pPr>
            <w:r>
              <w:t>PV29 importing</w:t>
            </w:r>
          </w:p>
        </w:tc>
        <w:tc>
          <w:tcPr>
            <w:tcW w:w="558" w:type="pct"/>
            <w:tcBorders>
              <w:top w:val="single" w:sz="4" w:space="0" w:color="auto"/>
              <w:left w:val="nil"/>
              <w:bottom w:val="single" w:sz="4" w:space="0" w:color="auto"/>
              <w:right w:val="single" w:sz="4" w:space="0" w:color="auto"/>
            </w:tcBorders>
            <w:noWrap/>
          </w:tcPr>
          <w:p w:rsidR="007D109A" w:rsidRPr="007B6745" w:rsidP="007D109A" w14:paraId="6E289ACB" w14:textId="403BDA8F">
            <w:pPr>
              <w:pStyle w:val="RTableTextAbt"/>
            </w:pPr>
            <w:r w:rsidRPr="00BE31CB">
              <w:t>1</w:t>
            </w:r>
          </w:p>
        </w:tc>
        <w:tc>
          <w:tcPr>
            <w:tcW w:w="796" w:type="pct"/>
            <w:tcBorders>
              <w:top w:val="single" w:sz="4" w:space="0" w:color="auto"/>
              <w:left w:val="nil"/>
              <w:bottom w:val="single" w:sz="4" w:space="0" w:color="auto"/>
              <w:right w:val="single" w:sz="4" w:space="0" w:color="auto"/>
            </w:tcBorders>
            <w:noWrap/>
          </w:tcPr>
          <w:p w:rsidR="007D109A" w:rsidRPr="007B6745" w:rsidP="007D109A" w14:paraId="26C73D6E" w14:textId="533C66C1">
            <w:pPr>
              <w:pStyle w:val="RTableTextAbt"/>
            </w:pPr>
            <w:r w:rsidRPr="00BE31CB">
              <w:t>208</w:t>
            </w:r>
          </w:p>
        </w:tc>
        <w:tc>
          <w:tcPr>
            <w:tcW w:w="923" w:type="pct"/>
            <w:tcBorders>
              <w:top w:val="single" w:sz="4" w:space="0" w:color="auto"/>
              <w:left w:val="nil"/>
              <w:bottom w:val="single" w:sz="4" w:space="0" w:color="auto"/>
              <w:right w:val="single" w:sz="4" w:space="0" w:color="auto"/>
            </w:tcBorders>
            <w:noWrap/>
          </w:tcPr>
          <w:p w:rsidR="007D109A" w:rsidRPr="007B6745" w:rsidP="007D109A" w14:paraId="448C7D27" w14:textId="4F3EECE7">
            <w:pPr>
              <w:pStyle w:val="RTableTextAbt"/>
            </w:pPr>
            <w:r w:rsidRPr="00BE31CB">
              <w:t>$59.00</w:t>
            </w:r>
          </w:p>
        </w:tc>
        <w:tc>
          <w:tcPr>
            <w:tcW w:w="669" w:type="pct"/>
            <w:tcBorders>
              <w:top w:val="single" w:sz="4" w:space="0" w:color="auto"/>
              <w:left w:val="nil"/>
              <w:bottom w:val="single" w:sz="4" w:space="0" w:color="auto"/>
              <w:right w:val="single" w:sz="4" w:space="0" w:color="auto"/>
            </w:tcBorders>
            <w:noWrap/>
          </w:tcPr>
          <w:p w:rsidR="007D109A" w:rsidRPr="007B6745" w:rsidP="007D109A" w14:paraId="5CAA12FD" w14:textId="3C133E3F">
            <w:pPr>
              <w:pStyle w:val="RTableTextAbt"/>
              <w:rPr>
                <w:lang w:val="en-GB"/>
              </w:rPr>
            </w:pPr>
            <w:r w:rsidRPr="00BE31CB">
              <w:t>$12,272</w:t>
            </w:r>
          </w:p>
        </w:tc>
      </w:tr>
      <w:tr w14:paraId="6C39C4EA" w14:textId="77777777" w:rsidTr="007B6745">
        <w:tblPrEx>
          <w:tblW w:w="5005" w:type="pct"/>
          <w:tblInd w:w="-5" w:type="dxa"/>
          <w:tblLook w:val="04A0"/>
        </w:tblPrEx>
        <w:trPr>
          <w:trHeight w:val="300"/>
        </w:trPr>
        <w:tc>
          <w:tcPr>
            <w:tcW w:w="2054" w:type="pct"/>
            <w:tcBorders>
              <w:top w:val="single" w:sz="4" w:space="0" w:color="auto"/>
              <w:left w:val="single" w:sz="4" w:space="0" w:color="auto"/>
              <w:bottom w:val="single" w:sz="4" w:space="0" w:color="auto"/>
              <w:right w:val="single" w:sz="4" w:space="0" w:color="auto"/>
            </w:tcBorders>
            <w:vAlign w:val="bottom"/>
            <w:hideMark/>
          </w:tcPr>
          <w:p w:rsidR="007D109A" w:rsidRPr="007B6745" w:rsidP="007D109A" w14:paraId="40874981" w14:textId="77777777">
            <w:pPr>
              <w:pStyle w:val="LTableTextAbt"/>
            </w:pPr>
            <w:r w:rsidRPr="007B6745">
              <w:t>Processing into automotive paints and coatings</w:t>
            </w:r>
          </w:p>
        </w:tc>
        <w:tc>
          <w:tcPr>
            <w:tcW w:w="558" w:type="pct"/>
            <w:tcBorders>
              <w:top w:val="single" w:sz="4" w:space="0" w:color="auto"/>
              <w:left w:val="nil"/>
              <w:bottom w:val="single" w:sz="4" w:space="0" w:color="auto"/>
              <w:right w:val="single" w:sz="4" w:space="0" w:color="auto"/>
            </w:tcBorders>
            <w:noWrap/>
            <w:hideMark/>
          </w:tcPr>
          <w:p w:rsidR="007D109A" w:rsidRPr="007B6745" w:rsidP="007D109A" w14:paraId="211B9F40" w14:textId="45A61693">
            <w:pPr>
              <w:pStyle w:val="RTableTextAbt"/>
            </w:pPr>
            <w:r w:rsidRPr="00BE31CB">
              <w:t>14</w:t>
            </w:r>
          </w:p>
        </w:tc>
        <w:tc>
          <w:tcPr>
            <w:tcW w:w="796" w:type="pct"/>
            <w:tcBorders>
              <w:top w:val="single" w:sz="4" w:space="0" w:color="auto"/>
              <w:left w:val="nil"/>
              <w:bottom w:val="single" w:sz="4" w:space="0" w:color="auto"/>
              <w:right w:val="single" w:sz="4" w:space="0" w:color="auto"/>
            </w:tcBorders>
            <w:noWrap/>
            <w:hideMark/>
          </w:tcPr>
          <w:p w:rsidR="007D109A" w:rsidRPr="007B6745" w:rsidP="007D109A" w14:paraId="3BB9155E" w14:textId="2D5F05F2">
            <w:pPr>
              <w:pStyle w:val="RTableTextAbt"/>
            </w:pPr>
            <w:r w:rsidRPr="00BE31CB">
              <w:t>2,912</w:t>
            </w:r>
          </w:p>
        </w:tc>
        <w:tc>
          <w:tcPr>
            <w:tcW w:w="923" w:type="pct"/>
            <w:tcBorders>
              <w:top w:val="single" w:sz="4" w:space="0" w:color="auto"/>
              <w:left w:val="nil"/>
              <w:bottom w:val="single" w:sz="4" w:space="0" w:color="auto"/>
              <w:right w:val="single" w:sz="4" w:space="0" w:color="auto"/>
            </w:tcBorders>
            <w:noWrap/>
            <w:hideMark/>
          </w:tcPr>
          <w:p w:rsidR="007D109A" w:rsidRPr="007B6745" w:rsidP="007D109A" w14:paraId="46759D0D" w14:textId="6B5ECB6D">
            <w:pPr>
              <w:pStyle w:val="RTableTextAbt"/>
            </w:pPr>
            <w:r w:rsidRPr="00BE31CB">
              <w:t>$59.00</w:t>
            </w:r>
          </w:p>
        </w:tc>
        <w:tc>
          <w:tcPr>
            <w:tcW w:w="669" w:type="pct"/>
            <w:tcBorders>
              <w:top w:val="single" w:sz="4" w:space="0" w:color="auto"/>
              <w:left w:val="nil"/>
              <w:bottom w:val="single" w:sz="4" w:space="0" w:color="auto"/>
              <w:right w:val="single" w:sz="4" w:space="0" w:color="auto"/>
            </w:tcBorders>
            <w:noWrap/>
            <w:hideMark/>
          </w:tcPr>
          <w:p w:rsidR="007D109A" w:rsidRPr="007B6745" w:rsidP="007D109A" w14:paraId="2916D6C3" w14:textId="179F9AA9">
            <w:pPr>
              <w:pStyle w:val="RTableTextAbt"/>
            </w:pPr>
            <w:r w:rsidRPr="00BE31CB">
              <w:t>$171,808</w:t>
            </w:r>
          </w:p>
        </w:tc>
      </w:tr>
      <w:tr w14:paraId="45E58273" w14:textId="77777777" w:rsidTr="007B6745">
        <w:tblPrEx>
          <w:tblW w:w="5005" w:type="pct"/>
          <w:tblInd w:w="-5" w:type="dxa"/>
          <w:tblLook w:val="04A0"/>
        </w:tblPrEx>
        <w:trPr>
          <w:trHeight w:val="300"/>
        </w:trPr>
        <w:tc>
          <w:tcPr>
            <w:tcW w:w="2054" w:type="pct"/>
            <w:tcBorders>
              <w:top w:val="single" w:sz="4" w:space="0" w:color="auto"/>
              <w:left w:val="single" w:sz="4" w:space="0" w:color="auto"/>
              <w:bottom w:val="single" w:sz="4" w:space="0" w:color="auto"/>
              <w:right w:val="single" w:sz="4" w:space="0" w:color="auto"/>
            </w:tcBorders>
            <w:vAlign w:val="bottom"/>
            <w:hideMark/>
          </w:tcPr>
          <w:p w:rsidR="007D109A" w:rsidRPr="007B6745" w:rsidP="007D109A" w14:paraId="7F44292F" w14:textId="77777777">
            <w:pPr>
              <w:pStyle w:val="LTableTextAbt"/>
            </w:pPr>
            <w:r w:rsidRPr="007B6745">
              <w:t>Processing into plastic and rubber products</w:t>
            </w:r>
          </w:p>
        </w:tc>
        <w:tc>
          <w:tcPr>
            <w:tcW w:w="558" w:type="pct"/>
            <w:tcBorders>
              <w:top w:val="single" w:sz="4" w:space="0" w:color="auto"/>
              <w:left w:val="nil"/>
              <w:bottom w:val="single" w:sz="4" w:space="0" w:color="auto"/>
              <w:right w:val="single" w:sz="4" w:space="0" w:color="auto"/>
            </w:tcBorders>
            <w:noWrap/>
            <w:hideMark/>
          </w:tcPr>
          <w:p w:rsidR="007D109A" w:rsidRPr="007B6745" w:rsidP="007D109A" w14:paraId="74ECEABB" w14:textId="64411DD5">
            <w:pPr>
              <w:pStyle w:val="RTableTextAbt"/>
            </w:pPr>
            <w:r w:rsidRPr="00BE31CB">
              <w:t>6</w:t>
            </w:r>
          </w:p>
        </w:tc>
        <w:tc>
          <w:tcPr>
            <w:tcW w:w="796" w:type="pct"/>
            <w:tcBorders>
              <w:top w:val="single" w:sz="4" w:space="0" w:color="auto"/>
              <w:left w:val="nil"/>
              <w:bottom w:val="single" w:sz="4" w:space="0" w:color="auto"/>
              <w:right w:val="single" w:sz="4" w:space="0" w:color="auto"/>
            </w:tcBorders>
            <w:noWrap/>
            <w:hideMark/>
          </w:tcPr>
          <w:p w:rsidR="007D109A" w:rsidRPr="007B6745" w:rsidP="007D109A" w14:paraId="3FF5EF1C" w14:textId="729BCEEF">
            <w:pPr>
              <w:pStyle w:val="RTableTextAbt"/>
            </w:pPr>
            <w:r w:rsidRPr="00BE31CB">
              <w:t>1,248</w:t>
            </w:r>
          </w:p>
        </w:tc>
        <w:tc>
          <w:tcPr>
            <w:tcW w:w="923" w:type="pct"/>
            <w:tcBorders>
              <w:top w:val="single" w:sz="4" w:space="0" w:color="auto"/>
              <w:left w:val="nil"/>
              <w:bottom w:val="single" w:sz="4" w:space="0" w:color="auto"/>
              <w:right w:val="single" w:sz="4" w:space="0" w:color="auto"/>
            </w:tcBorders>
            <w:noWrap/>
            <w:hideMark/>
          </w:tcPr>
          <w:p w:rsidR="007D109A" w:rsidRPr="007B6745" w:rsidP="007D109A" w14:paraId="58E2E3A8" w14:textId="3D6803A3">
            <w:pPr>
              <w:pStyle w:val="RTableTextAbt"/>
            </w:pPr>
            <w:r w:rsidRPr="00BE31CB">
              <w:t>$59.00</w:t>
            </w:r>
          </w:p>
        </w:tc>
        <w:tc>
          <w:tcPr>
            <w:tcW w:w="669" w:type="pct"/>
            <w:tcBorders>
              <w:top w:val="single" w:sz="4" w:space="0" w:color="auto"/>
              <w:left w:val="nil"/>
              <w:bottom w:val="single" w:sz="4" w:space="0" w:color="auto"/>
              <w:right w:val="single" w:sz="4" w:space="0" w:color="auto"/>
            </w:tcBorders>
            <w:noWrap/>
            <w:hideMark/>
          </w:tcPr>
          <w:p w:rsidR="007D109A" w:rsidRPr="007B6745" w:rsidP="007D109A" w14:paraId="13447FBF" w14:textId="0DD1CA70">
            <w:pPr>
              <w:pStyle w:val="RTableTextAbt"/>
            </w:pPr>
            <w:r w:rsidRPr="00BE31CB">
              <w:t>$73,632</w:t>
            </w:r>
          </w:p>
        </w:tc>
      </w:tr>
      <w:tr w14:paraId="0C6E34C8" w14:textId="77777777" w:rsidTr="007B6745">
        <w:tblPrEx>
          <w:tblW w:w="5005" w:type="pct"/>
          <w:tblInd w:w="-5" w:type="dxa"/>
          <w:tblLook w:val="04A0"/>
        </w:tblPrEx>
        <w:trPr>
          <w:trHeight w:val="300"/>
        </w:trPr>
        <w:tc>
          <w:tcPr>
            <w:tcW w:w="2054" w:type="pct"/>
            <w:tcBorders>
              <w:top w:val="single" w:sz="4" w:space="0" w:color="auto"/>
              <w:left w:val="single" w:sz="4" w:space="0" w:color="auto"/>
              <w:bottom w:val="single" w:sz="4" w:space="0" w:color="auto"/>
              <w:right w:val="single" w:sz="4" w:space="0" w:color="auto"/>
            </w:tcBorders>
            <w:vAlign w:val="bottom"/>
            <w:hideMark/>
          </w:tcPr>
          <w:p w:rsidR="007D109A" w:rsidRPr="007B6745" w:rsidP="007D109A" w14:paraId="10CA5B3C" w14:textId="77777777">
            <w:pPr>
              <w:pStyle w:val="LTableTextAbt"/>
              <w:rPr>
                <w:b/>
              </w:rPr>
            </w:pPr>
            <w:r w:rsidRPr="007B6745">
              <w:rPr>
                <w:b/>
              </w:rPr>
              <w:t>Total</w:t>
            </w:r>
          </w:p>
        </w:tc>
        <w:tc>
          <w:tcPr>
            <w:tcW w:w="558" w:type="pct"/>
            <w:tcBorders>
              <w:top w:val="single" w:sz="4" w:space="0" w:color="auto"/>
              <w:left w:val="nil"/>
              <w:bottom w:val="single" w:sz="4" w:space="0" w:color="auto"/>
              <w:right w:val="single" w:sz="4" w:space="0" w:color="auto"/>
            </w:tcBorders>
            <w:noWrap/>
            <w:hideMark/>
          </w:tcPr>
          <w:p w:rsidR="007D109A" w:rsidRPr="00A74918" w:rsidP="007D109A" w14:paraId="3E1ABE06" w14:textId="0769BA70">
            <w:pPr>
              <w:pStyle w:val="RTableTextAbt"/>
              <w:rPr>
                <w:b/>
                <w:bCs w:val="0"/>
              </w:rPr>
            </w:pPr>
            <w:r w:rsidRPr="00A74918">
              <w:rPr>
                <w:b/>
                <w:bCs w:val="0"/>
              </w:rPr>
              <w:t>22</w:t>
            </w:r>
          </w:p>
        </w:tc>
        <w:tc>
          <w:tcPr>
            <w:tcW w:w="796" w:type="pct"/>
            <w:tcBorders>
              <w:top w:val="single" w:sz="4" w:space="0" w:color="auto"/>
              <w:left w:val="nil"/>
              <w:bottom w:val="single" w:sz="4" w:space="0" w:color="auto"/>
              <w:right w:val="single" w:sz="4" w:space="0" w:color="auto"/>
            </w:tcBorders>
            <w:noWrap/>
            <w:hideMark/>
          </w:tcPr>
          <w:p w:rsidR="007D109A" w:rsidRPr="00A74918" w:rsidP="007D109A" w14:paraId="22F8D2FC" w14:textId="49F7C9D2">
            <w:pPr>
              <w:pStyle w:val="RTableTextAbt"/>
              <w:rPr>
                <w:b/>
                <w:bCs w:val="0"/>
              </w:rPr>
            </w:pPr>
            <w:r w:rsidRPr="00A74918">
              <w:rPr>
                <w:b/>
                <w:bCs w:val="0"/>
              </w:rPr>
              <w:t>4,576</w:t>
            </w:r>
          </w:p>
        </w:tc>
        <w:tc>
          <w:tcPr>
            <w:tcW w:w="923" w:type="pct"/>
            <w:tcBorders>
              <w:top w:val="single" w:sz="4" w:space="0" w:color="auto"/>
              <w:left w:val="nil"/>
              <w:bottom w:val="single" w:sz="4" w:space="0" w:color="auto"/>
              <w:right w:val="single" w:sz="4" w:space="0" w:color="auto"/>
            </w:tcBorders>
            <w:noWrap/>
          </w:tcPr>
          <w:p w:rsidR="007D109A" w:rsidRPr="00A74918" w:rsidP="007D109A" w14:paraId="3EC2C91E" w14:textId="77777777">
            <w:pPr>
              <w:pStyle w:val="RTableTextAbt"/>
              <w:rPr>
                <w:b/>
                <w:bCs w:val="0"/>
              </w:rPr>
            </w:pPr>
          </w:p>
        </w:tc>
        <w:tc>
          <w:tcPr>
            <w:tcW w:w="669" w:type="pct"/>
            <w:tcBorders>
              <w:top w:val="single" w:sz="4" w:space="0" w:color="auto"/>
              <w:left w:val="nil"/>
              <w:bottom w:val="single" w:sz="4" w:space="0" w:color="auto"/>
              <w:right w:val="single" w:sz="4" w:space="0" w:color="auto"/>
            </w:tcBorders>
            <w:noWrap/>
            <w:hideMark/>
          </w:tcPr>
          <w:p w:rsidR="007D109A" w:rsidRPr="00A74918" w:rsidP="007D109A" w14:paraId="51AA46E2" w14:textId="242C8706">
            <w:pPr>
              <w:pStyle w:val="RTableTextAbt"/>
              <w:rPr>
                <w:b/>
                <w:bCs w:val="0"/>
              </w:rPr>
            </w:pPr>
            <w:r w:rsidRPr="00A74918">
              <w:rPr>
                <w:b/>
                <w:bCs w:val="0"/>
              </w:rPr>
              <w:t>$269,984</w:t>
            </w:r>
          </w:p>
        </w:tc>
      </w:tr>
      <w:tr w14:paraId="068EB263" w14:textId="77777777" w:rsidTr="002162DE">
        <w:tblPrEx>
          <w:tblW w:w="5005" w:type="pct"/>
          <w:tblInd w:w="-5" w:type="dxa"/>
          <w:tblLook w:val="04A0"/>
        </w:tblPrEx>
        <w:trPr>
          <w:trHeight w:val="341"/>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7B6745" w:rsidRPr="002162DE" w:rsidP="002162DE" w14:paraId="7AEB869D" w14:textId="77777777">
            <w:pPr>
              <w:pStyle w:val="TableNote0"/>
            </w:pPr>
            <w:r w:rsidRPr="002162DE">
              <w:t>a. Number of facilities times 208 hours (4 hours per week)</w:t>
            </w:r>
          </w:p>
          <w:p w:rsidR="007B6745" w:rsidRPr="002162DE" w:rsidP="002162DE" w14:paraId="38982A73" w14:textId="50A1BE12">
            <w:pPr>
              <w:pStyle w:val="TableNote0"/>
            </w:pPr>
            <w:r w:rsidRPr="002162DE">
              <w:t>b. Fully loaded hourly wage rate for maintenance positions in the manufacturing industry (</w:t>
            </w:r>
            <w:r w:rsidRPr="002162DE">
              <w:fldChar w:fldCharType="begin" w:fldLock="1"/>
            </w:r>
            <w:r w:rsidRPr="002162DE">
              <w:instrText>REF _Ref175676776</w:instrText>
            </w:r>
            <w:r w:rsidRPr="002162DE" w:rsidR="002162DE">
              <w:instrText xml:space="preserve"> \* MERGEFORMAT </w:instrText>
            </w:r>
            <w:r w:rsidRPr="002162DE">
              <w:fldChar w:fldCharType="separate"/>
            </w:r>
            <w:r w:rsidRPr="007B6745" w:rsidR="00735BBC">
              <w:t xml:space="preserve">Table </w:t>
            </w:r>
            <w:r w:rsidR="00735BBC">
              <w:t>4</w:t>
            </w:r>
            <w:r w:rsidR="00735BBC">
              <w:noBreakHyphen/>
              <w:t>1</w:t>
            </w:r>
            <w:r w:rsidRPr="002162DE">
              <w:fldChar w:fldCharType="end"/>
            </w:r>
            <w:r w:rsidRPr="002162DE">
              <w:t>)</w:t>
            </w:r>
          </w:p>
          <w:p w:rsidR="007B6745" w:rsidRPr="007B6745" w:rsidP="002162DE" w14:paraId="40A14988" w14:textId="77777777">
            <w:pPr>
              <w:pStyle w:val="TableNote0"/>
              <w:rPr>
                <w:sz w:val="24"/>
              </w:rPr>
            </w:pPr>
            <w:r w:rsidRPr="002162DE">
              <w:t>c. Total hours times hourly labor rate, rounded to the nearest dollar</w:t>
            </w:r>
          </w:p>
        </w:tc>
      </w:tr>
    </w:tbl>
    <w:p w:rsidR="007B6745" w:rsidRPr="007B6745" w:rsidP="00832749" w14:paraId="2B5E3A7C" w14:textId="77777777">
      <w:pPr>
        <w:pStyle w:val="BodyText"/>
      </w:pPr>
    </w:p>
    <w:p w:rsidR="007B6745" w:rsidRPr="007B6745" w:rsidP="00832749" w14:paraId="58F67B91" w14:textId="77777777">
      <w:pPr>
        <w:pStyle w:val="Heading3"/>
      </w:pPr>
      <w:r w:rsidRPr="007B6745">
        <w:t xml:space="preserve">Labeling </w:t>
      </w:r>
      <w:bookmarkEnd w:id="218"/>
      <w:r w:rsidRPr="007B6745">
        <w:t>and downstream notification</w:t>
      </w:r>
      <w:bookmarkEnd w:id="219"/>
      <w:bookmarkEnd w:id="220"/>
    </w:p>
    <w:p w:rsidR="007B6745" w:rsidRPr="007B6745" w:rsidP="00832749" w14:paraId="02EF3F53" w14:textId="409DA5E9">
      <w:pPr>
        <w:pStyle w:val="BodyText"/>
      </w:pPr>
      <w:r w:rsidRPr="47F4D8F7">
        <w:rPr>
          <w:lang w:val="en-US"/>
        </w:rPr>
        <w:t xml:space="preserve">Under the proposed rule, firms involved in the import and domestic manufacture (including import) of regulated PV29 would be required to </w:t>
      </w:r>
      <w:r w:rsidRPr="47F4D8F7">
        <w:rPr>
          <w:rFonts w:eastAsiaTheme="majorEastAsia"/>
          <w:lang w:val="en-US"/>
        </w:rPr>
        <w:t>notify persons to whom PV29 is shipped</w:t>
      </w:r>
      <w:r w:rsidRPr="47F4D8F7">
        <w:rPr>
          <w:lang w:val="en-US"/>
        </w:rPr>
        <w:t xml:space="preserve"> in writing prior to shipment. The notification must occur through a modification to both the labels on their products and the Safety Data Sheet (SDS) provided with the product to indicate that the product contains PV29. This section provides estimates of the costs of this requirement.</w:t>
      </w:r>
    </w:p>
    <w:p w:rsidR="007B6745" w:rsidRPr="007B6745" w:rsidP="00832749" w14:paraId="2F5CF7DE" w14:textId="2EFB2A84">
      <w:pPr>
        <w:pStyle w:val="BodyText"/>
      </w:pPr>
      <w:r w:rsidRPr="47F4D8F7">
        <w:rPr>
          <w:lang w:val="en-US"/>
        </w:rPr>
        <w:t>The following factors must be considered in determining the cost impact of a label change.</w:t>
      </w:r>
    </w:p>
    <w:p w:rsidR="007B6745" w:rsidRPr="007B6745" w:rsidP="00832749" w14:paraId="1C9DD9A4" w14:textId="2AF385E4">
      <w:pPr>
        <w:pStyle w:val="BodyText"/>
      </w:pPr>
      <w:r w:rsidRPr="0E4AE1FD">
        <w:rPr>
          <w:lang w:val="en-US"/>
        </w:rPr>
        <w:t>Labeling requirement and packaging size. The cost of graphic design changes generally depend</w:t>
      </w:r>
      <w:r w:rsidRPr="0E4AE1FD" w:rsidR="5F6D431A">
        <w:rPr>
          <w:lang w:val="en-US"/>
        </w:rPr>
        <w:t>s</w:t>
      </w:r>
      <w:r w:rsidRPr="0E4AE1FD">
        <w:rPr>
          <w:lang w:val="en-US"/>
        </w:rPr>
        <w:t xml:space="preserve"> on how easily the modifications can be integrated into the existing design. This in turn depends on both the label text required by the rule and the size of the product packaging. For example, adding new warning label text or graphics to a product with smaller packaging may require more extensive graphic design changes due to lack of space for the additional text. On the other hand, less extensive redesigns are likely needed for minor text modifications (e.g., wording changes to a pre-existing voluntary warning label) or larger product packaging that allows for easy integration of additional graphics. Similarly, costs may be lower for products that do not require packaging and can have a label directly affixed to the container (e.g. products not sold for consumer use).</w:t>
      </w:r>
    </w:p>
    <w:p w:rsidR="007B6745" w:rsidRPr="007B6745" w:rsidP="00832749" w14:paraId="6EB338D3" w14:textId="5960C979">
      <w:pPr>
        <w:pStyle w:val="BodyText"/>
      </w:pPr>
      <w:r w:rsidRPr="47F4D8F7">
        <w:rPr>
          <w:lang w:val="en-US"/>
        </w:rPr>
        <w:t xml:space="preserve">The proposed rule applies to manufacture and import of PV29, which likely involves bulk packaging; and processing of PV29 into paint and plastic masterbatch. EPA does not anticipate that packaging size for any of these products would be small enough to require extensive redesigns due to lack of space. </w:t>
      </w:r>
    </w:p>
    <w:p w:rsidR="007B6745" w:rsidRPr="007B6745" w:rsidP="00832749" w14:paraId="6C97E518" w14:textId="7D43FFE1">
      <w:pPr>
        <w:pStyle w:val="BodyText"/>
      </w:pPr>
      <w:r w:rsidRPr="47F4D8F7">
        <w:rPr>
          <w:lang w:val="en-US"/>
        </w:rPr>
        <w:t>Complexity of label.  Labeling costs tend to increase as the number of colors used in the label design increases. Thus, a manufacturer may incur minor costs if only one color is affected, but more significant costs if multiple color changes are required.</w:t>
      </w:r>
    </w:p>
    <w:p w:rsidR="007B6745" w:rsidRPr="007B6745" w:rsidP="00832749" w14:paraId="1A3CC008" w14:textId="17F75BF0">
      <w:pPr>
        <w:pStyle w:val="BodyText"/>
      </w:pPr>
      <w:r w:rsidRPr="47F4D8F7">
        <w:rPr>
          <w:lang w:val="en-US"/>
        </w:rPr>
        <w:t>The proposed rule requires a simple indication that the product contains PV29. EPA does not expect this to involve a complex redesign.</w:t>
      </w:r>
    </w:p>
    <w:p w:rsidR="007B6745" w:rsidRPr="007B6745" w:rsidP="00832749" w14:paraId="279FC58E" w14:textId="34E75078">
      <w:pPr>
        <w:pStyle w:val="BodyText"/>
      </w:pPr>
      <w:r w:rsidRPr="47F4D8F7">
        <w:rPr>
          <w:lang w:val="en-US"/>
        </w:rPr>
        <w:t>Number of SKUs. Total industry costs may be dependent on the number of Stock Keeping Units (SKUs) requiring a label change rather than the number of products. SKUs are distinct items that are distinguished not only by different products, but also by differences in color, size, and packaging for the same product. Thus, the number of SKUs can be larger than the number of products. Products sold in different packaging sizes or types will likely incur separate labeling costs for each SKU. However, manufacturers that comply with a labeling requirement by externally applying a label to each product (vs. modifying the packaging design) may only incur one labeling cost even if multiple products and SKUs are affected.</w:t>
      </w:r>
    </w:p>
    <w:p w:rsidR="007B6745" w:rsidRPr="007B6745" w:rsidP="00832749" w14:paraId="376A997A" w14:textId="39791C14">
      <w:pPr>
        <w:pStyle w:val="BodyText"/>
      </w:pPr>
      <w:r w:rsidRPr="4BA86F39">
        <w:rPr>
          <w:lang w:val="en-US"/>
        </w:rPr>
        <w:t>For EPA’s Economic Analysis of Regulation of Methylene Chloride, Paint and Coating Remover under TSCA Section 6(a)</w:t>
      </w:r>
      <w:r w:rsidR="00881DF2">
        <w:rPr>
          <w:lang w:val="en-US"/>
        </w:rPr>
        <w:t xml:space="preserve"> </w:t>
      </w:r>
      <w:r w:rsidR="00186E0D">
        <w:rPr>
          <w:lang w:val="en-US"/>
        </w:rPr>
        <w:t>(</w:t>
      </w:r>
      <w:hyperlink w:anchor="_ENREF_58" w:tooltip="U.S. Environmental Protection Agency (EPA), 2019 #58" w:history="1">
        <w:r w:rsidRPr="007B6745" w:rsidR="003D6084">
          <w:fldChar w:fldCharType="begin" w:fldLock="1"/>
        </w:r>
        <w:r w:rsidR="003D6084">
          <w:instrText xml:space="preserve"> ADDIN EN.CITE &lt;EndNote&gt;&lt;Cite ExcludeAuth="1"&gt;&lt;Author&gt;U.S. Environmental Protection Agency (EPA)&lt;/Author&gt;&lt;Year&gt;2019&lt;/Year&gt;&lt;RecNum&gt;58&lt;/RecNum&gt;&lt;Prefix&gt;EPA &lt;/Prefix&gt;&lt;DisplayText&gt;EPA 2019&lt;/DisplayText&gt;&lt;record&gt;&lt;rec-number&gt;58&lt;/rec-number&gt;&lt;foreign-keys&gt;&lt;key app="EN" db-id="2apzr05radv9fjet2w6xxwdlz5e9vwfxredw" timestamp="1730757315"&gt;58&lt;/key&gt;&lt;/foreign-keys&gt;&lt;ref-type name="Report"&gt;27&lt;/ref-type&gt;&lt;contributors&gt;&lt;authors&gt;&lt;author&gt;U.S. Environmental Protection Agency (EPA),&lt;/author&gt;&lt;/authors&gt;&lt;/contributors&gt;&lt;titles&gt;&lt;title&gt;Economic Analysis of Regulation of Methylene Chloride, Paint and Coating Remover under TSCA Section 6(a) &lt;/title&gt;&lt;/titles&gt;&lt;dates&gt;&lt;year&gt;2019&lt;/year&gt;&lt;/dates&gt;&lt;urls&gt;&lt;/urls&gt;&lt;/record&gt;&lt;/Cite&gt;&lt;/EndNote&gt;</w:instrText>
        </w:r>
        <w:r w:rsidRPr="007B6745" w:rsidR="003D6084">
          <w:fldChar w:fldCharType="separate"/>
        </w:r>
        <w:r w:rsidR="003D6084">
          <w:rPr>
            <w:noProof/>
          </w:rPr>
          <w:t>EPA 2019</w:t>
        </w:r>
        <w:r w:rsidRPr="007B6745" w:rsidR="003D6084">
          <w:fldChar w:fldCharType="end"/>
        </w:r>
      </w:hyperlink>
      <w:r w:rsidR="00186E0D">
        <w:rPr>
          <w:lang w:val="en-US"/>
        </w:rPr>
        <w:t>)</w:t>
      </w:r>
      <w:r w:rsidRPr="4BA86F39">
        <w:rPr>
          <w:lang w:val="en-US"/>
        </w:rPr>
        <w:t>, Abt Associates Inc. surveyed five blenders of aerosol spray degreasers that contain trichloroethylene on what types of costs they would incur for amending labels to add additional precautions and directions to their products. Aerosol spray degreasing products are used in consumer, commercial, and industrial sectors. Respondents reported potential costs associated with disposal of pre-existing labels and packaging, graphic design, reviewing proofs, creating electronic files used to engrave the printing plates, and changing the printing plates. None of the respondents reported any incremental recurring costs for labeling. One blender estimated minimal labor costs of approximately $100 to $200 per label (SKU) for graphic design changes, and $600 for the plate change,</w:t>
      </w:r>
      <w:r>
        <w:rPr>
          <w:vertAlign w:val="superscript"/>
          <w:lang w:val="en-US"/>
        </w:rPr>
        <w:footnoteReference w:id="17"/>
      </w:r>
      <w:r w:rsidRPr="4BA86F39">
        <w:rPr>
          <w:lang w:val="en-US"/>
        </w:rPr>
        <w:t xml:space="preserve"> for total one-time costs ranging from approximately $700 to $800 per SKU (2014 $). </w:t>
      </w:r>
    </w:p>
    <w:p w:rsidR="007B6745" w:rsidRPr="007B6745" w:rsidP="00832749" w14:paraId="0F8E9C57" w14:textId="472551F4">
      <w:pPr>
        <w:pStyle w:val="BodyText"/>
      </w:pPr>
      <w:r w:rsidRPr="4BA86F39">
        <w:rPr>
          <w:lang w:val="en-US"/>
        </w:rPr>
        <w:t xml:space="preserve">EPA assumes that a similar effort would be required to modify labels on the products as regulated under the proposed rule. EPA updated these costs to 2023$ using the U.S. average Consumer Price Index </w:t>
      </w:r>
      <w:r w:rsidR="00186E0D">
        <w:rPr>
          <w:lang w:val="en-US"/>
        </w:rPr>
        <w:t>(</w:t>
      </w:r>
      <w:hyperlink w:anchor="_ENREF_8" w:tooltip="Bureau of Labor Statistics, 2024 #9" w:history="1">
        <w:r w:rsidRPr="007B6745" w:rsidR="003D6084">
          <w:fldChar w:fldCharType="begin" w:fldLock="1"/>
        </w:r>
        <w:r w:rsidR="003D6084">
          <w:instrText xml:space="preserve"> ADDIN EN.CITE &lt;EndNote&gt;&lt;Cite&gt;&lt;Author&gt;Bureau of Labor Statistics&lt;/Author&gt;&lt;Year&gt;2024&lt;/Year&gt;&lt;RecNum&gt;9&lt;/RecNum&gt;&lt;DisplayText&gt;Bureau of Labor Statistics 2024a&lt;/DisplayText&gt;&lt;record&gt;&lt;rec-number&gt;9&lt;/rec-number&gt;&lt;foreign-keys&gt;&lt;key app="EN" db-id="2apzr05radv9fjet2w6xxwdlz5e9vwfxredw" timestamp="1730757315"&gt;9&lt;/key&gt;&lt;/foreign-keys&gt;&lt;ref-type name="Dataset"&gt;59&lt;/ref-type&gt;&lt;contributors&gt;&lt;authors&gt;&lt;author&gt;Bureau of Labor Statistics,&lt;/author&gt;&lt;/authors&gt;&lt;/contributors&gt;&lt;titles&gt;&lt;title&gt;Consumer Price Index for all items, U.S. city average (not seasonally adjusted)&lt;/title&gt;&lt;/titles&gt;&lt;dates&gt;&lt;year&gt;2024&lt;/year&gt;&lt;/dates&gt;&lt;urls&gt;&lt;/urls&gt;&lt;/record&gt;&lt;/Cite&gt;&lt;/EndNote&gt;</w:instrText>
        </w:r>
        <w:r w:rsidRPr="007B6745" w:rsidR="003D6084">
          <w:fldChar w:fldCharType="separate"/>
        </w:r>
        <w:r w:rsidR="003D6084">
          <w:rPr>
            <w:noProof/>
          </w:rPr>
          <w:t>Bureau of Labor Statistics 2024a</w:t>
        </w:r>
        <w:r w:rsidRPr="007B6745" w:rsidR="003D6084">
          <w:fldChar w:fldCharType="end"/>
        </w:r>
      </w:hyperlink>
      <w:r w:rsidR="00186E0D">
        <w:rPr>
          <w:lang w:val="en-US"/>
        </w:rPr>
        <w:t>)</w:t>
      </w:r>
      <w:r w:rsidRPr="4BA86F39">
        <w:rPr>
          <w:lang w:val="en-US"/>
        </w:rPr>
        <w:t xml:space="preserve">. </w:t>
      </w:r>
      <w:r w:rsidRPr="007B6745">
        <w:fldChar w:fldCharType="begin" w:fldLock="1"/>
      </w:r>
      <w:r w:rsidRPr="007B6745">
        <w:instrText xml:space="preserve"> REF _Ref80289508 \h  \* MERGEFORMAT </w:instrText>
      </w:r>
      <w:r w:rsidRPr="007B6745">
        <w:fldChar w:fldCharType="separate"/>
      </w:r>
      <w:r w:rsidRPr="00735BBC" w:rsidR="00735BBC">
        <w:rPr>
          <w:lang w:val="en-US"/>
        </w:rPr>
        <w:t>Table 4</w:t>
      </w:r>
      <w:r w:rsidRPr="00735BBC" w:rsidR="00735BBC">
        <w:rPr>
          <w:lang w:val="en-US"/>
        </w:rPr>
        <w:noBreakHyphen/>
        <w:t>19</w:t>
      </w:r>
      <w:r w:rsidRPr="007B6745">
        <w:fldChar w:fldCharType="end"/>
      </w:r>
      <w:r w:rsidRPr="4BA86F39">
        <w:rPr>
          <w:lang w:val="en-US"/>
        </w:rPr>
        <w:t xml:space="preserve"> shows these estimated unit costs. EPA expects that all labelling costs will be one-time initial costs (i.e., incurred in the first year of rule compliance).</w:t>
      </w:r>
    </w:p>
    <w:p w:rsidR="007B6745" w:rsidRPr="007B6745" w:rsidP="00832749" w14:paraId="6D105FDD" w14:textId="34F7F249">
      <w:pPr>
        <w:pStyle w:val="BodyText"/>
      </w:pPr>
    </w:p>
    <w:tbl>
      <w:tblPr>
        <w:tblW w:w="5000" w:type="pct"/>
        <w:tblLook w:val="04A0"/>
      </w:tblPr>
      <w:tblGrid>
        <w:gridCol w:w="2493"/>
        <w:gridCol w:w="1717"/>
        <w:gridCol w:w="1720"/>
        <w:gridCol w:w="1716"/>
        <w:gridCol w:w="1714"/>
      </w:tblGrid>
      <w:tr w14:paraId="1BCAF1AB" w14:textId="77777777" w:rsidTr="00BF45A3">
        <w:tblPrEx>
          <w:tblW w:w="5000" w:type="pct"/>
          <w:tblLook w:val="04A0"/>
        </w:tblPrEx>
        <w:trPr>
          <w:trHeight w:val="413"/>
          <w:tblHeader/>
        </w:trPr>
        <w:tc>
          <w:tcPr>
            <w:tcW w:w="5000" w:type="pct"/>
            <w:gridSpan w:val="5"/>
            <w:tcBorders>
              <w:bottom w:val="single" w:sz="4" w:space="0" w:color="auto"/>
            </w:tcBorders>
            <w:shd w:val="clear" w:color="auto" w:fill="auto"/>
            <w:vAlign w:val="center"/>
          </w:tcPr>
          <w:p w:rsidR="00BF45A3" w:rsidRPr="00B05900" w:rsidP="00B05900" w14:paraId="22B52EA3" w14:textId="3BB92B11">
            <w:pPr>
              <w:pStyle w:val="TableTitleA"/>
            </w:pPr>
            <w:bookmarkStart w:id="227" w:name="_Ref80289508"/>
            <w:bookmarkStart w:id="228" w:name="_Toc184299575"/>
            <w:r w:rsidRPr="007B6745">
              <w:t xml:space="preserve">Table </w:t>
            </w:r>
            <w:r>
              <w:fldChar w:fldCharType="begin" w:fldLock="1"/>
            </w:r>
            <w:r>
              <w:instrText>STYLEREF 1 \s</w:instrText>
            </w:r>
            <w:r>
              <w:fldChar w:fldCharType="separate"/>
            </w:r>
            <w:r w:rsidR="00735BBC">
              <w:rPr>
                <w:noProof/>
              </w:rPr>
              <w:t>4</w:t>
            </w:r>
            <w:r>
              <w:fldChar w:fldCharType="end"/>
            </w:r>
            <w:r w:rsidR="000A1542">
              <w:noBreakHyphen/>
            </w:r>
            <w:r>
              <w:fldChar w:fldCharType="begin" w:fldLock="1"/>
            </w:r>
            <w:r>
              <w:instrText>SEQ Table \* ARABIC \s 1</w:instrText>
            </w:r>
            <w:r>
              <w:fldChar w:fldCharType="separate"/>
            </w:r>
            <w:r w:rsidR="00735BBC">
              <w:rPr>
                <w:noProof/>
              </w:rPr>
              <w:t>19</w:t>
            </w:r>
            <w:r>
              <w:fldChar w:fldCharType="end"/>
            </w:r>
            <w:bookmarkEnd w:id="227"/>
            <w:r w:rsidRPr="007B6745">
              <w:t>: One-time Unit Costs for Labeling per SKU</w:t>
            </w:r>
            <w:bookmarkEnd w:id="228"/>
          </w:p>
        </w:tc>
      </w:tr>
      <w:tr w14:paraId="7C14747D" w14:textId="77777777" w:rsidTr="00BF45A3">
        <w:tblPrEx>
          <w:tblW w:w="5000" w:type="pct"/>
          <w:tblLook w:val="04A0"/>
        </w:tblPrEx>
        <w:trPr>
          <w:trHeight w:val="413"/>
          <w:tblHeader/>
        </w:trPr>
        <w:tc>
          <w:tcPr>
            <w:tcW w:w="1336" w:type="pct"/>
            <w:tcBorders>
              <w:top w:val="single" w:sz="4" w:space="0" w:color="auto"/>
              <w:left w:val="single" w:sz="4" w:space="0" w:color="auto"/>
              <w:bottom w:val="single" w:sz="4" w:space="0" w:color="auto"/>
              <w:right w:val="single" w:sz="4" w:space="0" w:color="auto"/>
            </w:tcBorders>
            <w:shd w:val="clear" w:color="auto" w:fill="013E5B"/>
            <w:vAlign w:val="center"/>
          </w:tcPr>
          <w:p w:rsidR="007B6745" w:rsidRPr="007B6745" w:rsidP="000D7F2B" w14:paraId="283A8C36" w14:textId="77777777">
            <w:pPr>
              <w:pStyle w:val="TableSubtitle"/>
            </w:pPr>
          </w:p>
        </w:tc>
        <w:tc>
          <w:tcPr>
            <w:tcW w:w="916" w:type="pct"/>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6921AEE2" w14:textId="77777777">
            <w:pPr>
              <w:pStyle w:val="TableSubtitle"/>
            </w:pPr>
            <w:r w:rsidRPr="007B6745">
              <w:t>Labor cost</w:t>
            </w:r>
          </w:p>
          <w:p w:rsidR="007B6745" w:rsidRPr="007B6745" w:rsidP="000D7F2B" w14:paraId="4C3F07F1" w14:textId="77777777">
            <w:pPr>
              <w:pStyle w:val="TableSubtitle"/>
            </w:pPr>
            <w:r w:rsidRPr="007B6745">
              <w:t>(2014$)</w:t>
            </w:r>
          </w:p>
        </w:tc>
        <w:tc>
          <w:tcPr>
            <w:tcW w:w="917" w:type="pct"/>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29207B59" w14:textId="77777777">
            <w:pPr>
              <w:pStyle w:val="TableSubtitle"/>
            </w:pPr>
            <w:r w:rsidRPr="007B6745">
              <w:t>Materials cost (2014 $)</w:t>
            </w:r>
          </w:p>
        </w:tc>
        <w:tc>
          <w:tcPr>
            <w:tcW w:w="916" w:type="pct"/>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5E28D428" w14:textId="77777777">
            <w:pPr>
              <w:pStyle w:val="TableSubtitle"/>
            </w:pPr>
            <w:r w:rsidRPr="007B6745">
              <w:t>Total labeling cost (2014 $)</w:t>
            </w:r>
          </w:p>
        </w:tc>
        <w:tc>
          <w:tcPr>
            <w:tcW w:w="916" w:type="pct"/>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5F5FDFAA" w14:textId="77777777">
            <w:pPr>
              <w:pStyle w:val="TableSubtitle"/>
              <w:rPr>
                <w:vertAlign w:val="superscript"/>
              </w:rPr>
            </w:pPr>
            <w:r w:rsidRPr="007B6745">
              <w:t>Total labeling cost (2023 $)</w:t>
            </w:r>
            <w:r w:rsidRPr="007B6745">
              <w:rPr>
                <w:vertAlign w:val="superscript"/>
              </w:rPr>
              <w:t>1</w:t>
            </w:r>
          </w:p>
        </w:tc>
      </w:tr>
      <w:tr w14:paraId="15A12230" w14:textId="77777777" w:rsidTr="00BF45A3">
        <w:tblPrEx>
          <w:tblW w:w="5000" w:type="pct"/>
          <w:tblLook w:val="04A0"/>
        </w:tblPrEx>
        <w:trPr>
          <w:trHeight w:val="300"/>
        </w:trPr>
        <w:tc>
          <w:tcPr>
            <w:tcW w:w="1336" w:type="pct"/>
            <w:tcBorders>
              <w:top w:val="nil"/>
              <w:left w:val="single" w:sz="4" w:space="0" w:color="auto"/>
              <w:bottom w:val="single" w:sz="4" w:space="0" w:color="auto"/>
              <w:right w:val="single" w:sz="4" w:space="0" w:color="auto"/>
            </w:tcBorders>
            <w:noWrap/>
            <w:vAlign w:val="center"/>
            <w:hideMark/>
          </w:tcPr>
          <w:p w:rsidR="007B6745" w:rsidRPr="007B6745" w:rsidP="007A54EA" w14:paraId="37C5E9A7" w14:textId="77777777">
            <w:pPr>
              <w:pStyle w:val="LTableTextAbt"/>
            </w:pPr>
            <w:r w:rsidRPr="007B6745">
              <w:t>Low estimate</w:t>
            </w:r>
          </w:p>
        </w:tc>
        <w:tc>
          <w:tcPr>
            <w:tcW w:w="916" w:type="pct"/>
            <w:tcBorders>
              <w:top w:val="nil"/>
              <w:left w:val="nil"/>
              <w:bottom w:val="single" w:sz="4" w:space="0" w:color="auto"/>
              <w:right w:val="single" w:sz="4" w:space="0" w:color="auto"/>
            </w:tcBorders>
            <w:noWrap/>
            <w:vAlign w:val="center"/>
            <w:hideMark/>
          </w:tcPr>
          <w:p w:rsidR="007B6745" w:rsidRPr="007B6745" w:rsidP="002162DE" w14:paraId="3EA18A74" w14:textId="77777777">
            <w:pPr>
              <w:pStyle w:val="RTableTextAbt"/>
            </w:pPr>
            <w:r w:rsidRPr="007B6745">
              <w:t>$100</w:t>
            </w:r>
          </w:p>
        </w:tc>
        <w:tc>
          <w:tcPr>
            <w:tcW w:w="917" w:type="pct"/>
            <w:tcBorders>
              <w:top w:val="nil"/>
              <w:left w:val="nil"/>
              <w:bottom w:val="single" w:sz="4" w:space="0" w:color="auto"/>
              <w:right w:val="single" w:sz="4" w:space="0" w:color="auto"/>
            </w:tcBorders>
            <w:noWrap/>
            <w:vAlign w:val="center"/>
            <w:hideMark/>
          </w:tcPr>
          <w:p w:rsidR="007B6745" w:rsidRPr="007B6745" w:rsidP="002162DE" w14:paraId="5649555D" w14:textId="77777777">
            <w:pPr>
              <w:pStyle w:val="RTableTextAbt"/>
            </w:pPr>
            <w:r w:rsidRPr="007B6745">
              <w:t>$600</w:t>
            </w:r>
          </w:p>
        </w:tc>
        <w:tc>
          <w:tcPr>
            <w:tcW w:w="916" w:type="pct"/>
            <w:tcBorders>
              <w:top w:val="nil"/>
              <w:left w:val="nil"/>
              <w:bottom w:val="single" w:sz="4" w:space="0" w:color="auto"/>
              <w:right w:val="single" w:sz="4" w:space="0" w:color="auto"/>
            </w:tcBorders>
            <w:noWrap/>
            <w:vAlign w:val="center"/>
            <w:hideMark/>
          </w:tcPr>
          <w:p w:rsidR="007B6745" w:rsidRPr="007B6745" w:rsidP="002162DE" w14:paraId="565CA6BA" w14:textId="77777777">
            <w:pPr>
              <w:pStyle w:val="RTableTextAbt"/>
            </w:pPr>
            <w:r w:rsidRPr="007B6745">
              <w:t>$700</w:t>
            </w:r>
          </w:p>
        </w:tc>
        <w:tc>
          <w:tcPr>
            <w:tcW w:w="916" w:type="pct"/>
            <w:tcBorders>
              <w:top w:val="nil"/>
              <w:left w:val="nil"/>
              <w:bottom w:val="single" w:sz="4" w:space="0" w:color="auto"/>
              <w:right w:val="single" w:sz="4" w:space="0" w:color="auto"/>
            </w:tcBorders>
            <w:noWrap/>
            <w:vAlign w:val="center"/>
            <w:hideMark/>
          </w:tcPr>
          <w:p w:rsidR="007B6745" w:rsidRPr="007B6745" w:rsidP="002162DE" w14:paraId="3B751486" w14:textId="77777777">
            <w:pPr>
              <w:pStyle w:val="RTableTextAbt"/>
              <w:rPr>
                <w:b/>
              </w:rPr>
            </w:pPr>
            <w:r w:rsidRPr="007B6745">
              <w:rPr>
                <w:b/>
              </w:rPr>
              <w:t>$900</w:t>
            </w:r>
          </w:p>
        </w:tc>
      </w:tr>
      <w:tr w14:paraId="2D0A6590" w14:textId="77777777" w:rsidTr="00BF45A3">
        <w:tblPrEx>
          <w:tblW w:w="5000" w:type="pct"/>
          <w:tblLook w:val="04A0"/>
        </w:tblPrEx>
        <w:trPr>
          <w:trHeight w:val="300"/>
        </w:trPr>
        <w:tc>
          <w:tcPr>
            <w:tcW w:w="1336" w:type="pct"/>
            <w:tcBorders>
              <w:top w:val="nil"/>
              <w:left w:val="single" w:sz="4" w:space="0" w:color="auto"/>
              <w:bottom w:val="single" w:sz="4" w:space="0" w:color="auto"/>
              <w:right w:val="single" w:sz="4" w:space="0" w:color="auto"/>
            </w:tcBorders>
            <w:noWrap/>
            <w:vAlign w:val="center"/>
            <w:hideMark/>
          </w:tcPr>
          <w:p w:rsidR="007B6745" w:rsidRPr="007B6745" w:rsidP="007A54EA" w14:paraId="61A9462E" w14:textId="77777777">
            <w:pPr>
              <w:pStyle w:val="LTableTextAbt"/>
            </w:pPr>
            <w:r w:rsidRPr="007B6745">
              <w:t>High estimate</w:t>
            </w:r>
          </w:p>
        </w:tc>
        <w:tc>
          <w:tcPr>
            <w:tcW w:w="916" w:type="pct"/>
            <w:tcBorders>
              <w:top w:val="nil"/>
              <w:left w:val="nil"/>
              <w:bottom w:val="single" w:sz="4" w:space="0" w:color="auto"/>
              <w:right w:val="single" w:sz="4" w:space="0" w:color="auto"/>
            </w:tcBorders>
            <w:noWrap/>
            <w:vAlign w:val="center"/>
            <w:hideMark/>
          </w:tcPr>
          <w:p w:rsidR="007B6745" w:rsidRPr="007B6745" w:rsidP="002162DE" w14:paraId="35F63C23" w14:textId="77777777">
            <w:pPr>
              <w:pStyle w:val="RTableTextAbt"/>
            </w:pPr>
            <w:r w:rsidRPr="007B6745">
              <w:t>$200</w:t>
            </w:r>
          </w:p>
        </w:tc>
        <w:tc>
          <w:tcPr>
            <w:tcW w:w="917" w:type="pct"/>
            <w:tcBorders>
              <w:top w:val="nil"/>
              <w:left w:val="nil"/>
              <w:bottom w:val="single" w:sz="4" w:space="0" w:color="auto"/>
              <w:right w:val="single" w:sz="4" w:space="0" w:color="auto"/>
            </w:tcBorders>
            <w:noWrap/>
            <w:vAlign w:val="center"/>
            <w:hideMark/>
          </w:tcPr>
          <w:p w:rsidR="007B6745" w:rsidRPr="007B6745" w:rsidP="002162DE" w14:paraId="426DD3FF" w14:textId="77777777">
            <w:pPr>
              <w:pStyle w:val="RTableTextAbt"/>
            </w:pPr>
            <w:r w:rsidRPr="007B6745">
              <w:t>$600</w:t>
            </w:r>
          </w:p>
        </w:tc>
        <w:tc>
          <w:tcPr>
            <w:tcW w:w="916" w:type="pct"/>
            <w:tcBorders>
              <w:top w:val="nil"/>
              <w:left w:val="nil"/>
              <w:bottom w:val="single" w:sz="4" w:space="0" w:color="auto"/>
              <w:right w:val="single" w:sz="4" w:space="0" w:color="auto"/>
            </w:tcBorders>
            <w:noWrap/>
            <w:vAlign w:val="center"/>
            <w:hideMark/>
          </w:tcPr>
          <w:p w:rsidR="007B6745" w:rsidRPr="007B6745" w:rsidP="002162DE" w14:paraId="0A6AA9D8" w14:textId="77777777">
            <w:pPr>
              <w:pStyle w:val="RTableTextAbt"/>
            </w:pPr>
            <w:r w:rsidRPr="007B6745">
              <w:t>$800</w:t>
            </w:r>
          </w:p>
        </w:tc>
        <w:tc>
          <w:tcPr>
            <w:tcW w:w="916" w:type="pct"/>
            <w:tcBorders>
              <w:top w:val="nil"/>
              <w:left w:val="nil"/>
              <w:bottom w:val="single" w:sz="4" w:space="0" w:color="auto"/>
              <w:right w:val="single" w:sz="4" w:space="0" w:color="auto"/>
            </w:tcBorders>
            <w:noWrap/>
            <w:vAlign w:val="center"/>
            <w:hideMark/>
          </w:tcPr>
          <w:p w:rsidR="007B6745" w:rsidRPr="007B6745" w:rsidP="002162DE" w14:paraId="39026C88" w14:textId="77777777">
            <w:pPr>
              <w:pStyle w:val="RTableTextAbt"/>
              <w:rPr>
                <w:b/>
              </w:rPr>
            </w:pPr>
            <w:r w:rsidRPr="007B6745">
              <w:rPr>
                <w:b/>
              </w:rPr>
              <w:t>$1,030</w:t>
            </w:r>
          </w:p>
        </w:tc>
      </w:tr>
      <w:tr w14:paraId="6EF38E20" w14:textId="77777777" w:rsidTr="007B6745">
        <w:tblPrEx>
          <w:tblW w:w="5000" w:type="pct"/>
          <w:tblLook w:val="04A0"/>
        </w:tblPrEx>
        <w:trPr>
          <w:trHeight w:val="300"/>
        </w:trPr>
        <w:tc>
          <w:tcPr>
            <w:tcW w:w="5000" w:type="pct"/>
            <w:gridSpan w:val="5"/>
            <w:tcBorders>
              <w:top w:val="single" w:sz="4" w:space="0" w:color="auto"/>
              <w:left w:val="single" w:sz="4" w:space="0" w:color="auto"/>
              <w:bottom w:val="single" w:sz="4" w:space="0" w:color="auto"/>
              <w:right w:val="single" w:sz="4" w:space="0" w:color="000000"/>
            </w:tcBorders>
            <w:noWrap/>
            <w:vAlign w:val="center"/>
            <w:hideMark/>
          </w:tcPr>
          <w:p w:rsidR="007B6745" w:rsidRPr="007B6745" w:rsidP="002162DE" w14:paraId="02E71C15" w14:textId="77777777">
            <w:pPr>
              <w:pStyle w:val="TableNote0"/>
            </w:pPr>
            <w:r w:rsidRPr="007B6745">
              <w:t>SKU = stock keeping units</w:t>
            </w:r>
          </w:p>
          <w:p w:rsidR="007B6745" w:rsidRPr="007B6745" w:rsidP="002162DE" w14:paraId="772D1224" w14:textId="2A97B378">
            <w:pPr>
              <w:pStyle w:val="TableNote0"/>
            </w:pPr>
            <w:r w:rsidRPr="007B6745">
              <w:t xml:space="preserve">Source: </w:t>
            </w:r>
            <w:hyperlink w:anchor="_ENREF_58" w:tooltip="U.S. Environmental Protection Agency (EPA), 2019 #58" w:history="1">
              <w:r w:rsidRPr="007B6745" w:rsidR="003D6084">
                <w:fldChar w:fldCharType="begin" w:fldLock="1"/>
              </w:r>
              <w:r w:rsidR="003D6084">
                <w:instrText xml:space="preserve"> ADDIN EN.CITE &lt;EndNote&gt;&lt;Cite ExcludeAuth="1"&gt;&lt;Author&gt;U.S. Environmental Protection Agency (EPA)&lt;/Author&gt;&lt;Year&gt;2019&lt;/Year&gt;&lt;RecNum&gt;58&lt;/RecNum&gt;&lt;Prefix&gt;EPA &lt;/Prefix&gt;&lt;DisplayText&gt;EPA 2019&lt;/DisplayText&gt;&lt;record&gt;&lt;rec-number&gt;58&lt;/rec-number&gt;&lt;foreign-keys&gt;&lt;key app="EN" db-id="2apzr05radv9fjet2w6xxwdlz5e9vwfxredw" timestamp="1730757315"&gt;58&lt;/key&gt;&lt;/foreign-keys&gt;&lt;ref-type name="Report"&gt;27&lt;/ref-type&gt;&lt;contributors&gt;&lt;authors&gt;&lt;author&gt;U.S. Environmental Protection Agency (EPA),&lt;/author&gt;&lt;/authors&gt;&lt;/contributors&gt;&lt;titles&gt;&lt;title&gt;Economic Analysis of Regulation of Methylene Chloride, Paint and Coating Remover under TSCA Section 6(a) &lt;/title&gt;&lt;/titles&gt;&lt;dates&gt;&lt;year&gt;2019&lt;/year&gt;&lt;/dates&gt;&lt;urls&gt;&lt;/urls&gt;&lt;/record&gt;&lt;/Cite&gt;&lt;/EndNote&gt;</w:instrText>
              </w:r>
              <w:r w:rsidRPr="007B6745" w:rsidR="003D6084">
                <w:fldChar w:fldCharType="separate"/>
              </w:r>
              <w:r w:rsidR="003D6084">
                <w:rPr>
                  <w:noProof/>
                </w:rPr>
                <w:t>EPA 2019</w:t>
              </w:r>
              <w:r w:rsidRPr="007B6745" w:rsidR="003D6084">
                <w:fldChar w:fldCharType="end"/>
              </w:r>
            </w:hyperlink>
          </w:p>
          <w:p w:rsidR="007B6745" w:rsidRPr="007B6745" w:rsidP="002162DE" w14:paraId="171DD7FC" w14:textId="77777777">
            <w:pPr>
              <w:pStyle w:val="TableNote0"/>
            </w:pPr>
            <w:r w:rsidRPr="007B6745">
              <w:t>1. Updated to 2023 $ using the Consumer Price Index for all items, U.S. city average (not seasonally adjusted) and rounded to the nearest $10.</w:t>
            </w:r>
          </w:p>
        </w:tc>
      </w:tr>
    </w:tbl>
    <w:p w:rsidR="007B6745" w:rsidRPr="007B6745" w:rsidP="00832749" w14:paraId="10A04894" w14:textId="77777777">
      <w:pPr>
        <w:pStyle w:val="BodyText"/>
      </w:pPr>
    </w:p>
    <w:p w:rsidR="007B6745" w:rsidRPr="007B6745" w:rsidP="00832749" w14:paraId="700D1F6B" w14:textId="02F5853F">
      <w:pPr>
        <w:pStyle w:val="BodyText"/>
      </w:pPr>
      <w:r w:rsidRPr="007B6745">
        <w:t xml:space="preserve">As described in </w:t>
      </w:r>
      <w:r w:rsidRPr="0040314F">
        <w:t xml:space="preserve">Section </w:t>
      </w:r>
      <w:r w:rsidRPr="0040314F" w:rsidR="0040314F">
        <w:fldChar w:fldCharType="begin" w:fldLock="1"/>
      </w:r>
      <w:r w:rsidRPr="0040314F" w:rsidR="0040314F">
        <w:instrText xml:space="preserve"> REF _Ref175649108 \r \h  \* MERGEFORMAT </w:instrText>
      </w:r>
      <w:r w:rsidRPr="0040314F" w:rsidR="0040314F">
        <w:fldChar w:fldCharType="separate"/>
      </w:r>
      <w:r w:rsidR="00735BBC">
        <w:t>3.1.1</w:t>
      </w:r>
      <w:r w:rsidRPr="0040314F" w:rsidR="0040314F">
        <w:fldChar w:fldCharType="end"/>
      </w:r>
      <w:r w:rsidRPr="0040314F">
        <w:t>, one manufacturing</w:t>
      </w:r>
      <w:r w:rsidRPr="007B6745">
        <w:t xml:space="preserve"> facility provides powder PV29 in large bulk bags to foreign markets, automobile paint manufacturers, and plastic and rubber product manufacturers. While the product may be packaged in two configurations, EPA assumes that labeling requirements would be the same for any size bag, with one SKU. </w:t>
      </w:r>
    </w:p>
    <w:p w:rsidR="007B6745" w:rsidRPr="007B6745" w:rsidP="00832749" w14:paraId="427B3AEA" w14:textId="6B69123B">
      <w:pPr>
        <w:pStyle w:val="BodyText"/>
      </w:pPr>
      <w:r w:rsidRPr="007B6745">
        <w:t xml:space="preserve">Additionally, each facility will need to conduct downstream notification, which entails updating the SDS for the product. EPA assumes that this task will take 2 managerial hours per facility, at a one-time cost of $186 (see the labor rates in </w:t>
      </w:r>
      <w:r w:rsidRPr="007B6745">
        <w:fldChar w:fldCharType="begin" w:fldLock="1"/>
      </w:r>
      <w:r w:rsidRPr="007B6745">
        <w:instrText xml:space="preserve"> REF _Ref175676776 </w:instrText>
      </w:r>
      <w:r w:rsidR="00AF31BB">
        <w:instrText xml:space="preserve"> \* MERGEFORMAT </w:instrText>
      </w:r>
      <w:r w:rsidRPr="007B6745">
        <w:fldChar w:fldCharType="separate"/>
      </w:r>
      <w:r w:rsidRPr="007B6745" w:rsidR="00735BBC">
        <w:t xml:space="preserve">Table </w:t>
      </w:r>
      <w:r w:rsidR="00735BBC">
        <w:t>4</w:t>
      </w:r>
      <w:r w:rsidR="00735BBC">
        <w:noBreakHyphen/>
        <w:t>1</w:t>
      </w:r>
      <w:r w:rsidRPr="007B6745">
        <w:fldChar w:fldCharType="end"/>
      </w:r>
      <w:r w:rsidRPr="007B6745">
        <w:t>).</w:t>
      </w:r>
    </w:p>
    <w:p w:rsidR="007B6745" w:rsidRPr="007B6745" w:rsidP="00832749" w14:paraId="0C900458" w14:textId="77777777">
      <w:pPr>
        <w:pStyle w:val="BodyText"/>
      </w:pPr>
      <w:r w:rsidRPr="007B6745">
        <w:t>Once the powder is used in the receiving facilities, it is incorporated into paints or pellets and is no longer in the regulated form. As such, EPA assumes that these facilities would not incur any labeling or downstream notification costs.</w:t>
      </w:r>
    </w:p>
    <w:p w:rsidR="007B6745" w:rsidRPr="007B6745" w:rsidP="00832749" w14:paraId="0C035593" w14:textId="09F7E35B">
      <w:pPr>
        <w:pStyle w:val="BodyText"/>
      </w:pPr>
      <w:r w:rsidRPr="007B6745">
        <w:fldChar w:fldCharType="begin" w:fldLock="1"/>
      </w:r>
      <w:r w:rsidRPr="007B6745">
        <w:instrText xml:space="preserve"> REF _Ref82530968 \h  \* MERGEFORMAT </w:instrText>
      </w:r>
      <w:r w:rsidRPr="007B6745">
        <w:fldChar w:fldCharType="separate"/>
      </w:r>
      <w:r w:rsidRPr="00735BBC" w:rsidR="00735BBC">
        <w:rPr>
          <w:lang w:val="en-US"/>
        </w:rPr>
        <w:t>Table 4</w:t>
      </w:r>
      <w:r w:rsidRPr="00735BBC" w:rsidR="00735BBC">
        <w:rPr>
          <w:lang w:val="en-US"/>
        </w:rPr>
        <w:noBreakHyphen/>
        <w:t>20</w:t>
      </w:r>
      <w:r w:rsidRPr="007B6745">
        <w:fldChar w:fldCharType="end"/>
      </w:r>
      <w:r w:rsidRPr="4BA86F39">
        <w:rPr>
          <w:lang w:val="en-US"/>
        </w:rPr>
        <w:t xml:space="preserve"> shows the total one-time labeling and downstream notification costs associated with the proposed rule. There are no labeling or downstream notification requirements or costs associated with the alternative option.</w:t>
      </w:r>
    </w:p>
    <w:p w:rsidR="007B6745" w:rsidRPr="007B6745" w:rsidP="00832749" w14:paraId="76F6A551" w14:textId="7E938359">
      <w:pPr>
        <w:pStyle w:val="BodyText"/>
      </w:pPr>
    </w:p>
    <w:tbl>
      <w:tblPr>
        <w:tblW w:w="5000" w:type="pct"/>
        <w:tblLook w:val="04A0"/>
      </w:tblPr>
      <w:tblGrid>
        <w:gridCol w:w="2271"/>
        <w:gridCol w:w="835"/>
        <w:gridCol w:w="1206"/>
        <w:gridCol w:w="1207"/>
        <w:gridCol w:w="1346"/>
        <w:gridCol w:w="1254"/>
        <w:gridCol w:w="1241"/>
      </w:tblGrid>
      <w:tr w14:paraId="060669CE" w14:textId="77777777" w:rsidTr="00B05900">
        <w:tblPrEx>
          <w:tblW w:w="5000" w:type="pct"/>
          <w:tblLook w:val="04A0"/>
        </w:tblPrEx>
        <w:trPr>
          <w:trHeight w:val="320"/>
          <w:tblHeader/>
        </w:trPr>
        <w:tc>
          <w:tcPr>
            <w:tcW w:w="5000" w:type="pct"/>
            <w:gridSpan w:val="7"/>
            <w:tcBorders>
              <w:bottom w:val="single" w:sz="4" w:space="0" w:color="auto"/>
            </w:tcBorders>
            <w:shd w:val="clear" w:color="auto" w:fill="auto"/>
            <w:vAlign w:val="center"/>
          </w:tcPr>
          <w:p w:rsidR="00B05900" w:rsidRPr="00F1711F" w:rsidP="00F1711F" w14:paraId="0EC3BBC0" w14:textId="0DA90176">
            <w:pPr>
              <w:pStyle w:val="TableTitleA"/>
            </w:pPr>
            <w:bookmarkStart w:id="229" w:name="_Ref82530968"/>
            <w:bookmarkStart w:id="230" w:name="_Toc184299576"/>
            <w:r w:rsidRPr="007B6745">
              <w:t xml:space="preserve">Table </w:t>
            </w:r>
            <w:r>
              <w:fldChar w:fldCharType="begin" w:fldLock="1"/>
            </w:r>
            <w:r>
              <w:instrText>STYLEREF 1 \s</w:instrText>
            </w:r>
            <w:r>
              <w:fldChar w:fldCharType="separate"/>
            </w:r>
            <w:r w:rsidR="00735BBC">
              <w:rPr>
                <w:noProof/>
              </w:rPr>
              <w:t>4</w:t>
            </w:r>
            <w:r>
              <w:fldChar w:fldCharType="end"/>
            </w:r>
            <w:r w:rsidR="000A1542">
              <w:noBreakHyphen/>
            </w:r>
            <w:r>
              <w:fldChar w:fldCharType="begin" w:fldLock="1"/>
            </w:r>
            <w:r>
              <w:instrText>SEQ Table \* ARABIC \s 1</w:instrText>
            </w:r>
            <w:r>
              <w:fldChar w:fldCharType="separate"/>
            </w:r>
            <w:r w:rsidR="00735BBC">
              <w:rPr>
                <w:noProof/>
              </w:rPr>
              <w:t>20</w:t>
            </w:r>
            <w:r>
              <w:fldChar w:fldCharType="end"/>
            </w:r>
            <w:bookmarkEnd w:id="229"/>
            <w:r w:rsidRPr="007B6745">
              <w:t>: Proposed Rule Total One-Time Labeling and Downstream Notification Costs by Use (2023$)</w:t>
            </w:r>
            <w:bookmarkEnd w:id="230"/>
          </w:p>
        </w:tc>
      </w:tr>
      <w:tr w14:paraId="07FCB4A1" w14:textId="77777777" w:rsidTr="00B05900">
        <w:tblPrEx>
          <w:tblW w:w="5000" w:type="pct"/>
          <w:tblLook w:val="04A0"/>
        </w:tblPrEx>
        <w:trPr>
          <w:trHeight w:val="320"/>
          <w:tblHeader/>
        </w:trPr>
        <w:tc>
          <w:tcPr>
            <w:tcW w:w="1213" w:type="pct"/>
            <w:vMerge w:val="restart"/>
            <w:tcBorders>
              <w:top w:val="single" w:sz="4" w:space="0" w:color="auto"/>
              <w:left w:val="single" w:sz="4" w:space="0" w:color="auto"/>
              <w:bottom w:val="single" w:sz="4" w:space="0" w:color="000000"/>
              <w:right w:val="single" w:sz="4" w:space="0" w:color="auto"/>
            </w:tcBorders>
            <w:shd w:val="clear" w:color="auto" w:fill="013E5B"/>
            <w:vAlign w:val="center"/>
            <w:hideMark/>
          </w:tcPr>
          <w:p w:rsidR="007B6745" w:rsidRPr="007B6745" w:rsidP="000D7F2B" w14:paraId="6F31081D" w14:textId="77777777">
            <w:pPr>
              <w:pStyle w:val="TableSubtitle"/>
            </w:pPr>
            <w:r w:rsidRPr="007B6745">
              <w:t> Use category</w:t>
            </w:r>
          </w:p>
        </w:tc>
        <w:tc>
          <w:tcPr>
            <w:tcW w:w="446" w:type="pct"/>
            <w:vMerge w:val="restart"/>
            <w:tcBorders>
              <w:top w:val="single" w:sz="4" w:space="0" w:color="auto"/>
              <w:left w:val="single" w:sz="4" w:space="0" w:color="auto"/>
              <w:bottom w:val="single" w:sz="4" w:space="0" w:color="000000"/>
              <w:right w:val="single" w:sz="4" w:space="0" w:color="auto"/>
            </w:tcBorders>
            <w:shd w:val="clear" w:color="auto" w:fill="013E5B"/>
            <w:vAlign w:val="center"/>
            <w:hideMark/>
          </w:tcPr>
          <w:p w:rsidR="007B6745" w:rsidRPr="007B6745" w:rsidP="000D7F2B" w14:paraId="47112BC2" w14:textId="77777777">
            <w:pPr>
              <w:pStyle w:val="TableSubtitle"/>
            </w:pPr>
            <w:r w:rsidRPr="007B6745">
              <w:t>SKUs</w:t>
            </w:r>
          </w:p>
        </w:tc>
        <w:tc>
          <w:tcPr>
            <w:tcW w:w="1289" w:type="pct"/>
            <w:gridSpan w:val="2"/>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78C8889D" w14:textId="77777777">
            <w:pPr>
              <w:pStyle w:val="TableSubtitle"/>
              <w:rPr>
                <w:vertAlign w:val="superscript"/>
              </w:rPr>
            </w:pPr>
            <w:r w:rsidRPr="007B6745">
              <w:t>Labeling</w:t>
            </w:r>
            <w:r w:rsidRPr="007B6745">
              <w:rPr>
                <w:vertAlign w:val="superscript"/>
              </w:rPr>
              <w:t xml:space="preserve"> a</w:t>
            </w:r>
          </w:p>
        </w:tc>
        <w:tc>
          <w:tcPr>
            <w:tcW w:w="719" w:type="pct"/>
            <w:vMerge w:val="restart"/>
            <w:tcBorders>
              <w:top w:val="single" w:sz="4" w:space="0" w:color="auto"/>
              <w:left w:val="nil"/>
              <w:bottom w:val="single" w:sz="4" w:space="0" w:color="auto"/>
              <w:right w:val="single" w:sz="4" w:space="0" w:color="000000"/>
            </w:tcBorders>
            <w:shd w:val="clear" w:color="auto" w:fill="013E5B"/>
            <w:vAlign w:val="center"/>
            <w:hideMark/>
          </w:tcPr>
          <w:p w:rsidR="007B6745" w:rsidRPr="007B6745" w:rsidP="000D7F2B" w14:paraId="402DF8C1" w14:textId="77777777">
            <w:pPr>
              <w:pStyle w:val="TableSubtitle"/>
              <w:rPr>
                <w:vertAlign w:val="superscript"/>
              </w:rPr>
            </w:pPr>
            <w:r w:rsidRPr="007B6745">
              <w:t>Notification</w:t>
            </w:r>
            <w:r w:rsidRPr="007B6745">
              <w:rPr>
                <w:vertAlign w:val="superscript"/>
              </w:rPr>
              <w:t xml:space="preserve"> b</w:t>
            </w:r>
          </w:p>
        </w:tc>
        <w:tc>
          <w:tcPr>
            <w:tcW w:w="1333" w:type="pct"/>
            <w:gridSpan w:val="2"/>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3EACD88F" w14:textId="77777777">
            <w:pPr>
              <w:pStyle w:val="TableSubtitle"/>
            </w:pPr>
            <w:r w:rsidRPr="007B6745">
              <w:t>Total</w:t>
            </w:r>
          </w:p>
        </w:tc>
      </w:tr>
      <w:tr w14:paraId="2AFA1297" w14:textId="77777777" w:rsidTr="00B05900">
        <w:tblPrEx>
          <w:tblW w:w="5000" w:type="pct"/>
          <w:tblLook w:val="04A0"/>
        </w:tblPrEx>
        <w:trPr>
          <w:trHeight w:val="300"/>
          <w:tblHeader/>
        </w:trPr>
        <w:tc>
          <w:tcPr>
            <w:tcW w:w="0" w:type="auto"/>
            <w:vMerge/>
            <w:tcBorders>
              <w:top w:val="single" w:sz="4" w:space="0" w:color="auto"/>
              <w:left w:val="single" w:sz="4" w:space="0" w:color="auto"/>
              <w:bottom w:val="single" w:sz="4" w:space="0" w:color="000000"/>
              <w:right w:val="single" w:sz="4" w:space="0" w:color="auto"/>
            </w:tcBorders>
            <w:shd w:val="clear" w:color="auto" w:fill="013E5B"/>
            <w:vAlign w:val="center"/>
            <w:hideMark/>
          </w:tcPr>
          <w:p w:rsidR="007B6745" w:rsidRPr="007B6745" w:rsidP="000D7F2B" w14:paraId="04AA2D54" w14:textId="77777777">
            <w:pPr>
              <w:pStyle w:val="TableSubtitle"/>
            </w:pPr>
          </w:p>
        </w:tc>
        <w:tc>
          <w:tcPr>
            <w:tcW w:w="0" w:type="auto"/>
            <w:vMerge/>
            <w:tcBorders>
              <w:top w:val="single" w:sz="4" w:space="0" w:color="auto"/>
              <w:left w:val="single" w:sz="4" w:space="0" w:color="auto"/>
              <w:bottom w:val="single" w:sz="4" w:space="0" w:color="000000"/>
              <w:right w:val="single" w:sz="4" w:space="0" w:color="auto"/>
            </w:tcBorders>
            <w:shd w:val="clear" w:color="auto" w:fill="013E5B"/>
            <w:vAlign w:val="center"/>
            <w:hideMark/>
          </w:tcPr>
          <w:p w:rsidR="007B6745" w:rsidRPr="007B6745" w:rsidP="000D7F2B" w14:paraId="0F99A2C5" w14:textId="77777777">
            <w:pPr>
              <w:pStyle w:val="TableSubtitle"/>
            </w:pPr>
          </w:p>
        </w:tc>
        <w:tc>
          <w:tcPr>
            <w:tcW w:w="644" w:type="pct"/>
            <w:tcBorders>
              <w:top w:val="nil"/>
              <w:left w:val="nil"/>
              <w:bottom w:val="single" w:sz="4" w:space="0" w:color="auto"/>
              <w:right w:val="single" w:sz="4" w:space="0" w:color="auto"/>
            </w:tcBorders>
            <w:shd w:val="clear" w:color="auto" w:fill="013E5B"/>
            <w:vAlign w:val="center"/>
            <w:hideMark/>
          </w:tcPr>
          <w:p w:rsidR="007B6745" w:rsidRPr="007B6745" w:rsidP="000D7F2B" w14:paraId="14061C56" w14:textId="77777777">
            <w:pPr>
              <w:pStyle w:val="TableSubtitle"/>
            </w:pPr>
            <w:r w:rsidRPr="007B6745">
              <w:t>Low</w:t>
            </w:r>
          </w:p>
        </w:tc>
        <w:tc>
          <w:tcPr>
            <w:tcW w:w="645" w:type="pct"/>
            <w:tcBorders>
              <w:top w:val="nil"/>
              <w:left w:val="nil"/>
              <w:bottom w:val="single" w:sz="4" w:space="0" w:color="auto"/>
              <w:right w:val="single" w:sz="4" w:space="0" w:color="auto"/>
            </w:tcBorders>
            <w:shd w:val="clear" w:color="auto" w:fill="013E5B"/>
            <w:vAlign w:val="center"/>
            <w:hideMark/>
          </w:tcPr>
          <w:p w:rsidR="007B6745" w:rsidRPr="007B6745" w:rsidP="000D7F2B" w14:paraId="4979CEA2" w14:textId="77777777">
            <w:pPr>
              <w:pStyle w:val="TableSubtitle"/>
            </w:pPr>
            <w:r w:rsidRPr="007B6745">
              <w:t>High</w:t>
            </w:r>
          </w:p>
        </w:tc>
        <w:tc>
          <w:tcPr>
            <w:tcW w:w="0" w:type="auto"/>
            <w:vMerge/>
            <w:tcBorders>
              <w:top w:val="single" w:sz="4" w:space="0" w:color="auto"/>
              <w:left w:val="nil"/>
              <w:bottom w:val="single" w:sz="4" w:space="0" w:color="auto"/>
              <w:right w:val="single" w:sz="4" w:space="0" w:color="000000"/>
            </w:tcBorders>
            <w:shd w:val="clear" w:color="auto" w:fill="013E5B"/>
            <w:vAlign w:val="center"/>
            <w:hideMark/>
          </w:tcPr>
          <w:p w:rsidR="007B6745" w:rsidRPr="007B6745" w:rsidP="000D7F2B" w14:paraId="60F8E9F3" w14:textId="77777777">
            <w:pPr>
              <w:pStyle w:val="TableSubtitle"/>
              <w:rPr>
                <w:vertAlign w:val="superscript"/>
              </w:rPr>
            </w:pPr>
          </w:p>
        </w:tc>
        <w:tc>
          <w:tcPr>
            <w:tcW w:w="670" w:type="pct"/>
            <w:tcBorders>
              <w:top w:val="nil"/>
              <w:left w:val="nil"/>
              <w:bottom w:val="single" w:sz="4" w:space="0" w:color="auto"/>
              <w:right w:val="single" w:sz="4" w:space="0" w:color="auto"/>
            </w:tcBorders>
            <w:shd w:val="clear" w:color="auto" w:fill="013E5B"/>
            <w:vAlign w:val="center"/>
            <w:hideMark/>
          </w:tcPr>
          <w:p w:rsidR="007B6745" w:rsidRPr="007B6745" w:rsidP="000D7F2B" w14:paraId="48340BF5" w14:textId="77777777">
            <w:pPr>
              <w:pStyle w:val="TableSubtitle"/>
            </w:pPr>
            <w:r w:rsidRPr="007B6745">
              <w:t>Low</w:t>
            </w:r>
          </w:p>
        </w:tc>
        <w:tc>
          <w:tcPr>
            <w:tcW w:w="663" w:type="pct"/>
            <w:tcBorders>
              <w:top w:val="nil"/>
              <w:left w:val="nil"/>
              <w:bottom w:val="single" w:sz="4" w:space="0" w:color="auto"/>
              <w:right w:val="single" w:sz="4" w:space="0" w:color="auto"/>
            </w:tcBorders>
            <w:shd w:val="clear" w:color="auto" w:fill="013E5B"/>
            <w:vAlign w:val="center"/>
            <w:hideMark/>
          </w:tcPr>
          <w:p w:rsidR="007B6745" w:rsidRPr="007B6745" w:rsidP="000D7F2B" w14:paraId="0FBB9970" w14:textId="77777777">
            <w:pPr>
              <w:pStyle w:val="TableSubtitle"/>
            </w:pPr>
            <w:r w:rsidRPr="007B6745">
              <w:t>High</w:t>
            </w:r>
          </w:p>
        </w:tc>
      </w:tr>
      <w:tr w14:paraId="44D11C1E" w14:textId="77777777" w:rsidTr="00B05900">
        <w:tblPrEx>
          <w:tblW w:w="5000" w:type="pct"/>
          <w:tblLook w:val="04A0"/>
        </w:tblPrEx>
        <w:trPr>
          <w:trHeight w:val="20"/>
        </w:trPr>
        <w:tc>
          <w:tcPr>
            <w:tcW w:w="1213" w:type="pct"/>
            <w:tcBorders>
              <w:top w:val="nil"/>
              <w:left w:val="single" w:sz="4" w:space="0" w:color="auto"/>
              <w:bottom w:val="single" w:sz="4" w:space="0" w:color="auto"/>
              <w:right w:val="single" w:sz="4" w:space="0" w:color="auto"/>
            </w:tcBorders>
            <w:vAlign w:val="center"/>
            <w:hideMark/>
          </w:tcPr>
          <w:p w:rsidR="007B6745" w:rsidRPr="007B6745" w:rsidP="007A54EA" w14:paraId="56A7E779" w14:textId="77777777">
            <w:pPr>
              <w:pStyle w:val="LTableTextAbt"/>
            </w:pPr>
            <w:r w:rsidRPr="007B6745">
              <w:t>PV29 manufacturing and intermediate processing</w:t>
            </w:r>
          </w:p>
        </w:tc>
        <w:tc>
          <w:tcPr>
            <w:tcW w:w="446" w:type="pct"/>
            <w:tcBorders>
              <w:top w:val="nil"/>
              <w:left w:val="nil"/>
              <w:bottom w:val="single" w:sz="4" w:space="0" w:color="auto"/>
              <w:right w:val="single" w:sz="4" w:space="0" w:color="auto"/>
            </w:tcBorders>
            <w:noWrap/>
            <w:vAlign w:val="center"/>
            <w:hideMark/>
          </w:tcPr>
          <w:p w:rsidR="007B6745" w:rsidRPr="007B6745" w:rsidP="002162DE" w14:paraId="0267E4C7" w14:textId="77777777">
            <w:pPr>
              <w:pStyle w:val="RTableTextAbt"/>
            </w:pPr>
            <w:r w:rsidRPr="007B6745">
              <w:t>1</w:t>
            </w:r>
          </w:p>
        </w:tc>
        <w:tc>
          <w:tcPr>
            <w:tcW w:w="644" w:type="pct"/>
            <w:tcBorders>
              <w:top w:val="nil"/>
              <w:left w:val="nil"/>
              <w:bottom w:val="single" w:sz="4" w:space="0" w:color="auto"/>
              <w:right w:val="single" w:sz="4" w:space="0" w:color="auto"/>
            </w:tcBorders>
            <w:noWrap/>
            <w:vAlign w:val="center"/>
            <w:hideMark/>
          </w:tcPr>
          <w:p w:rsidR="007B6745" w:rsidRPr="007B6745" w:rsidP="002162DE" w14:paraId="66C05545" w14:textId="77777777">
            <w:pPr>
              <w:pStyle w:val="RTableTextAbt"/>
            </w:pPr>
            <w:r w:rsidRPr="007B6745">
              <w:t>$900</w:t>
            </w:r>
          </w:p>
        </w:tc>
        <w:tc>
          <w:tcPr>
            <w:tcW w:w="645" w:type="pct"/>
            <w:tcBorders>
              <w:top w:val="nil"/>
              <w:left w:val="nil"/>
              <w:bottom w:val="single" w:sz="4" w:space="0" w:color="auto"/>
              <w:right w:val="single" w:sz="4" w:space="0" w:color="auto"/>
            </w:tcBorders>
            <w:noWrap/>
            <w:vAlign w:val="center"/>
            <w:hideMark/>
          </w:tcPr>
          <w:p w:rsidR="007B6745" w:rsidRPr="007B6745" w:rsidP="002162DE" w14:paraId="7B9433FF" w14:textId="77777777">
            <w:pPr>
              <w:pStyle w:val="RTableTextAbt"/>
            </w:pPr>
            <w:r w:rsidRPr="007B6745">
              <w:t>$1,030</w:t>
            </w:r>
          </w:p>
        </w:tc>
        <w:tc>
          <w:tcPr>
            <w:tcW w:w="719" w:type="pct"/>
            <w:tcBorders>
              <w:top w:val="nil"/>
              <w:left w:val="nil"/>
              <w:bottom w:val="single" w:sz="4" w:space="0" w:color="auto"/>
              <w:right w:val="single" w:sz="4" w:space="0" w:color="auto"/>
            </w:tcBorders>
            <w:noWrap/>
            <w:vAlign w:val="center"/>
            <w:hideMark/>
          </w:tcPr>
          <w:p w:rsidR="007B6745" w:rsidRPr="007B6745" w:rsidP="002162DE" w14:paraId="7F9BBF1C" w14:textId="77777777">
            <w:pPr>
              <w:pStyle w:val="RTableTextAbt"/>
            </w:pPr>
            <w:r w:rsidRPr="007B6745">
              <w:t>$186</w:t>
            </w:r>
          </w:p>
        </w:tc>
        <w:tc>
          <w:tcPr>
            <w:tcW w:w="670" w:type="pct"/>
            <w:tcBorders>
              <w:top w:val="nil"/>
              <w:left w:val="nil"/>
              <w:bottom w:val="single" w:sz="4" w:space="0" w:color="auto"/>
              <w:right w:val="single" w:sz="4" w:space="0" w:color="auto"/>
            </w:tcBorders>
            <w:noWrap/>
            <w:vAlign w:val="center"/>
            <w:hideMark/>
          </w:tcPr>
          <w:p w:rsidR="007B6745" w:rsidRPr="007B6745" w:rsidP="002162DE" w14:paraId="14FF9095" w14:textId="77777777">
            <w:pPr>
              <w:pStyle w:val="RTableTextAbt"/>
            </w:pPr>
            <w:r w:rsidRPr="007B6745">
              <w:t>$1,086</w:t>
            </w:r>
          </w:p>
        </w:tc>
        <w:tc>
          <w:tcPr>
            <w:tcW w:w="663" w:type="pct"/>
            <w:tcBorders>
              <w:top w:val="nil"/>
              <w:left w:val="nil"/>
              <w:bottom w:val="single" w:sz="4" w:space="0" w:color="auto"/>
              <w:right w:val="single" w:sz="4" w:space="0" w:color="auto"/>
            </w:tcBorders>
            <w:noWrap/>
            <w:vAlign w:val="center"/>
            <w:hideMark/>
          </w:tcPr>
          <w:p w:rsidR="007B6745" w:rsidRPr="007B6745" w:rsidP="002162DE" w14:paraId="2B5A5DE6" w14:textId="77777777">
            <w:pPr>
              <w:pStyle w:val="RTableTextAbt"/>
            </w:pPr>
            <w:r w:rsidRPr="007B6745">
              <w:t>$1,216</w:t>
            </w:r>
          </w:p>
        </w:tc>
      </w:tr>
      <w:tr w14:paraId="127A5131" w14:textId="77777777" w:rsidTr="00B05900">
        <w:tblPrEx>
          <w:tblW w:w="5000" w:type="pct"/>
          <w:tblLook w:val="04A0"/>
        </w:tblPrEx>
        <w:trPr>
          <w:trHeight w:val="20"/>
        </w:trPr>
        <w:tc>
          <w:tcPr>
            <w:tcW w:w="1213" w:type="pct"/>
            <w:tcBorders>
              <w:top w:val="nil"/>
              <w:left w:val="single" w:sz="4" w:space="0" w:color="auto"/>
              <w:bottom w:val="single" w:sz="4" w:space="0" w:color="auto"/>
              <w:right w:val="single" w:sz="4" w:space="0" w:color="auto"/>
            </w:tcBorders>
            <w:vAlign w:val="center"/>
          </w:tcPr>
          <w:p w:rsidR="007D109A" w:rsidRPr="007B6745" w:rsidP="007D109A" w14:paraId="49A15A87" w14:textId="405A5830">
            <w:pPr>
              <w:pStyle w:val="LTableTextAbt"/>
            </w:pPr>
            <w:r>
              <w:t>PV29 importing</w:t>
            </w:r>
          </w:p>
        </w:tc>
        <w:tc>
          <w:tcPr>
            <w:tcW w:w="446" w:type="pct"/>
            <w:tcBorders>
              <w:top w:val="nil"/>
              <w:left w:val="nil"/>
              <w:bottom w:val="single" w:sz="4" w:space="0" w:color="auto"/>
              <w:right w:val="single" w:sz="4" w:space="0" w:color="auto"/>
            </w:tcBorders>
            <w:noWrap/>
            <w:vAlign w:val="center"/>
          </w:tcPr>
          <w:p w:rsidR="007D109A" w:rsidRPr="007B6745" w:rsidP="007D109A" w14:paraId="4E1AC83B" w14:textId="21C543B0">
            <w:pPr>
              <w:pStyle w:val="RTableTextAbt"/>
            </w:pPr>
            <w:r>
              <w:t>0</w:t>
            </w:r>
          </w:p>
        </w:tc>
        <w:tc>
          <w:tcPr>
            <w:tcW w:w="644" w:type="pct"/>
            <w:tcBorders>
              <w:top w:val="nil"/>
              <w:left w:val="nil"/>
              <w:bottom w:val="single" w:sz="4" w:space="0" w:color="auto"/>
              <w:right w:val="single" w:sz="4" w:space="0" w:color="auto"/>
            </w:tcBorders>
            <w:noWrap/>
            <w:vAlign w:val="center"/>
          </w:tcPr>
          <w:p w:rsidR="007D109A" w:rsidRPr="007B6745" w:rsidP="007D109A" w14:paraId="74805B71" w14:textId="03EE7E8C">
            <w:pPr>
              <w:pStyle w:val="RTableTextAbt"/>
            </w:pPr>
            <w:r w:rsidRPr="007B6745">
              <w:t>$0</w:t>
            </w:r>
          </w:p>
        </w:tc>
        <w:tc>
          <w:tcPr>
            <w:tcW w:w="645" w:type="pct"/>
            <w:tcBorders>
              <w:top w:val="nil"/>
              <w:left w:val="nil"/>
              <w:bottom w:val="single" w:sz="4" w:space="0" w:color="auto"/>
              <w:right w:val="single" w:sz="4" w:space="0" w:color="auto"/>
            </w:tcBorders>
            <w:noWrap/>
            <w:vAlign w:val="center"/>
          </w:tcPr>
          <w:p w:rsidR="007D109A" w:rsidRPr="007B6745" w:rsidP="007D109A" w14:paraId="7B410059" w14:textId="6F7970F6">
            <w:pPr>
              <w:pStyle w:val="RTableTextAbt"/>
            </w:pPr>
            <w:r w:rsidRPr="007B6745">
              <w:t>$0</w:t>
            </w:r>
          </w:p>
        </w:tc>
        <w:tc>
          <w:tcPr>
            <w:tcW w:w="719" w:type="pct"/>
            <w:tcBorders>
              <w:top w:val="nil"/>
              <w:left w:val="nil"/>
              <w:bottom w:val="single" w:sz="4" w:space="0" w:color="auto"/>
              <w:right w:val="single" w:sz="4" w:space="0" w:color="auto"/>
            </w:tcBorders>
            <w:noWrap/>
            <w:vAlign w:val="center"/>
          </w:tcPr>
          <w:p w:rsidR="007D109A" w:rsidRPr="007B6745" w:rsidP="007D109A" w14:paraId="07B751BE" w14:textId="20EF7EBC">
            <w:pPr>
              <w:pStyle w:val="RTableTextAbt"/>
            </w:pPr>
            <w:r w:rsidRPr="007B6745">
              <w:t>$0</w:t>
            </w:r>
          </w:p>
        </w:tc>
        <w:tc>
          <w:tcPr>
            <w:tcW w:w="670" w:type="pct"/>
            <w:tcBorders>
              <w:top w:val="nil"/>
              <w:left w:val="nil"/>
              <w:bottom w:val="single" w:sz="4" w:space="0" w:color="auto"/>
              <w:right w:val="single" w:sz="4" w:space="0" w:color="auto"/>
            </w:tcBorders>
            <w:noWrap/>
            <w:vAlign w:val="center"/>
          </w:tcPr>
          <w:p w:rsidR="007D109A" w:rsidRPr="007B6745" w:rsidP="007D109A" w14:paraId="1EC79FCC" w14:textId="1EDDC565">
            <w:pPr>
              <w:pStyle w:val="RTableTextAbt"/>
            </w:pPr>
            <w:r w:rsidRPr="007B6745">
              <w:t>$0</w:t>
            </w:r>
          </w:p>
        </w:tc>
        <w:tc>
          <w:tcPr>
            <w:tcW w:w="663" w:type="pct"/>
            <w:tcBorders>
              <w:top w:val="nil"/>
              <w:left w:val="nil"/>
              <w:bottom w:val="single" w:sz="4" w:space="0" w:color="auto"/>
              <w:right w:val="single" w:sz="4" w:space="0" w:color="auto"/>
            </w:tcBorders>
            <w:noWrap/>
            <w:vAlign w:val="center"/>
          </w:tcPr>
          <w:p w:rsidR="007D109A" w:rsidRPr="007B6745" w:rsidP="007D109A" w14:paraId="6B4A0A4E" w14:textId="3CEA7807">
            <w:pPr>
              <w:pStyle w:val="RTableTextAbt"/>
            </w:pPr>
            <w:r w:rsidRPr="007B6745">
              <w:t>$0</w:t>
            </w:r>
          </w:p>
        </w:tc>
      </w:tr>
      <w:tr w14:paraId="3E6F2277" w14:textId="77777777" w:rsidTr="00B05900">
        <w:tblPrEx>
          <w:tblW w:w="5000" w:type="pct"/>
          <w:tblLook w:val="04A0"/>
        </w:tblPrEx>
        <w:trPr>
          <w:trHeight w:val="20"/>
        </w:trPr>
        <w:tc>
          <w:tcPr>
            <w:tcW w:w="1213" w:type="pct"/>
            <w:tcBorders>
              <w:top w:val="nil"/>
              <w:left w:val="single" w:sz="4" w:space="0" w:color="auto"/>
              <w:bottom w:val="single" w:sz="4" w:space="0" w:color="auto"/>
              <w:right w:val="single" w:sz="4" w:space="0" w:color="auto"/>
            </w:tcBorders>
            <w:vAlign w:val="center"/>
            <w:hideMark/>
          </w:tcPr>
          <w:p w:rsidR="007B6745" w:rsidRPr="007B6745" w:rsidP="007A54EA" w14:paraId="25308364" w14:textId="77777777">
            <w:pPr>
              <w:pStyle w:val="LTableTextAbt"/>
            </w:pPr>
            <w:r w:rsidRPr="007B6745">
              <w:t>Processing into automotive paints and coatings</w:t>
            </w:r>
          </w:p>
        </w:tc>
        <w:tc>
          <w:tcPr>
            <w:tcW w:w="446" w:type="pct"/>
            <w:tcBorders>
              <w:top w:val="nil"/>
              <w:left w:val="nil"/>
              <w:bottom w:val="single" w:sz="4" w:space="0" w:color="auto"/>
              <w:right w:val="single" w:sz="4" w:space="0" w:color="auto"/>
            </w:tcBorders>
            <w:noWrap/>
            <w:vAlign w:val="center"/>
            <w:hideMark/>
          </w:tcPr>
          <w:p w:rsidR="007B6745" w:rsidRPr="007B6745" w:rsidP="002162DE" w14:paraId="512D5AA9" w14:textId="77777777">
            <w:pPr>
              <w:pStyle w:val="RTableTextAbt"/>
            </w:pPr>
            <w:r w:rsidRPr="007B6745">
              <w:t>0</w:t>
            </w:r>
          </w:p>
        </w:tc>
        <w:tc>
          <w:tcPr>
            <w:tcW w:w="644" w:type="pct"/>
            <w:tcBorders>
              <w:top w:val="nil"/>
              <w:left w:val="nil"/>
              <w:bottom w:val="single" w:sz="4" w:space="0" w:color="auto"/>
              <w:right w:val="single" w:sz="4" w:space="0" w:color="auto"/>
            </w:tcBorders>
            <w:noWrap/>
            <w:vAlign w:val="center"/>
            <w:hideMark/>
          </w:tcPr>
          <w:p w:rsidR="007B6745" w:rsidRPr="007B6745" w:rsidP="002162DE" w14:paraId="53FBDC3C" w14:textId="77777777">
            <w:pPr>
              <w:pStyle w:val="RTableTextAbt"/>
            </w:pPr>
            <w:r w:rsidRPr="007B6745">
              <w:t>$0</w:t>
            </w:r>
          </w:p>
        </w:tc>
        <w:tc>
          <w:tcPr>
            <w:tcW w:w="645" w:type="pct"/>
            <w:tcBorders>
              <w:top w:val="nil"/>
              <w:left w:val="nil"/>
              <w:bottom w:val="single" w:sz="4" w:space="0" w:color="auto"/>
              <w:right w:val="single" w:sz="4" w:space="0" w:color="auto"/>
            </w:tcBorders>
            <w:noWrap/>
            <w:vAlign w:val="center"/>
            <w:hideMark/>
          </w:tcPr>
          <w:p w:rsidR="007B6745" w:rsidRPr="007B6745" w:rsidP="002162DE" w14:paraId="003CD7A5" w14:textId="77777777">
            <w:pPr>
              <w:pStyle w:val="RTableTextAbt"/>
            </w:pPr>
            <w:r w:rsidRPr="007B6745">
              <w:t>$0</w:t>
            </w:r>
          </w:p>
        </w:tc>
        <w:tc>
          <w:tcPr>
            <w:tcW w:w="719" w:type="pct"/>
            <w:tcBorders>
              <w:top w:val="nil"/>
              <w:left w:val="nil"/>
              <w:bottom w:val="single" w:sz="4" w:space="0" w:color="auto"/>
              <w:right w:val="single" w:sz="4" w:space="0" w:color="auto"/>
            </w:tcBorders>
            <w:noWrap/>
            <w:vAlign w:val="center"/>
            <w:hideMark/>
          </w:tcPr>
          <w:p w:rsidR="007B6745" w:rsidRPr="007B6745" w:rsidP="002162DE" w14:paraId="3929935B" w14:textId="77777777">
            <w:pPr>
              <w:pStyle w:val="RTableTextAbt"/>
            </w:pPr>
            <w:r w:rsidRPr="007B6745">
              <w:t>$0</w:t>
            </w:r>
          </w:p>
        </w:tc>
        <w:tc>
          <w:tcPr>
            <w:tcW w:w="670" w:type="pct"/>
            <w:tcBorders>
              <w:top w:val="nil"/>
              <w:left w:val="nil"/>
              <w:bottom w:val="single" w:sz="4" w:space="0" w:color="auto"/>
              <w:right w:val="single" w:sz="4" w:space="0" w:color="auto"/>
            </w:tcBorders>
            <w:noWrap/>
            <w:vAlign w:val="center"/>
            <w:hideMark/>
          </w:tcPr>
          <w:p w:rsidR="007B6745" w:rsidRPr="007B6745" w:rsidP="002162DE" w14:paraId="0B06EFAB" w14:textId="77777777">
            <w:pPr>
              <w:pStyle w:val="RTableTextAbt"/>
            </w:pPr>
            <w:r w:rsidRPr="007B6745">
              <w:t>$0</w:t>
            </w:r>
          </w:p>
        </w:tc>
        <w:tc>
          <w:tcPr>
            <w:tcW w:w="663" w:type="pct"/>
            <w:tcBorders>
              <w:top w:val="nil"/>
              <w:left w:val="nil"/>
              <w:bottom w:val="single" w:sz="4" w:space="0" w:color="auto"/>
              <w:right w:val="single" w:sz="4" w:space="0" w:color="auto"/>
            </w:tcBorders>
            <w:noWrap/>
            <w:vAlign w:val="center"/>
            <w:hideMark/>
          </w:tcPr>
          <w:p w:rsidR="007B6745" w:rsidRPr="007B6745" w:rsidP="002162DE" w14:paraId="24251A50" w14:textId="77777777">
            <w:pPr>
              <w:pStyle w:val="RTableTextAbt"/>
            </w:pPr>
            <w:r w:rsidRPr="007B6745">
              <w:t>$0</w:t>
            </w:r>
          </w:p>
        </w:tc>
      </w:tr>
      <w:tr w14:paraId="1D51F5DD" w14:textId="77777777" w:rsidTr="00B05900">
        <w:tblPrEx>
          <w:tblW w:w="5000" w:type="pct"/>
          <w:tblLook w:val="04A0"/>
        </w:tblPrEx>
        <w:trPr>
          <w:trHeight w:val="20"/>
        </w:trPr>
        <w:tc>
          <w:tcPr>
            <w:tcW w:w="1213" w:type="pct"/>
            <w:tcBorders>
              <w:top w:val="nil"/>
              <w:left w:val="single" w:sz="4" w:space="0" w:color="auto"/>
              <w:bottom w:val="single" w:sz="4" w:space="0" w:color="auto"/>
              <w:right w:val="single" w:sz="4" w:space="0" w:color="auto"/>
            </w:tcBorders>
            <w:vAlign w:val="center"/>
            <w:hideMark/>
          </w:tcPr>
          <w:p w:rsidR="007B6745" w:rsidRPr="007B6745" w:rsidP="007A54EA" w14:paraId="4889F9EF" w14:textId="77777777">
            <w:pPr>
              <w:pStyle w:val="LTableTextAbt"/>
            </w:pPr>
            <w:r w:rsidRPr="007B6745">
              <w:t>Processing into plastic and rubber products</w:t>
            </w:r>
          </w:p>
        </w:tc>
        <w:tc>
          <w:tcPr>
            <w:tcW w:w="446" w:type="pct"/>
            <w:tcBorders>
              <w:top w:val="nil"/>
              <w:left w:val="nil"/>
              <w:bottom w:val="single" w:sz="4" w:space="0" w:color="auto"/>
              <w:right w:val="single" w:sz="4" w:space="0" w:color="auto"/>
            </w:tcBorders>
            <w:noWrap/>
            <w:vAlign w:val="center"/>
            <w:hideMark/>
          </w:tcPr>
          <w:p w:rsidR="007B6745" w:rsidRPr="007B6745" w:rsidP="002162DE" w14:paraId="70462355" w14:textId="77777777">
            <w:pPr>
              <w:pStyle w:val="RTableTextAbt"/>
            </w:pPr>
            <w:r w:rsidRPr="007B6745">
              <w:t>0</w:t>
            </w:r>
          </w:p>
        </w:tc>
        <w:tc>
          <w:tcPr>
            <w:tcW w:w="644" w:type="pct"/>
            <w:tcBorders>
              <w:top w:val="nil"/>
              <w:left w:val="nil"/>
              <w:bottom w:val="single" w:sz="4" w:space="0" w:color="auto"/>
              <w:right w:val="single" w:sz="4" w:space="0" w:color="auto"/>
            </w:tcBorders>
            <w:noWrap/>
            <w:vAlign w:val="center"/>
            <w:hideMark/>
          </w:tcPr>
          <w:p w:rsidR="007B6745" w:rsidRPr="007B6745" w:rsidP="002162DE" w14:paraId="4DC66818" w14:textId="77777777">
            <w:pPr>
              <w:pStyle w:val="RTableTextAbt"/>
            </w:pPr>
            <w:r w:rsidRPr="007B6745">
              <w:t>$0</w:t>
            </w:r>
          </w:p>
        </w:tc>
        <w:tc>
          <w:tcPr>
            <w:tcW w:w="645" w:type="pct"/>
            <w:tcBorders>
              <w:top w:val="nil"/>
              <w:left w:val="nil"/>
              <w:bottom w:val="single" w:sz="4" w:space="0" w:color="auto"/>
              <w:right w:val="single" w:sz="4" w:space="0" w:color="auto"/>
            </w:tcBorders>
            <w:noWrap/>
            <w:vAlign w:val="center"/>
            <w:hideMark/>
          </w:tcPr>
          <w:p w:rsidR="007B6745" w:rsidRPr="007B6745" w:rsidP="002162DE" w14:paraId="4F943011" w14:textId="77777777">
            <w:pPr>
              <w:pStyle w:val="RTableTextAbt"/>
            </w:pPr>
            <w:r w:rsidRPr="007B6745">
              <w:t>$0</w:t>
            </w:r>
          </w:p>
        </w:tc>
        <w:tc>
          <w:tcPr>
            <w:tcW w:w="719" w:type="pct"/>
            <w:tcBorders>
              <w:top w:val="nil"/>
              <w:left w:val="nil"/>
              <w:bottom w:val="single" w:sz="4" w:space="0" w:color="auto"/>
              <w:right w:val="single" w:sz="4" w:space="0" w:color="auto"/>
            </w:tcBorders>
            <w:noWrap/>
            <w:vAlign w:val="center"/>
            <w:hideMark/>
          </w:tcPr>
          <w:p w:rsidR="007B6745" w:rsidRPr="007B6745" w:rsidP="002162DE" w14:paraId="0304E3BB" w14:textId="77777777">
            <w:pPr>
              <w:pStyle w:val="RTableTextAbt"/>
            </w:pPr>
            <w:r w:rsidRPr="007B6745">
              <w:t>$0</w:t>
            </w:r>
          </w:p>
        </w:tc>
        <w:tc>
          <w:tcPr>
            <w:tcW w:w="670" w:type="pct"/>
            <w:tcBorders>
              <w:top w:val="nil"/>
              <w:left w:val="nil"/>
              <w:bottom w:val="single" w:sz="4" w:space="0" w:color="auto"/>
              <w:right w:val="single" w:sz="4" w:space="0" w:color="auto"/>
            </w:tcBorders>
            <w:noWrap/>
            <w:vAlign w:val="center"/>
            <w:hideMark/>
          </w:tcPr>
          <w:p w:rsidR="007B6745" w:rsidRPr="007B6745" w:rsidP="002162DE" w14:paraId="6DA13175" w14:textId="77777777">
            <w:pPr>
              <w:pStyle w:val="RTableTextAbt"/>
            </w:pPr>
            <w:r w:rsidRPr="007B6745">
              <w:t>$0</w:t>
            </w:r>
          </w:p>
        </w:tc>
        <w:tc>
          <w:tcPr>
            <w:tcW w:w="663" w:type="pct"/>
            <w:tcBorders>
              <w:top w:val="nil"/>
              <w:left w:val="nil"/>
              <w:bottom w:val="single" w:sz="4" w:space="0" w:color="auto"/>
              <w:right w:val="single" w:sz="4" w:space="0" w:color="auto"/>
            </w:tcBorders>
            <w:noWrap/>
            <w:vAlign w:val="center"/>
            <w:hideMark/>
          </w:tcPr>
          <w:p w:rsidR="007B6745" w:rsidRPr="007B6745" w:rsidP="002162DE" w14:paraId="5BF33C02" w14:textId="77777777">
            <w:pPr>
              <w:pStyle w:val="RTableTextAbt"/>
            </w:pPr>
            <w:r w:rsidRPr="007B6745">
              <w:t>$0</w:t>
            </w:r>
          </w:p>
        </w:tc>
      </w:tr>
      <w:tr w14:paraId="5F056BA0" w14:textId="77777777" w:rsidTr="00B05900">
        <w:tblPrEx>
          <w:tblW w:w="5000" w:type="pct"/>
          <w:tblLook w:val="04A0"/>
        </w:tblPrEx>
        <w:trPr>
          <w:trHeight w:val="20"/>
        </w:trPr>
        <w:tc>
          <w:tcPr>
            <w:tcW w:w="1213" w:type="pct"/>
            <w:tcBorders>
              <w:top w:val="nil"/>
              <w:left w:val="single" w:sz="4" w:space="0" w:color="auto"/>
              <w:bottom w:val="single" w:sz="4" w:space="0" w:color="auto"/>
              <w:right w:val="single" w:sz="4" w:space="0" w:color="auto"/>
            </w:tcBorders>
            <w:vAlign w:val="center"/>
            <w:hideMark/>
          </w:tcPr>
          <w:p w:rsidR="007B6745" w:rsidRPr="007B6745" w:rsidP="007A54EA" w14:paraId="6C51F0A8" w14:textId="77777777">
            <w:pPr>
              <w:pStyle w:val="LTableTextAbt"/>
              <w:rPr>
                <w:b/>
              </w:rPr>
            </w:pPr>
            <w:r w:rsidRPr="007B6745">
              <w:rPr>
                <w:b/>
              </w:rPr>
              <w:t>Total</w:t>
            </w:r>
          </w:p>
        </w:tc>
        <w:tc>
          <w:tcPr>
            <w:tcW w:w="446" w:type="pct"/>
            <w:tcBorders>
              <w:top w:val="nil"/>
              <w:left w:val="nil"/>
              <w:bottom w:val="single" w:sz="4" w:space="0" w:color="auto"/>
              <w:right w:val="single" w:sz="4" w:space="0" w:color="auto"/>
            </w:tcBorders>
            <w:noWrap/>
            <w:vAlign w:val="center"/>
            <w:hideMark/>
          </w:tcPr>
          <w:p w:rsidR="007B6745" w:rsidRPr="007B6745" w:rsidP="002162DE" w14:paraId="1E8A40EA" w14:textId="77777777">
            <w:pPr>
              <w:pStyle w:val="RTableTextAbt"/>
              <w:rPr>
                <w:b/>
              </w:rPr>
            </w:pPr>
            <w:r w:rsidRPr="007B6745">
              <w:rPr>
                <w:b/>
              </w:rPr>
              <w:t>1</w:t>
            </w:r>
          </w:p>
        </w:tc>
        <w:tc>
          <w:tcPr>
            <w:tcW w:w="644" w:type="pct"/>
            <w:tcBorders>
              <w:top w:val="nil"/>
              <w:left w:val="nil"/>
              <w:bottom w:val="single" w:sz="4" w:space="0" w:color="auto"/>
              <w:right w:val="single" w:sz="4" w:space="0" w:color="auto"/>
            </w:tcBorders>
            <w:noWrap/>
            <w:vAlign w:val="center"/>
            <w:hideMark/>
          </w:tcPr>
          <w:p w:rsidR="007B6745" w:rsidRPr="007B6745" w:rsidP="002162DE" w14:paraId="38E9096E" w14:textId="77777777">
            <w:pPr>
              <w:pStyle w:val="RTableTextAbt"/>
              <w:rPr>
                <w:b/>
              </w:rPr>
            </w:pPr>
            <w:r w:rsidRPr="007B6745">
              <w:rPr>
                <w:b/>
              </w:rPr>
              <w:t>$900</w:t>
            </w:r>
          </w:p>
        </w:tc>
        <w:tc>
          <w:tcPr>
            <w:tcW w:w="645" w:type="pct"/>
            <w:tcBorders>
              <w:top w:val="nil"/>
              <w:left w:val="nil"/>
              <w:bottom w:val="single" w:sz="4" w:space="0" w:color="auto"/>
              <w:right w:val="single" w:sz="4" w:space="0" w:color="auto"/>
            </w:tcBorders>
            <w:noWrap/>
            <w:vAlign w:val="center"/>
            <w:hideMark/>
          </w:tcPr>
          <w:p w:rsidR="007B6745" w:rsidRPr="007B6745" w:rsidP="002162DE" w14:paraId="5F1B922E" w14:textId="77777777">
            <w:pPr>
              <w:pStyle w:val="RTableTextAbt"/>
              <w:rPr>
                <w:b/>
              </w:rPr>
            </w:pPr>
            <w:r w:rsidRPr="007B6745">
              <w:rPr>
                <w:b/>
              </w:rPr>
              <w:t>$1,030</w:t>
            </w:r>
          </w:p>
        </w:tc>
        <w:tc>
          <w:tcPr>
            <w:tcW w:w="719" w:type="pct"/>
            <w:tcBorders>
              <w:top w:val="nil"/>
              <w:left w:val="nil"/>
              <w:bottom w:val="single" w:sz="4" w:space="0" w:color="auto"/>
              <w:right w:val="single" w:sz="4" w:space="0" w:color="auto"/>
            </w:tcBorders>
            <w:noWrap/>
            <w:vAlign w:val="center"/>
            <w:hideMark/>
          </w:tcPr>
          <w:p w:rsidR="007B6745" w:rsidRPr="007B6745" w:rsidP="002162DE" w14:paraId="3FC3EB04" w14:textId="77777777">
            <w:pPr>
              <w:pStyle w:val="RTableTextAbt"/>
              <w:rPr>
                <w:b/>
              </w:rPr>
            </w:pPr>
            <w:r w:rsidRPr="007B6745">
              <w:rPr>
                <w:b/>
              </w:rPr>
              <w:t>$186</w:t>
            </w:r>
          </w:p>
        </w:tc>
        <w:tc>
          <w:tcPr>
            <w:tcW w:w="670" w:type="pct"/>
            <w:tcBorders>
              <w:top w:val="nil"/>
              <w:left w:val="nil"/>
              <w:bottom w:val="single" w:sz="4" w:space="0" w:color="auto"/>
              <w:right w:val="single" w:sz="4" w:space="0" w:color="auto"/>
            </w:tcBorders>
            <w:noWrap/>
            <w:vAlign w:val="center"/>
            <w:hideMark/>
          </w:tcPr>
          <w:p w:rsidR="007B6745" w:rsidRPr="007B6745" w:rsidP="002162DE" w14:paraId="5A1BDF67" w14:textId="77777777">
            <w:pPr>
              <w:pStyle w:val="RTableTextAbt"/>
              <w:rPr>
                <w:b/>
              </w:rPr>
            </w:pPr>
            <w:r w:rsidRPr="007B6745">
              <w:rPr>
                <w:b/>
              </w:rPr>
              <w:t>$1,086</w:t>
            </w:r>
          </w:p>
        </w:tc>
        <w:tc>
          <w:tcPr>
            <w:tcW w:w="663" w:type="pct"/>
            <w:tcBorders>
              <w:top w:val="nil"/>
              <w:left w:val="nil"/>
              <w:bottom w:val="single" w:sz="4" w:space="0" w:color="auto"/>
              <w:right w:val="single" w:sz="4" w:space="0" w:color="auto"/>
            </w:tcBorders>
            <w:noWrap/>
            <w:vAlign w:val="center"/>
            <w:hideMark/>
          </w:tcPr>
          <w:p w:rsidR="007B6745" w:rsidRPr="007B6745" w:rsidP="002162DE" w14:paraId="7A566248" w14:textId="77777777">
            <w:pPr>
              <w:pStyle w:val="RTableTextAbt"/>
              <w:rPr>
                <w:b/>
              </w:rPr>
            </w:pPr>
            <w:r w:rsidRPr="007B6745">
              <w:rPr>
                <w:b/>
              </w:rPr>
              <w:t>$1,216</w:t>
            </w:r>
          </w:p>
        </w:tc>
      </w:tr>
      <w:tr w14:paraId="3B939C57" w14:textId="77777777" w:rsidTr="007B6745">
        <w:tblPrEx>
          <w:tblW w:w="5000" w:type="pct"/>
          <w:tblLook w:val="04A0"/>
        </w:tblPrEx>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7B6745" w:rsidRPr="007B6745" w:rsidP="002162DE" w14:paraId="6DFEC28C" w14:textId="77777777">
            <w:pPr>
              <w:pStyle w:val="TableNote0"/>
            </w:pPr>
            <w:r w:rsidRPr="007B6745">
              <w:t>SKU = stock keeping units</w:t>
            </w:r>
          </w:p>
          <w:p w:rsidR="007B6745" w:rsidRPr="007B6745" w:rsidP="002162DE" w14:paraId="617A6480" w14:textId="3691162E">
            <w:pPr>
              <w:pStyle w:val="TableNote0"/>
            </w:pPr>
            <w:r w:rsidRPr="007B6745">
              <w:t>a. Based on per-SKU labeling costs of $900 to $1,030 (</w:t>
            </w:r>
            <w:r w:rsidRPr="007B6745">
              <w:fldChar w:fldCharType="begin" w:fldLock="1"/>
            </w:r>
            <w:r w:rsidRPr="007B6745">
              <w:instrText>REF _Ref80289508</w:instrText>
            </w:r>
            <w:r w:rsidR="002162DE">
              <w:instrText xml:space="preserve"> \* MERGEFORMAT </w:instrText>
            </w:r>
            <w:r w:rsidRPr="007B6745">
              <w:fldChar w:fldCharType="separate"/>
            </w:r>
            <w:r w:rsidRPr="007B6745" w:rsidR="00735BBC">
              <w:t xml:space="preserve">Table </w:t>
            </w:r>
            <w:r w:rsidR="00735BBC">
              <w:t>4</w:t>
            </w:r>
            <w:r w:rsidR="00735BBC">
              <w:noBreakHyphen/>
              <w:t>19</w:t>
            </w:r>
            <w:r w:rsidRPr="007B6745">
              <w:fldChar w:fldCharType="end"/>
            </w:r>
            <w:r w:rsidRPr="007B6745">
              <w:t>).</w:t>
            </w:r>
          </w:p>
          <w:p w:rsidR="007B6745" w:rsidRPr="007B6745" w:rsidP="002162DE" w14:paraId="2F6E7537" w14:textId="77777777">
            <w:pPr>
              <w:pStyle w:val="TableNote0"/>
            </w:pPr>
            <w:r w:rsidRPr="007B6745">
              <w:t>b. Based on 2 managerial hours in the manufacturing sector.</w:t>
            </w:r>
          </w:p>
        </w:tc>
      </w:tr>
    </w:tbl>
    <w:p w:rsidR="007B6745" w:rsidRPr="007B6745" w:rsidP="00832749" w14:paraId="28E19BE2" w14:textId="77777777">
      <w:pPr>
        <w:pStyle w:val="BodyText"/>
      </w:pPr>
    </w:p>
    <w:p w:rsidR="007B6745" w:rsidRPr="007B6745" w:rsidP="00832749" w14:paraId="7226049D" w14:textId="77777777">
      <w:pPr>
        <w:pStyle w:val="Heading3"/>
      </w:pPr>
      <w:bookmarkStart w:id="231" w:name="_Ref177575852"/>
      <w:bookmarkStart w:id="232" w:name="_Toc179234330"/>
      <w:r w:rsidRPr="007B6745">
        <w:t>Monitoring</w:t>
      </w:r>
      <w:bookmarkEnd w:id="231"/>
      <w:bookmarkEnd w:id="232"/>
    </w:p>
    <w:p w:rsidR="007B6745" w:rsidRPr="007B6745" w:rsidP="00832749" w14:paraId="378C013C" w14:textId="3A8B4E5C">
      <w:pPr>
        <w:pStyle w:val="BodyText"/>
      </w:pPr>
      <w:r w:rsidRPr="47F4D8F7">
        <w:rPr>
          <w:lang w:val="en-US"/>
        </w:rPr>
        <w:t>Under the alternative option, facilities that handle regulated PV29 would be required to conduct monitoring using the NIOSH 0600 method for respirable dust. For facilities that have a baseline concentration above the NIOSH 0600 limit of detection (LOD), the monitoring is required at least once every three months. For facilities with a baseline concentration below the LOD, monitoring is required at least once every 6 months All facilities will also be required to conduct new baseline monitoring whenever they have changes to production equipment or procedures or any major disruptions. Available monitoring data (see Section</w:t>
      </w:r>
      <w:r w:rsidR="003E3B75">
        <w:rPr>
          <w:lang w:val="en-US"/>
        </w:rPr>
        <w:t xml:space="preserve"> </w:t>
      </w:r>
      <w:r w:rsidR="003E3B75">
        <w:rPr>
          <w:highlight w:val="yellow"/>
          <w:lang w:val="en-US"/>
        </w:rPr>
        <w:fldChar w:fldCharType="begin" w:fldLock="1"/>
      </w:r>
      <w:r w:rsidR="003E3B75">
        <w:rPr>
          <w:lang w:val="en-US"/>
        </w:rPr>
        <w:instrText xml:space="preserve"> REF _Ref181104651 \r \h </w:instrText>
      </w:r>
      <w:r w:rsidR="003E3B75">
        <w:rPr>
          <w:highlight w:val="yellow"/>
          <w:lang w:val="en-US"/>
        </w:rPr>
        <w:fldChar w:fldCharType="separate"/>
      </w:r>
      <w:r w:rsidR="00735BBC">
        <w:rPr>
          <w:lang w:val="en-US"/>
        </w:rPr>
        <w:t>3.2</w:t>
      </w:r>
      <w:r w:rsidR="003E3B75">
        <w:rPr>
          <w:highlight w:val="yellow"/>
          <w:lang w:val="en-US"/>
        </w:rPr>
        <w:fldChar w:fldCharType="end"/>
      </w:r>
      <w:r w:rsidRPr="47F4D8F7">
        <w:rPr>
          <w:lang w:val="en-US"/>
        </w:rPr>
        <w:t>) indicate that existing concentrations at the PV29 manufacturing facility are currently below the NIOSH 0600 LOD of 0.5 mg/m</w:t>
      </w:r>
      <w:r w:rsidRPr="00005413" w:rsidR="00005413">
        <w:rPr>
          <w:rStyle w:val="TableTextChar"/>
          <w:rFonts w:ascii="Times New Roman" w:hAnsi="Times New Roman" w:eastAsiaTheme="minorEastAsia"/>
          <w:vertAlign w:val="superscript"/>
          <w:lang w:val="en-US"/>
        </w:rPr>
        <w:t>3</w:t>
      </w:r>
      <w:r w:rsidRPr="47F4D8F7">
        <w:rPr>
          <w:lang w:val="en-US"/>
        </w:rPr>
        <w:t xml:space="preserve">. As such, EPA assumes that all 21 facilities that manufacture or handle regulated PV29 will be </w:t>
      </w:r>
      <w:r w:rsidRPr="47F4D8F7" w:rsidR="005A7F2F">
        <w:rPr>
          <w:lang w:val="en-US"/>
        </w:rPr>
        <w:t>require</w:t>
      </w:r>
      <w:r w:rsidR="005A7F2F">
        <w:rPr>
          <w:lang w:val="en-US"/>
        </w:rPr>
        <w:t>d</w:t>
      </w:r>
      <w:r w:rsidRPr="47F4D8F7" w:rsidR="005A7F2F">
        <w:rPr>
          <w:lang w:val="en-US"/>
        </w:rPr>
        <w:t xml:space="preserve"> </w:t>
      </w:r>
      <w:r w:rsidRPr="47F4D8F7">
        <w:rPr>
          <w:lang w:val="en-US"/>
        </w:rPr>
        <w:t xml:space="preserve">to conduct monitoring every six months, or twice per year, based on </w:t>
      </w:r>
      <w:r w:rsidR="005A7F2F">
        <w:rPr>
          <w:lang w:val="en-US"/>
        </w:rPr>
        <w:t>estimated baseline concentrations</w:t>
      </w:r>
      <w:r w:rsidRPr="47F4D8F7">
        <w:rPr>
          <w:lang w:val="en-US"/>
        </w:rPr>
        <w:t xml:space="preserve">. </w:t>
      </w:r>
    </w:p>
    <w:p w:rsidR="007B6745" w:rsidRPr="007B6745" w:rsidP="00832749" w14:paraId="11181A90" w14:textId="668DF7CF">
      <w:pPr>
        <w:pStyle w:val="BodyText"/>
      </w:pPr>
      <w:r w:rsidRPr="007B6745">
        <w:t xml:space="preserve">To estimate the costs associated with each monitoring event, EPA used available information about equipment, media, and laboratory analysis costs together with assumptions around sampling labor from the economic analysis of the 2023 proposed regulation of carbon tetrachloride. In support of that regulation, the industrial hygiene firm Environmental Health &amp; Engineering </w:t>
      </w:r>
      <w:r w:rsidR="00BB611E">
        <w:t>(</w:t>
      </w:r>
      <w:hyperlink w:anchor="_ENREF_19" w:tooltip="Environmental Health &amp; Engineering, 2023 #19" w:history="1">
        <w:r w:rsidR="003D6084">
          <w:fldChar w:fldCharType="begin" w:fldLock="1"/>
        </w:r>
        <w:r w:rsidR="003D6084">
          <w:instrText xml:space="preserve"> ADDIN EN.CITE &lt;EndNote&gt;&lt;Cite&gt;&lt;Author&gt;Environmental Health &amp;amp; Engineering&lt;/Author&gt;&lt;Year&gt;2023&lt;/Year&gt;&lt;RecNum&gt;19&lt;/RecNum&gt;&lt;DisplayText&gt;Environmental Health &amp;amp; Engineering 2023&lt;/DisplayText&gt;&lt;record&gt;&lt;rec-number&gt;19&lt;/rec-number&gt;&lt;foreign-keys&gt;&lt;key app="EN" db-id="2apzr05radv9fjet2w6xxwdlz5e9vwfxredw" timestamp="1730757315"&gt;19&lt;/key&gt;&lt;/foreign-keys&gt;&lt;ref-type name="Generic"&gt;13&lt;/ref-type&gt;&lt;contributors&gt;&lt;authors&gt;&lt;author&gt;Environmental Health &amp;amp; Engineering,&lt;/author&gt;&lt;/authors&gt;&lt;/contributors&gt;&lt;titles&gt;&lt;title&gt;Cost Estimate for Industrial Hygiene Exposure Assessment for Carbon Tetrachloride (EH&amp;amp;E 25763)&lt;/title&gt;&lt;/titles&gt;&lt;dates&gt;&lt;year&gt;2023&lt;/year&gt;&lt;/dates&gt;&lt;urls&gt;&lt;/urls&gt;&lt;/record&gt;&lt;/Cite&gt;&lt;/EndNote&gt;</w:instrText>
        </w:r>
        <w:r w:rsidR="003D6084">
          <w:fldChar w:fldCharType="separate"/>
        </w:r>
        <w:r w:rsidR="003D6084">
          <w:rPr>
            <w:noProof/>
          </w:rPr>
          <w:t>Environmental Health &amp; Engineering 2023</w:t>
        </w:r>
        <w:r w:rsidR="003D6084">
          <w:fldChar w:fldCharType="end"/>
        </w:r>
      </w:hyperlink>
      <w:r w:rsidR="00BB611E">
        <w:t>)</w:t>
      </w:r>
      <w:r w:rsidRPr="007B6745">
        <w:t xml:space="preserve"> estimated that one exposure monitoring event at a complex worksite of 20 employees would entail 6 hours of labor by an outside certified industrial hygienist (CIH) at a cost of $190 per hour and 36 hours of labor by outside technical specialists at a cost of $90 per hour.</w:t>
      </w:r>
    </w:p>
    <w:p w:rsidR="007B6745" w:rsidRPr="007B6745" w:rsidP="00832749" w14:paraId="64BFCFE4" w14:textId="77777777">
      <w:pPr>
        <w:pStyle w:val="BodyText"/>
      </w:pPr>
      <w:r w:rsidRPr="007B6745">
        <w:t xml:space="preserve">In addition to these labor costs, each monitoring event entails material and analytical costs. The NIOSH 0600 test protocol includes the following materials list: </w:t>
      </w:r>
    </w:p>
    <w:p w:rsidR="007B6745" w:rsidRPr="007B6745" w:rsidP="003D05A3" w14:paraId="2D9745E8" w14:textId="77777777">
      <w:pPr>
        <w:pStyle w:val="BodyText"/>
        <w:numPr>
          <w:ilvl w:val="0"/>
          <w:numId w:val="41"/>
        </w:numPr>
      </w:pPr>
      <w:r w:rsidRPr="007B6745">
        <w:t>Sampler</w:t>
      </w:r>
    </w:p>
    <w:p w:rsidR="007B6745" w:rsidRPr="007B6745" w:rsidP="00134115" w14:paraId="1F619439" w14:textId="77777777">
      <w:pPr>
        <w:pStyle w:val="BodyText"/>
        <w:numPr>
          <w:ilvl w:val="1"/>
          <w:numId w:val="41"/>
        </w:numPr>
      </w:pPr>
      <w:r w:rsidRPr="007B6745">
        <w:t xml:space="preserve">Filter: 5.0-µm pore size, polyvinyl chloride filter or equivalent hydrophobic membrane filter supported by a cassette filter holder (preferably conductive). </w:t>
      </w:r>
    </w:p>
    <w:p w:rsidR="007B6745" w:rsidRPr="007B6745" w:rsidP="00134115" w14:paraId="7D80185C" w14:textId="77777777">
      <w:pPr>
        <w:pStyle w:val="BodyText"/>
        <w:numPr>
          <w:ilvl w:val="1"/>
          <w:numId w:val="41"/>
        </w:numPr>
      </w:pPr>
      <w:r w:rsidRPr="007B6745">
        <w:t>Cyclone: 10-mm nylon, Higgins-Dewell, aluminum cyclone, or equivalent.</w:t>
      </w:r>
    </w:p>
    <w:p w:rsidR="007B6745" w:rsidRPr="007B6745" w:rsidP="003D05A3" w14:paraId="36337077" w14:textId="77777777">
      <w:pPr>
        <w:pStyle w:val="BodyText"/>
        <w:numPr>
          <w:ilvl w:val="0"/>
          <w:numId w:val="41"/>
        </w:numPr>
      </w:pPr>
      <w:r w:rsidRPr="007B6745">
        <w:t xml:space="preserve">Personal sampling pump, 1.7 L/min ± 5% for nylon cyclone, 2.2 L/min ± 5% for HD cyclone, or 2.5 L/min ± 5% for the Al cyclone with flexible connecting tubing. </w:t>
      </w:r>
    </w:p>
    <w:p w:rsidR="007B6745" w:rsidRPr="007B6745" w:rsidP="003D05A3" w14:paraId="6E6E668F" w14:textId="77777777">
      <w:pPr>
        <w:pStyle w:val="BodyText"/>
        <w:numPr>
          <w:ilvl w:val="0"/>
          <w:numId w:val="41"/>
        </w:numPr>
      </w:pPr>
      <w:r w:rsidRPr="007B6745">
        <w:t xml:space="preserve">Balance, analytical, with sensitivity of 0.001 mg. </w:t>
      </w:r>
    </w:p>
    <w:p w:rsidR="007B6745" w:rsidRPr="007B6745" w:rsidP="003D05A3" w14:paraId="1C617A48" w14:textId="77777777">
      <w:pPr>
        <w:pStyle w:val="BodyText"/>
        <w:numPr>
          <w:ilvl w:val="0"/>
          <w:numId w:val="41"/>
        </w:numPr>
      </w:pPr>
      <w:r w:rsidRPr="007B6745">
        <w:t xml:space="preserve">Weights, NIST Class S-1.1, or ASTM Class 1. </w:t>
      </w:r>
    </w:p>
    <w:p w:rsidR="007B6745" w:rsidRPr="007B6745" w:rsidP="003D05A3" w14:paraId="629CD939" w14:textId="77777777">
      <w:pPr>
        <w:pStyle w:val="BodyText"/>
        <w:numPr>
          <w:ilvl w:val="0"/>
          <w:numId w:val="41"/>
        </w:numPr>
      </w:pPr>
      <w:r w:rsidRPr="007B6745">
        <w:t xml:space="preserve">Static neutralizer, e.g., Po-210; replace nine months after the production date. </w:t>
      </w:r>
    </w:p>
    <w:p w:rsidR="007B6745" w:rsidRPr="007B6745" w:rsidP="003D05A3" w14:paraId="36463AF8" w14:textId="77777777">
      <w:pPr>
        <w:pStyle w:val="BodyText"/>
        <w:numPr>
          <w:ilvl w:val="0"/>
          <w:numId w:val="41"/>
        </w:numPr>
      </w:pPr>
      <w:r w:rsidRPr="007B6745">
        <w:t xml:space="preserve">Forceps (preferably nylon). </w:t>
      </w:r>
    </w:p>
    <w:p w:rsidR="007B6745" w:rsidRPr="007B6745" w:rsidP="003D05A3" w14:paraId="3F511F13" w14:textId="77777777">
      <w:pPr>
        <w:pStyle w:val="BodyText"/>
        <w:numPr>
          <w:ilvl w:val="0"/>
          <w:numId w:val="41"/>
        </w:numPr>
        <w:rPr>
          <w:lang w:val="en-US"/>
        </w:rPr>
      </w:pPr>
      <w:r w:rsidRPr="4BA86F39">
        <w:rPr>
          <w:lang w:val="en-US"/>
        </w:rPr>
        <w:t>Environmental chamber or room for balance, e.g., 20 °C ± 1 °C and 50% ± 5% RH.”</w:t>
      </w:r>
      <w:r>
        <w:rPr>
          <w:vertAlign w:val="superscript"/>
          <w:lang w:val="en-US"/>
        </w:rPr>
        <w:footnoteReference w:id="18"/>
      </w:r>
    </w:p>
    <w:p w:rsidR="007B6745" w:rsidRPr="007B6745" w:rsidP="00832749" w14:paraId="2621F3B8" w14:textId="2C53154B">
      <w:pPr>
        <w:pStyle w:val="BodyText"/>
      </w:pPr>
      <w:r w:rsidRPr="0E4AE1FD">
        <w:rPr>
          <w:lang w:val="en-US"/>
        </w:rPr>
        <w:t xml:space="preserve">EPA assumes that the contracted CIH firm would provide laboratory equipment including the cyclone, sampling pump, balance, weights, forceps, and environmental chamber. For the single-use sampling media (filter and filter cassette), EPA used available cost data as summarized in </w:t>
      </w:r>
      <w:r>
        <w:fldChar w:fldCharType="begin" w:fldLock="1"/>
      </w:r>
      <w:r>
        <w:instrText xml:space="preserve"> REF _Ref180057163  \* MERGEFORMAT </w:instrText>
      </w:r>
      <w:r>
        <w:fldChar w:fldCharType="separate"/>
      </w:r>
      <w:r w:rsidRPr="00735BBC" w:rsidR="00735BBC">
        <w:rPr>
          <w:lang w:val="en-US"/>
        </w:rPr>
        <w:t>Table 4</w:t>
      </w:r>
      <w:r w:rsidRPr="00735BBC" w:rsidR="00735BBC">
        <w:rPr>
          <w:lang w:val="en-US"/>
        </w:rPr>
        <w:noBreakHyphen/>
        <w:t>21</w:t>
      </w:r>
      <w:r w:rsidRPr="00735BBC" w:rsidR="00735BBC">
        <w:rPr>
          <w:lang w:val="en-US"/>
        </w:rPr>
        <w:fldChar w:fldCharType="end"/>
      </w:r>
      <w:r w:rsidRPr="0E4AE1FD">
        <w:rPr>
          <w:lang w:val="en-US"/>
        </w:rPr>
        <w:t>, calculating a per-sample unit cost of $4. Additionally, EPA assumed that facilities may incur the costs associated with the static neutralizer given that it must be replaced after nine months.</w:t>
      </w:r>
      <w:r w:rsidRPr="0E4AE1FD" w:rsidR="33109BA7">
        <w:rPr>
          <w:lang w:val="en-US"/>
        </w:rPr>
        <w:t xml:space="preserve"> </w:t>
      </w:r>
      <w:r w:rsidRPr="0E4AE1FD">
        <w:rPr>
          <w:lang w:val="en-US"/>
        </w:rPr>
        <w:t xml:space="preserve">Available cost data </w:t>
      </w:r>
      <w:r w:rsidRPr="0E4AE1FD" w:rsidR="68E5D7C4">
        <w:rPr>
          <w:lang w:val="en-US"/>
        </w:rPr>
        <w:t>suggests</w:t>
      </w:r>
      <w:r w:rsidRPr="0E4AE1FD">
        <w:rPr>
          <w:lang w:val="en-US"/>
        </w:rPr>
        <w:t xml:space="preserve"> a cost of $256 for this sampling equipment </w:t>
      </w:r>
      <w:r w:rsidRPr="0E4AE1FD" w:rsidR="53A05C6B">
        <w:rPr>
          <w:lang w:val="en-US"/>
        </w:rPr>
        <w:t>(</w:t>
      </w:r>
      <w:hyperlink w:anchor="_ENREF_43" w:tooltip="Sterlitech, 2024 #43" w:history="1">
        <w:r w:rsidR="003D6084">
          <w:fldChar w:fldCharType="begin" w:fldLock="1"/>
        </w:r>
        <w:r w:rsidR="003D6084">
          <w:instrText xml:space="preserve"> ADDIN EN.CITE &lt;EndNote&gt;&lt;Cite&gt;&lt;Author&gt;Sterlitech&lt;/Author&gt;&lt;Year&gt;2024&lt;/Year&gt;&lt;RecNum&gt;43&lt;/RecNum&gt;&lt;DisplayText&gt;Sterlitech 2024&lt;/DisplayText&gt;&lt;record&gt;&lt;rec-number&gt;43&lt;/rec-number&gt;&lt;foreign-keys&gt;&lt;key app="EN" db-id="2apzr05radv9fjet2w6xxwdlz5e9vwfxredw" timestamp="1730757315"&gt;43&lt;/key&gt;&lt;/foreign-keys&gt;&lt;ref-type name="Web Page"&gt;12&lt;/ref-type&gt;&lt;contributors&gt;&lt;authors&gt;&lt;author&gt;Sterlitech,&lt;/author&gt;&lt;/authors&gt;&lt;/contributors&gt;&lt;titles&gt;&lt;title&gt;Polonium 210 Static Eliminator&lt;/title&gt;&lt;/titles&gt;&lt;volume&gt;2024&lt;/volume&gt;&lt;number&gt;10/8&lt;/number&gt;&lt;dates&gt;&lt;year&gt;2024&lt;/year&gt;&lt;/dates&gt;&lt;urls&gt;&lt;related-urls&gt;&lt;url&gt;https://www.sterlitech.com/static-eliminator-static.html&lt;/url&gt;&lt;/related-urls&gt;&lt;/urls&gt;&lt;/record&gt;&lt;/Cite&gt;&lt;/EndNote&gt;</w:instrText>
        </w:r>
        <w:r w:rsidR="003D6084">
          <w:fldChar w:fldCharType="separate"/>
        </w:r>
        <w:r w:rsidRPr="0E4AE1FD" w:rsidR="003D6084">
          <w:rPr>
            <w:noProof/>
          </w:rPr>
          <w:t>Sterlitech 2024</w:t>
        </w:r>
        <w:r w:rsidR="003D6084">
          <w:fldChar w:fldCharType="end"/>
        </w:r>
      </w:hyperlink>
      <w:r w:rsidRPr="0E4AE1FD" w:rsidR="53A05C6B">
        <w:rPr>
          <w:lang w:val="en-US"/>
        </w:rPr>
        <w:t>)</w:t>
      </w:r>
      <w:r w:rsidRPr="0E4AE1FD">
        <w:rPr>
          <w:lang w:val="en-US"/>
        </w:rPr>
        <w:t>, which EPA assumes will be incurred on a per-event basis.</w:t>
      </w:r>
    </w:p>
    <w:p w:rsidR="007B6745" w:rsidRPr="007B6745" w:rsidP="00832749" w14:paraId="7F8FAF2F" w14:textId="70B4EFD0">
      <w:pPr>
        <w:pStyle w:val="BodyText"/>
      </w:pPr>
    </w:p>
    <w:tbl>
      <w:tblPr>
        <w:tblW w:w="5000" w:type="pct"/>
        <w:tblLook w:val="04A0"/>
      </w:tblPr>
      <w:tblGrid>
        <w:gridCol w:w="1586"/>
        <w:gridCol w:w="1252"/>
        <w:gridCol w:w="1421"/>
        <w:gridCol w:w="1675"/>
        <w:gridCol w:w="3426"/>
      </w:tblGrid>
      <w:tr w14:paraId="022408C3" w14:textId="77777777" w:rsidTr="00F1711F">
        <w:tblPrEx>
          <w:tblW w:w="5000" w:type="pct"/>
          <w:tblLook w:val="04A0"/>
        </w:tblPrEx>
        <w:trPr>
          <w:trHeight w:val="300"/>
        </w:trPr>
        <w:tc>
          <w:tcPr>
            <w:tcW w:w="5000" w:type="pct"/>
            <w:gridSpan w:val="5"/>
            <w:tcBorders>
              <w:bottom w:val="single" w:sz="4" w:space="0" w:color="auto"/>
            </w:tcBorders>
            <w:shd w:val="clear" w:color="auto" w:fill="auto"/>
            <w:vAlign w:val="center"/>
          </w:tcPr>
          <w:p w:rsidR="00F1711F" w:rsidRPr="00B64B39" w:rsidP="00B64B39" w14:paraId="6E63B502" w14:textId="2B0EA7F9">
            <w:pPr>
              <w:pStyle w:val="TableTitleA"/>
            </w:pPr>
            <w:bookmarkStart w:id="233" w:name="_Ref180057163"/>
            <w:bookmarkStart w:id="234" w:name="_Toc184299577"/>
            <w:r w:rsidRPr="007B6745">
              <w:t xml:space="preserve">Table </w:t>
            </w:r>
            <w:r>
              <w:fldChar w:fldCharType="begin" w:fldLock="1"/>
            </w:r>
            <w:r>
              <w:instrText>STYLEREF 1 \s</w:instrText>
            </w:r>
            <w:r>
              <w:fldChar w:fldCharType="separate"/>
            </w:r>
            <w:r w:rsidR="00735BBC">
              <w:rPr>
                <w:noProof/>
              </w:rPr>
              <w:t>4</w:t>
            </w:r>
            <w:r>
              <w:fldChar w:fldCharType="end"/>
            </w:r>
            <w:r w:rsidR="000A1542">
              <w:noBreakHyphen/>
            </w:r>
            <w:r>
              <w:fldChar w:fldCharType="begin" w:fldLock="1"/>
            </w:r>
            <w:r>
              <w:instrText>SEQ Table \* ARABIC \s 1</w:instrText>
            </w:r>
            <w:r>
              <w:fldChar w:fldCharType="separate"/>
            </w:r>
            <w:r w:rsidR="00735BBC">
              <w:rPr>
                <w:noProof/>
              </w:rPr>
              <w:t>21</w:t>
            </w:r>
            <w:r>
              <w:fldChar w:fldCharType="end"/>
            </w:r>
            <w:bookmarkEnd w:id="233"/>
            <w:r w:rsidRPr="007B6745">
              <w:t>: Unit Costs for Sampling Media</w:t>
            </w:r>
            <w:bookmarkEnd w:id="234"/>
          </w:p>
        </w:tc>
      </w:tr>
      <w:tr w14:paraId="652969CE" w14:textId="77777777" w:rsidTr="00F1711F">
        <w:tblPrEx>
          <w:tblW w:w="5000" w:type="pct"/>
          <w:tblLook w:val="04A0"/>
        </w:tblPrEx>
        <w:trPr>
          <w:trHeight w:val="300"/>
        </w:trPr>
        <w:tc>
          <w:tcPr>
            <w:tcW w:w="847"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46409A01" w14:textId="77777777">
            <w:pPr>
              <w:pStyle w:val="TableSubtitle"/>
            </w:pPr>
            <w:r w:rsidRPr="007B6745">
              <w:t>Component</w:t>
            </w:r>
          </w:p>
        </w:tc>
        <w:tc>
          <w:tcPr>
            <w:tcW w:w="669" w:type="pct"/>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376102FD" w14:textId="77777777">
            <w:pPr>
              <w:pStyle w:val="TableSubtitle"/>
            </w:pPr>
            <w:r w:rsidRPr="007B6745">
              <w:t>Cost</w:t>
            </w:r>
          </w:p>
        </w:tc>
        <w:tc>
          <w:tcPr>
            <w:tcW w:w="759" w:type="pct"/>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1FBC6999" w14:textId="77777777">
            <w:pPr>
              <w:pStyle w:val="TableSubtitle"/>
            </w:pPr>
            <w:r w:rsidRPr="007B6745">
              <w:t>Quantity</w:t>
            </w:r>
          </w:p>
        </w:tc>
        <w:tc>
          <w:tcPr>
            <w:tcW w:w="895" w:type="pct"/>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1A2BC337" w14:textId="34802E7F">
            <w:pPr>
              <w:pStyle w:val="TableSubtitle"/>
              <w:rPr>
                <w:vertAlign w:val="superscript"/>
              </w:rPr>
            </w:pPr>
            <w:r w:rsidRPr="007B6745">
              <w:t>Unit cost</w:t>
            </w:r>
            <w:r w:rsidRPr="007B6745">
              <w:rPr>
                <w:vertAlign w:val="superscript"/>
              </w:rPr>
              <w:t>a</w:t>
            </w:r>
          </w:p>
        </w:tc>
        <w:tc>
          <w:tcPr>
            <w:tcW w:w="1830" w:type="pct"/>
            <w:tcBorders>
              <w:top w:val="single" w:sz="4" w:space="0" w:color="auto"/>
              <w:left w:val="nil"/>
              <w:bottom w:val="single" w:sz="4" w:space="0" w:color="auto"/>
              <w:right w:val="single" w:sz="4" w:space="0" w:color="auto"/>
            </w:tcBorders>
            <w:shd w:val="clear" w:color="auto" w:fill="013E5B"/>
            <w:hideMark/>
          </w:tcPr>
          <w:p w:rsidR="007B6745" w:rsidRPr="007B6745" w:rsidP="000D7F2B" w14:paraId="1BECC40A" w14:textId="77777777">
            <w:pPr>
              <w:pStyle w:val="TableSubtitle"/>
            </w:pPr>
            <w:r w:rsidRPr="007B6745">
              <w:t>Source</w:t>
            </w:r>
          </w:p>
        </w:tc>
      </w:tr>
      <w:tr w14:paraId="493128D0" w14:textId="77777777" w:rsidTr="007B6745">
        <w:tblPrEx>
          <w:tblW w:w="5000" w:type="pct"/>
          <w:tblLook w:val="04A0"/>
        </w:tblPrEx>
        <w:trPr>
          <w:trHeight w:val="280"/>
        </w:trPr>
        <w:tc>
          <w:tcPr>
            <w:tcW w:w="847" w:type="pct"/>
            <w:tcBorders>
              <w:top w:val="nil"/>
              <w:left w:val="single" w:sz="4" w:space="0" w:color="auto"/>
              <w:bottom w:val="single" w:sz="4" w:space="0" w:color="auto"/>
              <w:right w:val="single" w:sz="4" w:space="0" w:color="auto"/>
            </w:tcBorders>
            <w:vAlign w:val="center"/>
            <w:hideMark/>
          </w:tcPr>
          <w:p w:rsidR="007B6745" w:rsidRPr="003C6334" w:rsidP="003C6334" w14:paraId="00CCEA31" w14:textId="77777777">
            <w:pPr>
              <w:pStyle w:val="LTableTextAbt"/>
            </w:pPr>
            <w:r w:rsidRPr="003C6334">
              <w:t>Filter</w:t>
            </w:r>
          </w:p>
        </w:tc>
        <w:tc>
          <w:tcPr>
            <w:tcW w:w="669" w:type="pct"/>
            <w:tcBorders>
              <w:top w:val="nil"/>
              <w:left w:val="nil"/>
              <w:bottom w:val="single" w:sz="4" w:space="0" w:color="auto"/>
              <w:right w:val="single" w:sz="4" w:space="0" w:color="auto"/>
            </w:tcBorders>
            <w:noWrap/>
            <w:vAlign w:val="center"/>
            <w:hideMark/>
          </w:tcPr>
          <w:p w:rsidR="007B6745" w:rsidRPr="007B6745" w:rsidP="003C6334" w14:paraId="504111EC" w14:textId="77777777">
            <w:pPr>
              <w:pStyle w:val="RTableTextAbt"/>
            </w:pPr>
            <w:r w:rsidRPr="007B6745">
              <w:t>$99.00</w:t>
            </w:r>
          </w:p>
        </w:tc>
        <w:tc>
          <w:tcPr>
            <w:tcW w:w="759" w:type="pct"/>
            <w:tcBorders>
              <w:top w:val="nil"/>
              <w:left w:val="nil"/>
              <w:bottom w:val="single" w:sz="4" w:space="0" w:color="auto"/>
              <w:right w:val="single" w:sz="4" w:space="0" w:color="auto"/>
            </w:tcBorders>
            <w:noWrap/>
            <w:vAlign w:val="center"/>
            <w:hideMark/>
          </w:tcPr>
          <w:p w:rsidR="007B6745" w:rsidRPr="007B6745" w:rsidP="003C6334" w14:paraId="6B596672" w14:textId="77777777">
            <w:pPr>
              <w:pStyle w:val="RTableTextAbt"/>
            </w:pPr>
            <w:r w:rsidRPr="007B6745">
              <w:t>100</w:t>
            </w:r>
          </w:p>
        </w:tc>
        <w:tc>
          <w:tcPr>
            <w:tcW w:w="895" w:type="pct"/>
            <w:tcBorders>
              <w:top w:val="nil"/>
              <w:left w:val="nil"/>
              <w:bottom w:val="single" w:sz="4" w:space="0" w:color="auto"/>
              <w:right w:val="single" w:sz="4" w:space="0" w:color="auto"/>
            </w:tcBorders>
            <w:noWrap/>
            <w:vAlign w:val="center"/>
            <w:hideMark/>
          </w:tcPr>
          <w:p w:rsidR="007B6745" w:rsidRPr="007B6745" w:rsidP="003C6334" w14:paraId="5FBC154E" w14:textId="77777777">
            <w:pPr>
              <w:pStyle w:val="RTableTextAbt"/>
            </w:pPr>
            <w:r w:rsidRPr="007B6745">
              <w:t>$1</w:t>
            </w:r>
          </w:p>
        </w:tc>
        <w:tc>
          <w:tcPr>
            <w:tcW w:w="1830" w:type="pct"/>
            <w:tcBorders>
              <w:top w:val="nil"/>
              <w:left w:val="nil"/>
              <w:bottom w:val="single" w:sz="4" w:space="0" w:color="auto"/>
              <w:right w:val="single" w:sz="4" w:space="0" w:color="auto"/>
            </w:tcBorders>
            <w:hideMark/>
          </w:tcPr>
          <w:p w:rsidR="007B6745" w:rsidRPr="007B6745" w:rsidP="003C6334" w14:paraId="4D8A2EC5" w14:textId="511A2227">
            <w:pPr>
              <w:pStyle w:val="LTableTextAbt"/>
              <w:rPr>
                <w:lang w:val="en-GB"/>
              </w:rPr>
            </w:pPr>
            <w:hyperlink w:anchor="_ENREF_18" w:tooltip="Environmental Express, 2024 #18" w:history="1">
              <w:r w:rsidRPr="007B6745" w:rsidR="003D6084">
                <w:rPr>
                  <w:lang w:val="en-GB"/>
                </w:rPr>
                <w:fldChar w:fldCharType="begin" w:fldLock="1"/>
              </w:r>
              <w:r w:rsidR="003D6084">
                <w:rPr>
                  <w:lang w:val="en-GB"/>
                </w:rPr>
                <w:instrText xml:space="preserve"> ADDIN EN.CITE &lt;EndNote&gt;&lt;Cite&gt;&lt;Author&gt;Environmental Express&lt;/Author&gt;&lt;Year&gt;2024&lt;/Year&gt;&lt;RecNum&gt;18&lt;/RecNum&gt;&lt;DisplayText&gt;Environmental Express 2024&lt;/DisplayText&gt;&lt;record&gt;&lt;rec-number&gt;18&lt;/rec-number&gt;&lt;foreign-keys&gt;&lt;key app="EN" db-id="2apzr05radv9fjet2w6xxwdlz5e9vwfxredw" timestamp="1730757315"&gt;18&lt;/key&gt;&lt;/foreign-keys&gt;&lt;ref-type name="Web Page"&gt;12&lt;/ref-type&gt;&lt;contributors&gt;&lt;authors&gt;&lt;author&gt;Environmental Express,&lt;/author&gt;&lt;/authors&gt;&lt;/contributors&gt;&lt;titles&gt;&lt;title&gt;FILTER, PVC, 5.0µm, 37MM, 100/PK&lt;/title&gt;&lt;/titles&gt;&lt;volume&gt;2024&lt;/volume&gt;&lt;number&gt;10/8&lt;/number&gt;&lt;dates&gt;&lt;year&gt;2024&lt;/year&gt;&lt;/dates&gt;&lt;urls&gt;&lt;related-urls&gt;&lt;url&gt;https://www.zefon.com/filter-pvc-50m-37mm-100pk&lt;/url&gt;&lt;/related-urls&gt;&lt;/urls&gt;&lt;/record&gt;&lt;/Cite&gt;&lt;/EndNote&gt;</w:instrText>
              </w:r>
              <w:r w:rsidRPr="007B6745" w:rsidR="003D6084">
                <w:rPr>
                  <w:lang w:val="en-GB"/>
                </w:rPr>
                <w:fldChar w:fldCharType="separate"/>
              </w:r>
              <w:r w:rsidR="003D6084">
                <w:rPr>
                  <w:noProof/>
                  <w:lang w:val="en-GB"/>
                </w:rPr>
                <w:t>Environmental Express 2024</w:t>
              </w:r>
              <w:r w:rsidRPr="007B6745" w:rsidR="003D6084">
                <w:fldChar w:fldCharType="end"/>
              </w:r>
            </w:hyperlink>
          </w:p>
        </w:tc>
      </w:tr>
      <w:tr w14:paraId="380EC739" w14:textId="77777777" w:rsidTr="007B6745">
        <w:tblPrEx>
          <w:tblW w:w="5000" w:type="pct"/>
          <w:tblLook w:val="04A0"/>
        </w:tblPrEx>
        <w:trPr>
          <w:trHeight w:val="280"/>
        </w:trPr>
        <w:tc>
          <w:tcPr>
            <w:tcW w:w="847" w:type="pct"/>
            <w:tcBorders>
              <w:top w:val="nil"/>
              <w:left w:val="single" w:sz="4" w:space="0" w:color="auto"/>
              <w:bottom w:val="single" w:sz="4" w:space="0" w:color="auto"/>
              <w:right w:val="single" w:sz="4" w:space="0" w:color="auto"/>
            </w:tcBorders>
            <w:vAlign w:val="center"/>
            <w:hideMark/>
          </w:tcPr>
          <w:p w:rsidR="007B6745" w:rsidRPr="003C6334" w:rsidP="003C6334" w14:paraId="7DF786F4" w14:textId="77777777">
            <w:pPr>
              <w:pStyle w:val="LTableTextAbt"/>
            </w:pPr>
            <w:r w:rsidRPr="003C6334">
              <w:t>Filter cassette</w:t>
            </w:r>
          </w:p>
        </w:tc>
        <w:tc>
          <w:tcPr>
            <w:tcW w:w="669" w:type="pct"/>
            <w:tcBorders>
              <w:top w:val="nil"/>
              <w:left w:val="nil"/>
              <w:bottom w:val="single" w:sz="4" w:space="0" w:color="auto"/>
              <w:right w:val="single" w:sz="4" w:space="0" w:color="auto"/>
            </w:tcBorders>
            <w:noWrap/>
            <w:vAlign w:val="center"/>
            <w:hideMark/>
          </w:tcPr>
          <w:p w:rsidR="007B6745" w:rsidRPr="007B6745" w:rsidP="003C6334" w14:paraId="1C014537" w14:textId="77777777">
            <w:pPr>
              <w:pStyle w:val="RTableTextAbt"/>
            </w:pPr>
            <w:r w:rsidRPr="007B6745">
              <w:t>$29.95</w:t>
            </w:r>
          </w:p>
        </w:tc>
        <w:tc>
          <w:tcPr>
            <w:tcW w:w="759" w:type="pct"/>
            <w:tcBorders>
              <w:top w:val="nil"/>
              <w:left w:val="nil"/>
              <w:bottom w:val="single" w:sz="4" w:space="0" w:color="auto"/>
              <w:right w:val="single" w:sz="4" w:space="0" w:color="auto"/>
            </w:tcBorders>
            <w:noWrap/>
            <w:vAlign w:val="center"/>
            <w:hideMark/>
          </w:tcPr>
          <w:p w:rsidR="007B6745" w:rsidRPr="007B6745" w:rsidP="003C6334" w14:paraId="77C90B25" w14:textId="77777777">
            <w:pPr>
              <w:pStyle w:val="RTableTextAbt"/>
            </w:pPr>
            <w:r w:rsidRPr="007B6745">
              <w:t>10</w:t>
            </w:r>
          </w:p>
        </w:tc>
        <w:tc>
          <w:tcPr>
            <w:tcW w:w="895" w:type="pct"/>
            <w:tcBorders>
              <w:top w:val="nil"/>
              <w:left w:val="nil"/>
              <w:bottom w:val="single" w:sz="4" w:space="0" w:color="auto"/>
              <w:right w:val="single" w:sz="4" w:space="0" w:color="auto"/>
            </w:tcBorders>
            <w:noWrap/>
            <w:vAlign w:val="center"/>
            <w:hideMark/>
          </w:tcPr>
          <w:p w:rsidR="007B6745" w:rsidRPr="007B6745" w:rsidP="003C6334" w14:paraId="76BD852C" w14:textId="77777777">
            <w:pPr>
              <w:pStyle w:val="RTableTextAbt"/>
            </w:pPr>
            <w:r w:rsidRPr="007B6745">
              <w:t>$3</w:t>
            </w:r>
          </w:p>
        </w:tc>
        <w:tc>
          <w:tcPr>
            <w:tcW w:w="1830" w:type="pct"/>
            <w:tcBorders>
              <w:top w:val="nil"/>
              <w:left w:val="nil"/>
              <w:bottom w:val="single" w:sz="4" w:space="0" w:color="auto"/>
              <w:right w:val="single" w:sz="4" w:space="0" w:color="auto"/>
            </w:tcBorders>
            <w:hideMark/>
          </w:tcPr>
          <w:p w:rsidR="007B6745" w:rsidRPr="007B6745" w:rsidP="003C6334" w14:paraId="5FAAD734" w14:textId="0D8C3E48">
            <w:pPr>
              <w:pStyle w:val="LTableTextAbt"/>
              <w:rPr>
                <w:lang w:val="en-GB"/>
              </w:rPr>
            </w:pPr>
            <w:hyperlink w:anchor="_ENREF_41" w:tooltip="SKC, 2024 #41" w:history="1">
              <w:r w:rsidRPr="007B6745" w:rsidR="003D6084">
                <w:rPr>
                  <w:lang w:val="en-GB"/>
                </w:rPr>
                <w:fldChar w:fldCharType="begin" w:fldLock="1"/>
              </w:r>
              <w:r w:rsidR="003D6084">
                <w:rPr>
                  <w:lang w:val="en-GB"/>
                </w:rPr>
                <w:instrText xml:space="preserve"> ADDIN EN.CITE &lt;EndNote&gt;&lt;Cite&gt;&lt;Author&gt;SKC&lt;/Author&gt;&lt;Year&gt;2024&lt;/Year&gt;&lt;RecNum&gt;41&lt;/RecNum&gt;&lt;DisplayText&gt;SKC 2024&lt;/DisplayText&gt;&lt;record&gt;&lt;rec-number&gt;41&lt;/rec-number&gt;&lt;foreign-keys&gt;&lt;key app="EN" db-id="2apzr05radv9fjet2w6xxwdlz5e9vwfxredw" timestamp="1730757315"&gt;41&lt;/key&gt;&lt;/foreign-keys&gt;&lt;ref-type name="Web Page"&gt;12&lt;/ref-type&gt;&lt;contributors&gt;&lt;authors&gt;&lt;author&gt;SKC, Inc.,&lt;/author&gt;&lt;/authors&gt;&lt;/contributors&gt;&lt;titles&gt;&lt;title&gt;Filter Cassette, Clear Styrene, 37 mm&lt;/title&gt;&lt;/titles&gt;&lt;volume&gt;2024&lt;/volume&gt;&lt;number&gt;10/8&lt;/number&gt;&lt;dates&gt;&lt;year&gt;2024&lt;/year&gt;&lt;/dates&gt;&lt;urls&gt;&lt;related-urls&gt;&lt;url&gt;https://www.skcinc.com/products/filter-cassette-clear-styrene-37-mm&lt;/url&gt;&lt;/related-urls&gt;&lt;/urls&gt;&lt;/record&gt;&lt;/Cite&gt;&lt;/EndNote&gt;</w:instrText>
              </w:r>
              <w:r w:rsidRPr="007B6745" w:rsidR="003D6084">
                <w:rPr>
                  <w:lang w:val="en-GB"/>
                </w:rPr>
                <w:fldChar w:fldCharType="separate"/>
              </w:r>
              <w:r w:rsidR="003D6084">
                <w:rPr>
                  <w:noProof/>
                  <w:lang w:val="en-GB"/>
                </w:rPr>
                <w:t>SKC 2024</w:t>
              </w:r>
              <w:r w:rsidRPr="007B6745" w:rsidR="003D6084">
                <w:fldChar w:fldCharType="end"/>
              </w:r>
            </w:hyperlink>
          </w:p>
        </w:tc>
      </w:tr>
      <w:tr w14:paraId="554DC0F4" w14:textId="77777777" w:rsidTr="007B6745">
        <w:tblPrEx>
          <w:tblW w:w="5000" w:type="pct"/>
          <w:tblLook w:val="04A0"/>
        </w:tblPrEx>
        <w:trPr>
          <w:trHeight w:val="280"/>
        </w:trPr>
        <w:tc>
          <w:tcPr>
            <w:tcW w:w="847" w:type="pct"/>
            <w:tcBorders>
              <w:top w:val="nil"/>
              <w:left w:val="single" w:sz="4" w:space="0" w:color="auto"/>
              <w:bottom w:val="single" w:sz="4" w:space="0" w:color="auto"/>
              <w:right w:val="single" w:sz="4" w:space="0" w:color="auto"/>
            </w:tcBorders>
            <w:noWrap/>
            <w:vAlign w:val="center"/>
            <w:hideMark/>
          </w:tcPr>
          <w:p w:rsidR="007B6745" w:rsidRPr="003C6334" w:rsidP="003C6334" w14:paraId="29FDADAD" w14:textId="77777777">
            <w:pPr>
              <w:pStyle w:val="LTableTextAbt"/>
              <w:rPr>
                <w:b/>
                <w:bCs w:val="0"/>
              </w:rPr>
            </w:pPr>
            <w:r w:rsidRPr="003C6334">
              <w:rPr>
                <w:b/>
                <w:bCs w:val="0"/>
              </w:rPr>
              <w:t>Total</w:t>
            </w:r>
          </w:p>
        </w:tc>
        <w:tc>
          <w:tcPr>
            <w:tcW w:w="669" w:type="pct"/>
            <w:tcBorders>
              <w:top w:val="nil"/>
              <w:left w:val="nil"/>
              <w:bottom w:val="single" w:sz="4" w:space="0" w:color="auto"/>
              <w:right w:val="single" w:sz="4" w:space="0" w:color="auto"/>
            </w:tcBorders>
            <w:noWrap/>
            <w:vAlign w:val="center"/>
            <w:hideMark/>
          </w:tcPr>
          <w:p w:rsidR="007B6745" w:rsidRPr="007B6745" w:rsidP="003C6334" w14:paraId="03FC82C5" w14:textId="77777777">
            <w:pPr>
              <w:pStyle w:val="RTableTextAbt"/>
              <w:rPr>
                <w:b/>
              </w:rPr>
            </w:pPr>
            <w:r w:rsidRPr="007B6745">
              <w:rPr>
                <w:b/>
              </w:rPr>
              <w:t> </w:t>
            </w:r>
          </w:p>
        </w:tc>
        <w:tc>
          <w:tcPr>
            <w:tcW w:w="759" w:type="pct"/>
            <w:tcBorders>
              <w:top w:val="nil"/>
              <w:left w:val="nil"/>
              <w:bottom w:val="single" w:sz="4" w:space="0" w:color="auto"/>
              <w:right w:val="single" w:sz="4" w:space="0" w:color="auto"/>
            </w:tcBorders>
            <w:noWrap/>
            <w:vAlign w:val="center"/>
            <w:hideMark/>
          </w:tcPr>
          <w:p w:rsidR="007B6745" w:rsidRPr="007B6745" w:rsidP="003C6334" w14:paraId="09316688" w14:textId="77777777">
            <w:pPr>
              <w:pStyle w:val="RTableTextAbt"/>
              <w:rPr>
                <w:b/>
              </w:rPr>
            </w:pPr>
            <w:r w:rsidRPr="007B6745">
              <w:rPr>
                <w:b/>
              </w:rPr>
              <w:t> </w:t>
            </w:r>
          </w:p>
        </w:tc>
        <w:tc>
          <w:tcPr>
            <w:tcW w:w="895" w:type="pct"/>
            <w:tcBorders>
              <w:top w:val="nil"/>
              <w:left w:val="nil"/>
              <w:bottom w:val="single" w:sz="4" w:space="0" w:color="auto"/>
              <w:right w:val="single" w:sz="4" w:space="0" w:color="auto"/>
            </w:tcBorders>
            <w:noWrap/>
            <w:vAlign w:val="center"/>
            <w:hideMark/>
          </w:tcPr>
          <w:p w:rsidR="007B6745" w:rsidRPr="007B6745" w:rsidP="003C6334" w14:paraId="47373444" w14:textId="77777777">
            <w:pPr>
              <w:pStyle w:val="RTableTextAbt"/>
              <w:rPr>
                <w:b/>
              </w:rPr>
            </w:pPr>
            <w:r w:rsidRPr="007B6745">
              <w:rPr>
                <w:b/>
              </w:rPr>
              <w:t>$4</w:t>
            </w:r>
          </w:p>
        </w:tc>
        <w:tc>
          <w:tcPr>
            <w:tcW w:w="1830" w:type="pct"/>
            <w:tcBorders>
              <w:top w:val="nil"/>
              <w:left w:val="nil"/>
              <w:bottom w:val="single" w:sz="4" w:space="0" w:color="auto"/>
              <w:right w:val="single" w:sz="4" w:space="0" w:color="auto"/>
            </w:tcBorders>
          </w:tcPr>
          <w:p w:rsidR="007B6745" w:rsidRPr="007B6745" w:rsidP="003C6334" w14:paraId="2BDCEBC5" w14:textId="77777777">
            <w:pPr>
              <w:pStyle w:val="LTableTextAbt"/>
              <w:rPr>
                <w:b/>
                <w:lang w:val="en-GB"/>
              </w:rPr>
            </w:pPr>
          </w:p>
        </w:tc>
      </w:tr>
      <w:tr w14:paraId="7263E4CF" w14:textId="77777777" w:rsidTr="007B6745">
        <w:tblPrEx>
          <w:tblW w:w="5000" w:type="pct"/>
          <w:tblLook w:val="04A0"/>
        </w:tblPrEx>
        <w:trPr>
          <w:trHeight w:val="280"/>
        </w:trPr>
        <w:tc>
          <w:tcPr>
            <w:tcW w:w="5000" w:type="pct"/>
            <w:gridSpan w:val="5"/>
            <w:tcBorders>
              <w:top w:val="single" w:sz="4" w:space="0" w:color="auto"/>
              <w:left w:val="single" w:sz="4" w:space="0" w:color="auto"/>
              <w:bottom w:val="single" w:sz="4" w:space="0" w:color="auto"/>
              <w:right w:val="single" w:sz="4" w:space="0" w:color="auto"/>
            </w:tcBorders>
            <w:noWrap/>
            <w:vAlign w:val="center"/>
            <w:hideMark/>
          </w:tcPr>
          <w:p w:rsidR="007B6745" w:rsidRPr="007B6745" w:rsidP="003C6334" w14:paraId="22F0290F" w14:textId="77777777">
            <w:pPr>
              <w:pStyle w:val="TableNote0"/>
            </w:pPr>
            <w:r w:rsidRPr="007B6745">
              <w:t>a. cost divided by quantity; rounded to the nearest dollar</w:t>
            </w:r>
          </w:p>
        </w:tc>
      </w:tr>
    </w:tbl>
    <w:p w:rsidR="007B6745" w:rsidRPr="007B6745" w:rsidP="00832749" w14:paraId="7D4DDA86" w14:textId="77777777">
      <w:pPr>
        <w:pStyle w:val="BodyText"/>
      </w:pPr>
    </w:p>
    <w:p w:rsidR="007B6745" w:rsidRPr="007B6745" w:rsidP="00832749" w14:paraId="2EC5344D" w14:textId="70DC9AEC">
      <w:pPr>
        <w:pStyle w:val="BodyText"/>
      </w:pPr>
      <w:r w:rsidRPr="4BA86F39">
        <w:rPr>
          <w:lang w:val="en-US"/>
        </w:rPr>
        <w:t xml:space="preserve">In addition to the costs associated with on-site sampling, media, and equipment, EPA assumes that the facilities would incur additional costs for laboratory analysis. </w:t>
      </w:r>
      <w:r w:rsidRPr="007B6745">
        <w:fldChar w:fldCharType="begin" w:fldLock="1"/>
      </w:r>
      <w:r w:rsidRPr="007B6745">
        <w:instrText xml:space="preserve"> REF _Ref180057174 </w:instrText>
      </w:r>
      <w:r w:rsidR="00AF31BB">
        <w:instrText xml:space="preserve"> \* MERGEFORMAT </w:instrText>
      </w:r>
      <w:r w:rsidRPr="007B6745">
        <w:fldChar w:fldCharType="separate"/>
      </w:r>
      <w:r w:rsidRPr="00735BBC" w:rsidR="00735BBC">
        <w:rPr>
          <w:lang w:val="en-US"/>
        </w:rPr>
        <w:t>Table 4</w:t>
      </w:r>
      <w:r w:rsidRPr="00735BBC" w:rsidR="00735BBC">
        <w:rPr>
          <w:lang w:val="en-US"/>
        </w:rPr>
        <w:noBreakHyphen/>
        <w:t>22</w:t>
      </w:r>
      <w:r w:rsidRPr="007B6745">
        <w:fldChar w:fldCharType="end"/>
      </w:r>
      <w:r w:rsidRPr="4BA86F39">
        <w:rPr>
          <w:lang w:val="en-US"/>
        </w:rPr>
        <w:t xml:space="preserve"> summarizes the range of per-sample costs charged by laboratories with available price lists, which average to $24. </w:t>
      </w:r>
    </w:p>
    <w:p w:rsidR="007B6745" w:rsidRPr="007B6745" w:rsidP="00832749" w14:paraId="5E743DEB" w14:textId="17013883">
      <w:pPr>
        <w:pStyle w:val="BodyText"/>
      </w:pPr>
    </w:p>
    <w:tbl>
      <w:tblPr>
        <w:tblW w:w="5000" w:type="pct"/>
        <w:tblLook w:val="04A0"/>
      </w:tblPr>
      <w:tblGrid>
        <w:gridCol w:w="3425"/>
        <w:gridCol w:w="1672"/>
        <w:gridCol w:w="4263"/>
      </w:tblGrid>
      <w:tr w14:paraId="47688086" w14:textId="77777777" w:rsidTr="00AD381A">
        <w:tblPrEx>
          <w:tblW w:w="5000" w:type="pct"/>
          <w:tblLook w:val="04A0"/>
        </w:tblPrEx>
        <w:trPr>
          <w:trHeight w:val="20"/>
          <w:tblHeader/>
        </w:trPr>
        <w:tc>
          <w:tcPr>
            <w:tcW w:w="5000" w:type="pct"/>
            <w:gridSpan w:val="3"/>
            <w:tcBorders>
              <w:bottom w:val="single" w:sz="4" w:space="0" w:color="auto"/>
            </w:tcBorders>
            <w:shd w:val="clear" w:color="auto" w:fill="auto"/>
            <w:vAlign w:val="center"/>
          </w:tcPr>
          <w:p w:rsidR="00AD381A" w:rsidRPr="00B64B39" w:rsidP="00AD381A" w14:paraId="0D105A65" w14:textId="3EB083F4">
            <w:pPr>
              <w:pStyle w:val="TableTitleA"/>
            </w:pPr>
            <w:bookmarkStart w:id="235" w:name="_Ref180057174"/>
            <w:bookmarkStart w:id="236" w:name="_Toc184299578"/>
            <w:r w:rsidRPr="007B6745">
              <w:t xml:space="preserve">Table </w:t>
            </w:r>
            <w:r>
              <w:fldChar w:fldCharType="begin" w:fldLock="1"/>
            </w:r>
            <w:r>
              <w:instrText>STYLEREF 1 \s</w:instrText>
            </w:r>
            <w:r>
              <w:fldChar w:fldCharType="separate"/>
            </w:r>
            <w:r w:rsidR="00735BBC">
              <w:rPr>
                <w:noProof/>
              </w:rPr>
              <w:t>4</w:t>
            </w:r>
            <w:r>
              <w:fldChar w:fldCharType="end"/>
            </w:r>
            <w:r w:rsidR="000A1542">
              <w:noBreakHyphen/>
            </w:r>
            <w:r>
              <w:fldChar w:fldCharType="begin" w:fldLock="1"/>
            </w:r>
            <w:r>
              <w:instrText>SEQ Table \* ARABIC \s 1</w:instrText>
            </w:r>
            <w:r>
              <w:fldChar w:fldCharType="separate"/>
            </w:r>
            <w:r w:rsidR="00735BBC">
              <w:rPr>
                <w:noProof/>
              </w:rPr>
              <w:t>22</w:t>
            </w:r>
            <w:r>
              <w:fldChar w:fldCharType="end"/>
            </w:r>
            <w:bookmarkEnd w:id="235"/>
            <w:r w:rsidRPr="007B6745">
              <w:t>: Unit Costs for Laboratory Analysis</w:t>
            </w:r>
            <w:bookmarkEnd w:id="236"/>
          </w:p>
        </w:tc>
      </w:tr>
      <w:tr w14:paraId="7D3892CD" w14:textId="77777777" w:rsidTr="00AD381A">
        <w:tblPrEx>
          <w:tblW w:w="5000" w:type="pct"/>
          <w:tblLook w:val="04A0"/>
        </w:tblPrEx>
        <w:trPr>
          <w:trHeight w:val="20"/>
          <w:tblHeader/>
        </w:trPr>
        <w:tc>
          <w:tcPr>
            <w:tcW w:w="1830"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B64B39" w:rsidP="00B64B39" w14:paraId="2C78594F" w14:textId="77777777">
            <w:pPr>
              <w:pStyle w:val="TableSubtitle"/>
            </w:pPr>
            <w:r w:rsidRPr="00B64B39">
              <w:t>Laboratory Name</w:t>
            </w:r>
          </w:p>
        </w:tc>
        <w:tc>
          <w:tcPr>
            <w:tcW w:w="893" w:type="pct"/>
            <w:tcBorders>
              <w:top w:val="single" w:sz="4" w:space="0" w:color="auto"/>
              <w:left w:val="nil"/>
              <w:bottom w:val="single" w:sz="4" w:space="0" w:color="auto"/>
              <w:right w:val="single" w:sz="4" w:space="0" w:color="auto"/>
            </w:tcBorders>
            <w:shd w:val="clear" w:color="auto" w:fill="013E5B"/>
            <w:vAlign w:val="center"/>
            <w:hideMark/>
          </w:tcPr>
          <w:p w:rsidR="007B6745" w:rsidRPr="00B64B39" w:rsidP="00B64B39" w14:paraId="2006E59F" w14:textId="77777777">
            <w:pPr>
              <w:pStyle w:val="TableSubtitle"/>
            </w:pPr>
            <w:r w:rsidRPr="00B64B39">
              <w:t>Cost per Sample</w:t>
            </w:r>
          </w:p>
        </w:tc>
        <w:tc>
          <w:tcPr>
            <w:tcW w:w="2277" w:type="pct"/>
            <w:tcBorders>
              <w:top w:val="single" w:sz="4" w:space="0" w:color="auto"/>
              <w:left w:val="nil"/>
              <w:bottom w:val="single" w:sz="4" w:space="0" w:color="auto"/>
              <w:right w:val="single" w:sz="4" w:space="0" w:color="auto"/>
            </w:tcBorders>
            <w:shd w:val="clear" w:color="auto" w:fill="013E5B"/>
            <w:hideMark/>
          </w:tcPr>
          <w:p w:rsidR="007B6745" w:rsidRPr="00B64B39" w:rsidP="00B64B39" w14:paraId="43A3C7E6" w14:textId="77777777">
            <w:pPr>
              <w:pStyle w:val="TableSubtitle"/>
            </w:pPr>
            <w:r w:rsidRPr="00B64B39">
              <w:t>Source</w:t>
            </w:r>
          </w:p>
        </w:tc>
      </w:tr>
      <w:tr w14:paraId="65BCA4A6" w14:textId="77777777" w:rsidTr="007B6745">
        <w:tblPrEx>
          <w:tblW w:w="5000" w:type="pct"/>
          <w:tblLook w:val="04A0"/>
        </w:tblPrEx>
        <w:trPr>
          <w:trHeight w:val="20"/>
        </w:trPr>
        <w:tc>
          <w:tcPr>
            <w:tcW w:w="1830" w:type="pct"/>
            <w:tcBorders>
              <w:top w:val="nil"/>
              <w:left w:val="single" w:sz="4" w:space="0" w:color="auto"/>
              <w:bottom w:val="single" w:sz="4" w:space="0" w:color="auto"/>
              <w:right w:val="single" w:sz="4" w:space="0" w:color="auto"/>
            </w:tcBorders>
            <w:vAlign w:val="center"/>
            <w:hideMark/>
          </w:tcPr>
          <w:p w:rsidR="007B6745" w:rsidRPr="007B6745" w:rsidP="007A54EA" w14:paraId="7E64B0EA" w14:textId="77777777">
            <w:pPr>
              <w:pStyle w:val="LTableTextAbt"/>
            </w:pPr>
            <w:r w:rsidRPr="007B6745">
              <w:t>Bureau Veritas</w:t>
            </w:r>
          </w:p>
        </w:tc>
        <w:tc>
          <w:tcPr>
            <w:tcW w:w="893" w:type="pct"/>
            <w:tcBorders>
              <w:top w:val="nil"/>
              <w:left w:val="nil"/>
              <w:bottom w:val="single" w:sz="4" w:space="0" w:color="auto"/>
              <w:right w:val="single" w:sz="4" w:space="0" w:color="auto"/>
            </w:tcBorders>
            <w:noWrap/>
            <w:vAlign w:val="center"/>
            <w:hideMark/>
          </w:tcPr>
          <w:p w:rsidR="007B6745" w:rsidRPr="007B6745" w:rsidP="003C6334" w14:paraId="77E3F751" w14:textId="77777777">
            <w:pPr>
              <w:pStyle w:val="RTableTextAbt"/>
            </w:pPr>
            <w:r w:rsidRPr="007B6745">
              <w:t>$23</w:t>
            </w:r>
          </w:p>
        </w:tc>
        <w:tc>
          <w:tcPr>
            <w:tcW w:w="2277" w:type="pct"/>
            <w:tcBorders>
              <w:top w:val="nil"/>
              <w:left w:val="nil"/>
              <w:bottom w:val="single" w:sz="4" w:space="0" w:color="auto"/>
              <w:right w:val="single" w:sz="4" w:space="0" w:color="auto"/>
            </w:tcBorders>
            <w:hideMark/>
          </w:tcPr>
          <w:p w:rsidR="007B6745" w:rsidRPr="007B6745" w:rsidP="003C6334" w14:paraId="7F93D76E" w14:textId="084F94C5">
            <w:pPr>
              <w:pStyle w:val="LTableTextAbt"/>
            </w:pPr>
            <w:r>
              <w:rPr>
                <w:lang w:val="en-GB"/>
              </w:rPr>
              <w:t>(</w:t>
            </w:r>
            <w:hyperlink w:anchor="_ENREF_10" w:tooltip="Bureau Veritas, 2024 #10" w:history="1">
              <w:r w:rsidRPr="007B6745" w:rsidR="003D6084">
                <w:rPr>
                  <w:lang w:val="en-GB"/>
                </w:rPr>
                <w:fldChar w:fldCharType="begin" w:fldLock="1"/>
              </w:r>
              <w:r w:rsidR="003D6084">
                <w:rPr>
                  <w:lang w:val="en-GB"/>
                </w:rPr>
                <w:instrText xml:space="preserve"> ADDIN EN.CITE &lt;EndNote&gt;&lt;Cite&gt;&lt;Author&gt;Bureau Veritas&lt;/Author&gt;&lt;Year&gt;2024&lt;/Year&gt;&lt;RecNum&gt;10&lt;/RecNum&gt;&lt;DisplayText&gt;Bureau Veritas 2024&lt;/DisplayText&gt;&lt;record&gt;&lt;rec-number&gt;10&lt;/rec-number&gt;&lt;foreign-keys&gt;&lt;key app="EN" db-id="2apzr05radv9fjet2w6xxwdlz5e9vwfxredw" timestamp="1730757315"&gt;10&lt;/key&gt;&lt;/foreign-keys&gt;&lt;ref-type name="Journal Article"&gt;17&lt;/ref-type&gt;&lt;contributors&gt;&lt;authors&gt;&lt;author&gt;Bureau Veritas,&lt;/author&gt;&lt;/authors&gt;&lt;/contributors&gt;&lt;titles&gt;&lt;title&gt;Industrial Hygiene Analytical Fee Schedule&lt;/title&gt;&lt;/titles&gt;&lt;dates&gt;&lt;year&gt;2024&lt;/year&gt;&lt;/dates&gt;&lt;urls&gt;&lt;/urls&gt;&lt;/record&gt;&lt;/Cite&gt;&lt;/EndNote&gt;</w:instrText>
              </w:r>
              <w:r w:rsidRPr="007B6745" w:rsidR="003D6084">
                <w:rPr>
                  <w:lang w:val="en-GB"/>
                </w:rPr>
                <w:fldChar w:fldCharType="separate"/>
              </w:r>
              <w:r w:rsidR="003D6084">
                <w:rPr>
                  <w:noProof/>
                  <w:lang w:val="en-GB"/>
                </w:rPr>
                <w:t>Bureau Veritas 2024</w:t>
              </w:r>
              <w:r w:rsidRPr="007B6745" w:rsidR="003D6084">
                <w:fldChar w:fldCharType="end"/>
              </w:r>
            </w:hyperlink>
            <w:r>
              <w:rPr>
                <w:lang w:val="en-GB"/>
              </w:rPr>
              <w:t>)</w:t>
            </w:r>
          </w:p>
        </w:tc>
      </w:tr>
      <w:tr w14:paraId="26C15C9C" w14:textId="77777777" w:rsidTr="007B6745">
        <w:tblPrEx>
          <w:tblW w:w="5000" w:type="pct"/>
          <w:tblLook w:val="04A0"/>
        </w:tblPrEx>
        <w:trPr>
          <w:trHeight w:val="20"/>
        </w:trPr>
        <w:tc>
          <w:tcPr>
            <w:tcW w:w="1830" w:type="pct"/>
            <w:tcBorders>
              <w:top w:val="nil"/>
              <w:left w:val="single" w:sz="4" w:space="0" w:color="auto"/>
              <w:bottom w:val="single" w:sz="4" w:space="0" w:color="auto"/>
              <w:right w:val="single" w:sz="4" w:space="0" w:color="auto"/>
            </w:tcBorders>
            <w:vAlign w:val="center"/>
            <w:hideMark/>
          </w:tcPr>
          <w:p w:rsidR="007B6745" w:rsidRPr="007B6745" w:rsidP="007A54EA" w14:paraId="110560BB" w14:textId="77777777">
            <w:pPr>
              <w:pStyle w:val="LTableTextAbt"/>
            </w:pPr>
            <w:r w:rsidRPr="007B6745">
              <w:t>SGS Galson</w:t>
            </w:r>
          </w:p>
        </w:tc>
        <w:tc>
          <w:tcPr>
            <w:tcW w:w="893" w:type="pct"/>
            <w:tcBorders>
              <w:top w:val="nil"/>
              <w:left w:val="nil"/>
              <w:bottom w:val="single" w:sz="4" w:space="0" w:color="auto"/>
              <w:right w:val="single" w:sz="4" w:space="0" w:color="auto"/>
            </w:tcBorders>
            <w:noWrap/>
            <w:vAlign w:val="center"/>
            <w:hideMark/>
          </w:tcPr>
          <w:p w:rsidR="007B6745" w:rsidRPr="007B6745" w:rsidP="003C6334" w14:paraId="165C930B" w14:textId="77777777">
            <w:pPr>
              <w:pStyle w:val="RTableTextAbt"/>
            </w:pPr>
            <w:r w:rsidRPr="007B6745">
              <w:t>$27</w:t>
            </w:r>
          </w:p>
        </w:tc>
        <w:tc>
          <w:tcPr>
            <w:tcW w:w="2277" w:type="pct"/>
            <w:tcBorders>
              <w:top w:val="nil"/>
              <w:left w:val="nil"/>
              <w:bottom w:val="single" w:sz="4" w:space="0" w:color="auto"/>
              <w:right w:val="single" w:sz="4" w:space="0" w:color="auto"/>
            </w:tcBorders>
            <w:hideMark/>
          </w:tcPr>
          <w:p w:rsidR="007B6745" w:rsidRPr="007B6745" w:rsidP="003C6334" w14:paraId="7881CDCE" w14:textId="6F6C8E3F">
            <w:pPr>
              <w:pStyle w:val="LTableTextAbt"/>
            </w:pPr>
            <w:r>
              <w:rPr>
                <w:lang w:val="en-GB"/>
              </w:rPr>
              <w:t>(</w:t>
            </w:r>
            <w:hyperlink w:anchor="_ENREF_40" w:tooltip="SGS Galson, 2024 #40" w:history="1">
              <w:r w:rsidRPr="007B6745" w:rsidR="003D6084">
                <w:rPr>
                  <w:lang w:val="en-GB"/>
                </w:rPr>
                <w:fldChar w:fldCharType="begin" w:fldLock="1"/>
              </w:r>
              <w:r w:rsidR="003D6084">
                <w:rPr>
                  <w:lang w:val="en-GB"/>
                </w:rPr>
                <w:instrText xml:space="preserve"> ADDIN EN.CITE &lt;EndNote&gt;&lt;Cite&gt;&lt;Author&gt;SGS Galson&lt;/Author&gt;&lt;Year&gt;2024&lt;/Year&gt;&lt;RecNum&gt;40&lt;/RecNum&gt;&lt;DisplayText&gt;SGS Galson 2024&lt;/DisplayText&gt;&lt;record&gt;&lt;rec-number&gt;40&lt;/rec-number&gt;&lt;foreign-keys&gt;&lt;key app="EN" db-id="2apzr05radv9fjet2w6xxwdlz5e9vwfxredw" timestamp="1730757315"&gt;40&lt;/key&gt;&lt;/foreign-keys&gt;&lt;ref-type name="Web Page"&gt;12&lt;/ref-type&gt;&lt;contributors&gt;&lt;authors&gt;&lt;author&gt;SGS Galson,&lt;/author&gt;&lt;/authors&gt;&lt;/contributors&gt;&lt;titles&gt;&lt;title&gt;Sampling &amp;amp; Analysis&lt;/title&gt;&lt;/titles&gt;&lt;volume&gt;2024&lt;/volume&gt;&lt;number&gt;9/25&lt;/number&gt;&lt;dates&gt;&lt;year&gt;2024&lt;/year&gt;&lt;/dates&gt;&lt;urls&gt;&lt;related-urls&gt;&lt;url&gt;https://www.sgsgalson.com/sag-detail/std/Respirable+Dust/NA/&lt;/url&gt;&lt;/related-urls&gt;&lt;/urls&gt;&lt;/record&gt;&lt;/Cite&gt;&lt;/EndNote&gt;</w:instrText>
              </w:r>
              <w:r w:rsidRPr="007B6745" w:rsidR="003D6084">
                <w:rPr>
                  <w:lang w:val="en-GB"/>
                </w:rPr>
                <w:fldChar w:fldCharType="separate"/>
              </w:r>
              <w:r w:rsidR="003D6084">
                <w:rPr>
                  <w:noProof/>
                  <w:lang w:val="en-GB"/>
                </w:rPr>
                <w:t>SGS Galson 2024</w:t>
              </w:r>
              <w:r w:rsidRPr="007B6745" w:rsidR="003D6084">
                <w:fldChar w:fldCharType="end"/>
              </w:r>
            </w:hyperlink>
            <w:r>
              <w:rPr>
                <w:lang w:val="en-GB"/>
              </w:rPr>
              <w:t>)</w:t>
            </w:r>
          </w:p>
        </w:tc>
      </w:tr>
      <w:tr w14:paraId="192C8660" w14:textId="77777777" w:rsidTr="007B6745">
        <w:tblPrEx>
          <w:tblW w:w="5000" w:type="pct"/>
          <w:tblLook w:val="04A0"/>
        </w:tblPrEx>
        <w:trPr>
          <w:trHeight w:val="20"/>
        </w:trPr>
        <w:tc>
          <w:tcPr>
            <w:tcW w:w="1830" w:type="pct"/>
            <w:tcBorders>
              <w:top w:val="nil"/>
              <w:left w:val="single" w:sz="4" w:space="0" w:color="auto"/>
              <w:bottom w:val="single" w:sz="4" w:space="0" w:color="auto"/>
              <w:right w:val="single" w:sz="4" w:space="0" w:color="auto"/>
            </w:tcBorders>
            <w:vAlign w:val="center"/>
            <w:hideMark/>
          </w:tcPr>
          <w:p w:rsidR="007B6745" w:rsidRPr="007B6745" w:rsidP="007A54EA" w14:paraId="630AA16A" w14:textId="77777777">
            <w:pPr>
              <w:pStyle w:val="LTableTextAbt"/>
            </w:pPr>
            <w:r w:rsidRPr="007B6745">
              <w:t>RJ Lee Group</w:t>
            </w:r>
          </w:p>
        </w:tc>
        <w:tc>
          <w:tcPr>
            <w:tcW w:w="893" w:type="pct"/>
            <w:tcBorders>
              <w:top w:val="nil"/>
              <w:left w:val="nil"/>
              <w:bottom w:val="single" w:sz="4" w:space="0" w:color="auto"/>
              <w:right w:val="single" w:sz="4" w:space="0" w:color="auto"/>
            </w:tcBorders>
            <w:noWrap/>
            <w:vAlign w:val="center"/>
            <w:hideMark/>
          </w:tcPr>
          <w:p w:rsidR="007B6745" w:rsidRPr="007B6745" w:rsidP="003C6334" w14:paraId="29DF4A0F" w14:textId="77777777">
            <w:pPr>
              <w:pStyle w:val="RTableTextAbt"/>
            </w:pPr>
            <w:r w:rsidRPr="007B6745">
              <w:t>$20</w:t>
            </w:r>
          </w:p>
        </w:tc>
        <w:tc>
          <w:tcPr>
            <w:tcW w:w="2277" w:type="pct"/>
            <w:tcBorders>
              <w:top w:val="nil"/>
              <w:left w:val="nil"/>
              <w:bottom w:val="single" w:sz="4" w:space="0" w:color="auto"/>
              <w:right w:val="single" w:sz="4" w:space="0" w:color="auto"/>
            </w:tcBorders>
            <w:hideMark/>
          </w:tcPr>
          <w:p w:rsidR="007B6745" w:rsidRPr="007B6745" w:rsidP="003C6334" w14:paraId="7628E029" w14:textId="55DBBF78">
            <w:pPr>
              <w:pStyle w:val="LTableTextAbt"/>
            </w:pPr>
            <w:r>
              <w:rPr>
                <w:lang w:val="en-GB"/>
              </w:rPr>
              <w:t>(</w:t>
            </w:r>
            <w:hyperlink w:anchor="_ENREF_37" w:tooltip="RJ Lee Group, 2018 #37" w:history="1">
              <w:r w:rsidRPr="007B6745" w:rsidR="003D6084">
                <w:rPr>
                  <w:lang w:val="en-GB"/>
                </w:rPr>
                <w:fldChar w:fldCharType="begin" w:fldLock="1"/>
              </w:r>
              <w:r w:rsidR="003D6084">
                <w:rPr>
                  <w:lang w:val="en-GB"/>
                </w:rPr>
                <w:instrText xml:space="preserve"> ADDIN EN.CITE &lt;EndNote&gt;&lt;Cite&gt;&lt;Author&gt;RJ Lee Group&lt;/Author&gt;&lt;Year&gt;2018&lt;/Year&gt;&lt;RecNum&gt;37&lt;/RecNum&gt;&lt;DisplayText&gt;RJ Lee Group 2018&lt;/DisplayText&gt;&lt;record&gt;&lt;rec-number&gt;37&lt;/rec-number&gt;&lt;foreign-keys&gt;&lt;key app="EN" db-id="2apzr05radv9fjet2w6xxwdlz5e9vwfxredw" timestamp="1730757315"&gt;37&lt;/key&gt;&lt;/foreign-keys&gt;&lt;ref-type name="Journal Article"&gt;17&lt;/ref-type&gt;&lt;contributors&gt;&lt;authors&gt;&lt;author&gt;RJ Lee Group,&lt;/author&gt;&lt;/authors&gt;&lt;/contributors&gt;&lt;titles&gt;&lt;title&gt;Laboratory Testing Guide&lt;/title&gt;&lt;/titles&gt;&lt;dates&gt;&lt;year&gt;2018&lt;/year&gt;&lt;/dates&gt;&lt;urls&gt;&lt;/urls&gt;&lt;/record&gt;&lt;/Cite&gt;&lt;/EndNote&gt;</w:instrText>
              </w:r>
              <w:r w:rsidRPr="007B6745" w:rsidR="003D6084">
                <w:rPr>
                  <w:lang w:val="en-GB"/>
                </w:rPr>
                <w:fldChar w:fldCharType="separate"/>
              </w:r>
              <w:r w:rsidR="003D6084">
                <w:rPr>
                  <w:noProof/>
                  <w:lang w:val="en-GB"/>
                </w:rPr>
                <w:t>RJ Lee Group 2018</w:t>
              </w:r>
              <w:r w:rsidRPr="007B6745" w:rsidR="003D6084">
                <w:fldChar w:fldCharType="end"/>
              </w:r>
            </w:hyperlink>
            <w:r>
              <w:rPr>
                <w:lang w:val="en-GB"/>
              </w:rPr>
              <w:t>)</w:t>
            </w:r>
          </w:p>
        </w:tc>
      </w:tr>
      <w:tr w14:paraId="0F885462" w14:textId="77777777" w:rsidTr="007B6745">
        <w:tblPrEx>
          <w:tblW w:w="5000" w:type="pct"/>
          <w:tblLook w:val="04A0"/>
        </w:tblPrEx>
        <w:trPr>
          <w:trHeight w:val="20"/>
        </w:trPr>
        <w:tc>
          <w:tcPr>
            <w:tcW w:w="1830" w:type="pct"/>
            <w:tcBorders>
              <w:top w:val="nil"/>
              <w:left w:val="single" w:sz="4" w:space="0" w:color="auto"/>
              <w:bottom w:val="single" w:sz="4" w:space="0" w:color="auto"/>
              <w:right w:val="single" w:sz="4" w:space="0" w:color="auto"/>
            </w:tcBorders>
            <w:vAlign w:val="center"/>
            <w:hideMark/>
          </w:tcPr>
          <w:p w:rsidR="007B6745" w:rsidRPr="007B6745" w:rsidP="007A54EA" w14:paraId="5C2BBF8E" w14:textId="77777777">
            <w:pPr>
              <w:pStyle w:val="LTableTextAbt"/>
            </w:pPr>
            <w:r w:rsidRPr="007B6745">
              <w:t xml:space="preserve">Wisconsin Occupational Health Laboratory </w:t>
            </w:r>
          </w:p>
        </w:tc>
        <w:tc>
          <w:tcPr>
            <w:tcW w:w="893" w:type="pct"/>
            <w:tcBorders>
              <w:top w:val="nil"/>
              <w:left w:val="nil"/>
              <w:bottom w:val="single" w:sz="4" w:space="0" w:color="auto"/>
              <w:right w:val="single" w:sz="4" w:space="0" w:color="auto"/>
            </w:tcBorders>
            <w:noWrap/>
            <w:vAlign w:val="center"/>
            <w:hideMark/>
          </w:tcPr>
          <w:p w:rsidR="007B6745" w:rsidRPr="007B6745" w:rsidP="003C6334" w14:paraId="15608AA6" w14:textId="77777777">
            <w:pPr>
              <w:pStyle w:val="RTableTextAbt"/>
            </w:pPr>
            <w:r w:rsidRPr="007B6745">
              <w:t>$28</w:t>
            </w:r>
          </w:p>
        </w:tc>
        <w:tc>
          <w:tcPr>
            <w:tcW w:w="2277" w:type="pct"/>
            <w:tcBorders>
              <w:top w:val="nil"/>
              <w:left w:val="nil"/>
              <w:bottom w:val="single" w:sz="4" w:space="0" w:color="auto"/>
              <w:right w:val="single" w:sz="4" w:space="0" w:color="auto"/>
            </w:tcBorders>
            <w:hideMark/>
          </w:tcPr>
          <w:p w:rsidR="007B6745" w:rsidRPr="007B6745" w:rsidP="003C6334" w14:paraId="33B3B089" w14:textId="3177951B">
            <w:pPr>
              <w:pStyle w:val="LTableTextAbt"/>
            </w:pPr>
            <w:r>
              <w:rPr>
                <w:lang w:val="en-GB"/>
              </w:rPr>
              <w:t>(</w:t>
            </w:r>
            <w:hyperlink w:anchor="_ENREF_71" w:tooltip="Wisconsin Occupational Health Laboratory, 2024 #70" w:history="1">
              <w:r w:rsidRPr="007B6745" w:rsidR="003D6084">
                <w:rPr>
                  <w:lang w:val="en-GB"/>
                </w:rPr>
                <w:fldChar w:fldCharType="begin" w:fldLock="1"/>
              </w:r>
              <w:r w:rsidR="003D6084">
                <w:rPr>
                  <w:lang w:val="en-GB"/>
                </w:rPr>
                <w:instrText xml:space="preserve"> ADDIN EN.CITE &lt;EndNote&gt;&lt;Cite&gt;&lt;Author&gt;Wisconsin Occupational Health Laboratory&lt;/Author&gt;&lt;Year&gt;2024&lt;/Year&gt;&lt;RecNum&gt;70&lt;/RecNum&gt;&lt;DisplayText&gt;Wisconsin Occupational Health Laboratory 2024&lt;/DisplayText&gt;&lt;record&gt;&lt;rec-number&gt;70&lt;/rec-number&gt;&lt;foreign-keys&gt;&lt;key app="EN" db-id="2apzr05radv9fjet2w6xxwdlz5e9vwfxredw" timestamp="1730757315"&gt;70&lt;/key&gt;&lt;/foreign-keys&gt;&lt;ref-type name="Journal Article"&gt;17&lt;/ref-type&gt;&lt;contributors&gt;&lt;authors&gt;&lt;author&gt;Wisconsin Occupational Health Laboratory,&lt;/author&gt;&lt;/authors&gt;&lt;/contributors&gt;&lt;titles&gt;&lt;title&gt;Fee Schedule&lt;/title&gt;&lt;/titles&gt;&lt;dates&gt;&lt;year&gt;2024&lt;/year&gt;&lt;/dates&gt;&lt;urls&gt;&lt;/urls&gt;&lt;/record&gt;&lt;/Cite&gt;&lt;/EndNote&gt;</w:instrText>
              </w:r>
              <w:r w:rsidRPr="007B6745" w:rsidR="003D6084">
                <w:rPr>
                  <w:lang w:val="en-GB"/>
                </w:rPr>
                <w:fldChar w:fldCharType="separate"/>
              </w:r>
              <w:r w:rsidR="003D6084">
                <w:rPr>
                  <w:noProof/>
                  <w:lang w:val="en-GB"/>
                </w:rPr>
                <w:t>Wisconsin Occupational Health Laboratory 2024</w:t>
              </w:r>
              <w:r w:rsidRPr="007B6745" w:rsidR="003D6084">
                <w:fldChar w:fldCharType="end"/>
              </w:r>
            </w:hyperlink>
            <w:r>
              <w:rPr>
                <w:lang w:val="en-GB"/>
              </w:rPr>
              <w:t>)</w:t>
            </w:r>
          </w:p>
        </w:tc>
      </w:tr>
      <w:tr w14:paraId="3E399374" w14:textId="77777777" w:rsidTr="007B6745">
        <w:tblPrEx>
          <w:tblW w:w="5000" w:type="pct"/>
          <w:tblLook w:val="04A0"/>
        </w:tblPrEx>
        <w:trPr>
          <w:trHeight w:val="20"/>
        </w:trPr>
        <w:tc>
          <w:tcPr>
            <w:tcW w:w="1830" w:type="pct"/>
            <w:tcBorders>
              <w:top w:val="nil"/>
              <w:left w:val="single" w:sz="4" w:space="0" w:color="auto"/>
              <w:bottom w:val="single" w:sz="4" w:space="0" w:color="auto"/>
              <w:right w:val="single" w:sz="4" w:space="0" w:color="auto"/>
            </w:tcBorders>
            <w:vAlign w:val="center"/>
            <w:hideMark/>
          </w:tcPr>
          <w:p w:rsidR="007B6745" w:rsidRPr="007B6745" w:rsidP="007A54EA" w14:paraId="7C19FA8E" w14:textId="77777777">
            <w:pPr>
              <w:pStyle w:val="LTableTextAbt"/>
            </w:pPr>
            <w:r w:rsidRPr="007B6745">
              <w:t>EMSL</w:t>
            </w:r>
          </w:p>
        </w:tc>
        <w:tc>
          <w:tcPr>
            <w:tcW w:w="893" w:type="pct"/>
            <w:tcBorders>
              <w:top w:val="nil"/>
              <w:left w:val="nil"/>
              <w:bottom w:val="single" w:sz="4" w:space="0" w:color="auto"/>
              <w:right w:val="single" w:sz="4" w:space="0" w:color="auto"/>
            </w:tcBorders>
            <w:noWrap/>
            <w:vAlign w:val="center"/>
            <w:hideMark/>
          </w:tcPr>
          <w:p w:rsidR="007B6745" w:rsidRPr="007B6745" w:rsidP="003C6334" w14:paraId="0BAE1A51" w14:textId="77777777">
            <w:pPr>
              <w:pStyle w:val="RTableTextAbt"/>
            </w:pPr>
            <w:r w:rsidRPr="007B6745">
              <w:t>$21</w:t>
            </w:r>
          </w:p>
        </w:tc>
        <w:tc>
          <w:tcPr>
            <w:tcW w:w="2277" w:type="pct"/>
            <w:tcBorders>
              <w:top w:val="nil"/>
              <w:left w:val="nil"/>
              <w:bottom w:val="single" w:sz="4" w:space="0" w:color="auto"/>
              <w:right w:val="single" w:sz="4" w:space="0" w:color="auto"/>
            </w:tcBorders>
            <w:hideMark/>
          </w:tcPr>
          <w:p w:rsidR="007B6745" w:rsidRPr="007B6745" w:rsidP="003C6334" w14:paraId="31344B4D" w14:textId="3D0681A9">
            <w:pPr>
              <w:pStyle w:val="LTableTextAbt"/>
            </w:pPr>
            <w:r>
              <w:rPr>
                <w:lang w:val="en-GB"/>
              </w:rPr>
              <w:t>(</w:t>
            </w:r>
            <w:hyperlink w:anchor="_ENREF_17" w:tooltip="EMSL, 2024 #17" w:history="1">
              <w:r w:rsidRPr="007B6745" w:rsidR="003D6084">
                <w:rPr>
                  <w:lang w:val="en-GB"/>
                </w:rPr>
                <w:fldChar w:fldCharType="begin" w:fldLock="1"/>
              </w:r>
              <w:r w:rsidR="003D6084">
                <w:rPr>
                  <w:lang w:val="en-GB"/>
                </w:rPr>
                <w:instrText xml:space="preserve"> ADDIN EN.CITE &lt;EndNote&gt;&lt;Cite&gt;&lt;Author&gt;EMSL&lt;/Author&gt;&lt;Year&gt;2024&lt;/Year&gt;&lt;RecNum&gt;17&lt;/RecNum&gt;&lt;DisplayText&gt;EMSL 2024&lt;/DisplayText&gt;&lt;record&gt;&lt;rec-number&gt;17&lt;/rec-number&gt;&lt;foreign-keys&gt;&lt;key app="EN" db-id="2apzr05radv9fjet2w6xxwdlz5e9vwfxredw" timestamp="1730757315"&gt;17&lt;/key&gt;&lt;/foreign-keys&gt;&lt;ref-type name="Journal Article"&gt;17&lt;/ref-type&gt;&lt;contributors&gt;&lt;authors&gt;&lt;author&gt;EMSL,&lt;/author&gt;&lt;/authors&gt;&lt;/contributors&gt;&lt;titles&gt;&lt;title&gt;Commercial Price List: Analytical Laboratory Services&lt;/title&gt;&lt;/titles&gt;&lt;dates&gt;&lt;year&gt;2024&lt;/year&gt;&lt;/dates&gt;&lt;urls&gt;&lt;/urls&gt;&lt;/record&gt;&lt;/Cite&gt;&lt;/EndNote&gt;</w:instrText>
              </w:r>
              <w:r w:rsidRPr="007B6745" w:rsidR="003D6084">
                <w:rPr>
                  <w:lang w:val="en-GB"/>
                </w:rPr>
                <w:fldChar w:fldCharType="separate"/>
              </w:r>
              <w:r w:rsidR="003D6084">
                <w:rPr>
                  <w:noProof/>
                  <w:lang w:val="en-GB"/>
                </w:rPr>
                <w:t>EMSL 2024</w:t>
              </w:r>
              <w:r w:rsidRPr="007B6745" w:rsidR="003D6084">
                <w:fldChar w:fldCharType="end"/>
              </w:r>
            </w:hyperlink>
            <w:r w:rsidR="00AC64DF">
              <w:rPr>
                <w:lang w:val="en-GB"/>
              </w:rPr>
              <w:t>)</w:t>
            </w:r>
          </w:p>
        </w:tc>
      </w:tr>
      <w:tr w14:paraId="111773F2" w14:textId="77777777" w:rsidTr="007B6745">
        <w:tblPrEx>
          <w:tblW w:w="5000" w:type="pct"/>
          <w:tblLook w:val="04A0"/>
        </w:tblPrEx>
        <w:trPr>
          <w:trHeight w:val="20"/>
        </w:trPr>
        <w:tc>
          <w:tcPr>
            <w:tcW w:w="1830" w:type="pct"/>
            <w:tcBorders>
              <w:top w:val="nil"/>
              <w:left w:val="single" w:sz="4" w:space="0" w:color="auto"/>
              <w:bottom w:val="single" w:sz="4" w:space="0" w:color="auto"/>
              <w:right w:val="single" w:sz="4" w:space="0" w:color="auto"/>
            </w:tcBorders>
            <w:vAlign w:val="center"/>
            <w:hideMark/>
          </w:tcPr>
          <w:p w:rsidR="007B6745" w:rsidRPr="007B6745" w:rsidP="007A54EA" w14:paraId="41DA91BF" w14:textId="77777777">
            <w:pPr>
              <w:pStyle w:val="LTableTextAbt"/>
            </w:pPr>
            <w:r w:rsidRPr="007B6745">
              <w:t>Hawaii Analytical</w:t>
            </w:r>
          </w:p>
        </w:tc>
        <w:tc>
          <w:tcPr>
            <w:tcW w:w="893" w:type="pct"/>
            <w:tcBorders>
              <w:top w:val="nil"/>
              <w:left w:val="nil"/>
              <w:bottom w:val="single" w:sz="4" w:space="0" w:color="auto"/>
              <w:right w:val="single" w:sz="4" w:space="0" w:color="auto"/>
            </w:tcBorders>
            <w:noWrap/>
            <w:vAlign w:val="center"/>
            <w:hideMark/>
          </w:tcPr>
          <w:p w:rsidR="007B6745" w:rsidRPr="007B6745" w:rsidP="003C6334" w14:paraId="79162699" w14:textId="77777777">
            <w:pPr>
              <w:pStyle w:val="RTableTextAbt"/>
            </w:pPr>
            <w:r w:rsidRPr="007B6745">
              <w:t>$23</w:t>
            </w:r>
          </w:p>
        </w:tc>
        <w:tc>
          <w:tcPr>
            <w:tcW w:w="2277" w:type="pct"/>
            <w:tcBorders>
              <w:top w:val="nil"/>
              <w:left w:val="nil"/>
              <w:bottom w:val="single" w:sz="4" w:space="0" w:color="auto"/>
              <w:right w:val="single" w:sz="4" w:space="0" w:color="auto"/>
            </w:tcBorders>
            <w:hideMark/>
          </w:tcPr>
          <w:p w:rsidR="007B6745" w:rsidRPr="007B6745" w:rsidP="003C6334" w14:paraId="61D3B018" w14:textId="1570FA36">
            <w:pPr>
              <w:pStyle w:val="LTableTextAbt"/>
            </w:pPr>
            <w:r>
              <w:rPr>
                <w:lang w:val="en-GB"/>
              </w:rPr>
              <w:t>(</w:t>
            </w:r>
            <w:hyperlink w:anchor="_ENREF_26" w:tooltip="Hawaii Analytical Laboratory, 2024 #26" w:history="1">
              <w:r w:rsidRPr="007B6745" w:rsidR="003D6084">
                <w:rPr>
                  <w:lang w:val="en-GB"/>
                </w:rPr>
                <w:fldChar w:fldCharType="begin" w:fldLock="1"/>
              </w:r>
              <w:r w:rsidR="003D6084">
                <w:rPr>
                  <w:lang w:val="en-GB"/>
                </w:rPr>
                <w:instrText xml:space="preserve"> ADDIN EN.CITE &lt;EndNote&gt;&lt;Cite&gt;&lt;Author&gt;Hawaii Analytical Laboratory&lt;/Author&gt;&lt;Year&gt;2024&lt;/Year&gt;&lt;RecNum&gt;26&lt;/RecNum&gt;&lt;DisplayText&gt;Hawaii Analytical Laboratory 2024&lt;/DisplayText&gt;&lt;record&gt;&lt;rec-number&gt;26&lt;/rec-number&gt;&lt;foreign-keys&gt;&lt;key app="EN" db-id="2apzr05radv9fjet2w6xxwdlz5e9vwfxredw" timestamp="1730757315"&gt;26&lt;/key&gt;&lt;/foreign-keys&gt;&lt;ref-type name="Journal Article"&gt;17&lt;/ref-type&gt;&lt;contributors&gt;&lt;authors&gt;&lt;author&gt;Hawaii Analytical Laboratory, LLC.,&lt;/author&gt;&lt;/authors&gt;&lt;/contributors&gt;&lt;titles&gt;&lt;title&gt;Contractor Price List&lt;/title&gt;&lt;/titles&gt;&lt;dates&gt;&lt;year&gt;2024&lt;/year&gt;&lt;/dates&gt;&lt;urls&gt;&lt;/urls&gt;&lt;/record&gt;&lt;/Cite&gt;&lt;/EndNote&gt;</w:instrText>
              </w:r>
              <w:r w:rsidRPr="007B6745" w:rsidR="003D6084">
                <w:rPr>
                  <w:lang w:val="en-GB"/>
                </w:rPr>
                <w:fldChar w:fldCharType="separate"/>
              </w:r>
              <w:r w:rsidR="003D6084">
                <w:rPr>
                  <w:noProof/>
                  <w:lang w:val="en-GB"/>
                </w:rPr>
                <w:t>Hawaii Analytical Laboratory 2024</w:t>
              </w:r>
              <w:r w:rsidRPr="007B6745" w:rsidR="003D6084">
                <w:fldChar w:fldCharType="end"/>
              </w:r>
            </w:hyperlink>
            <w:r w:rsidR="00AC64DF">
              <w:rPr>
                <w:lang w:val="en-GB"/>
              </w:rPr>
              <w:t xml:space="preserve"> )</w:t>
            </w:r>
          </w:p>
        </w:tc>
      </w:tr>
      <w:tr w14:paraId="00367C0E" w14:textId="77777777" w:rsidTr="007B6745">
        <w:tblPrEx>
          <w:tblW w:w="5000" w:type="pct"/>
          <w:tblLook w:val="04A0"/>
        </w:tblPrEx>
        <w:trPr>
          <w:trHeight w:val="20"/>
        </w:trPr>
        <w:tc>
          <w:tcPr>
            <w:tcW w:w="1830" w:type="pct"/>
            <w:tcBorders>
              <w:top w:val="nil"/>
              <w:left w:val="single" w:sz="4" w:space="0" w:color="auto"/>
              <w:bottom w:val="single" w:sz="4" w:space="0" w:color="auto"/>
              <w:right w:val="single" w:sz="4" w:space="0" w:color="auto"/>
            </w:tcBorders>
            <w:noWrap/>
            <w:vAlign w:val="center"/>
            <w:hideMark/>
          </w:tcPr>
          <w:p w:rsidR="007B6745" w:rsidRPr="007B6745" w:rsidP="007A54EA" w14:paraId="4BC7BB9E" w14:textId="77777777">
            <w:pPr>
              <w:pStyle w:val="LTableTextAbt"/>
              <w:rPr>
                <w:b/>
                <w:vertAlign w:val="superscript"/>
              </w:rPr>
            </w:pPr>
            <w:r w:rsidRPr="007B6745">
              <w:rPr>
                <w:b/>
              </w:rPr>
              <w:t>Average</w:t>
            </w:r>
            <w:r w:rsidRPr="007B6745">
              <w:rPr>
                <w:b/>
                <w:vertAlign w:val="superscript"/>
              </w:rPr>
              <w:t xml:space="preserve"> a</w:t>
            </w:r>
          </w:p>
        </w:tc>
        <w:tc>
          <w:tcPr>
            <w:tcW w:w="893" w:type="pct"/>
            <w:tcBorders>
              <w:top w:val="nil"/>
              <w:left w:val="nil"/>
              <w:bottom w:val="single" w:sz="4" w:space="0" w:color="auto"/>
              <w:right w:val="single" w:sz="4" w:space="0" w:color="auto"/>
            </w:tcBorders>
            <w:noWrap/>
            <w:vAlign w:val="center"/>
            <w:hideMark/>
          </w:tcPr>
          <w:p w:rsidR="007B6745" w:rsidRPr="007B6745" w:rsidP="003C6334" w14:paraId="487578C9" w14:textId="77777777">
            <w:pPr>
              <w:pStyle w:val="RTableTextAbt"/>
              <w:rPr>
                <w:b/>
              </w:rPr>
            </w:pPr>
            <w:r w:rsidRPr="007B6745">
              <w:rPr>
                <w:b/>
              </w:rPr>
              <w:t>$24</w:t>
            </w:r>
          </w:p>
        </w:tc>
        <w:tc>
          <w:tcPr>
            <w:tcW w:w="2277" w:type="pct"/>
            <w:tcBorders>
              <w:top w:val="nil"/>
              <w:left w:val="nil"/>
              <w:bottom w:val="single" w:sz="4" w:space="0" w:color="auto"/>
              <w:right w:val="single" w:sz="4" w:space="0" w:color="auto"/>
            </w:tcBorders>
          </w:tcPr>
          <w:p w:rsidR="007B6745" w:rsidRPr="007B6745" w:rsidP="003C6334" w14:paraId="5DA78F6F" w14:textId="77777777">
            <w:pPr>
              <w:pStyle w:val="LTableTextAbt"/>
              <w:rPr>
                <w:b/>
              </w:rPr>
            </w:pPr>
          </w:p>
        </w:tc>
      </w:tr>
      <w:tr w14:paraId="0A48FC0D" w14:textId="77777777" w:rsidTr="007B6745">
        <w:tblPrEx>
          <w:tblW w:w="5000" w:type="pct"/>
          <w:tblLook w:val="04A0"/>
        </w:tblPrEx>
        <w:trPr>
          <w:trHeight w:val="20"/>
        </w:trPr>
        <w:tc>
          <w:tcPr>
            <w:tcW w:w="5000" w:type="pct"/>
            <w:gridSpan w:val="3"/>
            <w:tcBorders>
              <w:top w:val="single" w:sz="4" w:space="0" w:color="auto"/>
              <w:left w:val="single" w:sz="4" w:space="0" w:color="auto"/>
              <w:bottom w:val="single" w:sz="4" w:space="0" w:color="auto"/>
              <w:right w:val="single" w:sz="4" w:space="0" w:color="auto"/>
            </w:tcBorders>
            <w:noWrap/>
            <w:vAlign w:val="center"/>
            <w:hideMark/>
          </w:tcPr>
          <w:p w:rsidR="007B6745" w:rsidRPr="007B6745" w:rsidP="003C6334" w14:paraId="4541D9B0" w14:textId="77777777">
            <w:pPr>
              <w:pStyle w:val="TableNote0"/>
            </w:pPr>
            <w:r w:rsidRPr="007B6745">
              <w:t>a. rounded to the nearest dollar</w:t>
            </w:r>
          </w:p>
        </w:tc>
      </w:tr>
    </w:tbl>
    <w:p w:rsidR="007B6745" w:rsidRPr="007B6745" w:rsidP="00832749" w14:paraId="2CFA28AF" w14:textId="77777777">
      <w:pPr>
        <w:pStyle w:val="BodyText"/>
      </w:pPr>
    </w:p>
    <w:p w:rsidR="007B6745" w:rsidRPr="007B6745" w:rsidP="00832749" w14:paraId="1B7415CE" w14:textId="7F203459">
      <w:pPr>
        <w:pStyle w:val="BodyText"/>
      </w:pPr>
      <w:r w:rsidRPr="007B6745">
        <w:noBreakHyphen/>
      </w:r>
      <w:r w:rsidRPr="47F4D8F7">
        <w:rPr>
          <w:lang w:val="en-US"/>
        </w:rPr>
        <w:t xml:space="preserve">The NIOSH 0600 testing protocol specifies that there should be 2 to 4 replicate samples per batch of field samples. As such, EPA assumes that there would be 25 samples taken per 20 employees. </w:t>
      </w:r>
      <w:r w:rsidRPr="007B6745">
        <w:fldChar w:fldCharType="begin" w:fldLock="1"/>
      </w:r>
      <w:r w:rsidRPr="007B6745">
        <w:instrText xml:space="preserve"> REF _Ref180406959 </w:instrText>
      </w:r>
      <w:r w:rsidR="00AF31BB">
        <w:instrText xml:space="preserve"> \* MERGEFORMAT </w:instrText>
      </w:r>
      <w:r w:rsidRPr="007B6745">
        <w:fldChar w:fldCharType="separate"/>
      </w:r>
      <w:r w:rsidRPr="00735BBC" w:rsidR="00735BBC">
        <w:rPr>
          <w:lang w:val="en-US"/>
        </w:rPr>
        <w:t>Table 4</w:t>
      </w:r>
      <w:r w:rsidRPr="00735BBC" w:rsidR="00735BBC">
        <w:rPr>
          <w:lang w:val="en-US"/>
        </w:rPr>
        <w:noBreakHyphen/>
        <w:t>23</w:t>
      </w:r>
      <w:r w:rsidRPr="007B6745">
        <w:fldChar w:fldCharType="end"/>
      </w:r>
      <w:r w:rsidRPr="47F4D8F7">
        <w:rPr>
          <w:lang w:val="en-US"/>
        </w:rPr>
        <w:t xml:space="preserve"> summarizes the resultant total costs associated with a single monitoring event at a complex worksite with 20 employees. The total costs per worker is $279 based on this approach.</w:t>
      </w:r>
    </w:p>
    <w:tbl>
      <w:tblPr>
        <w:tblW w:w="5000" w:type="pct"/>
        <w:tblLook w:val="04A0"/>
      </w:tblPr>
      <w:tblGrid>
        <w:gridCol w:w="2702"/>
        <w:gridCol w:w="1664"/>
        <w:gridCol w:w="1664"/>
        <w:gridCol w:w="1664"/>
        <w:gridCol w:w="1666"/>
      </w:tblGrid>
      <w:tr w14:paraId="045B5A40" w14:textId="77777777" w:rsidTr="00AD381A">
        <w:tblPrEx>
          <w:tblW w:w="5000" w:type="pct"/>
          <w:tblLook w:val="04A0"/>
        </w:tblPrEx>
        <w:trPr>
          <w:trHeight w:val="20"/>
          <w:tblHeader/>
        </w:trPr>
        <w:tc>
          <w:tcPr>
            <w:tcW w:w="5000" w:type="pct"/>
            <w:gridSpan w:val="5"/>
            <w:tcBorders>
              <w:bottom w:val="single" w:sz="4" w:space="0" w:color="auto"/>
            </w:tcBorders>
            <w:shd w:val="clear" w:color="auto" w:fill="auto"/>
            <w:vAlign w:val="center"/>
          </w:tcPr>
          <w:p w:rsidR="00AD381A" w:rsidRPr="007B6745" w:rsidP="00AD381A" w14:paraId="1F1F06FA" w14:textId="70ACC18C">
            <w:pPr>
              <w:pStyle w:val="TableTitleA"/>
            </w:pPr>
            <w:bookmarkStart w:id="237" w:name="_Ref180406959"/>
            <w:bookmarkStart w:id="238" w:name="_Toc184299579"/>
            <w:r w:rsidRPr="007B6745">
              <w:t xml:space="preserve">Table </w:t>
            </w:r>
            <w:r>
              <w:fldChar w:fldCharType="begin" w:fldLock="1"/>
            </w:r>
            <w:r>
              <w:instrText>STYLEREF 1 \s</w:instrText>
            </w:r>
            <w:r>
              <w:fldChar w:fldCharType="separate"/>
            </w:r>
            <w:r w:rsidR="00735BBC">
              <w:rPr>
                <w:noProof/>
              </w:rPr>
              <w:t>4</w:t>
            </w:r>
            <w:r>
              <w:fldChar w:fldCharType="end"/>
            </w:r>
            <w:r w:rsidR="000A1542">
              <w:noBreakHyphen/>
            </w:r>
            <w:r>
              <w:fldChar w:fldCharType="begin" w:fldLock="1"/>
            </w:r>
            <w:r>
              <w:instrText>SEQ Table \* ARABIC \s 1</w:instrText>
            </w:r>
            <w:r>
              <w:fldChar w:fldCharType="separate"/>
            </w:r>
            <w:r w:rsidR="00735BBC">
              <w:rPr>
                <w:noProof/>
              </w:rPr>
              <w:t>23</w:t>
            </w:r>
            <w:r>
              <w:fldChar w:fldCharType="end"/>
            </w:r>
            <w:bookmarkEnd w:id="237"/>
            <w:r w:rsidRPr="007B6745">
              <w:t>: Summary of Costs Associated with Monitoring Event at a Complex Worksite (20 Workers)</w:t>
            </w:r>
            <w:bookmarkEnd w:id="238"/>
          </w:p>
        </w:tc>
      </w:tr>
      <w:tr w14:paraId="5C645E2D" w14:textId="77777777" w:rsidTr="00AD381A">
        <w:tblPrEx>
          <w:tblW w:w="5000" w:type="pct"/>
          <w:tblLook w:val="04A0"/>
        </w:tblPrEx>
        <w:trPr>
          <w:trHeight w:val="20"/>
          <w:tblHeader/>
        </w:trPr>
        <w:tc>
          <w:tcPr>
            <w:tcW w:w="1443"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4F7544D8" w14:textId="77777777">
            <w:pPr>
              <w:pStyle w:val="TableSubtitle"/>
            </w:pPr>
            <w:r w:rsidRPr="007B6745">
              <w:t>Cost category</w:t>
            </w:r>
          </w:p>
        </w:tc>
        <w:tc>
          <w:tcPr>
            <w:tcW w:w="889" w:type="pct"/>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60DEF778" w14:textId="77777777">
            <w:pPr>
              <w:pStyle w:val="TableSubtitle"/>
            </w:pPr>
            <w:r w:rsidRPr="007B6745">
              <w:t>Unit</w:t>
            </w:r>
          </w:p>
        </w:tc>
        <w:tc>
          <w:tcPr>
            <w:tcW w:w="889" w:type="pct"/>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64C8B119" w14:textId="77777777">
            <w:pPr>
              <w:pStyle w:val="TableSubtitle"/>
            </w:pPr>
            <w:r w:rsidRPr="007B6745">
              <w:t>Rate</w:t>
            </w:r>
          </w:p>
        </w:tc>
        <w:tc>
          <w:tcPr>
            <w:tcW w:w="889" w:type="pct"/>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023F0B9D" w14:textId="77777777">
            <w:pPr>
              <w:pStyle w:val="TableSubtitle"/>
            </w:pPr>
            <w:r w:rsidRPr="007B6745">
              <w:t>Quantity</w:t>
            </w:r>
          </w:p>
        </w:tc>
        <w:tc>
          <w:tcPr>
            <w:tcW w:w="890" w:type="pct"/>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47AD3F5B" w14:textId="77777777">
            <w:pPr>
              <w:pStyle w:val="TableSubtitle"/>
            </w:pPr>
            <w:r w:rsidRPr="007B6745">
              <w:t>Total cost</w:t>
            </w:r>
          </w:p>
        </w:tc>
      </w:tr>
      <w:tr w14:paraId="1DCE3E6F" w14:textId="77777777" w:rsidTr="007B6745">
        <w:tblPrEx>
          <w:tblW w:w="5000" w:type="pct"/>
          <w:tblLook w:val="04A0"/>
        </w:tblPrEx>
        <w:trPr>
          <w:trHeight w:val="20"/>
        </w:trPr>
        <w:tc>
          <w:tcPr>
            <w:tcW w:w="1443" w:type="pct"/>
            <w:tcBorders>
              <w:top w:val="nil"/>
              <w:left w:val="single" w:sz="4" w:space="0" w:color="auto"/>
              <w:bottom w:val="single" w:sz="4" w:space="0" w:color="auto"/>
              <w:right w:val="single" w:sz="4" w:space="0" w:color="auto"/>
            </w:tcBorders>
            <w:vAlign w:val="center"/>
            <w:hideMark/>
          </w:tcPr>
          <w:p w:rsidR="007B6745" w:rsidRPr="007B6745" w:rsidP="007A54EA" w14:paraId="117DC635" w14:textId="77777777">
            <w:pPr>
              <w:pStyle w:val="LTableTextAbt"/>
              <w:rPr>
                <w:vertAlign w:val="superscript"/>
              </w:rPr>
            </w:pPr>
            <w:r w:rsidRPr="007B6745">
              <w:t>Certified industrial hygienist</w:t>
            </w:r>
            <w:r w:rsidRPr="007B6745">
              <w:rPr>
                <w:vertAlign w:val="superscript"/>
              </w:rPr>
              <w:t xml:space="preserve"> a</w:t>
            </w:r>
          </w:p>
        </w:tc>
        <w:tc>
          <w:tcPr>
            <w:tcW w:w="889" w:type="pct"/>
            <w:tcBorders>
              <w:top w:val="nil"/>
              <w:left w:val="nil"/>
              <w:bottom w:val="single" w:sz="4" w:space="0" w:color="auto"/>
              <w:right w:val="single" w:sz="4" w:space="0" w:color="auto"/>
            </w:tcBorders>
            <w:vAlign w:val="center"/>
            <w:hideMark/>
          </w:tcPr>
          <w:p w:rsidR="007B6745" w:rsidRPr="007B6745" w:rsidP="007A54EA" w14:paraId="21299B46" w14:textId="77777777">
            <w:pPr>
              <w:pStyle w:val="LTableTextAbt"/>
            </w:pPr>
            <w:r w:rsidRPr="007B6745">
              <w:t>Labor hours</w:t>
            </w:r>
          </w:p>
        </w:tc>
        <w:tc>
          <w:tcPr>
            <w:tcW w:w="889" w:type="pct"/>
            <w:tcBorders>
              <w:top w:val="nil"/>
              <w:left w:val="nil"/>
              <w:bottom w:val="single" w:sz="4" w:space="0" w:color="auto"/>
              <w:right w:val="single" w:sz="4" w:space="0" w:color="auto"/>
            </w:tcBorders>
            <w:noWrap/>
            <w:vAlign w:val="center"/>
            <w:hideMark/>
          </w:tcPr>
          <w:p w:rsidR="007B6745" w:rsidRPr="007B6745" w:rsidP="003C6334" w14:paraId="543692DD" w14:textId="77777777">
            <w:pPr>
              <w:pStyle w:val="RTableTextAbt"/>
            </w:pPr>
            <w:r w:rsidRPr="007B6745">
              <w:t>$190</w:t>
            </w:r>
          </w:p>
        </w:tc>
        <w:tc>
          <w:tcPr>
            <w:tcW w:w="889" w:type="pct"/>
            <w:tcBorders>
              <w:top w:val="nil"/>
              <w:left w:val="nil"/>
              <w:bottom w:val="single" w:sz="4" w:space="0" w:color="auto"/>
              <w:right w:val="single" w:sz="4" w:space="0" w:color="auto"/>
            </w:tcBorders>
            <w:noWrap/>
            <w:vAlign w:val="center"/>
            <w:hideMark/>
          </w:tcPr>
          <w:p w:rsidR="007B6745" w:rsidRPr="007B6745" w:rsidP="003C6334" w14:paraId="4CACF83C" w14:textId="77777777">
            <w:pPr>
              <w:pStyle w:val="RTableTextAbt"/>
            </w:pPr>
            <w:r w:rsidRPr="007B6745">
              <w:t>6</w:t>
            </w:r>
          </w:p>
        </w:tc>
        <w:tc>
          <w:tcPr>
            <w:tcW w:w="890" w:type="pct"/>
            <w:tcBorders>
              <w:top w:val="nil"/>
              <w:left w:val="nil"/>
              <w:bottom w:val="single" w:sz="4" w:space="0" w:color="auto"/>
              <w:right w:val="single" w:sz="4" w:space="0" w:color="auto"/>
            </w:tcBorders>
            <w:noWrap/>
            <w:vAlign w:val="center"/>
            <w:hideMark/>
          </w:tcPr>
          <w:p w:rsidR="007B6745" w:rsidRPr="007B6745" w:rsidP="003C6334" w14:paraId="22BBE85F" w14:textId="77777777">
            <w:pPr>
              <w:pStyle w:val="RTableTextAbt"/>
            </w:pPr>
            <w:r w:rsidRPr="007B6745">
              <w:t>$1,140</w:t>
            </w:r>
          </w:p>
        </w:tc>
      </w:tr>
      <w:tr w14:paraId="2DDD9D3D" w14:textId="77777777" w:rsidTr="007B6745">
        <w:tblPrEx>
          <w:tblW w:w="5000" w:type="pct"/>
          <w:tblLook w:val="04A0"/>
        </w:tblPrEx>
        <w:trPr>
          <w:trHeight w:val="20"/>
        </w:trPr>
        <w:tc>
          <w:tcPr>
            <w:tcW w:w="1443" w:type="pct"/>
            <w:tcBorders>
              <w:top w:val="nil"/>
              <w:left w:val="single" w:sz="4" w:space="0" w:color="auto"/>
              <w:bottom w:val="single" w:sz="4" w:space="0" w:color="auto"/>
              <w:right w:val="single" w:sz="4" w:space="0" w:color="auto"/>
            </w:tcBorders>
            <w:vAlign w:val="center"/>
            <w:hideMark/>
          </w:tcPr>
          <w:p w:rsidR="007B6745" w:rsidRPr="007B6745" w:rsidP="007A54EA" w14:paraId="0C3DEB77" w14:textId="77777777">
            <w:pPr>
              <w:pStyle w:val="LTableTextAbt"/>
              <w:rPr>
                <w:vertAlign w:val="superscript"/>
              </w:rPr>
            </w:pPr>
            <w:r w:rsidRPr="007B6745">
              <w:t>Technical specialist</w:t>
            </w:r>
            <w:r w:rsidRPr="007B6745">
              <w:rPr>
                <w:vertAlign w:val="superscript"/>
              </w:rPr>
              <w:t xml:space="preserve"> a</w:t>
            </w:r>
          </w:p>
        </w:tc>
        <w:tc>
          <w:tcPr>
            <w:tcW w:w="889" w:type="pct"/>
            <w:tcBorders>
              <w:top w:val="nil"/>
              <w:left w:val="nil"/>
              <w:bottom w:val="single" w:sz="4" w:space="0" w:color="auto"/>
              <w:right w:val="single" w:sz="4" w:space="0" w:color="auto"/>
            </w:tcBorders>
            <w:vAlign w:val="center"/>
            <w:hideMark/>
          </w:tcPr>
          <w:p w:rsidR="007B6745" w:rsidRPr="007B6745" w:rsidP="007A54EA" w14:paraId="3E7EDE1E" w14:textId="77777777">
            <w:pPr>
              <w:pStyle w:val="LTableTextAbt"/>
            </w:pPr>
            <w:r w:rsidRPr="007B6745">
              <w:t>Labor hours</w:t>
            </w:r>
          </w:p>
        </w:tc>
        <w:tc>
          <w:tcPr>
            <w:tcW w:w="889" w:type="pct"/>
            <w:tcBorders>
              <w:top w:val="nil"/>
              <w:left w:val="nil"/>
              <w:bottom w:val="single" w:sz="4" w:space="0" w:color="auto"/>
              <w:right w:val="single" w:sz="4" w:space="0" w:color="auto"/>
            </w:tcBorders>
            <w:noWrap/>
            <w:vAlign w:val="center"/>
            <w:hideMark/>
          </w:tcPr>
          <w:p w:rsidR="007B6745" w:rsidRPr="007B6745" w:rsidP="003C6334" w14:paraId="241BECFB" w14:textId="77777777">
            <w:pPr>
              <w:pStyle w:val="RTableTextAbt"/>
            </w:pPr>
            <w:r w:rsidRPr="007B6745">
              <w:t>$97</w:t>
            </w:r>
          </w:p>
        </w:tc>
        <w:tc>
          <w:tcPr>
            <w:tcW w:w="889" w:type="pct"/>
            <w:tcBorders>
              <w:top w:val="nil"/>
              <w:left w:val="nil"/>
              <w:bottom w:val="single" w:sz="4" w:space="0" w:color="auto"/>
              <w:right w:val="single" w:sz="4" w:space="0" w:color="auto"/>
            </w:tcBorders>
            <w:noWrap/>
            <w:vAlign w:val="center"/>
            <w:hideMark/>
          </w:tcPr>
          <w:p w:rsidR="007B6745" w:rsidRPr="007B6745" w:rsidP="003C6334" w14:paraId="5E5F28FB" w14:textId="77777777">
            <w:pPr>
              <w:pStyle w:val="RTableTextAbt"/>
            </w:pPr>
            <w:r w:rsidRPr="007B6745">
              <w:t>36</w:t>
            </w:r>
          </w:p>
        </w:tc>
        <w:tc>
          <w:tcPr>
            <w:tcW w:w="890" w:type="pct"/>
            <w:tcBorders>
              <w:top w:val="nil"/>
              <w:left w:val="nil"/>
              <w:bottom w:val="single" w:sz="4" w:space="0" w:color="auto"/>
              <w:right w:val="single" w:sz="4" w:space="0" w:color="auto"/>
            </w:tcBorders>
            <w:noWrap/>
            <w:vAlign w:val="center"/>
            <w:hideMark/>
          </w:tcPr>
          <w:p w:rsidR="007B6745" w:rsidRPr="007B6745" w:rsidP="003C6334" w14:paraId="03B4102F" w14:textId="77777777">
            <w:pPr>
              <w:pStyle w:val="RTableTextAbt"/>
            </w:pPr>
            <w:r w:rsidRPr="007B6745">
              <w:t>$3,492</w:t>
            </w:r>
          </w:p>
        </w:tc>
      </w:tr>
      <w:tr w14:paraId="516F8229" w14:textId="77777777" w:rsidTr="007B6745">
        <w:tblPrEx>
          <w:tblW w:w="5000" w:type="pct"/>
          <w:tblLook w:val="04A0"/>
        </w:tblPrEx>
        <w:trPr>
          <w:trHeight w:val="20"/>
        </w:trPr>
        <w:tc>
          <w:tcPr>
            <w:tcW w:w="1443" w:type="pct"/>
            <w:tcBorders>
              <w:top w:val="nil"/>
              <w:left w:val="single" w:sz="4" w:space="0" w:color="auto"/>
              <w:bottom w:val="single" w:sz="4" w:space="0" w:color="auto"/>
              <w:right w:val="single" w:sz="4" w:space="0" w:color="auto"/>
            </w:tcBorders>
            <w:vAlign w:val="center"/>
            <w:hideMark/>
          </w:tcPr>
          <w:p w:rsidR="007B6745" w:rsidRPr="007B6745" w:rsidP="007A54EA" w14:paraId="29E5EF8C" w14:textId="77777777">
            <w:pPr>
              <w:pStyle w:val="LTableTextAbt"/>
              <w:rPr>
                <w:vertAlign w:val="superscript"/>
              </w:rPr>
            </w:pPr>
            <w:r w:rsidRPr="007B6745">
              <w:t>Sampling equipment</w:t>
            </w:r>
            <w:r w:rsidRPr="007B6745">
              <w:rPr>
                <w:vertAlign w:val="superscript"/>
              </w:rPr>
              <w:t xml:space="preserve"> b</w:t>
            </w:r>
          </w:p>
        </w:tc>
        <w:tc>
          <w:tcPr>
            <w:tcW w:w="889" w:type="pct"/>
            <w:tcBorders>
              <w:top w:val="nil"/>
              <w:left w:val="nil"/>
              <w:bottom w:val="single" w:sz="4" w:space="0" w:color="auto"/>
              <w:right w:val="single" w:sz="4" w:space="0" w:color="auto"/>
            </w:tcBorders>
            <w:vAlign w:val="center"/>
            <w:hideMark/>
          </w:tcPr>
          <w:p w:rsidR="007B6745" w:rsidRPr="007B6745" w:rsidP="007A54EA" w14:paraId="7523A526" w14:textId="77777777">
            <w:pPr>
              <w:pStyle w:val="LTableTextAbt"/>
            </w:pPr>
            <w:r w:rsidRPr="007B6745">
              <w:t>Monitoring event</w:t>
            </w:r>
          </w:p>
        </w:tc>
        <w:tc>
          <w:tcPr>
            <w:tcW w:w="889" w:type="pct"/>
            <w:tcBorders>
              <w:top w:val="nil"/>
              <w:left w:val="nil"/>
              <w:bottom w:val="single" w:sz="4" w:space="0" w:color="auto"/>
              <w:right w:val="single" w:sz="4" w:space="0" w:color="auto"/>
            </w:tcBorders>
            <w:noWrap/>
            <w:vAlign w:val="center"/>
            <w:hideMark/>
          </w:tcPr>
          <w:p w:rsidR="007B6745" w:rsidRPr="007B6745" w:rsidP="003C6334" w14:paraId="73839418" w14:textId="77777777">
            <w:pPr>
              <w:pStyle w:val="RTableTextAbt"/>
            </w:pPr>
            <w:r w:rsidRPr="007B6745">
              <w:t>$256</w:t>
            </w:r>
          </w:p>
        </w:tc>
        <w:tc>
          <w:tcPr>
            <w:tcW w:w="889" w:type="pct"/>
            <w:tcBorders>
              <w:top w:val="nil"/>
              <w:left w:val="nil"/>
              <w:bottom w:val="single" w:sz="4" w:space="0" w:color="auto"/>
              <w:right w:val="single" w:sz="4" w:space="0" w:color="auto"/>
            </w:tcBorders>
            <w:noWrap/>
            <w:vAlign w:val="center"/>
            <w:hideMark/>
          </w:tcPr>
          <w:p w:rsidR="007B6745" w:rsidRPr="007B6745" w:rsidP="003C6334" w14:paraId="19D54F23" w14:textId="77777777">
            <w:pPr>
              <w:pStyle w:val="RTableTextAbt"/>
            </w:pPr>
            <w:r w:rsidRPr="007B6745">
              <w:t>1</w:t>
            </w:r>
          </w:p>
        </w:tc>
        <w:tc>
          <w:tcPr>
            <w:tcW w:w="890" w:type="pct"/>
            <w:tcBorders>
              <w:top w:val="nil"/>
              <w:left w:val="nil"/>
              <w:bottom w:val="single" w:sz="4" w:space="0" w:color="auto"/>
              <w:right w:val="single" w:sz="4" w:space="0" w:color="auto"/>
            </w:tcBorders>
            <w:noWrap/>
            <w:vAlign w:val="center"/>
            <w:hideMark/>
          </w:tcPr>
          <w:p w:rsidR="007B6745" w:rsidRPr="007B6745" w:rsidP="003C6334" w14:paraId="2749B347" w14:textId="77777777">
            <w:pPr>
              <w:pStyle w:val="RTableTextAbt"/>
            </w:pPr>
            <w:r w:rsidRPr="007B6745">
              <w:t>$256</w:t>
            </w:r>
          </w:p>
        </w:tc>
      </w:tr>
      <w:tr w14:paraId="6169F34A" w14:textId="77777777" w:rsidTr="007B6745">
        <w:tblPrEx>
          <w:tblW w:w="5000" w:type="pct"/>
          <w:tblLook w:val="04A0"/>
        </w:tblPrEx>
        <w:trPr>
          <w:trHeight w:val="20"/>
        </w:trPr>
        <w:tc>
          <w:tcPr>
            <w:tcW w:w="1443" w:type="pct"/>
            <w:tcBorders>
              <w:top w:val="nil"/>
              <w:left w:val="single" w:sz="4" w:space="0" w:color="auto"/>
              <w:bottom w:val="single" w:sz="4" w:space="0" w:color="auto"/>
              <w:right w:val="single" w:sz="4" w:space="0" w:color="auto"/>
            </w:tcBorders>
            <w:vAlign w:val="center"/>
            <w:hideMark/>
          </w:tcPr>
          <w:p w:rsidR="007B6745" w:rsidRPr="007B6745" w:rsidP="007A54EA" w14:paraId="3DE130CB" w14:textId="77777777">
            <w:pPr>
              <w:pStyle w:val="LTableTextAbt"/>
              <w:rPr>
                <w:vertAlign w:val="superscript"/>
              </w:rPr>
            </w:pPr>
            <w:r w:rsidRPr="007B6745">
              <w:t>Sampling media</w:t>
            </w:r>
            <w:r w:rsidRPr="007B6745">
              <w:rPr>
                <w:vertAlign w:val="superscript"/>
              </w:rPr>
              <w:t xml:space="preserve"> c</w:t>
            </w:r>
          </w:p>
        </w:tc>
        <w:tc>
          <w:tcPr>
            <w:tcW w:w="889" w:type="pct"/>
            <w:tcBorders>
              <w:top w:val="nil"/>
              <w:left w:val="nil"/>
              <w:bottom w:val="single" w:sz="4" w:space="0" w:color="auto"/>
              <w:right w:val="single" w:sz="4" w:space="0" w:color="auto"/>
            </w:tcBorders>
            <w:vAlign w:val="center"/>
            <w:hideMark/>
          </w:tcPr>
          <w:p w:rsidR="007B6745" w:rsidRPr="007B6745" w:rsidP="007A54EA" w14:paraId="0319A3AE" w14:textId="77777777">
            <w:pPr>
              <w:pStyle w:val="LTableTextAbt"/>
            </w:pPr>
            <w:r w:rsidRPr="007B6745">
              <w:t>Sample</w:t>
            </w:r>
          </w:p>
        </w:tc>
        <w:tc>
          <w:tcPr>
            <w:tcW w:w="889" w:type="pct"/>
            <w:tcBorders>
              <w:top w:val="nil"/>
              <w:left w:val="nil"/>
              <w:bottom w:val="single" w:sz="4" w:space="0" w:color="auto"/>
              <w:right w:val="single" w:sz="4" w:space="0" w:color="auto"/>
            </w:tcBorders>
            <w:noWrap/>
            <w:vAlign w:val="center"/>
            <w:hideMark/>
          </w:tcPr>
          <w:p w:rsidR="007B6745" w:rsidRPr="007B6745" w:rsidP="003C6334" w14:paraId="09A90C14" w14:textId="77777777">
            <w:pPr>
              <w:pStyle w:val="RTableTextAbt"/>
            </w:pPr>
            <w:r w:rsidRPr="007B6745">
              <w:t>$4</w:t>
            </w:r>
          </w:p>
        </w:tc>
        <w:tc>
          <w:tcPr>
            <w:tcW w:w="889" w:type="pct"/>
            <w:tcBorders>
              <w:top w:val="nil"/>
              <w:left w:val="nil"/>
              <w:bottom w:val="single" w:sz="4" w:space="0" w:color="auto"/>
              <w:right w:val="single" w:sz="4" w:space="0" w:color="auto"/>
            </w:tcBorders>
            <w:noWrap/>
            <w:vAlign w:val="center"/>
            <w:hideMark/>
          </w:tcPr>
          <w:p w:rsidR="007B6745" w:rsidRPr="007B6745" w:rsidP="003C6334" w14:paraId="354101C8" w14:textId="77777777">
            <w:pPr>
              <w:pStyle w:val="RTableTextAbt"/>
            </w:pPr>
            <w:r w:rsidRPr="007B6745">
              <w:t>25</w:t>
            </w:r>
          </w:p>
        </w:tc>
        <w:tc>
          <w:tcPr>
            <w:tcW w:w="890" w:type="pct"/>
            <w:tcBorders>
              <w:top w:val="nil"/>
              <w:left w:val="nil"/>
              <w:bottom w:val="single" w:sz="4" w:space="0" w:color="auto"/>
              <w:right w:val="single" w:sz="4" w:space="0" w:color="auto"/>
            </w:tcBorders>
            <w:noWrap/>
            <w:vAlign w:val="center"/>
            <w:hideMark/>
          </w:tcPr>
          <w:p w:rsidR="007B6745" w:rsidRPr="007B6745" w:rsidP="003C6334" w14:paraId="19EE2E11" w14:textId="77777777">
            <w:pPr>
              <w:pStyle w:val="RTableTextAbt"/>
            </w:pPr>
            <w:r w:rsidRPr="007B6745">
              <w:t>$100</w:t>
            </w:r>
          </w:p>
        </w:tc>
      </w:tr>
      <w:tr w14:paraId="58C97C5F" w14:textId="77777777" w:rsidTr="007B6745">
        <w:tblPrEx>
          <w:tblW w:w="5000" w:type="pct"/>
          <w:tblLook w:val="04A0"/>
        </w:tblPrEx>
        <w:trPr>
          <w:trHeight w:val="20"/>
        </w:trPr>
        <w:tc>
          <w:tcPr>
            <w:tcW w:w="1443" w:type="pct"/>
            <w:tcBorders>
              <w:top w:val="nil"/>
              <w:left w:val="single" w:sz="4" w:space="0" w:color="auto"/>
              <w:bottom w:val="single" w:sz="4" w:space="0" w:color="auto"/>
              <w:right w:val="single" w:sz="4" w:space="0" w:color="auto"/>
            </w:tcBorders>
            <w:vAlign w:val="center"/>
            <w:hideMark/>
          </w:tcPr>
          <w:p w:rsidR="007B6745" w:rsidRPr="007B6745" w:rsidP="007A54EA" w14:paraId="38A74D6A" w14:textId="77777777">
            <w:pPr>
              <w:pStyle w:val="LTableTextAbt"/>
              <w:rPr>
                <w:vertAlign w:val="superscript"/>
              </w:rPr>
            </w:pPr>
            <w:r w:rsidRPr="007B6745">
              <w:t>Laboratory analysis</w:t>
            </w:r>
            <w:r w:rsidRPr="007B6745">
              <w:rPr>
                <w:vertAlign w:val="superscript"/>
              </w:rPr>
              <w:t xml:space="preserve"> d</w:t>
            </w:r>
          </w:p>
        </w:tc>
        <w:tc>
          <w:tcPr>
            <w:tcW w:w="889" w:type="pct"/>
            <w:tcBorders>
              <w:top w:val="nil"/>
              <w:left w:val="nil"/>
              <w:bottom w:val="single" w:sz="4" w:space="0" w:color="auto"/>
              <w:right w:val="single" w:sz="4" w:space="0" w:color="auto"/>
            </w:tcBorders>
            <w:vAlign w:val="center"/>
            <w:hideMark/>
          </w:tcPr>
          <w:p w:rsidR="007B6745" w:rsidRPr="007B6745" w:rsidP="007A54EA" w14:paraId="0551B07B" w14:textId="77777777">
            <w:pPr>
              <w:pStyle w:val="LTableTextAbt"/>
            </w:pPr>
            <w:r w:rsidRPr="007B6745">
              <w:t>Sample</w:t>
            </w:r>
          </w:p>
        </w:tc>
        <w:tc>
          <w:tcPr>
            <w:tcW w:w="889" w:type="pct"/>
            <w:tcBorders>
              <w:top w:val="nil"/>
              <w:left w:val="nil"/>
              <w:bottom w:val="single" w:sz="4" w:space="0" w:color="auto"/>
              <w:right w:val="single" w:sz="4" w:space="0" w:color="auto"/>
            </w:tcBorders>
            <w:noWrap/>
            <w:vAlign w:val="center"/>
            <w:hideMark/>
          </w:tcPr>
          <w:p w:rsidR="007B6745" w:rsidRPr="007B6745" w:rsidP="003C6334" w14:paraId="29EC1169" w14:textId="77777777">
            <w:pPr>
              <w:pStyle w:val="RTableTextAbt"/>
            </w:pPr>
            <w:r w:rsidRPr="007B6745">
              <w:t>$24</w:t>
            </w:r>
          </w:p>
        </w:tc>
        <w:tc>
          <w:tcPr>
            <w:tcW w:w="889" w:type="pct"/>
            <w:tcBorders>
              <w:top w:val="nil"/>
              <w:left w:val="nil"/>
              <w:bottom w:val="single" w:sz="4" w:space="0" w:color="auto"/>
              <w:right w:val="single" w:sz="4" w:space="0" w:color="auto"/>
            </w:tcBorders>
            <w:noWrap/>
            <w:vAlign w:val="center"/>
            <w:hideMark/>
          </w:tcPr>
          <w:p w:rsidR="007B6745" w:rsidRPr="007B6745" w:rsidP="003C6334" w14:paraId="6064C1DC" w14:textId="77777777">
            <w:pPr>
              <w:pStyle w:val="RTableTextAbt"/>
            </w:pPr>
            <w:r w:rsidRPr="007B6745">
              <w:t>25</w:t>
            </w:r>
          </w:p>
        </w:tc>
        <w:tc>
          <w:tcPr>
            <w:tcW w:w="890" w:type="pct"/>
            <w:tcBorders>
              <w:top w:val="nil"/>
              <w:left w:val="nil"/>
              <w:bottom w:val="single" w:sz="4" w:space="0" w:color="auto"/>
              <w:right w:val="single" w:sz="4" w:space="0" w:color="auto"/>
            </w:tcBorders>
            <w:noWrap/>
            <w:vAlign w:val="center"/>
            <w:hideMark/>
          </w:tcPr>
          <w:p w:rsidR="007B6745" w:rsidRPr="007B6745" w:rsidP="003C6334" w14:paraId="146DF129" w14:textId="77777777">
            <w:pPr>
              <w:pStyle w:val="RTableTextAbt"/>
            </w:pPr>
            <w:r w:rsidRPr="007B6745">
              <w:t>$600</w:t>
            </w:r>
          </w:p>
        </w:tc>
      </w:tr>
      <w:tr w14:paraId="605EF7D5" w14:textId="77777777" w:rsidTr="007B6745">
        <w:tblPrEx>
          <w:tblW w:w="5000" w:type="pct"/>
          <w:tblLook w:val="04A0"/>
        </w:tblPrEx>
        <w:trPr>
          <w:trHeight w:val="20"/>
        </w:trPr>
        <w:tc>
          <w:tcPr>
            <w:tcW w:w="1443" w:type="pct"/>
            <w:tcBorders>
              <w:top w:val="nil"/>
              <w:left w:val="single" w:sz="4" w:space="0" w:color="auto"/>
              <w:bottom w:val="single" w:sz="4" w:space="0" w:color="auto"/>
              <w:right w:val="single" w:sz="4" w:space="0" w:color="auto"/>
            </w:tcBorders>
            <w:vAlign w:val="center"/>
            <w:hideMark/>
          </w:tcPr>
          <w:p w:rsidR="007B6745" w:rsidRPr="007B6745" w:rsidP="007A54EA" w14:paraId="44B5377B" w14:textId="77777777">
            <w:pPr>
              <w:pStyle w:val="LTableTextAbt"/>
              <w:rPr>
                <w:b/>
              </w:rPr>
            </w:pPr>
            <w:r w:rsidRPr="007B6745">
              <w:rPr>
                <w:b/>
              </w:rPr>
              <w:t>Total</w:t>
            </w:r>
          </w:p>
        </w:tc>
        <w:tc>
          <w:tcPr>
            <w:tcW w:w="889" w:type="pct"/>
            <w:tcBorders>
              <w:top w:val="nil"/>
              <w:left w:val="nil"/>
              <w:bottom w:val="single" w:sz="4" w:space="0" w:color="auto"/>
              <w:right w:val="single" w:sz="4" w:space="0" w:color="auto"/>
            </w:tcBorders>
            <w:vAlign w:val="center"/>
            <w:hideMark/>
          </w:tcPr>
          <w:p w:rsidR="007B6745" w:rsidRPr="007B6745" w:rsidP="007A54EA" w14:paraId="771E43E5" w14:textId="77777777">
            <w:pPr>
              <w:pStyle w:val="LTableTextAbt"/>
              <w:rPr>
                <w:b/>
              </w:rPr>
            </w:pPr>
            <w:r w:rsidRPr="007B6745">
              <w:rPr>
                <w:b/>
              </w:rPr>
              <w:t> </w:t>
            </w:r>
          </w:p>
        </w:tc>
        <w:tc>
          <w:tcPr>
            <w:tcW w:w="889" w:type="pct"/>
            <w:tcBorders>
              <w:top w:val="nil"/>
              <w:left w:val="nil"/>
              <w:bottom w:val="single" w:sz="4" w:space="0" w:color="auto"/>
              <w:right w:val="single" w:sz="4" w:space="0" w:color="auto"/>
            </w:tcBorders>
            <w:noWrap/>
            <w:vAlign w:val="center"/>
            <w:hideMark/>
          </w:tcPr>
          <w:p w:rsidR="007B6745" w:rsidRPr="007B6745" w:rsidP="003C6334" w14:paraId="5F1F9CB4" w14:textId="77777777">
            <w:pPr>
              <w:pStyle w:val="RTableTextAbt"/>
              <w:rPr>
                <w:b/>
              </w:rPr>
            </w:pPr>
            <w:r w:rsidRPr="007B6745">
              <w:rPr>
                <w:b/>
              </w:rPr>
              <w:t> </w:t>
            </w:r>
          </w:p>
        </w:tc>
        <w:tc>
          <w:tcPr>
            <w:tcW w:w="889" w:type="pct"/>
            <w:tcBorders>
              <w:top w:val="nil"/>
              <w:left w:val="nil"/>
              <w:bottom w:val="single" w:sz="4" w:space="0" w:color="auto"/>
              <w:right w:val="single" w:sz="4" w:space="0" w:color="auto"/>
            </w:tcBorders>
            <w:noWrap/>
            <w:vAlign w:val="center"/>
            <w:hideMark/>
          </w:tcPr>
          <w:p w:rsidR="007B6745" w:rsidRPr="007B6745" w:rsidP="003C6334" w14:paraId="5ACB909D" w14:textId="77777777">
            <w:pPr>
              <w:pStyle w:val="RTableTextAbt"/>
              <w:rPr>
                <w:b/>
              </w:rPr>
            </w:pPr>
            <w:r w:rsidRPr="007B6745">
              <w:rPr>
                <w:b/>
              </w:rPr>
              <w:t> </w:t>
            </w:r>
          </w:p>
        </w:tc>
        <w:tc>
          <w:tcPr>
            <w:tcW w:w="890" w:type="pct"/>
            <w:tcBorders>
              <w:top w:val="nil"/>
              <w:left w:val="nil"/>
              <w:bottom w:val="single" w:sz="4" w:space="0" w:color="auto"/>
              <w:right w:val="single" w:sz="4" w:space="0" w:color="auto"/>
            </w:tcBorders>
            <w:noWrap/>
            <w:vAlign w:val="center"/>
            <w:hideMark/>
          </w:tcPr>
          <w:p w:rsidR="007B6745" w:rsidRPr="007B6745" w:rsidP="003C6334" w14:paraId="4E77AE1A" w14:textId="77777777">
            <w:pPr>
              <w:pStyle w:val="RTableTextAbt"/>
              <w:rPr>
                <w:b/>
              </w:rPr>
            </w:pPr>
            <w:r w:rsidRPr="007B6745">
              <w:rPr>
                <w:b/>
              </w:rPr>
              <w:t>$5,588</w:t>
            </w:r>
          </w:p>
        </w:tc>
      </w:tr>
      <w:tr w14:paraId="3015B17F" w14:textId="77777777" w:rsidTr="007B6745">
        <w:tblPrEx>
          <w:tblW w:w="5000" w:type="pct"/>
          <w:tblLook w:val="04A0"/>
        </w:tblPrEx>
        <w:trPr>
          <w:trHeight w:val="20"/>
        </w:trPr>
        <w:tc>
          <w:tcPr>
            <w:tcW w:w="1443" w:type="pct"/>
            <w:tcBorders>
              <w:top w:val="nil"/>
              <w:left w:val="single" w:sz="4" w:space="0" w:color="auto"/>
              <w:bottom w:val="single" w:sz="4" w:space="0" w:color="auto"/>
              <w:right w:val="single" w:sz="4" w:space="0" w:color="auto"/>
            </w:tcBorders>
            <w:vAlign w:val="center"/>
            <w:hideMark/>
          </w:tcPr>
          <w:p w:rsidR="007B6745" w:rsidRPr="007B6745" w:rsidP="007A54EA" w14:paraId="36567ECC" w14:textId="77777777">
            <w:pPr>
              <w:pStyle w:val="LTableTextAbt"/>
              <w:rPr>
                <w:b/>
                <w:vertAlign w:val="superscript"/>
              </w:rPr>
            </w:pPr>
            <w:r w:rsidRPr="007B6745">
              <w:rPr>
                <w:b/>
              </w:rPr>
              <w:t>Total per worker</w:t>
            </w:r>
            <w:r w:rsidRPr="007B6745">
              <w:rPr>
                <w:b/>
                <w:vertAlign w:val="superscript"/>
              </w:rPr>
              <w:t xml:space="preserve"> e</w:t>
            </w:r>
          </w:p>
        </w:tc>
        <w:tc>
          <w:tcPr>
            <w:tcW w:w="889" w:type="pct"/>
            <w:tcBorders>
              <w:top w:val="nil"/>
              <w:left w:val="nil"/>
              <w:bottom w:val="single" w:sz="4" w:space="0" w:color="auto"/>
              <w:right w:val="single" w:sz="4" w:space="0" w:color="auto"/>
            </w:tcBorders>
            <w:vAlign w:val="center"/>
            <w:hideMark/>
          </w:tcPr>
          <w:p w:rsidR="007B6745" w:rsidRPr="007B6745" w:rsidP="007A54EA" w14:paraId="2F4B1879" w14:textId="77777777">
            <w:pPr>
              <w:pStyle w:val="LTableTextAbt"/>
              <w:rPr>
                <w:b/>
              </w:rPr>
            </w:pPr>
            <w:r w:rsidRPr="007B6745">
              <w:rPr>
                <w:b/>
              </w:rPr>
              <w:t> </w:t>
            </w:r>
          </w:p>
        </w:tc>
        <w:tc>
          <w:tcPr>
            <w:tcW w:w="889" w:type="pct"/>
            <w:tcBorders>
              <w:top w:val="nil"/>
              <w:left w:val="nil"/>
              <w:bottom w:val="single" w:sz="4" w:space="0" w:color="auto"/>
              <w:right w:val="single" w:sz="4" w:space="0" w:color="auto"/>
            </w:tcBorders>
            <w:noWrap/>
            <w:vAlign w:val="center"/>
            <w:hideMark/>
          </w:tcPr>
          <w:p w:rsidR="007B6745" w:rsidRPr="007B6745" w:rsidP="003C6334" w14:paraId="6EF6B4EB" w14:textId="77777777">
            <w:pPr>
              <w:pStyle w:val="RTableTextAbt"/>
              <w:rPr>
                <w:b/>
              </w:rPr>
            </w:pPr>
            <w:r w:rsidRPr="007B6745">
              <w:rPr>
                <w:b/>
              </w:rPr>
              <w:t> </w:t>
            </w:r>
          </w:p>
        </w:tc>
        <w:tc>
          <w:tcPr>
            <w:tcW w:w="889" w:type="pct"/>
            <w:tcBorders>
              <w:top w:val="nil"/>
              <w:left w:val="nil"/>
              <w:bottom w:val="single" w:sz="4" w:space="0" w:color="auto"/>
              <w:right w:val="single" w:sz="4" w:space="0" w:color="auto"/>
            </w:tcBorders>
            <w:noWrap/>
            <w:vAlign w:val="center"/>
            <w:hideMark/>
          </w:tcPr>
          <w:p w:rsidR="007B6745" w:rsidRPr="007B6745" w:rsidP="003C6334" w14:paraId="098788D8" w14:textId="77777777">
            <w:pPr>
              <w:pStyle w:val="RTableTextAbt"/>
              <w:rPr>
                <w:b/>
              </w:rPr>
            </w:pPr>
            <w:r w:rsidRPr="007B6745">
              <w:rPr>
                <w:b/>
              </w:rPr>
              <w:t> </w:t>
            </w:r>
          </w:p>
        </w:tc>
        <w:tc>
          <w:tcPr>
            <w:tcW w:w="890" w:type="pct"/>
            <w:tcBorders>
              <w:top w:val="nil"/>
              <w:left w:val="nil"/>
              <w:bottom w:val="single" w:sz="4" w:space="0" w:color="auto"/>
              <w:right w:val="single" w:sz="4" w:space="0" w:color="auto"/>
            </w:tcBorders>
            <w:noWrap/>
            <w:vAlign w:val="center"/>
            <w:hideMark/>
          </w:tcPr>
          <w:p w:rsidR="007B6745" w:rsidRPr="007B6745" w:rsidP="003C6334" w14:paraId="2F99887B" w14:textId="77777777">
            <w:pPr>
              <w:pStyle w:val="RTableTextAbt"/>
              <w:rPr>
                <w:b/>
              </w:rPr>
            </w:pPr>
            <w:r w:rsidRPr="007B6745">
              <w:rPr>
                <w:b/>
              </w:rPr>
              <w:t>$279</w:t>
            </w:r>
          </w:p>
        </w:tc>
      </w:tr>
      <w:tr w14:paraId="3B09E757" w14:textId="77777777" w:rsidTr="007B6745">
        <w:tblPrEx>
          <w:tblW w:w="5000" w:type="pct"/>
          <w:tblLook w:val="04A0"/>
        </w:tblPrEx>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7B6745" w:rsidRPr="007B6745" w:rsidP="003C6334" w14:paraId="4B4734AC" w14:textId="3CE49C4F">
            <w:pPr>
              <w:pStyle w:val="TableNote0"/>
            </w:pPr>
            <w:r w:rsidRPr="007B6745">
              <w:t xml:space="preserve">a. Source: </w:t>
            </w:r>
            <w:hyperlink w:anchor="_ENREF_19" w:tooltip="Environmental Health &amp; Engineering, 2023 #19" w:history="1">
              <w:r w:rsidR="003D6084">
                <w:fldChar w:fldCharType="begin" w:fldLock="1"/>
              </w:r>
              <w:r w:rsidR="003D6084">
                <w:instrText xml:space="preserve"> ADDIN EN.CITE &lt;EndNote&gt;&lt;Cite&gt;&lt;Author&gt;Environmental Health &amp;amp; Engineering&lt;/Author&gt;&lt;Year&gt;2023&lt;/Year&gt;&lt;RecNum&gt;19&lt;/RecNum&gt;&lt;DisplayText&gt;Environmental Health &amp;amp; Engineering 2023&lt;/DisplayText&gt;&lt;record&gt;&lt;rec-number&gt;19&lt;/rec-number&gt;&lt;foreign-keys&gt;&lt;key app="EN" db-id="2apzr05radv9fjet2w6xxwdlz5e9vwfxredw" timestamp="1730757315"&gt;19&lt;/key&gt;&lt;/foreign-keys&gt;&lt;ref-type name="Generic"&gt;13&lt;/ref-type&gt;&lt;contributors&gt;&lt;authors&gt;&lt;author&gt;Environmental Health &amp;amp; Engineering,&lt;/author&gt;&lt;/authors&gt;&lt;/contributors&gt;&lt;titles&gt;&lt;title&gt;Cost Estimate for Industrial Hygiene Exposure Assessment for Carbon Tetrachloride (EH&amp;amp;E 25763)&lt;/title&gt;&lt;/titles&gt;&lt;dates&gt;&lt;year&gt;2023&lt;/year&gt;&lt;/dates&gt;&lt;urls&gt;&lt;/urls&gt;&lt;/record&gt;&lt;/Cite&gt;&lt;/EndNote&gt;</w:instrText>
              </w:r>
              <w:r w:rsidR="003D6084">
                <w:fldChar w:fldCharType="separate"/>
              </w:r>
              <w:r w:rsidR="003D6084">
                <w:rPr>
                  <w:noProof/>
                </w:rPr>
                <w:t>Environmental Health &amp; Engineering 2023</w:t>
              </w:r>
              <w:r w:rsidR="003D6084">
                <w:fldChar w:fldCharType="end"/>
              </w:r>
            </w:hyperlink>
          </w:p>
          <w:p w:rsidR="007B6745" w:rsidRPr="007B6745" w:rsidP="003C6334" w14:paraId="05BC74AB" w14:textId="193FBC29">
            <w:pPr>
              <w:pStyle w:val="TableNote0"/>
            </w:pPr>
            <w:r w:rsidRPr="007B6745">
              <w:t xml:space="preserve">b. Based on the cost of a Polonium 210 Static Eliminator </w:t>
            </w:r>
            <w:r w:rsidR="00186E0D">
              <w:t>(</w:t>
            </w:r>
            <w:hyperlink w:anchor="_ENREF_43" w:tooltip="Sterlitech, 2024 #43" w:history="1">
              <w:r w:rsidRPr="007B6745" w:rsidR="003D6084">
                <w:fldChar w:fldCharType="begin" w:fldLock="1"/>
              </w:r>
              <w:r w:rsidR="003D6084">
                <w:instrText xml:space="preserve"> ADDIN EN.CITE &lt;EndNote&gt;&lt;Cite&gt;&lt;Author&gt;Sterlitech&lt;/Author&gt;&lt;Year&gt;2024&lt;/Year&gt;&lt;RecNum&gt;43&lt;/RecNum&gt;&lt;DisplayText&gt;Sterlitech 2024&lt;/DisplayText&gt;&lt;record&gt;&lt;rec-number&gt;43&lt;/rec-number&gt;&lt;foreign-keys&gt;&lt;key app="EN" db-id="2apzr05radv9fjet2w6xxwdlz5e9vwfxredw" timestamp="1730757315"&gt;43&lt;/key&gt;&lt;/foreign-keys&gt;&lt;ref-type name="Web Page"&gt;12&lt;/ref-type&gt;&lt;contributors&gt;&lt;authors&gt;&lt;author&gt;Sterlitech,&lt;/author&gt;&lt;/authors&gt;&lt;/contributors&gt;&lt;titles&gt;&lt;title&gt;Polonium 210 Static Eliminator&lt;/title&gt;&lt;/titles&gt;&lt;volume&gt;2024&lt;/volume&gt;&lt;number&gt;10/8&lt;/number&gt;&lt;dates&gt;&lt;year&gt;2024&lt;/year&gt;&lt;/dates&gt;&lt;urls&gt;&lt;related-urls&gt;&lt;url&gt;https://www.sterlitech.com/static-eliminator-static.html&lt;/url&gt;&lt;/related-urls&gt;&lt;/urls&gt;&lt;/record&gt;&lt;/Cite&gt;&lt;/EndNote&gt;</w:instrText>
              </w:r>
              <w:r w:rsidRPr="007B6745" w:rsidR="003D6084">
                <w:fldChar w:fldCharType="separate"/>
              </w:r>
              <w:r w:rsidR="003D6084">
                <w:rPr>
                  <w:noProof/>
                </w:rPr>
                <w:t>Sterlitech 2024</w:t>
              </w:r>
              <w:r w:rsidRPr="007B6745" w:rsidR="003D6084">
                <w:fldChar w:fldCharType="end"/>
              </w:r>
            </w:hyperlink>
            <w:r w:rsidR="00186E0D">
              <w:t>)</w:t>
            </w:r>
          </w:p>
          <w:p w:rsidR="007B6745" w:rsidRPr="007B6745" w:rsidP="003C6334" w14:paraId="29D470DB" w14:textId="56281995">
            <w:pPr>
              <w:pStyle w:val="TableNote0"/>
            </w:pPr>
            <w:r w:rsidRPr="007B6745">
              <w:t xml:space="preserve">c. Based on </w:t>
            </w:r>
            <w:r>
              <w:fldChar w:fldCharType="begin" w:fldLock="1"/>
            </w:r>
            <w:r>
              <w:instrText>REF _Ref180057163  \* MERGEFORMAT</w:instrText>
            </w:r>
            <w:r>
              <w:fldChar w:fldCharType="separate"/>
            </w:r>
            <w:r w:rsidRPr="007B6745" w:rsidR="00735BBC">
              <w:t xml:space="preserve">Table </w:t>
            </w:r>
            <w:r w:rsidR="00735BBC">
              <w:t>4</w:t>
            </w:r>
            <w:r w:rsidR="00735BBC">
              <w:noBreakHyphen/>
              <w:t>21</w:t>
            </w:r>
            <w:r w:rsidR="00735BBC">
              <w:fldChar w:fldCharType="end"/>
            </w:r>
            <w:r w:rsidRPr="007B6745">
              <w:t>; assumes five replicate samples per 20 samples</w:t>
            </w:r>
          </w:p>
          <w:p w:rsidR="007B6745" w:rsidRPr="007B6745" w:rsidP="003C6334" w14:paraId="55FA45E4" w14:textId="234D4E38">
            <w:pPr>
              <w:pStyle w:val="TableNote0"/>
            </w:pPr>
            <w:r w:rsidRPr="007B6745">
              <w:t xml:space="preserve">d. Based on </w:t>
            </w:r>
            <w:r>
              <w:fldChar w:fldCharType="begin" w:fldLock="1"/>
            </w:r>
            <w:r>
              <w:instrText>REF _Ref180057174  \* MERGEFORMAT</w:instrText>
            </w:r>
            <w:r>
              <w:fldChar w:fldCharType="separate"/>
            </w:r>
            <w:r w:rsidRPr="007B6745" w:rsidR="00735BBC">
              <w:t xml:space="preserve">Table </w:t>
            </w:r>
            <w:r w:rsidR="00735BBC">
              <w:t>4</w:t>
            </w:r>
            <w:r w:rsidR="00735BBC">
              <w:noBreakHyphen/>
              <w:t>22</w:t>
            </w:r>
            <w:r w:rsidR="00735BBC">
              <w:fldChar w:fldCharType="end"/>
            </w:r>
            <w:r w:rsidRPr="007B6745">
              <w:t>; assumes five replicate samples per 20 samples</w:t>
            </w:r>
          </w:p>
          <w:p w:rsidR="007B6745" w:rsidRPr="007B6745" w:rsidP="003C6334" w14:paraId="7D582ED7" w14:textId="77777777">
            <w:pPr>
              <w:pStyle w:val="TableNote0"/>
            </w:pPr>
            <w:r w:rsidRPr="007B6745">
              <w:t>e. Total cost divided by 20 employees, rounded to the nearest dollar</w:t>
            </w:r>
          </w:p>
        </w:tc>
      </w:tr>
    </w:tbl>
    <w:p w:rsidR="007B6745" w:rsidRPr="007B6745" w:rsidP="00832749" w14:paraId="05FCCA8D" w14:textId="77777777">
      <w:pPr>
        <w:pStyle w:val="BodyText"/>
      </w:pPr>
    </w:p>
    <w:p w:rsidR="007B6745" w:rsidRPr="007B6745" w:rsidP="00832749" w14:paraId="4DF343CF" w14:textId="1E27802B">
      <w:pPr>
        <w:pStyle w:val="BodyText"/>
      </w:pPr>
      <w:r w:rsidRPr="4BA86F39">
        <w:rPr>
          <w:lang w:val="en-US"/>
        </w:rPr>
        <w:t xml:space="preserve">Under the alternative option, EPA assumes that facilities would monitor all directly exposed workers and ONUs during each monitoring event, which would occur twice per year per facility. </w:t>
      </w:r>
      <w:r w:rsidRPr="007B6745">
        <w:fldChar w:fldCharType="begin" w:fldLock="1"/>
      </w:r>
      <w:r w:rsidRPr="007B6745">
        <w:instrText xml:space="preserve"> REF _Ref180407292 </w:instrText>
      </w:r>
      <w:r w:rsidR="00AF31BB">
        <w:instrText xml:space="preserve"> \* MERGEFORMAT </w:instrText>
      </w:r>
      <w:r w:rsidRPr="007B6745">
        <w:fldChar w:fldCharType="separate"/>
      </w:r>
      <w:r w:rsidRPr="00735BBC" w:rsidR="00735BBC">
        <w:rPr>
          <w:lang w:val="en-US"/>
        </w:rPr>
        <w:t>Table 4</w:t>
      </w:r>
      <w:r w:rsidRPr="00735BBC" w:rsidR="00735BBC">
        <w:rPr>
          <w:lang w:val="en-US"/>
        </w:rPr>
        <w:noBreakHyphen/>
        <w:t>24</w:t>
      </w:r>
      <w:r w:rsidRPr="007B6745">
        <w:fldChar w:fldCharType="end"/>
      </w:r>
      <w:r w:rsidRPr="4BA86F39">
        <w:rPr>
          <w:lang w:val="en-US"/>
        </w:rPr>
        <w:t xml:space="preserve"> summarizes the resultant total annual monitoring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2"/>
        <w:gridCol w:w="1146"/>
        <w:gridCol w:w="874"/>
        <w:gridCol w:w="874"/>
        <w:gridCol w:w="996"/>
        <w:gridCol w:w="996"/>
        <w:gridCol w:w="1116"/>
        <w:gridCol w:w="1116"/>
      </w:tblGrid>
      <w:tr w14:paraId="5B25934B" w14:textId="77777777" w:rsidTr="0019333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
          <w:tblHeader/>
        </w:trPr>
        <w:tc>
          <w:tcPr>
            <w:tcW w:w="5000" w:type="pct"/>
            <w:gridSpan w:val="8"/>
            <w:tcBorders>
              <w:top w:val="nil"/>
              <w:left w:val="nil"/>
              <w:bottom w:val="single" w:sz="4" w:space="0" w:color="auto"/>
              <w:right w:val="nil"/>
            </w:tcBorders>
            <w:shd w:val="clear" w:color="auto" w:fill="auto"/>
            <w:vAlign w:val="center"/>
          </w:tcPr>
          <w:p w:rsidR="00193334" w:rsidRPr="00193334" w:rsidP="00193334" w14:paraId="49158F41" w14:textId="6DFF728D">
            <w:pPr>
              <w:pStyle w:val="TableTitleA"/>
            </w:pPr>
            <w:bookmarkStart w:id="239" w:name="_Ref180407292"/>
            <w:bookmarkStart w:id="240" w:name="_Toc184299580"/>
            <w:r w:rsidRPr="007B6745">
              <w:t xml:space="preserve">Table </w:t>
            </w:r>
            <w:r>
              <w:fldChar w:fldCharType="begin" w:fldLock="1"/>
            </w:r>
            <w:r>
              <w:instrText>STYLEREF 1 \s</w:instrText>
            </w:r>
            <w:r>
              <w:fldChar w:fldCharType="separate"/>
            </w:r>
            <w:r w:rsidR="00735BBC">
              <w:rPr>
                <w:noProof/>
              </w:rPr>
              <w:t>4</w:t>
            </w:r>
            <w:r>
              <w:fldChar w:fldCharType="end"/>
            </w:r>
            <w:r w:rsidR="000A1542">
              <w:noBreakHyphen/>
            </w:r>
            <w:r>
              <w:fldChar w:fldCharType="begin" w:fldLock="1"/>
            </w:r>
            <w:r>
              <w:instrText>SEQ Table \* ARABIC \s 1</w:instrText>
            </w:r>
            <w:r>
              <w:fldChar w:fldCharType="separate"/>
            </w:r>
            <w:r w:rsidR="00735BBC">
              <w:rPr>
                <w:noProof/>
              </w:rPr>
              <w:t>24</w:t>
            </w:r>
            <w:r>
              <w:fldChar w:fldCharType="end"/>
            </w:r>
            <w:bookmarkEnd w:id="239"/>
            <w:r w:rsidRPr="007B6745">
              <w:t>: Alternative Option Annual Incremental Monitoring Costs (2023$)</w:t>
            </w:r>
            <w:bookmarkEnd w:id="240"/>
          </w:p>
        </w:tc>
      </w:tr>
      <w:tr w14:paraId="20FC1CA2" w14:textId="77777777" w:rsidTr="00193334">
        <w:tblPrEx>
          <w:tblW w:w="5000" w:type="pct"/>
          <w:tblLook w:val="04A0"/>
        </w:tblPrEx>
        <w:trPr>
          <w:trHeight w:val="20"/>
          <w:tblHeader/>
        </w:trPr>
        <w:tc>
          <w:tcPr>
            <w:tcW w:w="1198"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49DC0948" w14:textId="77777777">
            <w:pPr>
              <w:pStyle w:val="TableSubtitle"/>
            </w:pPr>
            <w:r w:rsidRPr="007B6745">
              <w:t>  Use category</w:t>
            </w:r>
          </w:p>
        </w:tc>
        <w:tc>
          <w:tcPr>
            <w:tcW w:w="612"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195CF895" w14:textId="77777777">
            <w:pPr>
              <w:pStyle w:val="TableSubtitle"/>
              <w:rPr>
                <w:vertAlign w:val="superscript"/>
              </w:rPr>
            </w:pPr>
            <w:r w:rsidRPr="007B6745">
              <w:t>Monitoring events</w:t>
            </w:r>
            <w:r w:rsidRPr="007B6745">
              <w:rPr>
                <w:vertAlign w:val="superscript"/>
              </w:rPr>
              <w:t xml:space="preserve"> a</w:t>
            </w:r>
          </w:p>
        </w:tc>
        <w:tc>
          <w:tcPr>
            <w:tcW w:w="934"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1EB93569" w14:textId="77777777">
            <w:pPr>
              <w:pStyle w:val="TableSubtitle"/>
            </w:pPr>
            <w:r w:rsidRPr="007B6745">
              <w:t>Facility workers</w:t>
            </w:r>
          </w:p>
        </w:tc>
        <w:tc>
          <w:tcPr>
            <w:tcW w:w="1064"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4242C959" w14:textId="77777777">
            <w:pPr>
              <w:pStyle w:val="TableSubtitle"/>
              <w:rPr>
                <w:vertAlign w:val="superscript"/>
              </w:rPr>
            </w:pPr>
            <w:r w:rsidRPr="007B6745">
              <w:t>Event cost</w:t>
            </w:r>
            <w:r w:rsidRPr="007B6745">
              <w:rPr>
                <w:vertAlign w:val="superscript"/>
              </w:rPr>
              <w:t xml:space="preserve"> b</w:t>
            </w:r>
          </w:p>
        </w:tc>
        <w:tc>
          <w:tcPr>
            <w:tcW w:w="1192"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17332AC2" w14:textId="77777777">
            <w:pPr>
              <w:pStyle w:val="TableSubtitle"/>
              <w:rPr>
                <w:vertAlign w:val="superscript"/>
              </w:rPr>
            </w:pPr>
            <w:r w:rsidRPr="007B6745">
              <w:t>Total annual cost</w:t>
            </w:r>
            <w:r w:rsidRPr="007B6745">
              <w:rPr>
                <w:vertAlign w:val="superscript"/>
              </w:rPr>
              <w:t xml:space="preserve"> c</w:t>
            </w:r>
          </w:p>
        </w:tc>
      </w:tr>
      <w:tr w14:paraId="1C8BC540" w14:textId="77777777" w:rsidTr="00193334">
        <w:tblPrEx>
          <w:tblW w:w="5000" w:type="pct"/>
          <w:tblLook w:val="04A0"/>
        </w:tblPrEx>
        <w:trPr>
          <w:trHeight w:val="20"/>
          <w:tblHeader/>
        </w:trPr>
        <w:tc>
          <w:tcPr>
            <w:tcW w:w="0" w:type="auto"/>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02E3499F" w14:textId="77777777">
            <w:pPr>
              <w:pStyle w:val="TableSubtitle"/>
            </w:pPr>
          </w:p>
        </w:tc>
        <w:tc>
          <w:tcPr>
            <w:tcW w:w="0" w:type="auto"/>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648C1946" w14:textId="77777777">
            <w:pPr>
              <w:pStyle w:val="TableSubtitle"/>
              <w:rPr>
                <w:vertAlign w:val="superscript"/>
              </w:rPr>
            </w:pPr>
          </w:p>
        </w:tc>
        <w:tc>
          <w:tcPr>
            <w:tcW w:w="467"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6DB27B54" w14:textId="77777777">
            <w:pPr>
              <w:pStyle w:val="TableSubtitle"/>
            </w:pPr>
            <w:r w:rsidRPr="007B6745">
              <w:t>Low</w:t>
            </w:r>
          </w:p>
        </w:tc>
        <w:tc>
          <w:tcPr>
            <w:tcW w:w="467"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733241BE" w14:textId="77777777">
            <w:pPr>
              <w:pStyle w:val="TableSubtitle"/>
            </w:pPr>
            <w:r w:rsidRPr="007B6745">
              <w:t>High</w:t>
            </w:r>
          </w:p>
        </w:tc>
        <w:tc>
          <w:tcPr>
            <w:tcW w:w="532"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6A111C84" w14:textId="77777777">
            <w:pPr>
              <w:pStyle w:val="TableSubtitle"/>
            </w:pPr>
            <w:r w:rsidRPr="007B6745">
              <w:t>Low</w:t>
            </w:r>
          </w:p>
        </w:tc>
        <w:tc>
          <w:tcPr>
            <w:tcW w:w="532"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2D7FF5F5" w14:textId="77777777">
            <w:pPr>
              <w:pStyle w:val="TableSubtitle"/>
            </w:pPr>
            <w:r w:rsidRPr="007B6745">
              <w:t>High</w:t>
            </w:r>
          </w:p>
        </w:tc>
        <w:tc>
          <w:tcPr>
            <w:tcW w:w="596"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210B711A" w14:textId="77777777">
            <w:pPr>
              <w:pStyle w:val="TableSubtitle"/>
            </w:pPr>
            <w:r w:rsidRPr="007B6745">
              <w:t>Low</w:t>
            </w:r>
          </w:p>
        </w:tc>
        <w:tc>
          <w:tcPr>
            <w:tcW w:w="596"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4EFEB5A8" w14:textId="77777777">
            <w:pPr>
              <w:pStyle w:val="TableSubtitle"/>
            </w:pPr>
            <w:r w:rsidRPr="007B6745">
              <w:t>High</w:t>
            </w:r>
          </w:p>
        </w:tc>
      </w:tr>
      <w:tr w14:paraId="5AD35FEC" w14:textId="77777777" w:rsidTr="00BD3D2B">
        <w:tblPrEx>
          <w:tblW w:w="5000" w:type="pct"/>
          <w:tblLook w:val="04A0"/>
        </w:tblPrEx>
        <w:trPr>
          <w:trHeight w:val="20"/>
        </w:trPr>
        <w:tc>
          <w:tcPr>
            <w:tcW w:w="1198" w:type="pct"/>
            <w:tcBorders>
              <w:top w:val="single" w:sz="4" w:space="0" w:color="auto"/>
              <w:left w:val="single" w:sz="4" w:space="0" w:color="auto"/>
              <w:bottom w:val="single" w:sz="4" w:space="0" w:color="auto"/>
              <w:right w:val="single" w:sz="4" w:space="0" w:color="auto"/>
            </w:tcBorders>
            <w:vAlign w:val="center"/>
            <w:hideMark/>
          </w:tcPr>
          <w:p w:rsidR="001809DD" w:rsidRPr="007B6745" w:rsidP="001809DD" w14:paraId="391AEC36" w14:textId="77777777">
            <w:pPr>
              <w:pStyle w:val="LTableTextAbt"/>
            </w:pPr>
            <w:r w:rsidRPr="007B6745">
              <w:t>PV29 manufacturing and intermediate processing</w:t>
            </w:r>
          </w:p>
        </w:tc>
        <w:tc>
          <w:tcPr>
            <w:tcW w:w="612" w:type="pct"/>
            <w:tcBorders>
              <w:top w:val="single" w:sz="4" w:space="0" w:color="auto"/>
              <w:left w:val="single" w:sz="4" w:space="0" w:color="auto"/>
              <w:bottom w:val="single" w:sz="4" w:space="0" w:color="auto"/>
              <w:right w:val="single" w:sz="4" w:space="0" w:color="auto"/>
            </w:tcBorders>
            <w:hideMark/>
          </w:tcPr>
          <w:p w:rsidR="001809DD" w:rsidRPr="007B6745" w:rsidP="001809DD" w14:paraId="58E4A3CA" w14:textId="5CAC8008">
            <w:pPr>
              <w:pStyle w:val="RTableTextAbt"/>
            </w:pPr>
            <w:r w:rsidRPr="006C5E91">
              <w:t>2</w:t>
            </w:r>
          </w:p>
        </w:tc>
        <w:tc>
          <w:tcPr>
            <w:tcW w:w="467"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566C63DC" w14:textId="0B992424">
            <w:pPr>
              <w:pStyle w:val="RTableTextAbt"/>
            </w:pPr>
            <w:r w:rsidRPr="006C5E91">
              <w:t>58</w:t>
            </w:r>
          </w:p>
        </w:tc>
        <w:tc>
          <w:tcPr>
            <w:tcW w:w="467"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173FC2D8" w14:textId="23C98806">
            <w:pPr>
              <w:pStyle w:val="RTableTextAbt"/>
            </w:pPr>
            <w:r w:rsidRPr="006C5E91">
              <w:t>78</w:t>
            </w:r>
          </w:p>
        </w:tc>
        <w:tc>
          <w:tcPr>
            <w:tcW w:w="532"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04229CBB" w14:textId="38D4FDAC">
            <w:pPr>
              <w:pStyle w:val="RTableTextAbt"/>
            </w:pPr>
            <w:r w:rsidRPr="006C5E91">
              <w:t>$16,182</w:t>
            </w:r>
          </w:p>
        </w:tc>
        <w:tc>
          <w:tcPr>
            <w:tcW w:w="532"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3EE3779E" w14:textId="23DDC573">
            <w:pPr>
              <w:pStyle w:val="RTableTextAbt"/>
            </w:pPr>
            <w:r w:rsidRPr="006C5E91">
              <w:t>$21,762</w:t>
            </w:r>
          </w:p>
        </w:tc>
        <w:tc>
          <w:tcPr>
            <w:tcW w:w="596"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3770BF64" w14:textId="157A47B8">
            <w:pPr>
              <w:pStyle w:val="RTableTextAbt"/>
            </w:pPr>
            <w:r w:rsidRPr="006C5E91">
              <w:t>$32,364</w:t>
            </w:r>
          </w:p>
        </w:tc>
        <w:tc>
          <w:tcPr>
            <w:tcW w:w="596"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7B6B34BE" w14:textId="41F32AE0">
            <w:pPr>
              <w:pStyle w:val="RTableTextAbt"/>
            </w:pPr>
            <w:r w:rsidRPr="006C5E91">
              <w:t>$43,524</w:t>
            </w:r>
          </w:p>
        </w:tc>
      </w:tr>
      <w:tr w14:paraId="1C70435C" w14:textId="77777777" w:rsidTr="00BD3D2B">
        <w:tblPrEx>
          <w:tblW w:w="5000" w:type="pct"/>
          <w:tblLook w:val="04A0"/>
        </w:tblPrEx>
        <w:trPr>
          <w:trHeight w:val="20"/>
        </w:trPr>
        <w:tc>
          <w:tcPr>
            <w:tcW w:w="1198" w:type="pct"/>
            <w:tcBorders>
              <w:top w:val="single" w:sz="4" w:space="0" w:color="auto"/>
              <w:left w:val="single" w:sz="4" w:space="0" w:color="auto"/>
              <w:bottom w:val="single" w:sz="4" w:space="0" w:color="auto"/>
              <w:right w:val="single" w:sz="4" w:space="0" w:color="auto"/>
            </w:tcBorders>
            <w:vAlign w:val="center"/>
          </w:tcPr>
          <w:p w:rsidR="001809DD" w:rsidRPr="007B6745" w:rsidP="001809DD" w14:paraId="012447F1" w14:textId="405A1023">
            <w:pPr>
              <w:pStyle w:val="LTableTextAbt"/>
            </w:pPr>
            <w:r>
              <w:t>PV29 importing</w:t>
            </w:r>
          </w:p>
        </w:tc>
        <w:tc>
          <w:tcPr>
            <w:tcW w:w="612" w:type="pct"/>
            <w:tcBorders>
              <w:top w:val="single" w:sz="4" w:space="0" w:color="auto"/>
              <w:left w:val="single" w:sz="4" w:space="0" w:color="auto"/>
              <w:bottom w:val="single" w:sz="4" w:space="0" w:color="auto"/>
              <w:right w:val="single" w:sz="4" w:space="0" w:color="auto"/>
            </w:tcBorders>
          </w:tcPr>
          <w:p w:rsidR="001809DD" w:rsidRPr="007B6745" w:rsidP="001809DD" w14:paraId="67E89A60" w14:textId="3A761F59">
            <w:pPr>
              <w:pStyle w:val="RTableTextAbt"/>
            </w:pPr>
            <w:r w:rsidRPr="006C5E91">
              <w:t>2</w:t>
            </w:r>
          </w:p>
        </w:tc>
        <w:tc>
          <w:tcPr>
            <w:tcW w:w="467" w:type="pct"/>
            <w:tcBorders>
              <w:top w:val="single" w:sz="4" w:space="0" w:color="auto"/>
              <w:left w:val="single" w:sz="4" w:space="0" w:color="auto"/>
              <w:bottom w:val="single" w:sz="4" w:space="0" w:color="auto"/>
              <w:right w:val="single" w:sz="4" w:space="0" w:color="auto"/>
            </w:tcBorders>
            <w:noWrap/>
          </w:tcPr>
          <w:p w:rsidR="001809DD" w:rsidRPr="007B6745" w:rsidP="001809DD" w14:paraId="61774D0F" w14:textId="609D648F">
            <w:pPr>
              <w:pStyle w:val="RTableTextAbt"/>
            </w:pPr>
            <w:r w:rsidRPr="006C5E91">
              <w:t>19</w:t>
            </w:r>
          </w:p>
        </w:tc>
        <w:tc>
          <w:tcPr>
            <w:tcW w:w="467" w:type="pct"/>
            <w:tcBorders>
              <w:top w:val="single" w:sz="4" w:space="0" w:color="auto"/>
              <w:left w:val="single" w:sz="4" w:space="0" w:color="auto"/>
              <w:bottom w:val="single" w:sz="4" w:space="0" w:color="auto"/>
              <w:right w:val="single" w:sz="4" w:space="0" w:color="auto"/>
            </w:tcBorders>
            <w:noWrap/>
          </w:tcPr>
          <w:p w:rsidR="001809DD" w:rsidRPr="007B6745" w:rsidP="001809DD" w14:paraId="38D42B3D" w14:textId="1127A9E1">
            <w:pPr>
              <w:pStyle w:val="RTableTextAbt"/>
            </w:pPr>
            <w:r w:rsidRPr="006C5E91">
              <w:t>19</w:t>
            </w:r>
          </w:p>
        </w:tc>
        <w:tc>
          <w:tcPr>
            <w:tcW w:w="532" w:type="pct"/>
            <w:tcBorders>
              <w:top w:val="single" w:sz="4" w:space="0" w:color="auto"/>
              <w:left w:val="single" w:sz="4" w:space="0" w:color="auto"/>
              <w:bottom w:val="single" w:sz="4" w:space="0" w:color="auto"/>
              <w:right w:val="single" w:sz="4" w:space="0" w:color="auto"/>
            </w:tcBorders>
            <w:noWrap/>
          </w:tcPr>
          <w:p w:rsidR="001809DD" w:rsidRPr="007B6745" w:rsidP="001809DD" w14:paraId="3E8BA77D" w14:textId="39ACCDBE">
            <w:pPr>
              <w:pStyle w:val="RTableTextAbt"/>
            </w:pPr>
            <w:r w:rsidRPr="006C5E91">
              <w:t>$5,301</w:t>
            </w:r>
          </w:p>
        </w:tc>
        <w:tc>
          <w:tcPr>
            <w:tcW w:w="532" w:type="pct"/>
            <w:tcBorders>
              <w:top w:val="single" w:sz="4" w:space="0" w:color="auto"/>
              <w:left w:val="single" w:sz="4" w:space="0" w:color="auto"/>
              <w:bottom w:val="single" w:sz="4" w:space="0" w:color="auto"/>
              <w:right w:val="single" w:sz="4" w:space="0" w:color="auto"/>
            </w:tcBorders>
            <w:noWrap/>
          </w:tcPr>
          <w:p w:rsidR="001809DD" w:rsidRPr="007B6745" w:rsidP="001809DD" w14:paraId="0EA54892" w14:textId="355DC3EC">
            <w:pPr>
              <w:pStyle w:val="RTableTextAbt"/>
            </w:pPr>
            <w:r w:rsidRPr="006C5E91">
              <w:t>$5,301</w:t>
            </w:r>
          </w:p>
        </w:tc>
        <w:tc>
          <w:tcPr>
            <w:tcW w:w="596" w:type="pct"/>
            <w:tcBorders>
              <w:top w:val="single" w:sz="4" w:space="0" w:color="auto"/>
              <w:left w:val="single" w:sz="4" w:space="0" w:color="auto"/>
              <w:bottom w:val="single" w:sz="4" w:space="0" w:color="auto"/>
              <w:right w:val="single" w:sz="4" w:space="0" w:color="auto"/>
            </w:tcBorders>
            <w:noWrap/>
          </w:tcPr>
          <w:p w:rsidR="001809DD" w:rsidRPr="007B6745" w:rsidP="001809DD" w14:paraId="75DDBA90" w14:textId="6931FCAA">
            <w:pPr>
              <w:pStyle w:val="RTableTextAbt"/>
            </w:pPr>
            <w:r w:rsidRPr="006C5E91">
              <w:t>$10,602</w:t>
            </w:r>
          </w:p>
        </w:tc>
        <w:tc>
          <w:tcPr>
            <w:tcW w:w="596" w:type="pct"/>
            <w:tcBorders>
              <w:top w:val="single" w:sz="4" w:space="0" w:color="auto"/>
              <w:left w:val="single" w:sz="4" w:space="0" w:color="auto"/>
              <w:bottom w:val="single" w:sz="4" w:space="0" w:color="auto"/>
              <w:right w:val="single" w:sz="4" w:space="0" w:color="auto"/>
            </w:tcBorders>
            <w:noWrap/>
          </w:tcPr>
          <w:p w:rsidR="001809DD" w:rsidRPr="007B6745" w:rsidP="001809DD" w14:paraId="564B28FD" w14:textId="3DB6EDFC">
            <w:pPr>
              <w:pStyle w:val="RTableTextAbt"/>
            </w:pPr>
            <w:r w:rsidRPr="006C5E91">
              <w:t>$10,602</w:t>
            </w:r>
          </w:p>
        </w:tc>
      </w:tr>
      <w:tr w14:paraId="7A66C16B" w14:textId="77777777" w:rsidTr="00BD3D2B">
        <w:tblPrEx>
          <w:tblW w:w="5000" w:type="pct"/>
          <w:tblLook w:val="04A0"/>
        </w:tblPrEx>
        <w:trPr>
          <w:trHeight w:val="20"/>
        </w:trPr>
        <w:tc>
          <w:tcPr>
            <w:tcW w:w="1198" w:type="pct"/>
            <w:tcBorders>
              <w:top w:val="single" w:sz="4" w:space="0" w:color="auto"/>
              <w:left w:val="single" w:sz="4" w:space="0" w:color="auto"/>
              <w:bottom w:val="single" w:sz="4" w:space="0" w:color="auto"/>
              <w:right w:val="single" w:sz="4" w:space="0" w:color="auto"/>
            </w:tcBorders>
            <w:vAlign w:val="center"/>
            <w:hideMark/>
          </w:tcPr>
          <w:p w:rsidR="001809DD" w:rsidRPr="007B6745" w:rsidP="001809DD" w14:paraId="7A13C728" w14:textId="77777777">
            <w:pPr>
              <w:pStyle w:val="LTableTextAbt"/>
            </w:pPr>
            <w:r w:rsidRPr="007B6745">
              <w:t>Processing into automotive paints and coatings</w:t>
            </w:r>
          </w:p>
        </w:tc>
        <w:tc>
          <w:tcPr>
            <w:tcW w:w="612" w:type="pct"/>
            <w:tcBorders>
              <w:top w:val="single" w:sz="4" w:space="0" w:color="auto"/>
              <w:left w:val="single" w:sz="4" w:space="0" w:color="auto"/>
              <w:bottom w:val="single" w:sz="4" w:space="0" w:color="auto"/>
              <w:right w:val="single" w:sz="4" w:space="0" w:color="auto"/>
            </w:tcBorders>
            <w:hideMark/>
          </w:tcPr>
          <w:p w:rsidR="001809DD" w:rsidRPr="007B6745" w:rsidP="001809DD" w14:paraId="63CC5558" w14:textId="1298904A">
            <w:pPr>
              <w:pStyle w:val="RTableTextAbt"/>
            </w:pPr>
            <w:r w:rsidRPr="006C5E91">
              <w:t>28</w:t>
            </w:r>
          </w:p>
        </w:tc>
        <w:tc>
          <w:tcPr>
            <w:tcW w:w="467"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30F30F13" w14:textId="744D1E43">
            <w:pPr>
              <w:pStyle w:val="RTableTextAbt"/>
            </w:pPr>
            <w:r w:rsidRPr="006C5E91">
              <w:t>19</w:t>
            </w:r>
          </w:p>
        </w:tc>
        <w:tc>
          <w:tcPr>
            <w:tcW w:w="467"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77961A46" w14:textId="599425B5">
            <w:pPr>
              <w:pStyle w:val="RTableTextAbt"/>
            </w:pPr>
            <w:r w:rsidRPr="006C5E91">
              <w:t>19</w:t>
            </w:r>
          </w:p>
        </w:tc>
        <w:tc>
          <w:tcPr>
            <w:tcW w:w="532"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547AEF7B" w14:textId="4EFA56BA">
            <w:pPr>
              <w:pStyle w:val="RTableTextAbt"/>
            </w:pPr>
            <w:r w:rsidRPr="006C5E91">
              <w:t>$5,301</w:t>
            </w:r>
          </w:p>
        </w:tc>
        <w:tc>
          <w:tcPr>
            <w:tcW w:w="532"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0B422BDC" w14:textId="4483B3DD">
            <w:pPr>
              <w:pStyle w:val="RTableTextAbt"/>
            </w:pPr>
            <w:r w:rsidRPr="006C5E91">
              <w:t>$5,301</w:t>
            </w:r>
          </w:p>
        </w:tc>
        <w:tc>
          <w:tcPr>
            <w:tcW w:w="596"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0499592A" w14:textId="7ED741A1">
            <w:pPr>
              <w:pStyle w:val="RTableTextAbt"/>
            </w:pPr>
            <w:r w:rsidRPr="006C5E91">
              <w:t>$148,428</w:t>
            </w:r>
          </w:p>
        </w:tc>
        <w:tc>
          <w:tcPr>
            <w:tcW w:w="596"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09FE4341" w14:textId="4F9C4F72">
            <w:pPr>
              <w:pStyle w:val="RTableTextAbt"/>
            </w:pPr>
            <w:r w:rsidRPr="006C5E91">
              <w:t>$148,428</w:t>
            </w:r>
          </w:p>
        </w:tc>
      </w:tr>
      <w:tr w14:paraId="15FE4685" w14:textId="77777777" w:rsidTr="00BD3D2B">
        <w:tblPrEx>
          <w:tblW w:w="5000" w:type="pct"/>
          <w:tblLook w:val="04A0"/>
        </w:tblPrEx>
        <w:trPr>
          <w:trHeight w:val="20"/>
        </w:trPr>
        <w:tc>
          <w:tcPr>
            <w:tcW w:w="1198" w:type="pct"/>
            <w:tcBorders>
              <w:top w:val="single" w:sz="4" w:space="0" w:color="auto"/>
              <w:left w:val="single" w:sz="4" w:space="0" w:color="auto"/>
              <w:bottom w:val="single" w:sz="4" w:space="0" w:color="auto"/>
              <w:right w:val="single" w:sz="4" w:space="0" w:color="auto"/>
            </w:tcBorders>
            <w:vAlign w:val="center"/>
            <w:hideMark/>
          </w:tcPr>
          <w:p w:rsidR="001809DD" w:rsidRPr="007B6745" w:rsidP="001809DD" w14:paraId="53171789" w14:textId="77777777">
            <w:pPr>
              <w:pStyle w:val="LTableTextAbt"/>
            </w:pPr>
            <w:r w:rsidRPr="007B6745">
              <w:t>Processing into plastic and rubber products</w:t>
            </w:r>
          </w:p>
        </w:tc>
        <w:tc>
          <w:tcPr>
            <w:tcW w:w="612" w:type="pct"/>
            <w:tcBorders>
              <w:top w:val="single" w:sz="4" w:space="0" w:color="auto"/>
              <w:left w:val="single" w:sz="4" w:space="0" w:color="auto"/>
              <w:bottom w:val="single" w:sz="4" w:space="0" w:color="auto"/>
              <w:right w:val="single" w:sz="4" w:space="0" w:color="auto"/>
            </w:tcBorders>
            <w:hideMark/>
          </w:tcPr>
          <w:p w:rsidR="001809DD" w:rsidRPr="007B6745" w:rsidP="001809DD" w14:paraId="37EED1BD" w14:textId="3DE8E3CA">
            <w:pPr>
              <w:pStyle w:val="RTableTextAbt"/>
            </w:pPr>
            <w:r w:rsidRPr="006C5E91">
              <w:t>12</w:t>
            </w:r>
          </w:p>
        </w:tc>
        <w:tc>
          <w:tcPr>
            <w:tcW w:w="467"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5FF119DF" w14:textId="5568FCA5">
            <w:pPr>
              <w:pStyle w:val="RTableTextAbt"/>
            </w:pPr>
            <w:r w:rsidRPr="006C5E91">
              <w:t>39</w:t>
            </w:r>
          </w:p>
        </w:tc>
        <w:tc>
          <w:tcPr>
            <w:tcW w:w="467"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3F7A7487" w14:textId="468E8C5A">
            <w:pPr>
              <w:pStyle w:val="RTableTextAbt"/>
            </w:pPr>
            <w:r w:rsidRPr="006C5E91">
              <w:t>39</w:t>
            </w:r>
          </w:p>
        </w:tc>
        <w:tc>
          <w:tcPr>
            <w:tcW w:w="532"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57D523D3" w14:textId="5253A859">
            <w:pPr>
              <w:pStyle w:val="RTableTextAbt"/>
            </w:pPr>
            <w:r w:rsidRPr="006C5E91">
              <w:t>$10,881</w:t>
            </w:r>
          </w:p>
        </w:tc>
        <w:tc>
          <w:tcPr>
            <w:tcW w:w="532"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26CC4C1E" w14:textId="4F981F66">
            <w:pPr>
              <w:pStyle w:val="RTableTextAbt"/>
            </w:pPr>
            <w:r w:rsidRPr="006C5E91">
              <w:t>$10,881</w:t>
            </w:r>
          </w:p>
        </w:tc>
        <w:tc>
          <w:tcPr>
            <w:tcW w:w="596"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0690D50C" w14:textId="2A5F62AB">
            <w:pPr>
              <w:pStyle w:val="RTableTextAbt"/>
            </w:pPr>
            <w:r w:rsidRPr="006C5E91">
              <w:t>$130,572</w:t>
            </w:r>
          </w:p>
        </w:tc>
        <w:tc>
          <w:tcPr>
            <w:tcW w:w="596"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7D49DF09" w14:textId="1729F252">
            <w:pPr>
              <w:pStyle w:val="RTableTextAbt"/>
            </w:pPr>
            <w:r w:rsidRPr="006C5E91">
              <w:t>$130,572</w:t>
            </w:r>
          </w:p>
        </w:tc>
      </w:tr>
      <w:tr w14:paraId="12248312" w14:textId="77777777" w:rsidTr="00BD3D2B">
        <w:tblPrEx>
          <w:tblW w:w="5000" w:type="pct"/>
          <w:tblLook w:val="04A0"/>
        </w:tblPrEx>
        <w:trPr>
          <w:trHeight w:val="20"/>
        </w:trPr>
        <w:tc>
          <w:tcPr>
            <w:tcW w:w="1198" w:type="pct"/>
            <w:tcBorders>
              <w:top w:val="single" w:sz="4" w:space="0" w:color="auto"/>
              <w:left w:val="single" w:sz="4" w:space="0" w:color="auto"/>
              <w:bottom w:val="single" w:sz="4" w:space="0" w:color="auto"/>
              <w:right w:val="single" w:sz="4" w:space="0" w:color="auto"/>
            </w:tcBorders>
            <w:vAlign w:val="center"/>
            <w:hideMark/>
          </w:tcPr>
          <w:p w:rsidR="001809DD" w:rsidRPr="007B6745" w:rsidP="001809DD" w14:paraId="56E425AC" w14:textId="77777777">
            <w:pPr>
              <w:pStyle w:val="LTableTextAbt"/>
              <w:rPr>
                <w:b/>
              </w:rPr>
            </w:pPr>
            <w:r w:rsidRPr="007B6745">
              <w:rPr>
                <w:b/>
              </w:rPr>
              <w:t>Total</w:t>
            </w:r>
          </w:p>
        </w:tc>
        <w:tc>
          <w:tcPr>
            <w:tcW w:w="612" w:type="pct"/>
            <w:tcBorders>
              <w:top w:val="single" w:sz="4" w:space="0" w:color="auto"/>
              <w:left w:val="single" w:sz="4" w:space="0" w:color="auto"/>
              <w:bottom w:val="single" w:sz="4" w:space="0" w:color="auto"/>
              <w:right w:val="single" w:sz="4" w:space="0" w:color="auto"/>
            </w:tcBorders>
            <w:hideMark/>
          </w:tcPr>
          <w:p w:rsidR="001809DD" w:rsidRPr="000B1A2F" w:rsidP="001809DD" w14:paraId="09860AA9" w14:textId="1062C328">
            <w:pPr>
              <w:pStyle w:val="RTableTextAbt"/>
              <w:rPr>
                <w:b/>
                <w:bCs w:val="0"/>
              </w:rPr>
            </w:pPr>
            <w:r w:rsidRPr="000B1A2F">
              <w:rPr>
                <w:b/>
                <w:bCs w:val="0"/>
              </w:rPr>
              <w:t>44</w:t>
            </w:r>
          </w:p>
        </w:tc>
        <w:tc>
          <w:tcPr>
            <w:tcW w:w="467" w:type="pct"/>
            <w:tcBorders>
              <w:top w:val="single" w:sz="4" w:space="0" w:color="auto"/>
              <w:left w:val="single" w:sz="4" w:space="0" w:color="auto"/>
              <w:bottom w:val="single" w:sz="4" w:space="0" w:color="auto"/>
              <w:right w:val="single" w:sz="4" w:space="0" w:color="auto"/>
            </w:tcBorders>
            <w:noWrap/>
            <w:hideMark/>
          </w:tcPr>
          <w:p w:rsidR="001809DD" w:rsidRPr="000B1A2F" w:rsidP="001809DD" w14:paraId="76539A55" w14:textId="096EE8F8">
            <w:pPr>
              <w:pStyle w:val="RTableTextAbt"/>
              <w:rPr>
                <w:b/>
                <w:bCs w:val="0"/>
              </w:rPr>
            </w:pPr>
          </w:p>
        </w:tc>
        <w:tc>
          <w:tcPr>
            <w:tcW w:w="467" w:type="pct"/>
            <w:tcBorders>
              <w:top w:val="single" w:sz="4" w:space="0" w:color="auto"/>
              <w:left w:val="single" w:sz="4" w:space="0" w:color="auto"/>
              <w:bottom w:val="single" w:sz="4" w:space="0" w:color="auto"/>
              <w:right w:val="single" w:sz="4" w:space="0" w:color="auto"/>
            </w:tcBorders>
            <w:noWrap/>
            <w:hideMark/>
          </w:tcPr>
          <w:p w:rsidR="001809DD" w:rsidRPr="000B1A2F" w:rsidP="001809DD" w14:paraId="00549DC7" w14:textId="5293854B">
            <w:pPr>
              <w:pStyle w:val="RTableTextAbt"/>
              <w:rPr>
                <w:b/>
                <w:bCs w:val="0"/>
              </w:rPr>
            </w:pPr>
          </w:p>
        </w:tc>
        <w:tc>
          <w:tcPr>
            <w:tcW w:w="532" w:type="pct"/>
            <w:tcBorders>
              <w:top w:val="single" w:sz="4" w:space="0" w:color="auto"/>
              <w:left w:val="single" w:sz="4" w:space="0" w:color="auto"/>
              <w:bottom w:val="single" w:sz="4" w:space="0" w:color="auto"/>
              <w:right w:val="single" w:sz="4" w:space="0" w:color="auto"/>
            </w:tcBorders>
            <w:noWrap/>
            <w:hideMark/>
          </w:tcPr>
          <w:p w:rsidR="001809DD" w:rsidRPr="000B1A2F" w:rsidP="001809DD" w14:paraId="4935882D" w14:textId="2838B52E">
            <w:pPr>
              <w:pStyle w:val="RTableTextAbt"/>
              <w:rPr>
                <w:b/>
                <w:bCs w:val="0"/>
              </w:rPr>
            </w:pPr>
          </w:p>
        </w:tc>
        <w:tc>
          <w:tcPr>
            <w:tcW w:w="532" w:type="pct"/>
            <w:tcBorders>
              <w:top w:val="single" w:sz="4" w:space="0" w:color="auto"/>
              <w:left w:val="single" w:sz="4" w:space="0" w:color="auto"/>
              <w:bottom w:val="single" w:sz="4" w:space="0" w:color="auto"/>
              <w:right w:val="single" w:sz="4" w:space="0" w:color="auto"/>
            </w:tcBorders>
            <w:noWrap/>
            <w:hideMark/>
          </w:tcPr>
          <w:p w:rsidR="001809DD" w:rsidRPr="000B1A2F" w:rsidP="001809DD" w14:paraId="25B5F89F" w14:textId="785B03FC">
            <w:pPr>
              <w:pStyle w:val="RTableTextAbt"/>
              <w:rPr>
                <w:b/>
                <w:bCs w:val="0"/>
              </w:rPr>
            </w:pPr>
          </w:p>
        </w:tc>
        <w:tc>
          <w:tcPr>
            <w:tcW w:w="596" w:type="pct"/>
            <w:tcBorders>
              <w:top w:val="single" w:sz="4" w:space="0" w:color="auto"/>
              <w:left w:val="single" w:sz="4" w:space="0" w:color="auto"/>
              <w:bottom w:val="single" w:sz="4" w:space="0" w:color="auto"/>
              <w:right w:val="single" w:sz="4" w:space="0" w:color="auto"/>
            </w:tcBorders>
            <w:noWrap/>
            <w:hideMark/>
          </w:tcPr>
          <w:p w:rsidR="001809DD" w:rsidRPr="000B1A2F" w:rsidP="001809DD" w14:paraId="510FBE8F" w14:textId="5630A514">
            <w:pPr>
              <w:pStyle w:val="RTableTextAbt"/>
              <w:rPr>
                <w:b/>
                <w:bCs w:val="0"/>
              </w:rPr>
            </w:pPr>
            <w:r w:rsidRPr="000B1A2F">
              <w:rPr>
                <w:b/>
                <w:bCs w:val="0"/>
              </w:rPr>
              <w:t>$321,966</w:t>
            </w:r>
          </w:p>
        </w:tc>
        <w:tc>
          <w:tcPr>
            <w:tcW w:w="596" w:type="pct"/>
            <w:tcBorders>
              <w:top w:val="single" w:sz="4" w:space="0" w:color="auto"/>
              <w:left w:val="single" w:sz="4" w:space="0" w:color="auto"/>
              <w:bottom w:val="single" w:sz="4" w:space="0" w:color="auto"/>
              <w:right w:val="single" w:sz="4" w:space="0" w:color="auto"/>
            </w:tcBorders>
            <w:noWrap/>
            <w:hideMark/>
          </w:tcPr>
          <w:p w:rsidR="001809DD" w:rsidRPr="000B1A2F" w:rsidP="001809DD" w14:paraId="640E42C6" w14:textId="55F39A2F">
            <w:pPr>
              <w:pStyle w:val="RTableTextAbt"/>
              <w:rPr>
                <w:b/>
                <w:bCs w:val="0"/>
              </w:rPr>
            </w:pPr>
            <w:r w:rsidRPr="000B1A2F">
              <w:rPr>
                <w:b/>
                <w:bCs w:val="0"/>
              </w:rPr>
              <w:t>$333,126</w:t>
            </w:r>
          </w:p>
        </w:tc>
      </w:tr>
      <w:tr w14:paraId="164DE5C5" w14:textId="77777777" w:rsidTr="007B6745">
        <w:tblPrEx>
          <w:tblW w:w="5000" w:type="pct"/>
          <w:tblLook w:val="04A0"/>
        </w:tblPrEx>
        <w:trPr>
          <w:trHeight w:val="20"/>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7B6745" w:rsidRPr="003C6334" w:rsidP="003C6334" w14:paraId="1DC4F48D" w14:textId="42D50FE3">
            <w:pPr>
              <w:pStyle w:val="TableNote0"/>
            </w:pPr>
            <w:r w:rsidRPr="003C6334">
              <w:t>a. Number of facilities (</w:t>
            </w:r>
            <w:r>
              <w:fldChar w:fldCharType="begin" w:fldLock="1"/>
            </w:r>
            <w:r>
              <w:instrText>REF _Ref180054057  \* MERGEFORMAT</w:instrText>
            </w:r>
            <w:r>
              <w:fldChar w:fldCharType="separate"/>
            </w:r>
            <w:r w:rsidRPr="007B6745" w:rsidR="00735BBC">
              <w:t xml:space="preserve">Table </w:t>
            </w:r>
            <w:r w:rsidR="00735BBC">
              <w:t>4</w:t>
            </w:r>
            <w:r w:rsidR="00735BBC">
              <w:noBreakHyphen/>
              <w:t>3</w:t>
            </w:r>
            <w:r w:rsidR="00735BBC">
              <w:fldChar w:fldCharType="end"/>
            </w:r>
            <w:r w:rsidRPr="003C6334">
              <w:t>) times two monitoring events per year</w:t>
            </w:r>
          </w:p>
          <w:p w:rsidR="007B6745" w:rsidRPr="003C6334" w:rsidP="003C6334" w14:paraId="27E682BE" w14:textId="6B9D02EF">
            <w:pPr>
              <w:pStyle w:val="TableNote0"/>
            </w:pPr>
            <w:r w:rsidRPr="003C6334">
              <w:t>b. Number of facility workers times $279 per worker (</w:t>
            </w:r>
            <w:r>
              <w:fldChar w:fldCharType="begin" w:fldLock="1"/>
            </w:r>
            <w:r>
              <w:instrText>REF _Ref180406959  \* MERGEFORMAT</w:instrText>
            </w:r>
            <w:r>
              <w:fldChar w:fldCharType="separate"/>
            </w:r>
            <w:r w:rsidRPr="007B6745" w:rsidR="00735BBC">
              <w:t xml:space="preserve">Table </w:t>
            </w:r>
            <w:r w:rsidR="00735BBC">
              <w:t>4</w:t>
            </w:r>
            <w:r w:rsidR="00735BBC">
              <w:noBreakHyphen/>
              <w:t>23</w:t>
            </w:r>
            <w:r w:rsidR="00735BBC">
              <w:fldChar w:fldCharType="end"/>
            </w:r>
            <w:r w:rsidRPr="003C6334">
              <w:t>)</w:t>
            </w:r>
          </w:p>
          <w:p w:rsidR="007B6745" w:rsidRPr="007B6745" w:rsidP="003C6334" w14:paraId="51326B5E" w14:textId="77777777">
            <w:pPr>
              <w:pStyle w:val="TableNote0"/>
              <w:rPr>
                <w:sz w:val="24"/>
              </w:rPr>
            </w:pPr>
            <w:r w:rsidRPr="003C6334">
              <w:t>c. Event cost times number of monitoring events</w:t>
            </w:r>
          </w:p>
        </w:tc>
      </w:tr>
    </w:tbl>
    <w:p w:rsidR="007B6745" w:rsidRPr="007B6745" w:rsidP="00832749" w14:paraId="45746A44" w14:textId="77777777">
      <w:pPr>
        <w:pStyle w:val="BodyText"/>
      </w:pPr>
    </w:p>
    <w:p w:rsidR="007B6745" w:rsidRPr="007B6745" w:rsidP="00ED269D" w14:paraId="1E1D9948" w14:textId="77777777">
      <w:pPr>
        <w:pStyle w:val="Heading3"/>
      </w:pPr>
      <w:bookmarkStart w:id="241" w:name="_Toc179234331"/>
      <w:bookmarkStart w:id="242" w:name="_Ref179295651"/>
      <w:bookmarkStart w:id="243" w:name="_Ref175677959"/>
      <w:r w:rsidRPr="007B6745">
        <w:t>Engineering Controls</w:t>
      </w:r>
      <w:bookmarkEnd w:id="241"/>
      <w:bookmarkEnd w:id="242"/>
    </w:p>
    <w:p w:rsidR="007B6745" w:rsidRPr="007B6745" w:rsidP="00832749" w14:paraId="708E2C2E" w14:textId="2DB0EA4A">
      <w:pPr>
        <w:pStyle w:val="BodyText"/>
      </w:pPr>
      <w:r w:rsidRPr="4BA86F39">
        <w:rPr>
          <w:lang w:val="en-US"/>
        </w:rPr>
        <w:t xml:space="preserve">The proposed rule does not include any requirements for engineering controls. Under the alternative option, facilities would be required to use engineering controls to </w:t>
      </w:r>
      <w:r w:rsidR="005A7F2F">
        <w:rPr>
          <w:lang w:val="en-US"/>
        </w:rPr>
        <w:t>reduce</w:t>
      </w:r>
      <w:r w:rsidRPr="4BA86F39" w:rsidR="005A7F2F">
        <w:rPr>
          <w:lang w:val="en-US"/>
        </w:rPr>
        <w:t xml:space="preserve"> </w:t>
      </w:r>
      <w:r w:rsidRPr="4BA86F39">
        <w:rPr>
          <w:lang w:val="en-US"/>
        </w:rPr>
        <w:t xml:space="preserve">concentrations </w:t>
      </w:r>
      <w:r w:rsidR="005A7F2F">
        <w:rPr>
          <w:rStyle w:val="normaltextrun"/>
          <w:color w:val="000000"/>
          <w:shd w:val="clear" w:color="auto" w:fill="FFFFFF"/>
        </w:rPr>
        <w:t>the concentration of regulated PV29 in workplace air.</w:t>
      </w:r>
      <w:r w:rsidRPr="4BA86F39">
        <w:rPr>
          <w:lang w:val="en-US"/>
        </w:rPr>
        <w:t xml:space="preserve"> </w:t>
      </w:r>
      <w:r w:rsidR="005A7F2F">
        <w:rPr>
          <w:lang w:val="en-US"/>
        </w:rPr>
        <w:t xml:space="preserve">This analysis assumes that facilities would reduce the concentration of respirable dust (measured by NIOSH 06000) to </w:t>
      </w:r>
      <w:r w:rsidRPr="4BA86F39">
        <w:rPr>
          <w:lang w:val="en-US"/>
        </w:rPr>
        <w:t>below the NIOSH 0600 limit of detection, which is 0.5 mg/m</w:t>
      </w:r>
      <w:r w:rsidRPr="00005413" w:rsidR="00005413">
        <w:rPr>
          <w:rStyle w:val="TableTextChar"/>
          <w:rFonts w:ascii="Times New Roman" w:hAnsi="Times New Roman" w:eastAsiaTheme="minorEastAsia"/>
          <w:vertAlign w:val="superscript"/>
          <w:lang w:val="en-US"/>
        </w:rPr>
        <w:t>3</w:t>
      </w:r>
      <w:r w:rsidRPr="4BA86F39">
        <w:rPr>
          <w:lang w:val="en-US"/>
        </w:rPr>
        <w:t xml:space="preserve">. </w:t>
      </w:r>
    </w:p>
    <w:p w:rsidR="007B6745" w:rsidRPr="007B6745" w:rsidP="00832749" w14:paraId="1941D66D" w14:textId="77777777">
      <w:pPr>
        <w:pStyle w:val="BodyText"/>
      </w:pPr>
      <w:r w:rsidRPr="4BA86F39">
        <w:rPr>
          <w:lang w:val="en-US"/>
        </w:rPr>
        <w:t>There are a variety of engineering approaches that facilities may leverage to control concentrations of airborne PV29, which may be broken out into four general categories:</w:t>
      </w:r>
    </w:p>
    <w:p w:rsidR="007B6745" w:rsidRPr="007B6745" w:rsidP="005E5102" w14:paraId="0DCBD4DD" w14:textId="2FDA3D46">
      <w:pPr>
        <w:pStyle w:val="BodyText"/>
        <w:numPr>
          <w:ilvl w:val="0"/>
          <w:numId w:val="194"/>
        </w:numPr>
        <w:rPr>
          <w:lang w:val="en-US"/>
        </w:rPr>
      </w:pPr>
      <w:r w:rsidRPr="4BA86F39">
        <w:rPr>
          <w:lang w:val="en-US"/>
        </w:rPr>
        <w:t xml:space="preserve">Facility-wide systems, which filter and clean air throughout the entire facility (e.g. use of HEPA filters as part of facility </w:t>
      </w:r>
      <w:r w:rsidR="006435FE">
        <w:rPr>
          <w:lang w:val="en-US"/>
        </w:rPr>
        <w:t>heating, ventilation, and air conditioning (</w:t>
      </w:r>
      <w:r w:rsidRPr="4BA86F39">
        <w:rPr>
          <w:lang w:val="en-US"/>
        </w:rPr>
        <w:t>HVAC</w:t>
      </w:r>
      <w:r w:rsidR="006435FE">
        <w:rPr>
          <w:lang w:val="en-US"/>
        </w:rPr>
        <w:t>)</w:t>
      </w:r>
      <w:r w:rsidRPr="4BA86F39">
        <w:rPr>
          <w:lang w:val="en-US"/>
        </w:rPr>
        <w:t xml:space="preserve"> systems);</w:t>
      </w:r>
    </w:p>
    <w:p w:rsidR="007B6745" w:rsidRPr="007B6745" w:rsidP="005E5102" w14:paraId="5FB1DDC7" w14:textId="77777777">
      <w:pPr>
        <w:pStyle w:val="BodyText"/>
        <w:numPr>
          <w:ilvl w:val="0"/>
          <w:numId w:val="194"/>
        </w:numPr>
      </w:pPr>
      <w:r w:rsidRPr="4BA86F39">
        <w:rPr>
          <w:lang w:val="en-US"/>
        </w:rPr>
        <w:t xml:space="preserve">Local systems, which clean the air in close proximity to the source of the dust (e.g. portable HEPA air filters); </w:t>
      </w:r>
    </w:p>
    <w:p w:rsidR="007B6745" w:rsidRPr="007B6745" w:rsidP="005E5102" w14:paraId="4595FDAC" w14:textId="17F37C39">
      <w:pPr>
        <w:pStyle w:val="BodyText"/>
        <w:numPr>
          <w:ilvl w:val="0"/>
          <w:numId w:val="194"/>
        </w:numPr>
      </w:pPr>
      <w:r w:rsidRPr="47F4D8F7">
        <w:rPr>
          <w:lang w:val="en-US"/>
        </w:rPr>
        <w:t xml:space="preserve">Containment, which confines the dust to a fixed space (e.g. glove boxes or bags); and </w:t>
      </w:r>
    </w:p>
    <w:p w:rsidR="007B6745" w:rsidRPr="007B6745" w:rsidP="005E5102" w14:paraId="26319C48" w14:textId="608FF33B">
      <w:pPr>
        <w:pStyle w:val="BodyText"/>
        <w:numPr>
          <w:ilvl w:val="0"/>
          <w:numId w:val="194"/>
        </w:numPr>
      </w:pPr>
      <w:r w:rsidRPr="47F4D8F7">
        <w:rPr>
          <w:lang w:val="en-US"/>
        </w:rPr>
        <w:t xml:space="preserve">Prevention, which stops the occurrence of airborne dust (e.g. dust extraction). </w:t>
      </w:r>
    </w:p>
    <w:p w:rsidR="007B6745" w:rsidRPr="007B6745" w:rsidP="00832749" w14:paraId="5845461B" w14:textId="723FD514">
      <w:pPr>
        <w:pStyle w:val="BodyText"/>
      </w:pPr>
      <w:r w:rsidRPr="007B6745">
        <w:t xml:space="preserve">The costs of different controls vary widely depending on the facility configuration, existing filtration system specifics, frequency of use, and other factors. </w:t>
      </w:r>
    </w:p>
    <w:p w:rsidR="007B6745" w:rsidRPr="007B6745" w:rsidP="00832749" w14:paraId="749F4C60" w14:textId="7656E8AB">
      <w:pPr>
        <w:pStyle w:val="BodyText"/>
      </w:pPr>
      <w:r w:rsidRPr="47F4D8F7">
        <w:rPr>
          <w:lang w:val="en-US"/>
        </w:rPr>
        <w:t>Available concentration data from the PV29 manufacturing facility indicates that the average concentration of PV29 during active use is 0.37 mg/m</w:t>
      </w:r>
      <w:r w:rsidRPr="00005413" w:rsidR="00005413">
        <w:rPr>
          <w:rStyle w:val="TableTextChar"/>
          <w:rFonts w:ascii="Times New Roman" w:hAnsi="Times New Roman" w:eastAsiaTheme="minorEastAsia"/>
          <w:vertAlign w:val="superscript"/>
          <w:lang w:val="en-US"/>
        </w:rPr>
        <w:t>3</w:t>
      </w:r>
      <w:r w:rsidRPr="47F4D8F7">
        <w:rPr>
          <w:lang w:val="en-US"/>
        </w:rPr>
        <w:t>, which is below the LOD</w:t>
      </w:r>
      <w:r w:rsidR="005A7F2F">
        <w:rPr>
          <w:lang w:val="en-US"/>
        </w:rPr>
        <w:t xml:space="preserve"> for NIOSH 0600</w:t>
      </w:r>
      <w:r w:rsidRPr="47F4D8F7">
        <w:rPr>
          <w:lang w:val="en-US"/>
        </w:rPr>
        <w:t>. As such, EPA expects that facilities would not incur any incremental engineering control costs due to the alternative option requirements.</w:t>
      </w:r>
    </w:p>
    <w:p w:rsidR="007B6745" w:rsidRPr="007B6745" w:rsidP="00ED269D" w14:paraId="1E420586" w14:textId="77777777">
      <w:pPr>
        <w:pStyle w:val="Heading2"/>
      </w:pPr>
      <w:bookmarkStart w:id="244" w:name="_Toc179234332"/>
      <w:bookmarkStart w:id="245" w:name="_Ref179298578"/>
      <w:bookmarkStart w:id="246" w:name="_Toc184299519"/>
      <w:r w:rsidRPr="007B6745">
        <w:t>Total Industry Costs</w:t>
      </w:r>
      <w:bookmarkEnd w:id="221"/>
      <w:bookmarkEnd w:id="222"/>
      <w:bookmarkEnd w:id="243"/>
      <w:bookmarkEnd w:id="244"/>
      <w:bookmarkEnd w:id="245"/>
      <w:bookmarkEnd w:id="246"/>
    </w:p>
    <w:p w:rsidR="007B6745" w:rsidP="00832749" w14:paraId="108E0A0C" w14:textId="44EA32B9">
      <w:pPr>
        <w:pStyle w:val="BodyText"/>
      </w:pPr>
      <w:r>
        <w:fldChar w:fldCharType="begin" w:fldLock="1"/>
      </w:r>
      <w:r>
        <w:instrText xml:space="preserve"> REF _Ref181628189 \h </w:instrText>
      </w:r>
      <w:r>
        <w:fldChar w:fldCharType="separate"/>
      </w:r>
      <w:r w:rsidRPr="007B6745" w:rsidR="00735BBC">
        <w:t xml:space="preserve">Table </w:t>
      </w:r>
      <w:r w:rsidR="00735BBC">
        <w:rPr>
          <w:noProof/>
        </w:rPr>
        <w:t>4</w:t>
      </w:r>
      <w:r w:rsidR="00735BBC">
        <w:noBreakHyphen/>
      </w:r>
      <w:r w:rsidR="00735BBC">
        <w:rPr>
          <w:noProof/>
        </w:rPr>
        <w:t>25</w:t>
      </w:r>
      <w:r>
        <w:fldChar w:fldCharType="end"/>
      </w:r>
      <w:r w:rsidRPr="0E4AE1FD" w:rsidR="3B013A66">
        <w:rPr>
          <w:lang w:val="en-US"/>
        </w:rPr>
        <w:t xml:space="preserve">, </w:t>
      </w:r>
      <w:r>
        <w:fldChar w:fldCharType="begin" w:fldLock="1"/>
      </w:r>
      <w:r>
        <w:instrText xml:space="preserve"> REF _Ref181628192 \h </w:instrText>
      </w:r>
      <w:r>
        <w:fldChar w:fldCharType="separate"/>
      </w:r>
      <w:r w:rsidRPr="007B6745" w:rsidR="00735BBC">
        <w:t xml:space="preserve">Table </w:t>
      </w:r>
      <w:r w:rsidR="00735BBC">
        <w:rPr>
          <w:noProof/>
        </w:rPr>
        <w:t>4</w:t>
      </w:r>
      <w:r w:rsidR="00735BBC">
        <w:noBreakHyphen/>
      </w:r>
      <w:r w:rsidR="00735BBC">
        <w:rPr>
          <w:noProof/>
        </w:rPr>
        <w:t>26</w:t>
      </w:r>
      <w:r>
        <w:fldChar w:fldCharType="end"/>
      </w:r>
      <w:r w:rsidRPr="0E4AE1FD" w:rsidR="3B013A66">
        <w:rPr>
          <w:lang w:val="en-US"/>
        </w:rPr>
        <w:t xml:space="preserve">, </w:t>
      </w:r>
      <w:r>
        <w:fldChar w:fldCharType="begin" w:fldLock="1"/>
      </w:r>
      <w:r>
        <w:instrText xml:space="preserve"> REF _Ref181628193 \h </w:instrText>
      </w:r>
      <w:r>
        <w:fldChar w:fldCharType="separate"/>
      </w:r>
      <w:r w:rsidRPr="007B6745" w:rsidR="00735BBC">
        <w:t xml:space="preserve">Table </w:t>
      </w:r>
      <w:r w:rsidR="00735BBC">
        <w:rPr>
          <w:noProof/>
        </w:rPr>
        <w:t>4</w:t>
      </w:r>
      <w:r w:rsidR="00735BBC">
        <w:noBreakHyphen/>
      </w:r>
      <w:r w:rsidR="00735BBC">
        <w:rPr>
          <w:noProof/>
        </w:rPr>
        <w:t>27</w:t>
      </w:r>
      <w:r>
        <w:fldChar w:fldCharType="end"/>
      </w:r>
      <w:r w:rsidRPr="0E4AE1FD" w:rsidR="3B013A66">
        <w:rPr>
          <w:lang w:val="en-US"/>
        </w:rPr>
        <w:t xml:space="preserve">, and </w:t>
      </w:r>
      <w:r>
        <w:fldChar w:fldCharType="begin" w:fldLock="1"/>
      </w:r>
      <w:r>
        <w:instrText xml:space="preserve"> REF _Ref181628195 \h </w:instrText>
      </w:r>
      <w:r>
        <w:fldChar w:fldCharType="separate"/>
      </w:r>
      <w:r w:rsidRPr="007B6745" w:rsidR="00735BBC">
        <w:t xml:space="preserve">Table </w:t>
      </w:r>
      <w:r w:rsidR="00735BBC">
        <w:rPr>
          <w:noProof/>
        </w:rPr>
        <w:t>4</w:t>
      </w:r>
      <w:r w:rsidR="00735BBC">
        <w:noBreakHyphen/>
      </w:r>
      <w:r w:rsidR="00735BBC">
        <w:rPr>
          <w:noProof/>
        </w:rPr>
        <w:t>28</w:t>
      </w:r>
      <w:r>
        <w:fldChar w:fldCharType="end"/>
      </w:r>
      <w:r w:rsidRPr="0E4AE1FD" w:rsidR="3B013A66">
        <w:rPr>
          <w:lang w:val="en-US"/>
        </w:rPr>
        <w:t xml:space="preserve"> present the one-time and annually recurring </w:t>
      </w:r>
      <w:r w:rsidRPr="0E4AE1FD" w:rsidR="5F77F76A">
        <w:rPr>
          <w:lang w:val="en-US"/>
        </w:rPr>
        <w:t xml:space="preserve">total </w:t>
      </w:r>
      <w:r w:rsidRPr="0E4AE1FD" w:rsidR="3B013A66">
        <w:rPr>
          <w:lang w:val="en-US"/>
        </w:rPr>
        <w:t xml:space="preserve">costs for the regulatory options. </w:t>
      </w:r>
      <w:r>
        <w:fldChar w:fldCharType="begin" w:fldLock="1"/>
      </w:r>
      <w:r>
        <w:instrText xml:space="preserve"> REF _Ref181628198 \h </w:instrText>
      </w:r>
      <w:r>
        <w:fldChar w:fldCharType="separate"/>
      </w:r>
      <w:r w:rsidRPr="007B6745" w:rsidR="00735BBC">
        <w:t xml:space="preserve">Table </w:t>
      </w:r>
      <w:r w:rsidR="00735BBC">
        <w:rPr>
          <w:noProof/>
        </w:rPr>
        <w:t>4</w:t>
      </w:r>
      <w:r w:rsidR="00735BBC">
        <w:noBreakHyphen/>
      </w:r>
      <w:r w:rsidR="00735BBC">
        <w:rPr>
          <w:noProof/>
        </w:rPr>
        <w:t>29</w:t>
      </w:r>
      <w:r>
        <w:fldChar w:fldCharType="end"/>
      </w:r>
      <w:r w:rsidRPr="0E4AE1FD" w:rsidR="5F77F76A">
        <w:rPr>
          <w:lang w:val="en-US"/>
        </w:rPr>
        <w:t xml:space="preserve"> presents the </w:t>
      </w:r>
      <w:r w:rsidRPr="0E4AE1FD" w:rsidR="6E928011">
        <w:rPr>
          <w:lang w:val="en-US"/>
        </w:rPr>
        <w:t xml:space="preserve">total </w:t>
      </w:r>
      <w:r w:rsidRPr="0E4AE1FD" w:rsidR="5F77F76A">
        <w:rPr>
          <w:lang w:val="en-US"/>
        </w:rPr>
        <w:t xml:space="preserve">annualized costs </w:t>
      </w:r>
      <w:r w:rsidRPr="0E4AE1FD" w:rsidR="60AF256B">
        <w:rPr>
          <w:lang w:val="en-US"/>
        </w:rPr>
        <w:t>for the regulatory options</w:t>
      </w:r>
      <w:r w:rsidRPr="0E4AE1FD" w:rsidR="24EB9EC1">
        <w:rPr>
          <w:lang w:val="en-US"/>
        </w:rPr>
        <w:t xml:space="preserve">. Total costs are annualized over 15 years using a two percent discount rate. </w:t>
      </w:r>
      <w:r w:rsidRPr="0E4AE1FD" w:rsidR="60AF256B">
        <w:rPr>
          <w:lang w:val="en-US"/>
        </w:rPr>
        <w:t xml:space="preserve"> </w:t>
      </w:r>
    </w:p>
    <w:p w:rsidR="00862726" w:rsidRPr="00AF3B97" w:rsidP="00862726" w14:paraId="675D62F0" w14:textId="449A4C3D">
      <w:pPr>
        <w:pStyle w:val="BodyText"/>
      </w:pPr>
      <w:r w:rsidRPr="0E4AE1FD">
        <w:rPr>
          <w:lang w:val="en-US"/>
        </w:rPr>
        <w:t xml:space="preserve">The present discounted value for the annualized value of the stream of costs </w:t>
      </w:r>
      <w:r w:rsidRPr="0E4AE1FD" w:rsidR="7C73B4A7">
        <w:rPr>
          <w:lang w:val="en-US"/>
        </w:rPr>
        <w:t xml:space="preserve">for the 15-year analytical timeframe </w:t>
      </w:r>
      <w:r w:rsidRPr="0E4AE1FD">
        <w:rPr>
          <w:lang w:val="en-US"/>
        </w:rPr>
        <w:t xml:space="preserve">is estimated using a two percent discount rate. </w:t>
      </w:r>
      <w:r w:rsidRPr="0E4AE1FD" w:rsidR="23AF2D45">
        <w:rPr>
          <w:lang w:val="en-US"/>
        </w:rPr>
        <w:t>Costs</w:t>
      </w:r>
      <w:r w:rsidRPr="0E4AE1FD">
        <w:rPr>
          <w:lang w:val="en-US"/>
        </w:rPr>
        <w:t xml:space="preserve"> are discounted back to the beginning of the 15-year period, as follows:</w:t>
      </w:r>
    </w:p>
    <w:tbl>
      <w:tblPr>
        <w:tblW w:w="5000" w:type="pct"/>
        <w:tblCellMar>
          <w:left w:w="115" w:type="dxa"/>
          <w:right w:w="115" w:type="dxa"/>
        </w:tblCellMar>
        <w:tblLook w:val="04A0"/>
      </w:tblPr>
      <w:tblGrid>
        <w:gridCol w:w="7110"/>
        <w:gridCol w:w="2250"/>
      </w:tblGrid>
      <w:tr w14:paraId="76260878" w14:textId="77777777" w:rsidTr="009860E2">
        <w:tblPrEx>
          <w:tblW w:w="5000" w:type="pct"/>
          <w:tblCellMar>
            <w:left w:w="115" w:type="dxa"/>
            <w:right w:w="115" w:type="dxa"/>
          </w:tblCellMar>
          <w:tblLook w:val="04A0"/>
        </w:tblPrEx>
        <w:trPr>
          <w:trHeight w:val="792"/>
        </w:trPr>
        <w:tc>
          <w:tcPr>
            <w:tcW w:w="3798" w:type="pct"/>
            <w:vAlign w:val="center"/>
          </w:tcPr>
          <w:p w:rsidR="00862726" w:rsidRPr="00AF3B97" w:rsidP="009860E2" w14:paraId="04A978AB" w14:textId="77777777">
            <m:oMathPara>
              <m:oMathParaPr>
                <m:jc m:val="left"/>
              </m:oMathParaPr>
              <m:oMath>
                <m:r>
                  <w:rPr>
                    <w:rFonts w:ascii="Cambria Math" w:hAnsi="Cambria Math"/>
                  </w:rPr>
                  <m:t xml:space="preserve"> Present Discounted Value=</m:t>
                </m:r>
                <m:nary>
                  <m:naryPr>
                    <m:chr m:val="∑"/>
                    <m:limLoc m:val="undOvr"/>
                    <m:ctrlPr>
                      <w:rPr>
                        <w:rFonts w:ascii="Cambria Math" w:hAnsi="Cambria Math"/>
                      </w:rPr>
                    </m:ctrlPr>
                  </m:naryPr>
                  <m:sub>
                    <m:r>
                      <w:rPr>
                        <w:rFonts w:ascii="Cambria Math" w:hAnsi="Cambria Math"/>
                      </w:rPr>
                      <m:t>t=0</m:t>
                    </m:r>
                  </m:sub>
                  <m:sup>
                    <m:r>
                      <w:rPr>
                        <w:rFonts w:ascii="Cambria Math" w:hAnsi="Cambria Math"/>
                      </w:rPr>
                      <m:t>15</m:t>
                    </m:r>
                  </m:sup>
                  <m:e>
                    <m:f>
                      <m:fPr>
                        <m:ctrlPr>
                          <w:rPr>
                            <w:rFonts w:ascii="Cambria Math" w:hAnsi="Cambria Math"/>
                          </w:rPr>
                        </m:ctrlPr>
                      </m:fPr>
                      <m:num>
                        <m:sSub>
                          <m:sSubPr>
                            <m:ctrlPr>
                              <w:rPr>
                                <w:rFonts w:ascii="Cambria Math" w:hAnsi="Cambria Math"/>
                              </w:rPr>
                            </m:ctrlPr>
                          </m:sSubPr>
                          <m:e>
                            <m:r>
                              <w:rPr>
                                <w:rFonts w:ascii="Cambria Math" w:hAnsi="Cambria Math"/>
                              </w:rPr>
                              <m:t>(Undiscounted Value)</m:t>
                            </m:r>
                          </m:e>
                          <m:sub>
                            <m:r>
                              <w:rPr>
                                <w:rFonts w:ascii="Cambria Math" w:hAnsi="Cambria Math"/>
                              </w:rPr>
                              <m:t>t</m:t>
                            </m:r>
                          </m:sub>
                        </m:sSub>
                      </m:num>
                      <m:den>
                        <m:sSup>
                          <m:sSupPr>
                            <m:ctrlPr>
                              <w:rPr>
                                <w:rFonts w:ascii="Cambria Math" w:hAnsi="Cambria Math"/>
                              </w:rPr>
                            </m:ctrlPr>
                          </m:sSupPr>
                          <m:e>
                            <m:r>
                              <w:rPr>
                                <w:rFonts w:ascii="Cambria Math" w:hAnsi="Cambria Math"/>
                              </w:rPr>
                              <m:t>(1+2%)</m:t>
                            </m:r>
                          </m:e>
                          <m:sup>
                            <m:r>
                              <w:rPr>
                                <w:rFonts w:ascii="Cambria Math" w:hAnsi="Cambria Math"/>
                              </w:rPr>
                              <m:t>t</m:t>
                            </m:r>
                          </m:sup>
                        </m:sSup>
                      </m:den>
                    </m:f>
                  </m:e>
                </m:nary>
              </m:oMath>
            </m:oMathPara>
          </w:p>
        </w:tc>
        <w:tc>
          <w:tcPr>
            <w:tcW w:w="1202" w:type="pct"/>
            <w:vAlign w:val="center"/>
          </w:tcPr>
          <w:p w:rsidR="00862726" w:rsidRPr="00AF3B97" w:rsidP="009860E2" w14:paraId="7486E5AD" w14:textId="485FC644">
            <w:pPr>
              <w:jc w:val="center"/>
              <w:rPr>
                <w:rFonts w:ascii="Cambria Math" w:hAnsi="Cambria Math"/>
              </w:rPr>
            </w:pPr>
            <w:r>
              <w:t xml:space="preserve">Equation </w:t>
            </w:r>
            <w:r w:rsidR="00BF1623">
              <w:fldChar w:fldCharType="begin" w:fldLock="1"/>
            </w:r>
            <w:r w:rsidR="00BF1623">
              <w:instrText xml:space="preserve"> STYLEREF 1 \s </w:instrText>
            </w:r>
            <w:r w:rsidR="00BF1623">
              <w:fldChar w:fldCharType="separate"/>
            </w:r>
            <w:r w:rsidR="00735BBC">
              <w:rPr>
                <w:noProof/>
              </w:rPr>
              <w:t>4</w:t>
            </w:r>
            <w:r w:rsidR="00BF1623">
              <w:rPr>
                <w:noProof/>
              </w:rPr>
              <w:fldChar w:fldCharType="end"/>
            </w:r>
            <w:r>
              <w:noBreakHyphen/>
            </w:r>
            <w:r w:rsidR="00BF1623">
              <w:fldChar w:fldCharType="begin" w:fldLock="1"/>
            </w:r>
            <w:r w:rsidR="00BF1623">
              <w:instrText xml:space="preserve"> SEQ Equation \* ARABIC \s 1 </w:instrText>
            </w:r>
            <w:r w:rsidR="00BF1623">
              <w:fldChar w:fldCharType="separate"/>
            </w:r>
            <w:r w:rsidR="00735BBC">
              <w:rPr>
                <w:noProof/>
              </w:rPr>
              <w:t>1</w:t>
            </w:r>
            <w:r w:rsidR="00BF1623">
              <w:rPr>
                <w:noProof/>
              </w:rPr>
              <w:fldChar w:fldCharType="end"/>
            </w:r>
          </w:p>
        </w:tc>
      </w:tr>
    </w:tbl>
    <w:p w:rsidR="00862726" w:rsidRPr="00AF3B97" w:rsidP="00862726" w14:paraId="2C1FCFB8" w14:textId="77777777">
      <w:pPr>
        <w:pStyle w:val="BodyText"/>
      </w:pPr>
    </w:p>
    <w:p w:rsidR="00862726" w:rsidRPr="00AF3B97" w:rsidP="00862726" w14:paraId="5B707D84" w14:textId="2C989A9D">
      <w:pPr>
        <w:pStyle w:val="BodyText"/>
      </w:pPr>
      <w:r w:rsidRPr="00AF3B97">
        <w:t xml:space="preserve">The present discounted value </w:t>
      </w:r>
      <w:r>
        <w:t xml:space="preserve">(PDV) </w:t>
      </w:r>
      <w:r w:rsidR="00CE4F33">
        <w:t>costs</w:t>
      </w:r>
      <w:r w:rsidRPr="00AF3B97">
        <w:t xml:space="preserve"> are annualized as follows:</w:t>
      </w:r>
    </w:p>
    <w:tbl>
      <w:tblPr>
        <w:tblW w:w="5000" w:type="pct"/>
        <w:tblCellMar>
          <w:left w:w="115" w:type="dxa"/>
          <w:right w:w="115" w:type="dxa"/>
        </w:tblCellMar>
        <w:tblLook w:val="04A0"/>
      </w:tblPr>
      <w:tblGrid>
        <w:gridCol w:w="7110"/>
        <w:gridCol w:w="2250"/>
      </w:tblGrid>
      <w:tr w14:paraId="0D6F358F" w14:textId="77777777" w:rsidTr="009860E2">
        <w:tblPrEx>
          <w:tblW w:w="5000" w:type="pct"/>
          <w:tblCellMar>
            <w:left w:w="115" w:type="dxa"/>
            <w:right w:w="115" w:type="dxa"/>
          </w:tblCellMar>
          <w:tblLook w:val="04A0"/>
        </w:tblPrEx>
        <w:trPr>
          <w:trHeight w:val="792"/>
        </w:trPr>
        <w:tc>
          <w:tcPr>
            <w:tcW w:w="3798" w:type="pct"/>
            <w:vAlign w:val="center"/>
          </w:tcPr>
          <w:p w:rsidR="00862726" w:rsidRPr="00AF3B97" w:rsidP="009860E2" w14:paraId="058C0939" w14:textId="609AA856">
            <m:oMathPara>
              <m:oMathParaPr>
                <m:jc m:val="left"/>
              </m:oMathParaPr>
              <m:oMath>
                <m:r>
                  <w:rPr>
                    <w:rFonts w:ascii="Cambria Math" w:hAnsi="Cambria Math"/>
                  </w:rPr>
                  <m:t>(Annualized COsts)=</m:t>
                </m:r>
                <m:sSub>
                  <m:sSubPr>
                    <m:ctrlPr>
                      <w:rPr>
                        <w:rFonts w:ascii="Cambria Math" w:hAnsi="Cambria Math"/>
                      </w:rPr>
                    </m:ctrlPr>
                  </m:sSubPr>
                  <m:e>
                    <m:r>
                      <w:rPr>
                        <w:rFonts w:ascii="Cambria Math" w:hAnsi="Cambria Math"/>
                      </w:rPr>
                      <m:t>(PDV</m:t>
                    </m:r>
                  </m:e>
                  <m:sub>
                    <m:r>
                      <w:rPr>
                        <w:rFonts w:ascii="Cambria Math" w:hAnsi="Cambria Math"/>
                      </w:rPr>
                      <m:t>15 year cost stream</m:t>
                    </m:r>
                  </m:sub>
                </m:sSub>
                <m:r>
                  <w:rPr>
                    <w:rFonts w:ascii="Cambria Math" w:hAnsi="Cambria Math"/>
                  </w:rPr>
                  <m:t>)*</m:t>
                </m:r>
                <m:f>
                  <m:fPr>
                    <m:ctrlPr>
                      <w:rPr>
                        <w:rFonts w:ascii="Cambria Math" w:hAnsi="Cambria Math"/>
                      </w:rPr>
                    </m:ctrlPr>
                  </m:fPr>
                  <m:num>
                    <m:r>
                      <w:rPr>
                        <w:rFonts w:ascii="Cambria Math" w:hAnsi="Cambria Math"/>
                      </w:rPr>
                      <m:t>2%*(1+2%</m:t>
                    </m:r>
                    <m:sSup>
                      <m:sSupPr>
                        <m:ctrlPr>
                          <w:rPr>
                            <w:rFonts w:ascii="Cambria Math" w:hAnsi="Cambria Math"/>
                          </w:rPr>
                        </m:ctrlPr>
                      </m:sSupPr>
                      <m:e>
                        <m:r>
                          <w:rPr>
                            <w:rFonts w:ascii="Cambria Math" w:hAnsi="Cambria Math"/>
                          </w:rPr>
                          <m:t>)</m:t>
                        </m:r>
                      </m:e>
                      <m:sup>
                        <m:r>
                          <w:rPr>
                            <w:rFonts w:ascii="Cambria Math" w:hAnsi="Cambria Math"/>
                          </w:rPr>
                          <m:t>15</m:t>
                        </m:r>
                      </m:sup>
                    </m:sSup>
                  </m:num>
                  <m:den>
                    <m:r>
                      <w:rPr>
                        <w:rFonts w:ascii="Cambria Math" w:hAnsi="Cambria Math"/>
                      </w:rPr>
                      <m:t>(</m:t>
                    </m:r>
                    <m:sSup>
                      <m:sSupPr>
                        <m:ctrlPr>
                          <w:rPr>
                            <w:rFonts w:ascii="Cambria Math" w:hAnsi="Cambria Math"/>
                          </w:rPr>
                        </m:ctrlPr>
                      </m:sSupPr>
                      <m:e>
                        <m:r>
                          <w:rPr>
                            <w:rFonts w:ascii="Cambria Math" w:hAnsi="Cambria Math"/>
                          </w:rPr>
                          <m:t>1+2%)</m:t>
                        </m:r>
                      </m:e>
                      <m:sup>
                        <m:r>
                          <w:rPr>
                            <w:rFonts w:ascii="Cambria Math" w:hAnsi="Cambria Math"/>
                          </w:rPr>
                          <m:t>16</m:t>
                        </m:r>
                      </m:sup>
                    </m:sSup>
                    <m:r>
                      <w:rPr>
                        <w:rFonts w:ascii="Cambria Math" w:hAnsi="Cambria Math"/>
                      </w:rPr>
                      <m:t>-1</m:t>
                    </m:r>
                  </m:den>
                </m:f>
              </m:oMath>
            </m:oMathPara>
          </w:p>
        </w:tc>
        <w:tc>
          <w:tcPr>
            <w:tcW w:w="1202" w:type="pct"/>
            <w:vAlign w:val="center"/>
          </w:tcPr>
          <w:p w:rsidR="00862726" w:rsidRPr="00AF3B97" w:rsidP="009860E2" w14:paraId="684A8222" w14:textId="57881BA8">
            <w:pPr>
              <w:jc w:val="center"/>
            </w:pPr>
            <w:r>
              <w:t xml:space="preserve">Equation </w:t>
            </w:r>
            <w:r w:rsidR="00BF1623">
              <w:fldChar w:fldCharType="begin" w:fldLock="1"/>
            </w:r>
            <w:r w:rsidR="00BF1623">
              <w:instrText xml:space="preserve"> STYLEREF 1 \s </w:instrText>
            </w:r>
            <w:r w:rsidR="00BF1623">
              <w:fldChar w:fldCharType="separate"/>
            </w:r>
            <w:r w:rsidR="00735BBC">
              <w:rPr>
                <w:noProof/>
              </w:rPr>
              <w:t>4</w:t>
            </w:r>
            <w:r w:rsidR="00BF1623">
              <w:rPr>
                <w:noProof/>
              </w:rPr>
              <w:fldChar w:fldCharType="end"/>
            </w:r>
            <w:r>
              <w:noBreakHyphen/>
            </w:r>
            <w:r w:rsidR="00BF1623">
              <w:fldChar w:fldCharType="begin" w:fldLock="1"/>
            </w:r>
            <w:r w:rsidR="00BF1623">
              <w:instrText xml:space="preserve"> SEQ Equation \* ARABIC \s 1 </w:instrText>
            </w:r>
            <w:r w:rsidR="00BF1623">
              <w:fldChar w:fldCharType="separate"/>
            </w:r>
            <w:r w:rsidR="00735BBC">
              <w:rPr>
                <w:noProof/>
              </w:rPr>
              <w:t>2</w:t>
            </w:r>
            <w:r w:rsidR="00BF1623">
              <w:rPr>
                <w:noProof/>
              </w:rPr>
              <w:fldChar w:fldCharType="end"/>
            </w:r>
          </w:p>
        </w:tc>
      </w:tr>
    </w:tbl>
    <w:p w:rsidR="00862726" w:rsidP="00862726" w14:paraId="7E66754E" w14:textId="77777777">
      <w:pPr>
        <w:pStyle w:val="BodyText"/>
        <w:rPr>
          <w:rFonts w:eastAsiaTheme="minorEastAsia"/>
          <w:lang w:val="en-US"/>
        </w:rPr>
      </w:pPr>
    </w:p>
    <w:p w:rsidR="00652F6C" w:rsidP="00832749" w14:paraId="1C99FE20" w14:textId="77777777">
      <w:pPr>
        <w:pStyle w:val="BodyText"/>
        <w:rPr>
          <w:rFonts w:eastAsiaTheme="minorEastAsia"/>
          <w:lang w:val="en-US"/>
        </w:rPr>
        <w:sectPr w:rsidSect="00946DC8">
          <w:pgSz w:w="12240" w:h="15840" w:code="1"/>
          <w:pgMar w:top="1440" w:right="1440" w:bottom="1440" w:left="1440" w:header="1080" w:footer="720" w:gutter="0"/>
          <w:pgNumType w:start="1" w:chapStyle="1"/>
          <w:cols w:space="720"/>
          <w:docGrid w:linePitch="360"/>
        </w:sectPr>
      </w:pPr>
      <w:r w:rsidRPr="0E4AE1FD">
        <w:rPr>
          <w:rFonts w:eastAsiaTheme="minorEastAsia"/>
          <w:lang w:val="en-US"/>
        </w:rPr>
        <w:t xml:space="preserve">Given these equations, </w:t>
      </w:r>
      <w:r w:rsidRPr="0E4AE1FD" w:rsidR="0066F61B">
        <w:rPr>
          <w:rFonts w:eastAsiaTheme="minorEastAsia"/>
          <w:lang w:val="en-US"/>
        </w:rPr>
        <w:t>the total</w:t>
      </w:r>
      <w:r w:rsidRPr="0E4AE1FD">
        <w:rPr>
          <w:rFonts w:eastAsiaTheme="minorEastAsia"/>
          <w:lang w:val="en-US"/>
        </w:rPr>
        <w:t xml:space="preserve"> annualized value can be calculated </w:t>
      </w:r>
      <w:r w:rsidRPr="0E4AE1FD" w:rsidR="78E30691">
        <w:rPr>
          <w:rFonts w:eastAsiaTheme="minorEastAsia"/>
          <w:lang w:val="en-US"/>
        </w:rPr>
        <w:t xml:space="preserve">by multiplying one-time costs by </w:t>
      </w:r>
      <w:r w:rsidRPr="0E4AE1FD" w:rsidR="1C696A75">
        <w:rPr>
          <w:rFonts w:eastAsiaTheme="minorEastAsia"/>
          <w:lang w:val="en-US"/>
        </w:rPr>
        <w:t>7.221</w:t>
      </w:r>
      <w:r w:rsidRPr="0E4AE1FD" w:rsidR="0066F61B">
        <w:rPr>
          <w:rFonts w:eastAsiaTheme="minorEastAsia"/>
          <w:lang w:val="en-US"/>
        </w:rPr>
        <w:t xml:space="preserve"> percent</w:t>
      </w:r>
      <w:r w:rsidRPr="0E4AE1FD" w:rsidR="78E30691">
        <w:rPr>
          <w:rFonts w:eastAsiaTheme="minorEastAsia"/>
          <w:lang w:val="en-US"/>
        </w:rPr>
        <w:t xml:space="preserve"> and </w:t>
      </w:r>
      <w:r w:rsidRPr="0E4AE1FD">
        <w:rPr>
          <w:rFonts w:eastAsiaTheme="minorEastAsia"/>
          <w:lang w:val="en-US"/>
        </w:rPr>
        <w:t xml:space="preserve">recurring annual </w:t>
      </w:r>
      <w:r w:rsidRPr="0E4AE1FD" w:rsidR="78E30691">
        <w:rPr>
          <w:rFonts w:eastAsiaTheme="minorEastAsia"/>
          <w:lang w:val="en-US"/>
        </w:rPr>
        <w:t>costs</w:t>
      </w:r>
      <w:r w:rsidRPr="0E4AE1FD">
        <w:rPr>
          <w:rFonts w:eastAsiaTheme="minorEastAsia"/>
          <w:lang w:val="en-US"/>
        </w:rPr>
        <w:t xml:space="preserve"> by 92.779 percent</w:t>
      </w:r>
      <w:r w:rsidRPr="0E4AE1FD" w:rsidR="21341C13">
        <w:rPr>
          <w:rFonts w:eastAsiaTheme="minorEastAsia"/>
          <w:lang w:val="en-US"/>
        </w:rPr>
        <w:t xml:space="preserve"> </w:t>
      </w:r>
      <w:r w:rsidRPr="0E4AE1FD" w:rsidR="53CA8C6D">
        <w:rPr>
          <w:rFonts w:eastAsiaTheme="minorEastAsia"/>
          <w:lang w:val="en-US"/>
        </w:rPr>
        <w:t xml:space="preserve">and </w:t>
      </w:r>
      <w:r w:rsidRPr="0E4AE1FD" w:rsidR="0066F61B">
        <w:rPr>
          <w:rFonts w:eastAsiaTheme="minorEastAsia"/>
          <w:lang w:val="en-US"/>
        </w:rPr>
        <w:t xml:space="preserve">then </w:t>
      </w:r>
      <w:r w:rsidRPr="0E4AE1FD" w:rsidR="53CA8C6D">
        <w:rPr>
          <w:rFonts w:eastAsiaTheme="minorEastAsia"/>
          <w:lang w:val="en-US"/>
        </w:rPr>
        <w:t xml:space="preserve">summing across all </w:t>
      </w:r>
      <w:r w:rsidRPr="0E4AE1FD" w:rsidR="63ECA56C">
        <w:rPr>
          <w:rFonts w:eastAsiaTheme="minorEastAsia"/>
          <w:lang w:val="en-US"/>
        </w:rPr>
        <w:t xml:space="preserve">the </w:t>
      </w:r>
      <w:r w:rsidRPr="0E4AE1FD" w:rsidR="0066F61B">
        <w:rPr>
          <w:rFonts w:eastAsiaTheme="minorEastAsia"/>
          <w:lang w:val="en-US"/>
        </w:rPr>
        <w:t xml:space="preserve">annualized </w:t>
      </w:r>
      <w:r w:rsidRPr="0E4AE1FD" w:rsidR="53CA8C6D">
        <w:rPr>
          <w:rFonts w:eastAsiaTheme="minorEastAsia"/>
          <w:lang w:val="en-US"/>
        </w:rPr>
        <w:t>costs</w:t>
      </w:r>
      <w:r w:rsidRPr="0E4AE1FD">
        <w:rPr>
          <w:rFonts w:eastAsiaTheme="minorEastAsia"/>
          <w:lang w:val="en-US"/>
        </w:rPr>
        <w:t>.</w:t>
      </w:r>
    </w:p>
    <w:tbl>
      <w:tblPr>
        <w:tblW w:w="4837" w:type="pct"/>
        <w:tblInd w:w="270" w:type="dxa"/>
        <w:tblLayout w:type="fixed"/>
        <w:tblCellMar>
          <w:left w:w="29" w:type="dxa"/>
          <w:right w:w="29" w:type="dxa"/>
        </w:tblCellMar>
        <w:tblLook w:val="04A0"/>
      </w:tblPr>
      <w:tblGrid>
        <w:gridCol w:w="2070"/>
        <w:gridCol w:w="989"/>
        <w:gridCol w:w="902"/>
        <w:gridCol w:w="902"/>
        <w:gridCol w:w="721"/>
        <w:gridCol w:w="630"/>
        <w:gridCol w:w="992"/>
        <w:gridCol w:w="902"/>
        <w:gridCol w:w="947"/>
      </w:tblGrid>
      <w:tr w14:paraId="1A766C7A" w14:textId="77777777" w:rsidTr="00D04221">
        <w:tblPrEx>
          <w:tblW w:w="4837" w:type="pct"/>
          <w:tblInd w:w="270" w:type="dxa"/>
          <w:tblLayout w:type="fixed"/>
          <w:tblCellMar>
            <w:left w:w="29" w:type="dxa"/>
            <w:right w:w="29" w:type="dxa"/>
          </w:tblCellMar>
          <w:tblLook w:val="04A0"/>
        </w:tblPrEx>
        <w:trPr>
          <w:trHeight w:val="20"/>
          <w:tblHeader/>
        </w:trPr>
        <w:tc>
          <w:tcPr>
            <w:tcW w:w="5000" w:type="pct"/>
            <w:gridSpan w:val="9"/>
            <w:tcBorders>
              <w:top w:val="nil"/>
              <w:bottom w:val="single" w:sz="4" w:space="0" w:color="auto"/>
            </w:tcBorders>
            <w:shd w:val="clear" w:color="auto" w:fill="auto"/>
            <w:vAlign w:val="center"/>
          </w:tcPr>
          <w:p w:rsidR="00ED269D" w:rsidRPr="002328BE" w:rsidP="002328BE" w14:paraId="1A2F0F9B" w14:textId="45A1BC56">
            <w:pPr>
              <w:pStyle w:val="TableTitleA"/>
            </w:pPr>
            <w:bookmarkStart w:id="247" w:name="_Ref181628189"/>
            <w:bookmarkStart w:id="248" w:name="_Toc184299581"/>
            <w:r w:rsidRPr="007B6745">
              <w:t xml:space="preserve">Table </w:t>
            </w:r>
            <w:r>
              <w:fldChar w:fldCharType="begin" w:fldLock="1"/>
            </w:r>
            <w:r>
              <w:instrText>STYLEREF 1 \s</w:instrText>
            </w:r>
            <w:r>
              <w:fldChar w:fldCharType="separate"/>
            </w:r>
            <w:r w:rsidR="00735BBC">
              <w:rPr>
                <w:noProof/>
              </w:rPr>
              <w:t>4</w:t>
            </w:r>
            <w:r>
              <w:fldChar w:fldCharType="end"/>
            </w:r>
            <w:r w:rsidR="000A1542">
              <w:noBreakHyphen/>
            </w:r>
            <w:r>
              <w:fldChar w:fldCharType="begin" w:fldLock="1"/>
            </w:r>
            <w:r>
              <w:instrText>SEQ Table \* ARABIC \s 1</w:instrText>
            </w:r>
            <w:r>
              <w:fldChar w:fldCharType="separate"/>
            </w:r>
            <w:r w:rsidR="00735BBC">
              <w:rPr>
                <w:noProof/>
              </w:rPr>
              <w:t>25</w:t>
            </w:r>
            <w:r>
              <w:fldChar w:fldCharType="end"/>
            </w:r>
            <w:bookmarkEnd w:id="247"/>
            <w:r w:rsidRPr="007B6745">
              <w:t>: Proposed Option Total Incremental One-Time Costs (2023$)</w:t>
            </w:r>
            <w:bookmarkEnd w:id="248"/>
          </w:p>
        </w:tc>
      </w:tr>
      <w:tr w14:paraId="0427A855" w14:textId="77777777" w:rsidTr="00AB3925">
        <w:tblPrEx>
          <w:tblW w:w="4837" w:type="pct"/>
          <w:tblInd w:w="270" w:type="dxa"/>
          <w:tblLayout w:type="fixed"/>
          <w:tblCellMar>
            <w:left w:w="29" w:type="dxa"/>
            <w:right w:w="29" w:type="dxa"/>
          </w:tblCellMar>
          <w:tblLook w:val="04A0"/>
        </w:tblPrEx>
        <w:trPr>
          <w:trHeight w:val="20"/>
          <w:tblHeader/>
        </w:trPr>
        <w:tc>
          <w:tcPr>
            <w:tcW w:w="1143" w:type="pct"/>
            <w:vMerge w:val="restart"/>
            <w:tcBorders>
              <w:top w:val="single" w:sz="4" w:space="0" w:color="auto"/>
              <w:left w:val="single" w:sz="4" w:space="0" w:color="auto"/>
              <w:bottom w:val="single" w:sz="4" w:space="0" w:color="000000"/>
              <w:right w:val="single" w:sz="4" w:space="0" w:color="auto"/>
            </w:tcBorders>
            <w:shd w:val="clear" w:color="auto" w:fill="013E5B"/>
            <w:vAlign w:val="center"/>
            <w:hideMark/>
          </w:tcPr>
          <w:p w:rsidR="007B6745" w:rsidRPr="007B6745" w:rsidP="000D7F2B" w14:paraId="34243252" w14:textId="77777777">
            <w:pPr>
              <w:pStyle w:val="TableSubtitle"/>
            </w:pPr>
            <w:r w:rsidRPr="007B6745">
              <w:t>Use category</w:t>
            </w:r>
          </w:p>
        </w:tc>
        <w:tc>
          <w:tcPr>
            <w:tcW w:w="546" w:type="pct"/>
            <w:vMerge w:val="restart"/>
            <w:tcBorders>
              <w:top w:val="single" w:sz="4" w:space="0" w:color="auto"/>
              <w:left w:val="single" w:sz="4" w:space="0" w:color="auto"/>
              <w:bottom w:val="single" w:sz="4" w:space="0" w:color="000000"/>
              <w:right w:val="single" w:sz="4" w:space="0" w:color="auto"/>
            </w:tcBorders>
            <w:shd w:val="clear" w:color="auto" w:fill="013E5B"/>
            <w:vAlign w:val="center"/>
            <w:hideMark/>
          </w:tcPr>
          <w:p w:rsidR="007B6745" w:rsidRPr="007B6745" w:rsidP="000D7F2B" w14:paraId="6BAB43F6" w14:textId="3E7ACFF8">
            <w:pPr>
              <w:pStyle w:val="TableSubtitle"/>
            </w:pPr>
            <w:r w:rsidRPr="007B6745">
              <w:t>Familiar</w:t>
            </w:r>
            <w:r w:rsidR="00D04221">
              <w:t>-</w:t>
            </w:r>
            <w:r w:rsidRPr="007B6745">
              <w:t>ization</w:t>
            </w:r>
          </w:p>
        </w:tc>
        <w:tc>
          <w:tcPr>
            <w:tcW w:w="996" w:type="pct"/>
            <w:gridSpan w:val="2"/>
            <w:tcBorders>
              <w:top w:val="single" w:sz="4" w:space="0" w:color="auto"/>
              <w:left w:val="nil"/>
              <w:bottom w:val="single" w:sz="4" w:space="0" w:color="auto"/>
              <w:right w:val="single" w:sz="4" w:space="0" w:color="000000"/>
            </w:tcBorders>
            <w:shd w:val="clear" w:color="auto" w:fill="013E5B"/>
            <w:vAlign w:val="center"/>
            <w:hideMark/>
          </w:tcPr>
          <w:p w:rsidR="007B6745" w:rsidRPr="007B6745" w:rsidP="000D7F2B" w14:paraId="245B1BD8" w14:textId="77777777">
            <w:pPr>
              <w:pStyle w:val="TableSubtitle"/>
            </w:pPr>
            <w:r w:rsidRPr="007B6745">
              <w:t>PPE</w:t>
            </w:r>
          </w:p>
        </w:tc>
        <w:tc>
          <w:tcPr>
            <w:tcW w:w="746" w:type="pct"/>
            <w:gridSpan w:val="2"/>
            <w:tcBorders>
              <w:top w:val="single" w:sz="4" w:space="0" w:color="auto"/>
              <w:left w:val="nil"/>
              <w:bottom w:val="single" w:sz="4" w:space="0" w:color="auto"/>
              <w:right w:val="single" w:sz="4" w:space="0" w:color="000000"/>
            </w:tcBorders>
            <w:shd w:val="clear" w:color="auto" w:fill="013E5B"/>
            <w:vAlign w:val="center"/>
            <w:hideMark/>
          </w:tcPr>
          <w:p w:rsidR="007B6745" w:rsidRPr="007B6745" w:rsidP="000D7F2B" w14:paraId="56480176" w14:textId="77777777">
            <w:pPr>
              <w:pStyle w:val="TableSubtitle"/>
            </w:pPr>
            <w:r w:rsidRPr="007B6745">
              <w:t>Labeling &amp; Notification</w:t>
            </w:r>
          </w:p>
        </w:tc>
        <w:tc>
          <w:tcPr>
            <w:tcW w:w="548" w:type="pct"/>
            <w:vMerge w:val="restart"/>
            <w:tcBorders>
              <w:top w:val="single" w:sz="4" w:space="0" w:color="auto"/>
              <w:left w:val="single" w:sz="4" w:space="0" w:color="auto"/>
              <w:bottom w:val="single" w:sz="4" w:space="0" w:color="000000"/>
              <w:right w:val="single" w:sz="4" w:space="0" w:color="auto"/>
            </w:tcBorders>
            <w:shd w:val="clear" w:color="auto" w:fill="013E5B"/>
            <w:vAlign w:val="center"/>
            <w:hideMark/>
          </w:tcPr>
          <w:p w:rsidR="007B6745" w:rsidRPr="007B6745" w:rsidP="000D7F2B" w14:paraId="236CFD76" w14:textId="77777777">
            <w:pPr>
              <w:pStyle w:val="TableSubtitle"/>
            </w:pPr>
            <w:r w:rsidRPr="007B6745">
              <w:t>Cleaning</w:t>
            </w:r>
          </w:p>
        </w:tc>
        <w:tc>
          <w:tcPr>
            <w:tcW w:w="1021" w:type="pct"/>
            <w:gridSpan w:val="2"/>
            <w:tcBorders>
              <w:top w:val="single" w:sz="4" w:space="0" w:color="auto"/>
            </w:tcBorders>
            <w:shd w:val="clear" w:color="auto" w:fill="013E5B"/>
            <w:vAlign w:val="center"/>
            <w:hideMark/>
          </w:tcPr>
          <w:p w:rsidR="007B6745" w:rsidRPr="007B6745" w:rsidP="000D7F2B" w14:paraId="2744596E" w14:textId="77777777">
            <w:pPr>
              <w:pStyle w:val="TableSubtitle"/>
            </w:pPr>
            <w:r w:rsidRPr="007B6745">
              <w:t>Total</w:t>
            </w:r>
          </w:p>
        </w:tc>
      </w:tr>
      <w:tr w14:paraId="47E09870" w14:textId="77777777" w:rsidTr="00AB3925">
        <w:tblPrEx>
          <w:tblW w:w="4837" w:type="pct"/>
          <w:tblInd w:w="270" w:type="dxa"/>
          <w:tblLayout w:type="fixed"/>
          <w:tblCellMar>
            <w:left w:w="29" w:type="dxa"/>
            <w:right w:w="29" w:type="dxa"/>
          </w:tblCellMar>
          <w:tblLook w:val="04A0"/>
        </w:tblPrEx>
        <w:trPr>
          <w:trHeight w:val="20"/>
          <w:tblHeader/>
        </w:trPr>
        <w:tc>
          <w:tcPr>
            <w:tcW w:w="1143" w:type="pct"/>
            <w:vMerge/>
            <w:tcBorders>
              <w:top w:val="nil"/>
              <w:left w:val="single" w:sz="4" w:space="0" w:color="auto"/>
              <w:bottom w:val="single" w:sz="4" w:space="0" w:color="000000"/>
              <w:right w:val="single" w:sz="4" w:space="0" w:color="auto"/>
            </w:tcBorders>
            <w:shd w:val="clear" w:color="auto" w:fill="013E5B"/>
            <w:vAlign w:val="center"/>
            <w:hideMark/>
          </w:tcPr>
          <w:p w:rsidR="007B6745" w:rsidRPr="007B6745" w:rsidP="000D7F2B" w14:paraId="0071706B" w14:textId="77777777">
            <w:pPr>
              <w:pStyle w:val="TableSubtitle"/>
            </w:pPr>
          </w:p>
        </w:tc>
        <w:tc>
          <w:tcPr>
            <w:tcW w:w="546" w:type="pct"/>
            <w:vMerge/>
            <w:tcBorders>
              <w:top w:val="single" w:sz="4" w:space="0" w:color="auto"/>
              <w:left w:val="single" w:sz="4" w:space="0" w:color="auto"/>
              <w:bottom w:val="single" w:sz="4" w:space="0" w:color="000000"/>
              <w:right w:val="single" w:sz="4" w:space="0" w:color="auto"/>
            </w:tcBorders>
            <w:shd w:val="clear" w:color="auto" w:fill="013E5B"/>
            <w:vAlign w:val="center"/>
            <w:hideMark/>
          </w:tcPr>
          <w:p w:rsidR="007B6745" w:rsidRPr="007B6745" w:rsidP="000D7F2B" w14:paraId="1AF25A71" w14:textId="77777777">
            <w:pPr>
              <w:pStyle w:val="TableSubtitle"/>
            </w:pPr>
          </w:p>
        </w:tc>
        <w:tc>
          <w:tcPr>
            <w:tcW w:w="498" w:type="pct"/>
            <w:tcBorders>
              <w:top w:val="nil"/>
              <w:left w:val="nil"/>
              <w:bottom w:val="single" w:sz="4" w:space="0" w:color="auto"/>
              <w:right w:val="single" w:sz="4" w:space="0" w:color="auto"/>
            </w:tcBorders>
            <w:shd w:val="clear" w:color="auto" w:fill="013E5B"/>
            <w:vAlign w:val="center"/>
            <w:hideMark/>
          </w:tcPr>
          <w:p w:rsidR="007B6745" w:rsidRPr="007B6745" w:rsidP="000D7F2B" w14:paraId="5E8462EA" w14:textId="77777777">
            <w:pPr>
              <w:pStyle w:val="TableSubtitle"/>
            </w:pPr>
            <w:r w:rsidRPr="007B6745">
              <w:t>Low</w:t>
            </w:r>
          </w:p>
        </w:tc>
        <w:tc>
          <w:tcPr>
            <w:tcW w:w="498" w:type="pct"/>
            <w:tcBorders>
              <w:top w:val="nil"/>
              <w:left w:val="nil"/>
              <w:bottom w:val="single" w:sz="4" w:space="0" w:color="auto"/>
              <w:right w:val="single" w:sz="4" w:space="0" w:color="auto"/>
            </w:tcBorders>
            <w:shd w:val="clear" w:color="auto" w:fill="013E5B"/>
            <w:vAlign w:val="center"/>
            <w:hideMark/>
          </w:tcPr>
          <w:p w:rsidR="007B6745" w:rsidRPr="007B6745" w:rsidP="000D7F2B" w14:paraId="17D38363" w14:textId="77777777">
            <w:pPr>
              <w:pStyle w:val="TableSubtitle"/>
            </w:pPr>
            <w:r w:rsidRPr="007B6745">
              <w:t>High</w:t>
            </w:r>
          </w:p>
        </w:tc>
        <w:tc>
          <w:tcPr>
            <w:tcW w:w="398" w:type="pct"/>
            <w:tcBorders>
              <w:top w:val="nil"/>
              <w:left w:val="nil"/>
              <w:bottom w:val="single" w:sz="4" w:space="0" w:color="auto"/>
              <w:right w:val="single" w:sz="4" w:space="0" w:color="auto"/>
            </w:tcBorders>
            <w:shd w:val="clear" w:color="auto" w:fill="013E5B"/>
            <w:vAlign w:val="center"/>
            <w:hideMark/>
          </w:tcPr>
          <w:p w:rsidR="007B6745" w:rsidRPr="007B6745" w:rsidP="000D7F2B" w14:paraId="28643CFD" w14:textId="77777777">
            <w:pPr>
              <w:pStyle w:val="TableSubtitle"/>
            </w:pPr>
            <w:r w:rsidRPr="007B6745">
              <w:t>Low</w:t>
            </w:r>
          </w:p>
        </w:tc>
        <w:tc>
          <w:tcPr>
            <w:tcW w:w="348" w:type="pct"/>
            <w:tcBorders>
              <w:top w:val="nil"/>
              <w:left w:val="nil"/>
              <w:bottom w:val="single" w:sz="4" w:space="0" w:color="auto"/>
              <w:right w:val="single" w:sz="4" w:space="0" w:color="auto"/>
            </w:tcBorders>
            <w:shd w:val="clear" w:color="auto" w:fill="013E5B"/>
            <w:vAlign w:val="center"/>
            <w:hideMark/>
          </w:tcPr>
          <w:p w:rsidR="007B6745" w:rsidRPr="007B6745" w:rsidP="000D7F2B" w14:paraId="28848F74" w14:textId="77777777">
            <w:pPr>
              <w:pStyle w:val="TableSubtitle"/>
            </w:pPr>
            <w:r w:rsidRPr="007B6745">
              <w:t>High</w:t>
            </w:r>
          </w:p>
        </w:tc>
        <w:tc>
          <w:tcPr>
            <w:tcW w:w="548" w:type="pct"/>
            <w:vMerge/>
            <w:tcBorders>
              <w:top w:val="single" w:sz="4" w:space="0" w:color="auto"/>
              <w:left w:val="single" w:sz="4" w:space="0" w:color="auto"/>
              <w:bottom w:val="single" w:sz="4" w:space="0" w:color="000000"/>
              <w:right w:val="single" w:sz="4" w:space="0" w:color="auto"/>
            </w:tcBorders>
            <w:shd w:val="clear" w:color="auto" w:fill="013E5B"/>
            <w:vAlign w:val="center"/>
            <w:hideMark/>
          </w:tcPr>
          <w:p w:rsidR="007B6745" w:rsidRPr="007B6745" w:rsidP="000D7F2B" w14:paraId="00800AF1" w14:textId="77777777">
            <w:pPr>
              <w:pStyle w:val="TableSubtitle"/>
            </w:pPr>
          </w:p>
        </w:tc>
        <w:tc>
          <w:tcPr>
            <w:tcW w:w="498" w:type="pct"/>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4B308310" w14:textId="77777777">
            <w:pPr>
              <w:pStyle w:val="TableSubtitle"/>
            </w:pPr>
            <w:r w:rsidRPr="007B6745">
              <w:t>Low</w:t>
            </w:r>
          </w:p>
        </w:tc>
        <w:tc>
          <w:tcPr>
            <w:tcW w:w="523" w:type="pct"/>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1F20C98B" w14:textId="77777777">
            <w:pPr>
              <w:pStyle w:val="TableSubtitle"/>
            </w:pPr>
            <w:r w:rsidRPr="007B6745">
              <w:t>High</w:t>
            </w:r>
          </w:p>
        </w:tc>
      </w:tr>
      <w:tr w14:paraId="1044BC84" w14:textId="77777777" w:rsidTr="00AB3925">
        <w:tblPrEx>
          <w:tblW w:w="4837" w:type="pct"/>
          <w:tblInd w:w="270" w:type="dxa"/>
          <w:tblLayout w:type="fixed"/>
          <w:tblCellMar>
            <w:left w:w="29" w:type="dxa"/>
            <w:right w:w="29" w:type="dxa"/>
          </w:tblCellMar>
          <w:tblLook w:val="04A0"/>
        </w:tblPrEx>
        <w:trPr>
          <w:trHeight w:val="20"/>
        </w:trPr>
        <w:tc>
          <w:tcPr>
            <w:tcW w:w="1143" w:type="pct"/>
            <w:tcBorders>
              <w:top w:val="nil"/>
              <w:left w:val="single" w:sz="4" w:space="0" w:color="auto"/>
              <w:bottom w:val="single" w:sz="4" w:space="0" w:color="auto"/>
              <w:right w:val="single" w:sz="4" w:space="0" w:color="auto"/>
            </w:tcBorders>
            <w:vAlign w:val="center"/>
            <w:hideMark/>
          </w:tcPr>
          <w:p w:rsidR="001809DD" w:rsidRPr="007B6745" w:rsidP="001809DD" w14:paraId="0E44CA58" w14:textId="77777777">
            <w:pPr>
              <w:pStyle w:val="LTableTextAbt"/>
            </w:pPr>
            <w:r w:rsidRPr="007B6745">
              <w:t>PV29 manufacturing and intermediate processing</w:t>
            </w:r>
          </w:p>
        </w:tc>
        <w:tc>
          <w:tcPr>
            <w:tcW w:w="546" w:type="pct"/>
            <w:tcBorders>
              <w:top w:val="nil"/>
              <w:left w:val="nil"/>
              <w:bottom w:val="single" w:sz="4" w:space="0" w:color="auto"/>
              <w:right w:val="single" w:sz="4" w:space="0" w:color="auto"/>
            </w:tcBorders>
            <w:noWrap/>
            <w:hideMark/>
          </w:tcPr>
          <w:p w:rsidR="001809DD" w:rsidRPr="007B6745" w:rsidP="001809DD" w14:paraId="00135AA7" w14:textId="0485896C">
            <w:pPr>
              <w:pStyle w:val="RTableTextAbt"/>
            </w:pPr>
            <w:r w:rsidRPr="00F54C95">
              <w:t>$93</w:t>
            </w:r>
          </w:p>
        </w:tc>
        <w:tc>
          <w:tcPr>
            <w:tcW w:w="498" w:type="pct"/>
            <w:tcBorders>
              <w:top w:val="nil"/>
              <w:left w:val="nil"/>
              <w:bottom w:val="single" w:sz="4" w:space="0" w:color="auto"/>
              <w:right w:val="single" w:sz="4" w:space="0" w:color="auto"/>
            </w:tcBorders>
            <w:noWrap/>
            <w:hideMark/>
          </w:tcPr>
          <w:p w:rsidR="001809DD" w:rsidRPr="007B6745" w:rsidP="001809DD" w14:paraId="0189737E" w14:textId="6A4A7B54">
            <w:pPr>
              <w:pStyle w:val="RTableTextAbt"/>
            </w:pPr>
            <w:r w:rsidRPr="00F54C95">
              <w:t>$193,385</w:t>
            </w:r>
          </w:p>
        </w:tc>
        <w:tc>
          <w:tcPr>
            <w:tcW w:w="498" w:type="pct"/>
            <w:tcBorders>
              <w:top w:val="nil"/>
              <w:left w:val="nil"/>
              <w:bottom w:val="single" w:sz="4" w:space="0" w:color="auto"/>
              <w:right w:val="single" w:sz="4" w:space="0" w:color="auto"/>
            </w:tcBorders>
            <w:noWrap/>
            <w:hideMark/>
          </w:tcPr>
          <w:p w:rsidR="001809DD" w:rsidRPr="007B6745" w:rsidP="001809DD" w14:paraId="11204C72" w14:textId="750A1AD9">
            <w:pPr>
              <w:pStyle w:val="RTableTextAbt"/>
            </w:pPr>
            <w:r w:rsidRPr="00F54C95">
              <w:t>$259,865</w:t>
            </w:r>
          </w:p>
        </w:tc>
        <w:tc>
          <w:tcPr>
            <w:tcW w:w="398" w:type="pct"/>
            <w:tcBorders>
              <w:top w:val="nil"/>
              <w:left w:val="nil"/>
              <w:bottom w:val="single" w:sz="4" w:space="0" w:color="auto"/>
              <w:right w:val="single" w:sz="4" w:space="0" w:color="auto"/>
            </w:tcBorders>
            <w:noWrap/>
            <w:hideMark/>
          </w:tcPr>
          <w:p w:rsidR="001809DD" w:rsidRPr="007B6745" w:rsidP="001809DD" w14:paraId="1F215DDE" w14:textId="5C5C81FD">
            <w:pPr>
              <w:pStyle w:val="RTableTextAbt"/>
            </w:pPr>
            <w:r w:rsidRPr="00F54C95">
              <w:t>$1,086</w:t>
            </w:r>
          </w:p>
        </w:tc>
        <w:tc>
          <w:tcPr>
            <w:tcW w:w="348" w:type="pct"/>
            <w:tcBorders>
              <w:top w:val="nil"/>
              <w:left w:val="nil"/>
              <w:bottom w:val="single" w:sz="4" w:space="0" w:color="auto"/>
              <w:right w:val="single" w:sz="4" w:space="0" w:color="auto"/>
            </w:tcBorders>
            <w:noWrap/>
            <w:hideMark/>
          </w:tcPr>
          <w:p w:rsidR="001809DD" w:rsidRPr="007B6745" w:rsidP="001809DD" w14:paraId="5E1AC91F" w14:textId="3A3925D6">
            <w:pPr>
              <w:pStyle w:val="RTableTextAbt"/>
            </w:pPr>
            <w:r w:rsidRPr="00F54C95">
              <w:t>$1,216</w:t>
            </w:r>
          </w:p>
        </w:tc>
        <w:tc>
          <w:tcPr>
            <w:tcW w:w="548" w:type="pct"/>
            <w:tcBorders>
              <w:top w:val="nil"/>
              <w:left w:val="nil"/>
              <w:bottom w:val="single" w:sz="4" w:space="0" w:color="auto"/>
              <w:right w:val="single" w:sz="4" w:space="0" w:color="auto"/>
            </w:tcBorders>
            <w:noWrap/>
            <w:hideMark/>
          </w:tcPr>
          <w:p w:rsidR="001809DD" w:rsidRPr="007B6745" w:rsidP="001809DD" w14:paraId="44A29483" w14:textId="46995EBC">
            <w:pPr>
              <w:pStyle w:val="RTableTextAbt"/>
            </w:pPr>
            <w:r w:rsidRPr="00F54C95">
              <w:t>$372</w:t>
            </w:r>
          </w:p>
        </w:tc>
        <w:tc>
          <w:tcPr>
            <w:tcW w:w="498" w:type="pct"/>
            <w:tcBorders>
              <w:top w:val="nil"/>
              <w:left w:val="nil"/>
              <w:bottom w:val="single" w:sz="4" w:space="0" w:color="auto"/>
              <w:right w:val="single" w:sz="4" w:space="0" w:color="auto"/>
            </w:tcBorders>
            <w:noWrap/>
            <w:hideMark/>
          </w:tcPr>
          <w:p w:rsidR="001809DD" w:rsidRPr="007B6745" w:rsidP="001809DD" w14:paraId="2C282ECC" w14:textId="068289A9">
            <w:pPr>
              <w:pStyle w:val="RTableTextAbt"/>
            </w:pPr>
            <w:r w:rsidRPr="00F54C95">
              <w:t>$194,936</w:t>
            </w:r>
          </w:p>
        </w:tc>
        <w:tc>
          <w:tcPr>
            <w:tcW w:w="523" w:type="pct"/>
            <w:tcBorders>
              <w:top w:val="nil"/>
              <w:left w:val="nil"/>
              <w:bottom w:val="single" w:sz="4" w:space="0" w:color="auto"/>
              <w:right w:val="single" w:sz="4" w:space="0" w:color="auto"/>
            </w:tcBorders>
            <w:noWrap/>
            <w:hideMark/>
          </w:tcPr>
          <w:p w:rsidR="001809DD" w:rsidRPr="007B6745" w:rsidP="001809DD" w14:paraId="1C980D58" w14:textId="02AB14AF">
            <w:pPr>
              <w:pStyle w:val="RTableTextAbt"/>
            </w:pPr>
            <w:r w:rsidRPr="00F54C95">
              <w:t>$261,546</w:t>
            </w:r>
          </w:p>
        </w:tc>
      </w:tr>
      <w:tr w14:paraId="14D07A60" w14:textId="77777777" w:rsidTr="00AB3925">
        <w:tblPrEx>
          <w:tblW w:w="4837" w:type="pct"/>
          <w:tblInd w:w="270" w:type="dxa"/>
          <w:tblLayout w:type="fixed"/>
          <w:tblCellMar>
            <w:left w:w="29" w:type="dxa"/>
            <w:right w:w="29" w:type="dxa"/>
          </w:tblCellMar>
          <w:tblLook w:val="04A0"/>
        </w:tblPrEx>
        <w:trPr>
          <w:trHeight w:val="20"/>
        </w:trPr>
        <w:tc>
          <w:tcPr>
            <w:tcW w:w="1143" w:type="pct"/>
            <w:tcBorders>
              <w:top w:val="nil"/>
              <w:left w:val="single" w:sz="4" w:space="0" w:color="auto"/>
              <w:bottom w:val="single" w:sz="4" w:space="0" w:color="auto"/>
              <w:right w:val="single" w:sz="4" w:space="0" w:color="auto"/>
            </w:tcBorders>
            <w:vAlign w:val="center"/>
            <w:hideMark/>
          </w:tcPr>
          <w:p w:rsidR="001809DD" w:rsidRPr="007B6745" w:rsidP="001809DD" w14:paraId="3800DBBC" w14:textId="77777777">
            <w:pPr>
              <w:pStyle w:val="LTableTextAbt"/>
            </w:pPr>
            <w:r w:rsidRPr="007B6745">
              <w:t>PV29 importing</w:t>
            </w:r>
          </w:p>
        </w:tc>
        <w:tc>
          <w:tcPr>
            <w:tcW w:w="546" w:type="pct"/>
            <w:tcBorders>
              <w:top w:val="nil"/>
              <w:left w:val="nil"/>
              <w:bottom w:val="single" w:sz="4" w:space="0" w:color="auto"/>
              <w:right w:val="single" w:sz="4" w:space="0" w:color="auto"/>
            </w:tcBorders>
            <w:noWrap/>
            <w:hideMark/>
          </w:tcPr>
          <w:p w:rsidR="001809DD" w:rsidRPr="007B6745" w:rsidP="001809DD" w14:paraId="13FA9597" w14:textId="64A94DE4">
            <w:pPr>
              <w:pStyle w:val="RTableTextAbt"/>
            </w:pPr>
            <w:r w:rsidRPr="00F54C95">
              <w:t>$93</w:t>
            </w:r>
          </w:p>
        </w:tc>
        <w:tc>
          <w:tcPr>
            <w:tcW w:w="498" w:type="pct"/>
            <w:tcBorders>
              <w:top w:val="nil"/>
              <w:left w:val="nil"/>
              <w:bottom w:val="single" w:sz="4" w:space="0" w:color="auto"/>
              <w:right w:val="single" w:sz="4" w:space="0" w:color="auto"/>
            </w:tcBorders>
            <w:noWrap/>
            <w:hideMark/>
          </w:tcPr>
          <w:p w:rsidR="001809DD" w:rsidRPr="007B6745" w:rsidP="001809DD" w14:paraId="0F49709D" w14:textId="5A2EDE56">
            <w:pPr>
              <w:pStyle w:val="RTableTextAbt"/>
            </w:pPr>
            <w:r w:rsidRPr="00F54C95">
              <w:t>$64,257</w:t>
            </w:r>
          </w:p>
        </w:tc>
        <w:tc>
          <w:tcPr>
            <w:tcW w:w="498" w:type="pct"/>
            <w:tcBorders>
              <w:top w:val="nil"/>
              <w:left w:val="nil"/>
              <w:bottom w:val="single" w:sz="4" w:space="0" w:color="auto"/>
              <w:right w:val="single" w:sz="4" w:space="0" w:color="auto"/>
            </w:tcBorders>
            <w:noWrap/>
            <w:hideMark/>
          </w:tcPr>
          <w:p w:rsidR="001809DD" w:rsidRPr="007B6745" w:rsidP="001809DD" w14:paraId="0F71F7B4" w14:textId="0BF4FBED">
            <w:pPr>
              <w:pStyle w:val="RTableTextAbt"/>
            </w:pPr>
            <w:r w:rsidRPr="00F54C95">
              <w:t>$64,257</w:t>
            </w:r>
          </w:p>
        </w:tc>
        <w:tc>
          <w:tcPr>
            <w:tcW w:w="398" w:type="pct"/>
            <w:tcBorders>
              <w:top w:val="nil"/>
              <w:left w:val="nil"/>
              <w:bottom w:val="single" w:sz="4" w:space="0" w:color="auto"/>
              <w:right w:val="single" w:sz="4" w:space="0" w:color="auto"/>
            </w:tcBorders>
            <w:noWrap/>
            <w:hideMark/>
          </w:tcPr>
          <w:p w:rsidR="001809DD" w:rsidRPr="007B6745" w:rsidP="001809DD" w14:paraId="22385E81" w14:textId="363B00A2">
            <w:pPr>
              <w:pStyle w:val="RTableTextAbt"/>
            </w:pPr>
            <w:r w:rsidRPr="00F54C95">
              <w:t>$0</w:t>
            </w:r>
          </w:p>
        </w:tc>
        <w:tc>
          <w:tcPr>
            <w:tcW w:w="348" w:type="pct"/>
            <w:tcBorders>
              <w:top w:val="nil"/>
              <w:left w:val="nil"/>
              <w:bottom w:val="single" w:sz="4" w:space="0" w:color="auto"/>
              <w:right w:val="single" w:sz="4" w:space="0" w:color="auto"/>
            </w:tcBorders>
            <w:noWrap/>
            <w:hideMark/>
          </w:tcPr>
          <w:p w:rsidR="001809DD" w:rsidRPr="007B6745" w:rsidP="001809DD" w14:paraId="678E317C" w14:textId="799C43D3">
            <w:pPr>
              <w:pStyle w:val="RTableTextAbt"/>
            </w:pPr>
            <w:r w:rsidRPr="00F54C95">
              <w:t>$0</w:t>
            </w:r>
          </w:p>
        </w:tc>
        <w:tc>
          <w:tcPr>
            <w:tcW w:w="548" w:type="pct"/>
            <w:tcBorders>
              <w:top w:val="nil"/>
              <w:left w:val="nil"/>
              <w:bottom w:val="single" w:sz="4" w:space="0" w:color="auto"/>
              <w:right w:val="single" w:sz="4" w:space="0" w:color="auto"/>
            </w:tcBorders>
            <w:noWrap/>
            <w:hideMark/>
          </w:tcPr>
          <w:p w:rsidR="001809DD" w:rsidRPr="007B6745" w:rsidP="001809DD" w14:paraId="550D4BD8" w14:textId="37F1062E">
            <w:pPr>
              <w:pStyle w:val="RTableTextAbt"/>
            </w:pPr>
            <w:r w:rsidRPr="00F54C95">
              <w:t>$372</w:t>
            </w:r>
          </w:p>
        </w:tc>
        <w:tc>
          <w:tcPr>
            <w:tcW w:w="498" w:type="pct"/>
            <w:tcBorders>
              <w:top w:val="nil"/>
              <w:left w:val="nil"/>
              <w:bottom w:val="single" w:sz="4" w:space="0" w:color="auto"/>
              <w:right w:val="single" w:sz="4" w:space="0" w:color="auto"/>
            </w:tcBorders>
            <w:noWrap/>
            <w:hideMark/>
          </w:tcPr>
          <w:p w:rsidR="001809DD" w:rsidRPr="007B6745" w:rsidP="001809DD" w14:paraId="7A238996" w14:textId="52B9D56E">
            <w:pPr>
              <w:pStyle w:val="RTableTextAbt"/>
            </w:pPr>
            <w:r w:rsidRPr="00F54C95">
              <w:t>$64,722</w:t>
            </w:r>
          </w:p>
        </w:tc>
        <w:tc>
          <w:tcPr>
            <w:tcW w:w="523" w:type="pct"/>
            <w:tcBorders>
              <w:top w:val="nil"/>
              <w:left w:val="nil"/>
              <w:bottom w:val="single" w:sz="4" w:space="0" w:color="auto"/>
              <w:right w:val="single" w:sz="4" w:space="0" w:color="auto"/>
            </w:tcBorders>
            <w:noWrap/>
            <w:hideMark/>
          </w:tcPr>
          <w:p w:rsidR="001809DD" w:rsidRPr="007B6745" w:rsidP="001809DD" w14:paraId="406243D1" w14:textId="0E77CED1">
            <w:pPr>
              <w:pStyle w:val="RTableTextAbt"/>
            </w:pPr>
            <w:r w:rsidRPr="00F54C95">
              <w:t>$64,722</w:t>
            </w:r>
          </w:p>
        </w:tc>
      </w:tr>
      <w:tr w14:paraId="6C3208B0" w14:textId="77777777" w:rsidTr="00AB3925">
        <w:tblPrEx>
          <w:tblW w:w="4837" w:type="pct"/>
          <w:tblInd w:w="270" w:type="dxa"/>
          <w:tblLayout w:type="fixed"/>
          <w:tblCellMar>
            <w:left w:w="29" w:type="dxa"/>
            <w:right w:w="29" w:type="dxa"/>
          </w:tblCellMar>
          <w:tblLook w:val="04A0"/>
        </w:tblPrEx>
        <w:trPr>
          <w:trHeight w:val="20"/>
        </w:trPr>
        <w:tc>
          <w:tcPr>
            <w:tcW w:w="1143" w:type="pct"/>
            <w:tcBorders>
              <w:top w:val="nil"/>
              <w:left w:val="single" w:sz="4" w:space="0" w:color="auto"/>
              <w:bottom w:val="single" w:sz="4" w:space="0" w:color="auto"/>
              <w:right w:val="single" w:sz="4" w:space="0" w:color="auto"/>
            </w:tcBorders>
            <w:vAlign w:val="center"/>
            <w:hideMark/>
          </w:tcPr>
          <w:p w:rsidR="001809DD" w:rsidRPr="007B6745" w:rsidP="001809DD" w14:paraId="1CF3795D" w14:textId="77777777">
            <w:pPr>
              <w:pStyle w:val="LTableTextAbt"/>
            </w:pPr>
            <w:r w:rsidRPr="007B6745">
              <w:t>Processing into automotive paints and coatings</w:t>
            </w:r>
          </w:p>
        </w:tc>
        <w:tc>
          <w:tcPr>
            <w:tcW w:w="546" w:type="pct"/>
            <w:tcBorders>
              <w:top w:val="nil"/>
              <w:left w:val="nil"/>
              <w:bottom w:val="single" w:sz="4" w:space="0" w:color="auto"/>
              <w:right w:val="single" w:sz="4" w:space="0" w:color="auto"/>
            </w:tcBorders>
            <w:noWrap/>
            <w:hideMark/>
          </w:tcPr>
          <w:p w:rsidR="001809DD" w:rsidRPr="007B6745" w:rsidP="001809DD" w14:paraId="43839903" w14:textId="2D7C79E8">
            <w:pPr>
              <w:pStyle w:val="RTableTextAbt"/>
            </w:pPr>
            <w:r w:rsidRPr="00F54C95">
              <w:t>$1,303</w:t>
            </w:r>
          </w:p>
        </w:tc>
        <w:tc>
          <w:tcPr>
            <w:tcW w:w="498" w:type="pct"/>
            <w:tcBorders>
              <w:top w:val="nil"/>
              <w:left w:val="nil"/>
              <w:bottom w:val="single" w:sz="4" w:space="0" w:color="auto"/>
              <w:right w:val="single" w:sz="4" w:space="0" w:color="auto"/>
            </w:tcBorders>
            <w:noWrap/>
            <w:hideMark/>
          </w:tcPr>
          <w:p w:rsidR="001809DD" w:rsidRPr="007B6745" w:rsidP="001809DD" w14:paraId="2A91D2B8" w14:textId="18C3B255">
            <w:pPr>
              <w:pStyle w:val="RTableTextAbt"/>
            </w:pPr>
            <w:r w:rsidRPr="00F54C95">
              <w:t>$899,601</w:t>
            </w:r>
          </w:p>
        </w:tc>
        <w:tc>
          <w:tcPr>
            <w:tcW w:w="498" w:type="pct"/>
            <w:tcBorders>
              <w:top w:val="nil"/>
              <w:left w:val="nil"/>
              <w:bottom w:val="single" w:sz="4" w:space="0" w:color="auto"/>
              <w:right w:val="single" w:sz="4" w:space="0" w:color="auto"/>
            </w:tcBorders>
            <w:noWrap/>
            <w:hideMark/>
          </w:tcPr>
          <w:p w:rsidR="001809DD" w:rsidRPr="007B6745" w:rsidP="001809DD" w14:paraId="374DB363" w14:textId="2A100015">
            <w:pPr>
              <w:pStyle w:val="RTableTextAbt"/>
            </w:pPr>
            <w:r w:rsidRPr="00F54C95">
              <w:t>$899,601</w:t>
            </w:r>
          </w:p>
        </w:tc>
        <w:tc>
          <w:tcPr>
            <w:tcW w:w="398" w:type="pct"/>
            <w:tcBorders>
              <w:top w:val="nil"/>
              <w:left w:val="nil"/>
              <w:bottom w:val="single" w:sz="4" w:space="0" w:color="auto"/>
              <w:right w:val="single" w:sz="4" w:space="0" w:color="auto"/>
            </w:tcBorders>
            <w:noWrap/>
            <w:hideMark/>
          </w:tcPr>
          <w:p w:rsidR="001809DD" w:rsidRPr="007B6745" w:rsidP="001809DD" w14:paraId="3AE7AEF0" w14:textId="11B3E1C3">
            <w:pPr>
              <w:pStyle w:val="RTableTextAbt"/>
            </w:pPr>
            <w:r w:rsidRPr="00F54C95">
              <w:t>$0</w:t>
            </w:r>
          </w:p>
        </w:tc>
        <w:tc>
          <w:tcPr>
            <w:tcW w:w="348" w:type="pct"/>
            <w:tcBorders>
              <w:top w:val="nil"/>
              <w:left w:val="nil"/>
              <w:bottom w:val="single" w:sz="4" w:space="0" w:color="auto"/>
              <w:right w:val="single" w:sz="4" w:space="0" w:color="auto"/>
            </w:tcBorders>
            <w:noWrap/>
            <w:hideMark/>
          </w:tcPr>
          <w:p w:rsidR="001809DD" w:rsidRPr="007B6745" w:rsidP="001809DD" w14:paraId="652EFC16" w14:textId="67C28A55">
            <w:pPr>
              <w:pStyle w:val="RTableTextAbt"/>
            </w:pPr>
            <w:r w:rsidRPr="00F54C95">
              <w:t>$0</w:t>
            </w:r>
          </w:p>
        </w:tc>
        <w:tc>
          <w:tcPr>
            <w:tcW w:w="548" w:type="pct"/>
            <w:tcBorders>
              <w:top w:val="nil"/>
              <w:left w:val="nil"/>
              <w:bottom w:val="single" w:sz="4" w:space="0" w:color="auto"/>
              <w:right w:val="single" w:sz="4" w:space="0" w:color="auto"/>
            </w:tcBorders>
            <w:noWrap/>
            <w:hideMark/>
          </w:tcPr>
          <w:p w:rsidR="001809DD" w:rsidRPr="007B6745" w:rsidP="001809DD" w14:paraId="5689BC18" w14:textId="4F5B4358">
            <w:pPr>
              <w:pStyle w:val="RTableTextAbt"/>
            </w:pPr>
            <w:r w:rsidRPr="00F54C95">
              <w:t>$5,212</w:t>
            </w:r>
          </w:p>
        </w:tc>
        <w:tc>
          <w:tcPr>
            <w:tcW w:w="498" w:type="pct"/>
            <w:tcBorders>
              <w:top w:val="nil"/>
              <w:left w:val="nil"/>
              <w:bottom w:val="single" w:sz="4" w:space="0" w:color="auto"/>
              <w:right w:val="single" w:sz="4" w:space="0" w:color="auto"/>
            </w:tcBorders>
            <w:noWrap/>
            <w:hideMark/>
          </w:tcPr>
          <w:p w:rsidR="001809DD" w:rsidRPr="007B6745" w:rsidP="001809DD" w14:paraId="7D01D854" w14:textId="411CB7CA">
            <w:pPr>
              <w:pStyle w:val="RTableTextAbt"/>
            </w:pPr>
            <w:r w:rsidRPr="00F54C95">
              <w:t>$906,116</w:t>
            </w:r>
          </w:p>
        </w:tc>
        <w:tc>
          <w:tcPr>
            <w:tcW w:w="523" w:type="pct"/>
            <w:tcBorders>
              <w:top w:val="nil"/>
              <w:left w:val="nil"/>
              <w:bottom w:val="single" w:sz="4" w:space="0" w:color="auto"/>
              <w:right w:val="single" w:sz="4" w:space="0" w:color="auto"/>
            </w:tcBorders>
            <w:noWrap/>
            <w:hideMark/>
          </w:tcPr>
          <w:p w:rsidR="001809DD" w:rsidRPr="007B6745" w:rsidP="001809DD" w14:paraId="4AD51922" w14:textId="17E3A022">
            <w:pPr>
              <w:pStyle w:val="RTableTextAbt"/>
            </w:pPr>
            <w:r w:rsidRPr="00F54C95">
              <w:t>$906,116</w:t>
            </w:r>
          </w:p>
        </w:tc>
      </w:tr>
      <w:tr w14:paraId="46D080A7" w14:textId="77777777" w:rsidTr="00AB3925">
        <w:tblPrEx>
          <w:tblW w:w="4837" w:type="pct"/>
          <w:tblInd w:w="270" w:type="dxa"/>
          <w:tblLayout w:type="fixed"/>
          <w:tblCellMar>
            <w:left w:w="29" w:type="dxa"/>
            <w:right w:w="29" w:type="dxa"/>
          </w:tblCellMar>
          <w:tblLook w:val="04A0"/>
        </w:tblPrEx>
        <w:trPr>
          <w:trHeight w:val="20"/>
        </w:trPr>
        <w:tc>
          <w:tcPr>
            <w:tcW w:w="1143" w:type="pct"/>
            <w:tcBorders>
              <w:top w:val="nil"/>
              <w:left w:val="single" w:sz="4" w:space="0" w:color="auto"/>
              <w:bottom w:val="single" w:sz="4" w:space="0" w:color="auto"/>
              <w:right w:val="single" w:sz="4" w:space="0" w:color="auto"/>
            </w:tcBorders>
            <w:vAlign w:val="center"/>
            <w:hideMark/>
          </w:tcPr>
          <w:p w:rsidR="001809DD" w:rsidRPr="007B6745" w:rsidP="001809DD" w14:paraId="568431E3" w14:textId="77777777">
            <w:pPr>
              <w:pStyle w:val="LTableTextAbt"/>
            </w:pPr>
            <w:r w:rsidRPr="007B6745">
              <w:t>Processing into plastic and rubber products</w:t>
            </w:r>
          </w:p>
        </w:tc>
        <w:tc>
          <w:tcPr>
            <w:tcW w:w="546" w:type="pct"/>
            <w:tcBorders>
              <w:top w:val="nil"/>
              <w:left w:val="nil"/>
              <w:bottom w:val="single" w:sz="4" w:space="0" w:color="auto"/>
              <w:right w:val="single" w:sz="4" w:space="0" w:color="auto"/>
            </w:tcBorders>
            <w:noWrap/>
            <w:hideMark/>
          </w:tcPr>
          <w:p w:rsidR="001809DD" w:rsidRPr="007B6745" w:rsidP="001809DD" w14:paraId="287AA550" w14:textId="13D7BBFB">
            <w:pPr>
              <w:pStyle w:val="RTableTextAbt"/>
            </w:pPr>
            <w:r w:rsidRPr="00F54C95">
              <w:t>$558</w:t>
            </w:r>
          </w:p>
        </w:tc>
        <w:tc>
          <w:tcPr>
            <w:tcW w:w="498" w:type="pct"/>
            <w:tcBorders>
              <w:top w:val="nil"/>
              <w:left w:val="nil"/>
              <w:bottom w:val="single" w:sz="4" w:space="0" w:color="auto"/>
              <w:right w:val="single" w:sz="4" w:space="0" w:color="auto"/>
            </w:tcBorders>
            <w:noWrap/>
            <w:hideMark/>
          </w:tcPr>
          <w:p w:rsidR="001809DD" w:rsidRPr="007B6745" w:rsidP="001809DD" w14:paraId="0424AB5C" w14:textId="253B3810">
            <w:pPr>
              <w:pStyle w:val="RTableTextAbt"/>
            </w:pPr>
            <w:r w:rsidRPr="00F54C95">
              <w:t>$782,626</w:t>
            </w:r>
          </w:p>
        </w:tc>
        <w:tc>
          <w:tcPr>
            <w:tcW w:w="498" w:type="pct"/>
            <w:tcBorders>
              <w:top w:val="nil"/>
              <w:left w:val="nil"/>
              <w:bottom w:val="single" w:sz="4" w:space="0" w:color="auto"/>
              <w:right w:val="single" w:sz="4" w:space="0" w:color="auto"/>
            </w:tcBorders>
            <w:noWrap/>
            <w:hideMark/>
          </w:tcPr>
          <w:p w:rsidR="001809DD" w:rsidRPr="007B6745" w:rsidP="001809DD" w14:paraId="0DCE8BDE" w14:textId="18FDE68D">
            <w:pPr>
              <w:pStyle w:val="RTableTextAbt"/>
            </w:pPr>
            <w:r w:rsidRPr="00F54C95">
              <w:t>$782,626</w:t>
            </w:r>
          </w:p>
        </w:tc>
        <w:tc>
          <w:tcPr>
            <w:tcW w:w="398" w:type="pct"/>
            <w:tcBorders>
              <w:top w:val="nil"/>
              <w:left w:val="nil"/>
              <w:bottom w:val="single" w:sz="4" w:space="0" w:color="auto"/>
              <w:right w:val="single" w:sz="4" w:space="0" w:color="auto"/>
            </w:tcBorders>
            <w:noWrap/>
            <w:hideMark/>
          </w:tcPr>
          <w:p w:rsidR="001809DD" w:rsidRPr="007B6745" w:rsidP="001809DD" w14:paraId="47D873E7" w14:textId="57D6DC7F">
            <w:pPr>
              <w:pStyle w:val="RTableTextAbt"/>
            </w:pPr>
            <w:r w:rsidRPr="00F54C95">
              <w:t>$0</w:t>
            </w:r>
          </w:p>
        </w:tc>
        <w:tc>
          <w:tcPr>
            <w:tcW w:w="348" w:type="pct"/>
            <w:tcBorders>
              <w:top w:val="nil"/>
              <w:left w:val="nil"/>
              <w:bottom w:val="single" w:sz="4" w:space="0" w:color="auto"/>
              <w:right w:val="single" w:sz="4" w:space="0" w:color="auto"/>
            </w:tcBorders>
            <w:noWrap/>
            <w:hideMark/>
          </w:tcPr>
          <w:p w:rsidR="001809DD" w:rsidRPr="007B6745" w:rsidP="001809DD" w14:paraId="55E33DDB" w14:textId="3732FC8D">
            <w:pPr>
              <w:pStyle w:val="RTableTextAbt"/>
            </w:pPr>
            <w:r w:rsidRPr="00F54C95">
              <w:t>$0</w:t>
            </w:r>
          </w:p>
        </w:tc>
        <w:tc>
          <w:tcPr>
            <w:tcW w:w="548" w:type="pct"/>
            <w:tcBorders>
              <w:top w:val="nil"/>
              <w:left w:val="nil"/>
              <w:bottom w:val="single" w:sz="4" w:space="0" w:color="auto"/>
              <w:right w:val="single" w:sz="4" w:space="0" w:color="auto"/>
            </w:tcBorders>
            <w:noWrap/>
            <w:hideMark/>
          </w:tcPr>
          <w:p w:rsidR="001809DD" w:rsidRPr="007B6745" w:rsidP="001809DD" w14:paraId="09C8EBB4" w14:textId="24B2D7EB">
            <w:pPr>
              <w:pStyle w:val="RTableTextAbt"/>
            </w:pPr>
            <w:r w:rsidRPr="00F54C95">
              <w:t>$2,234</w:t>
            </w:r>
          </w:p>
        </w:tc>
        <w:tc>
          <w:tcPr>
            <w:tcW w:w="498" w:type="pct"/>
            <w:tcBorders>
              <w:top w:val="nil"/>
              <w:left w:val="nil"/>
              <w:bottom w:val="single" w:sz="4" w:space="0" w:color="auto"/>
              <w:right w:val="single" w:sz="4" w:space="0" w:color="auto"/>
            </w:tcBorders>
            <w:noWrap/>
            <w:hideMark/>
          </w:tcPr>
          <w:p w:rsidR="001809DD" w:rsidRPr="007B6745" w:rsidP="001809DD" w14:paraId="7C071681" w14:textId="36E0939B">
            <w:pPr>
              <w:pStyle w:val="RTableTextAbt"/>
            </w:pPr>
            <w:r w:rsidRPr="00F54C95">
              <w:t>$785,418</w:t>
            </w:r>
          </w:p>
        </w:tc>
        <w:tc>
          <w:tcPr>
            <w:tcW w:w="523" w:type="pct"/>
            <w:tcBorders>
              <w:top w:val="nil"/>
              <w:left w:val="nil"/>
              <w:bottom w:val="single" w:sz="4" w:space="0" w:color="auto"/>
              <w:right w:val="single" w:sz="4" w:space="0" w:color="auto"/>
            </w:tcBorders>
            <w:noWrap/>
            <w:hideMark/>
          </w:tcPr>
          <w:p w:rsidR="001809DD" w:rsidRPr="007B6745" w:rsidP="001809DD" w14:paraId="36F742F5" w14:textId="4CFF20E0">
            <w:pPr>
              <w:pStyle w:val="RTableTextAbt"/>
            </w:pPr>
            <w:r w:rsidRPr="00F54C95">
              <w:t>$785,418</w:t>
            </w:r>
          </w:p>
        </w:tc>
      </w:tr>
      <w:tr w14:paraId="29563F94" w14:textId="77777777" w:rsidTr="00AB3925">
        <w:tblPrEx>
          <w:tblW w:w="4837" w:type="pct"/>
          <w:tblInd w:w="270" w:type="dxa"/>
          <w:tblLayout w:type="fixed"/>
          <w:tblCellMar>
            <w:left w:w="29" w:type="dxa"/>
            <w:right w:w="29" w:type="dxa"/>
          </w:tblCellMar>
          <w:tblLook w:val="04A0"/>
        </w:tblPrEx>
        <w:trPr>
          <w:trHeight w:val="20"/>
        </w:trPr>
        <w:tc>
          <w:tcPr>
            <w:tcW w:w="1143" w:type="pct"/>
            <w:tcBorders>
              <w:top w:val="nil"/>
              <w:left w:val="single" w:sz="4" w:space="0" w:color="auto"/>
              <w:bottom w:val="single" w:sz="4" w:space="0" w:color="auto"/>
              <w:right w:val="single" w:sz="4" w:space="0" w:color="auto"/>
            </w:tcBorders>
            <w:vAlign w:val="center"/>
            <w:hideMark/>
          </w:tcPr>
          <w:p w:rsidR="001809DD" w:rsidRPr="007B6745" w:rsidP="001809DD" w14:paraId="47E463BB" w14:textId="77777777">
            <w:pPr>
              <w:pStyle w:val="LTableTextAbt"/>
            </w:pPr>
            <w:r w:rsidRPr="007B6745">
              <w:t>Recycling</w:t>
            </w:r>
          </w:p>
        </w:tc>
        <w:tc>
          <w:tcPr>
            <w:tcW w:w="546" w:type="pct"/>
            <w:tcBorders>
              <w:top w:val="nil"/>
              <w:left w:val="nil"/>
              <w:bottom w:val="single" w:sz="4" w:space="0" w:color="auto"/>
              <w:right w:val="single" w:sz="4" w:space="0" w:color="auto"/>
            </w:tcBorders>
            <w:noWrap/>
            <w:hideMark/>
          </w:tcPr>
          <w:p w:rsidR="001809DD" w:rsidRPr="007B6745" w:rsidP="001809DD" w14:paraId="1FD2C757" w14:textId="7951F12D">
            <w:pPr>
              <w:pStyle w:val="RTableTextAbt"/>
            </w:pPr>
            <w:r w:rsidRPr="00F54C95">
              <w:t>$827,867</w:t>
            </w:r>
          </w:p>
        </w:tc>
        <w:tc>
          <w:tcPr>
            <w:tcW w:w="498" w:type="pct"/>
            <w:tcBorders>
              <w:top w:val="nil"/>
              <w:left w:val="nil"/>
              <w:bottom w:val="single" w:sz="4" w:space="0" w:color="auto"/>
              <w:right w:val="single" w:sz="4" w:space="0" w:color="auto"/>
            </w:tcBorders>
            <w:noWrap/>
            <w:hideMark/>
          </w:tcPr>
          <w:p w:rsidR="001809DD" w:rsidRPr="007B6745" w:rsidP="001809DD" w14:paraId="7436163D" w14:textId="01DD1603">
            <w:pPr>
              <w:pStyle w:val="RTableTextAbt"/>
            </w:pPr>
            <w:r w:rsidRPr="00F54C95">
              <w:t>$0</w:t>
            </w:r>
          </w:p>
        </w:tc>
        <w:tc>
          <w:tcPr>
            <w:tcW w:w="498" w:type="pct"/>
            <w:tcBorders>
              <w:top w:val="nil"/>
              <w:left w:val="nil"/>
              <w:bottom w:val="single" w:sz="4" w:space="0" w:color="auto"/>
              <w:right w:val="single" w:sz="4" w:space="0" w:color="auto"/>
            </w:tcBorders>
            <w:noWrap/>
            <w:hideMark/>
          </w:tcPr>
          <w:p w:rsidR="001809DD" w:rsidRPr="007B6745" w:rsidP="001809DD" w14:paraId="5A0026DB" w14:textId="6CE1869C">
            <w:pPr>
              <w:pStyle w:val="RTableTextAbt"/>
            </w:pPr>
            <w:r w:rsidRPr="00F54C95">
              <w:t>$0</w:t>
            </w:r>
          </w:p>
        </w:tc>
        <w:tc>
          <w:tcPr>
            <w:tcW w:w="398" w:type="pct"/>
            <w:tcBorders>
              <w:top w:val="nil"/>
              <w:left w:val="nil"/>
              <w:bottom w:val="single" w:sz="4" w:space="0" w:color="auto"/>
              <w:right w:val="single" w:sz="4" w:space="0" w:color="auto"/>
            </w:tcBorders>
            <w:noWrap/>
            <w:hideMark/>
          </w:tcPr>
          <w:p w:rsidR="001809DD" w:rsidRPr="007B6745" w:rsidP="001809DD" w14:paraId="52DF93C6" w14:textId="3DB8A25D">
            <w:pPr>
              <w:pStyle w:val="RTableTextAbt"/>
            </w:pPr>
            <w:r w:rsidRPr="00F54C95">
              <w:t>$0</w:t>
            </w:r>
          </w:p>
        </w:tc>
        <w:tc>
          <w:tcPr>
            <w:tcW w:w="348" w:type="pct"/>
            <w:tcBorders>
              <w:top w:val="nil"/>
              <w:left w:val="nil"/>
              <w:bottom w:val="single" w:sz="4" w:space="0" w:color="auto"/>
              <w:right w:val="single" w:sz="4" w:space="0" w:color="auto"/>
            </w:tcBorders>
            <w:noWrap/>
            <w:hideMark/>
          </w:tcPr>
          <w:p w:rsidR="001809DD" w:rsidRPr="007B6745" w:rsidP="001809DD" w14:paraId="6634E234" w14:textId="0A12E8A2">
            <w:pPr>
              <w:pStyle w:val="RTableTextAbt"/>
            </w:pPr>
            <w:r w:rsidRPr="00F54C95">
              <w:t>$0</w:t>
            </w:r>
          </w:p>
        </w:tc>
        <w:tc>
          <w:tcPr>
            <w:tcW w:w="548" w:type="pct"/>
            <w:tcBorders>
              <w:top w:val="nil"/>
              <w:left w:val="nil"/>
              <w:bottom w:val="single" w:sz="4" w:space="0" w:color="auto"/>
              <w:right w:val="single" w:sz="4" w:space="0" w:color="auto"/>
            </w:tcBorders>
            <w:noWrap/>
            <w:hideMark/>
          </w:tcPr>
          <w:p w:rsidR="001809DD" w:rsidRPr="007B6745" w:rsidP="001809DD" w14:paraId="15D6C57A" w14:textId="02AB7341">
            <w:pPr>
              <w:pStyle w:val="RTableTextAbt"/>
            </w:pPr>
            <w:r w:rsidRPr="00F54C95">
              <w:t>$0</w:t>
            </w:r>
          </w:p>
        </w:tc>
        <w:tc>
          <w:tcPr>
            <w:tcW w:w="498" w:type="pct"/>
            <w:tcBorders>
              <w:top w:val="nil"/>
              <w:left w:val="nil"/>
              <w:bottom w:val="single" w:sz="4" w:space="0" w:color="auto"/>
              <w:right w:val="single" w:sz="4" w:space="0" w:color="auto"/>
            </w:tcBorders>
            <w:noWrap/>
            <w:hideMark/>
          </w:tcPr>
          <w:p w:rsidR="001809DD" w:rsidRPr="007B6745" w:rsidP="001809DD" w14:paraId="6B6291F7" w14:textId="2BA18329">
            <w:pPr>
              <w:pStyle w:val="RTableTextAbt"/>
            </w:pPr>
            <w:r w:rsidRPr="00F54C95">
              <w:t>$827,867</w:t>
            </w:r>
          </w:p>
        </w:tc>
        <w:tc>
          <w:tcPr>
            <w:tcW w:w="523" w:type="pct"/>
            <w:tcBorders>
              <w:top w:val="nil"/>
              <w:left w:val="nil"/>
              <w:bottom w:val="single" w:sz="4" w:space="0" w:color="auto"/>
              <w:right w:val="single" w:sz="4" w:space="0" w:color="auto"/>
            </w:tcBorders>
            <w:noWrap/>
            <w:hideMark/>
          </w:tcPr>
          <w:p w:rsidR="001809DD" w:rsidRPr="007B6745" w:rsidP="001809DD" w14:paraId="3F8696DC" w14:textId="2C379237">
            <w:pPr>
              <w:pStyle w:val="RTableTextAbt"/>
            </w:pPr>
            <w:r w:rsidRPr="00F54C95">
              <w:t>$827,867</w:t>
            </w:r>
          </w:p>
        </w:tc>
      </w:tr>
      <w:tr w14:paraId="3744AE6A" w14:textId="77777777" w:rsidTr="00AB3925">
        <w:tblPrEx>
          <w:tblW w:w="4837" w:type="pct"/>
          <w:tblInd w:w="270" w:type="dxa"/>
          <w:tblLayout w:type="fixed"/>
          <w:tblCellMar>
            <w:left w:w="29" w:type="dxa"/>
            <w:right w:w="29" w:type="dxa"/>
          </w:tblCellMar>
          <w:tblLook w:val="04A0"/>
        </w:tblPrEx>
        <w:trPr>
          <w:trHeight w:val="20"/>
        </w:trPr>
        <w:tc>
          <w:tcPr>
            <w:tcW w:w="1143" w:type="pct"/>
            <w:tcBorders>
              <w:top w:val="nil"/>
              <w:left w:val="single" w:sz="4" w:space="0" w:color="auto"/>
              <w:bottom w:val="single" w:sz="4" w:space="0" w:color="auto"/>
              <w:right w:val="single" w:sz="4" w:space="0" w:color="auto"/>
            </w:tcBorders>
            <w:vAlign w:val="center"/>
            <w:hideMark/>
          </w:tcPr>
          <w:p w:rsidR="001809DD" w:rsidRPr="007B6745" w:rsidP="001809DD" w14:paraId="6CD1D972" w14:textId="77777777">
            <w:pPr>
              <w:pStyle w:val="LTableTextAbt"/>
            </w:pPr>
            <w:r w:rsidRPr="007B6745">
              <w:t>Automotive painting (new vehicles)</w:t>
            </w:r>
          </w:p>
        </w:tc>
        <w:tc>
          <w:tcPr>
            <w:tcW w:w="546" w:type="pct"/>
            <w:tcBorders>
              <w:top w:val="nil"/>
              <w:left w:val="nil"/>
              <w:bottom w:val="single" w:sz="4" w:space="0" w:color="auto"/>
              <w:right w:val="single" w:sz="4" w:space="0" w:color="auto"/>
            </w:tcBorders>
            <w:noWrap/>
            <w:hideMark/>
          </w:tcPr>
          <w:p w:rsidR="001809DD" w:rsidRPr="007B6745" w:rsidP="001809DD" w14:paraId="498FCB99" w14:textId="30470A26">
            <w:pPr>
              <w:pStyle w:val="RTableTextAbt"/>
            </w:pPr>
            <w:r w:rsidRPr="00F54C95">
              <w:t>$77,434</w:t>
            </w:r>
          </w:p>
        </w:tc>
        <w:tc>
          <w:tcPr>
            <w:tcW w:w="498" w:type="pct"/>
            <w:tcBorders>
              <w:top w:val="nil"/>
              <w:left w:val="nil"/>
              <w:bottom w:val="single" w:sz="4" w:space="0" w:color="auto"/>
              <w:right w:val="single" w:sz="4" w:space="0" w:color="auto"/>
            </w:tcBorders>
            <w:noWrap/>
            <w:hideMark/>
          </w:tcPr>
          <w:p w:rsidR="001809DD" w:rsidRPr="007B6745" w:rsidP="001809DD" w14:paraId="2C8276B0" w14:textId="428BF995">
            <w:pPr>
              <w:pStyle w:val="RTableTextAbt"/>
            </w:pPr>
            <w:r w:rsidRPr="00F54C95">
              <w:t>$0</w:t>
            </w:r>
          </w:p>
        </w:tc>
        <w:tc>
          <w:tcPr>
            <w:tcW w:w="498" w:type="pct"/>
            <w:tcBorders>
              <w:top w:val="nil"/>
              <w:left w:val="nil"/>
              <w:bottom w:val="single" w:sz="4" w:space="0" w:color="auto"/>
              <w:right w:val="single" w:sz="4" w:space="0" w:color="auto"/>
            </w:tcBorders>
            <w:noWrap/>
            <w:hideMark/>
          </w:tcPr>
          <w:p w:rsidR="001809DD" w:rsidRPr="007B6745" w:rsidP="001809DD" w14:paraId="24100A11" w14:textId="4A2138B5">
            <w:pPr>
              <w:pStyle w:val="RTableTextAbt"/>
            </w:pPr>
            <w:r w:rsidRPr="00F54C95">
              <w:t>$0</w:t>
            </w:r>
          </w:p>
        </w:tc>
        <w:tc>
          <w:tcPr>
            <w:tcW w:w="398" w:type="pct"/>
            <w:tcBorders>
              <w:top w:val="nil"/>
              <w:left w:val="nil"/>
              <w:bottom w:val="single" w:sz="4" w:space="0" w:color="auto"/>
              <w:right w:val="single" w:sz="4" w:space="0" w:color="auto"/>
            </w:tcBorders>
            <w:noWrap/>
            <w:hideMark/>
          </w:tcPr>
          <w:p w:rsidR="001809DD" w:rsidRPr="007B6745" w:rsidP="001809DD" w14:paraId="165EF6A2" w14:textId="3BA01B1E">
            <w:pPr>
              <w:pStyle w:val="RTableTextAbt"/>
            </w:pPr>
            <w:r w:rsidRPr="00F54C95">
              <w:t>$0</w:t>
            </w:r>
          </w:p>
        </w:tc>
        <w:tc>
          <w:tcPr>
            <w:tcW w:w="348" w:type="pct"/>
            <w:tcBorders>
              <w:top w:val="nil"/>
              <w:left w:val="nil"/>
              <w:bottom w:val="single" w:sz="4" w:space="0" w:color="auto"/>
              <w:right w:val="single" w:sz="4" w:space="0" w:color="auto"/>
            </w:tcBorders>
            <w:noWrap/>
            <w:hideMark/>
          </w:tcPr>
          <w:p w:rsidR="001809DD" w:rsidRPr="007B6745" w:rsidP="001809DD" w14:paraId="54287121" w14:textId="23C77F88">
            <w:pPr>
              <w:pStyle w:val="RTableTextAbt"/>
            </w:pPr>
            <w:r w:rsidRPr="00F54C95">
              <w:t>$0</w:t>
            </w:r>
          </w:p>
        </w:tc>
        <w:tc>
          <w:tcPr>
            <w:tcW w:w="548" w:type="pct"/>
            <w:tcBorders>
              <w:top w:val="nil"/>
              <w:left w:val="nil"/>
              <w:bottom w:val="single" w:sz="4" w:space="0" w:color="auto"/>
              <w:right w:val="single" w:sz="4" w:space="0" w:color="auto"/>
            </w:tcBorders>
            <w:noWrap/>
            <w:hideMark/>
          </w:tcPr>
          <w:p w:rsidR="001809DD" w:rsidRPr="007B6745" w:rsidP="001809DD" w14:paraId="2E88D562" w14:textId="3526D052">
            <w:pPr>
              <w:pStyle w:val="RTableTextAbt"/>
            </w:pPr>
            <w:r w:rsidRPr="00F54C95">
              <w:t>$0</w:t>
            </w:r>
          </w:p>
        </w:tc>
        <w:tc>
          <w:tcPr>
            <w:tcW w:w="498" w:type="pct"/>
            <w:tcBorders>
              <w:top w:val="nil"/>
              <w:left w:val="nil"/>
              <w:bottom w:val="single" w:sz="4" w:space="0" w:color="auto"/>
              <w:right w:val="single" w:sz="4" w:space="0" w:color="auto"/>
            </w:tcBorders>
            <w:noWrap/>
            <w:hideMark/>
          </w:tcPr>
          <w:p w:rsidR="001809DD" w:rsidRPr="007B6745" w:rsidP="001809DD" w14:paraId="526ED4A3" w14:textId="32C3EB5E">
            <w:pPr>
              <w:pStyle w:val="RTableTextAbt"/>
            </w:pPr>
            <w:r w:rsidRPr="00F54C95">
              <w:t>$77,434</w:t>
            </w:r>
          </w:p>
        </w:tc>
        <w:tc>
          <w:tcPr>
            <w:tcW w:w="523" w:type="pct"/>
            <w:tcBorders>
              <w:top w:val="nil"/>
              <w:left w:val="nil"/>
              <w:bottom w:val="single" w:sz="4" w:space="0" w:color="auto"/>
              <w:right w:val="single" w:sz="4" w:space="0" w:color="auto"/>
            </w:tcBorders>
            <w:noWrap/>
            <w:hideMark/>
          </w:tcPr>
          <w:p w:rsidR="001809DD" w:rsidRPr="007B6745" w:rsidP="001809DD" w14:paraId="00E0485C" w14:textId="415E4CA9">
            <w:pPr>
              <w:pStyle w:val="RTableTextAbt"/>
            </w:pPr>
            <w:r w:rsidRPr="00F54C95">
              <w:t>$77,434</w:t>
            </w:r>
          </w:p>
        </w:tc>
      </w:tr>
      <w:tr w14:paraId="04DFBE2D" w14:textId="77777777" w:rsidTr="00AB3925">
        <w:tblPrEx>
          <w:tblW w:w="4837" w:type="pct"/>
          <w:tblInd w:w="270" w:type="dxa"/>
          <w:tblLayout w:type="fixed"/>
          <w:tblCellMar>
            <w:left w:w="29" w:type="dxa"/>
            <w:right w:w="29" w:type="dxa"/>
          </w:tblCellMar>
          <w:tblLook w:val="04A0"/>
        </w:tblPrEx>
        <w:trPr>
          <w:trHeight w:val="20"/>
        </w:trPr>
        <w:tc>
          <w:tcPr>
            <w:tcW w:w="1143" w:type="pct"/>
            <w:tcBorders>
              <w:top w:val="nil"/>
              <w:left w:val="single" w:sz="4" w:space="0" w:color="auto"/>
              <w:bottom w:val="single" w:sz="4" w:space="0" w:color="auto"/>
              <w:right w:val="single" w:sz="4" w:space="0" w:color="auto"/>
            </w:tcBorders>
            <w:vAlign w:val="center"/>
            <w:hideMark/>
          </w:tcPr>
          <w:p w:rsidR="001809DD" w:rsidRPr="007B6745" w:rsidP="001809DD" w14:paraId="60E3ECCD" w14:textId="77777777">
            <w:pPr>
              <w:pStyle w:val="LTableTextAbt"/>
            </w:pPr>
            <w:r w:rsidRPr="007B6745">
              <w:t>Automotive refinishing</w:t>
            </w:r>
          </w:p>
        </w:tc>
        <w:tc>
          <w:tcPr>
            <w:tcW w:w="546" w:type="pct"/>
            <w:tcBorders>
              <w:top w:val="nil"/>
              <w:left w:val="nil"/>
              <w:bottom w:val="single" w:sz="4" w:space="0" w:color="auto"/>
              <w:right w:val="single" w:sz="4" w:space="0" w:color="auto"/>
            </w:tcBorders>
            <w:noWrap/>
            <w:hideMark/>
          </w:tcPr>
          <w:p w:rsidR="001809DD" w:rsidRPr="007B6745" w:rsidP="001809DD" w14:paraId="2300670A" w14:textId="0841FD78">
            <w:pPr>
              <w:pStyle w:val="RTableTextAbt"/>
            </w:pPr>
            <w:r w:rsidRPr="00F54C95">
              <w:t>$3,159,474</w:t>
            </w:r>
          </w:p>
        </w:tc>
        <w:tc>
          <w:tcPr>
            <w:tcW w:w="498" w:type="pct"/>
            <w:tcBorders>
              <w:top w:val="nil"/>
              <w:left w:val="nil"/>
              <w:bottom w:val="single" w:sz="4" w:space="0" w:color="auto"/>
              <w:right w:val="single" w:sz="4" w:space="0" w:color="auto"/>
            </w:tcBorders>
            <w:noWrap/>
            <w:hideMark/>
          </w:tcPr>
          <w:p w:rsidR="001809DD" w:rsidRPr="007B6745" w:rsidP="001809DD" w14:paraId="617DBA0E" w14:textId="6379A881">
            <w:pPr>
              <w:pStyle w:val="RTableTextAbt"/>
            </w:pPr>
            <w:r w:rsidRPr="00F54C95">
              <w:t>$0</w:t>
            </w:r>
          </w:p>
        </w:tc>
        <w:tc>
          <w:tcPr>
            <w:tcW w:w="498" w:type="pct"/>
            <w:tcBorders>
              <w:top w:val="nil"/>
              <w:left w:val="nil"/>
              <w:bottom w:val="single" w:sz="4" w:space="0" w:color="auto"/>
              <w:right w:val="single" w:sz="4" w:space="0" w:color="auto"/>
            </w:tcBorders>
            <w:noWrap/>
            <w:hideMark/>
          </w:tcPr>
          <w:p w:rsidR="001809DD" w:rsidRPr="007B6745" w:rsidP="001809DD" w14:paraId="2F57999B" w14:textId="727DA147">
            <w:pPr>
              <w:pStyle w:val="RTableTextAbt"/>
            </w:pPr>
            <w:r w:rsidRPr="00F54C95">
              <w:t>$0</w:t>
            </w:r>
          </w:p>
        </w:tc>
        <w:tc>
          <w:tcPr>
            <w:tcW w:w="398" w:type="pct"/>
            <w:tcBorders>
              <w:top w:val="nil"/>
              <w:left w:val="nil"/>
              <w:bottom w:val="single" w:sz="4" w:space="0" w:color="auto"/>
              <w:right w:val="single" w:sz="4" w:space="0" w:color="auto"/>
            </w:tcBorders>
            <w:noWrap/>
            <w:hideMark/>
          </w:tcPr>
          <w:p w:rsidR="001809DD" w:rsidRPr="007B6745" w:rsidP="001809DD" w14:paraId="4EACA613" w14:textId="62C77A67">
            <w:pPr>
              <w:pStyle w:val="RTableTextAbt"/>
            </w:pPr>
            <w:r w:rsidRPr="00F54C95">
              <w:t>$0</w:t>
            </w:r>
          </w:p>
        </w:tc>
        <w:tc>
          <w:tcPr>
            <w:tcW w:w="348" w:type="pct"/>
            <w:tcBorders>
              <w:top w:val="nil"/>
              <w:left w:val="nil"/>
              <w:bottom w:val="single" w:sz="4" w:space="0" w:color="auto"/>
              <w:right w:val="single" w:sz="4" w:space="0" w:color="auto"/>
            </w:tcBorders>
            <w:noWrap/>
            <w:hideMark/>
          </w:tcPr>
          <w:p w:rsidR="001809DD" w:rsidRPr="007B6745" w:rsidP="001809DD" w14:paraId="506C0DC7" w14:textId="6ECFA068">
            <w:pPr>
              <w:pStyle w:val="RTableTextAbt"/>
            </w:pPr>
            <w:r w:rsidRPr="00F54C95">
              <w:t>$0</w:t>
            </w:r>
          </w:p>
        </w:tc>
        <w:tc>
          <w:tcPr>
            <w:tcW w:w="548" w:type="pct"/>
            <w:tcBorders>
              <w:top w:val="nil"/>
              <w:left w:val="nil"/>
              <w:bottom w:val="single" w:sz="4" w:space="0" w:color="auto"/>
              <w:right w:val="single" w:sz="4" w:space="0" w:color="auto"/>
            </w:tcBorders>
            <w:noWrap/>
            <w:hideMark/>
          </w:tcPr>
          <w:p w:rsidR="001809DD" w:rsidRPr="007B6745" w:rsidP="001809DD" w14:paraId="5C597431" w14:textId="37C139EC">
            <w:pPr>
              <w:pStyle w:val="RTableTextAbt"/>
            </w:pPr>
            <w:r w:rsidRPr="00F54C95">
              <w:t>$0</w:t>
            </w:r>
          </w:p>
        </w:tc>
        <w:tc>
          <w:tcPr>
            <w:tcW w:w="498" w:type="pct"/>
            <w:tcBorders>
              <w:top w:val="nil"/>
              <w:left w:val="nil"/>
              <w:bottom w:val="single" w:sz="4" w:space="0" w:color="auto"/>
              <w:right w:val="single" w:sz="4" w:space="0" w:color="auto"/>
            </w:tcBorders>
            <w:noWrap/>
            <w:hideMark/>
          </w:tcPr>
          <w:p w:rsidR="001809DD" w:rsidRPr="007B6745" w:rsidP="001809DD" w14:paraId="6ECB6107" w14:textId="25488E26">
            <w:pPr>
              <w:pStyle w:val="RTableTextAbt"/>
            </w:pPr>
            <w:r w:rsidRPr="00F54C95">
              <w:t>$3,159,474</w:t>
            </w:r>
          </w:p>
        </w:tc>
        <w:tc>
          <w:tcPr>
            <w:tcW w:w="523" w:type="pct"/>
            <w:tcBorders>
              <w:top w:val="nil"/>
              <w:left w:val="nil"/>
              <w:bottom w:val="single" w:sz="4" w:space="0" w:color="auto"/>
              <w:right w:val="single" w:sz="4" w:space="0" w:color="auto"/>
            </w:tcBorders>
            <w:noWrap/>
            <w:hideMark/>
          </w:tcPr>
          <w:p w:rsidR="001809DD" w:rsidRPr="007B6745" w:rsidP="001809DD" w14:paraId="0B563299" w14:textId="23E227E6">
            <w:pPr>
              <w:pStyle w:val="RTableTextAbt"/>
            </w:pPr>
            <w:r w:rsidRPr="00F54C95">
              <w:t>$3,159,474</w:t>
            </w:r>
          </w:p>
        </w:tc>
      </w:tr>
      <w:tr w14:paraId="3219322F" w14:textId="77777777" w:rsidTr="00AB3925">
        <w:tblPrEx>
          <w:tblW w:w="4837" w:type="pct"/>
          <w:tblInd w:w="270" w:type="dxa"/>
          <w:tblLayout w:type="fixed"/>
          <w:tblCellMar>
            <w:left w:w="29" w:type="dxa"/>
            <w:right w:w="29" w:type="dxa"/>
          </w:tblCellMar>
          <w:tblLook w:val="04A0"/>
        </w:tblPrEx>
        <w:trPr>
          <w:trHeight w:val="20"/>
        </w:trPr>
        <w:tc>
          <w:tcPr>
            <w:tcW w:w="1143" w:type="pct"/>
            <w:tcBorders>
              <w:top w:val="nil"/>
              <w:left w:val="single" w:sz="4" w:space="0" w:color="auto"/>
              <w:bottom w:val="single" w:sz="4" w:space="0" w:color="auto"/>
              <w:right w:val="single" w:sz="4" w:space="0" w:color="auto"/>
            </w:tcBorders>
            <w:vAlign w:val="center"/>
            <w:hideMark/>
          </w:tcPr>
          <w:p w:rsidR="001809DD" w:rsidRPr="007B6745" w:rsidP="001809DD" w14:paraId="168F665E" w14:textId="77777777">
            <w:pPr>
              <w:pStyle w:val="LTableTextAbt"/>
            </w:pPr>
            <w:r w:rsidRPr="007B6745">
              <w:t>Disposal</w:t>
            </w:r>
          </w:p>
        </w:tc>
        <w:tc>
          <w:tcPr>
            <w:tcW w:w="546" w:type="pct"/>
            <w:tcBorders>
              <w:top w:val="nil"/>
              <w:left w:val="nil"/>
              <w:bottom w:val="single" w:sz="4" w:space="0" w:color="auto"/>
              <w:right w:val="single" w:sz="4" w:space="0" w:color="auto"/>
            </w:tcBorders>
            <w:noWrap/>
            <w:hideMark/>
          </w:tcPr>
          <w:p w:rsidR="001809DD" w:rsidRPr="007B6745" w:rsidP="001809DD" w14:paraId="1656E976" w14:textId="3CA2A740">
            <w:pPr>
              <w:pStyle w:val="RTableTextAbt"/>
            </w:pPr>
            <w:r w:rsidRPr="00F54C95">
              <w:t>$790,366</w:t>
            </w:r>
          </w:p>
        </w:tc>
        <w:tc>
          <w:tcPr>
            <w:tcW w:w="498" w:type="pct"/>
            <w:tcBorders>
              <w:top w:val="nil"/>
              <w:left w:val="nil"/>
              <w:bottom w:val="single" w:sz="4" w:space="0" w:color="auto"/>
              <w:right w:val="single" w:sz="4" w:space="0" w:color="auto"/>
            </w:tcBorders>
            <w:noWrap/>
            <w:hideMark/>
          </w:tcPr>
          <w:p w:rsidR="001809DD" w:rsidRPr="007B6745" w:rsidP="001809DD" w14:paraId="1F470805" w14:textId="75A5BFBF">
            <w:pPr>
              <w:pStyle w:val="RTableTextAbt"/>
            </w:pPr>
            <w:r w:rsidRPr="00F54C95">
              <w:t>$0</w:t>
            </w:r>
          </w:p>
        </w:tc>
        <w:tc>
          <w:tcPr>
            <w:tcW w:w="498" w:type="pct"/>
            <w:tcBorders>
              <w:top w:val="nil"/>
              <w:left w:val="nil"/>
              <w:bottom w:val="single" w:sz="4" w:space="0" w:color="auto"/>
              <w:right w:val="single" w:sz="4" w:space="0" w:color="auto"/>
            </w:tcBorders>
            <w:noWrap/>
            <w:hideMark/>
          </w:tcPr>
          <w:p w:rsidR="001809DD" w:rsidRPr="007B6745" w:rsidP="001809DD" w14:paraId="030B6B7B" w14:textId="12633A22">
            <w:pPr>
              <w:pStyle w:val="RTableTextAbt"/>
            </w:pPr>
            <w:r w:rsidRPr="00F54C95">
              <w:t>$0</w:t>
            </w:r>
          </w:p>
        </w:tc>
        <w:tc>
          <w:tcPr>
            <w:tcW w:w="398" w:type="pct"/>
            <w:tcBorders>
              <w:top w:val="nil"/>
              <w:left w:val="nil"/>
              <w:bottom w:val="single" w:sz="4" w:space="0" w:color="auto"/>
              <w:right w:val="single" w:sz="4" w:space="0" w:color="auto"/>
            </w:tcBorders>
            <w:noWrap/>
            <w:hideMark/>
          </w:tcPr>
          <w:p w:rsidR="001809DD" w:rsidRPr="007B6745" w:rsidP="001809DD" w14:paraId="682701FB" w14:textId="4EC9AA2E">
            <w:pPr>
              <w:pStyle w:val="RTableTextAbt"/>
            </w:pPr>
            <w:r w:rsidRPr="00F54C95">
              <w:t>$0</w:t>
            </w:r>
          </w:p>
        </w:tc>
        <w:tc>
          <w:tcPr>
            <w:tcW w:w="348" w:type="pct"/>
            <w:tcBorders>
              <w:top w:val="nil"/>
              <w:left w:val="nil"/>
              <w:bottom w:val="single" w:sz="4" w:space="0" w:color="auto"/>
              <w:right w:val="single" w:sz="4" w:space="0" w:color="auto"/>
            </w:tcBorders>
            <w:noWrap/>
            <w:hideMark/>
          </w:tcPr>
          <w:p w:rsidR="001809DD" w:rsidRPr="007B6745" w:rsidP="001809DD" w14:paraId="3B83F226" w14:textId="2762D351">
            <w:pPr>
              <w:pStyle w:val="RTableTextAbt"/>
            </w:pPr>
            <w:r w:rsidRPr="00F54C95">
              <w:t>$0</w:t>
            </w:r>
          </w:p>
        </w:tc>
        <w:tc>
          <w:tcPr>
            <w:tcW w:w="548" w:type="pct"/>
            <w:tcBorders>
              <w:top w:val="nil"/>
              <w:left w:val="nil"/>
              <w:bottom w:val="single" w:sz="4" w:space="0" w:color="auto"/>
              <w:right w:val="single" w:sz="4" w:space="0" w:color="auto"/>
            </w:tcBorders>
            <w:noWrap/>
            <w:hideMark/>
          </w:tcPr>
          <w:p w:rsidR="001809DD" w:rsidRPr="007B6745" w:rsidP="001809DD" w14:paraId="4FED5EDD" w14:textId="68E6F9BE">
            <w:pPr>
              <w:pStyle w:val="RTableTextAbt"/>
            </w:pPr>
            <w:r w:rsidRPr="00F54C95">
              <w:t>$0</w:t>
            </w:r>
          </w:p>
        </w:tc>
        <w:tc>
          <w:tcPr>
            <w:tcW w:w="498" w:type="pct"/>
            <w:tcBorders>
              <w:top w:val="nil"/>
              <w:left w:val="nil"/>
              <w:bottom w:val="single" w:sz="4" w:space="0" w:color="auto"/>
              <w:right w:val="single" w:sz="4" w:space="0" w:color="auto"/>
            </w:tcBorders>
            <w:noWrap/>
            <w:hideMark/>
          </w:tcPr>
          <w:p w:rsidR="001809DD" w:rsidRPr="007B6745" w:rsidP="001809DD" w14:paraId="605D33ED" w14:textId="6FF68E9D">
            <w:pPr>
              <w:pStyle w:val="RTableTextAbt"/>
            </w:pPr>
            <w:r w:rsidRPr="00F54C95">
              <w:t>$790,366</w:t>
            </w:r>
          </w:p>
        </w:tc>
        <w:tc>
          <w:tcPr>
            <w:tcW w:w="523" w:type="pct"/>
            <w:tcBorders>
              <w:top w:val="nil"/>
              <w:left w:val="nil"/>
              <w:bottom w:val="single" w:sz="4" w:space="0" w:color="auto"/>
              <w:right w:val="single" w:sz="4" w:space="0" w:color="auto"/>
            </w:tcBorders>
            <w:noWrap/>
            <w:hideMark/>
          </w:tcPr>
          <w:p w:rsidR="001809DD" w:rsidRPr="007B6745" w:rsidP="001809DD" w14:paraId="729DFDA9" w14:textId="464158B6">
            <w:pPr>
              <w:pStyle w:val="RTableTextAbt"/>
            </w:pPr>
            <w:r w:rsidRPr="00F54C95">
              <w:t>$790,366</w:t>
            </w:r>
          </w:p>
        </w:tc>
      </w:tr>
      <w:tr w14:paraId="0DB01B06" w14:textId="77777777" w:rsidTr="00AB3925">
        <w:tblPrEx>
          <w:tblW w:w="4837" w:type="pct"/>
          <w:tblInd w:w="270" w:type="dxa"/>
          <w:tblLayout w:type="fixed"/>
          <w:tblCellMar>
            <w:left w:w="29" w:type="dxa"/>
            <w:right w:w="29" w:type="dxa"/>
          </w:tblCellMar>
          <w:tblLook w:val="04A0"/>
        </w:tblPrEx>
        <w:trPr>
          <w:trHeight w:val="20"/>
        </w:trPr>
        <w:tc>
          <w:tcPr>
            <w:tcW w:w="1143" w:type="pct"/>
            <w:tcBorders>
              <w:top w:val="nil"/>
              <w:left w:val="single" w:sz="4" w:space="0" w:color="auto"/>
              <w:bottom w:val="single" w:sz="4" w:space="0" w:color="auto"/>
              <w:right w:val="single" w:sz="4" w:space="0" w:color="auto"/>
            </w:tcBorders>
            <w:vAlign w:val="center"/>
            <w:hideMark/>
          </w:tcPr>
          <w:p w:rsidR="001809DD" w:rsidRPr="007B6745" w:rsidP="001809DD" w14:paraId="0BA6FD3C" w14:textId="77777777">
            <w:pPr>
              <w:pStyle w:val="LTableTextAbt"/>
              <w:rPr>
                <w:b/>
              </w:rPr>
            </w:pPr>
            <w:r w:rsidRPr="007B6745">
              <w:rPr>
                <w:b/>
              </w:rPr>
              <w:t>Total</w:t>
            </w:r>
          </w:p>
        </w:tc>
        <w:tc>
          <w:tcPr>
            <w:tcW w:w="546" w:type="pct"/>
            <w:tcBorders>
              <w:top w:val="nil"/>
              <w:left w:val="nil"/>
              <w:bottom w:val="single" w:sz="4" w:space="0" w:color="auto"/>
              <w:right w:val="single" w:sz="4" w:space="0" w:color="auto"/>
            </w:tcBorders>
            <w:noWrap/>
            <w:hideMark/>
          </w:tcPr>
          <w:p w:rsidR="001809DD" w:rsidRPr="008D48D4" w:rsidP="001809DD" w14:paraId="204D9734" w14:textId="2418CF27">
            <w:pPr>
              <w:pStyle w:val="RTableTextAbt"/>
              <w:rPr>
                <w:b/>
                <w:bCs w:val="0"/>
              </w:rPr>
            </w:pPr>
            <w:r w:rsidRPr="008D48D4">
              <w:rPr>
                <w:b/>
                <w:bCs w:val="0"/>
              </w:rPr>
              <w:t>$4,857,188</w:t>
            </w:r>
          </w:p>
        </w:tc>
        <w:tc>
          <w:tcPr>
            <w:tcW w:w="498" w:type="pct"/>
            <w:tcBorders>
              <w:top w:val="nil"/>
              <w:left w:val="nil"/>
              <w:bottom w:val="single" w:sz="4" w:space="0" w:color="auto"/>
              <w:right w:val="single" w:sz="4" w:space="0" w:color="auto"/>
            </w:tcBorders>
            <w:noWrap/>
            <w:hideMark/>
          </w:tcPr>
          <w:p w:rsidR="001809DD" w:rsidRPr="008D48D4" w:rsidP="001809DD" w14:paraId="5BAE6667" w14:textId="208FA745">
            <w:pPr>
              <w:pStyle w:val="RTableTextAbt"/>
              <w:rPr>
                <w:b/>
                <w:bCs w:val="0"/>
              </w:rPr>
            </w:pPr>
            <w:r w:rsidRPr="008D48D4">
              <w:rPr>
                <w:b/>
                <w:bCs w:val="0"/>
              </w:rPr>
              <w:t>$1,939,869</w:t>
            </w:r>
          </w:p>
        </w:tc>
        <w:tc>
          <w:tcPr>
            <w:tcW w:w="498" w:type="pct"/>
            <w:tcBorders>
              <w:top w:val="nil"/>
              <w:left w:val="nil"/>
              <w:bottom w:val="single" w:sz="4" w:space="0" w:color="auto"/>
              <w:right w:val="single" w:sz="4" w:space="0" w:color="auto"/>
            </w:tcBorders>
            <w:noWrap/>
            <w:hideMark/>
          </w:tcPr>
          <w:p w:rsidR="001809DD" w:rsidRPr="008D48D4" w:rsidP="001809DD" w14:paraId="4C9B6651" w14:textId="66B11485">
            <w:pPr>
              <w:pStyle w:val="RTableTextAbt"/>
              <w:rPr>
                <w:b/>
                <w:bCs w:val="0"/>
              </w:rPr>
            </w:pPr>
            <w:r w:rsidRPr="008D48D4">
              <w:rPr>
                <w:b/>
                <w:bCs w:val="0"/>
              </w:rPr>
              <w:t>$2,006,349</w:t>
            </w:r>
          </w:p>
        </w:tc>
        <w:tc>
          <w:tcPr>
            <w:tcW w:w="398" w:type="pct"/>
            <w:tcBorders>
              <w:top w:val="nil"/>
              <w:left w:val="nil"/>
              <w:bottom w:val="single" w:sz="4" w:space="0" w:color="auto"/>
              <w:right w:val="single" w:sz="4" w:space="0" w:color="auto"/>
            </w:tcBorders>
            <w:noWrap/>
            <w:hideMark/>
          </w:tcPr>
          <w:p w:rsidR="001809DD" w:rsidRPr="008D48D4" w:rsidP="001809DD" w14:paraId="00B116A8" w14:textId="1548634B">
            <w:pPr>
              <w:pStyle w:val="RTableTextAbt"/>
              <w:rPr>
                <w:b/>
                <w:bCs w:val="0"/>
              </w:rPr>
            </w:pPr>
            <w:r w:rsidRPr="008D48D4">
              <w:rPr>
                <w:b/>
                <w:bCs w:val="0"/>
              </w:rPr>
              <w:t>$1,086</w:t>
            </w:r>
          </w:p>
        </w:tc>
        <w:tc>
          <w:tcPr>
            <w:tcW w:w="348" w:type="pct"/>
            <w:tcBorders>
              <w:top w:val="nil"/>
              <w:left w:val="nil"/>
              <w:bottom w:val="single" w:sz="4" w:space="0" w:color="auto"/>
              <w:right w:val="single" w:sz="4" w:space="0" w:color="auto"/>
            </w:tcBorders>
            <w:noWrap/>
            <w:hideMark/>
          </w:tcPr>
          <w:p w:rsidR="001809DD" w:rsidRPr="008D48D4" w:rsidP="001809DD" w14:paraId="24BEEDB8" w14:textId="2BD91D42">
            <w:pPr>
              <w:pStyle w:val="RTableTextAbt"/>
              <w:rPr>
                <w:b/>
                <w:bCs w:val="0"/>
              </w:rPr>
            </w:pPr>
            <w:r w:rsidRPr="008D48D4">
              <w:rPr>
                <w:b/>
                <w:bCs w:val="0"/>
              </w:rPr>
              <w:t>$1,216</w:t>
            </w:r>
          </w:p>
        </w:tc>
        <w:tc>
          <w:tcPr>
            <w:tcW w:w="548" w:type="pct"/>
            <w:tcBorders>
              <w:top w:val="nil"/>
              <w:left w:val="nil"/>
              <w:bottom w:val="single" w:sz="4" w:space="0" w:color="auto"/>
              <w:right w:val="single" w:sz="4" w:space="0" w:color="auto"/>
            </w:tcBorders>
            <w:noWrap/>
            <w:hideMark/>
          </w:tcPr>
          <w:p w:rsidR="001809DD" w:rsidRPr="008D48D4" w:rsidP="001809DD" w14:paraId="4BB278A5" w14:textId="68B7BFE4">
            <w:pPr>
              <w:pStyle w:val="RTableTextAbt"/>
              <w:rPr>
                <w:b/>
                <w:bCs w:val="0"/>
              </w:rPr>
            </w:pPr>
            <w:r w:rsidRPr="008D48D4">
              <w:rPr>
                <w:b/>
                <w:bCs w:val="0"/>
              </w:rPr>
              <w:t>$8,190</w:t>
            </w:r>
          </w:p>
        </w:tc>
        <w:tc>
          <w:tcPr>
            <w:tcW w:w="498" w:type="pct"/>
            <w:tcBorders>
              <w:top w:val="nil"/>
              <w:left w:val="nil"/>
              <w:bottom w:val="single" w:sz="4" w:space="0" w:color="auto"/>
              <w:right w:val="single" w:sz="4" w:space="0" w:color="auto"/>
            </w:tcBorders>
            <w:noWrap/>
            <w:hideMark/>
          </w:tcPr>
          <w:p w:rsidR="001809DD" w:rsidRPr="008D48D4" w:rsidP="001809DD" w14:paraId="18CB3E41" w14:textId="36B80B33">
            <w:pPr>
              <w:pStyle w:val="RTableTextAbt"/>
              <w:rPr>
                <w:b/>
                <w:bCs w:val="0"/>
              </w:rPr>
            </w:pPr>
            <w:r w:rsidRPr="008D48D4">
              <w:rPr>
                <w:b/>
                <w:bCs w:val="0"/>
              </w:rPr>
              <w:t>$6,806,333</w:t>
            </w:r>
          </w:p>
        </w:tc>
        <w:tc>
          <w:tcPr>
            <w:tcW w:w="523" w:type="pct"/>
            <w:tcBorders>
              <w:top w:val="nil"/>
              <w:left w:val="nil"/>
              <w:bottom w:val="single" w:sz="4" w:space="0" w:color="auto"/>
              <w:right w:val="single" w:sz="4" w:space="0" w:color="auto"/>
            </w:tcBorders>
            <w:noWrap/>
            <w:hideMark/>
          </w:tcPr>
          <w:p w:rsidR="001809DD" w:rsidRPr="008D48D4" w:rsidP="001809DD" w14:paraId="481FF969" w14:textId="39DA011E">
            <w:pPr>
              <w:pStyle w:val="RTableTextAbt"/>
              <w:rPr>
                <w:b/>
                <w:bCs w:val="0"/>
              </w:rPr>
            </w:pPr>
            <w:r w:rsidRPr="008D48D4">
              <w:rPr>
                <w:b/>
                <w:bCs w:val="0"/>
              </w:rPr>
              <w:t>$6,872,943</w:t>
            </w:r>
          </w:p>
        </w:tc>
      </w:tr>
    </w:tbl>
    <w:p w:rsidR="007B6745" w:rsidRPr="007B6745" w:rsidP="00832749" w14:paraId="38095B8B" w14:textId="77777777">
      <w:pPr>
        <w:pStyle w:val="BodyText"/>
      </w:pPr>
    </w:p>
    <w:tbl>
      <w:tblPr>
        <w:tblW w:w="4837" w:type="pct"/>
        <w:tblInd w:w="270" w:type="dxa"/>
        <w:tblLook w:val="04A0"/>
      </w:tblPr>
      <w:tblGrid>
        <w:gridCol w:w="3779"/>
        <w:gridCol w:w="1065"/>
        <w:gridCol w:w="1027"/>
        <w:gridCol w:w="1074"/>
        <w:gridCol w:w="1072"/>
        <w:gridCol w:w="1038"/>
      </w:tblGrid>
      <w:tr w14:paraId="6E002397" w14:textId="77777777" w:rsidTr="00DF6409">
        <w:tblPrEx>
          <w:tblW w:w="4837" w:type="pct"/>
          <w:tblInd w:w="270" w:type="dxa"/>
          <w:tblLook w:val="04A0"/>
        </w:tblPrEx>
        <w:trPr>
          <w:trHeight w:val="20"/>
          <w:tblHeader/>
        </w:trPr>
        <w:tc>
          <w:tcPr>
            <w:tcW w:w="5000" w:type="pct"/>
            <w:gridSpan w:val="6"/>
            <w:tcBorders>
              <w:bottom w:val="single" w:sz="4" w:space="0" w:color="auto"/>
            </w:tcBorders>
            <w:shd w:val="clear" w:color="auto" w:fill="auto"/>
            <w:vAlign w:val="center"/>
          </w:tcPr>
          <w:p w:rsidR="002328BE" w:rsidRPr="002328BE" w:rsidP="002328BE" w14:paraId="49B63445" w14:textId="4BCD39A2">
            <w:pPr>
              <w:pStyle w:val="TableTitleA"/>
            </w:pPr>
            <w:bookmarkStart w:id="249" w:name="_Ref181628192"/>
            <w:bookmarkStart w:id="250" w:name="_Toc184299582"/>
            <w:r w:rsidRPr="007B6745">
              <w:t xml:space="preserve">Table </w:t>
            </w:r>
            <w:r>
              <w:fldChar w:fldCharType="begin" w:fldLock="1"/>
            </w:r>
            <w:r>
              <w:instrText>STYLEREF 1 \s</w:instrText>
            </w:r>
            <w:r>
              <w:fldChar w:fldCharType="separate"/>
            </w:r>
            <w:r w:rsidR="00735BBC">
              <w:rPr>
                <w:noProof/>
              </w:rPr>
              <w:t>4</w:t>
            </w:r>
            <w:r>
              <w:fldChar w:fldCharType="end"/>
            </w:r>
            <w:r w:rsidR="000A1542">
              <w:noBreakHyphen/>
            </w:r>
            <w:r>
              <w:fldChar w:fldCharType="begin" w:fldLock="1"/>
            </w:r>
            <w:r>
              <w:instrText>SEQ Table \* ARABIC \s 1</w:instrText>
            </w:r>
            <w:r>
              <w:fldChar w:fldCharType="separate"/>
            </w:r>
            <w:r w:rsidR="00735BBC">
              <w:rPr>
                <w:noProof/>
              </w:rPr>
              <w:t>26</w:t>
            </w:r>
            <w:r>
              <w:fldChar w:fldCharType="end"/>
            </w:r>
            <w:bookmarkEnd w:id="249"/>
            <w:r w:rsidRPr="007B6745">
              <w:t>: Proposed Option Total Incremental Annual Recurring Costs (2023$)</w:t>
            </w:r>
            <w:bookmarkEnd w:id="250"/>
          </w:p>
        </w:tc>
      </w:tr>
      <w:tr w14:paraId="65DF659F" w14:textId="77777777" w:rsidTr="00AB3925">
        <w:tblPrEx>
          <w:tblW w:w="4837" w:type="pct"/>
          <w:tblInd w:w="270" w:type="dxa"/>
          <w:tblLook w:val="04A0"/>
        </w:tblPrEx>
        <w:trPr>
          <w:trHeight w:val="20"/>
          <w:tblHeader/>
        </w:trPr>
        <w:tc>
          <w:tcPr>
            <w:tcW w:w="2087" w:type="pct"/>
            <w:vMerge w:val="restart"/>
            <w:tcBorders>
              <w:top w:val="single" w:sz="4" w:space="0" w:color="auto"/>
              <w:left w:val="single" w:sz="4" w:space="0" w:color="auto"/>
              <w:bottom w:val="single" w:sz="4" w:space="0" w:color="000000"/>
              <w:right w:val="single" w:sz="4" w:space="0" w:color="auto"/>
            </w:tcBorders>
            <w:shd w:val="clear" w:color="auto" w:fill="013E5B"/>
            <w:vAlign w:val="center"/>
            <w:hideMark/>
          </w:tcPr>
          <w:p w:rsidR="007B6745" w:rsidRPr="007B6745" w:rsidP="000D7F2B" w14:paraId="42B15DEA" w14:textId="77777777">
            <w:pPr>
              <w:pStyle w:val="TableSubtitle"/>
            </w:pPr>
            <w:r w:rsidRPr="007B6745">
              <w:t>Use category</w:t>
            </w:r>
          </w:p>
        </w:tc>
        <w:tc>
          <w:tcPr>
            <w:tcW w:w="1155" w:type="pct"/>
            <w:gridSpan w:val="2"/>
            <w:tcBorders>
              <w:top w:val="single" w:sz="4" w:space="0" w:color="auto"/>
              <w:left w:val="nil"/>
              <w:bottom w:val="single" w:sz="4" w:space="0" w:color="auto"/>
              <w:right w:val="single" w:sz="4" w:space="0" w:color="000000"/>
            </w:tcBorders>
            <w:shd w:val="clear" w:color="auto" w:fill="013E5B"/>
            <w:vAlign w:val="center"/>
            <w:hideMark/>
          </w:tcPr>
          <w:p w:rsidR="007B6745" w:rsidRPr="007B6745" w:rsidP="000D7F2B" w14:paraId="296CB366" w14:textId="77777777">
            <w:pPr>
              <w:pStyle w:val="TableSubtitle"/>
            </w:pPr>
            <w:r w:rsidRPr="007B6745">
              <w:t>PPE</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013E5B"/>
            <w:vAlign w:val="center"/>
            <w:hideMark/>
          </w:tcPr>
          <w:p w:rsidR="007B6745" w:rsidRPr="007B6745" w:rsidP="000D7F2B" w14:paraId="4A2B1E48" w14:textId="77777777">
            <w:pPr>
              <w:pStyle w:val="TableSubtitle"/>
            </w:pPr>
            <w:r w:rsidRPr="007B6745">
              <w:t>Cleaning</w:t>
            </w:r>
          </w:p>
        </w:tc>
        <w:tc>
          <w:tcPr>
            <w:tcW w:w="1165" w:type="pct"/>
            <w:gridSpan w:val="2"/>
            <w:tcBorders>
              <w:top w:val="single" w:sz="4" w:space="0" w:color="auto"/>
            </w:tcBorders>
            <w:shd w:val="clear" w:color="auto" w:fill="013E5B"/>
            <w:vAlign w:val="center"/>
            <w:hideMark/>
          </w:tcPr>
          <w:p w:rsidR="007B6745" w:rsidRPr="007B6745" w:rsidP="000D7F2B" w14:paraId="73357BE8" w14:textId="77777777">
            <w:pPr>
              <w:pStyle w:val="TableSubtitle"/>
            </w:pPr>
            <w:r w:rsidRPr="007B6745">
              <w:t>Total</w:t>
            </w:r>
          </w:p>
        </w:tc>
      </w:tr>
      <w:tr w14:paraId="7BBD7442" w14:textId="77777777" w:rsidTr="00AB3925">
        <w:tblPrEx>
          <w:tblW w:w="4837" w:type="pct"/>
          <w:tblInd w:w="270" w:type="dxa"/>
          <w:tblLook w:val="04A0"/>
        </w:tblPrEx>
        <w:trPr>
          <w:trHeight w:val="20"/>
          <w:tblHeader/>
        </w:trPr>
        <w:tc>
          <w:tcPr>
            <w:tcW w:w="2087" w:type="pct"/>
            <w:vMerge/>
            <w:tcBorders>
              <w:top w:val="nil"/>
              <w:left w:val="single" w:sz="4" w:space="0" w:color="auto"/>
              <w:bottom w:val="single" w:sz="4" w:space="0" w:color="000000"/>
              <w:right w:val="single" w:sz="4" w:space="0" w:color="auto"/>
            </w:tcBorders>
            <w:shd w:val="clear" w:color="auto" w:fill="013E5B"/>
            <w:vAlign w:val="center"/>
            <w:hideMark/>
          </w:tcPr>
          <w:p w:rsidR="007B6745" w:rsidRPr="007B6745" w:rsidP="000D7F2B" w14:paraId="464A65CB" w14:textId="77777777">
            <w:pPr>
              <w:pStyle w:val="TableSubtitle"/>
            </w:pPr>
          </w:p>
        </w:tc>
        <w:tc>
          <w:tcPr>
            <w:tcW w:w="588" w:type="pct"/>
            <w:tcBorders>
              <w:top w:val="nil"/>
              <w:left w:val="nil"/>
              <w:bottom w:val="single" w:sz="4" w:space="0" w:color="auto"/>
              <w:right w:val="single" w:sz="4" w:space="0" w:color="auto"/>
            </w:tcBorders>
            <w:shd w:val="clear" w:color="auto" w:fill="013E5B"/>
            <w:vAlign w:val="center"/>
            <w:hideMark/>
          </w:tcPr>
          <w:p w:rsidR="007B6745" w:rsidRPr="007B6745" w:rsidP="000D7F2B" w14:paraId="2F2FFF34" w14:textId="77777777">
            <w:pPr>
              <w:pStyle w:val="TableSubtitle"/>
            </w:pPr>
            <w:r w:rsidRPr="007B6745">
              <w:t>Low</w:t>
            </w:r>
          </w:p>
        </w:tc>
        <w:tc>
          <w:tcPr>
            <w:tcW w:w="567" w:type="pct"/>
            <w:tcBorders>
              <w:top w:val="nil"/>
              <w:left w:val="nil"/>
              <w:bottom w:val="single" w:sz="4" w:space="0" w:color="auto"/>
              <w:right w:val="single" w:sz="4" w:space="0" w:color="auto"/>
            </w:tcBorders>
            <w:shd w:val="clear" w:color="auto" w:fill="013E5B"/>
            <w:vAlign w:val="center"/>
            <w:hideMark/>
          </w:tcPr>
          <w:p w:rsidR="007B6745" w:rsidRPr="007B6745" w:rsidP="000D7F2B" w14:paraId="5F5E3B4A" w14:textId="77777777">
            <w:pPr>
              <w:pStyle w:val="TableSubtitle"/>
            </w:pPr>
            <w:r w:rsidRPr="007B6745">
              <w:t>High</w:t>
            </w:r>
          </w:p>
        </w:tc>
        <w:tc>
          <w:tcPr>
            <w:tcW w:w="593" w:type="pct"/>
            <w:vMerge/>
            <w:tcBorders>
              <w:top w:val="single" w:sz="4" w:space="0" w:color="auto"/>
              <w:left w:val="single" w:sz="4" w:space="0" w:color="auto"/>
              <w:bottom w:val="single" w:sz="4" w:space="0" w:color="000000"/>
              <w:right w:val="single" w:sz="4" w:space="0" w:color="auto"/>
            </w:tcBorders>
            <w:shd w:val="clear" w:color="auto" w:fill="013E5B"/>
            <w:vAlign w:val="center"/>
            <w:hideMark/>
          </w:tcPr>
          <w:p w:rsidR="007B6745" w:rsidRPr="007B6745" w:rsidP="000D7F2B" w14:paraId="3D157813" w14:textId="77777777">
            <w:pPr>
              <w:pStyle w:val="TableSubtitle"/>
            </w:pPr>
          </w:p>
        </w:tc>
        <w:tc>
          <w:tcPr>
            <w:tcW w:w="592" w:type="pct"/>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7BAC43D8" w14:textId="77777777">
            <w:pPr>
              <w:pStyle w:val="TableSubtitle"/>
            </w:pPr>
            <w:r w:rsidRPr="007B6745">
              <w:t>Low</w:t>
            </w:r>
          </w:p>
        </w:tc>
        <w:tc>
          <w:tcPr>
            <w:tcW w:w="573" w:type="pct"/>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1AB3B899" w14:textId="77777777">
            <w:pPr>
              <w:pStyle w:val="TableSubtitle"/>
            </w:pPr>
            <w:r w:rsidRPr="007B6745">
              <w:t>High</w:t>
            </w:r>
          </w:p>
        </w:tc>
      </w:tr>
      <w:tr w14:paraId="291711AB" w14:textId="77777777" w:rsidTr="00AB3925">
        <w:tblPrEx>
          <w:tblW w:w="4837" w:type="pct"/>
          <w:tblInd w:w="270" w:type="dxa"/>
          <w:tblLook w:val="04A0"/>
        </w:tblPrEx>
        <w:trPr>
          <w:trHeight w:val="20"/>
        </w:trPr>
        <w:tc>
          <w:tcPr>
            <w:tcW w:w="2087" w:type="pct"/>
            <w:tcBorders>
              <w:top w:val="nil"/>
              <w:left w:val="single" w:sz="4" w:space="0" w:color="auto"/>
              <w:bottom w:val="single" w:sz="4" w:space="0" w:color="auto"/>
              <w:right w:val="single" w:sz="4" w:space="0" w:color="auto"/>
            </w:tcBorders>
            <w:vAlign w:val="center"/>
            <w:hideMark/>
          </w:tcPr>
          <w:p w:rsidR="001809DD" w:rsidRPr="007B6745" w:rsidP="001809DD" w14:paraId="2E220E66" w14:textId="77777777">
            <w:pPr>
              <w:pStyle w:val="LTableTextAbt"/>
            </w:pPr>
            <w:r w:rsidRPr="007B6745">
              <w:t>PV29 manufacturing and intermediate processing</w:t>
            </w:r>
          </w:p>
        </w:tc>
        <w:tc>
          <w:tcPr>
            <w:tcW w:w="588" w:type="pct"/>
            <w:tcBorders>
              <w:top w:val="nil"/>
              <w:left w:val="nil"/>
              <w:bottom w:val="single" w:sz="4" w:space="0" w:color="auto"/>
              <w:right w:val="single" w:sz="4" w:space="0" w:color="auto"/>
            </w:tcBorders>
            <w:noWrap/>
            <w:hideMark/>
          </w:tcPr>
          <w:p w:rsidR="001809DD" w:rsidRPr="007B6745" w:rsidP="001809DD" w14:paraId="6B8F33CC" w14:textId="15071CE2">
            <w:pPr>
              <w:pStyle w:val="RTableTextAbt"/>
            </w:pPr>
            <w:r w:rsidRPr="00740071">
              <w:t>$94,700</w:t>
            </w:r>
          </w:p>
        </w:tc>
        <w:tc>
          <w:tcPr>
            <w:tcW w:w="567" w:type="pct"/>
            <w:tcBorders>
              <w:top w:val="nil"/>
              <w:left w:val="nil"/>
              <w:bottom w:val="single" w:sz="4" w:space="0" w:color="auto"/>
              <w:right w:val="single" w:sz="4" w:space="0" w:color="auto"/>
            </w:tcBorders>
            <w:noWrap/>
            <w:hideMark/>
          </w:tcPr>
          <w:p w:rsidR="001809DD" w:rsidRPr="007B6745" w:rsidP="001809DD" w14:paraId="6FC303A8" w14:textId="6A402A84">
            <w:pPr>
              <w:pStyle w:val="RTableTextAbt"/>
            </w:pPr>
            <w:r w:rsidRPr="00740071">
              <w:t>$127,240</w:t>
            </w:r>
          </w:p>
        </w:tc>
        <w:tc>
          <w:tcPr>
            <w:tcW w:w="593" w:type="pct"/>
            <w:tcBorders>
              <w:top w:val="nil"/>
              <w:left w:val="nil"/>
              <w:bottom w:val="single" w:sz="4" w:space="0" w:color="auto"/>
              <w:right w:val="single" w:sz="4" w:space="0" w:color="auto"/>
            </w:tcBorders>
            <w:noWrap/>
            <w:hideMark/>
          </w:tcPr>
          <w:p w:rsidR="001809DD" w:rsidRPr="007B6745" w:rsidP="001809DD" w14:paraId="27702943" w14:textId="2FF7B33F">
            <w:pPr>
              <w:pStyle w:val="RTableTextAbt"/>
            </w:pPr>
            <w:r w:rsidRPr="00740071">
              <w:t>$12,272</w:t>
            </w:r>
          </w:p>
        </w:tc>
        <w:tc>
          <w:tcPr>
            <w:tcW w:w="592" w:type="pct"/>
            <w:tcBorders>
              <w:top w:val="nil"/>
              <w:left w:val="nil"/>
              <w:bottom w:val="single" w:sz="4" w:space="0" w:color="auto"/>
              <w:right w:val="single" w:sz="4" w:space="0" w:color="auto"/>
            </w:tcBorders>
            <w:noWrap/>
            <w:hideMark/>
          </w:tcPr>
          <w:p w:rsidR="001809DD" w:rsidRPr="007B6745" w:rsidP="001809DD" w14:paraId="14EBB21B" w14:textId="3EC0F90E">
            <w:pPr>
              <w:pStyle w:val="RTableTextAbt"/>
            </w:pPr>
            <w:r w:rsidRPr="00740071">
              <w:t>$106,972</w:t>
            </w:r>
          </w:p>
        </w:tc>
        <w:tc>
          <w:tcPr>
            <w:tcW w:w="573" w:type="pct"/>
            <w:tcBorders>
              <w:top w:val="nil"/>
              <w:left w:val="nil"/>
              <w:bottom w:val="single" w:sz="4" w:space="0" w:color="auto"/>
              <w:right w:val="single" w:sz="4" w:space="0" w:color="auto"/>
            </w:tcBorders>
            <w:noWrap/>
            <w:hideMark/>
          </w:tcPr>
          <w:p w:rsidR="001809DD" w:rsidRPr="007B6745" w:rsidP="001809DD" w14:paraId="311C6337" w14:textId="095FFEAE">
            <w:pPr>
              <w:pStyle w:val="RTableTextAbt"/>
            </w:pPr>
            <w:r w:rsidRPr="00740071">
              <w:t>$139,512</w:t>
            </w:r>
          </w:p>
        </w:tc>
      </w:tr>
      <w:tr w14:paraId="0C5BB515" w14:textId="77777777" w:rsidTr="00AB3925">
        <w:tblPrEx>
          <w:tblW w:w="4837" w:type="pct"/>
          <w:tblInd w:w="270" w:type="dxa"/>
          <w:tblLook w:val="04A0"/>
        </w:tblPrEx>
        <w:trPr>
          <w:trHeight w:val="20"/>
        </w:trPr>
        <w:tc>
          <w:tcPr>
            <w:tcW w:w="2087" w:type="pct"/>
            <w:tcBorders>
              <w:top w:val="nil"/>
              <w:left w:val="single" w:sz="4" w:space="0" w:color="auto"/>
              <w:bottom w:val="single" w:sz="4" w:space="0" w:color="auto"/>
              <w:right w:val="single" w:sz="4" w:space="0" w:color="auto"/>
            </w:tcBorders>
            <w:vAlign w:val="center"/>
            <w:hideMark/>
          </w:tcPr>
          <w:p w:rsidR="001809DD" w:rsidRPr="007B6745" w:rsidP="001809DD" w14:paraId="750D9B0B" w14:textId="77777777">
            <w:pPr>
              <w:pStyle w:val="LTableTextAbt"/>
            </w:pPr>
            <w:r w:rsidRPr="007B6745">
              <w:t>PV29 importing</w:t>
            </w:r>
          </w:p>
        </w:tc>
        <w:tc>
          <w:tcPr>
            <w:tcW w:w="588" w:type="pct"/>
            <w:tcBorders>
              <w:top w:val="nil"/>
              <w:left w:val="nil"/>
              <w:bottom w:val="single" w:sz="4" w:space="0" w:color="auto"/>
              <w:right w:val="single" w:sz="4" w:space="0" w:color="auto"/>
            </w:tcBorders>
            <w:noWrap/>
            <w:hideMark/>
          </w:tcPr>
          <w:p w:rsidR="001809DD" w:rsidRPr="007B6745" w:rsidP="001809DD" w14:paraId="2601F19B" w14:textId="0BF66D7C">
            <w:pPr>
              <w:pStyle w:val="RTableTextAbt"/>
            </w:pPr>
            <w:r w:rsidRPr="00740071">
              <w:t>$32,591</w:t>
            </w:r>
          </w:p>
        </w:tc>
        <w:tc>
          <w:tcPr>
            <w:tcW w:w="567" w:type="pct"/>
            <w:tcBorders>
              <w:top w:val="nil"/>
              <w:left w:val="nil"/>
              <w:bottom w:val="single" w:sz="4" w:space="0" w:color="auto"/>
              <w:right w:val="single" w:sz="4" w:space="0" w:color="auto"/>
            </w:tcBorders>
            <w:noWrap/>
            <w:hideMark/>
          </w:tcPr>
          <w:p w:rsidR="001809DD" w:rsidRPr="007B6745" w:rsidP="001809DD" w14:paraId="339E7D7C" w14:textId="372CE041">
            <w:pPr>
              <w:pStyle w:val="RTableTextAbt"/>
            </w:pPr>
            <w:r w:rsidRPr="00740071">
              <w:t>$32,591</w:t>
            </w:r>
          </w:p>
        </w:tc>
        <w:tc>
          <w:tcPr>
            <w:tcW w:w="593" w:type="pct"/>
            <w:tcBorders>
              <w:top w:val="nil"/>
              <w:left w:val="nil"/>
              <w:bottom w:val="single" w:sz="4" w:space="0" w:color="auto"/>
              <w:right w:val="single" w:sz="4" w:space="0" w:color="auto"/>
            </w:tcBorders>
            <w:noWrap/>
            <w:hideMark/>
          </w:tcPr>
          <w:p w:rsidR="001809DD" w:rsidRPr="007B6745" w:rsidP="001809DD" w14:paraId="6240BE09" w14:textId="31E7735B">
            <w:pPr>
              <w:pStyle w:val="RTableTextAbt"/>
            </w:pPr>
            <w:r w:rsidRPr="00740071">
              <w:t>$12,272</w:t>
            </w:r>
          </w:p>
        </w:tc>
        <w:tc>
          <w:tcPr>
            <w:tcW w:w="592" w:type="pct"/>
            <w:tcBorders>
              <w:top w:val="nil"/>
              <w:left w:val="nil"/>
              <w:bottom w:val="single" w:sz="4" w:space="0" w:color="auto"/>
              <w:right w:val="single" w:sz="4" w:space="0" w:color="auto"/>
            </w:tcBorders>
            <w:noWrap/>
            <w:hideMark/>
          </w:tcPr>
          <w:p w:rsidR="001809DD" w:rsidRPr="007B6745" w:rsidP="001809DD" w14:paraId="68C73DC0" w14:textId="0A6AE115">
            <w:pPr>
              <w:pStyle w:val="RTableTextAbt"/>
            </w:pPr>
            <w:r w:rsidRPr="00740071">
              <w:t>$44,863</w:t>
            </w:r>
          </w:p>
        </w:tc>
        <w:tc>
          <w:tcPr>
            <w:tcW w:w="573" w:type="pct"/>
            <w:tcBorders>
              <w:top w:val="nil"/>
              <w:left w:val="nil"/>
              <w:bottom w:val="single" w:sz="4" w:space="0" w:color="auto"/>
              <w:right w:val="single" w:sz="4" w:space="0" w:color="auto"/>
            </w:tcBorders>
            <w:noWrap/>
            <w:hideMark/>
          </w:tcPr>
          <w:p w:rsidR="001809DD" w:rsidRPr="007B6745" w:rsidP="001809DD" w14:paraId="3E98F0D3" w14:textId="1EEE7CE9">
            <w:pPr>
              <w:pStyle w:val="RTableTextAbt"/>
            </w:pPr>
            <w:r w:rsidRPr="00740071">
              <w:t>$44,863</w:t>
            </w:r>
          </w:p>
        </w:tc>
      </w:tr>
      <w:tr w14:paraId="55BD5CD2" w14:textId="77777777" w:rsidTr="00AB3925">
        <w:tblPrEx>
          <w:tblW w:w="4837" w:type="pct"/>
          <w:tblInd w:w="270" w:type="dxa"/>
          <w:tblLook w:val="04A0"/>
        </w:tblPrEx>
        <w:trPr>
          <w:trHeight w:val="20"/>
        </w:trPr>
        <w:tc>
          <w:tcPr>
            <w:tcW w:w="2087" w:type="pct"/>
            <w:tcBorders>
              <w:top w:val="nil"/>
              <w:left w:val="single" w:sz="4" w:space="0" w:color="auto"/>
              <w:bottom w:val="single" w:sz="4" w:space="0" w:color="auto"/>
              <w:right w:val="single" w:sz="4" w:space="0" w:color="auto"/>
            </w:tcBorders>
            <w:vAlign w:val="center"/>
            <w:hideMark/>
          </w:tcPr>
          <w:p w:rsidR="001809DD" w:rsidRPr="007B6745" w:rsidP="001809DD" w14:paraId="353EA5B8" w14:textId="77777777">
            <w:pPr>
              <w:pStyle w:val="LTableTextAbt"/>
            </w:pPr>
            <w:r w:rsidRPr="007B6745">
              <w:t>Processing into automotive paints and coatings</w:t>
            </w:r>
          </w:p>
        </w:tc>
        <w:tc>
          <w:tcPr>
            <w:tcW w:w="588" w:type="pct"/>
            <w:tcBorders>
              <w:top w:val="nil"/>
              <w:left w:val="nil"/>
              <w:bottom w:val="single" w:sz="4" w:space="0" w:color="auto"/>
              <w:right w:val="single" w:sz="4" w:space="0" w:color="auto"/>
            </w:tcBorders>
            <w:noWrap/>
            <w:hideMark/>
          </w:tcPr>
          <w:p w:rsidR="001809DD" w:rsidRPr="007B6745" w:rsidP="001809DD" w14:paraId="3F685B6F" w14:textId="11EA8C11">
            <w:pPr>
              <w:pStyle w:val="RTableTextAbt"/>
            </w:pPr>
            <w:r w:rsidRPr="00740071">
              <w:t>$456,277</w:t>
            </w:r>
          </w:p>
        </w:tc>
        <w:tc>
          <w:tcPr>
            <w:tcW w:w="567" w:type="pct"/>
            <w:tcBorders>
              <w:top w:val="nil"/>
              <w:left w:val="nil"/>
              <w:bottom w:val="single" w:sz="4" w:space="0" w:color="auto"/>
              <w:right w:val="single" w:sz="4" w:space="0" w:color="auto"/>
            </w:tcBorders>
            <w:noWrap/>
            <w:hideMark/>
          </w:tcPr>
          <w:p w:rsidR="001809DD" w:rsidRPr="007B6745" w:rsidP="001809DD" w14:paraId="21889821" w14:textId="63D4FEE2">
            <w:pPr>
              <w:pStyle w:val="RTableTextAbt"/>
            </w:pPr>
            <w:r w:rsidRPr="00740071">
              <w:t>$456,277</w:t>
            </w:r>
          </w:p>
        </w:tc>
        <w:tc>
          <w:tcPr>
            <w:tcW w:w="593" w:type="pct"/>
            <w:tcBorders>
              <w:top w:val="nil"/>
              <w:left w:val="nil"/>
              <w:bottom w:val="single" w:sz="4" w:space="0" w:color="auto"/>
              <w:right w:val="single" w:sz="4" w:space="0" w:color="auto"/>
            </w:tcBorders>
            <w:noWrap/>
            <w:hideMark/>
          </w:tcPr>
          <w:p w:rsidR="001809DD" w:rsidRPr="007B6745" w:rsidP="001809DD" w14:paraId="1040E58F" w14:textId="7993FFCE">
            <w:pPr>
              <w:pStyle w:val="RTableTextAbt"/>
            </w:pPr>
            <w:r w:rsidRPr="00740071">
              <w:t>$171,808</w:t>
            </w:r>
          </w:p>
        </w:tc>
        <w:tc>
          <w:tcPr>
            <w:tcW w:w="592" w:type="pct"/>
            <w:tcBorders>
              <w:top w:val="nil"/>
              <w:left w:val="nil"/>
              <w:bottom w:val="single" w:sz="4" w:space="0" w:color="auto"/>
              <w:right w:val="single" w:sz="4" w:space="0" w:color="auto"/>
            </w:tcBorders>
            <w:noWrap/>
            <w:hideMark/>
          </w:tcPr>
          <w:p w:rsidR="001809DD" w:rsidRPr="007B6745" w:rsidP="001809DD" w14:paraId="24B361F0" w14:textId="744A98C2">
            <w:pPr>
              <w:pStyle w:val="RTableTextAbt"/>
            </w:pPr>
            <w:r w:rsidRPr="00740071">
              <w:t>$628,085</w:t>
            </w:r>
          </w:p>
        </w:tc>
        <w:tc>
          <w:tcPr>
            <w:tcW w:w="573" w:type="pct"/>
            <w:tcBorders>
              <w:top w:val="nil"/>
              <w:left w:val="nil"/>
              <w:bottom w:val="single" w:sz="4" w:space="0" w:color="auto"/>
              <w:right w:val="single" w:sz="4" w:space="0" w:color="auto"/>
            </w:tcBorders>
            <w:noWrap/>
            <w:hideMark/>
          </w:tcPr>
          <w:p w:rsidR="001809DD" w:rsidRPr="007B6745" w:rsidP="001809DD" w14:paraId="10C0F681" w14:textId="49F93D32">
            <w:pPr>
              <w:pStyle w:val="RTableTextAbt"/>
            </w:pPr>
            <w:r w:rsidRPr="00740071">
              <w:t>$628,085</w:t>
            </w:r>
          </w:p>
        </w:tc>
      </w:tr>
      <w:tr w14:paraId="32C7A24F" w14:textId="77777777" w:rsidTr="00AB3925">
        <w:tblPrEx>
          <w:tblW w:w="4837" w:type="pct"/>
          <w:tblInd w:w="270" w:type="dxa"/>
          <w:tblLook w:val="04A0"/>
        </w:tblPrEx>
        <w:trPr>
          <w:trHeight w:val="20"/>
        </w:trPr>
        <w:tc>
          <w:tcPr>
            <w:tcW w:w="2087" w:type="pct"/>
            <w:tcBorders>
              <w:top w:val="nil"/>
              <w:left w:val="single" w:sz="4" w:space="0" w:color="auto"/>
              <w:bottom w:val="single" w:sz="4" w:space="0" w:color="auto"/>
              <w:right w:val="single" w:sz="4" w:space="0" w:color="auto"/>
            </w:tcBorders>
            <w:vAlign w:val="center"/>
            <w:hideMark/>
          </w:tcPr>
          <w:p w:rsidR="001809DD" w:rsidRPr="007B6745" w:rsidP="001809DD" w14:paraId="5C9ED9B3" w14:textId="77777777">
            <w:pPr>
              <w:pStyle w:val="LTableTextAbt"/>
            </w:pPr>
            <w:r w:rsidRPr="007B6745">
              <w:t>Processing into plastic and rubber products</w:t>
            </w:r>
          </w:p>
        </w:tc>
        <w:tc>
          <w:tcPr>
            <w:tcW w:w="588" w:type="pct"/>
            <w:tcBorders>
              <w:top w:val="nil"/>
              <w:left w:val="nil"/>
              <w:bottom w:val="single" w:sz="4" w:space="0" w:color="auto"/>
              <w:right w:val="single" w:sz="4" w:space="0" w:color="auto"/>
            </w:tcBorders>
            <w:noWrap/>
            <w:hideMark/>
          </w:tcPr>
          <w:p w:rsidR="001809DD" w:rsidRPr="007B6745" w:rsidP="001809DD" w14:paraId="55129A11" w14:textId="6471F8F1">
            <w:pPr>
              <w:pStyle w:val="RTableTextAbt"/>
            </w:pPr>
            <w:r w:rsidRPr="00740071">
              <w:t>$386,033</w:t>
            </w:r>
          </w:p>
        </w:tc>
        <w:tc>
          <w:tcPr>
            <w:tcW w:w="567" w:type="pct"/>
            <w:tcBorders>
              <w:top w:val="nil"/>
              <w:left w:val="nil"/>
              <w:bottom w:val="single" w:sz="4" w:space="0" w:color="auto"/>
              <w:right w:val="single" w:sz="4" w:space="0" w:color="auto"/>
            </w:tcBorders>
            <w:noWrap/>
            <w:hideMark/>
          </w:tcPr>
          <w:p w:rsidR="001809DD" w:rsidRPr="007B6745" w:rsidP="001809DD" w14:paraId="45AD698C" w14:textId="3D0B047B">
            <w:pPr>
              <w:pStyle w:val="RTableTextAbt"/>
            </w:pPr>
            <w:r w:rsidRPr="00740071">
              <w:t>$386,033</w:t>
            </w:r>
          </w:p>
        </w:tc>
        <w:tc>
          <w:tcPr>
            <w:tcW w:w="593" w:type="pct"/>
            <w:tcBorders>
              <w:top w:val="nil"/>
              <w:left w:val="nil"/>
              <w:bottom w:val="single" w:sz="4" w:space="0" w:color="auto"/>
              <w:right w:val="single" w:sz="4" w:space="0" w:color="auto"/>
            </w:tcBorders>
            <w:noWrap/>
            <w:hideMark/>
          </w:tcPr>
          <w:p w:rsidR="001809DD" w:rsidRPr="007B6745" w:rsidP="001809DD" w14:paraId="28B704DD" w14:textId="24312D04">
            <w:pPr>
              <w:pStyle w:val="RTableTextAbt"/>
            </w:pPr>
            <w:r w:rsidRPr="00740071">
              <w:t>$73,632</w:t>
            </w:r>
          </w:p>
        </w:tc>
        <w:tc>
          <w:tcPr>
            <w:tcW w:w="592" w:type="pct"/>
            <w:tcBorders>
              <w:top w:val="nil"/>
              <w:left w:val="nil"/>
              <w:bottom w:val="single" w:sz="4" w:space="0" w:color="auto"/>
              <w:right w:val="single" w:sz="4" w:space="0" w:color="auto"/>
            </w:tcBorders>
            <w:noWrap/>
            <w:hideMark/>
          </w:tcPr>
          <w:p w:rsidR="001809DD" w:rsidRPr="007B6745" w:rsidP="001809DD" w14:paraId="1042666F" w14:textId="275AD248">
            <w:pPr>
              <w:pStyle w:val="RTableTextAbt"/>
            </w:pPr>
            <w:r w:rsidRPr="00740071">
              <w:t>$459,665</w:t>
            </w:r>
          </w:p>
        </w:tc>
        <w:tc>
          <w:tcPr>
            <w:tcW w:w="573" w:type="pct"/>
            <w:tcBorders>
              <w:top w:val="nil"/>
              <w:left w:val="nil"/>
              <w:bottom w:val="single" w:sz="4" w:space="0" w:color="auto"/>
              <w:right w:val="single" w:sz="4" w:space="0" w:color="auto"/>
            </w:tcBorders>
            <w:noWrap/>
            <w:hideMark/>
          </w:tcPr>
          <w:p w:rsidR="001809DD" w:rsidRPr="007B6745" w:rsidP="001809DD" w14:paraId="5E606320" w14:textId="037BCC67">
            <w:pPr>
              <w:pStyle w:val="RTableTextAbt"/>
            </w:pPr>
            <w:r w:rsidRPr="00740071">
              <w:t>$459,665</w:t>
            </w:r>
          </w:p>
        </w:tc>
      </w:tr>
      <w:tr w14:paraId="46DF6C2B" w14:textId="77777777" w:rsidTr="00AB3925">
        <w:tblPrEx>
          <w:tblW w:w="4837" w:type="pct"/>
          <w:tblInd w:w="270" w:type="dxa"/>
          <w:tblLook w:val="04A0"/>
        </w:tblPrEx>
        <w:trPr>
          <w:trHeight w:val="20"/>
        </w:trPr>
        <w:tc>
          <w:tcPr>
            <w:tcW w:w="2087" w:type="pct"/>
            <w:tcBorders>
              <w:top w:val="nil"/>
              <w:left w:val="single" w:sz="4" w:space="0" w:color="auto"/>
              <w:bottom w:val="single" w:sz="4" w:space="0" w:color="auto"/>
              <w:right w:val="single" w:sz="4" w:space="0" w:color="auto"/>
            </w:tcBorders>
            <w:vAlign w:val="center"/>
            <w:hideMark/>
          </w:tcPr>
          <w:p w:rsidR="001809DD" w:rsidRPr="007B6745" w:rsidP="001809DD" w14:paraId="2FAA88D1" w14:textId="77777777">
            <w:pPr>
              <w:pStyle w:val="LTableTextAbt"/>
            </w:pPr>
            <w:r w:rsidRPr="007B6745">
              <w:t>Recycling</w:t>
            </w:r>
          </w:p>
        </w:tc>
        <w:tc>
          <w:tcPr>
            <w:tcW w:w="588" w:type="pct"/>
            <w:tcBorders>
              <w:top w:val="nil"/>
              <w:left w:val="nil"/>
              <w:bottom w:val="single" w:sz="4" w:space="0" w:color="auto"/>
              <w:right w:val="single" w:sz="4" w:space="0" w:color="auto"/>
            </w:tcBorders>
            <w:noWrap/>
            <w:hideMark/>
          </w:tcPr>
          <w:p w:rsidR="001809DD" w:rsidRPr="007B6745" w:rsidP="001809DD" w14:paraId="3C4F84C8" w14:textId="0BA671B1">
            <w:pPr>
              <w:pStyle w:val="RTableTextAbt"/>
            </w:pPr>
            <w:r w:rsidRPr="00740071">
              <w:t>$0</w:t>
            </w:r>
          </w:p>
        </w:tc>
        <w:tc>
          <w:tcPr>
            <w:tcW w:w="567" w:type="pct"/>
            <w:tcBorders>
              <w:top w:val="nil"/>
              <w:left w:val="nil"/>
              <w:bottom w:val="single" w:sz="4" w:space="0" w:color="auto"/>
              <w:right w:val="single" w:sz="4" w:space="0" w:color="auto"/>
            </w:tcBorders>
            <w:noWrap/>
            <w:hideMark/>
          </w:tcPr>
          <w:p w:rsidR="001809DD" w:rsidRPr="007B6745" w:rsidP="001809DD" w14:paraId="51A5B1BD" w14:textId="2FFBDE2A">
            <w:pPr>
              <w:pStyle w:val="RTableTextAbt"/>
            </w:pPr>
            <w:r w:rsidRPr="00740071">
              <w:t>$0</w:t>
            </w:r>
          </w:p>
        </w:tc>
        <w:tc>
          <w:tcPr>
            <w:tcW w:w="593" w:type="pct"/>
            <w:tcBorders>
              <w:top w:val="nil"/>
              <w:left w:val="nil"/>
              <w:bottom w:val="single" w:sz="4" w:space="0" w:color="auto"/>
              <w:right w:val="single" w:sz="4" w:space="0" w:color="auto"/>
            </w:tcBorders>
            <w:noWrap/>
            <w:hideMark/>
          </w:tcPr>
          <w:p w:rsidR="001809DD" w:rsidRPr="007B6745" w:rsidP="001809DD" w14:paraId="5CA08BA1" w14:textId="3185E45C">
            <w:pPr>
              <w:pStyle w:val="RTableTextAbt"/>
            </w:pPr>
            <w:r w:rsidRPr="00740071">
              <w:t>$0</w:t>
            </w:r>
          </w:p>
        </w:tc>
        <w:tc>
          <w:tcPr>
            <w:tcW w:w="592" w:type="pct"/>
            <w:tcBorders>
              <w:top w:val="nil"/>
              <w:left w:val="nil"/>
              <w:bottom w:val="single" w:sz="4" w:space="0" w:color="auto"/>
              <w:right w:val="single" w:sz="4" w:space="0" w:color="auto"/>
            </w:tcBorders>
            <w:noWrap/>
            <w:hideMark/>
          </w:tcPr>
          <w:p w:rsidR="001809DD" w:rsidRPr="007B6745" w:rsidP="001809DD" w14:paraId="161995E1" w14:textId="0A48F146">
            <w:pPr>
              <w:pStyle w:val="RTableTextAbt"/>
            </w:pPr>
            <w:r w:rsidRPr="00740071">
              <w:t>$0</w:t>
            </w:r>
          </w:p>
        </w:tc>
        <w:tc>
          <w:tcPr>
            <w:tcW w:w="573" w:type="pct"/>
            <w:tcBorders>
              <w:top w:val="nil"/>
              <w:left w:val="nil"/>
              <w:bottom w:val="single" w:sz="4" w:space="0" w:color="auto"/>
              <w:right w:val="single" w:sz="4" w:space="0" w:color="auto"/>
            </w:tcBorders>
            <w:noWrap/>
            <w:hideMark/>
          </w:tcPr>
          <w:p w:rsidR="001809DD" w:rsidRPr="007B6745" w:rsidP="001809DD" w14:paraId="6E978BE9" w14:textId="64E62A90">
            <w:pPr>
              <w:pStyle w:val="RTableTextAbt"/>
            </w:pPr>
            <w:r w:rsidRPr="00740071">
              <w:t>$0</w:t>
            </w:r>
          </w:p>
        </w:tc>
      </w:tr>
      <w:tr w14:paraId="480FFE3A" w14:textId="77777777" w:rsidTr="00AB3925">
        <w:tblPrEx>
          <w:tblW w:w="4837" w:type="pct"/>
          <w:tblInd w:w="270" w:type="dxa"/>
          <w:tblLook w:val="04A0"/>
        </w:tblPrEx>
        <w:trPr>
          <w:trHeight w:val="20"/>
        </w:trPr>
        <w:tc>
          <w:tcPr>
            <w:tcW w:w="2087" w:type="pct"/>
            <w:tcBorders>
              <w:top w:val="nil"/>
              <w:left w:val="single" w:sz="4" w:space="0" w:color="auto"/>
              <w:bottom w:val="single" w:sz="4" w:space="0" w:color="auto"/>
              <w:right w:val="single" w:sz="4" w:space="0" w:color="auto"/>
            </w:tcBorders>
            <w:vAlign w:val="center"/>
            <w:hideMark/>
          </w:tcPr>
          <w:p w:rsidR="001809DD" w:rsidRPr="007B6745" w:rsidP="001809DD" w14:paraId="044597A6" w14:textId="77777777">
            <w:pPr>
              <w:pStyle w:val="LTableTextAbt"/>
            </w:pPr>
            <w:r w:rsidRPr="007B6745">
              <w:t>Automotive painting (new vehicles)</w:t>
            </w:r>
          </w:p>
        </w:tc>
        <w:tc>
          <w:tcPr>
            <w:tcW w:w="588" w:type="pct"/>
            <w:tcBorders>
              <w:top w:val="nil"/>
              <w:left w:val="nil"/>
              <w:bottom w:val="single" w:sz="4" w:space="0" w:color="auto"/>
              <w:right w:val="single" w:sz="4" w:space="0" w:color="auto"/>
            </w:tcBorders>
            <w:noWrap/>
            <w:hideMark/>
          </w:tcPr>
          <w:p w:rsidR="001809DD" w:rsidRPr="007B6745" w:rsidP="001809DD" w14:paraId="7CD76F9A" w14:textId="2BA82082">
            <w:pPr>
              <w:pStyle w:val="RTableTextAbt"/>
            </w:pPr>
            <w:r w:rsidRPr="00740071">
              <w:t>$0</w:t>
            </w:r>
          </w:p>
        </w:tc>
        <w:tc>
          <w:tcPr>
            <w:tcW w:w="567" w:type="pct"/>
            <w:tcBorders>
              <w:top w:val="nil"/>
              <w:left w:val="nil"/>
              <w:bottom w:val="single" w:sz="4" w:space="0" w:color="auto"/>
              <w:right w:val="single" w:sz="4" w:space="0" w:color="auto"/>
            </w:tcBorders>
            <w:noWrap/>
            <w:hideMark/>
          </w:tcPr>
          <w:p w:rsidR="001809DD" w:rsidRPr="007B6745" w:rsidP="001809DD" w14:paraId="6FE15EE7" w14:textId="275DB958">
            <w:pPr>
              <w:pStyle w:val="RTableTextAbt"/>
            </w:pPr>
            <w:r w:rsidRPr="00740071">
              <w:t>$0</w:t>
            </w:r>
          </w:p>
        </w:tc>
        <w:tc>
          <w:tcPr>
            <w:tcW w:w="593" w:type="pct"/>
            <w:tcBorders>
              <w:top w:val="nil"/>
              <w:left w:val="nil"/>
              <w:bottom w:val="single" w:sz="4" w:space="0" w:color="auto"/>
              <w:right w:val="single" w:sz="4" w:space="0" w:color="auto"/>
            </w:tcBorders>
            <w:noWrap/>
            <w:hideMark/>
          </w:tcPr>
          <w:p w:rsidR="001809DD" w:rsidRPr="007B6745" w:rsidP="001809DD" w14:paraId="3402BCC7" w14:textId="25311626">
            <w:pPr>
              <w:pStyle w:val="RTableTextAbt"/>
            </w:pPr>
            <w:r w:rsidRPr="00740071">
              <w:t>$0</w:t>
            </w:r>
          </w:p>
        </w:tc>
        <w:tc>
          <w:tcPr>
            <w:tcW w:w="592" w:type="pct"/>
            <w:tcBorders>
              <w:top w:val="nil"/>
              <w:left w:val="nil"/>
              <w:bottom w:val="single" w:sz="4" w:space="0" w:color="auto"/>
              <w:right w:val="single" w:sz="4" w:space="0" w:color="auto"/>
            </w:tcBorders>
            <w:noWrap/>
            <w:hideMark/>
          </w:tcPr>
          <w:p w:rsidR="001809DD" w:rsidRPr="007B6745" w:rsidP="001809DD" w14:paraId="6810F7AE" w14:textId="13716A85">
            <w:pPr>
              <w:pStyle w:val="RTableTextAbt"/>
            </w:pPr>
            <w:r w:rsidRPr="00740071">
              <w:t>$0</w:t>
            </w:r>
          </w:p>
        </w:tc>
        <w:tc>
          <w:tcPr>
            <w:tcW w:w="573" w:type="pct"/>
            <w:tcBorders>
              <w:top w:val="nil"/>
              <w:left w:val="nil"/>
              <w:bottom w:val="single" w:sz="4" w:space="0" w:color="auto"/>
              <w:right w:val="single" w:sz="4" w:space="0" w:color="auto"/>
            </w:tcBorders>
            <w:noWrap/>
            <w:hideMark/>
          </w:tcPr>
          <w:p w:rsidR="001809DD" w:rsidRPr="007B6745" w:rsidP="001809DD" w14:paraId="6DFAC2CC" w14:textId="114EE464">
            <w:pPr>
              <w:pStyle w:val="RTableTextAbt"/>
            </w:pPr>
            <w:r w:rsidRPr="00740071">
              <w:t>$0</w:t>
            </w:r>
          </w:p>
        </w:tc>
      </w:tr>
      <w:tr w14:paraId="0A9FA295" w14:textId="77777777" w:rsidTr="00AB3925">
        <w:tblPrEx>
          <w:tblW w:w="4837" w:type="pct"/>
          <w:tblInd w:w="270" w:type="dxa"/>
          <w:tblLook w:val="04A0"/>
        </w:tblPrEx>
        <w:trPr>
          <w:trHeight w:val="20"/>
        </w:trPr>
        <w:tc>
          <w:tcPr>
            <w:tcW w:w="2087" w:type="pct"/>
            <w:tcBorders>
              <w:top w:val="nil"/>
              <w:left w:val="single" w:sz="4" w:space="0" w:color="auto"/>
              <w:bottom w:val="single" w:sz="4" w:space="0" w:color="auto"/>
              <w:right w:val="single" w:sz="4" w:space="0" w:color="auto"/>
            </w:tcBorders>
            <w:vAlign w:val="center"/>
            <w:hideMark/>
          </w:tcPr>
          <w:p w:rsidR="001809DD" w:rsidRPr="007B6745" w:rsidP="001809DD" w14:paraId="2898C320" w14:textId="77777777">
            <w:pPr>
              <w:pStyle w:val="LTableTextAbt"/>
            </w:pPr>
            <w:r w:rsidRPr="007B6745">
              <w:t>Automotive refinishing</w:t>
            </w:r>
          </w:p>
        </w:tc>
        <w:tc>
          <w:tcPr>
            <w:tcW w:w="588" w:type="pct"/>
            <w:tcBorders>
              <w:top w:val="nil"/>
              <w:left w:val="nil"/>
              <w:bottom w:val="single" w:sz="4" w:space="0" w:color="auto"/>
              <w:right w:val="single" w:sz="4" w:space="0" w:color="auto"/>
            </w:tcBorders>
            <w:noWrap/>
            <w:hideMark/>
          </w:tcPr>
          <w:p w:rsidR="001809DD" w:rsidRPr="007B6745" w:rsidP="001809DD" w14:paraId="0782641E" w14:textId="0B56727E">
            <w:pPr>
              <w:pStyle w:val="RTableTextAbt"/>
            </w:pPr>
            <w:r w:rsidRPr="00740071">
              <w:t>$0</w:t>
            </w:r>
          </w:p>
        </w:tc>
        <w:tc>
          <w:tcPr>
            <w:tcW w:w="567" w:type="pct"/>
            <w:tcBorders>
              <w:top w:val="nil"/>
              <w:left w:val="nil"/>
              <w:bottom w:val="single" w:sz="4" w:space="0" w:color="auto"/>
              <w:right w:val="single" w:sz="4" w:space="0" w:color="auto"/>
            </w:tcBorders>
            <w:noWrap/>
            <w:hideMark/>
          </w:tcPr>
          <w:p w:rsidR="001809DD" w:rsidRPr="007B6745" w:rsidP="001809DD" w14:paraId="30477CEF" w14:textId="00FF23EF">
            <w:pPr>
              <w:pStyle w:val="RTableTextAbt"/>
            </w:pPr>
            <w:r w:rsidRPr="00740071">
              <w:t>$0</w:t>
            </w:r>
          </w:p>
        </w:tc>
        <w:tc>
          <w:tcPr>
            <w:tcW w:w="593" w:type="pct"/>
            <w:tcBorders>
              <w:top w:val="nil"/>
              <w:left w:val="nil"/>
              <w:bottom w:val="single" w:sz="4" w:space="0" w:color="auto"/>
              <w:right w:val="single" w:sz="4" w:space="0" w:color="auto"/>
            </w:tcBorders>
            <w:noWrap/>
            <w:hideMark/>
          </w:tcPr>
          <w:p w:rsidR="001809DD" w:rsidRPr="007B6745" w:rsidP="001809DD" w14:paraId="4190B2D8" w14:textId="24C1CA9F">
            <w:pPr>
              <w:pStyle w:val="RTableTextAbt"/>
            </w:pPr>
            <w:r w:rsidRPr="00740071">
              <w:t>$0</w:t>
            </w:r>
          </w:p>
        </w:tc>
        <w:tc>
          <w:tcPr>
            <w:tcW w:w="592" w:type="pct"/>
            <w:tcBorders>
              <w:top w:val="nil"/>
              <w:left w:val="nil"/>
              <w:bottom w:val="single" w:sz="4" w:space="0" w:color="auto"/>
              <w:right w:val="single" w:sz="4" w:space="0" w:color="auto"/>
            </w:tcBorders>
            <w:noWrap/>
            <w:hideMark/>
          </w:tcPr>
          <w:p w:rsidR="001809DD" w:rsidRPr="007B6745" w:rsidP="001809DD" w14:paraId="6729D006" w14:textId="5934285B">
            <w:pPr>
              <w:pStyle w:val="RTableTextAbt"/>
            </w:pPr>
            <w:r w:rsidRPr="00740071">
              <w:t>$0</w:t>
            </w:r>
          </w:p>
        </w:tc>
        <w:tc>
          <w:tcPr>
            <w:tcW w:w="573" w:type="pct"/>
            <w:tcBorders>
              <w:top w:val="nil"/>
              <w:left w:val="nil"/>
              <w:bottom w:val="single" w:sz="4" w:space="0" w:color="auto"/>
              <w:right w:val="single" w:sz="4" w:space="0" w:color="auto"/>
            </w:tcBorders>
            <w:noWrap/>
            <w:hideMark/>
          </w:tcPr>
          <w:p w:rsidR="001809DD" w:rsidRPr="007B6745" w:rsidP="001809DD" w14:paraId="4A1E61ED" w14:textId="5E3BCB25">
            <w:pPr>
              <w:pStyle w:val="RTableTextAbt"/>
            </w:pPr>
            <w:r w:rsidRPr="00740071">
              <w:t>$0</w:t>
            </w:r>
          </w:p>
        </w:tc>
      </w:tr>
      <w:tr w14:paraId="4BD18556" w14:textId="77777777" w:rsidTr="00AB3925">
        <w:tblPrEx>
          <w:tblW w:w="4837" w:type="pct"/>
          <w:tblInd w:w="270" w:type="dxa"/>
          <w:tblLook w:val="04A0"/>
        </w:tblPrEx>
        <w:trPr>
          <w:trHeight w:val="20"/>
        </w:trPr>
        <w:tc>
          <w:tcPr>
            <w:tcW w:w="2087" w:type="pct"/>
            <w:tcBorders>
              <w:top w:val="nil"/>
              <w:left w:val="single" w:sz="4" w:space="0" w:color="auto"/>
              <w:bottom w:val="single" w:sz="4" w:space="0" w:color="auto"/>
              <w:right w:val="single" w:sz="4" w:space="0" w:color="auto"/>
            </w:tcBorders>
            <w:vAlign w:val="center"/>
            <w:hideMark/>
          </w:tcPr>
          <w:p w:rsidR="001809DD" w:rsidRPr="007B6745" w:rsidP="001809DD" w14:paraId="292CEDAB" w14:textId="77777777">
            <w:pPr>
              <w:pStyle w:val="LTableTextAbt"/>
            </w:pPr>
            <w:r w:rsidRPr="007B6745">
              <w:t>Disposal</w:t>
            </w:r>
          </w:p>
        </w:tc>
        <w:tc>
          <w:tcPr>
            <w:tcW w:w="588" w:type="pct"/>
            <w:tcBorders>
              <w:top w:val="nil"/>
              <w:left w:val="nil"/>
              <w:bottom w:val="single" w:sz="4" w:space="0" w:color="auto"/>
              <w:right w:val="single" w:sz="4" w:space="0" w:color="auto"/>
            </w:tcBorders>
            <w:noWrap/>
            <w:hideMark/>
          </w:tcPr>
          <w:p w:rsidR="001809DD" w:rsidRPr="007B6745" w:rsidP="001809DD" w14:paraId="3BA69429" w14:textId="4C907EBE">
            <w:pPr>
              <w:pStyle w:val="RTableTextAbt"/>
            </w:pPr>
            <w:r w:rsidRPr="00740071">
              <w:t>$0</w:t>
            </w:r>
          </w:p>
        </w:tc>
        <w:tc>
          <w:tcPr>
            <w:tcW w:w="567" w:type="pct"/>
            <w:tcBorders>
              <w:top w:val="nil"/>
              <w:left w:val="nil"/>
              <w:bottom w:val="single" w:sz="4" w:space="0" w:color="auto"/>
              <w:right w:val="single" w:sz="4" w:space="0" w:color="auto"/>
            </w:tcBorders>
            <w:noWrap/>
            <w:hideMark/>
          </w:tcPr>
          <w:p w:rsidR="001809DD" w:rsidRPr="007B6745" w:rsidP="001809DD" w14:paraId="008EB6F9" w14:textId="11835EB4">
            <w:pPr>
              <w:pStyle w:val="RTableTextAbt"/>
            </w:pPr>
            <w:r w:rsidRPr="00740071">
              <w:t>$0</w:t>
            </w:r>
          </w:p>
        </w:tc>
        <w:tc>
          <w:tcPr>
            <w:tcW w:w="593" w:type="pct"/>
            <w:tcBorders>
              <w:top w:val="nil"/>
              <w:left w:val="nil"/>
              <w:bottom w:val="single" w:sz="4" w:space="0" w:color="auto"/>
              <w:right w:val="single" w:sz="4" w:space="0" w:color="auto"/>
            </w:tcBorders>
            <w:noWrap/>
            <w:hideMark/>
          </w:tcPr>
          <w:p w:rsidR="001809DD" w:rsidRPr="007B6745" w:rsidP="001809DD" w14:paraId="7E0E2C45" w14:textId="3A387F24">
            <w:pPr>
              <w:pStyle w:val="RTableTextAbt"/>
            </w:pPr>
            <w:r w:rsidRPr="00740071">
              <w:t>$0</w:t>
            </w:r>
          </w:p>
        </w:tc>
        <w:tc>
          <w:tcPr>
            <w:tcW w:w="592" w:type="pct"/>
            <w:tcBorders>
              <w:top w:val="nil"/>
              <w:left w:val="nil"/>
              <w:bottom w:val="single" w:sz="4" w:space="0" w:color="auto"/>
              <w:right w:val="single" w:sz="4" w:space="0" w:color="auto"/>
            </w:tcBorders>
            <w:noWrap/>
            <w:hideMark/>
          </w:tcPr>
          <w:p w:rsidR="001809DD" w:rsidRPr="007B6745" w:rsidP="001809DD" w14:paraId="00C54DA8" w14:textId="10952B19">
            <w:pPr>
              <w:pStyle w:val="RTableTextAbt"/>
            </w:pPr>
            <w:r w:rsidRPr="00740071">
              <w:t>$0</w:t>
            </w:r>
          </w:p>
        </w:tc>
        <w:tc>
          <w:tcPr>
            <w:tcW w:w="573" w:type="pct"/>
            <w:tcBorders>
              <w:top w:val="nil"/>
              <w:left w:val="nil"/>
              <w:bottom w:val="single" w:sz="4" w:space="0" w:color="auto"/>
              <w:right w:val="single" w:sz="4" w:space="0" w:color="auto"/>
            </w:tcBorders>
            <w:noWrap/>
            <w:hideMark/>
          </w:tcPr>
          <w:p w:rsidR="001809DD" w:rsidRPr="007B6745" w:rsidP="001809DD" w14:paraId="2C40C4FA" w14:textId="2BDA8E99">
            <w:pPr>
              <w:pStyle w:val="RTableTextAbt"/>
            </w:pPr>
            <w:r w:rsidRPr="00740071">
              <w:t>$0</w:t>
            </w:r>
          </w:p>
        </w:tc>
      </w:tr>
      <w:tr w14:paraId="35F96FF4" w14:textId="77777777" w:rsidTr="00AB3925">
        <w:tblPrEx>
          <w:tblW w:w="4837" w:type="pct"/>
          <w:tblInd w:w="270" w:type="dxa"/>
          <w:tblLook w:val="04A0"/>
        </w:tblPrEx>
        <w:trPr>
          <w:trHeight w:val="20"/>
        </w:trPr>
        <w:tc>
          <w:tcPr>
            <w:tcW w:w="2087" w:type="pct"/>
            <w:tcBorders>
              <w:top w:val="nil"/>
              <w:left w:val="single" w:sz="4" w:space="0" w:color="auto"/>
              <w:bottom w:val="single" w:sz="4" w:space="0" w:color="auto"/>
              <w:right w:val="single" w:sz="4" w:space="0" w:color="auto"/>
            </w:tcBorders>
            <w:vAlign w:val="center"/>
            <w:hideMark/>
          </w:tcPr>
          <w:p w:rsidR="001809DD" w:rsidRPr="007B6745" w:rsidP="001809DD" w14:paraId="3FF50367" w14:textId="77777777">
            <w:pPr>
              <w:pStyle w:val="LTableTextAbt"/>
              <w:rPr>
                <w:b/>
              </w:rPr>
            </w:pPr>
            <w:r w:rsidRPr="007B6745">
              <w:rPr>
                <w:b/>
              </w:rPr>
              <w:t>Total</w:t>
            </w:r>
          </w:p>
        </w:tc>
        <w:tc>
          <w:tcPr>
            <w:tcW w:w="588" w:type="pct"/>
            <w:tcBorders>
              <w:top w:val="nil"/>
              <w:left w:val="nil"/>
              <w:bottom w:val="single" w:sz="4" w:space="0" w:color="auto"/>
              <w:right w:val="single" w:sz="4" w:space="0" w:color="auto"/>
            </w:tcBorders>
            <w:noWrap/>
            <w:hideMark/>
          </w:tcPr>
          <w:p w:rsidR="001809DD" w:rsidRPr="005E4CA6" w:rsidP="001809DD" w14:paraId="35906FC5" w14:textId="683E44AE">
            <w:pPr>
              <w:pStyle w:val="RTableTextAbt"/>
              <w:rPr>
                <w:b/>
                <w:bCs w:val="0"/>
              </w:rPr>
            </w:pPr>
            <w:r w:rsidRPr="005E4CA6">
              <w:rPr>
                <w:b/>
                <w:bCs w:val="0"/>
              </w:rPr>
              <w:t>$969,601</w:t>
            </w:r>
          </w:p>
        </w:tc>
        <w:tc>
          <w:tcPr>
            <w:tcW w:w="567" w:type="pct"/>
            <w:tcBorders>
              <w:top w:val="nil"/>
              <w:left w:val="nil"/>
              <w:bottom w:val="single" w:sz="4" w:space="0" w:color="auto"/>
              <w:right w:val="single" w:sz="4" w:space="0" w:color="auto"/>
            </w:tcBorders>
            <w:noWrap/>
            <w:hideMark/>
          </w:tcPr>
          <w:p w:rsidR="001809DD" w:rsidRPr="005E4CA6" w:rsidP="001809DD" w14:paraId="011C9AE2" w14:textId="2FB322E8">
            <w:pPr>
              <w:pStyle w:val="RTableTextAbt"/>
              <w:rPr>
                <w:b/>
                <w:bCs w:val="0"/>
              </w:rPr>
            </w:pPr>
            <w:r w:rsidRPr="005E4CA6">
              <w:rPr>
                <w:b/>
                <w:bCs w:val="0"/>
              </w:rPr>
              <w:t>$1,002,141</w:t>
            </w:r>
          </w:p>
        </w:tc>
        <w:tc>
          <w:tcPr>
            <w:tcW w:w="593" w:type="pct"/>
            <w:tcBorders>
              <w:top w:val="nil"/>
              <w:left w:val="nil"/>
              <w:bottom w:val="single" w:sz="4" w:space="0" w:color="auto"/>
              <w:right w:val="single" w:sz="4" w:space="0" w:color="auto"/>
            </w:tcBorders>
            <w:noWrap/>
            <w:hideMark/>
          </w:tcPr>
          <w:p w:rsidR="001809DD" w:rsidRPr="005E4CA6" w:rsidP="001809DD" w14:paraId="416E7A10" w14:textId="38947976">
            <w:pPr>
              <w:pStyle w:val="RTableTextAbt"/>
              <w:rPr>
                <w:b/>
                <w:bCs w:val="0"/>
              </w:rPr>
            </w:pPr>
            <w:r w:rsidRPr="005E4CA6">
              <w:rPr>
                <w:b/>
                <w:bCs w:val="0"/>
              </w:rPr>
              <w:t>$269,984</w:t>
            </w:r>
          </w:p>
        </w:tc>
        <w:tc>
          <w:tcPr>
            <w:tcW w:w="592" w:type="pct"/>
            <w:tcBorders>
              <w:top w:val="nil"/>
              <w:left w:val="nil"/>
              <w:bottom w:val="single" w:sz="4" w:space="0" w:color="auto"/>
              <w:right w:val="single" w:sz="4" w:space="0" w:color="auto"/>
            </w:tcBorders>
            <w:noWrap/>
            <w:hideMark/>
          </w:tcPr>
          <w:p w:rsidR="001809DD" w:rsidRPr="005E4CA6" w:rsidP="001809DD" w14:paraId="464D86DD" w14:textId="05F9C5E7">
            <w:pPr>
              <w:pStyle w:val="RTableTextAbt"/>
              <w:rPr>
                <w:b/>
                <w:bCs w:val="0"/>
              </w:rPr>
            </w:pPr>
            <w:r w:rsidRPr="005E4CA6">
              <w:rPr>
                <w:b/>
                <w:bCs w:val="0"/>
              </w:rPr>
              <w:t>$1,239,585</w:t>
            </w:r>
          </w:p>
        </w:tc>
        <w:tc>
          <w:tcPr>
            <w:tcW w:w="573" w:type="pct"/>
            <w:tcBorders>
              <w:top w:val="nil"/>
              <w:left w:val="nil"/>
              <w:bottom w:val="single" w:sz="4" w:space="0" w:color="auto"/>
              <w:right w:val="single" w:sz="4" w:space="0" w:color="auto"/>
            </w:tcBorders>
            <w:noWrap/>
            <w:hideMark/>
          </w:tcPr>
          <w:p w:rsidR="001809DD" w:rsidRPr="005E4CA6" w:rsidP="001809DD" w14:paraId="273BA36E" w14:textId="5A3AAEF4">
            <w:pPr>
              <w:pStyle w:val="RTableTextAbt"/>
              <w:rPr>
                <w:b/>
                <w:bCs w:val="0"/>
              </w:rPr>
            </w:pPr>
            <w:r w:rsidRPr="005E4CA6">
              <w:rPr>
                <w:b/>
                <w:bCs w:val="0"/>
              </w:rPr>
              <w:t>$1,272,125</w:t>
            </w:r>
          </w:p>
        </w:tc>
      </w:tr>
    </w:tbl>
    <w:p w:rsidR="007B6745" w:rsidRPr="007B6745" w:rsidP="00832749" w14:paraId="3D48B7EF" w14:textId="77777777">
      <w:pPr>
        <w:pStyle w:val="BodyText"/>
      </w:pPr>
    </w:p>
    <w:tbl>
      <w:tblPr>
        <w:tblW w:w="4837" w:type="pct"/>
        <w:tblInd w:w="270" w:type="dxa"/>
        <w:tblLook w:val="04A0"/>
      </w:tblPr>
      <w:tblGrid>
        <w:gridCol w:w="1690"/>
        <w:gridCol w:w="1477"/>
        <w:gridCol w:w="801"/>
        <w:gridCol w:w="801"/>
        <w:gridCol w:w="977"/>
        <w:gridCol w:w="1257"/>
        <w:gridCol w:w="1026"/>
        <w:gridCol w:w="1026"/>
      </w:tblGrid>
      <w:tr w14:paraId="404B8C09" w14:textId="77777777" w:rsidTr="00DF6409">
        <w:tblPrEx>
          <w:tblW w:w="4837" w:type="pct"/>
          <w:tblInd w:w="270" w:type="dxa"/>
          <w:tblLook w:val="04A0"/>
        </w:tblPrEx>
        <w:trPr>
          <w:trHeight w:val="135"/>
          <w:tblHeader/>
        </w:trPr>
        <w:tc>
          <w:tcPr>
            <w:tcW w:w="5000" w:type="pct"/>
            <w:gridSpan w:val="8"/>
            <w:tcBorders>
              <w:top w:val="nil"/>
              <w:bottom w:val="single" w:sz="4" w:space="0" w:color="auto"/>
            </w:tcBorders>
            <w:shd w:val="clear" w:color="auto" w:fill="auto"/>
            <w:vAlign w:val="center"/>
          </w:tcPr>
          <w:p w:rsidR="002328BE" w:rsidRPr="002328BE" w:rsidP="002328BE" w14:paraId="5B0A96E4" w14:textId="11EE2A1D">
            <w:pPr>
              <w:pStyle w:val="TableTitleA"/>
            </w:pPr>
            <w:bookmarkStart w:id="251" w:name="_Ref181628193"/>
            <w:bookmarkStart w:id="252" w:name="_Toc184299583"/>
            <w:r w:rsidRPr="007B6745">
              <w:t xml:space="preserve">Table </w:t>
            </w:r>
            <w:r>
              <w:fldChar w:fldCharType="begin" w:fldLock="1"/>
            </w:r>
            <w:r>
              <w:instrText>STYLEREF 1 \s</w:instrText>
            </w:r>
            <w:r>
              <w:fldChar w:fldCharType="separate"/>
            </w:r>
            <w:r w:rsidR="00735BBC">
              <w:rPr>
                <w:noProof/>
              </w:rPr>
              <w:t>4</w:t>
            </w:r>
            <w:r>
              <w:fldChar w:fldCharType="end"/>
            </w:r>
            <w:r w:rsidR="000A1542">
              <w:noBreakHyphen/>
            </w:r>
            <w:r>
              <w:fldChar w:fldCharType="begin" w:fldLock="1"/>
            </w:r>
            <w:r>
              <w:instrText>SEQ Table \* ARABIC \s 1</w:instrText>
            </w:r>
            <w:r>
              <w:fldChar w:fldCharType="separate"/>
            </w:r>
            <w:r w:rsidR="00735BBC">
              <w:rPr>
                <w:noProof/>
              </w:rPr>
              <w:t>27</w:t>
            </w:r>
            <w:r>
              <w:fldChar w:fldCharType="end"/>
            </w:r>
            <w:bookmarkEnd w:id="251"/>
            <w:r w:rsidRPr="007B6745">
              <w:t>: Alternative Option Total Incremental One-Time Costs (2023$)</w:t>
            </w:r>
            <w:bookmarkEnd w:id="252"/>
          </w:p>
        </w:tc>
      </w:tr>
      <w:tr w14:paraId="129249BE" w14:textId="77777777" w:rsidTr="00DF6409">
        <w:tblPrEx>
          <w:tblW w:w="4837" w:type="pct"/>
          <w:tblInd w:w="270" w:type="dxa"/>
          <w:tblLook w:val="04A0"/>
        </w:tblPrEx>
        <w:trPr>
          <w:trHeight w:val="20"/>
          <w:tblHeader/>
        </w:trPr>
        <w:tc>
          <w:tcPr>
            <w:tcW w:w="1254" w:type="pct"/>
            <w:vMerge w:val="restart"/>
            <w:tcBorders>
              <w:top w:val="single" w:sz="4" w:space="0" w:color="auto"/>
              <w:left w:val="single" w:sz="4" w:space="0" w:color="auto"/>
              <w:bottom w:val="single" w:sz="4" w:space="0" w:color="000000"/>
              <w:right w:val="single" w:sz="4" w:space="0" w:color="auto"/>
            </w:tcBorders>
            <w:shd w:val="clear" w:color="auto" w:fill="013E5B"/>
            <w:vAlign w:val="center"/>
            <w:hideMark/>
          </w:tcPr>
          <w:p w:rsidR="007B6745" w:rsidRPr="007B6745" w:rsidP="000D7F2B" w14:paraId="0D3F858B" w14:textId="77777777">
            <w:pPr>
              <w:pStyle w:val="TableSubtitle"/>
            </w:pPr>
            <w:r w:rsidRPr="007B6745">
              <w:t>Use category</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58F2D7FF" w14:textId="77777777">
            <w:pPr>
              <w:pStyle w:val="TableSubtitle"/>
            </w:pPr>
            <w:r w:rsidRPr="007B6745">
              <w:t>Familiarization</w:t>
            </w:r>
          </w:p>
        </w:tc>
        <w:tc>
          <w:tcPr>
            <w:tcW w:w="907"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77553BCF" w14:textId="77777777">
            <w:pPr>
              <w:pStyle w:val="TableSubtitle"/>
            </w:pPr>
            <w:r w:rsidRPr="007B6745">
              <w:t>PPE</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1BE45CCD" w14:textId="77777777">
            <w:pPr>
              <w:pStyle w:val="TableSubtitle"/>
            </w:pPr>
            <w:r w:rsidRPr="007B6745">
              <w:t>Cleaning</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22C8EDD4" w14:textId="77777777">
            <w:pPr>
              <w:pStyle w:val="TableSubtitle"/>
            </w:pPr>
            <w:r w:rsidRPr="007B6745">
              <w:t>Engineering controls</w:t>
            </w:r>
          </w:p>
        </w:tc>
        <w:tc>
          <w:tcPr>
            <w:tcW w:w="1147"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1158B130" w14:textId="77777777">
            <w:pPr>
              <w:pStyle w:val="TableSubtitle"/>
            </w:pPr>
            <w:r w:rsidRPr="007B6745">
              <w:t>Total</w:t>
            </w:r>
          </w:p>
        </w:tc>
      </w:tr>
      <w:tr w14:paraId="46B9A31D" w14:textId="77777777" w:rsidTr="00DF6409">
        <w:tblPrEx>
          <w:tblW w:w="4837" w:type="pct"/>
          <w:tblInd w:w="270" w:type="dxa"/>
          <w:tblLook w:val="04A0"/>
        </w:tblPrEx>
        <w:trPr>
          <w:trHeight w:val="20"/>
          <w:tblHeader/>
        </w:trPr>
        <w:tc>
          <w:tcPr>
            <w:tcW w:w="1254" w:type="pct"/>
            <w:vMerge/>
            <w:tcBorders>
              <w:top w:val="nil"/>
              <w:left w:val="single" w:sz="4" w:space="0" w:color="auto"/>
              <w:bottom w:val="single" w:sz="4" w:space="0" w:color="000000"/>
              <w:right w:val="single" w:sz="4" w:space="0" w:color="auto"/>
            </w:tcBorders>
            <w:shd w:val="clear" w:color="auto" w:fill="013E5B"/>
            <w:vAlign w:val="center"/>
            <w:hideMark/>
          </w:tcPr>
          <w:p w:rsidR="007B6745" w:rsidRPr="007B6745" w:rsidP="000D7F2B" w14:paraId="1123C68F" w14:textId="77777777">
            <w:pPr>
              <w:pStyle w:val="TableSubtitle"/>
            </w:pPr>
          </w:p>
        </w:tc>
        <w:tc>
          <w:tcPr>
            <w:tcW w:w="547" w:type="pct"/>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248508D5" w14:textId="77777777">
            <w:pPr>
              <w:pStyle w:val="TableSubtitle"/>
            </w:pPr>
          </w:p>
        </w:tc>
        <w:tc>
          <w:tcPr>
            <w:tcW w:w="453"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1EB0A5A7" w14:textId="77777777">
            <w:pPr>
              <w:pStyle w:val="TableSubtitle"/>
            </w:pPr>
            <w:r w:rsidRPr="007B6745">
              <w:t>Low</w:t>
            </w:r>
          </w:p>
        </w:tc>
        <w:tc>
          <w:tcPr>
            <w:tcW w:w="454"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79CFBC13" w14:textId="77777777">
            <w:pPr>
              <w:pStyle w:val="TableSubtitle"/>
            </w:pPr>
            <w:r w:rsidRPr="007B6745">
              <w:t>High</w:t>
            </w:r>
          </w:p>
        </w:tc>
        <w:tc>
          <w:tcPr>
            <w:tcW w:w="0" w:type="auto"/>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316F1EE3" w14:textId="77777777">
            <w:pPr>
              <w:pStyle w:val="TableSubtitle"/>
            </w:pPr>
          </w:p>
        </w:tc>
        <w:tc>
          <w:tcPr>
            <w:tcW w:w="0" w:type="auto"/>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0F00B938" w14:textId="77777777">
            <w:pPr>
              <w:pStyle w:val="TableSubtitle"/>
            </w:pPr>
          </w:p>
        </w:tc>
        <w:tc>
          <w:tcPr>
            <w:tcW w:w="608"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29CE4926" w14:textId="77777777">
            <w:pPr>
              <w:pStyle w:val="TableSubtitle"/>
            </w:pPr>
            <w:r w:rsidRPr="007B6745">
              <w:t>Low</w:t>
            </w:r>
          </w:p>
        </w:tc>
        <w:tc>
          <w:tcPr>
            <w:tcW w:w="540"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69D90C4C" w14:textId="77777777">
            <w:pPr>
              <w:pStyle w:val="TableSubtitle"/>
            </w:pPr>
            <w:r w:rsidRPr="007B6745">
              <w:t>High</w:t>
            </w:r>
          </w:p>
        </w:tc>
      </w:tr>
      <w:tr w14:paraId="44CD9328" w14:textId="77777777" w:rsidTr="00DF6409">
        <w:tblPrEx>
          <w:tblW w:w="4837" w:type="pct"/>
          <w:tblInd w:w="270" w:type="dxa"/>
          <w:tblLook w:val="04A0"/>
        </w:tblPrEx>
        <w:trPr>
          <w:trHeight w:val="20"/>
        </w:trPr>
        <w:tc>
          <w:tcPr>
            <w:tcW w:w="1254" w:type="pct"/>
            <w:tcBorders>
              <w:top w:val="nil"/>
              <w:left w:val="single" w:sz="4" w:space="0" w:color="auto"/>
              <w:bottom w:val="single" w:sz="4" w:space="0" w:color="auto"/>
              <w:right w:val="single" w:sz="4" w:space="0" w:color="auto"/>
            </w:tcBorders>
            <w:vAlign w:val="center"/>
            <w:hideMark/>
          </w:tcPr>
          <w:p w:rsidR="001809DD" w:rsidRPr="007B6745" w:rsidP="001809DD" w14:paraId="5AB371C4" w14:textId="77777777">
            <w:pPr>
              <w:pStyle w:val="LTableTextAbt"/>
            </w:pPr>
            <w:r w:rsidRPr="007B6745">
              <w:t>PV29 manufacturing and intermediate processing</w:t>
            </w:r>
          </w:p>
        </w:tc>
        <w:tc>
          <w:tcPr>
            <w:tcW w:w="547" w:type="pct"/>
            <w:tcBorders>
              <w:top w:val="single" w:sz="4" w:space="0" w:color="auto"/>
              <w:left w:val="nil"/>
              <w:bottom w:val="single" w:sz="4" w:space="0" w:color="auto"/>
              <w:right w:val="single" w:sz="4" w:space="0" w:color="auto"/>
            </w:tcBorders>
            <w:noWrap/>
            <w:hideMark/>
          </w:tcPr>
          <w:p w:rsidR="001809DD" w:rsidRPr="007B6745" w:rsidP="001809DD" w14:paraId="31204B10" w14:textId="0F755F9A">
            <w:pPr>
              <w:pStyle w:val="RTableTextAbt"/>
            </w:pPr>
            <w:r w:rsidRPr="003D1930">
              <w:t>$93</w:t>
            </w:r>
          </w:p>
        </w:tc>
        <w:tc>
          <w:tcPr>
            <w:tcW w:w="453"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3EEC7D01" w14:textId="10200DD7">
            <w:pPr>
              <w:pStyle w:val="RTableTextAbt"/>
            </w:pPr>
            <w:r w:rsidRPr="003D1930">
              <w:t>$593</w:t>
            </w:r>
          </w:p>
        </w:tc>
        <w:tc>
          <w:tcPr>
            <w:tcW w:w="454"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11846130" w14:textId="2EBC0F83">
            <w:pPr>
              <w:pStyle w:val="RTableTextAbt"/>
            </w:pPr>
            <w:r w:rsidRPr="003D1930">
              <w:t>$593</w:t>
            </w:r>
          </w:p>
        </w:tc>
        <w:tc>
          <w:tcPr>
            <w:tcW w:w="495" w:type="pct"/>
            <w:tcBorders>
              <w:top w:val="single" w:sz="4" w:space="0" w:color="auto"/>
              <w:left w:val="single" w:sz="4" w:space="0" w:color="auto"/>
              <w:bottom w:val="single" w:sz="4" w:space="0" w:color="auto"/>
              <w:right w:val="single" w:sz="4" w:space="0" w:color="auto"/>
            </w:tcBorders>
            <w:hideMark/>
          </w:tcPr>
          <w:p w:rsidR="001809DD" w:rsidRPr="007B6745" w:rsidP="001809DD" w14:paraId="1E912F67" w14:textId="1559307C">
            <w:pPr>
              <w:pStyle w:val="RTableTextAbt"/>
            </w:pPr>
            <w:r w:rsidRPr="003D1930">
              <w:t>$372</w:t>
            </w:r>
          </w:p>
        </w:tc>
        <w:tc>
          <w:tcPr>
            <w:tcW w:w="650"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42D44867" w14:textId="302FCDEA">
            <w:pPr>
              <w:pStyle w:val="RTableTextAbt"/>
            </w:pPr>
            <w:r w:rsidRPr="003D1930">
              <w:t>$0</w:t>
            </w:r>
          </w:p>
        </w:tc>
        <w:tc>
          <w:tcPr>
            <w:tcW w:w="608"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64EA63EB" w14:textId="78CA62EC">
            <w:pPr>
              <w:pStyle w:val="RTableTextAbt"/>
            </w:pPr>
            <w:r w:rsidRPr="003D1930">
              <w:t>$1,058</w:t>
            </w:r>
          </w:p>
        </w:tc>
        <w:tc>
          <w:tcPr>
            <w:tcW w:w="540"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0F0819AC" w14:textId="02F0EDC7">
            <w:pPr>
              <w:pStyle w:val="RTableTextAbt"/>
            </w:pPr>
            <w:r w:rsidRPr="003D1930">
              <w:t>$1,058</w:t>
            </w:r>
          </w:p>
        </w:tc>
      </w:tr>
      <w:tr w14:paraId="3CCC574F" w14:textId="77777777" w:rsidTr="00DF6409">
        <w:tblPrEx>
          <w:tblW w:w="4837" w:type="pct"/>
          <w:tblInd w:w="270" w:type="dxa"/>
          <w:tblLook w:val="04A0"/>
        </w:tblPrEx>
        <w:trPr>
          <w:trHeight w:val="20"/>
        </w:trPr>
        <w:tc>
          <w:tcPr>
            <w:tcW w:w="1254" w:type="pct"/>
            <w:tcBorders>
              <w:top w:val="nil"/>
              <w:left w:val="single" w:sz="4" w:space="0" w:color="auto"/>
              <w:bottom w:val="single" w:sz="4" w:space="0" w:color="auto"/>
              <w:right w:val="single" w:sz="4" w:space="0" w:color="auto"/>
            </w:tcBorders>
            <w:vAlign w:val="center"/>
            <w:hideMark/>
          </w:tcPr>
          <w:p w:rsidR="001809DD" w:rsidRPr="007B6745" w:rsidP="001809DD" w14:paraId="1D933DCD" w14:textId="77777777">
            <w:pPr>
              <w:pStyle w:val="LTableTextAbt"/>
            </w:pPr>
            <w:r w:rsidRPr="007B6745">
              <w:t>PV29 importing</w:t>
            </w:r>
          </w:p>
        </w:tc>
        <w:tc>
          <w:tcPr>
            <w:tcW w:w="547" w:type="pct"/>
            <w:tcBorders>
              <w:top w:val="single" w:sz="4" w:space="0" w:color="auto"/>
              <w:left w:val="nil"/>
              <w:bottom w:val="single" w:sz="4" w:space="0" w:color="auto"/>
              <w:right w:val="single" w:sz="4" w:space="0" w:color="auto"/>
            </w:tcBorders>
            <w:noWrap/>
            <w:hideMark/>
          </w:tcPr>
          <w:p w:rsidR="001809DD" w:rsidRPr="007B6745" w:rsidP="001809DD" w14:paraId="34B693E7" w14:textId="28AAB147">
            <w:pPr>
              <w:pStyle w:val="RTableTextAbt"/>
            </w:pPr>
            <w:r w:rsidRPr="003D1930">
              <w:t>$93</w:t>
            </w:r>
          </w:p>
        </w:tc>
        <w:tc>
          <w:tcPr>
            <w:tcW w:w="453"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5B54C1C2" w14:textId="0CB7F214">
            <w:pPr>
              <w:pStyle w:val="RTableTextAbt"/>
            </w:pPr>
            <w:r w:rsidRPr="003D1930">
              <w:t>$1,101</w:t>
            </w:r>
          </w:p>
        </w:tc>
        <w:tc>
          <w:tcPr>
            <w:tcW w:w="454"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5D9A1C32" w14:textId="5C820FB8">
            <w:pPr>
              <w:pStyle w:val="RTableTextAbt"/>
            </w:pPr>
            <w:r w:rsidRPr="003D1930">
              <w:t>$1,101</w:t>
            </w:r>
          </w:p>
        </w:tc>
        <w:tc>
          <w:tcPr>
            <w:tcW w:w="495" w:type="pct"/>
            <w:tcBorders>
              <w:top w:val="single" w:sz="4" w:space="0" w:color="auto"/>
              <w:left w:val="single" w:sz="4" w:space="0" w:color="auto"/>
              <w:bottom w:val="single" w:sz="4" w:space="0" w:color="auto"/>
              <w:right w:val="single" w:sz="4" w:space="0" w:color="auto"/>
            </w:tcBorders>
            <w:hideMark/>
          </w:tcPr>
          <w:p w:rsidR="001809DD" w:rsidRPr="007B6745" w:rsidP="001809DD" w14:paraId="7C389981" w14:textId="209BFCED">
            <w:pPr>
              <w:pStyle w:val="RTableTextAbt"/>
            </w:pPr>
            <w:r w:rsidRPr="003D1930">
              <w:t>$372</w:t>
            </w:r>
          </w:p>
        </w:tc>
        <w:tc>
          <w:tcPr>
            <w:tcW w:w="650"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2265E6EC" w14:textId="448A72A9">
            <w:pPr>
              <w:pStyle w:val="RTableTextAbt"/>
            </w:pPr>
            <w:r w:rsidRPr="003D1930">
              <w:t>$0</w:t>
            </w:r>
          </w:p>
        </w:tc>
        <w:tc>
          <w:tcPr>
            <w:tcW w:w="608"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3A58A55B" w14:textId="48FFC613">
            <w:pPr>
              <w:pStyle w:val="RTableTextAbt"/>
            </w:pPr>
            <w:r w:rsidRPr="003D1930">
              <w:t>$1,566</w:t>
            </w:r>
          </w:p>
        </w:tc>
        <w:tc>
          <w:tcPr>
            <w:tcW w:w="540"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75CC61AE" w14:textId="613297AE">
            <w:pPr>
              <w:pStyle w:val="RTableTextAbt"/>
            </w:pPr>
            <w:r w:rsidRPr="003D1930">
              <w:t>$1,566</w:t>
            </w:r>
          </w:p>
        </w:tc>
      </w:tr>
      <w:tr w14:paraId="7B8D1837" w14:textId="77777777" w:rsidTr="00DF6409">
        <w:tblPrEx>
          <w:tblW w:w="4837" w:type="pct"/>
          <w:tblInd w:w="270" w:type="dxa"/>
          <w:tblLook w:val="04A0"/>
        </w:tblPrEx>
        <w:trPr>
          <w:trHeight w:val="20"/>
        </w:trPr>
        <w:tc>
          <w:tcPr>
            <w:tcW w:w="1254" w:type="pct"/>
            <w:tcBorders>
              <w:top w:val="nil"/>
              <w:left w:val="single" w:sz="4" w:space="0" w:color="auto"/>
              <w:bottom w:val="single" w:sz="4" w:space="0" w:color="auto"/>
              <w:right w:val="single" w:sz="4" w:space="0" w:color="auto"/>
            </w:tcBorders>
            <w:vAlign w:val="center"/>
            <w:hideMark/>
          </w:tcPr>
          <w:p w:rsidR="001809DD" w:rsidRPr="007B6745" w:rsidP="001809DD" w14:paraId="063E385C" w14:textId="77777777">
            <w:pPr>
              <w:pStyle w:val="LTableTextAbt"/>
            </w:pPr>
            <w:r w:rsidRPr="007B6745">
              <w:t>Processing into automotive paints and coatings</w:t>
            </w:r>
          </w:p>
        </w:tc>
        <w:tc>
          <w:tcPr>
            <w:tcW w:w="547" w:type="pct"/>
            <w:tcBorders>
              <w:top w:val="single" w:sz="4" w:space="0" w:color="auto"/>
              <w:left w:val="nil"/>
              <w:bottom w:val="single" w:sz="4" w:space="0" w:color="auto"/>
              <w:right w:val="single" w:sz="4" w:space="0" w:color="auto"/>
            </w:tcBorders>
            <w:noWrap/>
            <w:hideMark/>
          </w:tcPr>
          <w:p w:rsidR="001809DD" w:rsidRPr="007B6745" w:rsidP="001809DD" w14:paraId="1C04DFEA" w14:textId="7C84F648">
            <w:pPr>
              <w:pStyle w:val="RTableTextAbt"/>
            </w:pPr>
            <w:r w:rsidRPr="003D1930">
              <w:t>$1,303</w:t>
            </w:r>
          </w:p>
        </w:tc>
        <w:tc>
          <w:tcPr>
            <w:tcW w:w="453"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020EDA38" w14:textId="40DA1BC8">
            <w:pPr>
              <w:pStyle w:val="RTableTextAbt"/>
            </w:pPr>
            <w:r w:rsidRPr="003D1930">
              <w:t>$15,417</w:t>
            </w:r>
          </w:p>
        </w:tc>
        <w:tc>
          <w:tcPr>
            <w:tcW w:w="454"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0ED65164" w14:textId="78E58E2F">
            <w:pPr>
              <w:pStyle w:val="RTableTextAbt"/>
            </w:pPr>
            <w:r w:rsidRPr="003D1930">
              <w:t>$15,417</w:t>
            </w:r>
          </w:p>
        </w:tc>
        <w:tc>
          <w:tcPr>
            <w:tcW w:w="495" w:type="pct"/>
            <w:tcBorders>
              <w:top w:val="single" w:sz="4" w:space="0" w:color="auto"/>
              <w:left w:val="single" w:sz="4" w:space="0" w:color="auto"/>
              <w:bottom w:val="single" w:sz="4" w:space="0" w:color="auto"/>
              <w:right w:val="single" w:sz="4" w:space="0" w:color="auto"/>
            </w:tcBorders>
            <w:hideMark/>
          </w:tcPr>
          <w:p w:rsidR="001809DD" w:rsidRPr="007B6745" w:rsidP="001809DD" w14:paraId="4EFD21E7" w14:textId="2E75BF9A">
            <w:pPr>
              <w:pStyle w:val="RTableTextAbt"/>
            </w:pPr>
            <w:r w:rsidRPr="003D1930">
              <w:t>$5,212</w:t>
            </w:r>
          </w:p>
        </w:tc>
        <w:tc>
          <w:tcPr>
            <w:tcW w:w="650"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600A6AB7" w14:textId="0D28BFDD">
            <w:pPr>
              <w:pStyle w:val="RTableTextAbt"/>
            </w:pPr>
            <w:r w:rsidRPr="003D1930">
              <w:t>$0</w:t>
            </w:r>
          </w:p>
        </w:tc>
        <w:tc>
          <w:tcPr>
            <w:tcW w:w="608"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0AACD97B" w14:textId="22FF791F">
            <w:pPr>
              <w:pStyle w:val="RTableTextAbt"/>
            </w:pPr>
            <w:r w:rsidRPr="003D1930">
              <w:t>$21,932</w:t>
            </w:r>
          </w:p>
        </w:tc>
        <w:tc>
          <w:tcPr>
            <w:tcW w:w="540"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242005D9" w14:textId="560A06F7">
            <w:pPr>
              <w:pStyle w:val="RTableTextAbt"/>
            </w:pPr>
            <w:r w:rsidRPr="003D1930">
              <w:t>$21,932</w:t>
            </w:r>
          </w:p>
        </w:tc>
      </w:tr>
      <w:tr w14:paraId="3AB4FBDE" w14:textId="77777777" w:rsidTr="00DF6409">
        <w:tblPrEx>
          <w:tblW w:w="4837" w:type="pct"/>
          <w:tblInd w:w="270" w:type="dxa"/>
          <w:tblLook w:val="04A0"/>
        </w:tblPrEx>
        <w:trPr>
          <w:trHeight w:val="20"/>
        </w:trPr>
        <w:tc>
          <w:tcPr>
            <w:tcW w:w="1254" w:type="pct"/>
            <w:tcBorders>
              <w:top w:val="nil"/>
              <w:left w:val="single" w:sz="4" w:space="0" w:color="auto"/>
              <w:bottom w:val="single" w:sz="4" w:space="0" w:color="auto"/>
              <w:right w:val="single" w:sz="4" w:space="0" w:color="auto"/>
            </w:tcBorders>
            <w:vAlign w:val="center"/>
            <w:hideMark/>
          </w:tcPr>
          <w:p w:rsidR="001809DD" w:rsidRPr="007B6745" w:rsidP="001809DD" w14:paraId="6EE6F3A2" w14:textId="77777777">
            <w:pPr>
              <w:pStyle w:val="LTableTextAbt"/>
            </w:pPr>
            <w:r w:rsidRPr="007B6745">
              <w:t>Processing into plastic and rubber products</w:t>
            </w:r>
          </w:p>
        </w:tc>
        <w:tc>
          <w:tcPr>
            <w:tcW w:w="547" w:type="pct"/>
            <w:tcBorders>
              <w:top w:val="single" w:sz="4" w:space="0" w:color="auto"/>
              <w:left w:val="nil"/>
              <w:bottom w:val="single" w:sz="4" w:space="0" w:color="auto"/>
              <w:right w:val="single" w:sz="4" w:space="0" w:color="auto"/>
            </w:tcBorders>
            <w:noWrap/>
            <w:hideMark/>
          </w:tcPr>
          <w:p w:rsidR="001809DD" w:rsidRPr="007B6745" w:rsidP="001809DD" w14:paraId="2D1D7F38" w14:textId="0D980D3B">
            <w:pPr>
              <w:pStyle w:val="RTableTextAbt"/>
            </w:pPr>
            <w:r w:rsidRPr="003D1930">
              <w:t>$558</w:t>
            </w:r>
          </w:p>
        </w:tc>
        <w:tc>
          <w:tcPr>
            <w:tcW w:w="453"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5FA65A70" w14:textId="49A401B0">
            <w:pPr>
              <w:pStyle w:val="RTableTextAbt"/>
            </w:pPr>
            <w:r w:rsidRPr="003D1930">
              <w:t>$4,810</w:t>
            </w:r>
          </w:p>
        </w:tc>
        <w:tc>
          <w:tcPr>
            <w:tcW w:w="454"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0BE86564" w14:textId="6FB62106">
            <w:pPr>
              <w:pStyle w:val="RTableTextAbt"/>
            </w:pPr>
            <w:r w:rsidRPr="003D1930">
              <w:t>$4,810</w:t>
            </w:r>
          </w:p>
        </w:tc>
        <w:tc>
          <w:tcPr>
            <w:tcW w:w="495" w:type="pct"/>
            <w:tcBorders>
              <w:top w:val="single" w:sz="4" w:space="0" w:color="auto"/>
              <w:left w:val="single" w:sz="4" w:space="0" w:color="auto"/>
              <w:bottom w:val="single" w:sz="4" w:space="0" w:color="auto"/>
              <w:right w:val="single" w:sz="4" w:space="0" w:color="auto"/>
            </w:tcBorders>
            <w:hideMark/>
          </w:tcPr>
          <w:p w:rsidR="001809DD" w:rsidRPr="007B6745" w:rsidP="001809DD" w14:paraId="6D86539D" w14:textId="555052D8">
            <w:pPr>
              <w:pStyle w:val="RTableTextAbt"/>
            </w:pPr>
            <w:r w:rsidRPr="003D1930">
              <w:t>$2,234</w:t>
            </w:r>
          </w:p>
        </w:tc>
        <w:tc>
          <w:tcPr>
            <w:tcW w:w="650"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5542A745" w14:textId="4F4A0D90">
            <w:pPr>
              <w:pStyle w:val="RTableTextAbt"/>
            </w:pPr>
            <w:r w:rsidRPr="003D1930">
              <w:t>$0</w:t>
            </w:r>
          </w:p>
        </w:tc>
        <w:tc>
          <w:tcPr>
            <w:tcW w:w="608"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7917D802" w14:textId="0C3BBA08">
            <w:pPr>
              <w:pStyle w:val="RTableTextAbt"/>
            </w:pPr>
            <w:r w:rsidRPr="003D1930">
              <w:t>$7,602</w:t>
            </w:r>
          </w:p>
        </w:tc>
        <w:tc>
          <w:tcPr>
            <w:tcW w:w="540"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22C6ABAE" w14:textId="644BF427">
            <w:pPr>
              <w:pStyle w:val="RTableTextAbt"/>
            </w:pPr>
            <w:r w:rsidRPr="003D1930">
              <w:t>$7,602</w:t>
            </w:r>
          </w:p>
        </w:tc>
      </w:tr>
      <w:tr w14:paraId="09876857" w14:textId="77777777" w:rsidTr="00DF6409">
        <w:tblPrEx>
          <w:tblW w:w="4837" w:type="pct"/>
          <w:tblInd w:w="270" w:type="dxa"/>
          <w:tblLook w:val="04A0"/>
        </w:tblPrEx>
        <w:trPr>
          <w:trHeight w:val="20"/>
        </w:trPr>
        <w:tc>
          <w:tcPr>
            <w:tcW w:w="1254" w:type="pct"/>
            <w:tcBorders>
              <w:top w:val="nil"/>
              <w:left w:val="single" w:sz="4" w:space="0" w:color="auto"/>
              <w:bottom w:val="single" w:sz="4" w:space="0" w:color="auto"/>
              <w:right w:val="single" w:sz="4" w:space="0" w:color="auto"/>
            </w:tcBorders>
            <w:vAlign w:val="center"/>
            <w:hideMark/>
          </w:tcPr>
          <w:p w:rsidR="001809DD" w:rsidRPr="007B6745" w:rsidP="001809DD" w14:paraId="4C2F3C54" w14:textId="77777777">
            <w:pPr>
              <w:pStyle w:val="LTableTextAbt"/>
            </w:pPr>
            <w:r w:rsidRPr="007B6745">
              <w:t>Recycling</w:t>
            </w:r>
          </w:p>
        </w:tc>
        <w:tc>
          <w:tcPr>
            <w:tcW w:w="547" w:type="pct"/>
            <w:tcBorders>
              <w:top w:val="single" w:sz="4" w:space="0" w:color="auto"/>
              <w:left w:val="nil"/>
              <w:bottom w:val="single" w:sz="4" w:space="0" w:color="auto"/>
              <w:right w:val="single" w:sz="4" w:space="0" w:color="auto"/>
            </w:tcBorders>
            <w:noWrap/>
            <w:hideMark/>
          </w:tcPr>
          <w:p w:rsidR="001809DD" w:rsidRPr="007B6745" w:rsidP="001809DD" w14:paraId="4B2A43B2" w14:textId="17DB21E4">
            <w:pPr>
              <w:pStyle w:val="RTableTextAbt"/>
            </w:pPr>
            <w:r w:rsidRPr="003D1930">
              <w:t>$827,867</w:t>
            </w:r>
          </w:p>
        </w:tc>
        <w:tc>
          <w:tcPr>
            <w:tcW w:w="453"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2F73F40F" w14:textId="5CEE5D2A">
            <w:pPr>
              <w:pStyle w:val="RTableTextAbt"/>
            </w:pPr>
            <w:r w:rsidRPr="003D1930">
              <w:t>$0</w:t>
            </w:r>
          </w:p>
        </w:tc>
        <w:tc>
          <w:tcPr>
            <w:tcW w:w="454"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0E66A89D" w14:textId="1CC1378F">
            <w:pPr>
              <w:pStyle w:val="RTableTextAbt"/>
            </w:pPr>
            <w:r w:rsidRPr="003D1930">
              <w:t>$0</w:t>
            </w:r>
          </w:p>
        </w:tc>
        <w:tc>
          <w:tcPr>
            <w:tcW w:w="495" w:type="pct"/>
            <w:tcBorders>
              <w:top w:val="single" w:sz="4" w:space="0" w:color="auto"/>
              <w:left w:val="single" w:sz="4" w:space="0" w:color="auto"/>
              <w:bottom w:val="single" w:sz="4" w:space="0" w:color="auto"/>
              <w:right w:val="single" w:sz="4" w:space="0" w:color="auto"/>
            </w:tcBorders>
            <w:hideMark/>
          </w:tcPr>
          <w:p w:rsidR="001809DD" w:rsidRPr="007B6745" w:rsidP="001809DD" w14:paraId="135F3540" w14:textId="0C77002E">
            <w:pPr>
              <w:pStyle w:val="RTableTextAbt"/>
            </w:pPr>
            <w:r w:rsidRPr="003D1930">
              <w:t>$0</w:t>
            </w:r>
          </w:p>
        </w:tc>
        <w:tc>
          <w:tcPr>
            <w:tcW w:w="650"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468AA427" w14:textId="57E395C1">
            <w:pPr>
              <w:pStyle w:val="RTableTextAbt"/>
            </w:pPr>
            <w:r w:rsidRPr="003D1930">
              <w:t>$0</w:t>
            </w:r>
          </w:p>
        </w:tc>
        <w:tc>
          <w:tcPr>
            <w:tcW w:w="608"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4FC84615" w14:textId="08272EDD">
            <w:pPr>
              <w:pStyle w:val="RTableTextAbt"/>
            </w:pPr>
            <w:r w:rsidRPr="003D1930">
              <w:t>$827,867</w:t>
            </w:r>
          </w:p>
        </w:tc>
        <w:tc>
          <w:tcPr>
            <w:tcW w:w="540"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51356C45" w14:textId="319B666B">
            <w:pPr>
              <w:pStyle w:val="RTableTextAbt"/>
            </w:pPr>
            <w:r w:rsidRPr="003D1930">
              <w:t>$827,867</w:t>
            </w:r>
          </w:p>
        </w:tc>
      </w:tr>
      <w:tr w14:paraId="368088F5" w14:textId="77777777" w:rsidTr="00DF6409">
        <w:tblPrEx>
          <w:tblW w:w="4837" w:type="pct"/>
          <w:tblInd w:w="270" w:type="dxa"/>
          <w:tblLook w:val="04A0"/>
        </w:tblPrEx>
        <w:trPr>
          <w:trHeight w:val="20"/>
        </w:trPr>
        <w:tc>
          <w:tcPr>
            <w:tcW w:w="1254" w:type="pct"/>
            <w:tcBorders>
              <w:top w:val="nil"/>
              <w:left w:val="single" w:sz="4" w:space="0" w:color="auto"/>
              <w:bottom w:val="single" w:sz="4" w:space="0" w:color="auto"/>
              <w:right w:val="single" w:sz="4" w:space="0" w:color="auto"/>
            </w:tcBorders>
            <w:vAlign w:val="center"/>
            <w:hideMark/>
          </w:tcPr>
          <w:p w:rsidR="001809DD" w:rsidRPr="007B6745" w:rsidP="001809DD" w14:paraId="2ABA79D8" w14:textId="77777777">
            <w:pPr>
              <w:pStyle w:val="LTableTextAbt"/>
            </w:pPr>
            <w:r w:rsidRPr="007B6745">
              <w:t>Automotive painting (new vehicles)</w:t>
            </w:r>
          </w:p>
        </w:tc>
        <w:tc>
          <w:tcPr>
            <w:tcW w:w="547" w:type="pct"/>
            <w:tcBorders>
              <w:top w:val="single" w:sz="4" w:space="0" w:color="auto"/>
              <w:left w:val="nil"/>
              <w:bottom w:val="single" w:sz="4" w:space="0" w:color="auto"/>
              <w:right w:val="single" w:sz="4" w:space="0" w:color="auto"/>
            </w:tcBorders>
            <w:noWrap/>
            <w:hideMark/>
          </w:tcPr>
          <w:p w:rsidR="001809DD" w:rsidRPr="007B6745" w:rsidP="001809DD" w14:paraId="4EE11BB3" w14:textId="6F9EE505">
            <w:pPr>
              <w:pStyle w:val="RTableTextAbt"/>
            </w:pPr>
            <w:r w:rsidRPr="003D1930">
              <w:t>$77,434</w:t>
            </w:r>
          </w:p>
        </w:tc>
        <w:tc>
          <w:tcPr>
            <w:tcW w:w="453"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2CF07FC4" w14:textId="0FF5592D">
            <w:pPr>
              <w:pStyle w:val="RTableTextAbt"/>
            </w:pPr>
            <w:r w:rsidRPr="003D1930">
              <w:t>$0</w:t>
            </w:r>
          </w:p>
        </w:tc>
        <w:tc>
          <w:tcPr>
            <w:tcW w:w="454"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21623E99" w14:textId="6520935D">
            <w:pPr>
              <w:pStyle w:val="RTableTextAbt"/>
            </w:pPr>
            <w:r w:rsidRPr="003D1930">
              <w:t>$0</w:t>
            </w:r>
          </w:p>
        </w:tc>
        <w:tc>
          <w:tcPr>
            <w:tcW w:w="495" w:type="pct"/>
            <w:tcBorders>
              <w:top w:val="single" w:sz="4" w:space="0" w:color="auto"/>
              <w:left w:val="single" w:sz="4" w:space="0" w:color="auto"/>
              <w:bottom w:val="single" w:sz="4" w:space="0" w:color="auto"/>
              <w:right w:val="single" w:sz="4" w:space="0" w:color="auto"/>
            </w:tcBorders>
            <w:hideMark/>
          </w:tcPr>
          <w:p w:rsidR="001809DD" w:rsidRPr="007B6745" w:rsidP="001809DD" w14:paraId="5108367E" w14:textId="7E043694">
            <w:pPr>
              <w:pStyle w:val="RTableTextAbt"/>
            </w:pPr>
            <w:r w:rsidRPr="003D1930">
              <w:t>$0</w:t>
            </w:r>
          </w:p>
        </w:tc>
        <w:tc>
          <w:tcPr>
            <w:tcW w:w="650"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431F617B" w14:textId="139C7F9F">
            <w:pPr>
              <w:pStyle w:val="RTableTextAbt"/>
            </w:pPr>
            <w:r w:rsidRPr="003D1930">
              <w:t>$0</w:t>
            </w:r>
          </w:p>
        </w:tc>
        <w:tc>
          <w:tcPr>
            <w:tcW w:w="608"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25EB8021" w14:textId="756C6D24">
            <w:pPr>
              <w:pStyle w:val="RTableTextAbt"/>
            </w:pPr>
            <w:r w:rsidRPr="003D1930">
              <w:t>$77,434</w:t>
            </w:r>
          </w:p>
        </w:tc>
        <w:tc>
          <w:tcPr>
            <w:tcW w:w="540"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569F40A9" w14:textId="7C21CB4E">
            <w:pPr>
              <w:pStyle w:val="RTableTextAbt"/>
            </w:pPr>
            <w:r w:rsidRPr="003D1930">
              <w:t>$77,434</w:t>
            </w:r>
          </w:p>
        </w:tc>
      </w:tr>
      <w:tr w14:paraId="1D6BD5F0" w14:textId="77777777" w:rsidTr="00DF6409">
        <w:tblPrEx>
          <w:tblW w:w="4837" w:type="pct"/>
          <w:tblInd w:w="270" w:type="dxa"/>
          <w:tblLook w:val="04A0"/>
        </w:tblPrEx>
        <w:trPr>
          <w:trHeight w:val="20"/>
        </w:trPr>
        <w:tc>
          <w:tcPr>
            <w:tcW w:w="1254" w:type="pct"/>
            <w:tcBorders>
              <w:top w:val="nil"/>
              <w:left w:val="single" w:sz="4" w:space="0" w:color="auto"/>
              <w:bottom w:val="single" w:sz="4" w:space="0" w:color="auto"/>
              <w:right w:val="single" w:sz="4" w:space="0" w:color="auto"/>
            </w:tcBorders>
            <w:vAlign w:val="center"/>
            <w:hideMark/>
          </w:tcPr>
          <w:p w:rsidR="001809DD" w:rsidRPr="007B6745" w:rsidP="001809DD" w14:paraId="7C12F89D" w14:textId="77777777">
            <w:pPr>
              <w:pStyle w:val="LTableTextAbt"/>
            </w:pPr>
            <w:r w:rsidRPr="007B6745">
              <w:t>Automotive refinishing</w:t>
            </w:r>
          </w:p>
        </w:tc>
        <w:tc>
          <w:tcPr>
            <w:tcW w:w="547" w:type="pct"/>
            <w:tcBorders>
              <w:top w:val="single" w:sz="4" w:space="0" w:color="auto"/>
              <w:left w:val="nil"/>
              <w:bottom w:val="single" w:sz="4" w:space="0" w:color="auto"/>
              <w:right w:val="single" w:sz="4" w:space="0" w:color="auto"/>
            </w:tcBorders>
            <w:noWrap/>
            <w:hideMark/>
          </w:tcPr>
          <w:p w:rsidR="001809DD" w:rsidRPr="007B6745" w:rsidP="001809DD" w14:paraId="7ED8A886" w14:textId="317563A6">
            <w:pPr>
              <w:pStyle w:val="RTableTextAbt"/>
            </w:pPr>
            <w:r w:rsidRPr="003D1930">
              <w:t>$3,159,474</w:t>
            </w:r>
          </w:p>
        </w:tc>
        <w:tc>
          <w:tcPr>
            <w:tcW w:w="453"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58C628DF" w14:textId="726E45A9">
            <w:pPr>
              <w:pStyle w:val="RTableTextAbt"/>
            </w:pPr>
            <w:r w:rsidRPr="003D1930">
              <w:t>$0</w:t>
            </w:r>
          </w:p>
        </w:tc>
        <w:tc>
          <w:tcPr>
            <w:tcW w:w="454"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451AC728" w14:textId="1350933A">
            <w:pPr>
              <w:pStyle w:val="RTableTextAbt"/>
            </w:pPr>
            <w:r w:rsidRPr="003D1930">
              <w:t>$0</w:t>
            </w:r>
          </w:p>
        </w:tc>
        <w:tc>
          <w:tcPr>
            <w:tcW w:w="495" w:type="pct"/>
            <w:tcBorders>
              <w:top w:val="single" w:sz="4" w:space="0" w:color="auto"/>
              <w:left w:val="single" w:sz="4" w:space="0" w:color="auto"/>
              <w:bottom w:val="single" w:sz="4" w:space="0" w:color="auto"/>
              <w:right w:val="single" w:sz="4" w:space="0" w:color="auto"/>
            </w:tcBorders>
            <w:hideMark/>
          </w:tcPr>
          <w:p w:rsidR="001809DD" w:rsidRPr="007B6745" w:rsidP="001809DD" w14:paraId="2F5722B2" w14:textId="6FEF8B62">
            <w:pPr>
              <w:pStyle w:val="RTableTextAbt"/>
            </w:pPr>
            <w:r w:rsidRPr="003D1930">
              <w:t>$0</w:t>
            </w:r>
          </w:p>
        </w:tc>
        <w:tc>
          <w:tcPr>
            <w:tcW w:w="650"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3CDAE659" w14:textId="1694E8F0">
            <w:pPr>
              <w:pStyle w:val="RTableTextAbt"/>
            </w:pPr>
            <w:r w:rsidRPr="003D1930">
              <w:t>$0</w:t>
            </w:r>
          </w:p>
        </w:tc>
        <w:tc>
          <w:tcPr>
            <w:tcW w:w="608"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34C3BC73" w14:textId="46BADCA4">
            <w:pPr>
              <w:pStyle w:val="RTableTextAbt"/>
            </w:pPr>
            <w:r w:rsidRPr="003D1930">
              <w:t>$3,159,474</w:t>
            </w:r>
          </w:p>
        </w:tc>
        <w:tc>
          <w:tcPr>
            <w:tcW w:w="540"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542152A1" w14:textId="2CBAB02C">
            <w:pPr>
              <w:pStyle w:val="RTableTextAbt"/>
            </w:pPr>
            <w:r w:rsidRPr="003D1930">
              <w:t>$3,159,474</w:t>
            </w:r>
          </w:p>
        </w:tc>
      </w:tr>
      <w:tr w14:paraId="55AFC569" w14:textId="77777777" w:rsidTr="00DF6409">
        <w:tblPrEx>
          <w:tblW w:w="4837" w:type="pct"/>
          <w:tblInd w:w="270" w:type="dxa"/>
          <w:tblLook w:val="04A0"/>
        </w:tblPrEx>
        <w:trPr>
          <w:trHeight w:val="20"/>
        </w:trPr>
        <w:tc>
          <w:tcPr>
            <w:tcW w:w="1254" w:type="pct"/>
            <w:tcBorders>
              <w:top w:val="nil"/>
              <w:left w:val="single" w:sz="4" w:space="0" w:color="auto"/>
              <w:bottom w:val="single" w:sz="4" w:space="0" w:color="auto"/>
              <w:right w:val="single" w:sz="4" w:space="0" w:color="auto"/>
            </w:tcBorders>
            <w:vAlign w:val="center"/>
            <w:hideMark/>
          </w:tcPr>
          <w:p w:rsidR="001809DD" w:rsidRPr="007B6745" w:rsidP="001809DD" w14:paraId="4CFB1DCC" w14:textId="77777777">
            <w:pPr>
              <w:pStyle w:val="LTableTextAbt"/>
            </w:pPr>
            <w:r w:rsidRPr="007B6745">
              <w:t>Disposal</w:t>
            </w:r>
          </w:p>
        </w:tc>
        <w:tc>
          <w:tcPr>
            <w:tcW w:w="547" w:type="pct"/>
            <w:tcBorders>
              <w:top w:val="single" w:sz="4" w:space="0" w:color="auto"/>
              <w:left w:val="nil"/>
              <w:bottom w:val="single" w:sz="4" w:space="0" w:color="auto"/>
              <w:right w:val="single" w:sz="4" w:space="0" w:color="auto"/>
            </w:tcBorders>
            <w:noWrap/>
            <w:hideMark/>
          </w:tcPr>
          <w:p w:rsidR="001809DD" w:rsidRPr="007B6745" w:rsidP="001809DD" w14:paraId="58B2EB22" w14:textId="7EF63B1B">
            <w:pPr>
              <w:pStyle w:val="RTableTextAbt"/>
            </w:pPr>
            <w:r w:rsidRPr="003D1930">
              <w:t>$790,366</w:t>
            </w:r>
          </w:p>
        </w:tc>
        <w:tc>
          <w:tcPr>
            <w:tcW w:w="453"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62F350E4" w14:textId="61289912">
            <w:pPr>
              <w:pStyle w:val="RTableTextAbt"/>
            </w:pPr>
            <w:r w:rsidRPr="003D1930">
              <w:t>$0</w:t>
            </w:r>
          </w:p>
        </w:tc>
        <w:tc>
          <w:tcPr>
            <w:tcW w:w="454"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2B7316FE" w14:textId="1B98D34E">
            <w:pPr>
              <w:pStyle w:val="RTableTextAbt"/>
            </w:pPr>
            <w:r w:rsidRPr="003D1930">
              <w:t>$0</w:t>
            </w:r>
          </w:p>
        </w:tc>
        <w:tc>
          <w:tcPr>
            <w:tcW w:w="495" w:type="pct"/>
            <w:tcBorders>
              <w:top w:val="single" w:sz="4" w:space="0" w:color="auto"/>
              <w:left w:val="single" w:sz="4" w:space="0" w:color="auto"/>
              <w:bottom w:val="single" w:sz="4" w:space="0" w:color="auto"/>
              <w:right w:val="single" w:sz="4" w:space="0" w:color="auto"/>
            </w:tcBorders>
            <w:hideMark/>
          </w:tcPr>
          <w:p w:rsidR="001809DD" w:rsidRPr="007B6745" w:rsidP="001809DD" w14:paraId="7945D1C8" w14:textId="711738CF">
            <w:pPr>
              <w:pStyle w:val="RTableTextAbt"/>
            </w:pPr>
            <w:r w:rsidRPr="003D1930">
              <w:t>$0</w:t>
            </w:r>
          </w:p>
        </w:tc>
        <w:tc>
          <w:tcPr>
            <w:tcW w:w="650"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068DD8C0" w14:textId="504AFBC1">
            <w:pPr>
              <w:pStyle w:val="RTableTextAbt"/>
            </w:pPr>
            <w:r w:rsidRPr="003D1930">
              <w:t>$0</w:t>
            </w:r>
          </w:p>
        </w:tc>
        <w:tc>
          <w:tcPr>
            <w:tcW w:w="608"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0AC0F13B" w14:textId="18FE9B8B">
            <w:pPr>
              <w:pStyle w:val="RTableTextAbt"/>
            </w:pPr>
            <w:r w:rsidRPr="003D1930">
              <w:t>$790,366</w:t>
            </w:r>
          </w:p>
        </w:tc>
        <w:tc>
          <w:tcPr>
            <w:tcW w:w="540" w:type="pct"/>
            <w:tcBorders>
              <w:top w:val="single" w:sz="4" w:space="0" w:color="auto"/>
              <w:left w:val="single" w:sz="4" w:space="0" w:color="auto"/>
              <w:bottom w:val="single" w:sz="4" w:space="0" w:color="auto"/>
              <w:right w:val="single" w:sz="4" w:space="0" w:color="auto"/>
            </w:tcBorders>
            <w:noWrap/>
            <w:hideMark/>
          </w:tcPr>
          <w:p w:rsidR="001809DD" w:rsidRPr="007B6745" w:rsidP="001809DD" w14:paraId="26F30FBE" w14:textId="501BA407">
            <w:pPr>
              <w:pStyle w:val="RTableTextAbt"/>
            </w:pPr>
            <w:r w:rsidRPr="003D1930">
              <w:t>$790,366</w:t>
            </w:r>
          </w:p>
        </w:tc>
      </w:tr>
      <w:tr w14:paraId="26855EBC" w14:textId="77777777" w:rsidTr="00DF6409">
        <w:tblPrEx>
          <w:tblW w:w="4837" w:type="pct"/>
          <w:tblInd w:w="270" w:type="dxa"/>
          <w:tblLook w:val="04A0"/>
        </w:tblPrEx>
        <w:trPr>
          <w:trHeight w:val="20"/>
        </w:trPr>
        <w:tc>
          <w:tcPr>
            <w:tcW w:w="1254" w:type="pct"/>
            <w:tcBorders>
              <w:top w:val="nil"/>
              <w:left w:val="single" w:sz="4" w:space="0" w:color="auto"/>
              <w:bottom w:val="single" w:sz="4" w:space="0" w:color="auto"/>
              <w:right w:val="single" w:sz="4" w:space="0" w:color="auto"/>
            </w:tcBorders>
            <w:vAlign w:val="center"/>
            <w:hideMark/>
          </w:tcPr>
          <w:p w:rsidR="001809DD" w:rsidRPr="007B6745" w:rsidP="001809DD" w14:paraId="533541BB" w14:textId="77777777">
            <w:pPr>
              <w:pStyle w:val="LTableTextAbt"/>
              <w:rPr>
                <w:b/>
              </w:rPr>
            </w:pPr>
            <w:r w:rsidRPr="007B6745">
              <w:rPr>
                <w:b/>
              </w:rPr>
              <w:t>Total</w:t>
            </w:r>
          </w:p>
        </w:tc>
        <w:tc>
          <w:tcPr>
            <w:tcW w:w="547" w:type="pct"/>
            <w:tcBorders>
              <w:top w:val="single" w:sz="4" w:space="0" w:color="auto"/>
              <w:left w:val="nil"/>
              <w:bottom w:val="single" w:sz="4" w:space="0" w:color="auto"/>
              <w:right w:val="single" w:sz="4" w:space="0" w:color="auto"/>
            </w:tcBorders>
            <w:noWrap/>
            <w:hideMark/>
          </w:tcPr>
          <w:p w:rsidR="001809DD" w:rsidRPr="005E4CA6" w:rsidP="001809DD" w14:paraId="3D27950D" w14:textId="3C1F5625">
            <w:pPr>
              <w:pStyle w:val="RTableTextAbt"/>
              <w:rPr>
                <w:b/>
                <w:bCs w:val="0"/>
              </w:rPr>
            </w:pPr>
            <w:r w:rsidRPr="005E4CA6">
              <w:rPr>
                <w:b/>
                <w:bCs w:val="0"/>
              </w:rPr>
              <w:t>$4,857,188</w:t>
            </w:r>
          </w:p>
        </w:tc>
        <w:tc>
          <w:tcPr>
            <w:tcW w:w="453" w:type="pct"/>
            <w:tcBorders>
              <w:top w:val="single" w:sz="4" w:space="0" w:color="auto"/>
              <w:left w:val="single" w:sz="4" w:space="0" w:color="auto"/>
              <w:bottom w:val="single" w:sz="4" w:space="0" w:color="auto"/>
              <w:right w:val="single" w:sz="4" w:space="0" w:color="auto"/>
            </w:tcBorders>
            <w:noWrap/>
            <w:hideMark/>
          </w:tcPr>
          <w:p w:rsidR="001809DD" w:rsidRPr="005E4CA6" w:rsidP="001809DD" w14:paraId="328DDFB3" w14:textId="2CC2F0C0">
            <w:pPr>
              <w:pStyle w:val="RTableTextAbt"/>
              <w:rPr>
                <w:b/>
                <w:bCs w:val="0"/>
              </w:rPr>
            </w:pPr>
            <w:r w:rsidRPr="005E4CA6">
              <w:rPr>
                <w:b/>
                <w:bCs w:val="0"/>
              </w:rPr>
              <w:t>$21,921</w:t>
            </w:r>
          </w:p>
        </w:tc>
        <w:tc>
          <w:tcPr>
            <w:tcW w:w="454" w:type="pct"/>
            <w:tcBorders>
              <w:top w:val="single" w:sz="4" w:space="0" w:color="auto"/>
              <w:left w:val="single" w:sz="4" w:space="0" w:color="auto"/>
              <w:bottom w:val="single" w:sz="4" w:space="0" w:color="auto"/>
              <w:right w:val="single" w:sz="4" w:space="0" w:color="auto"/>
            </w:tcBorders>
            <w:noWrap/>
            <w:hideMark/>
          </w:tcPr>
          <w:p w:rsidR="001809DD" w:rsidRPr="005E4CA6" w:rsidP="001809DD" w14:paraId="07CBB6EA" w14:textId="08FC84A4">
            <w:pPr>
              <w:pStyle w:val="RTableTextAbt"/>
              <w:rPr>
                <w:b/>
                <w:bCs w:val="0"/>
              </w:rPr>
            </w:pPr>
            <w:r w:rsidRPr="005E4CA6">
              <w:rPr>
                <w:b/>
                <w:bCs w:val="0"/>
              </w:rPr>
              <w:t>$21,921</w:t>
            </w:r>
          </w:p>
        </w:tc>
        <w:tc>
          <w:tcPr>
            <w:tcW w:w="495" w:type="pct"/>
            <w:tcBorders>
              <w:top w:val="single" w:sz="4" w:space="0" w:color="auto"/>
              <w:left w:val="single" w:sz="4" w:space="0" w:color="auto"/>
              <w:bottom w:val="single" w:sz="4" w:space="0" w:color="auto"/>
              <w:right w:val="single" w:sz="4" w:space="0" w:color="auto"/>
            </w:tcBorders>
            <w:hideMark/>
          </w:tcPr>
          <w:p w:rsidR="001809DD" w:rsidRPr="005E4CA6" w:rsidP="001809DD" w14:paraId="2D34DD2A" w14:textId="587D3C24">
            <w:pPr>
              <w:pStyle w:val="RTableTextAbt"/>
              <w:rPr>
                <w:b/>
                <w:bCs w:val="0"/>
              </w:rPr>
            </w:pPr>
            <w:r w:rsidRPr="005E4CA6">
              <w:rPr>
                <w:b/>
                <w:bCs w:val="0"/>
              </w:rPr>
              <w:t>$8,190</w:t>
            </w:r>
          </w:p>
        </w:tc>
        <w:tc>
          <w:tcPr>
            <w:tcW w:w="650" w:type="pct"/>
            <w:tcBorders>
              <w:top w:val="single" w:sz="4" w:space="0" w:color="auto"/>
              <w:left w:val="single" w:sz="4" w:space="0" w:color="auto"/>
              <w:bottom w:val="single" w:sz="4" w:space="0" w:color="auto"/>
              <w:right w:val="single" w:sz="4" w:space="0" w:color="auto"/>
            </w:tcBorders>
            <w:noWrap/>
            <w:hideMark/>
          </w:tcPr>
          <w:p w:rsidR="001809DD" w:rsidRPr="005E4CA6" w:rsidP="001809DD" w14:paraId="601569E6" w14:textId="45965AE4">
            <w:pPr>
              <w:pStyle w:val="RTableTextAbt"/>
              <w:rPr>
                <w:b/>
                <w:bCs w:val="0"/>
              </w:rPr>
            </w:pPr>
            <w:r w:rsidRPr="005E4CA6">
              <w:rPr>
                <w:b/>
                <w:bCs w:val="0"/>
              </w:rPr>
              <w:t>$0</w:t>
            </w:r>
          </w:p>
        </w:tc>
        <w:tc>
          <w:tcPr>
            <w:tcW w:w="608" w:type="pct"/>
            <w:tcBorders>
              <w:top w:val="single" w:sz="4" w:space="0" w:color="auto"/>
              <w:left w:val="single" w:sz="4" w:space="0" w:color="auto"/>
              <w:bottom w:val="single" w:sz="4" w:space="0" w:color="auto"/>
              <w:right w:val="single" w:sz="4" w:space="0" w:color="auto"/>
            </w:tcBorders>
            <w:noWrap/>
            <w:hideMark/>
          </w:tcPr>
          <w:p w:rsidR="001809DD" w:rsidRPr="005E4CA6" w:rsidP="001809DD" w14:paraId="308C8DFF" w14:textId="039EB56B">
            <w:pPr>
              <w:pStyle w:val="RTableTextAbt"/>
              <w:rPr>
                <w:b/>
                <w:bCs w:val="0"/>
              </w:rPr>
            </w:pPr>
            <w:r w:rsidRPr="005E4CA6">
              <w:rPr>
                <w:b/>
                <w:bCs w:val="0"/>
              </w:rPr>
              <w:t>$4,887,299</w:t>
            </w:r>
          </w:p>
        </w:tc>
        <w:tc>
          <w:tcPr>
            <w:tcW w:w="540" w:type="pct"/>
            <w:tcBorders>
              <w:top w:val="single" w:sz="4" w:space="0" w:color="auto"/>
              <w:left w:val="single" w:sz="4" w:space="0" w:color="auto"/>
              <w:bottom w:val="single" w:sz="4" w:space="0" w:color="auto"/>
              <w:right w:val="single" w:sz="4" w:space="0" w:color="auto"/>
            </w:tcBorders>
            <w:noWrap/>
            <w:hideMark/>
          </w:tcPr>
          <w:p w:rsidR="001809DD" w:rsidRPr="005E4CA6" w:rsidP="001809DD" w14:paraId="1B3049A1" w14:textId="1C04A886">
            <w:pPr>
              <w:pStyle w:val="RTableTextAbt"/>
              <w:rPr>
                <w:b/>
                <w:bCs w:val="0"/>
              </w:rPr>
            </w:pPr>
            <w:r w:rsidRPr="005E4CA6">
              <w:rPr>
                <w:b/>
                <w:bCs w:val="0"/>
              </w:rPr>
              <w:t>$4,887,299</w:t>
            </w:r>
          </w:p>
        </w:tc>
      </w:tr>
    </w:tbl>
    <w:p w:rsidR="007B6745" w:rsidRPr="007B6745" w:rsidP="00832749" w14:paraId="65902371" w14:textId="77777777">
      <w:pPr>
        <w:pStyle w:val="BodyText"/>
      </w:pPr>
    </w:p>
    <w:tbl>
      <w:tblPr>
        <w:tblW w:w="4837" w:type="pct"/>
        <w:tblInd w:w="270" w:type="dxa"/>
        <w:tblLayout w:type="fixed"/>
        <w:tblLook w:val="04A0"/>
      </w:tblPr>
      <w:tblGrid>
        <w:gridCol w:w="1526"/>
        <w:gridCol w:w="810"/>
        <w:gridCol w:w="721"/>
        <w:gridCol w:w="989"/>
        <w:gridCol w:w="1081"/>
        <w:gridCol w:w="902"/>
        <w:gridCol w:w="1260"/>
        <w:gridCol w:w="884"/>
        <w:gridCol w:w="882"/>
      </w:tblGrid>
      <w:tr w14:paraId="2BDC3DBE" w14:textId="77777777" w:rsidTr="00DF6409">
        <w:tblPrEx>
          <w:tblW w:w="4837" w:type="pct"/>
          <w:tblInd w:w="270" w:type="dxa"/>
          <w:tblLayout w:type="fixed"/>
          <w:tblLook w:val="04A0"/>
        </w:tblPrEx>
        <w:trPr>
          <w:trHeight w:val="20"/>
          <w:tblHeader/>
        </w:trPr>
        <w:tc>
          <w:tcPr>
            <w:tcW w:w="5000" w:type="pct"/>
            <w:gridSpan w:val="9"/>
            <w:tcBorders>
              <w:bottom w:val="single" w:sz="4" w:space="0" w:color="auto"/>
            </w:tcBorders>
            <w:shd w:val="clear" w:color="auto" w:fill="auto"/>
            <w:vAlign w:val="center"/>
          </w:tcPr>
          <w:p w:rsidR="009F1916" w:rsidRPr="009F1916" w:rsidP="009F1916" w14:paraId="341BDC39" w14:textId="11EAF526">
            <w:pPr>
              <w:pStyle w:val="TableTitleA"/>
            </w:pPr>
            <w:bookmarkStart w:id="253" w:name="_Ref181628195"/>
            <w:bookmarkStart w:id="254" w:name="_Toc184299584"/>
            <w:r w:rsidRPr="007B6745">
              <w:t xml:space="preserve">Table </w:t>
            </w:r>
            <w:r>
              <w:fldChar w:fldCharType="begin" w:fldLock="1"/>
            </w:r>
            <w:r>
              <w:instrText>STYLEREF 1 \s</w:instrText>
            </w:r>
            <w:r>
              <w:fldChar w:fldCharType="separate"/>
            </w:r>
            <w:r w:rsidR="00735BBC">
              <w:rPr>
                <w:noProof/>
              </w:rPr>
              <w:t>4</w:t>
            </w:r>
            <w:r>
              <w:fldChar w:fldCharType="end"/>
            </w:r>
            <w:r w:rsidR="000A1542">
              <w:noBreakHyphen/>
            </w:r>
            <w:r>
              <w:fldChar w:fldCharType="begin" w:fldLock="1"/>
            </w:r>
            <w:r>
              <w:instrText>SEQ Table \* ARABIC \s 1</w:instrText>
            </w:r>
            <w:r>
              <w:fldChar w:fldCharType="separate"/>
            </w:r>
            <w:r w:rsidR="00735BBC">
              <w:rPr>
                <w:noProof/>
              </w:rPr>
              <w:t>28</w:t>
            </w:r>
            <w:r>
              <w:fldChar w:fldCharType="end"/>
            </w:r>
            <w:bookmarkEnd w:id="253"/>
            <w:r w:rsidRPr="007B6745">
              <w:t>: Alternative Option Total Incremental Annual Recurring Costs (2023$)</w:t>
            </w:r>
            <w:bookmarkEnd w:id="254"/>
          </w:p>
        </w:tc>
      </w:tr>
      <w:tr w14:paraId="01533E18" w14:textId="77777777" w:rsidTr="00602DDE">
        <w:tblPrEx>
          <w:tblW w:w="4837" w:type="pct"/>
          <w:tblInd w:w="270" w:type="dxa"/>
          <w:tblLayout w:type="fixed"/>
          <w:tblLook w:val="04A0"/>
        </w:tblPrEx>
        <w:trPr>
          <w:trHeight w:val="20"/>
          <w:tblHeader/>
        </w:trPr>
        <w:tc>
          <w:tcPr>
            <w:tcW w:w="843" w:type="pct"/>
            <w:vMerge w:val="restart"/>
            <w:tcBorders>
              <w:top w:val="single" w:sz="4" w:space="0" w:color="auto"/>
              <w:left w:val="single" w:sz="4" w:space="0" w:color="auto"/>
              <w:bottom w:val="single" w:sz="4" w:space="0" w:color="000000"/>
              <w:right w:val="single" w:sz="4" w:space="0" w:color="auto"/>
            </w:tcBorders>
            <w:shd w:val="clear" w:color="auto" w:fill="013E5B"/>
            <w:vAlign w:val="center"/>
            <w:hideMark/>
          </w:tcPr>
          <w:p w:rsidR="007B6745" w:rsidRPr="007B6745" w:rsidP="000D7F2B" w14:paraId="29D2100A" w14:textId="77777777">
            <w:pPr>
              <w:pStyle w:val="TableSubtitle"/>
            </w:pPr>
            <w:r w:rsidRPr="007B6745">
              <w:t>Use category</w:t>
            </w:r>
          </w:p>
        </w:tc>
        <w:tc>
          <w:tcPr>
            <w:tcW w:w="845" w:type="pct"/>
            <w:gridSpan w:val="2"/>
            <w:tcBorders>
              <w:top w:val="single" w:sz="4" w:space="0" w:color="auto"/>
              <w:left w:val="nil"/>
              <w:bottom w:val="single" w:sz="4" w:space="0" w:color="auto"/>
              <w:right w:val="single" w:sz="4" w:space="0" w:color="000000"/>
            </w:tcBorders>
            <w:shd w:val="clear" w:color="auto" w:fill="013E5B"/>
            <w:vAlign w:val="center"/>
            <w:hideMark/>
          </w:tcPr>
          <w:p w:rsidR="007B6745" w:rsidRPr="007B6745" w:rsidP="000D7F2B" w14:paraId="7ABE18C2" w14:textId="77777777">
            <w:pPr>
              <w:pStyle w:val="TableSubtitle"/>
            </w:pPr>
            <w:r w:rsidRPr="007B6745">
              <w:t>PPE</w:t>
            </w:r>
          </w:p>
        </w:tc>
        <w:tc>
          <w:tcPr>
            <w:tcW w:w="546" w:type="pct"/>
            <w:vMerge w:val="restart"/>
            <w:tcBorders>
              <w:top w:val="single" w:sz="4" w:space="0" w:color="auto"/>
              <w:left w:val="single" w:sz="4" w:space="0" w:color="auto"/>
              <w:bottom w:val="single" w:sz="4" w:space="0" w:color="000000"/>
              <w:right w:val="single" w:sz="4" w:space="0" w:color="auto"/>
            </w:tcBorders>
            <w:shd w:val="clear" w:color="auto" w:fill="013E5B"/>
            <w:vAlign w:val="center"/>
            <w:hideMark/>
          </w:tcPr>
          <w:p w:rsidR="007B6745" w:rsidRPr="007B6745" w:rsidP="000D7F2B" w14:paraId="69C8D577" w14:textId="77777777">
            <w:pPr>
              <w:pStyle w:val="TableSubtitle"/>
            </w:pPr>
            <w:r w:rsidRPr="007B6745">
              <w:t>Cleaning</w:t>
            </w:r>
          </w:p>
        </w:tc>
        <w:tc>
          <w:tcPr>
            <w:tcW w:w="1095" w:type="pct"/>
            <w:gridSpan w:val="2"/>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58B23455" w14:textId="77777777">
            <w:pPr>
              <w:pStyle w:val="TableSubtitle"/>
            </w:pPr>
            <w:r w:rsidRPr="007B6745">
              <w:t>Monitoring</w:t>
            </w:r>
          </w:p>
        </w:tc>
        <w:tc>
          <w:tcPr>
            <w:tcW w:w="696"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478E959E" w14:textId="77777777">
            <w:pPr>
              <w:pStyle w:val="TableSubtitle"/>
            </w:pPr>
            <w:r w:rsidRPr="007B6745">
              <w:t>Engineering Controls</w:t>
            </w:r>
          </w:p>
        </w:tc>
        <w:tc>
          <w:tcPr>
            <w:tcW w:w="975"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440EA816" w14:textId="77777777">
            <w:pPr>
              <w:pStyle w:val="TableSubtitle"/>
            </w:pPr>
            <w:r w:rsidRPr="007B6745">
              <w:t>Total</w:t>
            </w:r>
          </w:p>
        </w:tc>
      </w:tr>
      <w:tr w14:paraId="37AEBEB1" w14:textId="77777777" w:rsidTr="00602DDE">
        <w:tblPrEx>
          <w:tblW w:w="4837" w:type="pct"/>
          <w:tblInd w:w="270" w:type="dxa"/>
          <w:tblLayout w:type="fixed"/>
          <w:tblLook w:val="04A0"/>
        </w:tblPrEx>
        <w:trPr>
          <w:trHeight w:val="20"/>
          <w:tblHeader/>
        </w:trPr>
        <w:tc>
          <w:tcPr>
            <w:tcW w:w="843" w:type="pct"/>
            <w:vMerge/>
            <w:tcBorders>
              <w:top w:val="nil"/>
              <w:left w:val="single" w:sz="4" w:space="0" w:color="auto"/>
              <w:bottom w:val="single" w:sz="4" w:space="0" w:color="000000"/>
              <w:right w:val="single" w:sz="4" w:space="0" w:color="auto"/>
            </w:tcBorders>
            <w:shd w:val="clear" w:color="auto" w:fill="013E5B"/>
            <w:vAlign w:val="center"/>
            <w:hideMark/>
          </w:tcPr>
          <w:p w:rsidR="007B6745" w:rsidRPr="007B6745" w:rsidP="000D7F2B" w14:paraId="7181D9FC" w14:textId="77777777">
            <w:pPr>
              <w:pStyle w:val="TableSubtitle"/>
            </w:pPr>
          </w:p>
        </w:tc>
        <w:tc>
          <w:tcPr>
            <w:tcW w:w="447" w:type="pct"/>
            <w:tcBorders>
              <w:top w:val="nil"/>
              <w:left w:val="nil"/>
              <w:bottom w:val="single" w:sz="4" w:space="0" w:color="auto"/>
              <w:right w:val="single" w:sz="4" w:space="0" w:color="auto"/>
            </w:tcBorders>
            <w:shd w:val="clear" w:color="auto" w:fill="013E5B"/>
            <w:vAlign w:val="center"/>
            <w:hideMark/>
          </w:tcPr>
          <w:p w:rsidR="007B6745" w:rsidRPr="007B6745" w:rsidP="000D7F2B" w14:paraId="1D948C64" w14:textId="77777777">
            <w:pPr>
              <w:pStyle w:val="TableSubtitle"/>
            </w:pPr>
            <w:r w:rsidRPr="007B6745">
              <w:t>Low</w:t>
            </w:r>
          </w:p>
        </w:tc>
        <w:tc>
          <w:tcPr>
            <w:tcW w:w="398" w:type="pct"/>
            <w:tcBorders>
              <w:top w:val="nil"/>
              <w:left w:val="nil"/>
              <w:bottom w:val="single" w:sz="4" w:space="0" w:color="auto"/>
              <w:right w:val="single" w:sz="4" w:space="0" w:color="auto"/>
            </w:tcBorders>
            <w:shd w:val="clear" w:color="auto" w:fill="013E5B"/>
            <w:vAlign w:val="center"/>
            <w:hideMark/>
          </w:tcPr>
          <w:p w:rsidR="007B6745" w:rsidRPr="007B6745" w:rsidP="000D7F2B" w14:paraId="66DA904C" w14:textId="77777777">
            <w:pPr>
              <w:pStyle w:val="TableSubtitle"/>
            </w:pPr>
            <w:r w:rsidRPr="007B6745">
              <w:t>High</w:t>
            </w:r>
          </w:p>
        </w:tc>
        <w:tc>
          <w:tcPr>
            <w:tcW w:w="546" w:type="pct"/>
            <w:vMerge/>
            <w:tcBorders>
              <w:top w:val="single" w:sz="4" w:space="0" w:color="auto"/>
              <w:left w:val="single" w:sz="4" w:space="0" w:color="auto"/>
              <w:bottom w:val="single" w:sz="4" w:space="0" w:color="000000"/>
              <w:right w:val="single" w:sz="4" w:space="0" w:color="auto"/>
            </w:tcBorders>
            <w:shd w:val="clear" w:color="auto" w:fill="013E5B"/>
            <w:vAlign w:val="center"/>
            <w:hideMark/>
          </w:tcPr>
          <w:p w:rsidR="007B6745" w:rsidRPr="007B6745" w:rsidP="000D7F2B" w14:paraId="69DEA7BF" w14:textId="77777777">
            <w:pPr>
              <w:pStyle w:val="TableSubtitle"/>
            </w:pPr>
          </w:p>
        </w:tc>
        <w:tc>
          <w:tcPr>
            <w:tcW w:w="597" w:type="pct"/>
            <w:tcBorders>
              <w:top w:val="single" w:sz="4" w:space="0" w:color="auto"/>
              <w:left w:val="nil"/>
              <w:bottom w:val="single" w:sz="4" w:space="0" w:color="auto"/>
              <w:right w:val="single" w:sz="4" w:space="0" w:color="auto"/>
            </w:tcBorders>
            <w:shd w:val="clear" w:color="auto" w:fill="013E5B"/>
            <w:vAlign w:val="center"/>
            <w:hideMark/>
          </w:tcPr>
          <w:p w:rsidR="007B6745" w:rsidRPr="007B6745" w:rsidP="000D7F2B" w14:paraId="1DD6390F" w14:textId="77777777">
            <w:pPr>
              <w:pStyle w:val="TableSubtitle"/>
            </w:pPr>
            <w:r w:rsidRPr="007B6745">
              <w:t>Low</w:t>
            </w:r>
          </w:p>
        </w:tc>
        <w:tc>
          <w:tcPr>
            <w:tcW w:w="498"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3E57B2CA" w14:textId="77777777">
            <w:pPr>
              <w:pStyle w:val="TableSubtitle"/>
            </w:pPr>
            <w:r w:rsidRPr="007B6745">
              <w:t>High</w:t>
            </w:r>
          </w:p>
        </w:tc>
        <w:tc>
          <w:tcPr>
            <w:tcW w:w="696" w:type="pct"/>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4572CE04" w14:textId="77777777">
            <w:pPr>
              <w:pStyle w:val="TableSubtitle"/>
            </w:pPr>
          </w:p>
        </w:tc>
        <w:tc>
          <w:tcPr>
            <w:tcW w:w="488"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6056591A" w14:textId="77777777">
            <w:pPr>
              <w:pStyle w:val="TableSubtitle"/>
            </w:pPr>
            <w:r w:rsidRPr="007B6745">
              <w:t>Low</w:t>
            </w:r>
          </w:p>
        </w:tc>
        <w:tc>
          <w:tcPr>
            <w:tcW w:w="488"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6BA518A1" w14:textId="77777777">
            <w:pPr>
              <w:pStyle w:val="TableSubtitle"/>
            </w:pPr>
            <w:r w:rsidRPr="007B6745">
              <w:t>High</w:t>
            </w:r>
          </w:p>
        </w:tc>
      </w:tr>
      <w:tr w14:paraId="1BB63475" w14:textId="77777777" w:rsidTr="00602DDE">
        <w:tblPrEx>
          <w:tblW w:w="4837" w:type="pct"/>
          <w:tblInd w:w="270" w:type="dxa"/>
          <w:tblLayout w:type="fixed"/>
          <w:tblLook w:val="04A0"/>
        </w:tblPrEx>
        <w:trPr>
          <w:trHeight w:val="20"/>
        </w:trPr>
        <w:tc>
          <w:tcPr>
            <w:tcW w:w="843" w:type="pct"/>
            <w:tcBorders>
              <w:top w:val="nil"/>
              <w:left w:val="single" w:sz="4" w:space="0" w:color="auto"/>
              <w:bottom w:val="single" w:sz="4" w:space="0" w:color="auto"/>
              <w:right w:val="single" w:sz="4" w:space="0" w:color="auto"/>
            </w:tcBorders>
            <w:vAlign w:val="center"/>
            <w:hideMark/>
          </w:tcPr>
          <w:p w:rsidR="001809DD" w:rsidRPr="007B6745" w:rsidP="001809DD" w14:paraId="45D65CD9" w14:textId="77777777">
            <w:pPr>
              <w:pStyle w:val="LTableTextAbt"/>
            </w:pPr>
            <w:r w:rsidRPr="007B6745">
              <w:t>PV29 manufacturing and intermediate processing</w:t>
            </w:r>
          </w:p>
        </w:tc>
        <w:tc>
          <w:tcPr>
            <w:tcW w:w="447" w:type="pct"/>
            <w:tcBorders>
              <w:top w:val="nil"/>
              <w:left w:val="nil"/>
              <w:bottom w:val="single" w:sz="4" w:space="0" w:color="auto"/>
              <w:right w:val="single" w:sz="4" w:space="0" w:color="auto"/>
            </w:tcBorders>
            <w:noWrap/>
            <w:tcMar>
              <w:left w:w="43" w:type="dxa"/>
              <w:right w:w="43" w:type="dxa"/>
            </w:tcMar>
            <w:hideMark/>
          </w:tcPr>
          <w:p w:rsidR="001809DD" w:rsidRPr="007B6745" w:rsidP="001809DD" w14:paraId="4BB4D4C9" w14:textId="4C9F442D">
            <w:pPr>
              <w:pStyle w:val="RTableTextAbt"/>
            </w:pPr>
            <w:r w:rsidRPr="00FD45BC">
              <w:t>$334</w:t>
            </w:r>
          </w:p>
        </w:tc>
        <w:tc>
          <w:tcPr>
            <w:tcW w:w="398" w:type="pct"/>
            <w:tcBorders>
              <w:top w:val="nil"/>
              <w:left w:val="nil"/>
              <w:bottom w:val="single" w:sz="4" w:space="0" w:color="auto"/>
              <w:right w:val="single" w:sz="4" w:space="0" w:color="auto"/>
            </w:tcBorders>
            <w:noWrap/>
            <w:tcMar>
              <w:left w:w="43" w:type="dxa"/>
              <w:right w:w="43" w:type="dxa"/>
            </w:tcMar>
            <w:hideMark/>
          </w:tcPr>
          <w:p w:rsidR="001809DD" w:rsidRPr="007B6745" w:rsidP="001809DD" w14:paraId="735408B2" w14:textId="7C715716">
            <w:pPr>
              <w:pStyle w:val="RTableTextAbt"/>
            </w:pPr>
            <w:r w:rsidRPr="00FD45BC">
              <w:t>$334</w:t>
            </w:r>
          </w:p>
        </w:tc>
        <w:tc>
          <w:tcPr>
            <w:tcW w:w="546" w:type="pct"/>
            <w:tcBorders>
              <w:top w:val="nil"/>
              <w:left w:val="nil"/>
              <w:bottom w:val="single" w:sz="4" w:space="0" w:color="auto"/>
              <w:right w:val="single" w:sz="4" w:space="0" w:color="auto"/>
            </w:tcBorders>
            <w:noWrap/>
            <w:tcMar>
              <w:left w:w="43" w:type="dxa"/>
              <w:right w:w="43" w:type="dxa"/>
            </w:tcMar>
            <w:hideMark/>
          </w:tcPr>
          <w:p w:rsidR="001809DD" w:rsidRPr="007B6745" w:rsidP="001809DD" w14:paraId="79DE8128" w14:textId="1238EEA0">
            <w:pPr>
              <w:pStyle w:val="RTableTextAbt"/>
            </w:pPr>
            <w:r w:rsidRPr="00FD45BC">
              <w:t>$12,272</w:t>
            </w:r>
          </w:p>
        </w:tc>
        <w:tc>
          <w:tcPr>
            <w:tcW w:w="597" w:type="pct"/>
            <w:tcBorders>
              <w:top w:val="single" w:sz="4" w:space="0" w:color="auto"/>
              <w:left w:val="nil"/>
              <w:bottom w:val="single" w:sz="4" w:space="0" w:color="auto"/>
              <w:right w:val="single" w:sz="4" w:space="0" w:color="auto"/>
            </w:tcBorders>
            <w:tcMar>
              <w:left w:w="43" w:type="dxa"/>
              <w:right w:w="43" w:type="dxa"/>
            </w:tcMar>
            <w:hideMark/>
          </w:tcPr>
          <w:p w:rsidR="001809DD" w:rsidRPr="007B6745" w:rsidP="001809DD" w14:paraId="680DDC55" w14:textId="105497F4">
            <w:pPr>
              <w:pStyle w:val="RTableTextAbt"/>
            </w:pPr>
            <w:r w:rsidRPr="00FD45BC">
              <w:t>$32,364</w:t>
            </w:r>
          </w:p>
        </w:tc>
        <w:tc>
          <w:tcPr>
            <w:tcW w:w="498" w:type="pct"/>
            <w:tcBorders>
              <w:top w:val="single" w:sz="4" w:space="0" w:color="auto"/>
              <w:left w:val="single" w:sz="4" w:space="0" w:color="auto"/>
              <w:bottom w:val="single" w:sz="4" w:space="0" w:color="auto"/>
              <w:right w:val="single" w:sz="4" w:space="0" w:color="auto"/>
            </w:tcBorders>
            <w:tcMar>
              <w:left w:w="43" w:type="dxa"/>
              <w:right w:w="43" w:type="dxa"/>
            </w:tcMar>
            <w:hideMark/>
          </w:tcPr>
          <w:p w:rsidR="001809DD" w:rsidRPr="007B6745" w:rsidP="001809DD" w14:paraId="76CA8C02" w14:textId="3C3964F5">
            <w:pPr>
              <w:pStyle w:val="RTableTextAbt"/>
            </w:pPr>
            <w:r w:rsidRPr="00FD45BC">
              <w:t>$43,524</w:t>
            </w:r>
          </w:p>
        </w:tc>
        <w:tc>
          <w:tcPr>
            <w:tcW w:w="696" w:type="pct"/>
            <w:tcBorders>
              <w:top w:val="single" w:sz="4" w:space="0" w:color="auto"/>
              <w:left w:val="single" w:sz="4" w:space="0" w:color="auto"/>
              <w:bottom w:val="single" w:sz="4" w:space="0" w:color="auto"/>
              <w:right w:val="single" w:sz="4" w:space="0" w:color="auto"/>
            </w:tcBorders>
            <w:tcMar>
              <w:left w:w="43" w:type="dxa"/>
              <w:right w:w="43" w:type="dxa"/>
            </w:tcMar>
            <w:hideMark/>
          </w:tcPr>
          <w:p w:rsidR="001809DD" w:rsidRPr="007B6745" w:rsidP="001809DD" w14:paraId="536A0E7A" w14:textId="1A94AE1A">
            <w:pPr>
              <w:pStyle w:val="RTableTextAbt"/>
            </w:pPr>
            <w:r w:rsidRPr="00FD45BC">
              <w:t>$0</w:t>
            </w:r>
          </w:p>
        </w:tc>
        <w:tc>
          <w:tcPr>
            <w:tcW w:w="488" w:type="pct"/>
            <w:tcBorders>
              <w:top w:val="single" w:sz="4" w:space="0" w:color="auto"/>
              <w:left w:val="single" w:sz="4" w:space="0" w:color="auto"/>
              <w:bottom w:val="single" w:sz="4" w:space="0" w:color="auto"/>
              <w:right w:val="single" w:sz="4" w:space="0" w:color="auto"/>
            </w:tcBorders>
            <w:noWrap/>
            <w:tcMar>
              <w:left w:w="43" w:type="dxa"/>
              <w:right w:w="43" w:type="dxa"/>
            </w:tcMar>
            <w:hideMark/>
          </w:tcPr>
          <w:p w:rsidR="001809DD" w:rsidRPr="007B6745" w:rsidP="001809DD" w14:paraId="26BA51F0" w14:textId="5D785FB5">
            <w:pPr>
              <w:pStyle w:val="RTableTextAbt"/>
            </w:pPr>
            <w:r w:rsidRPr="00FD45BC">
              <w:t>$44,970</w:t>
            </w:r>
          </w:p>
        </w:tc>
        <w:tc>
          <w:tcPr>
            <w:tcW w:w="488" w:type="pct"/>
            <w:tcBorders>
              <w:top w:val="single" w:sz="4" w:space="0" w:color="auto"/>
              <w:left w:val="single" w:sz="4" w:space="0" w:color="auto"/>
              <w:bottom w:val="single" w:sz="4" w:space="0" w:color="auto"/>
              <w:right w:val="single" w:sz="4" w:space="0" w:color="auto"/>
            </w:tcBorders>
            <w:noWrap/>
            <w:tcMar>
              <w:left w:w="43" w:type="dxa"/>
              <w:right w:w="43" w:type="dxa"/>
            </w:tcMar>
            <w:hideMark/>
          </w:tcPr>
          <w:p w:rsidR="001809DD" w:rsidRPr="007B6745" w:rsidP="001809DD" w14:paraId="54E62214" w14:textId="0AC03F55">
            <w:pPr>
              <w:pStyle w:val="RTableTextAbt"/>
            </w:pPr>
            <w:r w:rsidRPr="00FD45BC">
              <w:t>$56,130</w:t>
            </w:r>
          </w:p>
        </w:tc>
      </w:tr>
      <w:tr w14:paraId="32BDADBE" w14:textId="77777777" w:rsidTr="00602DDE">
        <w:tblPrEx>
          <w:tblW w:w="4837" w:type="pct"/>
          <w:tblInd w:w="270" w:type="dxa"/>
          <w:tblLayout w:type="fixed"/>
          <w:tblLook w:val="04A0"/>
        </w:tblPrEx>
        <w:trPr>
          <w:trHeight w:val="20"/>
        </w:trPr>
        <w:tc>
          <w:tcPr>
            <w:tcW w:w="843" w:type="pct"/>
            <w:tcBorders>
              <w:top w:val="nil"/>
              <w:left w:val="single" w:sz="4" w:space="0" w:color="auto"/>
              <w:bottom w:val="single" w:sz="4" w:space="0" w:color="auto"/>
              <w:right w:val="single" w:sz="4" w:space="0" w:color="auto"/>
            </w:tcBorders>
            <w:vAlign w:val="center"/>
            <w:hideMark/>
          </w:tcPr>
          <w:p w:rsidR="001809DD" w:rsidRPr="007B6745" w:rsidP="001809DD" w14:paraId="38072227" w14:textId="77777777">
            <w:pPr>
              <w:pStyle w:val="LTableTextAbt"/>
            </w:pPr>
            <w:r w:rsidRPr="007B6745">
              <w:t>PV29 importing</w:t>
            </w:r>
          </w:p>
        </w:tc>
        <w:tc>
          <w:tcPr>
            <w:tcW w:w="447" w:type="pct"/>
            <w:tcBorders>
              <w:top w:val="nil"/>
              <w:left w:val="nil"/>
              <w:bottom w:val="single" w:sz="4" w:space="0" w:color="auto"/>
              <w:right w:val="single" w:sz="4" w:space="0" w:color="auto"/>
            </w:tcBorders>
            <w:noWrap/>
            <w:tcMar>
              <w:left w:w="43" w:type="dxa"/>
              <w:right w:w="43" w:type="dxa"/>
            </w:tcMar>
            <w:hideMark/>
          </w:tcPr>
          <w:p w:rsidR="001809DD" w:rsidRPr="007B6745" w:rsidP="001809DD" w14:paraId="04B60E1C" w14:textId="0C4A6198">
            <w:pPr>
              <w:pStyle w:val="RTableTextAbt"/>
            </w:pPr>
            <w:r w:rsidRPr="00FD45BC">
              <w:t>$1,678</w:t>
            </w:r>
          </w:p>
        </w:tc>
        <w:tc>
          <w:tcPr>
            <w:tcW w:w="398" w:type="pct"/>
            <w:tcBorders>
              <w:top w:val="nil"/>
              <w:left w:val="nil"/>
              <w:bottom w:val="single" w:sz="4" w:space="0" w:color="auto"/>
              <w:right w:val="single" w:sz="4" w:space="0" w:color="auto"/>
            </w:tcBorders>
            <w:noWrap/>
            <w:tcMar>
              <w:left w:w="43" w:type="dxa"/>
              <w:right w:w="43" w:type="dxa"/>
            </w:tcMar>
            <w:hideMark/>
          </w:tcPr>
          <w:p w:rsidR="001809DD" w:rsidRPr="007B6745" w:rsidP="001809DD" w14:paraId="5747F6C7" w14:textId="1C8EC329">
            <w:pPr>
              <w:pStyle w:val="RTableTextAbt"/>
            </w:pPr>
            <w:r w:rsidRPr="00FD45BC">
              <w:t>$1,678</w:t>
            </w:r>
          </w:p>
        </w:tc>
        <w:tc>
          <w:tcPr>
            <w:tcW w:w="546" w:type="pct"/>
            <w:tcBorders>
              <w:top w:val="nil"/>
              <w:left w:val="nil"/>
              <w:bottom w:val="single" w:sz="4" w:space="0" w:color="auto"/>
              <w:right w:val="single" w:sz="4" w:space="0" w:color="auto"/>
            </w:tcBorders>
            <w:noWrap/>
            <w:tcMar>
              <w:left w:w="43" w:type="dxa"/>
              <w:right w:w="43" w:type="dxa"/>
            </w:tcMar>
            <w:hideMark/>
          </w:tcPr>
          <w:p w:rsidR="001809DD" w:rsidRPr="007B6745" w:rsidP="001809DD" w14:paraId="7ED30961" w14:textId="2BE1C58D">
            <w:pPr>
              <w:pStyle w:val="RTableTextAbt"/>
            </w:pPr>
            <w:r w:rsidRPr="00FD45BC">
              <w:t>$12,272</w:t>
            </w:r>
          </w:p>
        </w:tc>
        <w:tc>
          <w:tcPr>
            <w:tcW w:w="597" w:type="pct"/>
            <w:tcBorders>
              <w:top w:val="single" w:sz="4" w:space="0" w:color="auto"/>
              <w:left w:val="nil"/>
              <w:bottom w:val="single" w:sz="4" w:space="0" w:color="auto"/>
              <w:right w:val="single" w:sz="4" w:space="0" w:color="auto"/>
            </w:tcBorders>
            <w:tcMar>
              <w:left w:w="43" w:type="dxa"/>
              <w:right w:w="43" w:type="dxa"/>
            </w:tcMar>
            <w:hideMark/>
          </w:tcPr>
          <w:p w:rsidR="001809DD" w:rsidRPr="007B6745" w:rsidP="001809DD" w14:paraId="011BCD52" w14:textId="1CCBD11A">
            <w:pPr>
              <w:pStyle w:val="RTableTextAbt"/>
            </w:pPr>
            <w:r w:rsidRPr="00FD45BC">
              <w:t>$10,602</w:t>
            </w:r>
          </w:p>
        </w:tc>
        <w:tc>
          <w:tcPr>
            <w:tcW w:w="498" w:type="pct"/>
            <w:tcBorders>
              <w:top w:val="single" w:sz="4" w:space="0" w:color="auto"/>
              <w:left w:val="single" w:sz="4" w:space="0" w:color="auto"/>
              <w:bottom w:val="single" w:sz="4" w:space="0" w:color="auto"/>
              <w:right w:val="single" w:sz="4" w:space="0" w:color="auto"/>
            </w:tcBorders>
            <w:tcMar>
              <w:left w:w="43" w:type="dxa"/>
              <w:right w:w="43" w:type="dxa"/>
            </w:tcMar>
            <w:hideMark/>
          </w:tcPr>
          <w:p w:rsidR="001809DD" w:rsidRPr="007B6745" w:rsidP="001809DD" w14:paraId="22A078AA" w14:textId="6E7CB97A">
            <w:pPr>
              <w:pStyle w:val="RTableTextAbt"/>
            </w:pPr>
            <w:r w:rsidRPr="00FD45BC">
              <w:t>$10,602</w:t>
            </w:r>
          </w:p>
        </w:tc>
        <w:tc>
          <w:tcPr>
            <w:tcW w:w="696" w:type="pct"/>
            <w:tcBorders>
              <w:top w:val="single" w:sz="4" w:space="0" w:color="auto"/>
              <w:left w:val="single" w:sz="4" w:space="0" w:color="auto"/>
              <w:bottom w:val="single" w:sz="4" w:space="0" w:color="auto"/>
              <w:right w:val="single" w:sz="4" w:space="0" w:color="auto"/>
            </w:tcBorders>
            <w:tcMar>
              <w:left w:w="43" w:type="dxa"/>
              <w:right w:w="43" w:type="dxa"/>
            </w:tcMar>
            <w:hideMark/>
          </w:tcPr>
          <w:p w:rsidR="001809DD" w:rsidRPr="007B6745" w:rsidP="001809DD" w14:paraId="0141DC3E" w14:textId="73B38664">
            <w:pPr>
              <w:pStyle w:val="RTableTextAbt"/>
            </w:pPr>
            <w:r w:rsidRPr="00FD45BC">
              <w:t>$0</w:t>
            </w:r>
          </w:p>
        </w:tc>
        <w:tc>
          <w:tcPr>
            <w:tcW w:w="488" w:type="pct"/>
            <w:tcBorders>
              <w:top w:val="single" w:sz="4" w:space="0" w:color="auto"/>
              <w:left w:val="single" w:sz="4" w:space="0" w:color="auto"/>
              <w:bottom w:val="single" w:sz="4" w:space="0" w:color="auto"/>
              <w:right w:val="single" w:sz="4" w:space="0" w:color="auto"/>
            </w:tcBorders>
            <w:noWrap/>
            <w:tcMar>
              <w:left w:w="43" w:type="dxa"/>
              <w:right w:w="43" w:type="dxa"/>
            </w:tcMar>
            <w:hideMark/>
          </w:tcPr>
          <w:p w:rsidR="001809DD" w:rsidRPr="007B6745" w:rsidP="001809DD" w14:paraId="56AAE444" w14:textId="73EFBF42">
            <w:pPr>
              <w:pStyle w:val="RTableTextAbt"/>
            </w:pPr>
            <w:r w:rsidRPr="00FD45BC">
              <w:t>$24,552</w:t>
            </w:r>
          </w:p>
        </w:tc>
        <w:tc>
          <w:tcPr>
            <w:tcW w:w="488" w:type="pct"/>
            <w:tcBorders>
              <w:top w:val="single" w:sz="4" w:space="0" w:color="auto"/>
              <w:left w:val="single" w:sz="4" w:space="0" w:color="auto"/>
              <w:bottom w:val="single" w:sz="4" w:space="0" w:color="auto"/>
              <w:right w:val="single" w:sz="4" w:space="0" w:color="auto"/>
            </w:tcBorders>
            <w:noWrap/>
            <w:tcMar>
              <w:left w:w="43" w:type="dxa"/>
              <w:right w:w="43" w:type="dxa"/>
            </w:tcMar>
            <w:hideMark/>
          </w:tcPr>
          <w:p w:rsidR="001809DD" w:rsidRPr="007B6745" w:rsidP="001809DD" w14:paraId="7503ED90" w14:textId="5C40D249">
            <w:pPr>
              <w:pStyle w:val="RTableTextAbt"/>
            </w:pPr>
            <w:r w:rsidRPr="00FD45BC">
              <w:t>$24,552</w:t>
            </w:r>
          </w:p>
        </w:tc>
      </w:tr>
      <w:tr w14:paraId="5E6E065A" w14:textId="77777777" w:rsidTr="00602DDE">
        <w:tblPrEx>
          <w:tblW w:w="4837" w:type="pct"/>
          <w:tblInd w:w="270" w:type="dxa"/>
          <w:tblLayout w:type="fixed"/>
          <w:tblLook w:val="04A0"/>
        </w:tblPrEx>
        <w:trPr>
          <w:trHeight w:val="20"/>
        </w:trPr>
        <w:tc>
          <w:tcPr>
            <w:tcW w:w="843" w:type="pct"/>
            <w:tcBorders>
              <w:top w:val="nil"/>
              <w:left w:val="single" w:sz="4" w:space="0" w:color="auto"/>
              <w:bottom w:val="single" w:sz="4" w:space="0" w:color="auto"/>
              <w:right w:val="single" w:sz="4" w:space="0" w:color="auto"/>
            </w:tcBorders>
            <w:vAlign w:val="center"/>
            <w:hideMark/>
          </w:tcPr>
          <w:p w:rsidR="001809DD" w:rsidRPr="007B6745" w:rsidP="001809DD" w14:paraId="31BF1263" w14:textId="77777777">
            <w:pPr>
              <w:pStyle w:val="LTableTextAbt"/>
            </w:pPr>
            <w:r w:rsidRPr="007B6745">
              <w:t>Processing into automotive paints and coatings</w:t>
            </w:r>
          </w:p>
        </w:tc>
        <w:tc>
          <w:tcPr>
            <w:tcW w:w="447" w:type="pct"/>
            <w:tcBorders>
              <w:top w:val="nil"/>
              <w:left w:val="nil"/>
              <w:bottom w:val="single" w:sz="4" w:space="0" w:color="auto"/>
              <w:right w:val="single" w:sz="4" w:space="0" w:color="auto"/>
            </w:tcBorders>
            <w:noWrap/>
            <w:tcMar>
              <w:left w:w="43" w:type="dxa"/>
              <w:right w:w="43" w:type="dxa"/>
            </w:tcMar>
            <w:hideMark/>
          </w:tcPr>
          <w:p w:rsidR="001809DD" w:rsidRPr="007B6745" w:rsidP="001809DD" w14:paraId="0A313AEE" w14:textId="3DD034F4">
            <w:pPr>
              <w:pStyle w:val="RTableTextAbt"/>
            </w:pPr>
            <w:r w:rsidRPr="00FD45BC">
              <w:t>$23,495</w:t>
            </w:r>
          </w:p>
        </w:tc>
        <w:tc>
          <w:tcPr>
            <w:tcW w:w="398" w:type="pct"/>
            <w:tcBorders>
              <w:top w:val="nil"/>
              <w:left w:val="nil"/>
              <w:bottom w:val="single" w:sz="4" w:space="0" w:color="auto"/>
              <w:right w:val="single" w:sz="4" w:space="0" w:color="auto"/>
            </w:tcBorders>
            <w:noWrap/>
            <w:tcMar>
              <w:left w:w="43" w:type="dxa"/>
              <w:right w:w="43" w:type="dxa"/>
            </w:tcMar>
            <w:hideMark/>
          </w:tcPr>
          <w:p w:rsidR="001809DD" w:rsidRPr="007B6745" w:rsidP="001809DD" w14:paraId="1DAE8392" w14:textId="778C46D5">
            <w:pPr>
              <w:pStyle w:val="RTableTextAbt"/>
            </w:pPr>
            <w:r w:rsidRPr="00FD45BC">
              <w:t>$23,495</w:t>
            </w:r>
          </w:p>
        </w:tc>
        <w:tc>
          <w:tcPr>
            <w:tcW w:w="546" w:type="pct"/>
            <w:tcBorders>
              <w:top w:val="nil"/>
              <w:left w:val="nil"/>
              <w:bottom w:val="single" w:sz="4" w:space="0" w:color="auto"/>
              <w:right w:val="single" w:sz="4" w:space="0" w:color="auto"/>
            </w:tcBorders>
            <w:noWrap/>
            <w:tcMar>
              <w:left w:w="43" w:type="dxa"/>
              <w:right w:w="43" w:type="dxa"/>
            </w:tcMar>
            <w:hideMark/>
          </w:tcPr>
          <w:p w:rsidR="001809DD" w:rsidRPr="007B6745" w:rsidP="001809DD" w14:paraId="4AFA39FA" w14:textId="5B86638C">
            <w:pPr>
              <w:pStyle w:val="RTableTextAbt"/>
            </w:pPr>
            <w:r w:rsidRPr="00FD45BC">
              <w:t>$171,808</w:t>
            </w:r>
          </w:p>
        </w:tc>
        <w:tc>
          <w:tcPr>
            <w:tcW w:w="597" w:type="pct"/>
            <w:tcBorders>
              <w:top w:val="single" w:sz="4" w:space="0" w:color="auto"/>
              <w:left w:val="nil"/>
              <w:bottom w:val="single" w:sz="4" w:space="0" w:color="auto"/>
              <w:right w:val="single" w:sz="4" w:space="0" w:color="auto"/>
            </w:tcBorders>
            <w:tcMar>
              <w:left w:w="43" w:type="dxa"/>
              <w:right w:w="43" w:type="dxa"/>
            </w:tcMar>
            <w:hideMark/>
          </w:tcPr>
          <w:p w:rsidR="001809DD" w:rsidRPr="007B6745" w:rsidP="001809DD" w14:paraId="7C8EFFA9" w14:textId="6C33E751">
            <w:pPr>
              <w:pStyle w:val="RTableTextAbt"/>
            </w:pPr>
            <w:r w:rsidRPr="00FD45BC">
              <w:t>$148,428</w:t>
            </w:r>
          </w:p>
        </w:tc>
        <w:tc>
          <w:tcPr>
            <w:tcW w:w="498" w:type="pct"/>
            <w:tcBorders>
              <w:top w:val="single" w:sz="4" w:space="0" w:color="auto"/>
              <w:left w:val="single" w:sz="4" w:space="0" w:color="auto"/>
              <w:bottom w:val="single" w:sz="4" w:space="0" w:color="auto"/>
              <w:right w:val="single" w:sz="4" w:space="0" w:color="auto"/>
            </w:tcBorders>
            <w:tcMar>
              <w:left w:w="43" w:type="dxa"/>
              <w:right w:w="43" w:type="dxa"/>
            </w:tcMar>
            <w:hideMark/>
          </w:tcPr>
          <w:p w:rsidR="001809DD" w:rsidRPr="007B6745" w:rsidP="001809DD" w14:paraId="14F3006A" w14:textId="4DBE487E">
            <w:pPr>
              <w:pStyle w:val="RTableTextAbt"/>
            </w:pPr>
            <w:r w:rsidRPr="00FD45BC">
              <w:t>$148,428</w:t>
            </w:r>
          </w:p>
        </w:tc>
        <w:tc>
          <w:tcPr>
            <w:tcW w:w="696" w:type="pct"/>
            <w:tcBorders>
              <w:top w:val="single" w:sz="4" w:space="0" w:color="auto"/>
              <w:left w:val="single" w:sz="4" w:space="0" w:color="auto"/>
              <w:bottom w:val="single" w:sz="4" w:space="0" w:color="auto"/>
              <w:right w:val="single" w:sz="4" w:space="0" w:color="auto"/>
            </w:tcBorders>
            <w:tcMar>
              <w:left w:w="43" w:type="dxa"/>
              <w:right w:w="43" w:type="dxa"/>
            </w:tcMar>
            <w:hideMark/>
          </w:tcPr>
          <w:p w:rsidR="001809DD" w:rsidRPr="007B6745" w:rsidP="001809DD" w14:paraId="4963AC76" w14:textId="6B32163A">
            <w:pPr>
              <w:pStyle w:val="RTableTextAbt"/>
            </w:pPr>
            <w:r w:rsidRPr="00FD45BC">
              <w:t>$0</w:t>
            </w:r>
          </w:p>
        </w:tc>
        <w:tc>
          <w:tcPr>
            <w:tcW w:w="488" w:type="pct"/>
            <w:tcBorders>
              <w:top w:val="single" w:sz="4" w:space="0" w:color="auto"/>
              <w:left w:val="single" w:sz="4" w:space="0" w:color="auto"/>
              <w:bottom w:val="single" w:sz="4" w:space="0" w:color="auto"/>
              <w:right w:val="single" w:sz="4" w:space="0" w:color="auto"/>
            </w:tcBorders>
            <w:noWrap/>
            <w:tcMar>
              <w:left w:w="43" w:type="dxa"/>
              <w:right w:w="43" w:type="dxa"/>
            </w:tcMar>
            <w:hideMark/>
          </w:tcPr>
          <w:p w:rsidR="001809DD" w:rsidRPr="007B6745" w:rsidP="001809DD" w14:paraId="0FDC0F6D" w14:textId="37D00DC3">
            <w:pPr>
              <w:pStyle w:val="RTableTextAbt"/>
            </w:pPr>
            <w:r w:rsidRPr="00FD45BC">
              <w:t>$343,731</w:t>
            </w:r>
          </w:p>
        </w:tc>
        <w:tc>
          <w:tcPr>
            <w:tcW w:w="488" w:type="pct"/>
            <w:tcBorders>
              <w:top w:val="single" w:sz="4" w:space="0" w:color="auto"/>
              <w:left w:val="single" w:sz="4" w:space="0" w:color="auto"/>
              <w:bottom w:val="single" w:sz="4" w:space="0" w:color="auto"/>
              <w:right w:val="single" w:sz="4" w:space="0" w:color="auto"/>
            </w:tcBorders>
            <w:noWrap/>
            <w:tcMar>
              <w:left w:w="43" w:type="dxa"/>
              <w:right w:w="43" w:type="dxa"/>
            </w:tcMar>
            <w:hideMark/>
          </w:tcPr>
          <w:p w:rsidR="001809DD" w:rsidRPr="007B6745" w:rsidP="001809DD" w14:paraId="084872F0" w14:textId="56902992">
            <w:pPr>
              <w:pStyle w:val="RTableTextAbt"/>
            </w:pPr>
            <w:r w:rsidRPr="00FD45BC">
              <w:t>$343,731</w:t>
            </w:r>
          </w:p>
        </w:tc>
      </w:tr>
      <w:tr w14:paraId="2107BA64" w14:textId="77777777" w:rsidTr="00602DDE">
        <w:tblPrEx>
          <w:tblW w:w="4837" w:type="pct"/>
          <w:tblInd w:w="270" w:type="dxa"/>
          <w:tblLayout w:type="fixed"/>
          <w:tblLook w:val="04A0"/>
        </w:tblPrEx>
        <w:trPr>
          <w:trHeight w:val="20"/>
        </w:trPr>
        <w:tc>
          <w:tcPr>
            <w:tcW w:w="843" w:type="pct"/>
            <w:tcBorders>
              <w:top w:val="nil"/>
              <w:left w:val="single" w:sz="4" w:space="0" w:color="auto"/>
              <w:bottom w:val="single" w:sz="4" w:space="0" w:color="auto"/>
              <w:right w:val="single" w:sz="4" w:space="0" w:color="auto"/>
            </w:tcBorders>
            <w:vAlign w:val="center"/>
            <w:hideMark/>
          </w:tcPr>
          <w:p w:rsidR="001809DD" w:rsidRPr="007B6745" w:rsidP="001809DD" w14:paraId="3DF68822" w14:textId="77777777">
            <w:pPr>
              <w:pStyle w:val="LTableTextAbt"/>
            </w:pPr>
            <w:r w:rsidRPr="007B6745">
              <w:t>Processing into plastic and rubber products</w:t>
            </w:r>
          </w:p>
        </w:tc>
        <w:tc>
          <w:tcPr>
            <w:tcW w:w="447" w:type="pct"/>
            <w:tcBorders>
              <w:top w:val="nil"/>
              <w:left w:val="nil"/>
              <w:bottom w:val="single" w:sz="4" w:space="0" w:color="auto"/>
              <w:right w:val="single" w:sz="4" w:space="0" w:color="auto"/>
            </w:tcBorders>
            <w:noWrap/>
            <w:tcMar>
              <w:left w:w="43" w:type="dxa"/>
              <w:right w:w="43" w:type="dxa"/>
            </w:tcMar>
            <w:hideMark/>
          </w:tcPr>
          <w:p w:rsidR="001809DD" w:rsidRPr="007B6745" w:rsidP="001809DD" w14:paraId="35D1473C" w14:textId="7397BB4D">
            <w:pPr>
              <w:pStyle w:val="RTableTextAbt"/>
            </w:pPr>
            <w:r w:rsidRPr="00FD45BC">
              <w:t>$5,315</w:t>
            </w:r>
          </w:p>
        </w:tc>
        <w:tc>
          <w:tcPr>
            <w:tcW w:w="398" w:type="pct"/>
            <w:tcBorders>
              <w:top w:val="nil"/>
              <w:left w:val="nil"/>
              <w:bottom w:val="single" w:sz="4" w:space="0" w:color="auto"/>
              <w:right w:val="single" w:sz="4" w:space="0" w:color="auto"/>
            </w:tcBorders>
            <w:noWrap/>
            <w:tcMar>
              <w:left w:w="43" w:type="dxa"/>
              <w:right w:w="43" w:type="dxa"/>
            </w:tcMar>
            <w:hideMark/>
          </w:tcPr>
          <w:p w:rsidR="001809DD" w:rsidRPr="007B6745" w:rsidP="001809DD" w14:paraId="38A69C31" w14:textId="1EF95D14">
            <w:pPr>
              <w:pStyle w:val="RTableTextAbt"/>
            </w:pPr>
            <w:r w:rsidRPr="00FD45BC">
              <w:t>$5,315</w:t>
            </w:r>
          </w:p>
        </w:tc>
        <w:tc>
          <w:tcPr>
            <w:tcW w:w="546" w:type="pct"/>
            <w:tcBorders>
              <w:top w:val="nil"/>
              <w:left w:val="nil"/>
              <w:bottom w:val="single" w:sz="4" w:space="0" w:color="auto"/>
              <w:right w:val="single" w:sz="4" w:space="0" w:color="auto"/>
            </w:tcBorders>
            <w:noWrap/>
            <w:tcMar>
              <w:left w:w="43" w:type="dxa"/>
              <w:right w:w="43" w:type="dxa"/>
            </w:tcMar>
            <w:hideMark/>
          </w:tcPr>
          <w:p w:rsidR="001809DD" w:rsidRPr="007B6745" w:rsidP="001809DD" w14:paraId="6AC2E402" w14:textId="5F749584">
            <w:pPr>
              <w:pStyle w:val="RTableTextAbt"/>
            </w:pPr>
            <w:r w:rsidRPr="00FD45BC">
              <w:t>$73,632</w:t>
            </w:r>
          </w:p>
        </w:tc>
        <w:tc>
          <w:tcPr>
            <w:tcW w:w="597" w:type="pct"/>
            <w:tcBorders>
              <w:top w:val="single" w:sz="4" w:space="0" w:color="auto"/>
              <w:left w:val="nil"/>
              <w:bottom w:val="single" w:sz="4" w:space="0" w:color="auto"/>
              <w:right w:val="single" w:sz="4" w:space="0" w:color="auto"/>
            </w:tcBorders>
            <w:tcMar>
              <w:left w:w="43" w:type="dxa"/>
              <w:right w:w="43" w:type="dxa"/>
            </w:tcMar>
            <w:hideMark/>
          </w:tcPr>
          <w:p w:rsidR="001809DD" w:rsidRPr="007B6745" w:rsidP="001809DD" w14:paraId="51B20342" w14:textId="7F054570">
            <w:pPr>
              <w:pStyle w:val="RTableTextAbt"/>
            </w:pPr>
            <w:r w:rsidRPr="00FD45BC">
              <w:t>$130,572</w:t>
            </w:r>
          </w:p>
        </w:tc>
        <w:tc>
          <w:tcPr>
            <w:tcW w:w="498" w:type="pct"/>
            <w:tcBorders>
              <w:top w:val="single" w:sz="4" w:space="0" w:color="auto"/>
              <w:left w:val="single" w:sz="4" w:space="0" w:color="auto"/>
              <w:bottom w:val="single" w:sz="4" w:space="0" w:color="auto"/>
              <w:right w:val="single" w:sz="4" w:space="0" w:color="auto"/>
            </w:tcBorders>
            <w:tcMar>
              <w:left w:w="43" w:type="dxa"/>
              <w:right w:w="43" w:type="dxa"/>
            </w:tcMar>
            <w:hideMark/>
          </w:tcPr>
          <w:p w:rsidR="001809DD" w:rsidRPr="007B6745" w:rsidP="001809DD" w14:paraId="3533CF59" w14:textId="7B182DBF">
            <w:pPr>
              <w:pStyle w:val="RTableTextAbt"/>
            </w:pPr>
            <w:r w:rsidRPr="00FD45BC">
              <w:t>$130,572</w:t>
            </w:r>
          </w:p>
        </w:tc>
        <w:tc>
          <w:tcPr>
            <w:tcW w:w="696" w:type="pct"/>
            <w:tcBorders>
              <w:top w:val="single" w:sz="4" w:space="0" w:color="auto"/>
              <w:left w:val="single" w:sz="4" w:space="0" w:color="auto"/>
              <w:bottom w:val="single" w:sz="4" w:space="0" w:color="auto"/>
              <w:right w:val="single" w:sz="4" w:space="0" w:color="auto"/>
            </w:tcBorders>
            <w:tcMar>
              <w:left w:w="43" w:type="dxa"/>
              <w:right w:w="43" w:type="dxa"/>
            </w:tcMar>
            <w:hideMark/>
          </w:tcPr>
          <w:p w:rsidR="001809DD" w:rsidRPr="007B6745" w:rsidP="001809DD" w14:paraId="1FA6510A" w14:textId="3855B316">
            <w:pPr>
              <w:pStyle w:val="RTableTextAbt"/>
            </w:pPr>
            <w:r w:rsidRPr="00FD45BC">
              <w:t>$0</w:t>
            </w:r>
          </w:p>
        </w:tc>
        <w:tc>
          <w:tcPr>
            <w:tcW w:w="488" w:type="pct"/>
            <w:tcBorders>
              <w:top w:val="single" w:sz="4" w:space="0" w:color="auto"/>
              <w:left w:val="single" w:sz="4" w:space="0" w:color="auto"/>
              <w:bottom w:val="single" w:sz="4" w:space="0" w:color="auto"/>
              <w:right w:val="single" w:sz="4" w:space="0" w:color="auto"/>
            </w:tcBorders>
            <w:noWrap/>
            <w:tcMar>
              <w:left w:w="43" w:type="dxa"/>
              <w:right w:w="43" w:type="dxa"/>
            </w:tcMar>
            <w:hideMark/>
          </w:tcPr>
          <w:p w:rsidR="001809DD" w:rsidRPr="007B6745" w:rsidP="001809DD" w14:paraId="4A7FBFF4" w14:textId="5F248526">
            <w:pPr>
              <w:pStyle w:val="RTableTextAbt"/>
            </w:pPr>
            <w:r w:rsidRPr="00FD45BC">
              <w:t>$209,519</w:t>
            </w:r>
          </w:p>
        </w:tc>
        <w:tc>
          <w:tcPr>
            <w:tcW w:w="488" w:type="pct"/>
            <w:tcBorders>
              <w:top w:val="single" w:sz="4" w:space="0" w:color="auto"/>
              <w:left w:val="single" w:sz="4" w:space="0" w:color="auto"/>
              <w:bottom w:val="single" w:sz="4" w:space="0" w:color="auto"/>
              <w:right w:val="single" w:sz="4" w:space="0" w:color="auto"/>
            </w:tcBorders>
            <w:noWrap/>
            <w:tcMar>
              <w:left w:w="43" w:type="dxa"/>
              <w:right w:w="43" w:type="dxa"/>
            </w:tcMar>
            <w:hideMark/>
          </w:tcPr>
          <w:p w:rsidR="001809DD" w:rsidRPr="007B6745" w:rsidP="001809DD" w14:paraId="21F3CCE2" w14:textId="19F0AE9F">
            <w:pPr>
              <w:pStyle w:val="RTableTextAbt"/>
            </w:pPr>
            <w:r w:rsidRPr="00FD45BC">
              <w:t>$209,519</w:t>
            </w:r>
          </w:p>
        </w:tc>
      </w:tr>
      <w:tr w14:paraId="495C2BAF" w14:textId="77777777" w:rsidTr="00602DDE">
        <w:tblPrEx>
          <w:tblW w:w="4837" w:type="pct"/>
          <w:tblInd w:w="270" w:type="dxa"/>
          <w:tblLayout w:type="fixed"/>
          <w:tblLook w:val="04A0"/>
        </w:tblPrEx>
        <w:trPr>
          <w:trHeight w:val="20"/>
        </w:trPr>
        <w:tc>
          <w:tcPr>
            <w:tcW w:w="843" w:type="pct"/>
            <w:tcBorders>
              <w:top w:val="nil"/>
              <w:left w:val="single" w:sz="4" w:space="0" w:color="auto"/>
              <w:bottom w:val="single" w:sz="4" w:space="0" w:color="auto"/>
              <w:right w:val="single" w:sz="4" w:space="0" w:color="auto"/>
            </w:tcBorders>
            <w:vAlign w:val="center"/>
            <w:hideMark/>
          </w:tcPr>
          <w:p w:rsidR="001809DD" w:rsidRPr="007B6745" w:rsidP="001809DD" w14:paraId="40866253" w14:textId="77777777">
            <w:pPr>
              <w:pStyle w:val="LTableTextAbt"/>
            </w:pPr>
            <w:r w:rsidRPr="007B6745">
              <w:t>Recycling</w:t>
            </w:r>
          </w:p>
        </w:tc>
        <w:tc>
          <w:tcPr>
            <w:tcW w:w="447" w:type="pct"/>
            <w:tcBorders>
              <w:top w:val="nil"/>
              <w:left w:val="nil"/>
              <w:bottom w:val="single" w:sz="4" w:space="0" w:color="auto"/>
              <w:right w:val="single" w:sz="4" w:space="0" w:color="auto"/>
            </w:tcBorders>
            <w:noWrap/>
            <w:tcMar>
              <w:left w:w="43" w:type="dxa"/>
              <w:right w:w="43" w:type="dxa"/>
            </w:tcMar>
            <w:hideMark/>
          </w:tcPr>
          <w:p w:rsidR="001809DD" w:rsidRPr="007B6745" w:rsidP="001809DD" w14:paraId="7E76D560" w14:textId="4167BAC4">
            <w:pPr>
              <w:pStyle w:val="RTableTextAbt"/>
            </w:pPr>
            <w:r w:rsidRPr="00FD45BC">
              <w:t>$0</w:t>
            </w:r>
          </w:p>
        </w:tc>
        <w:tc>
          <w:tcPr>
            <w:tcW w:w="398" w:type="pct"/>
            <w:tcBorders>
              <w:top w:val="nil"/>
              <w:left w:val="nil"/>
              <w:bottom w:val="single" w:sz="4" w:space="0" w:color="auto"/>
              <w:right w:val="single" w:sz="4" w:space="0" w:color="auto"/>
            </w:tcBorders>
            <w:noWrap/>
            <w:tcMar>
              <w:left w:w="43" w:type="dxa"/>
              <w:right w:w="43" w:type="dxa"/>
            </w:tcMar>
            <w:hideMark/>
          </w:tcPr>
          <w:p w:rsidR="001809DD" w:rsidRPr="007B6745" w:rsidP="001809DD" w14:paraId="2FE4D22A" w14:textId="4374C31A">
            <w:pPr>
              <w:pStyle w:val="RTableTextAbt"/>
            </w:pPr>
            <w:r w:rsidRPr="00FD45BC">
              <w:t>$0</w:t>
            </w:r>
          </w:p>
        </w:tc>
        <w:tc>
          <w:tcPr>
            <w:tcW w:w="546" w:type="pct"/>
            <w:tcBorders>
              <w:top w:val="nil"/>
              <w:left w:val="nil"/>
              <w:bottom w:val="single" w:sz="4" w:space="0" w:color="auto"/>
              <w:right w:val="single" w:sz="4" w:space="0" w:color="auto"/>
            </w:tcBorders>
            <w:noWrap/>
            <w:tcMar>
              <w:left w:w="43" w:type="dxa"/>
              <w:right w:w="43" w:type="dxa"/>
            </w:tcMar>
            <w:hideMark/>
          </w:tcPr>
          <w:p w:rsidR="001809DD" w:rsidRPr="007B6745" w:rsidP="001809DD" w14:paraId="785F6CB2" w14:textId="716D8460">
            <w:pPr>
              <w:pStyle w:val="RTableTextAbt"/>
            </w:pPr>
            <w:r w:rsidRPr="00FD45BC">
              <w:t>$0</w:t>
            </w:r>
          </w:p>
        </w:tc>
        <w:tc>
          <w:tcPr>
            <w:tcW w:w="597" w:type="pct"/>
            <w:tcBorders>
              <w:top w:val="single" w:sz="4" w:space="0" w:color="auto"/>
              <w:left w:val="nil"/>
              <w:bottom w:val="single" w:sz="4" w:space="0" w:color="auto"/>
              <w:right w:val="single" w:sz="4" w:space="0" w:color="auto"/>
            </w:tcBorders>
            <w:tcMar>
              <w:left w:w="43" w:type="dxa"/>
              <w:right w:w="43" w:type="dxa"/>
            </w:tcMar>
            <w:hideMark/>
          </w:tcPr>
          <w:p w:rsidR="001809DD" w:rsidRPr="007B6745" w:rsidP="001809DD" w14:paraId="7FD9E7E4" w14:textId="668D9565">
            <w:pPr>
              <w:pStyle w:val="RTableTextAbt"/>
            </w:pPr>
            <w:r w:rsidRPr="00FD45BC">
              <w:t>$0</w:t>
            </w:r>
          </w:p>
        </w:tc>
        <w:tc>
          <w:tcPr>
            <w:tcW w:w="498" w:type="pct"/>
            <w:tcBorders>
              <w:top w:val="single" w:sz="4" w:space="0" w:color="auto"/>
              <w:left w:val="single" w:sz="4" w:space="0" w:color="auto"/>
              <w:bottom w:val="single" w:sz="4" w:space="0" w:color="auto"/>
              <w:right w:val="single" w:sz="4" w:space="0" w:color="auto"/>
            </w:tcBorders>
            <w:tcMar>
              <w:left w:w="43" w:type="dxa"/>
              <w:right w:w="43" w:type="dxa"/>
            </w:tcMar>
            <w:hideMark/>
          </w:tcPr>
          <w:p w:rsidR="001809DD" w:rsidRPr="007B6745" w:rsidP="001809DD" w14:paraId="65A20026" w14:textId="5600B7FF">
            <w:pPr>
              <w:pStyle w:val="RTableTextAbt"/>
            </w:pPr>
            <w:r w:rsidRPr="00FD45BC">
              <w:t>$0</w:t>
            </w:r>
          </w:p>
        </w:tc>
        <w:tc>
          <w:tcPr>
            <w:tcW w:w="696" w:type="pct"/>
            <w:tcBorders>
              <w:top w:val="single" w:sz="4" w:space="0" w:color="auto"/>
              <w:left w:val="single" w:sz="4" w:space="0" w:color="auto"/>
              <w:bottom w:val="single" w:sz="4" w:space="0" w:color="auto"/>
              <w:right w:val="single" w:sz="4" w:space="0" w:color="auto"/>
            </w:tcBorders>
            <w:tcMar>
              <w:left w:w="43" w:type="dxa"/>
              <w:right w:w="43" w:type="dxa"/>
            </w:tcMar>
            <w:hideMark/>
          </w:tcPr>
          <w:p w:rsidR="001809DD" w:rsidRPr="007B6745" w:rsidP="001809DD" w14:paraId="12ECA86B" w14:textId="27D077D4">
            <w:pPr>
              <w:pStyle w:val="RTableTextAbt"/>
            </w:pPr>
            <w:r w:rsidRPr="00FD45BC">
              <w:t>$0</w:t>
            </w:r>
          </w:p>
        </w:tc>
        <w:tc>
          <w:tcPr>
            <w:tcW w:w="488" w:type="pct"/>
            <w:tcBorders>
              <w:top w:val="single" w:sz="4" w:space="0" w:color="auto"/>
              <w:left w:val="single" w:sz="4" w:space="0" w:color="auto"/>
              <w:bottom w:val="single" w:sz="4" w:space="0" w:color="auto"/>
              <w:right w:val="single" w:sz="4" w:space="0" w:color="auto"/>
            </w:tcBorders>
            <w:noWrap/>
            <w:tcMar>
              <w:left w:w="43" w:type="dxa"/>
              <w:right w:w="43" w:type="dxa"/>
            </w:tcMar>
            <w:hideMark/>
          </w:tcPr>
          <w:p w:rsidR="001809DD" w:rsidRPr="007B6745" w:rsidP="001809DD" w14:paraId="1C05D8F4" w14:textId="0D81F6AF">
            <w:pPr>
              <w:pStyle w:val="RTableTextAbt"/>
            </w:pPr>
            <w:r w:rsidRPr="00FD45BC">
              <w:t>$0</w:t>
            </w:r>
          </w:p>
        </w:tc>
        <w:tc>
          <w:tcPr>
            <w:tcW w:w="488" w:type="pct"/>
            <w:tcBorders>
              <w:top w:val="single" w:sz="4" w:space="0" w:color="auto"/>
              <w:left w:val="single" w:sz="4" w:space="0" w:color="auto"/>
              <w:bottom w:val="single" w:sz="4" w:space="0" w:color="auto"/>
              <w:right w:val="single" w:sz="4" w:space="0" w:color="auto"/>
            </w:tcBorders>
            <w:noWrap/>
            <w:tcMar>
              <w:left w:w="43" w:type="dxa"/>
              <w:right w:w="43" w:type="dxa"/>
            </w:tcMar>
            <w:hideMark/>
          </w:tcPr>
          <w:p w:rsidR="001809DD" w:rsidRPr="007B6745" w:rsidP="001809DD" w14:paraId="2760D871" w14:textId="554E574F">
            <w:pPr>
              <w:pStyle w:val="RTableTextAbt"/>
            </w:pPr>
            <w:r w:rsidRPr="00FD45BC">
              <w:t>$0</w:t>
            </w:r>
          </w:p>
        </w:tc>
      </w:tr>
      <w:tr w14:paraId="0DEC4626" w14:textId="77777777" w:rsidTr="00602DDE">
        <w:tblPrEx>
          <w:tblW w:w="4837" w:type="pct"/>
          <w:tblInd w:w="270" w:type="dxa"/>
          <w:tblLayout w:type="fixed"/>
          <w:tblLook w:val="04A0"/>
        </w:tblPrEx>
        <w:trPr>
          <w:trHeight w:val="20"/>
        </w:trPr>
        <w:tc>
          <w:tcPr>
            <w:tcW w:w="843" w:type="pct"/>
            <w:tcBorders>
              <w:top w:val="nil"/>
              <w:left w:val="single" w:sz="4" w:space="0" w:color="auto"/>
              <w:bottom w:val="single" w:sz="4" w:space="0" w:color="auto"/>
              <w:right w:val="single" w:sz="4" w:space="0" w:color="auto"/>
            </w:tcBorders>
            <w:vAlign w:val="center"/>
            <w:hideMark/>
          </w:tcPr>
          <w:p w:rsidR="001809DD" w:rsidRPr="007B6745" w:rsidP="001809DD" w14:paraId="7004C119" w14:textId="77777777">
            <w:pPr>
              <w:pStyle w:val="LTableTextAbt"/>
            </w:pPr>
            <w:r w:rsidRPr="007B6745">
              <w:t>Automotive painting (new vehicles)</w:t>
            </w:r>
          </w:p>
        </w:tc>
        <w:tc>
          <w:tcPr>
            <w:tcW w:w="447" w:type="pct"/>
            <w:tcBorders>
              <w:top w:val="nil"/>
              <w:left w:val="nil"/>
              <w:bottom w:val="single" w:sz="4" w:space="0" w:color="auto"/>
              <w:right w:val="single" w:sz="4" w:space="0" w:color="auto"/>
            </w:tcBorders>
            <w:noWrap/>
            <w:tcMar>
              <w:left w:w="43" w:type="dxa"/>
              <w:right w:w="43" w:type="dxa"/>
            </w:tcMar>
            <w:hideMark/>
          </w:tcPr>
          <w:p w:rsidR="001809DD" w:rsidRPr="007B6745" w:rsidP="001809DD" w14:paraId="0170C4D6" w14:textId="39785FEB">
            <w:pPr>
              <w:pStyle w:val="RTableTextAbt"/>
            </w:pPr>
            <w:r w:rsidRPr="00FD45BC">
              <w:t>$0</w:t>
            </w:r>
          </w:p>
        </w:tc>
        <w:tc>
          <w:tcPr>
            <w:tcW w:w="398" w:type="pct"/>
            <w:tcBorders>
              <w:top w:val="nil"/>
              <w:left w:val="nil"/>
              <w:bottom w:val="single" w:sz="4" w:space="0" w:color="auto"/>
              <w:right w:val="single" w:sz="4" w:space="0" w:color="auto"/>
            </w:tcBorders>
            <w:noWrap/>
            <w:tcMar>
              <w:left w:w="43" w:type="dxa"/>
              <w:right w:w="43" w:type="dxa"/>
            </w:tcMar>
            <w:hideMark/>
          </w:tcPr>
          <w:p w:rsidR="001809DD" w:rsidRPr="007B6745" w:rsidP="001809DD" w14:paraId="5E3BF6D2" w14:textId="5A049BA0">
            <w:pPr>
              <w:pStyle w:val="RTableTextAbt"/>
            </w:pPr>
            <w:r w:rsidRPr="00FD45BC">
              <w:t>$0</w:t>
            </w:r>
          </w:p>
        </w:tc>
        <w:tc>
          <w:tcPr>
            <w:tcW w:w="546" w:type="pct"/>
            <w:tcBorders>
              <w:top w:val="nil"/>
              <w:left w:val="nil"/>
              <w:bottom w:val="single" w:sz="4" w:space="0" w:color="auto"/>
              <w:right w:val="single" w:sz="4" w:space="0" w:color="auto"/>
            </w:tcBorders>
            <w:noWrap/>
            <w:tcMar>
              <w:left w:w="43" w:type="dxa"/>
              <w:right w:w="43" w:type="dxa"/>
            </w:tcMar>
            <w:hideMark/>
          </w:tcPr>
          <w:p w:rsidR="001809DD" w:rsidRPr="007B6745" w:rsidP="001809DD" w14:paraId="3D78AF28" w14:textId="7DD3407B">
            <w:pPr>
              <w:pStyle w:val="RTableTextAbt"/>
            </w:pPr>
            <w:r w:rsidRPr="00FD45BC">
              <w:t>$0</w:t>
            </w:r>
          </w:p>
        </w:tc>
        <w:tc>
          <w:tcPr>
            <w:tcW w:w="597" w:type="pct"/>
            <w:tcBorders>
              <w:top w:val="single" w:sz="4" w:space="0" w:color="auto"/>
              <w:left w:val="nil"/>
              <w:bottom w:val="single" w:sz="4" w:space="0" w:color="auto"/>
              <w:right w:val="single" w:sz="4" w:space="0" w:color="auto"/>
            </w:tcBorders>
            <w:tcMar>
              <w:left w:w="43" w:type="dxa"/>
              <w:right w:w="43" w:type="dxa"/>
            </w:tcMar>
            <w:hideMark/>
          </w:tcPr>
          <w:p w:rsidR="001809DD" w:rsidRPr="007B6745" w:rsidP="001809DD" w14:paraId="59E460CE" w14:textId="231354BB">
            <w:pPr>
              <w:pStyle w:val="RTableTextAbt"/>
            </w:pPr>
            <w:r w:rsidRPr="00FD45BC">
              <w:t>$0</w:t>
            </w:r>
          </w:p>
        </w:tc>
        <w:tc>
          <w:tcPr>
            <w:tcW w:w="498" w:type="pct"/>
            <w:tcBorders>
              <w:top w:val="single" w:sz="4" w:space="0" w:color="auto"/>
              <w:left w:val="single" w:sz="4" w:space="0" w:color="auto"/>
              <w:bottom w:val="single" w:sz="4" w:space="0" w:color="auto"/>
              <w:right w:val="single" w:sz="4" w:space="0" w:color="auto"/>
            </w:tcBorders>
            <w:tcMar>
              <w:left w:w="43" w:type="dxa"/>
              <w:right w:w="43" w:type="dxa"/>
            </w:tcMar>
            <w:hideMark/>
          </w:tcPr>
          <w:p w:rsidR="001809DD" w:rsidRPr="007B6745" w:rsidP="001809DD" w14:paraId="29629F6C" w14:textId="02B0B2BD">
            <w:pPr>
              <w:pStyle w:val="RTableTextAbt"/>
            </w:pPr>
            <w:r w:rsidRPr="00FD45BC">
              <w:t>$0</w:t>
            </w:r>
          </w:p>
        </w:tc>
        <w:tc>
          <w:tcPr>
            <w:tcW w:w="696" w:type="pct"/>
            <w:tcBorders>
              <w:top w:val="single" w:sz="4" w:space="0" w:color="auto"/>
              <w:left w:val="single" w:sz="4" w:space="0" w:color="auto"/>
              <w:bottom w:val="single" w:sz="4" w:space="0" w:color="auto"/>
              <w:right w:val="single" w:sz="4" w:space="0" w:color="auto"/>
            </w:tcBorders>
            <w:tcMar>
              <w:left w:w="43" w:type="dxa"/>
              <w:right w:w="43" w:type="dxa"/>
            </w:tcMar>
            <w:hideMark/>
          </w:tcPr>
          <w:p w:rsidR="001809DD" w:rsidRPr="007B6745" w:rsidP="001809DD" w14:paraId="478AAAE1" w14:textId="6E1CDF39">
            <w:pPr>
              <w:pStyle w:val="RTableTextAbt"/>
            </w:pPr>
            <w:r w:rsidRPr="00FD45BC">
              <w:t>$0</w:t>
            </w:r>
          </w:p>
        </w:tc>
        <w:tc>
          <w:tcPr>
            <w:tcW w:w="488" w:type="pct"/>
            <w:tcBorders>
              <w:top w:val="single" w:sz="4" w:space="0" w:color="auto"/>
              <w:left w:val="single" w:sz="4" w:space="0" w:color="auto"/>
              <w:bottom w:val="single" w:sz="4" w:space="0" w:color="auto"/>
              <w:right w:val="single" w:sz="4" w:space="0" w:color="auto"/>
            </w:tcBorders>
            <w:noWrap/>
            <w:tcMar>
              <w:left w:w="43" w:type="dxa"/>
              <w:right w:w="43" w:type="dxa"/>
            </w:tcMar>
            <w:hideMark/>
          </w:tcPr>
          <w:p w:rsidR="001809DD" w:rsidRPr="007B6745" w:rsidP="001809DD" w14:paraId="2DCA5FDE" w14:textId="489F4E7B">
            <w:pPr>
              <w:pStyle w:val="RTableTextAbt"/>
            </w:pPr>
            <w:r w:rsidRPr="00FD45BC">
              <w:t>$0</w:t>
            </w:r>
          </w:p>
        </w:tc>
        <w:tc>
          <w:tcPr>
            <w:tcW w:w="488" w:type="pct"/>
            <w:tcBorders>
              <w:top w:val="single" w:sz="4" w:space="0" w:color="auto"/>
              <w:left w:val="single" w:sz="4" w:space="0" w:color="auto"/>
              <w:bottom w:val="single" w:sz="4" w:space="0" w:color="auto"/>
              <w:right w:val="single" w:sz="4" w:space="0" w:color="auto"/>
            </w:tcBorders>
            <w:noWrap/>
            <w:tcMar>
              <w:left w:w="43" w:type="dxa"/>
              <w:right w:w="43" w:type="dxa"/>
            </w:tcMar>
            <w:hideMark/>
          </w:tcPr>
          <w:p w:rsidR="001809DD" w:rsidRPr="007B6745" w:rsidP="001809DD" w14:paraId="47CC913A" w14:textId="6DE6ABB4">
            <w:pPr>
              <w:pStyle w:val="RTableTextAbt"/>
            </w:pPr>
            <w:r w:rsidRPr="00FD45BC">
              <w:t>$0</w:t>
            </w:r>
          </w:p>
        </w:tc>
      </w:tr>
      <w:tr w14:paraId="250C7392" w14:textId="77777777" w:rsidTr="00602DDE">
        <w:tblPrEx>
          <w:tblW w:w="4837" w:type="pct"/>
          <w:tblInd w:w="270" w:type="dxa"/>
          <w:tblLayout w:type="fixed"/>
          <w:tblLook w:val="04A0"/>
        </w:tblPrEx>
        <w:trPr>
          <w:trHeight w:val="20"/>
        </w:trPr>
        <w:tc>
          <w:tcPr>
            <w:tcW w:w="843" w:type="pct"/>
            <w:tcBorders>
              <w:top w:val="nil"/>
              <w:left w:val="single" w:sz="4" w:space="0" w:color="auto"/>
              <w:bottom w:val="single" w:sz="4" w:space="0" w:color="auto"/>
              <w:right w:val="single" w:sz="4" w:space="0" w:color="auto"/>
            </w:tcBorders>
            <w:vAlign w:val="center"/>
            <w:hideMark/>
          </w:tcPr>
          <w:p w:rsidR="001809DD" w:rsidRPr="007B6745" w:rsidP="001809DD" w14:paraId="3C4BDEBF" w14:textId="77777777">
            <w:pPr>
              <w:pStyle w:val="LTableTextAbt"/>
            </w:pPr>
            <w:r w:rsidRPr="007B6745">
              <w:t>Automotive refinishing</w:t>
            </w:r>
          </w:p>
        </w:tc>
        <w:tc>
          <w:tcPr>
            <w:tcW w:w="447" w:type="pct"/>
            <w:tcBorders>
              <w:top w:val="nil"/>
              <w:left w:val="nil"/>
              <w:bottom w:val="single" w:sz="4" w:space="0" w:color="auto"/>
              <w:right w:val="single" w:sz="4" w:space="0" w:color="auto"/>
            </w:tcBorders>
            <w:noWrap/>
            <w:tcMar>
              <w:left w:w="43" w:type="dxa"/>
              <w:right w:w="43" w:type="dxa"/>
            </w:tcMar>
            <w:hideMark/>
          </w:tcPr>
          <w:p w:rsidR="001809DD" w:rsidRPr="007B6745" w:rsidP="001809DD" w14:paraId="45AD0F0B" w14:textId="4556038A">
            <w:pPr>
              <w:pStyle w:val="RTableTextAbt"/>
            </w:pPr>
            <w:r w:rsidRPr="00FD45BC">
              <w:t>$0</w:t>
            </w:r>
          </w:p>
        </w:tc>
        <w:tc>
          <w:tcPr>
            <w:tcW w:w="398" w:type="pct"/>
            <w:tcBorders>
              <w:top w:val="nil"/>
              <w:left w:val="nil"/>
              <w:bottom w:val="single" w:sz="4" w:space="0" w:color="auto"/>
              <w:right w:val="single" w:sz="4" w:space="0" w:color="auto"/>
            </w:tcBorders>
            <w:noWrap/>
            <w:tcMar>
              <w:left w:w="43" w:type="dxa"/>
              <w:right w:w="43" w:type="dxa"/>
            </w:tcMar>
            <w:hideMark/>
          </w:tcPr>
          <w:p w:rsidR="001809DD" w:rsidRPr="007B6745" w:rsidP="001809DD" w14:paraId="1B26E1AE" w14:textId="0FD29562">
            <w:pPr>
              <w:pStyle w:val="RTableTextAbt"/>
            </w:pPr>
            <w:r w:rsidRPr="00FD45BC">
              <w:t>$0</w:t>
            </w:r>
          </w:p>
        </w:tc>
        <w:tc>
          <w:tcPr>
            <w:tcW w:w="546" w:type="pct"/>
            <w:tcBorders>
              <w:top w:val="nil"/>
              <w:left w:val="nil"/>
              <w:bottom w:val="single" w:sz="4" w:space="0" w:color="auto"/>
              <w:right w:val="single" w:sz="4" w:space="0" w:color="auto"/>
            </w:tcBorders>
            <w:noWrap/>
            <w:tcMar>
              <w:left w:w="43" w:type="dxa"/>
              <w:right w:w="43" w:type="dxa"/>
            </w:tcMar>
            <w:hideMark/>
          </w:tcPr>
          <w:p w:rsidR="001809DD" w:rsidRPr="007B6745" w:rsidP="001809DD" w14:paraId="3DAC8B08" w14:textId="1CB998AF">
            <w:pPr>
              <w:pStyle w:val="RTableTextAbt"/>
            </w:pPr>
            <w:r w:rsidRPr="00FD45BC">
              <w:t>$0</w:t>
            </w:r>
          </w:p>
        </w:tc>
        <w:tc>
          <w:tcPr>
            <w:tcW w:w="597" w:type="pct"/>
            <w:tcBorders>
              <w:top w:val="single" w:sz="4" w:space="0" w:color="auto"/>
              <w:left w:val="nil"/>
              <w:bottom w:val="single" w:sz="4" w:space="0" w:color="auto"/>
              <w:right w:val="single" w:sz="4" w:space="0" w:color="auto"/>
            </w:tcBorders>
            <w:tcMar>
              <w:left w:w="43" w:type="dxa"/>
              <w:right w:w="43" w:type="dxa"/>
            </w:tcMar>
            <w:hideMark/>
          </w:tcPr>
          <w:p w:rsidR="001809DD" w:rsidRPr="007B6745" w:rsidP="001809DD" w14:paraId="1F5E7BF0" w14:textId="3E8FC482">
            <w:pPr>
              <w:pStyle w:val="RTableTextAbt"/>
            </w:pPr>
            <w:r w:rsidRPr="00FD45BC">
              <w:t>$0</w:t>
            </w:r>
          </w:p>
        </w:tc>
        <w:tc>
          <w:tcPr>
            <w:tcW w:w="498" w:type="pct"/>
            <w:tcBorders>
              <w:top w:val="single" w:sz="4" w:space="0" w:color="auto"/>
              <w:left w:val="single" w:sz="4" w:space="0" w:color="auto"/>
              <w:bottom w:val="single" w:sz="4" w:space="0" w:color="auto"/>
              <w:right w:val="single" w:sz="4" w:space="0" w:color="auto"/>
            </w:tcBorders>
            <w:tcMar>
              <w:left w:w="43" w:type="dxa"/>
              <w:right w:w="43" w:type="dxa"/>
            </w:tcMar>
            <w:hideMark/>
          </w:tcPr>
          <w:p w:rsidR="001809DD" w:rsidRPr="007B6745" w:rsidP="001809DD" w14:paraId="06C56B5A" w14:textId="43348980">
            <w:pPr>
              <w:pStyle w:val="RTableTextAbt"/>
            </w:pPr>
            <w:r w:rsidRPr="00FD45BC">
              <w:t>$0</w:t>
            </w:r>
          </w:p>
        </w:tc>
        <w:tc>
          <w:tcPr>
            <w:tcW w:w="696" w:type="pct"/>
            <w:tcBorders>
              <w:top w:val="single" w:sz="4" w:space="0" w:color="auto"/>
              <w:left w:val="single" w:sz="4" w:space="0" w:color="auto"/>
              <w:bottom w:val="single" w:sz="4" w:space="0" w:color="auto"/>
              <w:right w:val="single" w:sz="4" w:space="0" w:color="auto"/>
            </w:tcBorders>
            <w:tcMar>
              <w:left w:w="43" w:type="dxa"/>
              <w:right w:w="43" w:type="dxa"/>
            </w:tcMar>
            <w:hideMark/>
          </w:tcPr>
          <w:p w:rsidR="001809DD" w:rsidRPr="007B6745" w:rsidP="001809DD" w14:paraId="5EB401E8" w14:textId="7AEF98AC">
            <w:pPr>
              <w:pStyle w:val="RTableTextAbt"/>
            </w:pPr>
            <w:r w:rsidRPr="00FD45BC">
              <w:t>$0</w:t>
            </w:r>
          </w:p>
        </w:tc>
        <w:tc>
          <w:tcPr>
            <w:tcW w:w="488" w:type="pct"/>
            <w:tcBorders>
              <w:top w:val="single" w:sz="4" w:space="0" w:color="auto"/>
              <w:left w:val="single" w:sz="4" w:space="0" w:color="auto"/>
              <w:bottom w:val="single" w:sz="4" w:space="0" w:color="auto"/>
              <w:right w:val="single" w:sz="4" w:space="0" w:color="auto"/>
            </w:tcBorders>
            <w:noWrap/>
            <w:tcMar>
              <w:left w:w="43" w:type="dxa"/>
              <w:right w:w="43" w:type="dxa"/>
            </w:tcMar>
            <w:hideMark/>
          </w:tcPr>
          <w:p w:rsidR="001809DD" w:rsidRPr="007B6745" w:rsidP="001809DD" w14:paraId="3ABA138C" w14:textId="08E68F7C">
            <w:pPr>
              <w:pStyle w:val="RTableTextAbt"/>
            </w:pPr>
            <w:r w:rsidRPr="00FD45BC">
              <w:t>$0</w:t>
            </w:r>
          </w:p>
        </w:tc>
        <w:tc>
          <w:tcPr>
            <w:tcW w:w="488" w:type="pct"/>
            <w:tcBorders>
              <w:top w:val="single" w:sz="4" w:space="0" w:color="auto"/>
              <w:left w:val="single" w:sz="4" w:space="0" w:color="auto"/>
              <w:bottom w:val="single" w:sz="4" w:space="0" w:color="auto"/>
              <w:right w:val="single" w:sz="4" w:space="0" w:color="auto"/>
            </w:tcBorders>
            <w:noWrap/>
            <w:tcMar>
              <w:left w:w="43" w:type="dxa"/>
              <w:right w:w="43" w:type="dxa"/>
            </w:tcMar>
            <w:hideMark/>
          </w:tcPr>
          <w:p w:rsidR="001809DD" w:rsidRPr="007B6745" w:rsidP="001809DD" w14:paraId="0F8CBBC7" w14:textId="7F68799E">
            <w:pPr>
              <w:pStyle w:val="RTableTextAbt"/>
            </w:pPr>
            <w:r w:rsidRPr="00FD45BC">
              <w:t>$0</w:t>
            </w:r>
          </w:p>
        </w:tc>
      </w:tr>
      <w:tr w14:paraId="239D2D26" w14:textId="77777777" w:rsidTr="00602DDE">
        <w:tblPrEx>
          <w:tblW w:w="4837" w:type="pct"/>
          <w:tblInd w:w="270" w:type="dxa"/>
          <w:tblLayout w:type="fixed"/>
          <w:tblLook w:val="04A0"/>
        </w:tblPrEx>
        <w:trPr>
          <w:trHeight w:val="20"/>
        </w:trPr>
        <w:tc>
          <w:tcPr>
            <w:tcW w:w="843" w:type="pct"/>
            <w:tcBorders>
              <w:top w:val="nil"/>
              <w:left w:val="single" w:sz="4" w:space="0" w:color="auto"/>
              <w:bottom w:val="single" w:sz="4" w:space="0" w:color="auto"/>
              <w:right w:val="single" w:sz="4" w:space="0" w:color="auto"/>
            </w:tcBorders>
            <w:vAlign w:val="center"/>
            <w:hideMark/>
          </w:tcPr>
          <w:p w:rsidR="001809DD" w:rsidRPr="007B6745" w:rsidP="001809DD" w14:paraId="69BA7D4E" w14:textId="77777777">
            <w:pPr>
              <w:pStyle w:val="LTableTextAbt"/>
            </w:pPr>
            <w:r w:rsidRPr="007B6745">
              <w:t>Disposal</w:t>
            </w:r>
          </w:p>
        </w:tc>
        <w:tc>
          <w:tcPr>
            <w:tcW w:w="447" w:type="pct"/>
            <w:tcBorders>
              <w:top w:val="nil"/>
              <w:left w:val="nil"/>
              <w:bottom w:val="single" w:sz="4" w:space="0" w:color="auto"/>
              <w:right w:val="single" w:sz="4" w:space="0" w:color="auto"/>
            </w:tcBorders>
            <w:noWrap/>
            <w:tcMar>
              <w:left w:w="43" w:type="dxa"/>
              <w:right w:w="43" w:type="dxa"/>
            </w:tcMar>
            <w:hideMark/>
          </w:tcPr>
          <w:p w:rsidR="001809DD" w:rsidRPr="007B6745" w:rsidP="001809DD" w14:paraId="32660E4D" w14:textId="660E90B1">
            <w:pPr>
              <w:pStyle w:val="RTableTextAbt"/>
            </w:pPr>
            <w:r w:rsidRPr="00FD45BC">
              <w:t>$0</w:t>
            </w:r>
          </w:p>
        </w:tc>
        <w:tc>
          <w:tcPr>
            <w:tcW w:w="398" w:type="pct"/>
            <w:tcBorders>
              <w:top w:val="nil"/>
              <w:left w:val="nil"/>
              <w:bottom w:val="single" w:sz="4" w:space="0" w:color="auto"/>
              <w:right w:val="single" w:sz="4" w:space="0" w:color="auto"/>
            </w:tcBorders>
            <w:noWrap/>
            <w:tcMar>
              <w:left w:w="43" w:type="dxa"/>
              <w:right w:w="43" w:type="dxa"/>
            </w:tcMar>
            <w:hideMark/>
          </w:tcPr>
          <w:p w:rsidR="001809DD" w:rsidRPr="007B6745" w:rsidP="001809DD" w14:paraId="103F6835" w14:textId="57D1BE86">
            <w:pPr>
              <w:pStyle w:val="RTableTextAbt"/>
            </w:pPr>
            <w:r w:rsidRPr="00FD45BC">
              <w:t>$0</w:t>
            </w:r>
          </w:p>
        </w:tc>
        <w:tc>
          <w:tcPr>
            <w:tcW w:w="546" w:type="pct"/>
            <w:tcBorders>
              <w:top w:val="nil"/>
              <w:left w:val="nil"/>
              <w:bottom w:val="single" w:sz="4" w:space="0" w:color="auto"/>
              <w:right w:val="single" w:sz="4" w:space="0" w:color="auto"/>
            </w:tcBorders>
            <w:noWrap/>
            <w:tcMar>
              <w:left w:w="43" w:type="dxa"/>
              <w:right w:w="43" w:type="dxa"/>
            </w:tcMar>
            <w:hideMark/>
          </w:tcPr>
          <w:p w:rsidR="001809DD" w:rsidRPr="007B6745" w:rsidP="001809DD" w14:paraId="6B8D70A0" w14:textId="24870DEC">
            <w:pPr>
              <w:pStyle w:val="RTableTextAbt"/>
            </w:pPr>
            <w:r w:rsidRPr="00FD45BC">
              <w:t>$0</w:t>
            </w:r>
          </w:p>
        </w:tc>
        <w:tc>
          <w:tcPr>
            <w:tcW w:w="597" w:type="pct"/>
            <w:tcBorders>
              <w:top w:val="single" w:sz="4" w:space="0" w:color="auto"/>
              <w:left w:val="nil"/>
              <w:bottom w:val="single" w:sz="4" w:space="0" w:color="auto"/>
              <w:right w:val="single" w:sz="4" w:space="0" w:color="auto"/>
            </w:tcBorders>
            <w:tcMar>
              <w:left w:w="43" w:type="dxa"/>
              <w:right w:w="43" w:type="dxa"/>
            </w:tcMar>
            <w:hideMark/>
          </w:tcPr>
          <w:p w:rsidR="001809DD" w:rsidRPr="007B6745" w:rsidP="001809DD" w14:paraId="2C268CE2" w14:textId="35C9F33C">
            <w:pPr>
              <w:pStyle w:val="RTableTextAbt"/>
            </w:pPr>
            <w:r w:rsidRPr="00FD45BC">
              <w:t>$0</w:t>
            </w:r>
          </w:p>
        </w:tc>
        <w:tc>
          <w:tcPr>
            <w:tcW w:w="498" w:type="pct"/>
            <w:tcBorders>
              <w:top w:val="single" w:sz="4" w:space="0" w:color="auto"/>
              <w:left w:val="single" w:sz="4" w:space="0" w:color="auto"/>
              <w:bottom w:val="single" w:sz="4" w:space="0" w:color="auto"/>
              <w:right w:val="single" w:sz="4" w:space="0" w:color="auto"/>
            </w:tcBorders>
            <w:tcMar>
              <w:left w:w="43" w:type="dxa"/>
              <w:right w:w="43" w:type="dxa"/>
            </w:tcMar>
            <w:hideMark/>
          </w:tcPr>
          <w:p w:rsidR="001809DD" w:rsidRPr="007B6745" w:rsidP="001809DD" w14:paraId="5DF77D29" w14:textId="5100A45E">
            <w:pPr>
              <w:pStyle w:val="RTableTextAbt"/>
            </w:pPr>
            <w:r w:rsidRPr="00FD45BC">
              <w:t>$0</w:t>
            </w:r>
          </w:p>
        </w:tc>
        <w:tc>
          <w:tcPr>
            <w:tcW w:w="696" w:type="pct"/>
            <w:tcBorders>
              <w:top w:val="single" w:sz="4" w:space="0" w:color="auto"/>
              <w:left w:val="single" w:sz="4" w:space="0" w:color="auto"/>
              <w:bottom w:val="single" w:sz="4" w:space="0" w:color="auto"/>
              <w:right w:val="single" w:sz="4" w:space="0" w:color="auto"/>
            </w:tcBorders>
            <w:tcMar>
              <w:left w:w="43" w:type="dxa"/>
              <w:right w:w="43" w:type="dxa"/>
            </w:tcMar>
            <w:hideMark/>
          </w:tcPr>
          <w:p w:rsidR="001809DD" w:rsidRPr="007B6745" w:rsidP="001809DD" w14:paraId="7A897D89" w14:textId="65406D98">
            <w:pPr>
              <w:pStyle w:val="RTableTextAbt"/>
            </w:pPr>
            <w:r w:rsidRPr="00FD45BC">
              <w:t>$0</w:t>
            </w:r>
          </w:p>
        </w:tc>
        <w:tc>
          <w:tcPr>
            <w:tcW w:w="488" w:type="pct"/>
            <w:tcBorders>
              <w:top w:val="single" w:sz="4" w:space="0" w:color="auto"/>
              <w:left w:val="single" w:sz="4" w:space="0" w:color="auto"/>
              <w:bottom w:val="single" w:sz="4" w:space="0" w:color="auto"/>
              <w:right w:val="single" w:sz="4" w:space="0" w:color="auto"/>
            </w:tcBorders>
            <w:noWrap/>
            <w:tcMar>
              <w:left w:w="43" w:type="dxa"/>
              <w:right w:w="43" w:type="dxa"/>
            </w:tcMar>
            <w:hideMark/>
          </w:tcPr>
          <w:p w:rsidR="001809DD" w:rsidRPr="007B6745" w:rsidP="001809DD" w14:paraId="07A1E357" w14:textId="257C1189">
            <w:pPr>
              <w:pStyle w:val="RTableTextAbt"/>
            </w:pPr>
            <w:r w:rsidRPr="00FD45BC">
              <w:t>$0</w:t>
            </w:r>
          </w:p>
        </w:tc>
        <w:tc>
          <w:tcPr>
            <w:tcW w:w="488" w:type="pct"/>
            <w:tcBorders>
              <w:top w:val="single" w:sz="4" w:space="0" w:color="auto"/>
              <w:left w:val="single" w:sz="4" w:space="0" w:color="auto"/>
              <w:bottom w:val="single" w:sz="4" w:space="0" w:color="auto"/>
              <w:right w:val="single" w:sz="4" w:space="0" w:color="auto"/>
            </w:tcBorders>
            <w:noWrap/>
            <w:tcMar>
              <w:left w:w="43" w:type="dxa"/>
              <w:right w:w="43" w:type="dxa"/>
            </w:tcMar>
            <w:hideMark/>
          </w:tcPr>
          <w:p w:rsidR="001809DD" w:rsidRPr="007B6745" w:rsidP="001809DD" w14:paraId="689B29BD" w14:textId="1D147137">
            <w:pPr>
              <w:pStyle w:val="RTableTextAbt"/>
            </w:pPr>
            <w:r w:rsidRPr="00FD45BC">
              <w:t>$0</w:t>
            </w:r>
          </w:p>
        </w:tc>
      </w:tr>
      <w:tr w14:paraId="7B47E401" w14:textId="77777777" w:rsidTr="00602DDE">
        <w:tblPrEx>
          <w:tblW w:w="4837" w:type="pct"/>
          <w:tblInd w:w="270" w:type="dxa"/>
          <w:tblLayout w:type="fixed"/>
          <w:tblLook w:val="04A0"/>
        </w:tblPrEx>
        <w:trPr>
          <w:trHeight w:val="20"/>
        </w:trPr>
        <w:tc>
          <w:tcPr>
            <w:tcW w:w="843" w:type="pct"/>
            <w:tcBorders>
              <w:top w:val="nil"/>
              <w:left w:val="single" w:sz="4" w:space="0" w:color="auto"/>
              <w:bottom w:val="single" w:sz="4" w:space="0" w:color="auto"/>
              <w:right w:val="single" w:sz="4" w:space="0" w:color="auto"/>
            </w:tcBorders>
            <w:vAlign w:val="center"/>
            <w:hideMark/>
          </w:tcPr>
          <w:p w:rsidR="001809DD" w:rsidRPr="007B6745" w:rsidP="001809DD" w14:paraId="5FD9DD73" w14:textId="77777777">
            <w:pPr>
              <w:pStyle w:val="LTableTextAbt"/>
              <w:rPr>
                <w:b/>
              </w:rPr>
            </w:pPr>
            <w:r w:rsidRPr="007B6745">
              <w:rPr>
                <w:b/>
              </w:rPr>
              <w:t>Total</w:t>
            </w:r>
          </w:p>
        </w:tc>
        <w:tc>
          <w:tcPr>
            <w:tcW w:w="447" w:type="pct"/>
            <w:tcBorders>
              <w:top w:val="nil"/>
              <w:left w:val="nil"/>
              <w:bottom w:val="single" w:sz="4" w:space="0" w:color="auto"/>
              <w:right w:val="single" w:sz="4" w:space="0" w:color="auto"/>
            </w:tcBorders>
            <w:noWrap/>
            <w:tcMar>
              <w:left w:w="43" w:type="dxa"/>
              <w:right w:w="43" w:type="dxa"/>
            </w:tcMar>
            <w:hideMark/>
          </w:tcPr>
          <w:p w:rsidR="001809DD" w:rsidRPr="0084512D" w:rsidP="001809DD" w14:paraId="44116C07" w14:textId="3447FBE9">
            <w:pPr>
              <w:pStyle w:val="RTableTextAbt"/>
              <w:rPr>
                <w:b/>
                <w:bCs w:val="0"/>
              </w:rPr>
            </w:pPr>
            <w:r w:rsidRPr="0084512D">
              <w:rPr>
                <w:b/>
                <w:bCs w:val="0"/>
              </w:rPr>
              <w:t>$30,822</w:t>
            </w:r>
          </w:p>
        </w:tc>
        <w:tc>
          <w:tcPr>
            <w:tcW w:w="398" w:type="pct"/>
            <w:tcBorders>
              <w:top w:val="nil"/>
              <w:left w:val="nil"/>
              <w:bottom w:val="single" w:sz="4" w:space="0" w:color="auto"/>
              <w:right w:val="single" w:sz="4" w:space="0" w:color="auto"/>
            </w:tcBorders>
            <w:noWrap/>
            <w:tcMar>
              <w:left w:w="43" w:type="dxa"/>
              <w:right w:w="43" w:type="dxa"/>
            </w:tcMar>
            <w:hideMark/>
          </w:tcPr>
          <w:p w:rsidR="001809DD" w:rsidRPr="0084512D" w:rsidP="001809DD" w14:paraId="6B6A2DEB" w14:textId="4897E493">
            <w:pPr>
              <w:pStyle w:val="RTableTextAbt"/>
              <w:rPr>
                <w:b/>
                <w:bCs w:val="0"/>
              </w:rPr>
            </w:pPr>
            <w:r w:rsidRPr="0084512D">
              <w:rPr>
                <w:b/>
                <w:bCs w:val="0"/>
              </w:rPr>
              <w:t>$30,822</w:t>
            </w:r>
          </w:p>
        </w:tc>
        <w:tc>
          <w:tcPr>
            <w:tcW w:w="546" w:type="pct"/>
            <w:tcBorders>
              <w:top w:val="nil"/>
              <w:left w:val="nil"/>
              <w:bottom w:val="single" w:sz="4" w:space="0" w:color="auto"/>
              <w:right w:val="single" w:sz="4" w:space="0" w:color="auto"/>
            </w:tcBorders>
            <w:noWrap/>
            <w:tcMar>
              <w:left w:w="43" w:type="dxa"/>
              <w:right w:w="43" w:type="dxa"/>
            </w:tcMar>
            <w:hideMark/>
          </w:tcPr>
          <w:p w:rsidR="001809DD" w:rsidRPr="0084512D" w:rsidP="001809DD" w14:paraId="6370875B" w14:textId="0628A775">
            <w:pPr>
              <w:pStyle w:val="RTableTextAbt"/>
              <w:rPr>
                <w:b/>
                <w:bCs w:val="0"/>
              </w:rPr>
            </w:pPr>
            <w:r w:rsidRPr="0084512D">
              <w:rPr>
                <w:b/>
                <w:bCs w:val="0"/>
              </w:rPr>
              <w:t>$269,984</w:t>
            </w:r>
          </w:p>
        </w:tc>
        <w:tc>
          <w:tcPr>
            <w:tcW w:w="597" w:type="pct"/>
            <w:tcBorders>
              <w:top w:val="single" w:sz="4" w:space="0" w:color="auto"/>
              <w:left w:val="nil"/>
              <w:bottom w:val="single" w:sz="4" w:space="0" w:color="auto"/>
              <w:right w:val="single" w:sz="4" w:space="0" w:color="auto"/>
            </w:tcBorders>
            <w:tcMar>
              <w:left w:w="43" w:type="dxa"/>
              <w:right w:w="43" w:type="dxa"/>
            </w:tcMar>
            <w:hideMark/>
          </w:tcPr>
          <w:p w:rsidR="001809DD" w:rsidRPr="0084512D" w:rsidP="001809DD" w14:paraId="6F0598FB" w14:textId="663F84AB">
            <w:pPr>
              <w:pStyle w:val="RTableTextAbt"/>
              <w:rPr>
                <w:b/>
                <w:bCs w:val="0"/>
              </w:rPr>
            </w:pPr>
            <w:r w:rsidRPr="0084512D">
              <w:rPr>
                <w:b/>
                <w:bCs w:val="0"/>
              </w:rPr>
              <w:t>$321,966</w:t>
            </w:r>
          </w:p>
        </w:tc>
        <w:tc>
          <w:tcPr>
            <w:tcW w:w="498" w:type="pct"/>
            <w:tcBorders>
              <w:top w:val="single" w:sz="4" w:space="0" w:color="auto"/>
              <w:left w:val="single" w:sz="4" w:space="0" w:color="auto"/>
              <w:bottom w:val="single" w:sz="4" w:space="0" w:color="auto"/>
              <w:right w:val="single" w:sz="4" w:space="0" w:color="auto"/>
            </w:tcBorders>
            <w:tcMar>
              <w:left w:w="43" w:type="dxa"/>
              <w:right w:w="43" w:type="dxa"/>
            </w:tcMar>
            <w:hideMark/>
          </w:tcPr>
          <w:p w:rsidR="001809DD" w:rsidRPr="0084512D" w:rsidP="001809DD" w14:paraId="44CAB6BE" w14:textId="5BA16C6B">
            <w:pPr>
              <w:pStyle w:val="RTableTextAbt"/>
              <w:rPr>
                <w:b/>
                <w:bCs w:val="0"/>
              </w:rPr>
            </w:pPr>
            <w:r w:rsidRPr="0084512D">
              <w:rPr>
                <w:b/>
                <w:bCs w:val="0"/>
              </w:rPr>
              <w:t>$333,126</w:t>
            </w:r>
          </w:p>
        </w:tc>
        <w:tc>
          <w:tcPr>
            <w:tcW w:w="696" w:type="pct"/>
            <w:tcBorders>
              <w:top w:val="single" w:sz="4" w:space="0" w:color="auto"/>
              <w:left w:val="single" w:sz="4" w:space="0" w:color="auto"/>
              <w:bottom w:val="single" w:sz="4" w:space="0" w:color="auto"/>
              <w:right w:val="single" w:sz="4" w:space="0" w:color="auto"/>
            </w:tcBorders>
            <w:tcMar>
              <w:left w:w="43" w:type="dxa"/>
              <w:right w:w="43" w:type="dxa"/>
            </w:tcMar>
            <w:hideMark/>
          </w:tcPr>
          <w:p w:rsidR="001809DD" w:rsidRPr="0084512D" w:rsidP="001809DD" w14:paraId="2FD15DAF" w14:textId="735AFEE1">
            <w:pPr>
              <w:pStyle w:val="RTableTextAbt"/>
              <w:rPr>
                <w:b/>
                <w:bCs w:val="0"/>
              </w:rPr>
            </w:pPr>
            <w:r w:rsidRPr="0084512D">
              <w:rPr>
                <w:b/>
                <w:bCs w:val="0"/>
              </w:rPr>
              <w:t>$0</w:t>
            </w:r>
          </w:p>
        </w:tc>
        <w:tc>
          <w:tcPr>
            <w:tcW w:w="488" w:type="pct"/>
            <w:tcBorders>
              <w:top w:val="single" w:sz="4" w:space="0" w:color="auto"/>
              <w:left w:val="single" w:sz="4" w:space="0" w:color="auto"/>
              <w:bottom w:val="single" w:sz="4" w:space="0" w:color="auto"/>
              <w:right w:val="single" w:sz="4" w:space="0" w:color="auto"/>
            </w:tcBorders>
            <w:noWrap/>
            <w:tcMar>
              <w:left w:w="43" w:type="dxa"/>
              <w:right w:w="43" w:type="dxa"/>
            </w:tcMar>
            <w:hideMark/>
          </w:tcPr>
          <w:p w:rsidR="001809DD" w:rsidRPr="0084512D" w:rsidP="001809DD" w14:paraId="0E03C111" w14:textId="2859E59E">
            <w:pPr>
              <w:pStyle w:val="RTableTextAbt"/>
              <w:rPr>
                <w:b/>
                <w:bCs w:val="0"/>
              </w:rPr>
            </w:pPr>
            <w:r w:rsidRPr="0084512D">
              <w:rPr>
                <w:b/>
                <w:bCs w:val="0"/>
              </w:rPr>
              <w:t>$622,772</w:t>
            </w:r>
          </w:p>
        </w:tc>
        <w:tc>
          <w:tcPr>
            <w:tcW w:w="488" w:type="pct"/>
            <w:tcBorders>
              <w:top w:val="single" w:sz="4" w:space="0" w:color="auto"/>
              <w:left w:val="single" w:sz="4" w:space="0" w:color="auto"/>
              <w:bottom w:val="single" w:sz="4" w:space="0" w:color="auto"/>
              <w:right w:val="single" w:sz="4" w:space="0" w:color="auto"/>
            </w:tcBorders>
            <w:noWrap/>
            <w:tcMar>
              <w:left w:w="43" w:type="dxa"/>
              <w:right w:w="43" w:type="dxa"/>
            </w:tcMar>
            <w:hideMark/>
          </w:tcPr>
          <w:p w:rsidR="001809DD" w:rsidRPr="0084512D" w:rsidP="001809DD" w14:paraId="41126F62" w14:textId="49478223">
            <w:pPr>
              <w:pStyle w:val="RTableTextAbt"/>
              <w:rPr>
                <w:b/>
                <w:bCs w:val="0"/>
              </w:rPr>
            </w:pPr>
            <w:r w:rsidRPr="0084512D">
              <w:rPr>
                <w:b/>
                <w:bCs w:val="0"/>
              </w:rPr>
              <w:t>$633,932</w:t>
            </w:r>
          </w:p>
        </w:tc>
      </w:tr>
    </w:tbl>
    <w:p w:rsidR="00652F6C" w:rsidP="00832749" w14:paraId="41E2B7AE" w14:textId="77777777">
      <w:pPr>
        <w:pStyle w:val="BodyText"/>
        <w:sectPr w:rsidSect="00946DC8">
          <w:pgSz w:w="12240" w:h="15840" w:code="1"/>
          <w:pgMar w:top="1440" w:right="1440" w:bottom="1440" w:left="1440" w:header="1080" w:footer="720" w:gutter="0"/>
          <w:pgNumType w:chapStyle="1"/>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9"/>
        <w:gridCol w:w="1711"/>
        <w:gridCol w:w="1713"/>
        <w:gridCol w:w="1747"/>
        <w:gridCol w:w="1790"/>
      </w:tblGrid>
      <w:tr w14:paraId="598710EF" w14:textId="77777777" w:rsidTr="009F191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
          <w:tblHeader/>
        </w:trPr>
        <w:tc>
          <w:tcPr>
            <w:tcW w:w="5000" w:type="pct"/>
            <w:gridSpan w:val="5"/>
            <w:tcBorders>
              <w:top w:val="nil"/>
              <w:left w:val="nil"/>
              <w:bottom w:val="single" w:sz="4" w:space="0" w:color="auto"/>
              <w:right w:val="nil"/>
            </w:tcBorders>
            <w:shd w:val="clear" w:color="auto" w:fill="auto"/>
            <w:vAlign w:val="center"/>
          </w:tcPr>
          <w:p w:rsidR="009F1916" w:rsidRPr="009F1916" w:rsidP="009F1916" w14:paraId="1F429CD3" w14:textId="24C09B66">
            <w:pPr>
              <w:pStyle w:val="TableTitleA"/>
            </w:pPr>
            <w:bookmarkStart w:id="255" w:name="_Ref181628198"/>
            <w:bookmarkStart w:id="256" w:name="_Toc184299585"/>
            <w:r w:rsidRPr="007B6745">
              <w:t xml:space="preserve">Table </w:t>
            </w:r>
            <w:r>
              <w:fldChar w:fldCharType="begin" w:fldLock="1"/>
            </w:r>
            <w:r>
              <w:instrText>STYLEREF 1 \s</w:instrText>
            </w:r>
            <w:r>
              <w:fldChar w:fldCharType="separate"/>
            </w:r>
            <w:r w:rsidR="00735BBC">
              <w:rPr>
                <w:noProof/>
              </w:rPr>
              <w:t>4</w:t>
            </w:r>
            <w:r>
              <w:fldChar w:fldCharType="end"/>
            </w:r>
            <w:r w:rsidR="000A1542">
              <w:noBreakHyphen/>
            </w:r>
            <w:r>
              <w:fldChar w:fldCharType="begin" w:fldLock="1"/>
            </w:r>
            <w:r>
              <w:instrText>SEQ Table \* ARABIC \s 1</w:instrText>
            </w:r>
            <w:r>
              <w:fldChar w:fldCharType="separate"/>
            </w:r>
            <w:r w:rsidR="00735BBC">
              <w:rPr>
                <w:noProof/>
              </w:rPr>
              <w:t>29</w:t>
            </w:r>
            <w:r>
              <w:fldChar w:fldCharType="end"/>
            </w:r>
            <w:bookmarkEnd w:id="255"/>
            <w:r w:rsidRPr="007B6745">
              <w:t>: Summary of Total Annualized Incremental Costs (2023$; 2% Discount Rate)</w:t>
            </w:r>
            <w:bookmarkEnd w:id="256"/>
          </w:p>
        </w:tc>
      </w:tr>
      <w:tr w14:paraId="41790640" w14:textId="77777777" w:rsidTr="00FE4D5D">
        <w:tblPrEx>
          <w:tblW w:w="5000" w:type="pct"/>
          <w:tblLook w:val="04A0"/>
        </w:tblPrEx>
        <w:trPr>
          <w:trHeight w:val="20"/>
          <w:tblHeader/>
        </w:trPr>
        <w:tc>
          <w:tcPr>
            <w:tcW w:w="1282"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2D0E5629" w14:textId="77777777">
            <w:pPr>
              <w:pStyle w:val="TableSubtitle"/>
            </w:pPr>
            <w:r w:rsidRPr="007B6745">
              <w:t>Use category</w:t>
            </w:r>
          </w:p>
        </w:tc>
        <w:tc>
          <w:tcPr>
            <w:tcW w:w="1829"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1A0C201D" w14:textId="77777777">
            <w:pPr>
              <w:pStyle w:val="TableSubtitle"/>
              <w:rPr>
                <w:vertAlign w:val="superscript"/>
              </w:rPr>
            </w:pPr>
            <w:r w:rsidRPr="007B6745">
              <w:t>Proposed Option</w:t>
            </w:r>
            <w:r w:rsidRPr="007B6745">
              <w:rPr>
                <w:vertAlign w:val="superscript"/>
              </w:rPr>
              <w:t xml:space="preserve"> b</w:t>
            </w:r>
          </w:p>
        </w:tc>
        <w:tc>
          <w:tcPr>
            <w:tcW w:w="1889"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5E38BB5F" w14:textId="77777777">
            <w:pPr>
              <w:pStyle w:val="TableSubtitle"/>
              <w:rPr>
                <w:vertAlign w:val="superscript"/>
              </w:rPr>
            </w:pPr>
            <w:r w:rsidRPr="007B6745">
              <w:t>Alternative Option</w:t>
            </w:r>
            <w:r w:rsidRPr="007B6745">
              <w:rPr>
                <w:vertAlign w:val="superscript"/>
              </w:rPr>
              <w:t xml:space="preserve"> c</w:t>
            </w:r>
          </w:p>
        </w:tc>
      </w:tr>
      <w:tr w14:paraId="2D2B2830" w14:textId="77777777" w:rsidTr="00E71671">
        <w:tblPrEx>
          <w:tblW w:w="5000" w:type="pct"/>
          <w:tblLook w:val="04A0"/>
        </w:tblPrEx>
        <w:trPr>
          <w:trHeight w:val="20"/>
          <w:tblHeader/>
        </w:trPr>
        <w:tc>
          <w:tcPr>
            <w:tcW w:w="0" w:type="auto"/>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5AF19DD0" w14:textId="77777777">
            <w:pPr>
              <w:pStyle w:val="TableSubtitle"/>
            </w:pPr>
          </w:p>
        </w:tc>
        <w:tc>
          <w:tcPr>
            <w:tcW w:w="914"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0240293B" w14:textId="77777777">
            <w:pPr>
              <w:pStyle w:val="TableSubtitle"/>
            </w:pPr>
            <w:r w:rsidRPr="007B6745">
              <w:t>Low</w:t>
            </w:r>
          </w:p>
        </w:tc>
        <w:tc>
          <w:tcPr>
            <w:tcW w:w="915"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727A68CA" w14:textId="77777777">
            <w:pPr>
              <w:pStyle w:val="TableSubtitle"/>
            </w:pPr>
            <w:r w:rsidRPr="007B6745">
              <w:t>High</w:t>
            </w:r>
          </w:p>
        </w:tc>
        <w:tc>
          <w:tcPr>
            <w:tcW w:w="933"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5D12FB9A" w14:textId="77777777">
            <w:pPr>
              <w:pStyle w:val="TableSubtitle"/>
            </w:pPr>
            <w:r w:rsidRPr="007B6745">
              <w:t>Low</w:t>
            </w:r>
          </w:p>
        </w:tc>
        <w:tc>
          <w:tcPr>
            <w:tcW w:w="956"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7B6745" w:rsidRPr="007B6745" w:rsidP="000D7F2B" w14:paraId="3C4B3B35" w14:textId="77777777">
            <w:pPr>
              <w:pStyle w:val="TableSubtitle"/>
            </w:pPr>
            <w:r w:rsidRPr="007B6745">
              <w:t>High</w:t>
            </w:r>
          </w:p>
        </w:tc>
      </w:tr>
      <w:tr w14:paraId="20F62FD3" w14:textId="77777777" w:rsidTr="00BD3D2B">
        <w:tblPrEx>
          <w:tblW w:w="5000" w:type="pct"/>
          <w:tblLook w:val="04A0"/>
        </w:tblPrEx>
        <w:trPr>
          <w:trHeight w:val="20"/>
        </w:trPr>
        <w:tc>
          <w:tcPr>
            <w:tcW w:w="1282" w:type="pct"/>
            <w:tcBorders>
              <w:top w:val="single" w:sz="4" w:space="0" w:color="auto"/>
              <w:left w:val="single" w:sz="4" w:space="0" w:color="auto"/>
              <w:bottom w:val="single" w:sz="4" w:space="0" w:color="auto"/>
              <w:right w:val="single" w:sz="4" w:space="0" w:color="auto"/>
            </w:tcBorders>
            <w:vAlign w:val="center"/>
            <w:hideMark/>
          </w:tcPr>
          <w:p w:rsidR="00E71671" w:rsidRPr="007B6745" w:rsidP="00E71671" w14:paraId="6BB17B4C" w14:textId="77777777">
            <w:pPr>
              <w:pStyle w:val="LTableTextAbt"/>
            </w:pPr>
            <w:r w:rsidRPr="007B6745">
              <w:t>PV29 manufacturing and intermediate processing</w:t>
            </w:r>
          </w:p>
        </w:tc>
        <w:tc>
          <w:tcPr>
            <w:tcW w:w="914" w:type="pct"/>
            <w:tcBorders>
              <w:top w:val="single" w:sz="4" w:space="0" w:color="auto"/>
              <w:left w:val="single" w:sz="4" w:space="0" w:color="auto"/>
              <w:bottom w:val="single" w:sz="4" w:space="0" w:color="auto"/>
              <w:right w:val="single" w:sz="4" w:space="0" w:color="auto"/>
            </w:tcBorders>
            <w:noWrap/>
            <w:hideMark/>
          </w:tcPr>
          <w:p w:rsidR="00E71671" w:rsidRPr="007B6745" w:rsidP="00E71671" w14:paraId="12D405DA" w14:textId="7D94A18A">
            <w:pPr>
              <w:pStyle w:val="RTableTextAbt"/>
            </w:pPr>
            <w:r w:rsidRPr="00682800">
              <w:t>$113,324</w:t>
            </w:r>
          </w:p>
        </w:tc>
        <w:tc>
          <w:tcPr>
            <w:tcW w:w="915" w:type="pct"/>
            <w:tcBorders>
              <w:top w:val="single" w:sz="4" w:space="0" w:color="auto"/>
              <w:left w:val="single" w:sz="4" w:space="0" w:color="auto"/>
              <w:bottom w:val="single" w:sz="4" w:space="0" w:color="auto"/>
              <w:right w:val="single" w:sz="4" w:space="0" w:color="auto"/>
            </w:tcBorders>
            <w:noWrap/>
            <w:hideMark/>
          </w:tcPr>
          <w:p w:rsidR="00E71671" w:rsidRPr="007B6745" w:rsidP="00E71671" w14:paraId="6AF13DC1" w14:textId="4A062724">
            <w:pPr>
              <w:pStyle w:val="RTableTextAbt"/>
            </w:pPr>
            <w:r w:rsidRPr="00682800">
              <w:t>$148,324</w:t>
            </w:r>
          </w:p>
        </w:tc>
        <w:tc>
          <w:tcPr>
            <w:tcW w:w="933" w:type="pct"/>
            <w:tcBorders>
              <w:top w:val="single" w:sz="4" w:space="0" w:color="auto"/>
              <w:left w:val="single" w:sz="4" w:space="0" w:color="auto"/>
              <w:bottom w:val="single" w:sz="4" w:space="0" w:color="auto"/>
              <w:right w:val="single" w:sz="4" w:space="0" w:color="auto"/>
            </w:tcBorders>
            <w:hideMark/>
          </w:tcPr>
          <w:p w:rsidR="00E71671" w:rsidRPr="007B6745" w:rsidP="00E71671" w14:paraId="43DB12D8" w14:textId="6670C764">
            <w:pPr>
              <w:pStyle w:val="RTableTextAbt"/>
            </w:pPr>
            <w:r w:rsidRPr="00682800">
              <w:t>$41,799</w:t>
            </w:r>
          </w:p>
        </w:tc>
        <w:tc>
          <w:tcPr>
            <w:tcW w:w="956" w:type="pct"/>
            <w:tcBorders>
              <w:top w:val="single" w:sz="4" w:space="0" w:color="auto"/>
              <w:left w:val="single" w:sz="4" w:space="0" w:color="auto"/>
              <w:bottom w:val="single" w:sz="4" w:space="0" w:color="auto"/>
              <w:right w:val="single" w:sz="4" w:space="0" w:color="auto"/>
            </w:tcBorders>
            <w:hideMark/>
          </w:tcPr>
          <w:p w:rsidR="00E71671" w:rsidRPr="007B6745" w:rsidP="00E71671" w14:paraId="466EBA84" w14:textId="40AA7D73">
            <w:pPr>
              <w:pStyle w:val="RTableTextAbt"/>
            </w:pPr>
            <w:r w:rsidRPr="00682800">
              <w:t>$52,153</w:t>
            </w:r>
          </w:p>
        </w:tc>
      </w:tr>
      <w:tr w14:paraId="1F1E3EE3" w14:textId="77777777" w:rsidTr="00BD3D2B">
        <w:tblPrEx>
          <w:tblW w:w="5000" w:type="pct"/>
          <w:tblLook w:val="04A0"/>
        </w:tblPrEx>
        <w:trPr>
          <w:trHeight w:val="20"/>
        </w:trPr>
        <w:tc>
          <w:tcPr>
            <w:tcW w:w="1282" w:type="pct"/>
            <w:tcBorders>
              <w:top w:val="single" w:sz="4" w:space="0" w:color="auto"/>
              <w:left w:val="single" w:sz="4" w:space="0" w:color="auto"/>
              <w:bottom w:val="single" w:sz="4" w:space="0" w:color="auto"/>
              <w:right w:val="single" w:sz="4" w:space="0" w:color="auto"/>
            </w:tcBorders>
            <w:vAlign w:val="center"/>
            <w:hideMark/>
          </w:tcPr>
          <w:p w:rsidR="00E71671" w:rsidRPr="007B6745" w:rsidP="00E71671" w14:paraId="1F956B46" w14:textId="77777777">
            <w:pPr>
              <w:pStyle w:val="LTableTextAbt"/>
            </w:pPr>
            <w:r w:rsidRPr="007B6745">
              <w:t>PV29 importing</w:t>
            </w:r>
          </w:p>
        </w:tc>
        <w:tc>
          <w:tcPr>
            <w:tcW w:w="914" w:type="pct"/>
            <w:tcBorders>
              <w:top w:val="single" w:sz="4" w:space="0" w:color="auto"/>
              <w:left w:val="single" w:sz="4" w:space="0" w:color="auto"/>
              <w:bottom w:val="single" w:sz="4" w:space="0" w:color="auto"/>
              <w:right w:val="single" w:sz="4" w:space="0" w:color="auto"/>
            </w:tcBorders>
            <w:noWrap/>
            <w:hideMark/>
          </w:tcPr>
          <w:p w:rsidR="00E71671" w:rsidRPr="007B6745" w:rsidP="00E71671" w14:paraId="42412A0E" w14:textId="679B703A">
            <w:pPr>
              <w:pStyle w:val="RTableTextAbt"/>
            </w:pPr>
            <w:r w:rsidRPr="00682800">
              <w:t>$46,297</w:t>
            </w:r>
          </w:p>
        </w:tc>
        <w:tc>
          <w:tcPr>
            <w:tcW w:w="915" w:type="pct"/>
            <w:tcBorders>
              <w:top w:val="single" w:sz="4" w:space="0" w:color="auto"/>
              <w:left w:val="single" w:sz="4" w:space="0" w:color="auto"/>
              <w:bottom w:val="single" w:sz="4" w:space="0" w:color="auto"/>
              <w:right w:val="single" w:sz="4" w:space="0" w:color="auto"/>
            </w:tcBorders>
            <w:noWrap/>
            <w:hideMark/>
          </w:tcPr>
          <w:p w:rsidR="00E71671" w:rsidRPr="007B6745" w:rsidP="00E71671" w14:paraId="58F73BD1" w14:textId="512D5DE6">
            <w:pPr>
              <w:pStyle w:val="RTableTextAbt"/>
            </w:pPr>
            <w:r w:rsidRPr="00682800">
              <w:t>$46,297</w:t>
            </w:r>
          </w:p>
        </w:tc>
        <w:tc>
          <w:tcPr>
            <w:tcW w:w="933" w:type="pct"/>
            <w:tcBorders>
              <w:top w:val="single" w:sz="4" w:space="0" w:color="auto"/>
              <w:left w:val="single" w:sz="4" w:space="0" w:color="auto"/>
              <w:bottom w:val="single" w:sz="4" w:space="0" w:color="auto"/>
              <w:right w:val="single" w:sz="4" w:space="0" w:color="auto"/>
            </w:tcBorders>
            <w:hideMark/>
          </w:tcPr>
          <w:p w:rsidR="00E71671" w:rsidRPr="007B6745" w:rsidP="00E71671" w14:paraId="1FBEADE0" w14:textId="547831EC">
            <w:pPr>
              <w:pStyle w:val="RTableTextAbt"/>
            </w:pPr>
            <w:r w:rsidRPr="00682800">
              <w:t>$22,892</w:t>
            </w:r>
          </w:p>
        </w:tc>
        <w:tc>
          <w:tcPr>
            <w:tcW w:w="956" w:type="pct"/>
            <w:tcBorders>
              <w:top w:val="single" w:sz="4" w:space="0" w:color="auto"/>
              <w:left w:val="single" w:sz="4" w:space="0" w:color="auto"/>
              <w:bottom w:val="single" w:sz="4" w:space="0" w:color="auto"/>
              <w:right w:val="single" w:sz="4" w:space="0" w:color="auto"/>
            </w:tcBorders>
            <w:hideMark/>
          </w:tcPr>
          <w:p w:rsidR="00E71671" w:rsidRPr="007B6745" w:rsidP="00E71671" w14:paraId="712121E5" w14:textId="221FFDC2">
            <w:pPr>
              <w:pStyle w:val="RTableTextAbt"/>
            </w:pPr>
            <w:r w:rsidRPr="00682800">
              <w:t>$22,892</w:t>
            </w:r>
          </w:p>
        </w:tc>
      </w:tr>
      <w:tr w14:paraId="7472CA06" w14:textId="77777777" w:rsidTr="00BD3D2B">
        <w:tblPrEx>
          <w:tblW w:w="5000" w:type="pct"/>
          <w:tblLook w:val="04A0"/>
        </w:tblPrEx>
        <w:trPr>
          <w:trHeight w:val="20"/>
        </w:trPr>
        <w:tc>
          <w:tcPr>
            <w:tcW w:w="1282" w:type="pct"/>
            <w:tcBorders>
              <w:top w:val="single" w:sz="4" w:space="0" w:color="auto"/>
              <w:left w:val="single" w:sz="4" w:space="0" w:color="auto"/>
              <w:bottom w:val="single" w:sz="4" w:space="0" w:color="auto"/>
              <w:right w:val="single" w:sz="4" w:space="0" w:color="auto"/>
            </w:tcBorders>
            <w:vAlign w:val="center"/>
            <w:hideMark/>
          </w:tcPr>
          <w:p w:rsidR="00E71671" w:rsidRPr="007B6745" w:rsidP="00E71671" w14:paraId="665F4522" w14:textId="77777777">
            <w:pPr>
              <w:pStyle w:val="LTableTextAbt"/>
            </w:pPr>
            <w:r w:rsidRPr="007B6745">
              <w:t>Processing into automotive paints and coatings</w:t>
            </w:r>
          </w:p>
        </w:tc>
        <w:tc>
          <w:tcPr>
            <w:tcW w:w="914" w:type="pct"/>
            <w:tcBorders>
              <w:top w:val="single" w:sz="4" w:space="0" w:color="auto"/>
              <w:left w:val="single" w:sz="4" w:space="0" w:color="auto"/>
              <w:bottom w:val="single" w:sz="4" w:space="0" w:color="auto"/>
              <w:right w:val="single" w:sz="4" w:space="0" w:color="auto"/>
            </w:tcBorders>
            <w:noWrap/>
            <w:hideMark/>
          </w:tcPr>
          <w:p w:rsidR="00E71671" w:rsidRPr="007B6745" w:rsidP="00E71671" w14:paraId="6FEC0BCE" w14:textId="4056B8D8">
            <w:pPr>
              <w:pStyle w:val="RTableTextAbt"/>
            </w:pPr>
            <w:r w:rsidRPr="00682800">
              <w:t>$648,161</w:t>
            </w:r>
          </w:p>
        </w:tc>
        <w:tc>
          <w:tcPr>
            <w:tcW w:w="915" w:type="pct"/>
            <w:tcBorders>
              <w:top w:val="single" w:sz="4" w:space="0" w:color="auto"/>
              <w:left w:val="single" w:sz="4" w:space="0" w:color="auto"/>
              <w:bottom w:val="single" w:sz="4" w:space="0" w:color="auto"/>
              <w:right w:val="single" w:sz="4" w:space="0" w:color="auto"/>
            </w:tcBorders>
            <w:noWrap/>
            <w:hideMark/>
          </w:tcPr>
          <w:p w:rsidR="00E71671" w:rsidRPr="007B6745" w:rsidP="00E71671" w14:paraId="4D8DD19A" w14:textId="59FE073D">
            <w:pPr>
              <w:pStyle w:val="RTableTextAbt"/>
            </w:pPr>
            <w:r w:rsidRPr="00682800">
              <w:t>$648,161</w:t>
            </w:r>
          </w:p>
        </w:tc>
        <w:tc>
          <w:tcPr>
            <w:tcW w:w="933" w:type="pct"/>
            <w:tcBorders>
              <w:top w:val="single" w:sz="4" w:space="0" w:color="auto"/>
              <w:left w:val="single" w:sz="4" w:space="0" w:color="auto"/>
              <w:bottom w:val="single" w:sz="4" w:space="0" w:color="auto"/>
              <w:right w:val="single" w:sz="4" w:space="0" w:color="auto"/>
            </w:tcBorders>
            <w:hideMark/>
          </w:tcPr>
          <w:p w:rsidR="00E71671" w:rsidRPr="007B6745" w:rsidP="00E71671" w14:paraId="54AECCD9" w14:textId="2702A122">
            <w:pPr>
              <w:pStyle w:val="RTableTextAbt"/>
            </w:pPr>
            <w:r w:rsidRPr="00682800">
              <w:t>$320,495</w:t>
            </w:r>
          </w:p>
        </w:tc>
        <w:tc>
          <w:tcPr>
            <w:tcW w:w="956" w:type="pct"/>
            <w:tcBorders>
              <w:top w:val="single" w:sz="4" w:space="0" w:color="auto"/>
              <w:left w:val="single" w:sz="4" w:space="0" w:color="auto"/>
              <w:bottom w:val="single" w:sz="4" w:space="0" w:color="auto"/>
              <w:right w:val="single" w:sz="4" w:space="0" w:color="auto"/>
            </w:tcBorders>
            <w:hideMark/>
          </w:tcPr>
          <w:p w:rsidR="00E71671" w:rsidRPr="007B6745" w:rsidP="00E71671" w14:paraId="50F57ABF" w14:textId="48A9A80C">
            <w:pPr>
              <w:pStyle w:val="RTableTextAbt"/>
            </w:pPr>
            <w:r w:rsidRPr="00682800">
              <w:t>$320,495</w:t>
            </w:r>
          </w:p>
        </w:tc>
      </w:tr>
      <w:tr w14:paraId="7C8BFD60" w14:textId="77777777" w:rsidTr="00BD3D2B">
        <w:tblPrEx>
          <w:tblW w:w="5000" w:type="pct"/>
          <w:tblLook w:val="04A0"/>
        </w:tblPrEx>
        <w:trPr>
          <w:trHeight w:val="20"/>
        </w:trPr>
        <w:tc>
          <w:tcPr>
            <w:tcW w:w="1282" w:type="pct"/>
            <w:tcBorders>
              <w:top w:val="single" w:sz="4" w:space="0" w:color="auto"/>
              <w:left w:val="single" w:sz="4" w:space="0" w:color="auto"/>
              <w:bottom w:val="single" w:sz="4" w:space="0" w:color="auto"/>
              <w:right w:val="single" w:sz="4" w:space="0" w:color="auto"/>
            </w:tcBorders>
            <w:vAlign w:val="center"/>
            <w:hideMark/>
          </w:tcPr>
          <w:p w:rsidR="00E71671" w:rsidRPr="007B6745" w:rsidP="00E71671" w14:paraId="72BD43CF" w14:textId="77777777">
            <w:pPr>
              <w:pStyle w:val="LTableTextAbt"/>
            </w:pPr>
            <w:r w:rsidRPr="007B6745">
              <w:t>Processing into plastic and rubber products</w:t>
            </w:r>
          </w:p>
        </w:tc>
        <w:tc>
          <w:tcPr>
            <w:tcW w:w="914" w:type="pct"/>
            <w:tcBorders>
              <w:top w:val="single" w:sz="4" w:space="0" w:color="auto"/>
              <w:left w:val="single" w:sz="4" w:space="0" w:color="auto"/>
              <w:bottom w:val="single" w:sz="4" w:space="0" w:color="auto"/>
              <w:right w:val="single" w:sz="4" w:space="0" w:color="auto"/>
            </w:tcBorders>
            <w:noWrap/>
            <w:hideMark/>
          </w:tcPr>
          <w:p w:rsidR="00E71671" w:rsidRPr="007B6745" w:rsidP="00E71671" w14:paraId="61DF514F" w14:textId="2FA0AE9D">
            <w:pPr>
              <w:pStyle w:val="RTableTextAbt"/>
            </w:pPr>
            <w:r w:rsidRPr="00682800">
              <w:t>$483,186</w:t>
            </w:r>
          </w:p>
        </w:tc>
        <w:tc>
          <w:tcPr>
            <w:tcW w:w="915" w:type="pct"/>
            <w:tcBorders>
              <w:top w:val="single" w:sz="4" w:space="0" w:color="auto"/>
              <w:left w:val="single" w:sz="4" w:space="0" w:color="auto"/>
              <w:bottom w:val="single" w:sz="4" w:space="0" w:color="auto"/>
              <w:right w:val="single" w:sz="4" w:space="0" w:color="auto"/>
            </w:tcBorders>
            <w:noWrap/>
            <w:hideMark/>
          </w:tcPr>
          <w:p w:rsidR="00E71671" w:rsidRPr="007B6745" w:rsidP="00E71671" w14:paraId="4F3F404E" w14:textId="42577B87">
            <w:pPr>
              <w:pStyle w:val="RTableTextAbt"/>
            </w:pPr>
            <w:r w:rsidRPr="00682800">
              <w:t>$483,186</w:t>
            </w:r>
          </w:p>
        </w:tc>
        <w:tc>
          <w:tcPr>
            <w:tcW w:w="933" w:type="pct"/>
            <w:tcBorders>
              <w:top w:val="single" w:sz="4" w:space="0" w:color="auto"/>
              <w:left w:val="single" w:sz="4" w:space="0" w:color="auto"/>
              <w:bottom w:val="single" w:sz="4" w:space="0" w:color="auto"/>
              <w:right w:val="single" w:sz="4" w:space="0" w:color="auto"/>
            </w:tcBorders>
            <w:hideMark/>
          </w:tcPr>
          <w:p w:rsidR="00E71671" w:rsidRPr="007B6745" w:rsidP="00E71671" w14:paraId="4892CCCC" w14:textId="4DB868A8">
            <w:pPr>
              <w:pStyle w:val="RTableTextAbt"/>
            </w:pPr>
            <w:r w:rsidRPr="00682800">
              <w:t>$194,939</w:t>
            </w:r>
          </w:p>
        </w:tc>
        <w:tc>
          <w:tcPr>
            <w:tcW w:w="956" w:type="pct"/>
            <w:tcBorders>
              <w:top w:val="single" w:sz="4" w:space="0" w:color="auto"/>
              <w:left w:val="single" w:sz="4" w:space="0" w:color="auto"/>
              <w:bottom w:val="single" w:sz="4" w:space="0" w:color="auto"/>
              <w:right w:val="single" w:sz="4" w:space="0" w:color="auto"/>
            </w:tcBorders>
            <w:hideMark/>
          </w:tcPr>
          <w:p w:rsidR="00E71671" w:rsidRPr="007B6745" w:rsidP="00E71671" w14:paraId="42C78D7E" w14:textId="603789E3">
            <w:pPr>
              <w:pStyle w:val="RTableTextAbt"/>
            </w:pPr>
            <w:r w:rsidRPr="00682800">
              <w:t>$194,939</w:t>
            </w:r>
          </w:p>
        </w:tc>
      </w:tr>
      <w:tr w14:paraId="6177F8CC" w14:textId="77777777" w:rsidTr="00BD3D2B">
        <w:tblPrEx>
          <w:tblW w:w="5000" w:type="pct"/>
          <w:tblLook w:val="04A0"/>
        </w:tblPrEx>
        <w:trPr>
          <w:trHeight w:val="20"/>
        </w:trPr>
        <w:tc>
          <w:tcPr>
            <w:tcW w:w="1282" w:type="pct"/>
            <w:tcBorders>
              <w:top w:val="single" w:sz="4" w:space="0" w:color="auto"/>
              <w:left w:val="single" w:sz="4" w:space="0" w:color="auto"/>
              <w:bottom w:val="single" w:sz="4" w:space="0" w:color="auto"/>
              <w:right w:val="single" w:sz="4" w:space="0" w:color="auto"/>
            </w:tcBorders>
            <w:vAlign w:val="center"/>
            <w:hideMark/>
          </w:tcPr>
          <w:p w:rsidR="00E71671" w:rsidRPr="007B6745" w:rsidP="00E71671" w14:paraId="21844D94" w14:textId="77777777">
            <w:pPr>
              <w:pStyle w:val="LTableTextAbt"/>
            </w:pPr>
            <w:r w:rsidRPr="007B6745">
              <w:t>Recycling</w:t>
            </w:r>
          </w:p>
        </w:tc>
        <w:tc>
          <w:tcPr>
            <w:tcW w:w="914" w:type="pct"/>
            <w:tcBorders>
              <w:top w:val="single" w:sz="4" w:space="0" w:color="auto"/>
              <w:left w:val="single" w:sz="4" w:space="0" w:color="auto"/>
              <w:bottom w:val="single" w:sz="4" w:space="0" w:color="auto"/>
              <w:right w:val="single" w:sz="4" w:space="0" w:color="auto"/>
            </w:tcBorders>
            <w:noWrap/>
            <w:hideMark/>
          </w:tcPr>
          <w:p w:rsidR="00E71671" w:rsidRPr="007B6745" w:rsidP="00E71671" w14:paraId="6BA0EA6C" w14:textId="4DB1BD87">
            <w:pPr>
              <w:pStyle w:val="RTableTextAbt"/>
            </w:pPr>
            <w:r w:rsidRPr="00682800">
              <w:t>$59,777</w:t>
            </w:r>
          </w:p>
        </w:tc>
        <w:tc>
          <w:tcPr>
            <w:tcW w:w="915" w:type="pct"/>
            <w:tcBorders>
              <w:top w:val="single" w:sz="4" w:space="0" w:color="auto"/>
              <w:left w:val="single" w:sz="4" w:space="0" w:color="auto"/>
              <w:bottom w:val="single" w:sz="4" w:space="0" w:color="auto"/>
              <w:right w:val="single" w:sz="4" w:space="0" w:color="auto"/>
            </w:tcBorders>
            <w:noWrap/>
            <w:hideMark/>
          </w:tcPr>
          <w:p w:rsidR="00E71671" w:rsidRPr="007B6745" w:rsidP="00E71671" w14:paraId="174E3244" w14:textId="36C0CBBF">
            <w:pPr>
              <w:pStyle w:val="RTableTextAbt"/>
            </w:pPr>
            <w:r w:rsidRPr="00682800">
              <w:t>$59,777</w:t>
            </w:r>
          </w:p>
        </w:tc>
        <w:tc>
          <w:tcPr>
            <w:tcW w:w="933" w:type="pct"/>
            <w:tcBorders>
              <w:top w:val="single" w:sz="4" w:space="0" w:color="auto"/>
              <w:left w:val="single" w:sz="4" w:space="0" w:color="auto"/>
              <w:bottom w:val="single" w:sz="4" w:space="0" w:color="auto"/>
              <w:right w:val="single" w:sz="4" w:space="0" w:color="auto"/>
            </w:tcBorders>
            <w:hideMark/>
          </w:tcPr>
          <w:p w:rsidR="00E71671" w:rsidRPr="007B6745" w:rsidP="00E71671" w14:paraId="2DEB0617" w14:textId="1D5520DA">
            <w:pPr>
              <w:pStyle w:val="RTableTextAbt"/>
            </w:pPr>
            <w:r w:rsidRPr="00682800">
              <w:t>$59,777</w:t>
            </w:r>
          </w:p>
        </w:tc>
        <w:tc>
          <w:tcPr>
            <w:tcW w:w="956" w:type="pct"/>
            <w:tcBorders>
              <w:top w:val="single" w:sz="4" w:space="0" w:color="auto"/>
              <w:left w:val="single" w:sz="4" w:space="0" w:color="auto"/>
              <w:bottom w:val="single" w:sz="4" w:space="0" w:color="auto"/>
              <w:right w:val="single" w:sz="4" w:space="0" w:color="auto"/>
            </w:tcBorders>
            <w:hideMark/>
          </w:tcPr>
          <w:p w:rsidR="00E71671" w:rsidRPr="007B6745" w:rsidP="00E71671" w14:paraId="2C555A5A" w14:textId="65DA0317">
            <w:pPr>
              <w:pStyle w:val="RTableTextAbt"/>
            </w:pPr>
            <w:r w:rsidRPr="00682800">
              <w:t>$59,777</w:t>
            </w:r>
          </w:p>
        </w:tc>
      </w:tr>
      <w:tr w14:paraId="5BA28D30" w14:textId="77777777" w:rsidTr="00BD3D2B">
        <w:tblPrEx>
          <w:tblW w:w="5000" w:type="pct"/>
          <w:tblLook w:val="04A0"/>
        </w:tblPrEx>
        <w:trPr>
          <w:trHeight w:val="20"/>
        </w:trPr>
        <w:tc>
          <w:tcPr>
            <w:tcW w:w="1282" w:type="pct"/>
            <w:tcBorders>
              <w:top w:val="single" w:sz="4" w:space="0" w:color="auto"/>
              <w:left w:val="single" w:sz="4" w:space="0" w:color="auto"/>
              <w:bottom w:val="single" w:sz="4" w:space="0" w:color="auto"/>
              <w:right w:val="single" w:sz="4" w:space="0" w:color="auto"/>
            </w:tcBorders>
            <w:vAlign w:val="center"/>
            <w:hideMark/>
          </w:tcPr>
          <w:p w:rsidR="00E71671" w:rsidRPr="007B6745" w:rsidP="00E71671" w14:paraId="52909C99" w14:textId="77777777">
            <w:pPr>
              <w:pStyle w:val="LTableTextAbt"/>
            </w:pPr>
            <w:r w:rsidRPr="007B6745">
              <w:t>Automotive painting (new vehicles)</w:t>
            </w:r>
          </w:p>
        </w:tc>
        <w:tc>
          <w:tcPr>
            <w:tcW w:w="914" w:type="pct"/>
            <w:tcBorders>
              <w:top w:val="single" w:sz="4" w:space="0" w:color="auto"/>
              <w:left w:val="single" w:sz="4" w:space="0" w:color="auto"/>
              <w:bottom w:val="single" w:sz="4" w:space="0" w:color="auto"/>
              <w:right w:val="single" w:sz="4" w:space="0" w:color="auto"/>
            </w:tcBorders>
            <w:noWrap/>
            <w:hideMark/>
          </w:tcPr>
          <w:p w:rsidR="00E71671" w:rsidRPr="007B6745" w:rsidP="00E71671" w14:paraId="10D48867" w14:textId="77B57686">
            <w:pPr>
              <w:pStyle w:val="RTableTextAbt"/>
            </w:pPr>
            <w:r w:rsidRPr="00682800">
              <w:t>$5,591</w:t>
            </w:r>
          </w:p>
        </w:tc>
        <w:tc>
          <w:tcPr>
            <w:tcW w:w="915" w:type="pct"/>
            <w:tcBorders>
              <w:top w:val="single" w:sz="4" w:space="0" w:color="auto"/>
              <w:left w:val="single" w:sz="4" w:space="0" w:color="auto"/>
              <w:bottom w:val="single" w:sz="4" w:space="0" w:color="auto"/>
              <w:right w:val="single" w:sz="4" w:space="0" w:color="auto"/>
            </w:tcBorders>
            <w:noWrap/>
            <w:hideMark/>
          </w:tcPr>
          <w:p w:rsidR="00E71671" w:rsidRPr="007B6745" w:rsidP="00E71671" w14:paraId="4481A3B2" w14:textId="0790E579">
            <w:pPr>
              <w:pStyle w:val="RTableTextAbt"/>
            </w:pPr>
            <w:r w:rsidRPr="00682800">
              <w:t>$5,591</w:t>
            </w:r>
          </w:p>
        </w:tc>
        <w:tc>
          <w:tcPr>
            <w:tcW w:w="933" w:type="pct"/>
            <w:tcBorders>
              <w:top w:val="single" w:sz="4" w:space="0" w:color="auto"/>
              <w:left w:val="single" w:sz="4" w:space="0" w:color="auto"/>
              <w:bottom w:val="single" w:sz="4" w:space="0" w:color="auto"/>
              <w:right w:val="single" w:sz="4" w:space="0" w:color="auto"/>
            </w:tcBorders>
            <w:hideMark/>
          </w:tcPr>
          <w:p w:rsidR="00E71671" w:rsidRPr="007B6745" w:rsidP="00E71671" w14:paraId="3C71BA0F" w14:textId="5CC010EC">
            <w:pPr>
              <w:pStyle w:val="RTableTextAbt"/>
            </w:pPr>
            <w:r w:rsidRPr="00682800">
              <w:t>$5,591</w:t>
            </w:r>
          </w:p>
        </w:tc>
        <w:tc>
          <w:tcPr>
            <w:tcW w:w="956" w:type="pct"/>
            <w:tcBorders>
              <w:top w:val="single" w:sz="4" w:space="0" w:color="auto"/>
              <w:left w:val="single" w:sz="4" w:space="0" w:color="auto"/>
              <w:bottom w:val="single" w:sz="4" w:space="0" w:color="auto"/>
              <w:right w:val="single" w:sz="4" w:space="0" w:color="auto"/>
            </w:tcBorders>
            <w:hideMark/>
          </w:tcPr>
          <w:p w:rsidR="00E71671" w:rsidRPr="007B6745" w:rsidP="00E71671" w14:paraId="71FB957B" w14:textId="4F560FE4">
            <w:pPr>
              <w:pStyle w:val="RTableTextAbt"/>
            </w:pPr>
            <w:r w:rsidRPr="00682800">
              <w:t>$5,591</w:t>
            </w:r>
          </w:p>
        </w:tc>
      </w:tr>
      <w:tr w14:paraId="5205C2C2" w14:textId="77777777" w:rsidTr="00BD3D2B">
        <w:tblPrEx>
          <w:tblW w:w="5000" w:type="pct"/>
          <w:tblLook w:val="04A0"/>
        </w:tblPrEx>
        <w:trPr>
          <w:trHeight w:val="20"/>
        </w:trPr>
        <w:tc>
          <w:tcPr>
            <w:tcW w:w="1282" w:type="pct"/>
            <w:tcBorders>
              <w:top w:val="single" w:sz="4" w:space="0" w:color="auto"/>
              <w:left w:val="single" w:sz="4" w:space="0" w:color="auto"/>
              <w:bottom w:val="single" w:sz="4" w:space="0" w:color="auto"/>
              <w:right w:val="single" w:sz="4" w:space="0" w:color="auto"/>
            </w:tcBorders>
            <w:vAlign w:val="center"/>
            <w:hideMark/>
          </w:tcPr>
          <w:p w:rsidR="00E71671" w:rsidRPr="007B6745" w:rsidP="00E71671" w14:paraId="060F4DDF" w14:textId="77777777">
            <w:pPr>
              <w:pStyle w:val="LTableTextAbt"/>
            </w:pPr>
            <w:r w:rsidRPr="007B6745">
              <w:t>Automotive refinishing</w:t>
            </w:r>
          </w:p>
        </w:tc>
        <w:tc>
          <w:tcPr>
            <w:tcW w:w="914" w:type="pct"/>
            <w:tcBorders>
              <w:top w:val="single" w:sz="4" w:space="0" w:color="auto"/>
              <w:left w:val="single" w:sz="4" w:space="0" w:color="auto"/>
              <w:bottom w:val="single" w:sz="4" w:space="0" w:color="auto"/>
              <w:right w:val="single" w:sz="4" w:space="0" w:color="auto"/>
            </w:tcBorders>
            <w:noWrap/>
            <w:hideMark/>
          </w:tcPr>
          <w:p w:rsidR="00E71671" w:rsidRPr="007B6745" w:rsidP="00E71671" w14:paraId="142B18EA" w14:textId="33AC75B8">
            <w:pPr>
              <w:pStyle w:val="RTableTextAbt"/>
            </w:pPr>
            <w:r w:rsidRPr="00682800">
              <w:t>$228,133</w:t>
            </w:r>
          </w:p>
        </w:tc>
        <w:tc>
          <w:tcPr>
            <w:tcW w:w="915" w:type="pct"/>
            <w:tcBorders>
              <w:top w:val="single" w:sz="4" w:space="0" w:color="auto"/>
              <w:left w:val="single" w:sz="4" w:space="0" w:color="auto"/>
              <w:bottom w:val="single" w:sz="4" w:space="0" w:color="auto"/>
              <w:right w:val="single" w:sz="4" w:space="0" w:color="auto"/>
            </w:tcBorders>
            <w:noWrap/>
            <w:hideMark/>
          </w:tcPr>
          <w:p w:rsidR="00E71671" w:rsidRPr="007B6745" w:rsidP="00E71671" w14:paraId="546785A0" w14:textId="7A2CF027">
            <w:pPr>
              <w:pStyle w:val="RTableTextAbt"/>
            </w:pPr>
            <w:r w:rsidRPr="00682800">
              <w:t>$228,133</w:t>
            </w:r>
          </w:p>
        </w:tc>
        <w:tc>
          <w:tcPr>
            <w:tcW w:w="933" w:type="pct"/>
            <w:tcBorders>
              <w:top w:val="single" w:sz="4" w:space="0" w:color="auto"/>
              <w:left w:val="single" w:sz="4" w:space="0" w:color="auto"/>
              <w:bottom w:val="single" w:sz="4" w:space="0" w:color="auto"/>
              <w:right w:val="single" w:sz="4" w:space="0" w:color="auto"/>
            </w:tcBorders>
            <w:hideMark/>
          </w:tcPr>
          <w:p w:rsidR="00E71671" w:rsidRPr="007B6745" w:rsidP="00E71671" w14:paraId="227E22F1" w14:textId="2905FFFB">
            <w:pPr>
              <w:pStyle w:val="RTableTextAbt"/>
            </w:pPr>
            <w:r w:rsidRPr="00682800">
              <w:t>$228,133</w:t>
            </w:r>
          </w:p>
        </w:tc>
        <w:tc>
          <w:tcPr>
            <w:tcW w:w="956" w:type="pct"/>
            <w:tcBorders>
              <w:top w:val="single" w:sz="4" w:space="0" w:color="auto"/>
              <w:left w:val="single" w:sz="4" w:space="0" w:color="auto"/>
              <w:bottom w:val="single" w:sz="4" w:space="0" w:color="auto"/>
              <w:right w:val="single" w:sz="4" w:space="0" w:color="auto"/>
            </w:tcBorders>
            <w:hideMark/>
          </w:tcPr>
          <w:p w:rsidR="00E71671" w:rsidRPr="007B6745" w:rsidP="00E71671" w14:paraId="5C0F4CE5" w14:textId="663A04BE">
            <w:pPr>
              <w:pStyle w:val="RTableTextAbt"/>
            </w:pPr>
            <w:r w:rsidRPr="00682800">
              <w:t>$228,133</w:t>
            </w:r>
          </w:p>
        </w:tc>
      </w:tr>
      <w:tr w14:paraId="3FA32F39" w14:textId="77777777" w:rsidTr="00BD3D2B">
        <w:tblPrEx>
          <w:tblW w:w="5000" w:type="pct"/>
          <w:tblLook w:val="04A0"/>
        </w:tblPrEx>
        <w:trPr>
          <w:trHeight w:val="20"/>
        </w:trPr>
        <w:tc>
          <w:tcPr>
            <w:tcW w:w="1282" w:type="pct"/>
            <w:tcBorders>
              <w:top w:val="single" w:sz="4" w:space="0" w:color="auto"/>
              <w:left w:val="single" w:sz="4" w:space="0" w:color="auto"/>
              <w:bottom w:val="single" w:sz="4" w:space="0" w:color="auto"/>
              <w:right w:val="single" w:sz="4" w:space="0" w:color="auto"/>
            </w:tcBorders>
            <w:vAlign w:val="center"/>
            <w:hideMark/>
          </w:tcPr>
          <w:p w:rsidR="00E71671" w:rsidRPr="007B6745" w:rsidP="00E71671" w14:paraId="420D76F3" w14:textId="77777777">
            <w:pPr>
              <w:pStyle w:val="LTableTextAbt"/>
            </w:pPr>
            <w:r w:rsidRPr="007B6745">
              <w:t>Disposal</w:t>
            </w:r>
          </w:p>
        </w:tc>
        <w:tc>
          <w:tcPr>
            <w:tcW w:w="914" w:type="pct"/>
            <w:tcBorders>
              <w:top w:val="single" w:sz="4" w:space="0" w:color="auto"/>
              <w:left w:val="single" w:sz="4" w:space="0" w:color="auto"/>
              <w:bottom w:val="single" w:sz="4" w:space="0" w:color="auto"/>
              <w:right w:val="single" w:sz="4" w:space="0" w:color="auto"/>
            </w:tcBorders>
            <w:noWrap/>
            <w:hideMark/>
          </w:tcPr>
          <w:p w:rsidR="00E71671" w:rsidRPr="007B6745" w:rsidP="00E71671" w14:paraId="19992664" w14:textId="5AD4CE94">
            <w:pPr>
              <w:pStyle w:val="RTableTextAbt"/>
            </w:pPr>
            <w:r w:rsidRPr="00682800">
              <w:t>$57,069</w:t>
            </w:r>
          </w:p>
        </w:tc>
        <w:tc>
          <w:tcPr>
            <w:tcW w:w="915" w:type="pct"/>
            <w:tcBorders>
              <w:top w:val="single" w:sz="4" w:space="0" w:color="auto"/>
              <w:left w:val="single" w:sz="4" w:space="0" w:color="auto"/>
              <w:bottom w:val="single" w:sz="4" w:space="0" w:color="auto"/>
              <w:right w:val="single" w:sz="4" w:space="0" w:color="auto"/>
            </w:tcBorders>
            <w:noWrap/>
            <w:hideMark/>
          </w:tcPr>
          <w:p w:rsidR="00E71671" w:rsidRPr="007B6745" w:rsidP="00E71671" w14:paraId="23628333" w14:textId="3105F0A3">
            <w:pPr>
              <w:pStyle w:val="RTableTextAbt"/>
            </w:pPr>
            <w:r w:rsidRPr="00682800">
              <w:t>$57,069</w:t>
            </w:r>
          </w:p>
        </w:tc>
        <w:tc>
          <w:tcPr>
            <w:tcW w:w="933" w:type="pct"/>
            <w:tcBorders>
              <w:top w:val="single" w:sz="4" w:space="0" w:color="auto"/>
              <w:left w:val="single" w:sz="4" w:space="0" w:color="auto"/>
              <w:bottom w:val="single" w:sz="4" w:space="0" w:color="auto"/>
              <w:right w:val="single" w:sz="4" w:space="0" w:color="auto"/>
            </w:tcBorders>
            <w:hideMark/>
          </w:tcPr>
          <w:p w:rsidR="00E71671" w:rsidRPr="007B6745" w:rsidP="00E71671" w14:paraId="15501033" w14:textId="4BED7422">
            <w:pPr>
              <w:pStyle w:val="RTableTextAbt"/>
            </w:pPr>
            <w:r w:rsidRPr="00682800">
              <w:t>$57,069</w:t>
            </w:r>
          </w:p>
        </w:tc>
        <w:tc>
          <w:tcPr>
            <w:tcW w:w="956" w:type="pct"/>
            <w:tcBorders>
              <w:top w:val="single" w:sz="4" w:space="0" w:color="auto"/>
              <w:left w:val="single" w:sz="4" w:space="0" w:color="auto"/>
              <w:bottom w:val="single" w:sz="4" w:space="0" w:color="auto"/>
              <w:right w:val="single" w:sz="4" w:space="0" w:color="auto"/>
            </w:tcBorders>
            <w:hideMark/>
          </w:tcPr>
          <w:p w:rsidR="00E71671" w:rsidRPr="007B6745" w:rsidP="00E71671" w14:paraId="3B8A31BF" w14:textId="6F8D0ACD">
            <w:pPr>
              <w:pStyle w:val="RTableTextAbt"/>
            </w:pPr>
            <w:r w:rsidRPr="00682800">
              <w:t>$57,069</w:t>
            </w:r>
          </w:p>
        </w:tc>
      </w:tr>
      <w:tr w14:paraId="2CAC34E6" w14:textId="77777777" w:rsidTr="00BD3D2B">
        <w:tblPrEx>
          <w:tblW w:w="5000" w:type="pct"/>
          <w:tblLook w:val="04A0"/>
        </w:tblPrEx>
        <w:trPr>
          <w:trHeight w:val="20"/>
        </w:trPr>
        <w:tc>
          <w:tcPr>
            <w:tcW w:w="1282" w:type="pct"/>
            <w:tcBorders>
              <w:top w:val="single" w:sz="4" w:space="0" w:color="auto"/>
              <w:left w:val="single" w:sz="4" w:space="0" w:color="auto"/>
              <w:bottom w:val="single" w:sz="4" w:space="0" w:color="auto"/>
              <w:right w:val="single" w:sz="4" w:space="0" w:color="auto"/>
            </w:tcBorders>
            <w:vAlign w:val="center"/>
            <w:hideMark/>
          </w:tcPr>
          <w:p w:rsidR="00E71671" w:rsidRPr="007B6745" w:rsidP="00E71671" w14:paraId="72577871" w14:textId="77777777">
            <w:pPr>
              <w:pStyle w:val="LTableTextAbt"/>
              <w:rPr>
                <w:b/>
              </w:rPr>
            </w:pPr>
            <w:r w:rsidRPr="007B6745">
              <w:rPr>
                <w:b/>
              </w:rPr>
              <w:t>Total</w:t>
            </w:r>
          </w:p>
        </w:tc>
        <w:tc>
          <w:tcPr>
            <w:tcW w:w="914" w:type="pct"/>
            <w:tcBorders>
              <w:top w:val="single" w:sz="4" w:space="0" w:color="auto"/>
              <w:left w:val="single" w:sz="4" w:space="0" w:color="auto"/>
              <w:bottom w:val="single" w:sz="4" w:space="0" w:color="auto"/>
              <w:right w:val="single" w:sz="4" w:space="0" w:color="auto"/>
            </w:tcBorders>
            <w:noWrap/>
            <w:hideMark/>
          </w:tcPr>
          <w:p w:rsidR="00E71671" w:rsidRPr="008D48D4" w:rsidP="00E71671" w14:paraId="20B485FB" w14:textId="10E43B22">
            <w:pPr>
              <w:pStyle w:val="RTableTextAbt"/>
              <w:rPr>
                <w:b/>
                <w:bCs w:val="0"/>
              </w:rPr>
            </w:pPr>
            <w:r w:rsidRPr="008D48D4">
              <w:rPr>
                <w:b/>
                <w:bCs w:val="0"/>
              </w:rPr>
              <w:t>$1,641,538</w:t>
            </w:r>
          </w:p>
        </w:tc>
        <w:tc>
          <w:tcPr>
            <w:tcW w:w="915" w:type="pct"/>
            <w:tcBorders>
              <w:top w:val="single" w:sz="4" w:space="0" w:color="auto"/>
              <w:left w:val="single" w:sz="4" w:space="0" w:color="auto"/>
              <w:bottom w:val="single" w:sz="4" w:space="0" w:color="auto"/>
              <w:right w:val="single" w:sz="4" w:space="0" w:color="auto"/>
            </w:tcBorders>
            <w:noWrap/>
            <w:hideMark/>
          </w:tcPr>
          <w:p w:rsidR="00E71671" w:rsidRPr="008D48D4" w:rsidP="00E71671" w14:paraId="4884BCA2" w14:textId="1EBD471E">
            <w:pPr>
              <w:pStyle w:val="RTableTextAbt"/>
              <w:rPr>
                <w:b/>
                <w:bCs w:val="0"/>
              </w:rPr>
            </w:pPr>
            <w:r w:rsidRPr="008D48D4">
              <w:rPr>
                <w:b/>
                <w:bCs w:val="0"/>
              </w:rPr>
              <w:t>$1,676,538</w:t>
            </w:r>
          </w:p>
        </w:tc>
        <w:tc>
          <w:tcPr>
            <w:tcW w:w="933" w:type="pct"/>
            <w:tcBorders>
              <w:top w:val="single" w:sz="4" w:space="0" w:color="auto"/>
              <w:left w:val="single" w:sz="4" w:space="0" w:color="auto"/>
              <w:bottom w:val="single" w:sz="4" w:space="0" w:color="auto"/>
              <w:right w:val="single" w:sz="4" w:space="0" w:color="auto"/>
            </w:tcBorders>
            <w:noWrap/>
            <w:hideMark/>
          </w:tcPr>
          <w:p w:rsidR="00E71671" w:rsidRPr="008D48D4" w:rsidP="00E71671" w14:paraId="27457383" w14:textId="5A1E1765">
            <w:pPr>
              <w:pStyle w:val="RTableTextAbt"/>
              <w:rPr>
                <w:b/>
                <w:bCs w:val="0"/>
              </w:rPr>
            </w:pPr>
            <w:r w:rsidRPr="008D48D4">
              <w:rPr>
                <w:b/>
                <w:bCs w:val="0"/>
              </w:rPr>
              <w:t>$930,695</w:t>
            </w:r>
          </w:p>
        </w:tc>
        <w:tc>
          <w:tcPr>
            <w:tcW w:w="956" w:type="pct"/>
            <w:tcBorders>
              <w:top w:val="single" w:sz="4" w:space="0" w:color="auto"/>
              <w:left w:val="single" w:sz="4" w:space="0" w:color="auto"/>
              <w:bottom w:val="single" w:sz="4" w:space="0" w:color="auto"/>
              <w:right w:val="single" w:sz="4" w:space="0" w:color="auto"/>
            </w:tcBorders>
            <w:noWrap/>
            <w:hideMark/>
          </w:tcPr>
          <w:p w:rsidR="00E71671" w:rsidRPr="008D48D4" w:rsidP="00E71671" w14:paraId="2E6D2835" w14:textId="3F069A4B">
            <w:pPr>
              <w:pStyle w:val="RTableTextAbt"/>
              <w:rPr>
                <w:b/>
                <w:bCs w:val="0"/>
              </w:rPr>
            </w:pPr>
            <w:r w:rsidRPr="008D48D4">
              <w:rPr>
                <w:b/>
                <w:bCs w:val="0"/>
              </w:rPr>
              <w:t>$941,049</w:t>
            </w:r>
          </w:p>
        </w:tc>
      </w:tr>
      <w:tr w14:paraId="2E3FC397" w14:textId="77777777" w:rsidTr="007B6745">
        <w:tblPrEx>
          <w:tblW w:w="5000" w:type="pct"/>
          <w:tblLook w:val="04A0"/>
        </w:tblPrEx>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7B6745" w:rsidRPr="007B6745" w:rsidP="007430B8" w14:paraId="65762582" w14:textId="77777777">
            <w:pPr>
              <w:pStyle w:val="TableNote0"/>
            </w:pPr>
            <w:r w:rsidRPr="007B6745">
              <w:t>a. Annualized over 15 years using a 2% discount rate; rounded to the nearest dollar.</w:t>
            </w:r>
          </w:p>
          <w:p w:rsidR="007B6745" w:rsidRPr="007B6745" w:rsidP="007430B8" w14:paraId="0089D0C9" w14:textId="77777777">
            <w:pPr>
              <w:pStyle w:val="TableNote0"/>
            </w:pPr>
            <w:r w:rsidRPr="007B6745">
              <w:t>b. Proposed option includes costs for rule familiarization, personal protective equipment, labeling and downstream notification, and cleaning.</w:t>
            </w:r>
          </w:p>
          <w:p w:rsidR="007B6745" w:rsidRPr="007B6745" w:rsidP="007430B8" w14:paraId="421B595B" w14:textId="77777777">
            <w:pPr>
              <w:pStyle w:val="TableNote0"/>
            </w:pPr>
            <w:r w:rsidRPr="007B6745">
              <w:t>c. Alternative option includes costs for rule familiarization, personal protective equipment, cleaning, monitoring, and engineering controls.</w:t>
            </w:r>
          </w:p>
        </w:tc>
      </w:tr>
    </w:tbl>
    <w:p w:rsidR="007B6745" w:rsidRPr="007B6745" w:rsidP="00832749" w14:paraId="5F3F3A64" w14:textId="77777777">
      <w:pPr>
        <w:pStyle w:val="BodyText"/>
      </w:pPr>
    </w:p>
    <w:p w:rsidR="007B6745" w:rsidP="00547CD6" w14:paraId="17AFF38F" w14:textId="127F76AC">
      <w:pPr>
        <w:pStyle w:val="Heading2"/>
      </w:pPr>
      <w:bookmarkStart w:id="257" w:name="_Ref180409107"/>
      <w:bookmarkStart w:id="258" w:name="_Toc184299520"/>
      <w:r w:rsidRPr="007B6745">
        <w:t>Unquantified Costs and Uncertainties</w:t>
      </w:r>
      <w:bookmarkEnd w:id="257"/>
      <w:bookmarkEnd w:id="258"/>
    </w:p>
    <w:p w:rsidR="00146104" w:rsidRPr="00953B8E" w:rsidP="00146104" w14:paraId="17971CAA" w14:textId="77777777">
      <w:pPr>
        <w:pStyle w:val="BodyText"/>
      </w:pPr>
      <w:r w:rsidRPr="25546D4D">
        <w:rPr>
          <w:lang w:val="en-US"/>
        </w:rPr>
        <w:t xml:space="preserve">This economic analysis does not include quantified cost estimates for all costs under the options. Although certain costs cannot be quantified, this does not mean that they are less important than the quantified costs. This section discusses these unquantified costs qualitatively as well as other uncertainties in the cost estimates. </w:t>
      </w:r>
    </w:p>
    <w:p w:rsidR="005060F5" w:rsidP="005060F5" w14:paraId="18702D61" w14:textId="75B6B183">
      <w:pPr>
        <w:pStyle w:val="Heading3"/>
      </w:pPr>
      <w:bookmarkStart w:id="259" w:name="_Ref30142415"/>
      <w:bookmarkStart w:id="260" w:name="_Ref30142419"/>
      <w:bookmarkStart w:id="261" w:name="_Ref180684187"/>
      <w:r>
        <w:t>Estimated Numbers of Facilities Handling Regulated PV29</w:t>
      </w:r>
    </w:p>
    <w:p w:rsidR="005060F5" w:rsidRPr="0088745B" w:rsidP="005060F5" w14:paraId="22899305" w14:textId="43A3E148">
      <w:pPr>
        <w:pStyle w:val="BodyText"/>
      </w:pPr>
      <w:r>
        <w:rPr>
          <w:lang w:val="en-US"/>
        </w:rPr>
        <w:t>It is possible that the estimated number of regulated PV29 importers is underestimated because one or more importers are importing small enough volumes of regulated PV29 to be exempt from reporting the import of the chemical to CDR. It follows that there could also be downstream users of regulated PV29 that EPA is not including in the economic analysis.</w:t>
      </w:r>
    </w:p>
    <w:p w:rsidR="005060F5" w:rsidP="005060F5" w14:paraId="12D9E3D0" w14:textId="77777777">
      <w:pPr>
        <w:pStyle w:val="Heading3"/>
      </w:pPr>
      <w:r>
        <w:t>Productivity Losses from PPE Use</w:t>
      </w:r>
    </w:p>
    <w:p w:rsidR="005060F5" w:rsidP="005060F5" w14:paraId="4C05507E" w14:textId="5A9306E9">
      <w:pPr>
        <w:pStyle w:val="BodyText"/>
        <w:rPr>
          <w:lang w:val="en-US"/>
        </w:rPr>
      </w:pPr>
      <w:r w:rsidRPr="67084C41">
        <w:rPr>
          <w:lang w:val="en-US"/>
        </w:rPr>
        <w:t>In addition, there are likely to be unquantified costs associated with implementing a respirator program. Respirators have been found to interfere with many physiological and psychological aspects of task performance (</w:t>
      </w:r>
      <w:hyperlink w:anchor="_ENREF_30" w:tooltip="Johnson, 2016 #30" w:history="1">
        <w:r w:rsidR="003D6084">
          <w:fldChar w:fldCharType="begin" w:fldLock="1"/>
        </w:r>
        <w:r w:rsidR="003D6084">
          <w:instrText xml:space="preserve"> ADDIN EN.CITE &lt;EndNote&gt;&lt;Cite&gt;&lt;Author&gt;Johnson&lt;/Author&gt;&lt;Year&gt;2016&lt;/Year&gt;&lt;RecNum&gt;30&lt;/RecNum&gt;&lt;DisplayText&gt;Johnson 2016&lt;/DisplayText&gt;&lt;record&gt;&lt;rec-number&gt;30&lt;/rec-number&gt;&lt;foreign-keys&gt;&lt;key app="EN" db-id="2apzr05radv9fjet2w6xxwdlz5e9vwfxredw" timestamp="1730757315"&gt;30&lt;/key&gt;&lt;/foreign-keys&gt;&lt;ref-type name="Journal Article"&gt;17&lt;/ref-type&gt;&lt;contributors&gt;&lt;authors&gt;&lt;author&gt;Johnson, A. T.&lt;/author&gt;&lt;/authors&gt;&lt;/contributors&gt;&lt;auth-address&gt;Fischell Department of Bioengineering, University of Maryland, College Park, MD 20742 USA.&lt;/auth-address&gt;&lt;titles&gt;&lt;title&gt;Respirator masks protect health but impact performance: a review&lt;/title&gt;&lt;secondary-title&gt;J Biol Eng&lt;/secondary-title&gt;&lt;/titles&gt;&lt;periodical&gt;&lt;full-title&gt;J Biol Eng&lt;/full-title&gt;&lt;/periodical&gt;&lt;pages&gt;4&lt;/pages&gt;&lt;volume&gt;10&lt;/volume&gt;&lt;edition&gt;20160209&lt;/edition&gt;&lt;keywords&gt;&lt;keyword&gt;Anxiety&lt;/keyword&gt;&lt;keyword&gt;Communications&lt;/keyword&gt;&lt;keyword&gt;Exercise&lt;/keyword&gt;&lt;keyword&gt;Heart&lt;/keyword&gt;&lt;keyword&gt;Heat&lt;/keyword&gt;&lt;keyword&gt;Respiration&lt;/keyword&gt;&lt;keyword&gt;Vision&lt;/keyword&gt;&lt;/keywords&gt;&lt;dates&gt;&lt;year&gt;2016&lt;/year&gt;&lt;/dates&gt;&lt;isbn&gt;1754-1611 (Print)&amp;#xD;1754-1611&lt;/isbn&gt;&lt;accession-num&gt;26865858&lt;/accession-num&gt;&lt;urls&gt;&lt;/urls&gt;&lt;custom2&gt;PMC4748517&lt;/custom2&gt;&lt;electronic-resource-num&gt;10.1186/s13036-016-0025-4&lt;/electronic-resource-num&gt;&lt;remote-database-provider&gt;NLM&lt;/remote-database-provider&gt;&lt;language&gt;eng&lt;/language&gt;&lt;/record&gt;&lt;/Cite&gt;&lt;/EndNote&gt;</w:instrText>
        </w:r>
        <w:r w:rsidR="003D6084">
          <w:fldChar w:fldCharType="separate"/>
        </w:r>
        <w:r w:rsidRPr="67084C41" w:rsidR="003D6084">
          <w:rPr>
            <w:noProof/>
            <w:lang w:val="en-US"/>
          </w:rPr>
          <w:t>Johnson 2016</w:t>
        </w:r>
        <w:r w:rsidR="003D6084">
          <w:fldChar w:fldCharType="end"/>
        </w:r>
      </w:hyperlink>
      <w:r w:rsidRPr="67084C41">
        <w:rPr>
          <w:lang w:val="en-US"/>
        </w:rPr>
        <w:t>) and therefore likely reduce worker productivity or necessitate offering higher wages to workers who wear respirators. The extent of productivity reductions or higher wages to workers who must wear respirators is unknown, and therefore unquantified in this analysis. However, these costs may be significant.</w:t>
      </w:r>
    </w:p>
    <w:p w:rsidR="005060F5" w:rsidP="004C10F5" w14:paraId="02EDD8E1" w14:textId="77777777">
      <w:pPr>
        <w:pStyle w:val="Heading3"/>
      </w:pPr>
      <w:r>
        <w:t>Costs of PPE Requirements (Alternative Option)</w:t>
      </w:r>
    </w:p>
    <w:p w:rsidR="005060F5" w:rsidP="005060F5" w14:paraId="79A5E0D0" w14:textId="77777777">
      <w:pPr>
        <w:pStyle w:val="BodyText"/>
        <w:rPr>
          <w:lang w:val="en-US"/>
        </w:rPr>
      </w:pPr>
      <w:r>
        <w:rPr>
          <w:lang w:val="en-US"/>
        </w:rPr>
        <w:t>Under the alternative option, EPA assumed that attaining 100 percent compliance with existing practices around PPE in affected facilities (i.e. the use of N95 masks) would be sufficient to comply with the PPE requirements (APF 10). It is possible that some workers may not be able to wear N95 masks and may require alternatives such as an air-purifying respirator at a higher unit cost. However, the extent to which this may occur is unknown. Additionally, since some level of PPE is already provided at the relevant facilities, workers may already have some baseline variation in the types of PPE used and as such the additional costs would not be attributable to the proposed rule.</w:t>
      </w:r>
    </w:p>
    <w:p w:rsidR="005060F5" w:rsidP="004C10F5" w14:paraId="6BAE8ACA" w14:textId="77777777">
      <w:pPr>
        <w:pStyle w:val="Heading3"/>
      </w:pPr>
      <w:r>
        <w:t>Costs of Engineering Controls (Alternative Option)</w:t>
      </w:r>
    </w:p>
    <w:p w:rsidR="0081535D" w:rsidP="005060F5" w14:paraId="7CD40AF1" w14:textId="10FE3682">
      <w:pPr>
        <w:pStyle w:val="BodyText"/>
        <w:rPr>
          <w:lang w:val="en-US"/>
        </w:rPr>
        <w:sectPr w:rsidSect="00946DC8">
          <w:pgSz w:w="12240" w:h="15840" w:code="1"/>
          <w:pgMar w:top="1440" w:right="1440" w:bottom="1440" w:left="1440" w:header="1080" w:footer="720" w:gutter="0"/>
          <w:pgNumType w:chapStyle="1"/>
          <w:cols w:space="720"/>
          <w:docGrid w:linePitch="360"/>
        </w:sectPr>
      </w:pPr>
      <w:r>
        <w:rPr>
          <w:lang w:val="en-US"/>
        </w:rPr>
        <w:t>Based on available monitoring data, EPA assumes that facilities handling PV29 have existing air concentrations below 0.5 mg/m</w:t>
      </w:r>
      <w:r w:rsidRPr="004C10F5">
        <w:rPr>
          <w:vertAlign w:val="superscript"/>
          <w:lang w:val="en-US"/>
        </w:rPr>
        <w:t>3</w:t>
      </w:r>
      <w:r>
        <w:rPr>
          <w:lang w:val="en-US"/>
        </w:rPr>
        <w:t xml:space="preserve"> which is the </w:t>
      </w:r>
      <w:r w:rsidR="00017196">
        <w:rPr>
          <w:lang w:val="en-US"/>
        </w:rPr>
        <w:t>LOD</w:t>
      </w:r>
      <w:r>
        <w:rPr>
          <w:lang w:val="en-US"/>
        </w:rPr>
        <w:t xml:space="preserve"> for the NIOSH 0600 test. Under the alternative option, facilities with concentrations above this level would need to use engineering controls to reduce the concentrations and conduct monitoring every three months rather than every six months. The costs associated with potential engineering controls are uncertain and depend on the specific facility configuration, the nature and frequency of worker exposures, available technological controls, and other factors. If some facilities have higher baseline concentrations than is reflected in the available exposure monitoring data, then they may need to employ facility-wide filtration systems, area-specific filtration controls, dust capture or removal equipment, or dust prevention or containment mechanisms.</w:t>
      </w:r>
    </w:p>
    <w:p w:rsidR="00A2674A" w:rsidP="00503B52" w14:paraId="7CC0E2F1" w14:textId="77777777">
      <w:pPr>
        <w:pStyle w:val="Heading1"/>
      </w:pPr>
      <w:bookmarkStart w:id="262" w:name="_Toc184299521"/>
      <w:r w:rsidRPr="00B56426">
        <w:t>Benefits Analysis</w:t>
      </w:r>
      <w:bookmarkEnd w:id="259"/>
      <w:bookmarkEnd w:id="260"/>
      <w:bookmarkEnd w:id="261"/>
      <w:bookmarkEnd w:id="262"/>
    </w:p>
    <w:p w:rsidR="005355FB" w:rsidP="00E454BD" w14:paraId="22B7BBDF" w14:textId="77777777">
      <w:pPr>
        <w:pStyle w:val="BodyText"/>
        <w:rPr>
          <w:lang w:val="en-US"/>
        </w:rPr>
      </w:pPr>
      <w:r w:rsidRPr="67084C41">
        <w:rPr>
          <w:lang w:val="en-US"/>
        </w:rPr>
        <w:t xml:space="preserve">This Chapter presents the monetized benefits estimates under the options. </w:t>
      </w:r>
      <w:r w:rsidRPr="437E21C1">
        <w:rPr>
          <w:lang w:val="en-US"/>
        </w:rPr>
        <w:t>Chronic exposure to dry powder C.I. Pigment Violet 29 may increase lung burden which may result in kinetic lung overload, a pharmacokinetic phenomenon, which is not due to the overt toxicity of the chemical, but rather the possibility that C.I. Pigment Violet 29 dust overwhelms the lung clearance mechanisms over time. The inhalation toxicity data on the analogue carbon black demonstrated increased lung burden, alveolar hyperplasia, and inflammatory and morphological changes in the lower respiratory tract. These endpoints are not monetizable themselves, however there are occupational studies on carbon black that have found significant relationships between inhalable carbon black dust exposure and respiratory effects, including chronic bronchitis. Therefore, this analysis provides estimates to understand the magnitude of potential chronic bronchitis cases avoided from exposure reduction to PV29 as a result of the proposed rule.</w:t>
      </w:r>
      <w:r w:rsidRPr="67084C41">
        <w:rPr>
          <w:lang w:val="en-US"/>
        </w:rPr>
        <w:t xml:space="preserve"> Effects of increased lung burden, alveolar hyperplasia, and inflammatory and morphological changes in the lower respiratory tract are not quantifiable or monetizeable due to data limitations on these effects. Therefore, to the extent that these result in health effects other than chronic bronchitis, this analysis underestimates the benefits of this proposed rule.</w:t>
      </w:r>
    </w:p>
    <w:p w:rsidR="00E454BD" w:rsidRPr="00324FE4" w:rsidP="00E454BD" w14:paraId="32B36C27" w14:textId="7D77CE20">
      <w:pPr>
        <w:pStyle w:val="BodyText"/>
      </w:pPr>
      <w:r w:rsidRPr="67084C41">
        <w:rPr>
          <w:lang w:val="en-US"/>
        </w:rPr>
        <w:t xml:space="preserve">As described </w:t>
      </w:r>
      <w:r w:rsidR="00DE2158">
        <w:rPr>
          <w:lang w:val="en-US"/>
        </w:rPr>
        <w:t xml:space="preserve">above </w:t>
      </w:r>
      <w:r w:rsidR="00DF2127">
        <w:rPr>
          <w:lang w:val="en-US"/>
        </w:rPr>
        <w:t xml:space="preserve">in </w:t>
      </w:r>
      <w:r w:rsidR="00DE2158">
        <w:rPr>
          <w:lang w:val="en-US"/>
        </w:rPr>
        <w:fldChar w:fldCharType="begin" w:fldLock="1"/>
      </w:r>
      <w:r w:rsidR="00DE2158">
        <w:rPr>
          <w:lang w:val="en-US"/>
        </w:rPr>
        <w:instrText xml:space="preserve"> REF _Ref180403978 \r \h </w:instrText>
      </w:r>
      <w:r w:rsidR="00DE2158">
        <w:rPr>
          <w:lang w:val="en-US"/>
        </w:rPr>
        <w:fldChar w:fldCharType="separate"/>
      </w:r>
      <w:r w:rsidR="00735BBC">
        <w:rPr>
          <w:lang w:val="en-US"/>
        </w:rPr>
        <w:t>4.1</w:t>
      </w:r>
      <w:r w:rsidR="00DE2158">
        <w:rPr>
          <w:lang w:val="en-US"/>
        </w:rPr>
        <w:fldChar w:fldCharType="end"/>
      </w:r>
      <w:r w:rsidR="00DE2158">
        <w:rPr>
          <w:lang w:val="en-US"/>
        </w:rPr>
        <w:t xml:space="preserve"> and below in </w:t>
      </w:r>
      <w:r w:rsidRPr="67084C41">
        <w:rPr>
          <w:lang w:val="en-US"/>
        </w:rPr>
        <w:t>section</w:t>
      </w:r>
      <w:r>
        <w:t xml:space="preserve"> </w:t>
      </w:r>
      <w:r w:rsidR="00DE2158">
        <w:fldChar w:fldCharType="begin" w:fldLock="1"/>
      </w:r>
      <w:r w:rsidR="00DE2158">
        <w:instrText xml:space="preserve"> REF _Ref181352728 \r \h </w:instrText>
      </w:r>
      <w:r w:rsidR="00DE2158">
        <w:fldChar w:fldCharType="separate"/>
      </w:r>
      <w:r w:rsidR="00735BBC">
        <w:t>5.5</w:t>
      </w:r>
      <w:r w:rsidR="00DE2158">
        <w:fldChar w:fldCharType="end"/>
      </w:r>
      <w:r w:rsidRPr="67084C41">
        <w:rPr>
          <w:lang w:val="en-US"/>
        </w:rPr>
        <w:t xml:space="preserve">, the timeline for the analysis is </w:t>
      </w:r>
      <w:r w:rsidR="00DE2158">
        <w:rPr>
          <w:lang w:val="en-US"/>
        </w:rPr>
        <w:t>15</w:t>
      </w:r>
      <w:r w:rsidRPr="67084C41">
        <w:rPr>
          <w:lang w:val="en-US"/>
        </w:rPr>
        <w:t xml:space="preserve"> years, and therefore benefits are annualized over </w:t>
      </w:r>
      <w:r w:rsidR="000E20CD">
        <w:rPr>
          <w:lang w:val="en-US"/>
        </w:rPr>
        <w:t>15</w:t>
      </w:r>
      <w:r w:rsidRPr="67084C41">
        <w:rPr>
          <w:lang w:val="en-US"/>
        </w:rPr>
        <w:t xml:space="preserve"> years of reduced exposure risks. Since the benefits in each year of reduced exposure risks are estimated to be the same, annualized benefits are not sensitive to the analysis timeframe.</w:t>
      </w:r>
    </w:p>
    <w:p w:rsidR="00E454BD" w:rsidRPr="00324FE4" w:rsidP="00E454BD" w14:paraId="2848D223" w14:textId="126B3C8E">
      <w:pPr>
        <w:pStyle w:val="BodyText"/>
      </w:pPr>
      <w:r w:rsidRPr="00324FE4">
        <w:t xml:space="preserve">The </w:t>
      </w:r>
      <w:r w:rsidR="00BB7CBC">
        <w:t xml:space="preserve">estimated </w:t>
      </w:r>
      <w:r w:rsidRPr="00324FE4">
        <w:t xml:space="preserve">benefits </w:t>
      </w:r>
      <w:r w:rsidR="00BB7CBC">
        <w:t xml:space="preserve">associated with reduced risk for chronic bronchitis </w:t>
      </w:r>
      <w:r w:rsidRPr="00324FE4">
        <w:t>are described in section</w:t>
      </w:r>
      <w:r w:rsidR="00BB7CBC">
        <w:t>s</w:t>
      </w:r>
      <w:r w:rsidR="008F4938">
        <w:rPr>
          <w:lang w:val="en-US"/>
        </w:rPr>
        <w:t xml:space="preserve"> </w:t>
      </w:r>
      <w:r w:rsidR="008F4938">
        <w:rPr>
          <w:lang w:val="en-US"/>
        </w:rPr>
        <w:fldChar w:fldCharType="begin" w:fldLock="1"/>
      </w:r>
      <w:r w:rsidR="008F4938">
        <w:rPr>
          <w:lang w:val="en-US"/>
        </w:rPr>
        <w:instrText xml:space="preserve"> REF _Ref181352833 \r \h </w:instrText>
      </w:r>
      <w:r w:rsidR="008F4938">
        <w:rPr>
          <w:lang w:val="en-US"/>
        </w:rPr>
        <w:fldChar w:fldCharType="separate"/>
      </w:r>
      <w:r w:rsidR="00735BBC">
        <w:rPr>
          <w:lang w:val="en-US"/>
        </w:rPr>
        <w:t>5.1</w:t>
      </w:r>
      <w:r w:rsidR="008F4938">
        <w:rPr>
          <w:lang w:val="en-US"/>
        </w:rPr>
        <w:fldChar w:fldCharType="end"/>
      </w:r>
      <w:r w:rsidR="008F4938">
        <w:rPr>
          <w:lang w:val="en-US"/>
        </w:rPr>
        <w:t xml:space="preserve"> through </w:t>
      </w:r>
      <w:r w:rsidR="008F4938">
        <w:rPr>
          <w:lang w:val="en-US"/>
        </w:rPr>
        <w:fldChar w:fldCharType="begin" w:fldLock="1"/>
      </w:r>
      <w:r w:rsidR="008F4938">
        <w:rPr>
          <w:lang w:val="en-US"/>
        </w:rPr>
        <w:instrText xml:space="preserve"> REF _Ref181352728 \r \h </w:instrText>
      </w:r>
      <w:r w:rsidR="008F4938">
        <w:rPr>
          <w:lang w:val="en-US"/>
        </w:rPr>
        <w:fldChar w:fldCharType="separate"/>
      </w:r>
      <w:r w:rsidR="00735BBC">
        <w:rPr>
          <w:lang w:val="en-US"/>
        </w:rPr>
        <w:t>5.5</w:t>
      </w:r>
      <w:r w:rsidR="008F4938">
        <w:rPr>
          <w:lang w:val="en-US"/>
        </w:rPr>
        <w:fldChar w:fldCharType="end"/>
      </w:r>
      <w:r w:rsidRPr="00324FE4">
        <w:t>, following the approach outlined in</w:t>
      </w:r>
      <w:r w:rsidR="008F4938">
        <w:t xml:space="preserve"> </w:t>
      </w:r>
      <w:r w:rsidR="008F4938">
        <w:fldChar w:fldCharType="begin" w:fldLock="1"/>
      </w:r>
      <w:r w:rsidR="008F4938">
        <w:instrText xml:space="preserve"> REF _Ref181352918 \h </w:instrText>
      </w:r>
      <w:r w:rsidR="008F4938">
        <w:fldChar w:fldCharType="separate"/>
      </w:r>
      <w:r w:rsidRPr="00A95A85" w:rsidR="00735BBC">
        <w:t xml:space="preserve">Figure </w:t>
      </w:r>
      <w:r w:rsidR="00735BBC">
        <w:rPr>
          <w:noProof/>
        </w:rPr>
        <w:t>5</w:t>
      </w:r>
      <w:r w:rsidRPr="00A95A85" w:rsidR="00735BBC">
        <w:noBreakHyphen/>
      </w:r>
      <w:r w:rsidR="00735BBC">
        <w:rPr>
          <w:noProof/>
        </w:rPr>
        <w:t>1</w:t>
      </w:r>
      <w:r w:rsidR="008F4938">
        <w:fldChar w:fldCharType="end"/>
      </w:r>
      <w:r w:rsidR="008F4938">
        <w:t>. In add</w:t>
      </w:r>
      <w:r w:rsidR="00F01374">
        <w:t>iti</w:t>
      </w:r>
      <w:r w:rsidR="008F4938">
        <w:t xml:space="preserve">on, </w:t>
      </w:r>
      <w:r w:rsidR="008F4938">
        <w:fldChar w:fldCharType="begin" w:fldLock="1"/>
      </w:r>
      <w:r w:rsidR="008F4938">
        <w:instrText xml:space="preserve"> REF _Ref181352920 \h </w:instrText>
      </w:r>
      <w:r w:rsidR="008F4938">
        <w:fldChar w:fldCharType="separate"/>
      </w:r>
      <w:r w:rsidRPr="00A95A85" w:rsidR="00735BBC">
        <w:t xml:space="preserve">Figure </w:t>
      </w:r>
      <w:r w:rsidR="00735BBC">
        <w:rPr>
          <w:noProof/>
        </w:rPr>
        <w:t>5</w:t>
      </w:r>
      <w:r w:rsidRPr="00A95A85" w:rsidR="00735BBC">
        <w:noBreakHyphen/>
      </w:r>
      <w:r w:rsidR="00735BBC">
        <w:rPr>
          <w:noProof/>
        </w:rPr>
        <w:t>2</w:t>
      </w:r>
      <w:r w:rsidR="008F4938">
        <w:fldChar w:fldCharType="end"/>
      </w:r>
      <w:r w:rsidR="00F01374">
        <w:t xml:space="preserve"> in section </w:t>
      </w:r>
      <w:r w:rsidR="00F01374">
        <w:rPr>
          <w:lang w:val="en-US"/>
        </w:rPr>
        <w:fldChar w:fldCharType="begin" w:fldLock="1"/>
      </w:r>
      <w:r w:rsidR="00F01374">
        <w:rPr>
          <w:lang w:val="en-US"/>
        </w:rPr>
        <w:instrText xml:space="preserve"> REF _Ref181352728 \r \h </w:instrText>
      </w:r>
      <w:r w:rsidR="00F01374">
        <w:rPr>
          <w:lang w:val="en-US"/>
        </w:rPr>
        <w:fldChar w:fldCharType="separate"/>
      </w:r>
      <w:r w:rsidR="00735BBC">
        <w:rPr>
          <w:lang w:val="en-US"/>
        </w:rPr>
        <w:t>5.5</w:t>
      </w:r>
      <w:r w:rsidR="00F01374">
        <w:rPr>
          <w:lang w:val="en-US"/>
        </w:rPr>
        <w:fldChar w:fldCharType="end"/>
      </w:r>
      <w:r w:rsidR="00F01374">
        <w:rPr>
          <w:lang w:val="en-US"/>
        </w:rPr>
        <w:t xml:space="preserve"> provides </w:t>
      </w:r>
      <w:r w:rsidR="003A3F94">
        <w:rPr>
          <w:lang w:val="en-US"/>
        </w:rPr>
        <w:t xml:space="preserve">an example illustrating </w:t>
      </w:r>
      <w:r w:rsidR="00020A2A">
        <w:rPr>
          <w:lang w:val="en-US"/>
        </w:rPr>
        <w:t>each step of the benefits calculations</w:t>
      </w:r>
      <w:r w:rsidRPr="00324FE4">
        <w:t>.</w:t>
      </w:r>
    </w:p>
    <w:tbl>
      <w:tblPr>
        <w:tblStyle w:val="TableGrid"/>
        <w:tblW w:w="0" w:type="auto"/>
        <w:tblLook w:val="04A0"/>
      </w:tblPr>
      <w:tblGrid>
        <w:gridCol w:w="9350"/>
      </w:tblGrid>
      <w:tr w14:paraId="43C9B7FD" w14:textId="77777777" w:rsidTr="003326D6">
        <w:tblPrEx>
          <w:tblW w:w="0" w:type="auto"/>
          <w:tblLook w:val="04A0"/>
        </w:tblPrEx>
        <w:tc>
          <w:tcPr>
            <w:tcW w:w="9350" w:type="dxa"/>
          </w:tcPr>
          <w:p w:rsidR="003326D6" w:rsidP="00A107CB" w14:paraId="60129422" w14:textId="010FA7D2">
            <w:pPr>
              <w:pStyle w:val="TableTitleA"/>
            </w:pPr>
            <w:bookmarkStart w:id="263" w:name="_Ref181352918"/>
            <w:r w:rsidRPr="00A95A85">
              <w:t xml:space="preserve">Figure </w:t>
            </w:r>
            <w:r>
              <w:fldChar w:fldCharType="begin" w:fldLock="1"/>
            </w:r>
            <w:r>
              <w:instrText>STYLEREF 1 \s</w:instrText>
            </w:r>
            <w:r>
              <w:fldChar w:fldCharType="separate"/>
            </w:r>
            <w:r w:rsidR="00735BBC">
              <w:rPr>
                <w:noProof/>
              </w:rPr>
              <w:t>5</w:t>
            </w:r>
            <w:r>
              <w:fldChar w:fldCharType="end"/>
            </w:r>
            <w:r w:rsidRPr="00A95A85">
              <w:noBreakHyphen/>
            </w:r>
            <w:r>
              <w:fldChar w:fldCharType="begin" w:fldLock="1"/>
            </w:r>
            <w:r>
              <w:instrText>SEQ Figure \* ARABIC \s 1</w:instrText>
            </w:r>
            <w:r>
              <w:fldChar w:fldCharType="separate"/>
            </w:r>
            <w:r w:rsidR="00735BBC">
              <w:rPr>
                <w:noProof/>
              </w:rPr>
              <w:t>1</w:t>
            </w:r>
            <w:r>
              <w:fldChar w:fldCharType="end"/>
            </w:r>
            <w:bookmarkEnd w:id="263"/>
            <w:r w:rsidRPr="00A95A85">
              <w:t xml:space="preserve">: </w:t>
            </w:r>
            <w:r w:rsidR="00E4000E">
              <w:t>Overview of Benefits Approach</w:t>
            </w:r>
          </w:p>
        </w:tc>
      </w:tr>
      <w:tr w14:paraId="34DFB3B9" w14:textId="77777777" w:rsidTr="003326D6">
        <w:tblPrEx>
          <w:tblW w:w="0" w:type="auto"/>
          <w:tblLook w:val="04A0"/>
        </w:tblPrEx>
        <w:tc>
          <w:tcPr>
            <w:tcW w:w="9350" w:type="dxa"/>
          </w:tcPr>
          <w:p w:rsidR="003326D6" w:rsidP="00BD3D2B" w14:paraId="2CA4445F" w14:textId="29BB5D70">
            <w:pPr>
              <w:pStyle w:val="BodyText"/>
              <w:keepNext/>
              <w:spacing w:after="240"/>
            </w:pPr>
            <w:r w:rsidRPr="00B93FC5">
              <w:rPr>
                <w:noProof/>
                <w:lang w:val="en-US"/>
              </w:rPr>
              <w:drawing>
                <wp:inline distT="0" distB="0" distL="0" distR="0">
                  <wp:extent cx="5526414" cy="6419850"/>
                  <wp:effectExtent l="0" t="0" r="0" b="0"/>
                  <wp:docPr id="557934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934960" name=""/>
                          <pic:cNvPicPr/>
                        </pic:nvPicPr>
                        <pic:blipFill>
                          <a:blip xmlns:r="http://schemas.openxmlformats.org/officeDocument/2006/relationships" r:embed="rId28"/>
                          <a:stretch>
                            <a:fillRect/>
                          </a:stretch>
                        </pic:blipFill>
                        <pic:spPr>
                          <a:xfrm>
                            <a:off x="0" y="0"/>
                            <a:ext cx="5529009" cy="6422865"/>
                          </a:xfrm>
                          <a:prstGeom prst="rect">
                            <a:avLst/>
                          </a:prstGeom>
                        </pic:spPr>
                      </pic:pic>
                    </a:graphicData>
                  </a:graphic>
                </wp:inline>
              </w:drawing>
            </w:r>
          </w:p>
        </w:tc>
      </w:tr>
    </w:tbl>
    <w:p w:rsidR="003326D6" w:rsidP="00BD3D2B" w14:paraId="3B3ABCEF" w14:textId="77777777">
      <w:pPr>
        <w:pStyle w:val="BodyText"/>
        <w:keepNext/>
        <w:spacing w:after="240"/>
      </w:pPr>
    </w:p>
    <w:p w:rsidR="00434154" w:rsidP="0064758C" w14:paraId="2C687082" w14:textId="5EB3BC12">
      <w:pPr>
        <w:pStyle w:val="Heading2"/>
      </w:pPr>
      <w:bookmarkStart w:id="264" w:name="_Ref181352833"/>
      <w:bookmarkStart w:id="265" w:name="_Toc184299522"/>
      <w:r>
        <w:t xml:space="preserve">Number of </w:t>
      </w:r>
      <w:r w:rsidR="002838AD">
        <w:t>Expos</w:t>
      </w:r>
      <w:r>
        <w:t>ed Workers and Exposure</w:t>
      </w:r>
      <w:r w:rsidR="00030B85">
        <w:t xml:space="preserve"> Levels </w:t>
      </w:r>
      <w:r w:rsidR="001F3750">
        <w:t>According to</w:t>
      </w:r>
      <w:r w:rsidR="00EC75EE">
        <w:t xml:space="preserve"> PPE </w:t>
      </w:r>
      <w:r w:rsidR="00BA7A07">
        <w:t>U</w:t>
      </w:r>
      <w:r w:rsidR="00EC75EE">
        <w:t>se</w:t>
      </w:r>
      <w:bookmarkEnd w:id="264"/>
      <w:bookmarkEnd w:id="265"/>
    </w:p>
    <w:p w:rsidR="00847C1F" w:rsidRPr="00C127EE" w:rsidP="00BD3D2B" w14:paraId="186D7E16" w14:textId="3A11E8F7">
      <w:pPr>
        <w:pStyle w:val="BodyText"/>
        <w:keepNext/>
        <w:spacing w:after="240"/>
      </w:pPr>
      <w:r>
        <w:fldChar w:fldCharType="begin" w:fldLock="1"/>
      </w:r>
      <w:r>
        <w:rPr>
          <w:lang w:val="en-US"/>
        </w:rPr>
        <w:instrText xml:space="preserve"> REF _Ref180957672 \h </w:instrText>
      </w:r>
      <w:r>
        <w:fldChar w:fldCharType="separate"/>
      </w:r>
      <w:r w:rsidRPr="00C127EE" w:rsidR="00735BBC">
        <w:t xml:space="preserve">Table </w:t>
      </w:r>
      <w:r w:rsidR="00735BBC">
        <w:rPr>
          <w:noProof/>
        </w:rPr>
        <w:t>5</w:t>
      </w:r>
      <w:r w:rsidR="00735BBC">
        <w:noBreakHyphen/>
      </w:r>
      <w:r w:rsidR="00735BBC">
        <w:rPr>
          <w:noProof/>
        </w:rPr>
        <w:t>1</w:t>
      </w:r>
      <w:r>
        <w:fldChar w:fldCharType="end"/>
      </w:r>
      <w:r>
        <w:t xml:space="preserve"> </w:t>
      </w:r>
      <w:r w:rsidRPr="4A8A1481" w:rsidR="004F5228">
        <w:rPr>
          <w:lang w:val="en-US"/>
        </w:rPr>
        <w:t xml:space="preserve">shows the number of exposed workers who may be exposed to regulated PV29 in the relevant use categories. EPA expects that these workers may experience decreased exposure to inhalable PV29 due to the requirements of the proposed rule. </w:t>
      </w:r>
    </w:p>
    <w:tbl>
      <w:tblPr>
        <w:tblW w:w="5000" w:type="pct"/>
        <w:tblLook w:val="04A0"/>
      </w:tblPr>
      <w:tblGrid>
        <w:gridCol w:w="3988"/>
        <w:gridCol w:w="1074"/>
        <w:gridCol w:w="1075"/>
        <w:gridCol w:w="1075"/>
        <w:gridCol w:w="1075"/>
        <w:gridCol w:w="1073"/>
      </w:tblGrid>
      <w:tr w14:paraId="6386801B" w14:textId="77777777" w:rsidTr="007F3600">
        <w:tblPrEx>
          <w:tblW w:w="5000" w:type="pct"/>
          <w:tblLook w:val="04A0"/>
        </w:tblPrEx>
        <w:trPr>
          <w:trHeight w:val="300"/>
        </w:trPr>
        <w:tc>
          <w:tcPr>
            <w:tcW w:w="5000" w:type="pct"/>
            <w:gridSpan w:val="6"/>
            <w:tcBorders>
              <w:bottom w:val="single" w:sz="4" w:space="0" w:color="auto"/>
            </w:tcBorders>
            <w:shd w:val="clear" w:color="auto" w:fill="auto"/>
            <w:vAlign w:val="center"/>
          </w:tcPr>
          <w:p w:rsidR="007F3600" w:rsidP="007F3600" w14:paraId="657F665A" w14:textId="6E4F8A8F">
            <w:pPr>
              <w:pStyle w:val="TableTitleA"/>
            </w:pPr>
            <w:bookmarkStart w:id="266" w:name="_Ref180957672"/>
            <w:bookmarkStart w:id="267" w:name="_Toc184299586"/>
            <w:r w:rsidRPr="00C127EE">
              <w:t xml:space="preserve">Table </w:t>
            </w:r>
            <w:r>
              <w:fldChar w:fldCharType="begin" w:fldLock="1"/>
            </w:r>
            <w:r>
              <w:instrText>STYLEREF 1 \s</w:instrText>
            </w:r>
            <w:r>
              <w:fldChar w:fldCharType="separate"/>
            </w:r>
            <w:r w:rsidR="00735BBC">
              <w:rPr>
                <w:noProof/>
              </w:rPr>
              <w:t>5</w:t>
            </w:r>
            <w:r>
              <w:fldChar w:fldCharType="end"/>
            </w:r>
            <w:r w:rsidR="000A1542">
              <w:noBreakHyphen/>
            </w:r>
            <w:r>
              <w:fldChar w:fldCharType="begin" w:fldLock="1"/>
            </w:r>
            <w:r>
              <w:instrText>SEQ Table \* ARABIC \s 1</w:instrText>
            </w:r>
            <w:r>
              <w:fldChar w:fldCharType="separate"/>
            </w:r>
            <w:r w:rsidR="00735BBC">
              <w:rPr>
                <w:noProof/>
              </w:rPr>
              <w:t>1</w:t>
            </w:r>
            <w:r>
              <w:fldChar w:fldCharType="end"/>
            </w:r>
            <w:bookmarkEnd w:id="266"/>
            <w:r w:rsidRPr="00C127EE">
              <w:t>: Number of Exposed Workers by Use Category</w:t>
            </w:r>
            <w:bookmarkEnd w:id="267"/>
          </w:p>
        </w:tc>
      </w:tr>
      <w:tr w14:paraId="28699CA0" w14:textId="77777777" w:rsidTr="005C7E41">
        <w:tblPrEx>
          <w:tblW w:w="5000" w:type="pct"/>
          <w:tblLook w:val="04A0"/>
        </w:tblPrEx>
        <w:trPr>
          <w:trHeight w:val="300"/>
        </w:trPr>
        <w:tc>
          <w:tcPr>
            <w:tcW w:w="2131"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847C1F" w:rsidP="000D7F2B" w14:paraId="3B8AC791" w14:textId="77777777">
            <w:pPr>
              <w:pStyle w:val="TableSubtitle"/>
            </w:pPr>
            <w:r>
              <w:t>Use Category</w:t>
            </w:r>
          </w:p>
        </w:tc>
        <w:tc>
          <w:tcPr>
            <w:tcW w:w="1722" w:type="pct"/>
            <w:gridSpan w:val="3"/>
            <w:tcBorders>
              <w:top w:val="single" w:sz="4" w:space="0" w:color="auto"/>
              <w:left w:val="nil"/>
              <w:bottom w:val="single" w:sz="4" w:space="0" w:color="auto"/>
              <w:right w:val="nil"/>
            </w:tcBorders>
            <w:shd w:val="clear" w:color="auto" w:fill="013E5B"/>
            <w:vAlign w:val="center"/>
            <w:hideMark/>
          </w:tcPr>
          <w:p w:rsidR="00847C1F" w:rsidP="000D7F2B" w14:paraId="5616DAA5" w14:textId="77777777">
            <w:pPr>
              <w:pStyle w:val="TableSubtitle"/>
            </w:pPr>
            <w:r>
              <w:t>Total workers</w:t>
            </w:r>
          </w:p>
        </w:tc>
        <w:tc>
          <w:tcPr>
            <w:tcW w:w="1146" w:type="pct"/>
            <w:gridSpan w:val="2"/>
            <w:tcBorders>
              <w:top w:val="single" w:sz="4" w:space="0" w:color="auto"/>
              <w:left w:val="single" w:sz="4" w:space="0" w:color="auto"/>
              <w:bottom w:val="single" w:sz="4" w:space="0" w:color="auto"/>
              <w:right w:val="single" w:sz="4" w:space="0" w:color="000000"/>
            </w:tcBorders>
            <w:shd w:val="clear" w:color="auto" w:fill="013E5B"/>
            <w:vAlign w:val="center"/>
            <w:hideMark/>
          </w:tcPr>
          <w:p w:rsidR="00847C1F" w:rsidP="000D7F2B" w14:paraId="45CEC508" w14:textId="77777777">
            <w:pPr>
              <w:pStyle w:val="TableSubtitle"/>
            </w:pPr>
            <w:r>
              <w:t>Baseline PPE use</w:t>
            </w:r>
          </w:p>
        </w:tc>
      </w:tr>
      <w:tr w14:paraId="68A2CA33" w14:textId="77777777" w:rsidTr="005C7E41">
        <w:tblPrEx>
          <w:tblW w:w="5000" w:type="pct"/>
          <w:tblLook w:val="04A0"/>
        </w:tblPrEx>
        <w:trPr>
          <w:trHeight w:val="300"/>
        </w:trPr>
        <w:tc>
          <w:tcPr>
            <w:tcW w:w="2131" w:type="pct"/>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847C1F" w:rsidP="00CA0464" w14:paraId="76AA5BFF" w14:textId="77777777">
            <w:pPr>
              <w:pStyle w:val="TableColumnHeader"/>
            </w:pPr>
          </w:p>
        </w:tc>
        <w:tc>
          <w:tcPr>
            <w:tcW w:w="1148" w:type="pct"/>
            <w:gridSpan w:val="2"/>
            <w:tcBorders>
              <w:top w:val="single" w:sz="4" w:space="0" w:color="auto"/>
              <w:left w:val="single" w:sz="4" w:space="0" w:color="auto"/>
              <w:bottom w:val="single" w:sz="4" w:space="0" w:color="auto"/>
              <w:right w:val="single" w:sz="4" w:space="0" w:color="000000"/>
            </w:tcBorders>
            <w:shd w:val="clear" w:color="auto" w:fill="013E5B"/>
            <w:vAlign w:val="center"/>
            <w:hideMark/>
          </w:tcPr>
          <w:p w:rsidR="00847C1F" w:rsidP="000D7F2B" w14:paraId="0098367C" w14:textId="77777777">
            <w:pPr>
              <w:pStyle w:val="TableSubtitle"/>
            </w:pPr>
            <w:r>
              <w:t>Direct</w:t>
            </w:r>
          </w:p>
        </w:tc>
        <w:tc>
          <w:tcPr>
            <w:tcW w:w="574" w:type="pct"/>
            <w:vMerge w:val="restart"/>
            <w:tcBorders>
              <w:top w:val="nil"/>
              <w:left w:val="single" w:sz="4" w:space="0" w:color="auto"/>
              <w:bottom w:val="single" w:sz="4" w:space="0" w:color="auto"/>
              <w:right w:val="single" w:sz="4" w:space="0" w:color="auto"/>
            </w:tcBorders>
            <w:shd w:val="clear" w:color="auto" w:fill="013E5B"/>
            <w:vAlign w:val="center"/>
            <w:hideMark/>
          </w:tcPr>
          <w:p w:rsidR="00847C1F" w:rsidP="000D7F2B" w14:paraId="6A6ED570" w14:textId="77777777">
            <w:pPr>
              <w:pStyle w:val="TableSubtitle"/>
            </w:pPr>
            <w:r>
              <w:t>ONUs</w:t>
            </w:r>
          </w:p>
        </w:tc>
        <w:tc>
          <w:tcPr>
            <w:tcW w:w="574" w:type="pct"/>
            <w:vMerge w:val="restart"/>
            <w:tcBorders>
              <w:top w:val="nil"/>
              <w:left w:val="single" w:sz="4" w:space="0" w:color="auto"/>
              <w:bottom w:val="single" w:sz="4" w:space="0" w:color="auto"/>
              <w:right w:val="single" w:sz="4" w:space="0" w:color="auto"/>
            </w:tcBorders>
            <w:shd w:val="clear" w:color="auto" w:fill="013E5B"/>
            <w:vAlign w:val="center"/>
            <w:hideMark/>
          </w:tcPr>
          <w:p w:rsidR="00847C1F" w:rsidP="000D7F2B" w14:paraId="38FF11D7" w14:textId="77777777">
            <w:pPr>
              <w:pStyle w:val="TableSubtitle"/>
            </w:pPr>
            <w:r>
              <w:t>None</w:t>
            </w:r>
          </w:p>
        </w:tc>
        <w:tc>
          <w:tcPr>
            <w:tcW w:w="572" w:type="pct"/>
            <w:vMerge w:val="restart"/>
            <w:tcBorders>
              <w:top w:val="nil"/>
              <w:left w:val="single" w:sz="4" w:space="0" w:color="auto"/>
              <w:bottom w:val="single" w:sz="4" w:space="0" w:color="auto"/>
              <w:right w:val="single" w:sz="4" w:space="0" w:color="auto"/>
            </w:tcBorders>
            <w:shd w:val="clear" w:color="auto" w:fill="013E5B"/>
            <w:vAlign w:val="center"/>
            <w:hideMark/>
          </w:tcPr>
          <w:p w:rsidR="00847C1F" w:rsidP="000D7F2B" w14:paraId="2C5C367B" w14:textId="77777777">
            <w:pPr>
              <w:pStyle w:val="TableSubtitle"/>
            </w:pPr>
            <w:r>
              <w:t>APF10</w:t>
            </w:r>
          </w:p>
        </w:tc>
      </w:tr>
      <w:tr w14:paraId="184B1B78" w14:textId="77777777" w:rsidTr="005C7E41">
        <w:tblPrEx>
          <w:tblW w:w="5000" w:type="pct"/>
          <w:tblLook w:val="04A0"/>
        </w:tblPrEx>
        <w:trPr>
          <w:trHeight w:val="300"/>
        </w:trPr>
        <w:tc>
          <w:tcPr>
            <w:tcW w:w="2131" w:type="pct"/>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847C1F" w:rsidP="00CA0464" w14:paraId="4833E53D" w14:textId="77777777">
            <w:pPr>
              <w:rPr>
                <w:rFonts w:ascii="Aptos" w:hAnsi="Aptos" w:cs="Arial"/>
                <w:b/>
                <w:bCs/>
                <w:color w:val="FFFFFF"/>
                <w:sz w:val="20"/>
              </w:rPr>
            </w:pPr>
          </w:p>
        </w:tc>
        <w:tc>
          <w:tcPr>
            <w:tcW w:w="574" w:type="pct"/>
            <w:tcBorders>
              <w:top w:val="nil"/>
              <w:left w:val="nil"/>
              <w:bottom w:val="single" w:sz="4" w:space="0" w:color="auto"/>
              <w:right w:val="single" w:sz="4" w:space="0" w:color="auto"/>
            </w:tcBorders>
            <w:shd w:val="clear" w:color="auto" w:fill="013E5B"/>
            <w:vAlign w:val="center"/>
            <w:hideMark/>
          </w:tcPr>
          <w:p w:rsidR="00847C1F" w:rsidP="000D7F2B" w14:paraId="09EE1F6B" w14:textId="77777777">
            <w:pPr>
              <w:pStyle w:val="TableSubtitle"/>
            </w:pPr>
            <w:r>
              <w:t>Low</w:t>
            </w:r>
          </w:p>
        </w:tc>
        <w:tc>
          <w:tcPr>
            <w:tcW w:w="574" w:type="pct"/>
            <w:tcBorders>
              <w:top w:val="nil"/>
              <w:left w:val="nil"/>
              <w:bottom w:val="single" w:sz="4" w:space="0" w:color="auto"/>
              <w:right w:val="single" w:sz="4" w:space="0" w:color="auto"/>
            </w:tcBorders>
            <w:shd w:val="clear" w:color="auto" w:fill="013E5B"/>
            <w:vAlign w:val="center"/>
            <w:hideMark/>
          </w:tcPr>
          <w:p w:rsidR="00847C1F" w:rsidP="000D7F2B" w14:paraId="0F37FF93" w14:textId="77777777">
            <w:pPr>
              <w:pStyle w:val="TableSubtitle"/>
            </w:pPr>
            <w:r>
              <w:t>High</w:t>
            </w:r>
          </w:p>
        </w:tc>
        <w:tc>
          <w:tcPr>
            <w:tcW w:w="574" w:type="pct"/>
            <w:vMerge/>
            <w:tcBorders>
              <w:top w:val="nil"/>
              <w:left w:val="single" w:sz="4" w:space="0" w:color="auto"/>
              <w:bottom w:val="single" w:sz="4" w:space="0" w:color="auto"/>
              <w:right w:val="single" w:sz="4" w:space="0" w:color="auto"/>
            </w:tcBorders>
            <w:shd w:val="clear" w:color="auto" w:fill="013E5B"/>
            <w:vAlign w:val="center"/>
            <w:hideMark/>
          </w:tcPr>
          <w:p w:rsidR="00847C1F" w:rsidP="000D7F2B" w14:paraId="72546A9D" w14:textId="77777777">
            <w:pPr>
              <w:pStyle w:val="TableSubtitle"/>
              <w:rPr>
                <w:rFonts w:ascii="Aptos" w:hAnsi="Aptos"/>
                <w:color w:val="FFFFFF"/>
                <w:sz w:val="20"/>
                <w:szCs w:val="20"/>
              </w:rPr>
            </w:pPr>
          </w:p>
        </w:tc>
        <w:tc>
          <w:tcPr>
            <w:tcW w:w="574" w:type="pct"/>
            <w:vMerge/>
            <w:tcBorders>
              <w:top w:val="nil"/>
              <w:left w:val="single" w:sz="4" w:space="0" w:color="auto"/>
              <w:bottom w:val="single" w:sz="4" w:space="0" w:color="auto"/>
              <w:right w:val="single" w:sz="4" w:space="0" w:color="auto"/>
            </w:tcBorders>
            <w:shd w:val="clear" w:color="auto" w:fill="013E5B"/>
            <w:vAlign w:val="center"/>
            <w:hideMark/>
          </w:tcPr>
          <w:p w:rsidR="00847C1F" w:rsidP="000D7F2B" w14:paraId="2B8AFC6D" w14:textId="77777777">
            <w:pPr>
              <w:pStyle w:val="TableSubtitle"/>
              <w:rPr>
                <w:rFonts w:ascii="Aptos" w:hAnsi="Aptos"/>
                <w:color w:val="FFFFFF"/>
                <w:sz w:val="20"/>
                <w:szCs w:val="20"/>
              </w:rPr>
            </w:pPr>
          </w:p>
        </w:tc>
        <w:tc>
          <w:tcPr>
            <w:tcW w:w="572" w:type="pct"/>
            <w:vMerge/>
            <w:tcBorders>
              <w:top w:val="nil"/>
              <w:left w:val="single" w:sz="4" w:space="0" w:color="auto"/>
              <w:bottom w:val="single" w:sz="4" w:space="0" w:color="auto"/>
              <w:right w:val="single" w:sz="4" w:space="0" w:color="auto"/>
            </w:tcBorders>
            <w:shd w:val="clear" w:color="auto" w:fill="013E5B"/>
            <w:vAlign w:val="center"/>
            <w:hideMark/>
          </w:tcPr>
          <w:p w:rsidR="00847C1F" w:rsidP="000D7F2B" w14:paraId="0E02B0F3" w14:textId="77777777">
            <w:pPr>
              <w:pStyle w:val="TableSubtitle"/>
              <w:rPr>
                <w:rFonts w:ascii="Aptos" w:hAnsi="Aptos"/>
                <w:color w:val="FFFFFF"/>
                <w:sz w:val="20"/>
                <w:szCs w:val="20"/>
              </w:rPr>
            </w:pPr>
          </w:p>
        </w:tc>
      </w:tr>
      <w:tr w14:paraId="730B7A2A" w14:textId="77777777" w:rsidTr="005C7E41">
        <w:tblPrEx>
          <w:tblW w:w="5000" w:type="pct"/>
          <w:tblLook w:val="04A0"/>
        </w:tblPrEx>
        <w:trPr>
          <w:trHeight w:val="300"/>
        </w:trPr>
        <w:tc>
          <w:tcPr>
            <w:tcW w:w="2131" w:type="pct"/>
            <w:tcBorders>
              <w:top w:val="nil"/>
              <w:left w:val="single" w:sz="4" w:space="0" w:color="auto"/>
              <w:bottom w:val="single" w:sz="4" w:space="0" w:color="auto"/>
              <w:right w:val="single" w:sz="4" w:space="0" w:color="auto"/>
            </w:tcBorders>
            <w:shd w:val="clear" w:color="auto" w:fill="auto"/>
            <w:noWrap/>
            <w:vAlign w:val="center"/>
            <w:hideMark/>
          </w:tcPr>
          <w:p w:rsidR="00E71671" w:rsidRPr="00A17501" w:rsidP="00E71671" w14:paraId="14697F1F" w14:textId="26856A7F">
            <w:pPr>
              <w:pStyle w:val="LTableTextAbt"/>
            </w:pPr>
            <w:r w:rsidRPr="00A17501">
              <w:t>PV29 manufacturing</w:t>
            </w:r>
            <w:r>
              <w:t xml:space="preserve"> and intermediate processing</w:t>
            </w:r>
          </w:p>
        </w:tc>
        <w:tc>
          <w:tcPr>
            <w:tcW w:w="574" w:type="pct"/>
            <w:tcBorders>
              <w:top w:val="nil"/>
              <w:left w:val="nil"/>
              <w:bottom w:val="single" w:sz="4" w:space="0" w:color="auto"/>
              <w:right w:val="single" w:sz="4" w:space="0" w:color="auto"/>
            </w:tcBorders>
            <w:shd w:val="clear" w:color="000000" w:fill="FFFFFF"/>
            <w:hideMark/>
          </w:tcPr>
          <w:p w:rsidR="00E71671" w:rsidP="00E71671" w14:paraId="2E3E8867" w14:textId="487A3C93">
            <w:pPr>
              <w:pStyle w:val="RTableTextAbt"/>
            </w:pPr>
            <w:r w:rsidRPr="00241FC9">
              <w:t>2</w:t>
            </w:r>
          </w:p>
        </w:tc>
        <w:tc>
          <w:tcPr>
            <w:tcW w:w="574" w:type="pct"/>
            <w:tcBorders>
              <w:top w:val="nil"/>
              <w:left w:val="nil"/>
              <w:bottom w:val="single" w:sz="4" w:space="0" w:color="auto"/>
              <w:right w:val="single" w:sz="4" w:space="0" w:color="auto"/>
            </w:tcBorders>
            <w:shd w:val="clear" w:color="000000" w:fill="FFFFFF"/>
            <w:hideMark/>
          </w:tcPr>
          <w:p w:rsidR="00E71671" w:rsidP="00E71671" w14:paraId="30039D7A" w14:textId="0FCFE86D">
            <w:pPr>
              <w:pStyle w:val="RTableTextAbt"/>
            </w:pPr>
            <w:r w:rsidRPr="00241FC9">
              <w:t>22</w:t>
            </w:r>
          </w:p>
        </w:tc>
        <w:tc>
          <w:tcPr>
            <w:tcW w:w="574" w:type="pct"/>
            <w:tcBorders>
              <w:top w:val="nil"/>
              <w:left w:val="nil"/>
              <w:bottom w:val="single" w:sz="4" w:space="0" w:color="auto"/>
              <w:right w:val="single" w:sz="4" w:space="0" w:color="auto"/>
            </w:tcBorders>
            <w:shd w:val="clear" w:color="000000" w:fill="FFFFFF"/>
            <w:hideMark/>
          </w:tcPr>
          <w:p w:rsidR="00E71671" w:rsidP="00E71671" w14:paraId="15BD24CB" w14:textId="09492288">
            <w:pPr>
              <w:pStyle w:val="RTableTextAbt"/>
            </w:pPr>
            <w:r w:rsidRPr="00241FC9">
              <w:t>56</w:t>
            </w:r>
          </w:p>
        </w:tc>
        <w:tc>
          <w:tcPr>
            <w:tcW w:w="574" w:type="pct"/>
            <w:tcBorders>
              <w:top w:val="nil"/>
              <w:left w:val="nil"/>
              <w:bottom w:val="single" w:sz="4" w:space="0" w:color="auto"/>
              <w:right w:val="single" w:sz="4" w:space="0" w:color="auto"/>
            </w:tcBorders>
            <w:shd w:val="clear" w:color="auto" w:fill="auto"/>
            <w:noWrap/>
            <w:hideMark/>
          </w:tcPr>
          <w:p w:rsidR="00E71671" w:rsidP="00E71671" w14:paraId="14394090" w14:textId="02A4B0DE">
            <w:pPr>
              <w:pStyle w:val="RTableTextAbt"/>
            </w:pPr>
            <w:r w:rsidRPr="00241FC9">
              <w:t>0%</w:t>
            </w:r>
          </w:p>
        </w:tc>
        <w:tc>
          <w:tcPr>
            <w:tcW w:w="572" w:type="pct"/>
            <w:tcBorders>
              <w:top w:val="nil"/>
              <w:left w:val="nil"/>
              <w:bottom w:val="single" w:sz="4" w:space="0" w:color="auto"/>
              <w:right w:val="single" w:sz="4" w:space="0" w:color="auto"/>
            </w:tcBorders>
            <w:shd w:val="clear" w:color="auto" w:fill="auto"/>
            <w:noWrap/>
            <w:hideMark/>
          </w:tcPr>
          <w:p w:rsidR="00E71671" w:rsidP="00E71671" w14:paraId="736E8C5B" w14:textId="3B0B8FAF">
            <w:pPr>
              <w:pStyle w:val="RTableTextAbt"/>
            </w:pPr>
            <w:r w:rsidRPr="00241FC9">
              <w:t>100%</w:t>
            </w:r>
          </w:p>
        </w:tc>
      </w:tr>
      <w:tr w14:paraId="6947EB7B" w14:textId="77777777" w:rsidTr="005C7E41">
        <w:tblPrEx>
          <w:tblW w:w="5000" w:type="pct"/>
          <w:tblLook w:val="04A0"/>
        </w:tblPrEx>
        <w:trPr>
          <w:trHeight w:val="300"/>
        </w:trPr>
        <w:tc>
          <w:tcPr>
            <w:tcW w:w="2131" w:type="pct"/>
            <w:tcBorders>
              <w:top w:val="nil"/>
              <w:left w:val="single" w:sz="4" w:space="0" w:color="auto"/>
              <w:bottom w:val="single" w:sz="4" w:space="0" w:color="auto"/>
              <w:right w:val="single" w:sz="4" w:space="0" w:color="auto"/>
            </w:tcBorders>
            <w:shd w:val="clear" w:color="auto" w:fill="auto"/>
            <w:noWrap/>
            <w:vAlign w:val="center"/>
          </w:tcPr>
          <w:p w:rsidR="00E71671" w:rsidRPr="00A17501" w:rsidP="00E71671" w14:paraId="75D326A7" w14:textId="794606A0">
            <w:pPr>
              <w:pStyle w:val="LTableTextAbt"/>
            </w:pPr>
            <w:r>
              <w:t>PV29 importing</w:t>
            </w:r>
          </w:p>
        </w:tc>
        <w:tc>
          <w:tcPr>
            <w:tcW w:w="574" w:type="pct"/>
            <w:tcBorders>
              <w:top w:val="nil"/>
              <w:left w:val="nil"/>
              <w:bottom w:val="single" w:sz="4" w:space="0" w:color="auto"/>
              <w:right w:val="single" w:sz="4" w:space="0" w:color="auto"/>
            </w:tcBorders>
            <w:shd w:val="clear" w:color="000000" w:fill="FFFFFF"/>
          </w:tcPr>
          <w:p w:rsidR="00E71671" w:rsidP="00E71671" w14:paraId="407ED40C" w14:textId="07F163A2">
            <w:pPr>
              <w:pStyle w:val="RTableTextAbt"/>
            </w:pPr>
            <w:r w:rsidRPr="00241FC9">
              <w:t>14</w:t>
            </w:r>
          </w:p>
        </w:tc>
        <w:tc>
          <w:tcPr>
            <w:tcW w:w="574" w:type="pct"/>
            <w:tcBorders>
              <w:top w:val="nil"/>
              <w:left w:val="nil"/>
              <w:bottom w:val="single" w:sz="4" w:space="0" w:color="auto"/>
              <w:right w:val="single" w:sz="4" w:space="0" w:color="auto"/>
            </w:tcBorders>
            <w:shd w:val="clear" w:color="000000" w:fill="FFFFFF"/>
          </w:tcPr>
          <w:p w:rsidR="00E71671" w:rsidP="00E71671" w14:paraId="5C99A21B" w14:textId="5287F539">
            <w:pPr>
              <w:pStyle w:val="RTableTextAbt"/>
            </w:pPr>
            <w:r w:rsidRPr="00241FC9">
              <w:t>14</w:t>
            </w:r>
          </w:p>
        </w:tc>
        <w:tc>
          <w:tcPr>
            <w:tcW w:w="574" w:type="pct"/>
            <w:tcBorders>
              <w:top w:val="nil"/>
              <w:left w:val="nil"/>
              <w:bottom w:val="single" w:sz="4" w:space="0" w:color="auto"/>
              <w:right w:val="single" w:sz="4" w:space="0" w:color="auto"/>
            </w:tcBorders>
            <w:shd w:val="clear" w:color="000000" w:fill="FFFFFF"/>
          </w:tcPr>
          <w:p w:rsidR="00E71671" w:rsidP="00E71671" w14:paraId="0CECC62B" w14:textId="44D76E76">
            <w:pPr>
              <w:pStyle w:val="RTableTextAbt"/>
            </w:pPr>
            <w:r w:rsidRPr="00241FC9">
              <w:t>5</w:t>
            </w:r>
          </w:p>
        </w:tc>
        <w:tc>
          <w:tcPr>
            <w:tcW w:w="574" w:type="pct"/>
            <w:tcBorders>
              <w:top w:val="nil"/>
              <w:left w:val="nil"/>
              <w:bottom w:val="single" w:sz="4" w:space="0" w:color="auto"/>
              <w:right w:val="single" w:sz="4" w:space="0" w:color="auto"/>
            </w:tcBorders>
            <w:shd w:val="clear" w:color="auto" w:fill="auto"/>
            <w:noWrap/>
          </w:tcPr>
          <w:p w:rsidR="00E71671" w:rsidP="00E71671" w14:paraId="727B29B9" w14:textId="17B58E25">
            <w:pPr>
              <w:pStyle w:val="RTableTextAbt"/>
            </w:pPr>
            <w:r w:rsidRPr="00241FC9">
              <w:t>25%</w:t>
            </w:r>
          </w:p>
        </w:tc>
        <w:tc>
          <w:tcPr>
            <w:tcW w:w="572" w:type="pct"/>
            <w:tcBorders>
              <w:top w:val="nil"/>
              <w:left w:val="nil"/>
              <w:bottom w:val="single" w:sz="4" w:space="0" w:color="auto"/>
              <w:right w:val="single" w:sz="4" w:space="0" w:color="auto"/>
            </w:tcBorders>
            <w:shd w:val="clear" w:color="auto" w:fill="auto"/>
            <w:noWrap/>
          </w:tcPr>
          <w:p w:rsidR="00E71671" w:rsidP="00E71671" w14:paraId="79FC90B2" w14:textId="2B1ADCC9">
            <w:pPr>
              <w:pStyle w:val="RTableTextAbt"/>
            </w:pPr>
            <w:r w:rsidRPr="00241FC9">
              <w:t>75%</w:t>
            </w:r>
          </w:p>
        </w:tc>
      </w:tr>
      <w:tr w14:paraId="05F85F32" w14:textId="77777777" w:rsidTr="00DF5B07">
        <w:tblPrEx>
          <w:tblW w:w="5000" w:type="pct"/>
          <w:tblLook w:val="04A0"/>
        </w:tblPrEx>
        <w:trPr>
          <w:trHeight w:val="300"/>
        </w:trPr>
        <w:tc>
          <w:tcPr>
            <w:tcW w:w="2131" w:type="pct"/>
            <w:tcBorders>
              <w:top w:val="nil"/>
              <w:left w:val="single" w:sz="4" w:space="0" w:color="auto"/>
              <w:bottom w:val="single" w:sz="4" w:space="0" w:color="auto"/>
              <w:right w:val="single" w:sz="4" w:space="0" w:color="auto"/>
            </w:tcBorders>
            <w:shd w:val="clear" w:color="auto" w:fill="auto"/>
            <w:noWrap/>
            <w:vAlign w:val="center"/>
            <w:hideMark/>
          </w:tcPr>
          <w:p w:rsidR="00E71671" w:rsidRPr="00A17501" w:rsidP="00E71671" w14:paraId="1A5A87E2" w14:textId="77777777">
            <w:pPr>
              <w:pStyle w:val="LTableTextAbt"/>
            </w:pPr>
            <w:r w:rsidRPr="00A17501">
              <w:t>Processing into automotive paints and coatings</w:t>
            </w:r>
          </w:p>
        </w:tc>
        <w:tc>
          <w:tcPr>
            <w:tcW w:w="574" w:type="pct"/>
            <w:tcBorders>
              <w:top w:val="nil"/>
              <w:left w:val="nil"/>
              <w:bottom w:val="single" w:sz="4" w:space="0" w:color="auto"/>
              <w:right w:val="single" w:sz="4" w:space="0" w:color="auto"/>
            </w:tcBorders>
            <w:shd w:val="clear" w:color="auto" w:fill="EFAC35"/>
            <w:hideMark/>
          </w:tcPr>
          <w:p w:rsidR="00E71671" w:rsidP="00E71671" w14:paraId="1E1BAEDD" w14:textId="5BC930E1">
            <w:pPr>
              <w:pStyle w:val="RTableTextAbt"/>
            </w:pPr>
            <w:r w:rsidRPr="00241FC9">
              <w:t>196</w:t>
            </w:r>
          </w:p>
        </w:tc>
        <w:tc>
          <w:tcPr>
            <w:tcW w:w="574" w:type="pct"/>
            <w:tcBorders>
              <w:top w:val="nil"/>
              <w:left w:val="nil"/>
              <w:bottom w:val="single" w:sz="4" w:space="0" w:color="auto"/>
              <w:right w:val="single" w:sz="4" w:space="0" w:color="auto"/>
            </w:tcBorders>
            <w:shd w:val="clear" w:color="auto" w:fill="EFAC35"/>
            <w:hideMark/>
          </w:tcPr>
          <w:p w:rsidR="00E71671" w:rsidP="00E71671" w14:paraId="27100BE2" w14:textId="64873A42">
            <w:pPr>
              <w:pStyle w:val="RTableTextAbt"/>
            </w:pPr>
            <w:r w:rsidRPr="00241FC9">
              <w:t>196</w:t>
            </w:r>
          </w:p>
        </w:tc>
        <w:tc>
          <w:tcPr>
            <w:tcW w:w="574" w:type="pct"/>
            <w:tcBorders>
              <w:top w:val="nil"/>
              <w:left w:val="nil"/>
              <w:bottom w:val="single" w:sz="4" w:space="0" w:color="auto"/>
              <w:right w:val="single" w:sz="4" w:space="0" w:color="auto"/>
            </w:tcBorders>
            <w:shd w:val="clear" w:color="000000" w:fill="FFFFFF"/>
            <w:hideMark/>
          </w:tcPr>
          <w:p w:rsidR="00E71671" w:rsidP="00E71671" w14:paraId="2DA4AE66" w14:textId="2266D0EE">
            <w:pPr>
              <w:pStyle w:val="RTableTextAbt"/>
            </w:pPr>
            <w:r w:rsidRPr="00241FC9">
              <w:t>70</w:t>
            </w:r>
          </w:p>
        </w:tc>
        <w:tc>
          <w:tcPr>
            <w:tcW w:w="574" w:type="pct"/>
            <w:tcBorders>
              <w:top w:val="nil"/>
              <w:left w:val="nil"/>
              <w:bottom w:val="single" w:sz="4" w:space="0" w:color="auto"/>
              <w:right w:val="single" w:sz="4" w:space="0" w:color="auto"/>
            </w:tcBorders>
            <w:shd w:val="clear" w:color="auto" w:fill="EFAC35"/>
            <w:noWrap/>
            <w:hideMark/>
          </w:tcPr>
          <w:p w:rsidR="00E71671" w:rsidP="00E71671" w14:paraId="21C35BF8" w14:textId="6ECE9694">
            <w:pPr>
              <w:pStyle w:val="RTableTextAbt"/>
            </w:pPr>
            <w:r w:rsidRPr="00241FC9">
              <w:t>25%</w:t>
            </w:r>
          </w:p>
        </w:tc>
        <w:tc>
          <w:tcPr>
            <w:tcW w:w="572" w:type="pct"/>
            <w:tcBorders>
              <w:top w:val="nil"/>
              <w:left w:val="nil"/>
              <w:bottom w:val="single" w:sz="4" w:space="0" w:color="auto"/>
              <w:right w:val="single" w:sz="4" w:space="0" w:color="auto"/>
            </w:tcBorders>
            <w:shd w:val="clear" w:color="auto" w:fill="EFAC35"/>
            <w:noWrap/>
            <w:hideMark/>
          </w:tcPr>
          <w:p w:rsidR="00E71671" w:rsidP="00E71671" w14:paraId="5EABF58F" w14:textId="3F2D1D21">
            <w:pPr>
              <w:pStyle w:val="RTableTextAbt"/>
            </w:pPr>
            <w:r w:rsidRPr="00241FC9">
              <w:t>75%</w:t>
            </w:r>
          </w:p>
        </w:tc>
      </w:tr>
      <w:tr w14:paraId="601373FB" w14:textId="77777777" w:rsidTr="00860E3F">
        <w:tblPrEx>
          <w:tblW w:w="5000" w:type="pct"/>
          <w:tblLook w:val="04A0"/>
        </w:tblPrEx>
        <w:trPr>
          <w:trHeight w:val="300"/>
        </w:trPr>
        <w:tc>
          <w:tcPr>
            <w:tcW w:w="2131" w:type="pct"/>
            <w:tcBorders>
              <w:top w:val="nil"/>
              <w:left w:val="single" w:sz="4" w:space="0" w:color="auto"/>
              <w:bottom w:val="single" w:sz="4" w:space="0" w:color="auto"/>
              <w:right w:val="single" w:sz="4" w:space="0" w:color="auto"/>
            </w:tcBorders>
            <w:shd w:val="clear" w:color="auto" w:fill="auto"/>
            <w:noWrap/>
            <w:vAlign w:val="center"/>
            <w:hideMark/>
          </w:tcPr>
          <w:p w:rsidR="00E71671" w:rsidRPr="00A17501" w:rsidP="00E71671" w14:paraId="2468B863" w14:textId="77777777">
            <w:pPr>
              <w:pStyle w:val="LTableTextAbt"/>
            </w:pPr>
            <w:r w:rsidRPr="00A17501">
              <w:t>Processing into plastic and rubber products</w:t>
            </w:r>
          </w:p>
        </w:tc>
        <w:tc>
          <w:tcPr>
            <w:tcW w:w="574" w:type="pct"/>
            <w:tcBorders>
              <w:top w:val="nil"/>
              <w:left w:val="nil"/>
              <w:bottom w:val="single" w:sz="4" w:space="0" w:color="auto"/>
              <w:right w:val="single" w:sz="4" w:space="0" w:color="auto"/>
            </w:tcBorders>
            <w:shd w:val="clear" w:color="auto" w:fill="auto"/>
            <w:hideMark/>
          </w:tcPr>
          <w:p w:rsidR="00E71671" w:rsidP="00E71671" w14:paraId="607682C8" w14:textId="798714D6">
            <w:pPr>
              <w:pStyle w:val="RTableTextAbt"/>
            </w:pPr>
            <w:r w:rsidRPr="00241FC9">
              <w:t>162</w:t>
            </w:r>
          </w:p>
        </w:tc>
        <w:tc>
          <w:tcPr>
            <w:tcW w:w="574" w:type="pct"/>
            <w:tcBorders>
              <w:top w:val="nil"/>
              <w:left w:val="nil"/>
              <w:bottom w:val="single" w:sz="4" w:space="0" w:color="auto"/>
              <w:right w:val="single" w:sz="4" w:space="0" w:color="auto"/>
            </w:tcBorders>
            <w:shd w:val="clear" w:color="auto" w:fill="auto"/>
            <w:hideMark/>
          </w:tcPr>
          <w:p w:rsidR="00E71671" w:rsidP="00E71671" w14:paraId="3D84242C" w14:textId="1F8A90BE">
            <w:pPr>
              <w:pStyle w:val="RTableTextAbt"/>
            </w:pPr>
            <w:r w:rsidRPr="00241FC9">
              <w:t>162</w:t>
            </w:r>
          </w:p>
        </w:tc>
        <w:tc>
          <w:tcPr>
            <w:tcW w:w="574" w:type="pct"/>
            <w:tcBorders>
              <w:top w:val="nil"/>
              <w:left w:val="nil"/>
              <w:bottom w:val="single" w:sz="4" w:space="0" w:color="auto"/>
              <w:right w:val="single" w:sz="4" w:space="0" w:color="auto"/>
            </w:tcBorders>
            <w:shd w:val="clear" w:color="000000" w:fill="FFFFFF"/>
            <w:hideMark/>
          </w:tcPr>
          <w:p w:rsidR="00E71671" w:rsidP="00E71671" w14:paraId="116C8CF2" w14:textId="69F59EA3">
            <w:pPr>
              <w:pStyle w:val="RTableTextAbt"/>
            </w:pPr>
            <w:r w:rsidRPr="00241FC9">
              <w:t>72</w:t>
            </w:r>
          </w:p>
        </w:tc>
        <w:tc>
          <w:tcPr>
            <w:tcW w:w="574" w:type="pct"/>
            <w:tcBorders>
              <w:top w:val="nil"/>
              <w:left w:val="nil"/>
              <w:bottom w:val="single" w:sz="4" w:space="0" w:color="auto"/>
              <w:right w:val="single" w:sz="4" w:space="0" w:color="auto"/>
            </w:tcBorders>
            <w:shd w:val="clear" w:color="auto" w:fill="auto"/>
            <w:noWrap/>
            <w:hideMark/>
          </w:tcPr>
          <w:p w:rsidR="00E71671" w:rsidP="00E71671" w14:paraId="0C67D50B" w14:textId="64BDB11F">
            <w:pPr>
              <w:pStyle w:val="RTableTextAbt"/>
            </w:pPr>
            <w:r w:rsidRPr="00241FC9">
              <w:t>5%</w:t>
            </w:r>
          </w:p>
        </w:tc>
        <w:tc>
          <w:tcPr>
            <w:tcW w:w="572" w:type="pct"/>
            <w:tcBorders>
              <w:top w:val="nil"/>
              <w:left w:val="nil"/>
              <w:bottom w:val="single" w:sz="4" w:space="0" w:color="auto"/>
              <w:right w:val="single" w:sz="4" w:space="0" w:color="auto"/>
            </w:tcBorders>
            <w:shd w:val="clear" w:color="auto" w:fill="auto"/>
            <w:noWrap/>
            <w:hideMark/>
          </w:tcPr>
          <w:p w:rsidR="00E71671" w:rsidP="00E71671" w14:paraId="0664B229" w14:textId="7B22945D">
            <w:pPr>
              <w:pStyle w:val="RTableTextAbt"/>
            </w:pPr>
            <w:r w:rsidRPr="00241FC9">
              <w:t>95%</w:t>
            </w:r>
          </w:p>
        </w:tc>
      </w:tr>
      <w:tr w14:paraId="5B837EF6" w14:textId="77777777" w:rsidTr="005C7E41">
        <w:tblPrEx>
          <w:tblW w:w="5000" w:type="pct"/>
          <w:tblLook w:val="04A0"/>
        </w:tblPrEx>
        <w:trPr>
          <w:trHeight w:val="300"/>
        </w:trPr>
        <w:tc>
          <w:tcPr>
            <w:tcW w:w="2131" w:type="pct"/>
            <w:tcBorders>
              <w:top w:val="nil"/>
              <w:left w:val="single" w:sz="4" w:space="0" w:color="auto"/>
              <w:bottom w:val="single" w:sz="4" w:space="0" w:color="auto"/>
              <w:right w:val="single" w:sz="4" w:space="0" w:color="auto"/>
            </w:tcBorders>
            <w:shd w:val="clear" w:color="auto" w:fill="auto"/>
            <w:vAlign w:val="center"/>
            <w:hideMark/>
          </w:tcPr>
          <w:p w:rsidR="00E71671" w:rsidRPr="009549B4" w:rsidP="00E71671" w14:paraId="65556103" w14:textId="77777777">
            <w:pPr>
              <w:pStyle w:val="LTableTextAbt"/>
              <w:rPr>
                <w:b/>
                <w:bCs w:val="0"/>
              </w:rPr>
            </w:pPr>
            <w:r w:rsidRPr="009549B4">
              <w:rPr>
                <w:b/>
                <w:bCs w:val="0"/>
              </w:rPr>
              <w:t>Total</w:t>
            </w:r>
          </w:p>
        </w:tc>
        <w:tc>
          <w:tcPr>
            <w:tcW w:w="574" w:type="pct"/>
            <w:tcBorders>
              <w:top w:val="nil"/>
              <w:left w:val="nil"/>
              <w:bottom w:val="single" w:sz="4" w:space="0" w:color="auto"/>
              <w:right w:val="single" w:sz="4" w:space="0" w:color="auto"/>
            </w:tcBorders>
            <w:shd w:val="clear" w:color="auto" w:fill="auto"/>
            <w:noWrap/>
            <w:hideMark/>
          </w:tcPr>
          <w:p w:rsidR="00E71671" w:rsidRPr="009549B4" w:rsidP="00E71671" w14:paraId="1777A176" w14:textId="63CEF160">
            <w:pPr>
              <w:pStyle w:val="RTableTextAbt"/>
              <w:rPr>
                <w:b/>
                <w:bCs w:val="0"/>
              </w:rPr>
            </w:pPr>
            <w:r w:rsidRPr="009549B4">
              <w:rPr>
                <w:b/>
                <w:bCs w:val="0"/>
              </w:rPr>
              <w:t>374</w:t>
            </w:r>
          </w:p>
        </w:tc>
        <w:tc>
          <w:tcPr>
            <w:tcW w:w="574" w:type="pct"/>
            <w:tcBorders>
              <w:top w:val="nil"/>
              <w:left w:val="nil"/>
              <w:bottom w:val="single" w:sz="4" w:space="0" w:color="auto"/>
              <w:right w:val="single" w:sz="4" w:space="0" w:color="auto"/>
            </w:tcBorders>
            <w:shd w:val="clear" w:color="auto" w:fill="auto"/>
            <w:noWrap/>
            <w:hideMark/>
          </w:tcPr>
          <w:p w:rsidR="00E71671" w:rsidRPr="009549B4" w:rsidP="00E71671" w14:paraId="6379D886" w14:textId="45BDC5D8">
            <w:pPr>
              <w:pStyle w:val="RTableTextAbt"/>
              <w:rPr>
                <w:b/>
                <w:bCs w:val="0"/>
              </w:rPr>
            </w:pPr>
            <w:r w:rsidRPr="009549B4">
              <w:rPr>
                <w:b/>
                <w:bCs w:val="0"/>
              </w:rPr>
              <w:t>394</w:t>
            </w:r>
          </w:p>
        </w:tc>
        <w:tc>
          <w:tcPr>
            <w:tcW w:w="574" w:type="pct"/>
            <w:tcBorders>
              <w:top w:val="nil"/>
              <w:left w:val="nil"/>
              <w:bottom w:val="single" w:sz="4" w:space="0" w:color="auto"/>
              <w:right w:val="single" w:sz="4" w:space="0" w:color="auto"/>
            </w:tcBorders>
            <w:shd w:val="clear" w:color="auto" w:fill="auto"/>
            <w:noWrap/>
            <w:hideMark/>
          </w:tcPr>
          <w:p w:rsidR="00E71671" w:rsidRPr="009549B4" w:rsidP="00E71671" w14:paraId="54747069" w14:textId="5721C9A4">
            <w:pPr>
              <w:pStyle w:val="RTableTextAbt"/>
              <w:rPr>
                <w:b/>
                <w:bCs w:val="0"/>
              </w:rPr>
            </w:pPr>
            <w:r w:rsidRPr="009549B4">
              <w:rPr>
                <w:b/>
                <w:bCs w:val="0"/>
              </w:rPr>
              <w:t>203</w:t>
            </w:r>
          </w:p>
        </w:tc>
        <w:tc>
          <w:tcPr>
            <w:tcW w:w="574" w:type="pct"/>
            <w:tcBorders>
              <w:top w:val="nil"/>
              <w:left w:val="nil"/>
              <w:bottom w:val="single" w:sz="4" w:space="0" w:color="auto"/>
              <w:right w:val="single" w:sz="4" w:space="0" w:color="auto"/>
            </w:tcBorders>
            <w:shd w:val="clear" w:color="auto" w:fill="auto"/>
            <w:noWrap/>
            <w:hideMark/>
          </w:tcPr>
          <w:p w:rsidR="00E71671" w:rsidP="00E71671" w14:paraId="12093CEC" w14:textId="2E9FC80A">
            <w:pPr>
              <w:pStyle w:val="RTableTextAbt"/>
              <w:rPr>
                <w:b/>
              </w:rPr>
            </w:pPr>
          </w:p>
        </w:tc>
        <w:tc>
          <w:tcPr>
            <w:tcW w:w="572" w:type="pct"/>
            <w:tcBorders>
              <w:top w:val="nil"/>
              <w:left w:val="nil"/>
              <w:bottom w:val="single" w:sz="4" w:space="0" w:color="auto"/>
              <w:right w:val="single" w:sz="4" w:space="0" w:color="auto"/>
            </w:tcBorders>
            <w:shd w:val="clear" w:color="auto" w:fill="auto"/>
            <w:noWrap/>
            <w:hideMark/>
          </w:tcPr>
          <w:p w:rsidR="00E71671" w:rsidP="00E71671" w14:paraId="0772D5DF" w14:textId="1AEC4A0A">
            <w:pPr>
              <w:pStyle w:val="RTableTextAbt"/>
              <w:rPr>
                <w:b/>
              </w:rPr>
            </w:pPr>
          </w:p>
        </w:tc>
      </w:tr>
      <w:tr w14:paraId="2B53751B" w14:textId="77777777" w:rsidTr="005C7E41">
        <w:tblPrEx>
          <w:tblW w:w="5000" w:type="pct"/>
          <w:tblLook w:val="04A0"/>
        </w:tblPrEx>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5C7E41" w:rsidP="005C7E41" w14:paraId="050BA8B2" w14:textId="436F1CAF">
            <w:pPr>
              <w:pStyle w:val="TableNote0"/>
            </w:pPr>
            <w:r>
              <w:t xml:space="preserve">Note </w:t>
            </w:r>
            <w:r>
              <w:t xml:space="preserve">The gold shaded cells </w:t>
            </w:r>
            <w:r>
              <w:t xml:space="preserve">are referenced below in </w:t>
            </w:r>
            <w:r>
              <w:fldChar w:fldCharType="begin" w:fldLock="1"/>
            </w:r>
            <w:r>
              <w:instrText xml:space="preserve"> REF _Ref181352920 \h </w:instrText>
            </w:r>
            <w:r>
              <w:fldChar w:fldCharType="separate"/>
            </w:r>
            <w:r w:rsidRPr="00A95A85" w:rsidR="00735BBC">
              <w:t xml:space="preserve">Figure </w:t>
            </w:r>
            <w:r w:rsidR="00735BBC">
              <w:rPr>
                <w:noProof/>
              </w:rPr>
              <w:t>5</w:t>
            </w:r>
            <w:r w:rsidRPr="00A95A85" w:rsidR="00735BBC">
              <w:noBreakHyphen/>
            </w:r>
            <w:r w:rsidR="00735BBC">
              <w:rPr>
                <w:noProof/>
              </w:rPr>
              <w:t>2</w:t>
            </w:r>
            <w:r>
              <w:fldChar w:fldCharType="end"/>
            </w:r>
            <w:r>
              <w:t>.</w:t>
            </w:r>
          </w:p>
        </w:tc>
      </w:tr>
    </w:tbl>
    <w:p w:rsidR="00847C1F" w:rsidP="00832749" w14:paraId="5EAA90FC" w14:textId="77777777">
      <w:pPr>
        <w:pStyle w:val="BodyText"/>
        <w:rPr>
          <w:rStyle w:val="TableTextChar"/>
          <w:rFonts w:eastAsiaTheme="minorEastAsia"/>
        </w:rPr>
      </w:pPr>
    </w:p>
    <w:p w:rsidR="00417CD4" w:rsidP="00832749" w14:paraId="073E6F2C" w14:textId="27C68949">
      <w:pPr>
        <w:pStyle w:val="BodyText"/>
        <w:rPr>
          <w:rStyle w:val="TableTextChar"/>
          <w:rFonts w:eastAsiaTheme="minorEastAsia"/>
        </w:rPr>
      </w:pPr>
      <w:r>
        <w:rPr>
          <w:lang w:val="en-US"/>
        </w:rPr>
        <w:fldChar w:fldCharType="begin" w:fldLock="1"/>
      </w:r>
      <w:r>
        <w:rPr>
          <w:lang w:val="en-US"/>
        </w:rPr>
        <w:instrText xml:space="preserve"> REF _Ref181180150 \h </w:instrText>
      </w:r>
      <w:r>
        <w:rPr>
          <w:lang w:val="en-US"/>
        </w:rPr>
        <w:fldChar w:fldCharType="separate"/>
      </w:r>
      <w:r w:rsidRPr="00133A33" w:rsidR="00735BBC">
        <w:t xml:space="preserve">Table </w:t>
      </w:r>
      <w:r w:rsidR="00735BBC">
        <w:rPr>
          <w:noProof/>
        </w:rPr>
        <w:t>5</w:t>
      </w:r>
      <w:r w:rsidR="00735BBC">
        <w:noBreakHyphen/>
      </w:r>
      <w:r w:rsidR="00735BBC">
        <w:rPr>
          <w:noProof/>
        </w:rPr>
        <w:t>2</w:t>
      </w:r>
      <w:r>
        <w:rPr>
          <w:lang w:val="en-US"/>
        </w:rPr>
        <w:fldChar w:fldCharType="end"/>
      </w:r>
      <w:r>
        <w:rPr>
          <w:lang w:val="en-US"/>
        </w:rPr>
        <w:t xml:space="preserve"> summarizes </w:t>
      </w:r>
      <w:r w:rsidRPr="4A8A1481">
        <w:rPr>
          <w:lang w:val="en-US"/>
        </w:rPr>
        <w:t xml:space="preserve">the </w:t>
      </w:r>
      <w:r w:rsidRPr="00431EED">
        <w:rPr>
          <w:rStyle w:val="TableTextChar"/>
          <w:rFonts w:ascii="Times New Roman" w:hAnsi="Times New Roman" w:eastAsiaTheme="minorEastAsia"/>
        </w:rPr>
        <w:t xml:space="preserve">expected PV29 exposures </w:t>
      </w:r>
      <w:r>
        <w:rPr>
          <w:rStyle w:val="TableTextChar"/>
          <w:rFonts w:ascii="Times New Roman" w:hAnsi="Times New Roman" w:eastAsiaTheme="minorEastAsia"/>
        </w:rPr>
        <w:t xml:space="preserve">for these workers </w:t>
      </w:r>
      <w:r w:rsidRPr="00431EED">
        <w:rPr>
          <w:rStyle w:val="TableTextChar"/>
          <w:rFonts w:ascii="Times New Roman" w:hAnsi="Times New Roman" w:eastAsiaTheme="minorEastAsia"/>
        </w:rPr>
        <w:t>based on three PPE scenarios</w:t>
      </w:r>
      <w:r w:rsidR="00EE22B2">
        <w:rPr>
          <w:rStyle w:val="TableTextChar"/>
          <w:rFonts w:ascii="Times New Roman" w:hAnsi="Times New Roman" w:eastAsiaTheme="minorEastAsia"/>
        </w:rPr>
        <w:t xml:space="preserve">. </w:t>
      </w:r>
      <w:r w:rsidR="000110A5">
        <w:rPr>
          <w:rStyle w:val="TableTextChar"/>
          <w:rFonts w:ascii="Times New Roman" w:hAnsi="Times New Roman" w:eastAsiaTheme="minorEastAsia"/>
        </w:rPr>
        <w:t xml:space="preserve">The incremental changes in exposure from the last three rows of </w:t>
      </w:r>
      <w:r w:rsidR="000110A5">
        <w:rPr>
          <w:lang w:val="en-US"/>
        </w:rPr>
        <w:fldChar w:fldCharType="begin" w:fldLock="1"/>
      </w:r>
      <w:r w:rsidR="000110A5">
        <w:rPr>
          <w:lang w:val="en-US"/>
        </w:rPr>
        <w:instrText xml:space="preserve"> REF _Ref181180150 \h </w:instrText>
      </w:r>
      <w:r w:rsidR="000110A5">
        <w:rPr>
          <w:lang w:val="en-US"/>
        </w:rPr>
        <w:fldChar w:fldCharType="separate"/>
      </w:r>
      <w:r w:rsidRPr="00133A33" w:rsidR="00735BBC">
        <w:t xml:space="preserve">Table </w:t>
      </w:r>
      <w:r w:rsidR="00735BBC">
        <w:rPr>
          <w:noProof/>
        </w:rPr>
        <w:t>5</w:t>
      </w:r>
      <w:r w:rsidR="00735BBC">
        <w:noBreakHyphen/>
      </w:r>
      <w:r w:rsidR="00735BBC">
        <w:rPr>
          <w:noProof/>
        </w:rPr>
        <w:t>2</w:t>
      </w:r>
      <w:r w:rsidR="000110A5">
        <w:rPr>
          <w:lang w:val="en-US"/>
        </w:rPr>
        <w:fldChar w:fldCharType="end"/>
      </w:r>
      <w:r w:rsidR="000110A5">
        <w:rPr>
          <w:lang w:val="en-US"/>
        </w:rPr>
        <w:t xml:space="preserve"> are used in the benefits calculations.</w:t>
      </w:r>
      <w:r w:rsidR="005D261C">
        <w:rPr>
          <w:lang w:val="en-US"/>
        </w:rPr>
        <w:t xml:space="preserve"> Benefits are calculated assuming 100 percent compliance with the proposed rule.</w:t>
      </w:r>
    </w:p>
    <w:tbl>
      <w:tblPr>
        <w:tblW w:w="5002" w:type="pct"/>
        <w:tblLook w:val="04A0"/>
      </w:tblPr>
      <w:tblGrid>
        <w:gridCol w:w="3582"/>
        <w:gridCol w:w="1446"/>
        <w:gridCol w:w="1446"/>
        <w:gridCol w:w="1446"/>
        <w:gridCol w:w="1444"/>
      </w:tblGrid>
      <w:tr w14:paraId="09541DB2" w14:textId="77777777" w:rsidTr="009860E2">
        <w:tblPrEx>
          <w:tblW w:w="5002" w:type="pct"/>
          <w:tblLook w:val="04A0"/>
        </w:tblPrEx>
        <w:trPr>
          <w:trHeight w:val="300"/>
        </w:trPr>
        <w:tc>
          <w:tcPr>
            <w:tcW w:w="5000" w:type="pct"/>
            <w:gridSpan w:val="5"/>
            <w:tcBorders>
              <w:bottom w:val="single" w:sz="4" w:space="0" w:color="auto"/>
            </w:tcBorders>
            <w:shd w:val="clear" w:color="auto" w:fill="auto"/>
            <w:vAlign w:val="center"/>
          </w:tcPr>
          <w:p w:rsidR="009B10E9" w:rsidRPr="00133A33" w:rsidP="009860E2" w14:paraId="67281FAD" w14:textId="05C6D34A">
            <w:pPr>
              <w:pStyle w:val="TableTitleA"/>
            </w:pPr>
            <w:bookmarkStart w:id="268" w:name="_Ref181180150"/>
            <w:bookmarkStart w:id="269" w:name="_Toc184299587"/>
            <w:r w:rsidRPr="00133A33">
              <w:t xml:space="preserve">Table </w:t>
            </w:r>
            <w:r>
              <w:fldChar w:fldCharType="begin" w:fldLock="1"/>
            </w:r>
            <w:r>
              <w:instrText>STYLEREF 1 \s</w:instrText>
            </w:r>
            <w:r>
              <w:fldChar w:fldCharType="separate"/>
            </w:r>
            <w:r w:rsidR="00735BBC">
              <w:rPr>
                <w:noProof/>
              </w:rPr>
              <w:t>5</w:t>
            </w:r>
            <w:r>
              <w:fldChar w:fldCharType="end"/>
            </w:r>
            <w:r>
              <w:noBreakHyphen/>
            </w:r>
            <w:r>
              <w:fldChar w:fldCharType="begin" w:fldLock="1"/>
            </w:r>
            <w:r>
              <w:instrText>SEQ Table \* ARABIC \s 1</w:instrText>
            </w:r>
            <w:r>
              <w:fldChar w:fldCharType="separate"/>
            </w:r>
            <w:r w:rsidR="00735BBC">
              <w:rPr>
                <w:noProof/>
              </w:rPr>
              <w:t>2</w:t>
            </w:r>
            <w:r>
              <w:fldChar w:fldCharType="end"/>
            </w:r>
            <w:bookmarkEnd w:id="268"/>
            <w:r w:rsidRPr="00133A33">
              <w:t>: Exposures based on PPE use (mg/m</w:t>
            </w:r>
            <w:r w:rsidRPr="00133A33">
              <w:rPr>
                <w:vertAlign w:val="superscript"/>
              </w:rPr>
              <w:t>3</w:t>
            </w:r>
            <w:r w:rsidRPr="00133A33">
              <w:t>)</w:t>
            </w:r>
            <w:bookmarkEnd w:id="269"/>
          </w:p>
        </w:tc>
      </w:tr>
      <w:tr w14:paraId="0596A6E9" w14:textId="77777777" w:rsidTr="003159EE">
        <w:tblPrEx>
          <w:tblW w:w="5002" w:type="pct"/>
          <w:tblLook w:val="04A0"/>
        </w:tblPrEx>
        <w:trPr>
          <w:trHeight w:val="300"/>
        </w:trPr>
        <w:tc>
          <w:tcPr>
            <w:tcW w:w="1913"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9B10E9" w:rsidP="009860E2" w14:paraId="7B03F413" w14:textId="77777777">
            <w:pPr>
              <w:pStyle w:val="TableSubtitle"/>
            </w:pPr>
            <w:r>
              <w:t>Scenario</w:t>
            </w:r>
          </w:p>
        </w:tc>
        <w:tc>
          <w:tcPr>
            <w:tcW w:w="1544" w:type="pct"/>
            <w:gridSpan w:val="2"/>
            <w:tcBorders>
              <w:top w:val="single" w:sz="4" w:space="0" w:color="auto"/>
              <w:left w:val="nil"/>
              <w:bottom w:val="single" w:sz="4" w:space="0" w:color="auto"/>
              <w:right w:val="single" w:sz="4" w:space="0" w:color="auto"/>
            </w:tcBorders>
            <w:shd w:val="clear" w:color="auto" w:fill="013E5B"/>
            <w:vAlign w:val="center"/>
            <w:hideMark/>
          </w:tcPr>
          <w:p w:rsidR="009B10E9" w:rsidP="009860E2" w14:paraId="61B788DE" w14:textId="77777777">
            <w:pPr>
              <w:pStyle w:val="TableSubtitle"/>
            </w:pPr>
            <w:r>
              <w:t>Central tendency</w:t>
            </w:r>
          </w:p>
        </w:tc>
        <w:tc>
          <w:tcPr>
            <w:tcW w:w="1543" w:type="pct"/>
            <w:gridSpan w:val="2"/>
            <w:tcBorders>
              <w:top w:val="single" w:sz="4" w:space="0" w:color="auto"/>
              <w:left w:val="nil"/>
              <w:bottom w:val="single" w:sz="4" w:space="0" w:color="auto"/>
              <w:right w:val="single" w:sz="4" w:space="0" w:color="auto"/>
            </w:tcBorders>
            <w:shd w:val="clear" w:color="auto" w:fill="013E5B"/>
            <w:vAlign w:val="center"/>
            <w:hideMark/>
          </w:tcPr>
          <w:p w:rsidR="009B10E9" w:rsidP="009860E2" w14:paraId="590A922D" w14:textId="77777777">
            <w:pPr>
              <w:pStyle w:val="TableSubtitle"/>
            </w:pPr>
            <w:r>
              <w:t>High-end</w:t>
            </w:r>
          </w:p>
        </w:tc>
      </w:tr>
      <w:tr w14:paraId="685B28A9" w14:textId="77777777" w:rsidTr="003159EE">
        <w:tblPrEx>
          <w:tblW w:w="5002" w:type="pct"/>
          <w:tblLook w:val="04A0"/>
        </w:tblPrEx>
        <w:trPr>
          <w:trHeight w:val="300"/>
        </w:trPr>
        <w:tc>
          <w:tcPr>
            <w:tcW w:w="1913" w:type="pct"/>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9B10E9" w:rsidP="009860E2" w14:paraId="7F8DF4F5" w14:textId="77777777">
            <w:pPr>
              <w:pStyle w:val="TableSubtitle"/>
            </w:pPr>
          </w:p>
        </w:tc>
        <w:tc>
          <w:tcPr>
            <w:tcW w:w="772" w:type="pct"/>
            <w:tcBorders>
              <w:top w:val="single" w:sz="4" w:space="0" w:color="auto"/>
              <w:left w:val="single" w:sz="4" w:space="0" w:color="auto"/>
              <w:bottom w:val="single" w:sz="4" w:space="0" w:color="auto"/>
              <w:right w:val="single" w:sz="4" w:space="0" w:color="auto"/>
            </w:tcBorders>
            <w:shd w:val="clear" w:color="auto" w:fill="013E5B"/>
            <w:vAlign w:val="center"/>
            <w:hideMark/>
          </w:tcPr>
          <w:p w:rsidR="009B10E9" w:rsidP="009860E2" w14:paraId="03FB63AD" w14:textId="77777777">
            <w:pPr>
              <w:pStyle w:val="TableSubtitle"/>
            </w:pPr>
            <w:r>
              <w:t>Direct</w:t>
            </w:r>
          </w:p>
        </w:tc>
        <w:tc>
          <w:tcPr>
            <w:tcW w:w="772" w:type="pct"/>
            <w:tcBorders>
              <w:top w:val="nil"/>
              <w:left w:val="single" w:sz="4" w:space="0" w:color="auto"/>
              <w:bottom w:val="single" w:sz="4" w:space="0" w:color="auto"/>
              <w:right w:val="single" w:sz="4" w:space="0" w:color="auto"/>
            </w:tcBorders>
            <w:shd w:val="clear" w:color="auto" w:fill="013E5B"/>
            <w:vAlign w:val="center"/>
            <w:hideMark/>
          </w:tcPr>
          <w:p w:rsidR="009B10E9" w:rsidP="009860E2" w14:paraId="5E2BA34F" w14:textId="77777777">
            <w:pPr>
              <w:pStyle w:val="TableSubtitle"/>
            </w:pPr>
            <w:r>
              <w:t>ONUs</w:t>
            </w:r>
          </w:p>
        </w:tc>
        <w:tc>
          <w:tcPr>
            <w:tcW w:w="772" w:type="pct"/>
            <w:tcBorders>
              <w:top w:val="single" w:sz="4" w:space="0" w:color="auto"/>
              <w:left w:val="single" w:sz="4" w:space="0" w:color="auto"/>
              <w:bottom w:val="single" w:sz="4" w:space="0" w:color="auto"/>
              <w:right w:val="single" w:sz="4" w:space="0" w:color="000000" w:themeColor="text1"/>
            </w:tcBorders>
            <w:shd w:val="clear" w:color="auto" w:fill="013E5B"/>
            <w:vAlign w:val="center"/>
            <w:hideMark/>
          </w:tcPr>
          <w:p w:rsidR="009B10E9" w:rsidP="009860E2" w14:paraId="4B250822" w14:textId="77777777">
            <w:pPr>
              <w:pStyle w:val="TableSubtitle"/>
            </w:pPr>
            <w:r>
              <w:t>Direct</w:t>
            </w:r>
          </w:p>
        </w:tc>
        <w:tc>
          <w:tcPr>
            <w:tcW w:w="771" w:type="pct"/>
            <w:tcBorders>
              <w:top w:val="nil"/>
              <w:left w:val="single" w:sz="4" w:space="0" w:color="auto"/>
              <w:bottom w:val="single" w:sz="4" w:space="0" w:color="auto"/>
              <w:right w:val="single" w:sz="4" w:space="0" w:color="auto"/>
            </w:tcBorders>
            <w:shd w:val="clear" w:color="auto" w:fill="013E5B"/>
            <w:vAlign w:val="center"/>
            <w:hideMark/>
          </w:tcPr>
          <w:p w:rsidR="009B10E9" w:rsidP="009860E2" w14:paraId="66B5D28C" w14:textId="77777777">
            <w:pPr>
              <w:pStyle w:val="TableSubtitle"/>
            </w:pPr>
            <w:r>
              <w:t>ONUs</w:t>
            </w:r>
          </w:p>
        </w:tc>
      </w:tr>
      <w:tr w14:paraId="6E714C44" w14:textId="77777777" w:rsidTr="003159EE">
        <w:tblPrEx>
          <w:tblW w:w="5002" w:type="pct"/>
          <w:tblLook w:val="04A0"/>
        </w:tblPrEx>
        <w:trPr>
          <w:trHeight w:val="300"/>
        </w:trPr>
        <w:tc>
          <w:tcPr>
            <w:tcW w:w="1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0E9" w:rsidP="009860E2" w14:paraId="0C33D981" w14:textId="77777777">
            <w:pPr>
              <w:pStyle w:val="LTableTextAbt"/>
            </w:pPr>
            <w:r>
              <w:t>No PPE</w:t>
            </w:r>
          </w:p>
        </w:tc>
        <w:tc>
          <w:tcPr>
            <w:tcW w:w="772" w:type="pct"/>
            <w:tcBorders>
              <w:top w:val="single" w:sz="4" w:space="0" w:color="auto"/>
              <w:left w:val="nil"/>
              <w:bottom w:val="single" w:sz="4" w:space="0" w:color="auto"/>
              <w:right w:val="single" w:sz="4" w:space="0" w:color="auto"/>
            </w:tcBorders>
            <w:shd w:val="clear" w:color="auto" w:fill="EFAC35"/>
            <w:hideMark/>
          </w:tcPr>
          <w:p w:rsidR="009B10E9" w:rsidP="009860E2" w14:paraId="3C2BD1E0" w14:textId="77777777">
            <w:pPr>
              <w:pStyle w:val="RTableTextAbt"/>
            </w:pPr>
            <w:r w:rsidRPr="004A37ED">
              <w:t>0.370</w:t>
            </w:r>
          </w:p>
        </w:tc>
        <w:tc>
          <w:tcPr>
            <w:tcW w:w="772" w:type="pct"/>
            <w:tcBorders>
              <w:top w:val="single" w:sz="4" w:space="0" w:color="auto"/>
              <w:left w:val="nil"/>
              <w:bottom w:val="single" w:sz="4" w:space="0" w:color="auto"/>
              <w:right w:val="single" w:sz="4" w:space="0" w:color="auto"/>
            </w:tcBorders>
            <w:shd w:val="clear" w:color="auto" w:fill="auto"/>
            <w:hideMark/>
          </w:tcPr>
          <w:p w:rsidR="009B10E9" w:rsidP="009860E2" w14:paraId="781F5810" w14:textId="77777777">
            <w:pPr>
              <w:pStyle w:val="RTableTextAbt"/>
            </w:pPr>
            <w:r w:rsidRPr="004A37ED">
              <w:t>0.360</w:t>
            </w:r>
          </w:p>
        </w:tc>
        <w:tc>
          <w:tcPr>
            <w:tcW w:w="772" w:type="pct"/>
            <w:tcBorders>
              <w:top w:val="single" w:sz="4" w:space="0" w:color="auto"/>
              <w:left w:val="nil"/>
              <w:bottom w:val="single" w:sz="4" w:space="0" w:color="auto"/>
              <w:right w:val="single" w:sz="4" w:space="0" w:color="auto"/>
            </w:tcBorders>
            <w:shd w:val="clear" w:color="auto" w:fill="auto"/>
            <w:hideMark/>
          </w:tcPr>
          <w:p w:rsidR="009B10E9" w:rsidP="009860E2" w14:paraId="658247E9" w14:textId="77777777">
            <w:pPr>
              <w:pStyle w:val="RTableTextAbt"/>
            </w:pPr>
            <w:r w:rsidRPr="004A37ED">
              <w:t>1.200</w:t>
            </w:r>
          </w:p>
        </w:tc>
        <w:tc>
          <w:tcPr>
            <w:tcW w:w="771" w:type="pct"/>
            <w:tcBorders>
              <w:top w:val="single" w:sz="4" w:space="0" w:color="auto"/>
              <w:left w:val="nil"/>
              <w:bottom w:val="single" w:sz="4" w:space="0" w:color="auto"/>
              <w:right w:val="single" w:sz="4" w:space="0" w:color="auto"/>
            </w:tcBorders>
            <w:shd w:val="clear" w:color="auto" w:fill="auto"/>
            <w:hideMark/>
          </w:tcPr>
          <w:p w:rsidR="009B10E9" w:rsidP="009860E2" w14:paraId="520D9746" w14:textId="77777777">
            <w:pPr>
              <w:pStyle w:val="RTableTextAbt"/>
            </w:pPr>
            <w:r w:rsidRPr="004A37ED">
              <w:t>0.590</w:t>
            </w:r>
          </w:p>
        </w:tc>
      </w:tr>
      <w:tr w14:paraId="63534DF3" w14:textId="77777777" w:rsidTr="003159EE">
        <w:tblPrEx>
          <w:tblW w:w="5002" w:type="pct"/>
          <w:tblLook w:val="04A0"/>
        </w:tblPrEx>
        <w:trPr>
          <w:trHeight w:val="300"/>
        </w:trPr>
        <w:tc>
          <w:tcPr>
            <w:tcW w:w="1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0E9" w:rsidP="009860E2" w14:paraId="0B87C5DE" w14:textId="77777777">
            <w:pPr>
              <w:pStyle w:val="LTableTextAbt"/>
            </w:pPr>
            <w:r>
              <w:t>APF10</w:t>
            </w:r>
          </w:p>
        </w:tc>
        <w:tc>
          <w:tcPr>
            <w:tcW w:w="772" w:type="pct"/>
            <w:tcBorders>
              <w:top w:val="single" w:sz="4" w:space="0" w:color="auto"/>
              <w:left w:val="nil"/>
              <w:bottom w:val="single" w:sz="4" w:space="0" w:color="auto"/>
              <w:right w:val="single" w:sz="4" w:space="0" w:color="auto"/>
            </w:tcBorders>
            <w:shd w:val="clear" w:color="auto" w:fill="EFAC35"/>
            <w:hideMark/>
          </w:tcPr>
          <w:p w:rsidR="009B10E9" w:rsidP="009860E2" w14:paraId="72BE7E2F" w14:textId="77777777">
            <w:pPr>
              <w:pStyle w:val="RTableTextAbt"/>
            </w:pPr>
            <w:r w:rsidRPr="004A37ED">
              <w:t>0.037</w:t>
            </w:r>
          </w:p>
        </w:tc>
        <w:tc>
          <w:tcPr>
            <w:tcW w:w="772" w:type="pct"/>
            <w:tcBorders>
              <w:top w:val="single" w:sz="4" w:space="0" w:color="auto"/>
              <w:left w:val="nil"/>
              <w:bottom w:val="single" w:sz="4" w:space="0" w:color="auto"/>
              <w:right w:val="single" w:sz="4" w:space="0" w:color="auto"/>
            </w:tcBorders>
            <w:shd w:val="clear" w:color="auto" w:fill="auto"/>
            <w:hideMark/>
          </w:tcPr>
          <w:p w:rsidR="009B10E9" w:rsidP="009860E2" w14:paraId="10FBB52E" w14:textId="77777777">
            <w:pPr>
              <w:pStyle w:val="RTableTextAbt"/>
            </w:pPr>
            <w:r w:rsidRPr="004A37ED">
              <w:t>0.036</w:t>
            </w:r>
          </w:p>
        </w:tc>
        <w:tc>
          <w:tcPr>
            <w:tcW w:w="772" w:type="pct"/>
            <w:tcBorders>
              <w:top w:val="single" w:sz="4" w:space="0" w:color="auto"/>
              <w:left w:val="nil"/>
              <w:bottom w:val="single" w:sz="4" w:space="0" w:color="auto"/>
              <w:right w:val="single" w:sz="4" w:space="0" w:color="auto"/>
            </w:tcBorders>
            <w:shd w:val="clear" w:color="auto" w:fill="auto"/>
            <w:hideMark/>
          </w:tcPr>
          <w:p w:rsidR="009B10E9" w:rsidP="009860E2" w14:paraId="236272F7" w14:textId="77777777">
            <w:pPr>
              <w:pStyle w:val="RTableTextAbt"/>
            </w:pPr>
            <w:r>
              <w:t>0.120</w:t>
            </w:r>
          </w:p>
        </w:tc>
        <w:tc>
          <w:tcPr>
            <w:tcW w:w="771" w:type="pct"/>
            <w:tcBorders>
              <w:top w:val="single" w:sz="4" w:space="0" w:color="auto"/>
              <w:left w:val="nil"/>
              <w:bottom w:val="single" w:sz="4" w:space="0" w:color="auto"/>
              <w:right w:val="single" w:sz="4" w:space="0" w:color="auto"/>
            </w:tcBorders>
            <w:shd w:val="clear" w:color="auto" w:fill="auto"/>
            <w:hideMark/>
          </w:tcPr>
          <w:p w:rsidR="009B10E9" w:rsidP="009860E2" w14:paraId="12E12BA0" w14:textId="77777777">
            <w:pPr>
              <w:pStyle w:val="RTableTextAbt"/>
            </w:pPr>
            <w:r>
              <w:t>0.059</w:t>
            </w:r>
          </w:p>
        </w:tc>
      </w:tr>
      <w:tr w14:paraId="38AD05F0" w14:textId="77777777" w:rsidTr="003159EE">
        <w:tblPrEx>
          <w:tblW w:w="5002" w:type="pct"/>
          <w:tblLook w:val="04A0"/>
        </w:tblPrEx>
        <w:trPr>
          <w:trHeight w:val="300"/>
        </w:trPr>
        <w:tc>
          <w:tcPr>
            <w:tcW w:w="19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9B10E9" w:rsidP="009860E2" w14:paraId="0DE23F4B" w14:textId="77777777">
            <w:pPr>
              <w:pStyle w:val="LTableTextAbt"/>
            </w:pPr>
            <w:r>
              <w:t>APF50</w:t>
            </w:r>
          </w:p>
        </w:tc>
        <w:tc>
          <w:tcPr>
            <w:tcW w:w="772" w:type="pct"/>
            <w:tcBorders>
              <w:top w:val="single" w:sz="4" w:space="0" w:color="auto"/>
              <w:left w:val="nil"/>
              <w:bottom w:val="single" w:sz="4" w:space="0" w:color="auto"/>
              <w:right w:val="single" w:sz="4" w:space="0" w:color="auto"/>
            </w:tcBorders>
            <w:shd w:val="clear" w:color="auto" w:fill="EFAC35"/>
            <w:vAlign w:val="bottom"/>
          </w:tcPr>
          <w:p w:rsidR="009B10E9" w:rsidRPr="004A37ED" w:rsidP="009860E2" w14:paraId="3BA2D5D2" w14:textId="71ECF677">
            <w:pPr>
              <w:pStyle w:val="RTableTextAbt"/>
            </w:pPr>
            <w:r>
              <w:rPr>
                <w:rFonts w:cs="Arial"/>
                <w:szCs w:val="18"/>
              </w:rPr>
              <w:t>0.007</w:t>
            </w:r>
            <w:r w:rsidR="00F5555D">
              <w:rPr>
                <w:rFonts w:cs="Arial"/>
                <w:szCs w:val="18"/>
              </w:rPr>
              <w:t>4</w:t>
            </w:r>
          </w:p>
        </w:tc>
        <w:tc>
          <w:tcPr>
            <w:tcW w:w="772" w:type="pct"/>
            <w:tcBorders>
              <w:top w:val="single" w:sz="4" w:space="0" w:color="auto"/>
              <w:left w:val="nil"/>
              <w:bottom w:val="single" w:sz="4" w:space="0" w:color="auto"/>
              <w:right w:val="single" w:sz="4" w:space="0" w:color="auto"/>
            </w:tcBorders>
            <w:shd w:val="clear" w:color="auto" w:fill="auto"/>
            <w:vAlign w:val="bottom"/>
          </w:tcPr>
          <w:p w:rsidR="009B10E9" w:rsidRPr="004A37ED" w:rsidP="009860E2" w14:paraId="70F1AE41" w14:textId="0EA9C3A9">
            <w:pPr>
              <w:pStyle w:val="RTableTextAbt"/>
            </w:pPr>
            <w:r>
              <w:rPr>
                <w:rFonts w:cs="Arial"/>
                <w:szCs w:val="18"/>
              </w:rPr>
              <w:t>0.007</w:t>
            </w:r>
            <w:r w:rsidR="00F5555D">
              <w:rPr>
                <w:rFonts w:cs="Arial"/>
                <w:szCs w:val="18"/>
              </w:rPr>
              <w:t>2</w:t>
            </w:r>
          </w:p>
        </w:tc>
        <w:tc>
          <w:tcPr>
            <w:tcW w:w="772" w:type="pct"/>
            <w:tcBorders>
              <w:top w:val="single" w:sz="4" w:space="0" w:color="auto"/>
              <w:left w:val="nil"/>
              <w:bottom w:val="single" w:sz="4" w:space="0" w:color="auto"/>
              <w:right w:val="single" w:sz="4" w:space="0" w:color="auto"/>
            </w:tcBorders>
            <w:shd w:val="clear" w:color="auto" w:fill="auto"/>
            <w:vAlign w:val="bottom"/>
          </w:tcPr>
          <w:p w:rsidR="009B10E9" w:rsidP="009860E2" w14:paraId="02B6F312" w14:textId="77777777">
            <w:pPr>
              <w:pStyle w:val="RTableTextAbt"/>
            </w:pPr>
            <w:r>
              <w:rPr>
                <w:rFonts w:cs="Arial"/>
                <w:szCs w:val="18"/>
              </w:rPr>
              <w:t>0.024</w:t>
            </w:r>
          </w:p>
        </w:tc>
        <w:tc>
          <w:tcPr>
            <w:tcW w:w="771" w:type="pct"/>
            <w:tcBorders>
              <w:top w:val="single" w:sz="4" w:space="0" w:color="auto"/>
              <w:left w:val="nil"/>
              <w:bottom w:val="single" w:sz="4" w:space="0" w:color="auto"/>
              <w:right w:val="single" w:sz="4" w:space="0" w:color="auto"/>
            </w:tcBorders>
            <w:shd w:val="clear" w:color="auto" w:fill="auto"/>
            <w:vAlign w:val="bottom"/>
          </w:tcPr>
          <w:p w:rsidR="009B10E9" w:rsidP="009860E2" w14:paraId="3F97ABF7" w14:textId="77777777">
            <w:pPr>
              <w:pStyle w:val="RTableTextAbt"/>
            </w:pPr>
            <w:r>
              <w:rPr>
                <w:rFonts w:cs="Arial"/>
                <w:szCs w:val="18"/>
              </w:rPr>
              <w:t>0.012</w:t>
            </w:r>
          </w:p>
        </w:tc>
      </w:tr>
      <w:tr w14:paraId="089F7393" w14:textId="77777777" w:rsidTr="002F7548">
        <w:tblPrEx>
          <w:tblW w:w="5002" w:type="pct"/>
          <w:tblLook w:val="04A0"/>
        </w:tblPrEx>
        <w:trPr>
          <w:trHeight w:val="300"/>
        </w:trPr>
        <w:tc>
          <w:tcPr>
            <w:tcW w:w="19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7548" w:rsidP="002F7548" w14:paraId="55C5E9A1" w14:textId="3B146524">
            <w:pPr>
              <w:pStyle w:val="LTableTextAbt"/>
            </w:pPr>
            <w:r>
              <w:rPr>
                <w:szCs w:val="18"/>
              </w:rPr>
              <w:t>Incremental c</w:t>
            </w:r>
            <w:r>
              <w:rPr>
                <w:szCs w:val="18"/>
              </w:rPr>
              <w:t>hange from no PPE to APF 10</w:t>
            </w:r>
          </w:p>
        </w:tc>
        <w:tc>
          <w:tcPr>
            <w:tcW w:w="772" w:type="pct"/>
            <w:tcBorders>
              <w:top w:val="single" w:sz="4" w:space="0" w:color="auto"/>
              <w:left w:val="nil"/>
              <w:bottom w:val="single" w:sz="4" w:space="0" w:color="auto"/>
              <w:right w:val="single" w:sz="4" w:space="0" w:color="auto"/>
            </w:tcBorders>
            <w:shd w:val="clear" w:color="auto" w:fill="auto"/>
            <w:vAlign w:val="center"/>
          </w:tcPr>
          <w:p w:rsidR="002F7548" w:rsidP="002F7548" w14:paraId="24A0A373" w14:textId="76A8CE04">
            <w:pPr>
              <w:pStyle w:val="RTableTextAbt"/>
              <w:rPr>
                <w:rFonts w:cs="Arial"/>
                <w:szCs w:val="18"/>
              </w:rPr>
            </w:pPr>
            <w:r>
              <w:rPr>
                <w:szCs w:val="18"/>
              </w:rPr>
              <w:t>0.3330</w:t>
            </w:r>
          </w:p>
        </w:tc>
        <w:tc>
          <w:tcPr>
            <w:tcW w:w="772" w:type="pct"/>
            <w:tcBorders>
              <w:top w:val="single" w:sz="4" w:space="0" w:color="auto"/>
              <w:left w:val="nil"/>
              <w:bottom w:val="single" w:sz="4" w:space="0" w:color="auto"/>
              <w:right w:val="single" w:sz="4" w:space="0" w:color="auto"/>
            </w:tcBorders>
            <w:shd w:val="clear" w:color="auto" w:fill="auto"/>
            <w:vAlign w:val="center"/>
          </w:tcPr>
          <w:p w:rsidR="002F7548" w:rsidP="002F7548" w14:paraId="41AB4413" w14:textId="44F4670A">
            <w:pPr>
              <w:pStyle w:val="RTableTextAbt"/>
              <w:rPr>
                <w:rFonts w:cs="Arial"/>
                <w:szCs w:val="18"/>
              </w:rPr>
            </w:pPr>
            <w:r>
              <w:rPr>
                <w:szCs w:val="18"/>
              </w:rPr>
              <w:t>0.3240</w:t>
            </w:r>
          </w:p>
        </w:tc>
        <w:tc>
          <w:tcPr>
            <w:tcW w:w="772" w:type="pct"/>
            <w:tcBorders>
              <w:top w:val="single" w:sz="4" w:space="0" w:color="auto"/>
              <w:left w:val="nil"/>
              <w:bottom w:val="single" w:sz="4" w:space="0" w:color="auto"/>
              <w:right w:val="single" w:sz="4" w:space="0" w:color="auto"/>
            </w:tcBorders>
            <w:shd w:val="clear" w:color="auto" w:fill="auto"/>
            <w:vAlign w:val="center"/>
          </w:tcPr>
          <w:p w:rsidR="002F7548" w:rsidP="002F7548" w14:paraId="625F69D0" w14:textId="6F21CC1D">
            <w:pPr>
              <w:pStyle w:val="RTableTextAbt"/>
              <w:rPr>
                <w:rFonts w:cs="Arial"/>
                <w:szCs w:val="18"/>
              </w:rPr>
            </w:pPr>
            <w:r>
              <w:rPr>
                <w:szCs w:val="18"/>
              </w:rPr>
              <w:t>1.0800</w:t>
            </w:r>
          </w:p>
        </w:tc>
        <w:tc>
          <w:tcPr>
            <w:tcW w:w="771" w:type="pct"/>
            <w:tcBorders>
              <w:top w:val="single" w:sz="4" w:space="0" w:color="auto"/>
              <w:left w:val="nil"/>
              <w:bottom w:val="single" w:sz="4" w:space="0" w:color="auto"/>
              <w:right w:val="single" w:sz="4" w:space="0" w:color="auto"/>
            </w:tcBorders>
            <w:shd w:val="clear" w:color="auto" w:fill="auto"/>
            <w:vAlign w:val="center"/>
          </w:tcPr>
          <w:p w:rsidR="002F7548" w:rsidP="002F7548" w14:paraId="016B3366" w14:textId="7EA05A6F">
            <w:pPr>
              <w:pStyle w:val="RTableTextAbt"/>
              <w:rPr>
                <w:rFonts w:cs="Arial"/>
                <w:szCs w:val="18"/>
              </w:rPr>
            </w:pPr>
            <w:r>
              <w:rPr>
                <w:szCs w:val="18"/>
              </w:rPr>
              <w:t>0.5310</w:t>
            </w:r>
          </w:p>
        </w:tc>
      </w:tr>
      <w:tr w14:paraId="4340C1A4" w14:textId="77777777" w:rsidTr="009860E2">
        <w:tblPrEx>
          <w:tblW w:w="5002" w:type="pct"/>
          <w:tblLook w:val="04A0"/>
        </w:tblPrEx>
        <w:trPr>
          <w:trHeight w:val="300"/>
        </w:trPr>
        <w:tc>
          <w:tcPr>
            <w:tcW w:w="19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7548" w:rsidP="002F7548" w14:paraId="7136734C" w14:textId="6F10257A">
            <w:pPr>
              <w:pStyle w:val="LTableTextAbt"/>
            </w:pPr>
            <w:r>
              <w:rPr>
                <w:szCs w:val="18"/>
              </w:rPr>
              <w:t>Incremental c</w:t>
            </w:r>
            <w:r>
              <w:rPr>
                <w:szCs w:val="18"/>
              </w:rPr>
              <w:t>hange from no PPE to APF 50</w:t>
            </w:r>
          </w:p>
        </w:tc>
        <w:tc>
          <w:tcPr>
            <w:tcW w:w="772" w:type="pct"/>
            <w:tcBorders>
              <w:top w:val="single" w:sz="4" w:space="0" w:color="auto"/>
              <w:left w:val="nil"/>
              <w:bottom w:val="single" w:sz="4" w:space="0" w:color="auto"/>
              <w:right w:val="single" w:sz="4" w:space="0" w:color="auto"/>
            </w:tcBorders>
            <w:shd w:val="clear" w:color="auto" w:fill="EFAC35"/>
            <w:vAlign w:val="center"/>
          </w:tcPr>
          <w:p w:rsidR="002F7548" w:rsidP="002F7548" w14:paraId="50F22EB5" w14:textId="1AF985CF">
            <w:pPr>
              <w:pStyle w:val="RTableTextAbt"/>
              <w:rPr>
                <w:rFonts w:cs="Arial"/>
                <w:szCs w:val="18"/>
              </w:rPr>
            </w:pPr>
            <w:r>
              <w:rPr>
                <w:szCs w:val="18"/>
              </w:rPr>
              <w:t>0.3626</w:t>
            </w:r>
          </w:p>
        </w:tc>
        <w:tc>
          <w:tcPr>
            <w:tcW w:w="772" w:type="pct"/>
            <w:tcBorders>
              <w:top w:val="single" w:sz="4" w:space="0" w:color="auto"/>
              <w:left w:val="nil"/>
              <w:bottom w:val="single" w:sz="4" w:space="0" w:color="auto"/>
              <w:right w:val="single" w:sz="4" w:space="0" w:color="auto"/>
            </w:tcBorders>
            <w:shd w:val="clear" w:color="auto" w:fill="auto"/>
            <w:vAlign w:val="center"/>
          </w:tcPr>
          <w:p w:rsidR="002F7548" w:rsidP="002F7548" w14:paraId="75F6B895" w14:textId="38AB13FE">
            <w:pPr>
              <w:pStyle w:val="RTableTextAbt"/>
              <w:rPr>
                <w:rFonts w:cs="Arial"/>
                <w:szCs w:val="18"/>
              </w:rPr>
            </w:pPr>
            <w:r>
              <w:rPr>
                <w:szCs w:val="18"/>
              </w:rPr>
              <w:t>0.3528</w:t>
            </w:r>
          </w:p>
        </w:tc>
        <w:tc>
          <w:tcPr>
            <w:tcW w:w="772" w:type="pct"/>
            <w:tcBorders>
              <w:top w:val="single" w:sz="4" w:space="0" w:color="auto"/>
              <w:left w:val="nil"/>
              <w:bottom w:val="single" w:sz="4" w:space="0" w:color="auto"/>
              <w:right w:val="single" w:sz="4" w:space="0" w:color="auto"/>
            </w:tcBorders>
            <w:shd w:val="clear" w:color="auto" w:fill="auto"/>
            <w:vAlign w:val="center"/>
          </w:tcPr>
          <w:p w:rsidR="002F7548" w:rsidP="002F7548" w14:paraId="15141C60" w14:textId="162AC760">
            <w:pPr>
              <w:pStyle w:val="RTableTextAbt"/>
              <w:rPr>
                <w:rFonts w:cs="Arial"/>
                <w:szCs w:val="18"/>
              </w:rPr>
            </w:pPr>
            <w:r>
              <w:rPr>
                <w:szCs w:val="18"/>
              </w:rPr>
              <w:t>1.1760</w:t>
            </w:r>
          </w:p>
        </w:tc>
        <w:tc>
          <w:tcPr>
            <w:tcW w:w="771" w:type="pct"/>
            <w:tcBorders>
              <w:top w:val="single" w:sz="4" w:space="0" w:color="auto"/>
              <w:left w:val="nil"/>
              <w:bottom w:val="single" w:sz="4" w:space="0" w:color="auto"/>
              <w:right w:val="single" w:sz="4" w:space="0" w:color="auto"/>
            </w:tcBorders>
            <w:shd w:val="clear" w:color="auto" w:fill="auto"/>
            <w:vAlign w:val="center"/>
          </w:tcPr>
          <w:p w:rsidR="002F7548" w:rsidP="002F7548" w14:paraId="3F91463F" w14:textId="022F6806">
            <w:pPr>
              <w:pStyle w:val="RTableTextAbt"/>
              <w:rPr>
                <w:rFonts w:cs="Arial"/>
                <w:szCs w:val="18"/>
              </w:rPr>
            </w:pPr>
            <w:r>
              <w:rPr>
                <w:szCs w:val="18"/>
              </w:rPr>
              <w:t>0.5782</w:t>
            </w:r>
          </w:p>
        </w:tc>
      </w:tr>
      <w:tr w14:paraId="2E18D203" w14:textId="77777777" w:rsidTr="009860E2">
        <w:tblPrEx>
          <w:tblW w:w="5002" w:type="pct"/>
          <w:tblLook w:val="04A0"/>
        </w:tblPrEx>
        <w:trPr>
          <w:trHeight w:val="300"/>
        </w:trPr>
        <w:tc>
          <w:tcPr>
            <w:tcW w:w="19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F7548" w:rsidP="002F7548" w14:paraId="2F34A8F1" w14:textId="08CF6971">
            <w:pPr>
              <w:pStyle w:val="LTableTextAbt"/>
            </w:pPr>
            <w:r>
              <w:rPr>
                <w:szCs w:val="18"/>
              </w:rPr>
              <w:t>Incremental c</w:t>
            </w:r>
            <w:r>
              <w:rPr>
                <w:szCs w:val="18"/>
              </w:rPr>
              <w:t>hange from APF 10 to APF 50</w:t>
            </w:r>
          </w:p>
        </w:tc>
        <w:tc>
          <w:tcPr>
            <w:tcW w:w="772" w:type="pct"/>
            <w:tcBorders>
              <w:top w:val="single" w:sz="4" w:space="0" w:color="auto"/>
              <w:left w:val="nil"/>
              <w:bottom w:val="single" w:sz="4" w:space="0" w:color="auto"/>
              <w:right w:val="single" w:sz="4" w:space="0" w:color="auto"/>
            </w:tcBorders>
            <w:shd w:val="clear" w:color="auto" w:fill="EFAC35"/>
            <w:vAlign w:val="center"/>
          </w:tcPr>
          <w:p w:rsidR="002F7548" w:rsidP="002F7548" w14:paraId="1241F700" w14:textId="0AD123D3">
            <w:pPr>
              <w:pStyle w:val="RTableTextAbt"/>
              <w:rPr>
                <w:rFonts w:cs="Arial"/>
                <w:szCs w:val="18"/>
              </w:rPr>
            </w:pPr>
            <w:r>
              <w:rPr>
                <w:szCs w:val="18"/>
              </w:rPr>
              <w:t>0.0296</w:t>
            </w:r>
          </w:p>
        </w:tc>
        <w:tc>
          <w:tcPr>
            <w:tcW w:w="772" w:type="pct"/>
            <w:tcBorders>
              <w:top w:val="single" w:sz="4" w:space="0" w:color="auto"/>
              <w:left w:val="nil"/>
              <w:bottom w:val="single" w:sz="4" w:space="0" w:color="auto"/>
              <w:right w:val="single" w:sz="4" w:space="0" w:color="auto"/>
            </w:tcBorders>
            <w:shd w:val="clear" w:color="auto" w:fill="auto"/>
            <w:vAlign w:val="center"/>
          </w:tcPr>
          <w:p w:rsidR="002F7548" w:rsidP="002F7548" w14:paraId="07AD7F7D" w14:textId="7FDE6B7A">
            <w:pPr>
              <w:pStyle w:val="RTableTextAbt"/>
              <w:rPr>
                <w:rFonts w:cs="Arial"/>
                <w:szCs w:val="18"/>
              </w:rPr>
            </w:pPr>
            <w:r>
              <w:rPr>
                <w:szCs w:val="18"/>
              </w:rPr>
              <w:t>0.0288</w:t>
            </w:r>
          </w:p>
        </w:tc>
        <w:tc>
          <w:tcPr>
            <w:tcW w:w="772" w:type="pct"/>
            <w:tcBorders>
              <w:top w:val="single" w:sz="4" w:space="0" w:color="auto"/>
              <w:left w:val="nil"/>
              <w:bottom w:val="single" w:sz="4" w:space="0" w:color="auto"/>
              <w:right w:val="single" w:sz="4" w:space="0" w:color="auto"/>
            </w:tcBorders>
            <w:shd w:val="clear" w:color="auto" w:fill="auto"/>
            <w:vAlign w:val="center"/>
          </w:tcPr>
          <w:p w:rsidR="002F7548" w:rsidP="002F7548" w14:paraId="260092A3" w14:textId="12CE3730">
            <w:pPr>
              <w:pStyle w:val="RTableTextAbt"/>
              <w:rPr>
                <w:rFonts w:cs="Arial"/>
                <w:szCs w:val="18"/>
              </w:rPr>
            </w:pPr>
            <w:r>
              <w:rPr>
                <w:szCs w:val="18"/>
              </w:rPr>
              <w:t>0.0960</w:t>
            </w:r>
          </w:p>
        </w:tc>
        <w:tc>
          <w:tcPr>
            <w:tcW w:w="771" w:type="pct"/>
            <w:tcBorders>
              <w:top w:val="single" w:sz="4" w:space="0" w:color="auto"/>
              <w:left w:val="nil"/>
              <w:bottom w:val="single" w:sz="4" w:space="0" w:color="auto"/>
              <w:right w:val="single" w:sz="4" w:space="0" w:color="auto"/>
            </w:tcBorders>
            <w:shd w:val="clear" w:color="auto" w:fill="auto"/>
            <w:vAlign w:val="center"/>
          </w:tcPr>
          <w:p w:rsidR="002F7548" w:rsidP="002F7548" w14:paraId="7F0641D7" w14:textId="0C27D653">
            <w:pPr>
              <w:pStyle w:val="RTableTextAbt"/>
              <w:rPr>
                <w:rFonts w:cs="Arial"/>
                <w:szCs w:val="18"/>
              </w:rPr>
            </w:pPr>
            <w:r>
              <w:rPr>
                <w:szCs w:val="18"/>
              </w:rPr>
              <w:t>0.0472</w:t>
            </w:r>
          </w:p>
        </w:tc>
      </w:tr>
      <w:tr w14:paraId="591E137F" w14:textId="77777777" w:rsidTr="001A6B10">
        <w:tblPrEx>
          <w:tblW w:w="5002" w:type="pct"/>
          <w:tblLook w:val="04A0"/>
        </w:tblPrEx>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6B10" w:rsidP="001A6B10" w14:paraId="6DB52374" w14:textId="24C1DDFD">
            <w:pPr>
              <w:pStyle w:val="RTableTextAbt"/>
              <w:jc w:val="left"/>
              <w:rPr>
                <w:szCs w:val="18"/>
              </w:rPr>
            </w:pPr>
            <w:r>
              <w:t xml:space="preserve">Note The gold shaded cells are referenced below in </w:t>
            </w:r>
            <w:r>
              <w:fldChar w:fldCharType="begin" w:fldLock="1"/>
            </w:r>
            <w:r>
              <w:instrText xml:space="preserve"> REF _Ref181352920 \h </w:instrText>
            </w:r>
            <w:r>
              <w:fldChar w:fldCharType="separate"/>
            </w:r>
            <w:r w:rsidRPr="00A95A85" w:rsidR="00735BBC">
              <w:t xml:space="preserve">Figure </w:t>
            </w:r>
            <w:r w:rsidR="00735BBC">
              <w:rPr>
                <w:noProof/>
              </w:rPr>
              <w:t>5</w:t>
            </w:r>
            <w:r w:rsidRPr="00A95A85" w:rsidR="00735BBC">
              <w:noBreakHyphen/>
            </w:r>
            <w:r w:rsidR="00735BBC">
              <w:rPr>
                <w:noProof/>
              </w:rPr>
              <w:t>2</w:t>
            </w:r>
            <w:r>
              <w:fldChar w:fldCharType="end"/>
            </w:r>
            <w:r>
              <w:t>.</w:t>
            </w:r>
          </w:p>
        </w:tc>
      </w:tr>
    </w:tbl>
    <w:p w:rsidR="003159EE" w14:paraId="6F89CD7F" w14:textId="77777777"/>
    <w:p w:rsidR="003E0DFC" w:rsidRPr="003E0DFC" w:rsidP="00BD3D2B" w14:paraId="33938664" w14:textId="769621F0">
      <w:pPr>
        <w:pStyle w:val="Heading2"/>
        <w:rPr>
          <w:rStyle w:val="TableTextChar"/>
          <w:rFonts w:ascii="Arial" w:hAnsi="Arial" w:eastAsiaTheme="minorEastAsia"/>
        </w:rPr>
      </w:pPr>
      <w:bookmarkStart w:id="270" w:name="_Ref181360890"/>
      <w:bookmarkStart w:id="271" w:name="_Toc184299523"/>
      <w:r w:rsidRPr="003E0DFC">
        <w:rPr>
          <w:rStyle w:val="TableTextChar"/>
          <w:rFonts w:ascii="Arial" w:hAnsi="Arial" w:eastAsiaTheme="minorEastAsia"/>
        </w:rPr>
        <w:t>Available Studies to Support Benefits Analysis</w:t>
      </w:r>
      <w:bookmarkEnd w:id="270"/>
      <w:bookmarkEnd w:id="271"/>
    </w:p>
    <w:p w:rsidR="007D06C9" w:rsidP="007D06C9" w14:paraId="2F1EEDBA" w14:textId="60516872">
      <w:pPr>
        <w:pStyle w:val="BodyText"/>
        <w:keepNext/>
        <w:spacing w:after="240"/>
      </w:pPr>
      <w:r w:rsidRPr="5694B55F">
        <w:rPr>
          <w:lang w:val="en-US"/>
        </w:rPr>
        <w:t xml:space="preserve">In EPA’s Risk Evaluation, no acceptable inhalation studies were identified for PV29, therefore, human health hazards were assessed using carbon black as an analogue. Carbon black and PV29 are both respirable pigments and have similar physical and chemical properties. EPA reviewed the available toxicological data and identified a key subchronic inhalation toxicity study of carbon black in rodents, which was used in the Risk Evaluation to assess the inhalation toxicity of PV29 for chronic exposures and non-cancer endpoints </w:t>
      </w:r>
      <w:r w:rsidR="00925DA8">
        <w:rPr>
          <w:lang w:val="en-US"/>
        </w:rPr>
        <w:t>(</w:t>
      </w:r>
      <w:hyperlink w:anchor="_ENREF_16" w:tooltip="Elder, 2005 #16" w:history="1">
        <w:r w:rsidR="003D6084">
          <w:rPr>
            <w:lang w:val="en-US"/>
          </w:rPr>
          <w:fldChar w:fldCharType="begin" w:fldLock="1">
            <w:fldData xml:space="preserve">PEVuZE5vdGU+PENpdGU+PEF1dGhvcj5FbGRlcjwvQXV0aG9yPjxZZWFyPjIwMDU8L1llYXI+PFJl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</w:fldData>
          </w:fldChar>
        </w:r>
        <w:r w:rsidR="003D6084">
          <w:rPr>
            <w:lang w:val="en-US"/>
          </w:rPr>
          <w:instrText xml:space="preserve"> ADDIN EN.CITE </w:instrText>
        </w:r>
        <w:r w:rsidR="003D6084">
          <w:rPr>
            <w:lang w:val="en-US"/>
          </w:rPr>
          <w:fldChar w:fldCharType="begin" w:fldLock="1">
            <w:fldData xml:space="preserve">PEVuZE5vdGU+PENpdGU+PEF1dGhvcj5FbGRlcjwvQXV0aG9yPjxZZWFyPjIwMDU8L1llYXI+PFJl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</w:fldData>
          </w:fldChar>
        </w:r>
        <w:r w:rsidR="003D6084">
          <w:rPr>
            <w:lang w:val="en-US"/>
          </w:rPr>
          <w:instrText xml:space="preserve"> ADDIN EN.CITE.DATA </w:instrText>
        </w:r>
        <w:r w:rsidR="003D6084">
          <w:rPr>
            <w:lang w:val="en-US"/>
          </w:rPr>
          <w:fldChar w:fldCharType="separate"/>
        </w:r>
        <w:r w:rsidR="003D6084">
          <w:rPr>
            <w:lang w:val="en-US"/>
          </w:rPr>
          <w:fldChar w:fldCharType="end"/>
        </w:r>
        <w:r w:rsidR="003D6084">
          <w:rPr>
            <w:lang w:val="en-US"/>
          </w:rPr>
          <w:fldChar w:fldCharType="separate"/>
        </w:r>
        <w:r w:rsidR="003D6084">
          <w:rPr>
            <w:noProof/>
            <w:lang w:val="en-US"/>
          </w:rPr>
          <w:t>Elder, Gelein et al. 2005</w:t>
        </w:r>
        <w:r w:rsidR="003D6084">
          <w:rPr>
            <w:lang w:val="en-US"/>
          </w:rPr>
          <w:fldChar w:fldCharType="end"/>
        </w:r>
      </w:hyperlink>
      <w:r w:rsidR="00925DA8">
        <w:rPr>
          <w:lang w:val="en-US"/>
        </w:rPr>
        <w:t>)</w:t>
      </w:r>
      <w:r w:rsidRPr="5694B55F">
        <w:rPr>
          <w:lang w:val="en-US"/>
        </w:rPr>
        <w:t xml:space="preserve">. </w:t>
      </w:r>
    </w:p>
    <w:p w:rsidR="007D06C9" w:rsidRPr="005617C4" w:rsidP="007D06C9" w14:paraId="5092C5AC" w14:textId="38510837">
      <w:pPr>
        <w:pStyle w:val="BodyText"/>
        <w:keepNext/>
        <w:spacing w:after="240"/>
      </w:pPr>
      <w:r>
        <w:rPr>
          <w:lang w:val="en-US"/>
        </w:rPr>
        <w:t>For EPA’s Risk Evaluation, t</w:t>
      </w:r>
      <w:r w:rsidRPr="5694B55F">
        <w:rPr>
          <w:lang w:val="en-US"/>
        </w:rPr>
        <w:t xml:space="preserve">he </w:t>
      </w:r>
      <w:hyperlink w:anchor="_ENREF_16" w:tooltip="Elder, 2005 #16" w:history="1">
        <w:r w:rsidR="003D6084">
          <w:rPr>
            <w:lang w:val="en-US"/>
          </w:rPr>
          <w:fldChar w:fldCharType="begin" w:fldLock="1">
            <w:fldData xml:space="preserve">PEVuZE5vdGU+PENpdGUgQXV0aG9yWWVhcj0iMSI+PEF1dGhvcj5FbGRlcjwvQXV0aG9yPjxZZWFy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</w:fldData>
          </w:fldChar>
        </w:r>
        <w:r w:rsidR="003D6084">
          <w:rPr>
            <w:lang w:val="en-US"/>
          </w:rPr>
          <w:instrText xml:space="preserve"> ADDIN EN.CITE </w:instrText>
        </w:r>
        <w:r w:rsidR="003D6084">
          <w:rPr>
            <w:lang w:val="en-US"/>
          </w:rPr>
          <w:fldChar w:fldCharType="begin" w:fldLock="1">
            <w:fldData xml:space="preserve">PEVuZE5vdGU+PENpdGUgQXV0aG9yWWVhcj0iMSI+PEF1dGhvcj5FbGRlcjwvQXV0aG9yPjxZZWFy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</w:fldData>
          </w:fldChar>
        </w:r>
        <w:r w:rsidR="003D6084">
          <w:rPr>
            <w:lang w:val="en-US"/>
          </w:rPr>
          <w:instrText xml:space="preserve"> ADDIN EN.CITE.DATA </w:instrText>
        </w:r>
        <w:r w:rsidR="003D6084">
          <w:rPr>
            <w:lang w:val="en-US"/>
          </w:rPr>
          <w:fldChar w:fldCharType="separate"/>
        </w:r>
        <w:r w:rsidR="003D6084">
          <w:rPr>
            <w:lang w:val="en-US"/>
          </w:rPr>
          <w:fldChar w:fldCharType="end"/>
        </w:r>
        <w:r w:rsidR="003D6084">
          <w:rPr>
            <w:lang w:val="en-US"/>
          </w:rPr>
          <w:fldChar w:fldCharType="separate"/>
        </w:r>
        <w:r w:rsidR="003D6084">
          <w:rPr>
            <w:noProof/>
            <w:lang w:val="en-US"/>
          </w:rPr>
          <w:t>Elder, Gelein et al. (2005)</w:t>
        </w:r>
        <w:r w:rsidR="003D6084">
          <w:rPr>
            <w:lang w:val="en-US"/>
          </w:rPr>
          <w:fldChar w:fldCharType="end"/>
        </w:r>
      </w:hyperlink>
      <w:r w:rsidR="003C5103">
        <w:rPr>
          <w:lang w:val="en-US"/>
        </w:rPr>
        <w:t xml:space="preserve"> </w:t>
      </w:r>
      <w:r w:rsidRPr="5694B55F">
        <w:rPr>
          <w:lang w:val="en-US"/>
        </w:rPr>
        <w:t xml:space="preserve">study supplied a </w:t>
      </w:r>
      <w:r w:rsidRPr="5694B55F">
        <w:rPr>
          <w:i/>
          <w:lang w:val="en-US"/>
        </w:rPr>
        <w:t>no observed adverse effect concentration</w:t>
      </w:r>
      <w:r w:rsidRPr="5694B55F">
        <w:rPr>
          <w:lang w:val="en-US"/>
        </w:rPr>
        <w:t xml:space="preserve"> (NOAEC) that was used as a point of departure (POD) for deriving the human equivalent concentration (HEC) for carbon black. This HEC was compared to occupational PV29 exposures to calculate margins of exposure (MOEs) in a variety of occupational use scenarios. Furthermore, Elder et al. measured physiological respiratory changes including increased lung burden, alveolar hyperplasia, inflammatory and morphological changes in the lower respiratory tract, which are generally not conducive to a benefits analysis. </w:t>
      </w:r>
    </w:p>
    <w:p w:rsidR="007D06C9" w:rsidP="007D06C9" w14:paraId="29B644CE" w14:textId="77777777">
      <w:pPr>
        <w:pStyle w:val="BodyText"/>
        <w:rPr>
          <w:lang w:val="en-US"/>
        </w:rPr>
      </w:pPr>
      <w:r w:rsidRPr="5694B55F">
        <w:rPr>
          <w:lang w:val="en-US"/>
        </w:rPr>
        <w:t xml:space="preserve">As such, </w:t>
      </w:r>
      <w:r>
        <w:rPr>
          <w:lang w:val="en-US"/>
        </w:rPr>
        <w:t xml:space="preserve">for this benefits analysis, </w:t>
      </w:r>
      <w:r w:rsidRPr="5694B55F">
        <w:rPr>
          <w:lang w:val="en-US"/>
        </w:rPr>
        <w:t>EPA identified additional epidemiologic studies on carbon black exposures, and relevant physiological and histopathological changes in the respiratory system that may support the choice of endpoint for benefits analysis. Based on EPA’s determination that the chemical is not likely carcinogenic (see the Risk Evaluation), studies on carbon black and cancer were excluded from the review. This yielded three occupational epidemiologic studies that are potentially relevant for benefits analysis.</w:t>
      </w:r>
    </w:p>
    <w:p w:rsidR="007D06C9" w:rsidRPr="00CA0C91" w:rsidP="007D06C9" w14:paraId="507A6D33" w14:textId="77777777">
      <w:pPr>
        <w:pStyle w:val="Heading3"/>
      </w:pPr>
      <w:r>
        <w:t>Harber et al. (2003)</w:t>
      </w:r>
    </w:p>
    <w:p w:rsidR="007D06C9" w:rsidP="007D06C9" w14:paraId="03BC199E" w14:textId="17539B1E">
      <w:pPr>
        <w:pStyle w:val="BodyText"/>
        <w:spacing w:after="100" w:afterAutospacing="1"/>
      </w:pPr>
      <w:hyperlink w:anchor="_ENREF_25" w:tooltip="Harber, 2003 #25" w:history="1">
        <w:r w:rsidRPr="00FD1B0D" w:rsidR="003D6084">
          <w:fldChar w:fldCharType="begin" w:fldLock="1"/>
        </w:r>
        <w:r w:rsidR="003D6084">
          <w:instrText xml:space="preserve"> ADDIN EN.CITE &lt;EndNote&gt;&lt;Cite AuthorYear="1"&gt;&lt;Author&gt;Harber&lt;/Author&gt;&lt;Year&gt;2003&lt;/Year&gt;&lt;RecNum&gt;25&lt;/RecNum&gt;&lt;DisplayText&gt;Harber, Muranko et al. (2003)&lt;/DisplayText&gt;&lt;record&gt;&lt;rec-number&gt;25&lt;/rec-number&gt;&lt;foreign-keys&gt;&lt;key app="EN" db-id="2apzr05radv9fjet2w6xxwdlz5e9vwfxredw" timestamp="1730757315"&gt;25&lt;/key&gt;&lt;/foreign-keys&gt;&lt;ref-type name="Journal Article"&gt;17&lt;/ref-type&gt;&lt;contributors&gt;&lt;authors&gt;&lt;author&gt;Harber, P.&lt;/author&gt;&lt;author&gt;Muranko, H.&lt;/author&gt;&lt;author&gt;Solis, S.&lt;/author&gt;&lt;author&gt;Torossian, A.&lt;/author&gt;&lt;author&gt;Merz, B.&lt;/author&gt;&lt;/authors&gt;&lt;/contributors&gt;&lt;auth-address&gt;Division of Occupational &amp;amp; Environmental Medicine, Department of Family Medicine, University of California, Los Angeles, 10940 Wilshire Blvd, Ste #1220, Los Angeles, CA 90024, USA. pHarber@mednet.ucla.edu&lt;/auth-address&gt;&lt;titles&gt;&lt;title&gt;Effect of carbon black exposure on respiratory function and symptoms&lt;/title&gt;&lt;secondary-title&gt;J Occup Environ Med&lt;/secondary-title&gt;&lt;/titles&gt;&lt;periodical&gt;&lt;full-title&gt;J Occup Environ Med&lt;/full-title&gt;&lt;/periodical&gt;&lt;pages&gt;144-55&lt;/pages&gt;&lt;volume&gt;45&lt;/volume&gt;&lt;number&gt;2&lt;/number&gt;&lt;keywords&gt;&lt;keyword&gt;Adult&lt;/keyword&gt;&lt;keyword&gt;Bronchitis/etiology&lt;/keyword&gt;&lt;keyword&gt;Carbon/*adverse effects&lt;/keyword&gt;&lt;keyword&gt;Dust&lt;/keyword&gt;&lt;keyword&gt;Female&lt;/keyword&gt;&lt;keyword&gt;Health Surveys&lt;/keyword&gt;&lt;keyword&gt;Humans&lt;/keyword&gt;&lt;keyword&gt;Industry&lt;/keyword&gt;&lt;keyword&gt;*Inhalation Exposure&lt;/keyword&gt;&lt;keyword&gt;Job Description&lt;/keyword&gt;&lt;keyword&gt;Lung Diseases/*etiology&lt;/keyword&gt;&lt;keyword&gt;Male&lt;/keyword&gt;&lt;keyword&gt;Middle Aged&lt;/keyword&gt;&lt;keyword&gt;*Occupational Exposure&lt;/keyword&gt;&lt;keyword&gt;Respiratory Function Tests&lt;/keyword&gt;&lt;keyword&gt;Smoking/adverse effects&lt;/keyword&gt;&lt;keyword&gt;Workplace&lt;/keyword&gt;&lt;/keywords&gt;&lt;dates&gt;&lt;year&gt;2003&lt;/year&gt;&lt;pub-dates&gt;&lt;date&gt;Feb&lt;/date&gt;&lt;/pub-dates&gt;&lt;/dates&gt;&lt;isbn&gt;1076-2752 (Print)&amp;#xD;1076-2752&lt;/isbn&gt;&lt;accession-num&gt;12625230&lt;/accession-num&gt;&lt;urls&gt;&lt;/urls&gt;&lt;electronic-resource-num&gt;10.1097/01.jom.0000052955.59271.66&lt;/electronic-resource-num&gt;&lt;remote-database-provider&gt;NLM&lt;/remote-database-provider&gt;&lt;language&gt;eng&lt;/language&gt;&lt;/record&gt;&lt;/Cite&gt;&lt;/EndNote&gt;</w:instrText>
        </w:r>
        <w:r w:rsidRPr="00FD1B0D" w:rsidR="003D6084">
          <w:fldChar w:fldCharType="separate"/>
        </w:r>
        <w:r w:rsidRPr="00FD1B0D" w:rsidR="003D6084">
          <w:rPr>
            <w:noProof/>
          </w:rPr>
          <w:t>Harber, Muranko et al. (2003)</w:t>
        </w:r>
        <w:r w:rsidRPr="00FD1B0D" w:rsidR="003D6084">
          <w:fldChar w:fldCharType="end"/>
        </w:r>
      </w:hyperlink>
      <w:r w:rsidRPr="00FD1B0D">
        <w:t xml:space="preserve"> reported</w:t>
      </w:r>
      <w:r w:rsidRPr="00866BD1">
        <w:t xml:space="preserve"> the effects of c</w:t>
      </w:r>
      <w:r>
        <w:t xml:space="preserve">arbon black exposure in 1,755 male workers from 22 North American plants. Exposures measured were recent </w:t>
      </w:r>
      <w:r w:rsidRPr="00C777F1">
        <w:t>(mg/m</w:t>
      </w:r>
      <w:r>
        <w:rPr>
          <w:vertAlign w:val="superscript"/>
        </w:rPr>
        <w:t>3</w:t>
      </w:r>
      <w:r w:rsidRPr="00C777F1">
        <w:t>)</w:t>
      </w:r>
      <w:r>
        <w:t xml:space="preserve"> and cumulative </w:t>
      </w:r>
      <w:r w:rsidRPr="00C777F1">
        <w:t>(mg-year/m</w:t>
      </w:r>
      <w:r>
        <w:rPr>
          <w:vertAlign w:val="superscript"/>
        </w:rPr>
        <w:t>3</w:t>
      </w:r>
      <w:r>
        <w:t>) respirable, inhalable, and total carbon black dust. Health endpoints included measures of lung function from spirometry (forced expiratory volume in 1 second (FEV</w:t>
      </w:r>
      <w:r w:rsidRPr="00BA4FDC">
        <w:rPr>
          <w:vertAlign w:val="subscript"/>
        </w:rPr>
        <w:t>1</w:t>
      </w:r>
      <w:r>
        <w:t xml:space="preserve">), </w:t>
      </w:r>
      <w:r w:rsidRPr="00F75F41">
        <w:t>forced vital capacity (FVC)</w:t>
      </w:r>
      <w:r>
        <w:t xml:space="preserve">, </w:t>
      </w:r>
      <w:r w:rsidRPr="00F75F41">
        <w:t>forced expiratory flow</w:t>
      </w:r>
      <w:r>
        <w:t xml:space="preserve"> (FEF</w:t>
      </w:r>
      <w:r w:rsidRPr="0025471C">
        <w:rPr>
          <w:vertAlign w:val="subscript"/>
        </w:rPr>
        <w:t>25-75%</w:t>
      </w:r>
      <w:r>
        <w:t xml:space="preserve">)) and a medical questionnaire for respiratory symptoms (chronic bronchitis, chronic sputum, dyspnea). </w:t>
      </w:r>
      <w:r w:rsidRPr="00466EB4">
        <w:t xml:space="preserve">A </w:t>
      </w:r>
      <w:r>
        <w:t>“</w:t>
      </w:r>
      <w:r w:rsidRPr="00466EB4">
        <w:t>triangulation approach</w:t>
      </w:r>
      <w:r>
        <w:t>”</w:t>
      </w:r>
      <w:r w:rsidRPr="00466EB4">
        <w:t xml:space="preserve"> was used to estimate cumulative exposures. The approach combined air level measurements from industry-wide air sampling surveys, a questionnaire assessing changes in production and exposure control technologies, and a scoring instrument used to rate relative exposures over time. These three methods were combined and linked to a job exposure matrix spanning four decades (1960</w:t>
      </w:r>
      <w:r>
        <w:t xml:space="preserve"> to </w:t>
      </w:r>
      <w:r w:rsidRPr="00466EB4">
        <w:t xml:space="preserve">2000). Job histories were then linked to the job exposure matrix to estimate cumulative exposures for each worker. Recent exposure used only the most recent air sampling survey results collected in 2000 combined with job title and plant information. </w:t>
      </w:r>
    </w:p>
    <w:p w:rsidR="007D06C9" w:rsidP="007D06C9" w14:paraId="622F7EF0" w14:textId="77777777">
      <w:pPr>
        <w:pStyle w:val="BodyText"/>
        <w:spacing w:after="240" w:afterAutospacing="1"/>
        <w:rPr>
          <w:lang w:val="en-US"/>
        </w:rPr>
      </w:pPr>
      <w:r w:rsidRPr="5694B55F">
        <w:rPr>
          <w:lang w:val="en-US"/>
        </w:rPr>
        <w:t>Lung function analyses used multiple linear regression with continuous exposure variables. Analysis of symptoms obtained from questionnaires (e.g., chronic bronchitis) used categorical exposure (split into pentiles). Harber et al. observed significant exposure-response relationships between cumulative exposures to high carbon black levels, small reductions in FEV</w:t>
      </w:r>
      <w:r w:rsidRPr="5694B55F">
        <w:rPr>
          <w:vertAlign w:val="subscript"/>
          <w:lang w:val="en-US"/>
        </w:rPr>
        <w:t>1</w:t>
      </w:r>
      <w:r w:rsidRPr="5694B55F">
        <w:rPr>
          <w:lang w:val="en-US"/>
        </w:rPr>
        <w:t>, and small increases in chronic bronchitis. For analysis of respiratory symptoms, workers were grouped in pentiles according to exposure; statistically significant relationships were only observed in non-smokers in the two highest pentiles compared to the lowest pentile. No significant associations were observed between recent exposure and respiratory effects, and no threshold effect was reported.</w:t>
      </w:r>
      <w:r w:rsidRPr="15C04735">
        <w:rPr>
          <w:lang w:val="en-US"/>
        </w:rPr>
        <w:t xml:space="preserve"> </w:t>
      </w:r>
    </w:p>
    <w:p w:rsidR="007D06C9" w:rsidP="007D06C9" w14:paraId="5325B466" w14:textId="77777777">
      <w:pPr>
        <w:pStyle w:val="Heading3"/>
      </w:pPr>
      <w:r>
        <w:t>Gardiner et al. (2001)</w:t>
      </w:r>
    </w:p>
    <w:p w:rsidR="007D06C9" w:rsidP="007D06C9" w14:paraId="68868684" w14:textId="75ACD33F">
      <w:pPr>
        <w:pStyle w:val="BodyText"/>
        <w:spacing w:after="240" w:afterAutospacing="1"/>
        <w:rPr>
          <w:lang w:val="en-US"/>
        </w:rPr>
      </w:pPr>
      <w:hyperlink w:anchor="_ENREF_21" w:tooltip="Gardiner, 2001 #21" w:history="1">
        <w:r w:rsidR="003D6084">
          <w:fldChar w:fldCharType="begin" w:fldLock="1">
            <w:fldData xml:space="preserve">PEVuZE5vdGU+PENpdGUgQXV0aG9yWWVhcj0iMSI+PEF1dGhvcj5HYXJkaW5lcjwvQXV0aG9yPjxZ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</w:fldData>
          </w:fldChar>
        </w:r>
        <w:r w:rsidR="003D6084">
          <w:instrText xml:space="preserve"> ADDIN EN.CITE </w:instrText>
        </w:r>
        <w:r w:rsidR="003D6084">
          <w:fldChar w:fldCharType="begin" w:fldLock="1">
            <w:fldData xml:space="preserve">PEVuZE5vdGU+PENpdGUgQXV0aG9yWWVhcj0iMSI+PEF1dGhvcj5HYXJkaW5lcjwvQXV0aG9yPjxZ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</w:fldData>
          </w:fldChar>
        </w:r>
        <w:r w:rsidR="003D6084">
          <w:instrText xml:space="preserve"> ADDIN EN.CITE.DATA </w:instrText>
        </w:r>
        <w:r w:rsidR="003D6084">
          <w:fldChar w:fldCharType="separate"/>
        </w:r>
        <w:r w:rsidR="003D6084">
          <w:fldChar w:fldCharType="end"/>
        </w:r>
        <w:r w:rsidR="003D6084">
          <w:fldChar w:fldCharType="separate"/>
        </w:r>
        <w:r w:rsidR="003D6084">
          <w:rPr>
            <w:noProof/>
          </w:rPr>
          <w:t>Gardiner, van Tongeren et al. (2001)</w:t>
        </w:r>
        <w:r w:rsidR="003D6084">
          <w:fldChar w:fldCharType="end"/>
        </w:r>
      </w:hyperlink>
      <w:r w:rsidR="00A45E14">
        <w:t xml:space="preserve"> </w:t>
      </w:r>
      <w:r>
        <w:t>measured respiratory health effects from inhalable carbon black dust in 3,518 male workers in a multi-phase study with manufacturing facilities across Europe. This study reports the results from two phases of exposure data collection: Phase 2 from 1991-2 and Phase 3 from 1994-5. Results from Phase 1 of data collection, from 1987-9, were found to be less reliable and are not reported (</w:t>
      </w:r>
      <w:hyperlink w:anchor="_ENREF_20" w:tooltip="Gardiner, 1992 #20" w:history="1">
        <w:r w:rsidR="003D6084">
          <w:fldChar w:fldCharType="begin" w:fldLock="1"/>
        </w:r>
        <w:r w:rsidR="003D6084">
          <w:instrText xml:space="preserve"> ADDIN EN.CITE &lt;EndNote&gt;&lt;Cite&gt;&lt;Author&gt;Gardiner&lt;/Author&gt;&lt;Year&gt;1992&lt;/Year&gt;&lt;RecNum&gt;20&lt;/RecNum&gt;&lt;DisplayText&gt;Gardiner, Trethowan et al. 1992&lt;/DisplayText&gt;&lt;record&gt;&lt;rec-number&gt;20&lt;/rec-number&gt;&lt;foreign-keys&gt;&lt;key app="EN" db-id="2apzr05radv9fjet2w6xxwdlz5e9vwfxredw" timestamp="1730757315"&gt;20&lt;/key&gt;&lt;/foreign-keys&gt;&lt;ref-type name="Journal Article"&gt;17&lt;/ref-type&gt;&lt;contributors&gt;&lt;authors&gt;&lt;author&gt;Gardiner, K.&lt;/author&gt;&lt;author&gt;Trethowan, W. N.&lt;/author&gt;&lt;author&gt;Harrington, J. M.&lt;/author&gt;&lt;author&gt;Calvert, I. A.&lt;/author&gt;&lt;author&gt;Glass, D. C.&lt;/author&gt;&lt;/authors&gt;&lt;/contributors&gt;&lt;auth-address&gt;Institute of Occupational Health, University of Birmingham, Edgbaston, U.K.&lt;/auth-address&gt;&lt;titles&gt;&lt;title&gt;Occupational exposure to carbon black in its manufacture&lt;/title&gt;&lt;secondary-title&gt;Ann Occup Hyg&lt;/secondary-title&gt;&lt;/titles&gt;&lt;periodical&gt;&lt;full-title&gt;Ann Occup Hyg&lt;/full-title&gt;&lt;/periodical&gt;&lt;pages&gt;477-96&lt;/pages&gt;&lt;volume&gt;36&lt;/volume&gt;&lt;number&gt;5&lt;/number&gt;&lt;keywords&gt;&lt;keyword&gt;Carbon/*adverse effects&lt;/keyword&gt;&lt;keyword&gt;Europe&lt;/keyword&gt;&lt;keyword&gt;Humans&lt;/keyword&gt;&lt;keyword&gt;*Occupational Exposure/standards&lt;/keyword&gt;&lt;keyword&gt;*Occupational Health&lt;/keyword&gt;&lt;keyword&gt;*Occupations&lt;/keyword&gt;&lt;keyword&gt;Research&lt;/keyword&gt;&lt;/keywords&gt;&lt;dates&gt;&lt;year&gt;1992&lt;/year&gt;&lt;pub-dates&gt;&lt;date&gt;Oct&lt;/date&gt;&lt;/pub-dates&gt;&lt;/dates&gt;&lt;isbn&gt;0003-4878 (Print)&amp;#xD;0003-4878&lt;/isbn&gt;&lt;accession-num&gt;1444068&lt;/accession-num&gt;&lt;urls&gt;&lt;/urls&gt;&lt;electronic-resource-num&gt;10.1093/annhyg/36.5.477&lt;/electronic-resource-num&gt;&lt;remote-database-provider&gt;NLM&lt;/remote-database-provider&gt;&lt;language&gt;eng&lt;/language&gt;&lt;/record&gt;&lt;/Cite&gt;&lt;/EndNote&gt;</w:instrText>
        </w:r>
        <w:r w:rsidR="003D6084">
          <w:fldChar w:fldCharType="separate"/>
        </w:r>
        <w:r w:rsidR="003D6084">
          <w:rPr>
            <w:noProof/>
          </w:rPr>
          <w:t>Gardiner, Trethowan et al. 1992</w:t>
        </w:r>
        <w:r w:rsidR="003D6084">
          <w:fldChar w:fldCharType="end"/>
        </w:r>
      </w:hyperlink>
      <w:r>
        <w:t xml:space="preserve">). The authors measured </w:t>
      </w:r>
      <w:r w:rsidRPr="006A3FF3">
        <w:t>current exposure (mg/m</w:t>
      </w:r>
      <w:r w:rsidRPr="006A3FF3">
        <w:rPr>
          <w:vertAlign w:val="superscript"/>
        </w:rPr>
        <w:t>3</w:t>
      </w:r>
      <w:r w:rsidRPr="006A3FF3">
        <w:t>) in addition to cumulative (mg-month/m</w:t>
      </w:r>
      <w:r w:rsidRPr="006A3FF3">
        <w:rPr>
          <w:vertAlign w:val="superscript"/>
        </w:rPr>
        <w:t>3</w:t>
      </w:r>
      <w:r w:rsidRPr="006A3FF3">
        <w:t>) exposure</w:t>
      </w:r>
      <w:r>
        <w:t>, and</w:t>
      </w:r>
      <w:r w:rsidRPr="006A3FF3">
        <w:t xml:space="preserve"> </w:t>
      </w:r>
      <w:r>
        <w:t>health endpoints included lung function from spirometry (FEV</w:t>
      </w:r>
      <w:r w:rsidRPr="00BA4FDC">
        <w:rPr>
          <w:vertAlign w:val="subscript"/>
        </w:rPr>
        <w:t>1</w:t>
      </w:r>
      <w:r>
        <w:t>,</w:t>
      </w:r>
      <w:r w:rsidRPr="00F75F41">
        <w:t xml:space="preserve"> FVC</w:t>
      </w:r>
      <w:r>
        <w:t>, FEF</w:t>
      </w:r>
      <w:r w:rsidRPr="0025471C">
        <w:rPr>
          <w:vertAlign w:val="subscript"/>
        </w:rPr>
        <w:t>25-75%</w:t>
      </w:r>
      <w:r>
        <w:t xml:space="preserve">, </w:t>
      </w:r>
      <w:r w:rsidRPr="00AF14C6">
        <w:t>FEV</w:t>
      </w:r>
      <w:r w:rsidRPr="00AF14C6">
        <w:rPr>
          <w:vertAlign w:val="subscript"/>
        </w:rPr>
        <w:t>1</w:t>
      </w:r>
      <w:r w:rsidRPr="00AF14C6">
        <w:t>/FVC</w:t>
      </w:r>
      <w:r>
        <w:t xml:space="preserve">) and self-reported respiratory symptoms (cough, sputum production, cough with sputum production, chronic bronchitis). Current exposures were estimated for each worker according to the mean exposure for the factory and for their job category (e.g., process operator, laboratory assistant). Cumulative exposures were calculated for each worker by combining job histories with mean exposures for the factory and job category. </w:t>
      </w:r>
    </w:p>
    <w:p w:rsidR="007D06C9" w:rsidP="007D06C9" w14:paraId="0BE37183" w14:textId="2ECC8F3E">
      <w:pPr>
        <w:pStyle w:val="BodyText"/>
        <w:spacing w:after="240"/>
        <w:rPr>
          <w:lang w:val="en-US"/>
        </w:rPr>
      </w:pPr>
      <w:hyperlink w:anchor="_ENREF_21" w:tooltip="Gardiner, 2001 #21" w:history="1">
        <w:r w:rsidR="003D6084">
          <w:fldChar w:fldCharType="begin" w:fldLock="1">
            <w:fldData xml:space="preserve">PEVuZE5vdGU+PENpdGUgQXV0aG9yWWVhcj0iMSI+PEF1dGhvcj5HYXJkaW5lcjwvQXV0aG9yPjxZ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</w:fldData>
          </w:fldChar>
        </w:r>
        <w:r w:rsidR="003D6084">
          <w:instrText xml:space="preserve"> ADDIN EN.CITE </w:instrText>
        </w:r>
        <w:r w:rsidR="003D6084">
          <w:fldChar w:fldCharType="begin" w:fldLock="1">
            <w:fldData xml:space="preserve">PEVuZE5vdGU+PENpdGUgQXV0aG9yWWVhcj0iMSI+PEF1dGhvcj5HYXJkaW5lcjwvQXV0aG9yPjxZ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</w:fldData>
          </w:fldChar>
        </w:r>
        <w:r w:rsidR="003D6084">
          <w:instrText xml:space="preserve"> ADDIN EN.CITE.DATA </w:instrText>
        </w:r>
        <w:r w:rsidR="003D6084">
          <w:fldChar w:fldCharType="separate"/>
        </w:r>
        <w:r w:rsidR="003D6084">
          <w:fldChar w:fldCharType="end"/>
        </w:r>
        <w:r w:rsidR="003D6084">
          <w:fldChar w:fldCharType="separate"/>
        </w:r>
        <w:r w:rsidR="003D6084">
          <w:rPr>
            <w:noProof/>
          </w:rPr>
          <w:t>Gardiner, van Tongeren et al. (2001)</w:t>
        </w:r>
        <w:r w:rsidR="003D6084">
          <w:fldChar w:fldCharType="end"/>
        </w:r>
      </w:hyperlink>
      <w:r w:rsidR="002D2769">
        <w:t xml:space="preserve"> </w:t>
      </w:r>
      <w:r w:rsidRPr="5694B55F">
        <w:rPr>
          <w:lang w:val="en-US"/>
        </w:rPr>
        <w:t>used multiple linear regression with continuous exposure variables for lung function endpoints. Analysis of symptoms obtained from questionnaires (e.g., chronic bronchitis) used logistic regression and continuous exposure variables. Significant exposure-response relationships were observed between carbon black exposure and all respiratory symptoms in at least one phase (Phase 2 or Phase 3) for both current and cumulative dust exposures. Consistently significant relationships were also observed across both phases for current and cumulative carbon black exposures and FEV</w:t>
      </w:r>
      <w:r w:rsidRPr="5694B55F">
        <w:rPr>
          <w:vertAlign w:val="subscript"/>
          <w:lang w:val="en-US"/>
        </w:rPr>
        <w:t>1</w:t>
      </w:r>
      <w:r w:rsidRPr="5694B55F">
        <w:rPr>
          <w:lang w:val="en-US"/>
        </w:rPr>
        <w:t>, FEF</w:t>
      </w:r>
      <w:r w:rsidRPr="5694B55F">
        <w:rPr>
          <w:vertAlign w:val="subscript"/>
          <w:lang w:val="en-US"/>
        </w:rPr>
        <w:t>25-75%</w:t>
      </w:r>
      <w:r w:rsidRPr="5694B55F">
        <w:rPr>
          <w:lang w:val="en-US"/>
        </w:rPr>
        <w:t>, FEV</w:t>
      </w:r>
      <w:r w:rsidRPr="5694B55F">
        <w:rPr>
          <w:vertAlign w:val="subscript"/>
          <w:lang w:val="en-US"/>
        </w:rPr>
        <w:t>1</w:t>
      </w:r>
      <w:r w:rsidRPr="5694B55F">
        <w:rPr>
          <w:lang w:val="en-US"/>
        </w:rPr>
        <w:t xml:space="preserve">/FVC, but not FVC. No threshold effect was reported. </w:t>
      </w:r>
    </w:p>
    <w:p w:rsidR="007D06C9" w:rsidP="007D06C9" w14:paraId="2F867639" w14:textId="77777777">
      <w:pPr>
        <w:pStyle w:val="Heading3"/>
      </w:pPr>
      <w:r>
        <w:t>Neghab et al. (2011)</w:t>
      </w:r>
    </w:p>
    <w:p w:rsidR="007D06C9" w:rsidP="007D06C9" w14:paraId="5472350F" w14:textId="3111CEEF">
      <w:pPr>
        <w:pStyle w:val="BodyText"/>
        <w:spacing w:after="240"/>
      </w:pPr>
      <w:hyperlink w:anchor="_ENREF_33" w:tooltip="Neghab, 2011 #33" w:history="1">
        <w:r w:rsidR="003D6084">
          <w:rPr>
            <w:lang w:val="en-US"/>
          </w:rPr>
          <w:fldChar w:fldCharType="begin" w:fldLock="1"/>
        </w:r>
        <w:r w:rsidR="003D6084">
          <w:rPr>
            <w:lang w:val="en-US"/>
          </w:rPr>
          <w:instrText xml:space="preserve"> ADDIN EN.CITE &lt;EndNote&gt;&lt;Cite AuthorYear="1"&gt;&lt;Author&gt;Neghab&lt;/Author&gt;&lt;Year&gt;2011&lt;/Year&gt;&lt;RecNum&gt;33&lt;/RecNum&gt;&lt;DisplayText&gt;Neghab, Mohraz et al. (2011)&lt;/DisplayText&gt;&lt;record&gt;&lt;rec-number&gt;33&lt;/rec-number&gt;&lt;foreign-keys&gt;&lt;key app="EN" db-id="2apzr05radv9fjet2w6xxwdlz5e9vwfxredw" timestamp="1730757315"&gt;33&lt;/key&gt;&lt;/foreign-keys&gt;&lt;ref-type name="Journal Article"&gt;17&lt;/ref-type&gt;&lt;contributors&gt;&lt;authors&gt;&lt;author&gt;Neghab, M.&lt;/author&gt;&lt;author&gt;Mohraz, M. H.&lt;/author&gt;&lt;author&gt;Hassanzadeh, J.&lt;/author&gt;&lt;/authors&gt;&lt;/contributors&gt;&lt;auth-address&gt;Department of Occupational Health, School of Health and Nutrition and Research Center for Health Sciences.&lt;/auth-address&gt;&lt;titles&gt;&lt;title&gt;Symptoms of respiratory disease and lung functional impairment associated with occupational inhalation exposure to carbon black dust&lt;/title&gt;&lt;secondary-title&gt;J Occup Health&lt;/secondary-title&gt;&lt;/titles&gt;&lt;periodical&gt;&lt;full-title&gt;J Occup Health&lt;/full-title&gt;&lt;/periodical&gt;&lt;pages&gt;432-8&lt;/pages&gt;&lt;volume&gt;53&lt;/volume&gt;&lt;number&gt;6&lt;/number&gt;&lt;edition&gt;20111013&lt;/edition&gt;&lt;keywords&gt;&lt;keyword&gt;Adult&lt;/keyword&gt;&lt;keyword&gt;Air Pollutants, Occupational/analysis/*toxicity&lt;/keyword&gt;&lt;keyword&gt;Chemical Industry&lt;/keyword&gt;&lt;keyword&gt;Cross-Sectional Studies&lt;/keyword&gt;&lt;keyword&gt;Dust/*analysis&lt;/keyword&gt;&lt;keyword&gt;Environmental Monitoring&lt;/keyword&gt;&lt;keyword&gt;Humans&lt;/keyword&gt;&lt;keyword&gt;Inhalation Exposure/adverse effects/analysis&lt;/keyword&gt;&lt;keyword&gt;Iran&lt;/keyword&gt;&lt;keyword&gt;Male&lt;/keyword&gt;&lt;keyword&gt;Occupational Exposure/*adverse effects/analysis&lt;/keyword&gt;&lt;keyword&gt;Respiratory Function Tests&lt;/keyword&gt;&lt;keyword&gt;Respiratory Tract Diseases/*chemically induced/diagnosis&lt;/keyword&gt;&lt;keyword&gt;*Rubber&lt;/keyword&gt;&lt;keyword&gt;Soot/analysis/*toxicity&lt;/keyword&gt;&lt;keyword&gt;Time Factors&lt;/keyword&gt;&lt;/keywords&gt;&lt;dates&gt;&lt;year&gt;2011&lt;/year&gt;&lt;/dates&gt;&lt;isbn&gt;1341-9145&lt;/isbn&gt;&lt;accession-num&gt;21996929&lt;/accession-num&gt;&lt;urls&gt;&lt;/urls&gt;&lt;electronic-resource-num&gt;10.1539/joh.11-0083-oa&lt;/electronic-resource-num&gt;&lt;remote-database-provider&gt;NLM&lt;/remote-database-provider&gt;&lt;language&gt;eng&lt;/language&gt;&lt;/record&gt;&lt;/Cite&gt;&lt;/EndNote&gt;</w:instrText>
        </w:r>
        <w:r w:rsidR="003D6084">
          <w:rPr>
            <w:lang w:val="en-US"/>
          </w:rPr>
          <w:fldChar w:fldCharType="separate"/>
        </w:r>
        <w:r w:rsidR="003D6084">
          <w:rPr>
            <w:noProof/>
            <w:lang w:val="en-US"/>
          </w:rPr>
          <w:t>Neghab, Mohraz et al. (2011)</w:t>
        </w:r>
        <w:r w:rsidR="003D6084">
          <w:rPr>
            <w:lang w:val="en-US"/>
          </w:rPr>
          <w:fldChar w:fldCharType="end"/>
        </w:r>
      </w:hyperlink>
      <w:r w:rsidR="003311E3">
        <w:rPr>
          <w:lang w:val="en-US"/>
        </w:rPr>
        <w:t xml:space="preserve"> </w:t>
      </w:r>
      <w:r w:rsidRPr="7252A44F">
        <w:rPr>
          <w:lang w:val="en-US"/>
        </w:rPr>
        <w:t>carried out a cross-sectional study in rubber factory in Iran on 72 male carbon black workers and a reference group of 69 unexposed office workers. The authors note workers did not wear respiratory protection in areas of the warehouse with heavy carbon black contamination, there were no local exhaust ventilation systems, and housekeeping programs were poor. Health endpoints measured were lung function from spirometry (vital capacity (VC), peak expiratory flow (PEF), FEV</w:t>
      </w:r>
      <w:r w:rsidRPr="7252A44F">
        <w:rPr>
          <w:vertAlign w:val="subscript"/>
          <w:lang w:val="en-US"/>
        </w:rPr>
        <w:t>1</w:t>
      </w:r>
      <w:r w:rsidRPr="7252A44F">
        <w:rPr>
          <w:lang w:val="en-US"/>
        </w:rPr>
        <w:t>, FVC, FEV</w:t>
      </w:r>
      <w:r w:rsidRPr="7252A44F">
        <w:rPr>
          <w:vertAlign w:val="subscript"/>
          <w:lang w:val="en-US"/>
        </w:rPr>
        <w:t>1</w:t>
      </w:r>
      <w:r w:rsidRPr="7252A44F">
        <w:rPr>
          <w:lang w:val="en-US"/>
        </w:rPr>
        <w:t>/FVC) and self-reported respiratory symptoms gathered from a medical questionnaire (cough, phlegm, productive cough, wheezing, dyspnea).</w:t>
      </w:r>
    </w:p>
    <w:p w:rsidR="007D06C9" w:rsidP="007D06C9" w14:paraId="3C6A5DCF" w14:textId="13154BF3">
      <w:pPr>
        <w:spacing w:after="240"/>
      </w:pPr>
      <w:r w:rsidRPr="008B155D">
        <w:t xml:space="preserve">Lung function </w:t>
      </w:r>
      <w:r>
        <w:t xml:space="preserve">and respiratory symptoms </w:t>
      </w:r>
      <w:r w:rsidRPr="008B155D">
        <w:t xml:space="preserve">analyses used </w:t>
      </w:r>
      <w:r>
        <w:t xml:space="preserve">either </w:t>
      </w:r>
      <w:r w:rsidRPr="008B155D">
        <w:t xml:space="preserve">multiple linear </w:t>
      </w:r>
      <w:r>
        <w:t xml:space="preserve">or logistic </w:t>
      </w:r>
      <w:r w:rsidRPr="008B155D">
        <w:t>regression with</w:t>
      </w:r>
      <w:r>
        <w:t xml:space="preserve"> binary</w:t>
      </w:r>
      <w:r w:rsidRPr="008B155D">
        <w:t xml:space="preserve"> exposure variables</w:t>
      </w:r>
      <w:r>
        <w:t xml:space="preserve"> (exposed/</w:t>
      </w:r>
      <w:r w:rsidRPr="00744EC7">
        <w:t xml:space="preserve">unexposed). </w:t>
      </w:r>
      <w:hyperlink w:anchor="_ENREF_33" w:tooltip="Neghab, 2011 #33" w:history="1">
        <w:r w:rsidRPr="00744EC7" w:rsidR="003D6084">
          <w:fldChar w:fldCharType="begin" w:fldLock="1"/>
        </w:r>
        <w:r w:rsidR="003D6084">
          <w:instrText xml:space="preserve"> ADDIN EN.CITE &lt;EndNote&gt;&lt;Cite AuthorYear="1"&gt;&lt;Author&gt;Neghab&lt;/Author&gt;&lt;Year&gt;2011&lt;/Year&gt;&lt;RecNum&gt;33&lt;/RecNum&gt;&lt;DisplayText&gt;Neghab, Mohraz et al. (2011)&lt;/DisplayText&gt;&lt;record&gt;&lt;rec-number&gt;33&lt;/rec-number&gt;&lt;foreign-keys&gt;&lt;key app="EN" db-id="2apzr05radv9fjet2w6xxwdlz5e9vwfxredw" timestamp="1730757315"&gt;33&lt;/key&gt;&lt;/foreign-keys&gt;&lt;ref-type name="Journal Article"&gt;17&lt;/ref-type&gt;&lt;contributors&gt;&lt;authors&gt;&lt;author&gt;Neghab, M.&lt;/author&gt;&lt;author&gt;Mohraz, M. H.&lt;/author&gt;&lt;author&gt;Hassanzadeh, J.&lt;/author&gt;&lt;/authors&gt;&lt;/contributors&gt;&lt;auth-address&gt;Department of Occupational Health, School of Health and Nutrition and Research Center for Health Sciences.&lt;/auth-address&gt;&lt;titles&gt;&lt;title&gt;Symptoms of respiratory disease and lung functional impairment associated with occupational inhalation exposure to carbon black dust&lt;/title&gt;&lt;secondary-title&gt;J Occup Health&lt;/secondary-title&gt;&lt;/titles&gt;&lt;periodical&gt;&lt;full-title&gt;J Occup Health&lt;/full-title&gt;&lt;/periodical&gt;&lt;pages&gt;432-8&lt;/pages&gt;&lt;volume&gt;53&lt;/volume&gt;&lt;number&gt;6&lt;/number&gt;&lt;edition&gt;20111013&lt;/edition&gt;&lt;keywords&gt;&lt;keyword&gt;Adult&lt;/keyword&gt;&lt;keyword&gt;Air Pollutants, Occupational/analysis/*toxicity&lt;/keyword&gt;&lt;keyword&gt;Chemical Industry&lt;/keyword&gt;&lt;keyword&gt;Cross-Sectional Studies&lt;/keyword&gt;&lt;keyword&gt;Dust/*analysis&lt;/keyword&gt;&lt;keyword&gt;Environmental Monitoring&lt;/keyword&gt;&lt;keyword&gt;Humans&lt;/keyword&gt;&lt;keyword&gt;Inhalation Exposure/adverse effects/analysis&lt;/keyword&gt;&lt;keyword&gt;Iran&lt;/keyword&gt;&lt;keyword&gt;Male&lt;/keyword&gt;&lt;keyword&gt;Occupational Exposure/*adverse effects/analysis&lt;/keyword&gt;&lt;keyword&gt;Respiratory Function Tests&lt;/keyword&gt;&lt;keyword&gt;Respiratory Tract Diseases/*chemically induced/diagnosis&lt;/keyword&gt;&lt;keyword&gt;*Rubber&lt;/keyword&gt;&lt;keyword&gt;Soot/analysis/*toxicity&lt;/keyword&gt;&lt;keyword&gt;Time Factors&lt;/keyword&gt;&lt;/keywords&gt;&lt;dates&gt;&lt;year&gt;2011&lt;/year&gt;&lt;/dates&gt;&lt;isbn&gt;1341-9145&lt;/isbn&gt;&lt;accession-num&gt;21996929&lt;/accession-num&gt;&lt;urls&gt;&lt;/urls&gt;&lt;electronic-resource-num&gt;10.1539/joh.11-0083-oa&lt;/electronic-resource-num&gt;&lt;remote-database-provider&gt;NLM&lt;/remote-database-provider&gt;&lt;language&gt;eng&lt;/language&gt;&lt;/record&gt;&lt;/Cite&gt;&lt;/EndNote&gt;</w:instrText>
        </w:r>
        <w:r w:rsidRPr="00744EC7" w:rsidR="003D6084">
          <w:fldChar w:fldCharType="separate"/>
        </w:r>
        <w:r w:rsidRPr="00744EC7" w:rsidR="003D6084">
          <w:rPr>
            <w:noProof/>
          </w:rPr>
          <w:t>Neghab, Mohraz et al. (2011)</w:t>
        </w:r>
        <w:r w:rsidRPr="00744EC7" w:rsidR="003D6084">
          <w:fldChar w:fldCharType="end"/>
        </w:r>
      </w:hyperlink>
      <w:r w:rsidRPr="00744EC7" w:rsidR="00234FD2">
        <w:t xml:space="preserve"> </w:t>
      </w:r>
      <w:r w:rsidRPr="00744EC7">
        <w:t>observed significant association between current exposure to carbon black and VC, FVC, FEV</w:t>
      </w:r>
      <w:r w:rsidRPr="00744EC7">
        <w:rPr>
          <w:vertAlign w:val="subscript"/>
        </w:rPr>
        <w:t>1,</w:t>
      </w:r>
      <w:r w:rsidRPr="00744EC7">
        <w:t xml:space="preserve"> FEV</w:t>
      </w:r>
      <w:r w:rsidRPr="00744EC7">
        <w:rPr>
          <w:vertAlign w:val="subscript"/>
        </w:rPr>
        <w:t>1</w:t>
      </w:r>
      <w:r w:rsidRPr="00744EC7">
        <w:t>/FVC,</w:t>
      </w:r>
      <w:r>
        <w:t xml:space="preserve"> and all respiratory symptoms. Mean atmospheric concentrations of carbon black were higher than the recommended occupational exposure limit (</w:t>
      </w:r>
      <w:r w:rsidRPr="00174431">
        <w:t>3.5 mg/m</w:t>
      </w:r>
      <w:r w:rsidRPr="009E7190">
        <w:rPr>
          <w:vertAlign w:val="superscript"/>
        </w:rPr>
        <w:t>3</w:t>
      </w:r>
      <w:r>
        <w:t xml:space="preserve">). The mean level of inhalable carbon black dust was 6.2 ± 1.7 </w:t>
      </w:r>
      <w:r w:rsidRPr="00174431">
        <w:t>mg/m</w:t>
      </w:r>
      <w:r w:rsidRPr="009E7190">
        <w:rPr>
          <w:vertAlign w:val="superscript"/>
        </w:rPr>
        <w:t>3</w:t>
      </w:r>
      <w:r>
        <w:rPr>
          <w:vertAlign w:val="superscript"/>
        </w:rPr>
        <w:t xml:space="preserve"> </w:t>
      </w:r>
      <w:r>
        <w:t xml:space="preserve">and respirable carbon black dust was 2.3 ± 0.29 </w:t>
      </w:r>
      <w:r w:rsidRPr="00174431">
        <w:t>mg/m</w:t>
      </w:r>
      <w:r w:rsidRPr="009E7190">
        <w:rPr>
          <w:vertAlign w:val="superscript"/>
        </w:rPr>
        <w:t>3</w:t>
      </w:r>
      <w:r>
        <w:t>.</w:t>
      </w:r>
    </w:p>
    <w:p w:rsidR="007D06C9" w:rsidRPr="00C90A45" w:rsidP="007D06C9" w14:paraId="579DB47A" w14:textId="77777777">
      <w:pPr>
        <w:pStyle w:val="Heading3"/>
      </w:pPr>
      <w:r w:rsidRPr="00C90A45">
        <w:t>Study applicability</w:t>
      </w:r>
    </w:p>
    <w:p w:rsidR="007D06C9" w:rsidP="007D06C9" w14:paraId="582183D6" w14:textId="5A5A0D5A">
      <w:pPr>
        <w:pStyle w:val="BodyText"/>
        <w:spacing w:after="240"/>
        <w:rPr>
          <w:lang w:val="en-US"/>
        </w:rPr>
      </w:pPr>
      <w:r w:rsidRPr="7252A44F">
        <w:rPr>
          <w:lang w:val="en-US"/>
        </w:rPr>
        <w:t xml:space="preserve">Based on the evidence from literature on </w:t>
      </w:r>
      <w:r w:rsidRPr="00E07FA3">
        <w:rPr>
          <w:lang w:val="en-US"/>
        </w:rPr>
        <w:t xml:space="preserve">physiological changes in the respiratory system, chronic bronchitis and </w:t>
      </w:r>
      <w:r w:rsidR="00EE368B">
        <w:t>chronic obstructive pulmonary diseases (</w:t>
      </w:r>
      <w:r w:rsidRPr="00E07FA3">
        <w:rPr>
          <w:lang w:val="en-US"/>
        </w:rPr>
        <w:t>COPD</w:t>
      </w:r>
      <w:r w:rsidR="00EE368B">
        <w:rPr>
          <w:lang w:val="en-US"/>
        </w:rPr>
        <w:t>)</w:t>
      </w:r>
      <w:r w:rsidRPr="00E07FA3">
        <w:rPr>
          <w:lang w:val="en-US"/>
        </w:rPr>
        <w:t xml:space="preserve"> have underlying inflammatory conditions </w:t>
      </w:r>
      <w:r w:rsidRPr="00E07FA3" w:rsidR="00222044">
        <w:rPr>
          <w:lang w:val="en-US"/>
        </w:rPr>
        <w:t>(</w:t>
      </w:r>
      <w:hyperlink w:anchor="_ENREF_29" w:tooltip="Jeffery, 2001 #29" w:history="1">
        <w:r w:rsidRPr="00E07FA3" w:rsidR="003D6084">
          <w:rPr>
            <w:lang w:val="en-US"/>
          </w:rPr>
          <w:fldChar w:fldCharType="begin" w:fldLock="1">
            <w:fldData xml:space="preserve">PEVuZE5vdGU+PENpdGU+PEF1dGhvcj5KZWZmZXJ5PC9BdXRob3I+PFllYXI+MjAwMTwvWWVhcj48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==
</w:fldData>
          </w:fldChar>
        </w:r>
        <w:r w:rsidR="003D6084">
          <w:rPr>
            <w:lang w:val="en-US"/>
          </w:rPr>
          <w:instrText xml:space="preserve"> ADDIN EN.CITE </w:instrText>
        </w:r>
        <w:r w:rsidR="003D6084">
          <w:rPr>
            <w:lang w:val="en-US"/>
          </w:rPr>
          <w:fldChar w:fldCharType="begin" w:fldLock="1">
            <w:fldData xml:space="preserve">PEVuZE5vdGU+PENpdGU+PEF1dGhvcj5KZWZmZXJ5PC9BdXRob3I+PFllYXI+MjAwMTwvWWVhcj48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==
</w:fldData>
          </w:fldChar>
        </w:r>
        <w:r w:rsidR="003D6084">
          <w:rPr>
            <w:lang w:val="en-US"/>
          </w:rPr>
          <w:instrText xml:space="preserve"> ADDIN EN.CITE.DATA </w:instrText>
        </w:r>
        <w:r w:rsidR="003D6084">
          <w:rPr>
            <w:lang w:val="en-US"/>
          </w:rPr>
          <w:fldChar w:fldCharType="separate"/>
        </w:r>
        <w:r w:rsidR="003D6084">
          <w:rPr>
            <w:lang w:val="en-US"/>
          </w:rPr>
          <w:fldChar w:fldCharType="end"/>
        </w:r>
        <w:r w:rsidRPr="00E07FA3" w:rsidR="003D6084">
          <w:rPr>
            <w:lang w:val="en-US"/>
          </w:rPr>
          <w:fldChar w:fldCharType="separate"/>
        </w:r>
        <w:r w:rsidRPr="00E07FA3" w:rsidR="003D6084">
          <w:rPr>
            <w:noProof/>
            <w:lang w:val="en-US"/>
          </w:rPr>
          <w:t>Jeffery 2001</w:t>
        </w:r>
        <w:r w:rsidRPr="00E07FA3" w:rsidR="003D6084">
          <w:rPr>
            <w:lang w:val="en-US"/>
          </w:rPr>
          <w:fldChar w:fldCharType="end"/>
        </w:r>
      </w:hyperlink>
      <w:r w:rsidRPr="00E07FA3">
        <w:rPr>
          <w:lang w:val="en-US"/>
        </w:rPr>
        <w:t xml:space="preserve">; </w:t>
      </w:r>
      <w:hyperlink w:anchor="_ENREF_39" w:tooltip="Saetta, 2000 #39" w:history="1">
        <w:r w:rsidRPr="00E07FA3" w:rsidR="003D6084">
          <w:rPr>
            <w:lang w:val="en-US"/>
          </w:rPr>
          <w:fldChar w:fldCharType="begin" w:fldLock="1">
            <w:fldData xml:space="preserve">PEVuZE5vdGU+PENpdGU+PEF1dGhvcj5TYWV0dGE8L0F1dGhvcj48WWVhcj4yMDAwPC9ZZWFyPjxS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</w:fldData>
          </w:fldChar>
        </w:r>
        <w:r w:rsidR="003D6084">
          <w:rPr>
            <w:lang w:val="en-US"/>
          </w:rPr>
          <w:instrText xml:space="preserve"> ADDIN EN.CITE </w:instrText>
        </w:r>
        <w:r w:rsidR="003D6084">
          <w:rPr>
            <w:lang w:val="en-US"/>
          </w:rPr>
          <w:fldChar w:fldCharType="begin" w:fldLock="1">
            <w:fldData xml:space="preserve">PEVuZE5vdGU+PENpdGU+PEF1dGhvcj5TYWV0dGE8L0F1dGhvcj48WWVhcj4yMDAwPC9ZZWFyPjxS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</w:fldData>
          </w:fldChar>
        </w:r>
        <w:r w:rsidR="003D6084">
          <w:rPr>
            <w:lang w:val="en-US"/>
          </w:rPr>
          <w:instrText xml:space="preserve"> ADDIN EN.CITE.DATA </w:instrText>
        </w:r>
        <w:r w:rsidR="003D6084">
          <w:rPr>
            <w:lang w:val="en-US"/>
          </w:rPr>
          <w:fldChar w:fldCharType="separate"/>
        </w:r>
        <w:r w:rsidR="003D6084">
          <w:rPr>
            <w:lang w:val="en-US"/>
          </w:rPr>
          <w:fldChar w:fldCharType="end"/>
        </w:r>
        <w:r w:rsidRPr="00E07FA3" w:rsidR="003D6084">
          <w:rPr>
            <w:lang w:val="en-US"/>
          </w:rPr>
          <w:fldChar w:fldCharType="separate"/>
        </w:r>
        <w:r w:rsidRPr="00E07FA3" w:rsidR="003D6084">
          <w:rPr>
            <w:noProof/>
            <w:lang w:val="en-US"/>
          </w:rPr>
          <w:t>Saetta, Turato et al. 2000</w:t>
        </w:r>
        <w:r w:rsidRPr="00E07FA3" w:rsidR="003D6084">
          <w:rPr>
            <w:lang w:val="en-US"/>
          </w:rPr>
          <w:fldChar w:fldCharType="end"/>
        </w:r>
      </w:hyperlink>
      <w:r w:rsidRPr="00E07FA3" w:rsidR="00222044">
        <w:rPr>
          <w:lang w:val="en-US"/>
        </w:rPr>
        <w:t>)</w:t>
      </w:r>
      <w:r w:rsidRPr="00E07FA3">
        <w:rPr>
          <w:lang w:val="en-US"/>
        </w:rPr>
        <w:t xml:space="preserve"> similar to those found in the carbon black toxicity studies utilized in the Risk Evaluation, including inflammatory and morphological changes in the lower respiratory tract (</w:t>
      </w:r>
      <w:hyperlink w:anchor="_ENREF_16" w:tooltip="Elder, 2005 #16" w:history="1">
        <w:r w:rsidRPr="00E07FA3" w:rsidR="003D6084">
          <w:rPr>
            <w:lang w:val="en-US"/>
          </w:rPr>
          <w:fldChar w:fldCharType="begin" w:fldLock="1">
            <w:fldData xml:space="preserve">PEVuZE5vdGU+PENpdGU+PEF1dGhvcj5FbGRlcjwvQXV0aG9yPjxZZWFyPjIwMDU8L1llYXI+PFJl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</w:fldData>
          </w:fldChar>
        </w:r>
        <w:r w:rsidR="003D6084">
          <w:rPr>
            <w:lang w:val="en-US"/>
          </w:rPr>
          <w:instrText xml:space="preserve"> ADDIN EN.CITE </w:instrText>
        </w:r>
        <w:r w:rsidR="003D6084">
          <w:rPr>
            <w:lang w:val="en-US"/>
          </w:rPr>
          <w:fldChar w:fldCharType="begin" w:fldLock="1">
            <w:fldData xml:space="preserve">PEVuZE5vdGU+PENpdGU+PEF1dGhvcj5FbGRlcjwvQXV0aG9yPjxZZWFyPjIwMDU8L1llYXI+PFJl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</w:fldData>
          </w:fldChar>
        </w:r>
        <w:r w:rsidR="003D6084">
          <w:rPr>
            <w:lang w:val="en-US"/>
          </w:rPr>
          <w:instrText xml:space="preserve"> ADDIN EN.CITE.DATA </w:instrText>
        </w:r>
        <w:r w:rsidR="003D6084">
          <w:rPr>
            <w:lang w:val="en-US"/>
          </w:rPr>
          <w:fldChar w:fldCharType="separate"/>
        </w:r>
        <w:r w:rsidR="003D6084">
          <w:rPr>
            <w:lang w:val="en-US"/>
          </w:rPr>
          <w:fldChar w:fldCharType="end"/>
        </w:r>
        <w:r w:rsidRPr="00E07FA3" w:rsidR="003D6084">
          <w:rPr>
            <w:lang w:val="en-US"/>
          </w:rPr>
          <w:fldChar w:fldCharType="separate"/>
        </w:r>
        <w:r w:rsidRPr="00E07FA3" w:rsidR="003D6084">
          <w:rPr>
            <w:noProof/>
            <w:lang w:val="en-US"/>
          </w:rPr>
          <w:t>Elder, Gelein et al. 2005</w:t>
        </w:r>
        <w:r w:rsidRPr="00E07FA3" w:rsidR="003D6084">
          <w:rPr>
            <w:lang w:val="en-US"/>
          </w:rPr>
          <w:fldChar w:fldCharType="end"/>
        </w:r>
      </w:hyperlink>
      <w:r w:rsidRPr="00E07FA3">
        <w:rPr>
          <w:lang w:val="en-US"/>
        </w:rPr>
        <w:t xml:space="preserve">; </w:t>
      </w:r>
      <w:hyperlink w:anchor="_ENREF_34" w:tooltip="Nikula, 1995 #34" w:history="1">
        <w:r w:rsidRPr="00E07FA3" w:rsidR="003D6084">
          <w:rPr>
            <w:lang w:val="en-US"/>
          </w:rPr>
          <w:fldChar w:fldCharType="begin" w:fldLock="1">
            <w:fldData xml:space="preserve">PEVuZE5vdGU+PENpdGU+PEF1dGhvcj5OaWt1bGE8L0F1dGhvcj48WWVhcj4xOTk1PC9ZZWFyPjxS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</w:fldData>
          </w:fldChar>
        </w:r>
        <w:r w:rsidR="003D6084">
          <w:rPr>
            <w:lang w:val="en-US"/>
          </w:rPr>
          <w:instrText xml:space="preserve"> ADDIN EN.CITE </w:instrText>
        </w:r>
        <w:r w:rsidR="003D6084">
          <w:rPr>
            <w:lang w:val="en-US"/>
          </w:rPr>
          <w:fldChar w:fldCharType="begin" w:fldLock="1">
            <w:fldData xml:space="preserve">PEVuZE5vdGU+PENpdGU+PEF1dGhvcj5OaWt1bGE8L0F1dGhvcj48WWVhcj4xOTk1PC9ZZWFyPjxS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</w:fldData>
          </w:fldChar>
        </w:r>
        <w:r w:rsidR="003D6084">
          <w:rPr>
            <w:lang w:val="en-US"/>
          </w:rPr>
          <w:instrText xml:space="preserve"> ADDIN EN.CITE.DATA </w:instrText>
        </w:r>
        <w:r w:rsidR="003D6084">
          <w:rPr>
            <w:lang w:val="en-US"/>
          </w:rPr>
          <w:fldChar w:fldCharType="separate"/>
        </w:r>
        <w:r w:rsidR="003D6084">
          <w:rPr>
            <w:lang w:val="en-US"/>
          </w:rPr>
          <w:fldChar w:fldCharType="end"/>
        </w:r>
        <w:r w:rsidRPr="00E07FA3" w:rsidR="003D6084">
          <w:rPr>
            <w:lang w:val="en-US"/>
          </w:rPr>
          <w:fldChar w:fldCharType="separate"/>
        </w:r>
        <w:r w:rsidRPr="00E07FA3" w:rsidR="003D6084">
          <w:rPr>
            <w:noProof/>
            <w:lang w:val="en-US"/>
          </w:rPr>
          <w:t>Nikula, Snipes et al. 1995</w:t>
        </w:r>
        <w:r w:rsidRPr="00E07FA3" w:rsidR="003D6084">
          <w:rPr>
            <w:lang w:val="en-US"/>
          </w:rPr>
          <w:fldChar w:fldCharType="end"/>
        </w:r>
      </w:hyperlink>
      <w:r w:rsidRPr="00E07FA3" w:rsidR="0076218E">
        <w:rPr>
          <w:lang w:val="en-US"/>
        </w:rPr>
        <w:t>)</w:t>
      </w:r>
      <w:r w:rsidR="007670BF">
        <w:rPr>
          <w:lang w:val="en-US"/>
        </w:rPr>
        <w:t xml:space="preserve">. </w:t>
      </w:r>
      <w:r w:rsidRPr="00E07FA3">
        <w:rPr>
          <w:lang w:val="en-US"/>
        </w:rPr>
        <w:t>It is highly likely that the physiological changes seen as a result of exposure to carbon black in toxicity studies also cause changes in lung function in humans and are therefore associated with chronic bronchitis, and other COPD-type symptoms.</w:t>
      </w:r>
      <w:r w:rsidRPr="7252A44F">
        <w:rPr>
          <w:lang w:val="en-US"/>
        </w:rPr>
        <w:t xml:space="preserve"> </w:t>
      </w:r>
    </w:p>
    <w:p w:rsidR="0049453F" w:rsidP="0049453F" w14:paraId="2FE19919" w14:textId="4F47C546">
      <w:pPr>
        <w:pStyle w:val="BodyText"/>
        <w:spacing w:after="240"/>
      </w:pPr>
      <w:r>
        <w:t xml:space="preserve">Mean inhalable carbon black concentrations from the three studies are presented in </w:t>
      </w:r>
      <w:r>
        <w:fldChar w:fldCharType="begin" w:fldLock="1"/>
      </w:r>
      <w:r>
        <w:instrText xml:space="preserve"> REF _Ref180958641 </w:instrText>
      </w:r>
      <w:r>
        <w:fldChar w:fldCharType="separate"/>
      </w:r>
      <w:r w:rsidRPr="000A1542" w:rsidR="00735BBC">
        <w:t xml:space="preserve">Table </w:t>
      </w:r>
      <w:r w:rsidR="00735BBC">
        <w:rPr>
          <w:noProof/>
        </w:rPr>
        <w:t>5</w:t>
      </w:r>
      <w:r w:rsidRPr="000A1542" w:rsidR="00735BBC">
        <w:noBreakHyphen/>
      </w:r>
      <w:r w:rsidR="00735BBC">
        <w:rPr>
          <w:noProof/>
        </w:rPr>
        <w:t>3</w:t>
      </w:r>
      <w:r>
        <w:fldChar w:fldCharType="end"/>
      </w:r>
      <w:r>
        <w:t xml:space="preserve">. Current inhalable </w:t>
      </w:r>
      <w:r w:rsidRPr="0076218E">
        <w:t>dust exposures in the Gardiner et al. and Harber et al. studies fall within a similar range as the C.I. Pigment Violet 29 air concentrations given in the Risk Evaluation (0.37 mg/m</w:t>
      </w:r>
      <w:r w:rsidRPr="0076218E">
        <w:rPr>
          <w:vertAlign w:val="superscript"/>
        </w:rPr>
        <w:t>3</w:t>
      </w:r>
      <w:r w:rsidRPr="0076218E">
        <w:t xml:space="preserve"> for the central estimate and 1.2 mg/m</w:t>
      </w:r>
      <w:r w:rsidRPr="0076218E">
        <w:rPr>
          <w:vertAlign w:val="superscript"/>
        </w:rPr>
        <w:t>3</w:t>
      </w:r>
      <w:r w:rsidRPr="0076218E">
        <w:t xml:space="preserve"> for the high end; see </w:t>
      </w:r>
      <w:r w:rsidR="001A752A">
        <w:rPr>
          <w:lang w:val="en-US"/>
        </w:rPr>
        <w:fldChar w:fldCharType="begin" w:fldLock="1"/>
      </w:r>
      <w:r w:rsidR="001A752A">
        <w:rPr>
          <w:lang w:val="en-US"/>
        </w:rPr>
        <w:instrText xml:space="preserve"> REF _Ref181180150 \h </w:instrText>
      </w:r>
      <w:r w:rsidR="001A752A">
        <w:rPr>
          <w:lang w:val="en-US"/>
        </w:rPr>
        <w:fldChar w:fldCharType="separate"/>
      </w:r>
      <w:r w:rsidRPr="00133A33" w:rsidR="00735BBC">
        <w:t xml:space="preserve">Table </w:t>
      </w:r>
      <w:r w:rsidR="00735BBC">
        <w:rPr>
          <w:noProof/>
        </w:rPr>
        <w:t>5</w:t>
      </w:r>
      <w:r w:rsidR="00735BBC">
        <w:noBreakHyphen/>
      </w:r>
      <w:r w:rsidR="00735BBC">
        <w:rPr>
          <w:noProof/>
        </w:rPr>
        <w:t>2</w:t>
      </w:r>
      <w:r w:rsidR="001A752A">
        <w:rPr>
          <w:lang w:val="en-US"/>
        </w:rPr>
        <w:fldChar w:fldCharType="end"/>
      </w:r>
      <w:r w:rsidRPr="0076218E">
        <w:t>). However, the mean in Harber et al. is slightly higher than the high-end value in the Risk Evaluation, and the ranges in both Gardiner et al. and Harber et al. are wider than concentrations</w:t>
      </w:r>
      <w:r>
        <w:t xml:space="preserve"> noted in the Risk Evaluation. </w:t>
      </w:r>
    </w:p>
    <w:tbl>
      <w:tblPr>
        <w:tblStyle w:val="GridTableLight"/>
        <w:tblW w:w="5000" w:type="pct"/>
        <w:tblLook w:val="04A0"/>
      </w:tblPr>
      <w:tblGrid>
        <w:gridCol w:w="2152"/>
        <w:gridCol w:w="1030"/>
        <w:gridCol w:w="2902"/>
        <w:gridCol w:w="3276"/>
      </w:tblGrid>
      <w:tr w14:paraId="2FB5F842" w14:textId="77777777" w:rsidTr="00BD3D2B">
        <w:tblPrEx>
          <w:tblW w:w="5000" w:type="pct"/>
          <w:tblLook w:val="04A0"/>
        </w:tblPrEx>
        <w:trPr>
          <w:trHeight w:val="377"/>
        </w:trPr>
        <w:tc>
          <w:tcPr>
            <w:tcW w:w="5000" w:type="pct"/>
            <w:gridSpan w:val="4"/>
            <w:tcBorders>
              <w:top w:val="nil"/>
              <w:left w:val="nil"/>
              <w:bottom w:val="single" w:sz="4" w:space="0" w:color="auto"/>
              <w:right w:val="nil"/>
            </w:tcBorders>
            <w:vAlign w:val="bottom"/>
          </w:tcPr>
          <w:p w:rsidR="0049453F" w:rsidRPr="000A1542" w:rsidP="00BD3D2B" w14:paraId="7CBB1232" w14:textId="647F761A">
            <w:pPr>
              <w:pStyle w:val="Caption"/>
            </w:pPr>
            <w:bookmarkStart w:id="272" w:name="_Ref180958641"/>
            <w:bookmarkStart w:id="273" w:name="_Toc184299588"/>
            <w:r w:rsidRPr="000A1542">
              <w:t xml:space="preserve">Table </w:t>
            </w:r>
            <w:r>
              <w:fldChar w:fldCharType="begin" w:fldLock="1"/>
            </w:r>
            <w:r>
              <w:instrText>STYLEREF 1 \s</w:instrText>
            </w:r>
            <w:r>
              <w:fldChar w:fldCharType="separate"/>
            </w:r>
            <w:r w:rsidR="00735BBC">
              <w:rPr>
                <w:noProof/>
              </w:rPr>
              <w:t>5</w:t>
            </w:r>
            <w:r>
              <w:fldChar w:fldCharType="end"/>
            </w:r>
            <w:r w:rsidRPr="000A1542">
              <w:noBreakHyphen/>
            </w:r>
            <w:r>
              <w:fldChar w:fldCharType="begin" w:fldLock="1"/>
            </w:r>
            <w:r>
              <w:instrText>SEQ Table \* ARABIC \s 1</w:instrText>
            </w:r>
            <w:r>
              <w:fldChar w:fldCharType="separate"/>
            </w:r>
            <w:r w:rsidR="00735BBC">
              <w:rPr>
                <w:noProof/>
              </w:rPr>
              <w:t>3</w:t>
            </w:r>
            <w:r>
              <w:fldChar w:fldCharType="end"/>
            </w:r>
            <w:bookmarkEnd w:id="272"/>
            <w:r w:rsidRPr="000A1542">
              <w:t>:</w:t>
            </w:r>
            <w:r w:rsidRPr="000A1542">
              <w:t xml:space="preserve"> Mean inhalable carbon black exposure level in reviewed occupational studies</w:t>
            </w:r>
            <w:bookmarkEnd w:id="273"/>
          </w:p>
        </w:tc>
      </w:tr>
      <w:tr w14:paraId="308B5364" w14:textId="77777777" w:rsidTr="00C71F79">
        <w:tblPrEx>
          <w:tblW w:w="5000" w:type="pct"/>
          <w:tblLook w:val="04A0"/>
        </w:tblPrEx>
        <w:trPr>
          <w:trHeight w:val="629"/>
        </w:trPr>
        <w:tc>
          <w:tcPr>
            <w:tcW w:w="1700" w:type="pct"/>
            <w:gridSpan w:val="2"/>
            <w:tcBorders>
              <w:top w:val="single" w:sz="4" w:space="0" w:color="auto"/>
              <w:left w:val="single" w:sz="4" w:space="0" w:color="auto"/>
              <w:bottom w:val="single" w:sz="4" w:space="0" w:color="auto"/>
              <w:right w:val="single" w:sz="4" w:space="0" w:color="auto"/>
            </w:tcBorders>
            <w:shd w:val="clear" w:color="auto" w:fill="013E5B"/>
            <w:vAlign w:val="center"/>
          </w:tcPr>
          <w:p w:rsidR="0049453F" w:rsidRPr="00C71F79" w:rsidP="00C71F79" w14:paraId="7301CB9F" w14:textId="77777777">
            <w:pPr>
              <w:pStyle w:val="TableSubtitle"/>
            </w:pPr>
            <w:r w:rsidRPr="00C71F79">
              <w:t>Study</w:t>
            </w:r>
          </w:p>
        </w:tc>
        <w:tc>
          <w:tcPr>
            <w:tcW w:w="1550" w:type="pct"/>
            <w:tcBorders>
              <w:top w:val="single" w:sz="4" w:space="0" w:color="auto"/>
              <w:left w:val="single" w:sz="4" w:space="0" w:color="auto"/>
              <w:bottom w:val="single" w:sz="4" w:space="0" w:color="auto"/>
              <w:right w:val="single" w:sz="4" w:space="0" w:color="auto"/>
            </w:tcBorders>
            <w:shd w:val="clear" w:color="auto" w:fill="013E5B"/>
            <w:vAlign w:val="center"/>
          </w:tcPr>
          <w:p w:rsidR="0049453F" w:rsidRPr="00C71F79" w:rsidP="00C71F79" w14:paraId="03A779FF" w14:textId="6485A01C">
            <w:pPr>
              <w:pStyle w:val="TableSubtitle"/>
            </w:pPr>
            <w:r w:rsidRPr="00C71F79">
              <w:t>Current inhalable dust (mg/m</w:t>
            </w:r>
            <w:r w:rsidRPr="00005413">
              <w:rPr>
                <w:rFonts w:ascii="Arial Bold" w:hAnsi="Arial Bold"/>
                <w:vertAlign w:val="superscript"/>
              </w:rPr>
              <w:t>3</w:t>
            </w:r>
            <w:r w:rsidRPr="00C71F79">
              <w:t>)</w:t>
            </w:r>
          </w:p>
        </w:tc>
        <w:tc>
          <w:tcPr>
            <w:tcW w:w="1750" w:type="pct"/>
            <w:tcBorders>
              <w:top w:val="single" w:sz="4" w:space="0" w:color="auto"/>
              <w:left w:val="single" w:sz="4" w:space="0" w:color="auto"/>
              <w:bottom w:val="single" w:sz="4" w:space="0" w:color="auto"/>
              <w:right w:val="single" w:sz="4" w:space="0" w:color="auto"/>
            </w:tcBorders>
            <w:shd w:val="clear" w:color="auto" w:fill="013E5B"/>
            <w:vAlign w:val="center"/>
          </w:tcPr>
          <w:p w:rsidR="0049453F" w:rsidRPr="00C71F79" w:rsidP="00C71F79" w14:paraId="4AFFD4D9" w14:textId="3C9336CA">
            <w:pPr>
              <w:pStyle w:val="TableSubtitle"/>
            </w:pPr>
            <w:r w:rsidRPr="00C71F79">
              <w:t>Cumulative inhalable dust</w:t>
            </w:r>
          </w:p>
          <w:p w:rsidR="0049453F" w:rsidRPr="00C71F79" w:rsidP="00C71F79" w14:paraId="246778A0" w14:textId="35E0A22F">
            <w:pPr>
              <w:pStyle w:val="TableSubtitle"/>
            </w:pPr>
            <w:r w:rsidRPr="00C71F79">
              <w:t>(mg-year/m</w:t>
            </w:r>
            <w:r w:rsidRPr="00005413">
              <w:rPr>
                <w:rFonts w:ascii="Arial Bold" w:hAnsi="Arial Bold"/>
                <w:vertAlign w:val="superscript"/>
              </w:rPr>
              <w:t>3</w:t>
            </w:r>
            <w:r w:rsidRPr="00C71F79">
              <w:t>)</w:t>
            </w:r>
          </w:p>
        </w:tc>
      </w:tr>
      <w:tr w14:paraId="75DDDD1E" w14:textId="77777777" w:rsidTr="00BD3D2B">
        <w:tblPrEx>
          <w:tblW w:w="5000" w:type="pct"/>
          <w:tblLook w:val="04A0"/>
        </w:tblPrEx>
        <w:tc>
          <w:tcPr>
            <w:tcW w:w="1150" w:type="pct"/>
            <w:vMerge w:val="restart"/>
            <w:tcBorders>
              <w:top w:val="single" w:sz="4" w:space="0" w:color="auto"/>
              <w:left w:val="single" w:sz="4" w:space="0" w:color="auto"/>
              <w:bottom w:val="single" w:sz="4" w:space="0" w:color="auto"/>
              <w:right w:val="single" w:sz="4" w:space="0" w:color="auto"/>
            </w:tcBorders>
          </w:tcPr>
          <w:p w:rsidR="0049453F" w:rsidRPr="00862ADE" w:rsidP="00BD3D2B" w14:paraId="6C0ADED2" w14:textId="77777777">
            <w:pPr>
              <w:pStyle w:val="TableText"/>
              <w:rPr>
                <w:rFonts w:ascii="Times New Roman" w:hAnsi="Times New Roman"/>
              </w:rPr>
            </w:pPr>
            <w:r w:rsidRPr="00862ADE">
              <w:rPr>
                <w:rFonts w:ascii="Times New Roman" w:hAnsi="Times New Roman"/>
              </w:rPr>
              <w:t xml:space="preserve">Gardiner et al. (2001) </w:t>
            </w:r>
          </w:p>
        </w:tc>
        <w:tc>
          <w:tcPr>
            <w:tcW w:w="550" w:type="pct"/>
            <w:tcBorders>
              <w:top w:val="single" w:sz="4" w:space="0" w:color="auto"/>
              <w:left w:val="single" w:sz="4" w:space="0" w:color="auto"/>
              <w:bottom w:val="single" w:sz="4" w:space="0" w:color="auto"/>
              <w:right w:val="single" w:sz="4" w:space="0" w:color="auto"/>
            </w:tcBorders>
          </w:tcPr>
          <w:p w:rsidR="0049453F" w:rsidRPr="00862ADE" w:rsidP="00BD3D2B" w14:paraId="781300AB" w14:textId="77777777">
            <w:pPr>
              <w:pStyle w:val="TableText"/>
              <w:rPr>
                <w:rFonts w:ascii="Times New Roman" w:hAnsi="Times New Roman"/>
              </w:rPr>
            </w:pPr>
            <w:r w:rsidRPr="00862ADE">
              <w:rPr>
                <w:rFonts w:ascii="Times New Roman" w:hAnsi="Times New Roman"/>
              </w:rPr>
              <w:t>Phase 2</w:t>
            </w:r>
          </w:p>
        </w:tc>
        <w:tc>
          <w:tcPr>
            <w:tcW w:w="1550" w:type="pct"/>
            <w:tcBorders>
              <w:top w:val="single" w:sz="4" w:space="0" w:color="auto"/>
              <w:left w:val="single" w:sz="4" w:space="0" w:color="auto"/>
              <w:bottom w:val="single" w:sz="4" w:space="0" w:color="auto"/>
              <w:right w:val="single" w:sz="4" w:space="0" w:color="auto"/>
            </w:tcBorders>
          </w:tcPr>
          <w:p w:rsidR="0049453F" w:rsidRPr="00862ADE" w:rsidP="00BD3D2B" w14:paraId="0C0D8CFF" w14:textId="77777777">
            <w:pPr>
              <w:pStyle w:val="TableText"/>
              <w:rPr>
                <w:rFonts w:ascii="Times New Roman" w:hAnsi="Times New Roman"/>
              </w:rPr>
            </w:pPr>
            <w:r w:rsidRPr="00862ADE">
              <w:rPr>
                <w:rFonts w:ascii="Times New Roman" w:hAnsi="Times New Roman"/>
              </w:rPr>
              <w:t>0.77 (0.07 – 7.41)</w:t>
            </w:r>
          </w:p>
        </w:tc>
        <w:tc>
          <w:tcPr>
            <w:tcW w:w="1750" w:type="pct"/>
            <w:tcBorders>
              <w:top w:val="single" w:sz="4" w:space="0" w:color="auto"/>
              <w:left w:val="single" w:sz="4" w:space="0" w:color="auto"/>
              <w:bottom w:val="single" w:sz="4" w:space="0" w:color="auto"/>
              <w:right w:val="single" w:sz="4" w:space="0" w:color="auto"/>
            </w:tcBorders>
          </w:tcPr>
          <w:p w:rsidR="0049453F" w:rsidRPr="00862ADE" w:rsidP="00BD3D2B" w14:paraId="7EE6C343" w14:textId="77777777">
            <w:pPr>
              <w:pStyle w:val="TableText"/>
              <w:rPr>
                <w:rFonts w:ascii="Times New Roman" w:hAnsi="Times New Roman"/>
              </w:rPr>
            </w:pPr>
            <w:r w:rsidRPr="00862ADE">
              <w:rPr>
                <w:rFonts w:ascii="Times New Roman" w:hAnsi="Times New Roman"/>
              </w:rPr>
              <w:t>22 (0.05 – 286.1)*</w:t>
            </w:r>
          </w:p>
        </w:tc>
      </w:tr>
      <w:tr w14:paraId="589CBB69" w14:textId="77777777" w:rsidTr="00BD3D2B">
        <w:tblPrEx>
          <w:tblW w:w="5000" w:type="pct"/>
          <w:tblLook w:val="04A0"/>
        </w:tblPrEx>
        <w:tc>
          <w:tcPr>
            <w:tcW w:w="1150" w:type="pct"/>
            <w:vMerge/>
            <w:tcBorders>
              <w:top w:val="single" w:sz="4" w:space="0" w:color="auto"/>
              <w:left w:val="single" w:sz="4" w:space="0" w:color="auto"/>
              <w:bottom w:val="single" w:sz="4" w:space="0" w:color="auto"/>
              <w:right w:val="single" w:sz="4" w:space="0" w:color="auto"/>
            </w:tcBorders>
          </w:tcPr>
          <w:p w:rsidR="0049453F" w:rsidRPr="00862ADE" w:rsidP="00BD3D2B" w14:paraId="5B78CACC" w14:textId="77777777">
            <w:pPr>
              <w:pStyle w:val="TableText"/>
              <w:rPr>
                <w:rFonts w:ascii="Times New Roman" w:hAnsi="Times New Roman"/>
              </w:rPr>
            </w:pPr>
          </w:p>
        </w:tc>
        <w:tc>
          <w:tcPr>
            <w:tcW w:w="550" w:type="pct"/>
            <w:tcBorders>
              <w:top w:val="single" w:sz="4" w:space="0" w:color="auto"/>
              <w:left w:val="single" w:sz="4" w:space="0" w:color="auto"/>
              <w:bottom w:val="single" w:sz="4" w:space="0" w:color="auto"/>
              <w:right w:val="single" w:sz="4" w:space="0" w:color="auto"/>
            </w:tcBorders>
          </w:tcPr>
          <w:p w:rsidR="0049453F" w:rsidRPr="00862ADE" w:rsidP="00BD3D2B" w14:paraId="4408DA89" w14:textId="77777777">
            <w:pPr>
              <w:pStyle w:val="TableText"/>
              <w:rPr>
                <w:rFonts w:ascii="Times New Roman" w:hAnsi="Times New Roman"/>
              </w:rPr>
            </w:pPr>
            <w:r w:rsidRPr="00862ADE">
              <w:rPr>
                <w:rFonts w:ascii="Times New Roman" w:hAnsi="Times New Roman"/>
              </w:rPr>
              <w:t>Phase 3</w:t>
            </w:r>
          </w:p>
        </w:tc>
        <w:tc>
          <w:tcPr>
            <w:tcW w:w="1550" w:type="pct"/>
            <w:tcBorders>
              <w:top w:val="single" w:sz="4" w:space="0" w:color="auto"/>
              <w:left w:val="single" w:sz="4" w:space="0" w:color="auto"/>
              <w:bottom w:val="single" w:sz="4" w:space="0" w:color="auto"/>
              <w:right w:val="single" w:sz="4" w:space="0" w:color="auto"/>
            </w:tcBorders>
          </w:tcPr>
          <w:p w:rsidR="0049453F" w:rsidRPr="00862ADE" w:rsidP="00BD3D2B" w14:paraId="22B49F39" w14:textId="77777777">
            <w:pPr>
              <w:pStyle w:val="TableText"/>
              <w:rPr>
                <w:rFonts w:ascii="Times New Roman" w:hAnsi="Times New Roman"/>
              </w:rPr>
            </w:pPr>
            <w:r w:rsidRPr="00862ADE">
              <w:rPr>
                <w:rFonts w:ascii="Times New Roman" w:hAnsi="Times New Roman"/>
              </w:rPr>
              <w:t>0.57 (0.11 – 3.26)</w:t>
            </w:r>
          </w:p>
        </w:tc>
        <w:tc>
          <w:tcPr>
            <w:tcW w:w="1750" w:type="pct"/>
            <w:tcBorders>
              <w:top w:val="single" w:sz="4" w:space="0" w:color="auto"/>
              <w:left w:val="single" w:sz="4" w:space="0" w:color="auto"/>
              <w:bottom w:val="single" w:sz="4" w:space="0" w:color="auto"/>
              <w:right w:val="single" w:sz="4" w:space="0" w:color="auto"/>
            </w:tcBorders>
          </w:tcPr>
          <w:p w:rsidR="0049453F" w:rsidRPr="00862ADE" w:rsidP="00BD3D2B" w14:paraId="064D254D" w14:textId="77777777">
            <w:pPr>
              <w:pStyle w:val="TableText"/>
              <w:rPr>
                <w:rFonts w:ascii="Times New Roman" w:hAnsi="Times New Roman"/>
              </w:rPr>
            </w:pPr>
            <w:r w:rsidRPr="00862ADE">
              <w:rPr>
                <w:rFonts w:ascii="Times New Roman" w:hAnsi="Times New Roman"/>
              </w:rPr>
              <w:t>20.5 (0.08 – 292.2)*</w:t>
            </w:r>
          </w:p>
        </w:tc>
      </w:tr>
      <w:tr w14:paraId="4D008A6C" w14:textId="77777777" w:rsidTr="00BD3D2B">
        <w:tblPrEx>
          <w:tblW w:w="5000" w:type="pct"/>
          <w:tblLook w:val="04A0"/>
        </w:tblPrEx>
        <w:tc>
          <w:tcPr>
            <w:tcW w:w="1700" w:type="pct"/>
            <w:gridSpan w:val="2"/>
            <w:tcBorders>
              <w:top w:val="single" w:sz="4" w:space="0" w:color="auto"/>
              <w:left w:val="single" w:sz="4" w:space="0" w:color="auto"/>
              <w:bottom w:val="single" w:sz="4" w:space="0" w:color="auto"/>
              <w:right w:val="single" w:sz="4" w:space="0" w:color="auto"/>
            </w:tcBorders>
          </w:tcPr>
          <w:p w:rsidR="0049453F" w:rsidRPr="00862ADE" w:rsidP="00BD3D2B" w14:paraId="0FCE8D14" w14:textId="77777777">
            <w:pPr>
              <w:pStyle w:val="TableText"/>
              <w:rPr>
                <w:rFonts w:ascii="Times New Roman" w:hAnsi="Times New Roman"/>
              </w:rPr>
            </w:pPr>
            <w:r w:rsidRPr="00862ADE">
              <w:rPr>
                <w:rFonts w:ascii="Times New Roman" w:hAnsi="Times New Roman"/>
              </w:rPr>
              <w:t>Harber et al. (2003)</w:t>
            </w:r>
          </w:p>
        </w:tc>
        <w:tc>
          <w:tcPr>
            <w:tcW w:w="1550" w:type="pct"/>
            <w:tcBorders>
              <w:top w:val="single" w:sz="4" w:space="0" w:color="auto"/>
              <w:left w:val="single" w:sz="4" w:space="0" w:color="auto"/>
              <w:bottom w:val="single" w:sz="4" w:space="0" w:color="auto"/>
              <w:right w:val="single" w:sz="4" w:space="0" w:color="auto"/>
            </w:tcBorders>
          </w:tcPr>
          <w:p w:rsidR="0049453F" w:rsidRPr="00862ADE" w:rsidP="00BD3D2B" w14:paraId="0206FB41" w14:textId="77777777">
            <w:pPr>
              <w:pStyle w:val="TableText"/>
              <w:rPr>
                <w:rFonts w:ascii="Times New Roman" w:hAnsi="Times New Roman"/>
              </w:rPr>
            </w:pPr>
            <w:r w:rsidRPr="00862ADE">
              <w:rPr>
                <w:rFonts w:ascii="Times New Roman" w:hAnsi="Times New Roman"/>
              </w:rPr>
              <w:t>1.4 (0.1 – 9.2)</w:t>
            </w:r>
          </w:p>
        </w:tc>
        <w:tc>
          <w:tcPr>
            <w:tcW w:w="1750" w:type="pct"/>
            <w:tcBorders>
              <w:top w:val="single" w:sz="4" w:space="0" w:color="auto"/>
              <w:left w:val="single" w:sz="4" w:space="0" w:color="auto"/>
              <w:bottom w:val="single" w:sz="4" w:space="0" w:color="auto"/>
              <w:right w:val="single" w:sz="4" w:space="0" w:color="auto"/>
            </w:tcBorders>
          </w:tcPr>
          <w:p w:rsidR="0049453F" w:rsidRPr="00862ADE" w:rsidP="00BD3D2B" w14:paraId="60E1AEEC" w14:textId="77777777">
            <w:pPr>
              <w:pStyle w:val="TableText"/>
              <w:rPr>
                <w:rFonts w:ascii="Times New Roman" w:hAnsi="Times New Roman"/>
              </w:rPr>
            </w:pPr>
            <w:r w:rsidRPr="00862ADE">
              <w:rPr>
                <w:rFonts w:ascii="Times New Roman" w:hAnsi="Times New Roman"/>
              </w:rPr>
              <w:t>48.4 (0.2 – 415.8)</w:t>
            </w:r>
          </w:p>
        </w:tc>
      </w:tr>
      <w:tr w14:paraId="5A0BFC05" w14:textId="77777777" w:rsidTr="00BD3D2B">
        <w:tblPrEx>
          <w:tblW w:w="5000" w:type="pct"/>
          <w:tblLook w:val="04A0"/>
        </w:tblPrEx>
        <w:tc>
          <w:tcPr>
            <w:tcW w:w="1700" w:type="pct"/>
            <w:gridSpan w:val="2"/>
            <w:tcBorders>
              <w:top w:val="single" w:sz="4" w:space="0" w:color="auto"/>
              <w:left w:val="single" w:sz="4" w:space="0" w:color="auto"/>
              <w:bottom w:val="single" w:sz="4" w:space="0" w:color="auto"/>
              <w:right w:val="single" w:sz="4" w:space="0" w:color="auto"/>
            </w:tcBorders>
          </w:tcPr>
          <w:p w:rsidR="0049453F" w:rsidRPr="00862ADE" w:rsidP="00BD3D2B" w14:paraId="28CB374A" w14:textId="77777777">
            <w:pPr>
              <w:pStyle w:val="TableText"/>
              <w:rPr>
                <w:rFonts w:ascii="Times New Roman" w:hAnsi="Times New Roman"/>
              </w:rPr>
            </w:pPr>
            <w:r w:rsidRPr="00862ADE">
              <w:rPr>
                <w:rFonts w:ascii="Times New Roman" w:hAnsi="Times New Roman"/>
              </w:rPr>
              <w:t>Neghab et al. (2011)</w:t>
            </w:r>
          </w:p>
        </w:tc>
        <w:tc>
          <w:tcPr>
            <w:tcW w:w="1550" w:type="pct"/>
            <w:tcBorders>
              <w:top w:val="single" w:sz="4" w:space="0" w:color="auto"/>
              <w:left w:val="single" w:sz="4" w:space="0" w:color="auto"/>
              <w:bottom w:val="single" w:sz="4" w:space="0" w:color="auto"/>
              <w:right w:val="single" w:sz="4" w:space="0" w:color="auto"/>
            </w:tcBorders>
          </w:tcPr>
          <w:p w:rsidR="0049453F" w:rsidRPr="00862ADE" w:rsidP="00BD3D2B" w14:paraId="1714D47F" w14:textId="77777777">
            <w:pPr>
              <w:pStyle w:val="TableText"/>
              <w:rPr>
                <w:rFonts w:ascii="Times New Roman" w:hAnsi="Times New Roman"/>
              </w:rPr>
            </w:pPr>
            <w:r w:rsidRPr="00862ADE">
              <w:rPr>
                <w:rFonts w:ascii="Times New Roman" w:hAnsi="Times New Roman"/>
              </w:rPr>
              <w:t>6.2 (4.5 – 7.9)</w:t>
            </w:r>
          </w:p>
        </w:tc>
        <w:tc>
          <w:tcPr>
            <w:tcW w:w="1750" w:type="pct"/>
            <w:tcBorders>
              <w:top w:val="single" w:sz="4" w:space="0" w:color="auto"/>
              <w:left w:val="single" w:sz="4" w:space="0" w:color="auto"/>
              <w:bottom w:val="single" w:sz="4" w:space="0" w:color="auto"/>
              <w:right w:val="single" w:sz="4" w:space="0" w:color="auto"/>
            </w:tcBorders>
          </w:tcPr>
          <w:p w:rsidR="0049453F" w:rsidRPr="00862ADE" w:rsidP="00BD3D2B" w14:paraId="1528D1F9" w14:textId="77777777">
            <w:pPr>
              <w:pStyle w:val="TableText"/>
              <w:rPr>
                <w:rFonts w:ascii="Times New Roman" w:hAnsi="Times New Roman"/>
              </w:rPr>
            </w:pPr>
            <w:r w:rsidRPr="00862ADE">
              <w:rPr>
                <w:rFonts w:ascii="Times New Roman" w:hAnsi="Times New Roman"/>
              </w:rPr>
              <w:t>NA</w:t>
            </w:r>
          </w:p>
        </w:tc>
      </w:tr>
      <w:tr w14:paraId="081B6359" w14:textId="77777777" w:rsidTr="00BD3D2B">
        <w:tblPrEx>
          <w:tblW w:w="5000" w:type="pct"/>
          <w:tblLook w:val="04A0"/>
        </w:tblPrEx>
        <w:tc>
          <w:tcPr>
            <w:tcW w:w="5000" w:type="pct"/>
            <w:gridSpan w:val="4"/>
            <w:tcBorders>
              <w:top w:val="single" w:sz="4" w:space="0" w:color="auto"/>
              <w:left w:val="single" w:sz="4" w:space="0" w:color="auto"/>
              <w:bottom w:val="single" w:sz="4" w:space="0" w:color="auto"/>
              <w:right w:val="single" w:sz="4" w:space="0" w:color="auto"/>
            </w:tcBorders>
          </w:tcPr>
          <w:p w:rsidR="0049453F" w:rsidRPr="002B2456" w:rsidP="00CA0464" w14:paraId="18D03F5C" w14:textId="77777777">
            <w:pPr>
              <w:pStyle w:val="BodyText"/>
              <w:spacing w:after="0"/>
              <w:rPr>
                <w:sz w:val="20"/>
              </w:rPr>
            </w:pPr>
            <w:r w:rsidRPr="002B2456">
              <w:rPr>
                <w:sz w:val="20"/>
              </w:rPr>
              <w:t>* Value converted from mg-month/m</w:t>
            </w:r>
            <w:r w:rsidRPr="002B2456">
              <w:rPr>
                <w:sz w:val="20"/>
                <w:vertAlign w:val="superscript"/>
              </w:rPr>
              <w:t>3</w:t>
            </w:r>
            <w:r w:rsidRPr="002B2456">
              <w:rPr>
                <w:sz w:val="20"/>
              </w:rPr>
              <w:t xml:space="preserve"> to mg-year/m</w:t>
            </w:r>
            <w:r w:rsidRPr="002B2456">
              <w:rPr>
                <w:sz w:val="20"/>
                <w:vertAlign w:val="superscript"/>
              </w:rPr>
              <w:t>3</w:t>
            </w:r>
            <w:r w:rsidRPr="002B2456">
              <w:rPr>
                <w:sz w:val="20"/>
              </w:rPr>
              <w:t>.</w:t>
            </w:r>
          </w:p>
        </w:tc>
      </w:tr>
    </w:tbl>
    <w:p w:rsidR="0049453F" w:rsidP="0049453F" w14:paraId="1DBF0648" w14:textId="77777777">
      <w:pPr>
        <w:spacing w:after="240"/>
      </w:pPr>
    </w:p>
    <w:p w:rsidR="006319A7" w:rsidP="006319A7" w14:paraId="1894620E" w14:textId="1E638678">
      <w:pPr>
        <w:pStyle w:val="BodyText"/>
        <w:spacing w:after="240"/>
        <w:rPr>
          <w:lang w:val="en-US"/>
        </w:rPr>
      </w:pPr>
      <w:hyperlink w:anchor="_ENREF_33" w:tooltip="Neghab, 2011 #33" w:history="1">
        <w:r w:rsidR="003D6084">
          <w:rPr>
            <w:lang w:val="en-US"/>
          </w:rPr>
          <w:fldChar w:fldCharType="begin" w:fldLock="1"/>
        </w:r>
        <w:r w:rsidR="003D6084">
          <w:rPr>
            <w:lang w:val="en-US"/>
          </w:rPr>
          <w:instrText xml:space="preserve"> ADDIN EN.CITE &lt;EndNote&gt;&lt;Cite AuthorYear="1"&gt;&lt;Author&gt;Neghab&lt;/Author&gt;&lt;Year&gt;2011&lt;/Year&gt;&lt;RecNum&gt;33&lt;/RecNum&gt;&lt;DisplayText&gt;Neghab, Mohraz et al. (2011)&lt;/DisplayText&gt;&lt;record&gt;&lt;rec-number&gt;33&lt;/rec-number&gt;&lt;foreign-keys&gt;&lt;key app="EN" db-id="2apzr05radv9fjet2w6xxwdlz5e9vwfxredw" timestamp="1730757315"&gt;33&lt;/key&gt;&lt;/foreign-keys&gt;&lt;ref-type name="Journal Article"&gt;17&lt;/ref-type&gt;&lt;contributors&gt;&lt;authors&gt;&lt;author&gt;Neghab, M.&lt;/author&gt;&lt;author&gt;Mohraz, M. H.&lt;/author&gt;&lt;author&gt;Hassanzadeh, J.&lt;/author&gt;&lt;/authors&gt;&lt;/contributors&gt;&lt;auth-address&gt;Department of Occupational Health, School of Health and Nutrition and Research Center for Health Sciences.&lt;/auth-address&gt;&lt;titles&gt;&lt;title&gt;Symptoms of respiratory disease and lung functional impairment associated with occupational inhalation exposure to carbon black dust&lt;/title&gt;&lt;secondary-title&gt;J Occup Health&lt;/secondary-title&gt;&lt;/titles&gt;&lt;periodical&gt;&lt;full-title&gt;J Occup Health&lt;/full-title&gt;&lt;/periodical&gt;&lt;pages&gt;432-8&lt;/pages&gt;&lt;volume&gt;53&lt;/volume&gt;&lt;number&gt;6&lt;/number&gt;&lt;edition&gt;20111013&lt;/edition&gt;&lt;keywords&gt;&lt;keyword&gt;Adult&lt;/keyword&gt;&lt;keyword&gt;Air Pollutants, Occupational/analysis/*toxicity&lt;/keyword&gt;&lt;keyword&gt;Chemical Industry&lt;/keyword&gt;&lt;keyword&gt;Cross-Sectional Studies&lt;/keyword&gt;&lt;keyword&gt;Dust/*analysis&lt;/keyword&gt;&lt;keyword&gt;Environmental Monitoring&lt;/keyword&gt;&lt;keyword&gt;Humans&lt;/keyword&gt;&lt;keyword&gt;Inhalation Exposure/adverse effects/analysis&lt;/keyword&gt;&lt;keyword&gt;Iran&lt;/keyword&gt;&lt;keyword&gt;Male&lt;/keyword&gt;&lt;keyword&gt;Occupational Exposure/*adverse effects/analysis&lt;/keyword&gt;&lt;keyword&gt;Respiratory Function Tests&lt;/keyword&gt;&lt;keyword&gt;Respiratory Tract Diseases/*chemically induced/diagnosis&lt;/keyword&gt;&lt;keyword&gt;*Rubber&lt;/keyword&gt;&lt;keyword&gt;Soot/analysis/*toxicity&lt;/keyword&gt;&lt;keyword&gt;Time Factors&lt;/keyword&gt;&lt;/keywords&gt;&lt;dates&gt;&lt;year&gt;2011&lt;/year&gt;&lt;/dates&gt;&lt;isbn&gt;1341-9145&lt;/isbn&gt;&lt;accession-num&gt;21996929&lt;/accession-num&gt;&lt;urls&gt;&lt;/urls&gt;&lt;electronic-resource-num&gt;10.1539/joh.11-0083-oa&lt;/electronic-resource-num&gt;&lt;remote-database-provider&gt;NLM&lt;/remote-database-provider&gt;&lt;language&gt;eng&lt;/language&gt;&lt;/record&gt;&lt;/Cite&gt;&lt;/EndNote&gt;</w:instrText>
        </w:r>
        <w:r w:rsidR="003D6084">
          <w:rPr>
            <w:lang w:val="en-US"/>
          </w:rPr>
          <w:fldChar w:fldCharType="separate"/>
        </w:r>
        <w:r w:rsidR="003D6084">
          <w:rPr>
            <w:noProof/>
            <w:lang w:val="en-US"/>
          </w:rPr>
          <w:t>Neghab, Mohraz et al. (2011)</w:t>
        </w:r>
        <w:r w:rsidR="003D6084">
          <w:rPr>
            <w:lang w:val="en-US"/>
          </w:rPr>
          <w:fldChar w:fldCharType="end"/>
        </w:r>
      </w:hyperlink>
      <w:r w:rsidR="0089027D">
        <w:rPr>
          <w:lang w:val="en-US"/>
        </w:rPr>
        <w:t xml:space="preserve"> </w:t>
      </w:r>
      <w:r w:rsidRPr="4A8A1481">
        <w:rPr>
          <w:lang w:val="en-US"/>
        </w:rPr>
        <w:t xml:space="preserve">compared exposed workers to unexposed office workers using a binary exposure variable and only provides enough information for responses at a single dose rather than a dose-response function with a continuous exposure variable. As such, this study is excluded from the remainder of the benefits analysis. </w:t>
      </w:r>
    </w:p>
    <w:p w:rsidR="006319A7" w:rsidP="006319A7" w14:paraId="0F826C42" w14:textId="77777777">
      <w:pPr>
        <w:pStyle w:val="BodyText"/>
        <w:spacing w:after="240"/>
      </w:pPr>
      <w:r w:rsidRPr="4A8A1481">
        <w:rPr>
          <w:lang w:val="en-US"/>
        </w:rPr>
        <w:t>However, Harber et al. and Gardiner et al. both provide enough information to estimate continuous dose-response functions for carbon black dusts and respiratory effects</w:t>
      </w:r>
      <w:r>
        <w:rPr>
          <w:lang w:val="en-US"/>
        </w:rPr>
        <w:t xml:space="preserve"> based on cumulative long-term exposures (mg-month/m</w:t>
      </w:r>
      <w:r w:rsidRPr="0087635F">
        <w:rPr>
          <w:vertAlign w:val="superscript"/>
          <w:lang w:val="en-US"/>
        </w:rPr>
        <w:t>3</w:t>
      </w:r>
      <w:r>
        <w:rPr>
          <w:lang w:val="en-US"/>
        </w:rPr>
        <w:t xml:space="preserve"> or mg-year/m</w:t>
      </w:r>
      <w:r w:rsidRPr="0087635F">
        <w:rPr>
          <w:vertAlign w:val="superscript"/>
          <w:lang w:val="en-US"/>
        </w:rPr>
        <w:t>3</w:t>
      </w:r>
      <w:r>
        <w:rPr>
          <w:lang w:val="en-US"/>
        </w:rPr>
        <w:t>)</w:t>
      </w:r>
      <w:r w:rsidRPr="4A8A1481">
        <w:rPr>
          <w:lang w:val="en-US"/>
        </w:rPr>
        <w:t>.</w:t>
      </w:r>
    </w:p>
    <w:p w:rsidR="003E0DFC" w:rsidP="00BD3D2B" w14:paraId="50752DB4" w14:textId="2050785F">
      <w:pPr>
        <w:pStyle w:val="Heading2"/>
      </w:pPr>
      <w:bookmarkStart w:id="274" w:name="_Ref181360892"/>
      <w:bookmarkStart w:id="275" w:name="_Toc184299524"/>
      <w:r>
        <w:t>Dose-Response Functions for Chronic Bronchitis from Regulated PV29 Exposure</w:t>
      </w:r>
      <w:bookmarkEnd w:id="274"/>
      <w:bookmarkEnd w:id="275"/>
    </w:p>
    <w:p w:rsidR="000F3FFC" w:rsidP="000F3FFC" w14:paraId="4C251F5F" w14:textId="4FEAC09A">
      <w:pPr>
        <w:pStyle w:val="BodyText"/>
        <w:spacing w:after="240"/>
      </w:pPr>
      <w:r>
        <w:t xml:space="preserve">Health endpoints associated with unreasonable risk in the Risk Evaluation included increased lung burden, alveolar hyperplasia, and inflammatory and morphological changes in the lower respiratory tract. These endpoints are also not monetizable themselves; however, respiratory symptoms measured in the occupational studies have already been assessed as part of other EPA efforts including </w:t>
      </w:r>
      <w:r w:rsidRPr="470C1510">
        <w:rPr>
          <w:i/>
          <w:iCs/>
        </w:rPr>
        <w:t>The Benefits and Costs of the Clean Air Act from 1990 to 2020</w:t>
      </w:r>
      <w:r>
        <w:t xml:space="preserve"> </w:t>
      </w:r>
      <w:r w:rsidR="006068E6">
        <w:t>(</w:t>
      </w:r>
      <w:hyperlink w:anchor="_ENREF_52" w:tooltip="U.S. Environmental Protection Agency (EPA), 2011 #52" w:history="1">
        <w:r w:rsidR="003D6084">
          <w:fldChar w:fldCharType="begin" w:fldLock="1"/>
        </w:r>
        <w:r w:rsidR="003D6084">
          <w:instrText xml:space="preserve"> ADDIN EN.CITE &lt;EndNote&gt;&lt;Cite ExcludeAuth="1"&gt;&lt;Author&gt;U.S. Environmental Protection Agency (EPA)&lt;/Author&gt;&lt;Year&gt;2011&lt;/Year&gt;&lt;RecNum&gt;52&lt;/RecNum&gt;&lt;Prefix&gt;EPA &lt;/Prefix&gt;&lt;DisplayText&gt;EPA 2011&lt;/DisplayText&gt;&lt;record&gt;&lt;rec-number&gt;52&lt;/rec-number&gt;&lt;foreign-keys&gt;&lt;key app="EN" db-id="2apzr05radv9fjet2w6xxwdlz5e9vwfxredw" timestamp="1730757315"&gt;52&lt;/key&gt;&lt;/foreign-keys&gt;&lt;ref-type name="Generic"&gt;13&lt;/ref-type&gt;&lt;contributors&gt;&lt;authors&gt;&lt;author&gt;U.S. Environmental Protection Agency (EPA),&lt;/author&gt;&lt;/authors&gt;&lt;/contributors&gt;&lt;titles&gt;&lt;title&gt;The Benefits and Costs of the Clean Air Act from 1990 to 2020. Final Report - Rev. A. Office of Air and Radiation&lt;/title&gt;&lt;/titles&gt;&lt;dates&gt;&lt;year&gt;2011&lt;/year&gt;&lt;pub-dates&gt;&lt;date&gt;April 2011&lt;/date&gt;&lt;/pub-dates&gt;&lt;/dates&gt;&lt;urls&gt;&lt;/urls&gt;&lt;/record&gt;&lt;/Cite&gt;&lt;/EndNote&gt;</w:instrText>
        </w:r>
        <w:r w:rsidR="003D6084">
          <w:fldChar w:fldCharType="separate"/>
        </w:r>
        <w:r w:rsidR="003D6084">
          <w:rPr>
            <w:noProof/>
          </w:rPr>
          <w:t>EPA 2011</w:t>
        </w:r>
        <w:r w:rsidR="003D6084">
          <w:fldChar w:fldCharType="end"/>
        </w:r>
      </w:hyperlink>
      <w:r w:rsidR="006068E6">
        <w:t>)</w:t>
      </w:r>
      <w:r>
        <w:t>. Medical surveillance questionnaires were administered to participants in all studies discussed above and were designed to collect respiratory symptom information related to COPD. Chronic bronchitis, a type of COPD, is measured in both Harber et al., and Gardiner et al.</w:t>
      </w:r>
      <w:r>
        <w:rPr>
          <w:rStyle w:val="FootnoteReference"/>
        </w:rPr>
        <w:footnoteReference w:id="19"/>
      </w:r>
      <w:r>
        <w:t xml:space="preserve"> and costs associated with preventing morbidity from chronic bronchitis are available in </w:t>
      </w:r>
      <w:r w:rsidR="00F46D22">
        <w:t>EPA (</w:t>
      </w:r>
      <w:hyperlink w:anchor="_ENREF_52" w:tooltip="U.S. Environmental Protection Agency (EPA), 2011 #52" w:history="1">
        <w:r w:rsidR="003D6084">
          <w:fldChar w:fldCharType="begin" w:fldLock="1"/>
        </w:r>
        <w:r w:rsidR="003D6084">
          <w:instrText xml:space="preserve"> ADDIN EN.CITE &lt;EndNote&gt;&lt;Cite ExcludeAuth="1"&gt;&lt;Author&gt;U.S. Environmental Protection Agency (EPA)&lt;/Author&gt;&lt;Year&gt;2011&lt;/Year&gt;&lt;RecNum&gt;52&lt;/RecNum&gt;&lt;DisplayText&gt;2011&lt;/DisplayText&gt;&lt;record&gt;&lt;rec-number&gt;52&lt;/rec-number&gt;&lt;foreign-keys&gt;&lt;key app="EN" db-id="2apzr05radv9fjet2w6xxwdlz5e9vwfxredw" timestamp="1730757315"&gt;52&lt;/key&gt;&lt;/foreign-keys&gt;&lt;ref-type name="Generic"&gt;13&lt;/ref-type&gt;&lt;contributors&gt;&lt;authors&gt;&lt;author&gt;U.S. Environmental Protection Agency (EPA),&lt;/author&gt;&lt;/authors&gt;&lt;/contributors&gt;&lt;titles&gt;&lt;title&gt;The Benefits and Costs of the Clean Air Act from 1990 to 2020. Final Report - Rev. A. Office of Air and Radiation&lt;/title&gt;&lt;/titles&gt;&lt;dates&gt;&lt;year&gt;2011&lt;/year&gt;&lt;pub-dates&gt;&lt;date&gt;April 2011&lt;/date&gt;&lt;/pub-dates&gt;&lt;/dates&gt;&lt;urls&gt;&lt;/urls&gt;&lt;/record&gt;&lt;/Cite&gt;&lt;/EndNote&gt;</w:instrText>
        </w:r>
        <w:r w:rsidR="003D6084">
          <w:fldChar w:fldCharType="separate"/>
        </w:r>
        <w:r w:rsidR="003D6084">
          <w:rPr>
            <w:noProof/>
          </w:rPr>
          <w:t>2011</w:t>
        </w:r>
        <w:r w:rsidR="003D6084">
          <w:fldChar w:fldCharType="end"/>
        </w:r>
      </w:hyperlink>
      <w:r w:rsidR="00F46D22">
        <w:t>)</w:t>
      </w:r>
      <w:r w:rsidR="006A3B3A">
        <w:t>.</w:t>
      </w:r>
    </w:p>
    <w:p w:rsidR="000F3FFC" w:rsidP="000F3FFC" w14:paraId="47316424" w14:textId="77777777">
      <w:pPr>
        <w:pStyle w:val="Heading3"/>
      </w:pPr>
      <w:bookmarkStart w:id="276" w:name="_Ref181219362"/>
      <w:r>
        <w:t>Gardiner et al. (2001)</w:t>
      </w:r>
      <w:bookmarkEnd w:id="276"/>
    </w:p>
    <w:p w:rsidR="000F3FFC" w:rsidRPr="00F46D22" w:rsidP="000F3FFC" w14:paraId="4CDB90BE" w14:textId="54123D67">
      <w:pPr>
        <w:pStyle w:val="BodyText"/>
        <w:spacing w:after="240"/>
      </w:pPr>
      <w:r w:rsidRPr="54F49DC4">
        <w:rPr>
          <w:lang w:val="en-US"/>
        </w:rPr>
        <w:t xml:space="preserve">Following Gardiner et al. (2001), EPA estimated the avoided cases of chronic bronchitis using </w:t>
      </w:r>
      <w:r w:rsidRPr="00F46D22">
        <w:fldChar w:fldCharType="begin" w:fldLock="1"/>
      </w:r>
      <w:r w:rsidRPr="00F46D22">
        <w:instrText xml:space="preserve"> REF _Ref181217740 </w:instrText>
      </w:r>
      <w:r w:rsidR="00F46D22">
        <w:instrText xml:space="preserve"> \* MERGEFORMAT </w:instrText>
      </w:r>
      <w:r w:rsidRPr="00F46D22">
        <w:fldChar w:fldCharType="separate"/>
      </w:r>
      <w:r w:rsidRPr="00735BBC" w:rsidR="00735BBC">
        <w:rPr>
          <w:lang w:val="en-US"/>
        </w:rPr>
        <w:t>Equation 5</w:t>
      </w:r>
      <w:r w:rsidRPr="00735BBC" w:rsidR="00735BBC">
        <w:rPr>
          <w:lang w:val="en-US"/>
        </w:rPr>
        <w:noBreakHyphen/>
        <w:t>1</w:t>
      </w:r>
      <w:r w:rsidRPr="00F46D22">
        <w:fldChar w:fldCharType="end"/>
      </w:r>
      <w:r w:rsidR="00A24E05">
        <w:t xml:space="preserve"> (Also see </w:t>
      </w:r>
      <w:r w:rsidR="00B82B6F">
        <w:t xml:space="preserve">Appendix C </w:t>
      </w:r>
      <w:r w:rsidR="00EB3AFE">
        <w:t xml:space="preserve">of </w:t>
      </w:r>
      <w:r w:rsidR="002876EF">
        <w:t>EPA’s (</w:t>
      </w:r>
      <w:hyperlink w:anchor="_ENREF_67" w:tooltip="U.S. Environmental Protection Agency (EPA), 2023 #66" w:history="1">
        <w:r w:rsidR="003D6084">
          <w:fldChar w:fldCharType="begin" w:fldLock="1"/>
        </w:r>
        <w:r w:rsidR="003D6084">
          <w:instrText xml:space="preserve"> ADDIN EN.CITE &lt;EndNote&gt;&lt;Cite ExcludeAuth="1"&gt;&lt;Author&gt;U.S. Environmental Protection Agency (EPA)&lt;/Author&gt;&lt;Year&gt;2023&lt;/Year&gt;&lt;RecNum&gt;66&lt;/RecNum&gt;&lt;DisplayText&gt;2023&lt;/DisplayText&gt;&lt;record&gt;&lt;rec-number&gt;66&lt;/rec-number&gt;&lt;foreign-keys&gt;&lt;key app="EN" db-id="2apzr05radv9fjet2w6xxwdlz5e9vwfxredw" timestamp="1730757315"&gt;66&lt;/key&gt;&lt;/foreign-keys&gt;&lt;ref-type name="Generic"&gt;13&lt;/ref-type&gt;&lt;contributors&gt;&lt;authors&gt;&lt;author&gt;U.S. Environmental Protection Agency (EPA),&lt;/author&gt;&lt;/authors&gt;&lt;/contributors&gt;&lt;titles&gt;&lt;title&gt;Environmental Benefits Mapping and Analysis Program – Community Edition. User&amp;apos;s Manual. Updated for BenMAP-CE Version 1.5.8&lt;/title&gt;&lt;/titles&gt;&lt;dates&gt;&lt;year&gt;2023&lt;/year&gt;&lt;pub-dates&gt;&lt;date&gt;March 2023&lt;/date&gt;&lt;/pub-dates&gt;&lt;/dates&gt;&lt;urls&gt;&lt;related-urls&gt;&lt;url&gt;https://www.epa.gov/sites/default/files/2015-04/documents/benmap-ce_user_manual_march_2015.pdf&lt;/url&gt;&lt;/related-urls&gt;&lt;/urls&gt;&lt;/record&gt;&lt;/Cite&gt;&lt;/EndNote&gt;</w:instrText>
        </w:r>
        <w:r w:rsidR="003D6084">
          <w:fldChar w:fldCharType="separate"/>
        </w:r>
        <w:r w:rsidR="003D6084">
          <w:rPr>
            <w:noProof/>
          </w:rPr>
          <w:t>2023</w:t>
        </w:r>
        <w:r w:rsidR="003D6084">
          <w:fldChar w:fldCharType="end"/>
        </w:r>
      </w:hyperlink>
      <w:r w:rsidR="002876EF">
        <w:t>)</w:t>
      </w:r>
      <w:r w:rsidR="00EB3AFE">
        <w:t xml:space="preserve"> BenMap User Manual</w:t>
      </w:r>
      <w:r w:rsidR="00A24E05">
        <w:t>)</w:t>
      </w:r>
      <w:r w:rsidRPr="00F46D22">
        <w:t xml:space="preserve">: </w:t>
      </w:r>
    </w:p>
    <w:p w:rsidR="000F3FFC" w:rsidRPr="00F46D22" w:rsidP="000F3FFC" w14:paraId="1E4CB6CC" w14:textId="7DCAD705">
      <w:pPr>
        <w:pStyle w:val="Caption"/>
        <w:jc w:val="center"/>
        <w:rPr>
          <w:sz w:val="16"/>
          <w:szCs w:val="20"/>
        </w:rPr>
      </w:pPr>
      <w:bookmarkStart w:id="277" w:name="_Ref181217740"/>
      <w:r w:rsidRPr="00F46D22">
        <w:t xml:space="preserve">Equation </w:t>
      </w:r>
      <w:r>
        <w:fldChar w:fldCharType="begin" w:fldLock="1"/>
      </w:r>
      <w:r>
        <w:instrText>STYLEREF 1 \s</w:instrText>
      </w:r>
      <w:r>
        <w:fldChar w:fldCharType="separate"/>
      </w:r>
      <w:r w:rsidR="00735BBC">
        <w:rPr>
          <w:noProof/>
        </w:rPr>
        <w:t>5</w:t>
      </w:r>
      <w:r>
        <w:fldChar w:fldCharType="end"/>
      </w:r>
      <w:r w:rsidRPr="00F46D22">
        <w:noBreakHyphen/>
      </w:r>
      <w:r>
        <w:fldChar w:fldCharType="begin" w:fldLock="1"/>
      </w:r>
      <w:r>
        <w:instrText>SEQ Equation \* ARABIC \s 1</w:instrText>
      </w:r>
      <w:r>
        <w:fldChar w:fldCharType="separate"/>
      </w:r>
      <w:r w:rsidR="00735BBC">
        <w:rPr>
          <w:noProof/>
        </w:rPr>
        <w:t>1</w:t>
      </w:r>
      <w:r>
        <w:fldChar w:fldCharType="end"/>
      </w:r>
      <w:bookmarkEnd w:id="277"/>
      <w:r w:rsidRPr="00F46D22">
        <w:t xml:space="preserve">:  </w:t>
      </w:r>
      <m:oMath>
        <m:r>
          <m:rPr>
            <m:sty m:val="bi"/>
          </m:rPr>
          <w:rPr>
            <w:rFonts w:ascii="Cambria Math" w:hAnsi="Cambria Math"/>
            <w:sz w:val="22"/>
            <w:szCs w:val="21"/>
          </w:rPr>
          <m:t>∆y=</m:t>
        </m:r>
        <m:sSub>
          <m:sSubPr>
            <m:ctrlPr>
              <w:rPr>
                <w:rFonts w:ascii="Cambria Math" w:hAnsi="Cambria Math"/>
                <w:i/>
                <w:sz w:val="22"/>
                <w:szCs w:val="21"/>
              </w:rPr>
            </m:ctrlPr>
          </m:sSubPr>
          <m:e>
            <m:r>
              <m:rPr>
                <m:sty m:val="bi"/>
              </m:rPr>
              <w:rPr>
                <w:rFonts w:ascii="Cambria Math" w:hAnsi="Cambria Math"/>
                <w:sz w:val="22"/>
                <w:szCs w:val="21"/>
              </w:rPr>
              <m:t>y</m:t>
            </m:r>
          </m:e>
          <m:sub>
            <m:r>
              <m:rPr>
                <m:sty m:val="bi"/>
              </m:rPr>
              <w:rPr>
                <w:rFonts w:ascii="Cambria Math" w:hAnsi="Cambria Math"/>
                <w:sz w:val="22"/>
                <w:szCs w:val="21"/>
              </w:rPr>
              <m:t>0</m:t>
            </m:r>
          </m:sub>
        </m:sSub>
        <m:d>
          <m:dPr>
            <m:ctrlPr>
              <w:rPr>
                <w:rFonts w:ascii="Cambria Math" w:hAnsi="Cambria Math"/>
                <w:i/>
                <w:sz w:val="22"/>
                <w:szCs w:val="21"/>
              </w:rPr>
            </m:ctrlPr>
          </m:dPr>
          <m:e>
            <m:r>
              <m:rPr>
                <m:sty m:val="bi"/>
              </m:rPr>
              <w:rPr>
                <w:rFonts w:ascii="Cambria Math" w:hAnsi="Cambria Math"/>
                <w:sz w:val="22"/>
                <w:szCs w:val="21"/>
              </w:rPr>
              <m:t>1-</m:t>
            </m:r>
            <m:f>
              <m:fPr>
                <m:ctrlPr>
                  <w:rPr>
                    <w:rFonts w:ascii="Cambria Math" w:hAnsi="Cambria Math"/>
                    <w:i/>
                    <w:sz w:val="22"/>
                    <w:szCs w:val="21"/>
                  </w:rPr>
                </m:ctrlPr>
              </m:fPr>
              <m:num>
                <m:r>
                  <m:rPr>
                    <m:sty m:val="bi"/>
                  </m:rPr>
                  <w:rPr>
                    <w:rFonts w:ascii="Cambria Math" w:hAnsi="Cambria Math"/>
                    <w:sz w:val="22"/>
                    <w:szCs w:val="21"/>
                  </w:rPr>
                  <m:t>1</m:t>
                </m:r>
              </m:num>
              <m:den>
                <m:r>
                  <m:rPr>
                    <m:sty m:val="b"/>
                  </m:rPr>
                  <w:rPr>
                    <w:rFonts w:ascii="Cambria Math" w:hAnsi="Cambria Math"/>
                    <w:sz w:val="22"/>
                    <w:szCs w:val="21"/>
                  </w:rPr>
                  <m:t>exp⁡</m:t>
                </m:r>
                <m:r>
                  <m:rPr>
                    <m:sty m:val="bi"/>
                  </m:rPr>
                  <w:rPr>
                    <w:rFonts w:ascii="Cambria Math" w:hAnsi="Cambria Math"/>
                    <w:sz w:val="22"/>
                    <w:szCs w:val="21"/>
                  </w:rPr>
                  <m:t>(β×∆PV</m:t>
                </m:r>
                <m:r>
                  <m:rPr>
                    <m:sty m:val="bi"/>
                  </m:rPr>
                  <w:rPr>
                    <w:rFonts w:ascii="Cambria Math" w:hAnsi="Cambria Math"/>
                    <w:sz w:val="22"/>
                    <w:szCs w:val="21"/>
                  </w:rPr>
                  <m:t>29)</m:t>
                </m:r>
              </m:den>
            </m:f>
          </m:e>
        </m:d>
        <m:r>
          <m:rPr>
            <m:sty m:val="bi"/>
          </m:rPr>
          <w:rPr>
            <w:rFonts w:ascii="Cambria Math" w:hAnsi="Cambria Math"/>
            <w:sz w:val="22"/>
            <w:szCs w:val="21"/>
          </w:rPr>
          <m:t>×population</m:t>
        </m:r>
      </m:oMath>
    </w:p>
    <w:p w:rsidR="000F3FFC" w:rsidRPr="00F46D22" w:rsidP="000F3FFC" w14:paraId="000D678F" w14:textId="77777777">
      <w:pPr>
        <w:pStyle w:val="BodyText"/>
        <w:spacing w:after="120"/>
        <w:ind w:left="540"/>
      </w:pPr>
      <w:r w:rsidRPr="00F46D22">
        <w:t>Where:</w:t>
      </w:r>
    </w:p>
    <w:p w:rsidR="000F3FFC" w:rsidRPr="00F46D22" w:rsidP="000F3FFC" w14:paraId="1D4A9C50" w14:textId="77777777">
      <w:pPr>
        <w:pStyle w:val="BodyText"/>
        <w:spacing w:after="120"/>
        <w:ind w:left="540"/>
        <w:rPr>
          <w:szCs w:val="21"/>
        </w:rPr>
      </w:pPr>
      <m:oMath>
        <m:r>
          <w:rPr>
            <w:rFonts w:ascii="Cambria Math" w:hAnsi="Cambria Math"/>
            <w:szCs w:val="21"/>
          </w:rPr>
          <m:t>∆y</m:t>
        </m:r>
      </m:oMath>
      <w:r w:rsidRPr="00F46D22">
        <w:rPr>
          <w:szCs w:val="21"/>
        </w:rPr>
        <w:t xml:space="preserve"> = change in cases of chronic bronchitis per year</w:t>
      </w:r>
    </w:p>
    <w:p w:rsidR="000F3FFC" w:rsidRPr="00F46D22" w:rsidP="000F3FFC" w14:paraId="525B67DA" w14:textId="24855487">
      <w:pPr>
        <w:pStyle w:val="BodyText"/>
        <w:spacing w:after="120"/>
        <w:ind w:left="540"/>
      </w:pPr>
      <m:oMath>
        <m:sSub>
          <m:sSubPr>
            <m:ctrlPr>
              <w:rPr>
                <w:rFonts w:ascii="Cambria Math" w:hAnsi="Cambria Math"/>
                <w:i/>
              </w:rPr>
            </m:ctrlPr>
          </m:sSubPr>
          <m:e>
            <m:r>
              <w:rPr>
                <w:rFonts w:ascii="Cambria Math" w:hAnsi="Cambria Math"/>
              </w:rPr>
              <m:t>y</m:t>
            </m:r>
          </m:e>
          <m:sub>
            <m:r>
              <w:rPr>
                <w:rFonts w:ascii="Cambria Math" w:hAnsi="Cambria Math"/>
              </w:rPr>
              <m:t>0</m:t>
            </m:r>
          </m:sub>
        </m:sSub>
      </m:oMath>
      <w:r w:rsidRPr="00F46D22">
        <w:t xml:space="preserve"> = baseline rate of chronic bronchitis </w:t>
      </w:r>
      <w:r w:rsidRPr="00F46D22" w:rsidR="00696425">
        <w:t>(3.6%</w:t>
      </w:r>
      <w:r w:rsidRPr="00F46D22" w:rsidR="00EA44BE">
        <w:t xml:space="preserve"> </w:t>
      </w:r>
      <w:r w:rsidR="007F4C9C">
        <w:t>(</w:t>
      </w:r>
      <w:hyperlink w:anchor="_ENREF_3" w:tooltip="American Lung Association, 2024 #3" w:history="1">
        <w:r w:rsidR="003D6084">
          <w:fldChar w:fldCharType="begin" w:fldLock="1"/>
        </w:r>
        <w:r w:rsidR="003D6084">
          <w:instrText xml:space="preserve"> ADDIN EN.CITE &lt;EndNote&gt;&lt;Cite&gt;&lt;Author&gt;American Lung Association&lt;/Author&gt;&lt;Year&gt;2024&lt;/Year&gt;&lt;RecNum&gt;3&lt;/RecNum&gt;&lt;DisplayText&gt;American Lung Association 2024&lt;/DisplayText&gt;&lt;record&gt;&lt;rec-number&gt;3&lt;/rec-number&gt;&lt;foreign-keys&gt;&lt;key app="EN" db-id="2apzr05radv9fjet2w6xxwdlz5e9vwfxredw" timestamp="1730757315"&gt;3&lt;/key&gt;&lt;/foreign-keys&gt;&lt;ref-type name="Generic"&gt;13&lt;/ref-type&gt;&lt;contributors&gt;&lt;authors&gt;&lt;author&gt;American Lung Association,&lt;/author&gt;&lt;/authors&gt;&lt;/contributors&gt;&lt;titles&gt;&lt;title&gt;COPD Trends Brief: Prevalence&lt;/title&gt;&lt;/titles&gt;&lt;dates&gt;&lt;year&gt;2024&lt;/year&gt;&lt;/dates&gt;&lt;urls&gt;&lt;related-urls&gt;&lt;url&gt;https://www.lung.org/research/trends-in-lung-disease/copd-trends-brief/copd-prevalence&lt;/url&gt;&lt;/related-urls&gt;&lt;/urls&gt;&lt;/record&gt;&lt;/Cite&gt;&lt;/EndNote&gt;</w:instrText>
        </w:r>
        <w:r w:rsidR="003D6084">
          <w:fldChar w:fldCharType="separate"/>
        </w:r>
        <w:r w:rsidR="003D6084">
          <w:rPr>
            <w:noProof/>
          </w:rPr>
          <w:t>American Lung Association 2024</w:t>
        </w:r>
        <w:r w:rsidR="003D6084">
          <w:fldChar w:fldCharType="end"/>
        </w:r>
      </w:hyperlink>
      <w:r w:rsidR="007F4C9C">
        <w:t>)</w:t>
      </w:r>
      <w:r w:rsidRPr="00F46D22" w:rsidR="00696425">
        <w:t>)</w:t>
      </w:r>
    </w:p>
    <w:p w:rsidR="000F3FFC" w:rsidRPr="00B54643" w:rsidP="000F3FFC" w14:paraId="17AC05EB" w14:textId="77777777">
      <w:pPr>
        <w:pStyle w:val="BodyText"/>
        <w:spacing w:after="120"/>
        <w:ind w:left="540"/>
      </w:pPr>
      <w:r w:rsidRPr="00F46D22">
        <w:rPr>
          <w:lang w:val="en-US"/>
        </w:rPr>
        <w:t>β = Beta estimate from Gardiner et al. (2001) (ln(1.</w:t>
      </w:r>
      <w:r w:rsidRPr="1AA815D6">
        <w:rPr>
          <w:lang w:val="en-US"/>
        </w:rPr>
        <w:t>8) or 0.5878)</w:t>
      </w:r>
    </w:p>
    <w:p w:rsidR="000F3FFC" w:rsidRPr="00B54643" w:rsidP="000F3FFC" w14:paraId="3D6BB52E" w14:textId="4335F60A">
      <w:pPr>
        <w:pStyle w:val="BodyText"/>
        <w:spacing w:after="120"/>
        <w:ind w:left="540"/>
      </w:pPr>
      <m:oMath>
        <m:r>
          <w:rPr>
            <w:rFonts w:ascii="Cambria Math" w:hAnsi="Cambria Math"/>
          </w:rPr>
          <m:t>∆PV29</m:t>
        </m:r>
      </m:oMath>
      <w:r w:rsidRPr="54F49DC4">
        <w:rPr>
          <w:lang w:val="en-US"/>
        </w:rPr>
        <w:t xml:space="preserve"> = </w:t>
      </w:r>
      <w:r w:rsidRPr="54F49DC4" w:rsidR="00790470">
        <w:rPr>
          <w:lang w:val="en-US"/>
        </w:rPr>
        <w:t>R</w:t>
      </w:r>
      <w:r w:rsidRPr="54F49DC4">
        <w:rPr>
          <w:lang w:val="en-US"/>
        </w:rPr>
        <w:t xml:space="preserve">eduction in PV29 exposure </w:t>
      </w:r>
      <w:bookmarkStart w:id="278" w:name="_Hlk86658387"/>
      <w:r w:rsidRPr="54F49DC4" w:rsidR="00790470">
        <w:rPr>
          <w:lang w:val="en-US"/>
        </w:rPr>
        <w:t xml:space="preserve">under the regulatory option </w:t>
      </w:r>
      <w:r w:rsidRPr="54F49DC4">
        <w:rPr>
          <w:lang w:val="en-US"/>
        </w:rPr>
        <w:t>(mg-year/m</w:t>
      </w:r>
      <w:r w:rsidRPr="54F49DC4">
        <w:rPr>
          <w:vertAlign w:val="superscript"/>
          <w:lang w:val="en-US"/>
        </w:rPr>
        <w:t>3</w:t>
      </w:r>
      <w:r w:rsidRPr="54F49DC4">
        <w:rPr>
          <w:lang w:val="en-US"/>
        </w:rPr>
        <w:t>)</w:t>
      </w:r>
      <w:bookmarkEnd w:id="278"/>
    </w:p>
    <w:p w:rsidR="000F3FFC" w:rsidP="000F3FFC" w14:paraId="68127103" w14:textId="77777777">
      <w:pPr>
        <w:pStyle w:val="BodyText"/>
        <w:spacing w:after="120"/>
        <w:ind w:left="540"/>
      </w:pPr>
      <m:oMath>
        <m:r>
          <w:rPr>
            <w:rFonts w:ascii="Cambria Math" w:hAnsi="Cambria Math"/>
          </w:rPr>
          <m:t>population</m:t>
        </m:r>
      </m:oMath>
      <w:r w:rsidRPr="00B54643">
        <w:t xml:space="preserve"> = number of workers or ONUs in the population of interest</w:t>
      </w:r>
    </w:p>
    <w:p w:rsidR="000F3FFC" w:rsidP="000F3FFC" w14:paraId="26866EFC" w14:textId="77777777">
      <w:pPr>
        <w:pStyle w:val="Heading3"/>
      </w:pPr>
      <w:bookmarkStart w:id="279" w:name="_Ref181219370"/>
      <w:r>
        <w:t>Harber et al. (2003)</w:t>
      </w:r>
      <w:bookmarkEnd w:id="279"/>
    </w:p>
    <w:p w:rsidR="000F3FFC" w:rsidP="000F3FFC" w14:paraId="0E5C8CCC" w14:textId="77777777">
      <w:pPr>
        <w:pStyle w:val="BodyText"/>
        <w:spacing w:after="120"/>
      </w:pPr>
      <w:r>
        <w:t xml:space="preserve">Following Harber et al. (2003), EPA derived a dose-response function based on chronic bronchitis symptoms reported in pentiles for inhalable dust for males who never smoked. </w:t>
      </w:r>
    </w:p>
    <w:p w:rsidR="000F3FFC" w:rsidRPr="009E4CD8" w:rsidP="000F3FFC" w14:paraId="0F921A05" w14:textId="30120235">
      <w:pPr>
        <w:pStyle w:val="Caption"/>
        <w:jc w:val="center"/>
        <w:rPr>
          <w:sz w:val="16"/>
          <w:szCs w:val="20"/>
        </w:rPr>
      </w:pPr>
      <w:r>
        <w:t xml:space="preserve">Equation </w:t>
      </w:r>
      <w:r>
        <w:fldChar w:fldCharType="begin" w:fldLock="1"/>
      </w:r>
      <w:r>
        <w:instrText>STYLEREF 1 \s</w:instrText>
      </w:r>
      <w:r>
        <w:fldChar w:fldCharType="separate"/>
      </w:r>
      <w:r w:rsidR="00735BBC">
        <w:rPr>
          <w:noProof/>
        </w:rPr>
        <w:t>5</w:t>
      </w:r>
      <w:r>
        <w:fldChar w:fldCharType="end"/>
      </w:r>
      <w:r>
        <w:noBreakHyphen/>
      </w:r>
      <w:r>
        <w:fldChar w:fldCharType="begin" w:fldLock="1"/>
      </w:r>
      <w:r>
        <w:instrText>SEQ Equation \* ARABIC \s 1</w:instrText>
      </w:r>
      <w:r>
        <w:fldChar w:fldCharType="separate"/>
      </w:r>
      <w:r w:rsidR="00735BBC">
        <w:rPr>
          <w:noProof/>
        </w:rPr>
        <w:t>2</w:t>
      </w:r>
      <w:r>
        <w:fldChar w:fldCharType="end"/>
      </w:r>
      <w:r>
        <w:t xml:space="preserve">: </w:t>
      </w:r>
      <m:oMath>
        <m:r>
          <m:rPr>
            <m:sty m:val="bi"/>
          </m:rPr>
          <w:rPr>
            <w:rFonts w:ascii="Cambria Math" w:hAnsi="Cambria Math"/>
            <w:sz w:val="22"/>
            <w:szCs w:val="21"/>
          </w:rPr>
          <m:t>∆y=β×∆PV</m:t>
        </m:r>
        <m:r>
          <m:rPr>
            <m:sty m:val="bi"/>
          </m:rPr>
          <w:rPr>
            <w:rFonts w:ascii="Cambria Math" w:hAnsi="Cambria Math"/>
            <w:sz w:val="22"/>
            <w:szCs w:val="21"/>
          </w:rPr>
          <m:t>29×population</m:t>
        </m:r>
      </m:oMath>
    </w:p>
    <w:p w:rsidR="000F3FFC" w:rsidP="000F3FFC" w14:paraId="72FCF639" w14:textId="77777777">
      <w:pPr>
        <w:pStyle w:val="BodyText"/>
        <w:spacing w:after="120"/>
        <w:ind w:left="540"/>
      </w:pPr>
      <w:r>
        <w:t>Where:</w:t>
      </w:r>
    </w:p>
    <w:p w:rsidR="000F3FFC" w:rsidRPr="006C69E0" w:rsidP="000F3FFC" w14:paraId="6D7EE2B0" w14:textId="77777777">
      <w:pPr>
        <w:pStyle w:val="BodyText"/>
        <w:spacing w:after="120"/>
        <w:ind w:left="540"/>
        <w:rPr>
          <w:szCs w:val="21"/>
        </w:rPr>
      </w:pPr>
      <m:oMath>
        <m:r>
          <w:rPr>
            <w:rFonts w:ascii="Cambria Math" w:hAnsi="Cambria Math"/>
            <w:szCs w:val="21"/>
          </w:rPr>
          <m:t>∆y</m:t>
        </m:r>
      </m:oMath>
      <w:r w:rsidRPr="006C69E0">
        <w:rPr>
          <w:szCs w:val="21"/>
        </w:rPr>
        <w:t xml:space="preserve"> = change in cases of chronic bronchitis</w:t>
      </w:r>
      <w:r>
        <w:rPr>
          <w:szCs w:val="21"/>
        </w:rPr>
        <w:t xml:space="preserve"> per year</w:t>
      </w:r>
    </w:p>
    <w:p w:rsidR="000F3FFC" w:rsidRPr="00F46D22" w:rsidP="000F3FFC" w14:paraId="37CB6F0D" w14:textId="50BD5225">
      <w:pPr>
        <w:pStyle w:val="BodyText"/>
        <w:spacing w:after="120"/>
        <w:ind w:left="540"/>
      </w:pPr>
      <w:r w:rsidRPr="00B54643">
        <w:t xml:space="preserve">β = Beta estimate from </w:t>
      </w:r>
      <w:r>
        <w:t>Harber</w:t>
      </w:r>
      <w:r w:rsidRPr="00B54643">
        <w:t xml:space="preserve"> </w:t>
      </w:r>
      <w:r w:rsidRPr="00F46D22">
        <w:t xml:space="preserve">et al. (2003) </w:t>
      </w:r>
      <w:r w:rsidRPr="00F46D22" w:rsidR="00A875A5">
        <w:t>(</w:t>
      </w:r>
      <w:r w:rsidRPr="00F46D22" w:rsidR="00875542">
        <w:t xml:space="preserve">β = </w:t>
      </w:r>
      <w:r w:rsidRPr="00F46D22" w:rsidR="00D05395">
        <w:t>0.0085964</w:t>
      </w:r>
      <w:r w:rsidRPr="00F46D22" w:rsidR="00A875A5">
        <w:t>)</w:t>
      </w:r>
    </w:p>
    <w:p w:rsidR="000F3FFC" w:rsidRPr="00B54643" w:rsidP="000F3FFC" w14:paraId="12701BF8" w14:textId="77777777">
      <w:pPr>
        <w:pStyle w:val="BodyText"/>
        <w:spacing w:after="120"/>
        <w:ind w:left="540"/>
      </w:pPr>
      <m:oMath>
        <m:r>
          <w:rPr>
            <w:rFonts w:ascii="Cambria Math" w:hAnsi="Cambria Math"/>
          </w:rPr>
          <m:t>∆PV29</m:t>
        </m:r>
      </m:oMath>
      <w:r w:rsidRPr="00F46D22">
        <w:t xml:space="preserve"> = Proposed reduction in PV29</w:t>
      </w:r>
      <w:r w:rsidRPr="00B54643">
        <w:t xml:space="preserve"> exposure (</w:t>
      </w:r>
      <w:r w:rsidRPr="00A830F1">
        <w:rPr>
          <w:rFonts w:asciiTheme="majorBidi" w:hAnsiTheme="majorBidi" w:cstheme="majorBidi"/>
        </w:rPr>
        <w:t>mg-year/m</w:t>
      </w:r>
      <w:r w:rsidRPr="00A830F1">
        <w:rPr>
          <w:rFonts w:asciiTheme="majorBidi" w:hAnsiTheme="majorBidi" w:cstheme="majorBidi"/>
          <w:vertAlign w:val="superscript"/>
        </w:rPr>
        <w:t>3</w:t>
      </w:r>
      <w:r w:rsidRPr="00A830F1">
        <w:t>)</w:t>
      </w:r>
    </w:p>
    <w:p w:rsidR="000F3FFC" w:rsidRPr="00D604D3" w:rsidP="000F3FFC" w14:paraId="71EDAF30" w14:textId="77777777">
      <w:pPr>
        <w:pStyle w:val="BodyText"/>
        <w:spacing w:after="120"/>
        <w:ind w:left="540"/>
      </w:pPr>
      <m:oMath>
        <m:r>
          <w:rPr>
            <w:rFonts w:ascii="Cambria Math" w:hAnsi="Cambria Math"/>
          </w:rPr>
          <m:t>population</m:t>
        </m:r>
      </m:oMath>
      <w:r w:rsidRPr="00B54643">
        <w:t xml:space="preserve"> = number of workers or ONUs in the population of interest</w:t>
      </w:r>
    </w:p>
    <w:p w:rsidR="000F3FFC" w:rsidP="000F3FFC" w14:paraId="4666CA2F" w14:textId="77777777">
      <w:pPr>
        <w:pStyle w:val="BodyText"/>
        <w:spacing w:after="120"/>
      </w:pPr>
    </w:p>
    <w:p w:rsidR="000F3FFC" w:rsidP="000F3FFC" w14:paraId="70674FC1" w14:textId="659A3818">
      <w:pPr>
        <w:pStyle w:val="BodyText"/>
        <w:spacing w:after="240"/>
      </w:pPr>
      <w:r>
        <w:t xml:space="preserve">To derive </w:t>
      </w:r>
      <w:r w:rsidRPr="00B54643">
        <w:t>β</w:t>
      </w:r>
      <w:r>
        <w:t xml:space="preserve"> from the categorical data provided by Harber et al. (2003), EPA first calculated odds ratios (ORs) using pentile 1 as the nonexposed group, resulting in four ORs for the 2nd, 3rd, 4th, and 5th pentiles (</w:t>
      </w:r>
      <w:r w:rsidR="000B0986">
        <w:fldChar w:fldCharType="begin" w:fldLock="1"/>
      </w:r>
      <w:r w:rsidR="00820A38">
        <w:instrText xml:space="preserve"> ADDIN EN.CITE &lt;EndNote&gt;&lt;Cite&gt;&lt;Author&gt;Gordis&lt;/Author&gt;&lt;Year&gt;2009&lt;/Year&gt;&lt;RecNum&gt;22&lt;/RecNum&gt;&lt;DisplayText&gt;Gordis 2009; Rosner 2011&lt;/DisplayText&gt;&lt;record&gt;&lt;rec-number&gt;22&lt;/rec-number&gt;&lt;foreign-keys&gt;&lt;key app="EN" db-id="2apzr05radv9fjet2w6xxwdlz5e9vwfxredw" timestamp="1730757315"&gt;22&lt;/key&gt;&lt;/foreign-keys&gt;&lt;ref-type name="Generic"&gt;13&lt;/ref-type&gt;&lt;contributors&gt;&lt;authors&gt;&lt;author&gt;Gordis, L.&lt;/author&gt;&lt;/authors&gt;&lt;/contributors&gt;&lt;titles&gt;&lt;title&gt;Epidemiology, Fourth Edition. Saunders, Philadelphia, PA&lt;/title&gt;&lt;/titles&gt;&lt;dates&gt;&lt;year&gt;2009&lt;/year&gt;&lt;/dates&gt;&lt;urls&gt;&lt;/urls&gt;&lt;/record&gt;&lt;/Cite&gt;&lt;Cite&gt;&lt;Author&gt;Rosner&lt;/Author&gt;&lt;Year&gt;2011&lt;/Year&gt;&lt;RecNum&gt;38&lt;/RecNum&gt;&lt;record&gt;&lt;rec-number&gt;38&lt;/rec-number&gt;&lt;foreign-keys&gt;&lt;key app="EN" db-id="2apzr05radv9fjet2w6xxwdlz5e9vwfxredw" timestamp="1730757315"&gt;38&lt;/key&gt;&lt;/foreign-keys&gt;&lt;ref-type name="Journal Article"&gt;17&lt;/ref-type&gt;&lt;contributors&gt;&lt;authors&gt;&lt;author&gt;Rosner, B.&lt;/author&gt;&lt;/authors&gt;&lt;/contributors&gt;&lt;titles&gt;&lt;title&gt;Fundamentals of Biostatistics, 7th Edition. Cengage Learning, Boston, MA&lt;/title&gt;&lt;/titles&gt;&lt;dates&gt;&lt;year&gt;2011&lt;/year&gt;&lt;/dates&gt;&lt;urls&gt;&lt;/urls&gt;&lt;/record&gt;&lt;/Cite&gt;&lt;/EndNote&gt;</w:instrText>
      </w:r>
      <w:r w:rsidR="000B0986">
        <w:fldChar w:fldCharType="separate"/>
      </w:r>
      <w:hyperlink w:anchor="_ENREF_22" w:tooltip="Gordis, 2009 #22" w:history="1">
        <w:r w:rsidR="003D6084">
          <w:rPr>
            <w:noProof/>
          </w:rPr>
          <w:t>Gordis 2009</w:t>
        </w:r>
      </w:hyperlink>
      <w:r w:rsidR="009961F1">
        <w:rPr>
          <w:noProof/>
        </w:rPr>
        <w:t xml:space="preserve">; </w:t>
      </w:r>
      <w:hyperlink w:anchor="_ENREF_38" w:tooltip="Rosner, 2011 #38" w:history="1">
        <w:r w:rsidR="003D6084">
          <w:rPr>
            <w:noProof/>
          </w:rPr>
          <w:t>Rosner 2011</w:t>
        </w:r>
      </w:hyperlink>
      <w:r w:rsidR="000B0986">
        <w:fldChar w:fldCharType="end"/>
      </w:r>
      <w:r>
        <w:t xml:space="preserve">), as shown in </w:t>
      </w:r>
      <w:r>
        <w:fldChar w:fldCharType="begin" w:fldLock="1"/>
      </w:r>
      <w:r>
        <w:instrText xml:space="preserve"> REF _Ref181218530 </w:instrText>
      </w:r>
      <w:r>
        <w:fldChar w:fldCharType="separate"/>
      </w:r>
      <w:r w:rsidR="00735BBC">
        <w:t xml:space="preserve">Equation </w:t>
      </w:r>
      <w:r w:rsidR="00735BBC">
        <w:rPr>
          <w:noProof/>
        </w:rPr>
        <w:t>5</w:t>
      </w:r>
      <w:r w:rsidR="00735BBC">
        <w:noBreakHyphen/>
      </w:r>
      <w:r w:rsidR="00735BBC">
        <w:rPr>
          <w:noProof/>
        </w:rPr>
        <w:t>3</w:t>
      </w:r>
      <w:r>
        <w:fldChar w:fldCharType="end"/>
      </w:r>
      <w:r>
        <w:t>.</w:t>
      </w:r>
    </w:p>
    <w:p w:rsidR="000F3FFC" w:rsidRPr="002F4862" w:rsidP="000F3FFC" w14:paraId="466B816B" w14:textId="7AB516B0">
      <w:pPr>
        <w:pStyle w:val="Caption"/>
        <w:jc w:val="center"/>
        <w:rPr>
          <w:sz w:val="22"/>
        </w:rPr>
      </w:pPr>
      <w:bookmarkStart w:id="280" w:name="_Ref181218530"/>
      <w:r>
        <w:t xml:space="preserve">Equation </w:t>
      </w:r>
      <w:r>
        <w:fldChar w:fldCharType="begin" w:fldLock="1"/>
      </w:r>
      <w:r>
        <w:instrText>STYLEREF 1 \s</w:instrText>
      </w:r>
      <w:r>
        <w:fldChar w:fldCharType="separate"/>
      </w:r>
      <w:r w:rsidR="00735BBC">
        <w:rPr>
          <w:noProof/>
        </w:rPr>
        <w:t>5</w:t>
      </w:r>
      <w:r>
        <w:fldChar w:fldCharType="end"/>
      </w:r>
      <w:r>
        <w:noBreakHyphen/>
      </w:r>
      <w:r>
        <w:fldChar w:fldCharType="begin" w:fldLock="1"/>
      </w:r>
      <w:r>
        <w:instrText>SEQ Equation \* ARABIC \s 1</w:instrText>
      </w:r>
      <w:r>
        <w:fldChar w:fldCharType="separate"/>
      </w:r>
      <w:r w:rsidR="00735BBC">
        <w:rPr>
          <w:noProof/>
        </w:rPr>
        <w:t>3</w:t>
      </w:r>
      <w:r>
        <w:fldChar w:fldCharType="end"/>
      </w:r>
      <w:bookmarkEnd w:id="280"/>
      <w:r>
        <w:t xml:space="preserve">: </w:t>
      </w:r>
      <w:r w:rsidRPr="002F4862">
        <w:rPr>
          <w:sz w:val="22"/>
        </w:rPr>
        <w:t xml:space="preserve"> </w:t>
      </w:r>
      <m:oMath>
        <m:r>
          <m:rPr>
            <m:sty m:val="bi"/>
          </m:rPr>
          <w:rPr>
            <w:rFonts w:ascii="Cambria Math" w:hAnsi="Cambria Math"/>
            <w:sz w:val="22"/>
          </w:rPr>
          <m:t xml:space="preserve">Odds ratio </m:t>
        </m:r>
        <m:d>
          <m:dPr>
            <m:ctrlPr>
              <w:rPr>
                <w:rFonts w:ascii="Cambria Math" w:hAnsi="Cambria Math"/>
                <w:i/>
                <w:sz w:val="22"/>
              </w:rPr>
            </m:ctrlPr>
          </m:dPr>
          <m:e>
            <m:r>
              <m:rPr>
                <m:sty m:val="bi"/>
              </m:rPr>
              <w:rPr>
                <w:rFonts w:ascii="Cambria Math" w:hAnsi="Cambria Math"/>
                <w:sz w:val="22"/>
              </w:rPr>
              <m:t>OR</m:t>
            </m:r>
          </m:e>
        </m:d>
        <m:r>
          <m:rPr>
            <m:sty m:val="bi"/>
          </m:rPr>
          <w:rPr>
            <w:rFonts w:ascii="Cambria Math" w:hAnsi="Cambria Math"/>
            <w:sz w:val="22"/>
          </w:rPr>
          <m:t>=</m:t>
        </m:r>
        <m:f>
          <m:fPr>
            <m:ctrlPr>
              <w:rPr>
                <w:rFonts w:ascii="Cambria Math" w:hAnsi="Cambria Math"/>
                <w:i/>
                <w:sz w:val="22"/>
              </w:rPr>
            </m:ctrlPr>
          </m:fPr>
          <m:num>
            <m:r>
              <m:rPr>
                <m:sty m:val="bi"/>
              </m:rPr>
              <w:rPr>
                <w:rFonts w:ascii="Cambria Math" w:hAnsi="Cambria Math"/>
                <w:sz w:val="22"/>
              </w:rPr>
              <m:t>odds of developing disease in exposed</m:t>
            </m:r>
          </m:num>
          <m:den>
            <m:r>
              <m:rPr>
                <m:sty m:val="bi"/>
              </m:rPr>
              <w:rPr>
                <w:rFonts w:ascii="Cambria Math" w:hAnsi="Cambria Math"/>
                <w:sz w:val="22"/>
              </w:rPr>
              <m:t xml:space="preserve">odds of developing disease in the unexposed </m:t>
            </m:r>
          </m:den>
        </m:f>
        <m:r>
          <m:rPr>
            <m:sty m:val="bi"/>
          </m:rPr>
          <w:rPr>
            <w:rFonts w:ascii="Cambria Math" w:hAnsi="Cambria Math"/>
            <w:sz w:val="22"/>
          </w:rPr>
          <m:t>=</m:t>
        </m:r>
        <m:f>
          <m:fPr>
            <m:ctrlPr>
              <w:rPr>
                <w:rFonts w:ascii="Cambria Math" w:hAnsi="Cambria Math"/>
                <w:i/>
                <w:sz w:val="22"/>
              </w:rPr>
            </m:ctrlPr>
          </m:fPr>
          <m:num>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m:rPr>
                            <m:sty m:val="bi"/>
                          </m:rPr>
                          <w:rPr>
                            <w:rFonts w:ascii="Cambria Math" w:hAnsi="Cambria Math"/>
                            <w:sz w:val="22"/>
                          </w:rPr>
                          <m:t>p</m:t>
                        </m:r>
                      </m:e>
                      <m:sub>
                        <m:r>
                          <m:rPr>
                            <m:sty m:val="bi"/>
                          </m:rPr>
                          <w:rPr>
                            <w:rFonts w:ascii="Cambria Math" w:hAnsi="Cambria Math"/>
                            <w:sz w:val="22"/>
                          </w:rPr>
                          <m:t>exp</m:t>
                        </m:r>
                      </m:sub>
                    </m:sSub>
                  </m:num>
                  <m:den>
                    <m:r>
                      <m:rPr>
                        <m:sty m:val="bi"/>
                      </m:rPr>
                      <w:rPr>
                        <w:rFonts w:ascii="Cambria Math" w:hAnsi="Cambria Math"/>
                        <w:sz w:val="22"/>
                      </w:rPr>
                      <m:t>1-</m:t>
                    </m:r>
                    <m:sSub>
                      <m:sSubPr>
                        <m:ctrlPr>
                          <w:rPr>
                            <w:rFonts w:ascii="Cambria Math" w:hAnsi="Cambria Math"/>
                            <w:i/>
                            <w:sz w:val="22"/>
                          </w:rPr>
                        </m:ctrlPr>
                      </m:sSubPr>
                      <m:e>
                        <m:r>
                          <m:rPr>
                            <m:sty m:val="bi"/>
                          </m:rPr>
                          <w:rPr>
                            <w:rFonts w:ascii="Cambria Math" w:hAnsi="Cambria Math"/>
                            <w:sz w:val="22"/>
                          </w:rPr>
                          <m:t>p</m:t>
                        </m:r>
                      </m:e>
                      <m:sub>
                        <m:r>
                          <m:rPr>
                            <m:sty m:val="bi"/>
                          </m:rPr>
                          <w:rPr>
                            <w:rFonts w:ascii="Cambria Math" w:hAnsi="Cambria Math"/>
                            <w:sz w:val="22"/>
                          </w:rPr>
                          <m:t>exp</m:t>
                        </m:r>
                      </m:sub>
                    </m:sSub>
                  </m:den>
                </m:f>
              </m:e>
            </m:d>
          </m:num>
          <m:den>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m:rPr>
                            <m:sty m:val="bi"/>
                          </m:rPr>
                          <w:rPr>
                            <w:rFonts w:ascii="Cambria Math" w:hAnsi="Cambria Math"/>
                            <w:sz w:val="22"/>
                          </w:rPr>
                          <m:t>p</m:t>
                        </m:r>
                      </m:e>
                      <m:sub>
                        <m:r>
                          <m:rPr>
                            <m:sty m:val="bi"/>
                          </m:rPr>
                          <w:rPr>
                            <w:rFonts w:ascii="Cambria Math" w:hAnsi="Cambria Math"/>
                            <w:sz w:val="22"/>
                          </w:rPr>
                          <m:t>unexp</m:t>
                        </m:r>
                      </m:sub>
                    </m:sSub>
                  </m:num>
                  <m:den>
                    <m:r>
                      <m:rPr>
                        <m:sty m:val="bi"/>
                      </m:rPr>
                      <w:rPr>
                        <w:rFonts w:ascii="Cambria Math" w:hAnsi="Cambria Math"/>
                        <w:sz w:val="22"/>
                      </w:rPr>
                      <m:t>1-</m:t>
                    </m:r>
                    <m:sSub>
                      <m:sSubPr>
                        <m:ctrlPr>
                          <w:rPr>
                            <w:rFonts w:ascii="Cambria Math" w:hAnsi="Cambria Math"/>
                            <w:i/>
                            <w:sz w:val="22"/>
                          </w:rPr>
                        </m:ctrlPr>
                      </m:sSubPr>
                      <m:e>
                        <m:r>
                          <m:rPr>
                            <m:sty m:val="bi"/>
                          </m:rPr>
                          <w:rPr>
                            <w:rFonts w:ascii="Cambria Math" w:hAnsi="Cambria Math"/>
                            <w:sz w:val="22"/>
                          </w:rPr>
                          <m:t>p</m:t>
                        </m:r>
                      </m:e>
                      <m:sub>
                        <m:r>
                          <m:rPr>
                            <m:sty m:val="bi"/>
                          </m:rPr>
                          <w:rPr>
                            <w:rFonts w:ascii="Cambria Math" w:hAnsi="Cambria Math"/>
                            <w:sz w:val="22"/>
                          </w:rPr>
                          <m:t>unexp</m:t>
                        </m:r>
                      </m:sub>
                    </m:sSub>
                  </m:den>
                </m:f>
              </m:e>
            </m:d>
          </m:den>
        </m:f>
      </m:oMath>
    </w:p>
    <w:p w:rsidR="000F3FFC" w:rsidP="000F3FFC" w14:paraId="2550CBB3" w14:textId="77777777">
      <w:pPr>
        <w:pStyle w:val="BodyText"/>
        <w:spacing w:after="240"/>
        <w:ind w:left="540"/>
      </w:pPr>
      <w:r>
        <w:t>Where:</w:t>
      </w:r>
    </w:p>
    <w:p w:rsidR="000F3FFC" w:rsidRPr="002F4862" w:rsidP="000F3FFC" w14:paraId="27A36619" w14:textId="77777777">
      <w:pPr>
        <w:pStyle w:val="BodyText"/>
        <w:spacing w:after="240"/>
        <w:ind w:left="540"/>
      </w:pPr>
      <m:oMath>
        <m:sSub>
          <m:sSubPr>
            <m:ctrlPr>
              <w:rPr>
                <w:rFonts w:ascii="Cambria Math" w:hAnsi="Cambria Math"/>
                <w:i/>
              </w:rPr>
            </m:ctrlPr>
          </m:sSubPr>
          <m:e>
            <m:r>
              <w:rPr>
                <w:rFonts w:ascii="Cambria Math" w:hAnsi="Cambria Math"/>
              </w:rPr>
              <m:t>p</m:t>
            </m:r>
          </m:e>
          <m:sub>
            <m:r>
              <w:rPr>
                <w:rFonts w:ascii="Cambria Math" w:hAnsi="Cambria Math"/>
              </w:rPr>
              <m:t>exp</m:t>
            </m:r>
          </m:sub>
        </m:sSub>
      </m:oMath>
      <w:r w:rsidRPr="002F4862">
        <w:t xml:space="preserve"> = percentage of workers reporting chronic bronchitis symptoms in exposure pentiles 2 to 5</w:t>
      </w:r>
    </w:p>
    <w:p w:rsidR="000F3FFC" w:rsidRPr="002F4862" w:rsidP="000F3FFC" w14:paraId="42909F47" w14:textId="77777777">
      <w:pPr>
        <w:pStyle w:val="BodyText"/>
        <w:spacing w:after="240"/>
        <w:ind w:left="540"/>
      </w:pPr>
      <m:oMath>
        <m:sSub>
          <m:sSubPr>
            <m:ctrlPr>
              <w:rPr>
                <w:rFonts w:ascii="Cambria Math" w:hAnsi="Cambria Math"/>
                <w:i/>
              </w:rPr>
            </m:ctrlPr>
          </m:sSubPr>
          <m:e>
            <m:r>
              <w:rPr>
                <w:rFonts w:ascii="Cambria Math" w:hAnsi="Cambria Math"/>
              </w:rPr>
              <m:t>p</m:t>
            </m:r>
          </m:e>
          <m:sub>
            <m:r>
              <w:rPr>
                <w:rFonts w:ascii="Cambria Math" w:hAnsi="Cambria Math"/>
              </w:rPr>
              <m:t>unexp</m:t>
            </m:r>
          </m:sub>
        </m:sSub>
      </m:oMath>
      <w:r w:rsidRPr="002F4862">
        <w:t xml:space="preserve"> = percentage of workers reporting chronic bronchitis symptoms in exposure pentile 1 (the reference group)</w:t>
      </w:r>
    </w:p>
    <w:p w:rsidR="000F3FFC" w:rsidP="000F3FFC" w14:paraId="413B4A99" w14:textId="4383D7B7">
      <w:pPr>
        <w:pStyle w:val="BodyText"/>
        <w:spacing w:after="240"/>
      </w:pPr>
      <w:r>
        <w:t xml:space="preserve">Based on a total sample of 609, EPA assumed that the number of workers in each of the five exposure groups is 122 and calculated the 95% confidence intervals for the ORs using </w:t>
      </w:r>
      <w:r>
        <w:fldChar w:fldCharType="begin" w:fldLock="1"/>
      </w:r>
      <w:r>
        <w:instrText xml:space="preserve"> REF _Ref181218495 </w:instrText>
      </w:r>
      <w:r>
        <w:fldChar w:fldCharType="separate"/>
      </w:r>
      <w:r w:rsidR="00735BBC">
        <w:t xml:space="preserve">Equation </w:t>
      </w:r>
      <w:r w:rsidR="00735BBC">
        <w:rPr>
          <w:noProof/>
        </w:rPr>
        <w:t>5</w:t>
      </w:r>
      <w:r w:rsidR="00735BBC">
        <w:noBreakHyphen/>
      </w:r>
      <w:r w:rsidR="00735BBC">
        <w:rPr>
          <w:noProof/>
        </w:rPr>
        <w:t>4</w:t>
      </w:r>
      <w:r>
        <w:fldChar w:fldCharType="end"/>
      </w:r>
      <w:r>
        <w:t>.</w:t>
      </w:r>
    </w:p>
    <w:p w:rsidR="000F3FFC" w:rsidRPr="002F4862" w:rsidP="000F3FFC" w14:paraId="1AA9A753" w14:textId="2D51AD45">
      <w:pPr>
        <w:pStyle w:val="Caption"/>
        <w:jc w:val="center"/>
        <w:rPr>
          <w:sz w:val="22"/>
          <w:lang w:val="fr-FR"/>
        </w:rPr>
      </w:pPr>
      <w:bookmarkStart w:id="281" w:name="_Ref181218495"/>
      <w:r>
        <w:t xml:space="preserve">Equation </w:t>
      </w:r>
      <w:r>
        <w:fldChar w:fldCharType="begin" w:fldLock="1"/>
      </w:r>
      <w:r>
        <w:instrText>STYLEREF 1 \s</w:instrText>
      </w:r>
      <w:r>
        <w:fldChar w:fldCharType="separate"/>
      </w:r>
      <w:r w:rsidR="00735BBC">
        <w:rPr>
          <w:noProof/>
        </w:rPr>
        <w:t>5</w:t>
      </w:r>
      <w:r>
        <w:fldChar w:fldCharType="end"/>
      </w:r>
      <w:r>
        <w:noBreakHyphen/>
      </w:r>
      <w:r>
        <w:fldChar w:fldCharType="begin" w:fldLock="1"/>
      </w:r>
      <w:r>
        <w:instrText>SEQ Equation \* ARABIC \s 1</w:instrText>
      </w:r>
      <w:r>
        <w:fldChar w:fldCharType="separate"/>
      </w:r>
      <w:r w:rsidR="00735BBC">
        <w:rPr>
          <w:noProof/>
        </w:rPr>
        <w:t>4</w:t>
      </w:r>
      <w:r>
        <w:fldChar w:fldCharType="end"/>
      </w:r>
      <w:bookmarkEnd w:id="281"/>
      <w:r>
        <w:t xml:space="preserve">: </w:t>
      </w:r>
      <m:oMath>
        <m:sSup>
          <m:sSupPr>
            <m:ctrlPr>
              <w:rPr>
                <w:rFonts w:ascii="Cambria Math" w:hAnsi="Cambria Math"/>
                <w:i/>
                <w:sz w:val="22"/>
              </w:rPr>
            </m:ctrlPr>
          </m:sSupPr>
          <m:e>
            <m:r>
              <m:rPr>
                <m:sty m:val="bi"/>
              </m:rPr>
              <w:rPr>
                <w:rFonts w:ascii="Cambria Math" w:hAnsi="Cambria Math"/>
                <w:sz w:val="22"/>
              </w:rPr>
              <m:t>95% CI= e</m:t>
            </m:r>
          </m:e>
          <m:sup>
            <m:r>
              <m:rPr>
                <m:sty m:val="b"/>
              </m:rPr>
              <w:rPr>
                <w:rFonts w:ascii="Cambria Math" w:hAnsi="Cambria Math"/>
                <w:sz w:val="22"/>
                <w:lang w:val="fr-FR"/>
              </w:rPr>
              <m:t>ln⁡</m:t>
            </m:r>
            <m:r>
              <m:rPr>
                <m:sty m:val="bi"/>
              </m:rPr>
              <w:rPr>
                <w:rFonts w:ascii="Cambria Math" w:hAnsi="Cambria Math"/>
                <w:sz w:val="22"/>
                <w:lang w:val="fr-FR"/>
              </w:rPr>
              <m:t>(</m:t>
            </m:r>
            <m:r>
              <m:rPr>
                <m:sty m:val="bi"/>
              </m:rPr>
              <w:rPr>
                <w:rFonts w:ascii="Cambria Math" w:hAnsi="Cambria Math"/>
                <w:sz w:val="22"/>
              </w:rPr>
              <m:t>OR</m:t>
            </m:r>
            <m:r>
              <m:rPr>
                <m:sty m:val="bi"/>
              </m:rPr>
              <w:rPr>
                <w:rFonts w:ascii="Cambria Math" w:hAnsi="Cambria Math"/>
                <w:sz w:val="22"/>
                <w:lang w:val="fr-FR"/>
              </w:rPr>
              <m:t>)±1.96</m:t>
            </m:r>
            <m:rad>
              <m:radPr>
                <m:degHide/>
                <m:ctrlPr>
                  <w:rPr>
                    <w:rFonts w:ascii="Cambria Math" w:hAnsi="Cambria Math"/>
                    <w:i/>
                    <w:sz w:val="22"/>
                  </w:rPr>
                </m:ctrlPr>
              </m:radPr>
              <m:deg/>
              <m:e>
                <m:f>
                  <m:fPr>
                    <m:ctrlPr>
                      <w:rPr>
                        <w:rFonts w:ascii="Cambria Math" w:hAnsi="Cambria Math"/>
                        <w:i/>
                        <w:sz w:val="22"/>
                      </w:rPr>
                    </m:ctrlPr>
                  </m:fPr>
                  <m:num>
                    <m:r>
                      <m:rPr>
                        <m:sty m:val="bi"/>
                      </m:rPr>
                      <w:rPr>
                        <w:rFonts w:ascii="Cambria Math" w:hAnsi="Cambria Math"/>
                        <w:sz w:val="22"/>
                        <w:lang w:val="fr-FR"/>
                      </w:rPr>
                      <m:t>1</m:t>
                    </m:r>
                  </m:num>
                  <m:den>
                    <m:r>
                      <m:rPr>
                        <m:sty m:val="bi"/>
                      </m:rPr>
                      <w:rPr>
                        <w:rFonts w:ascii="Cambria Math" w:hAnsi="Cambria Math"/>
                        <w:sz w:val="22"/>
                      </w:rPr>
                      <m:t>a</m:t>
                    </m:r>
                  </m:den>
                </m:f>
                <m:r>
                  <m:rPr>
                    <m:sty m:val="bi"/>
                  </m:rPr>
                  <w:rPr>
                    <w:rFonts w:ascii="Cambria Math" w:hAnsi="Cambria Math"/>
                    <w:sz w:val="22"/>
                    <w:lang w:val="fr-FR"/>
                  </w:rPr>
                  <m:t>+</m:t>
                </m:r>
                <m:f>
                  <m:fPr>
                    <m:ctrlPr>
                      <w:rPr>
                        <w:rFonts w:ascii="Cambria Math" w:hAnsi="Cambria Math"/>
                        <w:i/>
                        <w:sz w:val="22"/>
                      </w:rPr>
                    </m:ctrlPr>
                  </m:fPr>
                  <m:num>
                    <m:r>
                      <m:rPr>
                        <m:sty m:val="bi"/>
                      </m:rPr>
                      <w:rPr>
                        <w:rFonts w:ascii="Cambria Math" w:hAnsi="Cambria Math"/>
                        <w:sz w:val="22"/>
                        <w:lang w:val="fr-FR"/>
                      </w:rPr>
                      <m:t>1</m:t>
                    </m:r>
                  </m:num>
                  <m:den>
                    <m:r>
                      <m:rPr>
                        <m:sty m:val="bi"/>
                      </m:rPr>
                      <w:rPr>
                        <w:rFonts w:ascii="Cambria Math" w:hAnsi="Cambria Math"/>
                        <w:sz w:val="22"/>
                      </w:rPr>
                      <m:t>b</m:t>
                    </m:r>
                  </m:den>
                </m:f>
                <m:r>
                  <m:rPr>
                    <m:sty m:val="bi"/>
                  </m:rPr>
                  <w:rPr>
                    <w:rFonts w:ascii="Cambria Math" w:hAnsi="Cambria Math"/>
                    <w:sz w:val="22"/>
                    <w:lang w:val="fr-FR"/>
                  </w:rPr>
                  <m:t>+</m:t>
                </m:r>
                <m:f>
                  <m:fPr>
                    <m:ctrlPr>
                      <w:rPr>
                        <w:rFonts w:ascii="Cambria Math" w:hAnsi="Cambria Math"/>
                        <w:i/>
                        <w:sz w:val="22"/>
                      </w:rPr>
                    </m:ctrlPr>
                  </m:fPr>
                  <m:num>
                    <m:r>
                      <m:rPr>
                        <m:sty m:val="bi"/>
                      </m:rPr>
                      <w:rPr>
                        <w:rFonts w:ascii="Cambria Math" w:hAnsi="Cambria Math"/>
                        <w:sz w:val="22"/>
                        <w:lang w:val="fr-FR"/>
                      </w:rPr>
                      <m:t>1</m:t>
                    </m:r>
                  </m:num>
                  <m:den>
                    <m:r>
                      <m:rPr>
                        <m:sty m:val="bi"/>
                      </m:rPr>
                      <w:rPr>
                        <w:rFonts w:ascii="Cambria Math" w:hAnsi="Cambria Math"/>
                        <w:sz w:val="22"/>
                      </w:rPr>
                      <m:t>c</m:t>
                    </m:r>
                  </m:den>
                </m:f>
                <m:r>
                  <m:rPr>
                    <m:sty m:val="bi"/>
                  </m:rPr>
                  <w:rPr>
                    <w:rFonts w:ascii="Cambria Math" w:hAnsi="Cambria Math"/>
                    <w:sz w:val="22"/>
                    <w:lang w:val="fr-FR"/>
                  </w:rPr>
                  <m:t>+</m:t>
                </m:r>
                <m:f>
                  <m:fPr>
                    <m:ctrlPr>
                      <w:rPr>
                        <w:rFonts w:ascii="Cambria Math" w:hAnsi="Cambria Math"/>
                        <w:i/>
                        <w:sz w:val="22"/>
                      </w:rPr>
                    </m:ctrlPr>
                  </m:fPr>
                  <m:num>
                    <m:r>
                      <m:rPr>
                        <m:sty m:val="bi"/>
                      </m:rPr>
                      <w:rPr>
                        <w:rFonts w:ascii="Cambria Math" w:hAnsi="Cambria Math"/>
                        <w:sz w:val="22"/>
                        <w:lang w:val="fr-FR"/>
                      </w:rPr>
                      <m:t>1</m:t>
                    </m:r>
                  </m:num>
                  <m:den>
                    <m:r>
                      <m:rPr>
                        <m:sty m:val="bi"/>
                      </m:rPr>
                      <w:rPr>
                        <w:rFonts w:ascii="Cambria Math" w:hAnsi="Cambria Math"/>
                        <w:sz w:val="22"/>
                      </w:rPr>
                      <m:t>d</m:t>
                    </m:r>
                  </m:den>
                </m:f>
              </m:e>
            </m:rad>
          </m:sup>
        </m:sSup>
      </m:oMath>
    </w:p>
    <w:p w:rsidR="000F3FFC" w:rsidRPr="005A065F" w:rsidP="000F3FFC" w14:paraId="7984E986" w14:textId="77777777">
      <w:pPr>
        <w:pStyle w:val="BodyText"/>
        <w:spacing w:after="240"/>
        <w:ind w:left="540"/>
      </w:pPr>
      <w:r w:rsidRPr="005A065F">
        <w:t>Where:</w:t>
      </w:r>
    </w:p>
    <w:p w:rsidR="000F3FFC" w:rsidP="000F3FFC" w14:paraId="7AFFB9BB" w14:textId="77777777">
      <w:pPr>
        <w:pStyle w:val="BodyText"/>
        <w:spacing w:after="240"/>
        <w:ind w:left="540"/>
      </w:pPr>
      <w:r w:rsidRPr="007B7F05">
        <w:t xml:space="preserve">a = </w:t>
      </w:r>
      <w:r w:rsidRPr="00F76C1E">
        <w:t>percentage of workers reporting chronic bronchitis symptoms in exposure</w:t>
      </w:r>
      <w:r>
        <w:t xml:space="preserve"> </w:t>
      </w:r>
      <w:r w:rsidRPr="00F76C1E">
        <w:t>pentiles 2</w:t>
      </w:r>
      <w:r>
        <w:t xml:space="preserve"> to</w:t>
      </w:r>
      <w:r w:rsidRPr="00F76C1E">
        <w:t xml:space="preserve"> 5</w:t>
      </w:r>
      <w:r>
        <w:t xml:space="preserve"> multiplied by the sample size of the exposure group</w:t>
      </w:r>
    </w:p>
    <w:p w:rsidR="000F3FFC" w:rsidP="000F3FFC" w14:paraId="3F85251B" w14:textId="77777777">
      <w:pPr>
        <w:pStyle w:val="BodyText"/>
        <w:spacing w:after="240"/>
        <w:ind w:left="540"/>
      </w:pPr>
      <w:r>
        <w:t xml:space="preserve">b = </w:t>
      </w:r>
      <w:r w:rsidRPr="00E24748">
        <w:t xml:space="preserve">percentage of workers </w:t>
      </w:r>
      <w:r>
        <w:t xml:space="preserve">not </w:t>
      </w:r>
      <w:r w:rsidRPr="00E24748">
        <w:t>reporting chronic bronchitis symptoms exposure pentiles 2 to 5</w:t>
      </w:r>
      <w:r>
        <w:t xml:space="preserve"> multiplied by the sample size of the exposure group</w:t>
      </w:r>
    </w:p>
    <w:p w:rsidR="000F3FFC" w:rsidP="000F3FFC" w14:paraId="71ED657B" w14:textId="77777777">
      <w:pPr>
        <w:pStyle w:val="BodyText"/>
        <w:spacing w:after="240"/>
        <w:ind w:left="540"/>
      </w:pPr>
      <w:r>
        <w:t xml:space="preserve">c = </w:t>
      </w:r>
      <w:r w:rsidRPr="00F76C1E">
        <w:t>percentage of workers reporting chronic bronchitis symptoms in exposure</w:t>
      </w:r>
      <w:r>
        <w:t xml:space="preserve"> </w:t>
      </w:r>
      <w:r w:rsidRPr="00F76C1E">
        <w:t>pentile</w:t>
      </w:r>
      <w:r>
        <w:t xml:space="preserve"> 1 (the reference group) multiplied by the sample size of the exposure group</w:t>
      </w:r>
    </w:p>
    <w:p w:rsidR="000F3FFC" w:rsidRPr="007B7F05" w:rsidP="000F3FFC" w14:paraId="3B5B165F" w14:textId="77777777">
      <w:pPr>
        <w:pStyle w:val="BodyText"/>
        <w:spacing w:after="240"/>
        <w:ind w:left="540"/>
      </w:pPr>
      <w:r>
        <w:t xml:space="preserve">d = </w:t>
      </w:r>
      <w:r w:rsidRPr="00F76C1E">
        <w:t xml:space="preserve">percentage of workers </w:t>
      </w:r>
      <w:r>
        <w:t xml:space="preserve">not </w:t>
      </w:r>
      <w:r w:rsidRPr="00F76C1E">
        <w:t>reporting chronic bronchitis symptoms in exposure</w:t>
      </w:r>
      <w:r>
        <w:t xml:space="preserve"> </w:t>
      </w:r>
      <w:r w:rsidRPr="00F76C1E">
        <w:t>pentile</w:t>
      </w:r>
      <w:r>
        <w:t xml:space="preserve"> 1 (the reference group) multiplied by the sample size of the exposure group</w:t>
      </w:r>
    </w:p>
    <w:p w:rsidR="000F3FFC" w:rsidRPr="007B7F05" w:rsidP="000F3FFC" w14:paraId="30760990" w14:textId="23D793AA">
      <w:pPr>
        <w:pStyle w:val="BodyText"/>
        <w:spacing w:after="240"/>
      </w:pPr>
      <w:r>
        <w:fldChar w:fldCharType="begin" w:fldLock="1"/>
      </w:r>
      <w:r>
        <w:instrText xml:space="preserve"> REF _Ref181218611 </w:instrText>
      </w:r>
      <w:r>
        <w:fldChar w:fldCharType="separate"/>
      </w:r>
      <w:r w:rsidR="00735BBC">
        <w:t xml:space="preserve">Table </w:t>
      </w:r>
      <w:r w:rsidR="00735BBC">
        <w:rPr>
          <w:noProof/>
        </w:rPr>
        <w:t>5</w:t>
      </w:r>
      <w:r w:rsidR="00735BBC">
        <w:noBreakHyphen/>
      </w:r>
      <w:r w:rsidR="00735BBC">
        <w:rPr>
          <w:noProof/>
        </w:rPr>
        <w:t>4</w:t>
      </w:r>
      <w:r>
        <w:fldChar w:fldCharType="end"/>
      </w:r>
      <w:r w:rsidRPr="1AA815D6">
        <w:rPr>
          <w:lang w:val="en-US"/>
        </w:rPr>
        <w:t xml:space="preserve"> shows the resulting ORs and 95% </w:t>
      </w:r>
      <w:r w:rsidR="008B7A7D">
        <w:rPr>
          <w:lang w:val="en-US"/>
        </w:rPr>
        <w:t>confidence intervals</w:t>
      </w:r>
      <w:r w:rsidR="004B2DAE">
        <w:rPr>
          <w:lang w:val="en-US"/>
        </w:rPr>
        <w:t>.</w:t>
      </w:r>
      <w:r w:rsidRPr="1AA815D6">
        <w:rPr>
          <w:lang w:val="en-US"/>
        </w:rPr>
        <w:t xml:space="preserve"> </w:t>
      </w:r>
    </w:p>
    <w:p w:rsidR="000F3FFC" w:rsidP="000F3FFC" w14:paraId="3B59A4FE" w14:textId="1313EA77">
      <w:pPr>
        <w:pStyle w:val="Caption"/>
      </w:pPr>
    </w:p>
    <w:tbl>
      <w:tblPr>
        <w:tblStyle w:val="TableGrid"/>
        <w:tblW w:w="0" w:type="auto"/>
        <w:tblLook w:val="04A0"/>
      </w:tblPr>
      <w:tblGrid>
        <w:gridCol w:w="2515"/>
        <w:gridCol w:w="1620"/>
        <w:gridCol w:w="1620"/>
        <w:gridCol w:w="1620"/>
        <w:gridCol w:w="1615"/>
      </w:tblGrid>
      <w:tr w14:paraId="3C0C4ECC" w14:textId="77777777" w:rsidTr="0064758C">
        <w:tblPrEx>
          <w:tblW w:w="0" w:type="auto"/>
          <w:tblLook w:val="04A0"/>
        </w:tblPrEx>
        <w:trPr>
          <w:trHeight w:val="260"/>
        </w:trPr>
        <w:tc>
          <w:tcPr>
            <w:tcW w:w="8990" w:type="dxa"/>
            <w:gridSpan w:val="5"/>
            <w:tcBorders>
              <w:top w:val="nil"/>
              <w:left w:val="nil"/>
              <w:bottom w:val="single" w:sz="4" w:space="0" w:color="auto"/>
              <w:right w:val="nil"/>
            </w:tcBorders>
          </w:tcPr>
          <w:p w:rsidR="00D55690" w:rsidRPr="008528CA" w:rsidP="0064758C" w14:paraId="4D04610F" w14:textId="1AF122D0">
            <w:pPr>
              <w:pStyle w:val="TableTitleA"/>
            </w:pPr>
            <w:bookmarkStart w:id="282" w:name="_Ref181218611"/>
            <w:bookmarkStart w:id="283" w:name="_Toc184299589"/>
            <w:r>
              <w:t xml:space="preserve">Table </w:t>
            </w:r>
            <w:r>
              <w:fldChar w:fldCharType="begin" w:fldLock="1"/>
            </w:r>
            <w:r>
              <w:instrText>STYLEREF 1 \s</w:instrText>
            </w:r>
            <w:r>
              <w:fldChar w:fldCharType="separate"/>
            </w:r>
            <w:r w:rsidR="00735BBC">
              <w:rPr>
                <w:noProof/>
              </w:rPr>
              <w:t>5</w:t>
            </w:r>
            <w:r>
              <w:fldChar w:fldCharType="end"/>
            </w:r>
            <w:r>
              <w:noBreakHyphen/>
            </w:r>
            <w:r>
              <w:fldChar w:fldCharType="begin" w:fldLock="1"/>
            </w:r>
            <w:r>
              <w:instrText>SEQ Table \* ARABIC \s 1</w:instrText>
            </w:r>
            <w:r>
              <w:fldChar w:fldCharType="separate"/>
            </w:r>
            <w:r w:rsidR="00735BBC">
              <w:rPr>
                <w:noProof/>
              </w:rPr>
              <w:t>4</w:t>
            </w:r>
            <w:r>
              <w:fldChar w:fldCharType="end"/>
            </w:r>
            <w:bookmarkEnd w:id="282"/>
            <w:r>
              <w:t>: Odds ratios and 95% Confidence Intervals Derived from Harber et al. (2003)</w:t>
            </w:r>
            <w:bookmarkEnd w:id="283"/>
          </w:p>
        </w:tc>
      </w:tr>
      <w:tr w14:paraId="221659DD" w14:textId="77777777" w:rsidTr="0064758C">
        <w:tblPrEx>
          <w:tblW w:w="0" w:type="auto"/>
          <w:tblLook w:val="04A0"/>
        </w:tblPrEx>
        <w:trPr>
          <w:trHeight w:val="260"/>
        </w:trPr>
        <w:tc>
          <w:tcPr>
            <w:tcW w:w="2515" w:type="dxa"/>
            <w:tcBorders>
              <w:top w:val="single" w:sz="4" w:space="0" w:color="auto"/>
            </w:tcBorders>
            <w:shd w:val="clear" w:color="auto" w:fill="013E5B"/>
          </w:tcPr>
          <w:p w:rsidR="000F3FFC" w:rsidRPr="008528CA" w:rsidP="0064758C" w14:paraId="791B6947" w14:textId="77777777">
            <w:pPr>
              <w:pStyle w:val="TableSubtitle"/>
            </w:pPr>
            <w:r>
              <w:t xml:space="preserve">Exposure category (pentile compared to 1st pentile) </w:t>
            </w:r>
          </w:p>
        </w:tc>
        <w:tc>
          <w:tcPr>
            <w:tcW w:w="1620" w:type="dxa"/>
            <w:tcBorders>
              <w:top w:val="single" w:sz="4" w:space="0" w:color="auto"/>
            </w:tcBorders>
            <w:shd w:val="clear" w:color="auto" w:fill="013E5B"/>
          </w:tcPr>
          <w:p w:rsidR="000F3FFC" w:rsidRPr="008528CA" w:rsidP="0064758C" w14:paraId="2BA2D429" w14:textId="77777777">
            <w:pPr>
              <w:pStyle w:val="TableSubtitle"/>
            </w:pPr>
            <w:r w:rsidRPr="008528CA">
              <w:t>2nd</w:t>
            </w:r>
          </w:p>
        </w:tc>
        <w:tc>
          <w:tcPr>
            <w:tcW w:w="1620" w:type="dxa"/>
            <w:tcBorders>
              <w:top w:val="single" w:sz="4" w:space="0" w:color="auto"/>
            </w:tcBorders>
            <w:shd w:val="clear" w:color="auto" w:fill="013E5B"/>
          </w:tcPr>
          <w:p w:rsidR="000F3FFC" w:rsidRPr="008528CA" w:rsidP="0064758C" w14:paraId="20B1FD0B" w14:textId="77777777">
            <w:pPr>
              <w:pStyle w:val="TableSubtitle"/>
            </w:pPr>
            <w:r w:rsidRPr="008528CA">
              <w:t>3rd</w:t>
            </w:r>
          </w:p>
        </w:tc>
        <w:tc>
          <w:tcPr>
            <w:tcW w:w="1620" w:type="dxa"/>
            <w:tcBorders>
              <w:top w:val="single" w:sz="4" w:space="0" w:color="auto"/>
            </w:tcBorders>
            <w:shd w:val="clear" w:color="auto" w:fill="013E5B"/>
          </w:tcPr>
          <w:p w:rsidR="000F3FFC" w:rsidRPr="008528CA" w:rsidP="0064758C" w14:paraId="674541CC" w14:textId="77777777">
            <w:pPr>
              <w:pStyle w:val="TableSubtitle"/>
            </w:pPr>
            <w:r w:rsidRPr="008528CA">
              <w:t>4th</w:t>
            </w:r>
          </w:p>
        </w:tc>
        <w:tc>
          <w:tcPr>
            <w:tcW w:w="1615" w:type="dxa"/>
            <w:tcBorders>
              <w:top w:val="single" w:sz="4" w:space="0" w:color="auto"/>
            </w:tcBorders>
            <w:shd w:val="clear" w:color="auto" w:fill="013E5B"/>
          </w:tcPr>
          <w:p w:rsidR="000F3FFC" w:rsidRPr="008528CA" w:rsidP="0064758C" w14:paraId="66FA0ECA" w14:textId="77777777">
            <w:pPr>
              <w:pStyle w:val="TableSubtitle"/>
            </w:pPr>
            <w:r w:rsidRPr="008528CA">
              <w:t>5th</w:t>
            </w:r>
          </w:p>
        </w:tc>
      </w:tr>
      <w:tr w14:paraId="26C3003C" w14:textId="77777777" w:rsidTr="0064758C">
        <w:tblPrEx>
          <w:tblW w:w="0" w:type="auto"/>
          <w:tblLook w:val="04A0"/>
        </w:tblPrEx>
        <w:tc>
          <w:tcPr>
            <w:tcW w:w="2515" w:type="dxa"/>
            <w:shd w:val="clear" w:color="auto" w:fill="97CFDA"/>
            <w:vAlign w:val="center"/>
          </w:tcPr>
          <w:p w:rsidR="000F3FFC" w:rsidRPr="008528CA" w:rsidP="0064758C" w14:paraId="4E823E23" w14:textId="77777777">
            <w:pPr>
              <w:pStyle w:val="BSUBT"/>
            </w:pPr>
            <w:r w:rsidRPr="008528CA">
              <w:t>OR (95% CI)</w:t>
            </w:r>
          </w:p>
        </w:tc>
        <w:tc>
          <w:tcPr>
            <w:tcW w:w="1620" w:type="dxa"/>
            <w:vAlign w:val="center"/>
          </w:tcPr>
          <w:p w:rsidR="000F3FFC" w:rsidRPr="008528CA" w:rsidP="0064758C" w14:paraId="7596B029" w14:textId="77777777">
            <w:pPr>
              <w:pStyle w:val="RTableTextAbt"/>
            </w:pPr>
            <w:r w:rsidRPr="008528CA">
              <w:t>1.21 (0.40, 3.66)</w:t>
            </w:r>
          </w:p>
        </w:tc>
        <w:tc>
          <w:tcPr>
            <w:tcW w:w="1620" w:type="dxa"/>
            <w:vAlign w:val="center"/>
          </w:tcPr>
          <w:p w:rsidR="000F3FFC" w:rsidRPr="008528CA" w:rsidP="0064758C" w14:paraId="30F100DE" w14:textId="77777777">
            <w:pPr>
              <w:pStyle w:val="RTableTextAbt"/>
            </w:pPr>
            <w:r w:rsidRPr="008528CA">
              <w:t>0.79 (0.23, 2.68)</w:t>
            </w:r>
          </w:p>
        </w:tc>
        <w:tc>
          <w:tcPr>
            <w:tcW w:w="1620" w:type="dxa"/>
            <w:vAlign w:val="center"/>
          </w:tcPr>
          <w:p w:rsidR="000F3FFC" w:rsidRPr="008528CA" w:rsidP="0064758C" w14:paraId="28BB14C0" w14:textId="77777777">
            <w:pPr>
              <w:pStyle w:val="RTableTextAbt"/>
            </w:pPr>
            <w:r w:rsidRPr="008528CA">
              <w:t>2.11 (0.77, 5.78)</w:t>
            </w:r>
          </w:p>
        </w:tc>
        <w:tc>
          <w:tcPr>
            <w:tcW w:w="1615" w:type="dxa"/>
            <w:vAlign w:val="center"/>
          </w:tcPr>
          <w:p w:rsidR="000F3FFC" w:rsidRPr="008528CA" w:rsidP="0064758C" w14:paraId="2C17C3E5" w14:textId="77777777">
            <w:pPr>
              <w:pStyle w:val="RTableTextAbt"/>
            </w:pPr>
            <w:r w:rsidRPr="008528CA">
              <w:t>1.88 (0.68, 5.23)</w:t>
            </w:r>
          </w:p>
        </w:tc>
      </w:tr>
    </w:tbl>
    <w:p w:rsidR="000F3FFC" w:rsidP="000F3FFC" w14:paraId="21ECC1AF" w14:textId="77777777">
      <w:pPr>
        <w:pStyle w:val="BodyText"/>
        <w:spacing w:after="240"/>
      </w:pPr>
    </w:p>
    <w:p w:rsidR="000F3FFC" w:rsidRPr="00342376" w:rsidP="000F3FFC" w14:paraId="12CF1FC8" w14:textId="7A720D2B">
      <w:pPr>
        <w:pStyle w:val="BodyText"/>
        <w:spacing w:after="240"/>
      </w:pPr>
      <w:r>
        <w:t xml:space="preserve">Finally, EPA used </w:t>
      </w:r>
      <w:r>
        <w:fldChar w:fldCharType="begin" w:fldLock="1"/>
      </w:r>
      <w:r>
        <w:instrText xml:space="preserve"> REF _Ref181218690 </w:instrText>
      </w:r>
      <w:r>
        <w:fldChar w:fldCharType="separate"/>
      </w:r>
      <w:r w:rsidR="00735BBC">
        <w:t xml:space="preserve">Equation </w:t>
      </w:r>
      <w:r w:rsidR="00735BBC">
        <w:rPr>
          <w:noProof/>
        </w:rPr>
        <w:t>5</w:t>
      </w:r>
      <w:r w:rsidR="00735BBC">
        <w:noBreakHyphen/>
      </w:r>
      <w:r w:rsidR="00735BBC">
        <w:rPr>
          <w:noProof/>
        </w:rPr>
        <w:t>5</w:t>
      </w:r>
      <w:r>
        <w:fldChar w:fldCharType="end"/>
      </w:r>
      <w:r>
        <w:t xml:space="preserve"> and </w:t>
      </w:r>
      <w:r>
        <w:fldChar w:fldCharType="begin" w:fldLock="1"/>
      </w:r>
      <w:r>
        <w:instrText xml:space="preserve"> REF _Ref181218783 </w:instrText>
      </w:r>
      <w:r>
        <w:fldChar w:fldCharType="separate"/>
      </w:r>
      <w:r w:rsidR="00735BBC">
        <w:t xml:space="preserve">Equation </w:t>
      </w:r>
      <w:r w:rsidR="00735BBC">
        <w:rPr>
          <w:noProof/>
        </w:rPr>
        <w:t>5</w:t>
      </w:r>
      <w:r w:rsidR="00735BBC">
        <w:noBreakHyphen/>
      </w:r>
      <w:r w:rsidR="00735BBC">
        <w:rPr>
          <w:noProof/>
        </w:rPr>
        <w:t>6</w:t>
      </w:r>
      <w:r>
        <w:fldChar w:fldCharType="end"/>
      </w:r>
      <w:r>
        <w:t xml:space="preserve"> to calculate beta of 0.0086 for Harber et al. (2003).</w:t>
      </w:r>
    </w:p>
    <w:p w:rsidR="000F3FFC" w:rsidRPr="0077026D" w:rsidP="000F3FFC" w14:paraId="2F0300E4" w14:textId="4DF2DC86">
      <w:pPr>
        <w:pStyle w:val="Caption"/>
        <w:jc w:val="center"/>
        <w:rPr>
          <w:sz w:val="32"/>
          <w:szCs w:val="28"/>
        </w:rPr>
      </w:pPr>
      <w:bookmarkStart w:id="284" w:name="_Ref181218690"/>
      <w:r>
        <w:t xml:space="preserve">Equation </w:t>
      </w:r>
      <w:r>
        <w:fldChar w:fldCharType="begin" w:fldLock="1"/>
      </w:r>
      <w:r>
        <w:instrText>STYLEREF 1 \s</w:instrText>
      </w:r>
      <w:r>
        <w:fldChar w:fldCharType="separate"/>
      </w:r>
      <w:r w:rsidR="00735BBC">
        <w:rPr>
          <w:noProof/>
        </w:rPr>
        <w:t>5</w:t>
      </w:r>
      <w:r>
        <w:fldChar w:fldCharType="end"/>
      </w:r>
      <w:r>
        <w:noBreakHyphen/>
      </w:r>
      <w:r>
        <w:fldChar w:fldCharType="begin" w:fldLock="1"/>
      </w:r>
      <w:r>
        <w:instrText>SEQ Equation \* ARABIC \s 1</w:instrText>
      </w:r>
      <w:r>
        <w:fldChar w:fldCharType="separate"/>
      </w:r>
      <w:r w:rsidR="00735BBC">
        <w:rPr>
          <w:noProof/>
        </w:rPr>
        <w:t>5</w:t>
      </w:r>
      <w:r>
        <w:fldChar w:fldCharType="end"/>
      </w:r>
      <w:bookmarkEnd w:id="284"/>
      <w:r>
        <w:t xml:space="preserve">: </w:t>
      </w:r>
      <m:oMath>
        <m:r>
          <m:rPr>
            <m:sty m:val="bi"/>
          </m:rPr>
          <w:rPr>
            <w:rFonts w:ascii="Cambria Math" w:hAnsi="Cambria Math"/>
            <w:sz w:val="22"/>
          </w:rPr>
          <m:t xml:space="preserve">β= </m:t>
        </m:r>
        <m:f>
          <m:fPr>
            <m:ctrlPr>
              <w:rPr>
                <w:rFonts w:ascii="Cambria Math" w:hAnsi="Cambria Math"/>
                <w:i/>
                <w:sz w:val="22"/>
              </w:rPr>
            </m:ctrlPr>
          </m:fPr>
          <m:num>
            <m:nary>
              <m:naryPr>
                <m:chr m:val="∑"/>
                <m:limLoc m:val="undOvr"/>
                <m:ctrlPr>
                  <w:rPr>
                    <w:rFonts w:ascii="Cambria Math" w:hAnsi="Cambria Math"/>
                    <w:i/>
                    <w:sz w:val="22"/>
                  </w:rPr>
                </m:ctrlPr>
              </m:naryPr>
              <m:sub>
                <m:r>
                  <m:rPr>
                    <m:sty m:val="bi"/>
                  </m:rPr>
                  <w:rPr>
                    <w:rFonts w:ascii="Cambria Math" w:hAnsi="Cambria Math"/>
                    <w:sz w:val="22"/>
                  </w:rPr>
                  <m:t>j=2</m:t>
                </m:r>
              </m:sub>
              <m:sup>
                <m:r>
                  <m:rPr>
                    <m:sty m:val="bi"/>
                  </m:rPr>
                  <w:rPr>
                    <w:rFonts w:ascii="Cambria Math" w:hAnsi="Cambria Math"/>
                    <w:sz w:val="22"/>
                  </w:rPr>
                  <m:t>n</m:t>
                </m:r>
              </m:sup>
              <m:e>
                <m:sSub>
                  <m:sSubPr>
                    <m:ctrlPr>
                      <w:rPr>
                        <w:rFonts w:ascii="Cambria Math" w:hAnsi="Cambria Math"/>
                        <w:i/>
                        <w:sz w:val="22"/>
                      </w:rPr>
                    </m:ctrlPr>
                  </m:sSubPr>
                  <m:e>
                    <m:r>
                      <m:rPr>
                        <m:sty m:val="bi"/>
                      </m:rPr>
                      <w:rPr>
                        <w:rFonts w:ascii="Cambria Math" w:hAnsi="Cambria Math"/>
                        <w:sz w:val="22"/>
                      </w:rPr>
                      <m:t>w</m:t>
                    </m:r>
                  </m:e>
                  <m:sub>
                    <m:r>
                      <m:rPr>
                        <m:sty m:val="bi"/>
                      </m:rPr>
                      <w:rPr>
                        <w:rFonts w:ascii="Cambria Math" w:hAnsi="Cambria Math"/>
                        <w:sz w:val="22"/>
                      </w:rPr>
                      <m:t>j</m:t>
                    </m:r>
                  </m:sub>
                </m:sSub>
                <m:sSub>
                  <m:sSubPr>
                    <m:ctrlPr>
                      <w:rPr>
                        <w:rFonts w:ascii="Cambria Math" w:hAnsi="Cambria Math"/>
                        <w:i/>
                        <w:sz w:val="22"/>
                      </w:rPr>
                    </m:ctrlPr>
                  </m:sSubPr>
                  <m:e>
                    <m:r>
                      <m:rPr>
                        <m:sty m:val="bi"/>
                      </m:rPr>
                      <w:rPr>
                        <w:rFonts w:ascii="Cambria Math" w:hAnsi="Cambria Math"/>
                        <w:sz w:val="22"/>
                      </w:rPr>
                      <m:t>x</m:t>
                    </m:r>
                  </m:e>
                  <m:sub>
                    <m:r>
                      <m:rPr>
                        <m:sty m:val="bi"/>
                      </m:rPr>
                      <w:rPr>
                        <w:rFonts w:ascii="Cambria Math" w:hAnsi="Cambria Math"/>
                        <w:sz w:val="22"/>
                      </w:rPr>
                      <m:t>j</m:t>
                    </m:r>
                  </m:sub>
                </m:sSub>
                <m:sSub>
                  <m:sSubPr>
                    <m:ctrlPr>
                      <w:rPr>
                        <w:rFonts w:ascii="Cambria Math" w:hAnsi="Cambria Math"/>
                        <w:i/>
                        <w:sz w:val="22"/>
                      </w:rPr>
                    </m:ctrlPr>
                  </m:sSubPr>
                  <m:e>
                    <m:r>
                      <m:rPr>
                        <m:sty m:val="bi"/>
                      </m:rPr>
                      <w:rPr>
                        <w:rFonts w:ascii="Cambria Math" w:hAnsi="Cambria Math"/>
                        <w:sz w:val="22"/>
                      </w:rPr>
                      <m:t>OR</m:t>
                    </m:r>
                  </m:e>
                  <m:sub>
                    <m:r>
                      <m:rPr>
                        <m:sty m:val="bi"/>
                      </m:rPr>
                      <w:rPr>
                        <w:rFonts w:ascii="Cambria Math" w:hAnsi="Cambria Math"/>
                        <w:sz w:val="22"/>
                      </w:rPr>
                      <m:t>j</m:t>
                    </m:r>
                  </m:sub>
                </m:sSub>
                <m:r>
                  <m:rPr>
                    <m:sty m:val="bi"/>
                  </m:rPr>
                  <w:rPr>
                    <w:rFonts w:ascii="Cambria Math" w:hAnsi="Cambria Math"/>
                    <w:sz w:val="22"/>
                  </w:rPr>
                  <m:t xml:space="preserve"> - </m:t>
                </m:r>
                <m:nary>
                  <m:naryPr>
                    <m:chr m:val="∑"/>
                    <m:limLoc m:val="undOvr"/>
                    <m:ctrlPr>
                      <w:rPr>
                        <w:rFonts w:ascii="Cambria Math" w:hAnsi="Cambria Math"/>
                        <w:i/>
                        <w:sz w:val="22"/>
                      </w:rPr>
                    </m:ctrlPr>
                  </m:naryPr>
                  <m:sub>
                    <m:r>
                      <m:rPr>
                        <m:sty m:val="bi"/>
                      </m:rPr>
                      <w:rPr>
                        <w:rFonts w:ascii="Cambria Math" w:hAnsi="Cambria Math"/>
                        <w:sz w:val="22"/>
                      </w:rPr>
                      <m:t>j=2</m:t>
                    </m:r>
                  </m:sub>
                  <m:sup>
                    <m:r>
                      <m:rPr>
                        <m:sty m:val="bi"/>
                      </m:rPr>
                      <w:rPr>
                        <w:rFonts w:ascii="Cambria Math" w:hAnsi="Cambria Math"/>
                        <w:sz w:val="22"/>
                      </w:rPr>
                      <m:t>n</m:t>
                    </m:r>
                  </m:sup>
                  <m:e>
                    <m:sSub>
                      <m:sSubPr>
                        <m:ctrlPr>
                          <w:rPr>
                            <w:rFonts w:ascii="Cambria Math" w:hAnsi="Cambria Math"/>
                            <w:i/>
                            <w:sz w:val="22"/>
                          </w:rPr>
                        </m:ctrlPr>
                      </m:sSubPr>
                      <m:e>
                        <m:r>
                          <m:rPr>
                            <m:sty m:val="bi"/>
                          </m:rPr>
                          <w:rPr>
                            <w:rFonts w:ascii="Cambria Math" w:hAnsi="Cambria Math"/>
                            <w:sz w:val="22"/>
                          </w:rPr>
                          <m:t>w</m:t>
                        </m:r>
                      </m:e>
                      <m:sub>
                        <m:r>
                          <m:rPr>
                            <m:sty m:val="bi"/>
                          </m:rPr>
                          <w:rPr>
                            <w:rFonts w:ascii="Cambria Math" w:hAnsi="Cambria Math"/>
                            <w:sz w:val="22"/>
                          </w:rPr>
                          <m:t>j</m:t>
                        </m:r>
                      </m:sub>
                    </m:sSub>
                    <m:sSub>
                      <m:sSubPr>
                        <m:ctrlPr>
                          <w:rPr>
                            <w:rFonts w:ascii="Cambria Math" w:hAnsi="Cambria Math"/>
                            <w:i/>
                            <w:sz w:val="22"/>
                          </w:rPr>
                        </m:ctrlPr>
                      </m:sSubPr>
                      <m:e>
                        <m:r>
                          <m:rPr>
                            <m:sty m:val="bi"/>
                          </m:rPr>
                          <w:rPr>
                            <w:rFonts w:ascii="Cambria Math" w:hAnsi="Cambria Math"/>
                            <w:sz w:val="22"/>
                          </w:rPr>
                          <m:t>x</m:t>
                        </m:r>
                      </m:e>
                      <m:sub>
                        <m:r>
                          <m:rPr>
                            <m:sty m:val="bi"/>
                          </m:rPr>
                          <w:rPr>
                            <w:rFonts w:ascii="Cambria Math" w:hAnsi="Cambria Math"/>
                            <w:sz w:val="22"/>
                          </w:rPr>
                          <m:t>j</m:t>
                        </m:r>
                      </m:sub>
                    </m:sSub>
                  </m:e>
                </m:nary>
              </m:e>
            </m:nary>
          </m:num>
          <m:den>
            <m:nary>
              <m:naryPr>
                <m:chr m:val="∑"/>
                <m:limLoc m:val="undOvr"/>
                <m:ctrlPr>
                  <w:rPr>
                    <w:rFonts w:ascii="Cambria Math" w:hAnsi="Cambria Math"/>
                    <w:i/>
                    <w:sz w:val="22"/>
                  </w:rPr>
                </m:ctrlPr>
              </m:naryPr>
              <m:sub>
                <m:r>
                  <m:rPr>
                    <m:sty m:val="bi"/>
                  </m:rPr>
                  <w:rPr>
                    <w:rFonts w:ascii="Cambria Math" w:hAnsi="Cambria Math"/>
                    <w:sz w:val="22"/>
                  </w:rPr>
                  <m:t>j=2</m:t>
                </m:r>
              </m:sub>
              <m:sup>
                <m:r>
                  <m:rPr>
                    <m:sty m:val="bi"/>
                  </m:rPr>
                  <w:rPr>
                    <w:rFonts w:ascii="Cambria Math" w:hAnsi="Cambria Math"/>
                    <w:sz w:val="22"/>
                  </w:rPr>
                  <m:t>n</m:t>
                </m:r>
              </m:sup>
              <m:e>
                <m:sSup>
                  <m:sSupPr>
                    <m:ctrlPr>
                      <w:rPr>
                        <w:rFonts w:ascii="Cambria Math" w:hAnsi="Cambria Math"/>
                        <w:i/>
                        <w:sz w:val="22"/>
                      </w:rPr>
                    </m:ctrlPr>
                  </m:sSupPr>
                  <m:e>
                    <m:sSub>
                      <m:sSubPr>
                        <m:ctrlPr>
                          <w:rPr>
                            <w:rFonts w:ascii="Cambria Math" w:hAnsi="Cambria Math"/>
                            <w:i/>
                            <w:sz w:val="22"/>
                          </w:rPr>
                        </m:ctrlPr>
                      </m:sSubPr>
                      <m:e>
                        <m:r>
                          <m:rPr>
                            <m:sty m:val="bi"/>
                          </m:rPr>
                          <w:rPr>
                            <w:rFonts w:ascii="Cambria Math" w:hAnsi="Cambria Math"/>
                            <w:sz w:val="22"/>
                          </w:rPr>
                          <m:t>w</m:t>
                        </m:r>
                      </m:e>
                      <m:sub>
                        <m:r>
                          <m:rPr>
                            <m:sty m:val="bi"/>
                          </m:rPr>
                          <w:rPr>
                            <w:rFonts w:ascii="Cambria Math" w:hAnsi="Cambria Math"/>
                            <w:sz w:val="22"/>
                          </w:rPr>
                          <m:t>j</m:t>
                        </m:r>
                      </m:sub>
                    </m:sSub>
                    <m:sSub>
                      <m:sSubPr>
                        <m:ctrlPr>
                          <w:rPr>
                            <w:rFonts w:ascii="Cambria Math" w:hAnsi="Cambria Math"/>
                            <w:i/>
                            <w:sz w:val="22"/>
                          </w:rPr>
                        </m:ctrlPr>
                      </m:sSubPr>
                      <m:e>
                        <m:r>
                          <m:rPr>
                            <m:sty m:val="bi"/>
                          </m:rPr>
                          <w:rPr>
                            <w:rFonts w:ascii="Cambria Math" w:hAnsi="Cambria Math"/>
                            <w:sz w:val="22"/>
                          </w:rPr>
                          <m:t>x</m:t>
                        </m:r>
                      </m:e>
                      <m:sub>
                        <m:r>
                          <m:rPr>
                            <m:sty m:val="bi"/>
                          </m:rPr>
                          <w:rPr>
                            <w:rFonts w:ascii="Cambria Math" w:hAnsi="Cambria Math"/>
                            <w:sz w:val="22"/>
                          </w:rPr>
                          <m:t>j</m:t>
                        </m:r>
                      </m:sub>
                    </m:sSub>
                  </m:e>
                  <m:sup>
                    <m:r>
                      <m:rPr>
                        <m:sty m:val="bi"/>
                      </m:rPr>
                      <w:rPr>
                        <w:rFonts w:ascii="Cambria Math" w:hAnsi="Cambria Math"/>
                        <w:sz w:val="22"/>
                      </w:rPr>
                      <m:t>2</m:t>
                    </m:r>
                  </m:sup>
                </m:sSup>
              </m:e>
            </m:nary>
          </m:den>
        </m:f>
      </m:oMath>
    </w:p>
    <w:p w:rsidR="000F3FFC" w:rsidP="000F3FFC" w14:paraId="2145FE60" w14:textId="77777777">
      <w:pPr>
        <w:pStyle w:val="BodyText"/>
        <w:spacing w:after="240"/>
        <w:ind w:left="540"/>
      </w:pPr>
      <w:r w:rsidRPr="00342376">
        <w:t>Where:</w:t>
      </w:r>
    </w:p>
    <w:p w:rsidR="000F3FFC" w:rsidRPr="00446A00" w:rsidP="000F3FFC" w14:paraId="153C70A9" w14:textId="77777777">
      <w:pPr>
        <w:pStyle w:val="BodyText"/>
        <w:spacing w:after="240"/>
        <w:ind w:left="540"/>
      </w:pPr>
      <w:r w:rsidRPr="00446A00">
        <w:rPr>
          <w:i/>
          <w:iCs/>
        </w:rPr>
        <w:t>j</w:t>
      </w:r>
      <w:r>
        <w:t xml:space="preserve"> = the exposure category</w:t>
      </w:r>
    </w:p>
    <w:p w:rsidR="000F3FFC" w:rsidRPr="00342376" w:rsidP="000F3FFC" w14:paraId="4ABAB752" w14:textId="58A695B7">
      <w:pPr>
        <w:pStyle w:val="BodyText"/>
        <w:spacing w:after="240"/>
        <w:ind w:left="540"/>
      </w:pPr>
      <m:oMath>
        <m:sSub>
          <m:sSubPr>
            <m:ctrlPr>
              <w:rPr>
                <w:rFonts w:ascii="Cambria Math" w:hAnsi="Cambria Math"/>
                <w:i/>
              </w:rPr>
            </m:ctrlPr>
          </m:sSubPr>
          <m:e>
            <m:r>
              <w:rPr>
                <w:rFonts w:ascii="Cambria Math" w:hAnsi="Cambria Math"/>
              </w:rPr>
              <m:t>w</m:t>
            </m:r>
          </m:e>
          <m:sub>
            <m:r>
              <w:rPr>
                <w:rFonts w:ascii="Cambria Math" w:hAnsi="Cambria Math"/>
              </w:rPr>
              <m:t>j</m:t>
            </m:r>
          </m:sub>
        </m:sSub>
      </m:oMath>
      <w:r w:rsidRPr="1AA815D6">
        <w:rPr>
          <w:lang w:val="en-US"/>
        </w:rPr>
        <w:t xml:space="preserve"> = weight for the</w:t>
      </w:r>
      <w:r w:rsidRPr="1AA815D6">
        <w:rPr>
          <w:i/>
          <w:lang w:val="en-US"/>
        </w:rPr>
        <w:t xml:space="preserve"> j</w:t>
      </w:r>
      <w:r w:rsidRPr="1AA815D6">
        <w:rPr>
          <w:lang w:val="en-US"/>
        </w:rPr>
        <w:t>th exposure category (</w:t>
      </w:r>
      <w:r>
        <w:fldChar w:fldCharType="begin" w:fldLock="1"/>
      </w:r>
      <w:r>
        <w:instrText xml:space="preserve"> REF _Ref181218783 </w:instrText>
      </w:r>
      <w:r>
        <w:fldChar w:fldCharType="separate"/>
      </w:r>
      <w:r w:rsidR="00735BBC">
        <w:t xml:space="preserve">Equation </w:t>
      </w:r>
      <w:r w:rsidR="00735BBC">
        <w:rPr>
          <w:noProof/>
        </w:rPr>
        <w:t>5</w:t>
      </w:r>
      <w:r w:rsidR="00735BBC">
        <w:noBreakHyphen/>
      </w:r>
      <w:r w:rsidR="00735BBC">
        <w:rPr>
          <w:noProof/>
        </w:rPr>
        <w:t>6</w:t>
      </w:r>
      <w:r>
        <w:fldChar w:fldCharType="end"/>
      </w:r>
      <w:r w:rsidRPr="1AA815D6">
        <w:rPr>
          <w:lang w:val="en-US"/>
        </w:rPr>
        <w:t>)</w:t>
      </w:r>
    </w:p>
    <w:p w:rsidR="000F3FFC" w:rsidRPr="00342376" w:rsidP="000F3FFC" w14:paraId="781799E8" w14:textId="77777777">
      <w:pPr>
        <w:pStyle w:val="BodyText"/>
        <w:spacing w:after="240"/>
        <w:ind w:left="540"/>
      </w:pPr>
      <m:oMath>
        <m:sSub>
          <m:sSubPr>
            <m:ctrlPr>
              <w:rPr>
                <w:rFonts w:ascii="Cambria Math" w:hAnsi="Cambria Math"/>
                <w:i/>
              </w:rPr>
            </m:ctrlPr>
          </m:sSubPr>
          <m:e>
            <m:r>
              <w:rPr>
                <w:rFonts w:ascii="Cambria Math" w:hAnsi="Cambria Math"/>
              </w:rPr>
              <m:t>x</m:t>
            </m:r>
          </m:e>
          <m:sub>
            <m:r>
              <w:rPr>
                <w:rFonts w:ascii="Cambria Math" w:hAnsi="Cambria Math"/>
              </w:rPr>
              <m:t>j</m:t>
            </m:r>
          </m:sub>
        </m:sSub>
      </m:oMath>
      <w:r w:rsidRPr="1AA815D6">
        <w:rPr>
          <w:lang w:val="en-US"/>
        </w:rPr>
        <w:t xml:space="preserve"> = average carbon black exposure for the </w:t>
      </w:r>
      <w:r w:rsidRPr="1AA815D6">
        <w:rPr>
          <w:i/>
          <w:lang w:val="en-US"/>
        </w:rPr>
        <w:t>j</w:t>
      </w:r>
      <w:r w:rsidRPr="1AA815D6">
        <w:rPr>
          <w:lang w:val="en-US"/>
        </w:rPr>
        <w:t>th exposure category (mg-year/m</w:t>
      </w:r>
      <w:r w:rsidRPr="1AA815D6">
        <w:rPr>
          <w:vertAlign w:val="superscript"/>
          <w:lang w:val="en-US"/>
        </w:rPr>
        <w:t>3</w:t>
      </w:r>
      <w:r w:rsidRPr="1AA815D6">
        <w:rPr>
          <w:lang w:val="en-US"/>
        </w:rPr>
        <w:t>)</w:t>
      </w:r>
    </w:p>
    <w:p w:rsidR="000F3FFC" w:rsidP="000F3FFC" w14:paraId="3C78404F" w14:textId="77777777">
      <w:pPr>
        <w:pStyle w:val="BodyText"/>
        <w:spacing w:after="240"/>
        <w:ind w:left="540"/>
      </w:pPr>
      <m:oMath>
        <m:sSub>
          <m:sSubPr>
            <m:ctrlPr>
              <w:rPr>
                <w:rFonts w:ascii="Cambria Math" w:hAnsi="Cambria Math"/>
                <w:i/>
              </w:rPr>
            </m:ctrlPr>
          </m:sSubPr>
          <m:e>
            <m:r>
              <w:rPr>
                <w:rFonts w:ascii="Cambria Math" w:hAnsi="Cambria Math"/>
              </w:rPr>
              <m:t>OR</m:t>
            </m:r>
          </m:e>
          <m:sub>
            <m:r>
              <w:rPr>
                <w:rFonts w:ascii="Cambria Math" w:hAnsi="Cambria Math"/>
              </w:rPr>
              <m:t>j</m:t>
            </m:r>
          </m:sub>
        </m:sSub>
      </m:oMath>
      <w:r w:rsidRPr="1AA815D6">
        <w:rPr>
          <w:lang w:val="en-US"/>
        </w:rPr>
        <w:t xml:space="preserve"> = odds ratio for the </w:t>
      </w:r>
      <w:r w:rsidRPr="1AA815D6">
        <w:rPr>
          <w:i/>
          <w:lang w:val="en-US"/>
        </w:rPr>
        <w:t>j</w:t>
      </w:r>
      <w:r w:rsidRPr="1AA815D6">
        <w:rPr>
          <w:lang w:val="en-US"/>
        </w:rPr>
        <w:t>th exposure category</w:t>
      </w:r>
    </w:p>
    <w:p w:rsidR="000F3FFC" w:rsidRPr="0077026D" w:rsidP="000F3FFC" w14:paraId="6C47E73F" w14:textId="0E1DCA37">
      <w:pPr>
        <w:pStyle w:val="Caption"/>
        <w:jc w:val="center"/>
      </w:pPr>
      <w:bookmarkStart w:id="285" w:name="_Ref181218783"/>
      <w:r>
        <w:t xml:space="preserve">Equation </w:t>
      </w:r>
      <w:r>
        <w:fldChar w:fldCharType="begin" w:fldLock="1"/>
      </w:r>
      <w:r>
        <w:instrText>STYLEREF 1 \s</w:instrText>
      </w:r>
      <w:r>
        <w:fldChar w:fldCharType="separate"/>
      </w:r>
      <w:r w:rsidR="00735BBC">
        <w:rPr>
          <w:noProof/>
        </w:rPr>
        <w:t>5</w:t>
      </w:r>
      <w:r>
        <w:fldChar w:fldCharType="end"/>
      </w:r>
      <w:r>
        <w:noBreakHyphen/>
      </w:r>
      <w:r>
        <w:fldChar w:fldCharType="begin" w:fldLock="1"/>
      </w:r>
      <w:r>
        <w:instrText>SEQ Equation \* ARABIC \s 1</w:instrText>
      </w:r>
      <w:r>
        <w:fldChar w:fldCharType="separate"/>
      </w:r>
      <w:r w:rsidR="00735BBC">
        <w:rPr>
          <w:noProof/>
        </w:rPr>
        <w:t>6</w:t>
      </w:r>
      <w:r>
        <w:fldChar w:fldCharType="end"/>
      </w:r>
      <w:bookmarkEnd w:id="285"/>
      <w:r>
        <w:t xml:space="preserve">: </w:t>
      </w:r>
      <m:oMath>
        <m:r>
          <m:rPr>
            <m:sty m:val="bi"/>
          </m:rPr>
          <w:rPr>
            <w:rFonts w:ascii="Cambria Math" w:hAnsi="Cambria Math"/>
            <w:sz w:val="22"/>
          </w:rPr>
          <m:t>Weight (w)=</m:t>
        </m:r>
        <m:sSubSup>
          <m:sSubSupPr>
            <m:ctrlPr>
              <w:rPr>
                <w:rFonts w:ascii="Cambria Math" w:hAnsi="Cambria Math"/>
                <w:i/>
                <w:sz w:val="22"/>
              </w:rPr>
            </m:ctrlPr>
          </m:sSubSupPr>
          <m:e>
            <m:r>
              <m:rPr>
                <m:sty m:val="bi"/>
              </m:rPr>
              <w:rPr>
                <w:rFonts w:ascii="Cambria Math" w:hAnsi="Cambria Math"/>
                <w:sz w:val="22"/>
              </w:rPr>
              <m:t>OR</m:t>
            </m:r>
          </m:e>
          <m:sub>
            <m:r>
              <m:rPr>
                <m:sty m:val="bi"/>
              </m:rPr>
              <w:rPr>
                <w:rFonts w:ascii="Cambria Math" w:hAnsi="Cambria Math"/>
                <w:sz w:val="22"/>
              </w:rPr>
              <m:t>j</m:t>
            </m:r>
          </m:sub>
          <m:sup>
            <m:r>
              <m:rPr>
                <m:sty m:val="bi"/>
              </m:rPr>
              <w:rPr>
                <w:rFonts w:ascii="Cambria Math" w:hAnsi="Cambria Math"/>
                <w:sz w:val="22"/>
              </w:rPr>
              <m:t>2</m:t>
            </m:r>
          </m:sup>
        </m:sSubSup>
        <m:r>
          <m:rPr>
            <m:sty m:val="bi"/>
          </m:rPr>
          <w:rPr>
            <w:rFonts w:ascii="Cambria Math" w:hAnsi="Cambria Math"/>
            <w:sz w:val="22"/>
          </w:rPr>
          <m:t>×</m:t>
        </m:r>
        <m:sSup>
          <m:sSupPr>
            <m:ctrlPr>
              <w:rPr>
                <w:rFonts w:ascii="Cambria Math" w:hAnsi="Cambria Math"/>
                <w:i/>
                <w:sz w:val="22"/>
              </w:rPr>
            </m:ctrlPr>
          </m:sSupPr>
          <m:e>
            <m:d>
              <m:dPr>
                <m:begChr m:val="["/>
                <m:endChr m:val="]"/>
                <m:ctrlPr>
                  <w:rPr>
                    <w:rFonts w:ascii="Cambria Math" w:hAnsi="Cambria Math"/>
                    <w:i/>
                    <w:sz w:val="22"/>
                  </w:rPr>
                </m:ctrlPr>
              </m:dPr>
              <m:e>
                <m:f>
                  <m:fPr>
                    <m:ctrlPr>
                      <w:rPr>
                        <w:rFonts w:ascii="Cambria Math" w:hAnsi="Cambria Math"/>
                        <w:i/>
                        <w:sz w:val="22"/>
                      </w:rPr>
                    </m:ctrlPr>
                  </m:fPr>
                  <m:num>
                    <m:func>
                      <m:funcPr>
                        <m:ctrlPr>
                          <w:rPr>
                            <w:rFonts w:ascii="Cambria Math" w:hAnsi="Cambria Math"/>
                            <w:i/>
                            <w:sz w:val="22"/>
                          </w:rPr>
                        </m:ctrlPr>
                      </m:funcPr>
                      <m:fName>
                        <m:r>
                          <m:rPr>
                            <m:sty m:val="b"/>
                          </m:rPr>
                          <w:rPr>
                            <w:rFonts w:ascii="Cambria Math" w:hAnsi="Cambria Math"/>
                            <w:sz w:val="22"/>
                          </w:rPr>
                          <m:t>ln</m:t>
                        </m:r>
                      </m:fName>
                      <m:e>
                        <m:d>
                          <m:dPr>
                            <m:ctrlPr>
                              <w:rPr>
                                <w:rFonts w:ascii="Cambria Math" w:hAnsi="Cambria Math"/>
                                <w:i/>
                                <w:sz w:val="22"/>
                              </w:rPr>
                            </m:ctrlPr>
                          </m:dPr>
                          <m:e>
                            <m:sSub>
                              <m:sSubPr>
                                <m:ctrlPr>
                                  <w:rPr>
                                    <w:rFonts w:ascii="Cambria Math" w:hAnsi="Cambria Math"/>
                                    <w:i/>
                                    <w:sz w:val="22"/>
                                  </w:rPr>
                                </m:ctrlPr>
                              </m:sSubPr>
                              <m:e>
                                <m:r>
                                  <m:rPr>
                                    <m:sty m:val="bi"/>
                                  </m:rPr>
                                  <w:rPr>
                                    <w:rFonts w:ascii="Cambria Math" w:hAnsi="Cambria Math"/>
                                    <w:sz w:val="22"/>
                                  </w:rPr>
                                  <m:t>OR</m:t>
                                </m:r>
                              </m:e>
                              <m:sub>
                                <m:r>
                                  <m:rPr>
                                    <m:sty m:val="bi"/>
                                  </m:rPr>
                                  <w:rPr>
                                    <w:rFonts w:ascii="Cambria Math" w:hAnsi="Cambria Math"/>
                                    <w:sz w:val="22"/>
                                  </w:rPr>
                                  <m:t>j (upper)</m:t>
                                </m:r>
                              </m:sub>
                            </m:sSub>
                          </m:e>
                        </m:d>
                      </m:e>
                    </m:func>
                    <m:r>
                      <m:rPr>
                        <m:sty m:val="bi"/>
                      </m:rPr>
                      <w:rPr>
                        <w:rFonts w:ascii="Cambria Math" w:hAnsi="Cambria Math"/>
                        <w:sz w:val="22"/>
                      </w:rPr>
                      <m:t>-</m:t>
                    </m:r>
                    <m:r>
                      <m:rPr>
                        <m:sty m:val="b"/>
                      </m:rPr>
                      <w:rPr>
                        <w:rFonts w:ascii="Cambria Math" w:hAnsi="Cambria Math"/>
                        <w:sz w:val="22"/>
                      </w:rPr>
                      <m:t>ln⁡</m:t>
                    </m:r>
                    <m:r>
                      <m:rPr>
                        <m:sty m:val="bi"/>
                      </m:rPr>
                      <w:rPr>
                        <w:rFonts w:ascii="Cambria Math" w:hAnsi="Cambria Math"/>
                        <w:sz w:val="22"/>
                      </w:rPr>
                      <m:t>(</m:t>
                    </m:r>
                    <m:sSub>
                      <m:sSubPr>
                        <m:ctrlPr>
                          <w:rPr>
                            <w:rFonts w:ascii="Cambria Math" w:hAnsi="Cambria Math"/>
                            <w:i/>
                            <w:sz w:val="22"/>
                          </w:rPr>
                        </m:ctrlPr>
                      </m:sSubPr>
                      <m:e>
                        <m:r>
                          <m:rPr>
                            <m:sty m:val="bi"/>
                          </m:rPr>
                          <w:rPr>
                            <w:rFonts w:ascii="Cambria Math" w:hAnsi="Cambria Math"/>
                            <w:sz w:val="22"/>
                          </w:rPr>
                          <m:t>OR</m:t>
                        </m:r>
                      </m:e>
                      <m:sub>
                        <m:r>
                          <m:rPr>
                            <m:sty m:val="bi"/>
                          </m:rPr>
                          <w:rPr>
                            <w:rFonts w:ascii="Cambria Math" w:hAnsi="Cambria Math"/>
                            <w:sz w:val="22"/>
                          </w:rPr>
                          <m:t>j (lower)</m:t>
                        </m:r>
                      </m:sub>
                    </m:sSub>
                    <m:r>
                      <m:rPr>
                        <m:sty m:val="bi"/>
                      </m:rPr>
                      <w:rPr>
                        <w:rFonts w:ascii="Cambria Math" w:hAnsi="Cambria Math"/>
                        <w:sz w:val="22"/>
                      </w:rPr>
                      <m:t>)</m:t>
                    </m:r>
                  </m:num>
                  <m:den>
                    <m:r>
                      <m:rPr>
                        <m:sty m:val="bi"/>
                      </m:rPr>
                      <w:rPr>
                        <w:rFonts w:ascii="Cambria Math" w:hAnsi="Cambria Math"/>
                        <w:sz w:val="22"/>
                      </w:rPr>
                      <m:t>2 ×1.96</m:t>
                    </m:r>
                  </m:den>
                </m:f>
              </m:e>
            </m:d>
          </m:e>
          <m:sup>
            <m:r>
              <m:rPr>
                <m:sty m:val="bi"/>
              </m:rPr>
              <w:rPr>
                <w:rFonts w:ascii="Cambria Math" w:hAnsi="Cambria Math"/>
                <w:sz w:val="22"/>
              </w:rPr>
              <m:t>2</m:t>
            </m:r>
          </m:sup>
        </m:sSup>
      </m:oMath>
    </w:p>
    <w:p w:rsidR="000F3FFC" w:rsidP="000F3FFC" w14:paraId="1D7F3FD8" w14:textId="77777777">
      <w:pPr>
        <w:pStyle w:val="BodyText"/>
        <w:spacing w:after="240"/>
        <w:ind w:left="540"/>
      </w:pPr>
      <w:r>
        <w:t>Where:</w:t>
      </w:r>
    </w:p>
    <w:p w:rsidR="000F3FFC" w:rsidRPr="00342376" w:rsidP="000F3FFC" w14:paraId="35C100EF" w14:textId="77777777">
      <w:pPr>
        <w:pStyle w:val="BodyText"/>
        <w:spacing w:after="240"/>
        <w:ind w:left="540"/>
      </w:pPr>
      <m:oMath>
        <m:r>
          <w:rPr>
            <w:rFonts w:ascii="Cambria Math" w:hAnsi="Cambria Math"/>
          </w:rPr>
          <m:t>OR</m:t>
        </m:r>
      </m:oMath>
      <w:r w:rsidRPr="00342376">
        <w:t xml:space="preserve"> = odds ratio</w:t>
      </w:r>
    </w:p>
    <w:p w:rsidR="000F3FFC" w:rsidRPr="00342376" w:rsidP="000F3FFC" w14:paraId="484DA4E5" w14:textId="77777777">
      <w:pPr>
        <w:pStyle w:val="BodyText"/>
        <w:spacing w:after="240"/>
        <w:ind w:left="540"/>
      </w:pPr>
      <m:oMath>
        <m:sSub>
          <m:sSubPr>
            <m:ctrlPr>
              <w:rPr>
                <w:rFonts w:ascii="Cambria Math" w:hAnsi="Cambria Math"/>
                <w:i/>
              </w:rPr>
            </m:ctrlPr>
          </m:sSubPr>
          <m:e>
            <m:r>
              <w:rPr>
                <w:rFonts w:ascii="Cambria Math" w:hAnsi="Cambria Math"/>
              </w:rPr>
              <m:t>OR</m:t>
            </m:r>
          </m:e>
          <m:sub>
            <m:r>
              <w:rPr>
                <w:rFonts w:ascii="Cambria Math" w:hAnsi="Cambria Math"/>
              </w:rPr>
              <m:t>j (upper)</m:t>
            </m:r>
          </m:sub>
        </m:sSub>
      </m:oMath>
      <w:r w:rsidRPr="1AA815D6">
        <w:rPr>
          <w:lang w:val="en-US"/>
        </w:rPr>
        <w:t xml:space="preserve"> = 95% upper bound on the OR estimate for the </w:t>
      </w:r>
      <w:r w:rsidRPr="1AA815D6">
        <w:rPr>
          <w:i/>
          <w:lang w:val="en-US"/>
        </w:rPr>
        <w:t>j</w:t>
      </w:r>
      <w:r w:rsidRPr="1AA815D6">
        <w:rPr>
          <w:lang w:val="en-US"/>
        </w:rPr>
        <w:t>th exposure category</w:t>
      </w:r>
    </w:p>
    <w:p w:rsidR="000F3FFC" w:rsidP="000F3FFC" w14:paraId="65BBB763" w14:textId="77777777">
      <w:pPr>
        <w:pStyle w:val="BodyText"/>
        <w:spacing w:after="240"/>
        <w:ind w:left="540"/>
      </w:pPr>
      <m:oMath>
        <m:sSub>
          <m:sSubPr>
            <m:ctrlPr>
              <w:rPr>
                <w:rFonts w:ascii="Cambria Math" w:hAnsi="Cambria Math"/>
                <w:i/>
              </w:rPr>
            </m:ctrlPr>
          </m:sSubPr>
          <m:e>
            <m:r>
              <w:rPr>
                <w:rFonts w:ascii="Cambria Math" w:hAnsi="Cambria Math"/>
              </w:rPr>
              <m:t>OR</m:t>
            </m:r>
          </m:e>
          <m:sub>
            <m:r>
              <w:rPr>
                <w:rFonts w:ascii="Cambria Math" w:hAnsi="Cambria Math"/>
              </w:rPr>
              <m:t>j (lower)</m:t>
            </m:r>
          </m:sub>
        </m:sSub>
      </m:oMath>
      <w:r w:rsidRPr="1AA815D6">
        <w:rPr>
          <w:lang w:val="en-US"/>
        </w:rPr>
        <w:t xml:space="preserve"> =95% lower bound on the OR estimate for the </w:t>
      </w:r>
      <w:r w:rsidRPr="1AA815D6">
        <w:rPr>
          <w:i/>
          <w:lang w:val="en-US"/>
        </w:rPr>
        <w:t>j</w:t>
      </w:r>
      <w:r w:rsidRPr="1AA815D6">
        <w:rPr>
          <w:lang w:val="en-US"/>
        </w:rPr>
        <w:t>th exposure category</w:t>
      </w:r>
    </w:p>
    <w:p w:rsidR="000F3FFC" w:rsidRPr="00431EED" w:rsidP="000F3FFC" w14:paraId="6D7734C4" w14:textId="77777777">
      <w:pPr>
        <w:pStyle w:val="Heading3"/>
        <w:rPr>
          <w:rStyle w:val="TableTextChar"/>
        </w:rPr>
      </w:pPr>
      <w:r w:rsidRPr="00431EED">
        <w:rPr>
          <w:rStyle w:val="TableTextChar"/>
        </w:rPr>
        <w:t>Summary of Avoided Cases</w:t>
      </w:r>
    </w:p>
    <w:p w:rsidR="000F3FFC" w:rsidRPr="00431EED" w:rsidP="000F3FFC" w14:paraId="11304150" w14:textId="2AF0DB93">
      <w:pPr>
        <w:pStyle w:val="BodyText"/>
        <w:rPr>
          <w:rStyle w:val="TableTextChar"/>
          <w:rFonts w:ascii="Times New Roman" w:hAnsi="Times New Roman" w:eastAsiaTheme="minorEastAsia"/>
          <w:lang w:val="en-US"/>
        </w:rPr>
      </w:pPr>
      <w:r w:rsidRPr="00431EED">
        <w:rPr>
          <w:rStyle w:val="TableTextChar"/>
          <w:rFonts w:ascii="Times New Roman" w:hAnsi="Times New Roman" w:eastAsiaTheme="minorEastAsia"/>
        </w:rPr>
        <w:fldChar w:fldCharType="begin" w:fldLock="1"/>
      </w:r>
      <w:r w:rsidRPr="00431EED">
        <w:rPr>
          <w:rStyle w:val="TableTextChar"/>
          <w:rFonts w:ascii="Times New Roman" w:hAnsi="Times New Roman" w:eastAsiaTheme="minorEastAsia"/>
        </w:rPr>
        <w:instrText xml:space="preserve"> REF _Ref181219251 </w:instrText>
      </w:r>
      <w:r>
        <w:rPr>
          <w:rStyle w:val="TableTextChar"/>
          <w:rFonts w:ascii="Times New Roman" w:hAnsi="Times New Roman" w:eastAsiaTheme="minorEastAsia"/>
        </w:rPr>
        <w:instrText xml:space="preserve"> \* MERGEFORMAT </w:instrText>
      </w:r>
      <w:r w:rsidRPr="00431EED">
        <w:rPr>
          <w:rStyle w:val="TableTextChar"/>
          <w:rFonts w:ascii="Times New Roman" w:hAnsi="Times New Roman" w:eastAsiaTheme="minorEastAsia"/>
        </w:rPr>
        <w:fldChar w:fldCharType="separate"/>
      </w:r>
      <w:r w:rsidRPr="00735BBC" w:rsidR="00735BBC">
        <w:rPr>
          <w:lang w:val="en-US"/>
        </w:rPr>
        <w:t>Table 5</w:t>
      </w:r>
      <w:r w:rsidRPr="00735BBC" w:rsidR="00735BBC">
        <w:rPr>
          <w:lang w:val="en-US"/>
        </w:rPr>
        <w:noBreakHyphen/>
        <w:t>5</w:t>
      </w:r>
      <w:r w:rsidRPr="00431EED">
        <w:rPr>
          <w:rStyle w:val="TableTextChar"/>
          <w:rFonts w:ascii="Times New Roman" w:hAnsi="Times New Roman" w:eastAsiaTheme="minorEastAsia"/>
        </w:rPr>
        <w:fldChar w:fldCharType="end"/>
      </w:r>
      <w:r w:rsidRPr="51DEDCD1">
        <w:rPr>
          <w:rStyle w:val="TableTextChar"/>
          <w:rFonts w:ascii="Times New Roman" w:hAnsi="Times New Roman" w:eastAsiaTheme="minorEastAsia"/>
          <w:lang w:val="en-US"/>
        </w:rPr>
        <w:t xml:space="preserve"> summarizes the expected reduction in the number of chronic bronchitis cases each year due to the requirements of the proposed rule (i.e. use of APF 50 or higher PPE for all workers and ONUs), based on the exposure</w:t>
      </w:r>
      <w:r w:rsidRPr="51DEDCD1" w:rsidR="002A3E69">
        <w:rPr>
          <w:rStyle w:val="TableTextChar"/>
          <w:rFonts w:ascii="Times New Roman" w:hAnsi="Times New Roman" w:eastAsiaTheme="minorEastAsia"/>
          <w:lang w:val="en-US"/>
        </w:rPr>
        <w:t>s</w:t>
      </w:r>
      <w:r w:rsidRPr="51DEDCD1">
        <w:rPr>
          <w:rStyle w:val="TableTextChar"/>
          <w:rFonts w:ascii="Times New Roman" w:hAnsi="Times New Roman" w:eastAsiaTheme="minorEastAsia"/>
          <w:lang w:val="en-US"/>
        </w:rPr>
        <w:t xml:space="preserve"> </w:t>
      </w:r>
      <w:r w:rsidRPr="51DEDCD1" w:rsidR="002A3E69">
        <w:rPr>
          <w:rStyle w:val="TableTextChar"/>
          <w:rFonts w:ascii="Times New Roman" w:hAnsi="Times New Roman" w:eastAsiaTheme="minorEastAsia"/>
          <w:lang w:val="en-US"/>
        </w:rPr>
        <w:t xml:space="preserve">described </w:t>
      </w:r>
      <w:r w:rsidRPr="51DEDCD1">
        <w:rPr>
          <w:rStyle w:val="TableTextChar"/>
          <w:rFonts w:ascii="Times New Roman" w:hAnsi="Times New Roman" w:eastAsiaTheme="minorEastAsia"/>
          <w:lang w:val="en-US"/>
        </w:rPr>
        <w:t xml:space="preserve">in </w:t>
      </w:r>
      <w:r w:rsidRPr="51DEDCD1" w:rsidR="00945FD6">
        <w:rPr>
          <w:rStyle w:val="TableTextChar"/>
          <w:rFonts w:ascii="Times New Roman" w:hAnsi="Times New Roman" w:eastAsiaTheme="minorEastAsia"/>
          <w:lang w:val="en-US"/>
        </w:rPr>
        <w:t xml:space="preserve">section </w:t>
      </w:r>
      <w:r w:rsidR="00945FD6">
        <w:rPr>
          <w:rStyle w:val="TableTextChar"/>
          <w:rFonts w:ascii="Times New Roman" w:hAnsi="Times New Roman" w:eastAsiaTheme="minorEastAsia"/>
        </w:rPr>
        <w:fldChar w:fldCharType="begin" w:fldLock="1"/>
      </w:r>
      <w:r w:rsidR="00945FD6">
        <w:rPr>
          <w:rStyle w:val="TableTextChar"/>
          <w:rFonts w:ascii="Times New Roman" w:hAnsi="Times New Roman" w:eastAsiaTheme="minorEastAsia"/>
        </w:rPr>
        <w:instrText xml:space="preserve"> REF _Ref181352833 \r \h </w:instrText>
      </w:r>
      <w:r w:rsidR="00945FD6">
        <w:rPr>
          <w:rStyle w:val="TableTextChar"/>
          <w:rFonts w:ascii="Times New Roman" w:hAnsi="Times New Roman" w:eastAsiaTheme="minorEastAsia"/>
        </w:rPr>
        <w:fldChar w:fldCharType="separate"/>
      </w:r>
      <w:r w:rsidR="00735BBC">
        <w:rPr>
          <w:rStyle w:val="TableTextChar"/>
          <w:rFonts w:ascii="Times New Roman" w:hAnsi="Times New Roman" w:eastAsiaTheme="minorEastAsia"/>
        </w:rPr>
        <w:t>5.1</w:t>
      </w:r>
      <w:r w:rsidR="00945FD6">
        <w:rPr>
          <w:rStyle w:val="TableTextChar"/>
          <w:rFonts w:ascii="Times New Roman" w:hAnsi="Times New Roman" w:eastAsiaTheme="minorEastAsia"/>
        </w:rPr>
        <w:fldChar w:fldCharType="end"/>
      </w:r>
      <w:r w:rsidRPr="51DEDCD1" w:rsidR="00945FD6">
        <w:rPr>
          <w:rStyle w:val="TableTextChar"/>
          <w:rFonts w:ascii="Times New Roman" w:hAnsi="Times New Roman" w:eastAsiaTheme="minorEastAsia"/>
          <w:lang w:val="en-US"/>
        </w:rPr>
        <w:t xml:space="preserve"> </w:t>
      </w:r>
      <w:r w:rsidRPr="51DEDCD1">
        <w:rPr>
          <w:rStyle w:val="TableTextChar"/>
          <w:rFonts w:ascii="Times New Roman" w:hAnsi="Times New Roman" w:eastAsiaTheme="minorEastAsia"/>
          <w:lang w:val="en-US"/>
        </w:rPr>
        <w:t xml:space="preserve">and the dose-response functions described in Sections </w:t>
      </w:r>
      <w:r w:rsidRPr="00431EED">
        <w:rPr>
          <w:rStyle w:val="TableTextChar"/>
          <w:rFonts w:ascii="Times New Roman" w:hAnsi="Times New Roman" w:eastAsiaTheme="minorEastAsia"/>
        </w:rPr>
        <w:fldChar w:fldCharType="begin" w:fldLock="1"/>
      </w:r>
      <w:r w:rsidRPr="00431EED">
        <w:rPr>
          <w:rStyle w:val="TableTextChar"/>
          <w:rFonts w:ascii="Times New Roman" w:hAnsi="Times New Roman" w:eastAsiaTheme="minorEastAsia"/>
        </w:rPr>
        <w:instrText xml:space="preserve"> REF _Ref181219362 \r </w:instrText>
      </w:r>
      <w:r>
        <w:rPr>
          <w:rStyle w:val="TableTextChar"/>
          <w:rFonts w:ascii="Times New Roman" w:hAnsi="Times New Roman" w:eastAsiaTheme="minorEastAsia"/>
        </w:rPr>
        <w:instrText xml:space="preserve"> \* MERGEFORMAT </w:instrText>
      </w:r>
      <w:r w:rsidRPr="00431EED">
        <w:rPr>
          <w:rStyle w:val="TableTextChar"/>
          <w:rFonts w:ascii="Times New Roman" w:hAnsi="Times New Roman" w:eastAsiaTheme="minorEastAsia"/>
        </w:rPr>
        <w:fldChar w:fldCharType="separate"/>
      </w:r>
      <w:r w:rsidRPr="00735BBC" w:rsidR="00735BBC">
        <w:rPr>
          <w:rStyle w:val="TableTextChar"/>
          <w:rFonts w:ascii="Times New Roman" w:hAnsi="Times New Roman" w:eastAsiaTheme="minorEastAsia"/>
          <w:lang w:val="en-US"/>
        </w:rPr>
        <w:t>5.3.1</w:t>
      </w:r>
      <w:r w:rsidRPr="00431EED">
        <w:rPr>
          <w:rStyle w:val="TableTextChar"/>
          <w:rFonts w:ascii="Times New Roman" w:hAnsi="Times New Roman" w:eastAsiaTheme="minorEastAsia"/>
        </w:rPr>
        <w:fldChar w:fldCharType="end"/>
      </w:r>
      <w:r w:rsidRPr="51DEDCD1">
        <w:rPr>
          <w:rStyle w:val="TableTextChar"/>
          <w:rFonts w:ascii="Times New Roman" w:hAnsi="Times New Roman" w:eastAsiaTheme="minorEastAsia"/>
          <w:lang w:val="en-US"/>
        </w:rPr>
        <w:t xml:space="preserve"> and </w:t>
      </w:r>
      <w:r w:rsidRPr="00431EED">
        <w:rPr>
          <w:rStyle w:val="TableTextChar"/>
          <w:rFonts w:ascii="Times New Roman" w:hAnsi="Times New Roman" w:eastAsiaTheme="minorEastAsia"/>
        </w:rPr>
        <w:fldChar w:fldCharType="begin" w:fldLock="1"/>
      </w:r>
      <w:r w:rsidRPr="00431EED">
        <w:rPr>
          <w:rStyle w:val="TableTextChar"/>
          <w:rFonts w:ascii="Times New Roman" w:hAnsi="Times New Roman" w:eastAsiaTheme="minorEastAsia"/>
        </w:rPr>
        <w:instrText xml:space="preserve"> REF _Ref181219370 \r </w:instrText>
      </w:r>
      <w:r>
        <w:rPr>
          <w:rStyle w:val="TableTextChar"/>
          <w:rFonts w:ascii="Times New Roman" w:hAnsi="Times New Roman" w:eastAsiaTheme="minorEastAsia"/>
        </w:rPr>
        <w:instrText xml:space="preserve"> \* MERGEFORMAT </w:instrText>
      </w:r>
      <w:r w:rsidRPr="00431EED">
        <w:rPr>
          <w:rStyle w:val="TableTextChar"/>
          <w:rFonts w:ascii="Times New Roman" w:hAnsi="Times New Roman" w:eastAsiaTheme="minorEastAsia"/>
        </w:rPr>
        <w:fldChar w:fldCharType="separate"/>
      </w:r>
      <w:r w:rsidRPr="00735BBC" w:rsidR="00735BBC">
        <w:rPr>
          <w:rStyle w:val="TableTextChar"/>
          <w:rFonts w:ascii="Times New Roman" w:hAnsi="Times New Roman" w:eastAsiaTheme="minorEastAsia"/>
          <w:lang w:val="en-US"/>
        </w:rPr>
        <w:t>5.3.2</w:t>
      </w:r>
      <w:r w:rsidRPr="00431EED">
        <w:rPr>
          <w:rStyle w:val="TableTextChar"/>
          <w:rFonts w:ascii="Times New Roman" w:hAnsi="Times New Roman" w:eastAsiaTheme="minorEastAsia"/>
        </w:rPr>
        <w:fldChar w:fldCharType="end"/>
      </w:r>
      <w:r w:rsidRPr="51DEDCD1">
        <w:rPr>
          <w:rStyle w:val="TableTextChar"/>
          <w:rFonts w:ascii="Times New Roman" w:hAnsi="Times New Roman" w:eastAsiaTheme="minorEastAsia"/>
          <w:lang w:val="en-US"/>
        </w:rPr>
        <w:t xml:space="preserve">. </w:t>
      </w:r>
      <w:r>
        <w:rPr>
          <w:rStyle w:val="TableTextChar"/>
          <w:rFonts w:ascii="Times New Roman" w:hAnsi="Times New Roman" w:eastAsiaTheme="minorEastAsia"/>
        </w:rPr>
        <w:fldChar w:fldCharType="begin" w:fldLock="1"/>
      </w:r>
      <w:r>
        <w:rPr>
          <w:rStyle w:val="TableTextChar"/>
          <w:rFonts w:ascii="Times New Roman" w:hAnsi="Times New Roman" w:eastAsiaTheme="minorEastAsia"/>
        </w:rPr>
        <w:instrText xml:space="preserve"> REF _Ref181219914 </w:instrText>
      </w:r>
      <w:r>
        <w:rPr>
          <w:rStyle w:val="TableTextChar"/>
          <w:rFonts w:ascii="Times New Roman" w:hAnsi="Times New Roman" w:eastAsiaTheme="minorEastAsia"/>
        </w:rPr>
        <w:fldChar w:fldCharType="separate"/>
      </w:r>
      <w:r w:rsidR="00735BBC">
        <w:t xml:space="preserve">Table </w:t>
      </w:r>
      <w:r w:rsidR="00735BBC">
        <w:rPr>
          <w:noProof/>
        </w:rPr>
        <w:t>5</w:t>
      </w:r>
      <w:r w:rsidR="00735BBC">
        <w:noBreakHyphen/>
      </w:r>
      <w:r w:rsidR="00735BBC">
        <w:rPr>
          <w:noProof/>
        </w:rPr>
        <w:t>6</w:t>
      </w:r>
      <w:r>
        <w:rPr>
          <w:rStyle w:val="TableTextChar"/>
          <w:rFonts w:ascii="Times New Roman" w:hAnsi="Times New Roman" w:eastAsiaTheme="minorEastAsia"/>
        </w:rPr>
        <w:fldChar w:fldCharType="end"/>
      </w:r>
      <w:r w:rsidRPr="51DEDCD1">
        <w:rPr>
          <w:rStyle w:val="TableTextChar"/>
          <w:rFonts w:ascii="Times New Roman" w:hAnsi="Times New Roman" w:eastAsiaTheme="minorEastAsia"/>
          <w:lang w:val="en-US"/>
        </w:rPr>
        <w:t xml:space="preserve"> shows the number of avoided cases per year under the alternative option</w:t>
      </w:r>
      <w:r w:rsidRPr="51DEDCD1" w:rsidR="008C5E86">
        <w:rPr>
          <w:rStyle w:val="TableTextChar"/>
          <w:rFonts w:ascii="Times New Roman" w:hAnsi="Times New Roman" w:eastAsiaTheme="minorEastAsia"/>
          <w:lang w:val="en-US"/>
        </w:rPr>
        <w:t xml:space="preserve">, which reflect exposure reductions that are equivalent to </w:t>
      </w:r>
      <w:r w:rsidRPr="51DEDCD1" w:rsidR="00502D19">
        <w:rPr>
          <w:rStyle w:val="TableTextChar"/>
          <w:rFonts w:ascii="Times New Roman" w:hAnsi="Times New Roman" w:eastAsiaTheme="minorEastAsia"/>
          <w:lang w:val="en-US"/>
        </w:rPr>
        <w:t xml:space="preserve">what can be achieved by </w:t>
      </w:r>
      <w:r w:rsidRPr="51DEDCD1" w:rsidR="008C5E86">
        <w:rPr>
          <w:rStyle w:val="TableTextChar"/>
          <w:rFonts w:ascii="Times New Roman" w:hAnsi="Times New Roman" w:eastAsiaTheme="minorEastAsia"/>
          <w:lang w:val="en-US"/>
        </w:rPr>
        <w:t xml:space="preserve">the use of APF 10 </w:t>
      </w:r>
      <w:r w:rsidRPr="51DEDCD1" w:rsidR="00502D19">
        <w:rPr>
          <w:rStyle w:val="TableTextChar"/>
          <w:rFonts w:ascii="Times New Roman" w:hAnsi="Times New Roman" w:eastAsiaTheme="minorEastAsia"/>
          <w:lang w:val="en-US"/>
        </w:rPr>
        <w:t>respirators</w:t>
      </w:r>
      <w:r w:rsidRPr="51DEDCD1">
        <w:rPr>
          <w:rStyle w:val="TableTextChar"/>
          <w:rFonts w:ascii="Times New Roman" w:hAnsi="Times New Roman" w:eastAsiaTheme="minorEastAsia"/>
          <w:lang w:val="en-US"/>
        </w:rPr>
        <w:t>.</w:t>
      </w:r>
    </w:p>
    <w:tbl>
      <w:tblPr>
        <w:tblW w:w="5000" w:type="pct"/>
        <w:tblLook w:val="04A0"/>
      </w:tblPr>
      <w:tblGrid>
        <w:gridCol w:w="4293"/>
        <w:gridCol w:w="1013"/>
        <w:gridCol w:w="1013"/>
        <w:gridCol w:w="1013"/>
        <w:gridCol w:w="1013"/>
        <w:gridCol w:w="1015"/>
      </w:tblGrid>
      <w:tr w14:paraId="39648C77" w14:textId="77777777" w:rsidTr="009860E2">
        <w:tblPrEx>
          <w:tblW w:w="5000" w:type="pct"/>
          <w:tblLook w:val="04A0"/>
        </w:tblPrEx>
        <w:trPr>
          <w:trHeight w:val="300"/>
        </w:trPr>
        <w:tc>
          <w:tcPr>
            <w:tcW w:w="5000" w:type="pct"/>
            <w:gridSpan w:val="6"/>
            <w:tcBorders>
              <w:bottom w:val="single" w:sz="4" w:space="0" w:color="auto"/>
            </w:tcBorders>
            <w:shd w:val="clear" w:color="auto" w:fill="auto"/>
            <w:vAlign w:val="center"/>
          </w:tcPr>
          <w:p w:rsidR="000F3FFC" w:rsidP="009860E2" w14:paraId="03464227" w14:textId="00F4F3F4">
            <w:pPr>
              <w:pStyle w:val="TableTitleA"/>
            </w:pPr>
            <w:bookmarkStart w:id="286" w:name="_Ref181219251"/>
            <w:bookmarkStart w:id="287" w:name="_Toc184299590"/>
            <w:r>
              <w:t xml:space="preserve">Table </w:t>
            </w:r>
            <w:r>
              <w:fldChar w:fldCharType="begin" w:fldLock="1"/>
            </w:r>
            <w:r>
              <w:instrText>STYLEREF 1 \s</w:instrText>
            </w:r>
            <w:r>
              <w:fldChar w:fldCharType="separate"/>
            </w:r>
            <w:r w:rsidR="00735BBC">
              <w:rPr>
                <w:noProof/>
              </w:rPr>
              <w:t>5</w:t>
            </w:r>
            <w:r>
              <w:fldChar w:fldCharType="end"/>
            </w:r>
            <w:r>
              <w:noBreakHyphen/>
            </w:r>
            <w:r>
              <w:fldChar w:fldCharType="begin" w:fldLock="1"/>
            </w:r>
            <w:r>
              <w:instrText>SEQ Table \* ARABIC \s 1</w:instrText>
            </w:r>
            <w:r>
              <w:fldChar w:fldCharType="separate"/>
            </w:r>
            <w:r w:rsidR="00735BBC">
              <w:rPr>
                <w:noProof/>
              </w:rPr>
              <w:t>5</w:t>
            </w:r>
            <w:r>
              <w:fldChar w:fldCharType="end"/>
            </w:r>
            <w:bookmarkEnd w:id="286"/>
            <w:r>
              <w:t>: Number of Avoided Cases Per Year under the Proposed Option</w:t>
            </w:r>
            <w:bookmarkEnd w:id="287"/>
          </w:p>
        </w:tc>
      </w:tr>
      <w:tr w14:paraId="3D94D17F" w14:textId="77777777" w:rsidTr="00942FF2">
        <w:tblPrEx>
          <w:tblW w:w="5000" w:type="pct"/>
          <w:tblLook w:val="04A0"/>
        </w:tblPrEx>
        <w:trPr>
          <w:trHeight w:val="300"/>
        </w:trPr>
        <w:tc>
          <w:tcPr>
            <w:tcW w:w="2294"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0F3FFC" w:rsidP="009860E2" w14:paraId="616D70D8" w14:textId="77777777">
            <w:pPr>
              <w:pStyle w:val="TableSubtitle"/>
            </w:pPr>
            <w:r>
              <w:t>Use Category</w:t>
            </w:r>
          </w:p>
        </w:tc>
        <w:tc>
          <w:tcPr>
            <w:tcW w:w="1082"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0F3FFC" w:rsidP="009860E2" w14:paraId="3E8F077A" w14:textId="77777777">
            <w:pPr>
              <w:pStyle w:val="TableSubtitle"/>
              <w:rPr>
                <w:color w:val="FFFFFF"/>
              </w:rPr>
            </w:pPr>
            <w:r>
              <w:rPr>
                <w:color w:val="FFFFFF"/>
              </w:rPr>
              <w:t>Direct</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0F3FFC" w:rsidP="009860E2" w14:paraId="101EBA93" w14:textId="77777777">
            <w:pPr>
              <w:pStyle w:val="TableSubtitle"/>
              <w:rPr>
                <w:color w:val="FFFFFF"/>
              </w:rPr>
            </w:pPr>
            <w:r>
              <w:rPr>
                <w:color w:val="FFFFFF"/>
              </w:rPr>
              <w:t>ONUs</w:t>
            </w:r>
          </w:p>
        </w:tc>
        <w:tc>
          <w:tcPr>
            <w:tcW w:w="1082"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0F3FFC" w:rsidP="009860E2" w14:paraId="05E8586C" w14:textId="77777777">
            <w:pPr>
              <w:pStyle w:val="TableSubtitle"/>
              <w:rPr>
                <w:color w:val="FFFFFF"/>
              </w:rPr>
            </w:pPr>
            <w:r>
              <w:rPr>
                <w:color w:val="FFFFFF"/>
              </w:rPr>
              <w:t>Total</w:t>
            </w:r>
          </w:p>
        </w:tc>
      </w:tr>
      <w:tr w14:paraId="471C32CB" w14:textId="77777777" w:rsidTr="00942FF2">
        <w:tblPrEx>
          <w:tblW w:w="5000" w:type="pct"/>
          <w:tblLook w:val="04A0"/>
        </w:tblPrEx>
        <w:trPr>
          <w:trHeight w:val="143"/>
        </w:trPr>
        <w:tc>
          <w:tcPr>
            <w:tcW w:w="2294" w:type="pct"/>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0F3FFC" w:rsidP="009860E2" w14:paraId="1135B9B3" w14:textId="77777777">
            <w:pPr>
              <w:pStyle w:val="TableSubtitle"/>
            </w:pPr>
          </w:p>
        </w:tc>
        <w:tc>
          <w:tcPr>
            <w:tcW w:w="541" w:type="pct"/>
            <w:tcBorders>
              <w:top w:val="single" w:sz="4" w:space="0" w:color="auto"/>
              <w:left w:val="nil"/>
              <w:bottom w:val="single" w:sz="4" w:space="0" w:color="auto"/>
              <w:right w:val="single" w:sz="4" w:space="0" w:color="auto"/>
            </w:tcBorders>
            <w:shd w:val="clear" w:color="auto" w:fill="013E5B"/>
            <w:vAlign w:val="center"/>
            <w:hideMark/>
          </w:tcPr>
          <w:p w:rsidR="000F3FFC" w:rsidP="009860E2" w14:paraId="5521C338" w14:textId="77777777">
            <w:pPr>
              <w:pStyle w:val="TableSubtitle"/>
              <w:rPr>
                <w:color w:val="FFFFFF"/>
              </w:rPr>
            </w:pPr>
            <w:r>
              <w:rPr>
                <w:color w:val="FFFFFF"/>
              </w:rPr>
              <w:t>Low</w:t>
            </w:r>
          </w:p>
        </w:tc>
        <w:tc>
          <w:tcPr>
            <w:tcW w:w="541" w:type="pct"/>
            <w:tcBorders>
              <w:top w:val="single" w:sz="4" w:space="0" w:color="auto"/>
              <w:left w:val="nil"/>
              <w:bottom w:val="single" w:sz="4" w:space="0" w:color="auto"/>
              <w:right w:val="single" w:sz="4" w:space="0" w:color="auto"/>
            </w:tcBorders>
            <w:shd w:val="clear" w:color="auto" w:fill="013E5B"/>
            <w:vAlign w:val="center"/>
            <w:hideMark/>
          </w:tcPr>
          <w:p w:rsidR="000F3FFC" w:rsidP="009860E2" w14:paraId="0B4B2838" w14:textId="77777777">
            <w:pPr>
              <w:pStyle w:val="TableSubtitle"/>
              <w:rPr>
                <w:color w:val="FFFFFF"/>
              </w:rPr>
            </w:pPr>
            <w:r>
              <w:rPr>
                <w:color w:val="FFFFFF"/>
              </w:rPr>
              <w:t>High</w:t>
            </w:r>
          </w:p>
        </w:tc>
        <w:tc>
          <w:tcPr>
            <w:tcW w:w="541" w:type="pct"/>
            <w:vMerge/>
            <w:tcBorders>
              <w:top w:val="single" w:sz="4" w:space="0" w:color="auto"/>
              <w:left w:val="nil"/>
              <w:bottom w:val="single" w:sz="4" w:space="0" w:color="auto"/>
              <w:right w:val="single" w:sz="4" w:space="0" w:color="auto"/>
            </w:tcBorders>
            <w:shd w:val="clear" w:color="auto" w:fill="013E5B"/>
            <w:vAlign w:val="center"/>
            <w:hideMark/>
          </w:tcPr>
          <w:p w:rsidR="000F3FFC" w:rsidP="009860E2" w14:paraId="5D529CE5" w14:textId="77777777">
            <w:pPr>
              <w:pStyle w:val="TableSubtitle"/>
              <w:rPr>
                <w:color w:val="FFFFFF"/>
              </w:rPr>
            </w:pPr>
          </w:p>
        </w:tc>
        <w:tc>
          <w:tcPr>
            <w:tcW w:w="541" w:type="pct"/>
            <w:tcBorders>
              <w:top w:val="single" w:sz="4" w:space="0" w:color="auto"/>
              <w:left w:val="nil"/>
              <w:bottom w:val="single" w:sz="4" w:space="0" w:color="auto"/>
              <w:right w:val="single" w:sz="4" w:space="0" w:color="auto"/>
            </w:tcBorders>
            <w:shd w:val="clear" w:color="auto" w:fill="013E5B"/>
            <w:vAlign w:val="center"/>
            <w:hideMark/>
          </w:tcPr>
          <w:p w:rsidR="000F3FFC" w:rsidP="009860E2" w14:paraId="4559F201" w14:textId="77777777">
            <w:pPr>
              <w:pStyle w:val="TableSubtitle"/>
              <w:rPr>
                <w:color w:val="FFFFFF"/>
              </w:rPr>
            </w:pPr>
            <w:r>
              <w:rPr>
                <w:color w:val="FFFFFF"/>
              </w:rPr>
              <w:t>Low</w:t>
            </w:r>
          </w:p>
        </w:tc>
        <w:tc>
          <w:tcPr>
            <w:tcW w:w="541" w:type="pct"/>
            <w:tcBorders>
              <w:top w:val="single" w:sz="4" w:space="0" w:color="auto"/>
              <w:left w:val="nil"/>
              <w:bottom w:val="single" w:sz="4" w:space="0" w:color="auto"/>
              <w:right w:val="single" w:sz="4" w:space="0" w:color="auto"/>
            </w:tcBorders>
            <w:shd w:val="clear" w:color="auto" w:fill="013E5B"/>
            <w:vAlign w:val="center"/>
            <w:hideMark/>
          </w:tcPr>
          <w:p w:rsidR="000F3FFC" w:rsidP="009860E2" w14:paraId="26A5F106" w14:textId="77777777">
            <w:pPr>
              <w:pStyle w:val="TableSubtitle"/>
              <w:rPr>
                <w:color w:val="FFFFFF"/>
              </w:rPr>
            </w:pPr>
            <w:r>
              <w:rPr>
                <w:color w:val="FFFFFF"/>
              </w:rPr>
              <w:t>High</w:t>
            </w:r>
          </w:p>
        </w:tc>
      </w:tr>
      <w:tr w14:paraId="5B5FF111" w14:textId="77777777" w:rsidTr="009860E2">
        <w:tblPrEx>
          <w:tblW w:w="5000" w:type="pct"/>
          <w:tblLook w:val="04A0"/>
        </w:tblPrEx>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97CFDA"/>
            <w:noWrap/>
            <w:vAlign w:val="center"/>
          </w:tcPr>
          <w:p w:rsidR="000F3FFC" w:rsidRPr="00A17501" w:rsidP="009860E2" w14:paraId="1FD577C1" w14:textId="77777777">
            <w:pPr>
              <w:pStyle w:val="BSUBT"/>
            </w:pPr>
            <w:r>
              <w:t>Based on Gardiner</w:t>
            </w:r>
          </w:p>
        </w:tc>
      </w:tr>
      <w:tr w14:paraId="5E2059B9" w14:textId="77777777" w:rsidTr="00942FF2">
        <w:tblPrEx>
          <w:tblW w:w="5000" w:type="pct"/>
          <w:tblLook w:val="04A0"/>
        </w:tblPrEx>
        <w:trPr>
          <w:trHeight w:val="300"/>
        </w:trPr>
        <w:tc>
          <w:tcPr>
            <w:tcW w:w="2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FFC" w:rsidP="009860E2" w14:paraId="0AAFFDBC" w14:textId="77777777">
            <w:pPr>
              <w:pStyle w:val="LTableTextAbt"/>
            </w:pPr>
            <w:r>
              <w:t>PV29 manufacturing and intermediate processing</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1CA5BFA2" w14:textId="77777777">
            <w:pPr>
              <w:pStyle w:val="RTableTextAbt"/>
            </w:pPr>
            <w:r w:rsidRPr="00F92D84">
              <w:t>0.0012</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1DB57562" w14:textId="77777777">
            <w:pPr>
              <w:pStyle w:val="RTableTextAbt"/>
            </w:pPr>
            <w:r w:rsidRPr="00F92D84">
              <w:t>0.0137</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5564E7AC" w14:textId="77777777">
            <w:pPr>
              <w:pStyle w:val="RTableTextAbt"/>
            </w:pPr>
            <w:r w:rsidRPr="00F92D84">
              <w:t>0.0338</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1B189EBB" w14:textId="77777777">
            <w:pPr>
              <w:pStyle w:val="RTableTextAbt"/>
            </w:pPr>
            <w:r w:rsidRPr="00F92D84">
              <w:t>0.0351</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1A8E3F55" w14:textId="77777777">
            <w:pPr>
              <w:pStyle w:val="RTableTextAbt"/>
            </w:pPr>
            <w:r w:rsidRPr="00F92D84">
              <w:t>0.0475</w:t>
            </w:r>
          </w:p>
        </w:tc>
      </w:tr>
      <w:tr w14:paraId="39048356" w14:textId="77777777" w:rsidTr="00942FF2">
        <w:tblPrEx>
          <w:tblW w:w="5000" w:type="pct"/>
          <w:tblLook w:val="04A0"/>
        </w:tblPrEx>
        <w:trPr>
          <w:trHeight w:val="260"/>
        </w:trPr>
        <w:tc>
          <w:tcPr>
            <w:tcW w:w="22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3FFC" w:rsidP="009860E2" w14:paraId="1A1EF0BE" w14:textId="77777777">
            <w:pPr>
              <w:pStyle w:val="LTableTextAbt"/>
            </w:pPr>
            <w:r>
              <w:t>PV29 importing</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30065708" w14:textId="77777777">
            <w:pPr>
              <w:pStyle w:val="RTableTextAbt"/>
            </w:pPr>
            <w:r w:rsidRPr="00F92D84">
              <w:t>0.0307</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7E45959C" w14:textId="77777777">
            <w:pPr>
              <w:pStyle w:val="RTableTextAbt"/>
            </w:pPr>
            <w:r w:rsidRPr="00F92D84">
              <w:t>0.0307</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4E897B5B" w14:textId="77777777">
            <w:pPr>
              <w:pStyle w:val="RTableTextAbt"/>
            </w:pPr>
            <w:r w:rsidRPr="00F92D84">
              <w:t>0.0107</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0B4E2B4D" w14:textId="77777777">
            <w:pPr>
              <w:pStyle w:val="RTableTextAbt"/>
            </w:pPr>
            <w:r w:rsidRPr="00F92D84">
              <w:t>0.0414</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50DFE943" w14:textId="77777777">
            <w:pPr>
              <w:pStyle w:val="RTableTextAbt"/>
            </w:pPr>
            <w:r w:rsidRPr="00F92D84">
              <w:t>0.0414</w:t>
            </w:r>
          </w:p>
        </w:tc>
      </w:tr>
      <w:tr w14:paraId="0A7EC78D" w14:textId="77777777" w:rsidTr="00DF4808">
        <w:tblPrEx>
          <w:tblW w:w="5000" w:type="pct"/>
          <w:tblLook w:val="04A0"/>
        </w:tblPrEx>
        <w:trPr>
          <w:trHeight w:val="260"/>
        </w:trPr>
        <w:tc>
          <w:tcPr>
            <w:tcW w:w="2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FFC" w:rsidP="009860E2" w14:paraId="7D2F4577" w14:textId="77777777">
            <w:pPr>
              <w:pStyle w:val="LTableTextAbt"/>
            </w:pPr>
            <w:r>
              <w:t>Processing into automotive paints and coatings</w:t>
            </w:r>
          </w:p>
        </w:tc>
        <w:tc>
          <w:tcPr>
            <w:tcW w:w="541" w:type="pct"/>
            <w:tcBorders>
              <w:top w:val="single" w:sz="4" w:space="0" w:color="auto"/>
              <w:left w:val="nil"/>
              <w:bottom w:val="single" w:sz="4" w:space="0" w:color="auto"/>
              <w:right w:val="single" w:sz="4" w:space="0" w:color="auto"/>
            </w:tcBorders>
            <w:shd w:val="clear" w:color="auto" w:fill="EFAC35"/>
            <w:noWrap/>
          </w:tcPr>
          <w:p w:rsidR="000F3FFC" w:rsidP="009860E2" w14:paraId="1988F486" w14:textId="77777777">
            <w:pPr>
              <w:pStyle w:val="RTableTextAbt"/>
            </w:pPr>
            <w:r w:rsidRPr="00F92D84">
              <w:t>0.4299</w:t>
            </w:r>
          </w:p>
        </w:tc>
        <w:tc>
          <w:tcPr>
            <w:tcW w:w="541" w:type="pct"/>
            <w:tcBorders>
              <w:top w:val="single" w:sz="4" w:space="0" w:color="auto"/>
              <w:left w:val="nil"/>
              <w:bottom w:val="single" w:sz="4" w:space="0" w:color="auto"/>
              <w:right w:val="single" w:sz="4" w:space="0" w:color="auto"/>
            </w:tcBorders>
            <w:shd w:val="clear" w:color="auto" w:fill="EFAC35"/>
            <w:noWrap/>
          </w:tcPr>
          <w:p w:rsidR="000F3FFC" w:rsidP="009860E2" w14:paraId="361969C2" w14:textId="77777777">
            <w:pPr>
              <w:pStyle w:val="RTableTextAbt"/>
            </w:pPr>
            <w:r w:rsidRPr="00F92D84">
              <w:t>0.4299</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07FB1058" w14:textId="77777777">
            <w:pPr>
              <w:pStyle w:val="RTableTextAbt"/>
            </w:pPr>
            <w:r w:rsidRPr="00F92D84">
              <w:t>0.1497</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45AEC3C7" w14:textId="77777777">
            <w:pPr>
              <w:pStyle w:val="RTableTextAbt"/>
            </w:pPr>
            <w:r w:rsidRPr="00F92D84">
              <w:t>0.5796</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5C9991E4" w14:textId="77777777">
            <w:pPr>
              <w:pStyle w:val="RTableTextAbt"/>
            </w:pPr>
            <w:r w:rsidRPr="00F92D84">
              <w:t>0.5796</w:t>
            </w:r>
          </w:p>
        </w:tc>
      </w:tr>
      <w:tr w14:paraId="2589C2FB" w14:textId="77777777" w:rsidTr="00942FF2">
        <w:tblPrEx>
          <w:tblW w:w="5000" w:type="pct"/>
          <w:tblLook w:val="04A0"/>
        </w:tblPrEx>
        <w:trPr>
          <w:trHeight w:val="260"/>
        </w:trPr>
        <w:tc>
          <w:tcPr>
            <w:tcW w:w="2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FFC" w:rsidP="009860E2" w14:paraId="3CBA1908" w14:textId="77777777">
            <w:pPr>
              <w:pStyle w:val="LTableTextAbt"/>
            </w:pPr>
            <w:r>
              <w:t>Processing into plastic and rubber products</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4A5F1335" w14:textId="77777777">
            <w:pPr>
              <w:pStyle w:val="RTableTextAbt"/>
            </w:pPr>
            <w:r w:rsidRPr="00F92D84">
              <w:t>0.1515</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3C70C726" w14:textId="77777777">
            <w:pPr>
              <w:pStyle w:val="RTableTextAbt"/>
            </w:pPr>
            <w:r w:rsidRPr="00F92D84">
              <w:t>0.1515</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4D94D00D" w14:textId="77777777">
            <w:pPr>
              <w:pStyle w:val="RTableTextAbt"/>
            </w:pPr>
            <w:r w:rsidRPr="00F92D84">
              <w:t>0.0656</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60FE54FE" w14:textId="77777777">
            <w:pPr>
              <w:pStyle w:val="RTableTextAbt"/>
            </w:pPr>
            <w:r w:rsidRPr="00F92D84">
              <w:t>0.2171</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180F7F0D" w14:textId="77777777">
            <w:pPr>
              <w:pStyle w:val="RTableTextAbt"/>
            </w:pPr>
            <w:r w:rsidRPr="00F92D84">
              <w:t>0.2171</w:t>
            </w:r>
          </w:p>
        </w:tc>
      </w:tr>
      <w:tr w14:paraId="61BF5AF8" w14:textId="77777777" w:rsidTr="00942FF2">
        <w:tblPrEx>
          <w:tblW w:w="5000" w:type="pct"/>
          <w:tblLook w:val="04A0"/>
        </w:tblPrEx>
        <w:trPr>
          <w:trHeight w:val="280"/>
        </w:trPr>
        <w:tc>
          <w:tcPr>
            <w:tcW w:w="2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3FFC" w:rsidRPr="00431EED" w:rsidP="009860E2" w14:paraId="3109E5EF" w14:textId="77777777">
            <w:pPr>
              <w:pStyle w:val="LTableTextAbt"/>
              <w:rPr>
                <w:b/>
              </w:rPr>
            </w:pPr>
            <w:r w:rsidRPr="00431EED">
              <w:rPr>
                <w:b/>
              </w:rPr>
              <w:t>Total</w:t>
            </w:r>
          </w:p>
        </w:tc>
        <w:tc>
          <w:tcPr>
            <w:tcW w:w="541" w:type="pct"/>
            <w:tcBorders>
              <w:top w:val="single" w:sz="4" w:space="0" w:color="auto"/>
              <w:left w:val="nil"/>
              <w:bottom w:val="single" w:sz="4" w:space="0" w:color="auto"/>
              <w:right w:val="single" w:sz="4" w:space="0" w:color="auto"/>
            </w:tcBorders>
            <w:shd w:val="clear" w:color="auto" w:fill="auto"/>
            <w:noWrap/>
          </w:tcPr>
          <w:p w:rsidR="000F3FFC" w:rsidRPr="00431EED" w:rsidP="009860E2" w14:paraId="63C6D7FD" w14:textId="77777777">
            <w:pPr>
              <w:pStyle w:val="RTableTextAbt"/>
              <w:rPr>
                <w:b/>
              </w:rPr>
            </w:pPr>
            <w:r w:rsidRPr="00431EED">
              <w:rPr>
                <w:b/>
              </w:rPr>
              <w:t>0.6134</w:t>
            </w:r>
          </w:p>
        </w:tc>
        <w:tc>
          <w:tcPr>
            <w:tcW w:w="541" w:type="pct"/>
            <w:tcBorders>
              <w:top w:val="single" w:sz="4" w:space="0" w:color="auto"/>
              <w:left w:val="nil"/>
              <w:bottom w:val="single" w:sz="4" w:space="0" w:color="auto"/>
              <w:right w:val="single" w:sz="4" w:space="0" w:color="auto"/>
            </w:tcBorders>
            <w:shd w:val="clear" w:color="auto" w:fill="auto"/>
            <w:noWrap/>
          </w:tcPr>
          <w:p w:rsidR="000F3FFC" w:rsidRPr="00431EED" w:rsidP="009860E2" w14:paraId="5E5900C4" w14:textId="77777777">
            <w:pPr>
              <w:pStyle w:val="RTableTextAbt"/>
              <w:rPr>
                <w:b/>
              </w:rPr>
            </w:pPr>
            <w:r w:rsidRPr="00431EED">
              <w:rPr>
                <w:b/>
              </w:rPr>
              <w:t>0.6258</w:t>
            </w:r>
          </w:p>
        </w:tc>
        <w:tc>
          <w:tcPr>
            <w:tcW w:w="541" w:type="pct"/>
            <w:tcBorders>
              <w:top w:val="single" w:sz="4" w:space="0" w:color="auto"/>
              <w:left w:val="nil"/>
              <w:bottom w:val="single" w:sz="4" w:space="0" w:color="auto"/>
              <w:right w:val="single" w:sz="4" w:space="0" w:color="auto"/>
            </w:tcBorders>
            <w:shd w:val="clear" w:color="auto" w:fill="auto"/>
            <w:noWrap/>
          </w:tcPr>
          <w:p w:rsidR="000F3FFC" w:rsidRPr="00431EED" w:rsidP="009860E2" w14:paraId="177F42B6" w14:textId="77777777">
            <w:pPr>
              <w:pStyle w:val="RTableTextAbt"/>
              <w:rPr>
                <w:b/>
              </w:rPr>
            </w:pPr>
            <w:r w:rsidRPr="00431EED">
              <w:rPr>
                <w:b/>
              </w:rPr>
              <w:t>0.2599</w:t>
            </w:r>
          </w:p>
        </w:tc>
        <w:tc>
          <w:tcPr>
            <w:tcW w:w="541" w:type="pct"/>
            <w:tcBorders>
              <w:top w:val="single" w:sz="4" w:space="0" w:color="auto"/>
              <w:left w:val="nil"/>
              <w:bottom w:val="single" w:sz="4" w:space="0" w:color="auto"/>
              <w:right w:val="single" w:sz="4" w:space="0" w:color="auto"/>
            </w:tcBorders>
            <w:shd w:val="clear" w:color="auto" w:fill="auto"/>
            <w:noWrap/>
          </w:tcPr>
          <w:p w:rsidR="000F3FFC" w:rsidRPr="00431EED" w:rsidP="009860E2" w14:paraId="082EFBFD" w14:textId="77777777">
            <w:pPr>
              <w:pStyle w:val="RTableTextAbt"/>
              <w:rPr>
                <w:b/>
              </w:rPr>
            </w:pPr>
            <w:r w:rsidRPr="00431EED">
              <w:rPr>
                <w:b/>
              </w:rPr>
              <w:t>0.8732</w:t>
            </w:r>
          </w:p>
        </w:tc>
        <w:tc>
          <w:tcPr>
            <w:tcW w:w="541" w:type="pct"/>
            <w:tcBorders>
              <w:top w:val="single" w:sz="4" w:space="0" w:color="auto"/>
              <w:left w:val="nil"/>
              <w:bottom w:val="single" w:sz="4" w:space="0" w:color="auto"/>
              <w:right w:val="single" w:sz="4" w:space="0" w:color="auto"/>
            </w:tcBorders>
            <w:shd w:val="clear" w:color="auto" w:fill="auto"/>
            <w:noWrap/>
          </w:tcPr>
          <w:p w:rsidR="000F3FFC" w:rsidRPr="00431EED" w:rsidP="009860E2" w14:paraId="0D85D169" w14:textId="77777777">
            <w:pPr>
              <w:pStyle w:val="RTableTextAbt"/>
              <w:rPr>
                <w:b/>
              </w:rPr>
            </w:pPr>
            <w:r w:rsidRPr="00431EED">
              <w:rPr>
                <w:b/>
              </w:rPr>
              <w:t>0.8856</w:t>
            </w:r>
          </w:p>
        </w:tc>
      </w:tr>
      <w:tr w14:paraId="18098F1F" w14:textId="77777777" w:rsidTr="009860E2">
        <w:tblPrEx>
          <w:tblW w:w="5000" w:type="pct"/>
          <w:tblLook w:val="04A0"/>
        </w:tblPrEx>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97CFDA"/>
            <w:noWrap/>
            <w:vAlign w:val="center"/>
          </w:tcPr>
          <w:p w:rsidR="000F3FFC" w:rsidRPr="00A17501" w:rsidP="009860E2" w14:paraId="0511D448" w14:textId="77777777">
            <w:pPr>
              <w:pStyle w:val="BSUBT"/>
            </w:pPr>
            <w:r>
              <w:t>Based on Harber</w:t>
            </w:r>
          </w:p>
        </w:tc>
      </w:tr>
      <w:tr w14:paraId="3A07AD9E" w14:textId="77777777" w:rsidTr="00942FF2">
        <w:tblPrEx>
          <w:tblW w:w="5000" w:type="pct"/>
          <w:tblLook w:val="04A0"/>
        </w:tblPrEx>
        <w:trPr>
          <w:trHeight w:val="300"/>
        </w:trPr>
        <w:tc>
          <w:tcPr>
            <w:tcW w:w="2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FFC" w:rsidP="009860E2" w14:paraId="41C45E3F" w14:textId="77777777">
            <w:pPr>
              <w:pStyle w:val="LTableTextAbt"/>
            </w:pPr>
            <w:r>
              <w:t>PV29 manufacturing and intermediate processing</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25606364" w14:textId="77777777">
            <w:pPr>
              <w:pStyle w:val="RTableTextAbt"/>
            </w:pPr>
            <w:r w:rsidRPr="006A1741">
              <w:t>0.0005</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7DD1B842" w14:textId="77777777">
            <w:pPr>
              <w:pStyle w:val="RTableTextAbt"/>
            </w:pPr>
            <w:r w:rsidRPr="006A1741">
              <w:t>0.0056</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7196C05F" w14:textId="77777777">
            <w:pPr>
              <w:pStyle w:val="RTableTextAbt"/>
            </w:pPr>
            <w:r w:rsidRPr="006A1741">
              <w:t>0.0139</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3F5EFB37" w14:textId="77777777">
            <w:pPr>
              <w:pStyle w:val="RTableTextAbt"/>
            </w:pPr>
            <w:r w:rsidRPr="006A1741">
              <w:t>0.0144</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39D84CD1" w14:textId="77777777">
            <w:pPr>
              <w:pStyle w:val="RTableTextAbt"/>
            </w:pPr>
            <w:r w:rsidRPr="006A1741">
              <w:t>0.0195</w:t>
            </w:r>
          </w:p>
        </w:tc>
      </w:tr>
      <w:tr w14:paraId="74DA4E51" w14:textId="77777777" w:rsidTr="00942FF2">
        <w:tblPrEx>
          <w:tblW w:w="5000" w:type="pct"/>
          <w:tblLook w:val="04A0"/>
        </w:tblPrEx>
        <w:trPr>
          <w:trHeight w:val="260"/>
        </w:trPr>
        <w:tc>
          <w:tcPr>
            <w:tcW w:w="22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3FFC" w:rsidRPr="00A17501" w:rsidP="009860E2" w14:paraId="539C4902" w14:textId="77777777">
            <w:pPr>
              <w:pStyle w:val="LTableTextAbt"/>
            </w:pPr>
            <w:r>
              <w:t>PV29 importing</w:t>
            </w:r>
          </w:p>
        </w:tc>
        <w:tc>
          <w:tcPr>
            <w:tcW w:w="541" w:type="pct"/>
            <w:tcBorders>
              <w:top w:val="single" w:sz="4" w:space="0" w:color="auto"/>
              <w:left w:val="nil"/>
              <w:bottom w:val="single" w:sz="4" w:space="0" w:color="auto"/>
              <w:right w:val="single" w:sz="4" w:space="0" w:color="auto"/>
            </w:tcBorders>
            <w:shd w:val="clear" w:color="auto" w:fill="auto"/>
            <w:noWrap/>
          </w:tcPr>
          <w:p w:rsidR="000F3FFC" w:rsidRPr="007D5D0A" w:rsidP="009860E2" w14:paraId="2DA9BDED" w14:textId="77777777">
            <w:pPr>
              <w:pStyle w:val="RTableTextAbt"/>
            </w:pPr>
            <w:r w:rsidRPr="006A1741">
              <w:t>0.0136</w:t>
            </w:r>
          </w:p>
        </w:tc>
        <w:tc>
          <w:tcPr>
            <w:tcW w:w="541" w:type="pct"/>
            <w:tcBorders>
              <w:top w:val="single" w:sz="4" w:space="0" w:color="auto"/>
              <w:left w:val="nil"/>
              <w:bottom w:val="single" w:sz="4" w:space="0" w:color="auto"/>
              <w:right w:val="single" w:sz="4" w:space="0" w:color="auto"/>
            </w:tcBorders>
            <w:shd w:val="clear" w:color="auto" w:fill="auto"/>
            <w:noWrap/>
          </w:tcPr>
          <w:p w:rsidR="000F3FFC" w:rsidRPr="007D5D0A" w:rsidP="009860E2" w14:paraId="63E7EBA9" w14:textId="77777777">
            <w:pPr>
              <w:pStyle w:val="RTableTextAbt"/>
            </w:pPr>
            <w:r w:rsidRPr="006A1741">
              <w:t>0.0136</w:t>
            </w:r>
          </w:p>
        </w:tc>
        <w:tc>
          <w:tcPr>
            <w:tcW w:w="541" w:type="pct"/>
            <w:tcBorders>
              <w:top w:val="single" w:sz="4" w:space="0" w:color="auto"/>
              <w:left w:val="nil"/>
              <w:bottom w:val="single" w:sz="4" w:space="0" w:color="auto"/>
              <w:right w:val="single" w:sz="4" w:space="0" w:color="auto"/>
            </w:tcBorders>
            <w:shd w:val="clear" w:color="auto" w:fill="auto"/>
            <w:noWrap/>
          </w:tcPr>
          <w:p w:rsidR="000F3FFC" w:rsidRPr="007D5D0A" w:rsidP="009860E2" w14:paraId="5348A5EF" w14:textId="77777777">
            <w:pPr>
              <w:pStyle w:val="RTableTextAbt"/>
            </w:pPr>
            <w:r w:rsidRPr="006A1741">
              <w:t>0.0047</w:t>
            </w:r>
          </w:p>
        </w:tc>
        <w:tc>
          <w:tcPr>
            <w:tcW w:w="541" w:type="pct"/>
            <w:tcBorders>
              <w:top w:val="single" w:sz="4" w:space="0" w:color="auto"/>
              <w:left w:val="nil"/>
              <w:bottom w:val="single" w:sz="4" w:space="0" w:color="auto"/>
              <w:right w:val="single" w:sz="4" w:space="0" w:color="auto"/>
            </w:tcBorders>
            <w:shd w:val="clear" w:color="auto" w:fill="auto"/>
            <w:noWrap/>
          </w:tcPr>
          <w:p w:rsidR="000F3FFC" w:rsidRPr="007D5D0A" w:rsidP="009860E2" w14:paraId="25129F1D" w14:textId="77777777">
            <w:pPr>
              <w:pStyle w:val="RTableTextAbt"/>
            </w:pPr>
            <w:r w:rsidRPr="006A1741">
              <w:t>0.0183</w:t>
            </w:r>
          </w:p>
        </w:tc>
        <w:tc>
          <w:tcPr>
            <w:tcW w:w="541" w:type="pct"/>
            <w:tcBorders>
              <w:top w:val="single" w:sz="4" w:space="0" w:color="auto"/>
              <w:left w:val="nil"/>
              <w:bottom w:val="single" w:sz="4" w:space="0" w:color="auto"/>
              <w:right w:val="single" w:sz="4" w:space="0" w:color="auto"/>
            </w:tcBorders>
            <w:shd w:val="clear" w:color="auto" w:fill="auto"/>
            <w:noWrap/>
          </w:tcPr>
          <w:p w:rsidR="000F3FFC" w:rsidRPr="007D5D0A" w:rsidP="009860E2" w14:paraId="566ED47B" w14:textId="77777777">
            <w:pPr>
              <w:pStyle w:val="RTableTextAbt"/>
            </w:pPr>
            <w:r w:rsidRPr="006A1741">
              <w:t>0.0183</w:t>
            </w:r>
          </w:p>
        </w:tc>
      </w:tr>
      <w:tr w14:paraId="275B61BC" w14:textId="77777777" w:rsidTr="00DF4808">
        <w:tblPrEx>
          <w:tblW w:w="5000" w:type="pct"/>
          <w:tblLook w:val="04A0"/>
        </w:tblPrEx>
        <w:trPr>
          <w:trHeight w:val="260"/>
        </w:trPr>
        <w:tc>
          <w:tcPr>
            <w:tcW w:w="2294" w:type="pct"/>
            <w:tcBorders>
              <w:top w:val="single" w:sz="4" w:space="0" w:color="auto"/>
              <w:left w:val="single" w:sz="4" w:space="0" w:color="auto"/>
              <w:bottom w:val="single" w:sz="4" w:space="0" w:color="auto"/>
              <w:right w:val="single" w:sz="4" w:space="0" w:color="auto"/>
            </w:tcBorders>
            <w:shd w:val="clear" w:color="auto" w:fill="auto"/>
            <w:noWrap/>
            <w:hideMark/>
          </w:tcPr>
          <w:p w:rsidR="000F3FFC" w:rsidP="009860E2" w14:paraId="75FB7F3F" w14:textId="77777777">
            <w:pPr>
              <w:pStyle w:val="LTableTextAbt"/>
            </w:pPr>
            <w:r w:rsidRPr="00A17501">
              <w:t>Processing into automotive paints and coatings</w:t>
            </w:r>
          </w:p>
        </w:tc>
        <w:tc>
          <w:tcPr>
            <w:tcW w:w="541" w:type="pct"/>
            <w:tcBorders>
              <w:top w:val="single" w:sz="4" w:space="0" w:color="auto"/>
              <w:left w:val="nil"/>
              <w:bottom w:val="single" w:sz="4" w:space="0" w:color="auto"/>
              <w:right w:val="single" w:sz="4" w:space="0" w:color="auto"/>
            </w:tcBorders>
            <w:shd w:val="clear" w:color="auto" w:fill="EFAC35"/>
            <w:noWrap/>
          </w:tcPr>
          <w:p w:rsidR="000F3FFC" w:rsidP="009860E2" w14:paraId="4C4D7D9C" w14:textId="77777777">
            <w:pPr>
              <w:pStyle w:val="RTableTextAbt"/>
            </w:pPr>
            <w:r w:rsidRPr="006A1741">
              <w:t>0.1901</w:t>
            </w:r>
          </w:p>
        </w:tc>
        <w:tc>
          <w:tcPr>
            <w:tcW w:w="541" w:type="pct"/>
            <w:tcBorders>
              <w:top w:val="single" w:sz="4" w:space="0" w:color="auto"/>
              <w:left w:val="nil"/>
              <w:bottom w:val="single" w:sz="4" w:space="0" w:color="auto"/>
              <w:right w:val="single" w:sz="4" w:space="0" w:color="auto"/>
            </w:tcBorders>
            <w:shd w:val="clear" w:color="auto" w:fill="EFAC35"/>
            <w:noWrap/>
          </w:tcPr>
          <w:p w:rsidR="000F3FFC" w:rsidP="009860E2" w14:paraId="53D8AEE6" w14:textId="77777777">
            <w:pPr>
              <w:pStyle w:val="RTableTextAbt"/>
            </w:pPr>
            <w:r w:rsidRPr="006A1741">
              <w:t>0.1901</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3ABA969B" w14:textId="77777777">
            <w:pPr>
              <w:pStyle w:val="RTableTextAbt"/>
            </w:pPr>
            <w:r w:rsidRPr="006A1741">
              <w:t>0.0661</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2330851D" w14:textId="77777777">
            <w:pPr>
              <w:pStyle w:val="RTableTextAbt"/>
            </w:pPr>
            <w:r w:rsidRPr="006A1741">
              <w:t>0.2562</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176F63FB" w14:textId="77777777">
            <w:pPr>
              <w:pStyle w:val="RTableTextAbt"/>
            </w:pPr>
            <w:r w:rsidRPr="006A1741">
              <w:t>0.2562</w:t>
            </w:r>
          </w:p>
        </w:tc>
      </w:tr>
      <w:tr w14:paraId="34FA1DE1" w14:textId="77777777" w:rsidTr="00942FF2">
        <w:tblPrEx>
          <w:tblW w:w="5000" w:type="pct"/>
          <w:tblLook w:val="04A0"/>
        </w:tblPrEx>
        <w:trPr>
          <w:trHeight w:val="260"/>
        </w:trPr>
        <w:tc>
          <w:tcPr>
            <w:tcW w:w="2294" w:type="pct"/>
            <w:tcBorders>
              <w:top w:val="single" w:sz="4" w:space="0" w:color="auto"/>
              <w:left w:val="single" w:sz="4" w:space="0" w:color="auto"/>
              <w:bottom w:val="single" w:sz="4" w:space="0" w:color="auto"/>
              <w:right w:val="single" w:sz="4" w:space="0" w:color="auto"/>
            </w:tcBorders>
            <w:shd w:val="clear" w:color="auto" w:fill="auto"/>
            <w:noWrap/>
            <w:hideMark/>
          </w:tcPr>
          <w:p w:rsidR="000F3FFC" w:rsidP="009860E2" w14:paraId="77C1430F" w14:textId="77777777">
            <w:pPr>
              <w:pStyle w:val="LTableTextAbt"/>
            </w:pPr>
            <w:r w:rsidRPr="00A17501">
              <w:t>Processing into plastic and rubber products</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4C368784" w14:textId="77777777">
            <w:pPr>
              <w:pStyle w:val="RTableTextAbt"/>
            </w:pPr>
            <w:r w:rsidRPr="006A1741">
              <w:t>0.0644</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62F9B089" w14:textId="77777777">
            <w:pPr>
              <w:pStyle w:val="RTableTextAbt"/>
            </w:pPr>
            <w:r w:rsidRPr="006A1741">
              <w:t>0.0644</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1FF672F4" w14:textId="77777777">
            <w:pPr>
              <w:pStyle w:val="RTableTextAbt"/>
            </w:pPr>
            <w:r w:rsidRPr="006A1741">
              <w:t>0.0279</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4CA4C5CB" w14:textId="77777777">
            <w:pPr>
              <w:pStyle w:val="RTableTextAbt"/>
            </w:pPr>
            <w:r w:rsidRPr="006A1741">
              <w:t>0.0923</w:t>
            </w:r>
          </w:p>
        </w:tc>
        <w:tc>
          <w:tcPr>
            <w:tcW w:w="541" w:type="pct"/>
            <w:tcBorders>
              <w:top w:val="single" w:sz="4" w:space="0" w:color="auto"/>
              <w:left w:val="nil"/>
              <w:bottom w:val="single" w:sz="4" w:space="0" w:color="auto"/>
              <w:right w:val="single" w:sz="4" w:space="0" w:color="auto"/>
            </w:tcBorders>
            <w:shd w:val="clear" w:color="auto" w:fill="auto"/>
            <w:noWrap/>
          </w:tcPr>
          <w:p w:rsidR="000F3FFC" w:rsidP="009860E2" w14:paraId="6844DDB3" w14:textId="77777777">
            <w:pPr>
              <w:pStyle w:val="RTableTextAbt"/>
            </w:pPr>
            <w:r w:rsidRPr="006A1741">
              <w:t>0.0923</w:t>
            </w:r>
          </w:p>
        </w:tc>
      </w:tr>
      <w:tr w14:paraId="6BA466EC" w14:textId="77777777" w:rsidTr="00942FF2">
        <w:tblPrEx>
          <w:tblW w:w="5000" w:type="pct"/>
          <w:tblLook w:val="04A0"/>
        </w:tblPrEx>
        <w:trPr>
          <w:trHeight w:val="280"/>
        </w:trPr>
        <w:tc>
          <w:tcPr>
            <w:tcW w:w="2294" w:type="pct"/>
            <w:tcBorders>
              <w:top w:val="single" w:sz="4" w:space="0" w:color="auto"/>
              <w:left w:val="single" w:sz="4" w:space="0" w:color="auto"/>
              <w:bottom w:val="single" w:sz="4" w:space="0" w:color="auto"/>
              <w:right w:val="single" w:sz="4" w:space="0" w:color="auto"/>
            </w:tcBorders>
            <w:shd w:val="clear" w:color="auto" w:fill="auto"/>
            <w:hideMark/>
          </w:tcPr>
          <w:p w:rsidR="000F3FFC" w:rsidRPr="00431EED" w:rsidP="009860E2" w14:paraId="7A591242" w14:textId="77777777">
            <w:pPr>
              <w:pStyle w:val="LTableTextAbt"/>
              <w:rPr>
                <w:b/>
              </w:rPr>
            </w:pPr>
            <w:r w:rsidRPr="00431EED">
              <w:rPr>
                <w:b/>
              </w:rPr>
              <w:t>Total</w:t>
            </w:r>
          </w:p>
        </w:tc>
        <w:tc>
          <w:tcPr>
            <w:tcW w:w="541" w:type="pct"/>
            <w:tcBorders>
              <w:top w:val="single" w:sz="4" w:space="0" w:color="auto"/>
              <w:left w:val="nil"/>
              <w:bottom w:val="single" w:sz="4" w:space="0" w:color="auto"/>
              <w:right w:val="single" w:sz="4" w:space="0" w:color="auto"/>
            </w:tcBorders>
            <w:shd w:val="clear" w:color="auto" w:fill="auto"/>
            <w:noWrap/>
          </w:tcPr>
          <w:p w:rsidR="000F3FFC" w:rsidRPr="00431EED" w:rsidP="009860E2" w14:paraId="461E5FCB" w14:textId="77777777">
            <w:pPr>
              <w:pStyle w:val="RTableTextAbt"/>
              <w:rPr>
                <w:b/>
              </w:rPr>
            </w:pPr>
            <w:r w:rsidRPr="00431EED">
              <w:rPr>
                <w:b/>
              </w:rPr>
              <w:t>0.2686</w:t>
            </w:r>
          </w:p>
        </w:tc>
        <w:tc>
          <w:tcPr>
            <w:tcW w:w="541" w:type="pct"/>
            <w:tcBorders>
              <w:top w:val="single" w:sz="4" w:space="0" w:color="auto"/>
              <w:left w:val="nil"/>
              <w:bottom w:val="single" w:sz="4" w:space="0" w:color="auto"/>
              <w:right w:val="single" w:sz="4" w:space="0" w:color="auto"/>
            </w:tcBorders>
            <w:shd w:val="clear" w:color="auto" w:fill="auto"/>
            <w:noWrap/>
          </w:tcPr>
          <w:p w:rsidR="000F3FFC" w:rsidRPr="00431EED" w:rsidP="009860E2" w14:paraId="164DC54B" w14:textId="77777777">
            <w:pPr>
              <w:pStyle w:val="RTableTextAbt"/>
              <w:rPr>
                <w:b/>
              </w:rPr>
            </w:pPr>
            <w:r w:rsidRPr="00431EED">
              <w:rPr>
                <w:b/>
              </w:rPr>
              <w:t>0.2737</w:t>
            </w:r>
          </w:p>
        </w:tc>
        <w:tc>
          <w:tcPr>
            <w:tcW w:w="541" w:type="pct"/>
            <w:tcBorders>
              <w:top w:val="single" w:sz="4" w:space="0" w:color="auto"/>
              <w:left w:val="nil"/>
              <w:bottom w:val="single" w:sz="4" w:space="0" w:color="auto"/>
              <w:right w:val="single" w:sz="4" w:space="0" w:color="auto"/>
            </w:tcBorders>
            <w:shd w:val="clear" w:color="auto" w:fill="auto"/>
            <w:noWrap/>
          </w:tcPr>
          <w:p w:rsidR="000F3FFC" w:rsidRPr="00431EED" w:rsidP="009860E2" w14:paraId="409679DB" w14:textId="77777777">
            <w:pPr>
              <w:pStyle w:val="RTableTextAbt"/>
              <w:rPr>
                <w:b/>
              </w:rPr>
            </w:pPr>
            <w:r w:rsidRPr="00431EED">
              <w:rPr>
                <w:b/>
              </w:rPr>
              <w:t>0.1125</w:t>
            </w:r>
          </w:p>
        </w:tc>
        <w:tc>
          <w:tcPr>
            <w:tcW w:w="541" w:type="pct"/>
            <w:tcBorders>
              <w:top w:val="single" w:sz="4" w:space="0" w:color="auto"/>
              <w:left w:val="nil"/>
              <w:bottom w:val="single" w:sz="4" w:space="0" w:color="auto"/>
              <w:right w:val="single" w:sz="4" w:space="0" w:color="auto"/>
            </w:tcBorders>
            <w:shd w:val="clear" w:color="auto" w:fill="auto"/>
            <w:noWrap/>
          </w:tcPr>
          <w:p w:rsidR="000F3FFC" w:rsidRPr="00431EED" w:rsidP="009860E2" w14:paraId="67CD9575" w14:textId="77777777">
            <w:pPr>
              <w:pStyle w:val="RTableTextAbt"/>
              <w:rPr>
                <w:b/>
              </w:rPr>
            </w:pPr>
            <w:r w:rsidRPr="00431EED">
              <w:rPr>
                <w:b/>
              </w:rPr>
              <w:t>0.3811</w:t>
            </w:r>
          </w:p>
        </w:tc>
        <w:tc>
          <w:tcPr>
            <w:tcW w:w="541" w:type="pct"/>
            <w:tcBorders>
              <w:top w:val="single" w:sz="4" w:space="0" w:color="auto"/>
              <w:left w:val="nil"/>
              <w:bottom w:val="single" w:sz="4" w:space="0" w:color="auto"/>
              <w:right w:val="single" w:sz="4" w:space="0" w:color="auto"/>
            </w:tcBorders>
            <w:shd w:val="clear" w:color="auto" w:fill="auto"/>
            <w:noWrap/>
          </w:tcPr>
          <w:p w:rsidR="000F3FFC" w:rsidRPr="00431EED" w:rsidP="009860E2" w14:paraId="54EB8D9B" w14:textId="77777777">
            <w:pPr>
              <w:pStyle w:val="RTableTextAbt"/>
              <w:rPr>
                <w:b/>
              </w:rPr>
            </w:pPr>
            <w:r w:rsidRPr="00431EED">
              <w:rPr>
                <w:b/>
              </w:rPr>
              <w:t>0.3862</w:t>
            </w:r>
          </w:p>
        </w:tc>
      </w:tr>
      <w:tr w14:paraId="2018FE0D" w14:textId="77777777" w:rsidTr="00942FF2">
        <w:tblPrEx>
          <w:tblW w:w="5000" w:type="pct"/>
          <w:tblLook w:val="04A0"/>
        </w:tblPrEx>
        <w:trPr>
          <w:trHeight w:val="28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942FF2" w:rsidRPr="00431EED" w:rsidP="00942FF2" w14:paraId="56E16628" w14:textId="6C6B2F8E">
            <w:pPr>
              <w:pStyle w:val="TableNote0"/>
            </w:pPr>
            <w:r>
              <w:t xml:space="preserve">Note The gold shaded cells are referenced below in </w:t>
            </w:r>
            <w:r>
              <w:fldChar w:fldCharType="begin" w:fldLock="1"/>
            </w:r>
            <w:r>
              <w:instrText xml:space="preserve"> REF _Ref181352920 \h </w:instrText>
            </w:r>
            <w:r>
              <w:fldChar w:fldCharType="separate"/>
            </w:r>
            <w:r w:rsidRPr="00A95A85" w:rsidR="00735BBC">
              <w:t xml:space="preserve">Figure </w:t>
            </w:r>
            <w:r w:rsidR="00735BBC">
              <w:rPr>
                <w:noProof/>
              </w:rPr>
              <w:t>5</w:t>
            </w:r>
            <w:r w:rsidRPr="00A95A85" w:rsidR="00735BBC">
              <w:noBreakHyphen/>
            </w:r>
            <w:r w:rsidR="00735BBC">
              <w:rPr>
                <w:noProof/>
              </w:rPr>
              <w:t>2</w:t>
            </w:r>
            <w:r>
              <w:fldChar w:fldCharType="end"/>
            </w:r>
            <w:r>
              <w:t>.</w:t>
            </w:r>
          </w:p>
        </w:tc>
      </w:tr>
    </w:tbl>
    <w:p w:rsidR="000F3FFC" w:rsidP="000F3FFC" w14:paraId="1D0D4FFE" w14:textId="77777777">
      <w:pPr>
        <w:pStyle w:val="BodyText"/>
        <w:rPr>
          <w:rStyle w:val="TableTextChar"/>
          <w:rFonts w:eastAsiaTheme="minorEastAsia"/>
        </w:rPr>
      </w:pPr>
    </w:p>
    <w:tbl>
      <w:tblPr>
        <w:tblW w:w="5000" w:type="pct"/>
        <w:tblLook w:val="04A0"/>
      </w:tblPr>
      <w:tblGrid>
        <w:gridCol w:w="4292"/>
        <w:gridCol w:w="1013"/>
        <w:gridCol w:w="1013"/>
        <w:gridCol w:w="1013"/>
        <w:gridCol w:w="1013"/>
        <w:gridCol w:w="1016"/>
      </w:tblGrid>
      <w:tr w14:paraId="198BF2D7" w14:textId="77777777" w:rsidTr="009860E2">
        <w:tblPrEx>
          <w:tblW w:w="5000" w:type="pct"/>
          <w:tblLook w:val="04A0"/>
        </w:tblPrEx>
        <w:trPr>
          <w:trHeight w:val="300"/>
        </w:trPr>
        <w:tc>
          <w:tcPr>
            <w:tcW w:w="5000" w:type="pct"/>
            <w:gridSpan w:val="6"/>
            <w:tcBorders>
              <w:bottom w:val="single" w:sz="4" w:space="0" w:color="auto"/>
            </w:tcBorders>
            <w:shd w:val="clear" w:color="auto" w:fill="auto"/>
            <w:vAlign w:val="center"/>
          </w:tcPr>
          <w:p w:rsidR="000F3FFC" w:rsidP="009860E2" w14:paraId="22C27840" w14:textId="41315D8B">
            <w:pPr>
              <w:pStyle w:val="TableTitleA"/>
            </w:pPr>
            <w:bookmarkStart w:id="288" w:name="_Ref181219914"/>
            <w:bookmarkStart w:id="289" w:name="_Toc184299591"/>
            <w:r>
              <w:t xml:space="preserve">Table </w:t>
            </w:r>
            <w:r>
              <w:fldChar w:fldCharType="begin" w:fldLock="1"/>
            </w:r>
            <w:r>
              <w:instrText>STYLEREF 1 \s</w:instrText>
            </w:r>
            <w:r>
              <w:fldChar w:fldCharType="separate"/>
            </w:r>
            <w:r w:rsidR="00735BBC">
              <w:rPr>
                <w:noProof/>
              </w:rPr>
              <w:t>5</w:t>
            </w:r>
            <w:r>
              <w:fldChar w:fldCharType="end"/>
            </w:r>
            <w:r>
              <w:noBreakHyphen/>
            </w:r>
            <w:r>
              <w:fldChar w:fldCharType="begin" w:fldLock="1"/>
            </w:r>
            <w:r>
              <w:instrText>SEQ Table \* ARABIC \s 1</w:instrText>
            </w:r>
            <w:r>
              <w:fldChar w:fldCharType="separate"/>
            </w:r>
            <w:r w:rsidR="00735BBC">
              <w:rPr>
                <w:noProof/>
              </w:rPr>
              <w:t>6</w:t>
            </w:r>
            <w:r>
              <w:fldChar w:fldCharType="end"/>
            </w:r>
            <w:bookmarkEnd w:id="288"/>
            <w:r>
              <w:t>: Number of Avoided Cases Per Year under the Alternative Option</w:t>
            </w:r>
            <w:bookmarkEnd w:id="289"/>
          </w:p>
        </w:tc>
      </w:tr>
      <w:tr w14:paraId="60ABA43C" w14:textId="77777777" w:rsidTr="002F1E1E">
        <w:tblPrEx>
          <w:tblW w:w="5000" w:type="pct"/>
          <w:tblLook w:val="04A0"/>
        </w:tblPrEx>
        <w:trPr>
          <w:trHeight w:val="300"/>
        </w:trPr>
        <w:tc>
          <w:tcPr>
            <w:tcW w:w="2293"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0F3FFC" w:rsidP="009860E2" w14:paraId="28EFCF70" w14:textId="77777777">
            <w:pPr>
              <w:pStyle w:val="TableSubtitle"/>
            </w:pPr>
            <w:r>
              <w:t>Use Category</w:t>
            </w:r>
          </w:p>
        </w:tc>
        <w:tc>
          <w:tcPr>
            <w:tcW w:w="1082"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0F3FFC" w:rsidP="009860E2" w14:paraId="12F5D169" w14:textId="77777777">
            <w:pPr>
              <w:pStyle w:val="TableSubtitle"/>
              <w:rPr>
                <w:color w:val="FFFFFF"/>
              </w:rPr>
            </w:pPr>
            <w:r>
              <w:rPr>
                <w:color w:val="FFFFFF"/>
              </w:rPr>
              <w:t>Direct</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0F3FFC" w:rsidP="009860E2" w14:paraId="7B6F54D3" w14:textId="77777777">
            <w:pPr>
              <w:pStyle w:val="TableSubtitle"/>
              <w:rPr>
                <w:color w:val="FFFFFF"/>
              </w:rPr>
            </w:pPr>
            <w:r>
              <w:rPr>
                <w:color w:val="FFFFFF"/>
              </w:rPr>
              <w:t>ONUs</w:t>
            </w:r>
          </w:p>
        </w:tc>
        <w:tc>
          <w:tcPr>
            <w:tcW w:w="1084"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0F3FFC" w:rsidP="009860E2" w14:paraId="79161EE1" w14:textId="77777777">
            <w:pPr>
              <w:pStyle w:val="TableSubtitle"/>
              <w:rPr>
                <w:color w:val="FFFFFF"/>
              </w:rPr>
            </w:pPr>
            <w:r>
              <w:rPr>
                <w:color w:val="FFFFFF"/>
              </w:rPr>
              <w:t>Total</w:t>
            </w:r>
          </w:p>
        </w:tc>
      </w:tr>
      <w:tr w14:paraId="6B7AFEDE" w14:textId="77777777" w:rsidTr="002F1E1E">
        <w:tblPrEx>
          <w:tblW w:w="5000" w:type="pct"/>
          <w:tblLook w:val="04A0"/>
        </w:tblPrEx>
        <w:trPr>
          <w:trHeight w:val="143"/>
        </w:trPr>
        <w:tc>
          <w:tcPr>
            <w:tcW w:w="2293" w:type="pct"/>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0F3FFC" w:rsidP="009860E2" w14:paraId="33C86D6F" w14:textId="77777777">
            <w:pPr>
              <w:pStyle w:val="TableSubtitle"/>
            </w:pPr>
          </w:p>
        </w:tc>
        <w:tc>
          <w:tcPr>
            <w:tcW w:w="541" w:type="pct"/>
            <w:tcBorders>
              <w:top w:val="single" w:sz="4" w:space="0" w:color="auto"/>
              <w:left w:val="nil"/>
              <w:bottom w:val="single" w:sz="4" w:space="0" w:color="auto"/>
              <w:right w:val="single" w:sz="4" w:space="0" w:color="auto"/>
            </w:tcBorders>
            <w:shd w:val="clear" w:color="auto" w:fill="013E5B"/>
            <w:vAlign w:val="center"/>
            <w:hideMark/>
          </w:tcPr>
          <w:p w:rsidR="000F3FFC" w:rsidP="009860E2" w14:paraId="2B1B1AC9" w14:textId="77777777">
            <w:pPr>
              <w:pStyle w:val="TableSubtitle"/>
              <w:rPr>
                <w:color w:val="FFFFFF"/>
              </w:rPr>
            </w:pPr>
            <w:r>
              <w:rPr>
                <w:color w:val="FFFFFF"/>
              </w:rPr>
              <w:t>Low</w:t>
            </w:r>
          </w:p>
        </w:tc>
        <w:tc>
          <w:tcPr>
            <w:tcW w:w="541" w:type="pct"/>
            <w:tcBorders>
              <w:top w:val="single" w:sz="4" w:space="0" w:color="auto"/>
              <w:left w:val="nil"/>
              <w:bottom w:val="single" w:sz="4" w:space="0" w:color="auto"/>
              <w:right w:val="single" w:sz="4" w:space="0" w:color="auto"/>
            </w:tcBorders>
            <w:shd w:val="clear" w:color="auto" w:fill="013E5B"/>
            <w:vAlign w:val="center"/>
            <w:hideMark/>
          </w:tcPr>
          <w:p w:rsidR="000F3FFC" w:rsidP="009860E2" w14:paraId="49DF543B" w14:textId="77777777">
            <w:pPr>
              <w:pStyle w:val="TableSubtitle"/>
              <w:rPr>
                <w:color w:val="FFFFFF"/>
              </w:rPr>
            </w:pPr>
            <w:r>
              <w:rPr>
                <w:color w:val="FFFFFF"/>
              </w:rPr>
              <w:t>High</w:t>
            </w:r>
          </w:p>
        </w:tc>
        <w:tc>
          <w:tcPr>
            <w:tcW w:w="541" w:type="pct"/>
            <w:vMerge/>
            <w:tcBorders>
              <w:top w:val="single" w:sz="4" w:space="0" w:color="auto"/>
              <w:left w:val="nil"/>
              <w:bottom w:val="single" w:sz="4" w:space="0" w:color="auto"/>
              <w:right w:val="single" w:sz="4" w:space="0" w:color="auto"/>
            </w:tcBorders>
            <w:shd w:val="clear" w:color="auto" w:fill="013E5B"/>
            <w:vAlign w:val="center"/>
            <w:hideMark/>
          </w:tcPr>
          <w:p w:rsidR="000F3FFC" w:rsidP="009860E2" w14:paraId="17AF32A7" w14:textId="77777777">
            <w:pPr>
              <w:pStyle w:val="TableSubtitle"/>
              <w:rPr>
                <w:color w:val="FFFFFF"/>
              </w:rPr>
            </w:pPr>
          </w:p>
        </w:tc>
        <w:tc>
          <w:tcPr>
            <w:tcW w:w="541" w:type="pct"/>
            <w:tcBorders>
              <w:top w:val="single" w:sz="4" w:space="0" w:color="auto"/>
              <w:left w:val="nil"/>
              <w:bottom w:val="single" w:sz="4" w:space="0" w:color="auto"/>
              <w:right w:val="single" w:sz="4" w:space="0" w:color="auto"/>
            </w:tcBorders>
            <w:shd w:val="clear" w:color="auto" w:fill="013E5B"/>
            <w:vAlign w:val="center"/>
            <w:hideMark/>
          </w:tcPr>
          <w:p w:rsidR="000F3FFC" w:rsidP="009860E2" w14:paraId="3736F4A1" w14:textId="77777777">
            <w:pPr>
              <w:pStyle w:val="TableSubtitle"/>
              <w:rPr>
                <w:color w:val="FFFFFF"/>
              </w:rPr>
            </w:pPr>
            <w:r>
              <w:rPr>
                <w:color w:val="FFFFFF"/>
              </w:rPr>
              <w:t>Low</w:t>
            </w:r>
          </w:p>
        </w:tc>
        <w:tc>
          <w:tcPr>
            <w:tcW w:w="543" w:type="pct"/>
            <w:tcBorders>
              <w:top w:val="single" w:sz="4" w:space="0" w:color="auto"/>
              <w:left w:val="nil"/>
              <w:bottom w:val="single" w:sz="4" w:space="0" w:color="auto"/>
              <w:right w:val="single" w:sz="4" w:space="0" w:color="auto"/>
            </w:tcBorders>
            <w:shd w:val="clear" w:color="auto" w:fill="013E5B"/>
            <w:vAlign w:val="center"/>
            <w:hideMark/>
          </w:tcPr>
          <w:p w:rsidR="000F3FFC" w:rsidP="009860E2" w14:paraId="525394A9" w14:textId="77777777">
            <w:pPr>
              <w:pStyle w:val="TableSubtitle"/>
              <w:rPr>
                <w:color w:val="FFFFFF"/>
              </w:rPr>
            </w:pPr>
            <w:r>
              <w:rPr>
                <w:color w:val="FFFFFF"/>
              </w:rPr>
              <w:t>High</w:t>
            </w:r>
          </w:p>
        </w:tc>
      </w:tr>
      <w:tr w14:paraId="0B488916" w14:textId="77777777" w:rsidTr="009860E2">
        <w:tblPrEx>
          <w:tblW w:w="5000" w:type="pct"/>
          <w:tblLook w:val="04A0"/>
        </w:tblPrEx>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97CFDA"/>
            <w:noWrap/>
            <w:vAlign w:val="center"/>
          </w:tcPr>
          <w:p w:rsidR="000F3FFC" w:rsidRPr="00A17501" w:rsidP="009860E2" w14:paraId="689084EE" w14:textId="77777777">
            <w:pPr>
              <w:pStyle w:val="BSUBT"/>
            </w:pPr>
            <w:r>
              <w:t>Based on Gardiner</w:t>
            </w:r>
          </w:p>
        </w:tc>
      </w:tr>
      <w:tr w14:paraId="57264511" w14:textId="77777777" w:rsidTr="002F1E1E">
        <w:tblPrEx>
          <w:tblW w:w="5000" w:type="pct"/>
          <w:tblLook w:val="04A0"/>
        </w:tblPrEx>
        <w:trPr>
          <w:trHeight w:val="300"/>
        </w:trPr>
        <w:tc>
          <w:tcPr>
            <w:tcW w:w="2293" w:type="pct"/>
            <w:tcBorders>
              <w:top w:val="nil"/>
              <w:left w:val="single" w:sz="4" w:space="0" w:color="auto"/>
              <w:bottom w:val="single" w:sz="4" w:space="0" w:color="auto"/>
              <w:right w:val="single" w:sz="4" w:space="0" w:color="auto"/>
            </w:tcBorders>
            <w:shd w:val="clear" w:color="auto" w:fill="auto"/>
            <w:noWrap/>
            <w:vAlign w:val="center"/>
            <w:hideMark/>
          </w:tcPr>
          <w:p w:rsidR="000F3FFC" w:rsidP="009860E2" w14:paraId="78BFD6AC" w14:textId="77777777">
            <w:pPr>
              <w:pStyle w:val="LTableTextAbt"/>
            </w:pPr>
            <w:r>
              <w:t>PV29 manufacturing and intermediate processing</w:t>
            </w:r>
          </w:p>
        </w:tc>
        <w:tc>
          <w:tcPr>
            <w:tcW w:w="541" w:type="pct"/>
            <w:tcBorders>
              <w:top w:val="nil"/>
              <w:left w:val="nil"/>
              <w:bottom w:val="single" w:sz="4" w:space="0" w:color="auto"/>
              <w:right w:val="single" w:sz="4" w:space="0" w:color="auto"/>
            </w:tcBorders>
            <w:shd w:val="clear" w:color="auto" w:fill="auto"/>
            <w:noWrap/>
          </w:tcPr>
          <w:p w:rsidR="000F3FFC" w:rsidP="009860E2" w14:paraId="729B81D6" w14:textId="77777777">
            <w:pPr>
              <w:pStyle w:val="RTableTextAbt"/>
            </w:pPr>
            <w:r>
              <w:t>-</w:t>
            </w:r>
          </w:p>
        </w:tc>
        <w:tc>
          <w:tcPr>
            <w:tcW w:w="541" w:type="pct"/>
            <w:tcBorders>
              <w:top w:val="nil"/>
              <w:left w:val="nil"/>
              <w:bottom w:val="single" w:sz="4" w:space="0" w:color="auto"/>
              <w:right w:val="single" w:sz="4" w:space="0" w:color="auto"/>
            </w:tcBorders>
            <w:shd w:val="clear" w:color="auto" w:fill="auto"/>
            <w:noWrap/>
          </w:tcPr>
          <w:p w:rsidR="000F3FFC" w:rsidP="009860E2" w14:paraId="52D0EA99" w14:textId="77777777">
            <w:pPr>
              <w:pStyle w:val="RTableTextAbt"/>
            </w:pPr>
            <w:r>
              <w:t>-</w:t>
            </w:r>
          </w:p>
        </w:tc>
        <w:tc>
          <w:tcPr>
            <w:tcW w:w="541" w:type="pct"/>
            <w:tcBorders>
              <w:top w:val="nil"/>
              <w:left w:val="nil"/>
              <w:bottom w:val="single" w:sz="4" w:space="0" w:color="auto"/>
              <w:right w:val="single" w:sz="4" w:space="0" w:color="auto"/>
            </w:tcBorders>
            <w:shd w:val="clear" w:color="auto" w:fill="auto"/>
            <w:noWrap/>
          </w:tcPr>
          <w:p w:rsidR="000F3FFC" w:rsidP="009860E2" w14:paraId="33C4D32A" w14:textId="77777777">
            <w:pPr>
              <w:pStyle w:val="RTableTextAbt"/>
            </w:pPr>
            <w:r>
              <w:t>-</w:t>
            </w:r>
          </w:p>
        </w:tc>
        <w:tc>
          <w:tcPr>
            <w:tcW w:w="541" w:type="pct"/>
            <w:tcBorders>
              <w:top w:val="nil"/>
              <w:left w:val="nil"/>
              <w:bottom w:val="single" w:sz="4" w:space="0" w:color="auto"/>
              <w:right w:val="single" w:sz="4" w:space="0" w:color="auto"/>
            </w:tcBorders>
            <w:shd w:val="clear" w:color="auto" w:fill="auto"/>
            <w:noWrap/>
          </w:tcPr>
          <w:p w:rsidR="000F3FFC" w:rsidP="009860E2" w14:paraId="20E5B519" w14:textId="77777777">
            <w:pPr>
              <w:pStyle w:val="RTableTextAbt"/>
            </w:pPr>
            <w:r>
              <w:t>-</w:t>
            </w:r>
          </w:p>
        </w:tc>
        <w:tc>
          <w:tcPr>
            <w:tcW w:w="543" w:type="pct"/>
            <w:tcBorders>
              <w:top w:val="nil"/>
              <w:left w:val="nil"/>
              <w:bottom w:val="single" w:sz="4" w:space="0" w:color="auto"/>
              <w:right w:val="single" w:sz="4" w:space="0" w:color="auto"/>
            </w:tcBorders>
            <w:shd w:val="clear" w:color="auto" w:fill="auto"/>
            <w:noWrap/>
          </w:tcPr>
          <w:p w:rsidR="000F3FFC" w:rsidP="009860E2" w14:paraId="27613475" w14:textId="77777777">
            <w:pPr>
              <w:pStyle w:val="RTableTextAbt"/>
            </w:pPr>
            <w:r>
              <w:t>-</w:t>
            </w:r>
          </w:p>
        </w:tc>
      </w:tr>
      <w:tr w14:paraId="17C17ECE" w14:textId="77777777" w:rsidTr="002F1E1E">
        <w:tblPrEx>
          <w:tblW w:w="5000" w:type="pct"/>
          <w:tblLook w:val="04A0"/>
        </w:tblPrEx>
        <w:trPr>
          <w:trHeight w:val="300"/>
        </w:trPr>
        <w:tc>
          <w:tcPr>
            <w:tcW w:w="2293" w:type="pct"/>
            <w:tcBorders>
              <w:top w:val="nil"/>
              <w:left w:val="single" w:sz="4" w:space="0" w:color="auto"/>
              <w:bottom w:val="single" w:sz="4" w:space="0" w:color="auto"/>
              <w:right w:val="single" w:sz="4" w:space="0" w:color="auto"/>
            </w:tcBorders>
            <w:shd w:val="clear" w:color="auto" w:fill="auto"/>
            <w:noWrap/>
            <w:vAlign w:val="center"/>
          </w:tcPr>
          <w:p w:rsidR="00DB7A25" w:rsidP="00DB7A25" w14:paraId="723491D6" w14:textId="7A9B02A9">
            <w:pPr>
              <w:pStyle w:val="LTableTextAbt"/>
            </w:pPr>
            <w:r>
              <w:t>PV29 importing</w:t>
            </w:r>
          </w:p>
        </w:tc>
        <w:tc>
          <w:tcPr>
            <w:tcW w:w="541" w:type="pct"/>
            <w:tcBorders>
              <w:top w:val="nil"/>
              <w:left w:val="nil"/>
              <w:bottom w:val="single" w:sz="4" w:space="0" w:color="auto"/>
              <w:right w:val="single" w:sz="4" w:space="0" w:color="auto"/>
            </w:tcBorders>
            <w:shd w:val="clear" w:color="auto" w:fill="auto"/>
            <w:noWrap/>
            <w:vAlign w:val="center"/>
          </w:tcPr>
          <w:p w:rsidR="00DB7A25" w:rsidRPr="00F20238" w:rsidP="00DB7A25" w14:paraId="65CBB7D3" w14:textId="09DB8811">
            <w:pPr>
              <w:pStyle w:val="RTableTextAbt"/>
            </w:pPr>
            <w:r>
              <w:rPr>
                <w:szCs w:val="18"/>
              </w:rPr>
              <w:t>0.0224</w:t>
            </w:r>
          </w:p>
        </w:tc>
        <w:tc>
          <w:tcPr>
            <w:tcW w:w="541" w:type="pct"/>
            <w:tcBorders>
              <w:top w:val="nil"/>
              <w:left w:val="nil"/>
              <w:bottom w:val="single" w:sz="4" w:space="0" w:color="auto"/>
              <w:right w:val="single" w:sz="4" w:space="0" w:color="auto"/>
            </w:tcBorders>
            <w:shd w:val="clear" w:color="auto" w:fill="auto"/>
            <w:noWrap/>
            <w:vAlign w:val="center"/>
          </w:tcPr>
          <w:p w:rsidR="00DB7A25" w:rsidRPr="00F20238" w:rsidP="00DB7A25" w14:paraId="535807DF" w14:textId="7D0BB51C">
            <w:pPr>
              <w:pStyle w:val="RTableTextAbt"/>
            </w:pPr>
            <w:r>
              <w:rPr>
                <w:szCs w:val="18"/>
              </w:rPr>
              <w:t>0.0224</w:t>
            </w:r>
          </w:p>
        </w:tc>
        <w:tc>
          <w:tcPr>
            <w:tcW w:w="541" w:type="pct"/>
            <w:tcBorders>
              <w:top w:val="nil"/>
              <w:left w:val="nil"/>
              <w:bottom w:val="single" w:sz="4" w:space="0" w:color="auto"/>
              <w:right w:val="single" w:sz="4" w:space="0" w:color="auto"/>
            </w:tcBorders>
            <w:shd w:val="clear" w:color="auto" w:fill="auto"/>
            <w:noWrap/>
            <w:vAlign w:val="center"/>
          </w:tcPr>
          <w:p w:rsidR="00DB7A25" w:rsidRPr="00F20238" w:rsidP="00DB7A25" w14:paraId="7332D744" w14:textId="5C95703D">
            <w:pPr>
              <w:pStyle w:val="RTableTextAbt"/>
            </w:pPr>
            <w:r>
              <w:rPr>
                <w:szCs w:val="18"/>
              </w:rPr>
              <w:t>0.0078</w:t>
            </w:r>
          </w:p>
        </w:tc>
        <w:tc>
          <w:tcPr>
            <w:tcW w:w="541" w:type="pct"/>
            <w:tcBorders>
              <w:top w:val="nil"/>
              <w:left w:val="nil"/>
              <w:bottom w:val="single" w:sz="4" w:space="0" w:color="auto"/>
              <w:right w:val="single" w:sz="4" w:space="0" w:color="auto"/>
            </w:tcBorders>
            <w:shd w:val="clear" w:color="auto" w:fill="auto"/>
            <w:noWrap/>
            <w:vAlign w:val="center"/>
          </w:tcPr>
          <w:p w:rsidR="00DB7A25" w:rsidRPr="00F20238" w:rsidP="00DB7A25" w14:paraId="00794311" w14:textId="4EE1F835">
            <w:pPr>
              <w:pStyle w:val="RTableTextAbt"/>
            </w:pPr>
            <w:r>
              <w:rPr>
                <w:szCs w:val="18"/>
              </w:rPr>
              <w:t>0.0302</w:t>
            </w:r>
          </w:p>
        </w:tc>
        <w:tc>
          <w:tcPr>
            <w:tcW w:w="543" w:type="pct"/>
            <w:tcBorders>
              <w:top w:val="nil"/>
              <w:left w:val="nil"/>
              <w:bottom w:val="single" w:sz="4" w:space="0" w:color="auto"/>
              <w:right w:val="single" w:sz="4" w:space="0" w:color="auto"/>
            </w:tcBorders>
            <w:shd w:val="clear" w:color="auto" w:fill="auto"/>
            <w:noWrap/>
            <w:vAlign w:val="center"/>
          </w:tcPr>
          <w:p w:rsidR="00DB7A25" w:rsidRPr="00F20238" w:rsidP="00DB7A25" w14:paraId="470EA44A" w14:textId="56857BE3">
            <w:pPr>
              <w:pStyle w:val="RTableTextAbt"/>
            </w:pPr>
            <w:r>
              <w:rPr>
                <w:szCs w:val="18"/>
              </w:rPr>
              <w:t>0.0302</w:t>
            </w:r>
          </w:p>
        </w:tc>
      </w:tr>
      <w:tr w14:paraId="600933C0" w14:textId="77777777" w:rsidTr="002F1E1E">
        <w:tblPrEx>
          <w:tblW w:w="5000" w:type="pct"/>
          <w:tblLook w:val="04A0"/>
        </w:tblPrEx>
        <w:trPr>
          <w:trHeight w:val="260"/>
        </w:trPr>
        <w:tc>
          <w:tcPr>
            <w:tcW w:w="2293" w:type="pct"/>
            <w:tcBorders>
              <w:top w:val="nil"/>
              <w:left w:val="single" w:sz="4" w:space="0" w:color="auto"/>
              <w:bottom w:val="single" w:sz="4" w:space="0" w:color="auto"/>
              <w:right w:val="single" w:sz="4" w:space="0" w:color="auto"/>
            </w:tcBorders>
            <w:shd w:val="clear" w:color="auto" w:fill="auto"/>
            <w:noWrap/>
            <w:vAlign w:val="center"/>
            <w:hideMark/>
          </w:tcPr>
          <w:p w:rsidR="00DB7A25" w:rsidP="00DB7A25" w14:paraId="752A748F" w14:textId="77777777">
            <w:pPr>
              <w:pStyle w:val="LTableTextAbt"/>
            </w:pPr>
            <w:r>
              <w:t>Processing into automotive paints and coatings</w:t>
            </w:r>
          </w:p>
        </w:tc>
        <w:tc>
          <w:tcPr>
            <w:tcW w:w="541" w:type="pct"/>
            <w:tcBorders>
              <w:top w:val="nil"/>
              <w:left w:val="nil"/>
              <w:bottom w:val="single" w:sz="4" w:space="0" w:color="auto"/>
              <w:right w:val="single" w:sz="4" w:space="0" w:color="auto"/>
            </w:tcBorders>
            <w:shd w:val="clear" w:color="auto" w:fill="auto"/>
            <w:noWrap/>
            <w:vAlign w:val="center"/>
          </w:tcPr>
          <w:p w:rsidR="00DB7A25" w:rsidP="00DB7A25" w14:paraId="78C675FA" w14:textId="2EBE45DF">
            <w:pPr>
              <w:pStyle w:val="RTableTextAbt"/>
            </w:pPr>
            <w:r>
              <w:rPr>
                <w:szCs w:val="18"/>
              </w:rPr>
              <w:t>0.3136</w:t>
            </w:r>
          </w:p>
        </w:tc>
        <w:tc>
          <w:tcPr>
            <w:tcW w:w="541" w:type="pct"/>
            <w:tcBorders>
              <w:top w:val="nil"/>
              <w:left w:val="nil"/>
              <w:bottom w:val="single" w:sz="4" w:space="0" w:color="auto"/>
              <w:right w:val="single" w:sz="4" w:space="0" w:color="auto"/>
            </w:tcBorders>
            <w:shd w:val="clear" w:color="auto" w:fill="auto"/>
            <w:noWrap/>
            <w:vAlign w:val="center"/>
          </w:tcPr>
          <w:p w:rsidR="00DB7A25" w:rsidP="00DB7A25" w14:paraId="70A8E48A" w14:textId="007A9D18">
            <w:pPr>
              <w:pStyle w:val="RTableTextAbt"/>
            </w:pPr>
            <w:r>
              <w:rPr>
                <w:szCs w:val="18"/>
              </w:rPr>
              <w:t>0.3136</w:t>
            </w:r>
          </w:p>
        </w:tc>
        <w:tc>
          <w:tcPr>
            <w:tcW w:w="541" w:type="pct"/>
            <w:tcBorders>
              <w:top w:val="nil"/>
              <w:left w:val="nil"/>
              <w:bottom w:val="single" w:sz="4" w:space="0" w:color="auto"/>
              <w:right w:val="single" w:sz="4" w:space="0" w:color="auto"/>
            </w:tcBorders>
            <w:shd w:val="clear" w:color="auto" w:fill="auto"/>
            <w:noWrap/>
            <w:vAlign w:val="center"/>
          </w:tcPr>
          <w:p w:rsidR="00DB7A25" w:rsidP="00DB7A25" w14:paraId="1A54718E" w14:textId="66701A13">
            <w:pPr>
              <w:pStyle w:val="RTableTextAbt"/>
            </w:pPr>
            <w:r>
              <w:rPr>
                <w:szCs w:val="18"/>
              </w:rPr>
              <w:t>0.1092</w:t>
            </w:r>
          </w:p>
        </w:tc>
        <w:tc>
          <w:tcPr>
            <w:tcW w:w="541" w:type="pct"/>
            <w:tcBorders>
              <w:top w:val="nil"/>
              <w:left w:val="nil"/>
              <w:bottom w:val="single" w:sz="4" w:space="0" w:color="auto"/>
              <w:right w:val="single" w:sz="4" w:space="0" w:color="auto"/>
            </w:tcBorders>
            <w:shd w:val="clear" w:color="auto" w:fill="auto"/>
            <w:noWrap/>
            <w:vAlign w:val="center"/>
          </w:tcPr>
          <w:p w:rsidR="00DB7A25" w:rsidP="00DB7A25" w14:paraId="34950BF5" w14:textId="5DB2C559">
            <w:pPr>
              <w:pStyle w:val="RTableTextAbt"/>
            </w:pPr>
            <w:r>
              <w:rPr>
                <w:szCs w:val="18"/>
              </w:rPr>
              <w:t>0.4228</w:t>
            </w:r>
          </w:p>
        </w:tc>
        <w:tc>
          <w:tcPr>
            <w:tcW w:w="543" w:type="pct"/>
            <w:tcBorders>
              <w:top w:val="nil"/>
              <w:left w:val="nil"/>
              <w:bottom w:val="single" w:sz="4" w:space="0" w:color="auto"/>
              <w:right w:val="single" w:sz="4" w:space="0" w:color="auto"/>
            </w:tcBorders>
            <w:shd w:val="clear" w:color="auto" w:fill="auto"/>
            <w:noWrap/>
            <w:vAlign w:val="center"/>
          </w:tcPr>
          <w:p w:rsidR="00DB7A25" w:rsidP="00DB7A25" w14:paraId="54F898C2" w14:textId="5E288ACB">
            <w:pPr>
              <w:pStyle w:val="RTableTextAbt"/>
            </w:pPr>
            <w:r>
              <w:rPr>
                <w:szCs w:val="18"/>
              </w:rPr>
              <w:t>0.4228</w:t>
            </w:r>
          </w:p>
        </w:tc>
      </w:tr>
      <w:tr w14:paraId="15024D4A" w14:textId="77777777" w:rsidTr="002F1E1E">
        <w:tblPrEx>
          <w:tblW w:w="5000" w:type="pct"/>
          <w:tblLook w:val="04A0"/>
        </w:tblPrEx>
        <w:trPr>
          <w:trHeight w:val="260"/>
        </w:trPr>
        <w:tc>
          <w:tcPr>
            <w:tcW w:w="2293" w:type="pct"/>
            <w:tcBorders>
              <w:top w:val="nil"/>
              <w:left w:val="single" w:sz="4" w:space="0" w:color="auto"/>
              <w:bottom w:val="single" w:sz="4" w:space="0" w:color="auto"/>
              <w:right w:val="single" w:sz="4" w:space="0" w:color="auto"/>
            </w:tcBorders>
            <w:shd w:val="clear" w:color="auto" w:fill="auto"/>
            <w:noWrap/>
            <w:vAlign w:val="center"/>
            <w:hideMark/>
          </w:tcPr>
          <w:p w:rsidR="00DB7A25" w:rsidP="00DB7A25" w14:paraId="5C132E75" w14:textId="77777777">
            <w:pPr>
              <w:pStyle w:val="LTableTextAbt"/>
            </w:pPr>
            <w:r>
              <w:t>Processing into plastic and rubber products</w:t>
            </w:r>
          </w:p>
        </w:tc>
        <w:tc>
          <w:tcPr>
            <w:tcW w:w="541" w:type="pct"/>
            <w:tcBorders>
              <w:top w:val="nil"/>
              <w:left w:val="nil"/>
              <w:bottom w:val="single" w:sz="4" w:space="0" w:color="auto"/>
              <w:right w:val="single" w:sz="4" w:space="0" w:color="auto"/>
            </w:tcBorders>
            <w:shd w:val="clear" w:color="auto" w:fill="auto"/>
            <w:noWrap/>
            <w:vAlign w:val="center"/>
          </w:tcPr>
          <w:p w:rsidR="00DB7A25" w:rsidP="00DB7A25" w14:paraId="66EA12F2" w14:textId="3A425AF9">
            <w:pPr>
              <w:pStyle w:val="RTableTextAbt"/>
            </w:pPr>
            <w:r>
              <w:rPr>
                <w:szCs w:val="18"/>
              </w:rPr>
              <w:t>0.0518</w:t>
            </w:r>
          </w:p>
        </w:tc>
        <w:tc>
          <w:tcPr>
            <w:tcW w:w="541" w:type="pct"/>
            <w:tcBorders>
              <w:top w:val="nil"/>
              <w:left w:val="nil"/>
              <w:bottom w:val="single" w:sz="4" w:space="0" w:color="auto"/>
              <w:right w:val="single" w:sz="4" w:space="0" w:color="auto"/>
            </w:tcBorders>
            <w:shd w:val="clear" w:color="auto" w:fill="auto"/>
            <w:noWrap/>
            <w:vAlign w:val="center"/>
          </w:tcPr>
          <w:p w:rsidR="00DB7A25" w:rsidP="00DB7A25" w14:paraId="3CE5C2F4" w14:textId="4C9FBDBC">
            <w:pPr>
              <w:pStyle w:val="RTableTextAbt"/>
            </w:pPr>
            <w:r>
              <w:rPr>
                <w:szCs w:val="18"/>
              </w:rPr>
              <w:t>0.0518</w:t>
            </w:r>
          </w:p>
        </w:tc>
        <w:tc>
          <w:tcPr>
            <w:tcW w:w="541" w:type="pct"/>
            <w:tcBorders>
              <w:top w:val="nil"/>
              <w:left w:val="nil"/>
              <w:bottom w:val="single" w:sz="4" w:space="0" w:color="auto"/>
              <w:right w:val="single" w:sz="4" w:space="0" w:color="auto"/>
            </w:tcBorders>
            <w:shd w:val="clear" w:color="auto" w:fill="auto"/>
            <w:noWrap/>
            <w:vAlign w:val="center"/>
          </w:tcPr>
          <w:p w:rsidR="00DB7A25" w:rsidP="00DB7A25" w14:paraId="5574D9D7" w14:textId="28A3FC7A">
            <w:pPr>
              <w:pStyle w:val="RTableTextAbt"/>
            </w:pPr>
            <w:r>
              <w:rPr>
                <w:szCs w:val="18"/>
              </w:rPr>
              <w:t>0.0225</w:t>
            </w:r>
          </w:p>
        </w:tc>
        <w:tc>
          <w:tcPr>
            <w:tcW w:w="541" w:type="pct"/>
            <w:tcBorders>
              <w:top w:val="nil"/>
              <w:left w:val="nil"/>
              <w:bottom w:val="single" w:sz="4" w:space="0" w:color="auto"/>
              <w:right w:val="single" w:sz="4" w:space="0" w:color="auto"/>
            </w:tcBorders>
            <w:shd w:val="clear" w:color="auto" w:fill="auto"/>
            <w:noWrap/>
            <w:vAlign w:val="center"/>
          </w:tcPr>
          <w:p w:rsidR="00DB7A25" w:rsidP="00DB7A25" w14:paraId="7ED5E6B7" w14:textId="113E37F3">
            <w:pPr>
              <w:pStyle w:val="RTableTextAbt"/>
            </w:pPr>
            <w:r>
              <w:rPr>
                <w:szCs w:val="18"/>
              </w:rPr>
              <w:t>0.0743</w:t>
            </w:r>
          </w:p>
        </w:tc>
        <w:tc>
          <w:tcPr>
            <w:tcW w:w="543" w:type="pct"/>
            <w:tcBorders>
              <w:top w:val="nil"/>
              <w:left w:val="nil"/>
              <w:bottom w:val="single" w:sz="4" w:space="0" w:color="auto"/>
              <w:right w:val="single" w:sz="4" w:space="0" w:color="auto"/>
            </w:tcBorders>
            <w:shd w:val="clear" w:color="auto" w:fill="auto"/>
            <w:noWrap/>
            <w:vAlign w:val="center"/>
          </w:tcPr>
          <w:p w:rsidR="00DB7A25" w:rsidP="00DB7A25" w14:paraId="6F0103F9" w14:textId="4A4D188F">
            <w:pPr>
              <w:pStyle w:val="RTableTextAbt"/>
            </w:pPr>
            <w:r>
              <w:rPr>
                <w:szCs w:val="18"/>
              </w:rPr>
              <w:t>0.0743</w:t>
            </w:r>
          </w:p>
        </w:tc>
      </w:tr>
      <w:tr w14:paraId="7C26D0A3" w14:textId="77777777" w:rsidTr="002F1E1E">
        <w:tblPrEx>
          <w:tblW w:w="5000" w:type="pct"/>
          <w:tblLook w:val="04A0"/>
        </w:tblPrEx>
        <w:trPr>
          <w:trHeight w:val="280"/>
        </w:trPr>
        <w:tc>
          <w:tcPr>
            <w:tcW w:w="2293" w:type="pct"/>
            <w:tcBorders>
              <w:top w:val="nil"/>
              <w:left w:val="single" w:sz="4" w:space="0" w:color="auto"/>
              <w:bottom w:val="single" w:sz="4" w:space="0" w:color="auto"/>
              <w:right w:val="single" w:sz="4" w:space="0" w:color="auto"/>
            </w:tcBorders>
            <w:shd w:val="clear" w:color="auto" w:fill="auto"/>
            <w:vAlign w:val="center"/>
            <w:hideMark/>
          </w:tcPr>
          <w:p w:rsidR="00DB7A25" w:rsidRPr="00431EED" w:rsidP="00DB7A25" w14:paraId="145BBDAB" w14:textId="77777777">
            <w:pPr>
              <w:pStyle w:val="LTableTextAbt"/>
              <w:rPr>
                <w:b/>
              </w:rPr>
            </w:pPr>
            <w:r w:rsidRPr="00431EED">
              <w:rPr>
                <w:b/>
              </w:rPr>
              <w:t>Total</w:t>
            </w:r>
          </w:p>
        </w:tc>
        <w:tc>
          <w:tcPr>
            <w:tcW w:w="541" w:type="pct"/>
            <w:tcBorders>
              <w:top w:val="nil"/>
              <w:left w:val="nil"/>
              <w:bottom w:val="single" w:sz="4" w:space="0" w:color="auto"/>
              <w:right w:val="single" w:sz="4" w:space="0" w:color="auto"/>
            </w:tcBorders>
            <w:shd w:val="clear" w:color="auto" w:fill="auto"/>
            <w:noWrap/>
            <w:vAlign w:val="center"/>
          </w:tcPr>
          <w:p w:rsidR="00DB7A25" w:rsidRPr="00370425" w:rsidP="00DB7A25" w14:paraId="1E87FBED" w14:textId="34BF4D32">
            <w:pPr>
              <w:pStyle w:val="RTableTextAbt"/>
              <w:rPr>
                <w:b/>
                <w:bCs w:val="0"/>
              </w:rPr>
            </w:pPr>
            <w:r w:rsidRPr="00370425">
              <w:rPr>
                <w:b/>
                <w:bCs w:val="0"/>
                <w:szCs w:val="18"/>
              </w:rPr>
              <w:t>0.3878</w:t>
            </w:r>
          </w:p>
        </w:tc>
        <w:tc>
          <w:tcPr>
            <w:tcW w:w="541" w:type="pct"/>
            <w:tcBorders>
              <w:top w:val="nil"/>
              <w:left w:val="nil"/>
              <w:bottom w:val="single" w:sz="4" w:space="0" w:color="auto"/>
              <w:right w:val="single" w:sz="4" w:space="0" w:color="auto"/>
            </w:tcBorders>
            <w:shd w:val="clear" w:color="auto" w:fill="auto"/>
            <w:noWrap/>
            <w:vAlign w:val="center"/>
          </w:tcPr>
          <w:p w:rsidR="00DB7A25" w:rsidRPr="00370425" w:rsidP="00DB7A25" w14:paraId="61D86C6B" w14:textId="0EE6AC8A">
            <w:pPr>
              <w:pStyle w:val="RTableTextAbt"/>
              <w:rPr>
                <w:b/>
                <w:bCs w:val="0"/>
              </w:rPr>
            </w:pPr>
            <w:r w:rsidRPr="00370425">
              <w:rPr>
                <w:b/>
                <w:bCs w:val="0"/>
                <w:szCs w:val="18"/>
              </w:rPr>
              <w:t>0.3878</w:t>
            </w:r>
          </w:p>
        </w:tc>
        <w:tc>
          <w:tcPr>
            <w:tcW w:w="541" w:type="pct"/>
            <w:tcBorders>
              <w:top w:val="nil"/>
              <w:left w:val="nil"/>
              <w:bottom w:val="single" w:sz="4" w:space="0" w:color="auto"/>
              <w:right w:val="single" w:sz="4" w:space="0" w:color="auto"/>
            </w:tcBorders>
            <w:shd w:val="clear" w:color="auto" w:fill="auto"/>
            <w:noWrap/>
            <w:vAlign w:val="center"/>
          </w:tcPr>
          <w:p w:rsidR="00DB7A25" w:rsidRPr="00370425" w:rsidP="00DB7A25" w14:paraId="46C41CFD" w14:textId="40056CDC">
            <w:pPr>
              <w:pStyle w:val="RTableTextAbt"/>
              <w:rPr>
                <w:b/>
                <w:bCs w:val="0"/>
              </w:rPr>
            </w:pPr>
            <w:r w:rsidRPr="00370425">
              <w:rPr>
                <w:b/>
                <w:bCs w:val="0"/>
                <w:szCs w:val="18"/>
              </w:rPr>
              <w:t>0.1395</w:t>
            </w:r>
          </w:p>
        </w:tc>
        <w:tc>
          <w:tcPr>
            <w:tcW w:w="541" w:type="pct"/>
            <w:tcBorders>
              <w:top w:val="nil"/>
              <w:left w:val="nil"/>
              <w:bottom w:val="single" w:sz="4" w:space="0" w:color="auto"/>
              <w:right w:val="single" w:sz="4" w:space="0" w:color="auto"/>
            </w:tcBorders>
            <w:shd w:val="clear" w:color="auto" w:fill="auto"/>
            <w:noWrap/>
            <w:vAlign w:val="center"/>
          </w:tcPr>
          <w:p w:rsidR="00DB7A25" w:rsidRPr="00370425" w:rsidP="00DB7A25" w14:paraId="6C98E0C3" w14:textId="2093865C">
            <w:pPr>
              <w:pStyle w:val="RTableTextAbt"/>
              <w:rPr>
                <w:b/>
                <w:bCs w:val="0"/>
              </w:rPr>
            </w:pPr>
            <w:r w:rsidRPr="00370425">
              <w:rPr>
                <w:b/>
                <w:bCs w:val="0"/>
                <w:szCs w:val="18"/>
              </w:rPr>
              <w:t>0.5273</w:t>
            </w:r>
          </w:p>
        </w:tc>
        <w:tc>
          <w:tcPr>
            <w:tcW w:w="543" w:type="pct"/>
            <w:tcBorders>
              <w:top w:val="nil"/>
              <w:left w:val="nil"/>
              <w:bottom w:val="single" w:sz="4" w:space="0" w:color="auto"/>
              <w:right w:val="single" w:sz="4" w:space="0" w:color="auto"/>
            </w:tcBorders>
            <w:shd w:val="clear" w:color="auto" w:fill="auto"/>
            <w:noWrap/>
            <w:vAlign w:val="center"/>
          </w:tcPr>
          <w:p w:rsidR="00DB7A25" w:rsidRPr="00370425" w:rsidP="00DB7A25" w14:paraId="3FF3844A" w14:textId="5BFDF3F2">
            <w:pPr>
              <w:pStyle w:val="RTableTextAbt"/>
              <w:rPr>
                <w:b/>
                <w:bCs w:val="0"/>
              </w:rPr>
            </w:pPr>
            <w:r w:rsidRPr="00370425">
              <w:rPr>
                <w:b/>
                <w:bCs w:val="0"/>
                <w:szCs w:val="18"/>
              </w:rPr>
              <w:t>0.5273</w:t>
            </w:r>
          </w:p>
        </w:tc>
      </w:tr>
      <w:tr w14:paraId="588ADC94" w14:textId="77777777" w:rsidTr="009860E2">
        <w:tblPrEx>
          <w:tblW w:w="5000" w:type="pct"/>
          <w:tblLook w:val="04A0"/>
        </w:tblPrEx>
        <w:trPr>
          <w:trHeight w:val="300"/>
        </w:trPr>
        <w:tc>
          <w:tcPr>
            <w:tcW w:w="5000" w:type="pct"/>
            <w:gridSpan w:val="6"/>
            <w:tcBorders>
              <w:top w:val="nil"/>
              <w:left w:val="single" w:sz="4" w:space="0" w:color="auto"/>
              <w:bottom w:val="single" w:sz="4" w:space="0" w:color="auto"/>
              <w:right w:val="single" w:sz="4" w:space="0" w:color="auto"/>
            </w:tcBorders>
            <w:shd w:val="clear" w:color="auto" w:fill="97CFDA"/>
            <w:noWrap/>
            <w:vAlign w:val="center"/>
          </w:tcPr>
          <w:p w:rsidR="000F3FFC" w:rsidRPr="00A17501" w:rsidP="009860E2" w14:paraId="781F0189" w14:textId="77777777">
            <w:pPr>
              <w:pStyle w:val="BSUBT"/>
            </w:pPr>
            <w:r>
              <w:t>Based on Harber</w:t>
            </w:r>
          </w:p>
        </w:tc>
      </w:tr>
      <w:tr w14:paraId="7BB6E598" w14:textId="77777777" w:rsidTr="002F1E1E">
        <w:tblPrEx>
          <w:tblW w:w="5000" w:type="pct"/>
          <w:tblLook w:val="04A0"/>
        </w:tblPrEx>
        <w:trPr>
          <w:trHeight w:val="300"/>
        </w:trPr>
        <w:tc>
          <w:tcPr>
            <w:tcW w:w="2293" w:type="pct"/>
            <w:tcBorders>
              <w:top w:val="nil"/>
              <w:left w:val="single" w:sz="4" w:space="0" w:color="auto"/>
              <w:bottom w:val="single" w:sz="4" w:space="0" w:color="auto"/>
              <w:right w:val="single" w:sz="4" w:space="0" w:color="auto"/>
            </w:tcBorders>
            <w:shd w:val="clear" w:color="auto" w:fill="auto"/>
            <w:noWrap/>
            <w:vAlign w:val="center"/>
            <w:hideMark/>
          </w:tcPr>
          <w:p w:rsidR="000F3FFC" w:rsidP="009860E2" w14:paraId="623D04B0" w14:textId="77777777">
            <w:pPr>
              <w:pStyle w:val="LTableTextAbt"/>
            </w:pPr>
            <w:r>
              <w:t>PV29 manufacturing and intermediate processing</w:t>
            </w:r>
          </w:p>
        </w:tc>
        <w:tc>
          <w:tcPr>
            <w:tcW w:w="541" w:type="pct"/>
            <w:tcBorders>
              <w:top w:val="nil"/>
              <w:left w:val="nil"/>
              <w:bottom w:val="single" w:sz="4" w:space="0" w:color="auto"/>
              <w:right w:val="single" w:sz="4" w:space="0" w:color="auto"/>
            </w:tcBorders>
            <w:shd w:val="clear" w:color="auto" w:fill="auto"/>
            <w:noWrap/>
          </w:tcPr>
          <w:p w:rsidR="000F3FFC" w:rsidP="009860E2" w14:paraId="59E9B57E" w14:textId="77777777">
            <w:pPr>
              <w:pStyle w:val="RTableTextAbt"/>
            </w:pPr>
            <w:r>
              <w:t>-</w:t>
            </w:r>
          </w:p>
        </w:tc>
        <w:tc>
          <w:tcPr>
            <w:tcW w:w="541" w:type="pct"/>
            <w:tcBorders>
              <w:top w:val="nil"/>
              <w:left w:val="nil"/>
              <w:bottom w:val="single" w:sz="4" w:space="0" w:color="auto"/>
              <w:right w:val="single" w:sz="4" w:space="0" w:color="auto"/>
            </w:tcBorders>
            <w:shd w:val="clear" w:color="auto" w:fill="auto"/>
            <w:noWrap/>
          </w:tcPr>
          <w:p w:rsidR="000F3FFC" w:rsidP="009860E2" w14:paraId="75E48FA4" w14:textId="77777777">
            <w:pPr>
              <w:pStyle w:val="RTableTextAbt"/>
            </w:pPr>
            <w:r>
              <w:t>-</w:t>
            </w:r>
          </w:p>
        </w:tc>
        <w:tc>
          <w:tcPr>
            <w:tcW w:w="541" w:type="pct"/>
            <w:tcBorders>
              <w:top w:val="nil"/>
              <w:left w:val="nil"/>
              <w:bottom w:val="single" w:sz="4" w:space="0" w:color="auto"/>
              <w:right w:val="single" w:sz="4" w:space="0" w:color="auto"/>
            </w:tcBorders>
            <w:shd w:val="clear" w:color="auto" w:fill="auto"/>
            <w:noWrap/>
          </w:tcPr>
          <w:p w:rsidR="000F3FFC" w:rsidP="009860E2" w14:paraId="5C6783DB" w14:textId="77777777">
            <w:pPr>
              <w:pStyle w:val="RTableTextAbt"/>
            </w:pPr>
            <w:r>
              <w:t>-</w:t>
            </w:r>
          </w:p>
        </w:tc>
        <w:tc>
          <w:tcPr>
            <w:tcW w:w="541" w:type="pct"/>
            <w:tcBorders>
              <w:top w:val="nil"/>
              <w:left w:val="nil"/>
              <w:bottom w:val="single" w:sz="4" w:space="0" w:color="auto"/>
              <w:right w:val="single" w:sz="4" w:space="0" w:color="auto"/>
            </w:tcBorders>
            <w:shd w:val="clear" w:color="auto" w:fill="auto"/>
            <w:noWrap/>
          </w:tcPr>
          <w:p w:rsidR="000F3FFC" w:rsidP="009860E2" w14:paraId="0A3A5D60" w14:textId="77777777">
            <w:pPr>
              <w:pStyle w:val="RTableTextAbt"/>
            </w:pPr>
            <w:r>
              <w:t>-</w:t>
            </w:r>
          </w:p>
        </w:tc>
        <w:tc>
          <w:tcPr>
            <w:tcW w:w="543" w:type="pct"/>
            <w:tcBorders>
              <w:top w:val="nil"/>
              <w:left w:val="nil"/>
              <w:bottom w:val="single" w:sz="4" w:space="0" w:color="auto"/>
              <w:right w:val="single" w:sz="4" w:space="0" w:color="auto"/>
            </w:tcBorders>
            <w:shd w:val="clear" w:color="auto" w:fill="auto"/>
            <w:noWrap/>
          </w:tcPr>
          <w:p w:rsidR="000F3FFC" w:rsidP="009860E2" w14:paraId="7C1CE62A" w14:textId="77777777">
            <w:pPr>
              <w:pStyle w:val="RTableTextAbt"/>
            </w:pPr>
            <w:r>
              <w:t>-</w:t>
            </w:r>
          </w:p>
        </w:tc>
      </w:tr>
      <w:tr w14:paraId="5171DEB0" w14:textId="77777777" w:rsidTr="002F1E1E">
        <w:tblPrEx>
          <w:tblW w:w="5000" w:type="pct"/>
          <w:tblLook w:val="04A0"/>
        </w:tblPrEx>
        <w:trPr>
          <w:trHeight w:val="300"/>
        </w:trPr>
        <w:tc>
          <w:tcPr>
            <w:tcW w:w="2293" w:type="pct"/>
            <w:tcBorders>
              <w:top w:val="nil"/>
              <w:left w:val="single" w:sz="4" w:space="0" w:color="auto"/>
              <w:bottom w:val="single" w:sz="4" w:space="0" w:color="auto"/>
              <w:right w:val="single" w:sz="4" w:space="0" w:color="auto"/>
            </w:tcBorders>
            <w:shd w:val="clear" w:color="auto" w:fill="auto"/>
            <w:noWrap/>
            <w:vAlign w:val="center"/>
          </w:tcPr>
          <w:p w:rsidR="002F1E1E" w:rsidRPr="00A17501" w:rsidP="002F1E1E" w14:paraId="329300AA" w14:textId="279FEF1E">
            <w:pPr>
              <w:pStyle w:val="LTableTextAbt"/>
            </w:pPr>
            <w:r>
              <w:t>PV29 importing</w:t>
            </w:r>
          </w:p>
        </w:tc>
        <w:tc>
          <w:tcPr>
            <w:tcW w:w="541" w:type="pct"/>
            <w:tcBorders>
              <w:top w:val="nil"/>
              <w:left w:val="nil"/>
              <w:bottom w:val="single" w:sz="4" w:space="0" w:color="auto"/>
              <w:right w:val="single" w:sz="4" w:space="0" w:color="auto"/>
            </w:tcBorders>
            <w:shd w:val="clear" w:color="auto" w:fill="auto"/>
            <w:noWrap/>
            <w:vAlign w:val="center"/>
          </w:tcPr>
          <w:p w:rsidR="002F1E1E" w:rsidP="002F1E1E" w14:paraId="4C8D4AC1" w14:textId="5983D4BF">
            <w:pPr>
              <w:pStyle w:val="RTableTextAbt"/>
            </w:pPr>
            <w:r>
              <w:rPr>
                <w:szCs w:val="18"/>
              </w:rPr>
              <w:t>0.0100</w:t>
            </w:r>
          </w:p>
        </w:tc>
        <w:tc>
          <w:tcPr>
            <w:tcW w:w="541" w:type="pct"/>
            <w:tcBorders>
              <w:top w:val="nil"/>
              <w:left w:val="nil"/>
              <w:bottom w:val="single" w:sz="4" w:space="0" w:color="auto"/>
              <w:right w:val="single" w:sz="4" w:space="0" w:color="auto"/>
            </w:tcBorders>
            <w:shd w:val="clear" w:color="auto" w:fill="auto"/>
            <w:noWrap/>
            <w:vAlign w:val="center"/>
          </w:tcPr>
          <w:p w:rsidR="002F1E1E" w:rsidP="002F1E1E" w14:paraId="6379B583" w14:textId="687E131D">
            <w:pPr>
              <w:pStyle w:val="RTableTextAbt"/>
            </w:pPr>
            <w:r>
              <w:rPr>
                <w:szCs w:val="18"/>
              </w:rPr>
              <w:t>0.0100</w:t>
            </w:r>
          </w:p>
        </w:tc>
        <w:tc>
          <w:tcPr>
            <w:tcW w:w="541" w:type="pct"/>
            <w:tcBorders>
              <w:top w:val="nil"/>
              <w:left w:val="nil"/>
              <w:bottom w:val="single" w:sz="4" w:space="0" w:color="auto"/>
              <w:right w:val="single" w:sz="4" w:space="0" w:color="auto"/>
            </w:tcBorders>
            <w:shd w:val="clear" w:color="auto" w:fill="auto"/>
            <w:noWrap/>
            <w:vAlign w:val="center"/>
          </w:tcPr>
          <w:p w:rsidR="002F1E1E" w:rsidP="002F1E1E" w14:paraId="4F3555E7" w14:textId="4A6E222D">
            <w:pPr>
              <w:pStyle w:val="RTableTextAbt"/>
            </w:pPr>
            <w:r>
              <w:rPr>
                <w:szCs w:val="18"/>
              </w:rPr>
              <w:t>0.0035</w:t>
            </w:r>
          </w:p>
        </w:tc>
        <w:tc>
          <w:tcPr>
            <w:tcW w:w="541" w:type="pct"/>
            <w:tcBorders>
              <w:top w:val="nil"/>
              <w:left w:val="nil"/>
              <w:bottom w:val="single" w:sz="4" w:space="0" w:color="auto"/>
              <w:right w:val="single" w:sz="4" w:space="0" w:color="auto"/>
            </w:tcBorders>
            <w:shd w:val="clear" w:color="auto" w:fill="auto"/>
            <w:noWrap/>
            <w:vAlign w:val="center"/>
          </w:tcPr>
          <w:p w:rsidR="002F1E1E" w:rsidP="002F1E1E" w14:paraId="4C2D6DA9" w14:textId="768E9608">
            <w:pPr>
              <w:pStyle w:val="RTableTextAbt"/>
            </w:pPr>
            <w:r>
              <w:rPr>
                <w:szCs w:val="18"/>
              </w:rPr>
              <w:t>0.0135</w:t>
            </w:r>
          </w:p>
        </w:tc>
        <w:tc>
          <w:tcPr>
            <w:tcW w:w="543" w:type="pct"/>
            <w:tcBorders>
              <w:top w:val="nil"/>
              <w:left w:val="nil"/>
              <w:bottom w:val="single" w:sz="4" w:space="0" w:color="auto"/>
              <w:right w:val="single" w:sz="4" w:space="0" w:color="auto"/>
            </w:tcBorders>
            <w:shd w:val="clear" w:color="auto" w:fill="auto"/>
            <w:noWrap/>
            <w:vAlign w:val="center"/>
          </w:tcPr>
          <w:p w:rsidR="002F1E1E" w:rsidP="002F1E1E" w14:paraId="05D4D812" w14:textId="4C0DB87E">
            <w:pPr>
              <w:pStyle w:val="RTableTextAbt"/>
            </w:pPr>
            <w:r>
              <w:rPr>
                <w:szCs w:val="18"/>
              </w:rPr>
              <w:t>0.0135</w:t>
            </w:r>
          </w:p>
        </w:tc>
      </w:tr>
      <w:tr w14:paraId="78A4043E" w14:textId="77777777" w:rsidTr="002F1E1E">
        <w:tblPrEx>
          <w:tblW w:w="5000" w:type="pct"/>
          <w:tblLook w:val="04A0"/>
        </w:tblPrEx>
        <w:trPr>
          <w:trHeight w:val="260"/>
        </w:trPr>
        <w:tc>
          <w:tcPr>
            <w:tcW w:w="2293" w:type="pct"/>
            <w:tcBorders>
              <w:top w:val="nil"/>
              <w:left w:val="single" w:sz="4" w:space="0" w:color="auto"/>
              <w:bottom w:val="single" w:sz="4" w:space="0" w:color="auto"/>
              <w:right w:val="single" w:sz="4" w:space="0" w:color="auto"/>
            </w:tcBorders>
            <w:shd w:val="clear" w:color="auto" w:fill="auto"/>
            <w:noWrap/>
            <w:hideMark/>
          </w:tcPr>
          <w:p w:rsidR="002F1E1E" w:rsidP="002F1E1E" w14:paraId="1878EFF7" w14:textId="77777777">
            <w:pPr>
              <w:pStyle w:val="LTableTextAbt"/>
            </w:pPr>
            <w:r w:rsidRPr="00A17501">
              <w:t>Processing into automotive paints and coatings</w:t>
            </w:r>
          </w:p>
        </w:tc>
        <w:tc>
          <w:tcPr>
            <w:tcW w:w="541" w:type="pct"/>
            <w:tcBorders>
              <w:top w:val="nil"/>
              <w:left w:val="nil"/>
              <w:bottom w:val="single" w:sz="4" w:space="0" w:color="auto"/>
              <w:right w:val="single" w:sz="4" w:space="0" w:color="auto"/>
            </w:tcBorders>
            <w:shd w:val="clear" w:color="auto" w:fill="auto"/>
            <w:noWrap/>
            <w:vAlign w:val="center"/>
          </w:tcPr>
          <w:p w:rsidR="002F1E1E" w:rsidP="002F1E1E" w14:paraId="729A8B07" w14:textId="4B471CFE">
            <w:pPr>
              <w:pStyle w:val="RTableTextAbt"/>
            </w:pPr>
            <w:r>
              <w:rPr>
                <w:szCs w:val="18"/>
              </w:rPr>
              <w:t>0.1403</w:t>
            </w:r>
          </w:p>
        </w:tc>
        <w:tc>
          <w:tcPr>
            <w:tcW w:w="541" w:type="pct"/>
            <w:tcBorders>
              <w:top w:val="nil"/>
              <w:left w:val="nil"/>
              <w:bottom w:val="single" w:sz="4" w:space="0" w:color="auto"/>
              <w:right w:val="single" w:sz="4" w:space="0" w:color="auto"/>
            </w:tcBorders>
            <w:shd w:val="clear" w:color="auto" w:fill="auto"/>
            <w:noWrap/>
            <w:vAlign w:val="center"/>
          </w:tcPr>
          <w:p w:rsidR="002F1E1E" w:rsidP="002F1E1E" w14:paraId="2DD48381" w14:textId="084359EE">
            <w:pPr>
              <w:pStyle w:val="RTableTextAbt"/>
            </w:pPr>
            <w:r>
              <w:rPr>
                <w:szCs w:val="18"/>
              </w:rPr>
              <w:t>0.1403</w:t>
            </w:r>
          </w:p>
        </w:tc>
        <w:tc>
          <w:tcPr>
            <w:tcW w:w="541" w:type="pct"/>
            <w:tcBorders>
              <w:top w:val="nil"/>
              <w:left w:val="nil"/>
              <w:bottom w:val="single" w:sz="4" w:space="0" w:color="auto"/>
              <w:right w:val="single" w:sz="4" w:space="0" w:color="auto"/>
            </w:tcBorders>
            <w:shd w:val="clear" w:color="auto" w:fill="auto"/>
            <w:noWrap/>
            <w:vAlign w:val="center"/>
          </w:tcPr>
          <w:p w:rsidR="002F1E1E" w:rsidP="002F1E1E" w14:paraId="4CC5BE5C" w14:textId="44747D62">
            <w:pPr>
              <w:pStyle w:val="RTableTextAbt"/>
            </w:pPr>
            <w:r>
              <w:rPr>
                <w:szCs w:val="18"/>
              </w:rPr>
              <w:t>0.0487</w:t>
            </w:r>
          </w:p>
        </w:tc>
        <w:tc>
          <w:tcPr>
            <w:tcW w:w="541" w:type="pct"/>
            <w:tcBorders>
              <w:top w:val="nil"/>
              <w:left w:val="nil"/>
              <w:bottom w:val="single" w:sz="4" w:space="0" w:color="auto"/>
              <w:right w:val="single" w:sz="4" w:space="0" w:color="auto"/>
            </w:tcBorders>
            <w:shd w:val="clear" w:color="auto" w:fill="auto"/>
            <w:noWrap/>
            <w:vAlign w:val="center"/>
          </w:tcPr>
          <w:p w:rsidR="002F1E1E" w:rsidP="002F1E1E" w14:paraId="5924A8BC" w14:textId="0AC276D1">
            <w:pPr>
              <w:pStyle w:val="RTableTextAbt"/>
            </w:pPr>
            <w:r>
              <w:rPr>
                <w:szCs w:val="18"/>
              </w:rPr>
              <w:t>0.1890</w:t>
            </w:r>
          </w:p>
        </w:tc>
        <w:tc>
          <w:tcPr>
            <w:tcW w:w="543" w:type="pct"/>
            <w:tcBorders>
              <w:top w:val="nil"/>
              <w:left w:val="nil"/>
              <w:bottom w:val="single" w:sz="4" w:space="0" w:color="auto"/>
              <w:right w:val="single" w:sz="4" w:space="0" w:color="auto"/>
            </w:tcBorders>
            <w:shd w:val="clear" w:color="auto" w:fill="auto"/>
            <w:noWrap/>
            <w:vAlign w:val="center"/>
          </w:tcPr>
          <w:p w:rsidR="002F1E1E" w:rsidP="002F1E1E" w14:paraId="6E6A21EA" w14:textId="1225E6C3">
            <w:pPr>
              <w:pStyle w:val="RTableTextAbt"/>
            </w:pPr>
            <w:r>
              <w:rPr>
                <w:szCs w:val="18"/>
              </w:rPr>
              <w:t>0.1890</w:t>
            </w:r>
          </w:p>
        </w:tc>
      </w:tr>
      <w:tr w14:paraId="6032EE47" w14:textId="77777777" w:rsidTr="002F1E1E">
        <w:tblPrEx>
          <w:tblW w:w="5000" w:type="pct"/>
          <w:tblLook w:val="04A0"/>
        </w:tblPrEx>
        <w:trPr>
          <w:trHeight w:val="260"/>
        </w:trPr>
        <w:tc>
          <w:tcPr>
            <w:tcW w:w="2293" w:type="pct"/>
            <w:tcBorders>
              <w:top w:val="nil"/>
              <w:left w:val="single" w:sz="4" w:space="0" w:color="auto"/>
              <w:bottom w:val="single" w:sz="4" w:space="0" w:color="auto"/>
              <w:right w:val="single" w:sz="4" w:space="0" w:color="auto"/>
            </w:tcBorders>
            <w:shd w:val="clear" w:color="auto" w:fill="auto"/>
            <w:noWrap/>
            <w:hideMark/>
          </w:tcPr>
          <w:p w:rsidR="002F1E1E" w:rsidP="002F1E1E" w14:paraId="4743B0A4" w14:textId="77777777">
            <w:pPr>
              <w:pStyle w:val="LTableTextAbt"/>
            </w:pPr>
            <w:r w:rsidRPr="00A17501">
              <w:t>Processing into plastic and rubber products</w:t>
            </w:r>
          </w:p>
        </w:tc>
        <w:tc>
          <w:tcPr>
            <w:tcW w:w="541" w:type="pct"/>
            <w:tcBorders>
              <w:top w:val="nil"/>
              <w:left w:val="nil"/>
              <w:bottom w:val="single" w:sz="4" w:space="0" w:color="auto"/>
              <w:right w:val="single" w:sz="4" w:space="0" w:color="auto"/>
            </w:tcBorders>
            <w:shd w:val="clear" w:color="auto" w:fill="auto"/>
            <w:noWrap/>
            <w:vAlign w:val="center"/>
          </w:tcPr>
          <w:p w:rsidR="002F1E1E" w:rsidP="002F1E1E" w14:paraId="0ADC4FA2" w14:textId="0A551FC9">
            <w:pPr>
              <w:pStyle w:val="RTableTextAbt"/>
            </w:pPr>
            <w:r>
              <w:rPr>
                <w:szCs w:val="18"/>
              </w:rPr>
              <w:t>0.0232</w:t>
            </w:r>
          </w:p>
        </w:tc>
        <w:tc>
          <w:tcPr>
            <w:tcW w:w="541" w:type="pct"/>
            <w:tcBorders>
              <w:top w:val="nil"/>
              <w:left w:val="nil"/>
              <w:bottom w:val="single" w:sz="4" w:space="0" w:color="auto"/>
              <w:right w:val="single" w:sz="4" w:space="0" w:color="auto"/>
            </w:tcBorders>
            <w:shd w:val="clear" w:color="auto" w:fill="auto"/>
            <w:noWrap/>
            <w:vAlign w:val="center"/>
          </w:tcPr>
          <w:p w:rsidR="002F1E1E" w:rsidP="002F1E1E" w14:paraId="40E7BB57" w14:textId="6C7B24D2">
            <w:pPr>
              <w:pStyle w:val="RTableTextAbt"/>
            </w:pPr>
            <w:r>
              <w:rPr>
                <w:szCs w:val="18"/>
              </w:rPr>
              <w:t>0.0232</w:t>
            </w:r>
          </w:p>
        </w:tc>
        <w:tc>
          <w:tcPr>
            <w:tcW w:w="541" w:type="pct"/>
            <w:tcBorders>
              <w:top w:val="nil"/>
              <w:left w:val="nil"/>
              <w:bottom w:val="single" w:sz="4" w:space="0" w:color="auto"/>
              <w:right w:val="single" w:sz="4" w:space="0" w:color="auto"/>
            </w:tcBorders>
            <w:shd w:val="clear" w:color="auto" w:fill="auto"/>
            <w:noWrap/>
            <w:vAlign w:val="center"/>
          </w:tcPr>
          <w:p w:rsidR="002F1E1E" w:rsidP="002F1E1E" w14:paraId="150AC902" w14:textId="04C821A1">
            <w:pPr>
              <w:pStyle w:val="RTableTextAbt"/>
            </w:pPr>
            <w:r>
              <w:rPr>
                <w:szCs w:val="18"/>
              </w:rPr>
              <w:t>0.0100</w:t>
            </w:r>
          </w:p>
        </w:tc>
        <w:tc>
          <w:tcPr>
            <w:tcW w:w="541" w:type="pct"/>
            <w:tcBorders>
              <w:top w:val="nil"/>
              <w:left w:val="nil"/>
              <w:bottom w:val="single" w:sz="4" w:space="0" w:color="auto"/>
              <w:right w:val="single" w:sz="4" w:space="0" w:color="auto"/>
            </w:tcBorders>
            <w:shd w:val="clear" w:color="auto" w:fill="auto"/>
            <w:noWrap/>
            <w:vAlign w:val="center"/>
          </w:tcPr>
          <w:p w:rsidR="002F1E1E" w:rsidP="002F1E1E" w14:paraId="59CE0161" w14:textId="1096F791">
            <w:pPr>
              <w:pStyle w:val="RTableTextAbt"/>
            </w:pPr>
            <w:r>
              <w:rPr>
                <w:szCs w:val="18"/>
              </w:rPr>
              <w:t>0.0332</w:t>
            </w:r>
          </w:p>
        </w:tc>
        <w:tc>
          <w:tcPr>
            <w:tcW w:w="543" w:type="pct"/>
            <w:tcBorders>
              <w:top w:val="nil"/>
              <w:left w:val="nil"/>
              <w:bottom w:val="single" w:sz="4" w:space="0" w:color="auto"/>
              <w:right w:val="single" w:sz="4" w:space="0" w:color="auto"/>
            </w:tcBorders>
            <w:shd w:val="clear" w:color="auto" w:fill="auto"/>
            <w:noWrap/>
            <w:vAlign w:val="center"/>
          </w:tcPr>
          <w:p w:rsidR="002F1E1E" w:rsidP="002F1E1E" w14:paraId="4F17D428" w14:textId="59A2CE1E">
            <w:pPr>
              <w:pStyle w:val="RTableTextAbt"/>
            </w:pPr>
            <w:r>
              <w:rPr>
                <w:szCs w:val="18"/>
              </w:rPr>
              <w:t>0.0332</w:t>
            </w:r>
          </w:p>
        </w:tc>
      </w:tr>
      <w:tr w14:paraId="6A42E2B0" w14:textId="77777777" w:rsidTr="002F1E1E">
        <w:tblPrEx>
          <w:tblW w:w="5000" w:type="pct"/>
          <w:tblLook w:val="04A0"/>
        </w:tblPrEx>
        <w:trPr>
          <w:trHeight w:val="280"/>
        </w:trPr>
        <w:tc>
          <w:tcPr>
            <w:tcW w:w="2293" w:type="pct"/>
            <w:tcBorders>
              <w:top w:val="nil"/>
              <w:left w:val="single" w:sz="4" w:space="0" w:color="auto"/>
              <w:bottom w:val="single" w:sz="4" w:space="0" w:color="auto"/>
              <w:right w:val="single" w:sz="4" w:space="0" w:color="auto"/>
            </w:tcBorders>
            <w:shd w:val="clear" w:color="auto" w:fill="auto"/>
            <w:hideMark/>
          </w:tcPr>
          <w:p w:rsidR="002F1E1E" w:rsidRPr="00431EED" w:rsidP="002F1E1E" w14:paraId="1CEBFB47" w14:textId="77777777">
            <w:pPr>
              <w:pStyle w:val="LTableTextAbt"/>
              <w:rPr>
                <w:b/>
              </w:rPr>
            </w:pPr>
            <w:r w:rsidRPr="00431EED">
              <w:rPr>
                <w:b/>
              </w:rPr>
              <w:t>Total</w:t>
            </w:r>
          </w:p>
        </w:tc>
        <w:tc>
          <w:tcPr>
            <w:tcW w:w="541" w:type="pct"/>
            <w:tcBorders>
              <w:top w:val="nil"/>
              <w:left w:val="nil"/>
              <w:bottom w:val="single" w:sz="4" w:space="0" w:color="auto"/>
              <w:right w:val="single" w:sz="4" w:space="0" w:color="auto"/>
            </w:tcBorders>
            <w:shd w:val="clear" w:color="auto" w:fill="auto"/>
            <w:noWrap/>
            <w:vAlign w:val="center"/>
          </w:tcPr>
          <w:p w:rsidR="002F1E1E" w:rsidRPr="002F1E1E" w:rsidP="002F1E1E" w14:paraId="24139256" w14:textId="4D18C4A9">
            <w:pPr>
              <w:pStyle w:val="RTableTextAbt"/>
              <w:rPr>
                <w:b/>
                <w:bCs w:val="0"/>
              </w:rPr>
            </w:pPr>
            <w:r w:rsidRPr="002F1E1E">
              <w:rPr>
                <w:b/>
                <w:bCs w:val="0"/>
                <w:szCs w:val="18"/>
              </w:rPr>
              <w:t>0.1735</w:t>
            </w:r>
          </w:p>
        </w:tc>
        <w:tc>
          <w:tcPr>
            <w:tcW w:w="541" w:type="pct"/>
            <w:tcBorders>
              <w:top w:val="nil"/>
              <w:left w:val="nil"/>
              <w:bottom w:val="single" w:sz="4" w:space="0" w:color="auto"/>
              <w:right w:val="single" w:sz="4" w:space="0" w:color="auto"/>
            </w:tcBorders>
            <w:shd w:val="clear" w:color="auto" w:fill="auto"/>
            <w:noWrap/>
            <w:vAlign w:val="center"/>
          </w:tcPr>
          <w:p w:rsidR="002F1E1E" w:rsidRPr="002F1E1E" w:rsidP="002F1E1E" w14:paraId="1DE1A1EB" w14:textId="3220D171">
            <w:pPr>
              <w:pStyle w:val="RTableTextAbt"/>
              <w:rPr>
                <w:b/>
                <w:bCs w:val="0"/>
              </w:rPr>
            </w:pPr>
            <w:r w:rsidRPr="002F1E1E">
              <w:rPr>
                <w:b/>
                <w:bCs w:val="0"/>
                <w:szCs w:val="18"/>
              </w:rPr>
              <w:t>0.1735</w:t>
            </w:r>
          </w:p>
        </w:tc>
        <w:tc>
          <w:tcPr>
            <w:tcW w:w="541" w:type="pct"/>
            <w:tcBorders>
              <w:top w:val="nil"/>
              <w:left w:val="nil"/>
              <w:bottom w:val="single" w:sz="4" w:space="0" w:color="auto"/>
              <w:right w:val="single" w:sz="4" w:space="0" w:color="auto"/>
            </w:tcBorders>
            <w:shd w:val="clear" w:color="auto" w:fill="auto"/>
            <w:noWrap/>
            <w:vAlign w:val="center"/>
          </w:tcPr>
          <w:p w:rsidR="002F1E1E" w:rsidRPr="002F1E1E" w:rsidP="002F1E1E" w14:paraId="740D8272" w14:textId="63187C26">
            <w:pPr>
              <w:pStyle w:val="RTableTextAbt"/>
              <w:rPr>
                <w:b/>
                <w:bCs w:val="0"/>
              </w:rPr>
            </w:pPr>
            <w:r w:rsidRPr="002F1E1E">
              <w:rPr>
                <w:b/>
                <w:bCs w:val="0"/>
                <w:szCs w:val="18"/>
              </w:rPr>
              <w:t>0.0622</w:t>
            </w:r>
          </w:p>
        </w:tc>
        <w:tc>
          <w:tcPr>
            <w:tcW w:w="541" w:type="pct"/>
            <w:tcBorders>
              <w:top w:val="nil"/>
              <w:left w:val="nil"/>
              <w:bottom w:val="single" w:sz="4" w:space="0" w:color="auto"/>
              <w:right w:val="single" w:sz="4" w:space="0" w:color="auto"/>
            </w:tcBorders>
            <w:shd w:val="clear" w:color="auto" w:fill="auto"/>
            <w:noWrap/>
            <w:vAlign w:val="center"/>
          </w:tcPr>
          <w:p w:rsidR="002F1E1E" w:rsidRPr="002F1E1E" w:rsidP="002F1E1E" w14:paraId="45523398" w14:textId="19DBA900">
            <w:pPr>
              <w:pStyle w:val="RTableTextAbt"/>
              <w:rPr>
                <w:b/>
                <w:bCs w:val="0"/>
              </w:rPr>
            </w:pPr>
            <w:r w:rsidRPr="002F1E1E">
              <w:rPr>
                <w:b/>
                <w:bCs w:val="0"/>
                <w:szCs w:val="18"/>
              </w:rPr>
              <w:t>0.2357</w:t>
            </w:r>
          </w:p>
        </w:tc>
        <w:tc>
          <w:tcPr>
            <w:tcW w:w="543" w:type="pct"/>
            <w:tcBorders>
              <w:top w:val="nil"/>
              <w:left w:val="nil"/>
              <w:bottom w:val="single" w:sz="4" w:space="0" w:color="auto"/>
              <w:right w:val="single" w:sz="4" w:space="0" w:color="auto"/>
            </w:tcBorders>
            <w:shd w:val="clear" w:color="auto" w:fill="auto"/>
            <w:noWrap/>
            <w:vAlign w:val="center"/>
          </w:tcPr>
          <w:p w:rsidR="002F1E1E" w:rsidRPr="002F1E1E" w:rsidP="002F1E1E" w14:paraId="7D922282" w14:textId="63C6D841">
            <w:pPr>
              <w:pStyle w:val="RTableTextAbt"/>
              <w:rPr>
                <w:b/>
                <w:bCs w:val="0"/>
              </w:rPr>
            </w:pPr>
            <w:r w:rsidRPr="002F1E1E">
              <w:rPr>
                <w:b/>
                <w:bCs w:val="0"/>
                <w:szCs w:val="18"/>
              </w:rPr>
              <w:t>0.2357</w:t>
            </w:r>
          </w:p>
        </w:tc>
      </w:tr>
    </w:tbl>
    <w:p w:rsidR="000F3FFC" w:rsidP="000F3FFC" w14:paraId="22FF77BF" w14:textId="77777777">
      <w:pPr>
        <w:pStyle w:val="BodyText"/>
        <w:rPr>
          <w:rStyle w:val="TableTextChar"/>
          <w:rFonts w:eastAsiaTheme="minorEastAsia"/>
        </w:rPr>
      </w:pPr>
    </w:p>
    <w:p w:rsidR="000F3FFC" w:rsidP="000F3FFC" w14:paraId="3DA18CE4" w14:textId="77777777">
      <w:pPr>
        <w:pStyle w:val="Heading2"/>
        <w:rPr>
          <w:rStyle w:val="TableTextChar"/>
          <w:rFonts w:eastAsiaTheme="minorEastAsia"/>
        </w:rPr>
      </w:pPr>
      <w:bookmarkStart w:id="290" w:name="_Ref181360896"/>
      <w:bookmarkStart w:id="291" w:name="_Toc184299525"/>
      <w:r>
        <w:rPr>
          <w:rStyle w:val="TableTextChar"/>
          <w:rFonts w:eastAsiaTheme="minorEastAsia"/>
        </w:rPr>
        <w:t>Value of Avoided Cases of Chronic Bronchitis</w:t>
      </w:r>
      <w:bookmarkEnd w:id="290"/>
      <w:bookmarkEnd w:id="291"/>
    </w:p>
    <w:p w:rsidR="000F3FFC" w:rsidRPr="00F53879" w:rsidP="000F3FFC" w14:paraId="79A6CAA3" w14:textId="69499E46">
      <w:pPr>
        <w:pStyle w:val="BodyText"/>
        <w:rPr>
          <w:rStyle w:val="TableTextChar"/>
          <w:rFonts w:ascii="Times New Roman" w:hAnsi="Times New Roman" w:eastAsiaTheme="minorEastAsia"/>
        </w:rPr>
      </w:pPr>
      <w:r>
        <w:t>EPA (</w:t>
      </w:r>
      <w:hyperlink w:anchor="_ENREF_51" w:tooltip="U.S. Environmental Protection Agency (EPA), 1999 #51" w:history="1">
        <w:r w:rsidR="003D6084">
          <w:fldChar w:fldCharType="begin" w:fldLock="1"/>
        </w:r>
        <w:r w:rsidR="003D6084">
          <w:instrText xml:space="preserve"> ADDIN EN.CITE &lt;EndNote&gt;&lt;Cite ExcludeAuth="1"&gt;&lt;Author&gt;U.S. Environmental Protection Agency (EPA)&lt;/Author&gt;&lt;Year&gt;1999&lt;/Year&gt;&lt;RecNum&gt;51&lt;/RecNum&gt;&lt;DisplayText&gt;1999&lt;/DisplayText&gt;&lt;record&gt;&lt;rec-number&gt;51&lt;/rec-number&gt;&lt;foreign-keys&gt;&lt;key app="EN" db-id="2apzr05radv9fjet2w6xxwdlz5e9vwfxredw" timestamp="1730757315"&gt;51&lt;/key&gt;&lt;/foreign-keys&gt;&lt;ref-type name="Generic"&gt;13&lt;/ref-type&gt;&lt;contributors&gt;&lt;authors&gt;&lt;author&gt;U.S. Environmental Protection Agency (EPA),&lt;/author&gt;&lt;/authors&gt;&lt;/contributors&gt;&lt;titles&gt;&lt;title&gt;The Benefits and Costs of the Clean Air Act 1990 to 2010. EPA Report to Congress. EPA-410-R-99-001&lt;/title&gt;&lt;/titles&gt;&lt;dates&gt;&lt;year&gt;1999&lt;/year&gt;&lt;pub-dates&gt;&lt;date&gt;November 1999&lt;/date&gt;&lt;/pub-dates&gt;&lt;/dates&gt;&lt;urls&gt;&lt;/urls&gt;&lt;/record&gt;&lt;/Cite&gt;&lt;/EndNote&gt;</w:instrText>
        </w:r>
        <w:r w:rsidR="003D6084">
          <w:fldChar w:fldCharType="separate"/>
        </w:r>
        <w:r w:rsidR="003D6084">
          <w:rPr>
            <w:noProof/>
          </w:rPr>
          <w:t>1999</w:t>
        </w:r>
        <w:r w:rsidR="003D6084">
          <w:fldChar w:fldCharType="end"/>
        </w:r>
      </w:hyperlink>
      <w:r>
        <w:t xml:space="preserve">) provides a value of $260,000 (1990 $) for each case of chronic bronchitis. To apply this value to the avoided cases attributable to the proposed regulation, EPA updated the value, adjusting for </w:t>
      </w:r>
      <w:r w:rsidRPr="00F53879">
        <w:t>inflation using the Consumer Price Index</w:t>
      </w:r>
      <w:r w:rsidR="00EF6AC6">
        <w:t xml:space="preserve"> (CPI)</w:t>
      </w:r>
      <w:r w:rsidRPr="00F53879">
        <w:t xml:space="preserve"> </w:t>
      </w:r>
      <w:r w:rsidR="008A05C4">
        <w:t>(</w:t>
      </w:r>
      <w:hyperlink w:anchor="_ENREF_8" w:tooltip="Bureau of Labor Statistics, 2024 #9" w:history="1">
        <w:r w:rsidR="003D6084">
          <w:fldChar w:fldCharType="begin" w:fldLock="1"/>
        </w:r>
        <w:r w:rsidR="003D6084">
          <w:instrText xml:space="preserve"> ADDIN EN.CITE &lt;EndNote&gt;&lt;Cite&gt;&lt;Author&gt;Bureau of Labor Statistics&lt;/Author&gt;&lt;Year&gt;2024&lt;/Year&gt;&lt;RecNum&gt;9&lt;/RecNum&gt;&lt;DisplayText&gt;Bureau of Labor Statistics 2024a&lt;/DisplayText&gt;&lt;record&gt;&lt;rec-number&gt;9&lt;/rec-number&gt;&lt;foreign-keys&gt;&lt;key app="EN" db-id="2apzr05radv9fjet2w6xxwdlz5e9vwfxredw" timestamp="1730757315"&gt;9&lt;/key&gt;&lt;/foreign-keys&gt;&lt;ref-type name="Dataset"&gt;59&lt;/ref-type&gt;&lt;contributors&gt;&lt;authors&gt;&lt;author&gt;Bureau of Labor Statistics,&lt;/author&gt;&lt;/authors&gt;&lt;/contributors&gt;&lt;titles&gt;&lt;title&gt;Consumer Price Index for all items, U.S. city average (not seasonally adjusted)&lt;/title&gt;&lt;/titles&gt;&lt;dates&gt;&lt;year&gt;2024&lt;/year&gt;&lt;/dates&gt;&lt;urls&gt;&lt;/urls&gt;&lt;/record&gt;&lt;/Cite&gt;&lt;/EndNote&gt;</w:instrText>
        </w:r>
        <w:r w:rsidR="003D6084">
          <w:fldChar w:fldCharType="separate"/>
        </w:r>
        <w:r w:rsidR="003D6084">
          <w:rPr>
            <w:noProof/>
          </w:rPr>
          <w:t>Bureau of Labor Statistics 2024a</w:t>
        </w:r>
        <w:r w:rsidR="003D6084">
          <w:fldChar w:fldCharType="end"/>
        </w:r>
      </w:hyperlink>
      <w:r w:rsidR="008A05C4">
        <w:t>)</w:t>
      </w:r>
      <w:r w:rsidRPr="00F53879">
        <w:t xml:space="preserve"> and then adjusted for income growth using real GDP per capita (</w:t>
      </w:r>
      <w:r>
        <w:t>retrieved from the Federal Reserve Bank of St. Louis</w:t>
      </w:r>
      <w:r w:rsidRPr="00F53879">
        <w:t>) and an income elasticity of 0.4</w:t>
      </w:r>
      <w:r w:rsidRPr="00F53879">
        <w:rPr>
          <w:rFonts w:eastAsiaTheme="minorEastAsia"/>
        </w:rPr>
        <w:t>5</w:t>
      </w:r>
      <w:r>
        <w:t>,</w:t>
      </w:r>
      <w:r>
        <w:rPr>
          <w:rStyle w:val="FootnoteReference"/>
        </w:rPr>
        <w:footnoteReference w:id="20"/>
      </w:r>
      <w:r>
        <w:t xml:space="preserve"> which yielded a value of $766,000 per case of chronic bronchitis.</w:t>
      </w:r>
    </w:p>
    <w:p w:rsidR="000F3FFC" w:rsidP="000F3FFC" w14:paraId="0EB8B7D1" w14:textId="77777777">
      <w:pPr>
        <w:pStyle w:val="Heading2"/>
        <w:rPr>
          <w:rStyle w:val="TableTextChar"/>
          <w:rFonts w:ascii="Arial" w:hAnsi="Arial" w:eastAsiaTheme="minorEastAsia"/>
        </w:rPr>
      </w:pPr>
      <w:bookmarkStart w:id="292" w:name="_Ref181352728"/>
      <w:bookmarkStart w:id="293" w:name="_Toc184299526"/>
      <w:r w:rsidRPr="003E0DFC">
        <w:rPr>
          <w:rStyle w:val="TableTextChar"/>
          <w:rFonts w:ascii="Arial" w:hAnsi="Arial" w:eastAsiaTheme="minorEastAsia"/>
        </w:rPr>
        <w:t>Summary of Estimated Benefits</w:t>
      </w:r>
      <w:bookmarkEnd w:id="292"/>
      <w:bookmarkEnd w:id="293"/>
      <w:r w:rsidRPr="003E0DFC">
        <w:rPr>
          <w:rStyle w:val="TableTextChar"/>
          <w:rFonts w:ascii="Arial" w:hAnsi="Arial" w:eastAsiaTheme="minorEastAsia"/>
        </w:rPr>
        <w:t xml:space="preserve"> </w:t>
      </w:r>
    </w:p>
    <w:p w:rsidR="000F3FFC" w:rsidP="000F3FFC" w14:paraId="5F709647" w14:textId="56740D77">
      <w:pPr>
        <w:pStyle w:val="BodyText"/>
        <w:rPr>
          <w:rFonts w:eastAsiaTheme="minorEastAsia"/>
          <w:lang w:val="en-US"/>
        </w:rPr>
      </w:pPr>
      <w:r>
        <w:rPr>
          <w:rFonts w:eastAsiaTheme="minorEastAsia"/>
          <w:lang w:val="en-US"/>
        </w:rPr>
        <w:fldChar w:fldCharType="begin" w:fldLock="1"/>
      </w:r>
      <w:r>
        <w:rPr>
          <w:rFonts w:eastAsiaTheme="minorEastAsia"/>
          <w:lang w:val="en-US"/>
        </w:rPr>
        <w:instrText xml:space="preserve"> REF _Ref181228533 </w:instrText>
      </w:r>
      <w:r>
        <w:rPr>
          <w:rFonts w:eastAsiaTheme="minorEastAsia"/>
          <w:lang w:val="en-US"/>
        </w:rPr>
        <w:fldChar w:fldCharType="separate"/>
      </w:r>
      <w:r w:rsidR="00735BBC">
        <w:t xml:space="preserve">Table </w:t>
      </w:r>
      <w:r w:rsidR="00735BBC">
        <w:rPr>
          <w:noProof/>
        </w:rPr>
        <w:t>5</w:t>
      </w:r>
      <w:r w:rsidR="00735BBC">
        <w:noBreakHyphen/>
      </w:r>
      <w:r w:rsidR="00735BBC">
        <w:rPr>
          <w:noProof/>
        </w:rPr>
        <w:t>7</w:t>
      </w:r>
      <w:r>
        <w:rPr>
          <w:rFonts w:eastAsiaTheme="minorEastAsia"/>
          <w:lang w:val="en-US"/>
        </w:rPr>
        <w:fldChar w:fldCharType="end"/>
      </w:r>
      <w:r>
        <w:rPr>
          <w:rFonts w:eastAsiaTheme="minorEastAsia"/>
          <w:lang w:val="en-US"/>
        </w:rPr>
        <w:t xml:space="preserve"> and </w:t>
      </w:r>
      <w:r>
        <w:rPr>
          <w:rFonts w:eastAsiaTheme="minorEastAsia"/>
          <w:lang w:val="en-US"/>
        </w:rPr>
        <w:fldChar w:fldCharType="begin" w:fldLock="1"/>
      </w:r>
      <w:r>
        <w:rPr>
          <w:rFonts w:eastAsiaTheme="minorEastAsia"/>
          <w:lang w:val="en-US"/>
        </w:rPr>
        <w:instrText xml:space="preserve"> REF _Ref181228568 </w:instrText>
      </w:r>
      <w:r>
        <w:rPr>
          <w:rFonts w:eastAsiaTheme="minorEastAsia"/>
          <w:lang w:val="en-US"/>
        </w:rPr>
        <w:fldChar w:fldCharType="separate"/>
      </w:r>
      <w:r w:rsidR="00735BBC">
        <w:t xml:space="preserve">Table </w:t>
      </w:r>
      <w:r w:rsidR="00735BBC">
        <w:rPr>
          <w:noProof/>
        </w:rPr>
        <w:t>5</w:t>
      </w:r>
      <w:r w:rsidR="00735BBC">
        <w:noBreakHyphen/>
      </w:r>
      <w:r w:rsidR="00735BBC">
        <w:rPr>
          <w:noProof/>
        </w:rPr>
        <w:t>8</w:t>
      </w:r>
      <w:r>
        <w:rPr>
          <w:rFonts w:eastAsiaTheme="minorEastAsia"/>
          <w:lang w:val="en-US"/>
        </w:rPr>
        <w:fldChar w:fldCharType="end"/>
      </w:r>
      <w:r>
        <w:rPr>
          <w:rFonts w:eastAsiaTheme="minorEastAsia"/>
          <w:lang w:val="en-US"/>
        </w:rPr>
        <w:t xml:space="preserve"> show the total annual and annualized benefits of avoided cases of chronic bronchitis under the proposed rule and the alternative option, respectively. The low end represents the lower number of exposed workers together with the avoided cases derived from Harber et al. while the high end represents the higher number of exposed workers and avoided cases derived from Gardiner et al. </w:t>
      </w:r>
    </w:p>
    <w:p w:rsidR="00FF6DD9" w:rsidRPr="00AF3B97" w:rsidP="00FF6DD9" w14:paraId="6E42FE7A" w14:textId="294CF02C">
      <w:pPr>
        <w:pStyle w:val="BodyText"/>
      </w:pPr>
      <w:r w:rsidRPr="67084C41">
        <w:rPr>
          <w:lang w:val="en-US"/>
        </w:rPr>
        <w:t>Since the benefits in each year of reduced exposure risks are estimated to be the same, annualized benefits are not sensitive to the analysis timeframe</w:t>
      </w:r>
      <w:r>
        <w:rPr>
          <w:lang w:val="en-US"/>
        </w:rPr>
        <w:t xml:space="preserve">, which is </w:t>
      </w:r>
      <w:r w:rsidR="004514D6">
        <w:rPr>
          <w:lang w:val="en-US"/>
        </w:rPr>
        <w:t>15 years</w:t>
      </w:r>
      <w:r w:rsidRPr="67084C41">
        <w:rPr>
          <w:lang w:val="en-US"/>
        </w:rPr>
        <w:t>.</w:t>
      </w:r>
      <w:r>
        <w:rPr>
          <w:lang w:val="en-US"/>
        </w:rPr>
        <w:t xml:space="preserve"> </w:t>
      </w:r>
      <w:r w:rsidRPr="00AF3B97">
        <w:t xml:space="preserve">The present discounted value for the annualized value of the </w:t>
      </w:r>
      <w:r>
        <w:t>15-</w:t>
      </w:r>
      <w:r w:rsidRPr="00AF3B97">
        <w:t xml:space="preserve">year stream of </w:t>
      </w:r>
      <w:r w:rsidR="00246524">
        <w:t>benefits</w:t>
      </w:r>
      <w:r w:rsidRPr="00AF3B97">
        <w:t xml:space="preserve"> is estimated using </w:t>
      </w:r>
      <w:r>
        <w:t xml:space="preserve">a two percent </w:t>
      </w:r>
      <w:r w:rsidRPr="00AF3B97">
        <w:t xml:space="preserve">discount rate. </w:t>
      </w:r>
      <w:r w:rsidR="00246524">
        <w:t>Benefits</w:t>
      </w:r>
      <w:r w:rsidRPr="00AF3B97">
        <w:t xml:space="preserve"> are discounted back to the beginning of the </w:t>
      </w:r>
      <w:r>
        <w:t>15</w:t>
      </w:r>
      <w:r w:rsidRPr="00AF3B97">
        <w:t>-year period, as follows:</w:t>
      </w:r>
    </w:p>
    <w:tbl>
      <w:tblPr>
        <w:tblW w:w="5000" w:type="pct"/>
        <w:tblCellMar>
          <w:left w:w="115" w:type="dxa"/>
          <w:right w:w="115" w:type="dxa"/>
        </w:tblCellMar>
        <w:tblLook w:val="04A0"/>
      </w:tblPr>
      <w:tblGrid>
        <w:gridCol w:w="7110"/>
        <w:gridCol w:w="2250"/>
      </w:tblGrid>
      <w:tr w14:paraId="7F4E7789" w14:textId="77777777" w:rsidTr="0064758C">
        <w:tblPrEx>
          <w:tblW w:w="5000" w:type="pct"/>
          <w:tblCellMar>
            <w:left w:w="115" w:type="dxa"/>
            <w:right w:w="115" w:type="dxa"/>
          </w:tblCellMar>
          <w:tblLook w:val="04A0"/>
        </w:tblPrEx>
        <w:trPr>
          <w:trHeight w:val="792"/>
        </w:trPr>
        <w:tc>
          <w:tcPr>
            <w:tcW w:w="3798" w:type="pct"/>
            <w:vAlign w:val="center"/>
          </w:tcPr>
          <w:p w:rsidR="00FF6DD9" w:rsidRPr="00AF3B97" w:rsidP="009860E2" w14:paraId="1B297CFE" w14:textId="22938F9D">
            <m:oMathPara>
              <m:oMathParaPr>
                <m:jc m:val="left"/>
              </m:oMathParaPr>
              <m:oMath>
                <m:r>
                  <w:rPr>
                    <w:rFonts w:ascii="Cambria Math" w:hAnsi="Cambria Math"/>
                  </w:rPr>
                  <m:t xml:space="preserve"> Present Discounted Value=</m:t>
                </m:r>
                <m:nary>
                  <m:naryPr>
                    <m:chr m:val="∑"/>
                    <m:limLoc m:val="undOvr"/>
                    <m:ctrlPr>
                      <w:rPr>
                        <w:rFonts w:ascii="Cambria Math" w:hAnsi="Cambria Math"/>
                      </w:rPr>
                    </m:ctrlPr>
                  </m:naryPr>
                  <m:sub>
                    <m:r>
                      <w:rPr>
                        <w:rFonts w:ascii="Cambria Math" w:hAnsi="Cambria Math"/>
                      </w:rPr>
                      <m:t>t=0</m:t>
                    </m:r>
                  </m:sub>
                  <m:sup>
                    <m:r>
                      <w:rPr>
                        <w:rFonts w:ascii="Cambria Math" w:hAnsi="Cambria Math"/>
                      </w:rPr>
                      <m:t>15</m:t>
                    </m:r>
                  </m:sup>
                  <m:e>
                    <m:f>
                      <m:fPr>
                        <m:ctrlPr>
                          <w:rPr>
                            <w:rFonts w:ascii="Cambria Math" w:hAnsi="Cambria Math"/>
                          </w:rPr>
                        </m:ctrlPr>
                      </m:fPr>
                      <m:num>
                        <m:sSub>
                          <m:sSubPr>
                            <m:ctrlPr>
                              <w:rPr>
                                <w:rFonts w:ascii="Cambria Math" w:hAnsi="Cambria Math"/>
                              </w:rPr>
                            </m:ctrlPr>
                          </m:sSubPr>
                          <m:e>
                            <m:r>
                              <w:rPr>
                                <w:rFonts w:ascii="Cambria Math" w:hAnsi="Cambria Math"/>
                              </w:rPr>
                              <m:t>(Undiscounted Value)</m:t>
                            </m:r>
                          </m:e>
                          <m:sub>
                            <m:r>
                              <w:rPr>
                                <w:rFonts w:ascii="Cambria Math" w:hAnsi="Cambria Math"/>
                              </w:rPr>
                              <m:t>t</m:t>
                            </m:r>
                          </m:sub>
                        </m:sSub>
                      </m:num>
                      <m:den>
                        <m:sSup>
                          <m:sSupPr>
                            <m:ctrlPr>
                              <w:rPr>
                                <w:rFonts w:ascii="Cambria Math" w:hAnsi="Cambria Math"/>
                              </w:rPr>
                            </m:ctrlPr>
                          </m:sSupPr>
                          <m:e>
                            <m:r>
                              <w:rPr>
                                <w:rFonts w:ascii="Cambria Math" w:hAnsi="Cambria Math"/>
                              </w:rPr>
                              <m:t>(1+2%)</m:t>
                            </m:r>
                          </m:e>
                          <m:sup>
                            <m:r>
                              <w:rPr>
                                <w:rFonts w:ascii="Cambria Math" w:hAnsi="Cambria Math"/>
                              </w:rPr>
                              <m:t>t</m:t>
                            </m:r>
                          </m:sup>
                        </m:sSup>
                      </m:den>
                    </m:f>
                  </m:e>
                </m:nary>
              </m:oMath>
            </m:oMathPara>
          </w:p>
        </w:tc>
        <w:tc>
          <w:tcPr>
            <w:tcW w:w="1202" w:type="pct"/>
            <w:vAlign w:val="center"/>
          </w:tcPr>
          <w:p w:rsidR="00FF6DD9" w:rsidRPr="00AF3B97" w:rsidP="009860E2" w14:paraId="21ACDAB1" w14:textId="199ABF91">
            <w:pPr>
              <w:jc w:val="center"/>
              <w:rPr>
                <w:rFonts w:ascii="Cambria Math" w:hAnsi="Cambria Math"/>
              </w:rPr>
            </w:pPr>
            <w:r>
              <w:t xml:space="preserve">Equation </w:t>
            </w:r>
            <w:r>
              <w:fldChar w:fldCharType="begin" w:fldLock="1"/>
            </w:r>
            <w:r>
              <w:instrText>STYLEREF 1 \s</w:instrText>
            </w:r>
            <w:r>
              <w:fldChar w:fldCharType="separate"/>
            </w:r>
            <w:r w:rsidR="00735BBC">
              <w:rPr>
                <w:noProof/>
              </w:rPr>
              <w:t>5</w:t>
            </w:r>
            <w:r>
              <w:fldChar w:fldCharType="end"/>
            </w:r>
            <w:r>
              <w:noBreakHyphen/>
            </w:r>
            <w:r>
              <w:fldChar w:fldCharType="begin" w:fldLock="1"/>
            </w:r>
            <w:r>
              <w:instrText>SEQ Equation \* ARABIC \s 1</w:instrText>
            </w:r>
            <w:r>
              <w:fldChar w:fldCharType="separate"/>
            </w:r>
            <w:r w:rsidR="00735BBC">
              <w:rPr>
                <w:noProof/>
              </w:rPr>
              <w:t>7</w:t>
            </w:r>
            <w:r>
              <w:fldChar w:fldCharType="end"/>
            </w:r>
          </w:p>
        </w:tc>
      </w:tr>
    </w:tbl>
    <w:p w:rsidR="00FF6DD9" w:rsidRPr="00AF3B97" w:rsidP="00FF6DD9" w14:paraId="004CCEAA" w14:textId="77777777">
      <w:pPr>
        <w:pStyle w:val="BodyText"/>
      </w:pPr>
    </w:p>
    <w:p w:rsidR="00FF6DD9" w:rsidRPr="00AF3B97" w:rsidP="00FF6DD9" w14:paraId="1DA10808" w14:textId="196DBFCB">
      <w:pPr>
        <w:pStyle w:val="BodyText"/>
      </w:pPr>
      <w:r w:rsidRPr="00AF3B97">
        <w:t xml:space="preserve">The present discounted value </w:t>
      </w:r>
      <w:r>
        <w:t xml:space="preserve">(PDV) </w:t>
      </w:r>
      <w:r w:rsidR="00246524">
        <w:t>benefits</w:t>
      </w:r>
      <w:r w:rsidRPr="00AF3B97">
        <w:t xml:space="preserve"> are annualized as follows:</w:t>
      </w:r>
    </w:p>
    <w:tbl>
      <w:tblPr>
        <w:tblW w:w="5000" w:type="pct"/>
        <w:tblCellMar>
          <w:left w:w="115" w:type="dxa"/>
          <w:right w:w="115" w:type="dxa"/>
        </w:tblCellMar>
        <w:tblLook w:val="04A0"/>
      </w:tblPr>
      <w:tblGrid>
        <w:gridCol w:w="7110"/>
        <w:gridCol w:w="2250"/>
      </w:tblGrid>
      <w:tr w14:paraId="04891FEC" w14:textId="77777777" w:rsidTr="0064758C">
        <w:tblPrEx>
          <w:tblW w:w="5000" w:type="pct"/>
          <w:tblCellMar>
            <w:left w:w="115" w:type="dxa"/>
            <w:right w:w="115" w:type="dxa"/>
          </w:tblCellMar>
          <w:tblLook w:val="04A0"/>
        </w:tblPrEx>
        <w:trPr>
          <w:trHeight w:val="792"/>
        </w:trPr>
        <w:tc>
          <w:tcPr>
            <w:tcW w:w="3798" w:type="pct"/>
            <w:vAlign w:val="center"/>
          </w:tcPr>
          <w:p w:rsidR="00FF6DD9" w:rsidRPr="00AF3B97" w:rsidP="009860E2" w14:paraId="45BDDE31" w14:textId="7BAF155D">
            <m:oMathPara>
              <m:oMathParaPr>
                <m:jc m:val="left"/>
              </m:oMathParaPr>
              <m:oMath>
                <m:r>
                  <w:rPr>
                    <w:rFonts w:ascii="Cambria Math" w:hAnsi="Cambria Math"/>
                  </w:rPr>
                  <m:t>(Annualized Benefits)=</m:t>
                </m:r>
                <m:sSub>
                  <m:sSubPr>
                    <m:ctrlPr>
                      <w:rPr>
                        <w:rFonts w:ascii="Cambria Math" w:hAnsi="Cambria Math"/>
                      </w:rPr>
                    </m:ctrlPr>
                  </m:sSubPr>
                  <m:e>
                    <m:r>
                      <w:rPr>
                        <w:rFonts w:ascii="Cambria Math" w:hAnsi="Cambria Math"/>
                      </w:rPr>
                      <m:t>(PDV</m:t>
                    </m:r>
                  </m:e>
                  <m:sub>
                    <m:r>
                      <w:rPr>
                        <w:rFonts w:ascii="Cambria Math" w:hAnsi="Cambria Math"/>
                      </w:rPr>
                      <m:t>15 year benefit stream</m:t>
                    </m:r>
                  </m:sub>
                </m:sSub>
                <m:r>
                  <w:rPr>
                    <w:rFonts w:ascii="Cambria Math" w:hAnsi="Cambria Math"/>
                  </w:rPr>
                  <m:t>)*</m:t>
                </m:r>
                <m:f>
                  <m:fPr>
                    <m:ctrlPr>
                      <w:rPr>
                        <w:rFonts w:ascii="Cambria Math" w:hAnsi="Cambria Math"/>
                      </w:rPr>
                    </m:ctrlPr>
                  </m:fPr>
                  <m:num>
                    <m:r>
                      <w:rPr>
                        <w:rFonts w:ascii="Cambria Math" w:hAnsi="Cambria Math"/>
                      </w:rPr>
                      <m:t>2%*(1+2%</m:t>
                    </m:r>
                    <m:sSup>
                      <m:sSupPr>
                        <m:ctrlPr>
                          <w:rPr>
                            <w:rFonts w:ascii="Cambria Math" w:hAnsi="Cambria Math"/>
                          </w:rPr>
                        </m:ctrlPr>
                      </m:sSupPr>
                      <m:e>
                        <m:r>
                          <w:rPr>
                            <w:rFonts w:ascii="Cambria Math" w:hAnsi="Cambria Math"/>
                          </w:rPr>
                          <m:t>)</m:t>
                        </m:r>
                      </m:e>
                      <m:sup>
                        <m:r>
                          <w:rPr>
                            <w:rFonts w:ascii="Cambria Math" w:hAnsi="Cambria Math"/>
                          </w:rPr>
                          <m:t>15</m:t>
                        </m:r>
                      </m:sup>
                    </m:sSup>
                  </m:num>
                  <m:den>
                    <m:r>
                      <w:rPr>
                        <w:rFonts w:ascii="Cambria Math" w:hAnsi="Cambria Math"/>
                      </w:rPr>
                      <m:t>(</m:t>
                    </m:r>
                    <m:sSup>
                      <m:sSupPr>
                        <m:ctrlPr>
                          <w:rPr>
                            <w:rFonts w:ascii="Cambria Math" w:hAnsi="Cambria Math"/>
                          </w:rPr>
                        </m:ctrlPr>
                      </m:sSupPr>
                      <m:e>
                        <m:r>
                          <w:rPr>
                            <w:rFonts w:ascii="Cambria Math" w:hAnsi="Cambria Math"/>
                          </w:rPr>
                          <m:t>1+2%)</m:t>
                        </m:r>
                      </m:e>
                      <m:sup>
                        <m:r>
                          <w:rPr>
                            <w:rFonts w:ascii="Cambria Math" w:hAnsi="Cambria Math"/>
                          </w:rPr>
                          <m:t>16</m:t>
                        </m:r>
                      </m:sup>
                    </m:sSup>
                    <m:r>
                      <w:rPr>
                        <w:rFonts w:ascii="Cambria Math" w:hAnsi="Cambria Math"/>
                      </w:rPr>
                      <m:t>-1</m:t>
                    </m:r>
                  </m:den>
                </m:f>
              </m:oMath>
            </m:oMathPara>
          </w:p>
        </w:tc>
        <w:tc>
          <w:tcPr>
            <w:tcW w:w="1202" w:type="pct"/>
            <w:vAlign w:val="center"/>
          </w:tcPr>
          <w:p w:rsidR="00FF6DD9" w:rsidRPr="00AF3B97" w:rsidP="009860E2" w14:paraId="2001EA60" w14:textId="1CAECC43">
            <w:pPr>
              <w:jc w:val="center"/>
            </w:pPr>
            <w:r>
              <w:t xml:space="preserve">Equation </w:t>
            </w:r>
            <w:r>
              <w:fldChar w:fldCharType="begin" w:fldLock="1"/>
            </w:r>
            <w:r>
              <w:instrText>STYLEREF 1 \s</w:instrText>
            </w:r>
            <w:r>
              <w:fldChar w:fldCharType="separate"/>
            </w:r>
            <w:r w:rsidR="00735BBC">
              <w:rPr>
                <w:noProof/>
              </w:rPr>
              <w:t>5</w:t>
            </w:r>
            <w:r>
              <w:fldChar w:fldCharType="end"/>
            </w:r>
            <w:r>
              <w:noBreakHyphen/>
            </w:r>
            <w:r>
              <w:fldChar w:fldCharType="begin" w:fldLock="1"/>
            </w:r>
            <w:r>
              <w:instrText>SEQ Equation \* ARABIC \s 1</w:instrText>
            </w:r>
            <w:r>
              <w:fldChar w:fldCharType="separate"/>
            </w:r>
            <w:r w:rsidR="00735BBC">
              <w:rPr>
                <w:noProof/>
              </w:rPr>
              <w:t>8</w:t>
            </w:r>
            <w:r>
              <w:fldChar w:fldCharType="end"/>
            </w:r>
          </w:p>
        </w:tc>
      </w:tr>
    </w:tbl>
    <w:p w:rsidR="00FF6DD9" w:rsidP="000F3FFC" w14:paraId="42859FD3" w14:textId="77777777">
      <w:pPr>
        <w:pStyle w:val="BodyText"/>
        <w:rPr>
          <w:rFonts w:eastAsiaTheme="minorEastAsia"/>
          <w:lang w:val="en-US"/>
        </w:rPr>
      </w:pPr>
    </w:p>
    <w:p w:rsidR="00262D13" w:rsidRPr="00C90A45" w:rsidP="000F3FFC" w14:paraId="0A734361" w14:textId="43AD2D83">
      <w:pPr>
        <w:pStyle w:val="BodyText"/>
        <w:rPr>
          <w:rFonts w:eastAsiaTheme="minorEastAsia"/>
          <w:lang w:val="en-US"/>
        </w:rPr>
      </w:pPr>
      <w:r>
        <w:rPr>
          <w:rFonts w:eastAsiaTheme="minorEastAsia"/>
          <w:lang w:val="en-US"/>
        </w:rPr>
        <w:t xml:space="preserve">Given these equations, an </w:t>
      </w:r>
      <w:r w:rsidR="007F388E">
        <w:rPr>
          <w:rFonts w:eastAsiaTheme="minorEastAsia"/>
          <w:lang w:val="en-US"/>
        </w:rPr>
        <w:t xml:space="preserve">annualized value can be calculated from the recurring </w:t>
      </w:r>
      <w:r>
        <w:rPr>
          <w:rFonts w:eastAsiaTheme="minorEastAsia"/>
          <w:lang w:val="en-US"/>
        </w:rPr>
        <w:t xml:space="preserve">annual </w:t>
      </w:r>
      <w:r w:rsidR="007F388E">
        <w:rPr>
          <w:rFonts w:eastAsiaTheme="minorEastAsia"/>
          <w:lang w:val="en-US"/>
        </w:rPr>
        <w:t xml:space="preserve">benefit estimate </w:t>
      </w:r>
      <w:r w:rsidR="0043164A">
        <w:rPr>
          <w:rFonts w:eastAsiaTheme="minorEastAsia"/>
          <w:lang w:val="en-US"/>
        </w:rPr>
        <w:t xml:space="preserve">by multiplying it by </w:t>
      </w:r>
      <w:r w:rsidR="00743E7F">
        <w:rPr>
          <w:rFonts w:eastAsiaTheme="minorEastAsia"/>
          <w:lang w:val="en-US"/>
        </w:rPr>
        <w:t>92.7</w:t>
      </w:r>
      <w:r w:rsidR="001B187C">
        <w:rPr>
          <w:rFonts w:eastAsiaTheme="minorEastAsia"/>
          <w:lang w:val="en-US"/>
        </w:rPr>
        <w:t>79</w:t>
      </w:r>
      <w:r w:rsidR="0043164A">
        <w:rPr>
          <w:rFonts w:eastAsiaTheme="minorEastAsia"/>
          <w:lang w:val="en-US"/>
        </w:rPr>
        <w:t xml:space="preserve"> percent.</w:t>
      </w:r>
    </w:p>
    <w:tbl>
      <w:tblPr>
        <w:tblW w:w="9360" w:type="dxa"/>
        <w:tblLayout w:type="fixed"/>
        <w:tblLook w:val="04A0"/>
      </w:tblPr>
      <w:tblGrid>
        <w:gridCol w:w="2070"/>
        <w:gridCol w:w="1170"/>
        <w:gridCol w:w="1020"/>
        <w:gridCol w:w="1020"/>
        <w:gridCol w:w="1020"/>
        <w:gridCol w:w="1020"/>
        <w:gridCol w:w="1020"/>
        <w:gridCol w:w="1020"/>
      </w:tblGrid>
      <w:tr w14:paraId="6C1F30D1" w14:textId="77777777" w:rsidTr="005655BA">
        <w:tblPrEx>
          <w:tblW w:w="9360" w:type="dxa"/>
          <w:tblLayout w:type="fixed"/>
          <w:tblLook w:val="04A0"/>
        </w:tblPrEx>
        <w:trPr>
          <w:trHeight w:val="20"/>
          <w:tblHeader/>
        </w:trPr>
        <w:tc>
          <w:tcPr>
            <w:tcW w:w="9360" w:type="dxa"/>
            <w:gridSpan w:val="8"/>
            <w:tcBorders>
              <w:top w:val="nil"/>
              <w:bottom w:val="single" w:sz="4" w:space="0" w:color="auto"/>
            </w:tcBorders>
            <w:shd w:val="clear" w:color="auto" w:fill="auto"/>
            <w:vAlign w:val="center"/>
          </w:tcPr>
          <w:p w:rsidR="000F3FFC" w:rsidP="009860E2" w14:paraId="7D421B53" w14:textId="5BA18DB5">
            <w:pPr>
              <w:pStyle w:val="TableTitleA"/>
            </w:pPr>
            <w:bookmarkStart w:id="294" w:name="_Ref181228533"/>
            <w:bookmarkStart w:id="295" w:name="_Toc184299592"/>
            <w:r>
              <w:t xml:space="preserve">Table </w:t>
            </w:r>
            <w:r>
              <w:fldChar w:fldCharType="begin" w:fldLock="1"/>
            </w:r>
            <w:r>
              <w:instrText>STYLEREF 1 \s</w:instrText>
            </w:r>
            <w:r>
              <w:fldChar w:fldCharType="separate"/>
            </w:r>
            <w:r w:rsidR="00735BBC">
              <w:rPr>
                <w:noProof/>
              </w:rPr>
              <w:t>5</w:t>
            </w:r>
            <w:r>
              <w:fldChar w:fldCharType="end"/>
            </w:r>
            <w:r>
              <w:noBreakHyphen/>
            </w:r>
            <w:r>
              <w:fldChar w:fldCharType="begin" w:fldLock="1"/>
            </w:r>
            <w:r>
              <w:instrText>SEQ Table \* ARABIC \s 1</w:instrText>
            </w:r>
            <w:r>
              <w:fldChar w:fldCharType="separate"/>
            </w:r>
            <w:r w:rsidR="00735BBC">
              <w:rPr>
                <w:noProof/>
              </w:rPr>
              <w:t>7</w:t>
            </w:r>
            <w:r>
              <w:fldChar w:fldCharType="end"/>
            </w:r>
            <w:bookmarkEnd w:id="294"/>
            <w:r>
              <w:t xml:space="preserve">: Option </w:t>
            </w:r>
            <w:r w:rsidR="00B3758C">
              <w:t>1 (Pro</w:t>
            </w:r>
            <w:r w:rsidR="005B2D00">
              <w:t xml:space="preserve">posed) </w:t>
            </w:r>
            <w:r>
              <w:t>Total Annualized Benefits (2% discount; 2023$)</w:t>
            </w:r>
            <w:bookmarkEnd w:id="295"/>
          </w:p>
        </w:tc>
      </w:tr>
      <w:tr w14:paraId="4018E3F9" w14:textId="77777777" w:rsidTr="005655BA">
        <w:tblPrEx>
          <w:tblW w:w="9360" w:type="dxa"/>
          <w:tblLayout w:type="fixed"/>
          <w:tblLook w:val="04A0"/>
        </w:tblPrEx>
        <w:trPr>
          <w:trHeight w:val="20"/>
          <w:tblHeader/>
        </w:trPr>
        <w:tc>
          <w:tcPr>
            <w:tcW w:w="2070" w:type="dxa"/>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0D4BDE" w:rsidP="009860E2" w14:paraId="3B5E0AD8" w14:textId="77777777">
            <w:pPr>
              <w:pStyle w:val="TableSubtitle"/>
            </w:pPr>
            <w:r>
              <w:t>Use Category</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013E5B"/>
            <w:vAlign w:val="center"/>
          </w:tcPr>
          <w:p w:rsidR="000D4BDE" w:rsidP="009860E2" w14:paraId="03A0B0E6" w14:textId="2F652A58">
            <w:pPr>
              <w:pStyle w:val="TableSubtitle"/>
            </w:pPr>
            <w:r>
              <w:t>Exposure Type</w:t>
            </w:r>
          </w:p>
        </w:tc>
        <w:tc>
          <w:tcPr>
            <w:tcW w:w="2040" w:type="dxa"/>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0D4BDE" w:rsidRPr="00BD3D2B" w:rsidP="009860E2" w14:paraId="46AF1B7B" w14:textId="77777777">
            <w:pPr>
              <w:pStyle w:val="TableSubtitle"/>
              <w:rPr>
                <w:vertAlign w:val="superscript"/>
              </w:rPr>
            </w:pPr>
            <w:r>
              <w:t>Avoided cases</w:t>
            </w:r>
            <w:r>
              <w:rPr>
                <w:vertAlign w:val="superscript"/>
              </w:rPr>
              <w:t xml:space="preserve"> a</w:t>
            </w:r>
          </w:p>
        </w:tc>
        <w:tc>
          <w:tcPr>
            <w:tcW w:w="2040" w:type="dxa"/>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0D4BDE" w:rsidP="009860E2" w14:paraId="46BE12CD" w14:textId="4DC0B37E">
            <w:pPr>
              <w:pStyle w:val="TableSubtitle"/>
            </w:pPr>
            <w:r>
              <w:t>Annual benefits</w:t>
            </w:r>
            <w:r w:rsidR="0068582E">
              <w:rPr>
                <w:vertAlign w:val="superscript"/>
              </w:rPr>
              <w:t xml:space="preserve"> </w:t>
            </w:r>
            <w:r w:rsidR="00CC2043">
              <w:rPr>
                <w:vertAlign w:val="superscript"/>
              </w:rPr>
              <w:t>b</w:t>
            </w:r>
          </w:p>
        </w:tc>
        <w:tc>
          <w:tcPr>
            <w:tcW w:w="2040" w:type="dxa"/>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0D4BDE" w:rsidP="009860E2" w14:paraId="04E42981" w14:textId="77777777">
            <w:pPr>
              <w:pStyle w:val="TableSubtitle"/>
            </w:pPr>
            <w:r>
              <w:t>Total annualized benefits</w:t>
            </w:r>
          </w:p>
        </w:tc>
      </w:tr>
      <w:tr w14:paraId="737D12C7" w14:textId="77777777" w:rsidTr="005655BA">
        <w:tblPrEx>
          <w:tblW w:w="9360" w:type="dxa"/>
          <w:tblLayout w:type="fixed"/>
          <w:tblLook w:val="04A0"/>
        </w:tblPrEx>
        <w:trPr>
          <w:trHeight w:val="20"/>
          <w:tblHeader/>
        </w:trPr>
        <w:tc>
          <w:tcPr>
            <w:tcW w:w="2070" w:type="dxa"/>
            <w:vMerge/>
            <w:tcBorders>
              <w:top w:val="single" w:sz="4" w:space="0" w:color="auto"/>
              <w:left w:val="single" w:sz="4" w:space="0" w:color="auto"/>
              <w:bottom w:val="single" w:sz="4" w:space="0" w:color="auto"/>
              <w:right w:val="single" w:sz="4" w:space="0" w:color="auto"/>
            </w:tcBorders>
            <w:vAlign w:val="center"/>
            <w:hideMark/>
          </w:tcPr>
          <w:p w:rsidR="000D4BDE" w:rsidP="009860E2" w14:paraId="7F58B4C1" w14:textId="77777777">
            <w:pPr>
              <w:pStyle w:val="TableSubtitle"/>
            </w:pPr>
          </w:p>
        </w:tc>
        <w:tc>
          <w:tcPr>
            <w:tcW w:w="1170" w:type="dxa"/>
            <w:vMerge/>
            <w:tcBorders>
              <w:top w:val="single" w:sz="4" w:space="0" w:color="auto"/>
              <w:left w:val="single" w:sz="4" w:space="0" w:color="auto"/>
              <w:bottom w:val="single" w:sz="4" w:space="0" w:color="auto"/>
              <w:right w:val="single" w:sz="4" w:space="0" w:color="auto"/>
            </w:tcBorders>
            <w:vAlign w:val="center"/>
          </w:tcPr>
          <w:p w:rsidR="000D4BDE" w:rsidP="009860E2" w14:paraId="15EEA472" w14:textId="62B61BE3">
            <w:pPr>
              <w:pStyle w:val="TableSubtitle"/>
            </w:pPr>
          </w:p>
        </w:tc>
        <w:tc>
          <w:tcPr>
            <w:tcW w:w="1020" w:type="dxa"/>
            <w:tcBorders>
              <w:top w:val="single" w:sz="4" w:space="0" w:color="auto"/>
              <w:left w:val="single" w:sz="4" w:space="0" w:color="auto"/>
              <w:bottom w:val="single" w:sz="4" w:space="0" w:color="auto"/>
              <w:right w:val="single" w:sz="4" w:space="0" w:color="auto"/>
            </w:tcBorders>
            <w:shd w:val="clear" w:color="auto" w:fill="013E5B"/>
            <w:vAlign w:val="center"/>
            <w:hideMark/>
          </w:tcPr>
          <w:p w:rsidR="000D4BDE" w:rsidP="009860E2" w14:paraId="7F276CD9" w14:textId="77777777">
            <w:pPr>
              <w:pStyle w:val="TableSubtitle"/>
            </w:pPr>
            <w:r>
              <w:t>Low</w:t>
            </w:r>
          </w:p>
        </w:tc>
        <w:tc>
          <w:tcPr>
            <w:tcW w:w="1020" w:type="dxa"/>
            <w:tcBorders>
              <w:top w:val="single" w:sz="4" w:space="0" w:color="auto"/>
              <w:left w:val="single" w:sz="4" w:space="0" w:color="auto"/>
              <w:bottom w:val="single" w:sz="4" w:space="0" w:color="auto"/>
              <w:right w:val="single" w:sz="4" w:space="0" w:color="auto"/>
            </w:tcBorders>
            <w:shd w:val="clear" w:color="auto" w:fill="013E5B"/>
            <w:vAlign w:val="center"/>
            <w:hideMark/>
          </w:tcPr>
          <w:p w:rsidR="000D4BDE" w:rsidP="009860E2" w14:paraId="2687ACF5" w14:textId="77777777">
            <w:pPr>
              <w:pStyle w:val="TableSubtitle"/>
            </w:pPr>
            <w:r>
              <w:t>High</w:t>
            </w:r>
          </w:p>
        </w:tc>
        <w:tc>
          <w:tcPr>
            <w:tcW w:w="1020" w:type="dxa"/>
            <w:tcBorders>
              <w:top w:val="single" w:sz="4" w:space="0" w:color="auto"/>
              <w:left w:val="single" w:sz="4" w:space="0" w:color="auto"/>
              <w:bottom w:val="single" w:sz="4" w:space="0" w:color="auto"/>
              <w:right w:val="single" w:sz="4" w:space="0" w:color="auto"/>
            </w:tcBorders>
            <w:shd w:val="clear" w:color="auto" w:fill="013E5B"/>
            <w:vAlign w:val="center"/>
            <w:hideMark/>
          </w:tcPr>
          <w:p w:rsidR="000D4BDE" w:rsidP="009860E2" w14:paraId="3E02EAAD" w14:textId="77777777">
            <w:pPr>
              <w:pStyle w:val="TableSubtitle"/>
            </w:pPr>
            <w:r>
              <w:t>Low</w:t>
            </w:r>
          </w:p>
        </w:tc>
        <w:tc>
          <w:tcPr>
            <w:tcW w:w="1020" w:type="dxa"/>
            <w:tcBorders>
              <w:top w:val="single" w:sz="4" w:space="0" w:color="auto"/>
              <w:left w:val="single" w:sz="4" w:space="0" w:color="auto"/>
              <w:bottom w:val="single" w:sz="4" w:space="0" w:color="auto"/>
              <w:right w:val="single" w:sz="4" w:space="0" w:color="auto"/>
            </w:tcBorders>
            <w:shd w:val="clear" w:color="auto" w:fill="013E5B"/>
            <w:vAlign w:val="center"/>
            <w:hideMark/>
          </w:tcPr>
          <w:p w:rsidR="000D4BDE" w:rsidP="009860E2" w14:paraId="10F1C71E" w14:textId="77777777">
            <w:pPr>
              <w:pStyle w:val="TableSubtitle"/>
            </w:pPr>
            <w:r>
              <w:t>High</w:t>
            </w:r>
          </w:p>
        </w:tc>
        <w:tc>
          <w:tcPr>
            <w:tcW w:w="1020" w:type="dxa"/>
            <w:tcBorders>
              <w:top w:val="single" w:sz="4" w:space="0" w:color="auto"/>
              <w:left w:val="single" w:sz="4" w:space="0" w:color="auto"/>
              <w:bottom w:val="single" w:sz="4" w:space="0" w:color="auto"/>
              <w:right w:val="single" w:sz="4" w:space="0" w:color="auto"/>
            </w:tcBorders>
            <w:shd w:val="clear" w:color="auto" w:fill="013E5B"/>
            <w:vAlign w:val="center"/>
            <w:hideMark/>
          </w:tcPr>
          <w:p w:rsidR="000D4BDE" w:rsidP="009860E2" w14:paraId="26707C54" w14:textId="77777777">
            <w:pPr>
              <w:pStyle w:val="TableSubtitle"/>
            </w:pPr>
            <w:r>
              <w:t>Low</w:t>
            </w:r>
          </w:p>
        </w:tc>
        <w:tc>
          <w:tcPr>
            <w:tcW w:w="1020" w:type="dxa"/>
            <w:tcBorders>
              <w:top w:val="single" w:sz="4" w:space="0" w:color="auto"/>
              <w:left w:val="single" w:sz="4" w:space="0" w:color="auto"/>
              <w:bottom w:val="single" w:sz="4" w:space="0" w:color="auto"/>
              <w:right w:val="single" w:sz="4" w:space="0" w:color="auto"/>
            </w:tcBorders>
            <w:shd w:val="clear" w:color="auto" w:fill="013E5B"/>
            <w:vAlign w:val="center"/>
            <w:hideMark/>
          </w:tcPr>
          <w:p w:rsidR="000D4BDE" w:rsidP="009860E2" w14:paraId="445E5F5C" w14:textId="77777777">
            <w:pPr>
              <w:pStyle w:val="TableSubtitle"/>
            </w:pPr>
            <w:r>
              <w:t>High</w:t>
            </w:r>
          </w:p>
        </w:tc>
      </w:tr>
      <w:tr w14:paraId="4A237996" w14:textId="77777777" w:rsidTr="005655BA">
        <w:tblPrEx>
          <w:tblW w:w="9360" w:type="dxa"/>
          <w:tblLayout w:type="fixed"/>
          <w:tblLook w:val="04A0"/>
        </w:tblPrEx>
        <w:trPr>
          <w:trHeight w:val="64"/>
        </w:trPr>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9ED" w:rsidRPr="00A17501" w:rsidP="002A09ED" w14:paraId="5F7CC2F4" w14:textId="77777777">
            <w:pPr>
              <w:pStyle w:val="LTableTextAbt"/>
            </w:pPr>
            <w:r w:rsidRPr="00A17501">
              <w:t>PV29 manufacturing</w:t>
            </w:r>
            <w:r>
              <w:t xml:space="preserve"> and intermediate processing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A09ED" w:rsidRPr="00A17501" w:rsidP="002A09ED" w14:paraId="20464BA4" w14:textId="39E5B368">
            <w:pPr>
              <w:pStyle w:val="LTableTextAbt"/>
            </w:pPr>
            <w:r>
              <w:t>Worker</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2A09ED" w:rsidP="002A09ED" w14:paraId="27FD431B" w14:textId="22DD905B">
            <w:pPr>
              <w:pStyle w:val="RTableTextAbt"/>
            </w:pPr>
            <w:r>
              <w:rPr>
                <w:szCs w:val="18"/>
              </w:rPr>
              <w:t>0.0005</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P="002A09ED" w14:paraId="3A043142" w14:textId="44E40C15">
            <w:pPr>
              <w:pStyle w:val="RTableTextAbt"/>
            </w:pPr>
            <w:r>
              <w:rPr>
                <w:szCs w:val="18"/>
              </w:rPr>
              <w:t>0.0137</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P="002A09ED" w14:paraId="4DE291A2" w14:textId="35DD5159">
            <w:pPr>
              <w:pStyle w:val="RTableTextAbt"/>
            </w:pPr>
            <w:r>
              <w:rPr>
                <w:szCs w:val="18"/>
              </w:rPr>
              <w:t xml:space="preserve">$390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P="002A09ED" w14:paraId="07F9D9D5" w14:textId="726893C3">
            <w:pPr>
              <w:pStyle w:val="RTableTextAbt"/>
            </w:pPr>
            <w:r>
              <w:rPr>
                <w:szCs w:val="18"/>
              </w:rPr>
              <w:t xml:space="preserve">$10,464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P="002A09ED" w14:paraId="17267C06" w14:textId="708C79A0">
            <w:pPr>
              <w:pStyle w:val="RTableTextAbt"/>
            </w:pPr>
            <w:r>
              <w:rPr>
                <w:szCs w:val="18"/>
              </w:rPr>
              <w:t xml:space="preserve">$362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P="002A09ED" w14:paraId="2363E3B6" w14:textId="4B534895">
            <w:pPr>
              <w:pStyle w:val="RTableTextAbt"/>
            </w:pPr>
            <w:r>
              <w:rPr>
                <w:szCs w:val="18"/>
              </w:rPr>
              <w:t xml:space="preserve">$9,708 </w:t>
            </w:r>
          </w:p>
        </w:tc>
      </w:tr>
      <w:tr w14:paraId="58FB368E" w14:textId="77777777" w:rsidTr="005655BA">
        <w:tblPrEx>
          <w:tblW w:w="9360" w:type="dxa"/>
          <w:tblLayout w:type="fixed"/>
          <w:tblLook w:val="04A0"/>
        </w:tblPrEx>
        <w:trPr>
          <w:trHeight w:val="64"/>
        </w:trPr>
        <w:tc>
          <w:tcPr>
            <w:tcW w:w="2070" w:type="dxa"/>
            <w:vMerge/>
            <w:tcBorders>
              <w:top w:val="single" w:sz="4" w:space="0" w:color="auto"/>
              <w:left w:val="single" w:sz="4" w:space="0" w:color="auto"/>
              <w:bottom w:val="single" w:sz="4" w:space="0" w:color="auto"/>
            </w:tcBorders>
            <w:vAlign w:val="center"/>
          </w:tcPr>
          <w:p w:rsidR="002A09ED" w:rsidRPr="00A17501" w:rsidP="002A09ED" w14:paraId="34A7475F" w14:textId="77777777">
            <w:pPr>
              <w:pStyle w:val="LTableTextAbt"/>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A09ED" w:rsidRPr="00A17501" w:rsidP="002A09ED" w14:paraId="1069D9C9" w14:textId="5583EBF2">
            <w:pPr>
              <w:pStyle w:val="LTableTextAbt"/>
            </w:pPr>
            <w:r>
              <w:t>ONU</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2A09ED" w:rsidRPr="00A44526" w:rsidP="002A09ED" w14:paraId="3F273EE8" w14:textId="066F9113">
            <w:pPr>
              <w:pStyle w:val="RTableTextAbt"/>
            </w:pPr>
            <w:r>
              <w:rPr>
                <w:szCs w:val="18"/>
              </w:rPr>
              <w:t>0.0139</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5FA528D7" w14:textId="5857799C">
            <w:pPr>
              <w:pStyle w:val="RTableTextAbt"/>
            </w:pPr>
            <w:r>
              <w:rPr>
                <w:szCs w:val="18"/>
              </w:rPr>
              <w:t>0.0338</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5E1CA2C9" w14:textId="102AAEC1">
            <w:pPr>
              <w:pStyle w:val="RTableTextAbt"/>
            </w:pPr>
            <w:r>
              <w:rPr>
                <w:szCs w:val="18"/>
              </w:rPr>
              <w:t xml:space="preserve">$10,620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0B9DDB54" w14:textId="2E9AFF18">
            <w:pPr>
              <w:pStyle w:val="RTableTextAbt"/>
            </w:pPr>
            <w:r>
              <w:rPr>
                <w:szCs w:val="18"/>
              </w:rPr>
              <w:t xml:space="preserve">$25,922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41F3E4FB" w14:textId="2813DF97">
            <w:pPr>
              <w:pStyle w:val="RTableTextAbt"/>
            </w:pPr>
            <w:r>
              <w:rPr>
                <w:szCs w:val="18"/>
              </w:rPr>
              <w:t xml:space="preserve">$9,853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09D55A70" w14:textId="3A61E104">
            <w:pPr>
              <w:pStyle w:val="RTableTextAbt"/>
            </w:pPr>
            <w:r>
              <w:rPr>
                <w:szCs w:val="18"/>
              </w:rPr>
              <w:t xml:space="preserve">$24,050 </w:t>
            </w:r>
          </w:p>
        </w:tc>
      </w:tr>
      <w:tr w14:paraId="57EAAE52" w14:textId="77777777" w:rsidTr="005655BA">
        <w:tblPrEx>
          <w:tblW w:w="9360" w:type="dxa"/>
          <w:tblLayout w:type="fixed"/>
          <w:tblLook w:val="04A0"/>
        </w:tblPrEx>
        <w:trPr>
          <w:trHeight w:val="64"/>
        </w:trPr>
        <w:tc>
          <w:tcPr>
            <w:tcW w:w="2070" w:type="dxa"/>
            <w:vMerge/>
            <w:tcBorders>
              <w:top w:val="single" w:sz="4" w:space="0" w:color="auto"/>
              <w:left w:val="single" w:sz="4" w:space="0" w:color="auto"/>
              <w:bottom w:val="single" w:sz="4" w:space="0" w:color="auto"/>
            </w:tcBorders>
            <w:vAlign w:val="center"/>
          </w:tcPr>
          <w:p w:rsidR="002A09ED" w:rsidRPr="00A17501" w:rsidP="002A09ED" w14:paraId="3868C472" w14:textId="77777777">
            <w:pPr>
              <w:pStyle w:val="LTableTextAbt"/>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A09ED" w:rsidRPr="00A17501" w:rsidP="002A09ED" w14:paraId="2645219B" w14:textId="63E14B61">
            <w:pPr>
              <w:pStyle w:val="LTableTextAbt"/>
            </w:pPr>
            <w:r>
              <w:t>Subtotal</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2A09ED" w:rsidRPr="00A44526" w:rsidP="002A09ED" w14:paraId="47DA6280" w14:textId="666E05A4">
            <w:pPr>
              <w:pStyle w:val="RTableTextAbt"/>
            </w:pPr>
            <w:r>
              <w:rPr>
                <w:b/>
                <w:bCs w:val="0"/>
                <w:szCs w:val="18"/>
              </w:rPr>
              <w:t>0.0144</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200194B4" w14:textId="6A437A85">
            <w:pPr>
              <w:pStyle w:val="RTableTextAbt"/>
            </w:pPr>
            <w:r>
              <w:rPr>
                <w:b/>
                <w:bCs w:val="0"/>
                <w:szCs w:val="18"/>
              </w:rPr>
              <w:t>0.0475</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77B28CD0" w14:textId="1C0E274E">
            <w:pPr>
              <w:pStyle w:val="RTableTextAbt"/>
            </w:pPr>
            <w:r>
              <w:rPr>
                <w:b/>
                <w:bCs w:val="0"/>
                <w:szCs w:val="18"/>
              </w:rPr>
              <w:t xml:space="preserve">$11,010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17D0F616" w14:textId="2856288F">
            <w:pPr>
              <w:pStyle w:val="RTableTextAbt"/>
            </w:pPr>
            <w:r>
              <w:rPr>
                <w:b/>
                <w:bCs w:val="0"/>
                <w:szCs w:val="18"/>
              </w:rPr>
              <w:t xml:space="preserve">$36,385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467D5A79" w14:textId="29AFE894">
            <w:pPr>
              <w:pStyle w:val="RTableTextAbt"/>
            </w:pPr>
            <w:r>
              <w:rPr>
                <w:b/>
                <w:bCs w:val="0"/>
                <w:szCs w:val="18"/>
              </w:rPr>
              <w:t xml:space="preserve">$10,215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1E37A611" w14:textId="57812AB1">
            <w:pPr>
              <w:pStyle w:val="RTableTextAbt"/>
            </w:pPr>
            <w:r>
              <w:rPr>
                <w:b/>
                <w:bCs w:val="0"/>
                <w:szCs w:val="18"/>
              </w:rPr>
              <w:t xml:space="preserve">$33,758 </w:t>
            </w:r>
          </w:p>
        </w:tc>
      </w:tr>
      <w:tr w14:paraId="7104DBF5" w14:textId="77777777" w:rsidTr="005655BA">
        <w:tblPrEx>
          <w:tblW w:w="9360" w:type="dxa"/>
          <w:tblLayout w:type="fixed"/>
          <w:tblLook w:val="04A0"/>
        </w:tblPrEx>
        <w:trPr>
          <w:trHeight w:val="64"/>
        </w:trPr>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09ED" w:rsidRPr="00A17501" w:rsidP="002A09ED" w14:paraId="3029F8AA" w14:textId="77777777">
            <w:pPr>
              <w:pStyle w:val="LTableTextAbt"/>
            </w:pPr>
            <w:r>
              <w:t>PV29 importing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A09ED" w:rsidRPr="00A17501" w:rsidP="002A09ED" w14:paraId="4DFC395F" w14:textId="7D737EFB">
            <w:pPr>
              <w:pStyle w:val="LTableTextAbt"/>
            </w:pPr>
            <w:r>
              <w:t>Worker</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2A09ED" w:rsidP="002A09ED" w14:paraId="32E6292C" w14:textId="38C0FD18">
            <w:pPr>
              <w:pStyle w:val="RTableTextAbt"/>
              <w:rPr>
                <w:szCs w:val="18"/>
              </w:rPr>
            </w:pPr>
            <w:r>
              <w:rPr>
                <w:szCs w:val="18"/>
              </w:rPr>
              <w:t>0.0136</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P="002A09ED" w14:paraId="42C65B65" w14:textId="2C632520">
            <w:pPr>
              <w:pStyle w:val="RTableTextAbt"/>
              <w:rPr>
                <w:szCs w:val="18"/>
              </w:rPr>
            </w:pPr>
            <w:r>
              <w:rPr>
                <w:szCs w:val="18"/>
              </w:rPr>
              <w:t>0.0307</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P="002A09ED" w14:paraId="4EAD066F" w14:textId="34573A1D">
            <w:pPr>
              <w:pStyle w:val="RTableTextAbt"/>
              <w:rPr>
                <w:szCs w:val="18"/>
              </w:rPr>
            </w:pPr>
            <w:r>
              <w:rPr>
                <w:szCs w:val="18"/>
              </w:rPr>
              <w:t xml:space="preserve">$10,403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P="002A09ED" w14:paraId="5EDCBADF" w14:textId="3FD6026A">
            <w:pPr>
              <w:pStyle w:val="RTableTextAbt"/>
              <w:rPr>
                <w:szCs w:val="18"/>
              </w:rPr>
            </w:pPr>
            <w:r>
              <w:rPr>
                <w:szCs w:val="18"/>
              </w:rPr>
              <w:t xml:space="preserve">$23,520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P="002A09ED" w14:paraId="54F9E217" w14:textId="51EBE8EC">
            <w:pPr>
              <w:pStyle w:val="RTableTextAbt"/>
              <w:rPr>
                <w:szCs w:val="18"/>
              </w:rPr>
            </w:pPr>
            <w:r>
              <w:rPr>
                <w:szCs w:val="18"/>
              </w:rPr>
              <w:t xml:space="preserve">$9,652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P="002A09ED" w14:paraId="2036CA8A" w14:textId="38467C98">
            <w:pPr>
              <w:pStyle w:val="RTableTextAbt"/>
              <w:rPr>
                <w:szCs w:val="18"/>
              </w:rPr>
            </w:pPr>
            <w:r>
              <w:rPr>
                <w:szCs w:val="18"/>
              </w:rPr>
              <w:t xml:space="preserve">$21,822 </w:t>
            </w:r>
          </w:p>
        </w:tc>
      </w:tr>
      <w:tr w14:paraId="3C990E81" w14:textId="77777777" w:rsidTr="005655BA">
        <w:tblPrEx>
          <w:tblW w:w="9360" w:type="dxa"/>
          <w:tblLayout w:type="fixed"/>
          <w:tblLook w:val="04A0"/>
        </w:tblPrEx>
        <w:trPr>
          <w:trHeight w:val="136"/>
        </w:trPr>
        <w:tc>
          <w:tcPr>
            <w:tcW w:w="2070" w:type="dxa"/>
            <w:vMerge/>
            <w:tcBorders>
              <w:top w:val="single" w:sz="4" w:space="0" w:color="auto"/>
              <w:left w:val="single" w:sz="4" w:space="0" w:color="auto"/>
              <w:bottom w:val="single" w:sz="4" w:space="0" w:color="auto"/>
            </w:tcBorders>
            <w:vAlign w:val="center"/>
          </w:tcPr>
          <w:p w:rsidR="002A09ED" w:rsidP="002A09ED" w14:paraId="1C709201" w14:textId="77777777">
            <w:pPr>
              <w:pStyle w:val="LTableTextAbt"/>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A09ED" w:rsidRPr="00A17501" w:rsidP="002A09ED" w14:paraId="259DE27E" w14:textId="52DB5AD8">
            <w:pPr>
              <w:pStyle w:val="LTableTextAbt"/>
            </w:pPr>
            <w:r>
              <w:t>ONU</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2A09ED" w:rsidRPr="00A44526" w:rsidP="002A09ED" w14:paraId="4328AB02" w14:textId="7A7150A8">
            <w:pPr>
              <w:pStyle w:val="RTableTextAbt"/>
            </w:pPr>
            <w:r>
              <w:rPr>
                <w:szCs w:val="18"/>
              </w:rPr>
              <w:t>0.0047</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0A3542A6" w14:textId="1DAA0F79">
            <w:pPr>
              <w:pStyle w:val="RTableTextAbt"/>
            </w:pPr>
            <w:r>
              <w:rPr>
                <w:szCs w:val="18"/>
              </w:rPr>
              <w:t>0.0107</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384A8264" w14:textId="15DA4A35">
            <w:pPr>
              <w:pStyle w:val="RTableTextAbt"/>
            </w:pPr>
            <w:r>
              <w:rPr>
                <w:szCs w:val="18"/>
              </w:rPr>
              <w:t xml:space="preserve">$3,615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1D7916FD" w14:textId="0CA6FBD6">
            <w:pPr>
              <w:pStyle w:val="RTableTextAbt"/>
            </w:pPr>
            <w:r>
              <w:rPr>
                <w:szCs w:val="18"/>
              </w:rPr>
              <w:t xml:space="preserve">$8,191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4973A786" w14:textId="1CB0069F">
            <w:pPr>
              <w:pStyle w:val="RTableTextAbt"/>
            </w:pPr>
            <w:r>
              <w:rPr>
                <w:szCs w:val="18"/>
              </w:rPr>
              <w:t xml:space="preserve">$3,354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2C9A7577" w14:textId="574FBF1C">
            <w:pPr>
              <w:pStyle w:val="RTableTextAbt"/>
            </w:pPr>
            <w:r>
              <w:rPr>
                <w:szCs w:val="18"/>
              </w:rPr>
              <w:t xml:space="preserve">$7,600 </w:t>
            </w:r>
          </w:p>
        </w:tc>
      </w:tr>
      <w:tr w14:paraId="1C8B00A7" w14:textId="77777777" w:rsidTr="005655BA">
        <w:tblPrEx>
          <w:tblW w:w="9360" w:type="dxa"/>
          <w:tblLayout w:type="fixed"/>
          <w:tblLook w:val="04A0"/>
        </w:tblPrEx>
        <w:trPr>
          <w:trHeight w:val="136"/>
        </w:trPr>
        <w:tc>
          <w:tcPr>
            <w:tcW w:w="2070" w:type="dxa"/>
            <w:vMerge/>
            <w:tcBorders>
              <w:top w:val="single" w:sz="4" w:space="0" w:color="auto"/>
              <w:left w:val="single" w:sz="4" w:space="0" w:color="auto"/>
              <w:bottom w:val="single" w:sz="4" w:space="0" w:color="auto"/>
            </w:tcBorders>
            <w:vAlign w:val="center"/>
          </w:tcPr>
          <w:p w:rsidR="002A09ED" w:rsidP="002A09ED" w14:paraId="56CE2E26" w14:textId="77777777">
            <w:pPr>
              <w:pStyle w:val="LTableTextAbt"/>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A09ED" w:rsidRPr="00A17501" w:rsidP="002A09ED" w14:paraId="3ECD45FD" w14:textId="4438ED74">
            <w:pPr>
              <w:pStyle w:val="LTableTextAbt"/>
            </w:pPr>
            <w:r>
              <w:t>Subtotal</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2A09ED" w:rsidRPr="00A44526" w:rsidP="002A09ED" w14:paraId="34159878" w14:textId="65DD60D0">
            <w:pPr>
              <w:pStyle w:val="RTableTextAbt"/>
            </w:pPr>
            <w:r>
              <w:rPr>
                <w:b/>
                <w:bCs w:val="0"/>
                <w:szCs w:val="18"/>
              </w:rPr>
              <w:t>0.0183</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3B86F18F" w14:textId="1073D078">
            <w:pPr>
              <w:pStyle w:val="RTableTextAbt"/>
            </w:pPr>
            <w:r>
              <w:rPr>
                <w:b/>
                <w:bCs w:val="0"/>
                <w:szCs w:val="18"/>
              </w:rPr>
              <w:t>0.0414</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42EDDD1B" w14:textId="1F096313">
            <w:pPr>
              <w:pStyle w:val="RTableTextAbt"/>
            </w:pPr>
            <w:r>
              <w:rPr>
                <w:b/>
                <w:bCs w:val="0"/>
                <w:szCs w:val="18"/>
              </w:rPr>
              <w:t xml:space="preserve">$14,018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3A482CB3" w14:textId="6B298D70">
            <w:pPr>
              <w:pStyle w:val="RTableTextAbt"/>
            </w:pPr>
            <w:r>
              <w:rPr>
                <w:b/>
                <w:bCs w:val="0"/>
                <w:szCs w:val="18"/>
              </w:rPr>
              <w:t xml:space="preserve">$31,712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7DE7AB56" w14:textId="62A8EDBF">
            <w:pPr>
              <w:pStyle w:val="RTableTextAbt"/>
            </w:pPr>
            <w:r>
              <w:rPr>
                <w:b/>
                <w:bCs w:val="0"/>
                <w:szCs w:val="18"/>
              </w:rPr>
              <w:t xml:space="preserve">$13,006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0CA12166" w14:textId="270CEF50">
            <w:pPr>
              <w:pStyle w:val="RTableTextAbt"/>
            </w:pPr>
            <w:r>
              <w:rPr>
                <w:b/>
                <w:bCs w:val="0"/>
                <w:szCs w:val="18"/>
              </w:rPr>
              <w:t xml:space="preserve">$29,422 </w:t>
            </w:r>
          </w:p>
        </w:tc>
      </w:tr>
      <w:tr w14:paraId="58A2362F" w14:textId="77777777" w:rsidTr="005655BA">
        <w:tblPrEx>
          <w:tblW w:w="9360" w:type="dxa"/>
          <w:tblLayout w:type="fixed"/>
          <w:tblLook w:val="04A0"/>
        </w:tblPrEx>
        <w:trPr>
          <w:trHeight w:val="64"/>
        </w:trPr>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9ED" w:rsidRPr="00A17501" w:rsidP="002A09ED" w14:paraId="0116D79C" w14:textId="77777777">
            <w:pPr>
              <w:pStyle w:val="LTableTextAbt"/>
            </w:pPr>
            <w:r w:rsidRPr="00A17501">
              <w:t>Processing into automotive paints and coatings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A09ED" w:rsidRPr="00A17501" w:rsidP="002A09ED" w14:paraId="62773F50" w14:textId="6A6DEB48">
            <w:pPr>
              <w:pStyle w:val="LTableTextAbt"/>
            </w:pPr>
            <w:r>
              <w:t>Worker</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2A09ED" w:rsidP="002A09ED" w14:paraId="2EC5CE47" w14:textId="295D370C">
            <w:pPr>
              <w:pStyle w:val="RTableTextAbt"/>
            </w:pPr>
            <w:r>
              <w:rPr>
                <w:szCs w:val="18"/>
              </w:rPr>
              <w:t>0.1901</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P="002A09ED" w14:paraId="75874DDC" w14:textId="71011142">
            <w:pPr>
              <w:pStyle w:val="RTableTextAbt"/>
            </w:pPr>
            <w:r>
              <w:rPr>
                <w:szCs w:val="18"/>
              </w:rPr>
              <w:t>0.4299</w:t>
            </w:r>
          </w:p>
        </w:tc>
        <w:tc>
          <w:tcPr>
            <w:tcW w:w="1020" w:type="dxa"/>
            <w:tcBorders>
              <w:top w:val="single" w:sz="4" w:space="0" w:color="auto"/>
              <w:left w:val="nil"/>
              <w:bottom w:val="single" w:sz="4" w:space="0" w:color="auto"/>
              <w:right w:val="single" w:sz="4" w:space="0" w:color="auto"/>
            </w:tcBorders>
            <w:shd w:val="clear" w:color="auto" w:fill="EFAC35"/>
            <w:vAlign w:val="center"/>
          </w:tcPr>
          <w:p w:rsidR="002A09ED" w:rsidP="002A09ED" w14:paraId="62C2E97B" w14:textId="3ABC96F8">
            <w:pPr>
              <w:pStyle w:val="RTableTextAbt"/>
            </w:pPr>
            <w:r>
              <w:rPr>
                <w:szCs w:val="18"/>
              </w:rPr>
              <w:t xml:space="preserve">$145,648 </w:t>
            </w:r>
          </w:p>
        </w:tc>
        <w:tc>
          <w:tcPr>
            <w:tcW w:w="1020" w:type="dxa"/>
            <w:tcBorders>
              <w:top w:val="single" w:sz="4" w:space="0" w:color="auto"/>
              <w:left w:val="nil"/>
              <w:bottom w:val="single" w:sz="4" w:space="0" w:color="auto"/>
              <w:right w:val="single" w:sz="4" w:space="0" w:color="auto"/>
            </w:tcBorders>
            <w:shd w:val="clear" w:color="auto" w:fill="EFAC35"/>
            <w:vAlign w:val="center"/>
          </w:tcPr>
          <w:p w:rsidR="002A09ED" w:rsidP="002A09ED" w14:paraId="6A83F790" w14:textId="2BE27C65">
            <w:pPr>
              <w:pStyle w:val="RTableTextAbt"/>
            </w:pPr>
            <w:r>
              <w:rPr>
                <w:szCs w:val="18"/>
              </w:rPr>
              <w:t xml:space="preserve">$329,285 </w:t>
            </w:r>
          </w:p>
        </w:tc>
        <w:tc>
          <w:tcPr>
            <w:tcW w:w="1020" w:type="dxa"/>
            <w:tcBorders>
              <w:top w:val="single" w:sz="4" w:space="0" w:color="auto"/>
              <w:left w:val="nil"/>
              <w:bottom w:val="single" w:sz="4" w:space="0" w:color="auto"/>
              <w:right w:val="single" w:sz="4" w:space="0" w:color="auto"/>
            </w:tcBorders>
            <w:shd w:val="clear" w:color="auto" w:fill="EFAC35"/>
            <w:vAlign w:val="center"/>
          </w:tcPr>
          <w:p w:rsidR="002A09ED" w:rsidP="002A09ED" w14:paraId="63BD2E05" w14:textId="46B4C1E0">
            <w:pPr>
              <w:pStyle w:val="RTableTextAbt"/>
            </w:pPr>
            <w:r>
              <w:rPr>
                <w:szCs w:val="18"/>
              </w:rPr>
              <w:t xml:space="preserve">$135,131 </w:t>
            </w:r>
          </w:p>
        </w:tc>
        <w:tc>
          <w:tcPr>
            <w:tcW w:w="1020" w:type="dxa"/>
            <w:tcBorders>
              <w:top w:val="single" w:sz="4" w:space="0" w:color="auto"/>
              <w:left w:val="nil"/>
              <w:bottom w:val="single" w:sz="4" w:space="0" w:color="auto"/>
              <w:right w:val="single" w:sz="4" w:space="0" w:color="auto"/>
            </w:tcBorders>
            <w:shd w:val="clear" w:color="auto" w:fill="EFAC35"/>
            <w:vAlign w:val="center"/>
          </w:tcPr>
          <w:p w:rsidR="002A09ED" w:rsidP="002A09ED" w14:paraId="63449202" w14:textId="5578A96D">
            <w:pPr>
              <w:pStyle w:val="RTableTextAbt"/>
            </w:pPr>
            <w:r>
              <w:rPr>
                <w:szCs w:val="18"/>
              </w:rPr>
              <w:t xml:space="preserve">$305,509 </w:t>
            </w:r>
          </w:p>
        </w:tc>
      </w:tr>
      <w:tr w14:paraId="280D1A4A" w14:textId="77777777" w:rsidTr="005655BA">
        <w:tblPrEx>
          <w:tblW w:w="9360" w:type="dxa"/>
          <w:tblLayout w:type="fixed"/>
          <w:tblLook w:val="04A0"/>
        </w:tblPrEx>
        <w:trPr>
          <w:trHeight w:val="64"/>
        </w:trPr>
        <w:tc>
          <w:tcPr>
            <w:tcW w:w="2070" w:type="dxa"/>
            <w:vMerge/>
            <w:tcBorders>
              <w:top w:val="single" w:sz="4" w:space="0" w:color="auto"/>
              <w:left w:val="single" w:sz="4" w:space="0" w:color="auto"/>
              <w:bottom w:val="single" w:sz="4" w:space="0" w:color="auto"/>
            </w:tcBorders>
            <w:vAlign w:val="center"/>
          </w:tcPr>
          <w:p w:rsidR="002A09ED" w:rsidRPr="00A17501" w:rsidP="002A09ED" w14:paraId="217FE3C5" w14:textId="77777777">
            <w:pPr>
              <w:pStyle w:val="LTableTextAbt"/>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A09ED" w:rsidRPr="00A17501" w:rsidP="002A09ED" w14:paraId="4251C7A5" w14:textId="15E81282">
            <w:pPr>
              <w:pStyle w:val="LTableTextAbt"/>
            </w:pPr>
            <w:r>
              <w:t>ONU</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2A09ED" w:rsidRPr="00A44526" w:rsidP="002A09ED" w14:paraId="1ECB6301" w14:textId="3028EEC1">
            <w:pPr>
              <w:pStyle w:val="RTableTextAbt"/>
            </w:pPr>
            <w:r>
              <w:rPr>
                <w:szCs w:val="18"/>
              </w:rPr>
              <w:t>0.0661</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7BA1E045" w14:textId="46A5BD80">
            <w:pPr>
              <w:pStyle w:val="RTableTextAbt"/>
            </w:pPr>
            <w:r>
              <w:rPr>
                <w:szCs w:val="18"/>
              </w:rPr>
              <w:t>0.1497</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0C25BF24" w14:textId="0ECDC5D3">
            <w:pPr>
              <w:pStyle w:val="RTableTextAbt"/>
            </w:pPr>
            <w:r>
              <w:rPr>
                <w:szCs w:val="18"/>
              </w:rPr>
              <w:t xml:space="preserve">$50,611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1F227629" w14:textId="130A9E28">
            <w:pPr>
              <w:pStyle w:val="RTableTextAbt"/>
            </w:pPr>
            <w:r>
              <w:rPr>
                <w:szCs w:val="18"/>
              </w:rPr>
              <w:t xml:space="preserve">$114,680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081BD193" w14:textId="629BFDC5">
            <w:pPr>
              <w:pStyle w:val="RTableTextAbt"/>
            </w:pPr>
            <w:r>
              <w:rPr>
                <w:szCs w:val="18"/>
              </w:rPr>
              <w:t xml:space="preserve">$46,957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1F5C03DE" w14:textId="1D816815">
            <w:pPr>
              <w:pStyle w:val="RTableTextAbt"/>
            </w:pPr>
            <w:r>
              <w:rPr>
                <w:szCs w:val="18"/>
              </w:rPr>
              <w:t xml:space="preserve">$106,399 </w:t>
            </w:r>
          </w:p>
        </w:tc>
      </w:tr>
      <w:tr w14:paraId="7AC7BA22" w14:textId="77777777" w:rsidTr="005655BA">
        <w:tblPrEx>
          <w:tblW w:w="9360" w:type="dxa"/>
          <w:tblLayout w:type="fixed"/>
          <w:tblLook w:val="04A0"/>
        </w:tblPrEx>
        <w:trPr>
          <w:trHeight w:val="64"/>
        </w:trPr>
        <w:tc>
          <w:tcPr>
            <w:tcW w:w="2070" w:type="dxa"/>
            <w:vMerge/>
            <w:tcBorders>
              <w:top w:val="single" w:sz="4" w:space="0" w:color="auto"/>
              <w:left w:val="single" w:sz="4" w:space="0" w:color="auto"/>
              <w:bottom w:val="single" w:sz="4" w:space="0" w:color="auto"/>
            </w:tcBorders>
            <w:vAlign w:val="center"/>
          </w:tcPr>
          <w:p w:rsidR="002A09ED" w:rsidRPr="00A17501" w:rsidP="002A09ED" w14:paraId="19B65D08" w14:textId="77777777">
            <w:pPr>
              <w:pStyle w:val="LTableTextAbt"/>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A09ED" w:rsidRPr="00A17501" w:rsidP="002A09ED" w14:paraId="041BAEB6" w14:textId="031AC78B">
            <w:pPr>
              <w:pStyle w:val="LTableTextAbt"/>
            </w:pPr>
            <w:r>
              <w:t>Subtotal</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2A09ED" w:rsidRPr="00A44526" w:rsidP="002A09ED" w14:paraId="09D2EB32" w14:textId="1B64C131">
            <w:pPr>
              <w:pStyle w:val="RTableTextAbt"/>
            </w:pPr>
            <w:r>
              <w:rPr>
                <w:b/>
                <w:bCs w:val="0"/>
                <w:szCs w:val="18"/>
              </w:rPr>
              <w:t>0.2562</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7B959FFF" w14:textId="50E742F4">
            <w:pPr>
              <w:pStyle w:val="RTableTextAbt"/>
            </w:pPr>
            <w:r>
              <w:rPr>
                <w:b/>
                <w:bCs w:val="0"/>
                <w:szCs w:val="18"/>
              </w:rPr>
              <w:t>0.5796</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3627FABD" w14:textId="50EACD8E">
            <w:pPr>
              <w:pStyle w:val="RTableTextAbt"/>
            </w:pPr>
            <w:r>
              <w:rPr>
                <w:b/>
                <w:bCs w:val="0"/>
                <w:szCs w:val="18"/>
              </w:rPr>
              <w:t xml:space="preserve">$196,259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36CAFD4D" w14:textId="5F6FF2FD">
            <w:pPr>
              <w:pStyle w:val="RTableTextAbt"/>
            </w:pPr>
            <w:r>
              <w:rPr>
                <w:b/>
                <w:bCs w:val="0"/>
                <w:szCs w:val="18"/>
              </w:rPr>
              <w:t xml:space="preserve">$443,965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2464483E" w14:textId="293523C0">
            <w:pPr>
              <w:pStyle w:val="RTableTextAbt"/>
            </w:pPr>
            <w:r>
              <w:rPr>
                <w:b/>
                <w:bCs w:val="0"/>
                <w:szCs w:val="18"/>
              </w:rPr>
              <w:t xml:space="preserve">$182,088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7336076C" w14:textId="56525438">
            <w:pPr>
              <w:pStyle w:val="RTableTextAbt"/>
            </w:pPr>
            <w:r>
              <w:rPr>
                <w:b/>
                <w:bCs w:val="0"/>
                <w:szCs w:val="18"/>
              </w:rPr>
              <w:t xml:space="preserve">$411,908 </w:t>
            </w:r>
          </w:p>
        </w:tc>
      </w:tr>
      <w:tr w14:paraId="19A5FA88" w14:textId="77777777" w:rsidTr="005655BA">
        <w:tblPrEx>
          <w:tblW w:w="9360" w:type="dxa"/>
          <w:tblLayout w:type="fixed"/>
          <w:tblLook w:val="04A0"/>
        </w:tblPrEx>
        <w:trPr>
          <w:trHeight w:val="64"/>
        </w:trPr>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9ED" w:rsidRPr="00A17501" w:rsidP="002A09ED" w14:paraId="7C3601B7" w14:textId="77777777">
            <w:pPr>
              <w:pStyle w:val="LTableTextAbt"/>
            </w:pPr>
            <w:r w:rsidRPr="00A17501">
              <w:t>Processing into plastic and rubber products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A09ED" w:rsidRPr="00A17501" w:rsidP="002A09ED" w14:paraId="620592A5" w14:textId="07DF54DF">
            <w:pPr>
              <w:pStyle w:val="LTableTextAbt"/>
            </w:pPr>
            <w:r>
              <w:t>Worker</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2A09ED" w:rsidP="002A09ED" w14:paraId="3031D171" w14:textId="57562C53">
            <w:pPr>
              <w:pStyle w:val="RTableTextAbt"/>
            </w:pPr>
            <w:r>
              <w:rPr>
                <w:szCs w:val="18"/>
              </w:rPr>
              <w:t>0.0644</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P="002A09ED" w14:paraId="023CB418" w14:textId="3DB28107">
            <w:pPr>
              <w:pStyle w:val="RTableTextAbt"/>
            </w:pPr>
            <w:r>
              <w:rPr>
                <w:szCs w:val="18"/>
              </w:rPr>
              <w:t>0.1515</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P="002A09ED" w14:paraId="6DD5C09A" w14:textId="75F2F7D3">
            <w:pPr>
              <w:pStyle w:val="RTableTextAbt"/>
            </w:pPr>
            <w:r>
              <w:rPr>
                <w:szCs w:val="18"/>
              </w:rPr>
              <w:t xml:space="preserve">$49,337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P="002A09ED" w14:paraId="3C4AC384" w14:textId="601B2B1D">
            <w:pPr>
              <w:pStyle w:val="RTableTextAbt"/>
            </w:pPr>
            <w:r>
              <w:rPr>
                <w:szCs w:val="18"/>
              </w:rPr>
              <w:t xml:space="preserve">$116,075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P="002A09ED" w14:paraId="1B3B7B31" w14:textId="18137374">
            <w:pPr>
              <w:pStyle w:val="RTableTextAbt"/>
            </w:pPr>
            <w:r>
              <w:rPr>
                <w:szCs w:val="18"/>
              </w:rPr>
              <w:t xml:space="preserve">$45,775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P="002A09ED" w14:paraId="2B529189" w14:textId="7DF77893">
            <w:pPr>
              <w:pStyle w:val="RTableTextAbt"/>
            </w:pPr>
            <w:r>
              <w:t xml:space="preserve">$107,693 </w:t>
            </w:r>
          </w:p>
        </w:tc>
      </w:tr>
      <w:tr w14:paraId="416CA113" w14:textId="77777777" w:rsidTr="005655BA">
        <w:tblPrEx>
          <w:tblW w:w="9360" w:type="dxa"/>
          <w:tblLayout w:type="fixed"/>
          <w:tblLook w:val="04A0"/>
        </w:tblPrEx>
        <w:trPr>
          <w:trHeight w:val="64"/>
        </w:trPr>
        <w:tc>
          <w:tcPr>
            <w:tcW w:w="2070" w:type="dxa"/>
            <w:vMerge/>
            <w:tcBorders>
              <w:top w:val="single" w:sz="4" w:space="0" w:color="auto"/>
              <w:left w:val="single" w:sz="4" w:space="0" w:color="auto"/>
              <w:bottom w:val="single" w:sz="4" w:space="0" w:color="auto"/>
            </w:tcBorders>
            <w:vAlign w:val="center"/>
          </w:tcPr>
          <w:p w:rsidR="002A09ED" w:rsidRPr="00A17501" w:rsidP="002A09ED" w14:paraId="366D0E55" w14:textId="77777777">
            <w:pPr>
              <w:pStyle w:val="LTableTextAbt"/>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A09ED" w:rsidRPr="00A17501" w:rsidP="002A09ED" w14:paraId="10CB9485" w14:textId="1DC79F1E">
            <w:pPr>
              <w:pStyle w:val="LTableTextAbt"/>
            </w:pPr>
            <w:r>
              <w:t>ONU</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2A09ED" w:rsidRPr="00A44526" w:rsidP="002A09ED" w14:paraId="6DC43226" w14:textId="4AA7C7AE">
            <w:pPr>
              <w:pStyle w:val="RTableTextAbt"/>
            </w:pPr>
            <w:r>
              <w:rPr>
                <w:szCs w:val="18"/>
              </w:rPr>
              <w:t>0.0279</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1AC4DC29" w14:textId="36EF9AE6">
            <w:pPr>
              <w:pStyle w:val="RTableTextAbt"/>
            </w:pPr>
            <w:r>
              <w:rPr>
                <w:szCs w:val="18"/>
              </w:rPr>
              <w:t>0.0656</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0D3ECA38" w14:textId="6F18A05E">
            <w:pPr>
              <w:pStyle w:val="RTableTextAbt"/>
            </w:pPr>
            <w:r>
              <w:rPr>
                <w:szCs w:val="18"/>
              </w:rPr>
              <w:t xml:space="preserve">$21,335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3CE07819" w14:textId="40D915F5">
            <w:pPr>
              <w:pStyle w:val="RTableTextAbt"/>
            </w:pPr>
            <w:r>
              <w:rPr>
                <w:szCs w:val="18"/>
              </w:rPr>
              <w:t xml:space="preserve">$50,253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0A6C21F0" w14:textId="329D9057">
            <w:pPr>
              <w:pStyle w:val="RTableTextAbt"/>
            </w:pPr>
            <w:r>
              <w:rPr>
                <w:szCs w:val="18"/>
              </w:rPr>
              <w:t xml:space="preserve">$19,794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630E94BA" w14:textId="4885F8E4">
            <w:pPr>
              <w:pStyle w:val="RTableTextAbt"/>
            </w:pPr>
            <w:r>
              <w:rPr>
                <w:szCs w:val="18"/>
              </w:rPr>
              <w:t xml:space="preserve">$46,625 </w:t>
            </w:r>
          </w:p>
        </w:tc>
      </w:tr>
      <w:tr w14:paraId="4DFC1E4D" w14:textId="77777777" w:rsidTr="005655BA">
        <w:tblPrEx>
          <w:tblW w:w="9360" w:type="dxa"/>
          <w:tblLayout w:type="fixed"/>
          <w:tblLook w:val="04A0"/>
        </w:tblPrEx>
        <w:trPr>
          <w:trHeight w:val="262"/>
        </w:trPr>
        <w:tc>
          <w:tcPr>
            <w:tcW w:w="2070" w:type="dxa"/>
            <w:vMerge/>
            <w:tcBorders>
              <w:top w:val="single" w:sz="4" w:space="0" w:color="auto"/>
              <w:left w:val="single" w:sz="4" w:space="0" w:color="auto"/>
              <w:bottom w:val="single" w:sz="4" w:space="0" w:color="auto"/>
            </w:tcBorders>
            <w:vAlign w:val="center"/>
          </w:tcPr>
          <w:p w:rsidR="002A09ED" w:rsidRPr="00A17501" w:rsidP="002A09ED" w14:paraId="7F6C3941" w14:textId="77777777">
            <w:pPr>
              <w:pStyle w:val="LTableTextAbt"/>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A09ED" w:rsidRPr="00A17501" w:rsidP="002A09ED" w14:paraId="75DD6D45" w14:textId="0E300CE8">
            <w:pPr>
              <w:pStyle w:val="LTableTextAbt"/>
            </w:pPr>
            <w:r>
              <w:t>Subtotal</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2A09ED" w:rsidRPr="00A44526" w:rsidP="002A09ED" w14:paraId="65269659" w14:textId="5A3C99B6">
            <w:pPr>
              <w:pStyle w:val="RTableTextAbt"/>
            </w:pPr>
            <w:r>
              <w:rPr>
                <w:b/>
                <w:bCs w:val="0"/>
                <w:szCs w:val="18"/>
              </w:rPr>
              <w:t>0.0923</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1462CDF2" w14:textId="2B01CB83">
            <w:pPr>
              <w:pStyle w:val="RTableTextAbt"/>
            </w:pPr>
            <w:r>
              <w:rPr>
                <w:b/>
                <w:bCs w:val="0"/>
                <w:szCs w:val="18"/>
              </w:rPr>
              <w:t>0.2171</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2D8368D3" w14:textId="5492FE36">
            <w:pPr>
              <w:pStyle w:val="RTableTextAbt"/>
            </w:pPr>
            <w:r>
              <w:rPr>
                <w:b/>
                <w:bCs w:val="0"/>
                <w:szCs w:val="18"/>
              </w:rPr>
              <w:t xml:space="preserve">$70,672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25592B10" w14:textId="7B55A1D9">
            <w:pPr>
              <w:pStyle w:val="RTableTextAbt"/>
            </w:pPr>
            <w:r>
              <w:rPr>
                <w:b/>
                <w:bCs w:val="0"/>
                <w:szCs w:val="18"/>
              </w:rPr>
              <w:t xml:space="preserve">$166,328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68D5D86E" w14:textId="66A50516">
            <w:pPr>
              <w:pStyle w:val="RTableTextAbt"/>
            </w:pPr>
            <w:r>
              <w:rPr>
                <w:b/>
                <w:bCs w:val="0"/>
                <w:szCs w:val="18"/>
              </w:rPr>
              <w:t xml:space="preserve">$65,569 </w:t>
            </w:r>
          </w:p>
        </w:tc>
        <w:tc>
          <w:tcPr>
            <w:tcW w:w="1020" w:type="dxa"/>
            <w:tcBorders>
              <w:top w:val="single" w:sz="4" w:space="0" w:color="auto"/>
              <w:left w:val="nil"/>
              <w:bottom w:val="single" w:sz="4" w:space="0" w:color="auto"/>
              <w:right w:val="single" w:sz="4" w:space="0" w:color="auto"/>
            </w:tcBorders>
            <w:shd w:val="clear" w:color="auto" w:fill="auto"/>
            <w:vAlign w:val="center"/>
          </w:tcPr>
          <w:p w:rsidR="002A09ED" w:rsidRPr="00A44526" w:rsidP="002A09ED" w14:paraId="09599D81" w14:textId="01730562">
            <w:pPr>
              <w:pStyle w:val="RTableTextAbt"/>
            </w:pPr>
            <w:r>
              <w:rPr>
                <w:b/>
                <w:bCs w:val="0"/>
                <w:szCs w:val="18"/>
              </w:rPr>
              <w:t xml:space="preserve">$154,318 </w:t>
            </w:r>
          </w:p>
        </w:tc>
      </w:tr>
      <w:tr w14:paraId="261552EC" w14:textId="77777777" w:rsidTr="0E4AE1FD">
        <w:tblPrEx>
          <w:tblW w:w="9360" w:type="dxa"/>
          <w:tblLayout w:type="fixed"/>
          <w:tblLook w:val="04A0"/>
        </w:tblPrEx>
        <w:trPr>
          <w:trHeight w:val="20"/>
        </w:trPr>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5055" w:rsidRPr="00C127EE" w:rsidP="00B45055" w14:paraId="0F88EB02" w14:textId="77777777">
            <w:pPr>
              <w:pStyle w:val="LTableTextAbt"/>
              <w:jc w:val="center"/>
              <w:rPr>
                <w:b/>
              </w:rPr>
            </w:pPr>
            <w:r w:rsidRPr="00C127EE">
              <w:rPr>
                <w:b/>
              </w:rPr>
              <w:t>Total</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B45055" w:rsidRPr="00DF60D4" w:rsidP="00B45055" w14:paraId="12AC56AA" w14:textId="7E49C491">
            <w:pPr>
              <w:pStyle w:val="RTableTextAbt"/>
              <w:rPr>
                <w:b/>
                <w:bCs w:val="0"/>
              </w:rPr>
            </w:pPr>
            <w:r>
              <w:rPr>
                <w:b/>
                <w:bCs w:val="0"/>
                <w:szCs w:val="18"/>
              </w:rPr>
              <w:t>0.3811</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B45055" w:rsidRPr="00DF60D4" w:rsidP="00B45055" w14:paraId="78856E4D" w14:textId="78183EB5">
            <w:pPr>
              <w:pStyle w:val="RTableTextAbt"/>
              <w:rPr>
                <w:b/>
                <w:bCs w:val="0"/>
              </w:rPr>
            </w:pPr>
            <w:r>
              <w:rPr>
                <w:b/>
                <w:bCs w:val="0"/>
                <w:szCs w:val="18"/>
              </w:rPr>
              <w:t>0.8856</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B45055" w:rsidRPr="00DF60D4" w:rsidP="00B45055" w14:paraId="31E5892B" w14:textId="5D75D90C">
            <w:pPr>
              <w:pStyle w:val="RTableTextAbt"/>
              <w:rPr>
                <w:b/>
                <w:bCs w:val="0"/>
              </w:rPr>
            </w:pPr>
            <w:r>
              <w:rPr>
                <w:b/>
                <w:bCs w:val="0"/>
                <w:szCs w:val="18"/>
              </w:rPr>
              <w:t xml:space="preserve">$291,959 </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B45055" w:rsidRPr="00DF60D4" w:rsidP="00B45055" w14:paraId="4DCC0093" w14:textId="66BB7A34">
            <w:pPr>
              <w:pStyle w:val="RTableTextAbt"/>
              <w:rPr>
                <w:b/>
                <w:bCs w:val="0"/>
              </w:rPr>
            </w:pPr>
            <w:r>
              <w:rPr>
                <w:b/>
                <w:bCs w:val="0"/>
                <w:szCs w:val="18"/>
              </w:rPr>
              <w:t xml:space="preserve">$678,391 </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B45055" w:rsidRPr="00DF60D4" w:rsidP="00B45055" w14:paraId="263EEBF5" w14:textId="1F331CD5">
            <w:pPr>
              <w:pStyle w:val="RTableTextAbt"/>
              <w:rPr>
                <w:b/>
                <w:bCs w:val="0"/>
              </w:rPr>
            </w:pPr>
            <w:r>
              <w:rPr>
                <w:b/>
                <w:bCs w:val="0"/>
                <w:szCs w:val="18"/>
              </w:rPr>
              <w:t xml:space="preserve">$270,878 </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B45055" w:rsidRPr="00DF60D4" w:rsidP="00B45055" w14:paraId="56EEE6B3" w14:textId="3D69AE44">
            <w:pPr>
              <w:pStyle w:val="RTableTextAbt"/>
              <w:rPr>
                <w:b/>
                <w:bCs w:val="0"/>
              </w:rPr>
            </w:pPr>
            <w:r>
              <w:rPr>
                <w:b/>
                <w:bCs w:val="0"/>
                <w:szCs w:val="18"/>
              </w:rPr>
              <w:t xml:space="preserve">$629,407 </w:t>
            </w:r>
          </w:p>
        </w:tc>
      </w:tr>
      <w:tr w14:paraId="3A3F6306" w14:textId="77777777" w:rsidTr="0E4AE1FD">
        <w:tblPrEx>
          <w:tblW w:w="9360" w:type="dxa"/>
          <w:tblLayout w:type="fixed"/>
          <w:tblLook w:val="04A0"/>
        </w:tblPrEx>
        <w:trPr>
          <w:trHeight w:val="20"/>
        </w:trPr>
        <w:tc>
          <w:tcPr>
            <w:tcW w:w="9360" w:type="dxa"/>
            <w:gridSpan w:val="8"/>
            <w:tcBorders>
              <w:top w:val="single" w:sz="4" w:space="0" w:color="auto"/>
              <w:left w:val="single" w:sz="4" w:space="0" w:color="auto"/>
              <w:bottom w:val="single" w:sz="4" w:space="0" w:color="auto"/>
              <w:right w:val="single" w:sz="4" w:space="0" w:color="auto"/>
            </w:tcBorders>
            <w:shd w:val="clear" w:color="auto" w:fill="auto"/>
            <w:tcMar>
              <w:left w:w="115" w:type="dxa"/>
              <w:bottom w:w="43" w:type="dxa"/>
              <w:right w:w="115" w:type="dxa"/>
            </w:tcMar>
            <w:vAlign w:val="center"/>
          </w:tcPr>
          <w:p w:rsidR="00B3758C" w:rsidP="00B3758C" w14:paraId="1B1ADECF" w14:textId="77777777">
            <w:pPr>
              <w:pStyle w:val="TableNote0"/>
              <w:numPr>
                <w:ilvl w:val="0"/>
                <w:numId w:val="188"/>
              </w:numPr>
            </w:pPr>
            <w:r>
              <w:t>Low estimate based on Harber; high estimate based on Gardner.</w:t>
            </w:r>
          </w:p>
          <w:p w:rsidR="00B3758C" w:rsidP="00B3758C" w14:paraId="5167F125" w14:textId="77777777">
            <w:pPr>
              <w:pStyle w:val="TableNote0"/>
              <w:numPr>
                <w:ilvl w:val="0"/>
                <w:numId w:val="188"/>
              </w:numPr>
            </w:pPr>
            <w:r>
              <w:t>Number of avoided cases time $766,000, the value of a case of chronic bronchitis.</w:t>
            </w:r>
          </w:p>
          <w:p w:rsidR="00942FF2" w:rsidP="00942FF2" w14:paraId="70E27214" w14:textId="133B3173">
            <w:pPr>
              <w:pStyle w:val="TableNote0"/>
            </w:pPr>
            <w:r>
              <w:t xml:space="preserve">Note The gold shaded cells are referenced below in </w:t>
            </w:r>
            <w:r>
              <w:fldChar w:fldCharType="begin" w:fldLock="1"/>
            </w:r>
            <w:r>
              <w:instrText xml:space="preserve"> REF _Ref181352920 \h </w:instrText>
            </w:r>
            <w:r>
              <w:fldChar w:fldCharType="separate"/>
            </w:r>
            <w:r w:rsidRPr="00A95A85" w:rsidR="00735BBC">
              <w:t xml:space="preserve">Figure </w:t>
            </w:r>
            <w:r w:rsidR="00735BBC">
              <w:rPr>
                <w:noProof/>
              </w:rPr>
              <w:t>5</w:t>
            </w:r>
            <w:r w:rsidRPr="00A95A85" w:rsidR="00735BBC">
              <w:noBreakHyphen/>
            </w:r>
            <w:r w:rsidR="00735BBC">
              <w:rPr>
                <w:noProof/>
              </w:rPr>
              <w:t>2</w:t>
            </w:r>
            <w:r>
              <w:fldChar w:fldCharType="end"/>
            </w:r>
            <w:r>
              <w:t>.</w:t>
            </w:r>
          </w:p>
        </w:tc>
      </w:tr>
    </w:tbl>
    <w:p w:rsidR="000F3FFC" w:rsidP="000F3FFC" w14:paraId="2CC6BD77" w14:textId="77777777">
      <w:pPr>
        <w:pStyle w:val="BodyText"/>
        <w:rPr>
          <w:rStyle w:val="TableTextChar"/>
          <w:rFonts w:eastAsiaTheme="minorEastAsia"/>
        </w:rPr>
      </w:pPr>
    </w:p>
    <w:tbl>
      <w:tblPr>
        <w:tblW w:w="9360" w:type="dxa"/>
        <w:tblLayout w:type="fixed"/>
        <w:tblLook w:val="04A0"/>
      </w:tblPr>
      <w:tblGrid>
        <w:gridCol w:w="2070"/>
        <w:gridCol w:w="1170"/>
        <w:gridCol w:w="1020"/>
        <w:gridCol w:w="1020"/>
        <w:gridCol w:w="1020"/>
        <w:gridCol w:w="1020"/>
        <w:gridCol w:w="1020"/>
        <w:gridCol w:w="1020"/>
      </w:tblGrid>
      <w:tr w14:paraId="4EDEF6A4" w14:textId="77777777" w:rsidTr="009860E2">
        <w:tblPrEx>
          <w:tblW w:w="9360" w:type="dxa"/>
          <w:tblLayout w:type="fixed"/>
          <w:tblLook w:val="04A0"/>
        </w:tblPrEx>
        <w:trPr>
          <w:trHeight w:val="20"/>
          <w:tblHeader/>
        </w:trPr>
        <w:tc>
          <w:tcPr>
            <w:tcW w:w="9360" w:type="dxa"/>
            <w:gridSpan w:val="8"/>
            <w:tcBorders>
              <w:top w:val="nil"/>
              <w:bottom w:val="single" w:sz="4" w:space="0" w:color="auto"/>
            </w:tcBorders>
            <w:shd w:val="clear" w:color="auto" w:fill="auto"/>
            <w:vAlign w:val="center"/>
          </w:tcPr>
          <w:p w:rsidR="005B2D00" w:rsidP="009860E2" w14:paraId="54795C83" w14:textId="1FD79561">
            <w:pPr>
              <w:pStyle w:val="TableTitleA"/>
            </w:pPr>
            <w:bookmarkStart w:id="296" w:name="_Ref181228568"/>
            <w:bookmarkStart w:id="297" w:name="_Toc184299593"/>
            <w:r>
              <w:t xml:space="preserve">Table </w:t>
            </w:r>
            <w:r>
              <w:fldChar w:fldCharType="begin" w:fldLock="1"/>
            </w:r>
            <w:r>
              <w:instrText>STYLEREF 1 \s</w:instrText>
            </w:r>
            <w:r>
              <w:fldChar w:fldCharType="separate"/>
            </w:r>
            <w:r w:rsidR="00735BBC">
              <w:rPr>
                <w:noProof/>
              </w:rPr>
              <w:t>5</w:t>
            </w:r>
            <w:r>
              <w:fldChar w:fldCharType="end"/>
            </w:r>
            <w:r>
              <w:noBreakHyphen/>
            </w:r>
            <w:r>
              <w:fldChar w:fldCharType="begin" w:fldLock="1"/>
            </w:r>
            <w:r>
              <w:instrText>SEQ Table \* ARABIC \s 1</w:instrText>
            </w:r>
            <w:r>
              <w:fldChar w:fldCharType="separate"/>
            </w:r>
            <w:r w:rsidR="00735BBC">
              <w:rPr>
                <w:noProof/>
              </w:rPr>
              <w:t>8</w:t>
            </w:r>
            <w:r>
              <w:fldChar w:fldCharType="end"/>
            </w:r>
            <w:bookmarkEnd w:id="296"/>
            <w:r>
              <w:t>: Option 2 (Alternative) Total Annualized Benefits (2% discount; 2023$)</w:t>
            </w:r>
            <w:bookmarkEnd w:id="297"/>
          </w:p>
        </w:tc>
      </w:tr>
      <w:tr w14:paraId="793B6157" w14:textId="77777777" w:rsidTr="009860E2">
        <w:tblPrEx>
          <w:tblW w:w="9360" w:type="dxa"/>
          <w:tblLayout w:type="fixed"/>
          <w:tblLook w:val="04A0"/>
        </w:tblPrEx>
        <w:trPr>
          <w:trHeight w:val="20"/>
          <w:tblHeader/>
        </w:trPr>
        <w:tc>
          <w:tcPr>
            <w:tcW w:w="2070" w:type="dxa"/>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5B2D00" w:rsidP="009860E2" w14:paraId="5AA8BE61" w14:textId="77777777">
            <w:pPr>
              <w:pStyle w:val="TableSubtitle"/>
            </w:pPr>
            <w:r>
              <w:t>Use Category</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013E5B"/>
            <w:vAlign w:val="center"/>
          </w:tcPr>
          <w:p w:rsidR="005B2D00" w:rsidP="009860E2" w14:paraId="169C700C" w14:textId="77777777">
            <w:pPr>
              <w:pStyle w:val="TableSubtitle"/>
            </w:pPr>
            <w:r>
              <w:t>Exposure Type</w:t>
            </w:r>
          </w:p>
        </w:tc>
        <w:tc>
          <w:tcPr>
            <w:tcW w:w="2040" w:type="dxa"/>
            <w:gridSpan w:val="2"/>
            <w:tcBorders>
              <w:top w:val="single" w:sz="4" w:space="0" w:color="auto"/>
              <w:left w:val="single" w:sz="4" w:space="0" w:color="auto"/>
              <w:bottom w:val="single" w:sz="4" w:space="0" w:color="auto"/>
              <w:right w:val="nil"/>
            </w:tcBorders>
            <w:shd w:val="clear" w:color="auto" w:fill="013E5B"/>
            <w:vAlign w:val="center"/>
            <w:hideMark/>
          </w:tcPr>
          <w:p w:rsidR="005B2D00" w:rsidRPr="00BD3D2B" w:rsidP="009860E2" w14:paraId="0A8349EA" w14:textId="77777777">
            <w:pPr>
              <w:pStyle w:val="TableSubtitle"/>
              <w:rPr>
                <w:vertAlign w:val="superscript"/>
              </w:rPr>
            </w:pPr>
            <w:r>
              <w:t>Avoided cases</w:t>
            </w:r>
            <w:r>
              <w:rPr>
                <w:vertAlign w:val="superscript"/>
              </w:rPr>
              <w:t xml:space="preserve"> a</w:t>
            </w:r>
          </w:p>
        </w:tc>
        <w:tc>
          <w:tcPr>
            <w:tcW w:w="2040" w:type="dxa"/>
            <w:gridSpan w:val="2"/>
            <w:tcBorders>
              <w:top w:val="single" w:sz="4" w:space="0" w:color="auto"/>
              <w:left w:val="single" w:sz="4" w:space="0" w:color="auto"/>
              <w:bottom w:val="single" w:sz="4" w:space="0" w:color="auto"/>
              <w:right w:val="nil"/>
            </w:tcBorders>
            <w:shd w:val="clear" w:color="auto" w:fill="013E5B"/>
            <w:vAlign w:val="center"/>
            <w:hideMark/>
          </w:tcPr>
          <w:p w:rsidR="005B2D00" w:rsidP="009860E2" w14:paraId="69B74968" w14:textId="6CB45C02">
            <w:pPr>
              <w:pStyle w:val="TableSubtitle"/>
            </w:pPr>
            <w:r>
              <w:t>Annual benefits</w:t>
            </w:r>
            <w:r w:rsidR="00CC2043">
              <w:rPr>
                <w:vertAlign w:val="superscript"/>
              </w:rPr>
              <w:t xml:space="preserve"> b</w:t>
            </w:r>
          </w:p>
        </w:tc>
        <w:tc>
          <w:tcPr>
            <w:tcW w:w="2040" w:type="dxa"/>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5B2D00" w:rsidP="009860E2" w14:paraId="37880BD9" w14:textId="77777777">
            <w:pPr>
              <w:pStyle w:val="TableSubtitle"/>
            </w:pPr>
            <w:r>
              <w:t>Total annualized benefits</w:t>
            </w:r>
          </w:p>
        </w:tc>
      </w:tr>
      <w:tr w14:paraId="639570C5" w14:textId="77777777" w:rsidTr="009860E2">
        <w:tblPrEx>
          <w:tblW w:w="9360" w:type="dxa"/>
          <w:tblLayout w:type="fixed"/>
          <w:tblLook w:val="04A0"/>
        </w:tblPrEx>
        <w:trPr>
          <w:trHeight w:val="20"/>
          <w:tblHeader/>
        </w:trPr>
        <w:tc>
          <w:tcPr>
            <w:tcW w:w="2070" w:type="dxa"/>
            <w:vMerge/>
            <w:tcBorders>
              <w:top w:val="single" w:sz="4" w:space="0" w:color="auto"/>
              <w:left w:val="single" w:sz="4" w:space="0" w:color="auto"/>
              <w:bottom w:val="single" w:sz="4" w:space="0" w:color="auto"/>
              <w:right w:val="single" w:sz="4" w:space="0" w:color="auto"/>
            </w:tcBorders>
            <w:vAlign w:val="center"/>
            <w:hideMark/>
          </w:tcPr>
          <w:p w:rsidR="005B2D00" w:rsidP="009860E2" w14:paraId="76123AD1" w14:textId="77777777">
            <w:pPr>
              <w:pStyle w:val="TableSubtitle"/>
            </w:pPr>
          </w:p>
        </w:tc>
        <w:tc>
          <w:tcPr>
            <w:tcW w:w="1170" w:type="dxa"/>
            <w:vMerge/>
            <w:tcBorders>
              <w:top w:val="single" w:sz="4" w:space="0" w:color="auto"/>
              <w:left w:val="single" w:sz="4" w:space="0" w:color="auto"/>
              <w:bottom w:val="single" w:sz="4" w:space="0" w:color="auto"/>
              <w:right w:val="single" w:sz="4" w:space="0" w:color="auto"/>
            </w:tcBorders>
            <w:vAlign w:val="center"/>
          </w:tcPr>
          <w:p w:rsidR="005B2D00" w:rsidP="009860E2" w14:paraId="346759A4" w14:textId="77777777">
            <w:pPr>
              <w:pStyle w:val="TableSubtitle"/>
            </w:pPr>
          </w:p>
        </w:tc>
        <w:tc>
          <w:tcPr>
            <w:tcW w:w="1020" w:type="dxa"/>
            <w:tcBorders>
              <w:top w:val="single" w:sz="4" w:space="0" w:color="auto"/>
              <w:left w:val="single" w:sz="4" w:space="0" w:color="auto"/>
              <w:bottom w:val="single" w:sz="4" w:space="0" w:color="auto"/>
              <w:right w:val="single" w:sz="4" w:space="0" w:color="auto"/>
            </w:tcBorders>
            <w:shd w:val="clear" w:color="auto" w:fill="013E5B"/>
            <w:vAlign w:val="center"/>
            <w:hideMark/>
          </w:tcPr>
          <w:p w:rsidR="005B2D00" w:rsidP="009860E2" w14:paraId="7BE6A9D6" w14:textId="77777777">
            <w:pPr>
              <w:pStyle w:val="TableSubtitle"/>
            </w:pPr>
            <w:r>
              <w:t>Low</w:t>
            </w:r>
          </w:p>
        </w:tc>
        <w:tc>
          <w:tcPr>
            <w:tcW w:w="1020" w:type="dxa"/>
            <w:tcBorders>
              <w:top w:val="single" w:sz="4" w:space="0" w:color="auto"/>
              <w:left w:val="single" w:sz="4" w:space="0" w:color="auto"/>
              <w:bottom w:val="single" w:sz="4" w:space="0" w:color="auto"/>
              <w:right w:val="single" w:sz="4" w:space="0" w:color="auto"/>
            </w:tcBorders>
            <w:shd w:val="clear" w:color="auto" w:fill="013E5B"/>
            <w:vAlign w:val="center"/>
            <w:hideMark/>
          </w:tcPr>
          <w:p w:rsidR="005B2D00" w:rsidP="009860E2" w14:paraId="5B0E7EF6" w14:textId="77777777">
            <w:pPr>
              <w:pStyle w:val="TableSubtitle"/>
            </w:pPr>
            <w:r>
              <w:t>High</w:t>
            </w:r>
          </w:p>
        </w:tc>
        <w:tc>
          <w:tcPr>
            <w:tcW w:w="1020" w:type="dxa"/>
            <w:tcBorders>
              <w:top w:val="single" w:sz="4" w:space="0" w:color="auto"/>
              <w:left w:val="single" w:sz="4" w:space="0" w:color="auto"/>
              <w:bottom w:val="single" w:sz="4" w:space="0" w:color="auto"/>
              <w:right w:val="single" w:sz="4" w:space="0" w:color="auto"/>
            </w:tcBorders>
            <w:shd w:val="clear" w:color="auto" w:fill="013E5B"/>
            <w:vAlign w:val="center"/>
            <w:hideMark/>
          </w:tcPr>
          <w:p w:rsidR="005B2D00" w:rsidP="009860E2" w14:paraId="562985E6" w14:textId="77777777">
            <w:pPr>
              <w:pStyle w:val="TableSubtitle"/>
            </w:pPr>
            <w:r>
              <w:t>Low</w:t>
            </w:r>
          </w:p>
        </w:tc>
        <w:tc>
          <w:tcPr>
            <w:tcW w:w="1020" w:type="dxa"/>
            <w:tcBorders>
              <w:top w:val="single" w:sz="4" w:space="0" w:color="auto"/>
              <w:left w:val="single" w:sz="4" w:space="0" w:color="auto"/>
              <w:bottom w:val="single" w:sz="4" w:space="0" w:color="auto"/>
              <w:right w:val="single" w:sz="4" w:space="0" w:color="auto"/>
            </w:tcBorders>
            <w:shd w:val="clear" w:color="auto" w:fill="013E5B"/>
            <w:vAlign w:val="center"/>
            <w:hideMark/>
          </w:tcPr>
          <w:p w:rsidR="005B2D00" w:rsidP="009860E2" w14:paraId="12029CED" w14:textId="77777777">
            <w:pPr>
              <w:pStyle w:val="TableSubtitle"/>
            </w:pPr>
            <w:r>
              <w:t>High</w:t>
            </w:r>
          </w:p>
        </w:tc>
        <w:tc>
          <w:tcPr>
            <w:tcW w:w="1020" w:type="dxa"/>
            <w:tcBorders>
              <w:top w:val="single" w:sz="4" w:space="0" w:color="auto"/>
              <w:left w:val="single" w:sz="4" w:space="0" w:color="auto"/>
              <w:bottom w:val="single" w:sz="4" w:space="0" w:color="auto"/>
              <w:right w:val="single" w:sz="4" w:space="0" w:color="auto"/>
            </w:tcBorders>
            <w:shd w:val="clear" w:color="auto" w:fill="013E5B"/>
            <w:vAlign w:val="center"/>
            <w:hideMark/>
          </w:tcPr>
          <w:p w:rsidR="005B2D00" w:rsidP="009860E2" w14:paraId="094AF7CF" w14:textId="77777777">
            <w:pPr>
              <w:pStyle w:val="TableSubtitle"/>
            </w:pPr>
            <w:r>
              <w:t>Low</w:t>
            </w:r>
          </w:p>
        </w:tc>
        <w:tc>
          <w:tcPr>
            <w:tcW w:w="1020" w:type="dxa"/>
            <w:tcBorders>
              <w:top w:val="single" w:sz="4" w:space="0" w:color="auto"/>
              <w:left w:val="single" w:sz="4" w:space="0" w:color="auto"/>
              <w:bottom w:val="single" w:sz="4" w:space="0" w:color="auto"/>
              <w:right w:val="single" w:sz="4" w:space="0" w:color="auto"/>
            </w:tcBorders>
            <w:shd w:val="clear" w:color="auto" w:fill="013E5B"/>
            <w:vAlign w:val="center"/>
            <w:hideMark/>
          </w:tcPr>
          <w:p w:rsidR="005B2D00" w:rsidP="009860E2" w14:paraId="1C116D29" w14:textId="77777777">
            <w:pPr>
              <w:pStyle w:val="TableSubtitle"/>
            </w:pPr>
            <w:r>
              <w:t>High</w:t>
            </w:r>
          </w:p>
        </w:tc>
      </w:tr>
      <w:tr w14:paraId="72F27469" w14:textId="77777777" w:rsidTr="009860E2">
        <w:tblPrEx>
          <w:tblW w:w="9360" w:type="dxa"/>
          <w:tblLayout w:type="fixed"/>
          <w:tblLook w:val="04A0"/>
        </w:tblPrEx>
        <w:trPr>
          <w:trHeight w:val="64"/>
        </w:trPr>
        <w:tc>
          <w:tcPr>
            <w:tcW w:w="2070" w:type="dxa"/>
            <w:vMerge w:val="restart"/>
            <w:tcBorders>
              <w:top w:val="single" w:sz="4" w:space="0" w:color="auto"/>
              <w:left w:val="single" w:sz="4" w:space="0" w:color="auto"/>
              <w:right w:val="single" w:sz="4" w:space="0" w:color="auto"/>
            </w:tcBorders>
            <w:shd w:val="clear" w:color="auto" w:fill="auto"/>
            <w:vAlign w:val="center"/>
            <w:hideMark/>
          </w:tcPr>
          <w:p w:rsidR="00EB66D6" w:rsidRPr="00A17501" w:rsidP="00EB66D6" w14:paraId="77141C37" w14:textId="77777777">
            <w:pPr>
              <w:pStyle w:val="LTableTextAbt"/>
            </w:pPr>
            <w:r w:rsidRPr="00A17501">
              <w:t>PV29 manufacturing</w:t>
            </w:r>
            <w:r>
              <w:t xml:space="preserve"> and intermediate processing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B66D6" w:rsidRPr="00A17501" w:rsidP="00EB66D6" w14:paraId="598B6456" w14:textId="77777777">
            <w:pPr>
              <w:pStyle w:val="LTableTextAbt"/>
            </w:pPr>
            <w:r>
              <w:t>Worker</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EB66D6" w:rsidP="00EB66D6" w14:paraId="539528E8" w14:textId="060102A9">
            <w:pPr>
              <w:pStyle w:val="RTableTextAbt"/>
            </w:pPr>
            <w:r>
              <w:t>-</w:t>
            </w:r>
          </w:p>
        </w:tc>
        <w:tc>
          <w:tcPr>
            <w:tcW w:w="1020" w:type="dxa"/>
            <w:tcBorders>
              <w:top w:val="single" w:sz="4" w:space="0" w:color="auto"/>
              <w:left w:val="nil"/>
              <w:bottom w:val="single" w:sz="4" w:space="0" w:color="auto"/>
              <w:right w:val="single" w:sz="4" w:space="0" w:color="auto"/>
            </w:tcBorders>
            <w:shd w:val="clear" w:color="auto" w:fill="auto"/>
            <w:vAlign w:val="center"/>
          </w:tcPr>
          <w:p w:rsidR="00EB66D6" w:rsidP="00EB66D6" w14:paraId="1C4F3B2D" w14:textId="1773CEF3">
            <w:pPr>
              <w:pStyle w:val="RTableTextAbt"/>
            </w:pPr>
            <w:r>
              <w:t>-</w:t>
            </w:r>
          </w:p>
        </w:tc>
        <w:tc>
          <w:tcPr>
            <w:tcW w:w="1020" w:type="dxa"/>
            <w:tcBorders>
              <w:top w:val="single" w:sz="4" w:space="0" w:color="auto"/>
              <w:left w:val="nil"/>
              <w:bottom w:val="single" w:sz="4" w:space="0" w:color="auto"/>
              <w:right w:val="single" w:sz="4" w:space="0" w:color="auto"/>
            </w:tcBorders>
            <w:shd w:val="clear" w:color="auto" w:fill="auto"/>
            <w:vAlign w:val="center"/>
          </w:tcPr>
          <w:p w:rsidR="00EB66D6" w:rsidP="00EB66D6" w14:paraId="269E0098" w14:textId="7EA71160">
            <w:pPr>
              <w:pStyle w:val="RTableTextAbt"/>
            </w:pPr>
            <w:r>
              <w:t>-</w:t>
            </w:r>
          </w:p>
        </w:tc>
        <w:tc>
          <w:tcPr>
            <w:tcW w:w="1020" w:type="dxa"/>
            <w:tcBorders>
              <w:top w:val="single" w:sz="4" w:space="0" w:color="auto"/>
              <w:left w:val="nil"/>
              <w:bottom w:val="single" w:sz="4" w:space="0" w:color="auto"/>
              <w:right w:val="single" w:sz="4" w:space="0" w:color="auto"/>
            </w:tcBorders>
            <w:shd w:val="clear" w:color="auto" w:fill="auto"/>
            <w:vAlign w:val="center"/>
          </w:tcPr>
          <w:p w:rsidR="00EB66D6" w:rsidP="00EB66D6" w14:paraId="1689997E" w14:textId="7407C0AA">
            <w:pPr>
              <w:pStyle w:val="RTableTextAbt"/>
            </w:pPr>
            <w:r>
              <w:t>-</w:t>
            </w:r>
          </w:p>
        </w:tc>
        <w:tc>
          <w:tcPr>
            <w:tcW w:w="1020" w:type="dxa"/>
            <w:tcBorders>
              <w:top w:val="single" w:sz="4" w:space="0" w:color="auto"/>
              <w:left w:val="nil"/>
              <w:bottom w:val="single" w:sz="4" w:space="0" w:color="auto"/>
              <w:right w:val="single" w:sz="4" w:space="0" w:color="auto"/>
            </w:tcBorders>
            <w:shd w:val="clear" w:color="auto" w:fill="auto"/>
            <w:vAlign w:val="center"/>
          </w:tcPr>
          <w:p w:rsidR="00EB66D6" w:rsidP="00EB66D6" w14:paraId="37D23B2F" w14:textId="6F93D7CE">
            <w:pPr>
              <w:pStyle w:val="RTableTextAbt"/>
            </w:pPr>
            <w:r>
              <w:t>-</w:t>
            </w:r>
          </w:p>
        </w:tc>
        <w:tc>
          <w:tcPr>
            <w:tcW w:w="1020" w:type="dxa"/>
            <w:tcBorders>
              <w:top w:val="single" w:sz="4" w:space="0" w:color="auto"/>
              <w:left w:val="nil"/>
              <w:bottom w:val="single" w:sz="4" w:space="0" w:color="auto"/>
              <w:right w:val="single" w:sz="4" w:space="0" w:color="auto"/>
            </w:tcBorders>
            <w:shd w:val="clear" w:color="auto" w:fill="auto"/>
            <w:vAlign w:val="center"/>
          </w:tcPr>
          <w:p w:rsidR="00EB66D6" w:rsidP="00EB66D6" w14:paraId="17354DB2" w14:textId="30A1999E">
            <w:pPr>
              <w:pStyle w:val="RTableTextAbt"/>
            </w:pPr>
            <w:r>
              <w:t>-</w:t>
            </w:r>
          </w:p>
        </w:tc>
      </w:tr>
      <w:tr w14:paraId="67D9BC0A" w14:textId="77777777" w:rsidTr="009860E2">
        <w:tblPrEx>
          <w:tblW w:w="9360" w:type="dxa"/>
          <w:tblLayout w:type="fixed"/>
          <w:tblLook w:val="04A0"/>
        </w:tblPrEx>
        <w:trPr>
          <w:trHeight w:val="64"/>
        </w:trPr>
        <w:tc>
          <w:tcPr>
            <w:tcW w:w="2070" w:type="dxa"/>
            <w:vMerge/>
            <w:tcBorders>
              <w:left w:val="single" w:sz="4" w:space="0" w:color="auto"/>
              <w:right w:val="single" w:sz="4" w:space="0" w:color="auto"/>
            </w:tcBorders>
            <w:shd w:val="clear" w:color="auto" w:fill="auto"/>
            <w:vAlign w:val="center"/>
          </w:tcPr>
          <w:p w:rsidR="00EB66D6" w:rsidRPr="00A17501" w:rsidP="00EB66D6" w14:paraId="5A68DCAD" w14:textId="77777777">
            <w:pPr>
              <w:pStyle w:val="LTableTextAbt"/>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B66D6" w:rsidRPr="00A17501" w:rsidP="00EB66D6" w14:paraId="03E6AE7F" w14:textId="77777777">
            <w:pPr>
              <w:pStyle w:val="LTableTextAbt"/>
            </w:pPr>
            <w:r>
              <w:t>ONU</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EB66D6" w:rsidRPr="00A44526" w:rsidP="00EB66D6" w14:paraId="43C0E2DA" w14:textId="1C69A165">
            <w:pPr>
              <w:pStyle w:val="RTableTextAbt"/>
            </w:pPr>
            <w:r>
              <w:t>-</w:t>
            </w:r>
          </w:p>
        </w:tc>
        <w:tc>
          <w:tcPr>
            <w:tcW w:w="1020" w:type="dxa"/>
            <w:tcBorders>
              <w:top w:val="single" w:sz="4" w:space="0" w:color="auto"/>
              <w:left w:val="nil"/>
              <w:bottom w:val="single" w:sz="4" w:space="0" w:color="auto"/>
              <w:right w:val="single" w:sz="4" w:space="0" w:color="auto"/>
            </w:tcBorders>
            <w:shd w:val="clear" w:color="auto" w:fill="auto"/>
            <w:vAlign w:val="center"/>
          </w:tcPr>
          <w:p w:rsidR="00EB66D6" w:rsidRPr="00A44526" w:rsidP="00EB66D6" w14:paraId="59CB9F2F" w14:textId="50D70AE8">
            <w:pPr>
              <w:pStyle w:val="RTableTextAbt"/>
            </w:pPr>
            <w:r>
              <w:t>-</w:t>
            </w:r>
          </w:p>
        </w:tc>
        <w:tc>
          <w:tcPr>
            <w:tcW w:w="1020" w:type="dxa"/>
            <w:tcBorders>
              <w:top w:val="single" w:sz="4" w:space="0" w:color="auto"/>
              <w:left w:val="nil"/>
              <w:bottom w:val="single" w:sz="4" w:space="0" w:color="auto"/>
              <w:right w:val="single" w:sz="4" w:space="0" w:color="auto"/>
            </w:tcBorders>
            <w:shd w:val="clear" w:color="auto" w:fill="auto"/>
            <w:vAlign w:val="center"/>
          </w:tcPr>
          <w:p w:rsidR="00EB66D6" w:rsidRPr="00A44526" w:rsidP="00EB66D6" w14:paraId="73A6ADAE" w14:textId="6A528895">
            <w:pPr>
              <w:pStyle w:val="RTableTextAbt"/>
            </w:pPr>
            <w:r>
              <w:t>-</w:t>
            </w:r>
          </w:p>
        </w:tc>
        <w:tc>
          <w:tcPr>
            <w:tcW w:w="1020" w:type="dxa"/>
            <w:tcBorders>
              <w:top w:val="single" w:sz="4" w:space="0" w:color="auto"/>
              <w:left w:val="nil"/>
              <w:bottom w:val="single" w:sz="4" w:space="0" w:color="auto"/>
              <w:right w:val="single" w:sz="4" w:space="0" w:color="auto"/>
            </w:tcBorders>
            <w:shd w:val="clear" w:color="auto" w:fill="auto"/>
            <w:vAlign w:val="center"/>
          </w:tcPr>
          <w:p w:rsidR="00EB66D6" w:rsidRPr="00A44526" w:rsidP="00EB66D6" w14:paraId="5C61E3B8" w14:textId="68773CE1">
            <w:pPr>
              <w:pStyle w:val="RTableTextAbt"/>
            </w:pPr>
            <w:r>
              <w:t>-</w:t>
            </w:r>
          </w:p>
        </w:tc>
        <w:tc>
          <w:tcPr>
            <w:tcW w:w="1020" w:type="dxa"/>
            <w:tcBorders>
              <w:top w:val="single" w:sz="4" w:space="0" w:color="auto"/>
              <w:left w:val="nil"/>
              <w:bottom w:val="single" w:sz="4" w:space="0" w:color="auto"/>
              <w:right w:val="single" w:sz="4" w:space="0" w:color="auto"/>
            </w:tcBorders>
            <w:shd w:val="clear" w:color="auto" w:fill="auto"/>
            <w:vAlign w:val="center"/>
          </w:tcPr>
          <w:p w:rsidR="00EB66D6" w:rsidRPr="00A44526" w:rsidP="00EB66D6" w14:paraId="3269FF42" w14:textId="15CAE80F">
            <w:pPr>
              <w:pStyle w:val="RTableTextAbt"/>
            </w:pPr>
            <w:r>
              <w:t>-</w:t>
            </w:r>
          </w:p>
        </w:tc>
        <w:tc>
          <w:tcPr>
            <w:tcW w:w="1020" w:type="dxa"/>
            <w:tcBorders>
              <w:top w:val="single" w:sz="4" w:space="0" w:color="auto"/>
              <w:left w:val="nil"/>
              <w:bottom w:val="single" w:sz="4" w:space="0" w:color="auto"/>
              <w:right w:val="single" w:sz="4" w:space="0" w:color="auto"/>
            </w:tcBorders>
            <w:shd w:val="clear" w:color="auto" w:fill="auto"/>
            <w:vAlign w:val="center"/>
          </w:tcPr>
          <w:p w:rsidR="00EB66D6" w:rsidRPr="00A44526" w:rsidP="00EB66D6" w14:paraId="277252A8" w14:textId="428EFE1E">
            <w:pPr>
              <w:pStyle w:val="RTableTextAbt"/>
            </w:pPr>
            <w:r>
              <w:t>-</w:t>
            </w:r>
          </w:p>
        </w:tc>
      </w:tr>
      <w:tr w14:paraId="7CE91749" w14:textId="77777777" w:rsidTr="009860E2">
        <w:tblPrEx>
          <w:tblW w:w="9360" w:type="dxa"/>
          <w:tblLayout w:type="fixed"/>
          <w:tblLook w:val="04A0"/>
        </w:tblPrEx>
        <w:trPr>
          <w:trHeight w:val="64"/>
        </w:trPr>
        <w:tc>
          <w:tcPr>
            <w:tcW w:w="2070" w:type="dxa"/>
            <w:vMerge/>
            <w:tcBorders>
              <w:left w:val="single" w:sz="4" w:space="0" w:color="auto"/>
              <w:bottom w:val="single" w:sz="4" w:space="0" w:color="auto"/>
              <w:right w:val="single" w:sz="4" w:space="0" w:color="auto"/>
            </w:tcBorders>
            <w:shd w:val="clear" w:color="auto" w:fill="auto"/>
            <w:vAlign w:val="center"/>
          </w:tcPr>
          <w:p w:rsidR="00EB66D6" w:rsidRPr="00A17501" w:rsidP="00EB66D6" w14:paraId="270FB0A3" w14:textId="77777777">
            <w:pPr>
              <w:pStyle w:val="LTableTextAbt"/>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B66D6" w:rsidRPr="00A17501" w:rsidP="00EB66D6" w14:paraId="1FF8315D" w14:textId="77777777">
            <w:pPr>
              <w:pStyle w:val="LTableTextAbt"/>
            </w:pPr>
            <w:r>
              <w:t>Subtotal</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EB66D6" w:rsidRPr="00A44526" w:rsidP="00EB66D6" w14:paraId="0F8A6F97" w14:textId="5D063483">
            <w:pPr>
              <w:pStyle w:val="RTableTextAbt"/>
            </w:pPr>
            <w:r>
              <w:t>-</w:t>
            </w:r>
          </w:p>
        </w:tc>
        <w:tc>
          <w:tcPr>
            <w:tcW w:w="1020" w:type="dxa"/>
            <w:tcBorders>
              <w:top w:val="single" w:sz="4" w:space="0" w:color="auto"/>
              <w:left w:val="nil"/>
              <w:bottom w:val="single" w:sz="4" w:space="0" w:color="auto"/>
              <w:right w:val="single" w:sz="4" w:space="0" w:color="auto"/>
            </w:tcBorders>
            <w:shd w:val="clear" w:color="auto" w:fill="auto"/>
            <w:vAlign w:val="center"/>
          </w:tcPr>
          <w:p w:rsidR="00EB66D6" w:rsidRPr="00A44526" w:rsidP="00EB66D6" w14:paraId="4CE7AD2D" w14:textId="64CA3CD2">
            <w:pPr>
              <w:pStyle w:val="RTableTextAbt"/>
            </w:pPr>
            <w:r>
              <w:t>-</w:t>
            </w:r>
          </w:p>
        </w:tc>
        <w:tc>
          <w:tcPr>
            <w:tcW w:w="1020" w:type="dxa"/>
            <w:tcBorders>
              <w:top w:val="single" w:sz="4" w:space="0" w:color="auto"/>
              <w:left w:val="nil"/>
              <w:bottom w:val="single" w:sz="4" w:space="0" w:color="auto"/>
              <w:right w:val="single" w:sz="4" w:space="0" w:color="auto"/>
            </w:tcBorders>
            <w:shd w:val="clear" w:color="auto" w:fill="auto"/>
            <w:vAlign w:val="center"/>
          </w:tcPr>
          <w:p w:rsidR="00EB66D6" w:rsidRPr="00A44526" w:rsidP="00EB66D6" w14:paraId="6EEB6F76" w14:textId="7B4EADF1">
            <w:pPr>
              <w:pStyle w:val="RTableTextAbt"/>
            </w:pPr>
            <w:r>
              <w:t>-</w:t>
            </w:r>
          </w:p>
        </w:tc>
        <w:tc>
          <w:tcPr>
            <w:tcW w:w="1020" w:type="dxa"/>
            <w:tcBorders>
              <w:top w:val="single" w:sz="4" w:space="0" w:color="auto"/>
              <w:left w:val="nil"/>
              <w:bottom w:val="single" w:sz="4" w:space="0" w:color="auto"/>
              <w:right w:val="single" w:sz="4" w:space="0" w:color="auto"/>
            </w:tcBorders>
            <w:shd w:val="clear" w:color="auto" w:fill="auto"/>
            <w:vAlign w:val="center"/>
          </w:tcPr>
          <w:p w:rsidR="00EB66D6" w:rsidRPr="00A44526" w:rsidP="00EB66D6" w14:paraId="591FF315" w14:textId="41677F25">
            <w:pPr>
              <w:pStyle w:val="RTableTextAbt"/>
            </w:pPr>
            <w:r>
              <w:t>-</w:t>
            </w:r>
          </w:p>
        </w:tc>
        <w:tc>
          <w:tcPr>
            <w:tcW w:w="1020" w:type="dxa"/>
            <w:tcBorders>
              <w:top w:val="single" w:sz="4" w:space="0" w:color="auto"/>
              <w:left w:val="nil"/>
              <w:bottom w:val="single" w:sz="4" w:space="0" w:color="auto"/>
              <w:right w:val="single" w:sz="4" w:space="0" w:color="auto"/>
            </w:tcBorders>
            <w:shd w:val="clear" w:color="auto" w:fill="auto"/>
            <w:vAlign w:val="center"/>
          </w:tcPr>
          <w:p w:rsidR="00EB66D6" w:rsidRPr="00A44526" w:rsidP="00EB66D6" w14:paraId="39BD5827" w14:textId="2435426B">
            <w:pPr>
              <w:pStyle w:val="RTableTextAbt"/>
            </w:pPr>
            <w:r>
              <w:t>-</w:t>
            </w:r>
          </w:p>
        </w:tc>
        <w:tc>
          <w:tcPr>
            <w:tcW w:w="1020" w:type="dxa"/>
            <w:tcBorders>
              <w:top w:val="single" w:sz="4" w:space="0" w:color="auto"/>
              <w:left w:val="nil"/>
              <w:bottom w:val="single" w:sz="4" w:space="0" w:color="auto"/>
              <w:right w:val="single" w:sz="4" w:space="0" w:color="auto"/>
            </w:tcBorders>
            <w:shd w:val="clear" w:color="auto" w:fill="auto"/>
            <w:vAlign w:val="center"/>
          </w:tcPr>
          <w:p w:rsidR="00EB66D6" w:rsidRPr="00A44526" w:rsidP="00EB66D6" w14:paraId="2FEB9CBF" w14:textId="02B795D3">
            <w:pPr>
              <w:pStyle w:val="RTableTextAbt"/>
            </w:pPr>
            <w:r>
              <w:t>-</w:t>
            </w:r>
          </w:p>
        </w:tc>
      </w:tr>
      <w:tr w14:paraId="01FF18D0" w14:textId="77777777" w:rsidTr="009860E2">
        <w:tblPrEx>
          <w:tblW w:w="9360" w:type="dxa"/>
          <w:tblLayout w:type="fixed"/>
          <w:tblLook w:val="04A0"/>
        </w:tblPrEx>
        <w:trPr>
          <w:trHeight w:val="64"/>
        </w:trPr>
        <w:tc>
          <w:tcPr>
            <w:tcW w:w="2070" w:type="dxa"/>
            <w:vMerge w:val="restart"/>
            <w:tcBorders>
              <w:top w:val="single" w:sz="4" w:space="0" w:color="auto"/>
              <w:left w:val="single" w:sz="4" w:space="0" w:color="auto"/>
              <w:right w:val="single" w:sz="4" w:space="0" w:color="auto"/>
            </w:tcBorders>
            <w:shd w:val="clear" w:color="auto" w:fill="auto"/>
            <w:vAlign w:val="center"/>
          </w:tcPr>
          <w:p w:rsidR="001B1ED7" w:rsidRPr="00A17501" w:rsidP="001B1ED7" w14:paraId="152F4BCD" w14:textId="77777777">
            <w:pPr>
              <w:pStyle w:val="LTableTextAbt"/>
            </w:pPr>
            <w:r>
              <w:t>PV29 importing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B1ED7" w:rsidRPr="00A17501" w:rsidP="001B1ED7" w14:paraId="527BA9C0" w14:textId="77777777">
            <w:pPr>
              <w:pStyle w:val="LTableTextAbt"/>
            </w:pPr>
            <w:r>
              <w:t>Worker</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1B1ED7" w:rsidP="001B1ED7" w14:paraId="6D2C0004" w14:textId="676698A0">
            <w:pPr>
              <w:pStyle w:val="RTableTextAbt"/>
              <w:rPr>
                <w:szCs w:val="18"/>
              </w:rPr>
            </w:pPr>
            <w:r>
              <w:rPr>
                <w:szCs w:val="18"/>
              </w:rPr>
              <w:t>0.0100</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P="001B1ED7" w14:paraId="4C098E6A" w14:textId="44E631B0">
            <w:pPr>
              <w:pStyle w:val="RTableTextAbt"/>
              <w:rPr>
                <w:szCs w:val="18"/>
              </w:rPr>
            </w:pPr>
            <w:r>
              <w:rPr>
                <w:szCs w:val="18"/>
              </w:rPr>
              <w:t>0.0224</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P="001B1ED7" w14:paraId="25A9672E" w14:textId="634003AE">
            <w:pPr>
              <w:pStyle w:val="RTableTextAbt"/>
              <w:rPr>
                <w:szCs w:val="18"/>
              </w:rPr>
            </w:pPr>
            <w:r>
              <w:rPr>
                <w:szCs w:val="18"/>
              </w:rPr>
              <w:t xml:space="preserve">$7,675 </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P="001B1ED7" w14:paraId="6EE80E0C" w14:textId="2FE7E9B6">
            <w:pPr>
              <w:pStyle w:val="RTableTextAbt"/>
              <w:rPr>
                <w:szCs w:val="18"/>
              </w:rPr>
            </w:pPr>
            <w:r>
              <w:rPr>
                <w:szCs w:val="18"/>
              </w:rPr>
              <w:t xml:space="preserve">$17,157 </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P="001B1ED7" w14:paraId="576FE75B" w14:textId="13ED910E">
            <w:pPr>
              <w:pStyle w:val="RTableTextAbt"/>
              <w:rPr>
                <w:szCs w:val="18"/>
              </w:rPr>
            </w:pPr>
            <w:r>
              <w:rPr>
                <w:szCs w:val="18"/>
              </w:rPr>
              <w:t xml:space="preserve">$7,120 </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P="001B1ED7" w14:paraId="7B0B77C7" w14:textId="5D387A22">
            <w:pPr>
              <w:pStyle w:val="RTableTextAbt"/>
              <w:rPr>
                <w:szCs w:val="18"/>
              </w:rPr>
            </w:pPr>
            <w:r>
              <w:rPr>
                <w:szCs w:val="18"/>
              </w:rPr>
              <w:t xml:space="preserve">$15,919 </w:t>
            </w:r>
          </w:p>
        </w:tc>
      </w:tr>
      <w:tr w14:paraId="71EB7452" w14:textId="77777777" w:rsidTr="009860E2">
        <w:tblPrEx>
          <w:tblW w:w="9360" w:type="dxa"/>
          <w:tblLayout w:type="fixed"/>
          <w:tblLook w:val="04A0"/>
        </w:tblPrEx>
        <w:trPr>
          <w:trHeight w:val="136"/>
        </w:trPr>
        <w:tc>
          <w:tcPr>
            <w:tcW w:w="2070" w:type="dxa"/>
            <w:vMerge/>
            <w:tcBorders>
              <w:left w:val="single" w:sz="4" w:space="0" w:color="auto"/>
              <w:right w:val="single" w:sz="4" w:space="0" w:color="auto"/>
            </w:tcBorders>
            <w:shd w:val="clear" w:color="auto" w:fill="auto"/>
            <w:vAlign w:val="center"/>
          </w:tcPr>
          <w:p w:rsidR="001B1ED7" w:rsidP="001B1ED7" w14:paraId="32679F6E" w14:textId="77777777">
            <w:pPr>
              <w:pStyle w:val="LTableTextAbt"/>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B1ED7" w:rsidRPr="00A17501" w:rsidP="001B1ED7" w14:paraId="4C5C1DD2" w14:textId="77777777">
            <w:pPr>
              <w:pStyle w:val="LTableTextAbt"/>
            </w:pPr>
            <w:r>
              <w:t>ONU</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1B1ED7" w:rsidRPr="00A44526" w:rsidP="001B1ED7" w14:paraId="04F0F07D" w14:textId="07F9AEEB">
            <w:pPr>
              <w:pStyle w:val="RTableTextAbt"/>
            </w:pPr>
            <w:r>
              <w:rPr>
                <w:szCs w:val="18"/>
              </w:rPr>
              <w:t>0.0035</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2A468DCE" w14:textId="04A2A18F">
            <w:pPr>
              <w:pStyle w:val="RTableTextAbt"/>
            </w:pPr>
            <w:r>
              <w:rPr>
                <w:szCs w:val="18"/>
              </w:rPr>
              <w:t>0.0078</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6FBAD99F" w14:textId="589528AF">
            <w:pPr>
              <w:pStyle w:val="RTableTextAbt"/>
            </w:pPr>
            <w:r>
              <w:rPr>
                <w:szCs w:val="18"/>
              </w:rPr>
              <w:t xml:space="preserve">$2,667 </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6E3B9508" w14:textId="4D2BD07C">
            <w:pPr>
              <w:pStyle w:val="RTableTextAbt"/>
            </w:pPr>
            <w:r>
              <w:rPr>
                <w:szCs w:val="18"/>
              </w:rPr>
              <w:t xml:space="preserve">$5,977 </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7ED13FE0" w14:textId="3F37A3E6">
            <w:pPr>
              <w:pStyle w:val="RTableTextAbt"/>
            </w:pPr>
            <w:r>
              <w:rPr>
                <w:szCs w:val="18"/>
              </w:rPr>
              <w:t xml:space="preserve">$2,474 </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3C8C6AD6" w14:textId="5116C1DE">
            <w:pPr>
              <w:pStyle w:val="RTableTextAbt"/>
            </w:pPr>
            <w:r>
              <w:rPr>
                <w:szCs w:val="18"/>
              </w:rPr>
              <w:t xml:space="preserve">$5,546 </w:t>
            </w:r>
          </w:p>
        </w:tc>
      </w:tr>
      <w:tr w14:paraId="297373E4" w14:textId="77777777" w:rsidTr="009860E2">
        <w:tblPrEx>
          <w:tblW w:w="9360" w:type="dxa"/>
          <w:tblLayout w:type="fixed"/>
          <w:tblLook w:val="04A0"/>
        </w:tblPrEx>
        <w:trPr>
          <w:trHeight w:val="136"/>
        </w:trPr>
        <w:tc>
          <w:tcPr>
            <w:tcW w:w="2070" w:type="dxa"/>
            <w:vMerge/>
            <w:tcBorders>
              <w:left w:val="single" w:sz="4" w:space="0" w:color="auto"/>
              <w:bottom w:val="single" w:sz="4" w:space="0" w:color="auto"/>
              <w:right w:val="single" w:sz="4" w:space="0" w:color="auto"/>
            </w:tcBorders>
            <w:shd w:val="clear" w:color="auto" w:fill="auto"/>
            <w:vAlign w:val="center"/>
          </w:tcPr>
          <w:p w:rsidR="001B1ED7" w:rsidP="001B1ED7" w14:paraId="70DA7329" w14:textId="77777777">
            <w:pPr>
              <w:pStyle w:val="LTableTextAbt"/>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B1ED7" w:rsidRPr="00A17501" w:rsidP="001B1ED7" w14:paraId="0780D207" w14:textId="77777777">
            <w:pPr>
              <w:pStyle w:val="LTableTextAbt"/>
            </w:pPr>
            <w:r>
              <w:t>Subtotal</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1B1ED7" w:rsidRPr="00A44526" w:rsidP="001B1ED7" w14:paraId="7405F9D5" w14:textId="4A7DF2C5">
            <w:pPr>
              <w:pStyle w:val="RTableTextAbt"/>
            </w:pPr>
            <w:r>
              <w:rPr>
                <w:b/>
                <w:bCs w:val="0"/>
                <w:szCs w:val="18"/>
              </w:rPr>
              <w:t>0.0135</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244E4F6D" w14:textId="4BA35B62">
            <w:pPr>
              <w:pStyle w:val="RTableTextAbt"/>
            </w:pPr>
            <w:r>
              <w:rPr>
                <w:b/>
                <w:bCs w:val="0"/>
                <w:szCs w:val="18"/>
              </w:rPr>
              <w:t>0.0302</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6B49C390" w14:textId="6BCC4565">
            <w:pPr>
              <w:pStyle w:val="RTableTextAbt"/>
            </w:pPr>
            <w:r>
              <w:rPr>
                <w:b/>
                <w:bCs w:val="0"/>
                <w:szCs w:val="18"/>
              </w:rPr>
              <w:t xml:space="preserve">$10,341 </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07E069A5" w14:textId="0BFDCA04">
            <w:pPr>
              <w:pStyle w:val="RTableTextAbt"/>
            </w:pPr>
            <w:r>
              <w:rPr>
                <w:b/>
                <w:bCs w:val="0"/>
                <w:szCs w:val="18"/>
              </w:rPr>
              <w:t xml:space="preserve">$23,135 </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47419C02" w14:textId="659BDEAD">
            <w:pPr>
              <w:pStyle w:val="RTableTextAbt"/>
            </w:pPr>
            <w:r>
              <w:rPr>
                <w:b/>
                <w:bCs w:val="0"/>
                <w:szCs w:val="18"/>
              </w:rPr>
              <w:t xml:space="preserve">$9,595 </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3B0AD3FD" w14:textId="38413295">
            <w:pPr>
              <w:pStyle w:val="RTableTextAbt"/>
            </w:pPr>
            <w:r>
              <w:rPr>
                <w:b/>
                <w:bCs w:val="0"/>
                <w:szCs w:val="18"/>
              </w:rPr>
              <w:t xml:space="preserve">$21,464 </w:t>
            </w:r>
          </w:p>
        </w:tc>
      </w:tr>
      <w:tr w14:paraId="6FDAE66C" w14:textId="77777777" w:rsidTr="009860E2">
        <w:tblPrEx>
          <w:tblW w:w="9360" w:type="dxa"/>
          <w:tblLayout w:type="fixed"/>
          <w:tblLook w:val="04A0"/>
        </w:tblPrEx>
        <w:trPr>
          <w:trHeight w:val="64"/>
        </w:trPr>
        <w:tc>
          <w:tcPr>
            <w:tcW w:w="2070" w:type="dxa"/>
            <w:vMerge w:val="restart"/>
            <w:tcBorders>
              <w:top w:val="single" w:sz="4" w:space="0" w:color="auto"/>
              <w:left w:val="single" w:sz="4" w:space="0" w:color="auto"/>
              <w:right w:val="single" w:sz="4" w:space="0" w:color="auto"/>
            </w:tcBorders>
            <w:shd w:val="clear" w:color="auto" w:fill="auto"/>
            <w:vAlign w:val="center"/>
            <w:hideMark/>
          </w:tcPr>
          <w:p w:rsidR="001B1ED7" w:rsidRPr="00A17501" w:rsidP="001B1ED7" w14:paraId="4D31C9A5" w14:textId="77777777">
            <w:pPr>
              <w:pStyle w:val="LTableTextAbt"/>
            </w:pPr>
            <w:r w:rsidRPr="00A17501">
              <w:t>Processing into automotive paints and coatings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B1ED7" w:rsidRPr="00A17501" w:rsidP="001B1ED7" w14:paraId="0A11944A" w14:textId="77777777">
            <w:pPr>
              <w:pStyle w:val="LTableTextAbt"/>
            </w:pPr>
            <w:r>
              <w:t>Worker</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1B1ED7" w:rsidP="001B1ED7" w14:paraId="5F728A16" w14:textId="4818556A">
            <w:pPr>
              <w:pStyle w:val="RTableTextAbt"/>
            </w:pPr>
            <w:r>
              <w:rPr>
                <w:szCs w:val="18"/>
              </w:rPr>
              <w:t>0.1403</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P="001B1ED7" w14:paraId="48285877" w14:textId="37E07364">
            <w:pPr>
              <w:pStyle w:val="RTableTextAbt"/>
            </w:pPr>
            <w:r>
              <w:rPr>
                <w:szCs w:val="18"/>
              </w:rPr>
              <w:t>0.3136</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P="001B1ED7" w14:paraId="4ED6AB57" w14:textId="739194C5">
            <w:pPr>
              <w:pStyle w:val="RTableTextAbt"/>
            </w:pPr>
            <w:r>
              <w:rPr>
                <w:szCs w:val="18"/>
              </w:rPr>
              <w:t xml:space="preserve">$107,445 </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P="001B1ED7" w14:paraId="1C7807D8" w14:textId="6AAFD5F9">
            <w:pPr>
              <w:pStyle w:val="RTableTextAbt"/>
            </w:pPr>
            <w:r>
              <w:rPr>
                <w:szCs w:val="18"/>
              </w:rPr>
              <w:t xml:space="preserve">$240,205 </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P="001B1ED7" w14:paraId="43D197C6" w14:textId="6FF63C18">
            <w:pPr>
              <w:pStyle w:val="RTableTextAbt"/>
            </w:pPr>
            <w:r>
              <w:rPr>
                <w:szCs w:val="18"/>
              </w:rPr>
              <w:t xml:space="preserve">$99,687 </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P="001B1ED7" w14:paraId="5AB86A82" w14:textId="5CD8C9F2">
            <w:pPr>
              <w:pStyle w:val="RTableTextAbt"/>
            </w:pPr>
            <w:r>
              <w:rPr>
                <w:szCs w:val="18"/>
              </w:rPr>
              <w:t xml:space="preserve">$222,860 </w:t>
            </w:r>
          </w:p>
        </w:tc>
      </w:tr>
      <w:tr w14:paraId="1138DA5D" w14:textId="77777777" w:rsidTr="009860E2">
        <w:tblPrEx>
          <w:tblW w:w="9360" w:type="dxa"/>
          <w:tblLayout w:type="fixed"/>
          <w:tblLook w:val="04A0"/>
        </w:tblPrEx>
        <w:trPr>
          <w:trHeight w:val="64"/>
        </w:trPr>
        <w:tc>
          <w:tcPr>
            <w:tcW w:w="2070" w:type="dxa"/>
            <w:vMerge/>
            <w:tcBorders>
              <w:left w:val="single" w:sz="4" w:space="0" w:color="auto"/>
              <w:right w:val="single" w:sz="4" w:space="0" w:color="auto"/>
            </w:tcBorders>
            <w:shd w:val="clear" w:color="auto" w:fill="auto"/>
            <w:vAlign w:val="center"/>
          </w:tcPr>
          <w:p w:rsidR="001B1ED7" w:rsidRPr="00A17501" w:rsidP="001B1ED7" w14:paraId="3BC6BE56" w14:textId="77777777">
            <w:pPr>
              <w:pStyle w:val="LTableTextAbt"/>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B1ED7" w:rsidRPr="00A17501" w:rsidP="001B1ED7" w14:paraId="5280C1E2" w14:textId="77777777">
            <w:pPr>
              <w:pStyle w:val="LTableTextAbt"/>
            </w:pPr>
            <w:r>
              <w:t>ONU</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1B1ED7" w:rsidRPr="00A44526" w:rsidP="001B1ED7" w14:paraId="309AD05F" w14:textId="330653F7">
            <w:pPr>
              <w:pStyle w:val="RTableTextAbt"/>
            </w:pPr>
            <w:r>
              <w:rPr>
                <w:szCs w:val="18"/>
              </w:rPr>
              <w:t>0.0487</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3E389B1D" w14:textId="06E2798A">
            <w:pPr>
              <w:pStyle w:val="RTableTextAbt"/>
            </w:pPr>
            <w:r>
              <w:rPr>
                <w:szCs w:val="18"/>
              </w:rPr>
              <w:t>0.1092</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1CA36FC5" w14:textId="4DFE42C4">
            <w:pPr>
              <w:pStyle w:val="RTableTextAbt"/>
            </w:pPr>
            <w:r>
              <w:rPr>
                <w:szCs w:val="18"/>
              </w:rPr>
              <w:t xml:space="preserve">$37,336 </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45038FF0" w14:textId="6D8AB1EF">
            <w:pPr>
              <w:pStyle w:val="RTableTextAbt"/>
            </w:pPr>
            <w:r>
              <w:rPr>
                <w:szCs w:val="18"/>
              </w:rPr>
              <w:t xml:space="preserve">$83,683 </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34B5CCF2" w14:textId="3059249B">
            <w:pPr>
              <w:pStyle w:val="RTableTextAbt"/>
            </w:pPr>
            <w:r>
              <w:rPr>
                <w:szCs w:val="18"/>
              </w:rPr>
              <w:t xml:space="preserve">$34,640 </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3D8422D3" w14:textId="6FC338FF">
            <w:pPr>
              <w:pStyle w:val="RTableTextAbt"/>
            </w:pPr>
            <w:r>
              <w:rPr>
                <w:szCs w:val="18"/>
              </w:rPr>
              <w:t xml:space="preserve">$77,640 </w:t>
            </w:r>
          </w:p>
        </w:tc>
      </w:tr>
      <w:tr w14:paraId="00E8CA20" w14:textId="77777777" w:rsidTr="009860E2">
        <w:tblPrEx>
          <w:tblW w:w="9360" w:type="dxa"/>
          <w:tblLayout w:type="fixed"/>
          <w:tblLook w:val="04A0"/>
        </w:tblPrEx>
        <w:trPr>
          <w:trHeight w:val="64"/>
        </w:trPr>
        <w:tc>
          <w:tcPr>
            <w:tcW w:w="2070" w:type="dxa"/>
            <w:vMerge/>
            <w:tcBorders>
              <w:left w:val="single" w:sz="4" w:space="0" w:color="auto"/>
              <w:bottom w:val="single" w:sz="4" w:space="0" w:color="auto"/>
              <w:right w:val="single" w:sz="4" w:space="0" w:color="auto"/>
            </w:tcBorders>
            <w:shd w:val="clear" w:color="auto" w:fill="auto"/>
            <w:vAlign w:val="center"/>
          </w:tcPr>
          <w:p w:rsidR="001B1ED7" w:rsidRPr="00A17501" w:rsidP="001B1ED7" w14:paraId="4D1DCFDE" w14:textId="77777777">
            <w:pPr>
              <w:pStyle w:val="LTableTextAbt"/>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B1ED7" w:rsidRPr="00A17501" w:rsidP="001B1ED7" w14:paraId="0BBC4654" w14:textId="77777777">
            <w:pPr>
              <w:pStyle w:val="LTableTextAbt"/>
            </w:pPr>
            <w:r>
              <w:t>Subtotal</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1B1ED7" w:rsidRPr="00A44526" w:rsidP="001B1ED7" w14:paraId="50E2AD5A" w14:textId="3E456D0B">
            <w:pPr>
              <w:pStyle w:val="RTableTextAbt"/>
            </w:pPr>
            <w:r>
              <w:rPr>
                <w:b/>
                <w:bCs w:val="0"/>
                <w:szCs w:val="18"/>
              </w:rPr>
              <w:t>0.1890</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23212F50" w14:textId="10017303">
            <w:pPr>
              <w:pStyle w:val="RTableTextAbt"/>
            </w:pPr>
            <w:r>
              <w:rPr>
                <w:b/>
                <w:bCs w:val="0"/>
                <w:szCs w:val="18"/>
              </w:rPr>
              <w:t>0.4228</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4B20CCD4" w14:textId="52A044F5">
            <w:pPr>
              <w:pStyle w:val="RTableTextAbt"/>
            </w:pPr>
            <w:r>
              <w:rPr>
                <w:b/>
                <w:bCs w:val="0"/>
                <w:szCs w:val="18"/>
              </w:rPr>
              <w:t xml:space="preserve">$144,781 </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445EC6C5" w14:textId="496C180A">
            <w:pPr>
              <w:pStyle w:val="RTableTextAbt"/>
            </w:pPr>
            <w:r>
              <w:rPr>
                <w:b/>
                <w:bCs w:val="0"/>
                <w:szCs w:val="18"/>
              </w:rPr>
              <w:t xml:space="preserve">$323,887 </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02FC40AC" w14:textId="6E3028F6">
            <w:pPr>
              <w:pStyle w:val="RTableTextAbt"/>
            </w:pPr>
            <w:r>
              <w:rPr>
                <w:b/>
                <w:bCs w:val="0"/>
                <w:szCs w:val="18"/>
              </w:rPr>
              <w:t xml:space="preserve">$134,327 </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2249B671" w14:textId="488B7012">
            <w:pPr>
              <w:pStyle w:val="RTableTextAbt"/>
            </w:pPr>
            <w:r>
              <w:rPr>
                <w:b/>
                <w:bCs w:val="0"/>
                <w:szCs w:val="18"/>
              </w:rPr>
              <w:t xml:space="preserve">$300,501 </w:t>
            </w:r>
          </w:p>
        </w:tc>
      </w:tr>
      <w:tr w14:paraId="3BEAE72B" w14:textId="77777777" w:rsidTr="009860E2">
        <w:tblPrEx>
          <w:tblW w:w="9360" w:type="dxa"/>
          <w:tblLayout w:type="fixed"/>
          <w:tblLook w:val="04A0"/>
        </w:tblPrEx>
        <w:trPr>
          <w:trHeight w:val="64"/>
        </w:trPr>
        <w:tc>
          <w:tcPr>
            <w:tcW w:w="2070" w:type="dxa"/>
            <w:vMerge w:val="restart"/>
            <w:tcBorders>
              <w:top w:val="single" w:sz="4" w:space="0" w:color="auto"/>
              <w:left w:val="single" w:sz="4" w:space="0" w:color="auto"/>
              <w:right w:val="single" w:sz="4" w:space="0" w:color="auto"/>
            </w:tcBorders>
            <w:shd w:val="clear" w:color="auto" w:fill="auto"/>
            <w:vAlign w:val="center"/>
            <w:hideMark/>
          </w:tcPr>
          <w:p w:rsidR="001B1ED7" w:rsidRPr="00A17501" w:rsidP="001B1ED7" w14:paraId="7D9ED329" w14:textId="77777777">
            <w:pPr>
              <w:pStyle w:val="LTableTextAbt"/>
            </w:pPr>
            <w:r w:rsidRPr="00A17501">
              <w:t>Processing into plastic and rubber products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B1ED7" w:rsidRPr="00A17501" w:rsidP="001B1ED7" w14:paraId="5117CC2C" w14:textId="77777777">
            <w:pPr>
              <w:pStyle w:val="LTableTextAbt"/>
            </w:pPr>
            <w:r>
              <w:t>Worker</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1B1ED7" w:rsidP="001B1ED7" w14:paraId="1900982B" w14:textId="34BFD1E7">
            <w:pPr>
              <w:pStyle w:val="RTableTextAbt"/>
            </w:pPr>
            <w:r>
              <w:rPr>
                <w:szCs w:val="18"/>
              </w:rPr>
              <w:t>0.0232</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P="001B1ED7" w14:paraId="46DA577A" w14:textId="7EA99042">
            <w:pPr>
              <w:pStyle w:val="RTableTextAbt"/>
            </w:pPr>
            <w:r>
              <w:rPr>
                <w:szCs w:val="18"/>
              </w:rPr>
              <w:t>0.0518</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P="001B1ED7" w14:paraId="415AC374" w14:textId="676FDFE8">
            <w:pPr>
              <w:pStyle w:val="RTableTextAbt"/>
            </w:pPr>
            <w:r>
              <w:rPr>
                <w:szCs w:val="18"/>
              </w:rPr>
              <w:t xml:space="preserve">$17,761 </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P="001B1ED7" w14:paraId="520914B4" w14:textId="3E9279AE">
            <w:pPr>
              <w:pStyle w:val="RTableTextAbt"/>
            </w:pPr>
            <w:r>
              <w:rPr>
                <w:szCs w:val="18"/>
              </w:rPr>
              <w:t xml:space="preserve">$39,707 </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P="001B1ED7" w14:paraId="416C15E2" w14:textId="4BC2325E">
            <w:pPr>
              <w:pStyle w:val="RTableTextAbt"/>
            </w:pPr>
            <w:r>
              <w:rPr>
                <w:szCs w:val="18"/>
              </w:rPr>
              <w:t xml:space="preserve">$16,479 </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P="001B1ED7" w14:paraId="6A90466E" w14:textId="1BD5F0B7">
            <w:pPr>
              <w:pStyle w:val="RTableTextAbt"/>
            </w:pPr>
            <w:r>
              <w:rPr>
                <w:szCs w:val="18"/>
              </w:rPr>
              <w:t xml:space="preserve">$36,840 </w:t>
            </w:r>
          </w:p>
        </w:tc>
      </w:tr>
      <w:tr w14:paraId="60727F89" w14:textId="77777777" w:rsidTr="009860E2">
        <w:tblPrEx>
          <w:tblW w:w="9360" w:type="dxa"/>
          <w:tblLayout w:type="fixed"/>
          <w:tblLook w:val="04A0"/>
        </w:tblPrEx>
        <w:trPr>
          <w:trHeight w:val="64"/>
        </w:trPr>
        <w:tc>
          <w:tcPr>
            <w:tcW w:w="2070" w:type="dxa"/>
            <w:vMerge/>
            <w:tcBorders>
              <w:left w:val="single" w:sz="4" w:space="0" w:color="auto"/>
              <w:right w:val="single" w:sz="4" w:space="0" w:color="auto"/>
            </w:tcBorders>
            <w:shd w:val="clear" w:color="auto" w:fill="auto"/>
            <w:vAlign w:val="center"/>
          </w:tcPr>
          <w:p w:rsidR="001B1ED7" w:rsidRPr="00A17501" w:rsidP="001B1ED7" w14:paraId="3DB3241A" w14:textId="77777777">
            <w:pPr>
              <w:pStyle w:val="LTableTextAbt"/>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B1ED7" w:rsidRPr="00A17501" w:rsidP="001B1ED7" w14:paraId="1C7CDE3A" w14:textId="77777777">
            <w:pPr>
              <w:pStyle w:val="LTableTextAbt"/>
            </w:pPr>
            <w:r>
              <w:t>ONU</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1B1ED7" w:rsidRPr="00A44526" w:rsidP="001B1ED7" w14:paraId="7D66164E" w14:textId="4B17F536">
            <w:pPr>
              <w:pStyle w:val="RTableTextAbt"/>
            </w:pPr>
            <w:r>
              <w:rPr>
                <w:szCs w:val="18"/>
              </w:rPr>
              <w:t>0.0100</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5072BA3A" w14:textId="7BFCDD85">
            <w:pPr>
              <w:pStyle w:val="RTableTextAbt"/>
            </w:pPr>
            <w:r>
              <w:rPr>
                <w:szCs w:val="18"/>
              </w:rPr>
              <w:t>0.0225</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5C5F21B4" w14:textId="4562B7F6">
            <w:pPr>
              <w:pStyle w:val="RTableTextAbt"/>
            </w:pPr>
            <w:r>
              <w:rPr>
                <w:szCs w:val="18"/>
              </w:rPr>
              <w:t xml:space="preserve">$7,681 </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489CE00A" w14:textId="3F9227F5">
            <w:pPr>
              <w:pStyle w:val="RTableTextAbt"/>
            </w:pPr>
            <w:r>
              <w:rPr>
                <w:szCs w:val="18"/>
              </w:rPr>
              <w:t xml:space="preserve">$17,215 </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454BBDD1" w14:textId="3DE40421">
            <w:pPr>
              <w:pStyle w:val="RTableTextAbt"/>
            </w:pPr>
            <w:r>
              <w:rPr>
                <w:szCs w:val="18"/>
              </w:rPr>
              <w:t xml:space="preserve">$7,126 </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05BDE122" w14:textId="7E170CD3">
            <w:pPr>
              <w:pStyle w:val="RTableTextAbt"/>
            </w:pPr>
            <w:r>
              <w:rPr>
                <w:szCs w:val="18"/>
              </w:rPr>
              <w:t xml:space="preserve">$15,972 </w:t>
            </w:r>
          </w:p>
        </w:tc>
      </w:tr>
      <w:tr w14:paraId="1CEDF93E" w14:textId="77777777" w:rsidTr="009860E2">
        <w:tblPrEx>
          <w:tblW w:w="9360" w:type="dxa"/>
          <w:tblLayout w:type="fixed"/>
          <w:tblLook w:val="04A0"/>
        </w:tblPrEx>
        <w:trPr>
          <w:trHeight w:val="262"/>
        </w:trPr>
        <w:tc>
          <w:tcPr>
            <w:tcW w:w="2070" w:type="dxa"/>
            <w:vMerge/>
            <w:tcBorders>
              <w:left w:val="single" w:sz="4" w:space="0" w:color="auto"/>
              <w:bottom w:val="single" w:sz="4" w:space="0" w:color="auto"/>
              <w:right w:val="single" w:sz="4" w:space="0" w:color="auto"/>
            </w:tcBorders>
            <w:shd w:val="clear" w:color="auto" w:fill="auto"/>
            <w:vAlign w:val="center"/>
          </w:tcPr>
          <w:p w:rsidR="001B1ED7" w:rsidRPr="00A17501" w:rsidP="001B1ED7" w14:paraId="23938EBA" w14:textId="77777777">
            <w:pPr>
              <w:pStyle w:val="LTableTextAbt"/>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B1ED7" w:rsidRPr="00A17501" w:rsidP="001B1ED7" w14:paraId="6ED734E2" w14:textId="77777777">
            <w:pPr>
              <w:pStyle w:val="LTableTextAbt"/>
            </w:pPr>
            <w:r>
              <w:t>Subtotal</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1B1ED7" w:rsidRPr="00A44526" w:rsidP="001B1ED7" w14:paraId="5114AE99" w14:textId="112A7C8D">
            <w:pPr>
              <w:pStyle w:val="RTableTextAbt"/>
            </w:pPr>
            <w:r>
              <w:rPr>
                <w:b/>
                <w:bCs w:val="0"/>
                <w:szCs w:val="18"/>
              </w:rPr>
              <w:t>0.0332</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217AFE06" w14:textId="58E21869">
            <w:pPr>
              <w:pStyle w:val="RTableTextAbt"/>
            </w:pPr>
            <w:r>
              <w:rPr>
                <w:b/>
                <w:bCs w:val="0"/>
                <w:szCs w:val="18"/>
              </w:rPr>
              <w:t>0.0743</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066FE8E0" w14:textId="54703A5C">
            <w:pPr>
              <w:pStyle w:val="RTableTextAbt"/>
            </w:pPr>
            <w:r>
              <w:rPr>
                <w:b/>
                <w:bCs w:val="0"/>
                <w:szCs w:val="18"/>
              </w:rPr>
              <w:t xml:space="preserve">$25,442 </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0E4591CD" w14:textId="546722B3">
            <w:pPr>
              <w:pStyle w:val="RTableTextAbt"/>
            </w:pPr>
            <w:r>
              <w:rPr>
                <w:b/>
                <w:bCs w:val="0"/>
                <w:szCs w:val="18"/>
              </w:rPr>
              <w:t xml:space="preserve">$56,922 </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1DF71056" w14:textId="275514BB">
            <w:pPr>
              <w:pStyle w:val="RTableTextAbt"/>
            </w:pPr>
            <w:r>
              <w:rPr>
                <w:b/>
                <w:bCs w:val="0"/>
                <w:szCs w:val="18"/>
              </w:rPr>
              <w:t xml:space="preserve">$23,605 </w:t>
            </w:r>
          </w:p>
        </w:tc>
        <w:tc>
          <w:tcPr>
            <w:tcW w:w="1020" w:type="dxa"/>
            <w:tcBorders>
              <w:top w:val="single" w:sz="4" w:space="0" w:color="auto"/>
              <w:left w:val="nil"/>
              <w:bottom w:val="single" w:sz="4" w:space="0" w:color="auto"/>
              <w:right w:val="single" w:sz="4" w:space="0" w:color="auto"/>
            </w:tcBorders>
            <w:shd w:val="clear" w:color="auto" w:fill="auto"/>
            <w:vAlign w:val="center"/>
          </w:tcPr>
          <w:p w:rsidR="001B1ED7" w:rsidRPr="00A44526" w:rsidP="001B1ED7" w14:paraId="2A3A62D3" w14:textId="248F188E">
            <w:pPr>
              <w:pStyle w:val="RTableTextAbt"/>
            </w:pPr>
            <w:r>
              <w:rPr>
                <w:b/>
                <w:bCs w:val="0"/>
                <w:szCs w:val="18"/>
              </w:rPr>
              <w:t xml:space="preserve">$52,812 </w:t>
            </w:r>
          </w:p>
        </w:tc>
      </w:tr>
      <w:tr w14:paraId="1CE233E0" w14:textId="77777777" w:rsidTr="009860E2">
        <w:tblPrEx>
          <w:tblW w:w="9360" w:type="dxa"/>
          <w:tblLayout w:type="fixed"/>
          <w:tblLook w:val="04A0"/>
        </w:tblPrEx>
        <w:trPr>
          <w:trHeight w:val="20"/>
        </w:trPr>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55B8" w:rsidRPr="00C127EE" w:rsidP="007F55B8" w14:paraId="707F8907" w14:textId="77777777">
            <w:pPr>
              <w:pStyle w:val="LTableTextAbt"/>
              <w:jc w:val="center"/>
              <w:rPr>
                <w:b/>
              </w:rPr>
            </w:pPr>
            <w:r w:rsidRPr="00C127EE">
              <w:rPr>
                <w:b/>
              </w:rPr>
              <w:t>Total</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7F55B8" w:rsidRPr="00DF60D4" w:rsidP="007F55B8" w14:paraId="67B8B2A6" w14:textId="2E2F7E1C">
            <w:pPr>
              <w:pStyle w:val="RTableTextAbt"/>
              <w:rPr>
                <w:b/>
                <w:bCs w:val="0"/>
              </w:rPr>
            </w:pPr>
            <w:r>
              <w:rPr>
                <w:b/>
                <w:bCs w:val="0"/>
                <w:szCs w:val="18"/>
              </w:rPr>
              <w:t>0.2357</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7F55B8" w:rsidRPr="00DF60D4" w:rsidP="007F55B8" w14:paraId="33AA73BB" w14:textId="496E3BC4">
            <w:pPr>
              <w:pStyle w:val="RTableTextAbt"/>
              <w:rPr>
                <w:b/>
                <w:bCs w:val="0"/>
              </w:rPr>
            </w:pPr>
            <w:r>
              <w:rPr>
                <w:b/>
                <w:bCs w:val="0"/>
                <w:szCs w:val="18"/>
              </w:rPr>
              <w:t>0.5273</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7F55B8" w:rsidRPr="00DF60D4" w:rsidP="007F55B8" w14:paraId="2D269637" w14:textId="4E1E66D6">
            <w:pPr>
              <w:pStyle w:val="RTableTextAbt"/>
              <w:rPr>
                <w:b/>
                <w:bCs w:val="0"/>
              </w:rPr>
            </w:pPr>
            <w:r>
              <w:rPr>
                <w:b/>
                <w:bCs w:val="0"/>
                <w:szCs w:val="18"/>
              </w:rPr>
              <w:t xml:space="preserve">$180,564 </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7F55B8" w:rsidRPr="00DF60D4" w:rsidP="007F55B8" w14:paraId="3C5D882F" w14:textId="089942C0">
            <w:pPr>
              <w:pStyle w:val="RTableTextAbt"/>
              <w:rPr>
                <w:b/>
                <w:bCs w:val="0"/>
              </w:rPr>
            </w:pPr>
            <w:r>
              <w:rPr>
                <w:b/>
                <w:bCs w:val="0"/>
                <w:szCs w:val="18"/>
              </w:rPr>
              <w:t xml:space="preserve">$403,944 </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7F55B8" w:rsidRPr="00DF60D4" w:rsidP="007F55B8" w14:paraId="6B3E427F" w14:textId="4536C93A">
            <w:pPr>
              <w:pStyle w:val="RTableTextAbt"/>
              <w:rPr>
                <w:b/>
                <w:bCs w:val="0"/>
              </w:rPr>
            </w:pPr>
            <w:r>
              <w:rPr>
                <w:b/>
                <w:bCs w:val="0"/>
                <w:szCs w:val="18"/>
              </w:rPr>
              <w:t xml:space="preserve">$167,526 </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7F55B8" w:rsidRPr="00DF60D4" w:rsidP="007F55B8" w14:paraId="4E89F0A8" w14:textId="6363CC49">
            <w:pPr>
              <w:pStyle w:val="RTableTextAbt"/>
              <w:rPr>
                <w:b/>
                <w:bCs w:val="0"/>
              </w:rPr>
            </w:pPr>
            <w:r>
              <w:rPr>
                <w:b/>
                <w:bCs w:val="0"/>
                <w:szCs w:val="18"/>
              </w:rPr>
              <w:t xml:space="preserve">$374,777 </w:t>
            </w:r>
          </w:p>
        </w:tc>
      </w:tr>
      <w:tr w14:paraId="4B56FDD8" w14:textId="77777777" w:rsidTr="009860E2">
        <w:tblPrEx>
          <w:tblW w:w="9360" w:type="dxa"/>
          <w:tblLayout w:type="fixed"/>
          <w:tblLook w:val="04A0"/>
        </w:tblPrEx>
        <w:trPr>
          <w:trHeight w:val="20"/>
        </w:trPr>
        <w:tc>
          <w:tcPr>
            <w:tcW w:w="93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B66D6" w:rsidP="00EB66D6" w14:paraId="2CECDFDC" w14:textId="77777777">
            <w:pPr>
              <w:pStyle w:val="TableNote0"/>
              <w:numPr>
                <w:ilvl w:val="0"/>
                <w:numId w:val="192"/>
              </w:numPr>
            </w:pPr>
            <w:r>
              <w:t>Low estimate based on Harber; high estimate based on Gardner.</w:t>
            </w:r>
          </w:p>
          <w:p w:rsidR="00EB66D6" w:rsidP="00EB66D6" w14:paraId="1654B957" w14:textId="77777777">
            <w:pPr>
              <w:pStyle w:val="TableNote0"/>
              <w:numPr>
                <w:ilvl w:val="0"/>
                <w:numId w:val="192"/>
              </w:numPr>
            </w:pPr>
            <w:r>
              <w:t>Number of avoided cases time $766,000, the value of a case of chronic bronchitis.</w:t>
            </w:r>
          </w:p>
        </w:tc>
      </w:tr>
    </w:tbl>
    <w:p w:rsidR="000F3FFC" w:rsidP="000F3FFC" w14:paraId="5EF39CE7" w14:textId="77777777">
      <w:pPr>
        <w:pStyle w:val="BodyText"/>
        <w:rPr>
          <w:lang w:val="en-US"/>
        </w:rPr>
      </w:pPr>
    </w:p>
    <w:p w:rsidR="00A73FA4" w:rsidRPr="00B56426" w:rsidP="000F3FFC" w14:paraId="4776938A" w14:textId="6CD96ACC">
      <w:pPr>
        <w:pStyle w:val="BodyText"/>
        <w:rPr>
          <w:lang w:val="en-US"/>
        </w:rPr>
      </w:pPr>
      <w:r>
        <w:rPr>
          <w:lang w:val="en-US"/>
        </w:rPr>
        <w:fldChar w:fldCharType="begin" w:fldLock="1"/>
      </w:r>
      <w:r>
        <w:rPr>
          <w:lang w:val="en-US"/>
        </w:rPr>
        <w:instrText xml:space="preserve"> REF _Ref181352920 \h </w:instrText>
      </w:r>
      <w:r>
        <w:rPr>
          <w:lang w:val="en-US"/>
        </w:rPr>
        <w:fldChar w:fldCharType="separate"/>
      </w:r>
      <w:r w:rsidRPr="00A95A85" w:rsidR="00735BBC">
        <w:t xml:space="preserve">Figure </w:t>
      </w:r>
      <w:r w:rsidR="00735BBC">
        <w:rPr>
          <w:noProof/>
        </w:rPr>
        <w:t>5</w:t>
      </w:r>
      <w:r w:rsidRPr="00A95A85" w:rsidR="00735BBC">
        <w:noBreakHyphen/>
      </w:r>
      <w:r w:rsidR="00735BBC">
        <w:rPr>
          <w:noProof/>
        </w:rPr>
        <w:t>2</w:t>
      </w:r>
      <w:r>
        <w:rPr>
          <w:lang w:val="en-US"/>
        </w:rPr>
        <w:fldChar w:fldCharType="end"/>
      </w:r>
      <w:r>
        <w:rPr>
          <w:lang w:val="en-US"/>
        </w:rPr>
        <w:t xml:space="preserve"> </w:t>
      </w:r>
      <w:r w:rsidR="00AC52FF">
        <w:rPr>
          <w:lang w:val="en-US"/>
        </w:rPr>
        <w:t xml:space="preserve">walks through an example of the benefits calculation for the 2% annualized benefits </w:t>
      </w:r>
      <w:r w:rsidR="00494981">
        <w:rPr>
          <w:lang w:val="en-US"/>
        </w:rPr>
        <w:t xml:space="preserve">under </w:t>
      </w:r>
      <w:r w:rsidR="00AC52FF">
        <w:rPr>
          <w:lang w:val="en-US"/>
        </w:rPr>
        <w:t>Option 1</w:t>
      </w:r>
      <w:r w:rsidR="00494981">
        <w:rPr>
          <w:lang w:val="en-US"/>
        </w:rPr>
        <w:t xml:space="preserve"> for </w:t>
      </w:r>
      <w:r w:rsidR="00B455D1">
        <w:rPr>
          <w:lang w:val="en-US"/>
        </w:rPr>
        <w:t xml:space="preserve">direct </w:t>
      </w:r>
      <w:r w:rsidR="00494981">
        <w:rPr>
          <w:lang w:val="en-US"/>
        </w:rPr>
        <w:t xml:space="preserve">workers in the </w:t>
      </w:r>
      <w:r w:rsidRPr="00494981" w:rsidR="00494981">
        <w:rPr>
          <w:i/>
          <w:iCs/>
          <w:lang w:val="en-US"/>
        </w:rPr>
        <w:t>processing for automotive paints and coatings</w:t>
      </w:r>
      <w:r w:rsidR="00494981">
        <w:rPr>
          <w:lang w:val="en-US"/>
        </w:rPr>
        <w:t xml:space="preserve"> use category. The numbers referenced in the example </w:t>
      </w:r>
      <w:r w:rsidR="002C1CA6">
        <w:rPr>
          <w:lang w:val="en-US"/>
        </w:rPr>
        <w:t>can be identified in the tables above in the cells with gold shading.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56"/>
        <w:gridCol w:w="5273"/>
      </w:tblGrid>
      <w:tr w14:paraId="5B35F366" w14:textId="77777777" w:rsidTr="00A778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blHeader/>
        </w:trPr>
        <w:tc>
          <w:tcPr>
            <w:tcW w:w="9029" w:type="dxa"/>
            <w:gridSpan w:val="2"/>
            <w:tcBorders>
              <w:bottom w:val="single" w:sz="4" w:space="0" w:color="auto"/>
            </w:tcBorders>
          </w:tcPr>
          <w:p w:rsidR="004514D6" w:rsidP="00C50F92" w14:paraId="0E94A848" w14:textId="7AD1F949">
            <w:pPr>
              <w:pStyle w:val="TableTitleA"/>
            </w:pPr>
            <w:bookmarkStart w:id="298" w:name="_Ref181352920"/>
            <w:r w:rsidRPr="00A95A85">
              <w:t xml:space="preserve">Figure </w:t>
            </w:r>
            <w:r>
              <w:fldChar w:fldCharType="begin" w:fldLock="1"/>
            </w:r>
            <w:r>
              <w:instrText>STYLEREF 1 \s</w:instrText>
            </w:r>
            <w:r>
              <w:fldChar w:fldCharType="separate"/>
            </w:r>
            <w:r w:rsidR="00735BBC">
              <w:rPr>
                <w:noProof/>
              </w:rPr>
              <w:t>5</w:t>
            </w:r>
            <w:r>
              <w:fldChar w:fldCharType="end"/>
            </w:r>
            <w:r w:rsidRPr="00A95A85">
              <w:noBreakHyphen/>
            </w:r>
            <w:r>
              <w:fldChar w:fldCharType="begin" w:fldLock="1"/>
            </w:r>
            <w:r>
              <w:instrText>SEQ Figure \* ARABIC \s 1</w:instrText>
            </w:r>
            <w:r>
              <w:fldChar w:fldCharType="separate"/>
            </w:r>
            <w:r w:rsidR="00735BBC">
              <w:rPr>
                <w:noProof/>
              </w:rPr>
              <w:t>2</w:t>
            </w:r>
            <w:r>
              <w:fldChar w:fldCharType="end"/>
            </w:r>
            <w:bookmarkEnd w:id="298"/>
            <w:r w:rsidRPr="00A95A85">
              <w:t xml:space="preserve">: </w:t>
            </w:r>
            <w:r w:rsidR="00973503">
              <w:t xml:space="preserve">Example </w:t>
            </w:r>
            <w:r w:rsidR="00DC00DA">
              <w:t xml:space="preserve">Calculations </w:t>
            </w:r>
            <w:r w:rsidR="00973503">
              <w:t>for the Option 1 2% 15-Year Annualized Value</w:t>
            </w:r>
            <w:r w:rsidR="00462D5D">
              <w:t>s</w:t>
            </w:r>
            <w:r w:rsidR="00973503">
              <w:t xml:space="preserve"> of </w:t>
            </w:r>
            <w:r w:rsidRPr="006B5C66" w:rsidR="00973503">
              <w:rPr>
                <w:szCs w:val="18"/>
              </w:rPr>
              <w:t>$</w:t>
            </w:r>
            <w:r w:rsidR="00462D5D">
              <w:rPr>
                <w:szCs w:val="18"/>
              </w:rPr>
              <w:t>135</w:t>
            </w:r>
            <w:r w:rsidR="00503597">
              <w:rPr>
                <w:szCs w:val="18"/>
              </w:rPr>
              <w:t xml:space="preserve">,131 and $305,509 for </w:t>
            </w:r>
            <w:r w:rsidR="00440D37">
              <w:rPr>
                <w:szCs w:val="18"/>
              </w:rPr>
              <w:t xml:space="preserve">direct </w:t>
            </w:r>
            <w:r w:rsidR="00503597">
              <w:rPr>
                <w:szCs w:val="18"/>
              </w:rPr>
              <w:t xml:space="preserve">workers in the </w:t>
            </w:r>
            <w:r w:rsidRPr="00DC00DA" w:rsidR="00DC00DA">
              <w:rPr>
                <w:i/>
                <w:iCs/>
                <w:szCs w:val="18"/>
              </w:rPr>
              <w:t>processing for automotive paints and coatings</w:t>
            </w:r>
            <w:r w:rsidR="00DC00DA">
              <w:rPr>
                <w:szCs w:val="18"/>
              </w:rPr>
              <w:t xml:space="preserve"> </w:t>
            </w:r>
            <w:r w:rsidR="00DC00DA">
              <w:t>use category</w:t>
            </w:r>
          </w:p>
          <w:p w:rsidR="004050D2" w:rsidP="00C50F92" w14:paraId="4D7D4E69" w14:textId="48AD4348">
            <w:pPr>
              <w:pStyle w:val="TableTitleA"/>
            </w:pPr>
          </w:p>
        </w:tc>
      </w:tr>
      <w:tr w14:paraId="015A542B" w14:textId="77777777" w:rsidTr="00A7782A">
        <w:tblPrEx>
          <w:tblW w:w="0" w:type="auto"/>
          <w:tblLook w:val="04A0"/>
        </w:tblPrEx>
        <w:tc>
          <w:tcPr>
            <w:tcW w:w="3756" w:type="dxa"/>
            <w:tcBorders>
              <w:top w:val="single" w:sz="4" w:space="0" w:color="auto"/>
            </w:tcBorders>
          </w:tcPr>
          <w:p w:rsidR="004050D2" w:rsidP="00C50F92" w14:paraId="34BEDDDD" w14:textId="77777777">
            <w:pPr>
              <w:pStyle w:val="TableTitleA"/>
              <w:rPr>
                <w:noProof/>
              </w:rPr>
            </w:pPr>
          </w:p>
        </w:tc>
        <w:tc>
          <w:tcPr>
            <w:tcW w:w="5273" w:type="dxa"/>
            <w:tcBorders>
              <w:top w:val="single" w:sz="4" w:space="0" w:color="auto"/>
              <w:bottom w:val="single" w:sz="18" w:space="0" w:color="7566A0"/>
            </w:tcBorders>
          </w:tcPr>
          <w:p w:rsidR="004050D2" w:rsidRPr="00714DE3" w:rsidP="0054420F" w14:paraId="19523224" w14:textId="77777777">
            <w:pPr>
              <w:pStyle w:val="LTableTextAbt"/>
              <w:rPr>
                <w:rFonts w:ascii="Arial Bold" w:hAnsi="Arial Bold"/>
                <w:b/>
                <w:bCs w:val="0"/>
                <w:sz w:val="22"/>
                <w:szCs w:val="22"/>
              </w:rPr>
            </w:pPr>
          </w:p>
        </w:tc>
      </w:tr>
      <w:tr w14:paraId="0B91BC1C" w14:textId="77777777" w:rsidTr="00A7782A">
        <w:tblPrEx>
          <w:tblW w:w="0" w:type="auto"/>
          <w:tblLook w:val="04A0"/>
        </w:tblPrEx>
        <w:tc>
          <w:tcPr>
            <w:tcW w:w="3756" w:type="dxa"/>
            <w:tcBorders>
              <w:right w:val="single" w:sz="18" w:space="0" w:color="7566A0"/>
            </w:tcBorders>
          </w:tcPr>
          <w:p w:rsidR="0050322E" w:rsidRPr="00A95A85" w:rsidP="00C50F92" w14:paraId="39E4415A" w14:textId="4E4D13FB">
            <w:pPr>
              <w:pStyle w:val="TableTitleA"/>
            </w:pPr>
            <w:r>
              <w:rPr>
                <w:noProof/>
              </w:rPr>
              <w:drawing>
                <wp:inline distT="0" distB="0" distL="0" distR="0">
                  <wp:extent cx="2209800" cy="1714500"/>
                  <wp:effectExtent l="0" t="0" r="0" b="0"/>
                  <wp:docPr id="1042998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998093" name=""/>
                          <pic:cNvPicPr/>
                        </pic:nvPicPr>
                        <pic:blipFill>
                          <a:blip xmlns:r="http://schemas.openxmlformats.org/officeDocument/2006/relationships" r:embed="rId29"/>
                          <a:stretch>
                            <a:fillRect/>
                          </a:stretch>
                        </pic:blipFill>
                        <pic:spPr>
                          <a:xfrm>
                            <a:off x="0" y="0"/>
                            <a:ext cx="2209800" cy="1714500"/>
                          </a:xfrm>
                          <a:prstGeom prst="rect">
                            <a:avLst/>
                          </a:prstGeom>
                        </pic:spPr>
                      </pic:pic>
                    </a:graphicData>
                  </a:graphic>
                </wp:inline>
              </w:drawing>
            </w:r>
          </w:p>
        </w:tc>
        <w:tc>
          <w:tcPr>
            <w:tcW w:w="5273" w:type="dxa"/>
            <w:tcBorders>
              <w:top w:val="single" w:sz="18" w:space="0" w:color="7566A0"/>
              <w:left w:val="single" w:sz="18" w:space="0" w:color="7566A0"/>
              <w:bottom w:val="single" w:sz="18" w:space="0" w:color="7566A0"/>
              <w:right w:val="single" w:sz="18" w:space="0" w:color="7566A0"/>
            </w:tcBorders>
          </w:tcPr>
          <w:p w:rsidR="009A4070" w:rsidRPr="00714DE3" w:rsidP="0054420F" w14:paraId="43B33A80" w14:textId="7B075075">
            <w:pPr>
              <w:pStyle w:val="LTableTextAbt"/>
              <w:rPr>
                <w:rFonts w:ascii="Arial Bold" w:hAnsi="Arial Bold"/>
                <w:b/>
                <w:bCs w:val="0"/>
                <w:sz w:val="22"/>
                <w:szCs w:val="22"/>
              </w:rPr>
            </w:pPr>
            <w:r w:rsidRPr="00714DE3">
              <w:rPr>
                <w:rFonts w:ascii="Arial Bold" w:hAnsi="Arial Bold"/>
                <w:b/>
                <w:bCs w:val="0"/>
                <w:sz w:val="22"/>
                <w:szCs w:val="22"/>
              </w:rPr>
              <w:t xml:space="preserve">Section </w:t>
            </w:r>
            <w:r w:rsidRPr="009A0B2E" w:rsidR="002B630B">
              <w:rPr>
                <w:rFonts w:ascii="Arial Bold" w:hAnsi="Arial Bold"/>
                <w:b/>
                <w:bCs w:val="0"/>
                <w:sz w:val="22"/>
                <w:szCs w:val="22"/>
              </w:rPr>
              <w:fldChar w:fldCharType="begin" w:fldLock="1"/>
            </w:r>
            <w:r w:rsidRPr="009A0B2E" w:rsidR="002B630B">
              <w:rPr>
                <w:rFonts w:ascii="Arial Bold" w:hAnsi="Arial Bold"/>
                <w:b/>
                <w:bCs w:val="0"/>
                <w:sz w:val="22"/>
                <w:szCs w:val="22"/>
              </w:rPr>
              <w:instrText xml:space="preserve"> REF _Ref181352833 \r \h </w:instrText>
            </w:r>
            <w:r w:rsidRPr="009A0B2E" w:rsidR="0054420F">
              <w:rPr>
                <w:rFonts w:ascii="Arial Bold" w:hAnsi="Arial Bold"/>
                <w:b/>
                <w:bCs w:val="0"/>
                <w:sz w:val="22"/>
                <w:szCs w:val="22"/>
              </w:rPr>
              <w:instrText xml:space="preserve"> \* MERGEFORMAT </w:instrText>
            </w:r>
            <w:r w:rsidRPr="009A0B2E" w:rsidR="002B630B">
              <w:rPr>
                <w:rFonts w:ascii="Arial Bold" w:hAnsi="Arial Bold"/>
                <w:b/>
                <w:bCs w:val="0"/>
                <w:sz w:val="22"/>
                <w:szCs w:val="22"/>
              </w:rPr>
              <w:fldChar w:fldCharType="separate"/>
            </w:r>
            <w:r w:rsidR="00735BBC">
              <w:rPr>
                <w:rFonts w:ascii="Arial Bold" w:hAnsi="Arial Bold"/>
                <w:b/>
                <w:bCs w:val="0"/>
                <w:sz w:val="22"/>
                <w:szCs w:val="22"/>
              </w:rPr>
              <w:t>5.1</w:t>
            </w:r>
            <w:r w:rsidRPr="009A0B2E" w:rsidR="002B630B">
              <w:rPr>
                <w:rFonts w:ascii="Arial Bold" w:hAnsi="Arial Bold"/>
                <w:b/>
                <w:bCs w:val="0"/>
                <w:sz w:val="22"/>
                <w:szCs w:val="22"/>
              </w:rPr>
              <w:fldChar w:fldCharType="end"/>
            </w:r>
            <w:r w:rsidRPr="009A0B2E" w:rsidR="000C6851">
              <w:rPr>
                <w:rFonts w:ascii="Arial Bold" w:hAnsi="Arial Bold"/>
                <w:b/>
                <w:bCs w:val="0"/>
                <w:sz w:val="22"/>
                <w:szCs w:val="22"/>
              </w:rPr>
              <w:t xml:space="preserve"> </w:t>
            </w:r>
            <w:r w:rsidRPr="000C6851" w:rsidR="000C6851">
              <w:rPr>
                <w:rFonts w:ascii="Arial Bold" w:hAnsi="Arial Bold"/>
                <w:b/>
                <w:bCs w:val="0"/>
                <w:sz w:val="22"/>
                <w:szCs w:val="22"/>
              </w:rPr>
              <w:t xml:space="preserve">(see </w:t>
            </w:r>
            <w:r w:rsidRPr="000C6851" w:rsidR="000C6851">
              <w:rPr>
                <w:rFonts w:ascii="Arial Bold" w:hAnsi="Arial Bold"/>
                <w:b/>
                <w:bCs w:val="0"/>
                <w:sz w:val="22"/>
                <w:szCs w:val="22"/>
              </w:rPr>
              <w:fldChar w:fldCharType="begin" w:fldLock="1"/>
            </w:r>
            <w:r w:rsidRPr="000C6851" w:rsidR="000C6851">
              <w:rPr>
                <w:rFonts w:ascii="Arial Bold" w:hAnsi="Arial Bold"/>
                <w:b/>
                <w:bCs w:val="0"/>
                <w:sz w:val="22"/>
                <w:szCs w:val="22"/>
              </w:rPr>
              <w:instrText xml:space="preserve"> REF _Ref180957672 \h </w:instrText>
            </w:r>
            <w:r w:rsidR="000C6851">
              <w:rPr>
                <w:rFonts w:ascii="Arial Bold" w:hAnsi="Arial Bold"/>
                <w:b/>
                <w:bCs w:val="0"/>
                <w:sz w:val="22"/>
                <w:szCs w:val="22"/>
              </w:rPr>
              <w:instrText xml:space="preserve"> \* MERGEFORMAT </w:instrText>
            </w:r>
            <w:r w:rsidRPr="000C6851" w:rsidR="000C6851">
              <w:rPr>
                <w:rFonts w:ascii="Arial Bold" w:hAnsi="Arial Bold"/>
                <w:b/>
                <w:bCs w:val="0"/>
                <w:sz w:val="22"/>
                <w:szCs w:val="22"/>
              </w:rPr>
              <w:fldChar w:fldCharType="separate"/>
            </w:r>
            <w:r w:rsidRPr="00735BBC" w:rsidR="00735BBC">
              <w:rPr>
                <w:rFonts w:ascii="Arial Bold" w:hAnsi="Arial Bold"/>
                <w:b/>
                <w:bCs w:val="0"/>
                <w:sz w:val="22"/>
                <w:szCs w:val="22"/>
              </w:rPr>
              <w:t>Table 5</w:t>
            </w:r>
            <w:r w:rsidRPr="00735BBC" w:rsidR="00735BBC">
              <w:rPr>
                <w:rFonts w:ascii="Arial Bold" w:hAnsi="Arial Bold"/>
                <w:b/>
                <w:bCs w:val="0"/>
                <w:sz w:val="22"/>
                <w:szCs w:val="22"/>
              </w:rPr>
              <w:noBreakHyphen/>
              <w:t>1</w:t>
            </w:r>
            <w:r w:rsidRPr="000C6851" w:rsidR="000C6851">
              <w:rPr>
                <w:rFonts w:ascii="Arial Bold" w:hAnsi="Arial Bold"/>
                <w:b/>
                <w:bCs w:val="0"/>
                <w:sz w:val="22"/>
                <w:szCs w:val="22"/>
              </w:rPr>
              <w:fldChar w:fldCharType="end"/>
            </w:r>
            <w:r w:rsidRPr="000C6851" w:rsidR="000C6851">
              <w:rPr>
                <w:rFonts w:ascii="Arial Bold" w:hAnsi="Arial Bold"/>
                <w:b/>
                <w:bCs w:val="0"/>
                <w:sz w:val="22"/>
                <w:szCs w:val="22"/>
              </w:rPr>
              <w:t>)</w:t>
            </w:r>
          </w:p>
          <w:p w:rsidR="0050322E" w:rsidRPr="002B630B" w:rsidP="002B630B" w14:paraId="3DD410B5" w14:textId="1F2D7232">
            <w:pPr>
              <w:pStyle w:val="LTableTextAbt"/>
              <w:numPr>
                <w:ilvl w:val="0"/>
                <w:numId w:val="193"/>
              </w:numPr>
              <w:ind w:left="279" w:hanging="270"/>
              <w:rPr>
                <w:sz w:val="22"/>
                <w:szCs w:val="22"/>
              </w:rPr>
            </w:pPr>
            <w:r w:rsidRPr="002B630B">
              <w:rPr>
                <w:sz w:val="22"/>
                <w:szCs w:val="22"/>
              </w:rPr>
              <w:t xml:space="preserve">The </w:t>
            </w:r>
            <w:r w:rsidRPr="002B630B">
              <w:rPr>
                <w:i/>
                <w:iCs/>
                <w:sz w:val="22"/>
                <w:szCs w:val="22"/>
              </w:rPr>
              <w:t xml:space="preserve">processing into automotive paints and coatings </w:t>
            </w:r>
            <w:r w:rsidRPr="002B630B">
              <w:rPr>
                <w:sz w:val="22"/>
                <w:szCs w:val="22"/>
              </w:rPr>
              <w:t>use category is estimated to include 196 workers with direct contact with PV29.</w:t>
            </w:r>
          </w:p>
        </w:tc>
      </w:tr>
      <w:tr w14:paraId="7EF55D03" w14:textId="77777777" w:rsidTr="00A7782A">
        <w:tblPrEx>
          <w:tblW w:w="0" w:type="auto"/>
          <w:tblLook w:val="04A0"/>
        </w:tblPrEx>
        <w:tc>
          <w:tcPr>
            <w:tcW w:w="3756" w:type="dxa"/>
          </w:tcPr>
          <w:p w:rsidR="002B630B" w:rsidP="00C50F92" w14:paraId="0E196038" w14:textId="77777777">
            <w:pPr>
              <w:pStyle w:val="TableTitleA"/>
              <w:rPr>
                <w:noProof/>
              </w:rPr>
            </w:pPr>
          </w:p>
        </w:tc>
        <w:tc>
          <w:tcPr>
            <w:tcW w:w="5273" w:type="dxa"/>
            <w:tcBorders>
              <w:top w:val="single" w:sz="18" w:space="0" w:color="7566A0"/>
              <w:bottom w:val="single" w:sz="18" w:space="0" w:color="48A9C5"/>
            </w:tcBorders>
          </w:tcPr>
          <w:p w:rsidR="002B630B" w:rsidRPr="009A4070" w:rsidP="009A4070" w14:paraId="7E8CE9E1" w14:textId="77777777">
            <w:pPr>
              <w:pStyle w:val="TableTitleA"/>
              <w:rPr>
                <w:b/>
                <w:bCs/>
              </w:rPr>
            </w:pPr>
          </w:p>
        </w:tc>
      </w:tr>
      <w:tr w14:paraId="46A30C92" w14:textId="77777777" w:rsidTr="00A7782A">
        <w:tblPrEx>
          <w:tblW w:w="0" w:type="auto"/>
          <w:tblLook w:val="04A0"/>
        </w:tblPrEx>
        <w:tc>
          <w:tcPr>
            <w:tcW w:w="3756" w:type="dxa"/>
            <w:tcBorders>
              <w:right w:val="single" w:sz="18" w:space="0" w:color="48A9C5"/>
            </w:tcBorders>
          </w:tcPr>
          <w:p w:rsidR="0050322E" w:rsidRPr="00A95A85" w:rsidP="00C50F92" w14:paraId="559EF867" w14:textId="1843664D">
            <w:pPr>
              <w:pStyle w:val="TableTitleA"/>
            </w:pPr>
            <w:r>
              <w:rPr>
                <w:noProof/>
              </w:rPr>
              <w:drawing>
                <wp:inline distT="0" distB="0" distL="0" distR="0">
                  <wp:extent cx="2238375" cy="1704975"/>
                  <wp:effectExtent l="0" t="0" r="9525" b="9525"/>
                  <wp:docPr id="316593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593648" name=""/>
                          <pic:cNvPicPr/>
                        </pic:nvPicPr>
                        <pic:blipFill>
                          <a:blip xmlns:r="http://schemas.openxmlformats.org/officeDocument/2006/relationships" r:embed="rId30"/>
                          <a:stretch>
                            <a:fillRect/>
                          </a:stretch>
                        </pic:blipFill>
                        <pic:spPr>
                          <a:xfrm>
                            <a:off x="0" y="0"/>
                            <a:ext cx="2238375" cy="1704975"/>
                          </a:xfrm>
                          <a:prstGeom prst="rect">
                            <a:avLst/>
                          </a:prstGeom>
                        </pic:spPr>
                      </pic:pic>
                    </a:graphicData>
                  </a:graphic>
                </wp:inline>
              </w:drawing>
            </w:r>
          </w:p>
        </w:tc>
        <w:tc>
          <w:tcPr>
            <w:tcW w:w="5273" w:type="dxa"/>
            <w:tcBorders>
              <w:top w:val="single" w:sz="18" w:space="0" w:color="48A9C5"/>
              <w:left w:val="single" w:sz="18" w:space="0" w:color="48A9C5"/>
              <w:bottom w:val="single" w:sz="18" w:space="0" w:color="48A9C5"/>
              <w:right w:val="single" w:sz="18" w:space="0" w:color="48A9C5"/>
            </w:tcBorders>
          </w:tcPr>
          <w:p w:rsidR="005A7376" w:rsidRPr="00714DE3" w:rsidP="0054420F" w14:paraId="323C099B" w14:textId="3B91230D">
            <w:pPr>
              <w:pStyle w:val="LTableTextAbt"/>
              <w:rPr>
                <w:rFonts w:ascii="Arial Bold" w:hAnsi="Arial Bold"/>
                <w:b/>
                <w:bCs w:val="0"/>
                <w:sz w:val="22"/>
                <w:szCs w:val="22"/>
              </w:rPr>
            </w:pPr>
            <w:r w:rsidRPr="00714DE3">
              <w:rPr>
                <w:rFonts w:ascii="Arial Bold" w:hAnsi="Arial Bold"/>
                <w:b/>
                <w:bCs w:val="0"/>
                <w:sz w:val="22"/>
                <w:szCs w:val="22"/>
              </w:rPr>
              <w:t xml:space="preserve">Section </w:t>
            </w:r>
            <w:r w:rsidRPr="003F0F0A">
              <w:rPr>
                <w:rFonts w:ascii="Arial Bold" w:hAnsi="Arial Bold"/>
                <w:b/>
                <w:bCs w:val="0"/>
                <w:sz w:val="22"/>
                <w:szCs w:val="22"/>
              </w:rPr>
              <w:fldChar w:fldCharType="begin" w:fldLock="1"/>
            </w:r>
            <w:r w:rsidRPr="003F0F0A">
              <w:rPr>
                <w:rFonts w:ascii="Arial Bold" w:hAnsi="Arial Bold"/>
                <w:b/>
                <w:bCs w:val="0"/>
                <w:sz w:val="22"/>
                <w:szCs w:val="22"/>
              </w:rPr>
              <w:instrText xml:space="preserve"> REF _Ref181352833 \r \h </w:instrText>
            </w:r>
            <w:r w:rsidRPr="003F0F0A" w:rsidR="0054420F">
              <w:rPr>
                <w:rFonts w:ascii="Arial Bold" w:hAnsi="Arial Bold"/>
                <w:b/>
                <w:bCs w:val="0"/>
                <w:sz w:val="22"/>
                <w:szCs w:val="22"/>
              </w:rPr>
              <w:instrText xml:space="preserve"> \* MERGEFORMAT </w:instrText>
            </w:r>
            <w:r w:rsidRPr="003F0F0A">
              <w:rPr>
                <w:rFonts w:ascii="Arial Bold" w:hAnsi="Arial Bold"/>
                <w:b/>
                <w:bCs w:val="0"/>
                <w:sz w:val="22"/>
                <w:szCs w:val="22"/>
              </w:rPr>
              <w:fldChar w:fldCharType="separate"/>
            </w:r>
            <w:r w:rsidR="00735BBC">
              <w:rPr>
                <w:rFonts w:ascii="Arial Bold" w:hAnsi="Arial Bold"/>
                <w:b/>
                <w:bCs w:val="0"/>
                <w:sz w:val="22"/>
                <w:szCs w:val="22"/>
              </w:rPr>
              <w:t>5.1</w:t>
            </w:r>
            <w:r w:rsidRPr="003F0F0A">
              <w:rPr>
                <w:rFonts w:ascii="Arial Bold" w:hAnsi="Arial Bold"/>
                <w:b/>
                <w:bCs w:val="0"/>
                <w:sz w:val="22"/>
                <w:szCs w:val="22"/>
              </w:rPr>
              <w:fldChar w:fldCharType="end"/>
            </w:r>
            <w:r w:rsidRPr="003F0F0A" w:rsidR="000C6851">
              <w:rPr>
                <w:rFonts w:ascii="Arial Bold" w:hAnsi="Arial Bold"/>
                <w:b/>
                <w:bCs w:val="0"/>
                <w:sz w:val="22"/>
                <w:szCs w:val="22"/>
              </w:rPr>
              <w:t xml:space="preserve"> </w:t>
            </w:r>
            <w:r w:rsidRPr="000C6851" w:rsidR="000C6851">
              <w:rPr>
                <w:rFonts w:ascii="Arial Bold" w:hAnsi="Arial Bold"/>
                <w:b/>
                <w:bCs w:val="0"/>
                <w:sz w:val="22"/>
                <w:szCs w:val="22"/>
              </w:rPr>
              <w:t xml:space="preserve">(see </w:t>
            </w:r>
            <w:r w:rsidRPr="000C6851" w:rsidR="000C6851">
              <w:rPr>
                <w:rFonts w:ascii="Arial Bold" w:hAnsi="Arial Bold"/>
                <w:b/>
                <w:bCs w:val="0"/>
                <w:sz w:val="22"/>
                <w:szCs w:val="22"/>
              </w:rPr>
              <w:fldChar w:fldCharType="begin" w:fldLock="1"/>
            </w:r>
            <w:r w:rsidRPr="000C6851" w:rsidR="000C6851">
              <w:rPr>
                <w:rFonts w:ascii="Arial Bold" w:hAnsi="Arial Bold"/>
                <w:b/>
                <w:bCs w:val="0"/>
                <w:sz w:val="22"/>
                <w:szCs w:val="22"/>
              </w:rPr>
              <w:instrText xml:space="preserve"> REF _Ref180957672 \h </w:instrText>
            </w:r>
            <w:r w:rsidR="000C6851">
              <w:rPr>
                <w:rFonts w:ascii="Arial Bold" w:hAnsi="Arial Bold"/>
                <w:b/>
                <w:bCs w:val="0"/>
                <w:sz w:val="22"/>
                <w:szCs w:val="22"/>
              </w:rPr>
              <w:instrText xml:space="preserve"> \* MERGEFORMAT </w:instrText>
            </w:r>
            <w:r w:rsidRPr="000C6851" w:rsidR="000C6851">
              <w:rPr>
                <w:rFonts w:ascii="Arial Bold" w:hAnsi="Arial Bold"/>
                <w:b/>
                <w:bCs w:val="0"/>
                <w:sz w:val="22"/>
                <w:szCs w:val="22"/>
              </w:rPr>
              <w:fldChar w:fldCharType="separate"/>
            </w:r>
            <w:r w:rsidRPr="00735BBC" w:rsidR="00735BBC">
              <w:rPr>
                <w:rFonts w:ascii="Arial Bold" w:hAnsi="Arial Bold"/>
                <w:b/>
                <w:bCs w:val="0"/>
                <w:sz w:val="22"/>
                <w:szCs w:val="22"/>
              </w:rPr>
              <w:t>Table 5</w:t>
            </w:r>
            <w:r w:rsidRPr="00735BBC" w:rsidR="00735BBC">
              <w:rPr>
                <w:rFonts w:ascii="Arial Bold" w:hAnsi="Arial Bold"/>
                <w:b/>
                <w:bCs w:val="0"/>
                <w:sz w:val="22"/>
                <w:szCs w:val="22"/>
              </w:rPr>
              <w:noBreakHyphen/>
              <w:t>1</w:t>
            </w:r>
            <w:r w:rsidRPr="000C6851" w:rsidR="000C6851">
              <w:rPr>
                <w:rFonts w:ascii="Arial Bold" w:hAnsi="Arial Bold"/>
                <w:b/>
                <w:bCs w:val="0"/>
                <w:sz w:val="22"/>
                <w:szCs w:val="22"/>
              </w:rPr>
              <w:fldChar w:fldCharType="end"/>
            </w:r>
            <w:r w:rsidR="000C6851">
              <w:rPr>
                <w:rFonts w:ascii="Arial Bold" w:hAnsi="Arial Bold"/>
                <w:b/>
                <w:bCs w:val="0"/>
                <w:sz w:val="22"/>
                <w:szCs w:val="22"/>
              </w:rPr>
              <w:t xml:space="preserve"> and </w:t>
            </w:r>
            <w:r w:rsidR="003F0F0A">
              <w:rPr>
                <w:rFonts w:ascii="Arial Bold" w:hAnsi="Arial Bold"/>
                <w:b/>
                <w:bCs w:val="0"/>
                <w:sz w:val="22"/>
                <w:szCs w:val="22"/>
              </w:rPr>
              <w:fldChar w:fldCharType="begin" w:fldLock="1"/>
            </w:r>
            <w:r w:rsidR="003F0F0A">
              <w:rPr>
                <w:rFonts w:ascii="Arial Bold" w:hAnsi="Arial Bold"/>
                <w:b/>
                <w:bCs w:val="0"/>
                <w:sz w:val="22"/>
                <w:szCs w:val="22"/>
              </w:rPr>
              <w:instrText xml:space="preserve"> REF _Ref181180150 \h  \* MERGEFORMAT </w:instrText>
            </w:r>
            <w:r w:rsidR="003F0F0A">
              <w:rPr>
                <w:rFonts w:ascii="Arial Bold" w:hAnsi="Arial Bold"/>
                <w:b/>
                <w:bCs w:val="0"/>
                <w:sz w:val="22"/>
                <w:szCs w:val="22"/>
              </w:rPr>
              <w:fldChar w:fldCharType="separate"/>
            </w:r>
            <w:r w:rsidRPr="00735BBC" w:rsidR="00735BBC">
              <w:rPr>
                <w:rFonts w:ascii="Arial Bold" w:hAnsi="Arial Bold"/>
                <w:b/>
                <w:bCs w:val="0"/>
                <w:sz w:val="22"/>
                <w:szCs w:val="22"/>
              </w:rPr>
              <w:t>Table 5</w:t>
            </w:r>
            <w:r w:rsidRPr="00735BBC" w:rsidR="00735BBC">
              <w:rPr>
                <w:rFonts w:ascii="Arial Bold" w:hAnsi="Arial Bold"/>
                <w:b/>
                <w:bCs w:val="0"/>
                <w:sz w:val="22"/>
                <w:szCs w:val="22"/>
              </w:rPr>
              <w:noBreakHyphen/>
              <w:t>2</w:t>
            </w:r>
            <w:r w:rsidR="003F0F0A">
              <w:rPr>
                <w:rFonts w:ascii="Arial Bold" w:hAnsi="Arial Bold"/>
                <w:b/>
                <w:bCs w:val="0"/>
                <w:sz w:val="22"/>
                <w:szCs w:val="22"/>
              </w:rPr>
              <w:fldChar w:fldCharType="end"/>
            </w:r>
            <w:r w:rsidRPr="000C6851" w:rsidR="000C6851">
              <w:rPr>
                <w:rFonts w:ascii="Arial Bold" w:hAnsi="Arial Bold"/>
                <w:b/>
                <w:bCs w:val="0"/>
                <w:sz w:val="22"/>
                <w:szCs w:val="22"/>
              </w:rPr>
              <w:t>)</w:t>
            </w:r>
          </w:p>
          <w:p w:rsidR="009A4070" w:rsidRPr="009A4070" w:rsidP="0054420F" w14:paraId="6798FDE1" w14:textId="112CF26D">
            <w:pPr>
              <w:pStyle w:val="LTableTextAbt"/>
              <w:numPr>
                <w:ilvl w:val="0"/>
                <w:numId w:val="193"/>
              </w:numPr>
              <w:ind w:left="279" w:hanging="270"/>
              <w:rPr>
                <w:sz w:val="22"/>
                <w:szCs w:val="22"/>
              </w:rPr>
            </w:pPr>
            <w:r w:rsidRPr="009A4070">
              <w:rPr>
                <w:sz w:val="22"/>
                <w:szCs w:val="22"/>
              </w:rPr>
              <w:t>25% of workers are estimated to have a baseline exposure of 0.37 mg/m</w:t>
            </w:r>
            <w:r w:rsidRPr="009A4070">
              <w:rPr>
                <w:sz w:val="22"/>
                <w:szCs w:val="22"/>
                <w:vertAlign w:val="superscript"/>
              </w:rPr>
              <w:t>3</w:t>
            </w:r>
            <w:r w:rsidRPr="009A4070">
              <w:rPr>
                <w:sz w:val="22"/>
                <w:szCs w:val="22"/>
              </w:rPr>
              <w:t xml:space="preserve"> (representing no PPE use); 75% of workers are estimated to have a baseline exposure of 0.037 mg/m</w:t>
            </w:r>
            <w:r w:rsidRPr="009A4070" w:rsidR="00517453">
              <w:rPr>
                <w:sz w:val="22"/>
                <w:szCs w:val="22"/>
                <w:vertAlign w:val="superscript"/>
              </w:rPr>
              <w:t>3</w:t>
            </w:r>
            <w:r w:rsidRPr="009A4070">
              <w:rPr>
                <w:sz w:val="22"/>
                <w:szCs w:val="22"/>
              </w:rPr>
              <w:t xml:space="preserve"> (representing APF 10 PPE use); Under the proposed option, workers are estimated to have an exposure of 0.0074 mg/m</w:t>
            </w:r>
            <w:r w:rsidRPr="009A4070" w:rsidR="00517453">
              <w:rPr>
                <w:sz w:val="22"/>
                <w:szCs w:val="22"/>
                <w:vertAlign w:val="superscript"/>
              </w:rPr>
              <w:t>3</w:t>
            </w:r>
            <w:r w:rsidRPr="009A4070">
              <w:rPr>
                <w:sz w:val="22"/>
                <w:szCs w:val="22"/>
              </w:rPr>
              <w:t xml:space="preserve"> (representing APF 50 PPE use). </w:t>
            </w:r>
          </w:p>
          <w:p w:rsidR="0050322E" w:rsidRPr="0054420F" w:rsidP="0054420F" w14:paraId="4EAC64C7" w14:textId="5DF7345B">
            <w:pPr>
              <w:pStyle w:val="LTableTextAbt"/>
              <w:numPr>
                <w:ilvl w:val="0"/>
                <w:numId w:val="193"/>
              </w:numPr>
              <w:ind w:left="279" w:hanging="270"/>
            </w:pPr>
            <w:r w:rsidRPr="0054420F">
              <w:rPr>
                <w:sz w:val="22"/>
                <w:szCs w:val="22"/>
              </w:rPr>
              <w:t>The reduction in PV29 exposure is estimated to be 0.3626 mg/m</w:t>
            </w:r>
            <w:r w:rsidRPr="009A4070" w:rsidR="00517453">
              <w:rPr>
                <w:sz w:val="22"/>
                <w:szCs w:val="22"/>
                <w:vertAlign w:val="superscript"/>
              </w:rPr>
              <w:t>3</w:t>
            </w:r>
            <w:r w:rsidRPr="0054420F">
              <w:rPr>
                <w:sz w:val="22"/>
                <w:szCs w:val="22"/>
              </w:rPr>
              <w:t xml:space="preserve"> (=0.37 – 0.0074) for the 25% of workers not using PPE in the baseline and 0.0296 </w:t>
            </w:r>
            <w:r w:rsidRPr="0054420F" w:rsidR="00246E2E">
              <w:rPr>
                <w:sz w:val="22"/>
                <w:szCs w:val="22"/>
              </w:rPr>
              <w:t>mg/m</w:t>
            </w:r>
            <w:r w:rsidRPr="009A4070" w:rsidR="00246E2E">
              <w:rPr>
                <w:sz w:val="22"/>
                <w:szCs w:val="22"/>
                <w:vertAlign w:val="superscript"/>
              </w:rPr>
              <w:t>3</w:t>
            </w:r>
            <w:r w:rsidRPr="0054420F" w:rsidR="00246E2E">
              <w:rPr>
                <w:sz w:val="22"/>
                <w:szCs w:val="22"/>
              </w:rPr>
              <w:t xml:space="preserve"> </w:t>
            </w:r>
            <w:r w:rsidRPr="0054420F">
              <w:rPr>
                <w:sz w:val="22"/>
                <w:szCs w:val="22"/>
              </w:rPr>
              <w:t>(=0.037 – 0.0074) for the 75% of workers using APF 10 respirators in the baseline.</w:t>
            </w:r>
          </w:p>
        </w:tc>
      </w:tr>
      <w:tr w14:paraId="76B79D53" w14:textId="77777777" w:rsidTr="00A7782A">
        <w:tblPrEx>
          <w:tblW w:w="0" w:type="auto"/>
          <w:tblLook w:val="04A0"/>
        </w:tblPrEx>
        <w:tc>
          <w:tcPr>
            <w:tcW w:w="3756" w:type="dxa"/>
          </w:tcPr>
          <w:p w:rsidR="00714DE3" w:rsidRPr="00A95A85" w:rsidP="00C50F92" w14:paraId="46F0FC9C" w14:textId="77777777">
            <w:pPr>
              <w:pStyle w:val="TableTitleA"/>
            </w:pPr>
          </w:p>
        </w:tc>
        <w:tc>
          <w:tcPr>
            <w:tcW w:w="5273" w:type="dxa"/>
            <w:tcBorders>
              <w:top w:val="single" w:sz="18" w:space="0" w:color="48A9C5"/>
              <w:bottom w:val="single" w:sz="18" w:space="0" w:color="789D4A"/>
            </w:tcBorders>
          </w:tcPr>
          <w:p w:rsidR="00714DE3" w:rsidRPr="00714DE3" w:rsidP="0054420F" w14:paraId="2617B641" w14:textId="77777777">
            <w:pPr>
              <w:pStyle w:val="LTableTextAbt"/>
              <w:rPr>
                <w:rFonts w:ascii="Arial Bold" w:hAnsi="Arial Bold"/>
                <w:b/>
                <w:bCs w:val="0"/>
                <w:sz w:val="22"/>
                <w:szCs w:val="22"/>
              </w:rPr>
            </w:pPr>
          </w:p>
        </w:tc>
      </w:tr>
      <w:tr w14:paraId="79073302" w14:textId="77777777" w:rsidTr="00A7782A">
        <w:tblPrEx>
          <w:tblW w:w="0" w:type="auto"/>
          <w:tblLook w:val="04A0"/>
        </w:tblPrEx>
        <w:tc>
          <w:tcPr>
            <w:tcW w:w="3756" w:type="dxa"/>
            <w:tcBorders>
              <w:right w:val="single" w:sz="18" w:space="0" w:color="789D4A"/>
            </w:tcBorders>
          </w:tcPr>
          <w:p w:rsidR="0050322E" w:rsidRPr="00A95A85" w:rsidP="00C50F92" w14:paraId="27899F3D" w14:textId="7540F2E7">
            <w:pPr>
              <w:pStyle w:val="TableTitleA"/>
            </w:pPr>
            <w:r>
              <w:rPr>
                <w:noProof/>
              </w:rPr>
              <w:drawing>
                <wp:inline distT="0" distB="0" distL="0" distR="0">
                  <wp:extent cx="2228850" cy="2181225"/>
                  <wp:effectExtent l="0" t="0" r="0" b="9525"/>
                  <wp:docPr id="1540350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350598" name=""/>
                          <pic:cNvPicPr/>
                        </pic:nvPicPr>
                        <pic:blipFill>
                          <a:blip xmlns:r="http://schemas.openxmlformats.org/officeDocument/2006/relationships" r:embed="rId31"/>
                          <a:stretch>
                            <a:fillRect/>
                          </a:stretch>
                        </pic:blipFill>
                        <pic:spPr>
                          <a:xfrm>
                            <a:off x="0" y="0"/>
                            <a:ext cx="2228850" cy="2181225"/>
                          </a:xfrm>
                          <a:prstGeom prst="rect">
                            <a:avLst/>
                          </a:prstGeom>
                        </pic:spPr>
                      </pic:pic>
                    </a:graphicData>
                  </a:graphic>
                </wp:inline>
              </w:drawing>
            </w:r>
          </w:p>
        </w:tc>
        <w:tc>
          <w:tcPr>
            <w:tcW w:w="5273" w:type="dxa"/>
            <w:tcBorders>
              <w:top w:val="single" w:sz="18" w:space="0" w:color="789D4A"/>
              <w:left w:val="single" w:sz="18" w:space="0" w:color="789D4A"/>
              <w:bottom w:val="single" w:sz="18" w:space="0" w:color="789D4A"/>
              <w:right w:val="single" w:sz="18" w:space="0" w:color="789D4A"/>
            </w:tcBorders>
          </w:tcPr>
          <w:p w:rsidR="009A4070" w:rsidRPr="009A4070" w:rsidP="00714DE3" w14:paraId="3F39C1DB" w14:textId="2364ECFE">
            <w:pPr>
              <w:pStyle w:val="LTableTextAbt"/>
              <w:rPr>
                <w:rFonts w:ascii="Arial Bold" w:hAnsi="Arial Bold"/>
                <w:b/>
                <w:bCs w:val="0"/>
                <w:sz w:val="22"/>
                <w:szCs w:val="22"/>
              </w:rPr>
            </w:pPr>
            <w:r w:rsidRPr="009A4070">
              <w:rPr>
                <w:rFonts w:ascii="Arial Bold" w:hAnsi="Arial Bold"/>
                <w:b/>
                <w:bCs w:val="0"/>
                <w:sz w:val="22"/>
                <w:szCs w:val="22"/>
              </w:rPr>
              <w:t xml:space="preserve">Section </w:t>
            </w:r>
            <w:r w:rsidRPr="00714DE3" w:rsidR="00714DE3">
              <w:rPr>
                <w:rFonts w:ascii="Arial Bold" w:hAnsi="Arial Bold"/>
                <w:b/>
                <w:bCs w:val="0"/>
                <w:sz w:val="22"/>
                <w:szCs w:val="22"/>
              </w:rPr>
              <w:fldChar w:fldCharType="begin" w:fldLock="1"/>
            </w:r>
            <w:r w:rsidRPr="00714DE3" w:rsidR="00714DE3">
              <w:rPr>
                <w:rFonts w:ascii="Arial Bold" w:hAnsi="Arial Bold"/>
                <w:b/>
                <w:bCs w:val="0"/>
                <w:sz w:val="22"/>
                <w:szCs w:val="22"/>
              </w:rPr>
              <w:instrText xml:space="preserve"> REF _Ref181360890 \r \h  \* MERGEFORMAT </w:instrText>
            </w:r>
            <w:r w:rsidRPr="00714DE3" w:rsidR="00714DE3">
              <w:rPr>
                <w:rFonts w:ascii="Arial Bold" w:hAnsi="Arial Bold"/>
                <w:b/>
                <w:bCs w:val="0"/>
                <w:sz w:val="22"/>
                <w:szCs w:val="22"/>
              </w:rPr>
              <w:fldChar w:fldCharType="separate"/>
            </w:r>
            <w:r w:rsidR="00735BBC">
              <w:rPr>
                <w:rFonts w:ascii="Arial Bold" w:hAnsi="Arial Bold"/>
                <w:b/>
                <w:bCs w:val="0"/>
                <w:sz w:val="22"/>
                <w:szCs w:val="22"/>
              </w:rPr>
              <w:t>5.2</w:t>
            </w:r>
            <w:r w:rsidRPr="00714DE3" w:rsidR="00714DE3">
              <w:rPr>
                <w:rFonts w:ascii="Arial Bold" w:hAnsi="Arial Bold"/>
                <w:b/>
                <w:bCs w:val="0"/>
                <w:sz w:val="22"/>
                <w:szCs w:val="22"/>
              </w:rPr>
              <w:fldChar w:fldCharType="end"/>
            </w:r>
            <w:r w:rsidRPr="00714DE3" w:rsidR="00714DE3">
              <w:rPr>
                <w:rFonts w:ascii="Arial Bold" w:hAnsi="Arial Bold"/>
                <w:b/>
                <w:bCs w:val="0"/>
                <w:sz w:val="22"/>
                <w:szCs w:val="22"/>
              </w:rPr>
              <w:t xml:space="preserve"> and </w:t>
            </w:r>
            <w:r w:rsidRPr="00714DE3" w:rsidR="00714DE3">
              <w:rPr>
                <w:rFonts w:ascii="Arial Bold" w:hAnsi="Arial Bold"/>
                <w:b/>
                <w:bCs w:val="0"/>
                <w:sz w:val="22"/>
                <w:szCs w:val="22"/>
              </w:rPr>
              <w:fldChar w:fldCharType="begin" w:fldLock="1"/>
            </w:r>
            <w:r w:rsidRPr="00714DE3" w:rsidR="00714DE3">
              <w:rPr>
                <w:rFonts w:ascii="Arial Bold" w:hAnsi="Arial Bold"/>
                <w:b/>
                <w:bCs w:val="0"/>
                <w:sz w:val="22"/>
                <w:szCs w:val="22"/>
              </w:rPr>
              <w:instrText xml:space="preserve"> REF _Ref181360892 \r \h  \* MERGEFORMAT </w:instrText>
            </w:r>
            <w:r w:rsidRPr="00714DE3" w:rsidR="00714DE3">
              <w:rPr>
                <w:rFonts w:ascii="Arial Bold" w:hAnsi="Arial Bold"/>
                <w:b/>
                <w:bCs w:val="0"/>
                <w:sz w:val="22"/>
                <w:szCs w:val="22"/>
              </w:rPr>
              <w:fldChar w:fldCharType="separate"/>
            </w:r>
            <w:r w:rsidR="00735BBC">
              <w:rPr>
                <w:rFonts w:ascii="Arial Bold" w:hAnsi="Arial Bold"/>
                <w:b/>
                <w:bCs w:val="0"/>
                <w:sz w:val="22"/>
                <w:szCs w:val="22"/>
              </w:rPr>
              <w:t>5.3</w:t>
            </w:r>
            <w:r w:rsidRPr="00714DE3" w:rsidR="00714DE3">
              <w:rPr>
                <w:rFonts w:ascii="Arial Bold" w:hAnsi="Arial Bold"/>
                <w:b/>
                <w:bCs w:val="0"/>
                <w:sz w:val="22"/>
                <w:szCs w:val="22"/>
              </w:rPr>
              <w:fldChar w:fldCharType="end"/>
            </w:r>
          </w:p>
          <w:p w:rsidR="009A4070" w:rsidRPr="009A4070" w:rsidP="00714DE3" w14:paraId="25CEB3C2" w14:textId="01E739D0">
            <w:pPr>
              <w:pStyle w:val="LTableTextAbt"/>
              <w:numPr>
                <w:ilvl w:val="0"/>
                <w:numId w:val="193"/>
              </w:numPr>
              <w:ind w:left="279" w:hanging="270"/>
              <w:rPr>
                <w:sz w:val="22"/>
                <w:szCs w:val="22"/>
              </w:rPr>
            </w:pPr>
            <w:r w:rsidRPr="009A4070">
              <w:rPr>
                <w:sz w:val="22"/>
                <w:szCs w:val="22"/>
              </w:rPr>
              <w:t xml:space="preserve">Equation 5-1 relates chronic bronchitis risk to exposure based on Gardiner et al. </w:t>
            </w:r>
            <w:r w:rsidR="00673FD5">
              <w:rPr>
                <w:sz w:val="22"/>
                <w:szCs w:val="22"/>
              </w:rPr>
              <w:t>(</w:t>
            </w:r>
            <w:r w:rsidRPr="009A4070">
              <w:rPr>
                <w:sz w:val="22"/>
                <w:szCs w:val="22"/>
              </w:rPr>
              <w:t>2001</w:t>
            </w:r>
            <w:r w:rsidR="00673FD5">
              <w:rPr>
                <w:sz w:val="22"/>
                <w:szCs w:val="22"/>
              </w:rPr>
              <w:t>)</w:t>
            </w:r>
            <w:r w:rsidR="004C3CCE">
              <w:rPr>
                <w:sz w:val="22"/>
                <w:szCs w:val="22"/>
              </w:rPr>
              <w:t xml:space="preserve">, </w:t>
            </w:r>
            <w:r w:rsidRPr="00673FD5" w:rsidR="00673FD5">
              <w:rPr>
                <w:sz w:val="22"/>
                <w:szCs w:val="22"/>
              </w:rPr>
              <w:t>β = 0.5878</w:t>
            </w:r>
            <w:r w:rsidR="004C3CCE">
              <w:rPr>
                <w:sz w:val="22"/>
                <w:szCs w:val="22"/>
              </w:rPr>
              <w:t xml:space="preserve"> and baseline incidence = 3.6%.</w:t>
            </w:r>
          </w:p>
          <w:p w:rsidR="0050322E" w:rsidRPr="00A95A85" w:rsidP="00714DE3" w14:paraId="65AEABF1" w14:textId="67F0505F">
            <w:pPr>
              <w:pStyle w:val="LTableTextAbt"/>
              <w:numPr>
                <w:ilvl w:val="0"/>
                <w:numId w:val="193"/>
              </w:numPr>
              <w:ind w:left="279" w:hanging="270"/>
            </w:pPr>
            <w:r w:rsidRPr="00714DE3">
              <w:rPr>
                <w:sz w:val="22"/>
                <w:szCs w:val="22"/>
              </w:rPr>
              <w:t>Equation 5-2 relates chronic bronchitis risk to exposure based on Harber et al. 2003</w:t>
            </w:r>
            <w:r w:rsidR="00081E41">
              <w:rPr>
                <w:sz w:val="22"/>
                <w:szCs w:val="22"/>
              </w:rPr>
              <w:t xml:space="preserve">, </w:t>
            </w:r>
            <w:r w:rsidRPr="00AD6390" w:rsidR="00AD6390">
              <w:rPr>
                <w:sz w:val="22"/>
                <w:szCs w:val="22"/>
              </w:rPr>
              <w:t>β = 0.0086</w:t>
            </w:r>
            <w:r w:rsidRPr="00714DE3">
              <w:rPr>
                <w:sz w:val="22"/>
                <w:szCs w:val="22"/>
              </w:rPr>
              <w:t>.</w:t>
            </w:r>
          </w:p>
        </w:tc>
      </w:tr>
      <w:tr w14:paraId="2882C47A" w14:textId="77777777" w:rsidTr="00A7782A">
        <w:tblPrEx>
          <w:tblW w:w="0" w:type="auto"/>
          <w:tblLook w:val="04A0"/>
        </w:tblPrEx>
        <w:trPr>
          <w:trHeight w:val="3510"/>
        </w:trPr>
        <w:tc>
          <w:tcPr>
            <w:tcW w:w="3756" w:type="dxa"/>
            <w:tcBorders>
              <w:right w:val="single" w:sz="18" w:space="0" w:color="E87722"/>
            </w:tcBorders>
          </w:tcPr>
          <w:p w:rsidR="0050322E" w:rsidRPr="00A95A85" w:rsidP="00C50F92" w14:paraId="2885CF0D" w14:textId="096AB9F2">
            <w:pPr>
              <w:pStyle w:val="TableTitleA"/>
            </w:pPr>
            <w:r>
              <w:rPr>
                <w:noProof/>
              </w:rPr>
              <w:drawing>
                <wp:inline distT="0" distB="0" distL="0" distR="0">
                  <wp:extent cx="2209800" cy="2381250"/>
                  <wp:effectExtent l="0" t="0" r="0" b="0"/>
                  <wp:docPr id="440921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921862" name=""/>
                          <pic:cNvPicPr/>
                        </pic:nvPicPr>
                        <pic:blipFill>
                          <a:blip xmlns:r="http://schemas.openxmlformats.org/officeDocument/2006/relationships" r:embed="rId32"/>
                          <a:stretch>
                            <a:fillRect/>
                          </a:stretch>
                        </pic:blipFill>
                        <pic:spPr>
                          <a:xfrm>
                            <a:off x="0" y="0"/>
                            <a:ext cx="2209800" cy="2381250"/>
                          </a:xfrm>
                          <a:prstGeom prst="rect">
                            <a:avLst/>
                          </a:prstGeom>
                        </pic:spPr>
                      </pic:pic>
                    </a:graphicData>
                  </a:graphic>
                </wp:inline>
              </w:drawing>
            </w:r>
          </w:p>
        </w:tc>
        <w:tc>
          <w:tcPr>
            <w:tcW w:w="5273" w:type="dxa"/>
            <w:tcBorders>
              <w:top w:val="single" w:sz="18" w:space="0" w:color="E87722"/>
              <w:left w:val="single" w:sz="18" w:space="0" w:color="E87722"/>
              <w:bottom w:val="single" w:sz="18" w:space="0" w:color="E87722"/>
              <w:right w:val="single" w:sz="18" w:space="0" w:color="E87722"/>
            </w:tcBorders>
          </w:tcPr>
          <w:p w:rsidR="00714DE3" w:rsidRPr="009A4070" w:rsidP="00714DE3" w14:paraId="0082E94F" w14:textId="24D2D077">
            <w:pPr>
              <w:pStyle w:val="LTableTextAbt"/>
              <w:rPr>
                <w:rFonts w:ascii="Arial Bold" w:hAnsi="Arial Bold"/>
                <w:b/>
                <w:bCs w:val="0"/>
                <w:sz w:val="22"/>
                <w:szCs w:val="22"/>
              </w:rPr>
            </w:pPr>
            <w:r w:rsidRPr="009A4070">
              <w:rPr>
                <w:rFonts w:ascii="Arial Bold" w:hAnsi="Arial Bold"/>
                <w:b/>
                <w:bCs w:val="0"/>
                <w:sz w:val="22"/>
                <w:szCs w:val="22"/>
              </w:rPr>
              <w:t xml:space="preserve">Section </w:t>
            </w:r>
            <w:r w:rsidRPr="00714DE3">
              <w:rPr>
                <w:rFonts w:ascii="Arial Bold" w:hAnsi="Arial Bold"/>
                <w:b/>
                <w:bCs w:val="0"/>
                <w:sz w:val="22"/>
                <w:szCs w:val="22"/>
              </w:rPr>
              <w:fldChar w:fldCharType="begin" w:fldLock="1"/>
            </w:r>
            <w:r w:rsidRPr="00714DE3">
              <w:rPr>
                <w:rFonts w:ascii="Arial Bold" w:hAnsi="Arial Bold"/>
                <w:b/>
                <w:bCs w:val="0"/>
                <w:sz w:val="22"/>
                <w:szCs w:val="22"/>
              </w:rPr>
              <w:instrText xml:space="preserve"> REF _Ref181360892 \r \h  \* MERGEFORMAT </w:instrText>
            </w:r>
            <w:r w:rsidRPr="00714DE3">
              <w:rPr>
                <w:rFonts w:ascii="Arial Bold" w:hAnsi="Arial Bold"/>
                <w:b/>
                <w:bCs w:val="0"/>
                <w:sz w:val="22"/>
                <w:szCs w:val="22"/>
              </w:rPr>
              <w:fldChar w:fldCharType="separate"/>
            </w:r>
            <w:r w:rsidR="00735BBC">
              <w:rPr>
                <w:rFonts w:ascii="Arial Bold" w:hAnsi="Arial Bold"/>
                <w:b/>
                <w:bCs w:val="0"/>
                <w:sz w:val="22"/>
                <w:szCs w:val="22"/>
              </w:rPr>
              <w:t>5.3</w:t>
            </w:r>
            <w:r w:rsidRPr="00714DE3">
              <w:rPr>
                <w:rFonts w:ascii="Arial Bold" w:hAnsi="Arial Bold"/>
                <w:b/>
                <w:bCs w:val="0"/>
                <w:sz w:val="22"/>
                <w:szCs w:val="22"/>
              </w:rPr>
              <w:fldChar w:fldCharType="end"/>
            </w:r>
            <w:r w:rsidR="00D24996">
              <w:rPr>
                <w:rFonts w:ascii="Arial Bold" w:hAnsi="Arial Bold"/>
                <w:b/>
                <w:bCs w:val="0"/>
                <w:sz w:val="22"/>
                <w:szCs w:val="22"/>
              </w:rPr>
              <w:t xml:space="preserve"> (see </w:t>
            </w:r>
            <w:r w:rsidR="00D24996">
              <w:rPr>
                <w:rFonts w:ascii="Arial Bold" w:hAnsi="Arial Bold"/>
                <w:b/>
                <w:bCs w:val="0"/>
                <w:sz w:val="22"/>
                <w:szCs w:val="22"/>
              </w:rPr>
              <w:fldChar w:fldCharType="begin" w:fldLock="1"/>
            </w:r>
            <w:r w:rsidR="00D24996">
              <w:rPr>
                <w:rFonts w:ascii="Arial Bold" w:hAnsi="Arial Bold"/>
                <w:b/>
                <w:bCs w:val="0"/>
                <w:sz w:val="22"/>
                <w:szCs w:val="22"/>
              </w:rPr>
              <w:instrText xml:space="preserve"> REF _Ref181219251 \h  \* MERGEFORMAT </w:instrText>
            </w:r>
            <w:r w:rsidR="00D24996">
              <w:rPr>
                <w:rFonts w:ascii="Arial Bold" w:hAnsi="Arial Bold"/>
                <w:b/>
                <w:bCs w:val="0"/>
                <w:sz w:val="22"/>
                <w:szCs w:val="22"/>
              </w:rPr>
              <w:fldChar w:fldCharType="separate"/>
            </w:r>
            <w:r w:rsidRPr="00735BBC" w:rsidR="00735BBC">
              <w:rPr>
                <w:rFonts w:ascii="Arial Bold" w:hAnsi="Arial Bold"/>
                <w:b/>
                <w:bCs w:val="0"/>
                <w:sz w:val="22"/>
                <w:szCs w:val="22"/>
              </w:rPr>
              <w:t>Table 5</w:t>
            </w:r>
            <w:r w:rsidRPr="00735BBC" w:rsidR="00735BBC">
              <w:rPr>
                <w:rFonts w:ascii="Arial Bold" w:hAnsi="Arial Bold"/>
                <w:b/>
                <w:bCs w:val="0"/>
                <w:sz w:val="22"/>
                <w:szCs w:val="22"/>
              </w:rPr>
              <w:noBreakHyphen/>
              <w:t>5</w:t>
            </w:r>
            <w:r w:rsidR="00D24996">
              <w:rPr>
                <w:rFonts w:ascii="Arial Bold" w:hAnsi="Arial Bold"/>
                <w:b/>
                <w:bCs w:val="0"/>
                <w:sz w:val="22"/>
                <w:szCs w:val="22"/>
              </w:rPr>
              <w:fldChar w:fldCharType="end"/>
            </w:r>
            <w:r w:rsidR="00D24996">
              <w:rPr>
                <w:rFonts w:ascii="Arial Bold" w:hAnsi="Arial Bold"/>
                <w:b/>
                <w:bCs w:val="0"/>
                <w:sz w:val="22"/>
                <w:szCs w:val="22"/>
              </w:rPr>
              <w:t>)</w:t>
            </w:r>
          </w:p>
          <w:p w:rsidR="003B30D5" w:rsidRPr="003B30D5" w:rsidP="00714DE3" w14:paraId="7E4D2E66" w14:textId="3BA6FC5D">
            <w:pPr>
              <w:pStyle w:val="LTableTextAbt"/>
              <w:numPr>
                <w:ilvl w:val="0"/>
                <w:numId w:val="193"/>
              </w:numPr>
              <w:ind w:left="279" w:hanging="270"/>
              <w:rPr>
                <w:sz w:val="22"/>
                <w:szCs w:val="22"/>
              </w:rPr>
            </w:pPr>
            <w:r w:rsidRPr="003B30D5">
              <w:rPr>
                <w:sz w:val="22"/>
                <w:szCs w:val="22"/>
              </w:rPr>
              <w:t xml:space="preserve">The Gardiner estimate of 0.4299 cases avoided is calculated using Equation 5-1, the parameters specified in section </w:t>
            </w:r>
            <w:r w:rsidR="00246E2E">
              <w:rPr>
                <w:sz w:val="22"/>
                <w:szCs w:val="22"/>
              </w:rPr>
              <w:fldChar w:fldCharType="begin" w:fldLock="1"/>
            </w:r>
            <w:r w:rsidR="00246E2E">
              <w:rPr>
                <w:sz w:val="22"/>
                <w:szCs w:val="22"/>
              </w:rPr>
              <w:instrText xml:space="preserve"> REF _Ref181219362 \r \h </w:instrText>
            </w:r>
            <w:r w:rsidR="00246E2E">
              <w:rPr>
                <w:sz w:val="22"/>
                <w:szCs w:val="22"/>
              </w:rPr>
              <w:fldChar w:fldCharType="separate"/>
            </w:r>
            <w:r w:rsidR="00735BBC">
              <w:rPr>
                <w:sz w:val="22"/>
                <w:szCs w:val="22"/>
              </w:rPr>
              <w:t>5.3.1</w:t>
            </w:r>
            <w:r w:rsidR="00246E2E">
              <w:rPr>
                <w:sz w:val="22"/>
                <w:szCs w:val="22"/>
              </w:rPr>
              <w:fldChar w:fldCharType="end"/>
            </w:r>
            <w:r w:rsidRPr="003B30D5">
              <w:rPr>
                <w:sz w:val="22"/>
                <w:szCs w:val="22"/>
              </w:rPr>
              <w:t>, the changes in exposure of 0.3626  and .0296 mg/m</w:t>
            </w:r>
            <w:r w:rsidRPr="00005413">
              <w:rPr>
                <w:sz w:val="22"/>
                <w:szCs w:val="22"/>
                <w:vertAlign w:val="superscript"/>
              </w:rPr>
              <w:t>3</w:t>
            </w:r>
            <w:r w:rsidR="00005413">
              <w:rPr>
                <w:sz w:val="22"/>
                <w:szCs w:val="22"/>
              </w:rPr>
              <w:t xml:space="preserve"> </w:t>
            </w:r>
            <w:r w:rsidRPr="003B30D5">
              <w:rPr>
                <w:sz w:val="22"/>
                <w:szCs w:val="22"/>
              </w:rPr>
              <w:t>from step 2 (weighted by 25% and 75%, respectively), and the 196 workers from step 1.</w:t>
            </w:r>
          </w:p>
          <w:p w:rsidR="0050322E" w:rsidRPr="00A95A85" w:rsidP="00714DE3" w14:paraId="3064DD19" w14:textId="10A9C39E">
            <w:pPr>
              <w:pStyle w:val="LTableTextAbt"/>
              <w:numPr>
                <w:ilvl w:val="0"/>
                <w:numId w:val="193"/>
              </w:numPr>
              <w:ind w:left="279" w:hanging="270"/>
            </w:pPr>
            <w:r w:rsidRPr="00714DE3">
              <w:rPr>
                <w:sz w:val="22"/>
                <w:szCs w:val="22"/>
              </w:rPr>
              <w:t xml:space="preserve">The Harbor estimate of 0.1901 cases avoided is calculated using Equation 5-2, the parameters specified in section </w:t>
            </w:r>
            <w:r w:rsidR="00246E2E">
              <w:rPr>
                <w:sz w:val="22"/>
                <w:szCs w:val="22"/>
              </w:rPr>
              <w:fldChar w:fldCharType="begin" w:fldLock="1"/>
            </w:r>
            <w:r w:rsidR="00246E2E">
              <w:rPr>
                <w:sz w:val="22"/>
                <w:szCs w:val="22"/>
              </w:rPr>
              <w:instrText xml:space="preserve"> REF _Ref181219370 \r \h </w:instrText>
            </w:r>
            <w:r w:rsidR="00246E2E">
              <w:rPr>
                <w:sz w:val="22"/>
                <w:szCs w:val="22"/>
              </w:rPr>
              <w:fldChar w:fldCharType="separate"/>
            </w:r>
            <w:r w:rsidR="00735BBC">
              <w:rPr>
                <w:sz w:val="22"/>
                <w:szCs w:val="22"/>
              </w:rPr>
              <w:t>5.3.2</w:t>
            </w:r>
            <w:r w:rsidR="00246E2E">
              <w:rPr>
                <w:sz w:val="22"/>
                <w:szCs w:val="22"/>
              </w:rPr>
              <w:fldChar w:fldCharType="end"/>
            </w:r>
            <w:r w:rsidRPr="00714DE3">
              <w:rPr>
                <w:sz w:val="22"/>
                <w:szCs w:val="22"/>
              </w:rPr>
              <w:t>, the changes in exposure of 0.3626  and .0296 mg/m</w:t>
            </w:r>
            <w:r w:rsidRPr="00005413">
              <w:rPr>
                <w:sz w:val="22"/>
                <w:szCs w:val="22"/>
                <w:vertAlign w:val="superscript"/>
              </w:rPr>
              <w:t>3</w:t>
            </w:r>
            <w:r w:rsidR="00005413">
              <w:rPr>
                <w:sz w:val="22"/>
                <w:szCs w:val="22"/>
                <w:vertAlign w:val="superscript"/>
              </w:rPr>
              <w:t xml:space="preserve"> </w:t>
            </w:r>
            <w:r w:rsidRPr="00714DE3">
              <w:rPr>
                <w:sz w:val="22"/>
                <w:szCs w:val="22"/>
              </w:rPr>
              <w:t>from step 2 (weighted by 25% and 75%, respectively), and the 196 workers from step 1.</w:t>
            </w:r>
          </w:p>
        </w:tc>
      </w:tr>
      <w:tr w14:paraId="53528E5B" w14:textId="77777777" w:rsidTr="00A7782A">
        <w:tblPrEx>
          <w:tblW w:w="0" w:type="auto"/>
          <w:tblLook w:val="04A0"/>
        </w:tblPrEx>
        <w:tc>
          <w:tcPr>
            <w:tcW w:w="3756" w:type="dxa"/>
          </w:tcPr>
          <w:p w:rsidR="00714DE3" w:rsidRPr="00A95A85" w:rsidP="00C50F92" w14:paraId="16851EFC" w14:textId="77777777">
            <w:pPr>
              <w:pStyle w:val="TableTitleA"/>
            </w:pPr>
          </w:p>
        </w:tc>
        <w:tc>
          <w:tcPr>
            <w:tcW w:w="5273" w:type="dxa"/>
            <w:tcBorders>
              <w:top w:val="single" w:sz="18" w:space="0" w:color="E87722"/>
              <w:bottom w:val="single" w:sz="18" w:space="0" w:color="898D8D"/>
            </w:tcBorders>
          </w:tcPr>
          <w:p w:rsidR="00714DE3" w:rsidRPr="009A4070" w:rsidP="00714DE3" w14:paraId="0C0267BE" w14:textId="77777777">
            <w:pPr>
              <w:pStyle w:val="LTableTextAbt"/>
              <w:rPr>
                <w:rFonts w:ascii="Arial Bold" w:hAnsi="Arial Bold"/>
                <w:b/>
                <w:bCs w:val="0"/>
                <w:sz w:val="22"/>
                <w:szCs w:val="22"/>
              </w:rPr>
            </w:pPr>
          </w:p>
        </w:tc>
      </w:tr>
      <w:tr w14:paraId="08093DE0" w14:textId="77777777" w:rsidTr="00A7782A">
        <w:tblPrEx>
          <w:tblW w:w="0" w:type="auto"/>
          <w:tblLook w:val="04A0"/>
        </w:tblPrEx>
        <w:tc>
          <w:tcPr>
            <w:tcW w:w="3756" w:type="dxa"/>
            <w:tcBorders>
              <w:right w:val="single" w:sz="18" w:space="0" w:color="898D8D"/>
            </w:tcBorders>
          </w:tcPr>
          <w:p w:rsidR="0050322E" w:rsidRPr="00A95A85" w:rsidP="00C50F92" w14:paraId="7F6B5157" w14:textId="60C95152">
            <w:pPr>
              <w:pStyle w:val="TableTitleA"/>
            </w:pPr>
            <w:r>
              <w:rPr>
                <w:noProof/>
              </w:rPr>
              <w:drawing>
                <wp:inline distT="0" distB="0" distL="0" distR="0">
                  <wp:extent cx="2162175" cy="1657350"/>
                  <wp:effectExtent l="0" t="0" r="9525" b="0"/>
                  <wp:docPr id="117596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96280" name=""/>
                          <pic:cNvPicPr/>
                        </pic:nvPicPr>
                        <pic:blipFill>
                          <a:blip xmlns:r="http://schemas.openxmlformats.org/officeDocument/2006/relationships" r:embed="rId33"/>
                          <a:stretch>
                            <a:fillRect/>
                          </a:stretch>
                        </pic:blipFill>
                        <pic:spPr>
                          <a:xfrm>
                            <a:off x="0" y="0"/>
                            <a:ext cx="2162175" cy="1657350"/>
                          </a:xfrm>
                          <a:prstGeom prst="rect">
                            <a:avLst/>
                          </a:prstGeom>
                        </pic:spPr>
                      </pic:pic>
                    </a:graphicData>
                  </a:graphic>
                </wp:inline>
              </w:drawing>
            </w:r>
          </w:p>
        </w:tc>
        <w:tc>
          <w:tcPr>
            <w:tcW w:w="5273" w:type="dxa"/>
            <w:tcBorders>
              <w:top w:val="single" w:sz="18" w:space="0" w:color="898D8D"/>
              <w:left w:val="single" w:sz="18" w:space="0" w:color="898D8D"/>
              <w:bottom w:val="single" w:sz="18" w:space="0" w:color="898D8D"/>
              <w:right w:val="single" w:sz="18" w:space="0" w:color="898D8D"/>
            </w:tcBorders>
          </w:tcPr>
          <w:p w:rsidR="003B30D5" w:rsidRPr="003B30D5" w:rsidP="003B30D5" w14:paraId="3BC24D6A" w14:textId="46FA261F">
            <w:pPr>
              <w:pStyle w:val="TableTitleA"/>
              <w:rPr>
                <w:rFonts w:eastAsiaTheme="minorHAnsi"/>
                <w:b/>
                <w:color w:val="000000"/>
              </w:rPr>
            </w:pPr>
            <w:r w:rsidRPr="003B30D5">
              <w:rPr>
                <w:rFonts w:eastAsiaTheme="minorHAnsi"/>
                <w:b/>
                <w:color w:val="000000"/>
              </w:rPr>
              <w:t xml:space="preserve">Section </w:t>
            </w:r>
            <w:r w:rsidRPr="00714DE3" w:rsidR="00714DE3">
              <w:rPr>
                <w:rFonts w:eastAsiaTheme="minorHAnsi"/>
                <w:b/>
                <w:color w:val="000000"/>
              </w:rPr>
              <w:fldChar w:fldCharType="begin" w:fldLock="1"/>
            </w:r>
            <w:r w:rsidRPr="00714DE3" w:rsidR="00714DE3">
              <w:rPr>
                <w:rFonts w:eastAsiaTheme="minorHAnsi"/>
                <w:b/>
                <w:color w:val="000000"/>
              </w:rPr>
              <w:instrText xml:space="preserve"> REF _Ref181360896 \r \h  \* MERGEFORMAT </w:instrText>
            </w:r>
            <w:r w:rsidRPr="00714DE3" w:rsidR="00714DE3">
              <w:rPr>
                <w:rFonts w:eastAsiaTheme="minorHAnsi"/>
                <w:b/>
                <w:color w:val="000000"/>
              </w:rPr>
              <w:fldChar w:fldCharType="separate"/>
            </w:r>
            <w:r w:rsidR="00735BBC">
              <w:rPr>
                <w:rFonts w:eastAsiaTheme="minorHAnsi"/>
                <w:b/>
                <w:color w:val="000000"/>
              </w:rPr>
              <w:t>5.4</w:t>
            </w:r>
            <w:r w:rsidRPr="00714DE3" w:rsidR="00714DE3">
              <w:rPr>
                <w:rFonts w:eastAsiaTheme="minorHAnsi"/>
                <w:b/>
                <w:color w:val="000000"/>
              </w:rPr>
              <w:fldChar w:fldCharType="end"/>
            </w:r>
          </w:p>
          <w:p w:rsidR="0050322E" w:rsidRPr="00A95A85" w:rsidP="00714DE3" w14:paraId="531C8438" w14:textId="28209D4C">
            <w:pPr>
              <w:pStyle w:val="LTableTextAbt"/>
              <w:numPr>
                <w:ilvl w:val="0"/>
                <w:numId w:val="193"/>
              </w:numPr>
              <w:ind w:left="279" w:hanging="270"/>
            </w:pPr>
            <w:r w:rsidRPr="00714DE3">
              <w:rPr>
                <w:sz w:val="22"/>
                <w:szCs w:val="22"/>
              </w:rPr>
              <w:t>Based on a WTP estimate, the value for a statistical case of chronic bronchitis is estimated to be $766,000 in 2023$.</w:t>
            </w:r>
          </w:p>
        </w:tc>
      </w:tr>
      <w:tr w14:paraId="542637DD" w14:textId="77777777" w:rsidTr="00A7782A">
        <w:tblPrEx>
          <w:tblW w:w="0" w:type="auto"/>
          <w:tblLook w:val="04A0"/>
        </w:tblPrEx>
        <w:tc>
          <w:tcPr>
            <w:tcW w:w="3756" w:type="dxa"/>
          </w:tcPr>
          <w:p w:rsidR="007417B0" w:rsidP="00C50F92" w14:paraId="35249C7F" w14:textId="77777777">
            <w:pPr>
              <w:pStyle w:val="TableTitleA"/>
              <w:rPr>
                <w:noProof/>
              </w:rPr>
            </w:pPr>
          </w:p>
        </w:tc>
        <w:tc>
          <w:tcPr>
            <w:tcW w:w="5273" w:type="dxa"/>
            <w:tcBorders>
              <w:top w:val="single" w:sz="18" w:space="0" w:color="898D8D"/>
              <w:bottom w:val="single" w:sz="18" w:space="0" w:color="DA291C"/>
            </w:tcBorders>
          </w:tcPr>
          <w:p w:rsidR="007417B0" w:rsidRPr="003B30D5" w:rsidP="003B30D5" w14:paraId="58948103" w14:textId="77777777">
            <w:pPr>
              <w:pStyle w:val="TableTitleA"/>
              <w:rPr>
                <w:b/>
                <w:bCs/>
              </w:rPr>
            </w:pPr>
          </w:p>
        </w:tc>
      </w:tr>
      <w:tr w14:paraId="25F9E418" w14:textId="77777777" w:rsidTr="00A7782A">
        <w:tblPrEx>
          <w:tblW w:w="0" w:type="auto"/>
          <w:tblLook w:val="04A0"/>
        </w:tblPrEx>
        <w:tc>
          <w:tcPr>
            <w:tcW w:w="3756" w:type="dxa"/>
            <w:tcBorders>
              <w:right w:val="single" w:sz="18" w:space="0" w:color="DA291C"/>
            </w:tcBorders>
          </w:tcPr>
          <w:p w:rsidR="0050322E" w:rsidRPr="00A95A85" w:rsidP="00C50F92" w14:paraId="55937584" w14:textId="25756DD5">
            <w:pPr>
              <w:pStyle w:val="TableTitleA"/>
            </w:pPr>
            <w:r>
              <w:rPr>
                <w:noProof/>
              </w:rPr>
              <w:drawing>
                <wp:inline distT="0" distB="0" distL="0" distR="0">
                  <wp:extent cx="2190750" cy="1800225"/>
                  <wp:effectExtent l="0" t="0" r="0" b="9525"/>
                  <wp:docPr id="404428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428675" name=""/>
                          <pic:cNvPicPr/>
                        </pic:nvPicPr>
                        <pic:blipFill>
                          <a:blip xmlns:r="http://schemas.openxmlformats.org/officeDocument/2006/relationships" r:embed="rId34"/>
                          <a:stretch>
                            <a:fillRect/>
                          </a:stretch>
                        </pic:blipFill>
                        <pic:spPr>
                          <a:xfrm>
                            <a:off x="0" y="0"/>
                            <a:ext cx="2190750" cy="1800225"/>
                          </a:xfrm>
                          <a:prstGeom prst="rect">
                            <a:avLst/>
                          </a:prstGeom>
                        </pic:spPr>
                      </pic:pic>
                    </a:graphicData>
                  </a:graphic>
                </wp:inline>
              </w:drawing>
            </w:r>
          </w:p>
        </w:tc>
        <w:tc>
          <w:tcPr>
            <w:tcW w:w="5273" w:type="dxa"/>
            <w:tcBorders>
              <w:top w:val="single" w:sz="18" w:space="0" w:color="DA291C"/>
              <w:left w:val="single" w:sz="18" w:space="0" w:color="DA291C"/>
              <w:bottom w:val="single" w:sz="18" w:space="0" w:color="DA291C"/>
              <w:right w:val="single" w:sz="18" w:space="0" w:color="DA291C"/>
            </w:tcBorders>
          </w:tcPr>
          <w:p w:rsidR="003B30D5" w:rsidRPr="003B30D5" w:rsidP="003B30D5" w14:paraId="321528AB" w14:textId="3F128A6C">
            <w:pPr>
              <w:pStyle w:val="TableTitleA"/>
              <w:rPr>
                <w:b/>
                <w:bCs/>
              </w:rPr>
            </w:pPr>
            <w:r w:rsidRPr="003B30D5">
              <w:rPr>
                <w:b/>
                <w:bCs/>
              </w:rPr>
              <w:t xml:space="preserve">Section </w:t>
            </w:r>
            <w:r w:rsidR="00714DE3">
              <w:rPr>
                <w:b/>
                <w:bCs/>
              </w:rPr>
              <w:fldChar w:fldCharType="begin" w:fldLock="1"/>
            </w:r>
            <w:r w:rsidR="00714DE3">
              <w:rPr>
                <w:b/>
                <w:bCs/>
              </w:rPr>
              <w:instrText xml:space="preserve"> REF _Ref181352728 \r \h  \* MERGEFORMAT </w:instrText>
            </w:r>
            <w:r w:rsidR="00714DE3">
              <w:rPr>
                <w:b/>
                <w:bCs/>
              </w:rPr>
              <w:fldChar w:fldCharType="separate"/>
            </w:r>
            <w:r w:rsidR="00735BBC">
              <w:rPr>
                <w:b/>
                <w:bCs/>
              </w:rPr>
              <w:t>5.5</w:t>
            </w:r>
            <w:r w:rsidR="00714DE3">
              <w:rPr>
                <w:b/>
                <w:bCs/>
              </w:rPr>
              <w:fldChar w:fldCharType="end"/>
            </w:r>
            <w:r w:rsidR="00535BB0">
              <w:rPr>
                <w:b/>
                <w:bCs/>
              </w:rPr>
              <w:t xml:space="preserve"> (see </w:t>
            </w:r>
            <w:r w:rsidR="00535BB0">
              <w:rPr>
                <w:b/>
                <w:bCs/>
              </w:rPr>
              <w:fldChar w:fldCharType="begin" w:fldLock="1"/>
            </w:r>
            <w:r w:rsidR="00535BB0">
              <w:rPr>
                <w:b/>
                <w:bCs/>
              </w:rPr>
              <w:instrText xml:space="preserve"> REF _Ref181228533 \h </w:instrText>
            </w:r>
            <w:r w:rsidR="00535BB0">
              <w:rPr>
                <w:b/>
                <w:bCs/>
              </w:rPr>
              <w:fldChar w:fldCharType="separate"/>
            </w:r>
            <w:r w:rsidR="00735BBC">
              <w:t xml:space="preserve">Table </w:t>
            </w:r>
            <w:r w:rsidR="00735BBC">
              <w:rPr>
                <w:noProof/>
              </w:rPr>
              <w:t>5</w:t>
            </w:r>
            <w:r w:rsidR="00735BBC">
              <w:noBreakHyphen/>
            </w:r>
            <w:r w:rsidR="00735BBC">
              <w:rPr>
                <w:noProof/>
              </w:rPr>
              <w:t>7</w:t>
            </w:r>
            <w:r w:rsidR="00535BB0">
              <w:rPr>
                <w:b/>
                <w:bCs/>
              </w:rPr>
              <w:fldChar w:fldCharType="end"/>
            </w:r>
            <w:r w:rsidR="00535BB0">
              <w:rPr>
                <w:b/>
                <w:bCs/>
              </w:rPr>
              <w:t>)</w:t>
            </w:r>
          </w:p>
          <w:p w:rsidR="003B30D5" w:rsidRPr="003B30D5" w:rsidP="00714DE3" w14:paraId="70C5E57D" w14:textId="77777777">
            <w:pPr>
              <w:pStyle w:val="LTableTextAbt"/>
              <w:numPr>
                <w:ilvl w:val="0"/>
                <w:numId w:val="193"/>
              </w:numPr>
              <w:ind w:left="279" w:hanging="270"/>
              <w:rPr>
                <w:sz w:val="22"/>
                <w:szCs w:val="22"/>
              </w:rPr>
            </w:pPr>
            <w:r w:rsidRPr="003B30D5">
              <w:rPr>
                <w:sz w:val="22"/>
                <w:szCs w:val="22"/>
              </w:rPr>
              <w:t>The Gardiner (high) annual benefit estimate of $329,285 is estimated as the product of the 0.4299 (0.429876) cases avoided from step 4 and the $766,000 value per case avoided from step 5.</w:t>
            </w:r>
          </w:p>
          <w:p w:rsidR="003B30D5" w:rsidRPr="003B30D5" w:rsidP="00714DE3" w14:paraId="7301D42F" w14:textId="77777777">
            <w:pPr>
              <w:pStyle w:val="LTableTextAbt"/>
              <w:numPr>
                <w:ilvl w:val="0"/>
                <w:numId w:val="193"/>
              </w:numPr>
              <w:ind w:left="279" w:hanging="270"/>
              <w:rPr>
                <w:sz w:val="22"/>
                <w:szCs w:val="22"/>
              </w:rPr>
            </w:pPr>
            <w:r w:rsidRPr="003B30D5">
              <w:rPr>
                <w:sz w:val="22"/>
                <w:szCs w:val="22"/>
              </w:rPr>
              <w:t>The Harbor (low) annual benefit estimate of $145,648 is estimated as the product of the 0.1901 (0.1901404) cases avoided from step 4 and the $766,000 value per case avoided from step 5.</w:t>
            </w:r>
          </w:p>
          <w:p w:rsidR="0050322E" w:rsidRPr="00A95A85" w:rsidP="00714DE3" w14:paraId="15101B74" w14:textId="2835FEF2">
            <w:pPr>
              <w:pStyle w:val="LTableTextAbt"/>
              <w:numPr>
                <w:ilvl w:val="0"/>
                <w:numId w:val="193"/>
              </w:numPr>
              <w:ind w:left="279" w:hanging="270"/>
            </w:pPr>
            <w:r w:rsidRPr="00714DE3">
              <w:rPr>
                <w:sz w:val="22"/>
                <w:szCs w:val="22"/>
              </w:rPr>
              <w:t>The 2% annualized benefits of $135,131 and $305,509 are calculated by multiplying the annual benefits from the previous two bullets by 92.7794 percent.</w:t>
            </w:r>
          </w:p>
        </w:tc>
      </w:tr>
      <w:tr w14:paraId="64A2D4E8" w14:textId="77777777" w:rsidTr="00A7782A">
        <w:tblPrEx>
          <w:tblW w:w="0" w:type="auto"/>
          <w:tblLook w:val="04A0"/>
        </w:tblPrEx>
        <w:tc>
          <w:tcPr>
            <w:tcW w:w="9029" w:type="dxa"/>
            <w:gridSpan w:val="2"/>
          </w:tcPr>
          <w:p w:rsidR="004514D6" w14:paraId="3FC7876A" w14:textId="1FEBA026"/>
        </w:tc>
      </w:tr>
    </w:tbl>
    <w:p w:rsidR="00A7782A" w14:paraId="1514E87A" w14:textId="77777777">
      <w:pPr>
        <w:sectPr w:rsidSect="00946DC8">
          <w:pgSz w:w="12240" w:h="15840" w:code="1"/>
          <w:pgMar w:top="1440" w:right="1440" w:bottom="1440" w:left="1440" w:header="1080" w:footer="720" w:gutter="0"/>
          <w:pgNumType w:start="1" w:chapStyle="1"/>
          <w:cols w:space="720"/>
          <w:docGrid w:linePitch="360"/>
        </w:sectPr>
      </w:pPr>
    </w:p>
    <w:p w:rsidR="009E04B7" w:rsidRPr="00863C81" w:rsidP="00503B52" w14:paraId="34FE13FD" w14:textId="77777777">
      <w:pPr>
        <w:pStyle w:val="Heading1"/>
      </w:pPr>
      <w:bookmarkStart w:id="299" w:name="_Ref106195207"/>
      <w:bookmarkStart w:id="300" w:name="_Toc184299527"/>
      <w:bookmarkStart w:id="301" w:name="_Ref30142423"/>
      <w:bookmarkStart w:id="302" w:name="_Ref30142426"/>
      <w:r w:rsidRPr="00863C81">
        <w:t>Comparison of Costs and Benefits and Monetized Net Benefits</w:t>
      </w:r>
      <w:bookmarkEnd w:id="299"/>
      <w:bookmarkEnd w:id="300"/>
    </w:p>
    <w:p w:rsidR="00C71931" w:rsidRPr="007262D2" w:rsidP="00C71931" w14:paraId="7307C43A" w14:textId="04EFA217">
      <w:pPr>
        <w:pStyle w:val="BodyText"/>
      </w:pPr>
      <w:r w:rsidRPr="007262D2">
        <w:t xml:space="preserve">This chapter presents estimates for the </w:t>
      </w:r>
      <w:r w:rsidR="000E2380">
        <w:t>monet</w:t>
      </w:r>
      <w:r w:rsidR="00ED4D63">
        <w:t>ized</w:t>
      </w:r>
      <w:r w:rsidRPr="007262D2">
        <w:t xml:space="preserve"> net benefits </w:t>
      </w:r>
      <w:r w:rsidR="00460032">
        <w:t xml:space="preserve">and the estimated cost-effectiveness </w:t>
      </w:r>
      <w:r w:rsidRPr="007262D2">
        <w:t xml:space="preserve">of the </w:t>
      </w:r>
      <w:r w:rsidR="00460032">
        <w:t xml:space="preserve">proposed regulatory </w:t>
      </w:r>
      <w:r w:rsidRPr="007262D2">
        <w:t xml:space="preserve">options. </w:t>
      </w:r>
      <w:r w:rsidR="00ED4D63">
        <w:t>Monetized</w:t>
      </w:r>
      <w:r w:rsidRPr="007262D2" w:rsidR="00ED4D63">
        <w:t xml:space="preserve"> </w:t>
      </w:r>
      <w:r w:rsidRPr="007262D2">
        <w:t>net benefits are estimated by subtracting the total annualized cost of the options (see Chapter</w:t>
      </w:r>
      <w:r>
        <w:t xml:space="preserve"> </w:t>
      </w:r>
      <w:r>
        <w:fldChar w:fldCharType="begin" w:fldLock="1"/>
      </w:r>
      <w:r>
        <w:instrText xml:space="preserve"> REF _Ref30142408 \r \h </w:instrText>
      </w:r>
      <w:r>
        <w:fldChar w:fldCharType="separate"/>
      </w:r>
      <w:r w:rsidR="00735BBC">
        <w:t>4</w:t>
      </w:r>
      <w:r>
        <w:fldChar w:fldCharType="end"/>
      </w:r>
      <w:r w:rsidRPr="007262D2">
        <w:t xml:space="preserve">) from the total annualized </w:t>
      </w:r>
      <w:r w:rsidR="00ED4D63">
        <w:t>monetized</w:t>
      </w:r>
      <w:r w:rsidRPr="007262D2" w:rsidR="00ED4D63">
        <w:t xml:space="preserve"> </w:t>
      </w:r>
      <w:r w:rsidRPr="007262D2">
        <w:t xml:space="preserve">benefits (see Chapter </w:t>
      </w:r>
      <w:r>
        <w:fldChar w:fldCharType="begin" w:fldLock="1"/>
      </w:r>
      <w:r>
        <w:instrText xml:space="preserve"> REF _Ref180684187 \r \h </w:instrText>
      </w:r>
      <w:r>
        <w:fldChar w:fldCharType="separate"/>
      </w:r>
      <w:r w:rsidR="00735BBC">
        <w:t>4.5.1</w:t>
      </w:r>
      <w:r>
        <w:fldChar w:fldCharType="end"/>
      </w:r>
      <w:r w:rsidRPr="007262D2">
        <w:t xml:space="preserve">). Total </w:t>
      </w:r>
      <w:r w:rsidR="00ED4D63">
        <w:t>monetized</w:t>
      </w:r>
      <w:r w:rsidRPr="007262D2" w:rsidR="00ED4D63">
        <w:t xml:space="preserve"> </w:t>
      </w:r>
      <w:r w:rsidRPr="007262D2">
        <w:t xml:space="preserve">costs reflect costs of compliance with the options. Total </w:t>
      </w:r>
      <w:r w:rsidR="00ED4D63">
        <w:t>monetized</w:t>
      </w:r>
      <w:r w:rsidRPr="007262D2" w:rsidR="00ED4D63">
        <w:t xml:space="preserve"> </w:t>
      </w:r>
      <w:r w:rsidRPr="007262D2">
        <w:t>benefits reflect the benefits of reduced risk</w:t>
      </w:r>
      <w:r>
        <w:t>s</w:t>
      </w:r>
      <w:r w:rsidRPr="007262D2">
        <w:t xml:space="preserve"> for </w:t>
      </w:r>
      <w:r w:rsidR="0076319C">
        <w:t>chronic bronchitis</w:t>
      </w:r>
      <w:r w:rsidRPr="007262D2">
        <w:t>.</w:t>
      </w:r>
    </w:p>
    <w:p w:rsidR="00C71931" w:rsidRPr="007262D2" w:rsidP="00C71931" w14:paraId="0BFFE4D4" w14:textId="64B40D3A">
      <w:pPr>
        <w:pStyle w:val="BodyText"/>
      </w:pPr>
      <w:r>
        <w:fldChar w:fldCharType="begin" w:fldLock="1"/>
      </w:r>
      <w:r>
        <w:instrText xml:space="preserve"> REF _Ref181030544 \h </w:instrText>
      </w:r>
      <w:r>
        <w:fldChar w:fldCharType="separate"/>
      </w:r>
      <w:r w:rsidR="00735BBC">
        <w:t xml:space="preserve">Table </w:t>
      </w:r>
      <w:r w:rsidR="00735BBC">
        <w:rPr>
          <w:noProof/>
        </w:rPr>
        <w:t>6</w:t>
      </w:r>
      <w:r w:rsidR="00735BBC">
        <w:noBreakHyphen/>
      </w:r>
      <w:r w:rsidR="00735BBC">
        <w:rPr>
          <w:noProof/>
        </w:rPr>
        <w:t>1</w:t>
      </w:r>
      <w:r>
        <w:fldChar w:fldCharType="end"/>
      </w:r>
      <w:r>
        <w:t xml:space="preserve"> </w:t>
      </w:r>
      <w:r w:rsidRPr="007262D2">
        <w:t>present</w:t>
      </w:r>
      <w:r>
        <w:t>s</w:t>
      </w:r>
      <w:r w:rsidRPr="007262D2">
        <w:t xml:space="preserve"> the net benefits estimated using </w:t>
      </w:r>
      <w:r w:rsidR="009E644B">
        <w:t>the 2</w:t>
      </w:r>
      <w:r>
        <w:t xml:space="preserve"> </w:t>
      </w:r>
      <w:r w:rsidRPr="007262D2">
        <w:t>percent discount rate.</w:t>
      </w:r>
      <w:r w:rsidRPr="00BE2564">
        <w:t xml:space="preserve"> </w:t>
      </w:r>
    </w:p>
    <w:p w:rsidR="00B133DA" w:rsidP="00B133DA" w14:paraId="4CD94588" w14:textId="77777777">
      <w:pPr>
        <w:pStyle w:val="Caption"/>
      </w:pPr>
    </w:p>
    <w:tbl>
      <w:tblPr>
        <w:tblW w:w="5000" w:type="pct"/>
        <w:tblLayout w:type="fixed"/>
        <w:tblLook w:val="04A0"/>
      </w:tblPr>
      <w:tblGrid>
        <w:gridCol w:w="2344"/>
        <w:gridCol w:w="1168"/>
        <w:gridCol w:w="1170"/>
        <w:gridCol w:w="1168"/>
        <w:gridCol w:w="1170"/>
        <w:gridCol w:w="1168"/>
        <w:gridCol w:w="1172"/>
      </w:tblGrid>
      <w:tr w14:paraId="1EFCD85A" w14:textId="77777777" w:rsidTr="00BD3D2B">
        <w:tblPrEx>
          <w:tblW w:w="5000" w:type="pct"/>
          <w:tblLayout w:type="fixed"/>
          <w:tblLook w:val="04A0"/>
        </w:tblPrEx>
        <w:trPr>
          <w:trHeight w:val="20"/>
        </w:trPr>
        <w:tc>
          <w:tcPr>
            <w:tcW w:w="5000" w:type="pct"/>
            <w:gridSpan w:val="7"/>
            <w:tcBorders>
              <w:top w:val="nil"/>
              <w:bottom w:val="single" w:sz="4" w:space="0" w:color="auto"/>
            </w:tcBorders>
            <w:shd w:val="clear" w:color="auto" w:fill="auto"/>
            <w:vAlign w:val="center"/>
          </w:tcPr>
          <w:p w:rsidR="00B133DA" w:rsidP="00CA0464" w14:paraId="464D4FD7" w14:textId="32718C80">
            <w:pPr>
              <w:pStyle w:val="TableTitleA"/>
            </w:pPr>
            <w:bookmarkStart w:id="303" w:name="_Ref181030544"/>
            <w:bookmarkStart w:id="304" w:name="_Toc184299594"/>
            <w:r>
              <w:t xml:space="preserve">Table </w:t>
            </w:r>
            <w:r>
              <w:fldChar w:fldCharType="begin" w:fldLock="1"/>
            </w:r>
            <w:r>
              <w:instrText>STYLEREF 1 \s</w:instrText>
            </w:r>
            <w:r>
              <w:fldChar w:fldCharType="separate"/>
            </w:r>
            <w:r w:rsidR="00735BBC">
              <w:rPr>
                <w:noProof/>
              </w:rPr>
              <w:t>6</w:t>
            </w:r>
            <w:r>
              <w:fldChar w:fldCharType="end"/>
            </w:r>
            <w:r w:rsidR="000A1542">
              <w:noBreakHyphen/>
            </w:r>
            <w:r>
              <w:fldChar w:fldCharType="begin" w:fldLock="1"/>
            </w:r>
            <w:r>
              <w:instrText>SEQ Table \* ARABIC \s 1</w:instrText>
            </w:r>
            <w:r>
              <w:fldChar w:fldCharType="separate"/>
            </w:r>
            <w:r w:rsidR="00735BBC">
              <w:rPr>
                <w:noProof/>
              </w:rPr>
              <w:t>1</w:t>
            </w:r>
            <w:r>
              <w:fldChar w:fldCharType="end"/>
            </w:r>
            <w:bookmarkEnd w:id="303"/>
            <w:r>
              <w:t xml:space="preserve">: Summary of Net Benefits by </w:t>
            </w:r>
            <w:r w:rsidR="003825C6">
              <w:t xml:space="preserve">Option </w:t>
            </w:r>
            <w:r>
              <w:t>(2% discount; 2023$)</w:t>
            </w:r>
            <w:bookmarkEnd w:id="304"/>
          </w:p>
        </w:tc>
      </w:tr>
      <w:tr w14:paraId="42450BA0" w14:textId="77777777" w:rsidTr="00C913CF">
        <w:tblPrEx>
          <w:tblW w:w="5000" w:type="pct"/>
          <w:tblLayout w:type="fixed"/>
          <w:tblLook w:val="04A0"/>
        </w:tblPrEx>
        <w:trPr>
          <w:trHeight w:val="20"/>
        </w:trPr>
        <w:tc>
          <w:tcPr>
            <w:tcW w:w="1252"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9647C2" w:rsidP="00CA0464" w14:paraId="037CFA91" w14:textId="12C7C108">
            <w:pPr>
              <w:pStyle w:val="TableSubtitle"/>
            </w:pPr>
            <w:r>
              <w:t>Regulatory Option</w:t>
            </w:r>
            <w:r>
              <w:t xml:space="preserve"> </w:t>
            </w:r>
          </w:p>
        </w:tc>
        <w:tc>
          <w:tcPr>
            <w:tcW w:w="1249" w:type="pct"/>
            <w:gridSpan w:val="2"/>
            <w:tcBorders>
              <w:top w:val="single" w:sz="4" w:space="0" w:color="auto"/>
              <w:left w:val="single" w:sz="4" w:space="0" w:color="auto"/>
              <w:bottom w:val="single" w:sz="4" w:space="0" w:color="auto"/>
              <w:right w:val="nil"/>
            </w:tcBorders>
            <w:shd w:val="clear" w:color="auto" w:fill="013E5B"/>
            <w:vAlign w:val="center"/>
            <w:hideMark/>
          </w:tcPr>
          <w:p w:rsidR="009647C2" w:rsidP="00CA0464" w14:paraId="6CA548D7" w14:textId="77777777">
            <w:pPr>
              <w:pStyle w:val="TableSubtitle"/>
            </w:pPr>
            <w:r>
              <w:t>Annualized costs</w:t>
            </w:r>
          </w:p>
        </w:tc>
        <w:tc>
          <w:tcPr>
            <w:tcW w:w="1249" w:type="pct"/>
            <w:gridSpan w:val="2"/>
            <w:tcBorders>
              <w:top w:val="single" w:sz="4" w:space="0" w:color="auto"/>
              <w:left w:val="single" w:sz="4" w:space="0" w:color="auto"/>
              <w:bottom w:val="single" w:sz="4" w:space="0" w:color="auto"/>
              <w:right w:val="nil"/>
            </w:tcBorders>
            <w:shd w:val="clear" w:color="auto" w:fill="013E5B"/>
            <w:vAlign w:val="center"/>
            <w:hideMark/>
          </w:tcPr>
          <w:p w:rsidR="009647C2" w:rsidP="00CA0464" w14:paraId="1BE85AD7" w14:textId="77777777">
            <w:pPr>
              <w:pStyle w:val="TableSubtitle"/>
            </w:pPr>
            <w:r>
              <w:t>Annualized benefits</w:t>
            </w:r>
          </w:p>
        </w:tc>
        <w:tc>
          <w:tcPr>
            <w:tcW w:w="1250" w:type="pct"/>
            <w:gridSpan w:val="2"/>
            <w:tcBorders>
              <w:top w:val="single" w:sz="4" w:space="0" w:color="auto"/>
              <w:left w:val="single" w:sz="4" w:space="0" w:color="auto"/>
              <w:bottom w:val="single" w:sz="4" w:space="0" w:color="auto"/>
              <w:right w:val="single" w:sz="4" w:space="0" w:color="auto"/>
            </w:tcBorders>
            <w:shd w:val="clear" w:color="auto" w:fill="013E5B"/>
            <w:vAlign w:val="center"/>
            <w:hideMark/>
          </w:tcPr>
          <w:p w:rsidR="009647C2" w:rsidP="00CA0464" w14:paraId="3BF1B1F6" w14:textId="77777777">
            <w:pPr>
              <w:pStyle w:val="TableSubtitle"/>
            </w:pPr>
            <w:r>
              <w:t>Annualized net benefits</w:t>
            </w:r>
          </w:p>
        </w:tc>
      </w:tr>
      <w:tr w14:paraId="0557EDA0" w14:textId="77777777" w:rsidTr="006C30BA">
        <w:tblPrEx>
          <w:tblW w:w="5000" w:type="pct"/>
          <w:tblLayout w:type="fixed"/>
          <w:tblLook w:val="04A0"/>
        </w:tblPrEx>
        <w:trPr>
          <w:trHeight w:val="20"/>
        </w:trPr>
        <w:tc>
          <w:tcPr>
            <w:tcW w:w="1252" w:type="pct"/>
            <w:vMerge/>
            <w:tcBorders>
              <w:top w:val="single" w:sz="4" w:space="0" w:color="auto"/>
              <w:left w:val="single" w:sz="4" w:space="0" w:color="auto"/>
              <w:bottom w:val="single" w:sz="4" w:space="0" w:color="auto"/>
              <w:right w:val="single" w:sz="4" w:space="0" w:color="auto"/>
            </w:tcBorders>
            <w:shd w:val="clear" w:color="auto" w:fill="013E5B"/>
            <w:vAlign w:val="center"/>
            <w:hideMark/>
          </w:tcPr>
          <w:p w:rsidR="009647C2" w:rsidP="00CA0464" w14:paraId="23E5EEAA" w14:textId="77777777">
            <w:pPr>
              <w:pStyle w:val="TableSubtitle"/>
            </w:pPr>
          </w:p>
        </w:tc>
        <w:tc>
          <w:tcPr>
            <w:tcW w:w="624" w:type="pct"/>
            <w:tcBorders>
              <w:top w:val="single" w:sz="4" w:space="0" w:color="auto"/>
              <w:left w:val="nil"/>
              <w:bottom w:val="single" w:sz="4" w:space="0" w:color="auto"/>
              <w:right w:val="single" w:sz="4" w:space="0" w:color="auto"/>
            </w:tcBorders>
            <w:shd w:val="clear" w:color="auto" w:fill="013E5B"/>
            <w:vAlign w:val="center"/>
            <w:hideMark/>
          </w:tcPr>
          <w:p w:rsidR="009647C2" w:rsidP="00CA0464" w14:paraId="4701BCB6" w14:textId="77777777">
            <w:pPr>
              <w:pStyle w:val="TableSubtitle"/>
            </w:pPr>
            <w:r>
              <w:t>Low</w:t>
            </w:r>
          </w:p>
        </w:tc>
        <w:tc>
          <w:tcPr>
            <w:tcW w:w="625" w:type="pct"/>
            <w:tcBorders>
              <w:top w:val="single" w:sz="4" w:space="0" w:color="auto"/>
              <w:left w:val="nil"/>
              <w:bottom w:val="single" w:sz="4" w:space="0" w:color="auto"/>
              <w:right w:val="single" w:sz="4" w:space="0" w:color="auto"/>
            </w:tcBorders>
            <w:shd w:val="clear" w:color="auto" w:fill="013E5B"/>
            <w:vAlign w:val="center"/>
            <w:hideMark/>
          </w:tcPr>
          <w:p w:rsidR="009647C2" w:rsidP="00CA0464" w14:paraId="28B15A80" w14:textId="77777777">
            <w:pPr>
              <w:pStyle w:val="TableSubtitle"/>
            </w:pPr>
            <w:r>
              <w:t>High</w:t>
            </w:r>
          </w:p>
        </w:tc>
        <w:tc>
          <w:tcPr>
            <w:tcW w:w="624" w:type="pct"/>
            <w:tcBorders>
              <w:top w:val="single" w:sz="4" w:space="0" w:color="auto"/>
              <w:left w:val="nil"/>
              <w:bottom w:val="single" w:sz="4" w:space="0" w:color="auto"/>
              <w:right w:val="single" w:sz="4" w:space="0" w:color="auto"/>
            </w:tcBorders>
            <w:shd w:val="clear" w:color="auto" w:fill="013E5B"/>
            <w:vAlign w:val="center"/>
            <w:hideMark/>
          </w:tcPr>
          <w:p w:rsidR="009647C2" w:rsidP="00CA0464" w14:paraId="36E9A5CF" w14:textId="77777777">
            <w:pPr>
              <w:pStyle w:val="TableSubtitle"/>
            </w:pPr>
            <w:r>
              <w:t>Low</w:t>
            </w:r>
          </w:p>
        </w:tc>
        <w:tc>
          <w:tcPr>
            <w:tcW w:w="625" w:type="pct"/>
            <w:tcBorders>
              <w:top w:val="single" w:sz="4" w:space="0" w:color="auto"/>
              <w:left w:val="nil"/>
              <w:bottom w:val="single" w:sz="4" w:space="0" w:color="auto"/>
              <w:right w:val="single" w:sz="4" w:space="0" w:color="auto"/>
            </w:tcBorders>
            <w:shd w:val="clear" w:color="auto" w:fill="013E5B"/>
            <w:vAlign w:val="center"/>
            <w:hideMark/>
          </w:tcPr>
          <w:p w:rsidR="009647C2" w:rsidP="00CA0464" w14:paraId="3C8AD0B7" w14:textId="77777777">
            <w:pPr>
              <w:pStyle w:val="TableSubtitle"/>
            </w:pPr>
            <w:r>
              <w:t>High</w:t>
            </w:r>
          </w:p>
        </w:tc>
        <w:tc>
          <w:tcPr>
            <w:tcW w:w="624" w:type="pct"/>
            <w:tcBorders>
              <w:top w:val="single" w:sz="4" w:space="0" w:color="auto"/>
              <w:left w:val="nil"/>
              <w:bottom w:val="single" w:sz="4" w:space="0" w:color="auto"/>
              <w:right w:val="single" w:sz="4" w:space="0" w:color="auto"/>
            </w:tcBorders>
            <w:shd w:val="clear" w:color="auto" w:fill="013E5B"/>
            <w:vAlign w:val="center"/>
            <w:hideMark/>
          </w:tcPr>
          <w:p w:rsidR="009647C2" w:rsidP="00CA0464" w14:paraId="3475C024" w14:textId="77777777">
            <w:pPr>
              <w:pStyle w:val="TableSubtitle"/>
            </w:pPr>
            <w:r>
              <w:t>Low</w:t>
            </w:r>
          </w:p>
        </w:tc>
        <w:tc>
          <w:tcPr>
            <w:tcW w:w="626" w:type="pct"/>
            <w:tcBorders>
              <w:top w:val="single" w:sz="4" w:space="0" w:color="auto"/>
              <w:left w:val="nil"/>
              <w:bottom w:val="single" w:sz="4" w:space="0" w:color="auto"/>
              <w:right w:val="single" w:sz="4" w:space="0" w:color="auto"/>
            </w:tcBorders>
            <w:shd w:val="clear" w:color="auto" w:fill="013E5B"/>
            <w:vAlign w:val="center"/>
            <w:hideMark/>
          </w:tcPr>
          <w:p w:rsidR="009647C2" w:rsidP="00CA0464" w14:paraId="2458FFBE" w14:textId="77777777">
            <w:pPr>
              <w:pStyle w:val="TableSubtitle"/>
            </w:pPr>
            <w:r>
              <w:t>High</w:t>
            </w:r>
          </w:p>
        </w:tc>
      </w:tr>
      <w:tr w14:paraId="46D9BD4B" w14:textId="77777777" w:rsidTr="006C30BA">
        <w:tblPrEx>
          <w:tblW w:w="5000" w:type="pct"/>
          <w:tblLayout w:type="fixed"/>
          <w:tblLook w:val="04A0"/>
        </w:tblPrEx>
        <w:trPr>
          <w:trHeight w:val="20"/>
        </w:trPr>
        <w:tc>
          <w:tcPr>
            <w:tcW w:w="12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66F0" w:rsidP="007866F0" w14:paraId="570A406B" w14:textId="110A1448">
            <w:pPr>
              <w:pStyle w:val="LTableTextAbt"/>
            </w:pPr>
            <w:r>
              <w:t>Option 1 (Proposed)</w:t>
            </w:r>
          </w:p>
        </w:tc>
        <w:tc>
          <w:tcPr>
            <w:tcW w:w="624" w:type="pct"/>
            <w:tcBorders>
              <w:top w:val="single" w:sz="4" w:space="0" w:color="auto"/>
              <w:left w:val="nil"/>
              <w:bottom w:val="single" w:sz="4" w:space="0" w:color="auto"/>
              <w:right w:val="single" w:sz="4" w:space="0" w:color="auto"/>
            </w:tcBorders>
            <w:shd w:val="clear" w:color="auto" w:fill="auto"/>
            <w:noWrap/>
            <w:hideMark/>
          </w:tcPr>
          <w:p w:rsidR="007866F0" w:rsidP="007866F0" w14:paraId="3F563A9D" w14:textId="222488E6">
            <w:pPr>
              <w:pStyle w:val="RTableTextAbt"/>
            </w:pPr>
            <w:r w:rsidRPr="009C5442">
              <w:t>$1,641,538</w:t>
            </w:r>
          </w:p>
        </w:tc>
        <w:tc>
          <w:tcPr>
            <w:tcW w:w="625" w:type="pct"/>
            <w:tcBorders>
              <w:top w:val="single" w:sz="4" w:space="0" w:color="auto"/>
              <w:left w:val="nil"/>
              <w:bottom w:val="single" w:sz="4" w:space="0" w:color="auto"/>
              <w:right w:val="single" w:sz="4" w:space="0" w:color="auto"/>
            </w:tcBorders>
            <w:shd w:val="clear" w:color="auto" w:fill="auto"/>
            <w:noWrap/>
            <w:hideMark/>
          </w:tcPr>
          <w:p w:rsidR="007866F0" w:rsidP="007866F0" w14:paraId="6A136888" w14:textId="2F3444EB">
            <w:pPr>
              <w:pStyle w:val="RTableTextAbt"/>
            </w:pPr>
            <w:r w:rsidRPr="009C5442">
              <w:t>$1,676,538</w:t>
            </w:r>
          </w:p>
        </w:tc>
        <w:tc>
          <w:tcPr>
            <w:tcW w:w="624" w:type="pct"/>
            <w:tcBorders>
              <w:top w:val="single" w:sz="4" w:space="0" w:color="auto"/>
              <w:left w:val="nil"/>
              <w:bottom w:val="single" w:sz="4" w:space="0" w:color="auto"/>
              <w:right w:val="single" w:sz="4" w:space="0" w:color="auto"/>
            </w:tcBorders>
            <w:shd w:val="clear" w:color="auto" w:fill="auto"/>
            <w:noWrap/>
            <w:hideMark/>
          </w:tcPr>
          <w:p w:rsidR="007866F0" w:rsidP="007866F0" w14:paraId="059E1EE6" w14:textId="5F657F3D">
            <w:pPr>
              <w:pStyle w:val="RTableTextAbt"/>
            </w:pPr>
            <w:r w:rsidRPr="009C5442">
              <w:t>$270,878</w:t>
            </w:r>
          </w:p>
        </w:tc>
        <w:tc>
          <w:tcPr>
            <w:tcW w:w="625" w:type="pct"/>
            <w:tcBorders>
              <w:top w:val="single" w:sz="4" w:space="0" w:color="auto"/>
              <w:left w:val="nil"/>
              <w:bottom w:val="single" w:sz="4" w:space="0" w:color="auto"/>
              <w:right w:val="single" w:sz="4" w:space="0" w:color="auto"/>
            </w:tcBorders>
            <w:shd w:val="clear" w:color="auto" w:fill="auto"/>
            <w:noWrap/>
            <w:hideMark/>
          </w:tcPr>
          <w:p w:rsidR="007866F0" w:rsidP="007866F0" w14:paraId="1E1409D7" w14:textId="365A4121">
            <w:pPr>
              <w:pStyle w:val="RTableTextAbt"/>
            </w:pPr>
            <w:r w:rsidRPr="009C5442">
              <w:t>$629,406</w:t>
            </w:r>
          </w:p>
        </w:tc>
        <w:tc>
          <w:tcPr>
            <w:tcW w:w="624" w:type="pct"/>
            <w:tcBorders>
              <w:top w:val="single" w:sz="4" w:space="0" w:color="auto"/>
              <w:left w:val="nil"/>
              <w:bottom w:val="single" w:sz="4" w:space="0" w:color="auto"/>
              <w:right w:val="single" w:sz="4" w:space="0" w:color="auto"/>
            </w:tcBorders>
            <w:shd w:val="clear" w:color="auto" w:fill="auto"/>
            <w:hideMark/>
          </w:tcPr>
          <w:p w:rsidR="007866F0" w:rsidRPr="00202D9B" w:rsidP="007866F0" w14:paraId="01CA3DFF" w14:textId="0C107BC3">
            <w:pPr>
              <w:pStyle w:val="RTableTextAbt"/>
              <w:rPr>
                <w:color w:val="C00000"/>
                <w:szCs w:val="18"/>
              </w:rPr>
            </w:pPr>
            <w:r w:rsidRPr="00202D9B">
              <w:rPr>
                <w:color w:val="C00000"/>
                <w:szCs w:val="18"/>
              </w:rPr>
              <w:t>(</w:t>
            </w:r>
            <w:r w:rsidRPr="00202D9B">
              <w:rPr>
                <w:color w:val="C00000"/>
                <w:szCs w:val="18"/>
              </w:rPr>
              <w:t>$1,370,660</w:t>
            </w:r>
            <w:r w:rsidRPr="00202D9B">
              <w:rPr>
                <w:color w:val="C00000"/>
                <w:szCs w:val="18"/>
              </w:rPr>
              <w:t>)</w:t>
            </w:r>
          </w:p>
        </w:tc>
        <w:tc>
          <w:tcPr>
            <w:tcW w:w="626" w:type="pct"/>
            <w:tcBorders>
              <w:top w:val="single" w:sz="4" w:space="0" w:color="auto"/>
              <w:left w:val="nil"/>
              <w:bottom w:val="single" w:sz="4" w:space="0" w:color="auto"/>
              <w:right w:val="single" w:sz="4" w:space="0" w:color="auto"/>
            </w:tcBorders>
            <w:shd w:val="clear" w:color="auto" w:fill="auto"/>
            <w:hideMark/>
          </w:tcPr>
          <w:p w:rsidR="007866F0" w:rsidRPr="00202D9B" w:rsidP="007866F0" w14:paraId="46B91EA7" w14:textId="05651923">
            <w:pPr>
              <w:pStyle w:val="RTableTextAbt"/>
              <w:rPr>
                <w:color w:val="C00000"/>
                <w:szCs w:val="18"/>
              </w:rPr>
            </w:pPr>
            <w:r w:rsidRPr="00202D9B">
              <w:rPr>
                <w:color w:val="C00000"/>
                <w:szCs w:val="18"/>
              </w:rPr>
              <w:t>(</w:t>
            </w:r>
            <w:r w:rsidRPr="00202D9B">
              <w:rPr>
                <w:color w:val="C00000"/>
                <w:szCs w:val="18"/>
              </w:rPr>
              <w:t>$1,047,132</w:t>
            </w:r>
            <w:r w:rsidRPr="00202D9B">
              <w:rPr>
                <w:color w:val="C00000"/>
                <w:szCs w:val="18"/>
              </w:rPr>
              <w:t>)</w:t>
            </w:r>
          </w:p>
        </w:tc>
      </w:tr>
      <w:tr w14:paraId="5A7D1172" w14:textId="77777777" w:rsidTr="006C30BA">
        <w:tblPrEx>
          <w:tblW w:w="5000" w:type="pct"/>
          <w:tblLayout w:type="fixed"/>
          <w:tblLook w:val="04A0"/>
        </w:tblPrEx>
        <w:trPr>
          <w:trHeight w:val="20"/>
        </w:trPr>
        <w:tc>
          <w:tcPr>
            <w:tcW w:w="1252" w:type="pct"/>
            <w:tcBorders>
              <w:top w:val="single" w:sz="4" w:space="0" w:color="auto"/>
              <w:left w:val="single" w:sz="4" w:space="0" w:color="auto"/>
              <w:bottom w:val="single" w:sz="4" w:space="0" w:color="auto"/>
              <w:right w:val="single" w:sz="4" w:space="0" w:color="auto"/>
            </w:tcBorders>
            <w:vAlign w:val="center"/>
            <w:hideMark/>
          </w:tcPr>
          <w:p w:rsidR="006C30BA" w:rsidP="006C30BA" w14:paraId="6AFAFAB0" w14:textId="3131538B">
            <w:pPr>
              <w:pStyle w:val="LTableTextAbt"/>
            </w:pPr>
            <w:r>
              <w:t>Option 2 (Alternative)</w:t>
            </w:r>
          </w:p>
        </w:tc>
        <w:tc>
          <w:tcPr>
            <w:tcW w:w="624" w:type="pct"/>
            <w:tcBorders>
              <w:top w:val="single" w:sz="4" w:space="0" w:color="auto"/>
              <w:left w:val="nil"/>
              <w:bottom w:val="single" w:sz="4" w:space="0" w:color="auto"/>
              <w:right w:val="single" w:sz="4" w:space="0" w:color="auto"/>
            </w:tcBorders>
            <w:shd w:val="clear" w:color="auto" w:fill="auto"/>
            <w:noWrap/>
            <w:vAlign w:val="center"/>
            <w:hideMark/>
          </w:tcPr>
          <w:p w:rsidR="006C30BA" w:rsidP="006C30BA" w14:paraId="39701FA2" w14:textId="0E056E52">
            <w:pPr>
              <w:pStyle w:val="RTableTextAbt"/>
            </w:pPr>
            <w:r>
              <w:rPr>
                <w:szCs w:val="18"/>
              </w:rPr>
              <w:t xml:space="preserve">$930,695 </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6C30BA" w:rsidP="006C30BA" w14:paraId="1D7A60B2" w14:textId="41740F61">
            <w:pPr>
              <w:pStyle w:val="RTableTextAbt"/>
            </w:pPr>
            <w:r>
              <w:rPr>
                <w:szCs w:val="18"/>
              </w:rPr>
              <w:t xml:space="preserve">$941,049 </w:t>
            </w:r>
          </w:p>
        </w:tc>
        <w:tc>
          <w:tcPr>
            <w:tcW w:w="624" w:type="pct"/>
            <w:tcBorders>
              <w:top w:val="single" w:sz="4" w:space="0" w:color="auto"/>
              <w:left w:val="nil"/>
              <w:bottom w:val="single" w:sz="4" w:space="0" w:color="auto"/>
              <w:right w:val="single" w:sz="4" w:space="0" w:color="auto"/>
            </w:tcBorders>
            <w:shd w:val="clear" w:color="auto" w:fill="auto"/>
            <w:noWrap/>
            <w:vAlign w:val="center"/>
            <w:hideMark/>
          </w:tcPr>
          <w:p w:rsidR="006C30BA" w:rsidP="006C30BA" w14:paraId="7ADC5424" w14:textId="4B2F2026">
            <w:pPr>
              <w:pStyle w:val="RTableTextAbt"/>
            </w:pPr>
            <w:r>
              <w:rPr>
                <w:szCs w:val="18"/>
              </w:rPr>
              <w:t xml:space="preserve">$167,526 </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6C30BA" w:rsidP="006C30BA" w14:paraId="7194F438" w14:textId="63FBEC6C">
            <w:pPr>
              <w:pStyle w:val="RTableTextAbt"/>
            </w:pPr>
            <w:r>
              <w:rPr>
                <w:szCs w:val="18"/>
              </w:rPr>
              <w:t xml:space="preserve">$374,777 </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6C30BA" w:rsidRPr="00202D9B" w:rsidP="006C30BA" w14:paraId="7A69EE05" w14:textId="58CE9AFC">
            <w:pPr>
              <w:pStyle w:val="RTableTextAbt"/>
              <w:rPr>
                <w:color w:val="C00000"/>
              </w:rPr>
            </w:pPr>
            <w:r w:rsidRPr="00202D9B">
              <w:rPr>
                <w:color w:val="C00000"/>
                <w:szCs w:val="18"/>
              </w:rPr>
              <w:t>($763,169)</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6C30BA" w:rsidRPr="00202D9B" w:rsidP="006C30BA" w14:paraId="4CDD2263" w14:textId="273CE012">
            <w:pPr>
              <w:pStyle w:val="RTableTextAbt"/>
              <w:rPr>
                <w:color w:val="C00000"/>
              </w:rPr>
            </w:pPr>
            <w:r w:rsidRPr="00202D9B">
              <w:rPr>
                <w:color w:val="C00000"/>
                <w:szCs w:val="18"/>
              </w:rPr>
              <w:t>($566,272)</w:t>
            </w:r>
          </w:p>
        </w:tc>
      </w:tr>
    </w:tbl>
    <w:p w:rsidR="00B133DA" w:rsidP="00B133DA" w14:paraId="08511AEA" w14:textId="77777777">
      <w:pPr>
        <w:pStyle w:val="Caption"/>
      </w:pPr>
    </w:p>
    <w:p w:rsidR="0005272C" w:rsidRPr="00B56426" w:rsidP="0005272C" w14:paraId="03102763" w14:textId="0FFAB73B">
      <w:pPr>
        <w:pStyle w:val="BodyText"/>
      </w:pPr>
      <w:bookmarkStart w:id="305" w:name="_Hlk109889922"/>
      <w:r w:rsidRPr="16B27DBF">
        <w:rPr>
          <w:lang w:val="en-US"/>
        </w:rPr>
        <w:t>In addition to analyzing the net benefits, EPA is required to consider the cost effectiveness of the options. Cost effectiveness is a method of comparing certain actions in terms of the expense per item of interest or goal. A</w:t>
      </w:r>
      <w:r w:rsidRPr="16B27DBF" w:rsidR="55C4E398">
        <w:rPr>
          <w:lang w:val="en-US"/>
        </w:rPr>
        <w:t xml:space="preserve"> </w:t>
      </w:r>
      <w:r w:rsidRPr="16B27DBF">
        <w:rPr>
          <w:lang w:val="en-US"/>
        </w:rPr>
        <w:t xml:space="preserve">goal of this regulatory action is to reduce exposure to regulated PV29. This analysis estimates that such exposure results in chronic bronchitis cases. </w:t>
      </w:r>
      <w:r>
        <w:fldChar w:fldCharType="begin" w:fldLock="1"/>
      </w:r>
      <w:r>
        <w:instrText xml:space="preserve"> REF _Ref181030546 \h </w:instrText>
      </w:r>
      <w:r>
        <w:fldChar w:fldCharType="separate"/>
      </w:r>
      <w:r w:rsidR="00735BBC">
        <w:t xml:space="preserve">Table </w:t>
      </w:r>
      <w:r w:rsidR="00735BBC">
        <w:rPr>
          <w:noProof/>
        </w:rPr>
        <w:t>6</w:t>
      </w:r>
      <w:r w:rsidR="00735BBC">
        <w:noBreakHyphen/>
      </w:r>
      <w:r w:rsidR="00735BBC">
        <w:rPr>
          <w:noProof/>
        </w:rPr>
        <w:t>2</w:t>
      </w:r>
      <w:r>
        <w:fldChar w:fldCharType="end"/>
      </w:r>
      <w:r w:rsidRPr="16B27DBF">
        <w:rPr>
          <w:lang w:val="en-US"/>
        </w:rPr>
        <w:t xml:space="preserve"> summarizes the estimated cost-effectiveness of the regulatory options, which are estimated as the cost per avoided case of chronic bronchitis.</w:t>
      </w:r>
      <w:bookmarkEnd w:id="305"/>
    </w:p>
    <w:p w:rsidR="008A5BC8" w:rsidRPr="008A5BC8" w:rsidP="008A5BC8" w14:paraId="1E079219" w14:textId="14CA935A">
      <w:pPr>
        <w:pStyle w:val="BodyText"/>
        <w:rPr>
          <w:lang w:val="en-US"/>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9"/>
        <w:gridCol w:w="1170"/>
        <w:gridCol w:w="8"/>
        <w:gridCol w:w="1163"/>
        <w:gridCol w:w="15"/>
        <w:gridCol w:w="1156"/>
        <w:gridCol w:w="23"/>
        <w:gridCol w:w="1148"/>
        <w:gridCol w:w="30"/>
        <w:gridCol w:w="1141"/>
        <w:gridCol w:w="38"/>
        <w:gridCol w:w="1133"/>
        <w:gridCol w:w="47"/>
      </w:tblGrid>
      <w:tr w14:paraId="5E68BC20" w14:textId="77777777" w:rsidTr="00C913CF">
        <w:tblPrEx>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25" w:type="dxa"/>
          <w:trHeight w:val="20"/>
        </w:trPr>
        <w:tc>
          <w:tcPr>
            <w:tcW w:w="4975" w:type="pct"/>
            <w:gridSpan w:val="12"/>
            <w:tcBorders>
              <w:top w:val="nil"/>
              <w:left w:val="nil"/>
              <w:bottom w:val="single" w:sz="4" w:space="0" w:color="auto"/>
              <w:right w:val="nil"/>
            </w:tcBorders>
            <w:shd w:val="clear" w:color="auto" w:fill="auto"/>
            <w:vAlign w:val="center"/>
          </w:tcPr>
          <w:p w:rsidR="00B133DA" w:rsidP="00CA0464" w14:paraId="2A8228EC" w14:textId="0CBE7237">
            <w:pPr>
              <w:pStyle w:val="TableTitleA"/>
            </w:pPr>
            <w:bookmarkStart w:id="306" w:name="_Ref181030546"/>
            <w:bookmarkStart w:id="307" w:name="_Toc184299595"/>
            <w:r>
              <w:t xml:space="preserve">Table </w:t>
            </w:r>
            <w:r>
              <w:fldChar w:fldCharType="begin" w:fldLock="1"/>
            </w:r>
            <w:r>
              <w:instrText>STYLEREF 1 \s</w:instrText>
            </w:r>
            <w:r>
              <w:fldChar w:fldCharType="separate"/>
            </w:r>
            <w:r w:rsidR="00735BBC">
              <w:rPr>
                <w:noProof/>
              </w:rPr>
              <w:t>6</w:t>
            </w:r>
            <w:r>
              <w:fldChar w:fldCharType="end"/>
            </w:r>
            <w:r w:rsidR="000A1542">
              <w:noBreakHyphen/>
            </w:r>
            <w:r>
              <w:fldChar w:fldCharType="begin" w:fldLock="1"/>
            </w:r>
            <w:r>
              <w:instrText>SEQ Table \* ARABIC \s 1</w:instrText>
            </w:r>
            <w:r>
              <w:fldChar w:fldCharType="separate"/>
            </w:r>
            <w:r w:rsidR="00735BBC">
              <w:rPr>
                <w:noProof/>
              </w:rPr>
              <w:t>2</w:t>
            </w:r>
            <w:r>
              <w:fldChar w:fldCharType="end"/>
            </w:r>
            <w:bookmarkEnd w:id="306"/>
            <w:r>
              <w:t xml:space="preserve">: Summary of Cost Effectiveness by </w:t>
            </w:r>
            <w:r w:rsidR="003825C6">
              <w:t>Option</w:t>
            </w:r>
            <w:r>
              <w:t xml:space="preserve"> (</w:t>
            </w:r>
            <w:r w:rsidR="003825C6">
              <w:t xml:space="preserve">annualized costs using </w:t>
            </w:r>
            <w:r>
              <w:t>2% discount</w:t>
            </w:r>
            <w:r w:rsidR="003825C6">
              <w:t xml:space="preserve"> rate</w:t>
            </w:r>
            <w:r>
              <w:t>; 2023$)</w:t>
            </w:r>
            <w:bookmarkEnd w:id="307"/>
          </w:p>
        </w:tc>
      </w:tr>
      <w:tr w14:paraId="10A5F6B4" w14:textId="77777777" w:rsidTr="00C913CF">
        <w:tblPrEx>
          <w:tblW w:w="5027" w:type="pct"/>
          <w:tblLayout w:type="fixed"/>
          <w:tblLook w:val="04A0"/>
        </w:tblPrEx>
        <w:trPr>
          <w:gridAfter w:val="1"/>
          <w:wAfter w:w="25" w:type="dxa"/>
          <w:trHeight w:val="20"/>
        </w:trPr>
        <w:tc>
          <w:tcPr>
            <w:tcW w:w="1243" w:type="pct"/>
            <w:vMerge w:val="restart"/>
            <w:tcBorders>
              <w:top w:val="single" w:sz="4" w:space="0" w:color="auto"/>
            </w:tcBorders>
            <w:shd w:val="clear" w:color="auto" w:fill="013E5B"/>
            <w:vAlign w:val="center"/>
            <w:hideMark/>
          </w:tcPr>
          <w:p w:rsidR="007866F0" w:rsidP="007866F0" w14:paraId="48887752" w14:textId="5109AE87">
            <w:pPr>
              <w:pStyle w:val="TableSubtitle"/>
            </w:pPr>
            <w:r>
              <w:t>Regulatory Option</w:t>
            </w:r>
          </w:p>
        </w:tc>
        <w:tc>
          <w:tcPr>
            <w:tcW w:w="1244" w:type="pct"/>
            <w:gridSpan w:val="3"/>
            <w:tcBorders>
              <w:top w:val="single" w:sz="4" w:space="0" w:color="auto"/>
            </w:tcBorders>
            <w:shd w:val="clear" w:color="auto" w:fill="013E5B"/>
            <w:vAlign w:val="center"/>
            <w:hideMark/>
          </w:tcPr>
          <w:p w:rsidR="007866F0" w:rsidP="007866F0" w14:paraId="36566838" w14:textId="77777777">
            <w:pPr>
              <w:pStyle w:val="TableSubtitle"/>
            </w:pPr>
            <w:r>
              <w:t>Annualized costs</w:t>
            </w:r>
          </w:p>
        </w:tc>
        <w:tc>
          <w:tcPr>
            <w:tcW w:w="1244" w:type="pct"/>
            <w:gridSpan w:val="4"/>
            <w:tcBorders>
              <w:top w:val="single" w:sz="4" w:space="0" w:color="auto"/>
            </w:tcBorders>
            <w:shd w:val="clear" w:color="auto" w:fill="013E5B"/>
            <w:vAlign w:val="center"/>
            <w:hideMark/>
          </w:tcPr>
          <w:p w:rsidR="007866F0" w:rsidP="007866F0" w14:paraId="2BE9079C" w14:textId="765E3452">
            <w:pPr>
              <w:pStyle w:val="TableSubtitle"/>
            </w:pPr>
            <w:r>
              <w:t>Avoided cases</w:t>
            </w:r>
            <w:r w:rsidR="00BE2564">
              <w:t xml:space="preserve"> of Chronic </w:t>
            </w:r>
            <w:r w:rsidR="00247CB5">
              <w:t>Bronchitis</w:t>
            </w:r>
          </w:p>
        </w:tc>
        <w:tc>
          <w:tcPr>
            <w:tcW w:w="1244" w:type="pct"/>
            <w:gridSpan w:val="4"/>
            <w:tcBorders>
              <w:top w:val="single" w:sz="4" w:space="0" w:color="auto"/>
            </w:tcBorders>
            <w:shd w:val="clear" w:color="auto" w:fill="013E5B"/>
            <w:vAlign w:val="center"/>
            <w:hideMark/>
          </w:tcPr>
          <w:p w:rsidR="007866F0" w:rsidP="007866F0" w14:paraId="25D5A84A" w14:textId="77777777">
            <w:pPr>
              <w:pStyle w:val="TableSubtitle"/>
            </w:pPr>
            <w:r>
              <w:t>Cost per avoided case</w:t>
            </w:r>
          </w:p>
        </w:tc>
      </w:tr>
      <w:tr w14:paraId="46C15114" w14:textId="77777777" w:rsidTr="00C913CF">
        <w:tblPrEx>
          <w:tblW w:w="5027" w:type="pct"/>
          <w:tblLayout w:type="fixed"/>
          <w:tblLook w:val="04A0"/>
        </w:tblPrEx>
        <w:trPr>
          <w:gridAfter w:val="1"/>
          <w:wAfter w:w="25" w:type="dxa"/>
          <w:trHeight w:val="20"/>
        </w:trPr>
        <w:tc>
          <w:tcPr>
            <w:tcW w:w="1243" w:type="pct"/>
            <w:vMerge/>
            <w:shd w:val="clear" w:color="auto" w:fill="013E5B"/>
            <w:vAlign w:val="center"/>
            <w:hideMark/>
          </w:tcPr>
          <w:p w:rsidR="007866F0" w:rsidP="007866F0" w14:paraId="7E5F4014" w14:textId="77777777">
            <w:pPr>
              <w:pStyle w:val="TableSubtitle"/>
            </w:pPr>
          </w:p>
        </w:tc>
        <w:tc>
          <w:tcPr>
            <w:tcW w:w="622" w:type="pct"/>
            <w:shd w:val="clear" w:color="auto" w:fill="013E5B"/>
            <w:vAlign w:val="center"/>
            <w:hideMark/>
          </w:tcPr>
          <w:p w:rsidR="007866F0" w:rsidP="007866F0" w14:paraId="272A29BE" w14:textId="77777777">
            <w:pPr>
              <w:pStyle w:val="TableSubtitle"/>
            </w:pPr>
            <w:r>
              <w:t>Low</w:t>
            </w:r>
          </w:p>
        </w:tc>
        <w:tc>
          <w:tcPr>
            <w:tcW w:w="622" w:type="pct"/>
            <w:gridSpan w:val="2"/>
            <w:shd w:val="clear" w:color="auto" w:fill="013E5B"/>
            <w:vAlign w:val="center"/>
            <w:hideMark/>
          </w:tcPr>
          <w:p w:rsidR="007866F0" w:rsidP="007866F0" w14:paraId="179015D9" w14:textId="77777777">
            <w:pPr>
              <w:pStyle w:val="TableSubtitle"/>
            </w:pPr>
            <w:r>
              <w:t>High</w:t>
            </w:r>
          </w:p>
        </w:tc>
        <w:tc>
          <w:tcPr>
            <w:tcW w:w="622" w:type="pct"/>
            <w:gridSpan w:val="2"/>
            <w:shd w:val="clear" w:color="auto" w:fill="013E5B"/>
            <w:vAlign w:val="center"/>
            <w:hideMark/>
          </w:tcPr>
          <w:p w:rsidR="007866F0" w:rsidP="007866F0" w14:paraId="0DA2E5AD" w14:textId="77777777">
            <w:pPr>
              <w:pStyle w:val="TableSubtitle"/>
            </w:pPr>
            <w:r>
              <w:t>Low</w:t>
            </w:r>
          </w:p>
        </w:tc>
        <w:tc>
          <w:tcPr>
            <w:tcW w:w="622" w:type="pct"/>
            <w:gridSpan w:val="2"/>
            <w:shd w:val="clear" w:color="auto" w:fill="013E5B"/>
            <w:vAlign w:val="center"/>
            <w:hideMark/>
          </w:tcPr>
          <w:p w:rsidR="007866F0" w:rsidP="007866F0" w14:paraId="3D51C808" w14:textId="77777777">
            <w:pPr>
              <w:pStyle w:val="TableSubtitle"/>
            </w:pPr>
            <w:r>
              <w:t>High</w:t>
            </w:r>
          </w:p>
        </w:tc>
        <w:tc>
          <w:tcPr>
            <w:tcW w:w="622" w:type="pct"/>
            <w:gridSpan w:val="2"/>
            <w:shd w:val="clear" w:color="auto" w:fill="013E5B"/>
            <w:vAlign w:val="center"/>
            <w:hideMark/>
          </w:tcPr>
          <w:p w:rsidR="007866F0" w:rsidP="007866F0" w14:paraId="0573BEDD" w14:textId="77777777">
            <w:pPr>
              <w:pStyle w:val="TableSubtitle"/>
            </w:pPr>
            <w:r>
              <w:t>Low</w:t>
            </w:r>
          </w:p>
        </w:tc>
        <w:tc>
          <w:tcPr>
            <w:tcW w:w="622" w:type="pct"/>
            <w:gridSpan w:val="2"/>
            <w:shd w:val="clear" w:color="auto" w:fill="013E5B"/>
            <w:vAlign w:val="center"/>
            <w:hideMark/>
          </w:tcPr>
          <w:p w:rsidR="007866F0" w:rsidP="007866F0" w14:paraId="446DE39A" w14:textId="77777777">
            <w:pPr>
              <w:pStyle w:val="TableSubtitle"/>
            </w:pPr>
            <w:r>
              <w:t>High</w:t>
            </w:r>
          </w:p>
        </w:tc>
      </w:tr>
      <w:tr w14:paraId="39E25449" w14:textId="77777777" w:rsidTr="00C913CF">
        <w:tblPrEx>
          <w:tblW w:w="5027" w:type="pct"/>
          <w:tblLayout w:type="fixed"/>
          <w:tblLook w:val="04A0"/>
        </w:tblPrEx>
        <w:trPr>
          <w:trHeight w:val="20"/>
        </w:trPr>
        <w:tc>
          <w:tcPr>
            <w:tcW w:w="1243" w:type="pct"/>
            <w:shd w:val="clear" w:color="auto" w:fill="auto"/>
            <w:vAlign w:val="center"/>
            <w:hideMark/>
          </w:tcPr>
          <w:p w:rsidR="00C913CF" w:rsidP="00C913CF" w14:paraId="7FB54A71" w14:textId="02678BB5">
            <w:pPr>
              <w:pStyle w:val="LTableTextAbt"/>
            </w:pPr>
            <w:r>
              <w:t>Option 1 (Proposed)</w:t>
            </w:r>
          </w:p>
        </w:tc>
        <w:tc>
          <w:tcPr>
            <w:tcW w:w="626" w:type="pct"/>
            <w:gridSpan w:val="2"/>
            <w:shd w:val="clear" w:color="auto" w:fill="auto"/>
            <w:noWrap/>
            <w:hideMark/>
          </w:tcPr>
          <w:p w:rsidR="00C913CF" w:rsidP="00C913CF" w14:paraId="68F5D633" w14:textId="233221C8">
            <w:pPr>
              <w:pStyle w:val="RTableTextAbt"/>
              <w:rPr>
                <w:rFonts w:cs="Arial"/>
                <w:szCs w:val="18"/>
              </w:rPr>
            </w:pPr>
            <w:r w:rsidRPr="00363C09">
              <w:t>$1,641,538</w:t>
            </w:r>
          </w:p>
        </w:tc>
        <w:tc>
          <w:tcPr>
            <w:tcW w:w="626" w:type="pct"/>
            <w:gridSpan w:val="2"/>
            <w:shd w:val="clear" w:color="auto" w:fill="auto"/>
            <w:noWrap/>
            <w:hideMark/>
          </w:tcPr>
          <w:p w:rsidR="00C913CF" w:rsidP="00C913CF" w14:paraId="3A273F5D" w14:textId="3C3129F0">
            <w:pPr>
              <w:pStyle w:val="RTableTextAbt"/>
              <w:rPr>
                <w:rFonts w:cs="Arial"/>
                <w:szCs w:val="18"/>
              </w:rPr>
            </w:pPr>
            <w:r w:rsidRPr="00363C09">
              <w:t>$1,676,538</w:t>
            </w:r>
          </w:p>
        </w:tc>
        <w:tc>
          <w:tcPr>
            <w:tcW w:w="626" w:type="pct"/>
            <w:gridSpan w:val="2"/>
            <w:shd w:val="clear" w:color="auto" w:fill="auto"/>
            <w:noWrap/>
            <w:hideMark/>
          </w:tcPr>
          <w:p w:rsidR="00C913CF" w:rsidP="00C913CF" w14:paraId="0EB6AEA7" w14:textId="794AB2BE">
            <w:pPr>
              <w:pStyle w:val="RTableTextAbt"/>
              <w:rPr>
                <w:rFonts w:cs="Arial"/>
                <w:szCs w:val="18"/>
              </w:rPr>
            </w:pPr>
            <w:r>
              <w:rPr>
                <w:szCs w:val="18"/>
              </w:rPr>
              <w:t>0.381</w:t>
            </w:r>
          </w:p>
        </w:tc>
        <w:tc>
          <w:tcPr>
            <w:tcW w:w="626" w:type="pct"/>
            <w:gridSpan w:val="2"/>
            <w:shd w:val="clear" w:color="auto" w:fill="auto"/>
            <w:noWrap/>
            <w:hideMark/>
          </w:tcPr>
          <w:p w:rsidR="00C913CF" w:rsidP="00C913CF" w14:paraId="1156E44F" w14:textId="51E6E5E6">
            <w:pPr>
              <w:pStyle w:val="RTableTextAbt"/>
              <w:rPr>
                <w:rFonts w:cs="Arial"/>
                <w:szCs w:val="18"/>
              </w:rPr>
            </w:pPr>
            <w:r>
              <w:rPr>
                <w:szCs w:val="18"/>
              </w:rPr>
              <w:t>0.886</w:t>
            </w:r>
          </w:p>
        </w:tc>
        <w:tc>
          <w:tcPr>
            <w:tcW w:w="626" w:type="pct"/>
            <w:gridSpan w:val="2"/>
            <w:shd w:val="clear" w:color="auto" w:fill="auto"/>
            <w:hideMark/>
          </w:tcPr>
          <w:p w:rsidR="00C913CF" w:rsidP="00C913CF" w14:paraId="4D81618C" w14:textId="2547E4DA">
            <w:pPr>
              <w:pStyle w:val="RTableTextAbt"/>
              <w:rPr>
                <w:rFonts w:cs="Arial"/>
                <w:szCs w:val="18"/>
              </w:rPr>
            </w:pPr>
            <w:r>
              <w:rPr>
                <w:szCs w:val="18"/>
              </w:rPr>
              <w:t xml:space="preserve">$4,306,834 </w:t>
            </w:r>
          </w:p>
        </w:tc>
        <w:tc>
          <w:tcPr>
            <w:tcW w:w="627" w:type="pct"/>
            <w:gridSpan w:val="2"/>
            <w:shd w:val="clear" w:color="auto" w:fill="auto"/>
            <w:hideMark/>
          </w:tcPr>
          <w:p w:rsidR="00C913CF" w:rsidP="00C913CF" w14:paraId="77881032" w14:textId="2E4440AA">
            <w:pPr>
              <w:pStyle w:val="RTableTextAbt"/>
              <w:rPr>
                <w:rFonts w:cs="Arial"/>
                <w:szCs w:val="18"/>
              </w:rPr>
            </w:pPr>
            <w:r>
              <w:rPr>
                <w:szCs w:val="18"/>
              </w:rPr>
              <w:t xml:space="preserve">$1,893,051 </w:t>
            </w:r>
          </w:p>
        </w:tc>
      </w:tr>
      <w:tr w14:paraId="243E4DBB" w14:textId="77777777" w:rsidTr="00920DEB">
        <w:tblPrEx>
          <w:tblW w:w="5027" w:type="pct"/>
          <w:tblLayout w:type="fixed"/>
          <w:tblLook w:val="04A0"/>
        </w:tblPrEx>
        <w:trPr>
          <w:trHeight w:val="20"/>
        </w:trPr>
        <w:tc>
          <w:tcPr>
            <w:tcW w:w="1243" w:type="pct"/>
            <w:vAlign w:val="center"/>
            <w:hideMark/>
          </w:tcPr>
          <w:p w:rsidR="00E16613" w:rsidP="00E16613" w14:paraId="3241E7C9" w14:textId="6E4B7644">
            <w:pPr>
              <w:pStyle w:val="LTableTextAbt"/>
            </w:pPr>
            <w:r>
              <w:t>Option 2 (Alternative)</w:t>
            </w:r>
          </w:p>
        </w:tc>
        <w:tc>
          <w:tcPr>
            <w:tcW w:w="626" w:type="pct"/>
            <w:gridSpan w:val="2"/>
            <w:shd w:val="clear" w:color="auto" w:fill="auto"/>
            <w:noWrap/>
            <w:hideMark/>
          </w:tcPr>
          <w:p w:rsidR="00E16613" w:rsidP="00E16613" w14:paraId="2565C73D" w14:textId="448CE274">
            <w:pPr>
              <w:pStyle w:val="RTableTextAbt"/>
              <w:rPr>
                <w:rFonts w:cs="Arial"/>
                <w:szCs w:val="18"/>
              </w:rPr>
            </w:pPr>
            <w:r w:rsidRPr="00363C09">
              <w:t>$930,695</w:t>
            </w:r>
          </w:p>
        </w:tc>
        <w:tc>
          <w:tcPr>
            <w:tcW w:w="626" w:type="pct"/>
            <w:gridSpan w:val="2"/>
            <w:shd w:val="clear" w:color="auto" w:fill="auto"/>
            <w:noWrap/>
            <w:hideMark/>
          </w:tcPr>
          <w:p w:rsidR="00E16613" w:rsidP="00E16613" w14:paraId="4C9931FF" w14:textId="015BD95E">
            <w:pPr>
              <w:pStyle w:val="RTableTextAbt"/>
              <w:rPr>
                <w:rFonts w:cs="Arial"/>
                <w:szCs w:val="18"/>
              </w:rPr>
            </w:pPr>
            <w:r w:rsidRPr="00363C09">
              <w:t>$941,049</w:t>
            </w:r>
          </w:p>
        </w:tc>
        <w:tc>
          <w:tcPr>
            <w:tcW w:w="626" w:type="pct"/>
            <w:gridSpan w:val="2"/>
            <w:shd w:val="clear" w:color="auto" w:fill="auto"/>
            <w:noWrap/>
            <w:vAlign w:val="center"/>
            <w:hideMark/>
          </w:tcPr>
          <w:p w:rsidR="00E16613" w:rsidP="00E16613" w14:paraId="2C1FDE60" w14:textId="70445D48">
            <w:pPr>
              <w:pStyle w:val="RTableTextAbt"/>
              <w:rPr>
                <w:rFonts w:cs="Arial"/>
                <w:szCs w:val="18"/>
              </w:rPr>
            </w:pPr>
            <w:r>
              <w:rPr>
                <w:szCs w:val="18"/>
              </w:rPr>
              <w:t>0.236</w:t>
            </w:r>
          </w:p>
        </w:tc>
        <w:tc>
          <w:tcPr>
            <w:tcW w:w="626" w:type="pct"/>
            <w:gridSpan w:val="2"/>
            <w:shd w:val="clear" w:color="auto" w:fill="auto"/>
            <w:noWrap/>
            <w:vAlign w:val="center"/>
            <w:hideMark/>
          </w:tcPr>
          <w:p w:rsidR="00E16613" w:rsidP="00E16613" w14:paraId="5DA2E170" w14:textId="7B0E4DCE">
            <w:pPr>
              <w:pStyle w:val="RTableTextAbt"/>
              <w:rPr>
                <w:rFonts w:cs="Arial"/>
                <w:szCs w:val="18"/>
              </w:rPr>
            </w:pPr>
            <w:r>
              <w:rPr>
                <w:szCs w:val="18"/>
              </w:rPr>
              <w:t>0.527</w:t>
            </w:r>
          </w:p>
        </w:tc>
        <w:tc>
          <w:tcPr>
            <w:tcW w:w="626" w:type="pct"/>
            <w:gridSpan w:val="2"/>
            <w:shd w:val="clear" w:color="auto" w:fill="auto"/>
            <w:vAlign w:val="center"/>
            <w:hideMark/>
          </w:tcPr>
          <w:p w:rsidR="00E16613" w:rsidP="00E16613" w14:paraId="4CAF7A5A" w14:textId="1C3D340B">
            <w:pPr>
              <w:pStyle w:val="RTableTextAbt"/>
              <w:rPr>
                <w:rFonts w:cs="Arial"/>
                <w:szCs w:val="18"/>
              </w:rPr>
            </w:pPr>
            <w:r>
              <w:rPr>
                <w:szCs w:val="18"/>
              </w:rPr>
              <w:t xml:space="preserve">$3,948,247 </w:t>
            </w:r>
          </w:p>
        </w:tc>
        <w:tc>
          <w:tcPr>
            <w:tcW w:w="627" w:type="pct"/>
            <w:gridSpan w:val="2"/>
            <w:shd w:val="clear" w:color="auto" w:fill="auto"/>
            <w:vAlign w:val="center"/>
            <w:hideMark/>
          </w:tcPr>
          <w:p w:rsidR="00E16613" w:rsidP="00E16613" w14:paraId="02F5A16C" w14:textId="377322D6">
            <w:pPr>
              <w:pStyle w:val="RTableTextAbt"/>
              <w:rPr>
                <w:rFonts w:cs="Arial"/>
                <w:szCs w:val="18"/>
              </w:rPr>
            </w:pPr>
            <w:r>
              <w:rPr>
                <w:szCs w:val="18"/>
              </w:rPr>
              <w:t xml:space="preserve">$1,784,512 </w:t>
            </w:r>
          </w:p>
        </w:tc>
      </w:tr>
    </w:tbl>
    <w:p w:rsidR="00B133DA" w:rsidRPr="00F21219" w:rsidP="00B133DA" w14:paraId="5CD92D20" w14:textId="77777777">
      <w:pPr>
        <w:pStyle w:val="BodyText"/>
      </w:pPr>
    </w:p>
    <w:p w:rsidR="00E969DE" w:rsidP="00B133DA" w14:paraId="4D8FF567" w14:textId="77777777">
      <w:pPr>
        <w:pStyle w:val="BodyText"/>
        <w:rPr>
          <w:lang w:val="en-US"/>
        </w:rPr>
      </w:pPr>
      <w:r w:rsidRPr="0FE1D43F">
        <w:rPr>
          <w:lang w:val="en-US"/>
        </w:rPr>
        <w:t>The proposed rule costs an estimated $1.9-$4.3 million per potential bronchitis case avoided while the alternative option costs an estimated $</w:t>
      </w:r>
      <w:r>
        <w:rPr>
          <w:lang w:val="en-US"/>
        </w:rPr>
        <w:t>1.8</w:t>
      </w:r>
      <w:r w:rsidRPr="0FE1D43F">
        <w:rPr>
          <w:lang w:val="en-US"/>
        </w:rPr>
        <w:t>-$</w:t>
      </w:r>
      <w:r>
        <w:rPr>
          <w:lang w:val="en-US"/>
        </w:rPr>
        <w:t>3.9</w:t>
      </w:r>
      <w:r w:rsidRPr="0FE1D43F">
        <w:rPr>
          <w:lang w:val="en-US"/>
        </w:rPr>
        <w:t xml:space="preserve"> million per potential bronchitis case avoided using annualized costs for the 2 percent discount rate. Thus, Option 1 has a </w:t>
      </w:r>
      <w:r>
        <w:rPr>
          <w:lang w:val="en-US"/>
        </w:rPr>
        <w:t>higher, but similar,</w:t>
      </w:r>
      <w:r w:rsidRPr="0FE1D43F">
        <w:rPr>
          <w:lang w:val="en-US"/>
        </w:rPr>
        <w:t xml:space="preserve"> cost per case </w:t>
      </w:r>
      <w:r w:rsidRPr="51BBBD9F">
        <w:rPr>
          <w:lang w:val="en-US"/>
        </w:rPr>
        <w:t xml:space="preserve">of chronic bronchitis </w:t>
      </w:r>
      <w:r w:rsidRPr="0FE1D43F">
        <w:rPr>
          <w:lang w:val="en-US"/>
        </w:rPr>
        <w:t xml:space="preserve">avoided compared to Option 2, making </w:t>
      </w:r>
      <w:r>
        <w:rPr>
          <w:lang w:val="en-US"/>
        </w:rPr>
        <w:t xml:space="preserve">both options similar in terms of </w:t>
      </w:r>
      <w:r w:rsidRPr="0FE1D43F">
        <w:rPr>
          <w:lang w:val="en-US"/>
        </w:rPr>
        <w:t>cost-effective</w:t>
      </w:r>
      <w:r>
        <w:rPr>
          <w:lang w:val="en-US"/>
        </w:rPr>
        <w:t>ness</w:t>
      </w:r>
      <w:r w:rsidRPr="0FE1D43F">
        <w:rPr>
          <w:lang w:val="en-US"/>
        </w:rPr>
        <w:t>.</w:t>
      </w:r>
    </w:p>
    <w:p w:rsidR="000F3931" w:rsidP="00B133DA" w14:paraId="0F748B89" w14:textId="153678EB">
      <w:pPr>
        <w:pStyle w:val="BodyText"/>
        <w:rPr>
          <w:highlight w:val="yellow"/>
          <w:lang w:val="en-US"/>
        </w:rPr>
      </w:pPr>
      <w:r>
        <w:fldChar w:fldCharType="begin" w:fldLock="1"/>
      </w:r>
      <w:r>
        <w:instrText xml:space="preserve"> REF _Ref161937231 \h </w:instrText>
      </w:r>
      <w:r>
        <w:fldChar w:fldCharType="separate"/>
      </w:r>
      <w:r w:rsidRPr="00B56426" w:rsidR="00735BBC">
        <w:t xml:space="preserve">Table </w:t>
      </w:r>
      <w:r w:rsidR="00735BBC">
        <w:rPr>
          <w:noProof/>
        </w:rPr>
        <w:t>6</w:t>
      </w:r>
      <w:r w:rsidRPr="00B56426" w:rsidR="00735BBC">
        <w:noBreakHyphen/>
      </w:r>
      <w:r w:rsidR="00735BBC">
        <w:rPr>
          <w:noProof/>
        </w:rPr>
        <w:t>3</w:t>
      </w:r>
      <w:r>
        <w:fldChar w:fldCharType="end"/>
      </w:r>
      <w:r>
        <w:t xml:space="preserve"> </w:t>
      </w:r>
      <w:r w:rsidRPr="00B56426">
        <w:t xml:space="preserve">presents the undiscounted stream of annual costs, benefits, and net benefits over the </w:t>
      </w:r>
      <w:r w:rsidR="00602C9E">
        <w:t>15</w:t>
      </w:r>
      <w:r w:rsidRPr="00B56426">
        <w:t>-year analytical timeframe. Note that year “0” costs are the initial costs and year “1” costs are recurring costs incurred in the first year.</w:t>
      </w:r>
    </w:p>
    <w:p w:rsidR="00C6047A" w:rsidP="00B133DA" w14:paraId="53F5662C" w14:textId="77777777">
      <w:pPr>
        <w:pStyle w:val="BodyText"/>
        <w:rPr>
          <w:highlight w:val="yellow"/>
          <w:lang w:val="en-US"/>
        </w:rPr>
        <w:sectPr w:rsidSect="00946DC8">
          <w:pgSz w:w="12240" w:h="15840" w:code="1"/>
          <w:pgMar w:top="1440" w:right="1440" w:bottom="1440" w:left="1440" w:header="1080" w:footer="720" w:gutter="0"/>
          <w:pgNumType w:start="1" w:chapStyle="1"/>
          <w:cols w:space="720"/>
          <w:docGrid w:linePitch="360"/>
        </w:sectPr>
      </w:pPr>
    </w:p>
    <w:tbl>
      <w:tblPr>
        <w:tblStyle w:val="TableGrid"/>
        <w:tblW w:w="12780" w:type="dxa"/>
        <w:jc w:val="center"/>
        <w:tblLayout w:type="fixed"/>
        <w:tblCellMar>
          <w:left w:w="0" w:type="dxa"/>
          <w:right w:w="58" w:type="dxa"/>
        </w:tblCellMar>
        <w:tblLook w:val="04A0"/>
      </w:tblPr>
      <w:tblGrid>
        <w:gridCol w:w="810"/>
        <w:gridCol w:w="997"/>
        <w:gridCol w:w="998"/>
        <w:gridCol w:w="997"/>
        <w:gridCol w:w="998"/>
        <w:gridCol w:w="997"/>
        <w:gridCol w:w="998"/>
        <w:gridCol w:w="997"/>
        <w:gridCol w:w="998"/>
        <w:gridCol w:w="997"/>
        <w:gridCol w:w="998"/>
        <w:gridCol w:w="997"/>
        <w:gridCol w:w="998"/>
      </w:tblGrid>
      <w:tr w14:paraId="64CA0D1C" w14:textId="77777777" w:rsidTr="00CA0464">
        <w:tblPrEx>
          <w:tblW w:w="12780" w:type="dxa"/>
          <w:jc w:val="center"/>
          <w:tblLayout w:type="fixed"/>
          <w:tblCellMar>
            <w:left w:w="0" w:type="dxa"/>
            <w:right w:w="58" w:type="dxa"/>
          </w:tblCellMar>
          <w:tblLook w:val="04A0"/>
        </w:tblPrEx>
        <w:trPr>
          <w:trHeight w:val="270"/>
          <w:tblHeader/>
          <w:jc w:val="center"/>
        </w:trPr>
        <w:tc>
          <w:tcPr>
            <w:tcW w:w="12780" w:type="dxa"/>
            <w:gridSpan w:val="13"/>
            <w:tcBorders>
              <w:top w:val="nil"/>
              <w:left w:val="nil"/>
              <w:bottom w:val="single" w:sz="4" w:space="0" w:color="auto"/>
              <w:right w:val="nil"/>
            </w:tcBorders>
            <w:shd w:val="clear" w:color="auto" w:fill="auto"/>
          </w:tcPr>
          <w:p w:rsidR="008C5F2F" w:rsidRPr="00B56426" w:rsidP="00CA0464" w14:paraId="2B7C90C1" w14:textId="6F50BE73">
            <w:pPr>
              <w:pStyle w:val="TableTitleA"/>
            </w:pPr>
            <w:bookmarkStart w:id="308" w:name="_Ref161937231"/>
            <w:bookmarkStart w:id="309" w:name="_Toc169253398"/>
            <w:bookmarkStart w:id="310" w:name="_Toc184299596"/>
            <w:r w:rsidRPr="00B56426">
              <w:t xml:space="preserve">Table </w:t>
            </w:r>
            <w:r>
              <w:fldChar w:fldCharType="begin" w:fldLock="1"/>
            </w:r>
            <w:r>
              <w:instrText>STYLEREF 1 \s</w:instrText>
            </w:r>
            <w:r>
              <w:fldChar w:fldCharType="separate"/>
            </w:r>
            <w:r w:rsidR="00735BBC">
              <w:rPr>
                <w:noProof/>
              </w:rPr>
              <w:t>6</w:t>
            </w:r>
            <w:r>
              <w:fldChar w:fldCharType="end"/>
            </w:r>
            <w:r w:rsidRPr="00B56426">
              <w:noBreakHyphen/>
            </w:r>
            <w:r>
              <w:fldChar w:fldCharType="begin" w:fldLock="1"/>
            </w:r>
            <w:r>
              <w:instrText>SEQ Table \* ARABIC \s 1</w:instrText>
            </w:r>
            <w:r>
              <w:fldChar w:fldCharType="separate"/>
            </w:r>
            <w:r w:rsidR="00735BBC">
              <w:rPr>
                <w:noProof/>
              </w:rPr>
              <w:t>3</w:t>
            </w:r>
            <w:r>
              <w:fldChar w:fldCharType="end"/>
            </w:r>
            <w:bookmarkEnd w:id="308"/>
            <w:r w:rsidRPr="00B56426">
              <w:t xml:space="preserve">: </w:t>
            </w:r>
            <w:r w:rsidR="00855056">
              <w:t>15</w:t>
            </w:r>
            <w:r w:rsidRPr="00B56426">
              <w:t>-Year Stream of Annual Undiscounted Costs, Benefits, and Net Benefits (millions, 202</w:t>
            </w:r>
            <w:r w:rsidR="00855056">
              <w:t>3</w:t>
            </w:r>
            <w:r w:rsidRPr="00B56426">
              <w:t>$)</w:t>
            </w:r>
            <w:bookmarkEnd w:id="309"/>
            <w:bookmarkEnd w:id="310"/>
          </w:p>
        </w:tc>
      </w:tr>
      <w:tr w14:paraId="154C60AE" w14:textId="77777777" w:rsidTr="001A4104">
        <w:tblPrEx>
          <w:tblW w:w="12780" w:type="dxa"/>
          <w:jc w:val="center"/>
          <w:tblLayout w:type="fixed"/>
          <w:tblCellMar>
            <w:left w:w="0" w:type="dxa"/>
            <w:right w:w="58" w:type="dxa"/>
          </w:tblCellMar>
          <w:tblLook w:val="04A0"/>
        </w:tblPrEx>
        <w:trPr>
          <w:tblHeader/>
          <w:jc w:val="center"/>
        </w:trPr>
        <w:tc>
          <w:tcPr>
            <w:tcW w:w="810" w:type="dxa"/>
            <w:vMerge w:val="restart"/>
            <w:tcBorders>
              <w:right w:val="single" w:sz="4" w:space="0" w:color="auto"/>
            </w:tcBorders>
            <w:shd w:val="clear" w:color="auto" w:fill="013E5B"/>
            <w:vAlign w:val="center"/>
          </w:tcPr>
          <w:p w:rsidR="00855056" w:rsidRPr="00B56426" w:rsidP="00CA0464" w14:paraId="3665D293" w14:textId="77777777">
            <w:pPr>
              <w:pStyle w:val="TableSubtitle"/>
            </w:pPr>
            <w:r w:rsidRPr="00B56426">
              <w:t>Year</w:t>
            </w:r>
          </w:p>
        </w:tc>
        <w:tc>
          <w:tcPr>
            <w:tcW w:w="3990" w:type="dxa"/>
            <w:gridSpan w:val="4"/>
            <w:tcBorders>
              <w:top w:val="single" w:sz="4" w:space="0" w:color="auto"/>
              <w:left w:val="single" w:sz="4" w:space="0" w:color="auto"/>
              <w:right w:val="single" w:sz="4" w:space="0" w:color="auto"/>
            </w:tcBorders>
            <w:shd w:val="clear" w:color="auto" w:fill="013E5B"/>
          </w:tcPr>
          <w:p w:rsidR="00855056" w:rsidRPr="00B56426" w:rsidP="00CA0464" w14:paraId="7B4C1E5A" w14:textId="11793C93">
            <w:pPr>
              <w:pStyle w:val="TableSubtitle"/>
            </w:pPr>
            <w:r w:rsidRPr="00B56426">
              <w:t>Costs</w:t>
            </w:r>
          </w:p>
        </w:tc>
        <w:tc>
          <w:tcPr>
            <w:tcW w:w="3990" w:type="dxa"/>
            <w:gridSpan w:val="4"/>
            <w:tcBorders>
              <w:top w:val="single" w:sz="4" w:space="0" w:color="auto"/>
              <w:left w:val="single" w:sz="4" w:space="0" w:color="auto"/>
              <w:bottom w:val="single" w:sz="4" w:space="0" w:color="auto"/>
              <w:right w:val="single" w:sz="4" w:space="0" w:color="auto"/>
            </w:tcBorders>
            <w:shd w:val="clear" w:color="auto" w:fill="013E5B"/>
          </w:tcPr>
          <w:p w:rsidR="00855056" w:rsidRPr="00B56426" w:rsidP="00CA0464" w14:paraId="32355171" w14:textId="77777777">
            <w:pPr>
              <w:pStyle w:val="TableSubtitle"/>
            </w:pPr>
            <w:r w:rsidRPr="00B56426">
              <w:t>Benefits</w:t>
            </w:r>
          </w:p>
        </w:tc>
        <w:tc>
          <w:tcPr>
            <w:tcW w:w="3990" w:type="dxa"/>
            <w:gridSpan w:val="4"/>
            <w:tcBorders>
              <w:top w:val="single" w:sz="4" w:space="0" w:color="auto"/>
              <w:left w:val="single" w:sz="4" w:space="0" w:color="auto"/>
              <w:bottom w:val="single" w:sz="4" w:space="0" w:color="auto"/>
              <w:right w:val="single" w:sz="4" w:space="0" w:color="auto"/>
            </w:tcBorders>
            <w:shd w:val="clear" w:color="auto" w:fill="013E5B"/>
          </w:tcPr>
          <w:p w:rsidR="00855056" w:rsidRPr="00B56426" w:rsidP="00CA0464" w14:paraId="42822182" w14:textId="77777777">
            <w:pPr>
              <w:pStyle w:val="TableSubtitle"/>
            </w:pPr>
            <w:r w:rsidRPr="00B56426">
              <w:t>Net Benefits</w:t>
            </w:r>
          </w:p>
        </w:tc>
      </w:tr>
      <w:tr w14:paraId="18433003" w14:textId="77777777" w:rsidTr="001A4104">
        <w:tblPrEx>
          <w:tblW w:w="12780" w:type="dxa"/>
          <w:jc w:val="center"/>
          <w:tblLayout w:type="fixed"/>
          <w:tblCellMar>
            <w:left w:w="0" w:type="dxa"/>
            <w:right w:w="58" w:type="dxa"/>
          </w:tblCellMar>
          <w:tblLook w:val="04A0"/>
        </w:tblPrEx>
        <w:trPr>
          <w:trHeight w:val="449"/>
          <w:tblHeader/>
          <w:jc w:val="center"/>
        </w:trPr>
        <w:tc>
          <w:tcPr>
            <w:tcW w:w="810" w:type="dxa"/>
            <w:vMerge/>
            <w:tcBorders>
              <w:right w:val="single" w:sz="4" w:space="0" w:color="auto"/>
            </w:tcBorders>
            <w:shd w:val="clear" w:color="auto" w:fill="013E5B"/>
          </w:tcPr>
          <w:p w:rsidR="00855056" w:rsidRPr="00B56426" w:rsidP="00855056" w14:paraId="2E25AEA1" w14:textId="77777777">
            <w:pPr>
              <w:pStyle w:val="TableSubtitle"/>
            </w:pPr>
          </w:p>
        </w:tc>
        <w:tc>
          <w:tcPr>
            <w:tcW w:w="1995" w:type="dxa"/>
            <w:gridSpan w:val="2"/>
            <w:tcBorders>
              <w:left w:val="single" w:sz="4" w:space="0" w:color="auto"/>
              <w:right w:val="single" w:sz="4" w:space="0" w:color="auto"/>
            </w:tcBorders>
            <w:shd w:val="clear" w:color="auto" w:fill="013E5B"/>
            <w:vAlign w:val="center"/>
          </w:tcPr>
          <w:p w:rsidR="00855056" w:rsidRPr="00B56426" w:rsidP="00855056" w14:paraId="3C11FE57" w14:textId="00205088">
            <w:pPr>
              <w:pStyle w:val="TableSubtitle"/>
            </w:pPr>
            <w:r w:rsidRPr="00B56426">
              <w:t>Low Estimate</w:t>
            </w:r>
          </w:p>
        </w:tc>
        <w:tc>
          <w:tcPr>
            <w:tcW w:w="1995" w:type="dxa"/>
            <w:gridSpan w:val="2"/>
            <w:tcBorders>
              <w:left w:val="single" w:sz="4" w:space="0" w:color="auto"/>
              <w:right w:val="single" w:sz="4" w:space="0" w:color="auto"/>
            </w:tcBorders>
            <w:shd w:val="clear" w:color="auto" w:fill="013E5B"/>
            <w:vAlign w:val="center"/>
          </w:tcPr>
          <w:p w:rsidR="00855056" w:rsidRPr="00B56426" w:rsidP="00855056" w14:paraId="76A931E6" w14:textId="72BE31B1">
            <w:pPr>
              <w:pStyle w:val="TableSubtitle"/>
            </w:pPr>
            <w:r w:rsidRPr="00B56426">
              <w:t>High Estimate</w:t>
            </w:r>
          </w:p>
        </w:tc>
        <w:tc>
          <w:tcPr>
            <w:tcW w:w="1995" w:type="dxa"/>
            <w:gridSpan w:val="2"/>
            <w:tcBorders>
              <w:top w:val="single" w:sz="4" w:space="0" w:color="auto"/>
              <w:left w:val="single" w:sz="4" w:space="0" w:color="auto"/>
              <w:right w:val="single" w:sz="4" w:space="0" w:color="auto"/>
            </w:tcBorders>
            <w:shd w:val="clear" w:color="auto" w:fill="013E5B"/>
            <w:vAlign w:val="center"/>
          </w:tcPr>
          <w:p w:rsidR="00855056" w:rsidRPr="00B56426" w:rsidP="00855056" w14:paraId="53EC3579" w14:textId="77777777">
            <w:pPr>
              <w:pStyle w:val="TableSubtitle"/>
            </w:pPr>
            <w:r w:rsidRPr="00B56426">
              <w:t>Low Estimate</w:t>
            </w:r>
          </w:p>
        </w:tc>
        <w:tc>
          <w:tcPr>
            <w:tcW w:w="1995" w:type="dxa"/>
            <w:gridSpan w:val="2"/>
            <w:tcBorders>
              <w:top w:val="single" w:sz="4" w:space="0" w:color="auto"/>
              <w:left w:val="single" w:sz="4" w:space="0" w:color="auto"/>
              <w:right w:val="single" w:sz="4" w:space="0" w:color="auto"/>
            </w:tcBorders>
            <w:shd w:val="clear" w:color="auto" w:fill="013E5B"/>
            <w:vAlign w:val="center"/>
          </w:tcPr>
          <w:p w:rsidR="00855056" w:rsidRPr="00B56426" w:rsidP="00855056" w14:paraId="27CC329C" w14:textId="77777777">
            <w:pPr>
              <w:pStyle w:val="TableSubtitle"/>
            </w:pPr>
            <w:r w:rsidRPr="00B56426">
              <w:t>High Estimate</w:t>
            </w:r>
          </w:p>
        </w:tc>
        <w:tc>
          <w:tcPr>
            <w:tcW w:w="1995" w:type="dxa"/>
            <w:gridSpan w:val="2"/>
            <w:tcBorders>
              <w:top w:val="single" w:sz="4" w:space="0" w:color="auto"/>
              <w:left w:val="single" w:sz="4" w:space="0" w:color="auto"/>
              <w:bottom w:val="single" w:sz="4" w:space="0" w:color="auto"/>
              <w:right w:val="single" w:sz="4" w:space="0" w:color="auto"/>
            </w:tcBorders>
            <w:shd w:val="clear" w:color="auto" w:fill="013E5B"/>
            <w:vAlign w:val="center"/>
          </w:tcPr>
          <w:p w:rsidR="00855056" w:rsidRPr="00B56426" w:rsidP="00855056" w14:paraId="5FBE415E" w14:textId="77777777">
            <w:pPr>
              <w:pStyle w:val="TableSubtitle"/>
            </w:pPr>
            <w:r w:rsidRPr="00B56426">
              <w:t>Low Estimate</w:t>
            </w:r>
          </w:p>
        </w:tc>
        <w:tc>
          <w:tcPr>
            <w:tcW w:w="1995" w:type="dxa"/>
            <w:gridSpan w:val="2"/>
            <w:tcBorders>
              <w:top w:val="single" w:sz="4" w:space="0" w:color="auto"/>
              <w:left w:val="single" w:sz="4" w:space="0" w:color="auto"/>
              <w:bottom w:val="single" w:sz="4" w:space="0" w:color="auto"/>
              <w:right w:val="single" w:sz="4" w:space="0" w:color="auto"/>
            </w:tcBorders>
            <w:shd w:val="clear" w:color="auto" w:fill="013E5B"/>
            <w:vAlign w:val="center"/>
          </w:tcPr>
          <w:p w:rsidR="00855056" w:rsidRPr="00B56426" w:rsidP="00855056" w14:paraId="20DEA3EB" w14:textId="77777777">
            <w:pPr>
              <w:pStyle w:val="TableSubtitle"/>
            </w:pPr>
            <w:r w:rsidRPr="00B56426">
              <w:t>High Estimate</w:t>
            </w:r>
          </w:p>
        </w:tc>
      </w:tr>
      <w:tr w14:paraId="604B9184" w14:textId="77777777" w:rsidTr="001A4104">
        <w:tblPrEx>
          <w:tblW w:w="12780" w:type="dxa"/>
          <w:jc w:val="center"/>
          <w:tblLayout w:type="fixed"/>
          <w:tblCellMar>
            <w:left w:w="0" w:type="dxa"/>
            <w:right w:w="58" w:type="dxa"/>
          </w:tblCellMar>
          <w:tblLook w:val="04A0"/>
        </w:tblPrEx>
        <w:trPr>
          <w:trHeight w:val="449"/>
          <w:tblHeader/>
          <w:jc w:val="center"/>
        </w:trPr>
        <w:tc>
          <w:tcPr>
            <w:tcW w:w="810" w:type="dxa"/>
            <w:vMerge/>
            <w:tcBorders>
              <w:bottom w:val="single" w:sz="4" w:space="0" w:color="auto"/>
              <w:right w:val="single" w:sz="4" w:space="0" w:color="auto"/>
            </w:tcBorders>
            <w:shd w:val="clear" w:color="auto" w:fill="013E5B"/>
          </w:tcPr>
          <w:p w:rsidR="001A4104" w:rsidRPr="00B56426" w:rsidP="001A4104" w14:paraId="64959B0F" w14:textId="77777777">
            <w:pPr>
              <w:pStyle w:val="TableSubtitle"/>
            </w:pPr>
          </w:p>
        </w:tc>
        <w:tc>
          <w:tcPr>
            <w:tcW w:w="997" w:type="dxa"/>
            <w:tcBorders>
              <w:left w:val="single" w:sz="4" w:space="0" w:color="auto"/>
              <w:bottom w:val="single" w:sz="4" w:space="0" w:color="auto"/>
              <w:right w:val="single" w:sz="4" w:space="0" w:color="auto"/>
            </w:tcBorders>
            <w:shd w:val="clear" w:color="auto" w:fill="013E5B"/>
            <w:vAlign w:val="center"/>
          </w:tcPr>
          <w:p w:rsidR="001A4104" w:rsidRPr="00B56426" w:rsidP="001A4104" w14:paraId="1113903D" w14:textId="6B88EA6B">
            <w:pPr>
              <w:pStyle w:val="TableSubtitle"/>
            </w:pPr>
            <w:r w:rsidRPr="00B56426">
              <w:t xml:space="preserve"> Option 1</w:t>
            </w:r>
          </w:p>
        </w:tc>
        <w:tc>
          <w:tcPr>
            <w:tcW w:w="998" w:type="dxa"/>
            <w:tcBorders>
              <w:left w:val="single" w:sz="4" w:space="0" w:color="auto"/>
              <w:bottom w:val="single" w:sz="4" w:space="0" w:color="auto"/>
              <w:right w:val="single" w:sz="4" w:space="0" w:color="auto"/>
            </w:tcBorders>
            <w:shd w:val="clear" w:color="auto" w:fill="013E5B"/>
            <w:vAlign w:val="center"/>
          </w:tcPr>
          <w:p w:rsidR="001A4104" w:rsidRPr="00B56426" w:rsidP="001A4104" w14:paraId="4320A329" w14:textId="3D114906">
            <w:pPr>
              <w:pStyle w:val="TableSubtitle"/>
            </w:pPr>
            <w:r w:rsidRPr="00B56426">
              <w:t xml:space="preserve">Option </w:t>
            </w:r>
            <w:r>
              <w:t>2</w:t>
            </w:r>
          </w:p>
        </w:tc>
        <w:tc>
          <w:tcPr>
            <w:tcW w:w="997" w:type="dxa"/>
            <w:tcBorders>
              <w:left w:val="single" w:sz="4" w:space="0" w:color="auto"/>
              <w:bottom w:val="single" w:sz="4" w:space="0" w:color="auto"/>
              <w:right w:val="single" w:sz="4" w:space="0" w:color="auto"/>
            </w:tcBorders>
            <w:shd w:val="clear" w:color="auto" w:fill="013E5B"/>
            <w:vAlign w:val="center"/>
          </w:tcPr>
          <w:p w:rsidR="001A4104" w:rsidRPr="00B56426" w:rsidP="001A4104" w14:paraId="26CA50A8" w14:textId="5B2B3C40">
            <w:pPr>
              <w:pStyle w:val="TableSubtitle"/>
            </w:pPr>
            <w:r w:rsidRPr="00B56426">
              <w:t xml:space="preserve"> Option 1</w:t>
            </w:r>
          </w:p>
        </w:tc>
        <w:tc>
          <w:tcPr>
            <w:tcW w:w="998" w:type="dxa"/>
            <w:tcBorders>
              <w:left w:val="single" w:sz="4" w:space="0" w:color="auto"/>
              <w:bottom w:val="single" w:sz="4" w:space="0" w:color="auto"/>
              <w:right w:val="single" w:sz="4" w:space="0" w:color="auto"/>
            </w:tcBorders>
            <w:shd w:val="clear" w:color="auto" w:fill="013E5B"/>
            <w:vAlign w:val="center"/>
          </w:tcPr>
          <w:p w:rsidR="001A4104" w:rsidRPr="00B56426" w:rsidP="001A4104" w14:paraId="2E5B0C38" w14:textId="24B3519F">
            <w:pPr>
              <w:pStyle w:val="TableSubtitle"/>
            </w:pPr>
            <w:r w:rsidRPr="00B56426">
              <w:t xml:space="preserve">Option </w:t>
            </w:r>
            <w:r>
              <w:t>2</w:t>
            </w:r>
          </w:p>
        </w:tc>
        <w:tc>
          <w:tcPr>
            <w:tcW w:w="997" w:type="dxa"/>
            <w:tcBorders>
              <w:top w:val="single" w:sz="4" w:space="0" w:color="auto"/>
              <w:left w:val="single" w:sz="4" w:space="0" w:color="auto"/>
              <w:bottom w:val="single" w:sz="4" w:space="0" w:color="auto"/>
              <w:right w:val="single" w:sz="4" w:space="0" w:color="auto"/>
            </w:tcBorders>
            <w:shd w:val="clear" w:color="auto" w:fill="013E5B"/>
            <w:vAlign w:val="center"/>
          </w:tcPr>
          <w:p w:rsidR="001A4104" w:rsidRPr="00B56426" w:rsidP="001A4104" w14:paraId="26F695AD" w14:textId="523E03A9">
            <w:pPr>
              <w:pStyle w:val="TableSubtitle"/>
            </w:pPr>
            <w:r w:rsidRPr="00B56426">
              <w:t xml:space="preserve"> Option 1</w:t>
            </w:r>
          </w:p>
        </w:tc>
        <w:tc>
          <w:tcPr>
            <w:tcW w:w="998" w:type="dxa"/>
            <w:tcBorders>
              <w:top w:val="single" w:sz="4" w:space="0" w:color="auto"/>
              <w:left w:val="single" w:sz="4" w:space="0" w:color="auto"/>
              <w:bottom w:val="single" w:sz="4" w:space="0" w:color="auto"/>
              <w:right w:val="single" w:sz="4" w:space="0" w:color="auto"/>
            </w:tcBorders>
            <w:shd w:val="clear" w:color="auto" w:fill="013E5B"/>
            <w:vAlign w:val="center"/>
          </w:tcPr>
          <w:p w:rsidR="001A4104" w:rsidRPr="00B56426" w:rsidP="001A4104" w14:paraId="045A895C" w14:textId="38C171F4">
            <w:pPr>
              <w:pStyle w:val="TableSubtitle"/>
            </w:pPr>
            <w:r w:rsidRPr="00B56426">
              <w:t xml:space="preserve">Option </w:t>
            </w:r>
            <w:r>
              <w:t>2</w:t>
            </w:r>
          </w:p>
        </w:tc>
        <w:tc>
          <w:tcPr>
            <w:tcW w:w="997" w:type="dxa"/>
            <w:tcBorders>
              <w:top w:val="single" w:sz="4" w:space="0" w:color="auto"/>
              <w:left w:val="single" w:sz="4" w:space="0" w:color="auto"/>
              <w:bottom w:val="single" w:sz="4" w:space="0" w:color="auto"/>
              <w:right w:val="single" w:sz="4" w:space="0" w:color="auto"/>
            </w:tcBorders>
            <w:shd w:val="clear" w:color="auto" w:fill="013E5B"/>
            <w:vAlign w:val="center"/>
          </w:tcPr>
          <w:p w:rsidR="001A4104" w:rsidRPr="00B56426" w:rsidP="001A4104" w14:paraId="5C56DBE1" w14:textId="6FEE058A">
            <w:pPr>
              <w:pStyle w:val="TableSubtitle"/>
            </w:pPr>
            <w:r w:rsidRPr="00B56426">
              <w:t xml:space="preserve"> Option 1</w:t>
            </w:r>
          </w:p>
        </w:tc>
        <w:tc>
          <w:tcPr>
            <w:tcW w:w="998" w:type="dxa"/>
            <w:tcBorders>
              <w:top w:val="single" w:sz="4" w:space="0" w:color="auto"/>
              <w:left w:val="single" w:sz="4" w:space="0" w:color="auto"/>
              <w:bottom w:val="single" w:sz="4" w:space="0" w:color="auto"/>
              <w:right w:val="single" w:sz="4" w:space="0" w:color="auto"/>
            </w:tcBorders>
            <w:shd w:val="clear" w:color="auto" w:fill="013E5B"/>
            <w:vAlign w:val="center"/>
          </w:tcPr>
          <w:p w:rsidR="001A4104" w:rsidRPr="00B56426" w:rsidP="001A4104" w14:paraId="6BB94550" w14:textId="4CAE9391">
            <w:pPr>
              <w:pStyle w:val="TableSubtitle"/>
            </w:pPr>
            <w:r w:rsidRPr="00B56426">
              <w:t xml:space="preserve">Option </w:t>
            </w:r>
            <w:r>
              <w:t>2</w:t>
            </w:r>
          </w:p>
        </w:tc>
        <w:tc>
          <w:tcPr>
            <w:tcW w:w="997" w:type="dxa"/>
            <w:tcBorders>
              <w:top w:val="single" w:sz="4" w:space="0" w:color="auto"/>
              <w:left w:val="single" w:sz="4" w:space="0" w:color="auto"/>
              <w:bottom w:val="single" w:sz="4" w:space="0" w:color="auto"/>
              <w:right w:val="single" w:sz="4" w:space="0" w:color="auto"/>
            </w:tcBorders>
            <w:shd w:val="clear" w:color="auto" w:fill="013E5B"/>
            <w:vAlign w:val="center"/>
          </w:tcPr>
          <w:p w:rsidR="001A4104" w:rsidRPr="00B56426" w:rsidP="001A4104" w14:paraId="7C0AC785" w14:textId="75D04F4D">
            <w:pPr>
              <w:pStyle w:val="TableSubtitle"/>
            </w:pPr>
            <w:r w:rsidRPr="00B56426">
              <w:t xml:space="preserve"> Option 1</w:t>
            </w:r>
          </w:p>
        </w:tc>
        <w:tc>
          <w:tcPr>
            <w:tcW w:w="998" w:type="dxa"/>
            <w:tcBorders>
              <w:top w:val="single" w:sz="4" w:space="0" w:color="auto"/>
              <w:left w:val="single" w:sz="4" w:space="0" w:color="auto"/>
              <w:bottom w:val="single" w:sz="4" w:space="0" w:color="auto"/>
              <w:right w:val="single" w:sz="4" w:space="0" w:color="auto"/>
            </w:tcBorders>
            <w:shd w:val="clear" w:color="auto" w:fill="013E5B"/>
            <w:vAlign w:val="center"/>
          </w:tcPr>
          <w:p w:rsidR="001A4104" w:rsidRPr="00B56426" w:rsidP="001A4104" w14:paraId="2D5C032A" w14:textId="5FC7652F">
            <w:pPr>
              <w:pStyle w:val="TableSubtitle"/>
            </w:pPr>
            <w:r w:rsidRPr="00B56426">
              <w:t xml:space="preserve">Option </w:t>
            </w:r>
            <w:r>
              <w:t>2</w:t>
            </w:r>
          </w:p>
        </w:tc>
        <w:tc>
          <w:tcPr>
            <w:tcW w:w="997" w:type="dxa"/>
            <w:tcBorders>
              <w:top w:val="single" w:sz="4" w:space="0" w:color="auto"/>
              <w:left w:val="single" w:sz="4" w:space="0" w:color="auto"/>
              <w:bottom w:val="single" w:sz="4" w:space="0" w:color="auto"/>
              <w:right w:val="single" w:sz="4" w:space="0" w:color="auto"/>
            </w:tcBorders>
            <w:shd w:val="clear" w:color="auto" w:fill="013E5B"/>
            <w:tcMar>
              <w:left w:w="0" w:type="dxa"/>
              <w:right w:w="0" w:type="dxa"/>
            </w:tcMar>
            <w:vAlign w:val="center"/>
          </w:tcPr>
          <w:p w:rsidR="001A4104" w:rsidRPr="00B56426" w:rsidP="001A4104" w14:paraId="0DA2A32B" w14:textId="029CF658">
            <w:pPr>
              <w:pStyle w:val="TableSubtitle"/>
            </w:pPr>
            <w:r w:rsidRPr="00B56426">
              <w:t xml:space="preserve"> Option 1</w:t>
            </w:r>
          </w:p>
        </w:tc>
        <w:tc>
          <w:tcPr>
            <w:tcW w:w="998" w:type="dxa"/>
            <w:tcBorders>
              <w:top w:val="single" w:sz="4" w:space="0" w:color="auto"/>
              <w:left w:val="single" w:sz="4" w:space="0" w:color="auto"/>
              <w:bottom w:val="single" w:sz="4" w:space="0" w:color="auto"/>
              <w:right w:val="single" w:sz="4" w:space="0" w:color="auto"/>
            </w:tcBorders>
            <w:shd w:val="clear" w:color="auto" w:fill="013E5B"/>
            <w:vAlign w:val="center"/>
          </w:tcPr>
          <w:p w:rsidR="001A4104" w:rsidRPr="00B56426" w:rsidP="001A4104" w14:paraId="2BEDE3DE" w14:textId="503AD529">
            <w:pPr>
              <w:pStyle w:val="TableSubtitle"/>
            </w:pPr>
            <w:r w:rsidRPr="00B56426">
              <w:t xml:space="preserve">Option </w:t>
            </w:r>
            <w:r>
              <w:t>2</w:t>
            </w:r>
          </w:p>
        </w:tc>
      </w:tr>
      <w:tr w14:paraId="7D67E3DC" w14:textId="77777777" w:rsidTr="0064758C">
        <w:tblPrEx>
          <w:tblW w:w="12780" w:type="dxa"/>
          <w:jc w:val="center"/>
          <w:tblLayout w:type="fixed"/>
          <w:tblCellMar>
            <w:left w:w="0" w:type="dxa"/>
            <w:right w:w="58" w:type="dxa"/>
          </w:tblCellMar>
          <w:tblLook w:val="04A0"/>
        </w:tblPrEx>
        <w:trPr>
          <w:jc w:val="center"/>
        </w:trPr>
        <w:tc>
          <w:tcPr>
            <w:tcW w:w="810" w:type="dxa"/>
            <w:tcBorders>
              <w:top w:val="single" w:sz="4" w:space="0" w:color="auto"/>
              <w:left w:val="single" w:sz="4" w:space="0" w:color="auto"/>
              <w:bottom w:val="single" w:sz="4" w:space="0" w:color="auto"/>
              <w:right w:val="single" w:sz="4" w:space="0" w:color="auto"/>
            </w:tcBorders>
            <w:shd w:val="clear" w:color="000000" w:fill="FFFFFF"/>
            <w:tcMar>
              <w:left w:w="58" w:type="dxa"/>
            </w:tcMar>
            <w:vAlign w:val="center"/>
          </w:tcPr>
          <w:p w:rsidR="002D2178" w:rsidRPr="00B56426" w:rsidP="002D2178" w14:paraId="4E1A54F0" w14:textId="7C106E0B">
            <w:pPr>
              <w:pStyle w:val="LTableTextAbt"/>
              <w:jc w:val="center"/>
            </w:pPr>
            <w:r>
              <w:rPr>
                <w:szCs w:val="18"/>
              </w:rPr>
              <w:t>0</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3C29272F" w14:textId="1D5A8845">
            <w:pPr>
              <w:pStyle w:val="RTableTextAbt"/>
              <w:ind w:right="158"/>
            </w:pPr>
            <w:r>
              <w:rPr>
                <w:szCs w:val="18"/>
              </w:rPr>
              <w:t xml:space="preserve">$6.8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11D10DD2" w14:textId="4B4EC1E8">
            <w:pPr>
              <w:pStyle w:val="RTableTextAbt"/>
              <w:ind w:right="158"/>
            </w:pPr>
            <w:r>
              <w:rPr>
                <w:szCs w:val="18"/>
              </w:rPr>
              <w:t xml:space="preserve">$4.9 </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633948D0" w14:textId="2771CF94">
            <w:pPr>
              <w:pStyle w:val="RTableTextAbt"/>
              <w:ind w:right="158"/>
            </w:pPr>
            <w:r>
              <w:rPr>
                <w:szCs w:val="18"/>
              </w:rPr>
              <w:t xml:space="preserve">$6.9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27AB344C" w14:textId="352A84AD">
            <w:pPr>
              <w:pStyle w:val="RTableTextAbt"/>
              <w:ind w:right="158"/>
            </w:pPr>
            <w:r>
              <w:rPr>
                <w:szCs w:val="18"/>
              </w:rPr>
              <w:t xml:space="preserve">$4.9 </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6E020E30" w14:textId="18D73255">
            <w:pPr>
              <w:pStyle w:val="RTableTextAbt"/>
              <w:ind w:right="158"/>
            </w:pPr>
            <w:r>
              <w:rPr>
                <w:szCs w:val="18"/>
              </w:rPr>
              <w:t>-</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5FE74BAF" w14:textId="6C286094">
            <w:pPr>
              <w:pStyle w:val="RTableTextAbt"/>
              <w:ind w:right="158"/>
            </w:pPr>
            <w:r>
              <w:rPr>
                <w:szCs w:val="18"/>
              </w:rPr>
              <w:t>-</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474F6957" w14:textId="0632C333">
            <w:pPr>
              <w:pStyle w:val="RTableTextAbt"/>
              <w:ind w:right="158"/>
            </w:pPr>
            <w:r>
              <w:rPr>
                <w:szCs w:val="18"/>
              </w:rPr>
              <w:t>-</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4C89169B" w14:textId="48C0C8A7">
            <w:pPr>
              <w:pStyle w:val="RTableTextAbt"/>
              <w:ind w:right="158"/>
            </w:pPr>
            <w:r>
              <w:rPr>
                <w:szCs w:val="18"/>
              </w:rPr>
              <w:t>-</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423516A5" w14:textId="3FC93030">
            <w:pPr>
              <w:pStyle w:val="RTableTextAbt"/>
              <w:ind w:right="158"/>
            </w:pPr>
            <w:r>
              <w:rPr>
                <w:color w:val="FF0000"/>
                <w:szCs w:val="18"/>
              </w:rPr>
              <w:t>($6.8)</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09B285B8" w14:textId="566B5B5B">
            <w:pPr>
              <w:pStyle w:val="RTableTextAbt"/>
              <w:ind w:right="158"/>
            </w:pPr>
            <w:r>
              <w:rPr>
                <w:color w:val="FF0000"/>
                <w:szCs w:val="18"/>
              </w:rPr>
              <w:t>($4.9)</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20C0AC27" w14:textId="63B2A818">
            <w:pPr>
              <w:pStyle w:val="RTableTextAbt"/>
              <w:ind w:right="158"/>
            </w:pPr>
            <w:r>
              <w:rPr>
                <w:color w:val="FF0000"/>
                <w:szCs w:val="18"/>
              </w:rPr>
              <w:t>($6.9)</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1A991283" w14:textId="6B68D72A">
            <w:pPr>
              <w:pStyle w:val="RTableTextAbt"/>
              <w:ind w:right="158"/>
            </w:pPr>
            <w:r>
              <w:rPr>
                <w:color w:val="FF0000"/>
                <w:szCs w:val="18"/>
              </w:rPr>
              <w:t>($4.9)</w:t>
            </w:r>
          </w:p>
        </w:tc>
      </w:tr>
      <w:tr w14:paraId="19AC18A5" w14:textId="77777777" w:rsidTr="0064758C">
        <w:tblPrEx>
          <w:tblW w:w="12780" w:type="dxa"/>
          <w:jc w:val="center"/>
          <w:tblLayout w:type="fixed"/>
          <w:tblCellMar>
            <w:left w:w="0" w:type="dxa"/>
            <w:right w:w="58" w:type="dxa"/>
          </w:tblCellMar>
          <w:tblLook w:val="04A0"/>
        </w:tblPrEx>
        <w:trPr>
          <w:jc w:val="center"/>
        </w:trPr>
        <w:tc>
          <w:tcPr>
            <w:tcW w:w="810" w:type="dxa"/>
            <w:tcBorders>
              <w:top w:val="single" w:sz="4" w:space="0" w:color="auto"/>
              <w:left w:val="single" w:sz="4" w:space="0" w:color="auto"/>
              <w:bottom w:val="single" w:sz="4" w:space="0" w:color="auto"/>
              <w:right w:val="single" w:sz="4" w:space="0" w:color="auto"/>
            </w:tcBorders>
            <w:shd w:val="clear" w:color="000000" w:fill="FFFFFF"/>
            <w:tcMar>
              <w:left w:w="58" w:type="dxa"/>
            </w:tcMar>
            <w:vAlign w:val="center"/>
          </w:tcPr>
          <w:p w:rsidR="002D2178" w:rsidRPr="00B56426" w:rsidP="002D2178" w14:paraId="159D5893" w14:textId="04E0D557">
            <w:pPr>
              <w:pStyle w:val="LTableTextAbt"/>
              <w:jc w:val="center"/>
            </w:pPr>
            <w:r>
              <w:rPr>
                <w:szCs w:val="18"/>
              </w:rPr>
              <w:t>1</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20F5BF7A" w14:textId="40652E1E">
            <w:pPr>
              <w:pStyle w:val="RTableTextAbt"/>
              <w:ind w:right="158"/>
            </w:pPr>
            <w:r>
              <w:rPr>
                <w:szCs w:val="18"/>
              </w:rPr>
              <w:t xml:space="preserve">$1.2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0EBF7966" w14:textId="5FF985B2">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505BB760" w14:textId="028AEB10">
            <w:pPr>
              <w:pStyle w:val="RTableTextAbt"/>
              <w:ind w:right="158"/>
            </w:pPr>
            <w:r>
              <w:rPr>
                <w:szCs w:val="18"/>
              </w:rPr>
              <w:t xml:space="preserve">$1.3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6996ABA6" w14:textId="04A701A1">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5443EDF9" w14:textId="700CF41E">
            <w:pPr>
              <w:pStyle w:val="RTableTextAbt"/>
              <w:ind w:right="158"/>
            </w:pPr>
            <w:r>
              <w:rPr>
                <w:szCs w:val="18"/>
              </w:rPr>
              <w:t xml:space="preserve">$0.29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4D0D4E29" w14:textId="1BAFFAFF">
            <w:pPr>
              <w:pStyle w:val="RTableTextAbt"/>
              <w:ind w:right="158"/>
            </w:pPr>
            <w:r>
              <w:rPr>
                <w:szCs w:val="18"/>
              </w:rPr>
              <w:t xml:space="preserve">$0.18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127C5988" w14:textId="3B8D84C0">
            <w:pPr>
              <w:pStyle w:val="RTableTextAbt"/>
              <w:ind w:right="158"/>
            </w:pPr>
            <w:r>
              <w:rPr>
                <w:szCs w:val="18"/>
              </w:rPr>
              <w:t xml:space="preserve">$0.68 </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478379B1" w14:textId="5C78DB8A">
            <w:pPr>
              <w:pStyle w:val="RTableTextAbt"/>
              <w:ind w:right="158"/>
            </w:pPr>
            <w:r>
              <w:rPr>
                <w:szCs w:val="18"/>
              </w:rPr>
              <w:t xml:space="preserve">$0.40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19E0597D" w14:textId="2B5EB039">
            <w:pPr>
              <w:pStyle w:val="RTableTextAbt"/>
              <w:ind w:right="158"/>
            </w:pPr>
            <w:r>
              <w:rPr>
                <w:color w:val="FF0000"/>
                <w:szCs w:val="18"/>
              </w:rPr>
              <w:t>($0.9)</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4ED5D040" w14:textId="62BCBF67">
            <w:pPr>
              <w:pStyle w:val="RTableTextAbt"/>
              <w:ind w:right="158"/>
            </w:pPr>
            <w:r>
              <w:rPr>
                <w:color w:val="FF0000"/>
                <w:szCs w:val="18"/>
              </w:rPr>
              <w:t>($0.4)</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7BA2F7CB" w14:textId="095F3B05">
            <w:pPr>
              <w:pStyle w:val="RTableTextAbt"/>
              <w:ind w:right="158"/>
            </w:pPr>
            <w:r>
              <w:rPr>
                <w:color w:val="FF0000"/>
                <w:szCs w:val="18"/>
              </w:rPr>
              <w:t>($0.6)</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36093111" w14:textId="1E7ADC3F">
            <w:pPr>
              <w:pStyle w:val="RTableTextAbt"/>
              <w:ind w:right="158"/>
            </w:pPr>
            <w:r>
              <w:rPr>
                <w:color w:val="FF0000"/>
                <w:szCs w:val="18"/>
              </w:rPr>
              <w:t>($0.2)</w:t>
            </w:r>
          </w:p>
        </w:tc>
      </w:tr>
      <w:tr w14:paraId="33F5539B" w14:textId="77777777" w:rsidTr="0064758C">
        <w:tblPrEx>
          <w:tblW w:w="12780" w:type="dxa"/>
          <w:jc w:val="center"/>
          <w:tblLayout w:type="fixed"/>
          <w:tblCellMar>
            <w:left w:w="0" w:type="dxa"/>
            <w:right w:w="58" w:type="dxa"/>
          </w:tblCellMar>
          <w:tblLook w:val="04A0"/>
        </w:tblPrEx>
        <w:trPr>
          <w:jc w:val="center"/>
        </w:trPr>
        <w:tc>
          <w:tcPr>
            <w:tcW w:w="810" w:type="dxa"/>
            <w:tcBorders>
              <w:top w:val="single" w:sz="4" w:space="0" w:color="auto"/>
              <w:left w:val="single" w:sz="4" w:space="0" w:color="auto"/>
              <w:bottom w:val="single" w:sz="4" w:space="0" w:color="auto"/>
              <w:right w:val="single" w:sz="4" w:space="0" w:color="auto"/>
            </w:tcBorders>
            <w:shd w:val="clear" w:color="000000" w:fill="FFFFFF"/>
            <w:tcMar>
              <w:left w:w="58" w:type="dxa"/>
            </w:tcMar>
            <w:vAlign w:val="center"/>
          </w:tcPr>
          <w:p w:rsidR="002D2178" w:rsidRPr="00B56426" w:rsidP="002D2178" w14:paraId="7A3A1FA5" w14:textId="6611D7A2">
            <w:pPr>
              <w:pStyle w:val="LTableTextAbt"/>
              <w:jc w:val="center"/>
            </w:pPr>
            <w:r>
              <w:rPr>
                <w:szCs w:val="18"/>
              </w:rPr>
              <w:t>2</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1747724D" w14:textId="558A4F2C">
            <w:pPr>
              <w:pStyle w:val="RTableTextAbt"/>
              <w:ind w:right="158"/>
            </w:pPr>
            <w:r>
              <w:rPr>
                <w:szCs w:val="18"/>
              </w:rPr>
              <w:t xml:space="preserve">$1.2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2AF8BB88" w14:textId="0A5A5AB9">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22DCF581" w14:textId="47573310">
            <w:pPr>
              <w:pStyle w:val="RTableTextAbt"/>
              <w:ind w:right="158"/>
            </w:pPr>
            <w:r>
              <w:rPr>
                <w:szCs w:val="18"/>
              </w:rPr>
              <w:t xml:space="preserve">$1.3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11C31362" w14:textId="360C2559">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03CB4EF4" w14:textId="0506F2F1">
            <w:pPr>
              <w:pStyle w:val="RTableTextAbt"/>
              <w:ind w:right="158"/>
            </w:pPr>
            <w:r>
              <w:rPr>
                <w:szCs w:val="18"/>
              </w:rPr>
              <w:t xml:space="preserve">$0.29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29A08A88" w14:textId="59D72545">
            <w:pPr>
              <w:pStyle w:val="RTableTextAbt"/>
              <w:ind w:right="158"/>
            </w:pPr>
            <w:r>
              <w:rPr>
                <w:szCs w:val="18"/>
              </w:rPr>
              <w:t xml:space="preserve">$0.18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0EEF5D79" w14:textId="5ECB1505">
            <w:pPr>
              <w:pStyle w:val="RTableTextAbt"/>
              <w:ind w:right="158"/>
            </w:pPr>
            <w:r>
              <w:rPr>
                <w:szCs w:val="18"/>
              </w:rPr>
              <w:t xml:space="preserve">$0.68 </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0FE1AB2D" w14:textId="7ED1A1E2">
            <w:pPr>
              <w:pStyle w:val="RTableTextAbt"/>
              <w:ind w:right="158"/>
            </w:pPr>
            <w:r>
              <w:rPr>
                <w:szCs w:val="18"/>
              </w:rPr>
              <w:t xml:space="preserve">$0.40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5F708402" w14:textId="661D0A5B">
            <w:pPr>
              <w:pStyle w:val="RTableTextAbt"/>
              <w:ind w:right="158"/>
            </w:pPr>
            <w:r>
              <w:rPr>
                <w:color w:val="FF0000"/>
                <w:szCs w:val="18"/>
              </w:rPr>
              <w:t>($0.9)</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7A853670" w14:textId="78C0A88E">
            <w:pPr>
              <w:pStyle w:val="RTableTextAbt"/>
              <w:ind w:right="158"/>
            </w:pPr>
            <w:r>
              <w:rPr>
                <w:color w:val="FF0000"/>
                <w:szCs w:val="18"/>
              </w:rPr>
              <w:t>($0.4)</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63864E3D" w14:textId="6FB449CB">
            <w:pPr>
              <w:pStyle w:val="RTableTextAbt"/>
              <w:ind w:right="158"/>
            </w:pPr>
            <w:r>
              <w:rPr>
                <w:color w:val="FF0000"/>
                <w:szCs w:val="18"/>
              </w:rPr>
              <w:t>($0.6)</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32745533" w14:textId="320C036F">
            <w:pPr>
              <w:pStyle w:val="RTableTextAbt"/>
              <w:ind w:right="158"/>
            </w:pPr>
            <w:r>
              <w:rPr>
                <w:color w:val="FF0000"/>
                <w:szCs w:val="18"/>
              </w:rPr>
              <w:t>($0.2)</w:t>
            </w:r>
          </w:p>
        </w:tc>
      </w:tr>
      <w:tr w14:paraId="06778530" w14:textId="77777777" w:rsidTr="0064758C">
        <w:tblPrEx>
          <w:tblW w:w="12780" w:type="dxa"/>
          <w:jc w:val="center"/>
          <w:tblLayout w:type="fixed"/>
          <w:tblCellMar>
            <w:left w:w="0" w:type="dxa"/>
            <w:right w:w="58" w:type="dxa"/>
          </w:tblCellMar>
          <w:tblLook w:val="04A0"/>
        </w:tblPrEx>
        <w:trPr>
          <w:jc w:val="center"/>
        </w:trPr>
        <w:tc>
          <w:tcPr>
            <w:tcW w:w="810" w:type="dxa"/>
            <w:tcBorders>
              <w:top w:val="single" w:sz="4" w:space="0" w:color="auto"/>
              <w:left w:val="single" w:sz="4" w:space="0" w:color="auto"/>
              <w:bottom w:val="single" w:sz="4" w:space="0" w:color="auto"/>
              <w:right w:val="single" w:sz="4" w:space="0" w:color="auto"/>
            </w:tcBorders>
            <w:shd w:val="clear" w:color="000000" w:fill="FFFFFF"/>
            <w:tcMar>
              <w:left w:w="58" w:type="dxa"/>
            </w:tcMar>
            <w:vAlign w:val="center"/>
          </w:tcPr>
          <w:p w:rsidR="002D2178" w:rsidRPr="00B56426" w:rsidP="002D2178" w14:paraId="65951F1F" w14:textId="71400EE6">
            <w:pPr>
              <w:pStyle w:val="LTableTextAbt"/>
              <w:jc w:val="center"/>
            </w:pPr>
            <w:r>
              <w:rPr>
                <w:szCs w:val="18"/>
              </w:rPr>
              <w:t>3</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7376F764" w14:textId="41888750">
            <w:pPr>
              <w:pStyle w:val="RTableTextAbt"/>
              <w:ind w:right="158"/>
            </w:pPr>
            <w:r>
              <w:rPr>
                <w:szCs w:val="18"/>
              </w:rPr>
              <w:t xml:space="preserve">$1.2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35FDA89F" w14:textId="16088BF1">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24D7E2D9" w14:textId="60ED5BA4">
            <w:pPr>
              <w:pStyle w:val="RTableTextAbt"/>
              <w:ind w:right="158"/>
            </w:pPr>
            <w:r>
              <w:rPr>
                <w:szCs w:val="18"/>
              </w:rPr>
              <w:t xml:space="preserve">$1.3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0926589B" w14:textId="2DBBE859">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1F21E783" w14:textId="3CBC7996">
            <w:pPr>
              <w:pStyle w:val="RTableTextAbt"/>
              <w:ind w:right="158"/>
            </w:pPr>
            <w:r>
              <w:rPr>
                <w:szCs w:val="18"/>
              </w:rPr>
              <w:t xml:space="preserve">$0.29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72BB3EB7" w14:textId="4E3BFBA4">
            <w:pPr>
              <w:pStyle w:val="RTableTextAbt"/>
              <w:ind w:right="158"/>
            </w:pPr>
            <w:r>
              <w:rPr>
                <w:szCs w:val="18"/>
              </w:rPr>
              <w:t xml:space="preserve">$0.18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1461E02E" w14:textId="01F3F368">
            <w:pPr>
              <w:pStyle w:val="RTableTextAbt"/>
              <w:ind w:right="158"/>
            </w:pPr>
            <w:r>
              <w:rPr>
                <w:szCs w:val="18"/>
              </w:rPr>
              <w:t xml:space="preserve">$0.68 </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09E1F531" w14:textId="17ADFF72">
            <w:pPr>
              <w:pStyle w:val="RTableTextAbt"/>
              <w:ind w:right="158"/>
            </w:pPr>
            <w:r>
              <w:rPr>
                <w:szCs w:val="18"/>
              </w:rPr>
              <w:t xml:space="preserve">$0.40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3C882048" w14:textId="310BC2F2">
            <w:pPr>
              <w:pStyle w:val="RTableTextAbt"/>
              <w:ind w:right="158"/>
            </w:pPr>
            <w:r>
              <w:rPr>
                <w:color w:val="FF0000"/>
                <w:szCs w:val="18"/>
              </w:rPr>
              <w:t>($0.9)</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4D4B4EEF" w14:textId="3386F714">
            <w:pPr>
              <w:pStyle w:val="RTableTextAbt"/>
              <w:ind w:right="158"/>
            </w:pPr>
            <w:r>
              <w:rPr>
                <w:color w:val="FF0000"/>
                <w:szCs w:val="18"/>
              </w:rPr>
              <w:t>($0.4)</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5D200C6D" w14:textId="28AB5BF7">
            <w:pPr>
              <w:pStyle w:val="RTableTextAbt"/>
              <w:ind w:right="158"/>
            </w:pPr>
            <w:r>
              <w:rPr>
                <w:color w:val="FF0000"/>
                <w:szCs w:val="18"/>
              </w:rPr>
              <w:t>($0.6)</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31899720" w14:textId="377CDD96">
            <w:pPr>
              <w:pStyle w:val="RTableTextAbt"/>
              <w:ind w:right="158"/>
            </w:pPr>
            <w:r>
              <w:rPr>
                <w:color w:val="FF0000"/>
                <w:szCs w:val="18"/>
              </w:rPr>
              <w:t>($0.2)</w:t>
            </w:r>
          </w:p>
        </w:tc>
      </w:tr>
      <w:tr w14:paraId="4FD3EA5A" w14:textId="77777777" w:rsidTr="0064758C">
        <w:tblPrEx>
          <w:tblW w:w="12780" w:type="dxa"/>
          <w:jc w:val="center"/>
          <w:tblLayout w:type="fixed"/>
          <w:tblCellMar>
            <w:left w:w="0" w:type="dxa"/>
            <w:right w:w="58" w:type="dxa"/>
          </w:tblCellMar>
          <w:tblLook w:val="04A0"/>
        </w:tblPrEx>
        <w:trPr>
          <w:jc w:val="center"/>
        </w:trPr>
        <w:tc>
          <w:tcPr>
            <w:tcW w:w="810" w:type="dxa"/>
            <w:tcBorders>
              <w:top w:val="single" w:sz="4" w:space="0" w:color="auto"/>
              <w:left w:val="single" w:sz="4" w:space="0" w:color="auto"/>
              <w:bottom w:val="single" w:sz="4" w:space="0" w:color="auto"/>
              <w:right w:val="single" w:sz="4" w:space="0" w:color="auto"/>
            </w:tcBorders>
            <w:shd w:val="clear" w:color="000000" w:fill="FFFFFF"/>
            <w:tcMar>
              <w:left w:w="58" w:type="dxa"/>
            </w:tcMar>
            <w:vAlign w:val="center"/>
          </w:tcPr>
          <w:p w:rsidR="002D2178" w:rsidRPr="00B56426" w:rsidP="002D2178" w14:paraId="323D3EC2" w14:textId="2E007B5B">
            <w:pPr>
              <w:pStyle w:val="LTableTextAbt"/>
              <w:jc w:val="center"/>
            </w:pPr>
            <w:r>
              <w:rPr>
                <w:szCs w:val="18"/>
              </w:rPr>
              <w:t>4</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4B3A7E71" w14:textId="63891E1C">
            <w:pPr>
              <w:pStyle w:val="RTableTextAbt"/>
              <w:ind w:right="158"/>
            </w:pPr>
            <w:r>
              <w:rPr>
                <w:szCs w:val="18"/>
              </w:rPr>
              <w:t xml:space="preserve">$1.2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1E1184DA" w14:textId="4551789F">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729D546B" w14:textId="618D48E5">
            <w:pPr>
              <w:pStyle w:val="RTableTextAbt"/>
              <w:ind w:right="158"/>
            </w:pPr>
            <w:r>
              <w:rPr>
                <w:szCs w:val="18"/>
              </w:rPr>
              <w:t xml:space="preserve">$1.3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18BC72B4" w14:textId="1E550006">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1089112D" w14:textId="54D0E322">
            <w:pPr>
              <w:pStyle w:val="RTableTextAbt"/>
              <w:ind w:right="158"/>
            </w:pPr>
            <w:r>
              <w:rPr>
                <w:szCs w:val="18"/>
              </w:rPr>
              <w:t xml:space="preserve">$0.29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75649E25" w14:textId="483521EE">
            <w:pPr>
              <w:pStyle w:val="RTableTextAbt"/>
              <w:ind w:right="158"/>
            </w:pPr>
            <w:r>
              <w:rPr>
                <w:szCs w:val="18"/>
              </w:rPr>
              <w:t xml:space="preserve">$0.18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3013F77D" w14:textId="36EBD519">
            <w:pPr>
              <w:pStyle w:val="RTableTextAbt"/>
              <w:ind w:right="158"/>
            </w:pPr>
            <w:r>
              <w:rPr>
                <w:szCs w:val="18"/>
              </w:rPr>
              <w:t xml:space="preserve">$0.68 </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090A4E9B" w14:textId="0B04FD80">
            <w:pPr>
              <w:pStyle w:val="RTableTextAbt"/>
              <w:ind w:right="158"/>
            </w:pPr>
            <w:r>
              <w:rPr>
                <w:szCs w:val="18"/>
              </w:rPr>
              <w:t xml:space="preserve">$0.40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6B763BC4" w14:textId="48E3B5DF">
            <w:pPr>
              <w:pStyle w:val="RTableTextAbt"/>
              <w:ind w:right="158"/>
            </w:pPr>
            <w:r>
              <w:rPr>
                <w:color w:val="FF0000"/>
                <w:szCs w:val="18"/>
              </w:rPr>
              <w:t>($0.9)</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31DFB588" w14:textId="3E07F0A4">
            <w:pPr>
              <w:pStyle w:val="RTableTextAbt"/>
              <w:ind w:right="158"/>
            </w:pPr>
            <w:r>
              <w:rPr>
                <w:color w:val="FF0000"/>
                <w:szCs w:val="18"/>
              </w:rPr>
              <w:t>($0.4)</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6E43E876" w14:textId="24A576AF">
            <w:pPr>
              <w:pStyle w:val="RTableTextAbt"/>
              <w:ind w:right="158"/>
            </w:pPr>
            <w:r>
              <w:rPr>
                <w:color w:val="FF0000"/>
                <w:szCs w:val="18"/>
              </w:rPr>
              <w:t>($0.6)</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3E39F0B3" w14:textId="3C8188AE">
            <w:pPr>
              <w:pStyle w:val="RTableTextAbt"/>
              <w:ind w:right="158"/>
            </w:pPr>
            <w:r>
              <w:rPr>
                <w:color w:val="FF0000"/>
                <w:szCs w:val="18"/>
              </w:rPr>
              <w:t>($0.2)</w:t>
            </w:r>
          </w:p>
        </w:tc>
      </w:tr>
      <w:tr w14:paraId="7EF46F83" w14:textId="77777777" w:rsidTr="0064758C">
        <w:tblPrEx>
          <w:tblW w:w="12780" w:type="dxa"/>
          <w:jc w:val="center"/>
          <w:tblLayout w:type="fixed"/>
          <w:tblCellMar>
            <w:left w:w="0" w:type="dxa"/>
            <w:right w:w="58" w:type="dxa"/>
          </w:tblCellMar>
          <w:tblLook w:val="04A0"/>
        </w:tblPrEx>
        <w:trPr>
          <w:jc w:val="center"/>
        </w:trPr>
        <w:tc>
          <w:tcPr>
            <w:tcW w:w="810" w:type="dxa"/>
            <w:tcBorders>
              <w:top w:val="single" w:sz="4" w:space="0" w:color="auto"/>
              <w:left w:val="single" w:sz="4" w:space="0" w:color="auto"/>
              <w:bottom w:val="single" w:sz="4" w:space="0" w:color="auto"/>
              <w:right w:val="single" w:sz="4" w:space="0" w:color="auto"/>
            </w:tcBorders>
            <w:shd w:val="clear" w:color="000000" w:fill="FFFFFF"/>
            <w:tcMar>
              <w:left w:w="58" w:type="dxa"/>
            </w:tcMar>
            <w:vAlign w:val="center"/>
          </w:tcPr>
          <w:p w:rsidR="002D2178" w:rsidRPr="00B56426" w:rsidP="002D2178" w14:paraId="0FD26B0B" w14:textId="37F56D99">
            <w:pPr>
              <w:pStyle w:val="LTableTextAbt"/>
              <w:jc w:val="center"/>
            </w:pPr>
            <w:bookmarkStart w:id="311" w:name="RANGE!B26"/>
            <w:r>
              <w:rPr>
                <w:szCs w:val="18"/>
              </w:rPr>
              <w:t>5</w:t>
            </w:r>
            <w:bookmarkEnd w:id="311"/>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67DB79C0" w14:textId="5D7A4B37">
            <w:pPr>
              <w:pStyle w:val="RTableTextAbt"/>
              <w:ind w:right="158"/>
            </w:pPr>
            <w:r>
              <w:rPr>
                <w:szCs w:val="18"/>
              </w:rPr>
              <w:t xml:space="preserve">$1.2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69DA9B2E" w14:textId="6F00B422">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16615180" w14:textId="090B7165">
            <w:pPr>
              <w:pStyle w:val="RTableTextAbt"/>
              <w:ind w:right="158"/>
            </w:pPr>
            <w:r>
              <w:rPr>
                <w:szCs w:val="18"/>
              </w:rPr>
              <w:t xml:space="preserve">$1.3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2E80606F" w14:textId="37A46582">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0E00605D" w14:textId="5BBE96E9">
            <w:pPr>
              <w:pStyle w:val="RTableTextAbt"/>
              <w:ind w:right="158"/>
            </w:pPr>
            <w:r>
              <w:rPr>
                <w:szCs w:val="18"/>
              </w:rPr>
              <w:t xml:space="preserve">$0.29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3F7D81B0" w14:textId="39B42391">
            <w:pPr>
              <w:pStyle w:val="RTableTextAbt"/>
              <w:ind w:right="158"/>
            </w:pPr>
            <w:r>
              <w:rPr>
                <w:szCs w:val="18"/>
              </w:rPr>
              <w:t xml:space="preserve">$0.18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4CE515BA" w14:textId="7E34838F">
            <w:pPr>
              <w:pStyle w:val="RTableTextAbt"/>
              <w:ind w:right="158"/>
            </w:pPr>
            <w:r>
              <w:rPr>
                <w:szCs w:val="18"/>
              </w:rPr>
              <w:t xml:space="preserve">$0.68 </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0B7F63C7" w14:textId="29DAD1F0">
            <w:pPr>
              <w:pStyle w:val="RTableTextAbt"/>
              <w:ind w:right="158"/>
            </w:pPr>
            <w:r>
              <w:rPr>
                <w:szCs w:val="18"/>
              </w:rPr>
              <w:t xml:space="preserve">$0.40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31238FA7" w14:textId="0ED7732A">
            <w:pPr>
              <w:pStyle w:val="RTableTextAbt"/>
              <w:ind w:right="158"/>
            </w:pPr>
            <w:r>
              <w:rPr>
                <w:color w:val="FF0000"/>
                <w:szCs w:val="18"/>
              </w:rPr>
              <w:t>($0.9)</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3C4AC2A6" w14:textId="46B9B022">
            <w:pPr>
              <w:pStyle w:val="RTableTextAbt"/>
              <w:ind w:right="158"/>
            </w:pPr>
            <w:r>
              <w:rPr>
                <w:color w:val="FF0000"/>
                <w:szCs w:val="18"/>
              </w:rPr>
              <w:t>($0.4)</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1B1A3100" w14:textId="09010652">
            <w:pPr>
              <w:pStyle w:val="RTableTextAbt"/>
              <w:ind w:right="158"/>
            </w:pPr>
            <w:r>
              <w:rPr>
                <w:color w:val="FF0000"/>
                <w:szCs w:val="18"/>
              </w:rPr>
              <w:t>($0.6)</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56D6868B" w14:textId="77FA0A18">
            <w:pPr>
              <w:pStyle w:val="RTableTextAbt"/>
              <w:ind w:right="158"/>
            </w:pPr>
            <w:r>
              <w:rPr>
                <w:color w:val="FF0000"/>
                <w:szCs w:val="18"/>
              </w:rPr>
              <w:t>($0.2)</w:t>
            </w:r>
          </w:p>
        </w:tc>
      </w:tr>
      <w:tr w14:paraId="040A24A6" w14:textId="77777777" w:rsidTr="0064758C">
        <w:tblPrEx>
          <w:tblW w:w="12780" w:type="dxa"/>
          <w:jc w:val="center"/>
          <w:tblLayout w:type="fixed"/>
          <w:tblCellMar>
            <w:left w:w="0" w:type="dxa"/>
            <w:right w:w="58" w:type="dxa"/>
          </w:tblCellMar>
          <w:tblLook w:val="04A0"/>
        </w:tblPrEx>
        <w:trPr>
          <w:jc w:val="center"/>
        </w:trPr>
        <w:tc>
          <w:tcPr>
            <w:tcW w:w="810" w:type="dxa"/>
            <w:tcBorders>
              <w:top w:val="single" w:sz="4" w:space="0" w:color="auto"/>
              <w:left w:val="single" w:sz="4" w:space="0" w:color="auto"/>
              <w:bottom w:val="single" w:sz="4" w:space="0" w:color="auto"/>
              <w:right w:val="single" w:sz="4" w:space="0" w:color="auto"/>
            </w:tcBorders>
            <w:shd w:val="clear" w:color="000000" w:fill="FFFFFF"/>
            <w:tcMar>
              <w:left w:w="58" w:type="dxa"/>
            </w:tcMar>
            <w:vAlign w:val="center"/>
          </w:tcPr>
          <w:p w:rsidR="002D2178" w:rsidRPr="00B56426" w:rsidP="002D2178" w14:paraId="0266FFD0" w14:textId="7BB7F664">
            <w:pPr>
              <w:pStyle w:val="LTableTextAbt"/>
              <w:jc w:val="center"/>
            </w:pPr>
            <w:r>
              <w:rPr>
                <w:szCs w:val="18"/>
              </w:rPr>
              <w:t>6</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199ED1BC" w14:textId="5B74622C">
            <w:pPr>
              <w:pStyle w:val="RTableTextAbt"/>
              <w:ind w:right="158"/>
            </w:pPr>
            <w:r>
              <w:rPr>
                <w:szCs w:val="18"/>
              </w:rPr>
              <w:t xml:space="preserve">$1.2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7CE0E545" w14:textId="49B177B1">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44706E8F" w14:textId="3849A7CE">
            <w:pPr>
              <w:pStyle w:val="RTableTextAbt"/>
              <w:ind w:right="158"/>
            </w:pPr>
            <w:r>
              <w:rPr>
                <w:szCs w:val="18"/>
              </w:rPr>
              <w:t xml:space="preserve">$1.3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284E2CEF" w14:textId="1AE717F7">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5A1E9428" w14:textId="277B9881">
            <w:pPr>
              <w:pStyle w:val="RTableTextAbt"/>
              <w:ind w:right="158"/>
            </w:pPr>
            <w:r>
              <w:rPr>
                <w:szCs w:val="18"/>
              </w:rPr>
              <w:t xml:space="preserve">$0.29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6226995F" w14:textId="5FDB6802">
            <w:pPr>
              <w:pStyle w:val="RTableTextAbt"/>
              <w:ind w:right="158"/>
            </w:pPr>
            <w:r>
              <w:rPr>
                <w:szCs w:val="18"/>
              </w:rPr>
              <w:t xml:space="preserve">$0.18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7DD6BF5A" w14:textId="39802383">
            <w:pPr>
              <w:pStyle w:val="RTableTextAbt"/>
              <w:ind w:right="158"/>
            </w:pPr>
            <w:r>
              <w:rPr>
                <w:szCs w:val="18"/>
              </w:rPr>
              <w:t xml:space="preserve">$0.68 </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3277EAD7" w14:textId="245F3A7B">
            <w:pPr>
              <w:pStyle w:val="RTableTextAbt"/>
              <w:ind w:right="158"/>
            </w:pPr>
            <w:r>
              <w:rPr>
                <w:szCs w:val="18"/>
              </w:rPr>
              <w:t xml:space="preserve">$0.40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3D78F96C" w14:textId="390A434A">
            <w:pPr>
              <w:pStyle w:val="RTableTextAbt"/>
              <w:ind w:right="158"/>
            </w:pPr>
            <w:r>
              <w:rPr>
                <w:color w:val="FF0000"/>
                <w:szCs w:val="18"/>
              </w:rPr>
              <w:t>($0.9)</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65056A5E" w14:textId="58066CA4">
            <w:pPr>
              <w:pStyle w:val="RTableTextAbt"/>
              <w:ind w:right="158"/>
            </w:pPr>
            <w:r>
              <w:rPr>
                <w:color w:val="FF0000"/>
                <w:szCs w:val="18"/>
              </w:rPr>
              <w:t>($0.4)</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1BCE7297" w14:textId="740F0686">
            <w:pPr>
              <w:pStyle w:val="RTableTextAbt"/>
              <w:ind w:right="158"/>
            </w:pPr>
            <w:r>
              <w:rPr>
                <w:color w:val="FF0000"/>
                <w:szCs w:val="18"/>
              </w:rPr>
              <w:t>($0.6)</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5A0EC78C" w14:textId="0F2E37D2">
            <w:pPr>
              <w:pStyle w:val="RTableTextAbt"/>
              <w:ind w:right="158"/>
            </w:pPr>
            <w:r>
              <w:rPr>
                <w:color w:val="FF0000"/>
                <w:szCs w:val="18"/>
              </w:rPr>
              <w:t>($0.2)</w:t>
            </w:r>
          </w:p>
        </w:tc>
      </w:tr>
      <w:tr w14:paraId="116E23C6" w14:textId="77777777" w:rsidTr="0064758C">
        <w:tblPrEx>
          <w:tblW w:w="12780" w:type="dxa"/>
          <w:jc w:val="center"/>
          <w:tblLayout w:type="fixed"/>
          <w:tblCellMar>
            <w:left w:w="0" w:type="dxa"/>
            <w:right w:w="58" w:type="dxa"/>
          </w:tblCellMar>
          <w:tblLook w:val="04A0"/>
        </w:tblPrEx>
        <w:trPr>
          <w:jc w:val="center"/>
        </w:trPr>
        <w:tc>
          <w:tcPr>
            <w:tcW w:w="810" w:type="dxa"/>
            <w:tcBorders>
              <w:top w:val="single" w:sz="4" w:space="0" w:color="auto"/>
              <w:left w:val="single" w:sz="4" w:space="0" w:color="auto"/>
              <w:bottom w:val="single" w:sz="4" w:space="0" w:color="auto"/>
              <w:right w:val="single" w:sz="4" w:space="0" w:color="auto"/>
            </w:tcBorders>
            <w:shd w:val="clear" w:color="000000" w:fill="FFFFFF"/>
            <w:tcMar>
              <w:left w:w="58" w:type="dxa"/>
            </w:tcMar>
            <w:vAlign w:val="center"/>
          </w:tcPr>
          <w:p w:rsidR="002D2178" w:rsidRPr="00B56426" w:rsidP="002D2178" w14:paraId="142C9F2B" w14:textId="0C5CC7B9">
            <w:pPr>
              <w:pStyle w:val="LTableTextAbt"/>
              <w:jc w:val="center"/>
            </w:pPr>
            <w:r>
              <w:rPr>
                <w:szCs w:val="18"/>
              </w:rPr>
              <w:t>7</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0F52214B" w14:textId="5E66C05F">
            <w:pPr>
              <w:pStyle w:val="RTableTextAbt"/>
              <w:ind w:right="158"/>
            </w:pPr>
            <w:r>
              <w:rPr>
                <w:szCs w:val="18"/>
              </w:rPr>
              <w:t xml:space="preserve">$1.2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5CD3EDB8" w14:textId="1A1A748E">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0EE2E434" w14:textId="03F62536">
            <w:pPr>
              <w:pStyle w:val="RTableTextAbt"/>
              <w:ind w:right="158"/>
            </w:pPr>
            <w:r>
              <w:rPr>
                <w:szCs w:val="18"/>
              </w:rPr>
              <w:t xml:space="preserve">$1.3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31595F7B" w14:textId="26EEF73F">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4CB0BB30" w14:textId="1A2E8DE1">
            <w:pPr>
              <w:pStyle w:val="RTableTextAbt"/>
              <w:ind w:right="158"/>
            </w:pPr>
            <w:r>
              <w:rPr>
                <w:szCs w:val="18"/>
              </w:rPr>
              <w:t xml:space="preserve">$0.29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330A018C" w14:textId="011485A7">
            <w:pPr>
              <w:pStyle w:val="RTableTextAbt"/>
              <w:ind w:right="158"/>
            </w:pPr>
            <w:r>
              <w:rPr>
                <w:szCs w:val="18"/>
              </w:rPr>
              <w:t xml:space="preserve">$0.18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21EA1AEC" w14:textId="4C1217B8">
            <w:pPr>
              <w:pStyle w:val="RTableTextAbt"/>
              <w:ind w:right="158"/>
            </w:pPr>
            <w:r>
              <w:rPr>
                <w:szCs w:val="18"/>
              </w:rPr>
              <w:t xml:space="preserve">$0.68 </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2D179904" w14:textId="34F53E67">
            <w:pPr>
              <w:pStyle w:val="RTableTextAbt"/>
              <w:ind w:right="158"/>
            </w:pPr>
            <w:r>
              <w:rPr>
                <w:szCs w:val="18"/>
              </w:rPr>
              <w:t xml:space="preserve">$0.40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7D55FAA7" w14:textId="0D3360E4">
            <w:pPr>
              <w:pStyle w:val="RTableTextAbt"/>
              <w:ind w:right="158"/>
            </w:pPr>
            <w:r>
              <w:rPr>
                <w:color w:val="FF0000"/>
                <w:szCs w:val="18"/>
              </w:rPr>
              <w:t>($0.9)</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667DCE74" w14:textId="5E68A40E">
            <w:pPr>
              <w:pStyle w:val="RTableTextAbt"/>
              <w:ind w:right="158"/>
            </w:pPr>
            <w:r>
              <w:rPr>
                <w:color w:val="FF0000"/>
                <w:szCs w:val="18"/>
              </w:rPr>
              <w:t>($0.4)</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036626AA" w14:textId="657EFB7E">
            <w:pPr>
              <w:pStyle w:val="RTableTextAbt"/>
              <w:ind w:right="158"/>
            </w:pPr>
            <w:r>
              <w:rPr>
                <w:color w:val="FF0000"/>
                <w:szCs w:val="18"/>
              </w:rPr>
              <w:t>($0.6)</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00E5F82A" w14:textId="611BD2F2">
            <w:pPr>
              <w:pStyle w:val="RTableTextAbt"/>
              <w:ind w:right="158"/>
            </w:pPr>
            <w:r>
              <w:rPr>
                <w:color w:val="FF0000"/>
                <w:szCs w:val="18"/>
              </w:rPr>
              <w:t>($0.2)</w:t>
            </w:r>
          </w:p>
        </w:tc>
      </w:tr>
      <w:tr w14:paraId="32513CA6" w14:textId="77777777" w:rsidTr="0064758C">
        <w:tblPrEx>
          <w:tblW w:w="12780" w:type="dxa"/>
          <w:jc w:val="center"/>
          <w:tblLayout w:type="fixed"/>
          <w:tblCellMar>
            <w:left w:w="0" w:type="dxa"/>
            <w:right w:w="58" w:type="dxa"/>
          </w:tblCellMar>
          <w:tblLook w:val="04A0"/>
        </w:tblPrEx>
        <w:trPr>
          <w:jc w:val="center"/>
        </w:trPr>
        <w:tc>
          <w:tcPr>
            <w:tcW w:w="810" w:type="dxa"/>
            <w:tcBorders>
              <w:top w:val="single" w:sz="4" w:space="0" w:color="auto"/>
              <w:left w:val="single" w:sz="4" w:space="0" w:color="auto"/>
              <w:bottom w:val="single" w:sz="4" w:space="0" w:color="auto"/>
              <w:right w:val="single" w:sz="4" w:space="0" w:color="auto"/>
            </w:tcBorders>
            <w:shd w:val="clear" w:color="000000" w:fill="FFFFFF"/>
            <w:tcMar>
              <w:left w:w="58" w:type="dxa"/>
            </w:tcMar>
            <w:vAlign w:val="center"/>
          </w:tcPr>
          <w:p w:rsidR="002D2178" w:rsidRPr="00B56426" w:rsidP="002D2178" w14:paraId="495F2578" w14:textId="03054F7B">
            <w:pPr>
              <w:pStyle w:val="LTableTextAbt"/>
              <w:jc w:val="center"/>
            </w:pPr>
            <w:r>
              <w:rPr>
                <w:szCs w:val="18"/>
              </w:rPr>
              <w:t>8</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16B70223" w14:textId="7DC6C3A9">
            <w:pPr>
              <w:pStyle w:val="RTableTextAbt"/>
              <w:ind w:right="158"/>
            </w:pPr>
            <w:r>
              <w:rPr>
                <w:szCs w:val="18"/>
              </w:rPr>
              <w:t xml:space="preserve">$1.2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05D9C8BE" w14:textId="433A84BA">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622D36F5" w14:textId="3702B1E8">
            <w:pPr>
              <w:pStyle w:val="RTableTextAbt"/>
              <w:ind w:right="158"/>
            </w:pPr>
            <w:r>
              <w:rPr>
                <w:szCs w:val="18"/>
              </w:rPr>
              <w:t xml:space="preserve">$1.3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7BA24CBC" w14:textId="4D4D25C4">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1C66D28B" w14:textId="405044D5">
            <w:pPr>
              <w:pStyle w:val="RTableTextAbt"/>
              <w:ind w:right="158"/>
            </w:pPr>
            <w:r>
              <w:rPr>
                <w:szCs w:val="18"/>
              </w:rPr>
              <w:t xml:space="preserve">$0.29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2FA7D6EB" w14:textId="1D8822BE">
            <w:pPr>
              <w:pStyle w:val="RTableTextAbt"/>
              <w:ind w:right="158"/>
            </w:pPr>
            <w:r>
              <w:rPr>
                <w:szCs w:val="18"/>
              </w:rPr>
              <w:t xml:space="preserve">$0.18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54ECC698" w14:textId="254066AC">
            <w:pPr>
              <w:pStyle w:val="RTableTextAbt"/>
              <w:ind w:right="158"/>
            </w:pPr>
            <w:r>
              <w:rPr>
                <w:szCs w:val="18"/>
              </w:rPr>
              <w:t xml:space="preserve">$0.68 </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1A8B8B2A" w14:textId="175B07DD">
            <w:pPr>
              <w:pStyle w:val="RTableTextAbt"/>
              <w:ind w:right="158"/>
            </w:pPr>
            <w:r>
              <w:rPr>
                <w:szCs w:val="18"/>
              </w:rPr>
              <w:t xml:space="preserve">$0.40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76668AD8" w14:textId="0D3EA215">
            <w:pPr>
              <w:pStyle w:val="RTableTextAbt"/>
              <w:ind w:right="158"/>
            </w:pPr>
            <w:r>
              <w:rPr>
                <w:color w:val="FF0000"/>
                <w:szCs w:val="18"/>
              </w:rPr>
              <w:t>($0.9)</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56E97056" w14:textId="4BE6E372">
            <w:pPr>
              <w:pStyle w:val="RTableTextAbt"/>
              <w:ind w:right="158"/>
            </w:pPr>
            <w:r>
              <w:rPr>
                <w:color w:val="FF0000"/>
                <w:szCs w:val="18"/>
              </w:rPr>
              <w:t>($0.4)</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5487746C" w14:textId="520D54C0">
            <w:pPr>
              <w:pStyle w:val="RTableTextAbt"/>
              <w:ind w:right="158"/>
            </w:pPr>
            <w:r>
              <w:rPr>
                <w:color w:val="FF0000"/>
                <w:szCs w:val="18"/>
              </w:rPr>
              <w:t>($0.6)</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6B8A43A0" w14:textId="15C1B041">
            <w:pPr>
              <w:pStyle w:val="RTableTextAbt"/>
              <w:ind w:right="158"/>
            </w:pPr>
            <w:r>
              <w:rPr>
                <w:color w:val="FF0000"/>
                <w:szCs w:val="18"/>
              </w:rPr>
              <w:t>($0.2)</w:t>
            </w:r>
          </w:p>
        </w:tc>
      </w:tr>
      <w:tr w14:paraId="092316F8" w14:textId="77777777" w:rsidTr="0064758C">
        <w:tblPrEx>
          <w:tblW w:w="12780" w:type="dxa"/>
          <w:jc w:val="center"/>
          <w:tblLayout w:type="fixed"/>
          <w:tblCellMar>
            <w:left w:w="0" w:type="dxa"/>
            <w:right w:w="58" w:type="dxa"/>
          </w:tblCellMar>
          <w:tblLook w:val="04A0"/>
        </w:tblPrEx>
        <w:trPr>
          <w:jc w:val="center"/>
        </w:trPr>
        <w:tc>
          <w:tcPr>
            <w:tcW w:w="810" w:type="dxa"/>
            <w:tcBorders>
              <w:top w:val="single" w:sz="4" w:space="0" w:color="auto"/>
              <w:left w:val="single" w:sz="4" w:space="0" w:color="auto"/>
              <w:bottom w:val="single" w:sz="4" w:space="0" w:color="auto"/>
              <w:right w:val="single" w:sz="4" w:space="0" w:color="auto"/>
            </w:tcBorders>
            <w:shd w:val="clear" w:color="000000" w:fill="FFFFFF"/>
            <w:tcMar>
              <w:left w:w="58" w:type="dxa"/>
            </w:tcMar>
            <w:vAlign w:val="center"/>
          </w:tcPr>
          <w:p w:rsidR="002D2178" w:rsidRPr="00B56426" w:rsidP="002D2178" w14:paraId="719078F4" w14:textId="59853E75">
            <w:pPr>
              <w:pStyle w:val="LTableTextAbt"/>
              <w:jc w:val="center"/>
            </w:pPr>
            <w:r>
              <w:rPr>
                <w:szCs w:val="18"/>
              </w:rPr>
              <w:t>9</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414D6485" w14:textId="67B9FC6C">
            <w:pPr>
              <w:pStyle w:val="RTableTextAbt"/>
              <w:ind w:right="158"/>
            </w:pPr>
            <w:r>
              <w:rPr>
                <w:szCs w:val="18"/>
              </w:rPr>
              <w:t xml:space="preserve">$1.2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51162200" w14:textId="33982CAF">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4E7D21E0" w14:textId="6FF6FFD4">
            <w:pPr>
              <w:pStyle w:val="RTableTextAbt"/>
              <w:ind w:right="158"/>
            </w:pPr>
            <w:r>
              <w:rPr>
                <w:szCs w:val="18"/>
              </w:rPr>
              <w:t xml:space="preserve">$1.3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31896452" w14:textId="6515A6FB">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7EDA5E60" w14:textId="2E4D9B02">
            <w:pPr>
              <w:pStyle w:val="RTableTextAbt"/>
              <w:ind w:right="158"/>
            </w:pPr>
            <w:r>
              <w:rPr>
                <w:szCs w:val="18"/>
              </w:rPr>
              <w:t xml:space="preserve">$0.29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1A6378BF" w14:textId="2A8134AA">
            <w:pPr>
              <w:pStyle w:val="RTableTextAbt"/>
              <w:ind w:right="158"/>
            </w:pPr>
            <w:r>
              <w:rPr>
                <w:szCs w:val="18"/>
              </w:rPr>
              <w:t xml:space="preserve">$0.18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751BF234" w14:textId="35325189">
            <w:pPr>
              <w:pStyle w:val="RTableTextAbt"/>
              <w:ind w:right="158"/>
            </w:pPr>
            <w:r>
              <w:rPr>
                <w:szCs w:val="18"/>
              </w:rPr>
              <w:t xml:space="preserve">$0.68 </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4C27A548" w14:textId="40167517">
            <w:pPr>
              <w:pStyle w:val="RTableTextAbt"/>
              <w:ind w:right="158"/>
            </w:pPr>
            <w:r>
              <w:rPr>
                <w:szCs w:val="18"/>
              </w:rPr>
              <w:t xml:space="preserve">$0.40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27FCA6AE" w14:textId="0D30BE7E">
            <w:pPr>
              <w:pStyle w:val="RTableTextAbt"/>
              <w:ind w:right="158"/>
            </w:pPr>
            <w:r>
              <w:rPr>
                <w:color w:val="FF0000"/>
                <w:szCs w:val="18"/>
              </w:rPr>
              <w:t>($0.9)</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22932DCA" w14:textId="417D5DCC">
            <w:pPr>
              <w:pStyle w:val="RTableTextAbt"/>
              <w:ind w:right="158"/>
            </w:pPr>
            <w:r>
              <w:rPr>
                <w:color w:val="FF0000"/>
                <w:szCs w:val="18"/>
              </w:rPr>
              <w:t>($0.4)</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03506A4A" w14:textId="49998CCF">
            <w:pPr>
              <w:pStyle w:val="RTableTextAbt"/>
              <w:ind w:right="158"/>
            </w:pPr>
            <w:r>
              <w:rPr>
                <w:color w:val="FF0000"/>
                <w:szCs w:val="18"/>
              </w:rPr>
              <w:t>($0.6)</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3F0A4C6F" w14:textId="178785D3">
            <w:pPr>
              <w:pStyle w:val="RTableTextAbt"/>
              <w:ind w:right="158"/>
            </w:pPr>
            <w:r>
              <w:rPr>
                <w:color w:val="FF0000"/>
                <w:szCs w:val="18"/>
              </w:rPr>
              <w:t>($0.2)</w:t>
            </w:r>
          </w:p>
        </w:tc>
      </w:tr>
      <w:tr w14:paraId="241EE981" w14:textId="77777777" w:rsidTr="0064758C">
        <w:tblPrEx>
          <w:tblW w:w="12780" w:type="dxa"/>
          <w:jc w:val="center"/>
          <w:tblLayout w:type="fixed"/>
          <w:tblCellMar>
            <w:left w:w="0" w:type="dxa"/>
            <w:right w:w="58" w:type="dxa"/>
          </w:tblCellMar>
          <w:tblLook w:val="04A0"/>
        </w:tblPrEx>
        <w:trPr>
          <w:jc w:val="center"/>
        </w:trPr>
        <w:tc>
          <w:tcPr>
            <w:tcW w:w="810" w:type="dxa"/>
            <w:tcBorders>
              <w:top w:val="single" w:sz="4" w:space="0" w:color="auto"/>
              <w:left w:val="single" w:sz="4" w:space="0" w:color="auto"/>
              <w:bottom w:val="single" w:sz="4" w:space="0" w:color="auto"/>
              <w:right w:val="single" w:sz="4" w:space="0" w:color="auto"/>
            </w:tcBorders>
            <w:shd w:val="clear" w:color="000000" w:fill="FFFFFF"/>
            <w:tcMar>
              <w:left w:w="58" w:type="dxa"/>
            </w:tcMar>
            <w:vAlign w:val="center"/>
          </w:tcPr>
          <w:p w:rsidR="002D2178" w:rsidRPr="00B56426" w:rsidP="002D2178" w14:paraId="2234EE01" w14:textId="39F47AE7">
            <w:pPr>
              <w:pStyle w:val="LTableTextAbt"/>
              <w:jc w:val="center"/>
            </w:pPr>
            <w:r>
              <w:rPr>
                <w:szCs w:val="18"/>
              </w:rPr>
              <w:t>10</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352A190D" w14:textId="731BB73F">
            <w:pPr>
              <w:pStyle w:val="RTableTextAbt"/>
              <w:ind w:right="158"/>
            </w:pPr>
            <w:r>
              <w:rPr>
                <w:szCs w:val="18"/>
              </w:rPr>
              <w:t xml:space="preserve">$1.2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2B0FD367" w14:textId="461EA547">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639B61E5" w14:textId="20B77A19">
            <w:pPr>
              <w:pStyle w:val="RTableTextAbt"/>
              <w:ind w:right="158"/>
            </w:pPr>
            <w:r>
              <w:rPr>
                <w:szCs w:val="18"/>
              </w:rPr>
              <w:t xml:space="preserve">$1.3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5B077D9C" w14:textId="0951E918">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496AA755" w14:textId="4F016565">
            <w:pPr>
              <w:pStyle w:val="RTableTextAbt"/>
              <w:ind w:right="158"/>
            </w:pPr>
            <w:r>
              <w:rPr>
                <w:szCs w:val="18"/>
              </w:rPr>
              <w:t xml:space="preserve">$0.29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1BA243AB" w14:textId="05D0326B">
            <w:pPr>
              <w:pStyle w:val="RTableTextAbt"/>
              <w:ind w:right="158"/>
            </w:pPr>
            <w:r>
              <w:rPr>
                <w:szCs w:val="18"/>
              </w:rPr>
              <w:t xml:space="preserve">$0.18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3B0ABE27" w14:textId="4D468552">
            <w:pPr>
              <w:pStyle w:val="RTableTextAbt"/>
              <w:ind w:right="158"/>
            </w:pPr>
            <w:r>
              <w:rPr>
                <w:szCs w:val="18"/>
              </w:rPr>
              <w:t xml:space="preserve">$0.68 </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262DBF80" w14:textId="26C8AD7F">
            <w:pPr>
              <w:pStyle w:val="RTableTextAbt"/>
              <w:ind w:right="158"/>
            </w:pPr>
            <w:r>
              <w:rPr>
                <w:szCs w:val="18"/>
              </w:rPr>
              <w:t xml:space="preserve">$0.40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44186977" w14:textId="5E424854">
            <w:pPr>
              <w:pStyle w:val="RTableTextAbt"/>
              <w:ind w:right="158"/>
            </w:pPr>
            <w:r>
              <w:rPr>
                <w:color w:val="FF0000"/>
                <w:szCs w:val="18"/>
              </w:rPr>
              <w:t>($0.9)</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7792DD82" w14:textId="65F38CA8">
            <w:pPr>
              <w:pStyle w:val="RTableTextAbt"/>
              <w:ind w:right="158"/>
            </w:pPr>
            <w:r>
              <w:rPr>
                <w:color w:val="FF0000"/>
                <w:szCs w:val="18"/>
              </w:rPr>
              <w:t>($0.4)</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5848B7EA" w14:textId="6D76FFA9">
            <w:pPr>
              <w:pStyle w:val="RTableTextAbt"/>
              <w:ind w:right="158"/>
            </w:pPr>
            <w:r>
              <w:rPr>
                <w:color w:val="FF0000"/>
                <w:szCs w:val="18"/>
              </w:rPr>
              <w:t>($0.6)</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78C4773A" w14:textId="354FA620">
            <w:pPr>
              <w:pStyle w:val="RTableTextAbt"/>
              <w:ind w:right="158"/>
            </w:pPr>
            <w:r>
              <w:rPr>
                <w:color w:val="FF0000"/>
                <w:szCs w:val="18"/>
              </w:rPr>
              <w:t>($0.2)</w:t>
            </w:r>
          </w:p>
        </w:tc>
      </w:tr>
      <w:tr w14:paraId="430824FF" w14:textId="77777777" w:rsidTr="0064758C">
        <w:tblPrEx>
          <w:tblW w:w="12780" w:type="dxa"/>
          <w:jc w:val="center"/>
          <w:tblLayout w:type="fixed"/>
          <w:tblCellMar>
            <w:left w:w="0" w:type="dxa"/>
            <w:right w:w="58" w:type="dxa"/>
          </w:tblCellMar>
          <w:tblLook w:val="04A0"/>
        </w:tblPrEx>
        <w:trPr>
          <w:jc w:val="center"/>
        </w:trPr>
        <w:tc>
          <w:tcPr>
            <w:tcW w:w="810" w:type="dxa"/>
            <w:tcBorders>
              <w:top w:val="single" w:sz="4" w:space="0" w:color="auto"/>
              <w:left w:val="single" w:sz="4" w:space="0" w:color="auto"/>
              <w:bottom w:val="single" w:sz="4" w:space="0" w:color="auto"/>
              <w:right w:val="single" w:sz="4" w:space="0" w:color="auto"/>
            </w:tcBorders>
            <w:shd w:val="clear" w:color="000000" w:fill="FFFFFF"/>
            <w:tcMar>
              <w:left w:w="58" w:type="dxa"/>
            </w:tcMar>
            <w:vAlign w:val="center"/>
          </w:tcPr>
          <w:p w:rsidR="002D2178" w:rsidRPr="00B56426" w:rsidP="002D2178" w14:paraId="50F0B009" w14:textId="7AF47997">
            <w:pPr>
              <w:pStyle w:val="LTableTextAbt"/>
              <w:jc w:val="center"/>
            </w:pPr>
            <w:r>
              <w:rPr>
                <w:szCs w:val="18"/>
              </w:rPr>
              <w:t>11</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52A542BD" w14:textId="0FE999A8">
            <w:pPr>
              <w:pStyle w:val="RTableTextAbt"/>
              <w:ind w:right="158"/>
            </w:pPr>
            <w:r>
              <w:rPr>
                <w:szCs w:val="18"/>
              </w:rPr>
              <w:t xml:space="preserve">$1.2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28FE2E98" w14:textId="175C6B47">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3C9E2F9F" w14:textId="4F8C39A4">
            <w:pPr>
              <w:pStyle w:val="RTableTextAbt"/>
              <w:ind w:right="158"/>
            </w:pPr>
            <w:r>
              <w:rPr>
                <w:szCs w:val="18"/>
              </w:rPr>
              <w:t xml:space="preserve">$1.3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1B95C540" w14:textId="0FB888FE">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5BBCDD99" w14:textId="0F17B0B2">
            <w:pPr>
              <w:pStyle w:val="RTableTextAbt"/>
              <w:ind w:right="158"/>
            </w:pPr>
            <w:r>
              <w:rPr>
                <w:szCs w:val="18"/>
              </w:rPr>
              <w:t xml:space="preserve">$0.29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778E1D02" w14:textId="767FAE61">
            <w:pPr>
              <w:pStyle w:val="RTableTextAbt"/>
              <w:ind w:right="158"/>
            </w:pPr>
            <w:r>
              <w:rPr>
                <w:szCs w:val="18"/>
              </w:rPr>
              <w:t xml:space="preserve">$0.18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21FBBB2F" w14:textId="264A707E">
            <w:pPr>
              <w:pStyle w:val="RTableTextAbt"/>
              <w:ind w:right="158"/>
            </w:pPr>
            <w:r>
              <w:rPr>
                <w:szCs w:val="18"/>
              </w:rPr>
              <w:t xml:space="preserve">$0.68 </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5148AB74" w14:textId="3D2DFEA2">
            <w:pPr>
              <w:pStyle w:val="RTableTextAbt"/>
              <w:ind w:right="158"/>
            </w:pPr>
            <w:r>
              <w:rPr>
                <w:szCs w:val="18"/>
              </w:rPr>
              <w:t xml:space="preserve">$0.40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6BE64F83" w14:textId="7BE0B0A1">
            <w:pPr>
              <w:pStyle w:val="RTableTextAbt"/>
              <w:ind w:right="158"/>
            </w:pPr>
            <w:r>
              <w:rPr>
                <w:color w:val="FF0000"/>
                <w:szCs w:val="18"/>
              </w:rPr>
              <w:t>($0.9)</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7D8554A4" w14:textId="714236A9">
            <w:pPr>
              <w:pStyle w:val="RTableTextAbt"/>
              <w:ind w:right="158"/>
            </w:pPr>
            <w:r>
              <w:rPr>
                <w:color w:val="FF0000"/>
                <w:szCs w:val="18"/>
              </w:rPr>
              <w:t>($0.4)</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7F0D01BF" w14:textId="4061D628">
            <w:pPr>
              <w:pStyle w:val="RTableTextAbt"/>
              <w:ind w:right="158"/>
            </w:pPr>
            <w:r>
              <w:rPr>
                <w:color w:val="FF0000"/>
                <w:szCs w:val="18"/>
              </w:rPr>
              <w:t>($0.6)</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31090B6D" w14:textId="30BE1612">
            <w:pPr>
              <w:pStyle w:val="RTableTextAbt"/>
              <w:ind w:right="158"/>
            </w:pPr>
            <w:r>
              <w:rPr>
                <w:color w:val="FF0000"/>
                <w:szCs w:val="18"/>
              </w:rPr>
              <w:t>($0.2)</w:t>
            </w:r>
          </w:p>
        </w:tc>
      </w:tr>
      <w:tr w14:paraId="682D40B9" w14:textId="77777777" w:rsidTr="0064758C">
        <w:tblPrEx>
          <w:tblW w:w="12780" w:type="dxa"/>
          <w:jc w:val="center"/>
          <w:tblLayout w:type="fixed"/>
          <w:tblCellMar>
            <w:left w:w="0" w:type="dxa"/>
            <w:right w:w="58" w:type="dxa"/>
          </w:tblCellMar>
          <w:tblLook w:val="04A0"/>
        </w:tblPrEx>
        <w:trPr>
          <w:jc w:val="center"/>
        </w:trPr>
        <w:tc>
          <w:tcPr>
            <w:tcW w:w="810" w:type="dxa"/>
            <w:tcBorders>
              <w:top w:val="single" w:sz="4" w:space="0" w:color="auto"/>
              <w:left w:val="single" w:sz="4" w:space="0" w:color="auto"/>
              <w:bottom w:val="single" w:sz="4" w:space="0" w:color="auto"/>
              <w:right w:val="single" w:sz="4" w:space="0" w:color="auto"/>
            </w:tcBorders>
            <w:shd w:val="clear" w:color="000000" w:fill="FFFFFF"/>
            <w:tcMar>
              <w:left w:w="58" w:type="dxa"/>
            </w:tcMar>
            <w:vAlign w:val="center"/>
          </w:tcPr>
          <w:p w:rsidR="002D2178" w:rsidRPr="00B56426" w:rsidP="002D2178" w14:paraId="2A8020A8" w14:textId="6C4690C2">
            <w:pPr>
              <w:pStyle w:val="LTableTextAbt"/>
              <w:jc w:val="center"/>
            </w:pPr>
            <w:r>
              <w:rPr>
                <w:szCs w:val="18"/>
              </w:rPr>
              <w:t>12</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418CDC32" w14:textId="6A2C48C0">
            <w:pPr>
              <w:pStyle w:val="RTableTextAbt"/>
              <w:ind w:right="158"/>
            </w:pPr>
            <w:r>
              <w:rPr>
                <w:szCs w:val="18"/>
              </w:rPr>
              <w:t xml:space="preserve">$1.2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53E845E0" w14:textId="6933BE00">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10719497" w14:textId="010CE89C">
            <w:pPr>
              <w:pStyle w:val="RTableTextAbt"/>
              <w:ind w:right="158"/>
            </w:pPr>
            <w:r>
              <w:rPr>
                <w:szCs w:val="18"/>
              </w:rPr>
              <w:t xml:space="preserve">$1.3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705E2A3D" w14:textId="3FEFEBB4">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678747A4" w14:textId="41D5F621">
            <w:pPr>
              <w:pStyle w:val="RTableTextAbt"/>
              <w:ind w:right="158"/>
            </w:pPr>
            <w:r>
              <w:rPr>
                <w:szCs w:val="18"/>
              </w:rPr>
              <w:t xml:space="preserve">$0.29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4BD4448E" w14:textId="46029FF5">
            <w:pPr>
              <w:pStyle w:val="RTableTextAbt"/>
              <w:ind w:right="158"/>
            </w:pPr>
            <w:r>
              <w:rPr>
                <w:szCs w:val="18"/>
              </w:rPr>
              <w:t xml:space="preserve">$0.18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2956DD98" w14:textId="5D51560C">
            <w:pPr>
              <w:pStyle w:val="RTableTextAbt"/>
              <w:ind w:right="158"/>
            </w:pPr>
            <w:r>
              <w:rPr>
                <w:szCs w:val="18"/>
              </w:rPr>
              <w:t xml:space="preserve">$0.68 </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047FDA2D" w14:textId="1B369E3B">
            <w:pPr>
              <w:pStyle w:val="RTableTextAbt"/>
              <w:ind w:right="158"/>
            </w:pPr>
            <w:r>
              <w:rPr>
                <w:szCs w:val="18"/>
              </w:rPr>
              <w:t xml:space="preserve">$0.40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37E1AE8A" w14:textId="39B30D8A">
            <w:pPr>
              <w:pStyle w:val="RTableTextAbt"/>
              <w:ind w:right="158"/>
            </w:pPr>
            <w:r>
              <w:rPr>
                <w:color w:val="FF0000"/>
                <w:szCs w:val="18"/>
              </w:rPr>
              <w:t>($0.9)</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67F1B4D4" w14:textId="1E458869">
            <w:pPr>
              <w:pStyle w:val="RTableTextAbt"/>
              <w:ind w:right="158"/>
            </w:pPr>
            <w:r>
              <w:rPr>
                <w:color w:val="FF0000"/>
                <w:szCs w:val="18"/>
              </w:rPr>
              <w:t>($0.4)</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3EB31AE8" w14:textId="43764C72">
            <w:pPr>
              <w:pStyle w:val="RTableTextAbt"/>
              <w:ind w:right="158"/>
            </w:pPr>
            <w:r>
              <w:rPr>
                <w:color w:val="FF0000"/>
                <w:szCs w:val="18"/>
              </w:rPr>
              <w:t>($0.6)</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781C13B7" w14:textId="674E9B37">
            <w:pPr>
              <w:pStyle w:val="RTableTextAbt"/>
              <w:ind w:right="158"/>
            </w:pPr>
            <w:r>
              <w:rPr>
                <w:color w:val="FF0000"/>
                <w:szCs w:val="18"/>
              </w:rPr>
              <w:t>($0.2)</w:t>
            </w:r>
          </w:p>
        </w:tc>
      </w:tr>
      <w:tr w14:paraId="766278B5" w14:textId="77777777" w:rsidTr="0064758C">
        <w:tblPrEx>
          <w:tblW w:w="12780" w:type="dxa"/>
          <w:jc w:val="center"/>
          <w:tblLayout w:type="fixed"/>
          <w:tblCellMar>
            <w:left w:w="0" w:type="dxa"/>
            <w:right w:w="58" w:type="dxa"/>
          </w:tblCellMar>
          <w:tblLook w:val="04A0"/>
        </w:tblPrEx>
        <w:trPr>
          <w:jc w:val="center"/>
        </w:trPr>
        <w:tc>
          <w:tcPr>
            <w:tcW w:w="810" w:type="dxa"/>
            <w:tcBorders>
              <w:top w:val="single" w:sz="4" w:space="0" w:color="auto"/>
              <w:left w:val="single" w:sz="4" w:space="0" w:color="auto"/>
              <w:bottom w:val="single" w:sz="4" w:space="0" w:color="auto"/>
              <w:right w:val="single" w:sz="4" w:space="0" w:color="auto"/>
            </w:tcBorders>
            <w:shd w:val="clear" w:color="000000" w:fill="FFFFFF"/>
            <w:tcMar>
              <w:left w:w="58" w:type="dxa"/>
            </w:tcMar>
            <w:vAlign w:val="center"/>
          </w:tcPr>
          <w:p w:rsidR="002D2178" w:rsidRPr="00B56426" w:rsidP="002D2178" w14:paraId="2B18F31E" w14:textId="275D45CA">
            <w:pPr>
              <w:pStyle w:val="LTableTextAbt"/>
              <w:jc w:val="center"/>
            </w:pPr>
            <w:r>
              <w:rPr>
                <w:szCs w:val="18"/>
              </w:rPr>
              <w:t>13</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19C65A37" w14:textId="404B16D2">
            <w:pPr>
              <w:pStyle w:val="RTableTextAbt"/>
              <w:ind w:right="158"/>
            </w:pPr>
            <w:r>
              <w:rPr>
                <w:szCs w:val="18"/>
              </w:rPr>
              <w:t xml:space="preserve">$1.2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697FA09B" w14:textId="111F65F3">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77338DAD" w14:textId="7C96CCF4">
            <w:pPr>
              <w:pStyle w:val="RTableTextAbt"/>
              <w:ind w:right="158"/>
            </w:pPr>
            <w:r>
              <w:rPr>
                <w:szCs w:val="18"/>
              </w:rPr>
              <w:t xml:space="preserve">$1.3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0FCF2681" w14:textId="1BB75839">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1904D1B2" w14:textId="61996797">
            <w:pPr>
              <w:pStyle w:val="RTableTextAbt"/>
              <w:ind w:right="158"/>
            </w:pPr>
            <w:r>
              <w:rPr>
                <w:szCs w:val="18"/>
              </w:rPr>
              <w:t xml:space="preserve">$0.29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68ED614B" w14:textId="7B4F7988">
            <w:pPr>
              <w:pStyle w:val="RTableTextAbt"/>
              <w:ind w:right="158"/>
            </w:pPr>
            <w:r>
              <w:rPr>
                <w:szCs w:val="18"/>
              </w:rPr>
              <w:t xml:space="preserve">$0.18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75BA6CF5" w14:textId="31201C81">
            <w:pPr>
              <w:pStyle w:val="RTableTextAbt"/>
              <w:ind w:right="158"/>
            </w:pPr>
            <w:r>
              <w:rPr>
                <w:szCs w:val="18"/>
              </w:rPr>
              <w:t xml:space="preserve">$0.68 </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0BF2F6BB" w14:textId="656975C3">
            <w:pPr>
              <w:pStyle w:val="RTableTextAbt"/>
              <w:ind w:right="158"/>
            </w:pPr>
            <w:r>
              <w:rPr>
                <w:szCs w:val="18"/>
              </w:rPr>
              <w:t xml:space="preserve">$0.40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02F02400" w14:textId="0131CA64">
            <w:pPr>
              <w:pStyle w:val="RTableTextAbt"/>
              <w:ind w:right="158"/>
            </w:pPr>
            <w:r>
              <w:rPr>
                <w:color w:val="FF0000"/>
                <w:szCs w:val="18"/>
              </w:rPr>
              <w:t>($0.9)</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51A1D317" w14:textId="79623283">
            <w:pPr>
              <w:pStyle w:val="RTableTextAbt"/>
              <w:ind w:right="158"/>
            </w:pPr>
            <w:r>
              <w:rPr>
                <w:color w:val="FF0000"/>
                <w:szCs w:val="18"/>
              </w:rPr>
              <w:t>($0.4)</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482BF0F3" w14:textId="69DAB1E3">
            <w:pPr>
              <w:pStyle w:val="RTableTextAbt"/>
              <w:ind w:right="158"/>
            </w:pPr>
            <w:r>
              <w:rPr>
                <w:color w:val="FF0000"/>
                <w:szCs w:val="18"/>
              </w:rPr>
              <w:t>($0.6)</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58C771B8" w14:textId="1288E916">
            <w:pPr>
              <w:pStyle w:val="RTableTextAbt"/>
              <w:ind w:right="158"/>
            </w:pPr>
            <w:r>
              <w:rPr>
                <w:color w:val="FF0000"/>
                <w:szCs w:val="18"/>
              </w:rPr>
              <w:t>($0.2)</w:t>
            </w:r>
          </w:p>
        </w:tc>
      </w:tr>
      <w:tr w14:paraId="33503ECD" w14:textId="77777777" w:rsidTr="0064758C">
        <w:tblPrEx>
          <w:tblW w:w="12780" w:type="dxa"/>
          <w:jc w:val="center"/>
          <w:tblLayout w:type="fixed"/>
          <w:tblCellMar>
            <w:left w:w="0" w:type="dxa"/>
            <w:right w:w="58" w:type="dxa"/>
          </w:tblCellMar>
          <w:tblLook w:val="04A0"/>
        </w:tblPrEx>
        <w:trPr>
          <w:jc w:val="center"/>
        </w:trPr>
        <w:tc>
          <w:tcPr>
            <w:tcW w:w="810" w:type="dxa"/>
            <w:tcBorders>
              <w:top w:val="single" w:sz="4" w:space="0" w:color="auto"/>
              <w:left w:val="single" w:sz="4" w:space="0" w:color="auto"/>
              <w:bottom w:val="single" w:sz="4" w:space="0" w:color="auto"/>
              <w:right w:val="single" w:sz="4" w:space="0" w:color="auto"/>
            </w:tcBorders>
            <w:shd w:val="clear" w:color="000000" w:fill="FFFFFF"/>
            <w:tcMar>
              <w:left w:w="58" w:type="dxa"/>
            </w:tcMar>
            <w:vAlign w:val="center"/>
          </w:tcPr>
          <w:p w:rsidR="002D2178" w:rsidRPr="00B56426" w:rsidP="002D2178" w14:paraId="3ABDA1EE" w14:textId="18B1F08B">
            <w:pPr>
              <w:pStyle w:val="LTableTextAbt"/>
              <w:jc w:val="center"/>
            </w:pPr>
            <w:r>
              <w:rPr>
                <w:szCs w:val="18"/>
              </w:rPr>
              <w:t>14</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7F5DAD3E" w14:textId="7D65B6C5">
            <w:pPr>
              <w:pStyle w:val="RTableTextAbt"/>
              <w:ind w:right="158"/>
            </w:pPr>
            <w:r>
              <w:rPr>
                <w:szCs w:val="18"/>
              </w:rPr>
              <w:t xml:space="preserve">$1.2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47CC1AE2" w14:textId="609DFCE9">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17F9E9C6" w14:textId="27FC6E15">
            <w:pPr>
              <w:pStyle w:val="RTableTextAbt"/>
              <w:ind w:right="158"/>
            </w:pPr>
            <w:r>
              <w:rPr>
                <w:szCs w:val="18"/>
              </w:rPr>
              <w:t xml:space="preserve">$1.3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698A2140" w14:textId="42219F33">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732A89A9" w14:textId="48F5F9A3">
            <w:pPr>
              <w:pStyle w:val="RTableTextAbt"/>
              <w:ind w:right="158"/>
            </w:pPr>
            <w:r>
              <w:rPr>
                <w:szCs w:val="18"/>
              </w:rPr>
              <w:t xml:space="preserve">$0.29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41F00A70" w14:textId="2716ADE9">
            <w:pPr>
              <w:pStyle w:val="RTableTextAbt"/>
              <w:ind w:right="158"/>
            </w:pPr>
            <w:r>
              <w:rPr>
                <w:szCs w:val="18"/>
              </w:rPr>
              <w:t xml:space="preserve">$0.18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30CD2FD9" w14:textId="0F97C395">
            <w:pPr>
              <w:pStyle w:val="RTableTextAbt"/>
              <w:ind w:right="158"/>
            </w:pPr>
            <w:r>
              <w:rPr>
                <w:szCs w:val="18"/>
              </w:rPr>
              <w:t xml:space="preserve">$0.68 </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4AB16469" w14:textId="70658DB6">
            <w:pPr>
              <w:pStyle w:val="RTableTextAbt"/>
              <w:ind w:right="158"/>
            </w:pPr>
            <w:r>
              <w:rPr>
                <w:szCs w:val="18"/>
              </w:rPr>
              <w:t xml:space="preserve">$0.40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1265DC0D" w14:textId="5BC00378">
            <w:pPr>
              <w:pStyle w:val="RTableTextAbt"/>
              <w:ind w:right="158"/>
            </w:pPr>
            <w:r>
              <w:rPr>
                <w:color w:val="FF0000"/>
                <w:szCs w:val="18"/>
              </w:rPr>
              <w:t>($0.9)</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68B79245" w14:textId="11B76933">
            <w:pPr>
              <w:pStyle w:val="RTableTextAbt"/>
              <w:ind w:right="158"/>
            </w:pPr>
            <w:r>
              <w:rPr>
                <w:color w:val="FF0000"/>
                <w:szCs w:val="18"/>
              </w:rPr>
              <w:t>($0.4)</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65736011" w14:textId="225A3AC2">
            <w:pPr>
              <w:pStyle w:val="RTableTextAbt"/>
              <w:ind w:right="158"/>
            </w:pPr>
            <w:r>
              <w:rPr>
                <w:color w:val="FF0000"/>
                <w:szCs w:val="18"/>
              </w:rPr>
              <w:t>($0.6)</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163967CF" w14:textId="095F30A4">
            <w:pPr>
              <w:pStyle w:val="RTableTextAbt"/>
              <w:ind w:right="158"/>
            </w:pPr>
            <w:r>
              <w:rPr>
                <w:color w:val="FF0000"/>
                <w:szCs w:val="18"/>
              </w:rPr>
              <w:t>($0.2)</w:t>
            </w:r>
          </w:p>
        </w:tc>
      </w:tr>
      <w:tr w14:paraId="78AD318E" w14:textId="77777777" w:rsidTr="0064758C">
        <w:tblPrEx>
          <w:tblW w:w="12780" w:type="dxa"/>
          <w:jc w:val="center"/>
          <w:tblLayout w:type="fixed"/>
          <w:tblCellMar>
            <w:left w:w="0" w:type="dxa"/>
            <w:right w:w="58" w:type="dxa"/>
          </w:tblCellMar>
          <w:tblLook w:val="04A0"/>
        </w:tblPrEx>
        <w:trPr>
          <w:jc w:val="center"/>
        </w:trPr>
        <w:tc>
          <w:tcPr>
            <w:tcW w:w="810" w:type="dxa"/>
            <w:tcBorders>
              <w:top w:val="single" w:sz="4" w:space="0" w:color="auto"/>
              <w:left w:val="single" w:sz="4" w:space="0" w:color="auto"/>
              <w:bottom w:val="single" w:sz="4" w:space="0" w:color="auto"/>
              <w:right w:val="single" w:sz="4" w:space="0" w:color="auto"/>
            </w:tcBorders>
            <w:shd w:val="clear" w:color="000000" w:fill="FFFFFF"/>
            <w:tcMar>
              <w:left w:w="58" w:type="dxa"/>
            </w:tcMar>
            <w:vAlign w:val="center"/>
          </w:tcPr>
          <w:p w:rsidR="002D2178" w:rsidRPr="00B56426" w:rsidP="002D2178" w14:paraId="288606B5" w14:textId="42EC108E">
            <w:pPr>
              <w:pStyle w:val="LTableTextAbt"/>
              <w:jc w:val="center"/>
            </w:pPr>
            <w:r>
              <w:rPr>
                <w:szCs w:val="18"/>
              </w:rPr>
              <w:t>15</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1ABBD00C" w14:textId="754400C8">
            <w:pPr>
              <w:pStyle w:val="RTableTextAbt"/>
              <w:ind w:right="158"/>
            </w:pPr>
            <w:r>
              <w:rPr>
                <w:szCs w:val="18"/>
              </w:rPr>
              <w:t xml:space="preserve">$1.2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322923EB" w14:textId="01630F50">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D2178" w:rsidRPr="00B56426" w:rsidP="002D2178" w14:paraId="38BC0520" w14:textId="504F0F62">
            <w:pPr>
              <w:pStyle w:val="RTableTextAbt"/>
              <w:ind w:right="158"/>
            </w:pPr>
            <w:r>
              <w:rPr>
                <w:szCs w:val="18"/>
              </w:rPr>
              <w:t xml:space="preserve">$1.3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201D7F62" w14:textId="4CDEF9C2">
            <w:pPr>
              <w:pStyle w:val="RTableTextAbt"/>
              <w:ind w:right="158"/>
            </w:pPr>
            <w:r>
              <w:rPr>
                <w:szCs w:val="18"/>
              </w:rPr>
              <w:t xml:space="preserve">$0.6 </w:t>
            </w:r>
          </w:p>
        </w:tc>
        <w:tc>
          <w:tcPr>
            <w:tcW w:w="997"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26AC9584" w14:textId="74F6C73C">
            <w:pPr>
              <w:pStyle w:val="RTableTextAbt"/>
              <w:ind w:right="158"/>
            </w:pPr>
            <w:r>
              <w:rPr>
                <w:szCs w:val="18"/>
              </w:rPr>
              <w:t xml:space="preserve">$0.29 </w:t>
            </w:r>
          </w:p>
        </w:tc>
        <w:tc>
          <w:tcPr>
            <w:tcW w:w="998"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center"/>
          </w:tcPr>
          <w:p w:rsidR="002D2178" w:rsidRPr="00B56426" w:rsidP="002D2178" w14:paraId="45F0A44C" w14:textId="3354AECD">
            <w:pPr>
              <w:pStyle w:val="RTableTextAbt"/>
              <w:ind w:right="158"/>
            </w:pPr>
            <w:r>
              <w:rPr>
                <w:szCs w:val="18"/>
              </w:rPr>
              <w:t xml:space="preserve">$0.18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3BDBCC0E" w14:textId="1668CCC7">
            <w:pPr>
              <w:pStyle w:val="RTableTextAbt"/>
              <w:ind w:right="158"/>
            </w:pPr>
            <w:r>
              <w:rPr>
                <w:szCs w:val="18"/>
              </w:rPr>
              <w:t xml:space="preserve">$0.68 </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7A3003C2" w14:textId="785DC4C6">
            <w:pPr>
              <w:pStyle w:val="RTableTextAbt"/>
              <w:ind w:right="158"/>
            </w:pPr>
            <w:r>
              <w:rPr>
                <w:szCs w:val="18"/>
              </w:rPr>
              <w:t xml:space="preserve">$0.40 </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1F0D1F0B" w14:textId="43EC46DD">
            <w:pPr>
              <w:pStyle w:val="RTableTextAbt"/>
              <w:ind w:right="158"/>
            </w:pPr>
            <w:r>
              <w:rPr>
                <w:color w:val="FF0000"/>
                <w:szCs w:val="18"/>
              </w:rPr>
              <w:t>($0.9)</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556C9C52" w14:textId="4B724F0C">
            <w:pPr>
              <w:pStyle w:val="RTableTextAbt"/>
              <w:ind w:right="158"/>
            </w:pPr>
            <w:r>
              <w:rPr>
                <w:color w:val="FF0000"/>
                <w:szCs w:val="18"/>
              </w:rPr>
              <w:t>($0.4)</w:t>
            </w:r>
          </w:p>
        </w:tc>
        <w:tc>
          <w:tcPr>
            <w:tcW w:w="997"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42B5DFE3" w14:textId="2EB62459">
            <w:pPr>
              <w:pStyle w:val="RTableTextAbt"/>
              <w:ind w:right="158"/>
            </w:pPr>
            <w:r>
              <w:rPr>
                <w:color w:val="FF0000"/>
                <w:szCs w:val="18"/>
              </w:rPr>
              <w:t>($0.6)</w:t>
            </w:r>
          </w:p>
        </w:tc>
        <w:tc>
          <w:tcPr>
            <w:tcW w:w="998" w:type="dxa"/>
            <w:tcBorders>
              <w:top w:val="single" w:sz="4" w:space="0" w:color="auto"/>
              <w:left w:val="nil"/>
              <w:bottom w:val="single" w:sz="4" w:space="0" w:color="auto"/>
              <w:right w:val="single" w:sz="4" w:space="0" w:color="auto"/>
            </w:tcBorders>
            <w:shd w:val="clear" w:color="auto" w:fill="auto"/>
            <w:tcMar>
              <w:right w:w="29" w:type="dxa"/>
            </w:tcMar>
            <w:vAlign w:val="center"/>
          </w:tcPr>
          <w:p w:rsidR="002D2178" w:rsidRPr="00B56426" w:rsidP="002D2178" w14:paraId="565AE918" w14:textId="54424C36">
            <w:pPr>
              <w:pStyle w:val="RTableTextAbt"/>
              <w:ind w:right="158"/>
            </w:pPr>
            <w:r>
              <w:rPr>
                <w:color w:val="FF0000"/>
                <w:szCs w:val="18"/>
              </w:rPr>
              <w:t>($0.2)</w:t>
            </w:r>
          </w:p>
        </w:tc>
      </w:tr>
    </w:tbl>
    <w:p w:rsidR="00C6047A" w:rsidP="00B133DA" w14:paraId="1C273783" w14:textId="77777777">
      <w:pPr>
        <w:pStyle w:val="BodyText"/>
        <w:rPr>
          <w:highlight w:val="yellow"/>
          <w:lang w:val="en-US"/>
        </w:rPr>
        <w:sectPr w:rsidSect="00E57B53">
          <w:pgSz w:w="15840" w:h="12240" w:orient="landscape" w:code="1"/>
          <w:pgMar w:top="1440" w:right="1440" w:bottom="1440" w:left="1440" w:header="1080" w:footer="720" w:gutter="0"/>
          <w:pgNumType w:chapStyle="1"/>
          <w:cols w:space="720"/>
          <w:docGrid w:linePitch="360"/>
        </w:sectPr>
      </w:pPr>
    </w:p>
    <w:p w:rsidR="00C40B57" w:rsidRPr="00B56426" w:rsidP="00503B52" w14:paraId="399648BA" w14:textId="7A1FC663">
      <w:pPr>
        <w:pStyle w:val="Heading1"/>
      </w:pPr>
      <w:bookmarkStart w:id="312" w:name="_Ref106195209"/>
      <w:bookmarkStart w:id="313" w:name="_Toc184299528"/>
      <w:r>
        <w:t>E</w:t>
      </w:r>
      <w:r w:rsidRPr="00B56426" w:rsidR="002E248D">
        <w:t>conomic Impact Analyses</w:t>
      </w:r>
      <w:bookmarkEnd w:id="301"/>
      <w:bookmarkEnd w:id="302"/>
      <w:bookmarkEnd w:id="312"/>
      <w:bookmarkEnd w:id="313"/>
    </w:p>
    <w:p w:rsidR="00D34C47" w:rsidRPr="00B56426" w:rsidP="00832749" w14:paraId="5570EBF0" w14:textId="01904F45">
      <w:pPr>
        <w:pStyle w:val="BodyText"/>
      </w:pPr>
      <w:r w:rsidRPr="00B56426">
        <w:t>In addition to the cost analysis presented in Chapter</w:t>
      </w:r>
      <w:r w:rsidRPr="00B56426" w:rsidR="004E0888">
        <w:t xml:space="preserve"> </w:t>
      </w:r>
      <w:r w:rsidRPr="00B56426" w:rsidR="004E0888">
        <w:fldChar w:fldCharType="begin" w:fldLock="1"/>
      </w:r>
      <w:r w:rsidRPr="00B56426" w:rsidR="004E0888">
        <w:instrText xml:space="preserve"> REF _Ref30142408 \r \h </w:instrText>
      </w:r>
      <w:r w:rsidRPr="00B56426" w:rsidR="0065459D">
        <w:instrText xml:space="preserve"> \* MERGEFORMAT </w:instrText>
      </w:r>
      <w:r w:rsidRPr="00B56426" w:rsidR="004E0888">
        <w:fldChar w:fldCharType="separate"/>
      </w:r>
      <w:r w:rsidR="00735BBC">
        <w:t>4</w:t>
      </w:r>
      <w:r w:rsidRPr="00B56426" w:rsidR="004E0888">
        <w:fldChar w:fldCharType="end"/>
      </w:r>
      <w:r w:rsidRPr="00B56426">
        <w:t xml:space="preserve">, several other types of impacts are important to consider in evaluating the effects of a regulation. This chapter presents the incremental impact of the rule on: </w:t>
      </w:r>
    </w:p>
    <w:p w:rsidR="00D34C47" w:rsidRPr="00B56426" w:rsidP="00D34C47" w14:paraId="6818289B" w14:textId="15CDD5F4">
      <w:pPr>
        <w:pStyle w:val="BulletListAbt"/>
      </w:pPr>
      <w:r w:rsidRPr="00B56426">
        <w:t xml:space="preserve">The environmental health risk or safety risk to children due to the regulation, as required by Executive Order 13045–Protection of Children from Environmental Health &amp; Safety Risks (Section </w:t>
      </w:r>
      <w:r w:rsidRPr="00B56426" w:rsidR="00957CB1">
        <w:fldChar w:fldCharType="begin" w:fldLock="1"/>
      </w:r>
      <w:r w:rsidRPr="00B56426" w:rsidR="00957CB1">
        <w:instrText xml:space="preserve"> REF _Ref70584129 \r \h </w:instrText>
      </w:r>
      <w:r w:rsidRPr="00B56426" w:rsidR="0065459D">
        <w:instrText xml:space="preserve"> \* MERGEFORMAT </w:instrText>
      </w:r>
      <w:r w:rsidRPr="00B56426" w:rsidR="00957CB1">
        <w:fldChar w:fldCharType="separate"/>
      </w:r>
      <w:r w:rsidR="00735BBC">
        <w:t>7.1</w:t>
      </w:r>
      <w:r w:rsidRPr="00B56426" w:rsidR="00957CB1">
        <w:fldChar w:fldCharType="end"/>
      </w:r>
      <w:r w:rsidRPr="00B56426">
        <w:t>);</w:t>
      </w:r>
    </w:p>
    <w:p w:rsidR="00D34C47" w:rsidRPr="00B56426" w:rsidP="00D34C47" w14:paraId="01DABB06" w14:textId="4DE1DB01">
      <w:pPr>
        <w:pStyle w:val="BulletListAbt"/>
      </w:pPr>
      <w:r w:rsidRPr="00B56426">
        <w:t xml:space="preserve">Small Entities, as required by the Regulatory Flexibility Act (RFA) of 1980, amended by the Small Business Regulatory Enforcement Fairness Act (SBREFA) of 1996 (Section </w:t>
      </w:r>
      <w:r w:rsidRPr="00B56426" w:rsidR="00957CB1">
        <w:fldChar w:fldCharType="begin" w:fldLock="1"/>
      </w:r>
      <w:r w:rsidRPr="00B56426" w:rsidR="00957CB1">
        <w:instrText xml:space="preserve"> REF _Ref106033505 \r \h </w:instrText>
      </w:r>
      <w:r w:rsidRPr="00B56426" w:rsidR="0065459D">
        <w:instrText xml:space="preserve"> \* MERGEFORMAT </w:instrText>
      </w:r>
      <w:r w:rsidRPr="00B56426" w:rsidR="00957CB1">
        <w:fldChar w:fldCharType="separate"/>
      </w:r>
      <w:r w:rsidR="00735BBC">
        <w:t>7.2</w:t>
      </w:r>
      <w:r w:rsidRPr="00B56426" w:rsidR="00957CB1">
        <w:fldChar w:fldCharType="end"/>
      </w:r>
      <w:r w:rsidRPr="00B56426">
        <w:t>);</w:t>
      </w:r>
    </w:p>
    <w:p w:rsidR="00D34C47" w:rsidRPr="00B56426" w:rsidP="00D34C47" w14:paraId="3F457A32" w14:textId="25579089">
      <w:pPr>
        <w:pStyle w:val="BulletListAbt"/>
      </w:pPr>
      <w:r w:rsidRPr="00B56426">
        <w:t>Employment Impact Analysis (Section</w:t>
      </w:r>
      <w:r w:rsidRPr="00B56426" w:rsidR="00A8364B">
        <w:t xml:space="preserve"> </w:t>
      </w:r>
      <w:r w:rsidRPr="00B56426" w:rsidR="00A8364B">
        <w:fldChar w:fldCharType="begin" w:fldLock="1"/>
      </w:r>
      <w:r w:rsidRPr="00B56426" w:rsidR="00A8364B">
        <w:instrText xml:space="preserve"> REF _Ref106033531 \r \h </w:instrText>
      </w:r>
      <w:r w:rsidRPr="00B56426" w:rsidR="0065459D">
        <w:instrText xml:space="preserve"> \* MERGEFORMAT </w:instrText>
      </w:r>
      <w:r w:rsidRPr="00B56426" w:rsidR="00A8364B">
        <w:fldChar w:fldCharType="separate"/>
      </w:r>
      <w:r w:rsidR="00735BBC">
        <w:t>7.3</w:t>
      </w:r>
      <w:r w:rsidRPr="00B56426" w:rsidR="00A8364B">
        <w:fldChar w:fldCharType="end"/>
      </w:r>
      <w:r w:rsidRPr="00B56426">
        <w:t>);</w:t>
      </w:r>
    </w:p>
    <w:p w:rsidR="00D34C47" w:rsidRPr="00B56426" w:rsidP="00D34C47" w14:paraId="676D9FAA" w14:textId="4C1D4002">
      <w:pPr>
        <w:pStyle w:val="BulletListAbt"/>
      </w:pPr>
      <w:r w:rsidRPr="00B56426">
        <w:t xml:space="preserve">Paperwork burden, as required by the Paperwork Reduction Act (Section </w:t>
      </w:r>
      <w:r w:rsidRPr="00B56426" w:rsidR="00A8364B">
        <w:fldChar w:fldCharType="begin" w:fldLock="1"/>
      </w:r>
      <w:r w:rsidRPr="00B56426" w:rsidR="00A8364B">
        <w:instrText xml:space="preserve"> REF _Ref106033538 \r \h </w:instrText>
      </w:r>
      <w:r w:rsidRPr="00B56426" w:rsidR="0065459D">
        <w:instrText xml:space="preserve"> \* MERGEFORMAT </w:instrText>
      </w:r>
      <w:r w:rsidRPr="00B56426" w:rsidR="00A8364B">
        <w:fldChar w:fldCharType="separate"/>
      </w:r>
      <w:r w:rsidR="00735BBC">
        <w:t>7.4</w:t>
      </w:r>
      <w:r w:rsidRPr="00B56426" w:rsidR="00A8364B">
        <w:fldChar w:fldCharType="end"/>
      </w:r>
      <w:r w:rsidRPr="00B56426">
        <w:t>);</w:t>
      </w:r>
    </w:p>
    <w:p w:rsidR="00D34C47" w:rsidRPr="00B56426" w:rsidP="00D34C47" w14:paraId="739322E2" w14:textId="7C09EE43">
      <w:pPr>
        <w:pStyle w:val="BulletListAbt"/>
      </w:pPr>
      <w:r w:rsidRPr="00B56426">
        <w:t xml:space="preserve">State and Local Governments, as required by the Unfunded Mandates Reform Act (Section </w:t>
      </w:r>
      <w:r w:rsidRPr="00B56426" w:rsidR="00A8364B">
        <w:fldChar w:fldCharType="begin" w:fldLock="1"/>
      </w:r>
      <w:r w:rsidRPr="00B56426" w:rsidR="00A8364B">
        <w:instrText xml:space="preserve"> REF _Ref106033547 \r \h </w:instrText>
      </w:r>
      <w:r w:rsidRPr="00B56426" w:rsidR="0065459D">
        <w:instrText xml:space="preserve"> \* MERGEFORMAT </w:instrText>
      </w:r>
      <w:r w:rsidRPr="00B56426" w:rsidR="00A8364B">
        <w:fldChar w:fldCharType="separate"/>
      </w:r>
      <w:r w:rsidR="00735BBC">
        <w:t>7.5</w:t>
      </w:r>
      <w:r w:rsidRPr="00B56426" w:rsidR="00A8364B">
        <w:fldChar w:fldCharType="end"/>
      </w:r>
      <w:r w:rsidRPr="00B56426">
        <w:t>);</w:t>
      </w:r>
    </w:p>
    <w:p w:rsidR="00D34C47" w:rsidRPr="00B56426" w:rsidP="00D34C47" w14:paraId="6EAE280B" w14:textId="25CC4548">
      <w:pPr>
        <w:pStyle w:val="BulletListAbt"/>
      </w:pPr>
      <w:r w:rsidRPr="00B56426">
        <w:t xml:space="preserve">Environmental Justice, as required by Executive Order 12898–Environmental Justice (Section </w:t>
      </w:r>
      <w:r w:rsidRPr="00B56426" w:rsidR="00A8364B">
        <w:fldChar w:fldCharType="begin" w:fldLock="1"/>
      </w:r>
      <w:r w:rsidRPr="00B56426" w:rsidR="00A8364B">
        <w:instrText xml:space="preserve"> REF _Ref106033558 \r \h </w:instrText>
      </w:r>
      <w:r w:rsidRPr="00B56426" w:rsidR="0065459D">
        <w:instrText xml:space="preserve"> \* MERGEFORMAT </w:instrText>
      </w:r>
      <w:r w:rsidRPr="00B56426" w:rsidR="00A8364B">
        <w:fldChar w:fldCharType="separate"/>
      </w:r>
      <w:r w:rsidR="00735BBC">
        <w:t>7.6</w:t>
      </w:r>
      <w:r w:rsidRPr="00B56426" w:rsidR="00A8364B">
        <w:fldChar w:fldCharType="end"/>
      </w:r>
      <w:r w:rsidRPr="00B56426">
        <w:t>);</w:t>
      </w:r>
    </w:p>
    <w:p w:rsidR="00D34C47" w:rsidRPr="00B56426" w:rsidP="00D34C47" w14:paraId="2A431639" w14:textId="6C068F8A">
      <w:pPr>
        <w:pStyle w:val="BulletListAbt"/>
      </w:pPr>
      <w:r w:rsidRPr="00B56426">
        <w:t>Impacts on Technological Innovation and the National Economy (</w:t>
      </w:r>
      <w:r w:rsidRPr="00B56426" w:rsidR="00A8364B">
        <w:t xml:space="preserve">Section </w:t>
      </w:r>
      <w:r w:rsidRPr="00B56426" w:rsidR="00A8364B">
        <w:fldChar w:fldCharType="begin" w:fldLock="1"/>
      </w:r>
      <w:r w:rsidRPr="00B56426" w:rsidR="00A8364B">
        <w:instrText xml:space="preserve"> REF _Ref106033565 \r \h </w:instrText>
      </w:r>
      <w:r w:rsidRPr="00B56426" w:rsidR="0065459D">
        <w:instrText xml:space="preserve"> \* MERGEFORMAT </w:instrText>
      </w:r>
      <w:r w:rsidRPr="00B56426" w:rsidR="00A8364B">
        <w:fldChar w:fldCharType="separate"/>
      </w:r>
      <w:r w:rsidR="00735BBC">
        <w:t>7.7</w:t>
      </w:r>
      <w:r w:rsidRPr="00B56426" w:rsidR="00A8364B">
        <w:fldChar w:fldCharType="end"/>
      </w:r>
      <w:r w:rsidRPr="00B56426">
        <w:t>);</w:t>
      </w:r>
    </w:p>
    <w:p w:rsidR="00D34C47" w:rsidRPr="00B56426" w:rsidP="00D34C47" w14:paraId="6AB855A8" w14:textId="4E032783">
      <w:pPr>
        <w:pStyle w:val="BulletListAbt"/>
      </w:pPr>
      <w:r w:rsidRPr="00B56426">
        <w:t>Federalism, as required by Executive Order 13132 (Section</w:t>
      </w:r>
      <w:r w:rsidRPr="00B56426" w:rsidR="00A8364B">
        <w:t xml:space="preserve"> </w:t>
      </w:r>
      <w:r w:rsidRPr="00B56426" w:rsidR="00A8364B">
        <w:fldChar w:fldCharType="begin" w:fldLock="1"/>
      </w:r>
      <w:r w:rsidRPr="00B56426" w:rsidR="00A8364B">
        <w:instrText xml:space="preserve"> REF _Ref106033579 \r \h </w:instrText>
      </w:r>
      <w:r w:rsidRPr="00B56426" w:rsidR="0065459D">
        <w:instrText xml:space="preserve"> \* MERGEFORMAT </w:instrText>
      </w:r>
      <w:r w:rsidRPr="00B56426" w:rsidR="00A8364B">
        <w:fldChar w:fldCharType="separate"/>
      </w:r>
      <w:r w:rsidR="00735BBC">
        <w:t>7.8</w:t>
      </w:r>
      <w:r w:rsidRPr="00B56426" w:rsidR="00A8364B">
        <w:fldChar w:fldCharType="end"/>
      </w:r>
      <w:r w:rsidRPr="00B56426">
        <w:t>); and</w:t>
      </w:r>
    </w:p>
    <w:p w:rsidR="00D34C47" w:rsidRPr="00B56426" w:rsidP="00D34C47" w14:paraId="3CBAFCC7" w14:textId="7506406A">
      <w:pPr>
        <w:pStyle w:val="BulletListAbt"/>
      </w:pPr>
      <w:r w:rsidRPr="00B56426">
        <w:t xml:space="preserve">Tribal </w:t>
      </w:r>
      <w:r w:rsidRPr="00B56426" w:rsidR="002F468D">
        <w:t>G</w:t>
      </w:r>
      <w:r w:rsidRPr="00B56426">
        <w:t>overnments, as required by Executive Order 13175 (Section</w:t>
      </w:r>
      <w:r w:rsidRPr="00B56426" w:rsidR="00A8364B">
        <w:t xml:space="preserve"> </w:t>
      </w:r>
      <w:r w:rsidRPr="00B56426" w:rsidR="00A8364B">
        <w:fldChar w:fldCharType="begin" w:fldLock="1"/>
      </w:r>
      <w:r w:rsidRPr="00B56426" w:rsidR="00A8364B">
        <w:instrText xml:space="preserve"> REF _Ref106033585 \r \h </w:instrText>
      </w:r>
      <w:r w:rsidRPr="00B56426" w:rsidR="0065459D">
        <w:instrText xml:space="preserve"> \* MERGEFORMAT </w:instrText>
      </w:r>
      <w:r w:rsidRPr="00B56426" w:rsidR="00A8364B">
        <w:fldChar w:fldCharType="separate"/>
      </w:r>
      <w:r w:rsidR="00735BBC">
        <w:t>7.9</w:t>
      </w:r>
      <w:r w:rsidRPr="00B56426" w:rsidR="00A8364B">
        <w:fldChar w:fldCharType="end"/>
      </w:r>
      <w:r w:rsidRPr="00B56426">
        <w:t>).</w:t>
      </w:r>
    </w:p>
    <w:p w:rsidR="00D34C47" w:rsidRPr="00B56426" w:rsidP="00832749" w14:paraId="6C802399" w14:textId="77777777">
      <w:pPr>
        <w:pStyle w:val="BodyText"/>
      </w:pPr>
    </w:p>
    <w:p w:rsidR="00262FDE" w:rsidRPr="00B56426" w:rsidP="00503B52" w14:paraId="0AE2A576" w14:textId="77777777">
      <w:pPr>
        <w:pStyle w:val="Heading2"/>
      </w:pPr>
      <w:bookmarkStart w:id="314" w:name="_Ref70584129"/>
      <w:bookmarkStart w:id="315" w:name="_Toc99966521"/>
      <w:bookmarkStart w:id="316" w:name="_Toc184299529"/>
      <w:r w:rsidRPr="00B56426">
        <w:t>Protection of Children from Environmental Health Risks and Safety Risks</w:t>
      </w:r>
      <w:bookmarkEnd w:id="314"/>
      <w:bookmarkEnd w:id="315"/>
      <w:bookmarkEnd w:id="316"/>
    </w:p>
    <w:p w:rsidR="00262FDE" w:rsidRPr="00B56426" w:rsidP="00832749" w14:paraId="33F26387" w14:textId="3EF8587C">
      <w:pPr>
        <w:pStyle w:val="BodyText"/>
      </w:pPr>
      <w:r w:rsidRPr="00BD3D2B">
        <w:t xml:space="preserve">Executive Order 13045 applies if the regulatory action is a significant regulatory action under section 3(f)(1) of </w:t>
      </w:r>
      <w:r>
        <w:t xml:space="preserve">Executive Order 12866 </w:t>
      </w:r>
      <w:r w:rsidRPr="00BD3D2B">
        <w:t>and concerns an environmental health risk or safety risk that may disproportionately affect children. Although this action concerns an environmental health risk or safety risk that may disproportionately affect children, it is not subject to Executive Order 13045 because it is not a significant regulatory action under section 3(f)(1) of Executive Order 12866 (costs are less than $200 million).</w:t>
      </w:r>
    </w:p>
    <w:p w:rsidR="009E04B7" w:rsidP="00503B52" w14:paraId="74E10CB4" w14:textId="77777777">
      <w:pPr>
        <w:pStyle w:val="Heading2"/>
      </w:pPr>
      <w:bookmarkStart w:id="317" w:name="_Ref106033505"/>
      <w:bookmarkStart w:id="318" w:name="_Toc184299530"/>
      <w:r w:rsidRPr="00B56426">
        <w:t>Small Entity Impacts</w:t>
      </w:r>
      <w:bookmarkEnd w:id="317"/>
      <w:bookmarkEnd w:id="318"/>
    </w:p>
    <w:p w:rsidR="008A293B" w:rsidRPr="00B56426" w:rsidP="008A293B" w14:paraId="681A5CAB" w14:textId="77777777">
      <w:pPr>
        <w:pStyle w:val="BodyText"/>
      </w:pPr>
      <w:r w:rsidRPr="4A8A1481">
        <w:rPr>
          <w:lang w:val="en-US"/>
        </w:rPr>
        <w:t>The Regulatory Flexibility Act (RFA) of 1980, amended by the Small Business Regulatory Enforcement Fairness Act (SBREFA) of 1996, requires regulators to assess the effects of regulations on small entities including businesses, nonprofit organizations, and governments. In some instances, agencies are also required to examine regulatory alternatives that may reduce adverse economic effects on significantly impacted small entities. The RFA requires agencies to prepare an initial and final regulatory flexibility analysis for each rule unless the Agency certifies that the rule will not have a significant economic impact on a substantial number of small entities. The RFA, however, does not specifically define “a significant economic impact on a substantial number” of small entities. Sections 603 and 604 of the RFA require that regulatory flexibility analyses identify the types and numbers of small entities to which the rule would apply, describe the rule requirements to which small entities would be subject, and describe any regulatory alternatives, including exemptions and deferral, which would lessen the rule’s burden on small entities. Under the Regulatory Flexibility Act (RFA), the definition of a “small business” is determined by the U.S. Small Business Administration’s regulations at 13 CFR 121.201 (which create small business size standards using either a sales or employment threshold, depending on the nature of the industry), unless an agency establishes an alternate definition.</w:t>
      </w:r>
    </w:p>
    <w:p w:rsidR="008A293B" w:rsidRPr="00B56426" w:rsidP="008A293B" w14:paraId="5661EB81" w14:textId="77777777">
      <w:pPr>
        <w:pStyle w:val="BodyText"/>
      </w:pPr>
      <w:bookmarkStart w:id="319" w:name="_Hlk149744545"/>
      <w:r w:rsidRPr="4A8A1481">
        <w:rPr>
          <w:lang w:val="en-US"/>
        </w:rPr>
        <w:t>To fulfill the requirements of the RFA, this analysis addresses two basic questions regarding the rule: (1) the number and type of small entities potentially affected, and (2) the extent of the rule’s potential economic impact on those entities as measured by the cost-to-revenue ratio. This ratio is a good measure of entities’ ability to afford the costs attributable to a regulatory requirement because comparing compliance costs to revenues or expenses provides a reasonable indication of the magnitude of the regulatory burden relative to a commonly available measure of economic activity. Where regulatory costs represent a small fraction of a typical entity’s revenues or expenses, the financial impacts of the regulation on such entities may be considered as not significant.</w:t>
      </w:r>
      <w:bookmarkEnd w:id="319"/>
      <w:r w:rsidRPr="4A8A1481">
        <w:rPr>
          <w:lang w:val="en-US"/>
        </w:rPr>
        <w:t xml:space="preserve"> </w:t>
      </w:r>
    </w:p>
    <w:p w:rsidR="008A293B" w:rsidRPr="00B56426" w:rsidP="008A293B" w14:paraId="05949679" w14:textId="77777777">
      <w:pPr>
        <w:pStyle w:val="Heading3"/>
      </w:pPr>
      <w:bookmarkStart w:id="320" w:name="_Ref105410320"/>
      <w:bookmarkStart w:id="321" w:name="_Toc108020190"/>
      <w:r w:rsidRPr="00B56426">
        <w:t>Estimated Number of Affected Small Entities</w:t>
      </w:r>
      <w:bookmarkEnd w:id="320"/>
      <w:bookmarkEnd w:id="321"/>
    </w:p>
    <w:p w:rsidR="008A293B" w:rsidP="008A293B" w14:paraId="305D54EF" w14:textId="220E2574">
      <w:pPr>
        <w:pStyle w:val="BodyText"/>
        <w:rPr>
          <w:rStyle w:val="TableTextChar"/>
          <w:rFonts w:eastAsiaTheme="minorEastAsia"/>
          <w:sz w:val="20"/>
          <w:lang w:val="en-US"/>
        </w:rPr>
      </w:pPr>
      <w:r w:rsidRPr="67084C41">
        <w:rPr>
          <w:lang w:val="en-US"/>
        </w:rPr>
        <w:t>For use categories where some company names of affected entities were known, data on the NAICS, employment, and revenue for entities with potential impacts was retrieved from the</w:t>
      </w:r>
      <w:r>
        <w:rPr>
          <w:lang w:val="en-US"/>
        </w:rPr>
        <w:t xml:space="preserve"> </w:t>
      </w:r>
      <w:hyperlink w:anchor="_ENREF_15" w:tooltip="Dun &amp; Bradstreet, 2024 #15" w:history="1">
        <w:r w:rsidR="003D6084">
          <w:fldChar w:fldCharType="begin" w:fldLock="1"/>
        </w:r>
        <w:r w:rsidR="003D6084">
          <w:instrText xml:space="preserve"> ADDIN EN.CITE &lt;EndNote&gt;&lt;Cite AuthorYear="1"&gt;&lt;Author&gt;Dun &amp;amp; Bradstreet&lt;/Author&gt;&lt;Year&gt;2024&lt;/Year&gt;&lt;RecNum&gt;15&lt;/RecNum&gt;&lt;DisplayText&gt;Dun &amp;amp; Bradstreet (2024)&lt;/DisplayText&gt;&lt;record&gt;&lt;rec-number&gt;15&lt;/rec-number&gt;&lt;foreign-keys&gt;&lt;key app="EN" db-id="2apzr05radv9fjet2w6xxwdlz5e9vwfxredw" timestamp="1730757315"&gt;15&lt;/key&gt;&lt;/foreign-keys&gt;&lt;ref-type name="Generic"&gt;13&lt;/ref-type&gt;&lt;contributors&gt;&lt;authors&gt;&lt;author&gt;Dun &amp;amp; Bradstreet,, Inc.,&lt;/author&gt;&lt;/authors&gt;&lt;/contributors&gt;&lt;titles&gt;&lt;title&gt;Dun &amp;amp; Bradstreet Hoovers Company Reports. Proprietary Database.&lt;/title&gt;&lt;/titles&gt;&lt;dates&gt;&lt;year&gt;2024&lt;/year&gt;&lt;/dates&gt;&lt;urls&gt;&lt;/urls&gt;&lt;/record&gt;&lt;/Cite&gt;&lt;/EndNote&gt;</w:instrText>
        </w:r>
        <w:r w:rsidR="003D6084">
          <w:fldChar w:fldCharType="separate"/>
        </w:r>
        <w:r w:rsidR="003D6084">
          <w:rPr>
            <w:noProof/>
          </w:rPr>
          <w:t>Dun &amp; Bradstreet (2024)</w:t>
        </w:r>
        <w:r w:rsidR="003D6084">
          <w:fldChar w:fldCharType="end"/>
        </w:r>
      </w:hyperlink>
      <w:r>
        <w:t xml:space="preserve"> data</w:t>
      </w:r>
      <w:r w:rsidRPr="67084C41">
        <w:rPr>
          <w:lang w:val="en-US"/>
        </w:rPr>
        <w:t>. These data were compared against SBA’s small business thresholds (</w:t>
      </w:r>
      <w:hyperlink w:anchor="_ENREF_70" w:tooltip="U.S. Small Business Administration (SBA), 2023 #69" w:history="1">
        <w:r w:rsidR="003D6084">
          <w:fldChar w:fldCharType="begin" w:fldLock="1"/>
        </w:r>
        <w:r w:rsidR="003D6084">
          <w:instrText xml:space="preserve"> ADDIN EN.CITE &lt;EndNote&gt;&lt;Cite ExcludeAuth="1"&gt;&lt;Author&gt;U.S. Small Business Administration (SBA)&lt;/Author&gt;&lt;Year&gt;2023&lt;/Year&gt;&lt;RecNum&gt;69&lt;/RecNum&gt;&lt;Prefix&gt;SBA &lt;/Prefix&gt;&lt;DisplayText&gt;SBA 2023&lt;/DisplayText&gt;&lt;record&gt;&lt;rec-number&gt;69&lt;/rec-number&gt;&lt;foreign-keys&gt;&lt;key app="EN" db-id="2apzr05radv9fjet2w6xxwdlz5e9vwfxredw" timestamp="1730757315"&gt;69&lt;/key&gt;&lt;/foreign-keys&gt;&lt;ref-type name="Generic"&gt;13&lt;/ref-type&gt;&lt;contributors&gt;&lt;authors&gt;&lt;author&gt;U.S. Small Business Administration (SBA),&lt;/author&gt;&lt;/authors&gt;&lt;/contributors&gt;&lt;titles&gt;&lt;title&gt;Table of Size Standards&lt;/title&gt;&lt;/titles&gt;&lt;dates&gt;&lt;year&gt;2023&lt;/year&gt;&lt;/dates&gt;&lt;urls&gt;&lt;related-urls&gt;&lt;url&gt;https://www.sba.gov/document/support-table-size-standards&lt;/url&gt;&lt;/related-urls&gt;&lt;/urls&gt;&lt;/record&gt;&lt;/Cite&gt;&lt;/EndNote&gt;</w:instrText>
        </w:r>
        <w:r w:rsidR="003D6084">
          <w:fldChar w:fldCharType="separate"/>
        </w:r>
        <w:r w:rsidRPr="67084C41" w:rsidR="003D6084">
          <w:rPr>
            <w:noProof/>
            <w:lang w:val="en-US"/>
          </w:rPr>
          <w:t>SBA 2023</w:t>
        </w:r>
        <w:r w:rsidR="003D6084">
          <w:fldChar w:fldCharType="end"/>
        </w:r>
      </w:hyperlink>
      <w:r w:rsidRPr="67084C41">
        <w:rPr>
          <w:lang w:val="en-US"/>
        </w:rPr>
        <w:t xml:space="preserve">) to determine which entities were small. For </w:t>
      </w:r>
      <w:r>
        <w:rPr>
          <w:lang w:val="en-US"/>
        </w:rPr>
        <w:t>other uses</w:t>
      </w:r>
      <w:r w:rsidR="00252CB6">
        <w:rPr>
          <w:lang w:val="en-US"/>
        </w:rPr>
        <w:t xml:space="preserve"> where names of the specific companies are not known, county </w:t>
      </w:r>
      <w:r w:rsidRPr="67084C41">
        <w:rPr>
          <w:lang w:val="en-US"/>
        </w:rPr>
        <w:t xml:space="preserve">business patterns data by </w:t>
      </w:r>
      <w:r w:rsidR="00252CB6">
        <w:rPr>
          <w:lang w:val="en-US"/>
        </w:rPr>
        <w:t xml:space="preserve">employment and </w:t>
      </w:r>
      <w:r w:rsidRPr="67084C41">
        <w:rPr>
          <w:lang w:val="en-US"/>
        </w:rPr>
        <w:t xml:space="preserve">enterprise receipt size is used to estimate the number of small entities. </w:t>
      </w:r>
    </w:p>
    <w:p w:rsidR="008A293B" w:rsidRPr="00FE26C0" w:rsidP="008A293B" w14:paraId="0790186A" w14:textId="77777777">
      <w:pPr>
        <w:pStyle w:val="Heading4"/>
      </w:pPr>
      <w:r w:rsidRPr="00FE26C0">
        <w:t>Industries with Some Known Individual Affected Entities</w:t>
      </w:r>
    </w:p>
    <w:p w:rsidR="008A293B" w:rsidRPr="00DD6A9B" w:rsidP="008A293B" w14:paraId="3976F0F9" w14:textId="2307041B">
      <w:pPr>
        <w:pStyle w:val="BodyText"/>
        <w:rPr>
          <w:lang w:val="en-US"/>
        </w:rPr>
      </w:pPr>
      <w:r>
        <w:fldChar w:fldCharType="begin" w:fldLock="1"/>
      </w:r>
      <w:r>
        <w:instrText xml:space="preserve"> REF _Ref178956355 \h </w:instrText>
      </w:r>
      <w:r>
        <w:fldChar w:fldCharType="separate"/>
      </w:r>
      <w:r w:rsidR="00735BBC">
        <w:t xml:space="preserve">Table </w:t>
      </w:r>
      <w:r w:rsidR="00735BBC">
        <w:rPr>
          <w:noProof/>
        </w:rPr>
        <w:t>7</w:t>
      </w:r>
      <w:r w:rsidR="00735BBC">
        <w:noBreakHyphen/>
      </w:r>
      <w:r w:rsidR="00735BBC">
        <w:rPr>
          <w:noProof/>
        </w:rPr>
        <w:t>1</w:t>
      </w:r>
      <w:r>
        <w:fldChar w:fldCharType="end"/>
      </w:r>
      <w:r>
        <w:t xml:space="preserve"> </w:t>
      </w:r>
      <w:r w:rsidRPr="00B56426">
        <w:t xml:space="preserve">presents the estimated total number of affected entities and the estimated number of affected entities defined as small businesses for the </w:t>
      </w:r>
      <w:r>
        <w:t>industries</w:t>
      </w:r>
      <w:r w:rsidRPr="00B56426">
        <w:t xml:space="preserve"> where </w:t>
      </w:r>
      <w:hyperlink w:anchor="_ENREF_15" w:tooltip="Dun &amp; Bradstreet, 2024 #15" w:history="1">
        <w:r w:rsidR="003D6084">
          <w:fldChar w:fldCharType="begin" w:fldLock="1"/>
        </w:r>
        <w:r w:rsidR="003D6084">
          <w:instrText xml:space="preserve"> ADDIN EN.CITE &lt;EndNote&gt;&lt;Cite AuthorYear="1"&gt;&lt;Author&gt;Dun &amp;amp; Bradstreet&lt;/Author&gt;&lt;Year&gt;2024&lt;/Year&gt;&lt;RecNum&gt;15&lt;/RecNum&gt;&lt;DisplayText&gt;Dun &amp;amp; Bradstreet (2024)&lt;/DisplayText&gt;&lt;record&gt;&lt;rec-number&gt;15&lt;/rec-number&gt;&lt;foreign-keys&gt;&lt;key app="EN" db-id="2apzr05radv9fjet2w6xxwdlz5e9vwfxredw" timestamp="1730757315"&gt;15&lt;/key&gt;&lt;/foreign-keys&gt;&lt;ref-type name="Generic"&gt;13&lt;/ref-type&gt;&lt;contributors&gt;&lt;authors&gt;&lt;author&gt;Dun &amp;amp; Bradstreet,, Inc.,&lt;/author&gt;&lt;/authors&gt;&lt;/contributors&gt;&lt;titles&gt;&lt;title&gt;Dun &amp;amp; Bradstreet Hoovers Company Reports. Proprietary Database.&lt;/title&gt;&lt;/titles&gt;&lt;dates&gt;&lt;year&gt;2024&lt;/year&gt;&lt;/dates&gt;&lt;urls&gt;&lt;/urls&gt;&lt;/record&gt;&lt;/Cite&gt;&lt;/EndNote&gt;</w:instrText>
        </w:r>
        <w:r w:rsidR="003D6084">
          <w:fldChar w:fldCharType="separate"/>
        </w:r>
        <w:r w:rsidR="003D6084">
          <w:rPr>
            <w:noProof/>
          </w:rPr>
          <w:t>Dun &amp; Bradstreet (2024)</w:t>
        </w:r>
        <w:r w:rsidR="003D6084">
          <w:fldChar w:fldCharType="end"/>
        </w:r>
      </w:hyperlink>
      <w:r>
        <w:t xml:space="preserve"> data for known affected entities was used to make the small business determinations.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3"/>
        <w:gridCol w:w="1067"/>
        <w:gridCol w:w="1167"/>
        <w:gridCol w:w="777"/>
        <w:gridCol w:w="2094"/>
        <w:gridCol w:w="1067"/>
        <w:gridCol w:w="1167"/>
        <w:gridCol w:w="698"/>
      </w:tblGrid>
      <w:tr w14:paraId="685732DD" w14:textId="77777777" w:rsidTr="00CA046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0"/>
        </w:trPr>
        <w:tc>
          <w:tcPr>
            <w:tcW w:w="5000" w:type="pct"/>
            <w:gridSpan w:val="8"/>
            <w:tcBorders>
              <w:top w:val="nil"/>
              <w:left w:val="nil"/>
              <w:bottom w:val="single" w:sz="4" w:space="0" w:color="auto"/>
              <w:right w:val="nil"/>
            </w:tcBorders>
            <w:shd w:val="clear" w:color="auto" w:fill="auto"/>
            <w:vAlign w:val="center"/>
          </w:tcPr>
          <w:p w:rsidR="008A293B" w:rsidP="00CA0464" w14:paraId="2307410C" w14:textId="1950AAD2">
            <w:pPr>
              <w:pStyle w:val="TableTitleA"/>
            </w:pPr>
            <w:bookmarkStart w:id="322" w:name="_Ref178956355"/>
            <w:bookmarkStart w:id="323" w:name="_Toc180769669"/>
            <w:bookmarkStart w:id="324" w:name="_Toc184299597"/>
            <w:r>
              <w:t xml:space="preserve">Table </w:t>
            </w:r>
            <w:r>
              <w:fldChar w:fldCharType="begin" w:fldLock="1"/>
            </w:r>
            <w:r>
              <w:instrText>STYLEREF 1 \s</w:instrText>
            </w:r>
            <w:r>
              <w:fldChar w:fldCharType="separate"/>
            </w:r>
            <w:r w:rsidR="00735BBC">
              <w:rPr>
                <w:noProof/>
              </w:rPr>
              <w:t>7</w:t>
            </w:r>
            <w:r>
              <w:fldChar w:fldCharType="end"/>
            </w:r>
            <w:r>
              <w:noBreakHyphen/>
            </w:r>
            <w:r>
              <w:fldChar w:fldCharType="begin" w:fldLock="1"/>
            </w:r>
            <w:r>
              <w:instrText>SEQ Table \* ARABIC \s 1</w:instrText>
            </w:r>
            <w:r>
              <w:fldChar w:fldCharType="separate"/>
            </w:r>
            <w:r w:rsidR="00735BBC">
              <w:rPr>
                <w:noProof/>
              </w:rPr>
              <w:t>1</w:t>
            </w:r>
            <w:r>
              <w:fldChar w:fldCharType="end"/>
            </w:r>
            <w:bookmarkEnd w:id="322"/>
            <w:r>
              <w:t>: Data for Identifying Small Entities for Known Facilities Affected by the Proposed Regulation</w:t>
            </w:r>
            <w:bookmarkEnd w:id="323"/>
            <w:bookmarkEnd w:id="324"/>
          </w:p>
        </w:tc>
      </w:tr>
      <w:tr w14:paraId="0E8729C4" w14:textId="77777777" w:rsidTr="00DC4841">
        <w:tblPrEx>
          <w:tblW w:w="5000" w:type="pct"/>
          <w:tblLook w:val="04A0"/>
        </w:tblPrEx>
        <w:trPr>
          <w:trHeight w:val="280"/>
        </w:trPr>
        <w:tc>
          <w:tcPr>
            <w:tcW w:w="3434" w:type="pct"/>
            <w:gridSpan w:val="5"/>
            <w:tcBorders>
              <w:top w:val="single" w:sz="4" w:space="0" w:color="auto"/>
            </w:tcBorders>
            <w:shd w:val="clear" w:color="auto" w:fill="013E5B"/>
            <w:vAlign w:val="center"/>
          </w:tcPr>
          <w:p w:rsidR="008A293B" w:rsidRPr="005D7C3F" w:rsidP="00CA0464" w14:paraId="74472964" w14:textId="77777777">
            <w:pPr>
              <w:pStyle w:val="TableSubtitle"/>
              <w:rPr>
                <w:vertAlign w:val="superscript"/>
              </w:rPr>
            </w:pPr>
            <w:r>
              <w:t>Parent Company</w:t>
            </w:r>
            <w:r>
              <w:rPr>
                <w:vertAlign w:val="superscript"/>
              </w:rPr>
              <w:t xml:space="preserve"> a</w:t>
            </w:r>
          </w:p>
        </w:tc>
        <w:tc>
          <w:tcPr>
            <w:tcW w:w="1193" w:type="pct"/>
            <w:gridSpan w:val="2"/>
            <w:tcBorders>
              <w:top w:val="single" w:sz="4" w:space="0" w:color="auto"/>
            </w:tcBorders>
            <w:shd w:val="clear" w:color="auto" w:fill="013E5B"/>
            <w:vAlign w:val="center"/>
            <w:hideMark/>
          </w:tcPr>
          <w:p w:rsidR="008A293B" w:rsidP="00CA0464" w14:paraId="690BCAC0" w14:textId="77777777">
            <w:pPr>
              <w:pStyle w:val="TableSubtitle"/>
            </w:pPr>
            <w:r>
              <w:t>SBA Threshold</w:t>
            </w:r>
          </w:p>
        </w:tc>
        <w:tc>
          <w:tcPr>
            <w:tcW w:w="372" w:type="pct"/>
            <w:vMerge w:val="restart"/>
            <w:tcBorders>
              <w:top w:val="single" w:sz="4" w:space="0" w:color="auto"/>
            </w:tcBorders>
            <w:shd w:val="clear" w:color="auto" w:fill="013E5B"/>
            <w:vAlign w:val="center"/>
          </w:tcPr>
          <w:p w:rsidR="008A293B" w:rsidP="00CA0464" w14:paraId="046E1779" w14:textId="77777777">
            <w:pPr>
              <w:pStyle w:val="TableSubtitle"/>
            </w:pPr>
            <w:r>
              <w:t>Small</w:t>
            </w:r>
          </w:p>
        </w:tc>
      </w:tr>
      <w:tr w14:paraId="327DCC91" w14:textId="77777777" w:rsidTr="00DC4841">
        <w:tblPrEx>
          <w:tblW w:w="5000" w:type="pct"/>
          <w:tblLook w:val="04A0"/>
        </w:tblPrEx>
        <w:trPr>
          <w:trHeight w:val="300"/>
        </w:trPr>
        <w:tc>
          <w:tcPr>
            <w:tcW w:w="707" w:type="pct"/>
            <w:shd w:val="clear" w:color="auto" w:fill="013E5B"/>
            <w:vAlign w:val="center"/>
            <w:hideMark/>
          </w:tcPr>
          <w:p w:rsidR="008A293B" w:rsidRPr="008362E1" w:rsidP="00CA0464" w14:paraId="725A0F81" w14:textId="77777777">
            <w:pPr>
              <w:pStyle w:val="TableSubtitle"/>
              <w:rPr>
                <w:vertAlign w:val="superscript"/>
              </w:rPr>
            </w:pPr>
            <w:r w:rsidRPr="008362E1">
              <w:t>Name</w:t>
            </w:r>
          </w:p>
        </w:tc>
        <w:tc>
          <w:tcPr>
            <w:tcW w:w="570" w:type="pct"/>
            <w:shd w:val="clear" w:color="auto" w:fill="013E5B"/>
            <w:vAlign w:val="center"/>
            <w:hideMark/>
          </w:tcPr>
          <w:p w:rsidR="008A293B" w:rsidRPr="008362E1" w:rsidP="00CA0464" w14:paraId="0411B6C3" w14:textId="77777777">
            <w:pPr>
              <w:pStyle w:val="TableSubtitle"/>
            </w:pPr>
            <w:r w:rsidRPr="008362E1">
              <w:t>Revenues (millions)</w:t>
            </w:r>
          </w:p>
        </w:tc>
        <w:tc>
          <w:tcPr>
            <w:tcW w:w="623" w:type="pct"/>
            <w:shd w:val="clear" w:color="auto" w:fill="013E5B"/>
            <w:vAlign w:val="center"/>
            <w:hideMark/>
          </w:tcPr>
          <w:p w:rsidR="008A293B" w:rsidRPr="008362E1" w:rsidP="00CA0464" w14:paraId="369D03B9" w14:textId="77777777">
            <w:pPr>
              <w:pStyle w:val="TableSubtitle"/>
            </w:pPr>
            <w:r w:rsidRPr="008362E1">
              <w:t>Employees</w:t>
            </w:r>
          </w:p>
        </w:tc>
        <w:tc>
          <w:tcPr>
            <w:tcW w:w="415" w:type="pct"/>
            <w:shd w:val="clear" w:color="auto" w:fill="013E5B"/>
            <w:vAlign w:val="center"/>
          </w:tcPr>
          <w:p w:rsidR="008A293B" w:rsidRPr="008362E1" w:rsidP="00CA0464" w14:paraId="40A4A27B" w14:textId="77777777">
            <w:pPr>
              <w:pStyle w:val="TableSubtitle"/>
            </w:pPr>
            <w:r w:rsidRPr="008362E1">
              <w:t>NAIC</w:t>
            </w:r>
            <w:r>
              <w:t>S</w:t>
            </w:r>
          </w:p>
        </w:tc>
        <w:tc>
          <w:tcPr>
            <w:tcW w:w="1119" w:type="pct"/>
            <w:shd w:val="clear" w:color="auto" w:fill="013E5B"/>
            <w:vAlign w:val="center"/>
            <w:hideMark/>
          </w:tcPr>
          <w:p w:rsidR="008A293B" w:rsidRPr="008362E1" w:rsidP="00CA0464" w14:paraId="06FA0D19" w14:textId="77777777">
            <w:pPr>
              <w:pStyle w:val="TableSubtitle"/>
            </w:pPr>
            <w:r w:rsidRPr="008362E1">
              <w:t>NAIC</w:t>
            </w:r>
            <w:r>
              <w:t>S Description</w:t>
            </w:r>
          </w:p>
        </w:tc>
        <w:tc>
          <w:tcPr>
            <w:tcW w:w="570" w:type="pct"/>
            <w:shd w:val="clear" w:color="auto" w:fill="013E5B"/>
            <w:vAlign w:val="center"/>
            <w:hideMark/>
          </w:tcPr>
          <w:p w:rsidR="008A293B" w:rsidRPr="008362E1" w:rsidP="00CA0464" w14:paraId="41D52557" w14:textId="77777777">
            <w:pPr>
              <w:pStyle w:val="TableSubtitle"/>
            </w:pPr>
            <w:r w:rsidRPr="008362E1">
              <w:t>Revenues (millions)</w:t>
            </w:r>
          </w:p>
        </w:tc>
        <w:tc>
          <w:tcPr>
            <w:tcW w:w="623" w:type="pct"/>
            <w:shd w:val="clear" w:color="auto" w:fill="013E5B"/>
            <w:vAlign w:val="center"/>
            <w:hideMark/>
          </w:tcPr>
          <w:p w:rsidR="008A293B" w:rsidRPr="008362E1" w:rsidP="00CA0464" w14:paraId="2906495B" w14:textId="77777777">
            <w:pPr>
              <w:pStyle w:val="TableSubtitle"/>
            </w:pPr>
            <w:r w:rsidRPr="008362E1">
              <w:t>Employees</w:t>
            </w:r>
          </w:p>
        </w:tc>
        <w:tc>
          <w:tcPr>
            <w:tcW w:w="372" w:type="pct"/>
            <w:vMerge/>
            <w:shd w:val="clear" w:color="auto" w:fill="013E5B"/>
          </w:tcPr>
          <w:p w:rsidR="008A293B" w:rsidP="00CA0464" w14:paraId="7138FE39" w14:textId="77777777">
            <w:pPr>
              <w:jc w:val="center"/>
              <w:rPr>
                <w:rFonts w:ascii="Aptos" w:hAnsi="Aptos" w:cs="Arial"/>
                <w:b/>
                <w:bCs/>
                <w:color w:val="FFFFFF"/>
                <w:sz w:val="20"/>
              </w:rPr>
            </w:pPr>
          </w:p>
        </w:tc>
      </w:tr>
      <w:tr w14:paraId="0BEE208B" w14:textId="77777777" w:rsidTr="00DC4841">
        <w:tblPrEx>
          <w:tblW w:w="5000" w:type="pct"/>
          <w:tblLook w:val="04A0"/>
        </w:tblPrEx>
        <w:trPr>
          <w:trHeight w:val="432"/>
        </w:trPr>
        <w:tc>
          <w:tcPr>
            <w:tcW w:w="707" w:type="pct"/>
            <w:shd w:val="clear" w:color="auto" w:fill="auto"/>
            <w:vAlign w:val="center"/>
            <w:hideMark/>
          </w:tcPr>
          <w:p w:rsidR="00DC4841" w:rsidP="00DC4841" w14:paraId="1F1D93E5" w14:textId="77777777">
            <w:pPr>
              <w:pStyle w:val="LTableTextAbt"/>
            </w:pPr>
            <w:r>
              <w:t>Axalta Coating Systems Ltd.</w:t>
            </w:r>
          </w:p>
        </w:tc>
        <w:tc>
          <w:tcPr>
            <w:tcW w:w="570" w:type="pct"/>
            <w:shd w:val="clear" w:color="auto" w:fill="auto"/>
            <w:vAlign w:val="center"/>
            <w:hideMark/>
          </w:tcPr>
          <w:p w:rsidR="00DC4841" w:rsidP="00DC4841" w14:paraId="4CBF7B07" w14:textId="77777777">
            <w:pPr>
              <w:pStyle w:val="RTableTextAbt"/>
            </w:pPr>
            <w:r>
              <w:t>$5,180</w:t>
            </w:r>
          </w:p>
        </w:tc>
        <w:tc>
          <w:tcPr>
            <w:tcW w:w="623" w:type="pct"/>
            <w:shd w:val="clear" w:color="auto" w:fill="auto"/>
            <w:vAlign w:val="center"/>
            <w:hideMark/>
          </w:tcPr>
          <w:p w:rsidR="00DC4841" w:rsidP="00DC4841" w14:paraId="68DF9647" w14:textId="77777777">
            <w:pPr>
              <w:pStyle w:val="RTableTextAbt"/>
            </w:pPr>
            <w:r>
              <w:t>13,000</w:t>
            </w:r>
          </w:p>
        </w:tc>
        <w:tc>
          <w:tcPr>
            <w:tcW w:w="415" w:type="pct"/>
            <w:vAlign w:val="center"/>
          </w:tcPr>
          <w:p w:rsidR="00DC4841" w:rsidP="00DC4841" w14:paraId="649520B8" w14:textId="77777777">
            <w:pPr>
              <w:pStyle w:val="RTableTextAbt"/>
            </w:pPr>
            <w:r>
              <w:t>325510</w:t>
            </w:r>
          </w:p>
        </w:tc>
        <w:tc>
          <w:tcPr>
            <w:tcW w:w="1119" w:type="pct"/>
            <w:shd w:val="clear" w:color="auto" w:fill="auto"/>
            <w:vAlign w:val="center"/>
            <w:hideMark/>
          </w:tcPr>
          <w:p w:rsidR="00DC4841" w:rsidRPr="00EC66EB" w:rsidP="00DC4841" w14:paraId="48152782" w14:textId="6971F0A6">
            <w:pPr>
              <w:pStyle w:val="LTableTextAbt"/>
            </w:pPr>
            <w:r>
              <w:rPr>
                <w:szCs w:val="18"/>
              </w:rPr>
              <w:t>Paint and Coating Manufacturing</w:t>
            </w:r>
          </w:p>
        </w:tc>
        <w:tc>
          <w:tcPr>
            <w:tcW w:w="570" w:type="pct"/>
            <w:shd w:val="clear" w:color="000000" w:fill="FFFFFF"/>
            <w:noWrap/>
            <w:vAlign w:val="center"/>
            <w:hideMark/>
          </w:tcPr>
          <w:p w:rsidR="00DC4841" w:rsidP="00DC4841" w14:paraId="6E9978F2" w14:textId="0FBC9D6B">
            <w:pPr>
              <w:pStyle w:val="CTableTextAbt"/>
            </w:pPr>
            <w:r>
              <w:rPr>
                <w:szCs w:val="18"/>
              </w:rPr>
              <w:t>-</w:t>
            </w:r>
          </w:p>
        </w:tc>
        <w:tc>
          <w:tcPr>
            <w:tcW w:w="623" w:type="pct"/>
            <w:shd w:val="clear" w:color="000000" w:fill="FFFFFF"/>
            <w:noWrap/>
            <w:vAlign w:val="center"/>
            <w:hideMark/>
          </w:tcPr>
          <w:p w:rsidR="00DC4841" w:rsidP="00DC4841" w14:paraId="10C1CA23" w14:textId="78D9DD53">
            <w:pPr>
              <w:pStyle w:val="CTableTextAbt"/>
            </w:pPr>
            <w:r>
              <w:rPr>
                <w:szCs w:val="18"/>
              </w:rPr>
              <w:t>1,000</w:t>
            </w:r>
          </w:p>
        </w:tc>
        <w:tc>
          <w:tcPr>
            <w:tcW w:w="372" w:type="pct"/>
            <w:shd w:val="clear" w:color="000000" w:fill="FFFFFF"/>
            <w:vAlign w:val="center"/>
          </w:tcPr>
          <w:p w:rsidR="00DC4841" w:rsidP="00DC4841" w14:paraId="75745BAE" w14:textId="77777777">
            <w:pPr>
              <w:pStyle w:val="CTableTextAbt"/>
            </w:pPr>
            <w:r>
              <w:t>No</w:t>
            </w:r>
          </w:p>
        </w:tc>
      </w:tr>
      <w:tr w14:paraId="68647EA2" w14:textId="77777777" w:rsidTr="00DC4841">
        <w:tblPrEx>
          <w:tblW w:w="5000" w:type="pct"/>
          <w:tblLook w:val="04A0"/>
        </w:tblPrEx>
        <w:trPr>
          <w:trHeight w:val="432"/>
        </w:trPr>
        <w:tc>
          <w:tcPr>
            <w:tcW w:w="707" w:type="pct"/>
            <w:shd w:val="clear" w:color="auto" w:fill="auto"/>
            <w:vAlign w:val="center"/>
            <w:hideMark/>
          </w:tcPr>
          <w:p w:rsidR="00DC4841" w:rsidP="00DC4841" w14:paraId="49633190" w14:textId="77777777">
            <w:pPr>
              <w:pStyle w:val="LTableTextAbt"/>
            </w:pPr>
            <w:r>
              <w:t>PPG Industries, Inc.</w:t>
            </w:r>
          </w:p>
        </w:tc>
        <w:tc>
          <w:tcPr>
            <w:tcW w:w="570" w:type="pct"/>
            <w:shd w:val="clear" w:color="auto" w:fill="auto"/>
            <w:vAlign w:val="center"/>
            <w:hideMark/>
          </w:tcPr>
          <w:p w:rsidR="00DC4841" w:rsidP="00DC4841" w14:paraId="7D713C92" w14:textId="77777777">
            <w:pPr>
              <w:pStyle w:val="RTableTextAbt"/>
            </w:pPr>
            <w:r>
              <w:t>$18,250</w:t>
            </w:r>
          </w:p>
        </w:tc>
        <w:tc>
          <w:tcPr>
            <w:tcW w:w="623" w:type="pct"/>
            <w:shd w:val="clear" w:color="auto" w:fill="auto"/>
            <w:vAlign w:val="center"/>
            <w:hideMark/>
          </w:tcPr>
          <w:p w:rsidR="00DC4841" w:rsidP="00DC4841" w14:paraId="7C2DB661" w14:textId="77777777">
            <w:pPr>
              <w:pStyle w:val="RTableTextAbt"/>
            </w:pPr>
            <w:r>
              <w:t>53,000</w:t>
            </w:r>
          </w:p>
        </w:tc>
        <w:tc>
          <w:tcPr>
            <w:tcW w:w="415" w:type="pct"/>
            <w:vAlign w:val="center"/>
          </w:tcPr>
          <w:p w:rsidR="00DC4841" w:rsidP="00DC4841" w14:paraId="00BAA57F" w14:textId="77777777">
            <w:pPr>
              <w:pStyle w:val="RTableTextAbt"/>
            </w:pPr>
            <w:r>
              <w:t>325510</w:t>
            </w:r>
          </w:p>
        </w:tc>
        <w:tc>
          <w:tcPr>
            <w:tcW w:w="1119" w:type="pct"/>
            <w:shd w:val="clear" w:color="auto" w:fill="auto"/>
            <w:vAlign w:val="center"/>
            <w:hideMark/>
          </w:tcPr>
          <w:p w:rsidR="00DC4841" w:rsidRPr="00EC66EB" w:rsidP="00DC4841" w14:paraId="136BAF2A" w14:textId="582FA9CE">
            <w:pPr>
              <w:pStyle w:val="LTableTextAbt"/>
            </w:pPr>
            <w:r>
              <w:rPr>
                <w:szCs w:val="18"/>
              </w:rPr>
              <w:t>Paint and Coating Manufacturing</w:t>
            </w:r>
          </w:p>
        </w:tc>
        <w:tc>
          <w:tcPr>
            <w:tcW w:w="570" w:type="pct"/>
            <w:shd w:val="clear" w:color="000000" w:fill="FFFFFF"/>
            <w:noWrap/>
            <w:vAlign w:val="center"/>
            <w:hideMark/>
          </w:tcPr>
          <w:p w:rsidR="00DC4841" w:rsidP="00DC4841" w14:paraId="252B9050" w14:textId="7C835C44">
            <w:pPr>
              <w:pStyle w:val="CTableTextAbt"/>
            </w:pPr>
            <w:r>
              <w:rPr>
                <w:szCs w:val="18"/>
              </w:rPr>
              <w:t>-</w:t>
            </w:r>
          </w:p>
        </w:tc>
        <w:tc>
          <w:tcPr>
            <w:tcW w:w="623" w:type="pct"/>
            <w:shd w:val="clear" w:color="000000" w:fill="FFFFFF"/>
            <w:noWrap/>
            <w:vAlign w:val="center"/>
            <w:hideMark/>
          </w:tcPr>
          <w:p w:rsidR="00DC4841" w:rsidP="00DC4841" w14:paraId="134C18EE" w14:textId="43BD399F">
            <w:pPr>
              <w:pStyle w:val="CTableTextAbt"/>
            </w:pPr>
            <w:r>
              <w:rPr>
                <w:szCs w:val="18"/>
              </w:rPr>
              <w:t>1,000</w:t>
            </w:r>
          </w:p>
        </w:tc>
        <w:tc>
          <w:tcPr>
            <w:tcW w:w="372" w:type="pct"/>
            <w:shd w:val="clear" w:color="000000" w:fill="FFFFFF"/>
            <w:vAlign w:val="center"/>
          </w:tcPr>
          <w:p w:rsidR="00DC4841" w:rsidP="00DC4841" w14:paraId="696525B5" w14:textId="77777777">
            <w:pPr>
              <w:pStyle w:val="CTableTextAbt"/>
            </w:pPr>
            <w:r>
              <w:t>No</w:t>
            </w:r>
          </w:p>
        </w:tc>
      </w:tr>
      <w:tr w14:paraId="6467FD45" w14:textId="77777777" w:rsidTr="00DC4841">
        <w:tblPrEx>
          <w:tblW w:w="5000" w:type="pct"/>
          <w:tblLook w:val="04A0"/>
        </w:tblPrEx>
        <w:trPr>
          <w:trHeight w:val="432"/>
        </w:trPr>
        <w:tc>
          <w:tcPr>
            <w:tcW w:w="707" w:type="pct"/>
            <w:shd w:val="clear" w:color="auto" w:fill="auto"/>
            <w:vAlign w:val="center"/>
            <w:hideMark/>
          </w:tcPr>
          <w:p w:rsidR="00DC4841" w:rsidP="00DC4841" w14:paraId="725B0855" w14:textId="77777777">
            <w:pPr>
              <w:pStyle w:val="LTableTextAbt"/>
            </w:pPr>
            <w:r>
              <w:t xml:space="preserve">Sherwin-Williams </w:t>
            </w:r>
          </w:p>
        </w:tc>
        <w:tc>
          <w:tcPr>
            <w:tcW w:w="570" w:type="pct"/>
            <w:shd w:val="clear" w:color="auto" w:fill="auto"/>
            <w:vAlign w:val="center"/>
            <w:hideMark/>
          </w:tcPr>
          <w:p w:rsidR="00DC4841" w:rsidP="00DC4841" w14:paraId="295B8BE8" w14:textId="77777777">
            <w:pPr>
              <w:pStyle w:val="RTableTextAbt"/>
            </w:pPr>
            <w:r>
              <w:t>$23,050</w:t>
            </w:r>
          </w:p>
        </w:tc>
        <w:tc>
          <w:tcPr>
            <w:tcW w:w="623" w:type="pct"/>
            <w:shd w:val="clear" w:color="auto" w:fill="auto"/>
            <w:vAlign w:val="center"/>
            <w:hideMark/>
          </w:tcPr>
          <w:p w:rsidR="00DC4841" w:rsidP="00DC4841" w14:paraId="381313D4" w14:textId="77777777">
            <w:pPr>
              <w:pStyle w:val="RTableTextAbt"/>
            </w:pPr>
            <w:r>
              <w:t>64,088</w:t>
            </w:r>
          </w:p>
        </w:tc>
        <w:tc>
          <w:tcPr>
            <w:tcW w:w="415" w:type="pct"/>
            <w:vAlign w:val="center"/>
          </w:tcPr>
          <w:p w:rsidR="00DC4841" w:rsidP="00DC4841" w14:paraId="4EEC8FF8" w14:textId="77777777">
            <w:pPr>
              <w:pStyle w:val="RTableTextAbt"/>
            </w:pPr>
            <w:r>
              <w:t>325510</w:t>
            </w:r>
          </w:p>
        </w:tc>
        <w:tc>
          <w:tcPr>
            <w:tcW w:w="1119" w:type="pct"/>
            <w:shd w:val="clear" w:color="auto" w:fill="auto"/>
            <w:vAlign w:val="center"/>
            <w:hideMark/>
          </w:tcPr>
          <w:p w:rsidR="00DC4841" w:rsidRPr="00EC66EB" w:rsidP="00DC4841" w14:paraId="645C02C5" w14:textId="50C33706">
            <w:pPr>
              <w:pStyle w:val="LTableTextAbt"/>
            </w:pPr>
            <w:r>
              <w:rPr>
                <w:szCs w:val="18"/>
              </w:rPr>
              <w:t>Paint and Coating Manufacturing</w:t>
            </w:r>
          </w:p>
        </w:tc>
        <w:tc>
          <w:tcPr>
            <w:tcW w:w="570" w:type="pct"/>
            <w:shd w:val="clear" w:color="000000" w:fill="FFFFFF"/>
            <w:noWrap/>
            <w:vAlign w:val="center"/>
            <w:hideMark/>
          </w:tcPr>
          <w:p w:rsidR="00DC4841" w:rsidP="00DC4841" w14:paraId="38E32C10" w14:textId="0DE8C3E9">
            <w:pPr>
              <w:pStyle w:val="CTableTextAbt"/>
            </w:pPr>
            <w:r>
              <w:rPr>
                <w:szCs w:val="18"/>
              </w:rPr>
              <w:t>-</w:t>
            </w:r>
          </w:p>
        </w:tc>
        <w:tc>
          <w:tcPr>
            <w:tcW w:w="623" w:type="pct"/>
            <w:shd w:val="clear" w:color="000000" w:fill="FFFFFF"/>
            <w:noWrap/>
            <w:vAlign w:val="center"/>
            <w:hideMark/>
          </w:tcPr>
          <w:p w:rsidR="00DC4841" w:rsidP="00DC4841" w14:paraId="7E1E3C3F" w14:textId="4EF9E761">
            <w:pPr>
              <w:pStyle w:val="CTableTextAbt"/>
            </w:pPr>
            <w:r>
              <w:rPr>
                <w:szCs w:val="18"/>
              </w:rPr>
              <w:t>1,000</w:t>
            </w:r>
          </w:p>
        </w:tc>
        <w:tc>
          <w:tcPr>
            <w:tcW w:w="372" w:type="pct"/>
            <w:shd w:val="clear" w:color="000000" w:fill="FFFFFF"/>
            <w:vAlign w:val="center"/>
          </w:tcPr>
          <w:p w:rsidR="00DC4841" w:rsidP="00DC4841" w14:paraId="68FA464E" w14:textId="77777777">
            <w:pPr>
              <w:pStyle w:val="CTableTextAbt"/>
            </w:pPr>
            <w:r>
              <w:t>No</w:t>
            </w:r>
          </w:p>
        </w:tc>
      </w:tr>
      <w:tr w14:paraId="4AC3E325" w14:textId="77777777" w:rsidTr="00DC4841">
        <w:tblPrEx>
          <w:tblW w:w="5000" w:type="pct"/>
          <w:tblLook w:val="04A0"/>
        </w:tblPrEx>
        <w:trPr>
          <w:trHeight w:val="432"/>
        </w:trPr>
        <w:tc>
          <w:tcPr>
            <w:tcW w:w="707" w:type="pct"/>
            <w:shd w:val="clear" w:color="auto" w:fill="auto"/>
            <w:vAlign w:val="center"/>
          </w:tcPr>
          <w:p w:rsidR="00DC4841" w:rsidP="00DC4841" w14:paraId="046C1F3B" w14:textId="77777777">
            <w:pPr>
              <w:pStyle w:val="LTableTextAbt"/>
            </w:pPr>
            <w:r>
              <w:t>Kansai Paint Co, Ltd.</w:t>
            </w:r>
          </w:p>
        </w:tc>
        <w:tc>
          <w:tcPr>
            <w:tcW w:w="570" w:type="pct"/>
            <w:shd w:val="clear" w:color="auto" w:fill="auto"/>
            <w:vAlign w:val="center"/>
          </w:tcPr>
          <w:p w:rsidR="00DC4841" w:rsidP="00DC4841" w14:paraId="42F6C1C5" w14:textId="77777777">
            <w:pPr>
              <w:pStyle w:val="RTableTextAbt"/>
            </w:pPr>
            <w:r>
              <w:t>$3,900</w:t>
            </w:r>
          </w:p>
        </w:tc>
        <w:tc>
          <w:tcPr>
            <w:tcW w:w="623" w:type="pct"/>
            <w:shd w:val="clear" w:color="auto" w:fill="auto"/>
            <w:vAlign w:val="center"/>
          </w:tcPr>
          <w:p w:rsidR="00DC4841" w:rsidP="00DC4841" w14:paraId="0F748A45" w14:textId="77777777">
            <w:pPr>
              <w:pStyle w:val="RTableTextAbt"/>
            </w:pPr>
            <w:r>
              <w:t>16,844</w:t>
            </w:r>
          </w:p>
        </w:tc>
        <w:tc>
          <w:tcPr>
            <w:tcW w:w="415" w:type="pct"/>
            <w:vAlign w:val="center"/>
          </w:tcPr>
          <w:p w:rsidR="00DC4841" w:rsidP="00DC4841" w14:paraId="04E93B88" w14:textId="77777777">
            <w:pPr>
              <w:pStyle w:val="RTableTextAbt"/>
            </w:pPr>
            <w:r>
              <w:t>325510</w:t>
            </w:r>
          </w:p>
        </w:tc>
        <w:tc>
          <w:tcPr>
            <w:tcW w:w="1119" w:type="pct"/>
            <w:shd w:val="clear" w:color="auto" w:fill="auto"/>
            <w:vAlign w:val="center"/>
          </w:tcPr>
          <w:p w:rsidR="00DC4841" w:rsidRPr="00EC66EB" w:rsidP="00DC4841" w14:paraId="029D884F" w14:textId="60D4D728">
            <w:pPr>
              <w:pStyle w:val="LTableTextAbt"/>
            </w:pPr>
            <w:r>
              <w:rPr>
                <w:szCs w:val="18"/>
              </w:rPr>
              <w:t>Offices of Other Holding Companies</w:t>
            </w:r>
          </w:p>
        </w:tc>
        <w:tc>
          <w:tcPr>
            <w:tcW w:w="570" w:type="pct"/>
            <w:shd w:val="clear" w:color="000000" w:fill="FFFFFF"/>
            <w:noWrap/>
            <w:vAlign w:val="center"/>
          </w:tcPr>
          <w:p w:rsidR="00DC4841" w:rsidP="00DC4841" w14:paraId="7082DF24" w14:textId="54EE9ABA">
            <w:pPr>
              <w:pStyle w:val="CTableTextAbt"/>
            </w:pPr>
            <w:r>
              <w:rPr>
                <w:szCs w:val="18"/>
              </w:rPr>
              <w:t>$45.5</w:t>
            </w:r>
          </w:p>
        </w:tc>
        <w:tc>
          <w:tcPr>
            <w:tcW w:w="623" w:type="pct"/>
            <w:shd w:val="clear" w:color="000000" w:fill="FFFFFF"/>
            <w:noWrap/>
            <w:vAlign w:val="center"/>
          </w:tcPr>
          <w:p w:rsidR="00DC4841" w:rsidP="00DC4841" w14:paraId="67B75ADE" w14:textId="43E4D01B">
            <w:pPr>
              <w:pStyle w:val="CTableTextAbt"/>
            </w:pPr>
            <w:r>
              <w:rPr>
                <w:szCs w:val="18"/>
              </w:rPr>
              <w:t>-</w:t>
            </w:r>
          </w:p>
        </w:tc>
        <w:tc>
          <w:tcPr>
            <w:tcW w:w="372" w:type="pct"/>
            <w:shd w:val="clear" w:color="000000" w:fill="FFFFFF"/>
            <w:vAlign w:val="center"/>
          </w:tcPr>
          <w:p w:rsidR="00DC4841" w:rsidP="00DC4841" w14:paraId="0025F20F" w14:textId="77777777">
            <w:pPr>
              <w:pStyle w:val="CTableTextAbt"/>
            </w:pPr>
            <w:r>
              <w:t>No</w:t>
            </w:r>
          </w:p>
        </w:tc>
      </w:tr>
      <w:tr w14:paraId="5BE1E93E" w14:textId="77777777" w:rsidTr="00DC4841">
        <w:tblPrEx>
          <w:tblW w:w="5000" w:type="pct"/>
          <w:tblLook w:val="04A0"/>
        </w:tblPrEx>
        <w:trPr>
          <w:trHeight w:val="432"/>
        </w:trPr>
        <w:tc>
          <w:tcPr>
            <w:tcW w:w="707" w:type="pct"/>
            <w:shd w:val="clear" w:color="auto" w:fill="auto"/>
            <w:vAlign w:val="center"/>
          </w:tcPr>
          <w:p w:rsidR="00DC4841" w:rsidP="00DC4841" w14:paraId="57EDD709" w14:textId="77777777">
            <w:pPr>
              <w:pStyle w:val="LTableTextAbt"/>
            </w:pPr>
            <w:r>
              <w:t>Akzo Nobel N.V.</w:t>
            </w:r>
          </w:p>
        </w:tc>
        <w:tc>
          <w:tcPr>
            <w:tcW w:w="570" w:type="pct"/>
            <w:shd w:val="clear" w:color="auto" w:fill="auto"/>
            <w:vAlign w:val="center"/>
          </w:tcPr>
          <w:p w:rsidR="00DC4841" w:rsidP="00DC4841" w14:paraId="5A5F5F44" w14:textId="77777777">
            <w:pPr>
              <w:pStyle w:val="RTableTextAbt"/>
            </w:pPr>
            <w:r>
              <w:t>$11,530</w:t>
            </w:r>
          </w:p>
        </w:tc>
        <w:tc>
          <w:tcPr>
            <w:tcW w:w="623" w:type="pct"/>
            <w:shd w:val="clear" w:color="auto" w:fill="auto"/>
            <w:vAlign w:val="center"/>
          </w:tcPr>
          <w:p w:rsidR="00DC4841" w:rsidP="00DC4841" w14:paraId="17D69C3B" w14:textId="77777777">
            <w:pPr>
              <w:pStyle w:val="RTableTextAbt"/>
            </w:pPr>
            <w:r>
              <w:t>35,100</w:t>
            </w:r>
          </w:p>
        </w:tc>
        <w:tc>
          <w:tcPr>
            <w:tcW w:w="415" w:type="pct"/>
            <w:vAlign w:val="center"/>
          </w:tcPr>
          <w:p w:rsidR="00DC4841" w:rsidP="00DC4841" w14:paraId="1F3445D3" w14:textId="77777777">
            <w:pPr>
              <w:pStyle w:val="RTableTextAbt"/>
            </w:pPr>
            <w:r>
              <w:t>551112</w:t>
            </w:r>
          </w:p>
        </w:tc>
        <w:tc>
          <w:tcPr>
            <w:tcW w:w="1119" w:type="pct"/>
            <w:shd w:val="clear" w:color="auto" w:fill="auto"/>
            <w:vAlign w:val="center"/>
          </w:tcPr>
          <w:p w:rsidR="00DC4841" w:rsidRPr="00EC66EB" w:rsidP="00DC4841" w14:paraId="33676095" w14:textId="5F4D29AA">
            <w:pPr>
              <w:pStyle w:val="LTableTextAbt"/>
            </w:pPr>
            <w:r>
              <w:rPr>
                <w:szCs w:val="18"/>
              </w:rPr>
              <w:t>Paint and Coating Manufacturing</w:t>
            </w:r>
          </w:p>
        </w:tc>
        <w:tc>
          <w:tcPr>
            <w:tcW w:w="570" w:type="pct"/>
            <w:shd w:val="clear" w:color="000000" w:fill="FFFFFF"/>
            <w:noWrap/>
            <w:vAlign w:val="center"/>
          </w:tcPr>
          <w:p w:rsidR="00DC4841" w:rsidP="00DC4841" w14:paraId="1FF0FF0F" w14:textId="0BB1C672">
            <w:pPr>
              <w:pStyle w:val="CTableTextAbt"/>
            </w:pPr>
            <w:r>
              <w:rPr>
                <w:szCs w:val="18"/>
              </w:rPr>
              <w:t>-</w:t>
            </w:r>
          </w:p>
        </w:tc>
        <w:tc>
          <w:tcPr>
            <w:tcW w:w="623" w:type="pct"/>
            <w:shd w:val="clear" w:color="000000" w:fill="FFFFFF"/>
            <w:noWrap/>
            <w:vAlign w:val="center"/>
          </w:tcPr>
          <w:p w:rsidR="00DC4841" w:rsidP="00DC4841" w14:paraId="7B75AE80" w14:textId="089598F4">
            <w:pPr>
              <w:pStyle w:val="CTableTextAbt"/>
            </w:pPr>
            <w:r>
              <w:rPr>
                <w:szCs w:val="18"/>
              </w:rPr>
              <w:t>1,000</w:t>
            </w:r>
          </w:p>
        </w:tc>
        <w:tc>
          <w:tcPr>
            <w:tcW w:w="372" w:type="pct"/>
            <w:shd w:val="clear" w:color="000000" w:fill="FFFFFF"/>
            <w:vAlign w:val="center"/>
          </w:tcPr>
          <w:p w:rsidR="00DC4841" w:rsidP="00DC4841" w14:paraId="6CB44C59" w14:textId="77777777">
            <w:pPr>
              <w:pStyle w:val="CTableTextAbt"/>
            </w:pPr>
            <w:r>
              <w:t>No</w:t>
            </w:r>
          </w:p>
        </w:tc>
      </w:tr>
      <w:tr w14:paraId="256315C4" w14:textId="77777777" w:rsidTr="00DC4841">
        <w:tblPrEx>
          <w:tblW w:w="5000" w:type="pct"/>
          <w:tblLook w:val="04A0"/>
        </w:tblPrEx>
        <w:trPr>
          <w:trHeight w:val="432"/>
        </w:trPr>
        <w:tc>
          <w:tcPr>
            <w:tcW w:w="707" w:type="pct"/>
            <w:shd w:val="clear" w:color="auto" w:fill="auto"/>
            <w:vAlign w:val="center"/>
            <w:hideMark/>
          </w:tcPr>
          <w:p w:rsidR="00DC4841" w:rsidP="00DC4841" w14:paraId="04BDD38F" w14:textId="77777777">
            <w:pPr>
              <w:pStyle w:val="LTableTextAbt"/>
            </w:pPr>
            <w:r>
              <w:t>Wuthelam Holdings Limited</w:t>
            </w:r>
          </w:p>
        </w:tc>
        <w:tc>
          <w:tcPr>
            <w:tcW w:w="570" w:type="pct"/>
            <w:shd w:val="clear" w:color="auto" w:fill="auto"/>
            <w:vAlign w:val="center"/>
            <w:hideMark/>
          </w:tcPr>
          <w:p w:rsidR="00DC4841" w:rsidP="00DC4841" w14:paraId="0169B4DF" w14:textId="77777777">
            <w:pPr>
              <w:pStyle w:val="RTableTextAbt"/>
            </w:pPr>
            <w:r>
              <w:t>$17</w:t>
            </w:r>
          </w:p>
        </w:tc>
        <w:tc>
          <w:tcPr>
            <w:tcW w:w="623" w:type="pct"/>
            <w:shd w:val="clear" w:color="auto" w:fill="auto"/>
            <w:vAlign w:val="center"/>
            <w:hideMark/>
          </w:tcPr>
          <w:p w:rsidR="00DC4841" w:rsidP="00DC4841" w14:paraId="4F4C9106" w14:textId="77777777">
            <w:pPr>
              <w:pStyle w:val="RTableTextAbt"/>
            </w:pPr>
            <w:r>
              <w:t>35,000</w:t>
            </w:r>
          </w:p>
        </w:tc>
        <w:tc>
          <w:tcPr>
            <w:tcW w:w="415" w:type="pct"/>
            <w:vAlign w:val="center"/>
          </w:tcPr>
          <w:p w:rsidR="00DC4841" w:rsidP="00DC4841" w14:paraId="47646DFE" w14:textId="77777777">
            <w:pPr>
              <w:pStyle w:val="RTableTextAbt"/>
            </w:pPr>
            <w:r>
              <w:t>424950</w:t>
            </w:r>
          </w:p>
        </w:tc>
        <w:tc>
          <w:tcPr>
            <w:tcW w:w="1119" w:type="pct"/>
            <w:shd w:val="clear" w:color="auto" w:fill="auto"/>
            <w:vAlign w:val="center"/>
            <w:hideMark/>
          </w:tcPr>
          <w:p w:rsidR="00DC4841" w:rsidRPr="00EC66EB" w:rsidP="00DC4841" w14:paraId="72DC9445" w14:textId="6100B07C">
            <w:pPr>
              <w:pStyle w:val="LTableTextAbt"/>
            </w:pPr>
            <w:r>
              <w:rPr>
                <w:szCs w:val="18"/>
              </w:rPr>
              <w:t>Paint, Varnish, and Supplies Merchant Wholesalers</w:t>
            </w:r>
          </w:p>
        </w:tc>
        <w:tc>
          <w:tcPr>
            <w:tcW w:w="570" w:type="pct"/>
            <w:shd w:val="clear" w:color="000000" w:fill="FFFFFF"/>
            <w:noWrap/>
            <w:vAlign w:val="center"/>
            <w:hideMark/>
          </w:tcPr>
          <w:p w:rsidR="00DC4841" w:rsidP="00DC4841" w14:paraId="13310398" w14:textId="1E75D8F6">
            <w:pPr>
              <w:pStyle w:val="CTableTextAbt"/>
            </w:pPr>
            <w:r>
              <w:rPr>
                <w:szCs w:val="18"/>
              </w:rPr>
              <w:t>-</w:t>
            </w:r>
          </w:p>
        </w:tc>
        <w:tc>
          <w:tcPr>
            <w:tcW w:w="623" w:type="pct"/>
            <w:shd w:val="clear" w:color="000000" w:fill="FFFFFF"/>
            <w:noWrap/>
            <w:vAlign w:val="center"/>
            <w:hideMark/>
          </w:tcPr>
          <w:p w:rsidR="00DC4841" w:rsidP="00DC4841" w14:paraId="5A63A0AE" w14:textId="6EFF64ED">
            <w:pPr>
              <w:pStyle w:val="CTableTextAbt"/>
            </w:pPr>
            <w:r>
              <w:rPr>
                <w:szCs w:val="18"/>
              </w:rPr>
              <w:t>150</w:t>
            </w:r>
          </w:p>
        </w:tc>
        <w:tc>
          <w:tcPr>
            <w:tcW w:w="372" w:type="pct"/>
            <w:shd w:val="clear" w:color="000000" w:fill="FFFFFF"/>
            <w:vAlign w:val="center"/>
          </w:tcPr>
          <w:p w:rsidR="00DC4841" w:rsidP="00DC4841" w14:paraId="3B181179" w14:textId="77777777">
            <w:pPr>
              <w:pStyle w:val="CTableTextAbt"/>
            </w:pPr>
            <w:r>
              <w:t>No</w:t>
            </w:r>
          </w:p>
        </w:tc>
      </w:tr>
      <w:tr w14:paraId="081256E7" w14:textId="77777777" w:rsidTr="00DC4841">
        <w:tblPrEx>
          <w:tblW w:w="5000" w:type="pct"/>
          <w:tblLook w:val="04A0"/>
        </w:tblPrEx>
        <w:trPr>
          <w:trHeight w:val="432"/>
        </w:trPr>
        <w:tc>
          <w:tcPr>
            <w:tcW w:w="707" w:type="pct"/>
            <w:shd w:val="clear" w:color="auto" w:fill="auto"/>
            <w:vAlign w:val="center"/>
            <w:hideMark/>
          </w:tcPr>
          <w:p w:rsidR="00DC4841" w:rsidP="00DC4841" w14:paraId="6546CCA1" w14:textId="77777777">
            <w:pPr>
              <w:pStyle w:val="LTableTextAbt"/>
            </w:pPr>
            <w:r>
              <w:t>Lindéngruppen AB</w:t>
            </w:r>
          </w:p>
        </w:tc>
        <w:tc>
          <w:tcPr>
            <w:tcW w:w="570" w:type="pct"/>
            <w:shd w:val="clear" w:color="auto" w:fill="auto"/>
            <w:vAlign w:val="center"/>
            <w:hideMark/>
          </w:tcPr>
          <w:p w:rsidR="00DC4841" w:rsidP="00DC4841" w14:paraId="682520D1" w14:textId="77777777">
            <w:pPr>
              <w:pStyle w:val="RTableTextAbt"/>
            </w:pPr>
            <w:r>
              <w:t>$91</w:t>
            </w:r>
          </w:p>
        </w:tc>
        <w:tc>
          <w:tcPr>
            <w:tcW w:w="623" w:type="pct"/>
            <w:shd w:val="clear" w:color="auto" w:fill="auto"/>
            <w:vAlign w:val="center"/>
            <w:hideMark/>
          </w:tcPr>
          <w:p w:rsidR="00DC4841" w:rsidP="00DC4841" w14:paraId="7368D414" w14:textId="77777777">
            <w:pPr>
              <w:pStyle w:val="RTableTextAbt"/>
            </w:pPr>
            <w:r>
              <w:t>10</w:t>
            </w:r>
          </w:p>
        </w:tc>
        <w:tc>
          <w:tcPr>
            <w:tcW w:w="415" w:type="pct"/>
            <w:vAlign w:val="center"/>
          </w:tcPr>
          <w:p w:rsidR="00DC4841" w:rsidP="00DC4841" w14:paraId="179D0186" w14:textId="77777777">
            <w:pPr>
              <w:pStyle w:val="RTableTextAbt"/>
            </w:pPr>
            <w:r>
              <w:t>561499</w:t>
            </w:r>
          </w:p>
        </w:tc>
        <w:tc>
          <w:tcPr>
            <w:tcW w:w="1119" w:type="pct"/>
            <w:shd w:val="clear" w:color="auto" w:fill="auto"/>
            <w:vAlign w:val="center"/>
            <w:hideMark/>
          </w:tcPr>
          <w:p w:rsidR="00DC4841" w:rsidRPr="00EC66EB" w:rsidP="00DC4841" w14:paraId="7D5027B3" w14:textId="7B7F3830">
            <w:pPr>
              <w:pStyle w:val="LTableTextAbt"/>
            </w:pPr>
            <w:r>
              <w:rPr>
                <w:szCs w:val="18"/>
              </w:rPr>
              <w:t>All Other Business Support Services</w:t>
            </w:r>
          </w:p>
        </w:tc>
        <w:tc>
          <w:tcPr>
            <w:tcW w:w="570" w:type="pct"/>
            <w:shd w:val="clear" w:color="000000" w:fill="FFFFFF"/>
            <w:noWrap/>
            <w:vAlign w:val="center"/>
            <w:hideMark/>
          </w:tcPr>
          <w:p w:rsidR="00DC4841" w:rsidP="00DC4841" w14:paraId="070FFCCF" w14:textId="18E5ADD1">
            <w:pPr>
              <w:pStyle w:val="CTableTextAbt"/>
            </w:pPr>
            <w:r>
              <w:rPr>
                <w:szCs w:val="18"/>
              </w:rPr>
              <w:t>$21.5</w:t>
            </w:r>
          </w:p>
        </w:tc>
        <w:tc>
          <w:tcPr>
            <w:tcW w:w="623" w:type="pct"/>
            <w:shd w:val="clear" w:color="000000" w:fill="FFFFFF"/>
            <w:noWrap/>
            <w:vAlign w:val="center"/>
            <w:hideMark/>
          </w:tcPr>
          <w:p w:rsidR="00DC4841" w:rsidP="00DC4841" w14:paraId="0B625191" w14:textId="35F0E40B">
            <w:pPr>
              <w:pStyle w:val="CTableTextAbt"/>
            </w:pPr>
            <w:r>
              <w:rPr>
                <w:szCs w:val="18"/>
              </w:rPr>
              <w:t>-</w:t>
            </w:r>
          </w:p>
        </w:tc>
        <w:tc>
          <w:tcPr>
            <w:tcW w:w="372" w:type="pct"/>
            <w:shd w:val="clear" w:color="000000" w:fill="FFFFFF"/>
            <w:vAlign w:val="center"/>
          </w:tcPr>
          <w:p w:rsidR="00DC4841" w:rsidP="00DC4841" w14:paraId="55DFDC46" w14:textId="77777777">
            <w:pPr>
              <w:pStyle w:val="CTableTextAbt"/>
            </w:pPr>
            <w:r>
              <w:t>No</w:t>
            </w:r>
          </w:p>
        </w:tc>
      </w:tr>
      <w:tr w14:paraId="5EA469EC" w14:textId="77777777" w:rsidTr="00DC4841">
        <w:tblPrEx>
          <w:tblW w:w="5000" w:type="pct"/>
          <w:tblLook w:val="04A0"/>
        </w:tblPrEx>
        <w:trPr>
          <w:trHeight w:val="432"/>
        </w:trPr>
        <w:tc>
          <w:tcPr>
            <w:tcW w:w="707" w:type="pct"/>
            <w:shd w:val="clear" w:color="auto" w:fill="auto"/>
            <w:vAlign w:val="center"/>
          </w:tcPr>
          <w:p w:rsidR="00DC4841" w:rsidP="00DC4841" w14:paraId="429C9DDB" w14:textId="77777777">
            <w:pPr>
              <w:pStyle w:val="LTableTextAbt"/>
            </w:pPr>
            <w:r>
              <w:t>BASF SE</w:t>
            </w:r>
          </w:p>
        </w:tc>
        <w:tc>
          <w:tcPr>
            <w:tcW w:w="570" w:type="pct"/>
            <w:shd w:val="clear" w:color="auto" w:fill="auto"/>
            <w:vAlign w:val="center"/>
          </w:tcPr>
          <w:p w:rsidR="00DC4841" w:rsidP="00DC4841" w14:paraId="0D60AE68" w14:textId="77777777">
            <w:pPr>
              <w:pStyle w:val="RTableTextAbt"/>
            </w:pPr>
            <w:r>
              <w:t>$74,490</w:t>
            </w:r>
          </w:p>
        </w:tc>
        <w:tc>
          <w:tcPr>
            <w:tcW w:w="623" w:type="pct"/>
            <w:shd w:val="clear" w:color="auto" w:fill="auto"/>
            <w:vAlign w:val="center"/>
          </w:tcPr>
          <w:p w:rsidR="00DC4841" w:rsidP="00DC4841" w14:paraId="510F8912" w14:textId="77777777">
            <w:pPr>
              <w:pStyle w:val="RTableTextAbt"/>
            </w:pPr>
            <w:r>
              <w:t>111,590</w:t>
            </w:r>
          </w:p>
        </w:tc>
        <w:tc>
          <w:tcPr>
            <w:tcW w:w="415" w:type="pct"/>
            <w:vAlign w:val="center"/>
          </w:tcPr>
          <w:p w:rsidR="00DC4841" w:rsidP="00DC4841" w14:paraId="5C0A67B5" w14:textId="77777777">
            <w:pPr>
              <w:pStyle w:val="RTableTextAbt"/>
            </w:pPr>
            <w:r>
              <w:t>325998</w:t>
            </w:r>
          </w:p>
        </w:tc>
        <w:tc>
          <w:tcPr>
            <w:tcW w:w="1119" w:type="pct"/>
            <w:shd w:val="clear" w:color="auto" w:fill="auto"/>
            <w:vAlign w:val="center"/>
          </w:tcPr>
          <w:p w:rsidR="00DC4841" w:rsidRPr="00EC66EB" w:rsidP="00DC4841" w14:paraId="16396160" w14:textId="640CF28F">
            <w:pPr>
              <w:pStyle w:val="LTableTextAbt"/>
            </w:pPr>
            <w:r>
              <w:rPr>
                <w:szCs w:val="18"/>
              </w:rPr>
              <w:t>All Other Miscellaneous Chemical Product and Preparation Manufacturing</w:t>
            </w:r>
          </w:p>
        </w:tc>
        <w:tc>
          <w:tcPr>
            <w:tcW w:w="570" w:type="pct"/>
            <w:shd w:val="clear" w:color="000000" w:fill="FFFFFF"/>
            <w:noWrap/>
            <w:vAlign w:val="center"/>
          </w:tcPr>
          <w:p w:rsidR="00DC4841" w:rsidP="00DC4841" w14:paraId="32595274" w14:textId="3C5831E0">
            <w:pPr>
              <w:pStyle w:val="CTableTextAbt"/>
            </w:pPr>
            <w:r>
              <w:rPr>
                <w:szCs w:val="18"/>
              </w:rPr>
              <w:t>-</w:t>
            </w:r>
          </w:p>
        </w:tc>
        <w:tc>
          <w:tcPr>
            <w:tcW w:w="623" w:type="pct"/>
            <w:shd w:val="clear" w:color="000000" w:fill="FFFFFF"/>
            <w:noWrap/>
            <w:vAlign w:val="center"/>
          </w:tcPr>
          <w:p w:rsidR="00DC4841" w:rsidP="00DC4841" w14:paraId="27BCF6EC" w14:textId="6D059337">
            <w:pPr>
              <w:pStyle w:val="CTableTextAbt"/>
            </w:pPr>
            <w:r>
              <w:rPr>
                <w:szCs w:val="18"/>
              </w:rPr>
              <w:t>650</w:t>
            </w:r>
          </w:p>
        </w:tc>
        <w:tc>
          <w:tcPr>
            <w:tcW w:w="372" w:type="pct"/>
            <w:shd w:val="clear" w:color="000000" w:fill="FFFFFF"/>
            <w:vAlign w:val="center"/>
          </w:tcPr>
          <w:p w:rsidR="00DC4841" w:rsidP="00DC4841" w14:paraId="175979DA" w14:textId="77777777">
            <w:pPr>
              <w:pStyle w:val="CTableTextAbt"/>
            </w:pPr>
            <w:r>
              <w:t>No</w:t>
            </w:r>
          </w:p>
        </w:tc>
      </w:tr>
      <w:tr w14:paraId="356D88DC" w14:textId="77777777" w:rsidTr="00DC4841">
        <w:tblPrEx>
          <w:tblW w:w="5000" w:type="pct"/>
          <w:tblLook w:val="04A0"/>
        </w:tblPrEx>
        <w:trPr>
          <w:trHeight w:val="432"/>
        </w:trPr>
        <w:tc>
          <w:tcPr>
            <w:tcW w:w="707" w:type="pct"/>
            <w:shd w:val="clear" w:color="auto" w:fill="auto"/>
            <w:vAlign w:val="center"/>
            <w:hideMark/>
          </w:tcPr>
          <w:p w:rsidR="00DC4841" w:rsidP="00DC4841" w14:paraId="648078BF" w14:textId="77777777">
            <w:pPr>
              <w:pStyle w:val="LTableTextAbt"/>
            </w:pPr>
            <w:r>
              <w:t>DIC Group</w:t>
            </w:r>
          </w:p>
        </w:tc>
        <w:tc>
          <w:tcPr>
            <w:tcW w:w="570" w:type="pct"/>
            <w:shd w:val="clear" w:color="auto" w:fill="auto"/>
            <w:vAlign w:val="center"/>
            <w:hideMark/>
          </w:tcPr>
          <w:p w:rsidR="00DC4841" w:rsidP="00DC4841" w14:paraId="2FA51473" w14:textId="77777777">
            <w:pPr>
              <w:pStyle w:val="RTableTextAbt"/>
            </w:pPr>
            <w:r>
              <w:t>$7,400</w:t>
            </w:r>
          </w:p>
        </w:tc>
        <w:tc>
          <w:tcPr>
            <w:tcW w:w="623" w:type="pct"/>
            <w:shd w:val="clear" w:color="auto" w:fill="auto"/>
            <w:vAlign w:val="center"/>
            <w:hideMark/>
          </w:tcPr>
          <w:p w:rsidR="00DC4841" w:rsidP="00DC4841" w14:paraId="6B0E4A2E" w14:textId="77777777">
            <w:pPr>
              <w:pStyle w:val="RTableTextAbt"/>
            </w:pPr>
            <w:r>
              <w:t>22,255</w:t>
            </w:r>
          </w:p>
        </w:tc>
        <w:tc>
          <w:tcPr>
            <w:tcW w:w="415" w:type="pct"/>
            <w:vAlign w:val="center"/>
          </w:tcPr>
          <w:p w:rsidR="00DC4841" w:rsidP="00DC4841" w14:paraId="1E40AEB7" w14:textId="77777777">
            <w:pPr>
              <w:pStyle w:val="RTableTextAbt"/>
            </w:pPr>
            <w:r>
              <w:t>325910</w:t>
            </w:r>
          </w:p>
        </w:tc>
        <w:tc>
          <w:tcPr>
            <w:tcW w:w="1119" w:type="pct"/>
            <w:shd w:val="clear" w:color="auto" w:fill="auto"/>
            <w:vAlign w:val="center"/>
            <w:hideMark/>
          </w:tcPr>
          <w:p w:rsidR="00DC4841" w:rsidRPr="00EC66EB" w:rsidP="00DC4841" w14:paraId="327B5A74" w14:textId="7CFDCCC8">
            <w:pPr>
              <w:pStyle w:val="LTableTextAbt"/>
            </w:pPr>
            <w:r>
              <w:rPr>
                <w:szCs w:val="18"/>
              </w:rPr>
              <w:t>Printing Ink Manufacturing</w:t>
            </w:r>
          </w:p>
        </w:tc>
        <w:tc>
          <w:tcPr>
            <w:tcW w:w="570" w:type="pct"/>
            <w:shd w:val="clear" w:color="000000" w:fill="FFFFFF"/>
            <w:noWrap/>
            <w:vAlign w:val="center"/>
            <w:hideMark/>
          </w:tcPr>
          <w:p w:rsidR="00DC4841" w:rsidP="00DC4841" w14:paraId="4149E1EB" w14:textId="1344192F">
            <w:pPr>
              <w:pStyle w:val="CTableTextAbt"/>
            </w:pPr>
            <w:r>
              <w:rPr>
                <w:szCs w:val="18"/>
              </w:rPr>
              <w:t>-</w:t>
            </w:r>
          </w:p>
        </w:tc>
        <w:tc>
          <w:tcPr>
            <w:tcW w:w="623" w:type="pct"/>
            <w:shd w:val="clear" w:color="000000" w:fill="FFFFFF"/>
            <w:noWrap/>
            <w:vAlign w:val="center"/>
            <w:hideMark/>
          </w:tcPr>
          <w:p w:rsidR="00DC4841" w:rsidP="00DC4841" w14:paraId="4A6CBCAD" w14:textId="6EFE27EA">
            <w:pPr>
              <w:pStyle w:val="CTableTextAbt"/>
            </w:pPr>
            <w:r>
              <w:rPr>
                <w:szCs w:val="18"/>
              </w:rPr>
              <w:t>750</w:t>
            </w:r>
          </w:p>
        </w:tc>
        <w:tc>
          <w:tcPr>
            <w:tcW w:w="372" w:type="pct"/>
            <w:shd w:val="clear" w:color="000000" w:fill="FFFFFF"/>
            <w:vAlign w:val="center"/>
          </w:tcPr>
          <w:p w:rsidR="00DC4841" w:rsidP="00DC4841" w14:paraId="488F1D8D" w14:textId="77777777">
            <w:pPr>
              <w:pStyle w:val="CTableTextAbt"/>
            </w:pPr>
            <w:r>
              <w:t>No</w:t>
            </w:r>
          </w:p>
        </w:tc>
      </w:tr>
      <w:tr w14:paraId="5CC15CE3" w14:textId="77777777" w:rsidTr="00CA0464">
        <w:tblPrEx>
          <w:tblW w:w="5000" w:type="pct"/>
          <w:tblLook w:val="04A0"/>
        </w:tblPrEx>
        <w:trPr>
          <w:trHeight w:val="540"/>
        </w:trPr>
        <w:tc>
          <w:tcPr>
            <w:tcW w:w="5000" w:type="pct"/>
            <w:gridSpan w:val="8"/>
            <w:shd w:val="clear" w:color="auto" w:fill="auto"/>
            <w:vAlign w:val="center"/>
          </w:tcPr>
          <w:p w:rsidR="008A293B" w:rsidP="00CA0464" w14:paraId="46282335" w14:textId="1C6C8A9A">
            <w:pPr>
              <w:pStyle w:val="TableNote0"/>
            </w:pPr>
            <w:r>
              <w:t xml:space="preserve">Source: </w:t>
            </w:r>
            <w:hyperlink w:anchor="_ENREF_15" w:tooltip="Dun &amp; Bradstreet, 2024 #15" w:history="1">
              <w:r w:rsidR="003D6084">
                <w:fldChar w:fldCharType="begin" w:fldLock="1"/>
              </w:r>
              <w:r w:rsidR="003D6084">
                <w:instrText xml:space="preserve"> ADDIN EN.CITE &lt;EndNote&gt;&lt;Cite AuthorYear="1"&gt;&lt;Author&gt;Dun &amp;amp; Bradstreet&lt;/Author&gt;&lt;Year&gt;2024&lt;/Year&gt;&lt;RecNum&gt;15&lt;/RecNum&gt;&lt;DisplayText&gt;Dun &amp;amp; Bradstreet (2024)&lt;/DisplayText&gt;&lt;record&gt;&lt;rec-number&gt;15&lt;/rec-number&gt;&lt;foreign-keys&gt;&lt;key app="EN" db-id="2apzr05radv9fjet2w6xxwdlz5e9vwfxredw" timestamp="1730757315"&gt;15&lt;/key&gt;&lt;/foreign-keys&gt;&lt;ref-type name="Generic"&gt;13&lt;/ref-type&gt;&lt;contributors&gt;&lt;authors&gt;&lt;author&gt;Dun &amp;amp; Bradstreet,, Inc.,&lt;/author&gt;&lt;/authors&gt;&lt;/contributors&gt;&lt;titles&gt;&lt;title&gt;Dun &amp;amp; Bradstreet Hoovers Company Reports. Proprietary Database.&lt;/title&gt;&lt;/titles&gt;&lt;dates&gt;&lt;year&gt;2024&lt;/year&gt;&lt;/dates&gt;&lt;urls&gt;&lt;/urls&gt;&lt;/record&gt;&lt;/Cite&gt;&lt;/EndNote&gt;</w:instrText>
              </w:r>
              <w:r w:rsidR="003D6084">
                <w:fldChar w:fldCharType="separate"/>
              </w:r>
              <w:r w:rsidR="003D6084">
                <w:rPr>
                  <w:noProof/>
                </w:rPr>
                <w:t>Dun &amp; Bradstreet (2024)</w:t>
              </w:r>
              <w:r w:rsidR="003D6084">
                <w:fldChar w:fldCharType="end"/>
              </w:r>
            </w:hyperlink>
            <w:r>
              <w:t xml:space="preserve"> data</w:t>
            </w:r>
          </w:p>
          <w:p w:rsidR="008A293B" w:rsidP="00CA0464" w14:paraId="0CDB8671" w14:textId="77777777">
            <w:pPr>
              <w:pStyle w:val="TableNote0"/>
            </w:pPr>
            <w:r w:rsidRPr="00EC66EB">
              <w:t>a.</w:t>
            </w:r>
            <w:r>
              <w:t xml:space="preserve"> DIC is in the PV29 manufacturing and intermediate processing use category; BASF SE is in the PV29 importing and processing into automotive paints and coatings category; all others are in the processing into automotive paints and coatings category.</w:t>
            </w:r>
          </w:p>
        </w:tc>
      </w:tr>
    </w:tbl>
    <w:p w:rsidR="008A293B" w:rsidP="008A293B" w14:paraId="01156761" w14:textId="77777777">
      <w:pPr>
        <w:pStyle w:val="Heading4"/>
      </w:pPr>
    </w:p>
    <w:p w:rsidR="008A293B" w:rsidRPr="00B56426" w:rsidP="008A293B" w14:paraId="2D2BB1D5" w14:textId="77777777">
      <w:pPr>
        <w:pStyle w:val="Heading4"/>
      </w:pPr>
      <w:r>
        <w:t>Industries</w:t>
      </w:r>
      <w:r w:rsidRPr="00B56426">
        <w:t xml:space="preserve"> with</w:t>
      </w:r>
      <w:r>
        <w:t>out</w:t>
      </w:r>
      <w:r w:rsidRPr="00B56426">
        <w:t xml:space="preserve"> Known Individual Affected Entities</w:t>
      </w:r>
    </w:p>
    <w:p w:rsidR="008A293B" w:rsidRPr="005261AB" w:rsidP="008A293B" w14:paraId="0051F7B3" w14:textId="78FD4D6A">
      <w:pPr>
        <w:pStyle w:val="BodyText"/>
        <w:rPr>
          <w:lang w:val="en-US"/>
        </w:rPr>
      </w:pPr>
      <w:r w:rsidRPr="4A8A1481">
        <w:rPr>
          <w:lang w:val="en-US"/>
        </w:rPr>
        <w:t>Statistics of U.S. Businesses (SUSB) data by enterprise receipt size</w:t>
      </w:r>
      <w:r w:rsidR="00F45FFB">
        <w:rPr>
          <w:lang w:val="en-US"/>
        </w:rPr>
        <w:t xml:space="preserve"> (</w:t>
      </w:r>
      <w:hyperlink w:anchor="_ENREF_49" w:tooltip="U.S. Census Bureau, 2021 #49" w:history="1">
        <w:r w:rsidRPr="005261AB" w:rsidR="003D6084">
          <w:fldChar w:fldCharType="begin" w:fldLock="1"/>
        </w:r>
        <w:r w:rsidR="003D6084">
          <w:instrText xml:space="preserve"> ADDIN EN.CITE &lt;EndNote&gt;&lt;Cite&gt;&lt;Author&gt;U.S. Census Bureau&lt;/Author&gt;&lt;Year&gt;2021&lt;/Year&gt;&lt;RecNum&gt;49&lt;/RecNum&gt;&lt;DisplayText&gt;U.S. Census Bureau 2021&lt;/DisplayText&gt;&lt;record&gt;&lt;rec-number&gt;49&lt;/rec-number&gt;&lt;foreign-keys&gt;&lt;key app="EN" db-id="2apzr05radv9fjet2w6xxwdlz5e9vwfxredw" timestamp="1730757315"&gt;49&lt;/key&gt;&lt;/foreign-keys&gt;&lt;ref-type name="Generic"&gt;13&lt;/ref-type&gt;&lt;contributors&gt;&lt;authors&gt;&lt;author&gt;U.S. Census Bureau,&lt;/author&gt;&lt;/authors&gt;&lt;/contributors&gt;&lt;titles&gt;&lt;title&gt;Statistics of U.S. Businesses (SUSB). The Number of Firms and Establishments, Employment, Annual Payroll, and Receipts by Industry and Enterprise Receipts Size: 2017&lt;/title&gt;&lt;/titles&gt;&lt;dates&gt;&lt;year&gt;2021&lt;/year&gt;&lt;/dates&gt;&lt;urls&gt;&lt;related-urls&gt;&lt;url&gt;https://www2.census.gov/programs-surveys/susb/tables/2017/us_6digitnaics_rcptsize_2017.xlsx&lt;/url&gt;&lt;/related-urls&gt;&lt;/urls&gt;&lt;/record&gt;&lt;/Cite&gt;&lt;/EndNote&gt;</w:instrText>
        </w:r>
        <w:r w:rsidRPr="005261AB" w:rsidR="003D6084">
          <w:fldChar w:fldCharType="separate"/>
        </w:r>
        <w:r w:rsidR="003D6084">
          <w:rPr>
            <w:noProof/>
          </w:rPr>
          <w:t>U.S. Census Bureau 2021</w:t>
        </w:r>
        <w:r w:rsidRPr="005261AB" w:rsidR="003D6084">
          <w:fldChar w:fldCharType="end"/>
        </w:r>
      </w:hyperlink>
      <w:r w:rsidR="00F45FFB">
        <w:rPr>
          <w:lang w:val="en-US"/>
        </w:rPr>
        <w:t>)</w:t>
      </w:r>
      <w:r w:rsidRPr="4A8A1481">
        <w:rPr>
          <w:lang w:val="en-US"/>
        </w:rPr>
        <w:t xml:space="preserve"> </w:t>
      </w:r>
      <w:r w:rsidR="00967B1E">
        <w:rPr>
          <w:lang w:val="en-US"/>
        </w:rPr>
        <w:t xml:space="preserve">and </w:t>
      </w:r>
      <w:r w:rsidRPr="4A8A1481">
        <w:rPr>
          <w:lang w:val="en-US"/>
        </w:rPr>
        <w:t xml:space="preserve">by employment size </w:t>
      </w:r>
      <w:r w:rsidR="00967B1E">
        <w:rPr>
          <w:lang w:val="en-US"/>
        </w:rPr>
        <w:t>(</w:t>
      </w:r>
      <w:hyperlink w:anchor="_ENREF_50" w:tooltip="U.S. Census Bureau, 2023 #50" w:history="1">
        <w:r w:rsidR="003D6084">
          <w:fldChar w:fldCharType="begin" w:fldLock="1"/>
        </w:r>
        <w:r w:rsidR="003D6084">
          <w:instrText xml:space="preserve"> ADDIN EN.CITE &lt;EndNote&gt;&lt;Cite&gt;&lt;Author&gt;U.S. Census Bureau&lt;/Author&gt;&lt;Year&gt;2023&lt;/Year&gt;&lt;RecNum&gt;50&lt;/RecNum&gt;&lt;DisplayText&gt;U.S. Census Bureau 2023&lt;/DisplayText&gt;&lt;record&gt;&lt;rec-number&gt;50&lt;/rec-number&gt;&lt;foreign-keys&gt;&lt;key app="EN" db-id="2apzr05radv9fjet2w6xxwdlz5e9vwfxredw" timestamp="1730757315"&gt;50&lt;/key&gt;&lt;/foreign-keys&gt;&lt;ref-type name="Generic"&gt;13&lt;/ref-type&gt;&lt;contributors&gt;&lt;authors&gt;&lt;author&gt;U.S. Census Bureau,&lt;/author&gt;&lt;/authors&gt;&lt;/contributors&gt;&lt;titles&gt;&lt;title&gt;Statistics of U.S. Businesses (SUSB). The Number of Firms and Establishments, Employment, and Annual Payroll by State, Industry, and Enterprise Employment Size: 2021&lt;/title&gt;&lt;/titles&gt;&lt;dates&gt;&lt;year&gt;2023&lt;/year&gt;&lt;/dates&gt;&lt;urls&gt;&lt;related-urls&gt;&lt;url&gt;https://www2.census.gov/programs-surveys/susb/tables/2021/us_state_6digitnaics_2021.xlsx&lt;/url&gt;&lt;/related-urls&gt;&lt;/urls&gt;&lt;/record&gt;&lt;/Cite&gt;&lt;/EndNote&gt;</w:instrText>
        </w:r>
        <w:r w:rsidR="003D6084">
          <w:fldChar w:fldCharType="separate"/>
        </w:r>
        <w:r w:rsidR="003D6084">
          <w:rPr>
            <w:noProof/>
          </w:rPr>
          <w:t>U.S. Census Bureau 2023</w:t>
        </w:r>
        <w:r w:rsidR="003D6084">
          <w:fldChar w:fldCharType="end"/>
        </w:r>
      </w:hyperlink>
      <w:r w:rsidR="00967B1E">
        <w:rPr>
          <w:lang w:val="en-US"/>
        </w:rPr>
        <w:t xml:space="preserve">) </w:t>
      </w:r>
      <w:r w:rsidRPr="4A8A1481">
        <w:rPr>
          <w:lang w:val="en-US"/>
        </w:rPr>
        <w:t xml:space="preserve">is used to estimate the number of small entities in the use categories without known individual affected entities. Since the </w:t>
      </w:r>
      <w:hyperlink w:anchor="_ENREF_49" w:tooltip="U.S. Census Bureau, 2021 #49" w:history="1">
        <w:r w:rsidRPr="005261AB" w:rsidR="003D6084">
          <w:fldChar w:fldCharType="begin" w:fldLock="1"/>
        </w:r>
        <w:r w:rsidR="003D6084">
          <w:instrText xml:space="preserve"> ADDIN EN.CITE &lt;EndNote&gt;&lt;Cite AuthorYear="1"&gt;&lt;Author&gt;U.S. Census Bureau&lt;/Author&gt;&lt;Year&gt;2021&lt;/Year&gt;&lt;RecNum&gt;49&lt;/RecNum&gt;&lt;DisplayText&gt;U.S. Census Bureau (2021)&lt;/DisplayText&gt;&lt;record&gt;&lt;rec-number&gt;49&lt;/rec-number&gt;&lt;foreign-keys&gt;&lt;key app="EN" db-id="2apzr05radv9fjet2w6xxwdlz5e9vwfxredw" timestamp="1730757315"&gt;49&lt;/key&gt;&lt;/foreign-keys&gt;&lt;ref-type name="Generic"&gt;13&lt;/ref-type&gt;&lt;contributors&gt;&lt;authors&gt;&lt;author&gt;U.S. Census Bureau,&lt;/author&gt;&lt;/authors&gt;&lt;/contributors&gt;&lt;titles&gt;&lt;title&gt;Statistics of U.S. Businesses (SUSB). The Number of Firms and Establishments, Employment, Annual Payroll, and Receipts by Industry and Enterprise Receipts Size: 2017&lt;/title&gt;&lt;/titles&gt;&lt;dates&gt;&lt;year&gt;2021&lt;/year&gt;&lt;/dates&gt;&lt;urls&gt;&lt;related-urls&gt;&lt;url&gt;https://www2.census.gov/programs-surveys/susb/tables/2017/us_6digitnaics_rcptsize_2017.xlsx&lt;/url&gt;&lt;/related-urls&gt;&lt;/urls&gt;&lt;/record&gt;&lt;/Cite&gt;&lt;/EndNote&gt;</w:instrText>
        </w:r>
        <w:r w:rsidRPr="005261AB" w:rsidR="003D6084">
          <w:fldChar w:fldCharType="separate"/>
        </w:r>
        <w:r w:rsidRPr="4A8A1481" w:rsidR="003D6084">
          <w:rPr>
            <w:noProof/>
            <w:lang w:val="en-US"/>
          </w:rPr>
          <w:t>U.S. Census Bureau (2021)</w:t>
        </w:r>
        <w:r w:rsidRPr="005261AB" w:rsidR="003D6084">
          <w:fldChar w:fldCharType="end"/>
        </w:r>
      </w:hyperlink>
      <w:r w:rsidRPr="4A8A1481">
        <w:rPr>
          <w:lang w:val="en-US"/>
        </w:rPr>
        <w:t xml:space="preserve"> SUSB data reflects 2017 receipts, they were inflated to 2023$ using the GDP deflator (</w:t>
      </w:r>
      <w:hyperlink w:anchor="_ENREF_48" w:tooltip="U.S. Bureau of Economic Analysis (BEA), 2024 #48" w:history="1">
        <w:r w:rsidRPr="005261AB" w:rsidR="003D6084">
          <w:fldChar w:fldCharType="begin" w:fldLock="1"/>
        </w:r>
        <w:r w:rsidR="003D6084">
          <w:instrText xml:space="preserve"> ADDIN EN.CITE &lt;EndNote&gt;&lt;Cite ExcludeAuth="1"&gt;&lt;Author&gt;U.S. Bureau of Economic Analysis (BEA)&lt;/Author&gt;&lt;Year&gt;2024&lt;/Year&gt;&lt;RecNum&gt;48&lt;/RecNum&gt;&lt;Prefix&gt;BEA &lt;/Prefix&gt;&lt;DisplayText&gt;BEA 2024b&lt;/DisplayText&gt;&lt;record&gt;&lt;rec-number&gt;48&lt;/rec-number&gt;&lt;foreign-keys&gt;&lt;key app="EN" db-id="2apzr05radv9fjet2w6xxwdlz5e9vwfxredw" timestamp="1730757315"&gt;48&lt;/key&gt;&lt;/foreign-keys&gt;&lt;ref-type name="Generic"&gt;13&lt;/ref-type&gt;&lt;contributors&gt;&lt;authors&gt;&lt;author&gt;U.S. Bureau of Economic Analysis (BEA),&lt;/author&gt;&lt;/authors&gt;&lt;/contributors&gt;&lt;titles&gt;&lt;title&gt;Table 1.1.9. Implicit Price Deflators for Gross Domestic Product (T10109-A)&lt;/title&gt;&lt;/titles&gt;&lt;dates&gt;&lt;year&gt;2024&lt;/year&gt;&lt;pub-dates&gt;&lt;date&gt;May 29, 2024&lt;/date&gt;&lt;/pub-dates&gt;&lt;/dates&gt;&lt;urls&gt;&lt;/urls&gt;&lt;/record&gt;&lt;/Cite&gt;&lt;/EndNote&gt;</w:instrText>
        </w:r>
        <w:r w:rsidRPr="005261AB" w:rsidR="003D6084">
          <w:fldChar w:fldCharType="separate"/>
        </w:r>
        <w:r w:rsidR="003D6084">
          <w:rPr>
            <w:noProof/>
          </w:rPr>
          <w:t>BEA 2024b</w:t>
        </w:r>
        <w:r w:rsidRPr="005261AB" w:rsidR="003D6084">
          <w:fldChar w:fldCharType="end"/>
        </w:r>
      </w:hyperlink>
      <w:r w:rsidRPr="4A8A1481">
        <w:rPr>
          <w:lang w:val="en-US"/>
        </w:rPr>
        <w:t xml:space="preserve">).  </w:t>
      </w:r>
    </w:p>
    <w:p w:rsidR="008A293B" w:rsidRPr="00B10380" w:rsidP="008A293B" w14:paraId="61DB01B2" w14:textId="66441070">
      <w:pPr>
        <w:pStyle w:val="BodyText"/>
        <w:rPr>
          <w:rFonts w:eastAsiaTheme="minorEastAsia"/>
        </w:rPr>
      </w:pPr>
      <w:r>
        <w:rPr>
          <w:lang w:val="en-US"/>
        </w:rPr>
        <w:fldChar w:fldCharType="begin" w:fldLock="1"/>
      </w:r>
      <w:r>
        <w:rPr>
          <w:lang w:val="en-US"/>
        </w:rPr>
        <w:instrText xml:space="preserve"> REF _Ref178187415 \h </w:instrText>
      </w:r>
      <w:r>
        <w:rPr>
          <w:lang w:val="en-US"/>
        </w:rPr>
        <w:fldChar w:fldCharType="separate"/>
      </w:r>
      <w:r w:rsidR="00735BBC">
        <w:t xml:space="preserve">Table </w:t>
      </w:r>
      <w:r w:rsidR="00735BBC">
        <w:rPr>
          <w:noProof/>
        </w:rPr>
        <w:t>7</w:t>
      </w:r>
      <w:r w:rsidR="00735BBC">
        <w:noBreakHyphen/>
      </w:r>
      <w:r w:rsidR="00735BBC">
        <w:rPr>
          <w:noProof/>
        </w:rPr>
        <w:t>2</w:t>
      </w:r>
      <w:r>
        <w:rPr>
          <w:lang w:val="en-US"/>
        </w:rPr>
        <w:fldChar w:fldCharType="end"/>
      </w:r>
      <w:r>
        <w:rPr>
          <w:lang w:val="en-US"/>
        </w:rPr>
        <w:t xml:space="preserve"> presents the applicable small business size thresholds, the number of affected facilities, the percentage of facilities estimated to be small, and the percentages and numbers of affected small businesses.</w:t>
      </w:r>
    </w:p>
    <w:p w:rsidR="008A293B" w:rsidP="008A293B" w14:paraId="29DCFB7B" w14:textId="77777777">
      <w:pPr>
        <w:pStyle w:val="Caption"/>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5"/>
        <w:gridCol w:w="803"/>
        <w:gridCol w:w="2255"/>
        <w:gridCol w:w="1070"/>
        <w:gridCol w:w="1168"/>
        <w:gridCol w:w="988"/>
        <w:gridCol w:w="881"/>
        <w:gridCol w:w="900"/>
      </w:tblGrid>
      <w:tr w14:paraId="627CC72B" w14:textId="77777777" w:rsidTr="00CA0464">
        <w:tblPrEx>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0"/>
          <w:tblHeader/>
        </w:trPr>
        <w:tc>
          <w:tcPr>
            <w:tcW w:w="5000" w:type="pct"/>
            <w:gridSpan w:val="8"/>
            <w:tcBorders>
              <w:top w:val="nil"/>
              <w:left w:val="nil"/>
              <w:bottom w:val="single" w:sz="4" w:space="0" w:color="auto"/>
              <w:right w:val="nil"/>
            </w:tcBorders>
            <w:shd w:val="clear" w:color="auto" w:fill="auto"/>
            <w:vAlign w:val="center"/>
          </w:tcPr>
          <w:p w:rsidR="008A293B" w:rsidRPr="007E694C" w:rsidP="00CA0464" w14:paraId="1DA87427" w14:textId="188F4704">
            <w:pPr>
              <w:pStyle w:val="TableTitleA"/>
            </w:pPr>
            <w:bookmarkStart w:id="325" w:name="_Ref178187415"/>
            <w:bookmarkStart w:id="326" w:name="_Toc180769670"/>
            <w:bookmarkStart w:id="327" w:name="_Toc184299598"/>
            <w:r>
              <w:t xml:space="preserve">Table </w:t>
            </w:r>
            <w:r>
              <w:fldChar w:fldCharType="begin" w:fldLock="1"/>
            </w:r>
            <w:r>
              <w:instrText>STYLEREF 1 \s</w:instrText>
            </w:r>
            <w:r>
              <w:fldChar w:fldCharType="separate"/>
            </w:r>
            <w:r w:rsidR="00735BBC">
              <w:rPr>
                <w:noProof/>
              </w:rPr>
              <w:t>7</w:t>
            </w:r>
            <w:r>
              <w:fldChar w:fldCharType="end"/>
            </w:r>
            <w:r>
              <w:noBreakHyphen/>
            </w:r>
            <w:r>
              <w:fldChar w:fldCharType="begin" w:fldLock="1"/>
            </w:r>
            <w:r>
              <w:instrText>SEQ Table \* ARABIC \s 1</w:instrText>
            </w:r>
            <w:r>
              <w:fldChar w:fldCharType="separate"/>
            </w:r>
            <w:r w:rsidR="00735BBC">
              <w:rPr>
                <w:noProof/>
              </w:rPr>
              <w:t>2</w:t>
            </w:r>
            <w:r>
              <w:fldChar w:fldCharType="end"/>
            </w:r>
            <w:bookmarkEnd w:id="325"/>
            <w:r>
              <w:t>: Identification of Small Businesses for Industries with Unknown Affected Facilities</w:t>
            </w:r>
            <w:bookmarkEnd w:id="326"/>
            <w:bookmarkEnd w:id="327"/>
          </w:p>
        </w:tc>
      </w:tr>
      <w:tr w14:paraId="39189ACC" w14:textId="77777777" w:rsidTr="00382F46">
        <w:tblPrEx>
          <w:tblW w:w="5048" w:type="pct"/>
          <w:tblLayout w:type="fixed"/>
          <w:tblLook w:val="04A0"/>
        </w:tblPrEx>
        <w:trPr>
          <w:trHeight w:val="20"/>
          <w:tblHeader/>
        </w:trPr>
        <w:tc>
          <w:tcPr>
            <w:tcW w:w="733" w:type="pct"/>
            <w:vMerge w:val="restart"/>
            <w:tcBorders>
              <w:top w:val="single" w:sz="4" w:space="0" w:color="auto"/>
            </w:tcBorders>
            <w:shd w:val="clear" w:color="auto" w:fill="013E5B"/>
            <w:vAlign w:val="center"/>
            <w:hideMark/>
          </w:tcPr>
          <w:p w:rsidR="008A293B" w:rsidRPr="007E694C" w:rsidP="00CA0464" w14:paraId="67F1B601" w14:textId="77777777">
            <w:pPr>
              <w:pStyle w:val="TableSubtitle"/>
            </w:pPr>
            <w:r w:rsidRPr="007E694C">
              <w:t>Use Category</w:t>
            </w:r>
          </w:p>
        </w:tc>
        <w:tc>
          <w:tcPr>
            <w:tcW w:w="425" w:type="pct"/>
            <w:vMerge w:val="restart"/>
            <w:tcBorders>
              <w:top w:val="single" w:sz="4" w:space="0" w:color="auto"/>
            </w:tcBorders>
            <w:shd w:val="clear" w:color="auto" w:fill="013E5B"/>
            <w:vAlign w:val="center"/>
            <w:hideMark/>
          </w:tcPr>
          <w:p w:rsidR="008A293B" w:rsidRPr="007E694C" w:rsidP="00CA0464" w14:paraId="3EE02818" w14:textId="77777777">
            <w:pPr>
              <w:pStyle w:val="TableSubtitle"/>
            </w:pPr>
            <w:r w:rsidRPr="007E694C">
              <w:t>NAICs</w:t>
            </w:r>
          </w:p>
        </w:tc>
        <w:tc>
          <w:tcPr>
            <w:tcW w:w="1193" w:type="pct"/>
            <w:vMerge w:val="restart"/>
            <w:tcBorders>
              <w:top w:val="single" w:sz="4" w:space="0" w:color="auto"/>
            </w:tcBorders>
            <w:shd w:val="clear" w:color="auto" w:fill="013E5B"/>
            <w:vAlign w:val="center"/>
            <w:hideMark/>
          </w:tcPr>
          <w:p w:rsidR="008A293B" w:rsidRPr="007E694C" w:rsidP="00CA0464" w14:paraId="386EF17E" w14:textId="77777777">
            <w:pPr>
              <w:pStyle w:val="TableSubtitle"/>
            </w:pPr>
            <w:r w:rsidRPr="007E694C">
              <w:t>Industry</w:t>
            </w:r>
          </w:p>
        </w:tc>
        <w:tc>
          <w:tcPr>
            <w:tcW w:w="1184" w:type="pct"/>
            <w:gridSpan w:val="2"/>
            <w:tcBorders>
              <w:top w:val="single" w:sz="4" w:space="0" w:color="auto"/>
            </w:tcBorders>
            <w:shd w:val="clear" w:color="auto" w:fill="013E5B"/>
            <w:vAlign w:val="center"/>
            <w:hideMark/>
          </w:tcPr>
          <w:p w:rsidR="008A293B" w:rsidRPr="007E694C" w:rsidP="00CA0464" w14:paraId="13334146" w14:textId="77777777">
            <w:pPr>
              <w:pStyle w:val="TableSubtitle"/>
            </w:pPr>
            <w:r>
              <w:t>SBA Threshold</w:t>
            </w:r>
          </w:p>
        </w:tc>
        <w:tc>
          <w:tcPr>
            <w:tcW w:w="523" w:type="pct"/>
            <w:vMerge w:val="restart"/>
            <w:tcBorders>
              <w:top w:val="single" w:sz="4" w:space="0" w:color="auto"/>
            </w:tcBorders>
            <w:shd w:val="clear" w:color="auto" w:fill="013E5B"/>
            <w:tcMar>
              <w:left w:w="58" w:type="dxa"/>
              <w:right w:w="58" w:type="dxa"/>
            </w:tcMar>
            <w:vAlign w:val="center"/>
            <w:hideMark/>
          </w:tcPr>
          <w:p w:rsidR="008A293B" w:rsidRPr="007E694C" w:rsidP="00CA0464" w14:paraId="305BCD62" w14:textId="7935944B">
            <w:pPr>
              <w:pStyle w:val="TableSubtitle"/>
            </w:pPr>
            <w:r>
              <w:t xml:space="preserve">Affected </w:t>
            </w:r>
            <w:r w:rsidRPr="007E694C">
              <w:t>U.S. Facilities</w:t>
            </w:r>
            <w:r w:rsidRPr="0064758C" w:rsidR="008F5DB3">
              <w:rPr>
                <w:rFonts w:ascii="Arial Bold" w:hAnsi="Arial Bold"/>
                <w:vertAlign w:val="superscript"/>
              </w:rPr>
              <w:t>1</w:t>
            </w:r>
          </w:p>
        </w:tc>
        <w:tc>
          <w:tcPr>
            <w:tcW w:w="942" w:type="pct"/>
            <w:gridSpan w:val="2"/>
            <w:tcBorders>
              <w:top w:val="single" w:sz="4" w:space="0" w:color="auto"/>
            </w:tcBorders>
            <w:shd w:val="clear" w:color="auto" w:fill="013E5B"/>
            <w:vAlign w:val="center"/>
            <w:hideMark/>
          </w:tcPr>
          <w:p w:rsidR="008A293B" w:rsidRPr="007E694C" w:rsidP="00CA0464" w14:paraId="4CE2EFDC" w14:textId="77777777">
            <w:pPr>
              <w:pStyle w:val="TableSubtitle"/>
            </w:pPr>
            <w:r>
              <w:t xml:space="preserve">Affected </w:t>
            </w:r>
            <w:r w:rsidRPr="007E694C">
              <w:t>Small</w:t>
            </w:r>
            <w:r>
              <w:t xml:space="preserve"> Businesses</w:t>
            </w:r>
          </w:p>
        </w:tc>
      </w:tr>
      <w:tr w14:paraId="31F8539A" w14:textId="77777777" w:rsidTr="7E36BF2B">
        <w:tblPrEx>
          <w:tblW w:w="5048" w:type="pct"/>
          <w:tblLayout w:type="fixed"/>
          <w:tblLook w:val="04A0"/>
        </w:tblPrEx>
        <w:trPr>
          <w:trHeight w:val="20"/>
          <w:tblHeader/>
        </w:trPr>
        <w:tc>
          <w:tcPr>
            <w:tcW w:w="733" w:type="pct"/>
            <w:vMerge/>
            <w:vAlign w:val="center"/>
            <w:hideMark/>
          </w:tcPr>
          <w:p w:rsidR="008A293B" w:rsidRPr="007E694C" w:rsidP="00CA0464" w14:paraId="7FF74FB5" w14:textId="77777777">
            <w:pPr>
              <w:pStyle w:val="TableSubtitle"/>
            </w:pPr>
          </w:p>
        </w:tc>
        <w:tc>
          <w:tcPr>
            <w:tcW w:w="425" w:type="pct"/>
            <w:vMerge/>
            <w:vAlign w:val="center"/>
            <w:hideMark/>
          </w:tcPr>
          <w:p w:rsidR="008A293B" w:rsidRPr="007E694C" w:rsidP="00CA0464" w14:paraId="4DB9DD85" w14:textId="77777777">
            <w:pPr>
              <w:pStyle w:val="TableSubtitle"/>
            </w:pPr>
          </w:p>
        </w:tc>
        <w:tc>
          <w:tcPr>
            <w:tcW w:w="1193" w:type="pct"/>
            <w:vMerge/>
            <w:vAlign w:val="center"/>
            <w:hideMark/>
          </w:tcPr>
          <w:p w:rsidR="008A293B" w:rsidRPr="007E694C" w:rsidP="00CA0464" w14:paraId="6E742070" w14:textId="77777777">
            <w:pPr>
              <w:pStyle w:val="TableSubtitle"/>
            </w:pPr>
          </w:p>
        </w:tc>
        <w:tc>
          <w:tcPr>
            <w:tcW w:w="566" w:type="pct"/>
            <w:shd w:val="clear" w:color="auto" w:fill="013E5B"/>
            <w:vAlign w:val="center"/>
            <w:hideMark/>
          </w:tcPr>
          <w:p w:rsidR="008A293B" w:rsidRPr="007E694C" w:rsidP="00CA0464" w14:paraId="780D62D1" w14:textId="77777777">
            <w:pPr>
              <w:pStyle w:val="TableSubtitle"/>
            </w:pPr>
            <w:r w:rsidRPr="007E694C">
              <w:t>Revenues (millions)</w:t>
            </w:r>
          </w:p>
        </w:tc>
        <w:tc>
          <w:tcPr>
            <w:tcW w:w="618" w:type="pct"/>
            <w:shd w:val="clear" w:color="auto" w:fill="013E5B"/>
            <w:vAlign w:val="center"/>
            <w:hideMark/>
          </w:tcPr>
          <w:p w:rsidR="008A293B" w:rsidRPr="007E694C" w:rsidP="00CA0464" w14:paraId="3494EF20" w14:textId="77777777">
            <w:pPr>
              <w:pStyle w:val="TableSubtitle"/>
            </w:pPr>
            <w:r>
              <w:t>Number of Employees</w:t>
            </w:r>
          </w:p>
        </w:tc>
        <w:tc>
          <w:tcPr>
            <w:tcW w:w="523" w:type="pct"/>
            <w:vMerge/>
            <w:vAlign w:val="center"/>
            <w:hideMark/>
          </w:tcPr>
          <w:p w:rsidR="008A293B" w:rsidRPr="007E694C" w:rsidP="00CA0464" w14:paraId="50A67A90" w14:textId="77777777">
            <w:pPr>
              <w:pStyle w:val="TableSubtitle"/>
            </w:pPr>
          </w:p>
        </w:tc>
        <w:tc>
          <w:tcPr>
            <w:tcW w:w="466" w:type="pct"/>
            <w:shd w:val="clear" w:color="auto" w:fill="013E5B"/>
            <w:vAlign w:val="center"/>
            <w:hideMark/>
          </w:tcPr>
          <w:p w:rsidR="008A293B" w:rsidRPr="007E694C" w:rsidP="00CA0464" w14:paraId="1DB8BB49" w14:textId="77777777">
            <w:pPr>
              <w:pStyle w:val="TableSubtitle"/>
            </w:pPr>
            <w:r>
              <w:t>Percent</w:t>
            </w:r>
          </w:p>
        </w:tc>
        <w:tc>
          <w:tcPr>
            <w:tcW w:w="476" w:type="pct"/>
            <w:shd w:val="clear" w:color="auto" w:fill="013E5B"/>
            <w:vAlign w:val="center"/>
            <w:hideMark/>
          </w:tcPr>
          <w:p w:rsidR="008A293B" w:rsidRPr="007E694C" w:rsidP="00CA0464" w14:paraId="52F5923F" w14:textId="77777777">
            <w:pPr>
              <w:pStyle w:val="TableSubtitle"/>
            </w:pPr>
            <w:r>
              <w:t>Number</w:t>
            </w:r>
          </w:p>
        </w:tc>
      </w:tr>
      <w:tr w14:paraId="064B285E" w14:textId="77777777" w:rsidTr="0064758C">
        <w:tblPrEx>
          <w:tblW w:w="5048" w:type="pct"/>
          <w:tblLayout w:type="fixed"/>
          <w:tblLook w:val="04A0"/>
        </w:tblPrEx>
        <w:trPr>
          <w:trHeight w:val="20"/>
        </w:trPr>
        <w:tc>
          <w:tcPr>
            <w:tcW w:w="733" w:type="pct"/>
            <w:vMerge w:val="restart"/>
            <w:shd w:val="clear" w:color="auto" w:fill="auto"/>
            <w:vAlign w:val="center"/>
            <w:hideMark/>
          </w:tcPr>
          <w:p w:rsidR="00A22BB1" w:rsidP="00A22BB1" w14:paraId="1EAC172F" w14:textId="77777777">
            <w:pPr>
              <w:pStyle w:val="LTableTextAbt"/>
            </w:pPr>
            <w:r>
              <w:t>Processing into plastic and rubber products</w:t>
            </w:r>
          </w:p>
        </w:tc>
        <w:tc>
          <w:tcPr>
            <w:tcW w:w="425" w:type="pct"/>
            <w:shd w:val="clear" w:color="auto" w:fill="auto"/>
            <w:noWrap/>
            <w:vAlign w:val="center"/>
            <w:hideMark/>
          </w:tcPr>
          <w:p w:rsidR="00A22BB1" w:rsidP="00A22BB1" w14:paraId="4B02308D" w14:textId="77777777">
            <w:pPr>
              <w:pStyle w:val="LTableTextAbt"/>
              <w:rPr>
                <w:szCs w:val="18"/>
              </w:rPr>
            </w:pPr>
            <w:r>
              <w:rPr>
                <w:szCs w:val="18"/>
              </w:rPr>
              <w:t>325211</w:t>
            </w:r>
          </w:p>
        </w:tc>
        <w:tc>
          <w:tcPr>
            <w:tcW w:w="1193" w:type="pct"/>
            <w:shd w:val="clear" w:color="auto" w:fill="auto"/>
            <w:vAlign w:val="center"/>
            <w:hideMark/>
          </w:tcPr>
          <w:p w:rsidR="00A22BB1" w:rsidP="00A22BB1" w14:paraId="2E0D8031" w14:textId="77777777">
            <w:pPr>
              <w:pStyle w:val="LTableTextAbt"/>
              <w:rPr>
                <w:szCs w:val="18"/>
              </w:rPr>
            </w:pPr>
            <w:r>
              <w:rPr>
                <w:szCs w:val="18"/>
              </w:rPr>
              <w:t>Plastics Material and Resin Manufacturing</w:t>
            </w:r>
          </w:p>
        </w:tc>
        <w:tc>
          <w:tcPr>
            <w:tcW w:w="566" w:type="pct"/>
            <w:shd w:val="clear" w:color="auto" w:fill="auto"/>
            <w:noWrap/>
            <w:vAlign w:val="center"/>
            <w:hideMark/>
          </w:tcPr>
          <w:p w:rsidR="00A22BB1" w:rsidRPr="007E694C" w:rsidP="00A22BB1" w14:paraId="56FBB203" w14:textId="77777777">
            <w:pPr>
              <w:pStyle w:val="RTableTextAbt"/>
            </w:pPr>
            <w:r>
              <w:t>-</w:t>
            </w:r>
            <w:r w:rsidRPr="007E694C">
              <w:t> </w:t>
            </w:r>
          </w:p>
        </w:tc>
        <w:tc>
          <w:tcPr>
            <w:tcW w:w="618" w:type="pct"/>
            <w:shd w:val="clear" w:color="auto" w:fill="auto"/>
            <w:noWrap/>
            <w:vAlign w:val="center"/>
            <w:hideMark/>
          </w:tcPr>
          <w:p w:rsidR="00A22BB1" w:rsidRPr="007E694C" w:rsidP="00A22BB1" w14:paraId="10E9119B" w14:textId="77777777">
            <w:pPr>
              <w:pStyle w:val="RTableTextAbt"/>
            </w:pPr>
            <w:r w:rsidRPr="007E694C">
              <w:t>1,250</w:t>
            </w:r>
          </w:p>
        </w:tc>
        <w:tc>
          <w:tcPr>
            <w:tcW w:w="523" w:type="pct"/>
            <w:shd w:val="clear" w:color="auto" w:fill="auto"/>
            <w:noWrap/>
            <w:vAlign w:val="center"/>
            <w:hideMark/>
          </w:tcPr>
          <w:p w:rsidR="00A22BB1" w:rsidRPr="00A22BB1" w:rsidP="00A22BB1" w14:paraId="58552C17" w14:textId="7F2225B5">
            <w:pPr>
              <w:pStyle w:val="RTableTextAbt"/>
              <w:rPr>
                <w:szCs w:val="18"/>
              </w:rPr>
            </w:pPr>
            <w:r w:rsidRPr="0064758C">
              <w:rPr>
                <w:szCs w:val="18"/>
              </w:rPr>
              <w:t>4.36</w:t>
            </w:r>
          </w:p>
        </w:tc>
        <w:tc>
          <w:tcPr>
            <w:tcW w:w="466" w:type="pct"/>
            <w:shd w:val="clear" w:color="auto" w:fill="auto"/>
            <w:noWrap/>
            <w:vAlign w:val="center"/>
            <w:hideMark/>
          </w:tcPr>
          <w:p w:rsidR="00A22BB1" w:rsidRPr="008E2F60" w:rsidP="00A22BB1" w14:paraId="568964D1" w14:textId="5B481713">
            <w:pPr>
              <w:pStyle w:val="RTableTextAbt"/>
            </w:pPr>
            <w:r>
              <w:rPr>
                <w:szCs w:val="18"/>
              </w:rPr>
              <w:t>91%</w:t>
            </w:r>
          </w:p>
        </w:tc>
        <w:tc>
          <w:tcPr>
            <w:tcW w:w="476" w:type="pct"/>
            <w:shd w:val="clear" w:color="auto" w:fill="auto"/>
            <w:noWrap/>
            <w:vAlign w:val="center"/>
            <w:hideMark/>
          </w:tcPr>
          <w:p w:rsidR="00A22BB1" w:rsidRPr="008E2F60" w:rsidP="00A22BB1" w14:paraId="6FED866E" w14:textId="5C0D7A07">
            <w:pPr>
              <w:pStyle w:val="RTableTextAbt"/>
            </w:pPr>
            <w:r>
              <w:rPr>
                <w:szCs w:val="18"/>
              </w:rPr>
              <w:t>-</w:t>
            </w:r>
          </w:p>
        </w:tc>
      </w:tr>
      <w:tr w14:paraId="437A4939" w14:textId="77777777" w:rsidTr="0064758C">
        <w:tblPrEx>
          <w:tblW w:w="5048" w:type="pct"/>
          <w:tblLayout w:type="fixed"/>
          <w:tblLook w:val="04A0"/>
        </w:tblPrEx>
        <w:trPr>
          <w:trHeight w:val="20"/>
        </w:trPr>
        <w:tc>
          <w:tcPr>
            <w:tcW w:w="733" w:type="pct"/>
            <w:vMerge/>
            <w:vAlign w:val="center"/>
          </w:tcPr>
          <w:p w:rsidR="00A22BB1" w:rsidP="00A22BB1" w14:paraId="0C58621D" w14:textId="77777777">
            <w:pPr>
              <w:pStyle w:val="LTableTextAbt"/>
            </w:pPr>
          </w:p>
        </w:tc>
        <w:tc>
          <w:tcPr>
            <w:tcW w:w="425" w:type="pct"/>
            <w:shd w:val="clear" w:color="auto" w:fill="auto"/>
            <w:noWrap/>
            <w:vAlign w:val="center"/>
            <w:hideMark/>
          </w:tcPr>
          <w:p w:rsidR="00A22BB1" w:rsidP="00A22BB1" w14:paraId="35B89C59" w14:textId="77777777">
            <w:pPr>
              <w:pStyle w:val="LTableTextAbt"/>
              <w:rPr>
                <w:szCs w:val="18"/>
              </w:rPr>
            </w:pPr>
            <w:r>
              <w:rPr>
                <w:szCs w:val="18"/>
              </w:rPr>
              <w:t>325991</w:t>
            </w:r>
          </w:p>
        </w:tc>
        <w:tc>
          <w:tcPr>
            <w:tcW w:w="1193" w:type="pct"/>
            <w:shd w:val="clear" w:color="auto" w:fill="auto"/>
            <w:vAlign w:val="center"/>
            <w:hideMark/>
          </w:tcPr>
          <w:p w:rsidR="00A22BB1" w:rsidP="00A22BB1" w14:paraId="0652C373" w14:textId="77777777">
            <w:pPr>
              <w:pStyle w:val="LTableTextAbt"/>
              <w:rPr>
                <w:szCs w:val="18"/>
              </w:rPr>
            </w:pPr>
            <w:r>
              <w:rPr>
                <w:szCs w:val="18"/>
              </w:rPr>
              <w:t>Custom Compounding of Purchased Resins</w:t>
            </w:r>
          </w:p>
        </w:tc>
        <w:tc>
          <w:tcPr>
            <w:tcW w:w="566" w:type="pct"/>
            <w:shd w:val="clear" w:color="auto" w:fill="auto"/>
            <w:noWrap/>
            <w:vAlign w:val="center"/>
            <w:hideMark/>
          </w:tcPr>
          <w:p w:rsidR="00A22BB1" w:rsidRPr="007E694C" w:rsidP="00A22BB1" w14:paraId="3020C056" w14:textId="77777777">
            <w:pPr>
              <w:pStyle w:val="RTableTextAbt"/>
            </w:pPr>
            <w:r>
              <w:t>-</w:t>
            </w:r>
            <w:r w:rsidRPr="007E694C">
              <w:t> </w:t>
            </w:r>
          </w:p>
        </w:tc>
        <w:tc>
          <w:tcPr>
            <w:tcW w:w="618" w:type="pct"/>
            <w:shd w:val="clear" w:color="auto" w:fill="auto"/>
            <w:noWrap/>
            <w:vAlign w:val="center"/>
            <w:hideMark/>
          </w:tcPr>
          <w:p w:rsidR="00A22BB1" w:rsidRPr="007E694C" w:rsidP="00A22BB1" w14:paraId="737F6780" w14:textId="77777777">
            <w:pPr>
              <w:pStyle w:val="RTableTextAbt"/>
            </w:pPr>
            <w:r w:rsidRPr="007E694C">
              <w:t>600</w:t>
            </w:r>
          </w:p>
        </w:tc>
        <w:tc>
          <w:tcPr>
            <w:tcW w:w="523" w:type="pct"/>
            <w:shd w:val="clear" w:color="auto" w:fill="auto"/>
            <w:noWrap/>
            <w:vAlign w:val="center"/>
            <w:hideMark/>
          </w:tcPr>
          <w:p w:rsidR="00A22BB1" w:rsidRPr="00A22BB1" w:rsidP="00A22BB1" w14:paraId="79B2858B" w14:textId="0C0F4054">
            <w:pPr>
              <w:pStyle w:val="RTableTextAbt"/>
              <w:rPr>
                <w:szCs w:val="18"/>
              </w:rPr>
            </w:pPr>
            <w:r w:rsidRPr="0064758C">
              <w:rPr>
                <w:szCs w:val="18"/>
              </w:rPr>
              <w:t>1.64</w:t>
            </w:r>
          </w:p>
        </w:tc>
        <w:tc>
          <w:tcPr>
            <w:tcW w:w="466" w:type="pct"/>
            <w:shd w:val="clear" w:color="auto" w:fill="auto"/>
            <w:noWrap/>
            <w:vAlign w:val="center"/>
            <w:hideMark/>
          </w:tcPr>
          <w:p w:rsidR="00A22BB1" w:rsidRPr="008E2F60" w:rsidP="00A22BB1" w14:paraId="50BA2300" w14:textId="0BC999E3">
            <w:pPr>
              <w:pStyle w:val="RTableTextAbt"/>
            </w:pPr>
            <w:r>
              <w:rPr>
                <w:szCs w:val="18"/>
              </w:rPr>
              <w:t>88%</w:t>
            </w:r>
          </w:p>
        </w:tc>
        <w:tc>
          <w:tcPr>
            <w:tcW w:w="476" w:type="pct"/>
            <w:shd w:val="clear" w:color="auto" w:fill="auto"/>
            <w:noWrap/>
            <w:vAlign w:val="center"/>
            <w:hideMark/>
          </w:tcPr>
          <w:p w:rsidR="00A22BB1" w:rsidRPr="008E2F60" w:rsidP="00A22BB1" w14:paraId="0FDD9A6F" w14:textId="40238B91">
            <w:pPr>
              <w:pStyle w:val="RTableTextAbt"/>
            </w:pPr>
            <w:r>
              <w:rPr>
                <w:szCs w:val="18"/>
              </w:rPr>
              <w:t>-</w:t>
            </w:r>
          </w:p>
        </w:tc>
      </w:tr>
      <w:tr w14:paraId="43FC464D" w14:textId="77777777" w:rsidTr="006C22DC">
        <w:tblPrEx>
          <w:tblW w:w="5048" w:type="pct"/>
          <w:tblLayout w:type="fixed"/>
          <w:tblLook w:val="04A0"/>
        </w:tblPrEx>
        <w:trPr>
          <w:trHeight w:val="20"/>
        </w:trPr>
        <w:tc>
          <w:tcPr>
            <w:tcW w:w="733" w:type="pct"/>
            <w:vMerge/>
            <w:vAlign w:val="center"/>
          </w:tcPr>
          <w:p w:rsidR="002356CF" w:rsidP="002356CF" w14:paraId="4B8BEF15" w14:textId="77777777">
            <w:pPr>
              <w:pStyle w:val="LTableTextAbt"/>
            </w:pPr>
          </w:p>
        </w:tc>
        <w:tc>
          <w:tcPr>
            <w:tcW w:w="1618" w:type="pct"/>
            <w:gridSpan w:val="2"/>
            <w:shd w:val="clear" w:color="auto" w:fill="auto"/>
            <w:noWrap/>
            <w:vAlign w:val="center"/>
          </w:tcPr>
          <w:p w:rsidR="002356CF" w:rsidRPr="0064758C" w:rsidP="0064758C" w14:paraId="4299D60A" w14:textId="704F693D">
            <w:pPr>
              <w:pStyle w:val="LTableTextAbt"/>
              <w:jc w:val="right"/>
              <w:rPr>
                <w:b/>
                <w:bCs w:val="0"/>
                <w:i/>
                <w:iCs/>
                <w:szCs w:val="18"/>
              </w:rPr>
            </w:pPr>
            <w:r w:rsidRPr="0064758C">
              <w:rPr>
                <w:b/>
                <w:bCs w:val="0"/>
                <w:i/>
                <w:iCs/>
                <w:szCs w:val="18"/>
              </w:rPr>
              <w:t>Subtotal</w:t>
            </w:r>
          </w:p>
        </w:tc>
        <w:tc>
          <w:tcPr>
            <w:tcW w:w="566" w:type="pct"/>
            <w:shd w:val="clear" w:color="auto" w:fill="auto"/>
            <w:noWrap/>
            <w:vAlign w:val="center"/>
          </w:tcPr>
          <w:p w:rsidR="002356CF" w:rsidRPr="0064758C" w:rsidP="002356CF" w14:paraId="22B50D6F" w14:textId="77777777">
            <w:pPr>
              <w:pStyle w:val="RTableTextAbt"/>
              <w:rPr>
                <w:b/>
                <w:bCs w:val="0"/>
                <w:i/>
                <w:iCs/>
              </w:rPr>
            </w:pPr>
          </w:p>
        </w:tc>
        <w:tc>
          <w:tcPr>
            <w:tcW w:w="618" w:type="pct"/>
            <w:shd w:val="clear" w:color="auto" w:fill="auto"/>
            <w:noWrap/>
            <w:vAlign w:val="center"/>
          </w:tcPr>
          <w:p w:rsidR="002356CF" w:rsidRPr="0064758C" w:rsidP="002356CF" w14:paraId="16D11FF6" w14:textId="77777777">
            <w:pPr>
              <w:pStyle w:val="RTableTextAbt"/>
              <w:rPr>
                <w:b/>
                <w:bCs w:val="0"/>
                <w:i/>
                <w:iCs/>
              </w:rPr>
            </w:pPr>
          </w:p>
        </w:tc>
        <w:tc>
          <w:tcPr>
            <w:tcW w:w="523" w:type="pct"/>
            <w:shd w:val="clear" w:color="auto" w:fill="auto"/>
            <w:noWrap/>
            <w:vAlign w:val="center"/>
          </w:tcPr>
          <w:p w:rsidR="002356CF" w:rsidRPr="0064758C" w:rsidP="002356CF" w14:paraId="6FC3E287" w14:textId="72C882EE">
            <w:pPr>
              <w:pStyle w:val="RTableTextAbt"/>
              <w:rPr>
                <w:b/>
                <w:bCs w:val="0"/>
                <w:i/>
                <w:iCs/>
                <w:szCs w:val="18"/>
              </w:rPr>
            </w:pPr>
            <w:r w:rsidRPr="0064758C">
              <w:rPr>
                <w:b/>
                <w:bCs w:val="0"/>
                <w:i/>
                <w:iCs/>
                <w:szCs w:val="18"/>
              </w:rPr>
              <w:t>6</w:t>
            </w:r>
          </w:p>
        </w:tc>
        <w:tc>
          <w:tcPr>
            <w:tcW w:w="466" w:type="pct"/>
            <w:shd w:val="clear" w:color="auto" w:fill="auto"/>
            <w:noWrap/>
            <w:vAlign w:val="center"/>
          </w:tcPr>
          <w:p w:rsidR="002356CF" w:rsidRPr="0064758C" w:rsidP="002356CF" w14:paraId="48D63DCB" w14:textId="5CA6124B">
            <w:pPr>
              <w:pStyle w:val="RTableTextAbt"/>
              <w:rPr>
                <w:b/>
                <w:bCs w:val="0"/>
                <w:i/>
                <w:iCs/>
                <w:szCs w:val="18"/>
              </w:rPr>
            </w:pPr>
            <w:r w:rsidRPr="0064758C">
              <w:rPr>
                <w:b/>
                <w:bCs w:val="0"/>
                <w:i/>
                <w:iCs/>
                <w:szCs w:val="18"/>
              </w:rPr>
              <w:t>90%</w:t>
            </w:r>
          </w:p>
        </w:tc>
        <w:tc>
          <w:tcPr>
            <w:tcW w:w="476" w:type="pct"/>
            <w:shd w:val="clear" w:color="auto" w:fill="auto"/>
            <w:noWrap/>
            <w:vAlign w:val="center"/>
          </w:tcPr>
          <w:p w:rsidR="002356CF" w:rsidRPr="0064758C" w:rsidP="002356CF" w14:paraId="5E0D6C30" w14:textId="6A189D30">
            <w:pPr>
              <w:pStyle w:val="RTableTextAbt"/>
              <w:rPr>
                <w:b/>
                <w:bCs w:val="0"/>
                <w:i/>
                <w:iCs/>
                <w:szCs w:val="18"/>
              </w:rPr>
            </w:pPr>
            <w:r w:rsidRPr="0064758C">
              <w:rPr>
                <w:b/>
                <w:bCs w:val="0"/>
                <w:i/>
                <w:iCs/>
                <w:szCs w:val="18"/>
              </w:rPr>
              <w:t>5</w:t>
            </w:r>
          </w:p>
        </w:tc>
      </w:tr>
      <w:tr w14:paraId="2E23B3F7" w14:textId="77777777" w:rsidTr="00CA0464">
        <w:tblPrEx>
          <w:tblW w:w="5048" w:type="pct"/>
          <w:tblLayout w:type="fixed"/>
          <w:tblLook w:val="04A0"/>
        </w:tblPrEx>
        <w:trPr>
          <w:trHeight w:val="20"/>
        </w:trPr>
        <w:tc>
          <w:tcPr>
            <w:tcW w:w="733" w:type="pct"/>
            <w:vMerge w:val="restart"/>
            <w:shd w:val="clear" w:color="auto" w:fill="auto"/>
            <w:vAlign w:val="center"/>
            <w:hideMark/>
          </w:tcPr>
          <w:p w:rsidR="002013BA" w:rsidP="002013BA" w14:paraId="4557F2B0" w14:textId="77777777">
            <w:pPr>
              <w:pStyle w:val="LTableTextAbt"/>
            </w:pPr>
            <w:r>
              <w:t>Automotive painting (new vehicles)</w:t>
            </w:r>
          </w:p>
        </w:tc>
        <w:tc>
          <w:tcPr>
            <w:tcW w:w="425" w:type="pct"/>
            <w:shd w:val="clear" w:color="auto" w:fill="auto"/>
            <w:noWrap/>
            <w:vAlign w:val="center"/>
            <w:hideMark/>
          </w:tcPr>
          <w:p w:rsidR="002013BA" w:rsidP="002013BA" w14:paraId="5A0621C1" w14:textId="77777777">
            <w:pPr>
              <w:pStyle w:val="LTableTextAbt"/>
              <w:rPr>
                <w:szCs w:val="18"/>
              </w:rPr>
            </w:pPr>
            <w:r>
              <w:rPr>
                <w:szCs w:val="18"/>
              </w:rPr>
              <w:t>336111</w:t>
            </w:r>
          </w:p>
        </w:tc>
        <w:tc>
          <w:tcPr>
            <w:tcW w:w="1193" w:type="pct"/>
            <w:shd w:val="clear" w:color="auto" w:fill="auto"/>
            <w:vAlign w:val="center"/>
            <w:hideMark/>
          </w:tcPr>
          <w:p w:rsidR="002013BA" w:rsidP="002013BA" w14:paraId="3849BE75" w14:textId="77777777">
            <w:pPr>
              <w:pStyle w:val="LTableTextAbt"/>
              <w:rPr>
                <w:szCs w:val="18"/>
              </w:rPr>
            </w:pPr>
            <w:r>
              <w:rPr>
                <w:szCs w:val="18"/>
              </w:rPr>
              <w:t>Automobile Manufacturing</w:t>
            </w:r>
          </w:p>
        </w:tc>
        <w:tc>
          <w:tcPr>
            <w:tcW w:w="566" w:type="pct"/>
            <w:shd w:val="clear" w:color="auto" w:fill="auto"/>
            <w:noWrap/>
            <w:vAlign w:val="center"/>
            <w:hideMark/>
          </w:tcPr>
          <w:p w:rsidR="002013BA" w:rsidRPr="007E694C" w:rsidP="002013BA" w14:paraId="001C6414" w14:textId="77777777">
            <w:pPr>
              <w:pStyle w:val="RTableTextAbt"/>
            </w:pPr>
            <w:r>
              <w:t>-</w:t>
            </w:r>
            <w:r w:rsidRPr="007E694C">
              <w:t> </w:t>
            </w:r>
          </w:p>
        </w:tc>
        <w:tc>
          <w:tcPr>
            <w:tcW w:w="618" w:type="pct"/>
            <w:shd w:val="clear" w:color="auto" w:fill="auto"/>
            <w:noWrap/>
            <w:vAlign w:val="center"/>
            <w:hideMark/>
          </w:tcPr>
          <w:p w:rsidR="002013BA" w:rsidRPr="007E694C" w:rsidP="002013BA" w14:paraId="5C37F103" w14:textId="77777777">
            <w:pPr>
              <w:pStyle w:val="RTableTextAbt"/>
            </w:pPr>
            <w:r w:rsidRPr="007E694C">
              <w:t>1,500</w:t>
            </w:r>
          </w:p>
        </w:tc>
        <w:tc>
          <w:tcPr>
            <w:tcW w:w="523" w:type="pct"/>
            <w:shd w:val="clear" w:color="auto" w:fill="auto"/>
            <w:noWrap/>
            <w:vAlign w:val="center"/>
            <w:hideMark/>
          </w:tcPr>
          <w:p w:rsidR="002013BA" w:rsidRPr="00A22BB1" w:rsidP="002013BA" w14:paraId="6925DE33" w14:textId="7A74411E">
            <w:pPr>
              <w:pStyle w:val="RTableTextAbt"/>
              <w:rPr>
                <w:szCs w:val="18"/>
              </w:rPr>
            </w:pPr>
            <w:r>
              <w:rPr>
                <w:szCs w:val="18"/>
              </w:rPr>
              <w:t>154</w:t>
            </w:r>
          </w:p>
        </w:tc>
        <w:tc>
          <w:tcPr>
            <w:tcW w:w="466" w:type="pct"/>
            <w:shd w:val="clear" w:color="auto" w:fill="auto"/>
            <w:noWrap/>
            <w:vAlign w:val="center"/>
            <w:hideMark/>
          </w:tcPr>
          <w:p w:rsidR="002013BA" w:rsidRPr="008E2F60" w:rsidP="002013BA" w14:paraId="6CCA3825" w14:textId="7DC6EE70">
            <w:pPr>
              <w:pStyle w:val="RTableTextAbt"/>
            </w:pPr>
            <w:r>
              <w:rPr>
                <w:szCs w:val="18"/>
              </w:rPr>
              <w:t>89%</w:t>
            </w:r>
          </w:p>
        </w:tc>
        <w:tc>
          <w:tcPr>
            <w:tcW w:w="476" w:type="pct"/>
            <w:shd w:val="clear" w:color="auto" w:fill="auto"/>
            <w:noWrap/>
            <w:vAlign w:val="center"/>
            <w:hideMark/>
          </w:tcPr>
          <w:p w:rsidR="002013BA" w:rsidRPr="008E2F60" w:rsidP="002013BA" w14:paraId="24D8D9AE" w14:textId="2EAE043B">
            <w:pPr>
              <w:pStyle w:val="RTableTextAbt"/>
            </w:pPr>
            <w:r>
              <w:rPr>
                <w:szCs w:val="18"/>
              </w:rPr>
              <w:t>-</w:t>
            </w:r>
          </w:p>
        </w:tc>
      </w:tr>
      <w:tr w14:paraId="5392E9ED" w14:textId="77777777" w:rsidTr="00CA0464">
        <w:tblPrEx>
          <w:tblW w:w="5048" w:type="pct"/>
          <w:tblLayout w:type="fixed"/>
          <w:tblLook w:val="04A0"/>
        </w:tblPrEx>
        <w:trPr>
          <w:trHeight w:val="20"/>
        </w:trPr>
        <w:tc>
          <w:tcPr>
            <w:tcW w:w="733" w:type="pct"/>
            <w:vMerge/>
            <w:vAlign w:val="center"/>
          </w:tcPr>
          <w:p w:rsidR="002013BA" w:rsidP="002013BA" w14:paraId="2ABBD6B6" w14:textId="77777777">
            <w:pPr>
              <w:pStyle w:val="LTableTextAbt"/>
            </w:pPr>
          </w:p>
        </w:tc>
        <w:tc>
          <w:tcPr>
            <w:tcW w:w="425" w:type="pct"/>
            <w:shd w:val="clear" w:color="auto" w:fill="auto"/>
            <w:noWrap/>
            <w:vAlign w:val="center"/>
            <w:hideMark/>
          </w:tcPr>
          <w:p w:rsidR="002013BA" w:rsidP="002013BA" w14:paraId="0328BEA4" w14:textId="77777777">
            <w:pPr>
              <w:pStyle w:val="LTableTextAbt"/>
              <w:rPr>
                <w:szCs w:val="18"/>
              </w:rPr>
            </w:pPr>
            <w:r>
              <w:rPr>
                <w:szCs w:val="18"/>
              </w:rPr>
              <w:t>336112</w:t>
            </w:r>
          </w:p>
        </w:tc>
        <w:tc>
          <w:tcPr>
            <w:tcW w:w="1193" w:type="pct"/>
            <w:shd w:val="clear" w:color="auto" w:fill="auto"/>
            <w:vAlign w:val="center"/>
            <w:hideMark/>
          </w:tcPr>
          <w:p w:rsidR="002013BA" w:rsidP="002013BA" w14:paraId="4D2647BC" w14:textId="77777777">
            <w:pPr>
              <w:pStyle w:val="LTableTextAbt"/>
              <w:rPr>
                <w:szCs w:val="18"/>
              </w:rPr>
            </w:pPr>
            <w:r>
              <w:rPr>
                <w:szCs w:val="18"/>
              </w:rPr>
              <w:t>Light Truck and Utility Vehicle Manufacturing</w:t>
            </w:r>
          </w:p>
        </w:tc>
        <w:tc>
          <w:tcPr>
            <w:tcW w:w="566" w:type="pct"/>
            <w:shd w:val="clear" w:color="auto" w:fill="auto"/>
            <w:noWrap/>
            <w:vAlign w:val="center"/>
            <w:hideMark/>
          </w:tcPr>
          <w:p w:rsidR="002013BA" w:rsidRPr="007E694C" w:rsidP="002013BA" w14:paraId="509ACCF1" w14:textId="77777777">
            <w:pPr>
              <w:pStyle w:val="RTableTextAbt"/>
            </w:pPr>
            <w:r>
              <w:t>-</w:t>
            </w:r>
            <w:r w:rsidRPr="007E694C">
              <w:t> </w:t>
            </w:r>
          </w:p>
        </w:tc>
        <w:tc>
          <w:tcPr>
            <w:tcW w:w="618" w:type="pct"/>
            <w:shd w:val="clear" w:color="auto" w:fill="auto"/>
            <w:noWrap/>
            <w:vAlign w:val="center"/>
            <w:hideMark/>
          </w:tcPr>
          <w:p w:rsidR="002013BA" w:rsidRPr="007E694C" w:rsidP="002013BA" w14:paraId="5DB51BA1" w14:textId="77777777">
            <w:pPr>
              <w:pStyle w:val="RTableTextAbt"/>
            </w:pPr>
            <w:r w:rsidRPr="007E694C">
              <w:t>1,500</w:t>
            </w:r>
          </w:p>
        </w:tc>
        <w:tc>
          <w:tcPr>
            <w:tcW w:w="523" w:type="pct"/>
            <w:shd w:val="clear" w:color="auto" w:fill="auto"/>
            <w:noWrap/>
            <w:vAlign w:val="center"/>
            <w:hideMark/>
          </w:tcPr>
          <w:p w:rsidR="002013BA" w:rsidRPr="00A22BB1" w:rsidP="002013BA" w14:paraId="07F1E6C7" w14:textId="11775734">
            <w:pPr>
              <w:pStyle w:val="RTableTextAbt"/>
              <w:rPr>
                <w:szCs w:val="18"/>
              </w:rPr>
            </w:pPr>
            <w:r>
              <w:rPr>
                <w:szCs w:val="18"/>
              </w:rPr>
              <w:t>49</w:t>
            </w:r>
          </w:p>
        </w:tc>
        <w:tc>
          <w:tcPr>
            <w:tcW w:w="466" w:type="pct"/>
            <w:shd w:val="clear" w:color="auto" w:fill="auto"/>
            <w:noWrap/>
            <w:vAlign w:val="center"/>
            <w:hideMark/>
          </w:tcPr>
          <w:p w:rsidR="002013BA" w:rsidRPr="008E2F60" w:rsidP="002013BA" w14:paraId="662F1A5C" w14:textId="364BE70A">
            <w:pPr>
              <w:pStyle w:val="RTableTextAbt"/>
            </w:pPr>
            <w:r>
              <w:rPr>
                <w:szCs w:val="18"/>
              </w:rPr>
              <w:t>75%</w:t>
            </w:r>
          </w:p>
        </w:tc>
        <w:tc>
          <w:tcPr>
            <w:tcW w:w="476" w:type="pct"/>
            <w:shd w:val="clear" w:color="auto" w:fill="auto"/>
            <w:noWrap/>
            <w:vAlign w:val="center"/>
            <w:hideMark/>
          </w:tcPr>
          <w:p w:rsidR="002013BA" w:rsidRPr="008E2F60" w:rsidP="002013BA" w14:paraId="381332DC" w14:textId="64E51B01">
            <w:pPr>
              <w:pStyle w:val="RTableTextAbt"/>
            </w:pPr>
            <w:r>
              <w:rPr>
                <w:szCs w:val="18"/>
              </w:rPr>
              <w:t>-</w:t>
            </w:r>
          </w:p>
        </w:tc>
      </w:tr>
      <w:tr w14:paraId="68EE5BA2" w14:textId="77777777" w:rsidTr="00CA0464">
        <w:tblPrEx>
          <w:tblW w:w="5048" w:type="pct"/>
          <w:tblLayout w:type="fixed"/>
          <w:tblLook w:val="04A0"/>
        </w:tblPrEx>
        <w:trPr>
          <w:trHeight w:val="20"/>
        </w:trPr>
        <w:tc>
          <w:tcPr>
            <w:tcW w:w="733" w:type="pct"/>
            <w:vMerge/>
            <w:vAlign w:val="center"/>
          </w:tcPr>
          <w:p w:rsidR="002013BA" w:rsidP="002013BA" w14:paraId="4625184B" w14:textId="77777777">
            <w:pPr>
              <w:pStyle w:val="LTableTextAbt"/>
            </w:pPr>
          </w:p>
        </w:tc>
        <w:tc>
          <w:tcPr>
            <w:tcW w:w="425" w:type="pct"/>
            <w:shd w:val="clear" w:color="auto" w:fill="auto"/>
            <w:noWrap/>
            <w:vAlign w:val="center"/>
            <w:hideMark/>
          </w:tcPr>
          <w:p w:rsidR="002013BA" w:rsidP="002013BA" w14:paraId="1821BE01" w14:textId="77777777">
            <w:pPr>
              <w:pStyle w:val="LTableTextAbt"/>
              <w:rPr>
                <w:szCs w:val="18"/>
              </w:rPr>
            </w:pPr>
            <w:r>
              <w:rPr>
                <w:szCs w:val="18"/>
              </w:rPr>
              <w:t>336211</w:t>
            </w:r>
          </w:p>
        </w:tc>
        <w:tc>
          <w:tcPr>
            <w:tcW w:w="1193" w:type="pct"/>
            <w:shd w:val="clear" w:color="auto" w:fill="auto"/>
            <w:vAlign w:val="center"/>
            <w:hideMark/>
          </w:tcPr>
          <w:p w:rsidR="002013BA" w:rsidP="002013BA" w14:paraId="6182EE26" w14:textId="77777777">
            <w:pPr>
              <w:pStyle w:val="LTableTextAbt"/>
              <w:rPr>
                <w:szCs w:val="18"/>
              </w:rPr>
            </w:pPr>
            <w:r>
              <w:rPr>
                <w:szCs w:val="18"/>
              </w:rPr>
              <w:t>Motor Vehicle Body Manufacturing</w:t>
            </w:r>
          </w:p>
        </w:tc>
        <w:tc>
          <w:tcPr>
            <w:tcW w:w="566" w:type="pct"/>
            <w:shd w:val="clear" w:color="auto" w:fill="auto"/>
            <w:noWrap/>
            <w:vAlign w:val="center"/>
            <w:hideMark/>
          </w:tcPr>
          <w:p w:rsidR="002013BA" w:rsidRPr="007E694C" w:rsidP="002013BA" w14:paraId="76F71413" w14:textId="77777777">
            <w:pPr>
              <w:pStyle w:val="RTableTextAbt"/>
            </w:pPr>
            <w:r>
              <w:t>-</w:t>
            </w:r>
            <w:r w:rsidRPr="007E694C">
              <w:t> </w:t>
            </w:r>
          </w:p>
        </w:tc>
        <w:tc>
          <w:tcPr>
            <w:tcW w:w="618" w:type="pct"/>
            <w:shd w:val="clear" w:color="auto" w:fill="auto"/>
            <w:noWrap/>
            <w:vAlign w:val="center"/>
            <w:hideMark/>
          </w:tcPr>
          <w:p w:rsidR="002013BA" w:rsidRPr="007E694C" w:rsidP="002013BA" w14:paraId="7FCA08CC" w14:textId="77777777">
            <w:pPr>
              <w:pStyle w:val="RTableTextAbt"/>
            </w:pPr>
            <w:r w:rsidRPr="007E694C">
              <w:t>1,000</w:t>
            </w:r>
          </w:p>
        </w:tc>
        <w:tc>
          <w:tcPr>
            <w:tcW w:w="523" w:type="pct"/>
            <w:shd w:val="clear" w:color="auto" w:fill="auto"/>
            <w:noWrap/>
            <w:vAlign w:val="center"/>
            <w:hideMark/>
          </w:tcPr>
          <w:p w:rsidR="002013BA" w:rsidRPr="005A5F9C" w:rsidP="002013BA" w14:paraId="04C06988" w14:textId="44CED36B">
            <w:pPr>
              <w:pStyle w:val="RTableTextAbt"/>
              <w:rPr>
                <w:szCs w:val="18"/>
              </w:rPr>
            </w:pPr>
            <w:r>
              <w:rPr>
                <w:szCs w:val="18"/>
              </w:rPr>
              <w:t>629</w:t>
            </w:r>
          </w:p>
        </w:tc>
        <w:tc>
          <w:tcPr>
            <w:tcW w:w="466" w:type="pct"/>
            <w:shd w:val="clear" w:color="auto" w:fill="auto"/>
            <w:noWrap/>
            <w:vAlign w:val="center"/>
            <w:hideMark/>
          </w:tcPr>
          <w:p w:rsidR="002013BA" w:rsidRPr="008E2F60" w:rsidP="002013BA" w14:paraId="649D3DC7" w14:textId="653CE731">
            <w:pPr>
              <w:pStyle w:val="RTableTextAbt"/>
            </w:pPr>
            <w:r>
              <w:rPr>
                <w:szCs w:val="18"/>
              </w:rPr>
              <w:t>94%</w:t>
            </w:r>
          </w:p>
        </w:tc>
        <w:tc>
          <w:tcPr>
            <w:tcW w:w="476" w:type="pct"/>
            <w:shd w:val="clear" w:color="auto" w:fill="auto"/>
            <w:noWrap/>
            <w:vAlign w:val="center"/>
            <w:hideMark/>
          </w:tcPr>
          <w:p w:rsidR="002013BA" w:rsidRPr="008E2F60" w:rsidP="002013BA" w14:paraId="7F57DE0B" w14:textId="4449F1D2">
            <w:pPr>
              <w:pStyle w:val="RTableTextAbt"/>
            </w:pPr>
            <w:r>
              <w:rPr>
                <w:szCs w:val="18"/>
              </w:rPr>
              <w:t>-</w:t>
            </w:r>
          </w:p>
        </w:tc>
      </w:tr>
      <w:tr w14:paraId="265EA07E" w14:textId="77777777" w:rsidTr="0064758C">
        <w:tblPrEx>
          <w:tblW w:w="5048" w:type="pct"/>
          <w:tblLayout w:type="fixed"/>
          <w:tblLook w:val="04A0"/>
        </w:tblPrEx>
        <w:trPr>
          <w:trHeight w:val="20"/>
        </w:trPr>
        <w:tc>
          <w:tcPr>
            <w:tcW w:w="733" w:type="pct"/>
            <w:vMerge/>
            <w:vAlign w:val="center"/>
          </w:tcPr>
          <w:p w:rsidR="002E554D" w:rsidP="002E554D" w14:paraId="739B2026" w14:textId="77777777">
            <w:pPr>
              <w:pStyle w:val="LTableTextAbt"/>
            </w:pPr>
          </w:p>
        </w:tc>
        <w:tc>
          <w:tcPr>
            <w:tcW w:w="1618" w:type="pct"/>
            <w:gridSpan w:val="2"/>
            <w:shd w:val="clear" w:color="auto" w:fill="auto"/>
            <w:noWrap/>
            <w:vAlign w:val="center"/>
          </w:tcPr>
          <w:p w:rsidR="002E554D" w:rsidRPr="0064758C" w:rsidP="0064758C" w14:paraId="622E8E5E" w14:textId="468A147B">
            <w:pPr>
              <w:pStyle w:val="LTableTextAbt"/>
              <w:jc w:val="right"/>
              <w:rPr>
                <w:b/>
                <w:bCs w:val="0"/>
                <w:i/>
                <w:iCs/>
                <w:szCs w:val="18"/>
              </w:rPr>
            </w:pPr>
            <w:r w:rsidRPr="0064758C">
              <w:rPr>
                <w:b/>
                <w:bCs w:val="0"/>
                <w:i/>
                <w:iCs/>
                <w:szCs w:val="18"/>
              </w:rPr>
              <w:t>Subtotal</w:t>
            </w:r>
          </w:p>
        </w:tc>
        <w:tc>
          <w:tcPr>
            <w:tcW w:w="566" w:type="pct"/>
            <w:shd w:val="clear" w:color="auto" w:fill="auto"/>
            <w:noWrap/>
            <w:vAlign w:val="center"/>
          </w:tcPr>
          <w:p w:rsidR="002E554D" w:rsidRPr="0064758C" w:rsidP="005A5F9C" w14:paraId="2F188D1B" w14:textId="77777777">
            <w:pPr>
              <w:pStyle w:val="RTableTextAbt"/>
              <w:rPr>
                <w:b/>
                <w:bCs w:val="0"/>
                <w:i/>
                <w:iCs/>
              </w:rPr>
            </w:pPr>
          </w:p>
        </w:tc>
        <w:tc>
          <w:tcPr>
            <w:tcW w:w="618" w:type="pct"/>
            <w:shd w:val="clear" w:color="auto" w:fill="auto"/>
            <w:noWrap/>
            <w:vAlign w:val="center"/>
          </w:tcPr>
          <w:p w:rsidR="002E554D" w:rsidRPr="0064758C" w:rsidP="005A5F9C" w14:paraId="5BEA204B" w14:textId="77777777">
            <w:pPr>
              <w:pStyle w:val="RTableTextAbt"/>
              <w:rPr>
                <w:b/>
                <w:bCs w:val="0"/>
                <w:i/>
                <w:iCs/>
              </w:rPr>
            </w:pPr>
          </w:p>
        </w:tc>
        <w:tc>
          <w:tcPr>
            <w:tcW w:w="523" w:type="pct"/>
            <w:shd w:val="clear" w:color="auto" w:fill="auto"/>
            <w:noWrap/>
            <w:vAlign w:val="center"/>
          </w:tcPr>
          <w:p w:rsidR="002E554D" w:rsidRPr="0064758C" w:rsidP="005A5F9C" w14:paraId="3FE5D522" w14:textId="57292002">
            <w:pPr>
              <w:pStyle w:val="RTableTextAbt"/>
              <w:rPr>
                <w:b/>
                <w:bCs w:val="0"/>
                <w:i/>
                <w:iCs/>
                <w:szCs w:val="18"/>
              </w:rPr>
            </w:pPr>
            <w:r w:rsidRPr="0064758C">
              <w:rPr>
                <w:b/>
                <w:bCs w:val="0"/>
                <w:i/>
                <w:iCs/>
                <w:szCs w:val="18"/>
              </w:rPr>
              <w:t>832</w:t>
            </w:r>
          </w:p>
        </w:tc>
        <w:tc>
          <w:tcPr>
            <w:tcW w:w="466" w:type="pct"/>
            <w:shd w:val="clear" w:color="auto" w:fill="auto"/>
            <w:noWrap/>
            <w:vAlign w:val="center"/>
          </w:tcPr>
          <w:p w:rsidR="002E554D" w:rsidRPr="0064758C" w:rsidP="005A5F9C" w14:paraId="6F2E44CD" w14:textId="5FBDCDC2">
            <w:pPr>
              <w:pStyle w:val="RTableTextAbt"/>
              <w:rPr>
                <w:b/>
                <w:bCs w:val="0"/>
                <w:i/>
                <w:iCs/>
                <w:szCs w:val="18"/>
              </w:rPr>
            </w:pPr>
            <w:r w:rsidRPr="0064758C">
              <w:rPr>
                <w:b/>
                <w:bCs w:val="0"/>
                <w:i/>
                <w:iCs/>
                <w:szCs w:val="18"/>
              </w:rPr>
              <w:t>92%</w:t>
            </w:r>
          </w:p>
        </w:tc>
        <w:tc>
          <w:tcPr>
            <w:tcW w:w="476" w:type="pct"/>
            <w:shd w:val="clear" w:color="auto" w:fill="auto"/>
            <w:noWrap/>
            <w:vAlign w:val="center"/>
          </w:tcPr>
          <w:p w:rsidR="002E554D" w:rsidRPr="0064758C" w:rsidP="005A5F9C" w14:paraId="5D12694D" w14:textId="0F8B6DF0">
            <w:pPr>
              <w:pStyle w:val="RTableTextAbt"/>
              <w:rPr>
                <w:b/>
                <w:bCs w:val="0"/>
                <w:i/>
                <w:iCs/>
                <w:szCs w:val="18"/>
              </w:rPr>
            </w:pPr>
            <w:r w:rsidRPr="0064758C">
              <w:rPr>
                <w:b/>
                <w:bCs w:val="0"/>
                <w:i/>
                <w:iCs/>
                <w:szCs w:val="18"/>
              </w:rPr>
              <w:t>763</w:t>
            </w:r>
          </w:p>
        </w:tc>
      </w:tr>
      <w:tr w14:paraId="25B09184" w14:textId="77777777" w:rsidTr="00CA0464">
        <w:tblPrEx>
          <w:tblW w:w="5048" w:type="pct"/>
          <w:tblLayout w:type="fixed"/>
          <w:tblLook w:val="04A0"/>
        </w:tblPrEx>
        <w:trPr>
          <w:trHeight w:val="20"/>
        </w:trPr>
        <w:tc>
          <w:tcPr>
            <w:tcW w:w="733" w:type="pct"/>
            <w:vMerge w:val="restart"/>
            <w:shd w:val="clear" w:color="auto" w:fill="auto"/>
            <w:vAlign w:val="center"/>
            <w:hideMark/>
          </w:tcPr>
          <w:p w:rsidR="002013BA" w:rsidP="002013BA" w14:paraId="1B3E37A3" w14:textId="77777777">
            <w:pPr>
              <w:pStyle w:val="LTableTextAbt"/>
            </w:pPr>
            <w:r>
              <w:t>Recycling</w:t>
            </w:r>
          </w:p>
        </w:tc>
        <w:tc>
          <w:tcPr>
            <w:tcW w:w="425" w:type="pct"/>
            <w:shd w:val="clear" w:color="auto" w:fill="auto"/>
            <w:noWrap/>
            <w:vAlign w:val="center"/>
            <w:hideMark/>
          </w:tcPr>
          <w:p w:rsidR="002013BA" w:rsidP="002013BA" w14:paraId="3CE91D44" w14:textId="77777777">
            <w:pPr>
              <w:pStyle w:val="LTableTextAbt"/>
              <w:rPr>
                <w:szCs w:val="18"/>
              </w:rPr>
            </w:pPr>
            <w:r>
              <w:rPr>
                <w:szCs w:val="18"/>
              </w:rPr>
              <w:t>423140</w:t>
            </w:r>
          </w:p>
        </w:tc>
        <w:tc>
          <w:tcPr>
            <w:tcW w:w="1193" w:type="pct"/>
            <w:shd w:val="clear" w:color="auto" w:fill="auto"/>
            <w:vAlign w:val="center"/>
            <w:hideMark/>
          </w:tcPr>
          <w:p w:rsidR="002013BA" w:rsidP="002013BA" w14:paraId="56148441" w14:textId="77777777">
            <w:pPr>
              <w:pStyle w:val="LTableTextAbt"/>
              <w:rPr>
                <w:szCs w:val="18"/>
              </w:rPr>
            </w:pPr>
            <w:r>
              <w:rPr>
                <w:szCs w:val="18"/>
              </w:rPr>
              <w:t>Motor Vehicle Parts (Used) Merchant Wholesalers</w:t>
            </w:r>
          </w:p>
        </w:tc>
        <w:tc>
          <w:tcPr>
            <w:tcW w:w="566" w:type="pct"/>
            <w:shd w:val="clear" w:color="auto" w:fill="auto"/>
            <w:noWrap/>
            <w:vAlign w:val="center"/>
            <w:hideMark/>
          </w:tcPr>
          <w:p w:rsidR="002013BA" w:rsidRPr="007E694C" w:rsidP="002013BA" w14:paraId="6C22A78C" w14:textId="77777777">
            <w:pPr>
              <w:pStyle w:val="RTableTextAbt"/>
            </w:pPr>
            <w:r>
              <w:t>-</w:t>
            </w:r>
            <w:r w:rsidRPr="007E694C">
              <w:t> </w:t>
            </w:r>
          </w:p>
        </w:tc>
        <w:tc>
          <w:tcPr>
            <w:tcW w:w="618" w:type="pct"/>
            <w:shd w:val="clear" w:color="auto" w:fill="auto"/>
            <w:noWrap/>
            <w:vAlign w:val="center"/>
            <w:hideMark/>
          </w:tcPr>
          <w:p w:rsidR="002013BA" w:rsidRPr="007E694C" w:rsidP="002013BA" w14:paraId="0882A252" w14:textId="77777777">
            <w:pPr>
              <w:pStyle w:val="RTableTextAbt"/>
            </w:pPr>
            <w:r w:rsidRPr="007E694C">
              <w:t>125</w:t>
            </w:r>
          </w:p>
        </w:tc>
        <w:tc>
          <w:tcPr>
            <w:tcW w:w="523" w:type="pct"/>
            <w:shd w:val="clear" w:color="auto" w:fill="auto"/>
            <w:noWrap/>
            <w:vAlign w:val="center"/>
            <w:hideMark/>
          </w:tcPr>
          <w:p w:rsidR="002013BA" w:rsidRPr="005A5F9C" w:rsidP="002013BA" w14:paraId="1699CC07" w14:textId="18A69FBF">
            <w:pPr>
              <w:pStyle w:val="RTableTextAbt"/>
              <w:rPr>
                <w:szCs w:val="18"/>
              </w:rPr>
            </w:pPr>
            <w:r>
              <w:rPr>
                <w:szCs w:val="18"/>
              </w:rPr>
              <w:t>1,412</w:t>
            </w:r>
          </w:p>
        </w:tc>
        <w:tc>
          <w:tcPr>
            <w:tcW w:w="466" w:type="pct"/>
            <w:shd w:val="clear" w:color="auto" w:fill="auto"/>
            <w:noWrap/>
            <w:vAlign w:val="center"/>
            <w:hideMark/>
          </w:tcPr>
          <w:p w:rsidR="002013BA" w:rsidRPr="008E2F60" w:rsidP="002013BA" w14:paraId="2534F0C7" w14:textId="1BEB8171">
            <w:pPr>
              <w:pStyle w:val="RTableTextAbt"/>
            </w:pPr>
            <w:r>
              <w:rPr>
                <w:szCs w:val="18"/>
              </w:rPr>
              <w:t>97%</w:t>
            </w:r>
          </w:p>
        </w:tc>
        <w:tc>
          <w:tcPr>
            <w:tcW w:w="476" w:type="pct"/>
            <w:shd w:val="clear" w:color="auto" w:fill="auto"/>
            <w:noWrap/>
            <w:vAlign w:val="center"/>
            <w:hideMark/>
          </w:tcPr>
          <w:p w:rsidR="002013BA" w:rsidRPr="008E2F60" w:rsidP="002013BA" w14:paraId="7B05B9A9" w14:textId="63CED3D0">
            <w:pPr>
              <w:pStyle w:val="RTableTextAbt"/>
            </w:pPr>
            <w:r>
              <w:rPr>
                <w:szCs w:val="18"/>
              </w:rPr>
              <w:t>-</w:t>
            </w:r>
          </w:p>
        </w:tc>
      </w:tr>
      <w:tr w14:paraId="7746F3D4" w14:textId="77777777" w:rsidTr="00CA0464">
        <w:tblPrEx>
          <w:tblW w:w="5048" w:type="pct"/>
          <w:tblLayout w:type="fixed"/>
          <w:tblLook w:val="04A0"/>
        </w:tblPrEx>
        <w:trPr>
          <w:trHeight w:val="20"/>
        </w:trPr>
        <w:tc>
          <w:tcPr>
            <w:tcW w:w="733" w:type="pct"/>
            <w:vMerge/>
            <w:vAlign w:val="center"/>
          </w:tcPr>
          <w:p w:rsidR="002013BA" w:rsidP="002013BA" w14:paraId="01CB3805" w14:textId="77777777">
            <w:pPr>
              <w:pStyle w:val="LTableTextAbt"/>
            </w:pPr>
          </w:p>
        </w:tc>
        <w:tc>
          <w:tcPr>
            <w:tcW w:w="425" w:type="pct"/>
            <w:shd w:val="clear" w:color="auto" w:fill="auto"/>
            <w:noWrap/>
            <w:vAlign w:val="center"/>
            <w:hideMark/>
          </w:tcPr>
          <w:p w:rsidR="002013BA" w:rsidP="002013BA" w14:paraId="6C30BABB" w14:textId="77777777">
            <w:pPr>
              <w:pStyle w:val="LTableTextAbt"/>
              <w:rPr>
                <w:szCs w:val="18"/>
              </w:rPr>
            </w:pPr>
            <w:r>
              <w:rPr>
                <w:szCs w:val="18"/>
              </w:rPr>
              <w:t>423930</w:t>
            </w:r>
          </w:p>
        </w:tc>
        <w:tc>
          <w:tcPr>
            <w:tcW w:w="1193" w:type="pct"/>
            <w:shd w:val="clear" w:color="auto" w:fill="auto"/>
            <w:vAlign w:val="center"/>
            <w:hideMark/>
          </w:tcPr>
          <w:p w:rsidR="002013BA" w:rsidP="002013BA" w14:paraId="24788A81" w14:textId="77777777">
            <w:pPr>
              <w:pStyle w:val="LTableTextAbt"/>
              <w:rPr>
                <w:szCs w:val="18"/>
              </w:rPr>
            </w:pPr>
            <w:r>
              <w:rPr>
                <w:szCs w:val="18"/>
              </w:rPr>
              <w:t>Recyclable Material Merchant Wholesalers</w:t>
            </w:r>
          </w:p>
        </w:tc>
        <w:tc>
          <w:tcPr>
            <w:tcW w:w="566" w:type="pct"/>
            <w:shd w:val="clear" w:color="auto" w:fill="auto"/>
            <w:noWrap/>
            <w:vAlign w:val="center"/>
            <w:hideMark/>
          </w:tcPr>
          <w:p w:rsidR="002013BA" w:rsidRPr="007E694C" w:rsidP="002013BA" w14:paraId="3F6636ED" w14:textId="77777777">
            <w:pPr>
              <w:pStyle w:val="RTableTextAbt"/>
            </w:pPr>
            <w:r>
              <w:t>-</w:t>
            </w:r>
            <w:r w:rsidRPr="007E694C">
              <w:t> </w:t>
            </w:r>
          </w:p>
        </w:tc>
        <w:tc>
          <w:tcPr>
            <w:tcW w:w="618" w:type="pct"/>
            <w:shd w:val="clear" w:color="auto" w:fill="auto"/>
            <w:noWrap/>
            <w:vAlign w:val="center"/>
            <w:hideMark/>
          </w:tcPr>
          <w:p w:rsidR="002013BA" w:rsidRPr="007E694C" w:rsidP="002013BA" w14:paraId="4F56078D" w14:textId="77777777">
            <w:pPr>
              <w:pStyle w:val="RTableTextAbt"/>
            </w:pPr>
            <w:r w:rsidRPr="007E694C">
              <w:t>125</w:t>
            </w:r>
          </w:p>
        </w:tc>
        <w:tc>
          <w:tcPr>
            <w:tcW w:w="523" w:type="pct"/>
            <w:shd w:val="clear" w:color="auto" w:fill="auto"/>
            <w:noWrap/>
            <w:vAlign w:val="center"/>
            <w:hideMark/>
          </w:tcPr>
          <w:p w:rsidR="002013BA" w:rsidRPr="005A5F9C" w:rsidP="002013BA" w14:paraId="326C83D1" w14:textId="1F12DB61">
            <w:pPr>
              <w:pStyle w:val="RTableTextAbt"/>
              <w:rPr>
                <w:szCs w:val="18"/>
              </w:rPr>
            </w:pPr>
            <w:r>
              <w:rPr>
                <w:szCs w:val="18"/>
              </w:rPr>
              <w:t>6,317</w:t>
            </w:r>
          </w:p>
        </w:tc>
        <w:tc>
          <w:tcPr>
            <w:tcW w:w="466" w:type="pct"/>
            <w:shd w:val="clear" w:color="auto" w:fill="auto"/>
            <w:noWrap/>
            <w:vAlign w:val="center"/>
            <w:hideMark/>
          </w:tcPr>
          <w:p w:rsidR="002013BA" w:rsidRPr="008E2F60" w:rsidP="002013BA" w14:paraId="0809A95E" w14:textId="35B13A4F">
            <w:pPr>
              <w:pStyle w:val="RTableTextAbt"/>
            </w:pPr>
            <w:r>
              <w:rPr>
                <w:szCs w:val="18"/>
              </w:rPr>
              <w:t>97%</w:t>
            </w:r>
          </w:p>
        </w:tc>
        <w:tc>
          <w:tcPr>
            <w:tcW w:w="476" w:type="pct"/>
            <w:shd w:val="clear" w:color="auto" w:fill="auto"/>
            <w:noWrap/>
            <w:vAlign w:val="center"/>
            <w:hideMark/>
          </w:tcPr>
          <w:p w:rsidR="002013BA" w:rsidRPr="008E2F60" w:rsidP="002013BA" w14:paraId="75B336B7" w14:textId="10A0BA31">
            <w:pPr>
              <w:pStyle w:val="RTableTextAbt"/>
            </w:pPr>
            <w:r>
              <w:rPr>
                <w:szCs w:val="18"/>
              </w:rPr>
              <w:t>-</w:t>
            </w:r>
          </w:p>
        </w:tc>
      </w:tr>
      <w:tr w14:paraId="105152B5" w14:textId="77777777" w:rsidTr="00CA0464">
        <w:tblPrEx>
          <w:tblW w:w="5048" w:type="pct"/>
          <w:tblLayout w:type="fixed"/>
          <w:tblLook w:val="04A0"/>
        </w:tblPrEx>
        <w:trPr>
          <w:trHeight w:val="20"/>
        </w:trPr>
        <w:tc>
          <w:tcPr>
            <w:tcW w:w="733" w:type="pct"/>
            <w:vMerge/>
            <w:vAlign w:val="center"/>
          </w:tcPr>
          <w:p w:rsidR="002013BA" w:rsidP="002013BA" w14:paraId="7804F4D6" w14:textId="77777777">
            <w:pPr>
              <w:pStyle w:val="LTableTextAbt"/>
            </w:pPr>
          </w:p>
        </w:tc>
        <w:tc>
          <w:tcPr>
            <w:tcW w:w="425" w:type="pct"/>
            <w:shd w:val="clear" w:color="auto" w:fill="auto"/>
            <w:noWrap/>
            <w:vAlign w:val="center"/>
            <w:hideMark/>
          </w:tcPr>
          <w:p w:rsidR="002013BA" w:rsidP="002013BA" w14:paraId="7131BA70" w14:textId="77777777">
            <w:pPr>
              <w:pStyle w:val="LTableTextAbt"/>
              <w:rPr>
                <w:szCs w:val="18"/>
              </w:rPr>
            </w:pPr>
            <w:r>
              <w:rPr>
                <w:szCs w:val="18"/>
              </w:rPr>
              <w:t>562920</w:t>
            </w:r>
          </w:p>
        </w:tc>
        <w:tc>
          <w:tcPr>
            <w:tcW w:w="1193" w:type="pct"/>
            <w:shd w:val="clear" w:color="auto" w:fill="auto"/>
            <w:vAlign w:val="center"/>
            <w:hideMark/>
          </w:tcPr>
          <w:p w:rsidR="002013BA" w:rsidP="002013BA" w14:paraId="1BCA4EE7" w14:textId="77777777">
            <w:pPr>
              <w:pStyle w:val="LTableTextAbt"/>
              <w:rPr>
                <w:szCs w:val="18"/>
              </w:rPr>
            </w:pPr>
            <w:r>
              <w:rPr>
                <w:szCs w:val="18"/>
              </w:rPr>
              <w:t>Materials Recovery Facilities</w:t>
            </w:r>
          </w:p>
        </w:tc>
        <w:tc>
          <w:tcPr>
            <w:tcW w:w="566" w:type="pct"/>
            <w:shd w:val="clear" w:color="auto" w:fill="auto"/>
            <w:noWrap/>
            <w:vAlign w:val="center"/>
            <w:hideMark/>
          </w:tcPr>
          <w:p w:rsidR="002013BA" w:rsidRPr="007E694C" w:rsidP="002013BA" w14:paraId="3B41C345" w14:textId="77777777">
            <w:pPr>
              <w:pStyle w:val="RTableTextAbt"/>
            </w:pPr>
            <w:r w:rsidRPr="007E694C">
              <w:t>$25</w:t>
            </w:r>
          </w:p>
        </w:tc>
        <w:tc>
          <w:tcPr>
            <w:tcW w:w="618" w:type="pct"/>
            <w:shd w:val="clear" w:color="auto" w:fill="auto"/>
            <w:noWrap/>
            <w:vAlign w:val="center"/>
            <w:hideMark/>
          </w:tcPr>
          <w:p w:rsidR="002013BA" w:rsidRPr="007E694C" w:rsidP="002013BA" w14:paraId="64ECEF41" w14:textId="77777777">
            <w:pPr>
              <w:pStyle w:val="RTableTextAbt"/>
            </w:pPr>
            <w:r>
              <w:t>-</w:t>
            </w:r>
            <w:r w:rsidRPr="007E694C">
              <w:t> </w:t>
            </w:r>
          </w:p>
        </w:tc>
        <w:tc>
          <w:tcPr>
            <w:tcW w:w="523" w:type="pct"/>
            <w:shd w:val="clear" w:color="auto" w:fill="auto"/>
            <w:noWrap/>
            <w:vAlign w:val="center"/>
            <w:hideMark/>
          </w:tcPr>
          <w:p w:rsidR="002013BA" w:rsidRPr="005A5F9C" w:rsidP="002013BA" w14:paraId="70A36B80" w14:textId="0C22711C">
            <w:pPr>
              <w:pStyle w:val="RTableTextAbt"/>
              <w:rPr>
                <w:szCs w:val="18"/>
              </w:rPr>
            </w:pPr>
            <w:r>
              <w:rPr>
                <w:szCs w:val="18"/>
              </w:rPr>
              <w:t>1,013</w:t>
            </w:r>
          </w:p>
        </w:tc>
        <w:tc>
          <w:tcPr>
            <w:tcW w:w="466" w:type="pct"/>
            <w:shd w:val="clear" w:color="auto" w:fill="auto"/>
            <w:noWrap/>
            <w:vAlign w:val="center"/>
            <w:hideMark/>
          </w:tcPr>
          <w:p w:rsidR="002013BA" w:rsidRPr="008E2F60" w:rsidP="002013BA" w14:paraId="485FF400" w14:textId="35FDD922">
            <w:pPr>
              <w:pStyle w:val="RTableTextAbt"/>
            </w:pPr>
            <w:r>
              <w:rPr>
                <w:szCs w:val="18"/>
              </w:rPr>
              <w:t>89%</w:t>
            </w:r>
          </w:p>
        </w:tc>
        <w:tc>
          <w:tcPr>
            <w:tcW w:w="476" w:type="pct"/>
            <w:shd w:val="clear" w:color="auto" w:fill="auto"/>
            <w:noWrap/>
            <w:vAlign w:val="center"/>
            <w:hideMark/>
          </w:tcPr>
          <w:p w:rsidR="002013BA" w:rsidRPr="008E2F60" w:rsidP="002013BA" w14:paraId="2420906C" w14:textId="0113A54C">
            <w:pPr>
              <w:pStyle w:val="RTableTextAbt"/>
            </w:pPr>
            <w:r>
              <w:rPr>
                <w:szCs w:val="18"/>
              </w:rPr>
              <w:t>-</w:t>
            </w:r>
          </w:p>
        </w:tc>
      </w:tr>
      <w:tr w14:paraId="4CAE6799" w14:textId="77777777" w:rsidTr="0064758C">
        <w:tblPrEx>
          <w:tblW w:w="5048" w:type="pct"/>
          <w:tblLayout w:type="fixed"/>
          <w:tblLook w:val="04A0"/>
        </w:tblPrEx>
        <w:trPr>
          <w:trHeight w:val="20"/>
        </w:trPr>
        <w:tc>
          <w:tcPr>
            <w:tcW w:w="733" w:type="pct"/>
            <w:vMerge/>
            <w:vAlign w:val="center"/>
          </w:tcPr>
          <w:p w:rsidR="003C3F1F" w:rsidP="003C3F1F" w14:paraId="70AB5A2B" w14:textId="77777777">
            <w:pPr>
              <w:pStyle w:val="LTableTextAbt"/>
            </w:pPr>
          </w:p>
        </w:tc>
        <w:tc>
          <w:tcPr>
            <w:tcW w:w="1618" w:type="pct"/>
            <w:gridSpan w:val="2"/>
            <w:shd w:val="clear" w:color="auto" w:fill="auto"/>
            <w:noWrap/>
            <w:vAlign w:val="center"/>
          </w:tcPr>
          <w:p w:rsidR="003C3F1F" w:rsidRPr="0064758C" w:rsidP="0064758C" w14:paraId="6F0189CC" w14:textId="5505F340">
            <w:pPr>
              <w:pStyle w:val="LTableTextAbt"/>
              <w:jc w:val="right"/>
              <w:rPr>
                <w:b/>
                <w:bCs w:val="0"/>
                <w:i/>
                <w:iCs/>
                <w:szCs w:val="18"/>
              </w:rPr>
            </w:pPr>
            <w:r w:rsidRPr="0064758C">
              <w:rPr>
                <w:b/>
                <w:bCs w:val="0"/>
                <w:i/>
                <w:iCs/>
                <w:szCs w:val="18"/>
              </w:rPr>
              <w:t>Subtotal</w:t>
            </w:r>
          </w:p>
        </w:tc>
        <w:tc>
          <w:tcPr>
            <w:tcW w:w="566" w:type="pct"/>
            <w:shd w:val="clear" w:color="auto" w:fill="auto"/>
            <w:noWrap/>
            <w:vAlign w:val="center"/>
          </w:tcPr>
          <w:p w:rsidR="003C3F1F" w:rsidRPr="0064758C" w:rsidP="005A5F9C" w14:paraId="29104D93" w14:textId="77777777">
            <w:pPr>
              <w:pStyle w:val="RTableTextAbt"/>
              <w:rPr>
                <w:b/>
                <w:bCs w:val="0"/>
                <w:i/>
                <w:iCs/>
              </w:rPr>
            </w:pPr>
          </w:p>
        </w:tc>
        <w:tc>
          <w:tcPr>
            <w:tcW w:w="618" w:type="pct"/>
            <w:shd w:val="clear" w:color="auto" w:fill="auto"/>
            <w:noWrap/>
            <w:vAlign w:val="center"/>
          </w:tcPr>
          <w:p w:rsidR="003C3F1F" w:rsidRPr="0064758C" w:rsidP="005A5F9C" w14:paraId="717CBA9E" w14:textId="77777777">
            <w:pPr>
              <w:pStyle w:val="RTableTextAbt"/>
              <w:rPr>
                <w:b/>
                <w:bCs w:val="0"/>
                <w:i/>
                <w:iCs/>
              </w:rPr>
            </w:pPr>
          </w:p>
        </w:tc>
        <w:tc>
          <w:tcPr>
            <w:tcW w:w="523" w:type="pct"/>
            <w:shd w:val="clear" w:color="auto" w:fill="auto"/>
            <w:noWrap/>
            <w:vAlign w:val="center"/>
          </w:tcPr>
          <w:p w:rsidR="003C3F1F" w:rsidRPr="0064758C" w:rsidP="005A5F9C" w14:paraId="591044C5" w14:textId="11F2CD61">
            <w:pPr>
              <w:pStyle w:val="RTableTextAbt"/>
              <w:rPr>
                <w:b/>
                <w:bCs w:val="0"/>
                <w:i/>
                <w:iCs/>
                <w:szCs w:val="18"/>
              </w:rPr>
            </w:pPr>
            <w:r w:rsidRPr="0064758C">
              <w:rPr>
                <w:b/>
                <w:bCs w:val="0"/>
                <w:i/>
                <w:iCs/>
                <w:szCs w:val="18"/>
              </w:rPr>
              <w:t>8,742</w:t>
            </w:r>
          </w:p>
        </w:tc>
        <w:tc>
          <w:tcPr>
            <w:tcW w:w="466" w:type="pct"/>
            <w:shd w:val="clear" w:color="auto" w:fill="auto"/>
            <w:noWrap/>
            <w:vAlign w:val="center"/>
          </w:tcPr>
          <w:p w:rsidR="003C3F1F" w:rsidRPr="0064758C" w:rsidP="005A5F9C" w14:paraId="602B1FB1" w14:textId="2ABDBE1C">
            <w:pPr>
              <w:pStyle w:val="RTableTextAbt"/>
              <w:rPr>
                <w:b/>
                <w:bCs w:val="0"/>
                <w:i/>
                <w:iCs/>
                <w:szCs w:val="18"/>
              </w:rPr>
            </w:pPr>
            <w:r w:rsidRPr="0064758C">
              <w:rPr>
                <w:b/>
                <w:bCs w:val="0"/>
                <w:i/>
                <w:iCs/>
                <w:szCs w:val="18"/>
              </w:rPr>
              <w:t>96%</w:t>
            </w:r>
          </w:p>
        </w:tc>
        <w:tc>
          <w:tcPr>
            <w:tcW w:w="476" w:type="pct"/>
            <w:shd w:val="clear" w:color="auto" w:fill="auto"/>
            <w:noWrap/>
            <w:vAlign w:val="center"/>
          </w:tcPr>
          <w:p w:rsidR="003C3F1F" w:rsidRPr="0064758C" w:rsidP="005A5F9C" w14:paraId="716BB93E" w14:textId="4C32F0AB">
            <w:pPr>
              <w:pStyle w:val="RTableTextAbt"/>
              <w:rPr>
                <w:b/>
                <w:bCs w:val="0"/>
                <w:i/>
                <w:iCs/>
                <w:szCs w:val="18"/>
              </w:rPr>
            </w:pPr>
            <w:r w:rsidRPr="0064758C">
              <w:rPr>
                <w:b/>
                <w:bCs w:val="0"/>
                <w:i/>
                <w:iCs/>
                <w:szCs w:val="18"/>
              </w:rPr>
              <w:t>8,412</w:t>
            </w:r>
          </w:p>
        </w:tc>
      </w:tr>
      <w:tr w14:paraId="3A23A106" w14:textId="77777777" w:rsidTr="00CA0464">
        <w:tblPrEx>
          <w:tblW w:w="5048" w:type="pct"/>
          <w:tblLayout w:type="fixed"/>
          <w:tblLook w:val="04A0"/>
        </w:tblPrEx>
        <w:trPr>
          <w:trHeight w:val="20"/>
        </w:trPr>
        <w:tc>
          <w:tcPr>
            <w:tcW w:w="733" w:type="pct"/>
            <w:vMerge w:val="restart"/>
            <w:shd w:val="clear" w:color="auto" w:fill="auto"/>
            <w:vAlign w:val="center"/>
            <w:hideMark/>
          </w:tcPr>
          <w:p w:rsidR="002013BA" w:rsidP="002013BA" w14:paraId="1ADEAA92" w14:textId="77777777">
            <w:pPr>
              <w:pStyle w:val="LTableTextAbt"/>
            </w:pPr>
            <w:r>
              <w:t>Disposal</w:t>
            </w:r>
          </w:p>
        </w:tc>
        <w:tc>
          <w:tcPr>
            <w:tcW w:w="425" w:type="pct"/>
            <w:shd w:val="clear" w:color="auto" w:fill="auto"/>
            <w:noWrap/>
            <w:vAlign w:val="center"/>
            <w:hideMark/>
          </w:tcPr>
          <w:p w:rsidR="002013BA" w:rsidP="002013BA" w14:paraId="6B425B15" w14:textId="77777777">
            <w:pPr>
              <w:pStyle w:val="LTableTextAbt"/>
              <w:rPr>
                <w:szCs w:val="18"/>
              </w:rPr>
            </w:pPr>
            <w:r>
              <w:rPr>
                <w:szCs w:val="18"/>
              </w:rPr>
              <w:t>221320</w:t>
            </w:r>
          </w:p>
        </w:tc>
        <w:tc>
          <w:tcPr>
            <w:tcW w:w="1193" w:type="pct"/>
            <w:shd w:val="clear" w:color="auto" w:fill="auto"/>
            <w:vAlign w:val="center"/>
            <w:hideMark/>
          </w:tcPr>
          <w:p w:rsidR="002013BA" w:rsidP="002013BA" w14:paraId="6BAD2FBC" w14:textId="77777777">
            <w:pPr>
              <w:pStyle w:val="LTableTextAbt"/>
              <w:rPr>
                <w:szCs w:val="18"/>
              </w:rPr>
            </w:pPr>
            <w:r>
              <w:rPr>
                <w:szCs w:val="18"/>
              </w:rPr>
              <w:t>Sewage Treatment Facilities</w:t>
            </w:r>
          </w:p>
        </w:tc>
        <w:tc>
          <w:tcPr>
            <w:tcW w:w="566" w:type="pct"/>
            <w:shd w:val="clear" w:color="auto" w:fill="auto"/>
            <w:noWrap/>
            <w:vAlign w:val="center"/>
            <w:hideMark/>
          </w:tcPr>
          <w:p w:rsidR="002013BA" w:rsidRPr="007E694C" w:rsidP="002013BA" w14:paraId="6E0D29EB" w14:textId="77777777">
            <w:pPr>
              <w:pStyle w:val="RTableTextAbt"/>
            </w:pPr>
            <w:r w:rsidRPr="007E694C">
              <w:t>$35</w:t>
            </w:r>
          </w:p>
        </w:tc>
        <w:tc>
          <w:tcPr>
            <w:tcW w:w="618" w:type="pct"/>
            <w:shd w:val="clear" w:color="auto" w:fill="auto"/>
            <w:noWrap/>
            <w:vAlign w:val="center"/>
            <w:hideMark/>
          </w:tcPr>
          <w:p w:rsidR="002013BA" w:rsidRPr="007E694C" w:rsidP="002013BA" w14:paraId="0A0E087F" w14:textId="77777777">
            <w:pPr>
              <w:pStyle w:val="RTableTextAbt"/>
            </w:pPr>
            <w:r>
              <w:t>-</w:t>
            </w:r>
            <w:r w:rsidRPr="007E694C">
              <w:t> </w:t>
            </w:r>
          </w:p>
        </w:tc>
        <w:tc>
          <w:tcPr>
            <w:tcW w:w="523" w:type="pct"/>
            <w:shd w:val="clear" w:color="auto" w:fill="auto"/>
            <w:noWrap/>
            <w:vAlign w:val="center"/>
            <w:hideMark/>
          </w:tcPr>
          <w:p w:rsidR="002013BA" w:rsidRPr="005A5F9C" w:rsidP="002013BA" w14:paraId="5768A7CF" w14:textId="2A7140A1">
            <w:pPr>
              <w:pStyle w:val="RTableTextAbt"/>
              <w:rPr>
                <w:szCs w:val="18"/>
              </w:rPr>
            </w:pPr>
            <w:r>
              <w:rPr>
                <w:szCs w:val="18"/>
              </w:rPr>
              <w:t>366</w:t>
            </w:r>
          </w:p>
        </w:tc>
        <w:tc>
          <w:tcPr>
            <w:tcW w:w="466" w:type="pct"/>
            <w:shd w:val="clear" w:color="auto" w:fill="auto"/>
            <w:noWrap/>
            <w:vAlign w:val="center"/>
            <w:hideMark/>
          </w:tcPr>
          <w:p w:rsidR="002013BA" w:rsidRPr="008E2F60" w:rsidP="002013BA" w14:paraId="64FA8876" w14:textId="1F8B2B55">
            <w:pPr>
              <w:pStyle w:val="RTableTextAbt"/>
            </w:pPr>
            <w:r>
              <w:rPr>
                <w:szCs w:val="18"/>
              </w:rPr>
              <w:t>92%</w:t>
            </w:r>
          </w:p>
        </w:tc>
        <w:tc>
          <w:tcPr>
            <w:tcW w:w="476" w:type="pct"/>
            <w:shd w:val="clear" w:color="auto" w:fill="auto"/>
            <w:noWrap/>
            <w:vAlign w:val="center"/>
            <w:hideMark/>
          </w:tcPr>
          <w:p w:rsidR="002013BA" w:rsidRPr="008E2F60" w:rsidP="002013BA" w14:paraId="7A521604" w14:textId="69B910A0">
            <w:pPr>
              <w:pStyle w:val="RTableTextAbt"/>
            </w:pPr>
            <w:r>
              <w:rPr>
                <w:szCs w:val="18"/>
              </w:rPr>
              <w:t>-</w:t>
            </w:r>
          </w:p>
        </w:tc>
      </w:tr>
      <w:tr w14:paraId="6015F922" w14:textId="77777777" w:rsidTr="00CA0464">
        <w:tblPrEx>
          <w:tblW w:w="5048" w:type="pct"/>
          <w:tblLayout w:type="fixed"/>
          <w:tblLook w:val="04A0"/>
        </w:tblPrEx>
        <w:trPr>
          <w:trHeight w:val="20"/>
        </w:trPr>
        <w:tc>
          <w:tcPr>
            <w:tcW w:w="733" w:type="pct"/>
            <w:vMerge/>
            <w:vAlign w:val="center"/>
          </w:tcPr>
          <w:p w:rsidR="002013BA" w:rsidP="002013BA" w14:paraId="03E5298B" w14:textId="77777777">
            <w:pPr>
              <w:pStyle w:val="LTableTextAbt"/>
            </w:pPr>
          </w:p>
        </w:tc>
        <w:tc>
          <w:tcPr>
            <w:tcW w:w="425" w:type="pct"/>
            <w:shd w:val="clear" w:color="auto" w:fill="auto"/>
            <w:noWrap/>
            <w:vAlign w:val="center"/>
            <w:hideMark/>
          </w:tcPr>
          <w:p w:rsidR="002013BA" w:rsidP="002013BA" w14:paraId="09775C1E" w14:textId="77777777">
            <w:pPr>
              <w:pStyle w:val="LTableTextAbt"/>
              <w:rPr>
                <w:szCs w:val="18"/>
              </w:rPr>
            </w:pPr>
            <w:r>
              <w:rPr>
                <w:szCs w:val="18"/>
              </w:rPr>
              <w:t>562111</w:t>
            </w:r>
          </w:p>
        </w:tc>
        <w:tc>
          <w:tcPr>
            <w:tcW w:w="1193" w:type="pct"/>
            <w:shd w:val="clear" w:color="auto" w:fill="auto"/>
            <w:vAlign w:val="center"/>
            <w:hideMark/>
          </w:tcPr>
          <w:p w:rsidR="002013BA" w:rsidP="002013BA" w14:paraId="43159B3A" w14:textId="77777777">
            <w:pPr>
              <w:pStyle w:val="LTableTextAbt"/>
              <w:rPr>
                <w:szCs w:val="18"/>
              </w:rPr>
            </w:pPr>
            <w:r>
              <w:rPr>
                <w:szCs w:val="18"/>
              </w:rPr>
              <w:t>Solid Waste Collection</w:t>
            </w:r>
          </w:p>
        </w:tc>
        <w:tc>
          <w:tcPr>
            <w:tcW w:w="566" w:type="pct"/>
            <w:shd w:val="clear" w:color="auto" w:fill="auto"/>
            <w:noWrap/>
            <w:vAlign w:val="center"/>
            <w:hideMark/>
          </w:tcPr>
          <w:p w:rsidR="002013BA" w:rsidRPr="007E694C" w:rsidP="002013BA" w14:paraId="2EF0DFFB" w14:textId="77777777">
            <w:pPr>
              <w:pStyle w:val="RTableTextAbt"/>
            </w:pPr>
            <w:r w:rsidRPr="007E694C">
              <w:t>$47</w:t>
            </w:r>
          </w:p>
        </w:tc>
        <w:tc>
          <w:tcPr>
            <w:tcW w:w="618" w:type="pct"/>
            <w:shd w:val="clear" w:color="auto" w:fill="auto"/>
            <w:noWrap/>
            <w:vAlign w:val="center"/>
            <w:hideMark/>
          </w:tcPr>
          <w:p w:rsidR="002013BA" w:rsidRPr="007E694C" w:rsidP="002013BA" w14:paraId="69CD66D7" w14:textId="77777777">
            <w:pPr>
              <w:pStyle w:val="RTableTextAbt"/>
            </w:pPr>
            <w:r>
              <w:t>-</w:t>
            </w:r>
            <w:r w:rsidRPr="007E694C">
              <w:t> </w:t>
            </w:r>
          </w:p>
        </w:tc>
        <w:tc>
          <w:tcPr>
            <w:tcW w:w="523" w:type="pct"/>
            <w:shd w:val="clear" w:color="auto" w:fill="auto"/>
            <w:noWrap/>
            <w:vAlign w:val="center"/>
            <w:hideMark/>
          </w:tcPr>
          <w:p w:rsidR="002013BA" w:rsidRPr="005A5F9C" w:rsidP="002013BA" w14:paraId="07EF2AF6" w14:textId="10C95453">
            <w:pPr>
              <w:pStyle w:val="RTableTextAbt"/>
              <w:rPr>
                <w:szCs w:val="18"/>
              </w:rPr>
            </w:pPr>
            <w:r>
              <w:rPr>
                <w:szCs w:val="18"/>
              </w:rPr>
              <w:t>7,039</w:t>
            </w:r>
          </w:p>
        </w:tc>
        <w:tc>
          <w:tcPr>
            <w:tcW w:w="466" w:type="pct"/>
            <w:shd w:val="clear" w:color="auto" w:fill="auto"/>
            <w:noWrap/>
            <w:vAlign w:val="center"/>
            <w:hideMark/>
          </w:tcPr>
          <w:p w:rsidR="002013BA" w:rsidRPr="008E2F60" w:rsidP="002013BA" w14:paraId="7D4FE592" w14:textId="2F2D3385">
            <w:pPr>
              <w:pStyle w:val="RTableTextAbt"/>
            </w:pPr>
            <w:r>
              <w:rPr>
                <w:szCs w:val="18"/>
              </w:rPr>
              <w:t>98%</w:t>
            </w:r>
          </w:p>
        </w:tc>
        <w:tc>
          <w:tcPr>
            <w:tcW w:w="476" w:type="pct"/>
            <w:shd w:val="clear" w:color="auto" w:fill="auto"/>
            <w:noWrap/>
            <w:vAlign w:val="center"/>
            <w:hideMark/>
          </w:tcPr>
          <w:p w:rsidR="002013BA" w:rsidRPr="008E2F60" w:rsidP="002013BA" w14:paraId="7D2719CE" w14:textId="7BBFB6EB">
            <w:pPr>
              <w:pStyle w:val="RTableTextAbt"/>
            </w:pPr>
            <w:r>
              <w:rPr>
                <w:szCs w:val="18"/>
              </w:rPr>
              <w:t>-</w:t>
            </w:r>
          </w:p>
        </w:tc>
      </w:tr>
      <w:tr w14:paraId="7E69A3AE" w14:textId="77777777" w:rsidTr="00CA0464">
        <w:tblPrEx>
          <w:tblW w:w="5048" w:type="pct"/>
          <w:tblLayout w:type="fixed"/>
          <w:tblLook w:val="04A0"/>
        </w:tblPrEx>
        <w:trPr>
          <w:trHeight w:val="20"/>
        </w:trPr>
        <w:tc>
          <w:tcPr>
            <w:tcW w:w="733" w:type="pct"/>
            <w:vMerge/>
            <w:vAlign w:val="center"/>
          </w:tcPr>
          <w:p w:rsidR="002013BA" w:rsidP="002013BA" w14:paraId="46036C96" w14:textId="77777777">
            <w:pPr>
              <w:pStyle w:val="LTableTextAbt"/>
            </w:pPr>
          </w:p>
        </w:tc>
        <w:tc>
          <w:tcPr>
            <w:tcW w:w="425" w:type="pct"/>
            <w:shd w:val="clear" w:color="auto" w:fill="auto"/>
            <w:noWrap/>
            <w:vAlign w:val="center"/>
            <w:hideMark/>
          </w:tcPr>
          <w:p w:rsidR="002013BA" w:rsidP="002013BA" w14:paraId="0C698B2A" w14:textId="77777777">
            <w:pPr>
              <w:pStyle w:val="LTableTextAbt"/>
              <w:rPr>
                <w:szCs w:val="18"/>
              </w:rPr>
            </w:pPr>
            <w:r>
              <w:rPr>
                <w:szCs w:val="18"/>
              </w:rPr>
              <w:t>562212</w:t>
            </w:r>
          </w:p>
        </w:tc>
        <w:tc>
          <w:tcPr>
            <w:tcW w:w="1193" w:type="pct"/>
            <w:shd w:val="clear" w:color="auto" w:fill="auto"/>
            <w:vAlign w:val="center"/>
            <w:hideMark/>
          </w:tcPr>
          <w:p w:rsidR="002013BA" w:rsidP="002013BA" w14:paraId="480C8779" w14:textId="77777777">
            <w:pPr>
              <w:pStyle w:val="LTableTextAbt"/>
              <w:rPr>
                <w:szCs w:val="18"/>
              </w:rPr>
            </w:pPr>
            <w:r>
              <w:rPr>
                <w:szCs w:val="18"/>
              </w:rPr>
              <w:t>Solid Waste Landfill</w:t>
            </w:r>
          </w:p>
        </w:tc>
        <w:tc>
          <w:tcPr>
            <w:tcW w:w="566" w:type="pct"/>
            <w:shd w:val="clear" w:color="auto" w:fill="auto"/>
            <w:noWrap/>
            <w:vAlign w:val="center"/>
            <w:hideMark/>
          </w:tcPr>
          <w:p w:rsidR="002013BA" w:rsidRPr="007E694C" w:rsidP="002013BA" w14:paraId="23B61629" w14:textId="77777777">
            <w:pPr>
              <w:pStyle w:val="RTableTextAbt"/>
            </w:pPr>
            <w:r w:rsidRPr="007E694C">
              <w:t>$47</w:t>
            </w:r>
          </w:p>
        </w:tc>
        <w:tc>
          <w:tcPr>
            <w:tcW w:w="618" w:type="pct"/>
            <w:shd w:val="clear" w:color="auto" w:fill="auto"/>
            <w:noWrap/>
            <w:vAlign w:val="center"/>
            <w:hideMark/>
          </w:tcPr>
          <w:p w:rsidR="002013BA" w:rsidRPr="007E694C" w:rsidP="002013BA" w14:paraId="1B7CD746" w14:textId="77777777">
            <w:pPr>
              <w:pStyle w:val="RTableTextAbt"/>
            </w:pPr>
            <w:r>
              <w:t>-</w:t>
            </w:r>
            <w:r w:rsidRPr="007E694C">
              <w:t> </w:t>
            </w:r>
          </w:p>
        </w:tc>
        <w:tc>
          <w:tcPr>
            <w:tcW w:w="523" w:type="pct"/>
            <w:shd w:val="clear" w:color="auto" w:fill="auto"/>
            <w:noWrap/>
            <w:vAlign w:val="center"/>
            <w:hideMark/>
          </w:tcPr>
          <w:p w:rsidR="002013BA" w:rsidRPr="005A5F9C" w:rsidP="002013BA" w14:paraId="1F5B4AA2" w14:textId="6EC948AB">
            <w:pPr>
              <w:pStyle w:val="RTableTextAbt"/>
              <w:rPr>
                <w:szCs w:val="18"/>
              </w:rPr>
            </w:pPr>
            <w:r>
              <w:rPr>
                <w:szCs w:val="18"/>
              </w:rPr>
              <w:t>689</w:t>
            </w:r>
          </w:p>
        </w:tc>
        <w:tc>
          <w:tcPr>
            <w:tcW w:w="466" w:type="pct"/>
            <w:shd w:val="clear" w:color="auto" w:fill="auto"/>
            <w:noWrap/>
            <w:vAlign w:val="center"/>
            <w:hideMark/>
          </w:tcPr>
          <w:p w:rsidR="002013BA" w:rsidRPr="008E2F60" w:rsidP="002013BA" w14:paraId="0C4AF728" w14:textId="004CBE56">
            <w:pPr>
              <w:pStyle w:val="RTableTextAbt"/>
            </w:pPr>
            <w:r>
              <w:rPr>
                <w:szCs w:val="18"/>
              </w:rPr>
              <w:t>94%</w:t>
            </w:r>
          </w:p>
        </w:tc>
        <w:tc>
          <w:tcPr>
            <w:tcW w:w="476" w:type="pct"/>
            <w:shd w:val="clear" w:color="auto" w:fill="auto"/>
            <w:noWrap/>
            <w:vAlign w:val="center"/>
            <w:hideMark/>
          </w:tcPr>
          <w:p w:rsidR="002013BA" w:rsidRPr="008E2F60" w:rsidP="002013BA" w14:paraId="32F865E4" w14:textId="04D95727">
            <w:pPr>
              <w:pStyle w:val="RTableTextAbt"/>
            </w:pPr>
            <w:r>
              <w:rPr>
                <w:szCs w:val="18"/>
              </w:rPr>
              <w:t>-</w:t>
            </w:r>
          </w:p>
        </w:tc>
      </w:tr>
      <w:tr w14:paraId="454238EB" w14:textId="77777777" w:rsidTr="00CA0464">
        <w:tblPrEx>
          <w:tblW w:w="5048" w:type="pct"/>
          <w:tblLayout w:type="fixed"/>
          <w:tblLook w:val="04A0"/>
        </w:tblPrEx>
        <w:trPr>
          <w:trHeight w:val="20"/>
        </w:trPr>
        <w:tc>
          <w:tcPr>
            <w:tcW w:w="733" w:type="pct"/>
            <w:vMerge/>
            <w:vAlign w:val="center"/>
          </w:tcPr>
          <w:p w:rsidR="002013BA" w:rsidP="002013BA" w14:paraId="35B951D5" w14:textId="77777777">
            <w:pPr>
              <w:pStyle w:val="LTableTextAbt"/>
            </w:pPr>
          </w:p>
        </w:tc>
        <w:tc>
          <w:tcPr>
            <w:tcW w:w="425" w:type="pct"/>
            <w:shd w:val="clear" w:color="auto" w:fill="auto"/>
            <w:noWrap/>
            <w:vAlign w:val="center"/>
            <w:hideMark/>
          </w:tcPr>
          <w:p w:rsidR="002013BA" w:rsidP="002013BA" w14:paraId="21852987" w14:textId="77777777">
            <w:pPr>
              <w:pStyle w:val="LTableTextAbt"/>
              <w:rPr>
                <w:szCs w:val="18"/>
              </w:rPr>
            </w:pPr>
            <w:r>
              <w:rPr>
                <w:szCs w:val="18"/>
              </w:rPr>
              <w:t>562213</w:t>
            </w:r>
          </w:p>
        </w:tc>
        <w:tc>
          <w:tcPr>
            <w:tcW w:w="1193" w:type="pct"/>
            <w:shd w:val="clear" w:color="auto" w:fill="auto"/>
            <w:vAlign w:val="center"/>
            <w:hideMark/>
          </w:tcPr>
          <w:p w:rsidR="002013BA" w:rsidP="002013BA" w14:paraId="0C96EF05" w14:textId="77777777">
            <w:pPr>
              <w:pStyle w:val="LTableTextAbt"/>
              <w:rPr>
                <w:szCs w:val="18"/>
              </w:rPr>
            </w:pPr>
            <w:r>
              <w:rPr>
                <w:szCs w:val="18"/>
              </w:rPr>
              <w:t>Solid Waste Combustors and Incinerators</w:t>
            </w:r>
          </w:p>
        </w:tc>
        <w:tc>
          <w:tcPr>
            <w:tcW w:w="566" w:type="pct"/>
            <w:shd w:val="clear" w:color="auto" w:fill="auto"/>
            <w:noWrap/>
            <w:vAlign w:val="center"/>
            <w:hideMark/>
          </w:tcPr>
          <w:p w:rsidR="002013BA" w:rsidRPr="007E694C" w:rsidP="002013BA" w14:paraId="155C5787" w14:textId="77777777">
            <w:pPr>
              <w:pStyle w:val="RTableTextAbt"/>
            </w:pPr>
            <w:r w:rsidRPr="007E694C">
              <w:t>$47</w:t>
            </w:r>
          </w:p>
        </w:tc>
        <w:tc>
          <w:tcPr>
            <w:tcW w:w="618" w:type="pct"/>
            <w:shd w:val="clear" w:color="auto" w:fill="auto"/>
            <w:noWrap/>
            <w:vAlign w:val="center"/>
            <w:hideMark/>
          </w:tcPr>
          <w:p w:rsidR="002013BA" w:rsidRPr="007E694C" w:rsidP="002013BA" w14:paraId="12969F2D" w14:textId="77777777">
            <w:pPr>
              <w:pStyle w:val="RTableTextAbt"/>
            </w:pPr>
            <w:r>
              <w:t>-</w:t>
            </w:r>
            <w:r w:rsidRPr="007E694C">
              <w:t> </w:t>
            </w:r>
          </w:p>
        </w:tc>
        <w:tc>
          <w:tcPr>
            <w:tcW w:w="523" w:type="pct"/>
            <w:shd w:val="clear" w:color="auto" w:fill="auto"/>
            <w:noWrap/>
            <w:vAlign w:val="center"/>
            <w:hideMark/>
          </w:tcPr>
          <w:p w:rsidR="002013BA" w:rsidRPr="005A5F9C" w:rsidP="002013BA" w14:paraId="37653F9D" w14:textId="0718D12B">
            <w:pPr>
              <w:pStyle w:val="RTableTextAbt"/>
              <w:rPr>
                <w:szCs w:val="18"/>
              </w:rPr>
            </w:pPr>
            <w:r>
              <w:rPr>
                <w:szCs w:val="18"/>
              </w:rPr>
              <w:t>27</w:t>
            </w:r>
          </w:p>
        </w:tc>
        <w:tc>
          <w:tcPr>
            <w:tcW w:w="466" w:type="pct"/>
            <w:shd w:val="clear" w:color="auto" w:fill="auto"/>
            <w:noWrap/>
            <w:vAlign w:val="center"/>
            <w:hideMark/>
          </w:tcPr>
          <w:p w:rsidR="002013BA" w:rsidRPr="008E2F60" w:rsidP="002013BA" w14:paraId="424641B4" w14:textId="1E0F6674">
            <w:pPr>
              <w:pStyle w:val="RTableTextAbt"/>
            </w:pPr>
            <w:r>
              <w:rPr>
                <w:szCs w:val="18"/>
              </w:rPr>
              <w:t>70%</w:t>
            </w:r>
          </w:p>
        </w:tc>
        <w:tc>
          <w:tcPr>
            <w:tcW w:w="476" w:type="pct"/>
            <w:shd w:val="clear" w:color="auto" w:fill="auto"/>
            <w:noWrap/>
            <w:vAlign w:val="center"/>
            <w:hideMark/>
          </w:tcPr>
          <w:p w:rsidR="002013BA" w:rsidRPr="008E2F60" w:rsidP="002013BA" w14:paraId="1C535DCD" w14:textId="20F1175C">
            <w:pPr>
              <w:pStyle w:val="RTableTextAbt"/>
            </w:pPr>
            <w:r>
              <w:rPr>
                <w:szCs w:val="18"/>
              </w:rPr>
              <w:t>-</w:t>
            </w:r>
          </w:p>
        </w:tc>
      </w:tr>
      <w:tr w14:paraId="5314CC86" w14:textId="77777777" w:rsidTr="00CA0464">
        <w:tblPrEx>
          <w:tblW w:w="5048" w:type="pct"/>
          <w:tblLayout w:type="fixed"/>
          <w:tblLook w:val="04A0"/>
        </w:tblPrEx>
        <w:trPr>
          <w:trHeight w:val="20"/>
        </w:trPr>
        <w:tc>
          <w:tcPr>
            <w:tcW w:w="733" w:type="pct"/>
            <w:vMerge/>
            <w:vAlign w:val="center"/>
          </w:tcPr>
          <w:p w:rsidR="002013BA" w:rsidP="002013BA" w14:paraId="188E7919" w14:textId="77777777">
            <w:pPr>
              <w:pStyle w:val="LTableTextAbt"/>
            </w:pPr>
          </w:p>
        </w:tc>
        <w:tc>
          <w:tcPr>
            <w:tcW w:w="425" w:type="pct"/>
            <w:shd w:val="clear" w:color="auto" w:fill="auto"/>
            <w:noWrap/>
            <w:vAlign w:val="center"/>
            <w:hideMark/>
          </w:tcPr>
          <w:p w:rsidR="002013BA" w:rsidP="002013BA" w14:paraId="2CC872E0" w14:textId="77777777">
            <w:pPr>
              <w:pStyle w:val="LTableTextAbt"/>
              <w:rPr>
                <w:szCs w:val="18"/>
              </w:rPr>
            </w:pPr>
            <w:r>
              <w:rPr>
                <w:szCs w:val="18"/>
              </w:rPr>
              <w:t>562219</w:t>
            </w:r>
          </w:p>
        </w:tc>
        <w:tc>
          <w:tcPr>
            <w:tcW w:w="1193" w:type="pct"/>
            <w:shd w:val="clear" w:color="auto" w:fill="auto"/>
            <w:vAlign w:val="center"/>
            <w:hideMark/>
          </w:tcPr>
          <w:p w:rsidR="002013BA" w:rsidP="002013BA" w14:paraId="20EBB718" w14:textId="77777777">
            <w:pPr>
              <w:pStyle w:val="LTableTextAbt"/>
              <w:rPr>
                <w:szCs w:val="18"/>
              </w:rPr>
            </w:pPr>
            <w:r>
              <w:rPr>
                <w:szCs w:val="18"/>
              </w:rPr>
              <w:t>Other Nonhazardous Waste Treatment and Disposal</w:t>
            </w:r>
          </w:p>
        </w:tc>
        <w:tc>
          <w:tcPr>
            <w:tcW w:w="566" w:type="pct"/>
            <w:shd w:val="clear" w:color="auto" w:fill="auto"/>
            <w:noWrap/>
            <w:vAlign w:val="center"/>
            <w:hideMark/>
          </w:tcPr>
          <w:p w:rsidR="002013BA" w:rsidRPr="007E694C" w:rsidP="002013BA" w14:paraId="0DDBE4A5" w14:textId="77777777">
            <w:pPr>
              <w:pStyle w:val="RTableTextAbt"/>
            </w:pPr>
            <w:r w:rsidRPr="007E694C">
              <w:t>$47</w:t>
            </w:r>
          </w:p>
        </w:tc>
        <w:tc>
          <w:tcPr>
            <w:tcW w:w="618" w:type="pct"/>
            <w:shd w:val="clear" w:color="auto" w:fill="auto"/>
            <w:noWrap/>
            <w:vAlign w:val="center"/>
            <w:hideMark/>
          </w:tcPr>
          <w:p w:rsidR="002013BA" w:rsidRPr="007E694C" w:rsidP="002013BA" w14:paraId="47DF4803" w14:textId="77777777">
            <w:pPr>
              <w:pStyle w:val="RTableTextAbt"/>
            </w:pPr>
            <w:r>
              <w:t>-</w:t>
            </w:r>
            <w:r w:rsidRPr="007E694C">
              <w:t> </w:t>
            </w:r>
          </w:p>
        </w:tc>
        <w:tc>
          <w:tcPr>
            <w:tcW w:w="523" w:type="pct"/>
            <w:shd w:val="clear" w:color="auto" w:fill="auto"/>
            <w:noWrap/>
            <w:vAlign w:val="center"/>
            <w:hideMark/>
          </w:tcPr>
          <w:p w:rsidR="002013BA" w:rsidRPr="005A5F9C" w:rsidP="002013BA" w14:paraId="5BDA6C29" w14:textId="64451A75">
            <w:pPr>
              <w:pStyle w:val="RTableTextAbt"/>
              <w:rPr>
                <w:szCs w:val="18"/>
              </w:rPr>
            </w:pPr>
            <w:r>
              <w:rPr>
                <w:szCs w:val="18"/>
              </w:rPr>
              <w:t>225</w:t>
            </w:r>
          </w:p>
        </w:tc>
        <w:tc>
          <w:tcPr>
            <w:tcW w:w="466" w:type="pct"/>
            <w:shd w:val="clear" w:color="auto" w:fill="auto"/>
            <w:noWrap/>
            <w:vAlign w:val="center"/>
            <w:hideMark/>
          </w:tcPr>
          <w:p w:rsidR="002013BA" w:rsidRPr="008E2F60" w:rsidP="002013BA" w14:paraId="65744F43" w14:textId="21056D63">
            <w:pPr>
              <w:pStyle w:val="RTableTextAbt"/>
            </w:pPr>
            <w:r>
              <w:rPr>
                <w:szCs w:val="18"/>
              </w:rPr>
              <w:t>94%</w:t>
            </w:r>
          </w:p>
        </w:tc>
        <w:tc>
          <w:tcPr>
            <w:tcW w:w="476" w:type="pct"/>
            <w:shd w:val="clear" w:color="auto" w:fill="auto"/>
            <w:noWrap/>
            <w:vAlign w:val="center"/>
            <w:hideMark/>
          </w:tcPr>
          <w:p w:rsidR="002013BA" w:rsidRPr="008E2F60" w:rsidP="002013BA" w14:paraId="3A11AC89" w14:textId="5C19F3FF">
            <w:pPr>
              <w:pStyle w:val="RTableTextAbt"/>
            </w:pPr>
            <w:r>
              <w:rPr>
                <w:szCs w:val="18"/>
              </w:rPr>
              <w:t>-</w:t>
            </w:r>
          </w:p>
        </w:tc>
      </w:tr>
      <w:tr w14:paraId="14ACB837" w14:textId="77777777" w:rsidTr="0064758C">
        <w:tblPrEx>
          <w:tblW w:w="5048" w:type="pct"/>
          <w:tblLayout w:type="fixed"/>
          <w:tblLook w:val="04A0"/>
        </w:tblPrEx>
        <w:trPr>
          <w:trHeight w:val="20"/>
        </w:trPr>
        <w:tc>
          <w:tcPr>
            <w:tcW w:w="733" w:type="pct"/>
            <w:vMerge/>
            <w:vAlign w:val="center"/>
          </w:tcPr>
          <w:p w:rsidR="005A5F9C" w:rsidP="005A5F9C" w14:paraId="759E93D8" w14:textId="77777777">
            <w:pPr>
              <w:pStyle w:val="LTableTextAbt"/>
            </w:pPr>
          </w:p>
        </w:tc>
        <w:tc>
          <w:tcPr>
            <w:tcW w:w="1618" w:type="pct"/>
            <w:gridSpan w:val="2"/>
            <w:shd w:val="clear" w:color="auto" w:fill="auto"/>
            <w:noWrap/>
            <w:vAlign w:val="center"/>
          </w:tcPr>
          <w:p w:rsidR="005A5F9C" w:rsidRPr="0064758C" w:rsidP="0064758C" w14:paraId="5025433A" w14:textId="515D12EB">
            <w:pPr>
              <w:pStyle w:val="LTableTextAbt"/>
              <w:jc w:val="right"/>
              <w:rPr>
                <w:b/>
                <w:bCs w:val="0"/>
                <w:i/>
                <w:iCs/>
                <w:szCs w:val="18"/>
              </w:rPr>
            </w:pPr>
            <w:r w:rsidRPr="0064758C">
              <w:rPr>
                <w:b/>
                <w:bCs w:val="0"/>
                <w:i/>
                <w:iCs/>
                <w:szCs w:val="18"/>
              </w:rPr>
              <w:t>Subtotal</w:t>
            </w:r>
          </w:p>
        </w:tc>
        <w:tc>
          <w:tcPr>
            <w:tcW w:w="566" w:type="pct"/>
            <w:shd w:val="clear" w:color="auto" w:fill="auto"/>
            <w:noWrap/>
            <w:vAlign w:val="center"/>
          </w:tcPr>
          <w:p w:rsidR="005A5F9C" w:rsidRPr="0064758C" w:rsidP="005A5F9C" w14:paraId="4090ED86" w14:textId="77777777">
            <w:pPr>
              <w:pStyle w:val="RTableTextAbt"/>
              <w:rPr>
                <w:b/>
                <w:bCs w:val="0"/>
                <w:i/>
                <w:iCs/>
              </w:rPr>
            </w:pPr>
          </w:p>
        </w:tc>
        <w:tc>
          <w:tcPr>
            <w:tcW w:w="618" w:type="pct"/>
            <w:shd w:val="clear" w:color="auto" w:fill="auto"/>
            <w:noWrap/>
            <w:vAlign w:val="center"/>
          </w:tcPr>
          <w:p w:rsidR="005A5F9C" w:rsidRPr="0064758C" w:rsidP="005A5F9C" w14:paraId="12F50546" w14:textId="77777777">
            <w:pPr>
              <w:pStyle w:val="RTableTextAbt"/>
              <w:rPr>
                <w:b/>
                <w:bCs w:val="0"/>
                <w:i/>
                <w:iCs/>
              </w:rPr>
            </w:pPr>
          </w:p>
        </w:tc>
        <w:tc>
          <w:tcPr>
            <w:tcW w:w="523" w:type="pct"/>
            <w:shd w:val="clear" w:color="auto" w:fill="auto"/>
            <w:noWrap/>
            <w:vAlign w:val="center"/>
          </w:tcPr>
          <w:p w:rsidR="005A5F9C" w:rsidRPr="0064758C" w:rsidP="005A5F9C" w14:paraId="5CD80EDE" w14:textId="6605B54D">
            <w:pPr>
              <w:pStyle w:val="RTableTextAbt"/>
              <w:rPr>
                <w:b/>
                <w:bCs w:val="0"/>
                <w:i/>
                <w:iCs/>
                <w:szCs w:val="18"/>
              </w:rPr>
            </w:pPr>
            <w:r w:rsidRPr="0064758C">
              <w:rPr>
                <w:b/>
                <w:bCs w:val="0"/>
                <w:i/>
                <w:iCs/>
                <w:szCs w:val="18"/>
              </w:rPr>
              <w:t>8,346</w:t>
            </w:r>
          </w:p>
        </w:tc>
        <w:tc>
          <w:tcPr>
            <w:tcW w:w="466" w:type="pct"/>
            <w:shd w:val="clear" w:color="auto" w:fill="auto"/>
            <w:noWrap/>
            <w:vAlign w:val="center"/>
          </w:tcPr>
          <w:p w:rsidR="005A5F9C" w:rsidRPr="0064758C" w:rsidP="005A5F9C" w14:paraId="67BF3C94" w14:textId="04092C15">
            <w:pPr>
              <w:pStyle w:val="RTableTextAbt"/>
              <w:rPr>
                <w:b/>
                <w:bCs w:val="0"/>
                <w:i/>
                <w:iCs/>
                <w:szCs w:val="18"/>
              </w:rPr>
            </w:pPr>
            <w:r w:rsidRPr="0064758C">
              <w:rPr>
                <w:b/>
                <w:bCs w:val="0"/>
                <w:i/>
                <w:iCs/>
                <w:szCs w:val="18"/>
              </w:rPr>
              <w:t>97%</w:t>
            </w:r>
          </w:p>
        </w:tc>
        <w:tc>
          <w:tcPr>
            <w:tcW w:w="476" w:type="pct"/>
            <w:shd w:val="clear" w:color="auto" w:fill="auto"/>
            <w:noWrap/>
            <w:vAlign w:val="center"/>
          </w:tcPr>
          <w:p w:rsidR="005A5F9C" w:rsidRPr="0064758C" w:rsidP="005A5F9C" w14:paraId="2E83E31E" w14:textId="6EECE4B0">
            <w:pPr>
              <w:pStyle w:val="RTableTextAbt"/>
              <w:rPr>
                <w:b/>
                <w:bCs w:val="0"/>
                <w:i/>
                <w:iCs/>
                <w:szCs w:val="18"/>
              </w:rPr>
            </w:pPr>
            <w:r w:rsidRPr="0064758C">
              <w:rPr>
                <w:b/>
                <w:bCs w:val="0"/>
                <w:i/>
                <w:iCs/>
                <w:szCs w:val="18"/>
              </w:rPr>
              <w:t>8,094</w:t>
            </w:r>
          </w:p>
        </w:tc>
      </w:tr>
      <w:tr w14:paraId="29D50D75" w14:textId="77777777" w:rsidTr="00CA0464">
        <w:tblPrEx>
          <w:tblW w:w="5048" w:type="pct"/>
          <w:tblLayout w:type="fixed"/>
          <w:tblLook w:val="04A0"/>
        </w:tblPrEx>
        <w:trPr>
          <w:trHeight w:val="20"/>
        </w:trPr>
        <w:tc>
          <w:tcPr>
            <w:tcW w:w="733" w:type="pct"/>
            <w:shd w:val="clear" w:color="auto" w:fill="auto"/>
            <w:vAlign w:val="center"/>
            <w:hideMark/>
          </w:tcPr>
          <w:p w:rsidR="002013BA" w:rsidP="002013BA" w14:paraId="5FF718D4" w14:textId="77777777">
            <w:pPr>
              <w:pStyle w:val="LTableTextAbt"/>
            </w:pPr>
            <w:r>
              <w:t>Automotive refinishing</w:t>
            </w:r>
          </w:p>
        </w:tc>
        <w:tc>
          <w:tcPr>
            <w:tcW w:w="425" w:type="pct"/>
            <w:shd w:val="clear" w:color="auto" w:fill="auto"/>
            <w:noWrap/>
            <w:vAlign w:val="center"/>
            <w:hideMark/>
          </w:tcPr>
          <w:p w:rsidR="002013BA" w:rsidRPr="0064758C" w:rsidP="002013BA" w14:paraId="2580694A" w14:textId="77777777">
            <w:pPr>
              <w:pStyle w:val="LTableTextAbt"/>
              <w:rPr>
                <w:b/>
                <w:bCs w:val="0"/>
                <w:szCs w:val="18"/>
              </w:rPr>
            </w:pPr>
            <w:r w:rsidRPr="0064758C">
              <w:rPr>
                <w:b/>
                <w:bCs w:val="0"/>
                <w:szCs w:val="18"/>
              </w:rPr>
              <w:t>811121</w:t>
            </w:r>
          </w:p>
        </w:tc>
        <w:tc>
          <w:tcPr>
            <w:tcW w:w="1193" w:type="pct"/>
            <w:shd w:val="clear" w:color="auto" w:fill="auto"/>
            <w:vAlign w:val="center"/>
            <w:hideMark/>
          </w:tcPr>
          <w:p w:rsidR="002013BA" w:rsidRPr="0064758C" w:rsidP="002013BA" w14:paraId="4A54016A" w14:textId="77777777">
            <w:pPr>
              <w:pStyle w:val="LTableTextAbt"/>
              <w:rPr>
                <w:b/>
                <w:bCs w:val="0"/>
                <w:i/>
                <w:iCs/>
                <w:szCs w:val="18"/>
              </w:rPr>
            </w:pPr>
            <w:r w:rsidRPr="0064758C">
              <w:rPr>
                <w:b/>
                <w:bCs w:val="0"/>
                <w:i/>
                <w:iCs/>
                <w:szCs w:val="18"/>
              </w:rPr>
              <w:t>Automotive Body, Paint, and Interior Repair and Maintenance</w:t>
            </w:r>
          </w:p>
        </w:tc>
        <w:tc>
          <w:tcPr>
            <w:tcW w:w="566" w:type="pct"/>
            <w:shd w:val="clear" w:color="auto" w:fill="auto"/>
            <w:noWrap/>
            <w:vAlign w:val="center"/>
            <w:hideMark/>
          </w:tcPr>
          <w:p w:rsidR="002013BA" w:rsidRPr="0064758C" w:rsidP="002013BA" w14:paraId="13C72EEE" w14:textId="77777777">
            <w:pPr>
              <w:pStyle w:val="RTableTextAbt"/>
              <w:rPr>
                <w:b/>
                <w:bCs w:val="0"/>
                <w:i/>
                <w:iCs/>
              </w:rPr>
            </w:pPr>
            <w:r w:rsidRPr="0064758C">
              <w:rPr>
                <w:b/>
                <w:bCs w:val="0"/>
                <w:i/>
                <w:iCs/>
              </w:rPr>
              <w:t>$9</w:t>
            </w:r>
          </w:p>
        </w:tc>
        <w:tc>
          <w:tcPr>
            <w:tcW w:w="618" w:type="pct"/>
            <w:shd w:val="clear" w:color="auto" w:fill="auto"/>
            <w:noWrap/>
            <w:vAlign w:val="center"/>
            <w:hideMark/>
          </w:tcPr>
          <w:p w:rsidR="002013BA" w:rsidRPr="0064758C" w:rsidP="002013BA" w14:paraId="5B6017C2" w14:textId="77777777">
            <w:pPr>
              <w:pStyle w:val="RTableTextAbt"/>
              <w:rPr>
                <w:b/>
                <w:bCs w:val="0"/>
                <w:i/>
                <w:iCs/>
              </w:rPr>
            </w:pPr>
            <w:r w:rsidRPr="0064758C">
              <w:rPr>
                <w:b/>
                <w:bCs w:val="0"/>
                <w:i/>
                <w:iCs/>
              </w:rPr>
              <w:t>- </w:t>
            </w:r>
          </w:p>
        </w:tc>
        <w:tc>
          <w:tcPr>
            <w:tcW w:w="523" w:type="pct"/>
            <w:shd w:val="clear" w:color="auto" w:fill="auto"/>
            <w:noWrap/>
            <w:vAlign w:val="center"/>
            <w:hideMark/>
          </w:tcPr>
          <w:p w:rsidR="002013BA" w:rsidRPr="0064758C" w:rsidP="002013BA" w14:paraId="107C4944" w14:textId="7028DAC6">
            <w:pPr>
              <w:pStyle w:val="RTableTextAbt"/>
              <w:rPr>
                <w:b/>
                <w:bCs w:val="0"/>
                <w:i/>
                <w:iCs/>
                <w:szCs w:val="18"/>
              </w:rPr>
            </w:pPr>
            <w:r w:rsidRPr="0064758C">
              <w:rPr>
                <w:b/>
                <w:bCs w:val="0"/>
                <w:i/>
                <w:iCs/>
                <w:szCs w:val="18"/>
              </w:rPr>
              <w:t>31,728</w:t>
            </w:r>
          </w:p>
        </w:tc>
        <w:tc>
          <w:tcPr>
            <w:tcW w:w="466" w:type="pct"/>
            <w:shd w:val="clear" w:color="auto" w:fill="auto"/>
            <w:noWrap/>
            <w:vAlign w:val="center"/>
            <w:hideMark/>
          </w:tcPr>
          <w:p w:rsidR="002013BA" w:rsidRPr="0064758C" w:rsidP="002013BA" w14:paraId="0B137CBD" w14:textId="2ACF962D">
            <w:pPr>
              <w:pStyle w:val="RTableTextAbt"/>
              <w:rPr>
                <w:b/>
                <w:bCs w:val="0"/>
                <w:i/>
                <w:iCs/>
              </w:rPr>
            </w:pPr>
            <w:r w:rsidRPr="0064758C">
              <w:rPr>
                <w:b/>
                <w:bCs w:val="0"/>
                <w:i/>
                <w:iCs/>
                <w:szCs w:val="18"/>
              </w:rPr>
              <w:t>98%</w:t>
            </w:r>
          </w:p>
        </w:tc>
        <w:tc>
          <w:tcPr>
            <w:tcW w:w="476" w:type="pct"/>
            <w:shd w:val="clear" w:color="auto" w:fill="auto"/>
            <w:noWrap/>
            <w:vAlign w:val="center"/>
            <w:hideMark/>
          </w:tcPr>
          <w:p w:rsidR="002013BA" w:rsidRPr="0064758C" w:rsidP="002013BA" w14:paraId="05A519A2" w14:textId="20A2B673">
            <w:pPr>
              <w:pStyle w:val="RTableTextAbt"/>
              <w:rPr>
                <w:b/>
                <w:bCs w:val="0"/>
                <w:i/>
                <w:iCs/>
              </w:rPr>
            </w:pPr>
            <w:r w:rsidRPr="0064758C">
              <w:rPr>
                <w:b/>
                <w:bCs w:val="0"/>
                <w:i/>
                <w:iCs/>
                <w:szCs w:val="18"/>
              </w:rPr>
              <w:t>31,117</w:t>
            </w:r>
          </w:p>
        </w:tc>
      </w:tr>
      <w:tr w14:paraId="493A428F" w14:textId="77777777" w:rsidTr="00CA0464">
        <w:tblPrEx>
          <w:tblW w:w="5048" w:type="pct"/>
          <w:tblLayout w:type="fixed"/>
          <w:tblLook w:val="04A0"/>
        </w:tblPrEx>
        <w:trPr>
          <w:trHeight w:val="20"/>
        </w:trPr>
        <w:tc>
          <w:tcPr>
            <w:tcW w:w="5000" w:type="pct"/>
            <w:gridSpan w:val="8"/>
            <w:shd w:val="clear" w:color="auto" w:fill="auto"/>
            <w:vAlign w:val="center"/>
          </w:tcPr>
          <w:p w:rsidR="003367D6" w:rsidP="003367D6" w14:paraId="761EA272" w14:textId="5AB222DB">
            <w:pPr>
              <w:pStyle w:val="TableNote0"/>
            </w:pPr>
            <w:r w:rsidRPr="0064758C">
              <w:rPr>
                <w:vertAlign w:val="superscript"/>
              </w:rPr>
              <w:t>1</w:t>
            </w:r>
            <w:r>
              <w:t xml:space="preserve">The estimated number of affected facilities in each use category is described in section </w:t>
            </w:r>
            <w:r>
              <w:fldChar w:fldCharType="begin" w:fldLock="1"/>
            </w:r>
            <w:r>
              <w:instrText xml:space="preserve"> REF _Ref180684200 \r \h </w:instrText>
            </w:r>
            <w:r>
              <w:fldChar w:fldCharType="separate"/>
            </w:r>
            <w:r w:rsidR="00735BBC">
              <w:t>3.1</w:t>
            </w:r>
            <w:r>
              <w:fldChar w:fldCharType="end"/>
            </w:r>
            <w:r>
              <w:t xml:space="preserve"> and is distributed to the affected NAICS according to the overall relative numbers of firms in each NAICS.</w:t>
            </w:r>
          </w:p>
          <w:p w:rsidR="002013BA" w:rsidRPr="007E694C" w:rsidP="002013BA" w14:paraId="6D71FE6B" w14:textId="63366008">
            <w:pPr>
              <w:pStyle w:val="TableNote0"/>
            </w:pPr>
            <w:r>
              <w:t xml:space="preserve">Sources: </w:t>
            </w:r>
            <w:r>
              <w:fldChar w:fldCharType="begin" w:fldLock="1"/>
            </w:r>
            <w:r w:rsidR="00820A38">
              <w:instrText xml:space="preserve"> ADDIN EN.CITE &lt;EndNote&gt;&lt;Cite&gt;&lt;Author&gt;U.S. Census Bureau&lt;/Author&gt;&lt;Year&gt;2021&lt;/Year&gt;&lt;RecNum&gt;49&lt;/RecNum&gt;&lt;DisplayText&gt;U.S. Census Bureau 2021; U.S. Census Bureau 2023&lt;/DisplayText&gt;&lt;record&gt;&lt;rec-number&gt;49&lt;/rec-number&gt;&lt;foreign-keys&gt;&lt;key app="EN" db-id="2apzr05radv9fjet2w6xxwdlz5e9vwfxredw" timestamp="1730757315"&gt;49&lt;/key&gt;&lt;/foreign-keys&gt;&lt;ref-type name="Generic"&gt;13&lt;/ref-type&gt;&lt;contributors&gt;&lt;authors&gt;&lt;author&gt;U.S. Census Bureau,&lt;/author&gt;&lt;/authors&gt;&lt;/contributors&gt;&lt;titles&gt;&lt;title&gt;Statistics of U.S. Businesses (SUSB). The Number of Firms and Establishments, Employment, Annual Payroll, and Receipts by Industry and Enterprise Receipts Size: 2017&lt;/title&gt;&lt;/titles&gt;&lt;dates&gt;&lt;year&gt;2021&lt;/year&gt;&lt;/dates&gt;&lt;urls&gt;&lt;related-urls&gt;&lt;url&gt;https://www2.census.gov/programs-surveys/susb/tables/2017/us_6digitnaics_rcptsize_2017.xlsx&lt;/url&gt;&lt;/related-urls&gt;&lt;/urls&gt;&lt;/record&gt;&lt;/Cite&gt;&lt;Cite&gt;&lt;Author&gt;U.S. Census Bureau&lt;/Author&gt;&lt;Year&gt;2023&lt;/Year&gt;&lt;RecNum&gt;50&lt;/RecNum&gt;&lt;record&gt;&lt;rec-number&gt;50&lt;/rec-number&gt;&lt;foreign-keys&gt;&lt;key app="EN" db-id="2apzr05radv9fjet2w6xxwdlz5e9vwfxredw" timestamp="1730757315"&gt;50&lt;/key&gt;&lt;/foreign-keys&gt;&lt;ref-type name="Generic"&gt;13&lt;/ref-type&gt;&lt;contributors&gt;&lt;authors&gt;&lt;author&gt;U.S. Census Bureau,&lt;/author&gt;&lt;/authors&gt;&lt;/contributors&gt;&lt;titles&gt;&lt;title&gt;Statistics of U.S. Businesses (SUSB). The Number of Firms and Establishments, Employment, and Annual Payroll by State, Industry, and Enterprise Employment Size: 2021&lt;/title&gt;&lt;/titles&gt;&lt;dates&gt;&lt;year&gt;2023&lt;/year&gt;&lt;/dates&gt;&lt;urls&gt;&lt;related-urls&gt;&lt;url&gt;https://www2.census.gov/programs-surveys/susb/tables/2021/us_state_6digitnaics_2021.xlsx&lt;/url&gt;&lt;/related-urls&gt;&lt;/urls&gt;&lt;/record&gt;&lt;/Cite&gt;&lt;/EndNote&gt;</w:instrText>
            </w:r>
            <w:r>
              <w:fldChar w:fldCharType="separate"/>
            </w:r>
            <w:hyperlink w:anchor="_ENREF_49" w:tooltip="U.S. Census Bureau, 2021 #49" w:history="1">
              <w:r w:rsidR="003D6084">
                <w:rPr>
                  <w:noProof/>
                </w:rPr>
                <w:t>U.S. Census Bureau 2021</w:t>
              </w:r>
            </w:hyperlink>
            <w:r w:rsidR="009961F1">
              <w:rPr>
                <w:noProof/>
              </w:rPr>
              <w:t xml:space="preserve">; </w:t>
            </w:r>
            <w:hyperlink w:anchor="_ENREF_50" w:tooltip="U.S. Census Bureau, 2023 #50" w:history="1">
              <w:r w:rsidR="003D6084">
                <w:rPr>
                  <w:noProof/>
                </w:rPr>
                <w:t>U.S. Census Bureau 2023</w:t>
              </w:r>
            </w:hyperlink>
            <w:r>
              <w:fldChar w:fldCharType="end"/>
            </w:r>
            <w:r>
              <w:t xml:space="preserve">; </w:t>
            </w:r>
            <w:hyperlink w:anchor="_ENREF_48" w:tooltip="U.S. Bureau of Economic Analysis (BEA), 2024 #48" w:history="1">
              <w:r w:rsidR="003D6084">
                <w:fldChar w:fldCharType="begin" w:fldLock="1"/>
              </w:r>
              <w:r w:rsidR="003D6084">
                <w:instrText xml:space="preserve"> ADDIN EN.CITE &lt;EndNote&gt;&lt;Cite ExcludeAuth="1"&gt;&lt;Author&gt;U.S. Bureau of Economic Analysis (BEA)&lt;/Author&gt;&lt;Year&gt;2024&lt;/Year&gt;&lt;RecNum&gt;48&lt;/RecNum&gt;&lt;Prefix&gt;BEA &lt;/Prefix&gt;&lt;DisplayText&gt;BEA 2024b&lt;/DisplayText&gt;&lt;record&gt;&lt;rec-number&gt;48&lt;/rec-number&gt;&lt;foreign-keys&gt;&lt;key app="EN" db-id="2apzr05radv9fjet2w6xxwdlz5e9vwfxredw" timestamp="1730757315"&gt;48&lt;/key&gt;&lt;/foreign-keys&gt;&lt;ref-type name="Generic"&gt;13&lt;/ref-type&gt;&lt;contributors&gt;&lt;authors&gt;&lt;author&gt;U.S. Bureau of Economic Analysis (BEA),&lt;/author&gt;&lt;/authors&gt;&lt;/contributors&gt;&lt;titles&gt;&lt;title&gt;Table 1.1.9. Implicit Price Deflators for Gross Domestic Product (T10109-A)&lt;/title&gt;&lt;/titles&gt;&lt;dates&gt;&lt;year&gt;2024&lt;/year&gt;&lt;pub-dates&gt;&lt;date&gt;May 29, 2024&lt;/date&gt;&lt;/pub-dates&gt;&lt;/dates&gt;&lt;urls&gt;&lt;/urls&gt;&lt;/record&gt;&lt;/Cite&gt;&lt;/EndNote&gt;</w:instrText>
              </w:r>
              <w:r w:rsidR="003D6084">
                <w:fldChar w:fldCharType="separate"/>
              </w:r>
              <w:r w:rsidR="003D6084">
                <w:rPr>
                  <w:noProof/>
                </w:rPr>
                <w:t>BEA 2024b</w:t>
              </w:r>
              <w:r w:rsidR="003D6084">
                <w:fldChar w:fldCharType="end"/>
              </w:r>
            </w:hyperlink>
            <w:r>
              <w:t xml:space="preserve">; </w:t>
            </w:r>
            <w:hyperlink w:anchor="_ENREF_70" w:tooltip="U.S. Small Business Administration (SBA), 2023 #69" w:history="1">
              <w:r w:rsidR="003D6084">
                <w:fldChar w:fldCharType="begin" w:fldLock="1"/>
              </w:r>
              <w:r w:rsidR="003D6084">
                <w:instrText xml:space="preserve"> ADDIN EN.CITE &lt;EndNote&gt;&lt;Cite ExcludeAuth="1"&gt;&lt;Author&gt;U.S. Small Business Administration (SBA)&lt;/Author&gt;&lt;Year&gt;2023&lt;/Year&gt;&lt;RecNum&gt;69&lt;/RecNum&gt;&lt;Prefix&gt;SBA &lt;/Prefix&gt;&lt;DisplayText&gt;SBA 2023&lt;/DisplayText&gt;&lt;record&gt;&lt;rec-number&gt;69&lt;/rec-number&gt;&lt;foreign-keys&gt;&lt;key app="EN" db-id="2apzr05radv9fjet2w6xxwdlz5e9vwfxredw" timestamp="1730757315"&gt;69&lt;/key&gt;&lt;/foreign-keys&gt;&lt;ref-type name="Generic"&gt;13&lt;/ref-type&gt;&lt;contributors&gt;&lt;authors&gt;&lt;author&gt;U.S. Small Business Administration (SBA),&lt;/author&gt;&lt;/authors&gt;&lt;/contributors&gt;&lt;titles&gt;&lt;title&gt;Table of Size Standards&lt;/title&gt;&lt;/titles&gt;&lt;dates&gt;&lt;year&gt;2023&lt;/year&gt;&lt;/dates&gt;&lt;urls&gt;&lt;related-urls&gt;&lt;url&gt;https://www.sba.gov/document/support-table-size-standards&lt;/url&gt;&lt;/related-urls&gt;&lt;/urls&gt;&lt;/record&gt;&lt;/Cite&gt;&lt;/EndNote&gt;</w:instrText>
              </w:r>
              <w:r w:rsidR="003D6084">
                <w:fldChar w:fldCharType="separate"/>
              </w:r>
              <w:r w:rsidR="003D6084">
                <w:rPr>
                  <w:noProof/>
                </w:rPr>
                <w:t>SBA 2023</w:t>
              </w:r>
              <w:r w:rsidR="003D6084">
                <w:fldChar w:fldCharType="end"/>
              </w:r>
            </w:hyperlink>
            <w:r>
              <w:t>.</w:t>
            </w:r>
          </w:p>
        </w:tc>
      </w:tr>
    </w:tbl>
    <w:p w:rsidR="008A293B" w:rsidRPr="00B10380" w:rsidP="008A293B" w14:paraId="5B18532C" w14:textId="77777777">
      <w:pPr>
        <w:pStyle w:val="BodyText"/>
        <w:rPr>
          <w:rFonts w:eastAsiaTheme="minorEastAsia"/>
        </w:rPr>
      </w:pPr>
    </w:p>
    <w:p w:rsidR="008A293B" w:rsidP="008A293B" w14:paraId="4F3B960D" w14:textId="77777777">
      <w:pPr>
        <w:pStyle w:val="Heading4"/>
      </w:pPr>
      <w:r>
        <w:t>Summary of Affected Small Entities by Use Category</w:t>
      </w:r>
    </w:p>
    <w:p w:rsidR="008A293B" w:rsidRPr="00231C20" w:rsidP="008A293B" w14:paraId="3BF84D1C" w14:textId="7BF51845">
      <w:pPr>
        <w:pStyle w:val="BodyText"/>
        <w:rPr>
          <w:lang w:val="en-US"/>
        </w:rPr>
      </w:pPr>
      <w:r>
        <w:rPr>
          <w:lang w:val="en-US"/>
        </w:rPr>
        <w:fldChar w:fldCharType="begin" w:fldLock="1"/>
      </w:r>
      <w:r>
        <w:rPr>
          <w:lang w:val="en-US"/>
        </w:rPr>
        <w:instrText xml:space="preserve"> REF _Ref180768358 \h </w:instrText>
      </w:r>
      <w:r>
        <w:rPr>
          <w:lang w:val="en-US"/>
        </w:rPr>
        <w:fldChar w:fldCharType="separate"/>
      </w:r>
      <w:r w:rsidR="00735BBC">
        <w:t xml:space="preserve">Table </w:t>
      </w:r>
      <w:r w:rsidR="00735BBC">
        <w:rPr>
          <w:noProof/>
        </w:rPr>
        <w:t>7</w:t>
      </w:r>
      <w:r w:rsidR="00735BBC">
        <w:noBreakHyphen/>
      </w:r>
      <w:r w:rsidR="00735BBC">
        <w:rPr>
          <w:noProof/>
        </w:rPr>
        <w:t>3</w:t>
      </w:r>
      <w:r>
        <w:rPr>
          <w:lang w:val="en-US"/>
        </w:rPr>
        <w:fldChar w:fldCharType="end"/>
      </w:r>
      <w:r>
        <w:rPr>
          <w:lang w:val="en-US"/>
        </w:rPr>
        <w:t xml:space="preserve"> presents a summary of the numbers of affected small entities (see </w:t>
      </w:r>
      <w:r>
        <w:rPr>
          <w:lang w:val="en-US"/>
        </w:rPr>
        <w:fldChar w:fldCharType="begin" w:fldLock="1"/>
      </w:r>
      <w:r>
        <w:rPr>
          <w:lang w:val="en-US"/>
        </w:rPr>
        <w:instrText xml:space="preserve"> REF _Ref178956355 \h </w:instrText>
      </w:r>
      <w:r>
        <w:rPr>
          <w:lang w:val="en-US"/>
        </w:rPr>
        <w:fldChar w:fldCharType="separate"/>
      </w:r>
      <w:r w:rsidR="00735BBC">
        <w:t xml:space="preserve">Table </w:t>
      </w:r>
      <w:r w:rsidR="00735BBC">
        <w:rPr>
          <w:noProof/>
        </w:rPr>
        <w:t>7</w:t>
      </w:r>
      <w:r w:rsidR="00735BBC">
        <w:noBreakHyphen/>
      </w:r>
      <w:r w:rsidR="00735BBC">
        <w:rPr>
          <w:noProof/>
        </w:rPr>
        <w:t>1</w:t>
      </w:r>
      <w:r>
        <w:rPr>
          <w:lang w:val="en-US"/>
        </w:rPr>
        <w:fldChar w:fldCharType="end"/>
      </w:r>
      <w:r>
        <w:rPr>
          <w:lang w:val="en-US"/>
        </w:rPr>
        <w:t xml:space="preserve"> and </w:t>
      </w:r>
      <w:r>
        <w:rPr>
          <w:lang w:val="en-US"/>
        </w:rPr>
        <w:fldChar w:fldCharType="begin" w:fldLock="1"/>
      </w:r>
      <w:r>
        <w:rPr>
          <w:lang w:val="en-US"/>
        </w:rPr>
        <w:instrText xml:space="preserve"> REF _Ref178187415 \h </w:instrText>
      </w:r>
      <w:r>
        <w:rPr>
          <w:lang w:val="en-US"/>
        </w:rPr>
        <w:fldChar w:fldCharType="separate"/>
      </w:r>
      <w:r w:rsidR="00735BBC">
        <w:t xml:space="preserve">Table </w:t>
      </w:r>
      <w:r w:rsidR="00735BBC">
        <w:rPr>
          <w:noProof/>
        </w:rPr>
        <w:t>7</w:t>
      </w:r>
      <w:r w:rsidR="00735BBC">
        <w:noBreakHyphen/>
      </w:r>
      <w:r w:rsidR="00735BBC">
        <w:rPr>
          <w:noProof/>
        </w:rPr>
        <w:t>2</w:t>
      </w:r>
      <w:r>
        <w:rPr>
          <w:lang w:val="en-US"/>
        </w:rPr>
        <w:fldChar w:fldCharType="end"/>
      </w:r>
      <w:r>
        <w:rPr>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2"/>
        <w:gridCol w:w="3272"/>
        <w:gridCol w:w="1286"/>
        <w:gridCol w:w="1440"/>
      </w:tblGrid>
      <w:tr w14:paraId="519D7838" w14:textId="77777777" w:rsidTr="00CA046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
          <w:tblHeader/>
        </w:trPr>
        <w:tc>
          <w:tcPr>
            <w:tcW w:w="5000" w:type="pct"/>
            <w:gridSpan w:val="4"/>
            <w:tcBorders>
              <w:top w:val="nil"/>
              <w:left w:val="nil"/>
              <w:bottom w:val="single" w:sz="4" w:space="0" w:color="auto"/>
              <w:right w:val="nil"/>
            </w:tcBorders>
            <w:shd w:val="clear" w:color="auto" w:fill="auto"/>
            <w:vAlign w:val="center"/>
          </w:tcPr>
          <w:p w:rsidR="008A293B" w:rsidRPr="007D3F60" w:rsidP="00CA0464" w14:paraId="3FB30396" w14:textId="3CFD0D5C">
            <w:pPr>
              <w:pStyle w:val="TableTitleA"/>
            </w:pPr>
            <w:bookmarkStart w:id="328" w:name="_Ref180768358"/>
            <w:bookmarkStart w:id="329" w:name="_Toc180769671"/>
            <w:bookmarkStart w:id="330" w:name="_Toc184299599"/>
            <w:r>
              <w:t xml:space="preserve">Table </w:t>
            </w:r>
            <w:r>
              <w:fldChar w:fldCharType="begin" w:fldLock="1"/>
            </w:r>
            <w:r>
              <w:instrText>STYLEREF 1 \s</w:instrText>
            </w:r>
            <w:r>
              <w:fldChar w:fldCharType="separate"/>
            </w:r>
            <w:r w:rsidR="00735BBC">
              <w:rPr>
                <w:noProof/>
              </w:rPr>
              <w:t>7</w:t>
            </w:r>
            <w:r>
              <w:fldChar w:fldCharType="end"/>
            </w:r>
            <w:r>
              <w:noBreakHyphen/>
            </w:r>
            <w:r>
              <w:fldChar w:fldCharType="begin" w:fldLock="1"/>
            </w:r>
            <w:r>
              <w:instrText>SEQ Table \* ARABIC \s 1</w:instrText>
            </w:r>
            <w:r>
              <w:fldChar w:fldCharType="separate"/>
            </w:r>
            <w:r w:rsidR="00735BBC">
              <w:rPr>
                <w:noProof/>
              </w:rPr>
              <w:t>3</w:t>
            </w:r>
            <w:r>
              <w:fldChar w:fldCharType="end"/>
            </w:r>
            <w:bookmarkEnd w:id="328"/>
            <w:r>
              <w:t>: Summary of Small Businesses by Use Category</w:t>
            </w:r>
            <w:bookmarkEnd w:id="329"/>
            <w:bookmarkEnd w:id="330"/>
          </w:p>
        </w:tc>
      </w:tr>
      <w:tr w14:paraId="3465B29B" w14:textId="77777777" w:rsidTr="00CA0464">
        <w:tblPrEx>
          <w:tblW w:w="5000" w:type="pct"/>
          <w:tblLook w:val="04A0"/>
        </w:tblPrEx>
        <w:trPr>
          <w:trHeight w:val="424"/>
          <w:tblHeader/>
        </w:trPr>
        <w:tc>
          <w:tcPr>
            <w:tcW w:w="1796" w:type="pct"/>
            <w:tcBorders>
              <w:top w:val="single" w:sz="4" w:space="0" w:color="auto"/>
            </w:tcBorders>
            <w:shd w:val="clear" w:color="auto" w:fill="013E5B"/>
            <w:vAlign w:val="center"/>
            <w:hideMark/>
          </w:tcPr>
          <w:p w:rsidR="008A293B" w:rsidRPr="007D3F60" w:rsidP="00CA0464" w14:paraId="2119D74F" w14:textId="77777777">
            <w:pPr>
              <w:pStyle w:val="TableSubtitle"/>
            </w:pPr>
            <w:r w:rsidRPr="007D3F60">
              <w:t>Use Category</w:t>
            </w:r>
          </w:p>
        </w:tc>
        <w:tc>
          <w:tcPr>
            <w:tcW w:w="1748" w:type="pct"/>
            <w:tcBorders>
              <w:top w:val="single" w:sz="4" w:space="0" w:color="auto"/>
            </w:tcBorders>
            <w:shd w:val="clear" w:color="auto" w:fill="013E5B"/>
            <w:vAlign w:val="center"/>
          </w:tcPr>
          <w:p w:rsidR="008A293B" w:rsidRPr="007D3F60" w:rsidP="00CA0464" w14:paraId="7765B8CE" w14:textId="77777777">
            <w:pPr>
              <w:pStyle w:val="TableSubtitle"/>
            </w:pPr>
            <w:r>
              <w:t>NAICs codes</w:t>
            </w:r>
          </w:p>
        </w:tc>
        <w:tc>
          <w:tcPr>
            <w:tcW w:w="687" w:type="pct"/>
            <w:tcBorders>
              <w:top w:val="single" w:sz="4" w:space="0" w:color="auto"/>
            </w:tcBorders>
            <w:shd w:val="clear" w:color="auto" w:fill="013E5B"/>
            <w:vAlign w:val="center"/>
            <w:hideMark/>
          </w:tcPr>
          <w:p w:rsidR="008A293B" w:rsidRPr="007D3F60" w:rsidP="00CA0464" w14:paraId="146F9F24" w14:textId="77777777">
            <w:pPr>
              <w:pStyle w:val="TableSubtitle"/>
            </w:pPr>
            <w:r w:rsidRPr="007D3F60">
              <w:t>Affected facilities</w:t>
            </w:r>
          </w:p>
        </w:tc>
        <w:tc>
          <w:tcPr>
            <w:tcW w:w="769" w:type="pct"/>
            <w:tcBorders>
              <w:top w:val="single" w:sz="4" w:space="0" w:color="auto"/>
            </w:tcBorders>
            <w:shd w:val="clear" w:color="auto" w:fill="013E5B"/>
            <w:vAlign w:val="center"/>
          </w:tcPr>
          <w:p w:rsidR="008A293B" w:rsidRPr="007D3F60" w:rsidP="00CA0464" w14:paraId="1938D590" w14:textId="77777777">
            <w:pPr>
              <w:pStyle w:val="TableSubtitle"/>
              <w:rPr>
                <w:vertAlign w:val="superscript"/>
              </w:rPr>
            </w:pPr>
            <w:r w:rsidRPr="007D3F60">
              <w:t>Affected small facilities</w:t>
            </w:r>
            <w:r w:rsidRPr="007D3F60">
              <w:rPr>
                <w:vertAlign w:val="superscript"/>
              </w:rPr>
              <w:t xml:space="preserve"> </w:t>
            </w:r>
          </w:p>
        </w:tc>
      </w:tr>
      <w:tr w14:paraId="170DCCC2" w14:textId="77777777" w:rsidTr="00CA0464">
        <w:tblPrEx>
          <w:tblW w:w="5000" w:type="pct"/>
          <w:tblLook w:val="04A0"/>
        </w:tblPrEx>
        <w:trPr>
          <w:trHeight w:val="20"/>
        </w:trPr>
        <w:tc>
          <w:tcPr>
            <w:tcW w:w="1796" w:type="pct"/>
            <w:shd w:val="clear" w:color="auto" w:fill="auto"/>
            <w:vAlign w:val="center"/>
            <w:hideMark/>
          </w:tcPr>
          <w:p w:rsidR="008A293B" w:rsidP="00CA0464" w14:paraId="3C81AE1D" w14:textId="77777777">
            <w:pPr>
              <w:pStyle w:val="LTableTextAbt"/>
            </w:pPr>
            <w:r>
              <w:t>PV29 manufacturing</w:t>
            </w:r>
          </w:p>
        </w:tc>
        <w:tc>
          <w:tcPr>
            <w:tcW w:w="1748" w:type="pct"/>
            <w:vAlign w:val="center"/>
          </w:tcPr>
          <w:p w:rsidR="008A293B" w:rsidP="00CA0464" w14:paraId="56016527" w14:textId="77777777">
            <w:pPr>
              <w:pStyle w:val="LTableTextAbt"/>
              <w:rPr>
                <w:rFonts w:cs="Arial"/>
                <w:szCs w:val="18"/>
              </w:rPr>
            </w:pPr>
            <w:r>
              <w:rPr>
                <w:rFonts w:cs="Arial"/>
                <w:szCs w:val="18"/>
              </w:rPr>
              <w:t>325910</w:t>
            </w:r>
          </w:p>
        </w:tc>
        <w:tc>
          <w:tcPr>
            <w:tcW w:w="687" w:type="pct"/>
            <w:shd w:val="clear" w:color="auto" w:fill="auto"/>
            <w:noWrap/>
            <w:vAlign w:val="center"/>
            <w:hideMark/>
          </w:tcPr>
          <w:p w:rsidR="008A293B" w:rsidP="00CA0464" w14:paraId="0E92621C" w14:textId="77777777">
            <w:pPr>
              <w:pStyle w:val="RTableTextAbt"/>
            </w:pPr>
            <w:r>
              <w:rPr>
                <w:szCs w:val="18"/>
              </w:rPr>
              <w:t>1</w:t>
            </w:r>
          </w:p>
        </w:tc>
        <w:tc>
          <w:tcPr>
            <w:tcW w:w="769" w:type="pct"/>
            <w:shd w:val="clear" w:color="auto" w:fill="auto"/>
            <w:noWrap/>
            <w:vAlign w:val="center"/>
          </w:tcPr>
          <w:p w:rsidR="008A293B" w:rsidP="00CA0464" w14:paraId="20CA96F4" w14:textId="77777777">
            <w:pPr>
              <w:pStyle w:val="RTableTextAbt"/>
            </w:pPr>
            <w:r>
              <w:rPr>
                <w:szCs w:val="18"/>
              </w:rPr>
              <w:t>0</w:t>
            </w:r>
          </w:p>
        </w:tc>
      </w:tr>
      <w:tr w14:paraId="06C3CF7F" w14:textId="77777777" w:rsidTr="00CA0464">
        <w:tblPrEx>
          <w:tblW w:w="5000" w:type="pct"/>
          <w:tblLook w:val="04A0"/>
        </w:tblPrEx>
        <w:trPr>
          <w:trHeight w:val="20"/>
        </w:trPr>
        <w:tc>
          <w:tcPr>
            <w:tcW w:w="1796" w:type="pct"/>
            <w:shd w:val="clear" w:color="auto" w:fill="auto"/>
            <w:vAlign w:val="center"/>
            <w:hideMark/>
          </w:tcPr>
          <w:p w:rsidR="008A293B" w:rsidP="00CA0464" w14:paraId="0774F836" w14:textId="77777777">
            <w:pPr>
              <w:pStyle w:val="LTableTextAbt"/>
            </w:pPr>
            <w:r>
              <w:t>PV29 importing</w:t>
            </w:r>
          </w:p>
        </w:tc>
        <w:tc>
          <w:tcPr>
            <w:tcW w:w="1748" w:type="pct"/>
            <w:vAlign w:val="center"/>
          </w:tcPr>
          <w:p w:rsidR="008A293B" w:rsidP="00CA0464" w14:paraId="2D62D8E7" w14:textId="77777777">
            <w:pPr>
              <w:pStyle w:val="LTableTextAbt"/>
              <w:rPr>
                <w:rFonts w:cs="Arial"/>
                <w:szCs w:val="18"/>
              </w:rPr>
            </w:pPr>
            <w:r>
              <w:rPr>
                <w:rFonts w:cs="Arial"/>
                <w:szCs w:val="18"/>
              </w:rPr>
              <w:t>325998</w:t>
            </w:r>
          </w:p>
        </w:tc>
        <w:tc>
          <w:tcPr>
            <w:tcW w:w="687" w:type="pct"/>
            <w:shd w:val="clear" w:color="auto" w:fill="auto"/>
            <w:noWrap/>
            <w:vAlign w:val="center"/>
            <w:hideMark/>
          </w:tcPr>
          <w:p w:rsidR="008A293B" w:rsidP="00CA0464" w14:paraId="4427F2FB" w14:textId="77777777">
            <w:pPr>
              <w:pStyle w:val="RTableTextAbt"/>
            </w:pPr>
            <w:r>
              <w:rPr>
                <w:szCs w:val="18"/>
              </w:rPr>
              <w:t>1</w:t>
            </w:r>
          </w:p>
        </w:tc>
        <w:tc>
          <w:tcPr>
            <w:tcW w:w="769" w:type="pct"/>
            <w:shd w:val="clear" w:color="auto" w:fill="auto"/>
            <w:noWrap/>
            <w:vAlign w:val="center"/>
          </w:tcPr>
          <w:p w:rsidR="008A293B" w:rsidP="00CA0464" w14:paraId="4BA15196" w14:textId="77777777">
            <w:pPr>
              <w:pStyle w:val="RTableTextAbt"/>
            </w:pPr>
            <w:r>
              <w:rPr>
                <w:szCs w:val="18"/>
              </w:rPr>
              <w:t>0</w:t>
            </w:r>
          </w:p>
        </w:tc>
      </w:tr>
      <w:tr w14:paraId="52D8A1E2" w14:textId="77777777" w:rsidTr="00CA0464">
        <w:tblPrEx>
          <w:tblW w:w="5000" w:type="pct"/>
          <w:tblLook w:val="04A0"/>
        </w:tblPrEx>
        <w:trPr>
          <w:trHeight w:val="20"/>
        </w:trPr>
        <w:tc>
          <w:tcPr>
            <w:tcW w:w="1796" w:type="pct"/>
            <w:shd w:val="clear" w:color="auto" w:fill="auto"/>
            <w:vAlign w:val="center"/>
            <w:hideMark/>
          </w:tcPr>
          <w:p w:rsidR="008A293B" w:rsidP="00CA0464" w14:paraId="20FBF31C" w14:textId="77777777">
            <w:pPr>
              <w:pStyle w:val="LTableTextAbt"/>
            </w:pPr>
            <w:r>
              <w:t>Processing into automotive paints and coatings</w:t>
            </w:r>
          </w:p>
        </w:tc>
        <w:tc>
          <w:tcPr>
            <w:tcW w:w="1748" w:type="pct"/>
            <w:vAlign w:val="center"/>
          </w:tcPr>
          <w:p w:rsidR="008A293B" w:rsidP="00CA0464" w14:paraId="7CAA46F2" w14:textId="77777777">
            <w:pPr>
              <w:pStyle w:val="LTableTextAbt"/>
              <w:rPr>
                <w:rFonts w:cs="Arial"/>
                <w:szCs w:val="18"/>
              </w:rPr>
            </w:pPr>
            <w:r>
              <w:rPr>
                <w:rFonts w:cs="Arial"/>
                <w:szCs w:val="18"/>
              </w:rPr>
              <w:t>325510</w:t>
            </w:r>
          </w:p>
        </w:tc>
        <w:tc>
          <w:tcPr>
            <w:tcW w:w="687" w:type="pct"/>
            <w:shd w:val="clear" w:color="auto" w:fill="auto"/>
            <w:noWrap/>
            <w:vAlign w:val="center"/>
            <w:hideMark/>
          </w:tcPr>
          <w:p w:rsidR="008A293B" w:rsidP="00CA0464" w14:paraId="2B70A096" w14:textId="77777777">
            <w:pPr>
              <w:pStyle w:val="RTableTextAbt"/>
            </w:pPr>
            <w:r>
              <w:rPr>
                <w:szCs w:val="18"/>
              </w:rPr>
              <w:t>14</w:t>
            </w:r>
          </w:p>
        </w:tc>
        <w:tc>
          <w:tcPr>
            <w:tcW w:w="769" w:type="pct"/>
            <w:shd w:val="clear" w:color="auto" w:fill="auto"/>
            <w:noWrap/>
            <w:vAlign w:val="center"/>
          </w:tcPr>
          <w:p w:rsidR="008A293B" w:rsidP="00CA0464" w14:paraId="1ACD58E9" w14:textId="77777777">
            <w:pPr>
              <w:pStyle w:val="RTableTextAbt"/>
            </w:pPr>
            <w:r>
              <w:rPr>
                <w:szCs w:val="18"/>
              </w:rPr>
              <w:t>0</w:t>
            </w:r>
          </w:p>
        </w:tc>
      </w:tr>
      <w:tr w14:paraId="6CE6BC03" w14:textId="77777777" w:rsidTr="00CA0464">
        <w:tblPrEx>
          <w:tblW w:w="5000" w:type="pct"/>
          <w:tblLook w:val="04A0"/>
        </w:tblPrEx>
        <w:trPr>
          <w:trHeight w:val="20"/>
        </w:trPr>
        <w:tc>
          <w:tcPr>
            <w:tcW w:w="1796" w:type="pct"/>
            <w:shd w:val="clear" w:color="auto" w:fill="auto"/>
            <w:vAlign w:val="center"/>
            <w:hideMark/>
          </w:tcPr>
          <w:p w:rsidR="008A293B" w:rsidP="00CA0464" w14:paraId="5BC740A1" w14:textId="77777777">
            <w:pPr>
              <w:pStyle w:val="LTableTextAbt"/>
            </w:pPr>
            <w:r>
              <w:t>Processing into plastic and rubber products</w:t>
            </w:r>
          </w:p>
        </w:tc>
        <w:tc>
          <w:tcPr>
            <w:tcW w:w="1748" w:type="pct"/>
            <w:vAlign w:val="center"/>
          </w:tcPr>
          <w:p w:rsidR="008A293B" w:rsidP="00CA0464" w14:paraId="06073F0D" w14:textId="77777777">
            <w:pPr>
              <w:pStyle w:val="LTableTextAbt"/>
              <w:rPr>
                <w:rFonts w:cs="Arial"/>
                <w:szCs w:val="18"/>
              </w:rPr>
            </w:pPr>
            <w:r>
              <w:rPr>
                <w:rFonts w:cs="Arial"/>
                <w:szCs w:val="18"/>
              </w:rPr>
              <w:t>325211; 325991</w:t>
            </w:r>
          </w:p>
        </w:tc>
        <w:tc>
          <w:tcPr>
            <w:tcW w:w="687" w:type="pct"/>
            <w:shd w:val="clear" w:color="auto" w:fill="auto"/>
            <w:noWrap/>
            <w:vAlign w:val="center"/>
            <w:hideMark/>
          </w:tcPr>
          <w:p w:rsidR="008A293B" w:rsidP="00CA0464" w14:paraId="5F0A920A" w14:textId="77777777">
            <w:pPr>
              <w:pStyle w:val="RTableTextAbt"/>
            </w:pPr>
            <w:r>
              <w:rPr>
                <w:szCs w:val="18"/>
              </w:rPr>
              <w:t>6</w:t>
            </w:r>
          </w:p>
        </w:tc>
        <w:tc>
          <w:tcPr>
            <w:tcW w:w="769" w:type="pct"/>
            <w:shd w:val="clear" w:color="auto" w:fill="auto"/>
            <w:noWrap/>
            <w:vAlign w:val="center"/>
          </w:tcPr>
          <w:p w:rsidR="008A293B" w:rsidP="00CA0464" w14:paraId="33916BF1" w14:textId="180AE953">
            <w:pPr>
              <w:pStyle w:val="RTableTextAbt"/>
            </w:pPr>
            <w:r>
              <w:rPr>
                <w:szCs w:val="18"/>
              </w:rPr>
              <w:t>5</w:t>
            </w:r>
          </w:p>
        </w:tc>
      </w:tr>
      <w:tr w14:paraId="38BCEAD0" w14:textId="77777777" w:rsidTr="00CA0464">
        <w:tblPrEx>
          <w:tblW w:w="5000" w:type="pct"/>
          <w:tblLook w:val="04A0"/>
        </w:tblPrEx>
        <w:trPr>
          <w:trHeight w:val="20"/>
        </w:trPr>
        <w:tc>
          <w:tcPr>
            <w:tcW w:w="1796" w:type="pct"/>
            <w:shd w:val="clear" w:color="auto" w:fill="auto"/>
            <w:vAlign w:val="center"/>
            <w:hideMark/>
          </w:tcPr>
          <w:p w:rsidR="008A293B" w:rsidP="00CA0464" w14:paraId="6AC7B985" w14:textId="77777777">
            <w:pPr>
              <w:pStyle w:val="LTableTextAbt"/>
            </w:pPr>
            <w:r>
              <w:t>Recycling</w:t>
            </w:r>
          </w:p>
        </w:tc>
        <w:tc>
          <w:tcPr>
            <w:tcW w:w="1748" w:type="pct"/>
            <w:vAlign w:val="center"/>
          </w:tcPr>
          <w:p w:rsidR="008A293B" w:rsidP="00CA0464" w14:paraId="0B251C08" w14:textId="77777777">
            <w:pPr>
              <w:pStyle w:val="LTableTextAbt"/>
              <w:rPr>
                <w:rFonts w:cs="Arial"/>
                <w:szCs w:val="18"/>
              </w:rPr>
            </w:pPr>
            <w:r>
              <w:rPr>
                <w:rFonts w:cs="Arial"/>
                <w:szCs w:val="18"/>
              </w:rPr>
              <w:t>423140; 23930; 562920</w:t>
            </w:r>
          </w:p>
        </w:tc>
        <w:tc>
          <w:tcPr>
            <w:tcW w:w="687" w:type="pct"/>
            <w:shd w:val="clear" w:color="auto" w:fill="auto"/>
            <w:noWrap/>
            <w:vAlign w:val="center"/>
            <w:hideMark/>
          </w:tcPr>
          <w:p w:rsidR="008A293B" w:rsidP="00CA0464" w14:paraId="29B103FF" w14:textId="77777777">
            <w:pPr>
              <w:pStyle w:val="RTableTextAbt"/>
            </w:pPr>
            <w:r>
              <w:rPr>
                <w:szCs w:val="18"/>
              </w:rPr>
              <w:t>8,742</w:t>
            </w:r>
          </w:p>
        </w:tc>
        <w:tc>
          <w:tcPr>
            <w:tcW w:w="769" w:type="pct"/>
            <w:shd w:val="clear" w:color="auto" w:fill="auto"/>
            <w:noWrap/>
            <w:vAlign w:val="center"/>
          </w:tcPr>
          <w:p w:rsidR="008A293B" w:rsidP="00CA0464" w14:paraId="06F3241C" w14:textId="77777777">
            <w:pPr>
              <w:pStyle w:val="RTableTextAbt"/>
            </w:pPr>
            <w:r>
              <w:rPr>
                <w:szCs w:val="18"/>
              </w:rPr>
              <w:t>8,412</w:t>
            </w:r>
          </w:p>
        </w:tc>
      </w:tr>
      <w:tr w14:paraId="01613C37" w14:textId="77777777" w:rsidTr="00CA0464">
        <w:tblPrEx>
          <w:tblW w:w="5000" w:type="pct"/>
          <w:tblLook w:val="04A0"/>
        </w:tblPrEx>
        <w:trPr>
          <w:trHeight w:val="20"/>
        </w:trPr>
        <w:tc>
          <w:tcPr>
            <w:tcW w:w="1796" w:type="pct"/>
            <w:shd w:val="clear" w:color="auto" w:fill="auto"/>
            <w:vAlign w:val="center"/>
            <w:hideMark/>
          </w:tcPr>
          <w:p w:rsidR="008A293B" w:rsidP="00CA0464" w14:paraId="42890095" w14:textId="77777777">
            <w:pPr>
              <w:pStyle w:val="LTableTextAbt"/>
            </w:pPr>
            <w:r>
              <w:t>Automotive painting (new vehicles)</w:t>
            </w:r>
          </w:p>
        </w:tc>
        <w:tc>
          <w:tcPr>
            <w:tcW w:w="1748" w:type="pct"/>
            <w:vAlign w:val="center"/>
          </w:tcPr>
          <w:p w:rsidR="008A293B" w:rsidP="00CA0464" w14:paraId="1CE837DC" w14:textId="77777777">
            <w:pPr>
              <w:pStyle w:val="LTableTextAbt"/>
              <w:rPr>
                <w:rFonts w:cs="Arial"/>
                <w:szCs w:val="18"/>
              </w:rPr>
            </w:pPr>
            <w:r>
              <w:rPr>
                <w:rFonts w:cs="Arial"/>
                <w:szCs w:val="18"/>
              </w:rPr>
              <w:t>336111; 36112; 336211</w:t>
            </w:r>
          </w:p>
        </w:tc>
        <w:tc>
          <w:tcPr>
            <w:tcW w:w="687" w:type="pct"/>
            <w:shd w:val="clear" w:color="auto" w:fill="auto"/>
            <w:noWrap/>
            <w:vAlign w:val="center"/>
            <w:hideMark/>
          </w:tcPr>
          <w:p w:rsidR="008A293B" w:rsidP="00CA0464" w14:paraId="13B3C3B3" w14:textId="77777777">
            <w:pPr>
              <w:pStyle w:val="RTableTextAbt"/>
            </w:pPr>
            <w:r>
              <w:rPr>
                <w:szCs w:val="18"/>
              </w:rPr>
              <w:t>832</w:t>
            </w:r>
          </w:p>
        </w:tc>
        <w:tc>
          <w:tcPr>
            <w:tcW w:w="769" w:type="pct"/>
            <w:shd w:val="clear" w:color="auto" w:fill="auto"/>
            <w:noWrap/>
            <w:vAlign w:val="center"/>
          </w:tcPr>
          <w:p w:rsidR="008A293B" w:rsidP="00CA0464" w14:paraId="72675628" w14:textId="3158599B">
            <w:pPr>
              <w:pStyle w:val="RTableTextAbt"/>
            </w:pPr>
            <w:r>
              <w:rPr>
                <w:szCs w:val="18"/>
              </w:rPr>
              <w:t>76</w:t>
            </w:r>
            <w:r w:rsidR="00F06B59">
              <w:rPr>
                <w:szCs w:val="18"/>
              </w:rPr>
              <w:t>3</w:t>
            </w:r>
          </w:p>
        </w:tc>
      </w:tr>
      <w:tr w14:paraId="352FE8ED" w14:textId="77777777" w:rsidTr="00CA0464">
        <w:tblPrEx>
          <w:tblW w:w="5000" w:type="pct"/>
          <w:tblLook w:val="04A0"/>
        </w:tblPrEx>
        <w:trPr>
          <w:trHeight w:val="20"/>
        </w:trPr>
        <w:tc>
          <w:tcPr>
            <w:tcW w:w="1796" w:type="pct"/>
            <w:shd w:val="clear" w:color="auto" w:fill="auto"/>
            <w:vAlign w:val="center"/>
            <w:hideMark/>
          </w:tcPr>
          <w:p w:rsidR="008A293B" w:rsidP="00CA0464" w14:paraId="0A4FAAE1" w14:textId="77777777">
            <w:pPr>
              <w:pStyle w:val="LTableTextAbt"/>
            </w:pPr>
            <w:r>
              <w:t>Automotive refinishing</w:t>
            </w:r>
          </w:p>
        </w:tc>
        <w:tc>
          <w:tcPr>
            <w:tcW w:w="1748" w:type="pct"/>
            <w:vAlign w:val="center"/>
          </w:tcPr>
          <w:p w:rsidR="008A293B" w:rsidP="00CA0464" w14:paraId="2D5B2340" w14:textId="77777777">
            <w:pPr>
              <w:pStyle w:val="LTableTextAbt"/>
              <w:rPr>
                <w:rFonts w:cs="Arial"/>
                <w:szCs w:val="18"/>
              </w:rPr>
            </w:pPr>
            <w:r>
              <w:rPr>
                <w:rFonts w:cs="Arial"/>
                <w:szCs w:val="18"/>
              </w:rPr>
              <w:t>811121</w:t>
            </w:r>
          </w:p>
        </w:tc>
        <w:tc>
          <w:tcPr>
            <w:tcW w:w="687" w:type="pct"/>
            <w:shd w:val="clear" w:color="auto" w:fill="auto"/>
            <w:noWrap/>
            <w:vAlign w:val="center"/>
            <w:hideMark/>
          </w:tcPr>
          <w:p w:rsidR="008A293B" w:rsidP="00CA0464" w14:paraId="1C64255B" w14:textId="77777777">
            <w:pPr>
              <w:pStyle w:val="RTableTextAbt"/>
            </w:pPr>
            <w:r>
              <w:rPr>
                <w:szCs w:val="18"/>
              </w:rPr>
              <w:t>31,728</w:t>
            </w:r>
          </w:p>
        </w:tc>
        <w:tc>
          <w:tcPr>
            <w:tcW w:w="769" w:type="pct"/>
            <w:shd w:val="clear" w:color="auto" w:fill="auto"/>
            <w:noWrap/>
            <w:vAlign w:val="center"/>
          </w:tcPr>
          <w:p w:rsidR="008A293B" w:rsidP="00CA0464" w14:paraId="48F9E0BF" w14:textId="77777777">
            <w:pPr>
              <w:pStyle w:val="RTableTextAbt"/>
            </w:pPr>
            <w:r>
              <w:rPr>
                <w:szCs w:val="18"/>
              </w:rPr>
              <w:t>31,117</w:t>
            </w:r>
          </w:p>
        </w:tc>
      </w:tr>
      <w:tr w14:paraId="609AD448" w14:textId="77777777" w:rsidTr="00CA0464">
        <w:tblPrEx>
          <w:tblW w:w="5000" w:type="pct"/>
          <w:tblLook w:val="04A0"/>
        </w:tblPrEx>
        <w:trPr>
          <w:trHeight w:val="20"/>
        </w:trPr>
        <w:tc>
          <w:tcPr>
            <w:tcW w:w="1796" w:type="pct"/>
            <w:shd w:val="clear" w:color="auto" w:fill="auto"/>
            <w:vAlign w:val="center"/>
            <w:hideMark/>
          </w:tcPr>
          <w:p w:rsidR="00B56436" w:rsidP="00B56436" w14:paraId="0A078CB1" w14:textId="77777777">
            <w:pPr>
              <w:pStyle w:val="LTableTextAbt"/>
            </w:pPr>
            <w:r>
              <w:t>Disposal</w:t>
            </w:r>
          </w:p>
        </w:tc>
        <w:tc>
          <w:tcPr>
            <w:tcW w:w="1748" w:type="pct"/>
            <w:vAlign w:val="center"/>
          </w:tcPr>
          <w:p w:rsidR="00B56436" w:rsidP="00B56436" w14:paraId="5EAD0571" w14:textId="77777777">
            <w:pPr>
              <w:pStyle w:val="LTableTextAbt"/>
              <w:rPr>
                <w:rFonts w:cs="Arial"/>
                <w:szCs w:val="18"/>
              </w:rPr>
            </w:pPr>
            <w:r>
              <w:rPr>
                <w:rFonts w:cs="Arial"/>
                <w:szCs w:val="18"/>
              </w:rPr>
              <w:t>221320; 62111; 562212; 562213; 562219</w:t>
            </w:r>
          </w:p>
        </w:tc>
        <w:tc>
          <w:tcPr>
            <w:tcW w:w="687" w:type="pct"/>
            <w:shd w:val="clear" w:color="auto" w:fill="auto"/>
            <w:noWrap/>
            <w:vAlign w:val="center"/>
            <w:hideMark/>
          </w:tcPr>
          <w:p w:rsidR="00B56436" w:rsidP="00B56436" w14:paraId="2EB6A129" w14:textId="4EEC775D">
            <w:pPr>
              <w:pStyle w:val="RTableTextAbt"/>
            </w:pPr>
            <w:r>
              <w:rPr>
                <w:szCs w:val="18"/>
              </w:rPr>
              <w:t>8,346</w:t>
            </w:r>
          </w:p>
        </w:tc>
        <w:tc>
          <w:tcPr>
            <w:tcW w:w="769" w:type="pct"/>
            <w:shd w:val="clear" w:color="auto" w:fill="auto"/>
            <w:noWrap/>
            <w:vAlign w:val="center"/>
          </w:tcPr>
          <w:p w:rsidR="00B56436" w:rsidP="00B56436" w14:paraId="2F5164F5" w14:textId="42AEAA86">
            <w:pPr>
              <w:pStyle w:val="RTableTextAbt"/>
            </w:pPr>
            <w:r>
              <w:rPr>
                <w:szCs w:val="18"/>
              </w:rPr>
              <w:t>8,094</w:t>
            </w:r>
          </w:p>
        </w:tc>
      </w:tr>
      <w:tr w14:paraId="6F58AEA6" w14:textId="77777777" w:rsidTr="00CA0464">
        <w:tblPrEx>
          <w:tblW w:w="5000" w:type="pct"/>
          <w:tblLook w:val="04A0"/>
        </w:tblPrEx>
        <w:trPr>
          <w:trHeight w:val="20"/>
        </w:trPr>
        <w:tc>
          <w:tcPr>
            <w:tcW w:w="1796" w:type="pct"/>
            <w:shd w:val="clear" w:color="auto" w:fill="auto"/>
            <w:vAlign w:val="center"/>
            <w:hideMark/>
          </w:tcPr>
          <w:p w:rsidR="00B56436" w:rsidP="00B56436" w14:paraId="2ECEC0B9" w14:textId="77777777">
            <w:pPr>
              <w:pStyle w:val="LTableTextAbt"/>
              <w:rPr>
                <w:b/>
              </w:rPr>
            </w:pPr>
            <w:r>
              <w:rPr>
                <w:b/>
              </w:rPr>
              <w:t>Total</w:t>
            </w:r>
          </w:p>
        </w:tc>
        <w:tc>
          <w:tcPr>
            <w:tcW w:w="1748" w:type="pct"/>
            <w:vAlign w:val="center"/>
          </w:tcPr>
          <w:p w:rsidR="00B56436" w:rsidP="00B56436" w14:paraId="4CC448A1" w14:textId="77777777">
            <w:pPr>
              <w:pStyle w:val="LTableTextAbt"/>
              <w:rPr>
                <w:rFonts w:cs="Arial"/>
                <w:b/>
                <w:szCs w:val="18"/>
              </w:rPr>
            </w:pPr>
          </w:p>
        </w:tc>
        <w:tc>
          <w:tcPr>
            <w:tcW w:w="687" w:type="pct"/>
            <w:shd w:val="clear" w:color="auto" w:fill="auto"/>
            <w:noWrap/>
            <w:vAlign w:val="center"/>
            <w:hideMark/>
          </w:tcPr>
          <w:p w:rsidR="00B56436" w:rsidP="00B56436" w14:paraId="21233702" w14:textId="7B75CDFD">
            <w:pPr>
              <w:pStyle w:val="RTableTextAbt"/>
              <w:rPr>
                <w:b/>
              </w:rPr>
            </w:pPr>
            <w:r>
              <w:rPr>
                <w:b/>
                <w:bCs w:val="0"/>
                <w:szCs w:val="18"/>
              </w:rPr>
              <w:t>49,670</w:t>
            </w:r>
          </w:p>
        </w:tc>
        <w:tc>
          <w:tcPr>
            <w:tcW w:w="769" w:type="pct"/>
            <w:shd w:val="clear" w:color="auto" w:fill="auto"/>
            <w:noWrap/>
            <w:vAlign w:val="center"/>
          </w:tcPr>
          <w:p w:rsidR="00B56436" w:rsidP="00B56436" w14:paraId="5F021E7E" w14:textId="6A5682B6">
            <w:pPr>
              <w:pStyle w:val="RTableTextAbt"/>
              <w:rPr>
                <w:b/>
              </w:rPr>
            </w:pPr>
            <w:r>
              <w:rPr>
                <w:b/>
                <w:bCs w:val="0"/>
                <w:szCs w:val="18"/>
              </w:rPr>
              <w:t>48,</w:t>
            </w:r>
            <w:r w:rsidR="006F6F45">
              <w:rPr>
                <w:b/>
                <w:bCs w:val="0"/>
                <w:szCs w:val="18"/>
              </w:rPr>
              <w:t>391</w:t>
            </w:r>
          </w:p>
        </w:tc>
      </w:tr>
      <w:tr w14:paraId="4ABB531E" w14:textId="77777777" w:rsidTr="00CA0464">
        <w:tblPrEx>
          <w:tblW w:w="5000" w:type="pct"/>
          <w:tblLook w:val="04A0"/>
        </w:tblPrEx>
        <w:trPr>
          <w:trHeight w:val="20"/>
        </w:trPr>
        <w:tc>
          <w:tcPr>
            <w:tcW w:w="5000" w:type="pct"/>
            <w:gridSpan w:val="4"/>
            <w:shd w:val="clear" w:color="auto" w:fill="auto"/>
            <w:vAlign w:val="center"/>
          </w:tcPr>
          <w:p w:rsidR="008A293B" w:rsidRPr="00F36DE3" w:rsidP="00CA0464" w14:paraId="3830FF35" w14:textId="2FE756FB">
            <w:pPr>
              <w:pStyle w:val="TableNote0"/>
              <w:rPr>
                <w:bCs w:val="0"/>
              </w:rPr>
            </w:pPr>
            <w:r w:rsidRPr="00F36DE3">
              <w:rPr>
                <w:bCs w:val="0"/>
              </w:rPr>
              <w:t xml:space="preserve">Sources: See </w:t>
            </w:r>
            <w:r w:rsidRPr="00F36DE3">
              <w:rPr>
                <w:bCs w:val="0"/>
              </w:rPr>
              <w:fldChar w:fldCharType="begin" w:fldLock="1"/>
            </w:r>
            <w:r w:rsidRPr="00F36DE3">
              <w:rPr>
                <w:bCs w:val="0"/>
              </w:rPr>
              <w:instrText xml:space="preserve"> REF _Ref178956355 \h  \* MERGEFORMAT </w:instrText>
            </w:r>
            <w:r w:rsidRPr="00F36DE3">
              <w:rPr>
                <w:bCs w:val="0"/>
              </w:rPr>
              <w:fldChar w:fldCharType="separate"/>
            </w:r>
            <w:r w:rsidRPr="00735BBC" w:rsidR="00735BBC">
              <w:rPr>
                <w:bCs w:val="0"/>
              </w:rPr>
              <w:t xml:space="preserve">Table </w:t>
            </w:r>
            <w:r w:rsidRPr="00735BBC" w:rsidR="00735BBC">
              <w:rPr>
                <w:bCs w:val="0"/>
                <w:noProof/>
              </w:rPr>
              <w:t>7</w:t>
            </w:r>
            <w:r w:rsidRPr="00735BBC" w:rsidR="00735BBC">
              <w:rPr>
                <w:bCs w:val="0"/>
                <w:noProof/>
              </w:rPr>
              <w:noBreakHyphen/>
              <w:t>1</w:t>
            </w:r>
            <w:r w:rsidRPr="00F36DE3">
              <w:rPr>
                <w:bCs w:val="0"/>
              </w:rPr>
              <w:fldChar w:fldCharType="end"/>
            </w:r>
            <w:r w:rsidRPr="00F36DE3">
              <w:rPr>
                <w:bCs w:val="0"/>
              </w:rPr>
              <w:t xml:space="preserve"> and </w:t>
            </w:r>
            <w:r w:rsidRPr="00F36DE3">
              <w:rPr>
                <w:bCs w:val="0"/>
              </w:rPr>
              <w:fldChar w:fldCharType="begin" w:fldLock="1"/>
            </w:r>
            <w:r w:rsidRPr="00F36DE3">
              <w:rPr>
                <w:bCs w:val="0"/>
              </w:rPr>
              <w:instrText xml:space="preserve"> REF _Ref178187415 \h  \* MERGEFORMAT </w:instrText>
            </w:r>
            <w:r w:rsidRPr="00F36DE3">
              <w:rPr>
                <w:bCs w:val="0"/>
              </w:rPr>
              <w:fldChar w:fldCharType="separate"/>
            </w:r>
            <w:r w:rsidRPr="00735BBC" w:rsidR="00735BBC">
              <w:rPr>
                <w:bCs w:val="0"/>
              </w:rPr>
              <w:t xml:space="preserve">Table </w:t>
            </w:r>
            <w:r w:rsidRPr="00735BBC" w:rsidR="00735BBC">
              <w:rPr>
                <w:bCs w:val="0"/>
                <w:noProof/>
              </w:rPr>
              <w:t>7</w:t>
            </w:r>
            <w:r w:rsidRPr="00735BBC" w:rsidR="00735BBC">
              <w:rPr>
                <w:bCs w:val="0"/>
                <w:noProof/>
              </w:rPr>
              <w:noBreakHyphen/>
              <w:t>2</w:t>
            </w:r>
            <w:r w:rsidRPr="00F36DE3">
              <w:rPr>
                <w:bCs w:val="0"/>
              </w:rPr>
              <w:fldChar w:fldCharType="end"/>
            </w:r>
            <w:r w:rsidRPr="00F36DE3">
              <w:rPr>
                <w:bCs w:val="0"/>
              </w:rPr>
              <w:t>.</w:t>
            </w:r>
          </w:p>
        </w:tc>
      </w:tr>
    </w:tbl>
    <w:p w:rsidR="008A293B" w:rsidRPr="00B10380" w:rsidP="008A293B" w14:paraId="0F708EF4" w14:textId="77777777">
      <w:pPr>
        <w:pStyle w:val="BodyText"/>
        <w:rPr>
          <w:rFonts w:eastAsiaTheme="minorEastAsia"/>
        </w:rPr>
      </w:pPr>
    </w:p>
    <w:p w:rsidR="008A293B" w:rsidP="008A293B" w14:paraId="6C28CD14" w14:textId="77777777">
      <w:pPr>
        <w:pStyle w:val="Heading3"/>
      </w:pPr>
      <w:r>
        <w:t>Costs, Revenues and Cost-Revenue Ratios for Affected Small Entities</w:t>
      </w:r>
    </w:p>
    <w:p w:rsidR="008A293B" w:rsidP="008A293B" w14:paraId="74505912" w14:textId="7AC6843B">
      <w:pPr>
        <w:pStyle w:val="BodyText"/>
        <w:rPr>
          <w:lang w:val="en-US"/>
        </w:rPr>
      </w:pPr>
      <w:r>
        <w:rPr>
          <w:lang w:val="en-US"/>
        </w:rPr>
        <w:fldChar w:fldCharType="begin" w:fldLock="1"/>
      </w:r>
      <w:r>
        <w:rPr>
          <w:rFonts w:eastAsiaTheme="minorEastAsia"/>
        </w:rPr>
        <w:instrText xml:space="preserve"> REF _Ref180768436 \h </w:instrText>
      </w:r>
      <w:r>
        <w:rPr>
          <w:lang w:val="en-US"/>
        </w:rPr>
        <w:fldChar w:fldCharType="separate"/>
      </w:r>
      <w:r w:rsidR="00735BBC">
        <w:t xml:space="preserve">Table </w:t>
      </w:r>
      <w:r w:rsidR="00735BBC">
        <w:rPr>
          <w:noProof/>
        </w:rPr>
        <w:t>7</w:t>
      </w:r>
      <w:r w:rsidR="00735BBC">
        <w:noBreakHyphen/>
      </w:r>
      <w:r w:rsidR="00735BBC">
        <w:rPr>
          <w:noProof/>
        </w:rPr>
        <w:t>4</w:t>
      </w:r>
      <w:r>
        <w:rPr>
          <w:lang w:val="en-US"/>
        </w:rPr>
        <w:fldChar w:fldCharType="end"/>
      </w:r>
      <w:r>
        <w:rPr>
          <w:lang w:val="en-US"/>
        </w:rPr>
        <w:t xml:space="preserve"> presents a summary of the estimated cost impacts and cost-revenue impact ratios for the affected small businesses. To calculate the cost-revenue ratios, annualized costs per firm were compared with revenues for firms in the affected NAICS. </w:t>
      </w:r>
    </w:p>
    <w:p w:rsidR="00501EB7" w:rsidP="008A293B" w14:paraId="396F38D4" w14:textId="463C1F01">
      <w:pPr>
        <w:pStyle w:val="BodyText"/>
        <w:rPr>
          <w:lang w:val="en-US"/>
        </w:rPr>
      </w:pPr>
      <w:r>
        <w:rPr>
          <w:lang w:val="en-US"/>
        </w:rPr>
        <w:t xml:space="preserve">To estimate revenues for affected firms, EPA used the </w:t>
      </w:r>
      <w:hyperlink w:anchor="_ENREF_49" w:tooltip="U.S. Census Bureau, 2021 #49" w:history="1">
        <w:r w:rsidRPr="005261AB" w:rsidR="003D6084">
          <w:fldChar w:fldCharType="begin" w:fldLock="1"/>
        </w:r>
        <w:r w:rsidR="003D6084">
          <w:instrText xml:space="preserve"> ADDIN EN.CITE &lt;EndNote&gt;&lt;Cite AuthorYear="1"&gt;&lt;Author&gt;U.S. Census Bureau&lt;/Author&gt;&lt;Year&gt;2021&lt;/Year&gt;&lt;RecNum&gt;49&lt;/RecNum&gt;&lt;DisplayText&gt;U.S. Census Bureau (2021)&lt;/DisplayText&gt;&lt;record&gt;&lt;rec-number&gt;49&lt;/rec-number&gt;&lt;foreign-keys&gt;&lt;key app="EN" db-id="2apzr05radv9fjet2w6xxwdlz5e9vwfxredw" timestamp="1730757315"&gt;49&lt;/key&gt;&lt;/foreign-keys&gt;&lt;ref-type name="Generic"&gt;13&lt;/ref-type&gt;&lt;contributors&gt;&lt;authors&gt;&lt;author&gt;U.S. Census Bureau,&lt;/author&gt;&lt;/authors&gt;&lt;/contributors&gt;&lt;titles&gt;&lt;title&gt;Statistics of U.S. Businesses (SUSB). The Number of Firms and Establishments, Employment, Annual Payroll, and Receipts by Industry and Enterprise Receipts Size: 2017&lt;/title&gt;&lt;/titles&gt;&lt;dates&gt;&lt;year&gt;2021&lt;/year&gt;&lt;/dates&gt;&lt;urls&gt;&lt;related-urls&gt;&lt;url&gt;https://www2.census.gov/programs-surveys/susb/tables/2017/us_6digitnaics_rcptsize_2017.xlsx&lt;/url&gt;&lt;/related-urls&gt;&lt;/urls&gt;&lt;/record&gt;&lt;/Cite&gt;&lt;/EndNote&gt;</w:instrText>
        </w:r>
        <w:r w:rsidRPr="005261AB" w:rsidR="003D6084">
          <w:fldChar w:fldCharType="separate"/>
        </w:r>
        <w:r w:rsidRPr="005261AB" w:rsidR="003D6084">
          <w:rPr>
            <w:noProof/>
          </w:rPr>
          <w:t>U.S. Census Bureau (2021)</w:t>
        </w:r>
        <w:r w:rsidRPr="005261AB" w:rsidR="003D6084">
          <w:fldChar w:fldCharType="end"/>
        </w:r>
      </w:hyperlink>
      <w:r w:rsidRPr="005261AB">
        <w:t xml:space="preserve"> county business patterns data by enterprise receipt size</w:t>
      </w:r>
      <w:r>
        <w:t xml:space="preserve">. </w:t>
      </w:r>
      <w:r w:rsidRPr="005261AB">
        <w:t xml:space="preserve">Since the </w:t>
      </w:r>
      <w:hyperlink w:anchor="_ENREF_49" w:tooltip="U.S. Census Bureau, 2021 #49" w:history="1">
        <w:r w:rsidRPr="005261AB" w:rsidR="003D6084">
          <w:fldChar w:fldCharType="begin" w:fldLock="1"/>
        </w:r>
        <w:r w:rsidR="003D6084">
          <w:instrText xml:space="preserve"> ADDIN EN.CITE &lt;EndNote&gt;&lt;Cite AuthorYear="1"&gt;&lt;Author&gt;U.S. Census Bureau&lt;/Author&gt;&lt;Year&gt;2021&lt;/Year&gt;&lt;RecNum&gt;49&lt;/RecNum&gt;&lt;DisplayText&gt;U.S. Census Bureau (2021)&lt;/DisplayText&gt;&lt;record&gt;&lt;rec-number&gt;49&lt;/rec-number&gt;&lt;foreign-keys&gt;&lt;key app="EN" db-id="2apzr05radv9fjet2w6xxwdlz5e9vwfxredw" timestamp="1730757315"&gt;49&lt;/key&gt;&lt;/foreign-keys&gt;&lt;ref-type name="Generic"&gt;13&lt;/ref-type&gt;&lt;contributors&gt;&lt;authors&gt;&lt;author&gt;U.S. Census Bureau,&lt;/author&gt;&lt;/authors&gt;&lt;/contributors&gt;&lt;titles&gt;&lt;title&gt;Statistics of U.S. Businesses (SUSB). The Number of Firms and Establishments, Employment, Annual Payroll, and Receipts by Industry and Enterprise Receipts Size: 2017&lt;/title&gt;&lt;/titles&gt;&lt;dates&gt;&lt;year&gt;2021&lt;/year&gt;&lt;/dates&gt;&lt;urls&gt;&lt;related-urls&gt;&lt;url&gt;https://www2.census.gov/programs-surveys/susb/tables/2017/us_6digitnaics_rcptsize_2017.xlsx&lt;/url&gt;&lt;/related-urls&gt;&lt;/urls&gt;&lt;/record&gt;&lt;/Cite&gt;&lt;/EndNote&gt;</w:instrText>
        </w:r>
        <w:r w:rsidRPr="005261AB" w:rsidR="003D6084">
          <w:fldChar w:fldCharType="separate"/>
        </w:r>
        <w:r w:rsidRPr="005261AB" w:rsidR="003D6084">
          <w:rPr>
            <w:noProof/>
          </w:rPr>
          <w:t>U.S. Census Bureau (2021)</w:t>
        </w:r>
        <w:r w:rsidRPr="005261AB" w:rsidR="003D6084">
          <w:fldChar w:fldCharType="end"/>
        </w:r>
      </w:hyperlink>
      <w:r w:rsidRPr="005261AB">
        <w:t xml:space="preserve"> reflects 2017 receipts, they were inflated to 202</w:t>
      </w:r>
      <w:r>
        <w:t>3</w:t>
      </w:r>
      <w:r w:rsidRPr="005261AB">
        <w:t>$ using the GDP deflator (</w:t>
      </w:r>
      <w:hyperlink w:anchor="_ENREF_48" w:tooltip="U.S. Bureau of Economic Analysis (BEA), 2024 #48" w:history="1">
        <w:r w:rsidRPr="005261AB" w:rsidR="003D6084">
          <w:fldChar w:fldCharType="begin" w:fldLock="1"/>
        </w:r>
        <w:r w:rsidR="003D6084">
          <w:instrText xml:space="preserve"> ADDIN EN.CITE &lt;EndNote&gt;&lt;Cite ExcludeAuth="1"&gt;&lt;Author&gt;U.S. Bureau of Economic Analysis (BEA)&lt;/Author&gt;&lt;Year&gt;2024&lt;/Year&gt;&lt;RecNum&gt;48&lt;/RecNum&gt;&lt;Prefix&gt;BEA &lt;/Prefix&gt;&lt;DisplayText&gt;BEA 2024b&lt;/DisplayText&gt;&lt;record&gt;&lt;rec-number&gt;48&lt;/rec-number&gt;&lt;foreign-keys&gt;&lt;key app="EN" db-id="2apzr05radv9fjet2w6xxwdlz5e9vwfxredw" timestamp="1730757315"&gt;48&lt;/key&gt;&lt;/foreign-keys&gt;&lt;ref-type name="Generic"&gt;13&lt;/ref-type&gt;&lt;contributors&gt;&lt;authors&gt;&lt;author&gt;U.S. Bureau of Economic Analysis (BEA),&lt;/author&gt;&lt;/authors&gt;&lt;/contributors&gt;&lt;titles&gt;&lt;title&gt;Table 1.1.9. Implicit Price Deflators for Gross Domestic Product (T10109-A)&lt;/title&gt;&lt;/titles&gt;&lt;dates&gt;&lt;year&gt;2024&lt;/year&gt;&lt;pub-dates&gt;&lt;date&gt;May 29, 2024&lt;/date&gt;&lt;/pub-dates&gt;&lt;/dates&gt;&lt;urls&gt;&lt;/urls&gt;&lt;/record&gt;&lt;/Cite&gt;&lt;/EndNote&gt;</w:instrText>
        </w:r>
        <w:r w:rsidRPr="005261AB" w:rsidR="003D6084">
          <w:fldChar w:fldCharType="separate"/>
        </w:r>
        <w:r w:rsidR="003D6084">
          <w:rPr>
            <w:noProof/>
          </w:rPr>
          <w:t>BEA 2024b</w:t>
        </w:r>
        <w:r w:rsidRPr="005261AB" w:rsidR="003D6084">
          <w:fldChar w:fldCharType="end"/>
        </w:r>
      </w:hyperlink>
      <w:r w:rsidRPr="005261AB">
        <w:t xml:space="preserve">). </w:t>
      </w:r>
      <w:r>
        <w:rPr>
          <w:lang w:val="en-US"/>
        </w:rPr>
        <w:t xml:space="preserve">A revenue distribution was estimated from these data using the number of firms by revenue bracket and assuming that revenues are distributed uniformly within each revenue bracket. Affected small firms are assumed to have revenues that are no smaller than the fully loaded salaries for the number of workers for which costs are assumed to be incurred. </w:t>
      </w:r>
      <w:r w:rsidRPr="437E21C1" w:rsidR="00C92515">
        <w:rPr>
          <w:lang w:val="en-US"/>
        </w:rPr>
        <w:t xml:space="preserve">This is a conservative assumption in that the assumed minimum revenue is likely to be lower than the revenue of a firm with the number of employees for which we are including costs for (i.e., revenues at viable firms need to be higher than payroll costs). </w:t>
      </w:r>
      <w:r>
        <w:rPr>
          <w:lang w:val="en-US"/>
        </w:rPr>
        <w:t xml:space="preserve">This is shown in </w:t>
      </w:r>
      <w:r>
        <w:rPr>
          <w:lang w:val="en-US"/>
        </w:rPr>
        <w:fldChar w:fldCharType="begin" w:fldLock="1"/>
      </w:r>
      <w:r>
        <w:rPr>
          <w:rFonts w:eastAsiaTheme="minorEastAsia"/>
        </w:rPr>
        <w:instrText xml:space="preserve"> REF _Ref180768436 \h </w:instrText>
      </w:r>
      <w:r>
        <w:rPr>
          <w:lang w:val="en-US"/>
        </w:rPr>
        <w:fldChar w:fldCharType="separate"/>
      </w:r>
      <w:r w:rsidR="00735BBC">
        <w:t xml:space="preserve">Table </w:t>
      </w:r>
      <w:r w:rsidR="00735BBC">
        <w:rPr>
          <w:noProof/>
        </w:rPr>
        <w:t>7</w:t>
      </w:r>
      <w:r w:rsidR="00735BBC">
        <w:noBreakHyphen/>
      </w:r>
      <w:r w:rsidR="00735BBC">
        <w:rPr>
          <w:noProof/>
        </w:rPr>
        <w:t>4</w:t>
      </w:r>
      <w:r>
        <w:rPr>
          <w:lang w:val="en-US"/>
        </w:rPr>
        <w:fldChar w:fldCharType="end"/>
      </w:r>
      <w:r>
        <w:rPr>
          <w:lang w:val="en-US"/>
        </w:rPr>
        <w:t xml:space="preserve"> as the revenue floor. </w:t>
      </w:r>
    </w:p>
    <w:p w:rsidR="008A293B" w:rsidP="008A293B" w14:paraId="4975FB74" w14:textId="01E1405F">
      <w:pPr>
        <w:pStyle w:val="BodyText"/>
      </w:pPr>
      <w:r>
        <w:rPr>
          <w:lang w:val="en-US"/>
        </w:rPr>
        <w:t xml:space="preserve">About 29 percent of the firms in NAICS </w:t>
      </w:r>
      <w:r w:rsidRPr="002858BD">
        <w:rPr>
          <w:lang w:val="en-US"/>
        </w:rPr>
        <w:t xml:space="preserve">325211 </w:t>
      </w:r>
      <w:r>
        <w:rPr>
          <w:lang w:val="en-US"/>
        </w:rPr>
        <w:t xml:space="preserve">and </w:t>
      </w:r>
      <w:r w:rsidRPr="002858BD">
        <w:rPr>
          <w:lang w:val="en-US"/>
        </w:rPr>
        <w:t>325991</w:t>
      </w:r>
      <w:r>
        <w:rPr>
          <w:lang w:val="en-US"/>
        </w:rPr>
        <w:t xml:space="preserve"> (the NAICS for the </w:t>
      </w:r>
      <w:r w:rsidRPr="00AE0A59">
        <w:rPr>
          <w:i/>
          <w:iCs/>
          <w:lang w:val="en-US"/>
        </w:rPr>
        <w:t>p</w:t>
      </w:r>
      <w:r w:rsidRPr="00AE0A59">
        <w:rPr>
          <w:i/>
          <w:iCs/>
        </w:rPr>
        <w:t>rocessing into plastic and rubber products</w:t>
      </w:r>
      <w:r>
        <w:rPr>
          <w:lang w:val="en-US"/>
        </w:rPr>
        <w:t xml:space="preserve"> use) with revenues above the revenue floor are estimated to have revenues that are less than $8,</w:t>
      </w:r>
      <w:r w:rsidR="00EF4B9F">
        <w:rPr>
          <w:lang w:val="en-US"/>
        </w:rPr>
        <w:t>053</w:t>
      </w:r>
      <w:r>
        <w:rPr>
          <w:lang w:val="en-US"/>
        </w:rPr>
        <w:t>,</w:t>
      </w:r>
      <w:r w:rsidR="00EF4B9F">
        <w:rPr>
          <w:lang w:val="en-US"/>
        </w:rPr>
        <w:t>100</w:t>
      </w:r>
      <w:r>
        <w:rPr>
          <w:lang w:val="en-US"/>
        </w:rPr>
        <w:t xml:space="preserve">, and therefore about 2 of the 6 the </w:t>
      </w:r>
      <w:r w:rsidRPr="00AE0A59">
        <w:rPr>
          <w:i/>
          <w:iCs/>
          <w:lang w:val="en-US"/>
        </w:rPr>
        <w:t>p</w:t>
      </w:r>
      <w:r w:rsidRPr="00AE0A59">
        <w:rPr>
          <w:i/>
          <w:iCs/>
        </w:rPr>
        <w:t>rocessing into plastic and rubber products</w:t>
      </w:r>
      <w:r>
        <w:rPr>
          <w:i/>
          <w:iCs/>
        </w:rPr>
        <w:t xml:space="preserve"> </w:t>
      </w:r>
      <w:r>
        <w:t>small f</w:t>
      </w:r>
      <w:r w:rsidRPr="00E67D68">
        <w:t>irm</w:t>
      </w:r>
      <w:r>
        <w:t xml:space="preserve">s are estimated to have cost impacts that are between 1 and 3 percent of their revenues. All other cost-revenue impacts are estimated to be less than 1 percent of revenues. </w:t>
      </w:r>
    </w:p>
    <w:p w:rsidR="001A5AEF" w:rsidRPr="00B10380" w:rsidP="008A293B" w14:paraId="4B0216F7" w14:textId="03838EFC">
      <w:pPr>
        <w:pStyle w:val="BodyText"/>
        <w:rPr>
          <w:rFonts w:eastAsiaTheme="minorEastAsia"/>
          <w:lang w:val="en-US"/>
        </w:rPr>
      </w:pPr>
      <w:r w:rsidRPr="17869CC9">
        <w:rPr>
          <w:lang w:val="en-US"/>
        </w:rPr>
        <w:t xml:space="preserve">Note that </w:t>
      </w:r>
      <w:r w:rsidRPr="17869CC9" w:rsidR="00731760">
        <w:rPr>
          <w:lang w:val="en-US"/>
        </w:rPr>
        <w:t xml:space="preserve">estimating the revenue distribution by assuming </w:t>
      </w:r>
      <w:r w:rsidRPr="003B0D27" w:rsidR="00731760">
        <w:rPr>
          <w:lang w:val="en-US"/>
        </w:rPr>
        <w:t xml:space="preserve">that revenues </w:t>
      </w:r>
      <w:r w:rsidRPr="003B0D27" w:rsidR="00B03462">
        <w:rPr>
          <w:lang w:val="en-US"/>
        </w:rPr>
        <w:t>can</w:t>
      </w:r>
      <w:r w:rsidRPr="003B0D27" w:rsidR="00731760">
        <w:rPr>
          <w:lang w:val="en-US"/>
        </w:rPr>
        <w:t xml:space="preserve"> be as low as </w:t>
      </w:r>
      <w:r w:rsidRPr="003B0D27" w:rsidR="006436C7">
        <w:rPr>
          <w:lang w:val="en-US"/>
        </w:rPr>
        <w:t xml:space="preserve">the fully loaded salaries of the affected employees likely results in </w:t>
      </w:r>
      <w:r w:rsidRPr="003B0D27" w:rsidR="001C2624">
        <w:rPr>
          <w:lang w:val="en-US"/>
        </w:rPr>
        <w:t xml:space="preserve">an overstatement of the cost-revenue impacts. </w:t>
      </w:r>
      <w:r w:rsidRPr="003B0D27" w:rsidR="00A8328D">
        <w:rPr>
          <w:lang w:val="en-US"/>
        </w:rPr>
        <w:t>According to RMA Statement Studies industry benchmark data</w:t>
      </w:r>
      <w:r w:rsidRPr="003B0D27" w:rsidR="00F45C6A">
        <w:rPr>
          <w:lang w:val="en-US"/>
        </w:rPr>
        <w:t xml:space="preserve"> </w:t>
      </w:r>
      <w:r w:rsidRPr="003B0D27" w:rsidR="00B4156F">
        <w:rPr>
          <w:lang w:val="en-US"/>
        </w:rPr>
        <w:t>(</w:t>
      </w:r>
      <w:hyperlink w:anchor="_ENREF_36" w:tooltip="Risk Management Association (RMA), 2018, 2019 #36" w:history="1">
        <w:r w:rsidRPr="003B0D27" w:rsidR="003D6084">
          <w:rPr>
            <w:lang w:val="en-US"/>
          </w:rPr>
          <w:fldChar w:fldCharType="begin" w:fldLock="1"/>
        </w:r>
        <w:r w:rsidR="003D6084">
          <w:rPr>
            <w:lang w:val="en-US"/>
          </w:rPr>
          <w:instrText xml:space="preserve"> ADDIN EN.CITE &lt;EndNote&gt;&lt;Cite ExcludeAuth="1"&gt;&lt;Author&gt;Risk Management Association (RMA)&lt;/Author&gt;&lt;Year&gt;2018, 2019&lt;/Year&gt;&lt;RecNum&gt;36&lt;/RecNum&gt;&lt;Prefix&gt;RMA &lt;/Prefix&gt;&lt;DisplayText&gt;RMA 2018, 2019&lt;/DisplayText&gt;&lt;record&gt;&lt;rec-number&gt;36&lt;/rec-number&gt;&lt;foreign-keys&gt;&lt;key app="EN" db-id="2apzr05radv9fjet2w6xxwdlz5e9vwfxredw" timestamp="1730757315"&gt;36&lt;/key&gt;&lt;/foreign-keys&gt;&lt;ref-type name="Generic"&gt;13&lt;/ref-type&gt;&lt;contributors&gt;&lt;authors&gt;&lt;author&gt;Risk Management Association (RMA),&lt;/author&gt;&lt;/authors&gt;&lt;/contributors&gt;&lt;titles&gt;&lt;title&gt;RMA Statement Studies&lt;/title&gt;&lt;/titles&gt;&lt;dates&gt;&lt;year&gt;2018, 2019&lt;/year&gt;&lt;/dates&gt;&lt;urls&gt;&lt;related-urls&gt;&lt;url&gt;https://www.rmahq.org/statementstudies&lt;/url&gt;&lt;/related-urls&gt;&lt;/urls&gt;&lt;/record&gt;&lt;/Cite&gt;&lt;/EndNote&gt;</w:instrText>
        </w:r>
        <w:r w:rsidRPr="003B0D27" w:rsidR="003D6084">
          <w:rPr>
            <w:lang w:val="en-US"/>
          </w:rPr>
          <w:fldChar w:fldCharType="separate"/>
        </w:r>
        <w:r w:rsidRPr="003B0D27" w:rsidR="003D6084">
          <w:rPr>
            <w:noProof/>
            <w:lang w:val="en-US"/>
          </w:rPr>
          <w:t>RMA 2018, 2019</w:t>
        </w:r>
        <w:r w:rsidRPr="003B0D27" w:rsidR="003D6084">
          <w:rPr>
            <w:lang w:val="en-US"/>
          </w:rPr>
          <w:fldChar w:fldCharType="end"/>
        </w:r>
      </w:hyperlink>
      <w:r w:rsidRPr="003B0D27" w:rsidR="00B4156F">
        <w:rPr>
          <w:lang w:val="en-US"/>
        </w:rPr>
        <w:t>)</w:t>
      </w:r>
      <w:r>
        <w:rPr>
          <w:rStyle w:val="FootnoteReference"/>
        </w:rPr>
        <w:footnoteReference w:id="21"/>
      </w:r>
      <w:r w:rsidRPr="003B0D27" w:rsidR="00CE3188">
        <w:rPr>
          <w:lang w:val="en-US"/>
        </w:rPr>
        <w:t xml:space="preserve">, </w:t>
      </w:r>
      <w:r w:rsidRPr="003B0D27" w:rsidR="00C34272">
        <w:rPr>
          <w:lang w:val="en-US"/>
        </w:rPr>
        <w:t xml:space="preserve">the ratio of </w:t>
      </w:r>
      <w:r w:rsidRPr="003B0D27" w:rsidR="000F3D19">
        <w:rPr>
          <w:lang w:val="en-US"/>
        </w:rPr>
        <w:t>sales</w:t>
      </w:r>
      <w:r w:rsidRPr="003B0D27" w:rsidR="00A365B4">
        <w:rPr>
          <w:lang w:val="en-US"/>
        </w:rPr>
        <w:t xml:space="preserve"> to operating costs</w:t>
      </w:r>
      <w:r w:rsidRPr="003B0D27" w:rsidR="002E6E93">
        <w:rPr>
          <w:lang w:val="en-US"/>
        </w:rPr>
        <w:t xml:space="preserve">, </w:t>
      </w:r>
      <w:r w:rsidRPr="003B0D27" w:rsidR="006C482C">
        <w:rPr>
          <w:lang w:val="en-US"/>
        </w:rPr>
        <w:t xml:space="preserve">of which payroll </w:t>
      </w:r>
      <w:r w:rsidRPr="003B0D27" w:rsidR="00A21492">
        <w:rPr>
          <w:lang w:val="en-US"/>
        </w:rPr>
        <w:t xml:space="preserve">is </w:t>
      </w:r>
      <w:r w:rsidRPr="003B0D27" w:rsidR="000918EB">
        <w:rPr>
          <w:lang w:val="en-US"/>
        </w:rPr>
        <w:t>only a portion of</w:t>
      </w:r>
      <w:r w:rsidRPr="003B0D27" w:rsidR="002E6E93">
        <w:rPr>
          <w:lang w:val="en-US"/>
        </w:rPr>
        <w:t xml:space="preserve">, is </w:t>
      </w:r>
      <w:r w:rsidRPr="003B0D27" w:rsidR="00FB0D73">
        <w:rPr>
          <w:lang w:val="en-US"/>
        </w:rPr>
        <w:t xml:space="preserve">higher than 3 to 1. </w:t>
      </w:r>
      <w:r w:rsidRPr="003B0D27" w:rsidR="007910E6">
        <w:rPr>
          <w:lang w:val="en-US"/>
        </w:rPr>
        <w:t xml:space="preserve">If the </w:t>
      </w:r>
      <w:r w:rsidRPr="003B0D27" w:rsidR="00FD76C1">
        <w:rPr>
          <w:lang w:val="en-US"/>
        </w:rPr>
        <w:t xml:space="preserve">analysis </w:t>
      </w:r>
      <w:r w:rsidRPr="003B0D27" w:rsidR="00537099">
        <w:rPr>
          <w:lang w:val="en-US"/>
        </w:rPr>
        <w:t xml:space="preserve">had </w:t>
      </w:r>
      <w:r w:rsidRPr="003B0D27" w:rsidR="00AC5868">
        <w:rPr>
          <w:lang w:val="en-US"/>
        </w:rPr>
        <w:t xml:space="preserve">used </w:t>
      </w:r>
      <w:r w:rsidRPr="003B0D27" w:rsidR="000B5AB0">
        <w:rPr>
          <w:lang w:val="en-US"/>
        </w:rPr>
        <w:t xml:space="preserve">a revenue floor </w:t>
      </w:r>
      <w:r w:rsidRPr="003B0D27" w:rsidR="00555B61">
        <w:rPr>
          <w:lang w:val="en-US"/>
        </w:rPr>
        <w:t xml:space="preserve">of three times the fully loaded salaries </w:t>
      </w:r>
      <w:r w:rsidRPr="003B0D27" w:rsidR="006C5AE6">
        <w:rPr>
          <w:lang w:val="en-US"/>
        </w:rPr>
        <w:t>of the affected employees, there would</w:t>
      </w:r>
      <w:r w:rsidRPr="17869CC9" w:rsidR="006C5AE6">
        <w:rPr>
          <w:lang w:val="en-US"/>
        </w:rPr>
        <w:t xml:space="preserve"> be no estimated cost-revenue impacts </w:t>
      </w:r>
      <w:r w:rsidRPr="17869CC9" w:rsidR="00D07377">
        <w:rPr>
          <w:lang w:val="en-US"/>
        </w:rPr>
        <w:t>above 1 percent.</w:t>
      </w:r>
    </w:p>
    <w:p w:rsidR="008A293B" w:rsidP="008A293B" w14:paraId="4E3C6AFB" w14:textId="77777777">
      <w:pPr>
        <w:pStyle w:val="Caption"/>
      </w:pPr>
    </w:p>
    <w:tbl>
      <w:tblPr>
        <w:tblW w:w="5000" w:type="pct"/>
        <w:tblLook w:val="04A0"/>
      </w:tblPr>
      <w:tblGrid>
        <w:gridCol w:w="1800"/>
        <w:gridCol w:w="1170"/>
        <w:gridCol w:w="1168"/>
        <w:gridCol w:w="1262"/>
        <w:gridCol w:w="1320"/>
        <w:gridCol w:w="1320"/>
        <w:gridCol w:w="1320"/>
      </w:tblGrid>
      <w:tr w14:paraId="1684DAF3" w14:textId="77777777" w:rsidTr="00CA0464">
        <w:tblPrEx>
          <w:tblW w:w="5000" w:type="pct"/>
          <w:tblLook w:val="04A0"/>
        </w:tblPrEx>
        <w:trPr>
          <w:trHeight w:val="279"/>
          <w:tblHeader/>
        </w:trPr>
        <w:tc>
          <w:tcPr>
            <w:tcW w:w="5000" w:type="pct"/>
            <w:gridSpan w:val="7"/>
            <w:tcBorders>
              <w:bottom w:val="single" w:sz="4" w:space="0" w:color="auto"/>
            </w:tcBorders>
            <w:shd w:val="clear" w:color="auto" w:fill="auto"/>
            <w:vAlign w:val="center"/>
          </w:tcPr>
          <w:p w:rsidR="008A293B" w:rsidP="00CA0464" w14:paraId="7EE0F0DA" w14:textId="7870FC55">
            <w:pPr>
              <w:pStyle w:val="TableTitleA"/>
            </w:pPr>
            <w:bookmarkStart w:id="331" w:name="_Ref180768436"/>
            <w:bookmarkStart w:id="332" w:name="_Toc180769672"/>
            <w:bookmarkStart w:id="333" w:name="_Toc184299600"/>
            <w:r>
              <w:t xml:space="preserve">Table </w:t>
            </w:r>
            <w:r>
              <w:fldChar w:fldCharType="begin" w:fldLock="1"/>
            </w:r>
            <w:r>
              <w:instrText>STYLEREF 1 \s</w:instrText>
            </w:r>
            <w:r>
              <w:fldChar w:fldCharType="separate"/>
            </w:r>
            <w:r w:rsidR="00735BBC">
              <w:rPr>
                <w:noProof/>
              </w:rPr>
              <w:t>7</w:t>
            </w:r>
            <w:r>
              <w:fldChar w:fldCharType="end"/>
            </w:r>
            <w:r>
              <w:noBreakHyphen/>
            </w:r>
            <w:r>
              <w:fldChar w:fldCharType="begin" w:fldLock="1"/>
            </w:r>
            <w:r>
              <w:instrText>SEQ Table \* ARABIC \s 1</w:instrText>
            </w:r>
            <w:r>
              <w:fldChar w:fldCharType="separate"/>
            </w:r>
            <w:r w:rsidR="00735BBC">
              <w:rPr>
                <w:noProof/>
              </w:rPr>
              <w:t>4</w:t>
            </w:r>
            <w:r>
              <w:fldChar w:fldCharType="end"/>
            </w:r>
            <w:bookmarkEnd w:id="331"/>
            <w:r>
              <w:t>: Costs and Cost-Revenue Ratios for Affected Small Firms</w:t>
            </w:r>
            <w:bookmarkEnd w:id="332"/>
            <w:bookmarkEnd w:id="333"/>
          </w:p>
        </w:tc>
      </w:tr>
      <w:tr w14:paraId="3968139F" w14:textId="77777777" w:rsidTr="00F62635">
        <w:tblPrEx>
          <w:tblW w:w="5000" w:type="pct"/>
          <w:tblLook w:val="04A0"/>
        </w:tblPrEx>
        <w:trPr>
          <w:trHeight w:val="242"/>
          <w:tblHeader/>
        </w:trPr>
        <w:tc>
          <w:tcPr>
            <w:tcW w:w="962"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8A293B" w:rsidRPr="00253FF4" w:rsidP="00CA0464" w14:paraId="01D06A95" w14:textId="77777777">
            <w:pPr>
              <w:pStyle w:val="TableSubtitle"/>
            </w:pPr>
            <w:r w:rsidRPr="00253FF4">
              <w:t>Use Category</w:t>
            </w:r>
          </w:p>
        </w:tc>
        <w:tc>
          <w:tcPr>
            <w:tcW w:w="625" w:type="pct"/>
            <w:vMerge w:val="restart"/>
            <w:tcBorders>
              <w:top w:val="single" w:sz="4" w:space="0" w:color="auto"/>
              <w:left w:val="nil"/>
              <w:bottom w:val="single" w:sz="4" w:space="0" w:color="auto"/>
              <w:right w:val="single" w:sz="4" w:space="0" w:color="auto"/>
            </w:tcBorders>
            <w:shd w:val="clear" w:color="auto" w:fill="013E5B"/>
            <w:vAlign w:val="center"/>
            <w:hideMark/>
          </w:tcPr>
          <w:p w:rsidR="008A293B" w:rsidRPr="00253FF4" w:rsidP="00CA0464" w14:paraId="3395827D" w14:textId="77777777">
            <w:pPr>
              <w:pStyle w:val="TableSubtitle"/>
            </w:pPr>
            <w:r w:rsidRPr="00253FF4">
              <w:t>Affected small firms</w:t>
            </w:r>
          </w:p>
        </w:tc>
        <w:tc>
          <w:tcPr>
            <w:tcW w:w="624"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8A293B" w:rsidRPr="00253FF4" w:rsidP="00CA0464" w14:paraId="09BBBD46" w14:textId="77777777">
            <w:pPr>
              <w:pStyle w:val="TableSubtitle"/>
            </w:pPr>
            <w:r w:rsidRPr="00253FF4">
              <w:t>Revenue floor</w:t>
            </w:r>
          </w:p>
        </w:tc>
        <w:tc>
          <w:tcPr>
            <w:tcW w:w="674" w:type="pct"/>
            <w:vMerge w:val="restart"/>
            <w:tcBorders>
              <w:top w:val="single" w:sz="4" w:space="0" w:color="auto"/>
              <w:left w:val="single" w:sz="4" w:space="0" w:color="auto"/>
              <w:bottom w:val="single" w:sz="4" w:space="0" w:color="auto"/>
              <w:right w:val="single" w:sz="4" w:space="0" w:color="auto"/>
            </w:tcBorders>
            <w:shd w:val="clear" w:color="auto" w:fill="013E5B"/>
            <w:vAlign w:val="center"/>
            <w:hideMark/>
          </w:tcPr>
          <w:p w:rsidR="008A293B" w:rsidRPr="00253FF4" w:rsidP="00CA0464" w14:paraId="0258D1F8" w14:textId="77777777">
            <w:pPr>
              <w:pStyle w:val="TableSubtitle"/>
            </w:pPr>
            <w:r w:rsidRPr="00253FF4">
              <w:t>Annualized costs per facility (high)</w:t>
            </w:r>
          </w:p>
        </w:tc>
        <w:tc>
          <w:tcPr>
            <w:tcW w:w="2115" w:type="pct"/>
            <w:gridSpan w:val="3"/>
            <w:tcBorders>
              <w:top w:val="single" w:sz="4" w:space="0" w:color="auto"/>
              <w:left w:val="single" w:sz="4" w:space="0" w:color="auto"/>
              <w:right w:val="single" w:sz="4" w:space="0" w:color="auto"/>
            </w:tcBorders>
            <w:shd w:val="clear" w:color="auto" w:fill="013E5B"/>
            <w:vAlign w:val="center"/>
          </w:tcPr>
          <w:p w:rsidR="008A293B" w:rsidRPr="00253FF4" w:rsidP="00CA0464" w14:paraId="247BB8AA" w14:textId="77777777">
            <w:pPr>
              <w:pStyle w:val="TableSubtitle"/>
            </w:pPr>
            <w:r w:rsidRPr="000753E4">
              <w:t>Number of Firms by Cost-Revenue Impact Threshold</w:t>
            </w:r>
          </w:p>
        </w:tc>
      </w:tr>
      <w:tr w14:paraId="2032F509" w14:textId="77777777" w:rsidTr="00F62635">
        <w:tblPrEx>
          <w:tblW w:w="5000" w:type="pct"/>
          <w:tblLook w:val="04A0"/>
        </w:tblPrEx>
        <w:trPr>
          <w:trHeight w:val="242"/>
          <w:tblHeader/>
        </w:trPr>
        <w:tc>
          <w:tcPr>
            <w:tcW w:w="962" w:type="pct"/>
            <w:vMerge/>
            <w:tcBorders>
              <w:top w:val="single" w:sz="4" w:space="0" w:color="auto"/>
              <w:left w:val="single" w:sz="4" w:space="0" w:color="auto"/>
              <w:bottom w:val="single" w:sz="4" w:space="0" w:color="auto"/>
              <w:right w:val="single" w:sz="4" w:space="0" w:color="auto"/>
            </w:tcBorders>
            <w:vAlign w:val="center"/>
          </w:tcPr>
          <w:p w:rsidR="008A293B" w:rsidRPr="00253FF4" w:rsidP="00CA0464" w14:paraId="68C59EA4" w14:textId="77777777">
            <w:pPr>
              <w:pStyle w:val="TableSubtitle"/>
            </w:pPr>
          </w:p>
        </w:tc>
        <w:tc>
          <w:tcPr>
            <w:tcW w:w="625" w:type="pct"/>
            <w:vMerge/>
            <w:tcBorders>
              <w:top w:val="single" w:sz="4" w:space="0" w:color="auto"/>
              <w:left w:val="single" w:sz="4" w:space="0" w:color="auto"/>
              <w:bottom w:val="single" w:sz="4" w:space="0" w:color="auto"/>
              <w:right w:val="single" w:sz="4" w:space="0" w:color="auto"/>
            </w:tcBorders>
            <w:vAlign w:val="center"/>
          </w:tcPr>
          <w:p w:rsidR="008A293B" w:rsidRPr="00253FF4" w:rsidP="00CA0464" w14:paraId="0063D84B" w14:textId="77777777">
            <w:pPr>
              <w:pStyle w:val="TableSubtitle"/>
            </w:pPr>
          </w:p>
        </w:tc>
        <w:tc>
          <w:tcPr>
            <w:tcW w:w="624" w:type="pct"/>
            <w:vMerge/>
            <w:tcBorders>
              <w:top w:val="single" w:sz="4" w:space="0" w:color="auto"/>
              <w:left w:val="single" w:sz="4" w:space="0" w:color="auto"/>
              <w:bottom w:val="single" w:sz="4" w:space="0" w:color="auto"/>
              <w:right w:val="single" w:sz="4" w:space="0" w:color="auto"/>
            </w:tcBorders>
            <w:vAlign w:val="center"/>
          </w:tcPr>
          <w:p w:rsidR="008A293B" w:rsidRPr="00253FF4" w:rsidP="00CA0464" w14:paraId="116D5924" w14:textId="77777777">
            <w:pPr>
              <w:pStyle w:val="TableSubtitle"/>
            </w:pPr>
          </w:p>
        </w:tc>
        <w:tc>
          <w:tcPr>
            <w:tcW w:w="674" w:type="pct"/>
            <w:vMerge/>
            <w:tcBorders>
              <w:top w:val="single" w:sz="4" w:space="0" w:color="auto"/>
              <w:left w:val="single" w:sz="4" w:space="0" w:color="auto"/>
              <w:bottom w:val="single" w:sz="4" w:space="0" w:color="auto"/>
            </w:tcBorders>
            <w:vAlign w:val="center"/>
          </w:tcPr>
          <w:p w:rsidR="008A293B" w:rsidRPr="00253FF4" w:rsidP="00CA0464" w14:paraId="2B016DC8" w14:textId="77777777">
            <w:pPr>
              <w:pStyle w:val="TableSubtitle"/>
            </w:pPr>
          </w:p>
        </w:tc>
        <w:tc>
          <w:tcPr>
            <w:tcW w:w="705" w:type="pct"/>
            <w:tcBorders>
              <w:top w:val="single" w:sz="4" w:space="0" w:color="auto"/>
              <w:left w:val="single" w:sz="4" w:space="0" w:color="auto"/>
              <w:right w:val="single" w:sz="4" w:space="0" w:color="auto"/>
            </w:tcBorders>
            <w:shd w:val="clear" w:color="auto" w:fill="013E5B"/>
            <w:vAlign w:val="center"/>
          </w:tcPr>
          <w:p w:rsidR="008A293B" w:rsidRPr="000753E4" w:rsidP="00CA0464" w14:paraId="70DD603C" w14:textId="77777777">
            <w:pPr>
              <w:pStyle w:val="TableSubtitle"/>
            </w:pPr>
            <w:r w:rsidRPr="000753E4">
              <w:t>&lt;1</w:t>
            </w:r>
            <w:r>
              <w:t xml:space="preserve"> Percent</w:t>
            </w:r>
            <w:r w:rsidRPr="000753E4">
              <w:t xml:space="preserve"> </w:t>
            </w:r>
          </w:p>
        </w:tc>
        <w:tc>
          <w:tcPr>
            <w:tcW w:w="705" w:type="pct"/>
            <w:tcBorders>
              <w:top w:val="single" w:sz="4" w:space="0" w:color="auto"/>
              <w:left w:val="single" w:sz="4" w:space="0" w:color="auto"/>
              <w:right w:val="single" w:sz="4" w:space="0" w:color="auto"/>
            </w:tcBorders>
            <w:shd w:val="clear" w:color="auto" w:fill="013E5B"/>
            <w:vAlign w:val="center"/>
          </w:tcPr>
          <w:p w:rsidR="008A293B" w:rsidRPr="000753E4" w:rsidP="00CA0464" w14:paraId="77C1D441" w14:textId="77777777">
            <w:pPr>
              <w:pStyle w:val="TableSubtitle"/>
            </w:pPr>
            <w:r w:rsidRPr="000753E4">
              <w:t>1-3</w:t>
            </w:r>
            <w:r>
              <w:t xml:space="preserve"> Percent</w:t>
            </w:r>
            <w:r w:rsidRPr="000753E4">
              <w:t xml:space="preserve"> </w:t>
            </w:r>
          </w:p>
        </w:tc>
        <w:tc>
          <w:tcPr>
            <w:tcW w:w="705" w:type="pct"/>
            <w:tcBorders>
              <w:top w:val="single" w:sz="4" w:space="0" w:color="auto"/>
              <w:left w:val="single" w:sz="4" w:space="0" w:color="auto"/>
              <w:right w:val="single" w:sz="4" w:space="0" w:color="auto"/>
            </w:tcBorders>
            <w:shd w:val="clear" w:color="auto" w:fill="013E5B"/>
            <w:vAlign w:val="center"/>
          </w:tcPr>
          <w:p w:rsidR="008A293B" w:rsidRPr="000753E4" w:rsidP="00CA0464" w14:paraId="61F8C88F" w14:textId="77777777">
            <w:pPr>
              <w:pStyle w:val="TableSubtitle"/>
            </w:pPr>
            <w:r w:rsidRPr="000753E4">
              <w:t>&gt;3</w:t>
            </w:r>
            <w:r>
              <w:t xml:space="preserve"> Percent</w:t>
            </w:r>
            <w:r w:rsidRPr="000753E4">
              <w:t xml:space="preserve"> </w:t>
            </w:r>
          </w:p>
        </w:tc>
      </w:tr>
      <w:tr w14:paraId="2506D850" w14:textId="77777777" w:rsidTr="00F62635">
        <w:tblPrEx>
          <w:tblW w:w="5000" w:type="pct"/>
          <w:tblLook w:val="04A0"/>
        </w:tblPrEx>
        <w:trPr>
          <w:trHeight w:val="20"/>
        </w:trPr>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93B" w:rsidP="00CA0464" w14:paraId="5DEF2100" w14:textId="77777777">
            <w:pPr>
              <w:pStyle w:val="LTableTextAbt"/>
            </w:pPr>
            <w:r>
              <w:t>Processing into plastic and rubber products</w:t>
            </w:r>
          </w:p>
        </w:tc>
        <w:tc>
          <w:tcPr>
            <w:tcW w:w="625" w:type="pct"/>
            <w:tcBorders>
              <w:top w:val="single" w:sz="4" w:space="0" w:color="auto"/>
              <w:left w:val="nil"/>
              <w:bottom w:val="single" w:sz="4" w:space="0" w:color="auto"/>
              <w:right w:val="single" w:sz="4" w:space="0" w:color="auto"/>
            </w:tcBorders>
            <w:shd w:val="clear" w:color="auto" w:fill="auto"/>
            <w:vAlign w:val="center"/>
          </w:tcPr>
          <w:p w:rsidR="008A293B" w:rsidRPr="006B32A8" w:rsidP="00CA0464" w14:paraId="39D1E8D3" w14:textId="42DC61AF">
            <w:pPr>
              <w:pStyle w:val="RTableTextAbt"/>
            </w:pPr>
            <w:r>
              <w:t>5</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8A293B" w:rsidRPr="006B32A8" w:rsidP="00CA0464" w14:paraId="44DDA8BD" w14:textId="77777777">
            <w:pPr>
              <w:pStyle w:val="RTableTextAbt"/>
            </w:pPr>
            <w:r w:rsidRPr="006B32A8">
              <w:t xml:space="preserve">$3,421,642 </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8A293B" w:rsidRPr="006B32A8" w:rsidP="00CA0464" w14:paraId="069F3C72" w14:textId="77777777">
            <w:pPr>
              <w:pStyle w:val="RTableTextAbt"/>
            </w:pPr>
            <w:r w:rsidRPr="006B32A8">
              <w:t xml:space="preserve">$80,531 </w:t>
            </w:r>
          </w:p>
        </w:tc>
        <w:tc>
          <w:tcPr>
            <w:tcW w:w="705" w:type="pct"/>
            <w:tcBorders>
              <w:top w:val="single" w:sz="4" w:space="0" w:color="auto"/>
              <w:left w:val="nil"/>
              <w:bottom w:val="single" w:sz="4" w:space="0" w:color="auto"/>
              <w:right w:val="single" w:sz="4" w:space="0" w:color="auto"/>
            </w:tcBorders>
            <w:vAlign w:val="center"/>
          </w:tcPr>
          <w:p w:rsidR="008A293B" w:rsidRPr="006B32A8" w:rsidP="00CA0464" w14:paraId="25DE9677" w14:textId="77777777">
            <w:pPr>
              <w:pStyle w:val="RTableTextAbt"/>
            </w:pPr>
            <w:r w:rsidRPr="006B32A8">
              <w:t>4</w:t>
            </w:r>
          </w:p>
        </w:tc>
        <w:tc>
          <w:tcPr>
            <w:tcW w:w="705" w:type="pct"/>
            <w:tcBorders>
              <w:top w:val="single" w:sz="4" w:space="0" w:color="auto"/>
              <w:left w:val="nil"/>
              <w:bottom w:val="single" w:sz="4" w:space="0" w:color="auto"/>
              <w:right w:val="single" w:sz="4" w:space="0" w:color="auto"/>
            </w:tcBorders>
            <w:vAlign w:val="center"/>
          </w:tcPr>
          <w:p w:rsidR="008A293B" w:rsidRPr="006B32A8" w:rsidP="00CA0464" w14:paraId="673F1DC8" w14:textId="33F0D202">
            <w:pPr>
              <w:pStyle w:val="RTableTextAbt"/>
            </w:pPr>
            <w:r>
              <w:t>1</w:t>
            </w:r>
          </w:p>
        </w:tc>
        <w:tc>
          <w:tcPr>
            <w:tcW w:w="705" w:type="pct"/>
            <w:tcBorders>
              <w:top w:val="single" w:sz="4" w:space="0" w:color="auto"/>
              <w:left w:val="nil"/>
              <w:bottom w:val="single" w:sz="4" w:space="0" w:color="auto"/>
              <w:right w:val="single" w:sz="4" w:space="0" w:color="auto"/>
            </w:tcBorders>
            <w:vAlign w:val="center"/>
          </w:tcPr>
          <w:p w:rsidR="008A293B" w:rsidRPr="006B32A8" w:rsidP="00CA0464" w14:paraId="7B667797" w14:textId="77777777">
            <w:pPr>
              <w:pStyle w:val="RTableTextAbt"/>
            </w:pPr>
            <w:r w:rsidRPr="006B32A8">
              <w:t>-</w:t>
            </w:r>
          </w:p>
        </w:tc>
      </w:tr>
      <w:tr w14:paraId="5C299CE3" w14:textId="77777777" w:rsidTr="00CA0464">
        <w:tblPrEx>
          <w:tblW w:w="5000" w:type="pct"/>
          <w:tblLook w:val="04A0"/>
        </w:tblPrEx>
        <w:trPr>
          <w:trHeight w:val="20"/>
        </w:trPr>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93B" w:rsidP="00CA0464" w14:paraId="12A543AA" w14:textId="77777777">
            <w:pPr>
              <w:pStyle w:val="LTableTextAbt"/>
            </w:pPr>
            <w:r>
              <w:t>Recycling</w:t>
            </w:r>
          </w:p>
        </w:tc>
        <w:tc>
          <w:tcPr>
            <w:tcW w:w="625" w:type="pct"/>
            <w:tcBorders>
              <w:top w:val="single" w:sz="4" w:space="0" w:color="auto"/>
              <w:left w:val="nil"/>
              <w:bottom w:val="single" w:sz="4" w:space="0" w:color="auto"/>
              <w:right w:val="single" w:sz="4" w:space="0" w:color="auto"/>
            </w:tcBorders>
            <w:shd w:val="clear" w:color="auto" w:fill="auto"/>
            <w:vAlign w:val="center"/>
          </w:tcPr>
          <w:p w:rsidR="008A293B" w:rsidRPr="006B32A8" w:rsidP="00CA0464" w14:paraId="692198FD" w14:textId="77777777">
            <w:pPr>
              <w:pStyle w:val="RTableTextAbt"/>
            </w:pPr>
            <w:r w:rsidRPr="006B32A8">
              <w:t>8,412</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8A293B" w:rsidRPr="006B32A8" w:rsidP="00CA0464" w14:paraId="48F6FFA5" w14:textId="77777777">
            <w:pPr>
              <w:pStyle w:val="RTableTextAbt"/>
            </w:pPr>
            <w:r w:rsidRPr="006B32A8">
              <w:t xml:space="preserve">$91,354 </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8A293B" w:rsidRPr="006B32A8" w:rsidP="00CA0464" w14:paraId="46BA3FB2" w14:textId="77777777">
            <w:pPr>
              <w:pStyle w:val="RTableTextAbt"/>
            </w:pPr>
            <w:r w:rsidRPr="006B32A8">
              <w:t xml:space="preserve">$7 </w:t>
            </w:r>
          </w:p>
        </w:tc>
        <w:tc>
          <w:tcPr>
            <w:tcW w:w="705" w:type="pct"/>
            <w:tcBorders>
              <w:top w:val="single" w:sz="4" w:space="0" w:color="auto"/>
              <w:left w:val="nil"/>
              <w:bottom w:val="single" w:sz="4" w:space="0" w:color="auto"/>
              <w:right w:val="single" w:sz="4" w:space="0" w:color="auto"/>
            </w:tcBorders>
            <w:vAlign w:val="center"/>
          </w:tcPr>
          <w:p w:rsidR="008A293B" w:rsidRPr="006B32A8" w:rsidP="00CA0464" w14:paraId="722A78F0" w14:textId="77777777">
            <w:pPr>
              <w:pStyle w:val="RTableTextAbt"/>
            </w:pPr>
            <w:r w:rsidRPr="006B32A8">
              <w:t>8,412</w:t>
            </w:r>
          </w:p>
        </w:tc>
        <w:tc>
          <w:tcPr>
            <w:tcW w:w="705" w:type="pct"/>
            <w:tcBorders>
              <w:top w:val="single" w:sz="4" w:space="0" w:color="auto"/>
              <w:left w:val="nil"/>
              <w:bottom w:val="single" w:sz="4" w:space="0" w:color="auto"/>
              <w:right w:val="single" w:sz="4" w:space="0" w:color="auto"/>
            </w:tcBorders>
            <w:vAlign w:val="center"/>
          </w:tcPr>
          <w:p w:rsidR="008A293B" w:rsidRPr="006B32A8" w:rsidP="00CA0464" w14:paraId="626E70E4" w14:textId="77777777">
            <w:pPr>
              <w:pStyle w:val="RTableTextAbt"/>
            </w:pPr>
            <w:r w:rsidRPr="006B32A8">
              <w:t>-</w:t>
            </w:r>
          </w:p>
        </w:tc>
        <w:tc>
          <w:tcPr>
            <w:tcW w:w="705" w:type="pct"/>
            <w:tcBorders>
              <w:top w:val="single" w:sz="4" w:space="0" w:color="auto"/>
              <w:left w:val="nil"/>
              <w:bottom w:val="single" w:sz="4" w:space="0" w:color="auto"/>
              <w:right w:val="single" w:sz="4" w:space="0" w:color="auto"/>
            </w:tcBorders>
            <w:vAlign w:val="center"/>
          </w:tcPr>
          <w:p w:rsidR="008A293B" w:rsidRPr="006B32A8" w:rsidP="00CA0464" w14:paraId="41EDD5A3" w14:textId="77777777">
            <w:pPr>
              <w:pStyle w:val="RTableTextAbt"/>
            </w:pPr>
            <w:r w:rsidRPr="006B32A8">
              <w:t>-</w:t>
            </w:r>
          </w:p>
        </w:tc>
      </w:tr>
      <w:tr w14:paraId="04C86CAB" w14:textId="77777777" w:rsidTr="00CA0464">
        <w:tblPrEx>
          <w:tblW w:w="5000" w:type="pct"/>
          <w:tblLook w:val="04A0"/>
        </w:tblPrEx>
        <w:trPr>
          <w:trHeight w:val="20"/>
        </w:trPr>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93B" w:rsidP="00CA0464" w14:paraId="4374A607" w14:textId="77777777">
            <w:pPr>
              <w:pStyle w:val="LTableTextAbt"/>
            </w:pPr>
            <w:r>
              <w:t>Automotive painting (new vehicles)</w:t>
            </w:r>
          </w:p>
        </w:tc>
        <w:tc>
          <w:tcPr>
            <w:tcW w:w="625" w:type="pct"/>
            <w:tcBorders>
              <w:top w:val="single" w:sz="4" w:space="0" w:color="auto"/>
              <w:left w:val="nil"/>
              <w:bottom w:val="single" w:sz="4" w:space="0" w:color="auto"/>
              <w:right w:val="single" w:sz="4" w:space="0" w:color="auto"/>
            </w:tcBorders>
            <w:shd w:val="clear" w:color="auto" w:fill="auto"/>
            <w:vAlign w:val="center"/>
          </w:tcPr>
          <w:p w:rsidR="008A293B" w:rsidRPr="006B32A8" w:rsidP="00CA0464" w14:paraId="6D123428" w14:textId="1B529092">
            <w:pPr>
              <w:pStyle w:val="RTableTextAbt"/>
            </w:pPr>
            <w:r w:rsidRPr="006B32A8">
              <w:t>76</w:t>
            </w:r>
            <w:r w:rsidR="00E707F5">
              <w:t>3</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8A293B" w:rsidRPr="006B32A8" w:rsidP="00CA0464" w14:paraId="6E67C5A9" w14:textId="77777777">
            <w:pPr>
              <w:pStyle w:val="RTableTextAbt"/>
            </w:pPr>
            <w:r w:rsidRPr="006B32A8">
              <w:t xml:space="preserve">$87,734 </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8A293B" w:rsidRPr="006B32A8" w:rsidP="00CA0464" w14:paraId="1E16CA39" w14:textId="77777777">
            <w:pPr>
              <w:pStyle w:val="RTableTextAbt"/>
            </w:pPr>
            <w:r w:rsidRPr="006B32A8">
              <w:t xml:space="preserve">$7 </w:t>
            </w:r>
          </w:p>
        </w:tc>
        <w:tc>
          <w:tcPr>
            <w:tcW w:w="705" w:type="pct"/>
            <w:tcBorders>
              <w:top w:val="single" w:sz="4" w:space="0" w:color="auto"/>
              <w:left w:val="nil"/>
              <w:bottom w:val="single" w:sz="4" w:space="0" w:color="auto"/>
              <w:right w:val="single" w:sz="4" w:space="0" w:color="auto"/>
            </w:tcBorders>
            <w:vAlign w:val="center"/>
          </w:tcPr>
          <w:p w:rsidR="008A293B" w:rsidRPr="006B32A8" w:rsidP="00CA0464" w14:paraId="6B58C0D9" w14:textId="2A25D8EA">
            <w:pPr>
              <w:pStyle w:val="RTableTextAbt"/>
            </w:pPr>
            <w:r w:rsidRPr="006B32A8">
              <w:t>76</w:t>
            </w:r>
            <w:r>
              <w:t>3</w:t>
            </w:r>
          </w:p>
        </w:tc>
        <w:tc>
          <w:tcPr>
            <w:tcW w:w="705" w:type="pct"/>
            <w:tcBorders>
              <w:top w:val="single" w:sz="4" w:space="0" w:color="auto"/>
              <w:left w:val="nil"/>
              <w:bottom w:val="single" w:sz="4" w:space="0" w:color="auto"/>
              <w:right w:val="single" w:sz="4" w:space="0" w:color="auto"/>
            </w:tcBorders>
            <w:vAlign w:val="center"/>
          </w:tcPr>
          <w:p w:rsidR="008A293B" w:rsidRPr="006B32A8" w:rsidP="00CA0464" w14:paraId="46EB445C" w14:textId="77777777">
            <w:pPr>
              <w:pStyle w:val="RTableTextAbt"/>
            </w:pPr>
            <w:r w:rsidRPr="006B32A8">
              <w:t>-</w:t>
            </w:r>
          </w:p>
        </w:tc>
        <w:tc>
          <w:tcPr>
            <w:tcW w:w="705" w:type="pct"/>
            <w:tcBorders>
              <w:top w:val="single" w:sz="4" w:space="0" w:color="auto"/>
              <w:left w:val="nil"/>
              <w:bottom w:val="single" w:sz="4" w:space="0" w:color="auto"/>
              <w:right w:val="single" w:sz="4" w:space="0" w:color="auto"/>
            </w:tcBorders>
            <w:vAlign w:val="center"/>
          </w:tcPr>
          <w:p w:rsidR="008A293B" w:rsidRPr="006B32A8" w:rsidP="00CA0464" w14:paraId="4AAA5D41" w14:textId="77777777">
            <w:pPr>
              <w:pStyle w:val="RTableTextAbt"/>
            </w:pPr>
            <w:r w:rsidRPr="006B32A8">
              <w:t>-</w:t>
            </w:r>
          </w:p>
        </w:tc>
      </w:tr>
      <w:tr w14:paraId="503500EF" w14:textId="77777777" w:rsidTr="00CA0464">
        <w:tblPrEx>
          <w:tblW w:w="5000" w:type="pct"/>
          <w:tblLook w:val="04A0"/>
        </w:tblPrEx>
        <w:trPr>
          <w:trHeight w:val="20"/>
        </w:trPr>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93B" w:rsidP="00CA0464" w14:paraId="17FD9EBC" w14:textId="77777777">
            <w:pPr>
              <w:pStyle w:val="LTableTextAbt"/>
            </w:pPr>
            <w:r>
              <w:t>Automotive refinishing</w:t>
            </w:r>
          </w:p>
        </w:tc>
        <w:tc>
          <w:tcPr>
            <w:tcW w:w="625" w:type="pct"/>
            <w:tcBorders>
              <w:top w:val="single" w:sz="4" w:space="0" w:color="auto"/>
              <w:left w:val="nil"/>
              <w:bottom w:val="single" w:sz="4" w:space="0" w:color="auto"/>
              <w:right w:val="single" w:sz="4" w:space="0" w:color="auto"/>
            </w:tcBorders>
            <w:shd w:val="clear" w:color="auto" w:fill="auto"/>
            <w:vAlign w:val="center"/>
          </w:tcPr>
          <w:p w:rsidR="008A293B" w:rsidRPr="006B32A8" w:rsidP="00CA0464" w14:paraId="77BF5821" w14:textId="77777777">
            <w:pPr>
              <w:pStyle w:val="RTableTextAbt"/>
            </w:pPr>
            <w:r w:rsidRPr="006B32A8">
              <w:t>31,117</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8A293B" w:rsidRPr="006B32A8" w:rsidP="00CA0464" w14:paraId="02A4CEEC" w14:textId="77777777">
            <w:pPr>
              <w:pStyle w:val="RTableTextAbt"/>
            </w:pPr>
            <w:r w:rsidRPr="006B32A8">
              <w:t xml:space="preserve">$74,589 </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8A293B" w:rsidRPr="006B32A8" w:rsidP="00CA0464" w14:paraId="07A2DAA0" w14:textId="77777777">
            <w:pPr>
              <w:pStyle w:val="RTableTextAbt"/>
            </w:pPr>
            <w:r w:rsidRPr="006B32A8">
              <w:t xml:space="preserve">$7 </w:t>
            </w:r>
          </w:p>
        </w:tc>
        <w:tc>
          <w:tcPr>
            <w:tcW w:w="705" w:type="pct"/>
            <w:tcBorders>
              <w:top w:val="single" w:sz="4" w:space="0" w:color="auto"/>
              <w:left w:val="nil"/>
              <w:bottom w:val="single" w:sz="4" w:space="0" w:color="auto"/>
              <w:right w:val="single" w:sz="4" w:space="0" w:color="auto"/>
            </w:tcBorders>
            <w:vAlign w:val="center"/>
          </w:tcPr>
          <w:p w:rsidR="008A293B" w:rsidRPr="006B32A8" w:rsidP="00CA0464" w14:paraId="0DA9EA06" w14:textId="77777777">
            <w:pPr>
              <w:pStyle w:val="RTableTextAbt"/>
            </w:pPr>
            <w:r w:rsidRPr="006B32A8">
              <w:t>31,117</w:t>
            </w:r>
          </w:p>
        </w:tc>
        <w:tc>
          <w:tcPr>
            <w:tcW w:w="705" w:type="pct"/>
            <w:tcBorders>
              <w:top w:val="single" w:sz="4" w:space="0" w:color="auto"/>
              <w:left w:val="nil"/>
              <w:bottom w:val="single" w:sz="4" w:space="0" w:color="auto"/>
              <w:right w:val="single" w:sz="4" w:space="0" w:color="auto"/>
            </w:tcBorders>
            <w:vAlign w:val="center"/>
          </w:tcPr>
          <w:p w:rsidR="008A293B" w:rsidRPr="006B32A8" w:rsidP="00CA0464" w14:paraId="4A838DA2" w14:textId="77777777">
            <w:pPr>
              <w:pStyle w:val="RTableTextAbt"/>
            </w:pPr>
            <w:r w:rsidRPr="006B32A8">
              <w:t>-</w:t>
            </w:r>
          </w:p>
        </w:tc>
        <w:tc>
          <w:tcPr>
            <w:tcW w:w="705" w:type="pct"/>
            <w:tcBorders>
              <w:top w:val="single" w:sz="4" w:space="0" w:color="auto"/>
              <w:left w:val="nil"/>
              <w:bottom w:val="single" w:sz="4" w:space="0" w:color="auto"/>
              <w:right w:val="single" w:sz="4" w:space="0" w:color="auto"/>
            </w:tcBorders>
            <w:vAlign w:val="center"/>
          </w:tcPr>
          <w:p w:rsidR="008A293B" w:rsidRPr="006B32A8" w:rsidP="00CA0464" w14:paraId="33DD69EA" w14:textId="77777777">
            <w:pPr>
              <w:pStyle w:val="RTableTextAbt"/>
            </w:pPr>
            <w:r w:rsidRPr="006B32A8">
              <w:t>-</w:t>
            </w:r>
          </w:p>
        </w:tc>
      </w:tr>
      <w:tr w14:paraId="7E033220" w14:textId="77777777" w:rsidTr="00CA0464">
        <w:tblPrEx>
          <w:tblW w:w="5000" w:type="pct"/>
          <w:tblLook w:val="04A0"/>
        </w:tblPrEx>
        <w:trPr>
          <w:trHeight w:val="20"/>
        </w:trPr>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93B" w:rsidP="00CA0464" w14:paraId="1C71C33E" w14:textId="77777777">
            <w:pPr>
              <w:pStyle w:val="LTableTextAbt"/>
            </w:pPr>
            <w:r>
              <w:t>Disposal</w:t>
            </w:r>
          </w:p>
        </w:tc>
        <w:tc>
          <w:tcPr>
            <w:tcW w:w="625" w:type="pct"/>
            <w:tcBorders>
              <w:top w:val="single" w:sz="4" w:space="0" w:color="auto"/>
              <w:left w:val="nil"/>
              <w:bottom w:val="single" w:sz="4" w:space="0" w:color="auto"/>
              <w:right w:val="single" w:sz="4" w:space="0" w:color="auto"/>
            </w:tcBorders>
            <w:shd w:val="clear" w:color="auto" w:fill="auto"/>
            <w:vAlign w:val="center"/>
          </w:tcPr>
          <w:p w:rsidR="008A293B" w:rsidRPr="006B32A8" w:rsidP="00CA0464" w14:paraId="535BE303" w14:textId="576D8F24">
            <w:pPr>
              <w:pStyle w:val="RTableTextAbt"/>
            </w:pPr>
            <w:r w:rsidRPr="006B32A8">
              <w:t>8,09</w:t>
            </w:r>
            <w:r w:rsidR="00CC19F3">
              <w:t>4</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8A293B" w:rsidRPr="006B32A8" w:rsidP="00CA0464" w14:paraId="0720BA7E" w14:textId="77777777">
            <w:pPr>
              <w:pStyle w:val="RTableTextAbt"/>
            </w:pPr>
            <w:r w:rsidRPr="006B32A8">
              <w:t xml:space="preserve">$91,354 </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8A293B" w:rsidRPr="006B32A8" w:rsidP="00CA0464" w14:paraId="0D9F236E" w14:textId="77777777">
            <w:pPr>
              <w:pStyle w:val="RTableTextAbt"/>
            </w:pPr>
            <w:r w:rsidRPr="006B32A8">
              <w:t xml:space="preserve">$7 </w:t>
            </w:r>
          </w:p>
        </w:tc>
        <w:tc>
          <w:tcPr>
            <w:tcW w:w="705" w:type="pct"/>
            <w:tcBorders>
              <w:top w:val="single" w:sz="4" w:space="0" w:color="auto"/>
              <w:left w:val="nil"/>
              <w:bottom w:val="single" w:sz="4" w:space="0" w:color="auto"/>
              <w:right w:val="single" w:sz="4" w:space="0" w:color="auto"/>
            </w:tcBorders>
            <w:vAlign w:val="center"/>
          </w:tcPr>
          <w:p w:rsidR="008A293B" w:rsidRPr="006B32A8" w:rsidP="00CA0464" w14:paraId="2D1EFA85" w14:textId="3B2F2488">
            <w:pPr>
              <w:pStyle w:val="RTableTextAbt"/>
            </w:pPr>
            <w:r w:rsidRPr="006B32A8">
              <w:t>8,09</w:t>
            </w:r>
            <w:r w:rsidR="00276510">
              <w:t>4</w:t>
            </w:r>
          </w:p>
        </w:tc>
        <w:tc>
          <w:tcPr>
            <w:tcW w:w="705" w:type="pct"/>
            <w:tcBorders>
              <w:top w:val="single" w:sz="4" w:space="0" w:color="auto"/>
              <w:left w:val="nil"/>
              <w:bottom w:val="single" w:sz="4" w:space="0" w:color="auto"/>
              <w:right w:val="single" w:sz="4" w:space="0" w:color="auto"/>
            </w:tcBorders>
            <w:vAlign w:val="center"/>
          </w:tcPr>
          <w:p w:rsidR="008A293B" w:rsidRPr="006B32A8" w:rsidP="00CA0464" w14:paraId="187D85B4" w14:textId="77777777">
            <w:pPr>
              <w:pStyle w:val="RTableTextAbt"/>
            </w:pPr>
            <w:r w:rsidRPr="006B32A8">
              <w:t>-</w:t>
            </w:r>
          </w:p>
        </w:tc>
        <w:tc>
          <w:tcPr>
            <w:tcW w:w="705" w:type="pct"/>
            <w:tcBorders>
              <w:top w:val="single" w:sz="4" w:space="0" w:color="auto"/>
              <w:left w:val="nil"/>
              <w:bottom w:val="single" w:sz="4" w:space="0" w:color="auto"/>
              <w:right w:val="single" w:sz="4" w:space="0" w:color="auto"/>
            </w:tcBorders>
            <w:vAlign w:val="center"/>
          </w:tcPr>
          <w:p w:rsidR="008A293B" w:rsidRPr="006B32A8" w:rsidP="00CA0464" w14:paraId="227F0583" w14:textId="77777777">
            <w:pPr>
              <w:pStyle w:val="RTableTextAbt"/>
            </w:pPr>
            <w:r w:rsidRPr="006B32A8">
              <w:t>-</w:t>
            </w:r>
          </w:p>
        </w:tc>
      </w:tr>
      <w:tr w14:paraId="56A39BFE" w14:textId="77777777" w:rsidTr="00CA0464">
        <w:tblPrEx>
          <w:tblW w:w="5000" w:type="pct"/>
          <w:tblLook w:val="04A0"/>
        </w:tblPrEx>
        <w:trPr>
          <w:trHeight w:val="20"/>
        </w:trPr>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8A293B" w:rsidRPr="000B00CB" w:rsidP="00CA0464" w14:paraId="5BA6F706" w14:textId="77777777">
            <w:pPr>
              <w:pStyle w:val="LTableTextAbt"/>
              <w:rPr>
                <w:b/>
                <w:bCs w:val="0"/>
              </w:rPr>
            </w:pPr>
            <w:r w:rsidRPr="000B00CB">
              <w:rPr>
                <w:b/>
                <w:bCs w:val="0"/>
              </w:rPr>
              <w:t>Total</w:t>
            </w:r>
          </w:p>
        </w:tc>
        <w:tc>
          <w:tcPr>
            <w:tcW w:w="625" w:type="pct"/>
            <w:tcBorders>
              <w:top w:val="single" w:sz="4" w:space="0" w:color="auto"/>
              <w:left w:val="nil"/>
              <w:bottom w:val="single" w:sz="4" w:space="0" w:color="auto"/>
              <w:right w:val="single" w:sz="4" w:space="0" w:color="auto"/>
            </w:tcBorders>
            <w:shd w:val="clear" w:color="auto" w:fill="auto"/>
            <w:vAlign w:val="center"/>
          </w:tcPr>
          <w:p w:rsidR="008A293B" w:rsidRPr="006B32A8" w:rsidP="00CA0464" w14:paraId="2F5F95B2" w14:textId="1F2ECC55">
            <w:pPr>
              <w:pStyle w:val="RTableTextAbt"/>
              <w:rPr>
                <w:b/>
                <w:bCs w:val="0"/>
              </w:rPr>
            </w:pPr>
            <w:r w:rsidRPr="006B32A8">
              <w:rPr>
                <w:b/>
                <w:bCs w:val="0"/>
              </w:rPr>
              <w:t>48,</w:t>
            </w:r>
            <w:r w:rsidRPr="006B32A8" w:rsidR="00664F44">
              <w:rPr>
                <w:b/>
                <w:bCs w:val="0"/>
              </w:rPr>
              <w:t>39</w:t>
            </w:r>
            <w:r w:rsidR="00664F44">
              <w:rPr>
                <w:b/>
                <w:bCs w:val="0"/>
              </w:rPr>
              <w:t>1</w:t>
            </w:r>
          </w:p>
        </w:tc>
        <w:tc>
          <w:tcPr>
            <w:tcW w:w="624" w:type="pct"/>
            <w:tcBorders>
              <w:top w:val="single" w:sz="4" w:space="0" w:color="auto"/>
              <w:left w:val="nil"/>
              <w:bottom w:val="single" w:sz="4" w:space="0" w:color="auto"/>
              <w:right w:val="single" w:sz="4" w:space="0" w:color="auto"/>
            </w:tcBorders>
            <w:shd w:val="clear" w:color="auto" w:fill="auto"/>
            <w:vAlign w:val="center"/>
          </w:tcPr>
          <w:p w:rsidR="008A293B" w:rsidRPr="006B32A8" w:rsidP="00CA0464" w14:paraId="00FE9274" w14:textId="77777777">
            <w:pPr>
              <w:pStyle w:val="RTableTextAbt"/>
              <w:rPr>
                <w:b/>
                <w:bCs w:val="0"/>
              </w:rPr>
            </w:pPr>
            <w:r w:rsidRPr="006B32A8">
              <w:rPr>
                <w:b/>
                <w:bCs w:val="0"/>
              </w:rPr>
              <w:t>-</w:t>
            </w:r>
          </w:p>
        </w:tc>
        <w:tc>
          <w:tcPr>
            <w:tcW w:w="674" w:type="pct"/>
            <w:tcBorders>
              <w:top w:val="single" w:sz="4" w:space="0" w:color="auto"/>
              <w:left w:val="nil"/>
              <w:bottom w:val="single" w:sz="4" w:space="0" w:color="auto"/>
              <w:right w:val="single" w:sz="4" w:space="0" w:color="auto"/>
            </w:tcBorders>
            <w:shd w:val="clear" w:color="auto" w:fill="auto"/>
            <w:vAlign w:val="center"/>
          </w:tcPr>
          <w:p w:rsidR="008A293B" w:rsidRPr="006B32A8" w:rsidP="00CA0464" w14:paraId="414515E0" w14:textId="508AC30D">
            <w:pPr>
              <w:pStyle w:val="RTableTextAbt"/>
              <w:rPr>
                <w:b/>
                <w:bCs w:val="0"/>
              </w:rPr>
            </w:pPr>
            <w:r w:rsidRPr="006B32A8">
              <w:rPr>
                <w:b/>
                <w:bCs w:val="0"/>
              </w:rPr>
              <w:t>$</w:t>
            </w:r>
            <w:r w:rsidRPr="006B32A8" w:rsidR="001D3DF7">
              <w:rPr>
                <w:b/>
                <w:bCs w:val="0"/>
              </w:rPr>
              <w:t>1</w:t>
            </w:r>
            <w:r w:rsidR="001D3DF7">
              <w:rPr>
                <w:b/>
                <w:bCs w:val="0"/>
              </w:rPr>
              <w:t>5</w:t>
            </w:r>
            <w:r w:rsidRPr="006B32A8" w:rsidR="001D3DF7">
              <w:rPr>
                <w:b/>
                <w:bCs w:val="0"/>
              </w:rPr>
              <w:t xml:space="preserve"> </w:t>
            </w:r>
          </w:p>
        </w:tc>
        <w:tc>
          <w:tcPr>
            <w:tcW w:w="705" w:type="pct"/>
            <w:tcBorders>
              <w:top w:val="single" w:sz="4" w:space="0" w:color="auto"/>
              <w:left w:val="nil"/>
              <w:bottom w:val="single" w:sz="4" w:space="0" w:color="auto"/>
              <w:right w:val="single" w:sz="4" w:space="0" w:color="auto"/>
            </w:tcBorders>
            <w:vAlign w:val="center"/>
          </w:tcPr>
          <w:p w:rsidR="008A293B" w:rsidRPr="006B32A8" w:rsidP="00CA0464" w14:paraId="126512E3" w14:textId="2812EB86">
            <w:pPr>
              <w:pStyle w:val="RTableTextAbt"/>
              <w:rPr>
                <w:b/>
                <w:bCs w:val="0"/>
              </w:rPr>
            </w:pPr>
            <w:r w:rsidRPr="006B32A8">
              <w:rPr>
                <w:b/>
                <w:bCs w:val="0"/>
              </w:rPr>
              <w:t>48,</w:t>
            </w:r>
            <w:r w:rsidRPr="006B32A8" w:rsidR="00664F44">
              <w:rPr>
                <w:b/>
                <w:bCs w:val="0"/>
              </w:rPr>
              <w:t>39</w:t>
            </w:r>
            <w:r w:rsidR="00664F44">
              <w:rPr>
                <w:b/>
                <w:bCs w:val="0"/>
              </w:rPr>
              <w:t>0</w:t>
            </w:r>
          </w:p>
        </w:tc>
        <w:tc>
          <w:tcPr>
            <w:tcW w:w="705" w:type="pct"/>
            <w:tcBorders>
              <w:top w:val="single" w:sz="4" w:space="0" w:color="auto"/>
              <w:left w:val="nil"/>
              <w:bottom w:val="single" w:sz="4" w:space="0" w:color="auto"/>
              <w:right w:val="single" w:sz="4" w:space="0" w:color="auto"/>
            </w:tcBorders>
            <w:vAlign w:val="center"/>
          </w:tcPr>
          <w:p w:rsidR="008A293B" w:rsidRPr="006B32A8" w:rsidP="00CA0464" w14:paraId="4A924B9B" w14:textId="565FF583">
            <w:pPr>
              <w:pStyle w:val="RTableTextAbt"/>
              <w:rPr>
                <w:b/>
                <w:bCs w:val="0"/>
              </w:rPr>
            </w:pPr>
            <w:r>
              <w:rPr>
                <w:b/>
                <w:bCs w:val="0"/>
              </w:rPr>
              <w:t>1</w:t>
            </w:r>
          </w:p>
        </w:tc>
        <w:tc>
          <w:tcPr>
            <w:tcW w:w="705" w:type="pct"/>
            <w:tcBorders>
              <w:top w:val="single" w:sz="4" w:space="0" w:color="auto"/>
              <w:left w:val="nil"/>
              <w:bottom w:val="single" w:sz="4" w:space="0" w:color="auto"/>
              <w:right w:val="single" w:sz="4" w:space="0" w:color="auto"/>
            </w:tcBorders>
            <w:vAlign w:val="center"/>
          </w:tcPr>
          <w:p w:rsidR="008A293B" w:rsidRPr="006B32A8" w:rsidP="00CA0464" w14:paraId="696B5B8A" w14:textId="77777777">
            <w:pPr>
              <w:pStyle w:val="RTableTextAbt"/>
              <w:rPr>
                <w:b/>
                <w:bCs w:val="0"/>
              </w:rPr>
            </w:pPr>
            <w:r w:rsidRPr="006B32A8">
              <w:rPr>
                <w:b/>
                <w:bCs w:val="0"/>
              </w:rPr>
              <w:t>-</w:t>
            </w:r>
          </w:p>
        </w:tc>
      </w:tr>
    </w:tbl>
    <w:p w:rsidR="00B62EDF" w:rsidRPr="00B62EDF" w:rsidP="00832749" w14:paraId="1399100B" w14:textId="77777777">
      <w:pPr>
        <w:pStyle w:val="BodyText"/>
      </w:pPr>
    </w:p>
    <w:p w:rsidR="000671FF" w:rsidRPr="00B56426" w:rsidP="0003056B" w14:paraId="5BAEB295" w14:textId="77777777">
      <w:pPr>
        <w:pStyle w:val="Heading2"/>
      </w:pPr>
      <w:bookmarkStart w:id="334" w:name="_Ref106033531"/>
      <w:bookmarkStart w:id="335" w:name="_Toc184299531"/>
      <w:bookmarkStart w:id="336" w:name="_Hlk166669344"/>
      <w:r w:rsidRPr="00B56426">
        <w:t>Employment Effects</w:t>
      </w:r>
      <w:bookmarkEnd w:id="334"/>
      <w:bookmarkEnd w:id="335"/>
    </w:p>
    <w:p w:rsidR="00DE10FA" w:rsidRPr="001437E2" w:rsidP="00DE10FA" w14:paraId="54A32AFE" w14:textId="0DCC6CAE">
      <w:pPr>
        <w:pStyle w:val="BodyText"/>
      </w:pPr>
      <w:r w:rsidRPr="4A8A1481">
        <w:rPr>
          <w:lang w:val="en-US"/>
        </w:rPr>
        <w:t xml:space="preserve">. Employment impacts of environmental regulations include a mix of potential declines and gains in different sectors of the economy over time. Impacts on employment can vary according to labor market conditions and may differ across occupations, industries, and regions. Isolating employment impacts of regulation is difficult as they are a challenge to disentangle from employment impacts caused by a wide variety of ongoing concurrent economic changes.  </w:t>
      </w:r>
    </w:p>
    <w:p w:rsidR="00DE10FA" w:rsidRPr="001437E2" w:rsidP="00DE10FA" w14:paraId="12B52B97" w14:textId="2742F3FB">
      <w:pPr>
        <w:pStyle w:val="BodyText"/>
      </w:pPr>
      <w:r w:rsidRPr="4A8A1481">
        <w:rPr>
          <w:lang w:val="en-US"/>
        </w:rPr>
        <w:t>In the long run, environmental regulation is expected to cause a shift of employment among employers rather than affect the general employment level (</w:t>
      </w:r>
      <w:hyperlink w:anchor="_ENREF_5" w:tooltip="Arrow, 1996 #5" w:history="1">
        <w:r w:rsidR="003D6084">
          <w:fldChar w:fldCharType="begin" w:fldLock="1"/>
        </w:r>
        <w:r w:rsidR="003D6084">
          <w:instrText xml:space="preserve"> ADDIN EN.CITE &lt;EndNote&gt;&lt;Cite&gt;&lt;Author&gt;Arrow&lt;/Author&gt;&lt;Year&gt;1996&lt;/Year&gt;&lt;RecNum&gt;5&lt;/RecNum&gt;&lt;DisplayText&gt;Arrow, Cropper et al. 1996&lt;/DisplayText&gt;&lt;record&gt;&lt;rec-number&gt;5&lt;/rec-number&gt;&lt;foreign-keys&gt;&lt;key app="EN" db-id="2apzr05radv9fjet2w6xxwdlz5e9vwfxredw" timestamp="1730757315"&gt;5&lt;/key&gt;&lt;/foreign-keys&gt;&lt;ref-type name="Journal Article"&gt;17&lt;/ref-type&gt;&lt;contributors&gt;&lt;authors&gt;&lt;author&gt;Arrow, K.J.&lt;/author&gt;&lt;author&gt;Cropper, M.L.&lt;/author&gt;&lt;author&gt;Eads, G.C.&lt;/author&gt;&lt;author&gt;Hahn, R.W.&lt;/author&gt;&lt;author&gt;Lave, L.B.&lt;/author&gt;&lt;author&gt;Noll, R.G.&lt;/author&gt;&lt;author&gt;Portney, P.R.&lt;/author&gt;&lt;author&gt;Russell, M.&lt;/author&gt;&lt;author&gt;Schmalensee, R.&lt;/author&gt;&lt;author&gt;Smith, V.K.&lt;/author&gt;&lt;author&gt;Stavins, R.N.&lt;/author&gt;&lt;/authors&gt;&lt;/contributors&gt;&lt;titles&gt;&lt;title&gt;Benefit-Cost Analysis in Environmental, Health, and Safety Regulation: A Statement of Principles&lt;/title&gt;&lt;secondary-title&gt;Science&lt;/secondary-title&gt;&lt;/titles&gt;&lt;periodical&gt;&lt;full-title&gt;Science&lt;/full-title&gt;&lt;/periodical&gt;&lt;dates&gt;&lt;year&gt;1996&lt;/year&gt;&lt;/dates&gt;&lt;urls&gt;&lt;/urls&gt;&lt;/record&gt;&lt;/Cite&gt;&lt;/EndNote&gt;</w:instrText>
        </w:r>
        <w:r w:rsidR="003D6084">
          <w:fldChar w:fldCharType="separate"/>
        </w:r>
        <w:r w:rsidRPr="4A8A1481" w:rsidR="003D6084">
          <w:rPr>
            <w:noProof/>
            <w:lang w:val="en-US"/>
          </w:rPr>
          <w:t>Arrow, Cropper et al. 1996</w:t>
        </w:r>
        <w:r w:rsidR="003D6084">
          <w:fldChar w:fldCharType="end"/>
        </w:r>
      </w:hyperlink>
      <w:r w:rsidRPr="4A8A1481">
        <w:rPr>
          <w:lang w:val="en-US"/>
        </w:rPr>
        <w:t>). Even if they are mitigated by long-run market adjustments to full employment, many regulatory actions have transitional effects in the short run (</w:t>
      </w:r>
      <w:hyperlink w:anchor="_ENREF_69" w:tooltip="U.S. Office of Management and Budget (OMB), 2015 #68" w:history="1">
        <w:r w:rsidR="003D6084">
          <w:fldChar w:fldCharType="begin" w:fldLock="1"/>
        </w:r>
        <w:r w:rsidR="003D6084">
          <w:instrText xml:space="preserve"> ADDIN EN.CITE &lt;EndNote&gt;&lt;Cite ExcludeAuth="1"&gt;&lt;Author&gt;U.S. Office of Management and Budget (OMB)&lt;/Author&gt;&lt;Year&gt;2015&lt;/Year&gt;&lt;RecNum&gt;68&lt;/RecNum&gt;&lt;Prefix&gt;OMB &lt;/Prefix&gt;&lt;DisplayText&gt;OMB 2015&lt;/DisplayText&gt;&lt;record&gt;&lt;rec-number&gt;68&lt;/rec-number&gt;&lt;foreign-keys&gt;&lt;key app="EN" db-id="2apzr05radv9fjet2w6xxwdlz5e9vwfxredw" timestamp="1730757315"&gt;68&lt;/key&gt;&lt;/foreign-keys&gt;&lt;ref-type name="Generic"&gt;13&lt;/ref-type&gt;&lt;contributors&gt;&lt;authors&gt;&lt;author&gt;U.S. Office of Management and Budget (OMB),&lt;/author&gt;&lt;/authors&gt;&lt;/contributors&gt;&lt;titles&gt;&lt;title&gt;2015 Report to Congress on the Benefits and Costs of Federal Regulations and Agency Compliance with the Unfunded Mandates Reform Act&lt;/title&gt;&lt;/titles&gt;&lt;dates&gt;&lt;year&gt;2015&lt;/year&gt;&lt;/dates&gt;&lt;urls&gt;&lt;/urls&gt;&lt;/record&gt;&lt;/Cite&gt;&lt;/EndNote&gt;</w:instrText>
        </w:r>
        <w:r w:rsidR="003D6084">
          <w:fldChar w:fldCharType="separate"/>
        </w:r>
        <w:r w:rsidRPr="4A8A1481" w:rsidR="003D6084">
          <w:rPr>
            <w:noProof/>
            <w:lang w:val="en-US"/>
          </w:rPr>
          <w:t>OMB 2015</w:t>
        </w:r>
        <w:r w:rsidR="003D6084">
          <w:fldChar w:fldCharType="end"/>
        </w:r>
      </w:hyperlink>
      <w:r w:rsidRPr="4A8A1481">
        <w:rPr>
          <w:lang w:val="en-US"/>
        </w:rPr>
        <w:t>). These movements of workers in and out of jobs in response to environmental regulation are potentially important distributional impacts of interest to policy makers. Of particular concern are transitional job losses experienced by workers operating in declining industries, exhibiting low migration rates, or living in communities or regions where unemployment rates are high. </w:t>
      </w:r>
    </w:p>
    <w:p w:rsidR="00DE10FA" w:rsidRPr="00B27DFA" w:rsidP="00F30239" w14:paraId="3E5BB369" w14:textId="515AABD4">
      <w:pPr>
        <w:pStyle w:val="BodyText"/>
      </w:pPr>
      <w:r w:rsidRPr="4A8A1481">
        <w:rPr>
          <w:lang w:val="en-US"/>
        </w:rPr>
        <w:t xml:space="preserve">Compliance with environmental regulation can result in increased demand for the inputs or factors (including labor) used in the production of environmental protection. However, the regulated sector generally relies on revenues generated by their other market outputs to cover the costs of supplying increased environmental quality. This can lead to reduced demand for labor and other factors of production used to produce the market output. Employment impacts, both positive and negative, in sectors upstream and downstream from the regulated sector, or in sectors producing substitute or complimentary products, may also occur. </w:t>
      </w:r>
    </w:p>
    <w:p w:rsidR="009E04B7" w:rsidP="00503B52" w14:paraId="14AE32A9" w14:textId="15B5E74B">
      <w:pPr>
        <w:pStyle w:val="Heading2"/>
      </w:pPr>
      <w:bookmarkStart w:id="337" w:name="_Ref106033538"/>
      <w:bookmarkStart w:id="338" w:name="_Toc184299532"/>
      <w:bookmarkEnd w:id="336"/>
      <w:r w:rsidRPr="00B56426">
        <w:t>Paperwork Burden Analysis</w:t>
      </w:r>
      <w:bookmarkEnd w:id="337"/>
      <w:bookmarkEnd w:id="338"/>
    </w:p>
    <w:p w:rsidR="006B79B7" w:rsidRPr="0098597E" w:rsidP="006B79B7" w14:paraId="2AABEA87" w14:textId="142DD618">
      <w:pPr>
        <w:pStyle w:val="BodyText"/>
        <w:rPr>
          <w:lang w:val="en-US"/>
        </w:rPr>
      </w:pPr>
      <w:r w:rsidRPr="67084C41">
        <w:rPr>
          <w:lang w:val="en-US"/>
        </w:rPr>
        <w:t xml:space="preserve">This section presents a summary of the burden and associated costs for the respondents associated with the recordkeeping and reporting requirements of the </w:t>
      </w:r>
      <w:r>
        <w:rPr>
          <w:lang w:val="en-US"/>
        </w:rPr>
        <w:t>proposed</w:t>
      </w:r>
      <w:r w:rsidRPr="67084C41">
        <w:rPr>
          <w:lang w:val="en-US"/>
        </w:rPr>
        <w:t xml:space="preserve"> action. It provides the average annual burden and cost estimates for the next three years of the program.</w:t>
      </w:r>
    </w:p>
    <w:p w:rsidR="006B79B7" w:rsidP="006B79B7" w14:paraId="20510D25" w14:textId="7E80A0F8">
      <w:pPr>
        <w:pStyle w:val="BodyText"/>
        <w:rPr>
          <w:lang w:val="en-US"/>
        </w:rPr>
      </w:pPr>
      <w:r w:rsidRPr="25546D4D">
        <w:rPr>
          <w:lang w:val="en-US"/>
        </w:rPr>
        <w:t xml:space="preserve">The paperwork burden and associated costs include the activity types listed below. </w:t>
      </w:r>
    </w:p>
    <w:p w:rsidR="000221DF" w:rsidP="000A3EE5" w14:paraId="1552C864" w14:textId="152EF237">
      <w:pPr>
        <w:pStyle w:val="BulletListAbt"/>
      </w:pPr>
      <w:r>
        <w:t>Rule Familiarization</w:t>
      </w:r>
    </w:p>
    <w:p w:rsidR="00410628" w:rsidP="0064758C" w14:paraId="5841A162" w14:textId="2B15CBFC">
      <w:pPr>
        <w:pStyle w:val="BulletListAbt"/>
        <w:numPr>
          <w:ilvl w:val="1"/>
          <w:numId w:val="7"/>
        </w:numPr>
      </w:pPr>
      <w:r>
        <w:t xml:space="preserve">49,670 entities are assumed to have rule familiarization </w:t>
      </w:r>
      <w:r w:rsidR="001A31C2">
        <w:t xml:space="preserve">costs. Note that this includes entities that only have a rule familiarization burden </w:t>
      </w:r>
      <w:r w:rsidR="00EA5B44">
        <w:t xml:space="preserve">associated with determining that they </w:t>
      </w:r>
      <w:r w:rsidR="7AA39F55">
        <w:t>need not take action to comply with any of the rule’s requirements (they do not manufacture, process or use regulated PV29)</w:t>
      </w:r>
      <w:r w:rsidR="00EA5B44">
        <w:t xml:space="preserve">. These entities are estimated to have a </w:t>
      </w:r>
      <w:r w:rsidR="00453C87">
        <w:t xml:space="preserve">one-time </w:t>
      </w:r>
      <w:r w:rsidR="00EA5B44">
        <w:t>labor burden of 1 hour</w:t>
      </w:r>
      <w:r w:rsidR="00916C09">
        <w:t xml:space="preserve">, with a weighted average wage rate of $97.79 (reflecting a mix of managerial wage rates for </w:t>
      </w:r>
      <w:r w:rsidR="00680E18">
        <w:t>the manufacturing sector</w:t>
      </w:r>
      <w:r w:rsidR="00787364">
        <w:t xml:space="preserve"> ($93.07)</w:t>
      </w:r>
      <w:r w:rsidR="00680E18">
        <w:t>, the trade, transportation and utilities sector</w:t>
      </w:r>
      <w:r w:rsidR="00787364">
        <w:t xml:space="preserve"> ($94.70)</w:t>
      </w:r>
      <w:r w:rsidR="00680E18">
        <w:t xml:space="preserve">, </w:t>
      </w:r>
      <w:r w:rsidR="00787364">
        <w:t>and service sector ($99.58)</w:t>
      </w:r>
      <w:r w:rsidR="00453C87">
        <w:t>.</w:t>
      </w:r>
    </w:p>
    <w:p w:rsidR="000B5F6B" w:rsidP="00453C87" w14:paraId="59B55471" w14:textId="77777777">
      <w:pPr>
        <w:pStyle w:val="BulletListAbt"/>
      </w:pPr>
      <w:r>
        <w:t>Downstream Notification</w:t>
      </w:r>
    </w:p>
    <w:p w:rsidR="00453C87" w:rsidP="0064758C" w14:paraId="42A8A1A9" w14:textId="76E34EF4">
      <w:pPr>
        <w:pStyle w:val="BulletListAbt"/>
        <w:numPr>
          <w:ilvl w:val="1"/>
          <w:numId w:val="7"/>
        </w:numPr>
      </w:pPr>
      <w:r>
        <w:t>One entity is estimated to have downstream notification costs associated with</w:t>
      </w:r>
      <w:r w:rsidR="00CB0123">
        <w:t xml:space="preserve"> a one-time </w:t>
      </w:r>
      <w:r w:rsidR="006335CA">
        <w:t>one-hour</w:t>
      </w:r>
      <w:r w:rsidR="00CB0123">
        <w:t xml:space="preserve"> labor burden </w:t>
      </w:r>
      <w:r w:rsidR="006335CA">
        <w:t xml:space="preserve">at </w:t>
      </w:r>
      <w:r w:rsidR="00CB0123">
        <w:t>the manufacturing managerial wage rate of $93</w:t>
      </w:r>
      <w:r w:rsidR="000B5F6B">
        <w:t>.07.</w:t>
      </w:r>
    </w:p>
    <w:p w:rsidR="000B5F6B" w:rsidP="00453C87" w14:paraId="1F9D67BA" w14:textId="6710CA2B">
      <w:pPr>
        <w:pStyle w:val="BulletListAbt"/>
      </w:pPr>
      <w:r>
        <w:t>Labeling</w:t>
      </w:r>
    </w:p>
    <w:p w:rsidR="004E487E" w:rsidP="0064758C" w14:paraId="345AF5E5" w14:textId="123B90FF">
      <w:pPr>
        <w:pStyle w:val="BulletListAbt"/>
        <w:numPr>
          <w:ilvl w:val="1"/>
          <w:numId w:val="7"/>
        </w:numPr>
      </w:pPr>
      <w:r>
        <w:t xml:space="preserve">The economic analysis </w:t>
      </w:r>
      <w:r w:rsidR="0064152D">
        <w:t xml:space="preserve">includes an </w:t>
      </w:r>
      <w:r>
        <w:t xml:space="preserve">estimated a </w:t>
      </w:r>
      <w:r w:rsidR="0064152D">
        <w:t xml:space="preserve">one-time </w:t>
      </w:r>
      <w:r>
        <w:t>labor cost of $100 to $200</w:t>
      </w:r>
      <w:r>
        <w:t xml:space="preserve"> for one entity for labeling</w:t>
      </w:r>
      <w:r w:rsidR="0064152D">
        <w:t>. For the paperwork reduction act analysis</w:t>
      </w:r>
      <w:r>
        <w:t>,</w:t>
      </w:r>
      <w:r w:rsidR="0064152D">
        <w:t xml:space="preserve"> </w:t>
      </w:r>
      <w:r>
        <w:t xml:space="preserve">it is assumed that this reflects a labor burden </w:t>
      </w:r>
      <w:r w:rsidR="1A8B384D">
        <w:t xml:space="preserve">of 1.61 hours </w:t>
      </w:r>
      <w:r w:rsidR="006335CA">
        <w:t xml:space="preserve">at </w:t>
      </w:r>
      <w:r>
        <w:t>the manufacturing managerial wage rate of $93.07 (i.e., a one</w:t>
      </w:r>
      <w:r w:rsidR="00292731">
        <w:t>-</w:t>
      </w:r>
      <w:r>
        <w:t xml:space="preserve">time labor cost </w:t>
      </w:r>
      <w:r w:rsidR="00292731">
        <w:t>of $150</w:t>
      </w:r>
      <w:r>
        <w:t>).</w:t>
      </w:r>
      <w:r w:rsidR="00292731">
        <w:t xml:space="preserve"> There is also a one</w:t>
      </w:r>
      <w:r w:rsidR="0BC3A5D8">
        <w:t>-</w:t>
      </w:r>
      <w:r w:rsidR="00292731">
        <w:t>time materials cost of $600.</w:t>
      </w:r>
    </w:p>
    <w:p w:rsidR="00FE1DFC" w:rsidP="00292731" w14:paraId="5421D4B6" w14:textId="2AC40A33">
      <w:pPr>
        <w:pStyle w:val="BulletListAbt"/>
      </w:pPr>
      <w:r>
        <w:t>PPE Program</w:t>
      </w:r>
    </w:p>
    <w:p w:rsidR="0008164A" w:rsidP="0064758C" w14:paraId="512D461A" w14:textId="070D88FA">
      <w:pPr>
        <w:pStyle w:val="BulletListAbt"/>
        <w:numPr>
          <w:ilvl w:val="1"/>
          <w:numId w:val="7"/>
        </w:numPr>
      </w:pPr>
      <w:r>
        <w:t xml:space="preserve">There </w:t>
      </w:r>
      <w:r w:rsidR="006C14C7">
        <w:t xml:space="preserve">are 8 respondents with </w:t>
      </w:r>
      <w:r>
        <w:t>a</w:t>
      </w:r>
      <w:r w:rsidR="006C14C7">
        <w:t>n</w:t>
      </w:r>
      <w:r>
        <w:t xml:space="preserve"> </w:t>
      </w:r>
      <w:r w:rsidR="00D861C3">
        <w:t>8-hour</w:t>
      </w:r>
      <w:r>
        <w:t xml:space="preserve"> initial </w:t>
      </w:r>
      <w:r w:rsidR="006C14C7">
        <w:t>labor burden</w:t>
      </w:r>
      <w:r>
        <w:t xml:space="preserve"> for establishing </w:t>
      </w:r>
      <w:r w:rsidR="006C14C7">
        <w:t xml:space="preserve">a PPE program and a </w:t>
      </w:r>
      <w:r w:rsidR="0060094E">
        <w:t>2</w:t>
      </w:r>
      <w:r w:rsidR="00D861C3">
        <w:t>-</w:t>
      </w:r>
      <w:r w:rsidR="0060094E">
        <w:t>hour annually recurring labor burden. The labor cost is estimated using the industrial hygienist wage rate of $74</w:t>
      </w:r>
      <w:r w:rsidR="00781EF2">
        <w:t>.12</w:t>
      </w:r>
      <w:r w:rsidR="000C69E7">
        <w:t xml:space="preserve"> (</w:t>
      </w:r>
      <w:hyperlink w:anchor="_ENREF_1" w:tooltip="Abt Global, 2024 #1" w:history="1">
        <w:r w:rsidR="003D6084">
          <w:fldChar w:fldCharType="begin" w:fldLock="1"/>
        </w:r>
        <w:r w:rsidR="003D6084">
          <w:instrText xml:space="preserve"> ADDIN EN.CITE &lt;EndNote&gt;&lt;Cite&gt;&lt;Author&gt;Abt Global&lt;/Author&gt;&lt;Year&gt;2024&lt;/Year&gt;&lt;RecNum&gt;1&lt;/RecNum&gt;&lt;DisplayText&gt;Abt Global 2024&lt;/DisplayText&gt;&lt;record&gt;&lt;rec-number&gt;1&lt;/rec-number&gt;&lt;foreign-keys&gt;&lt;key app="EN" db-id="2apzr05radv9fjet2w6xxwdlz5e9vwfxredw" timestamp="1730757315"&gt;1&lt;/key&gt;&lt;/foreign-keys&gt;&lt;ref-type name="Report"&gt;27&lt;/ref-type&gt;&lt;contributors&gt;&lt;authors&gt;&lt;author&gt;Abt Global,&lt;/author&gt;&lt;/authors&gt;&lt;/contributors&gt;&lt;titles&gt;&lt;title&gt;Estimated Costs for Respirator PPE for TSCA Risk Management Economic Analyses &lt;/title&gt;&lt;/titles&gt;&lt;dates&gt;&lt;year&gt;2024&lt;/year&gt;&lt;/dates&gt;&lt;publisher&gt;Submitted to U.S. EPA Economic and Policy Analysis Branch&lt;/publisher&gt;&lt;urls&gt;&lt;/urls&gt;&lt;/record&gt;&lt;/Cite&gt;&lt;/EndNote&gt;</w:instrText>
        </w:r>
        <w:r w:rsidR="003D6084">
          <w:fldChar w:fldCharType="separate"/>
        </w:r>
        <w:r w:rsidR="003D6084">
          <w:rPr>
            <w:noProof/>
          </w:rPr>
          <w:t>Abt Global 2024</w:t>
        </w:r>
        <w:r w:rsidR="003D6084">
          <w:fldChar w:fldCharType="end"/>
        </w:r>
      </w:hyperlink>
      <w:r w:rsidR="000C69E7">
        <w:t>)</w:t>
      </w:r>
      <w:r w:rsidR="00B17548">
        <w:t>.</w:t>
      </w:r>
    </w:p>
    <w:p w:rsidR="007F6362" w:rsidP="007F6362" w14:paraId="12D38320" w14:textId="011AC7F2">
      <w:pPr>
        <w:pStyle w:val="BulletListAbt"/>
      </w:pPr>
      <w:r>
        <w:t>Equipment and Area Cleaning Recordkeeping</w:t>
      </w:r>
    </w:p>
    <w:p w:rsidR="007F6362" w:rsidP="0E4AE1FD" w14:paraId="5D5230C5" w14:textId="11CC5BDE">
      <w:pPr>
        <w:pStyle w:val="BulletListAbt"/>
      </w:pPr>
      <w:r>
        <w:t xml:space="preserve">There are 22 respondents with an initial managerial labor burden of 4 hours and a production worker </w:t>
      </w:r>
      <w:r w:rsidR="6A5526F3">
        <w:t>annual labor burden of 15 minutes</w:t>
      </w:r>
      <w:r w:rsidR="6D32E994">
        <w:t xml:space="preserve"> per week</w:t>
      </w:r>
      <w:r w:rsidR="3D890411">
        <w:t xml:space="preserve"> (or 13 hours per year)</w:t>
      </w:r>
      <w:r w:rsidR="6A5526F3">
        <w:t>.</w:t>
      </w:r>
      <w:r w:rsidR="3D890411">
        <w:t xml:space="preserve"> The weighted </w:t>
      </w:r>
      <w:r w:rsidR="75030816">
        <w:t xml:space="preserve">average wage reflecting a mix of manufacturing managerial and production worker labor is </w:t>
      </w:r>
      <w:r w:rsidR="7EE55682">
        <w:t>$62.16</w:t>
      </w:r>
      <w:r w:rsidR="3B86AE2A">
        <w:t>.</w:t>
      </w:r>
    </w:p>
    <w:p w:rsidR="00C1322E" w:rsidRPr="0098597E" w:rsidP="00C1322E" w14:paraId="5BEC2E1D" w14:textId="788525C9">
      <w:pPr>
        <w:pStyle w:val="BodyText"/>
      </w:pPr>
      <w:r>
        <w:fldChar w:fldCharType="begin" w:fldLock="1"/>
      </w:r>
      <w:r>
        <w:instrText xml:space="preserve"> REF _Ref181025296 \h </w:instrText>
      </w:r>
      <w:r>
        <w:fldChar w:fldCharType="separate"/>
      </w:r>
      <w:r w:rsidRPr="00C127EE" w:rsidR="00735BBC">
        <w:t xml:space="preserve">Table </w:t>
      </w:r>
      <w:r w:rsidR="00735BBC">
        <w:rPr>
          <w:noProof/>
        </w:rPr>
        <w:t>7</w:t>
      </w:r>
      <w:r w:rsidR="00735BBC">
        <w:noBreakHyphen/>
      </w:r>
      <w:r w:rsidR="00735BBC">
        <w:rPr>
          <w:noProof/>
        </w:rPr>
        <w:t>5</w:t>
      </w:r>
      <w:r>
        <w:fldChar w:fldCharType="end"/>
      </w:r>
      <w:r w:rsidR="00B5520D">
        <w:t xml:space="preserve"> </w:t>
      </w:r>
      <w:r w:rsidRPr="67084C41" w:rsidR="00EC79AC">
        <w:rPr>
          <w:lang w:val="en-US"/>
        </w:rPr>
        <w:t xml:space="preserve">presents the summary of the average annual burden hours and costs per facility over the first three years, as well as the three-year total burden hours and costs associated with the primary option. See Chapter </w:t>
      </w:r>
      <w:r w:rsidR="00EC79AC">
        <w:fldChar w:fldCharType="begin" w:fldLock="1"/>
      </w:r>
      <w:r w:rsidR="00EC79AC">
        <w:rPr>
          <w:lang w:val="en-US"/>
        </w:rPr>
        <w:instrText xml:space="preserve"> REF _Ref30142408 \r \h </w:instrText>
      </w:r>
      <w:r w:rsidR="00EC79AC">
        <w:fldChar w:fldCharType="separate"/>
      </w:r>
      <w:r w:rsidR="00735BBC">
        <w:rPr>
          <w:lang w:val="en-US"/>
        </w:rPr>
        <w:t>4</w:t>
      </w:r>
      <w:r w:rsidR="00EC79AC">
        <w:fldChar w:fldCharType="end"/>
      </w:r>
      <w:r w:rsidRPr="67084C41" w:rsidR="00EC79AC">
        <w:rPr>
          <w:lang w:val="en-US"/>
        </w:rPr>
        <w:t xml:space="preserve"> for a more detailed description of how the time burden and wage rates were estimated. The burden and cost estimates provided reflect the figures provided in the accompanying ICR for the rule.</w:t>
      </w:r>
    </w:p>
    <w:tbl>
      <w:tblPr>
        <w:tblW w:w="5000" w:type="pct"/>
        <w:tblLayout w:type="fixed"/>
        <w:tblLook w:val="04A0"/>
      </w:tblPr>
      <w:tblGrid>
        <w:gridCol w:w="1708"/>
        <w:gridCol w:w="902"/>
        <w:gridCol w:w="1170"/>
        <w:gridCol w:w="1260"/>
        <w:gridCol w:w="990"/>
        <w:gridCol w:w="1170"/>
        <w:gridCol w:w="1039"/>
        <w:gridCol w:w="1121"/>
      </w:tblGrid>
      <w:tr w14:paraId="682810CE" w14:textId="77777777" w:rsidTr="0E4AE1FD">
        <w:tblPrEx>
          <w:tblW w:w="5000" w:type="pct"/>
          <w:tblLayout w:type="fixed"/>
          <w:tblLook w:val="04A0"/>
        </w:tblPrEx>
        <w:trPr>
          <w:tblHeader/>
        </w:trPr>
        <w:tc>
          <w:tcPr>
            <w:tcW w:w="5000" w:type="pct"/>
            <w:gridSpan w:val="8"/>
            <w:tcBorders>
              <w:top w:val="nil"/>
              <w:left w:val="nil"/>
              <w:bottom w:val="single" w:sz="4" w:space="0" w:color="auto"/>
              <w:right w:val="nil"/>
            </w:tcBorders>
          </w:tcPr>
          <w:p w:rsidR="005F05FC" w:rsidRPr="00575FE0" w:rsidP="00CA0464" w14:paraId="452CF10B" w14:textId="00F3F068">
            <w:pPr>
              <w:pStyle w:val="TableTitleA"/>
            </w:pPr>
            <w:bookmarkStart w:id="339" w:name="_Ref181025296"/>
            <w:bookmarkStart w:id="340" w:name="_Toc184299601"/>
            <w:r w:rsidRPr="00C127EE">
              <w:t xml:space="preserve">Table </w:t>
            </w:r>
            <w:r>
              <w:fldChar w:fldCharType="begin" w:fldLock="1"/>
            </w:r>
            <w:r>
              <w:instrText>STYLEREF 1 \s</w:instrText>
            </w:r>
            <w:r>
              <w:fldChar w:fldCharType="separate"/>
            </w:r>
            <w:r w:rsidR="00735BBC">
              <w:rPr>
                <w:noProof/>
              </w:rPr>
              <w:t>7</w:t>
            </w:r>
            <w:r>
              <w:fldChar w:fldCharType="end"/>
            </w:r>
            <w:r>
              <w:noBreakHyphen/>
            </w:r>
            <w:r>
              <w:fldChar w:fldCharType="begin" w:fldLock="1"/>
            </w:r>
            <w:r>
              <w:instrText>SEQ Table \* ARABIC \s 1</w:instrText>
            </w:r>
            <w:r>
              <w:fldChar w:fldCharType="separate"/>
            </w:r>
            <w:r w:rsidR="00735BBC">
              <w:rPr>
                <w:noProof/>
              </w:rPr>
              <w:t>5</w:t>
            </w:r>
            <w:r>
              <w:fldChar w:fldCharType="end"/>
            </w:r>
            <w:bookmarkEnd w:id="339"/>
            <w:r w:rsidRPr="00C127EE">
              <w:t xml:space="preserve">: </w:t>
            </w:r>
            <w:r w:rsidRPr="00B5520D" w:rsidR="00B5520D">
              <w:t>Summary of Three Year Average Incremental Burden Hours and Costs for Primary Option (2023$)</w:t>
            </w:r>
            <w:bookmarkEnd w:id="340"/>
          </w:p>
        </w:tc>
      </w:tr>
      <w:tr w14:paraId="117EFE5E" w14:textId="77777777" w:rsidTr="0E4AE1FD">
        <w:tblPrEx>
          <w:tblW w:w="5000" w:type="pct"/>
          <w:tblLayout w:type="fixed"/>
          <w:tblLook w:val="04A0"/>
        </w:tblPrEx>
        <w:trPr>
          <w:tblHeader/>
        </w:trPr>
        <w:tc>
          <w:tcPr>
            <w:tcW w:w="912" w:type="pct"/>
            <w:tcBorders>
              <w:left w:val="single" w:sz="4" w:space="0" w:color="auto"/>
              <w:bottom w:val="single" w:sz="4" w:space="0" w:color="auto"/>
              <w:right w:val="single" w:sz="4" w:space="0" w:color="auto"/>
            </w:tcBorders>
            <w:shd w:val="clear" w:color="auto" w:fill="013E5B"/>
            <w:tcMar>
              <w:left w:w="43" w:type="dxa"/>
              <w:right w:w="43" w:type="dxa"/>
            </w:tcMar>
            <w:vAlign w:val="center"/>
          </w:tcPr>
          <w:p w:rsidR="005F05FC" w:rsidRPr="008A0457" w:rsidP="00CA0464" w14:paraId="6419988F" w14:textId="77777777">
            <w:pPr>
              <w:pStyle w:val="TableSubtitle"/>
            </w:pPr>
            <w:r w:rsidRPr="008A0457">
              <w:t>Activity</w:t>
            </w:r>
          </w:p>
        </w:tc>
        <w:tc>
          <w:tcPr>
            <w:tcW w:w="482" w:type="pct"/>
            <w:tcBorders>
              <w:left w:val="single" w:sz="4" w:space="0" w:color="auto"/>
              <w:bottom w:val="single" w:sz="4" w:space="0" w:color="auto"/>
              <w:right w:val="single" w:sz="4" w:space="0" w:color="auto"/>
            </w:tcBorders>
            <w:shd w:val="clear" w:color="auto" w:fill="013E5B"/>
            <w:tcMar>
              <w:left w:w="43" w:type="dxa"/>
              <w:right w:w="43" w:type="dxa"/>
            </w:tcMar>
            <w:vAlign w:val="center"/>
          </w:tcPr>
          <w:p w:rsidR="005F05FC" w:rsidRPr="008A0457" w:rsidP="00CA0464" w14:paraId="44FE8B1A" w14:textId="77777777">
            <w:pPr>
              <w:pStyle w:val="TableSubtitle"/>
            </w:pPr>
            <w:r w:rsidRPr="008A0457">
              <w:t>Number of Respondents</w:t>
            </w:r>
          </w:p>
        </w:tc>
        <w:tc>
          <w:tcPr>
            <w:tcW w:w="625" w:type="pct"/>
            <w:tcBorders>
              <w:left w:val="single" w:sz="4" w:space="0" w:color="auto"/>
              <w:bottom w:val="single" w:sz="4" w:space="0" w:color="auto"/>
              <w:right w:val="single" w:sz="4" w:space="0" w:color="auto"/>
            </w:tcBorders>
            <w:shd w:val="clear" w:color="auto" w:fill="013E5B"/>
            <w:tcMar>
              <w:left w:w="43" w:type="dxa"/>
              <w:right w:w="43" w:type="dxa"/>
            </w:tcMar>
            <w:vAlign w:val="center"/>
          </w:tcPr>
          <w:p w:rsidR="005F05FC" w:rsidRPr="00575FE0" w:rsidP="00CA0464" w14:paraId="742B4686" w14:textId="77777777">
            <w:pPr>
              <w:pStyle w:val="TableSubtitle"/>
            </w:pPr>
            <w:r w:rsidRPr="008A0457">
              <w:t>Average Annual Responses Per Respondent</w:t>
            </w:r>
          </w:p>
        </w:tc>
        <w:tc>
          <w:tcPr>
            <w:tcW w:w="673" w:type="pct"/>
            <w:tcBorders>
              <w:left w:val="single" w:sz="4" w:space="0" w:color="auto"/>
              <w:bottom w:val="single" w:sz="4" w:space="0" w:color="auto"/>
              <w:right w:val="single" w:sz="4" w:space="0" w:color="auto"/>
            </w:tcBorders>
            <w:shd w:val="clear" w:color="auto" w:fill="013E5B"/>
            <w:tcMar>
              <w:left w:w="43" w:type="dxa"/>
              <w:right w:w="43" w:type="dxa"/>
            </w:tcMar>
            <w:vAlign w:val="center"/>
          </w:tcPr>
          <w:p w:rsidR="005F05FC" w:rsidRPr="00575FE0" w:rsidP="00CA0464" w14:paraId="3B3D79F7" w14:textId="77777777">
            <w:pPr>
              <w:pStyle w:val="TableSubtitle"/>
            </w:pPr>
            <w:r w:rsidRPr="008A0457">
              <w:t>Average Annual Burden Per Respondent</w:t>
            </w:r>
          </w:p>
        </w:tc>
        <w:tc>
          <w:tcPr>
            <w:tcW w:w="529" w:type="pct"/>
            <w:tcBorders>
              <w:left w:val="single" w:sz="4" w:space="0" w:color="auto"/>
              <w:bottom w:val="single" w:sz="4" w:space="0" w:color="auto"/>
              <w:right w:val="single" w:sz="4" w:space="0" w:color="auto"/>
            </w:tcBorders>
            <w:shd w:val="clear" w:color="auto" w:fill="013E5B"/>
            <w:tcMar>
              <w:left w:w="43" w:type="dxa"/>
              <w:right w:w="43" w:type="dxa"/>
            </w:tcMar>
            <w:vAlign w:val="center"/>
          </w:tcPr>
          <w:p w:rsidR="005F05FC" w:rsidRPr="00575FE0" w:rsidP="00CA0464" w14:paraId="407CD92A" w14:textId="77777777">
            <w:pPr>
              <w:pStyle w:val="TableSubtitle"/>
            </w:pPr>
            <w:r w:rsidRPr="00575FE0">
              <w:t xml:space="preserve">Average </w:t>
            </w:r>
            <w:r w:rsidRPr="008A0457">
              <w:t>Annual Total Labor</w:t>
            </w:r>
            <w:r w:rsidRPr="00575FE0">
              <w:t xml:space="preserve"> Burden</w:t>
            </w:r>
          </w:p>
        </w:tc>
        <w:tc>
          <w:tcPr>
            <w:tcW w:w="625" w:type="pct"/>
            <w:tcBorders>
              <w:top w:val="single" w:sz="4" w:space="0" w:color="auto"/>
              <w:left w:val="single" w:sz="4" w:space="0" w:color="auto"/>
              <w:bottom w:val="single" w:sz="4" w:space="0" w:color="auto"/>
              <w:right w:val="single" w:sz="4" w:space="0" w:color="auto"/>
            </w:tcBorders>
            <w:shd w:val="clear" w:color="auto" w:fill="013E5B"/>
            <w:tcMar>
              <w:left w:w="43" w:type="dxa"/>
              <w:right w:w="43" w:type="dxa"/>
            </w:tcMar>
            <w:vAlign w:val="center"/>
          </w:tcPr>
          <w:p w:rsidR="005F05FC" w:rsidRPr="00575FE0" w:rsidP="00CA0464" w14:paraId="10A3F155" w14:textId="77777777">
            <w:pPr>
              <w:pStyle w:val="TableSubtitle"/>
            </w:pPr>
            <w:r w:rsidRPr="008A0457">
              <w:t>Average Annual Total Labor Costs</w:t>
            </w:r>
          </w:p>
        </w:tc>
        <w:tc>
          <w:tcPr>
            <w:tcW w:w="555" w:type="pct"/>
            <w:tcBorders>
              <w:top w:val="single" w:sz="4" w:space="0" w:color="auto"/>
              <w:left w:val="single" w:sz="4" w:space="0" w:color="auto"/>
              <w:bottom w:val="single" w:sz="4" w:space="0" w:color="auto"/>
              <w:right w:val="single" w:sz="4" w:space="0" w:color="auto"/>
            </w:tcBorders>
            <w:shd w:val="clear" w:color="auto" w:fill="013E5B"/>
            <w:tcMar>
              <w:left w:w="43" w:type="dxa"/>
              <w:right w:w="43" w:type="dxa"/>
            </w:tcMar>
            <w:vAlign w:val="center"/>
          </w:tcPr>
          <w:p w:rsidR="005F05FC" w:rsidRPr="00575FE0" w:rsidP="00CA0464" w14:paraId="7C6E11E2" w14:textId="77777777">
            <w:pPr>
              <w:pStyle w:val="TableSubtitle"/>
            </w:pPr>
            <w:r w:rsidRPr="008A0457">
              <w:t>Average Annual Total Non-Labor Costs</w:t>
            </w:r>
          </w:p>
        </w:tc>
        <w:tc>
          <w:tcPr>
            <w:tcW w:w="599" w:type="pct"/>
            <w:tcBorders>
              <w:top w:val="single" w:sz="4" w:space="0" w:color="auto"/>
              <w:left w:val="single" w:sz="4" w:space="0" w:color="auto"/>
              <w:bottom w:val="single" w:sz="4" w:space="0" w:color="auto"/>
              <w:right w:val="single" w:sz="4" w:space="0" w:color="auto"/>
            </w:tcBorders>
            <w:shd w:val="clear" w:color="auto" w:fill="013E5B"/>
            <w:tcMar>
              <w:left w:w="43" w:type="dxa"/>
              <w:right w:w="43" w:type="dxa"/>
            </w:tcMar>
            <w:vAlign w:val="center"/>
          </w:tcPr>
          <w:p w:rsidR="005F05FC" w:rsidRPr="00575FE0" w:rsidP="00CA0464" w14:paraId="25B0FA4C" w14:textId="77777777">
            <w:pPr>
              <w:pStyle w:val="TableSubtitle"/>
            </w:pPr>
            <w:r w:rsidRPr="008A0457">
              <w:t>Average Annual Total Costs</w:t>
            </w:r>
          </w:p>
        </w:tc>
      </w:tr>
      <w:tr w14:paraId="15C40B70" w14:textId="77777777" w:rsidTr="0E4AE1FD">
        <w:tblPrEx>
          <w:tblW w:w="5000" w:type="pct"/>
          <w:tblLayout w:type="fixed"/>
          <w:tblLook w:val="04A0"/>
        </w:tblPrEx>
        <w:tc>
          <w:tcPr>
            <w:tcW w:w="912" w:type="pct"/>
            <w:tcBorders>
              <w:top w:val="single" w:sz="4" w:space="0" w:color="auto"/>
              <w:left w:val="single" w:sz="4" w:space="0" w:color="auto"/>
              <w:bottom w:val="single" w:sz="4" w:space="0" w:color="auto"/>
              <w:right w:val="single" w:sz="4" w:space="0" w:color="auto"/>
            </w:tcBorders>
            <w:vAlign w:val="center"/>
          </w:tcPr>
          <w:p w:rsidR="005F05FC" w:rsidP="00CA0464" w14:paraId="4FF11DEF" w14:textId="77777777">
            <w:pPr>
              <w:pStyle w:val="LTableTextAbt"/>
            </w:pPr>
            <w:r>
              <w:t>Agency Burden</w:t>
            </w:r>
          </w:p>
        </w:tc>
        <w:tc>
          <w:tcPr>
            <w:tcW w:w="482" w:type="pct"/>
            <w:tcBorders>
              <w:top w:val="single" w:sz="4" w:space="0" w:color="auto"/>
              <w:left w:val="single" w:sz="4" w:space="0" w:color="auto"/>
              <w:bottom w:val="single" w:sz="4" w:space="0" w:color="auto"/>
              <w:right w:val="single" w:sz="4" w:space="0" w:color="auto"/>
            </w:tcBorders>
            <w:vAlign w:val="center"/>
          </w:tcPr>
          <w:p w:rsidR="005F05FC" w:rsidP="00CA0464" w14:paraId="70164618" w14:textId="77777777">
            <w:pPr>
              <w:pStyle w:val="LTableTextAbt"/>
              <w:jc w:val="right"/>
            </w:pPr>
            <w:r>
              <w:t>-</w:t>
            </w:r>
          </w:p>
        </w:tc>
        <w:tc>
          <w:tcPr>
            <w:tcW w:w="625" w:type="pct"/>
            <w:tcBorders>
              <w:top w:val="single" w:sz="4" w:space="0" w:color="auto"/>
              <w:left w:val="single" w:sz="4" w:space="0" w:color="auto"/>
              <w:bottom w:val="single" w:sz="4" w:space="0" w:color="auto"/>
              <w:right w:val="single" w:sz="4" w:space="0" w:color="auto"/>
            </w:tcBorders>
            <w:vAlign w:val="center"/>
          </w:tcPr>
          <w:p w:rsidR="005F05FC" w:rsidRPr="003C2933" w:rsidP="00CA0464" w14:paraId="218BF29E" w14:textId="77777777">
            <w:pPr>
              <w:pStyle w:val="LTableTextAbt"/>
              <w:jc w:val="right"/>
            </w:pPr>
            <w:r>
              <w:t>-</w:t>
            </w:r>
          </w:p>
        </w:tc>
        <w:tc>
          <w:tcPr>
            <w:tcW w:w="673" w:type="pct"/>
            <w:tcBorders>
              <w:top w:val="single" w:sz="4" w:space="0" w:color="auto"/>
              <w:left w:val="single" w:sz="4" w:space="0" w:color="auto"/>
              <w:bottom w:val="single" w:sz="4" w:space="0" w:color="auto"/>
              <w:right w:val="single" w:sz="4" w:space="0" w:color="auto"/>
            </w:tcBorders>
            <w:vAlign w:val="center"/>
          </w:tcPr>
          <w:p w:rsidR="005F05FC" w:rsidRPr="00654B9B" w:rsidP="00CA0464" w14:paraId="10E76075" w14:textId="77777777">
            <w:pPr>
              <w:pStyle w:val="RTableTextAbt"/>
            </w:pPr>
            <w:r>
              <w:rPr>
                <w:szCs w:val="18"/>
              </w:rPr>
              <w:t>-</w:t>
            </w:r>
          </w:p>
        </w:tc>
        <w:tc>
          <w:tcPr>
            <w:tcW w:w="529" w:type="pct"/>
            <w:tcBorders>
              <w:top w:val="single" w:sz="4" w:space="0" w:color="auto"/>
              <w:left w:val="single" w:sz="4" w:space="0" w:color="auto"/>
              <w:bottom w:val="single" w:sz="4" w:space="0" w:color="auto"/>
              <w:right w:val="single" w:sz="4" w:space="0" w:color="auto"/>
            </w:tcBorders>
            <w:vAlign w:val="center"/>
          </w:tcPr>
          <w:p w:rsidR="005F05FC" w:rsidRPr="00654B9B" w:rsidP="00CA0464" w14:paraId="176C1FCE" w14:textId="77777777">
            <w:pPr>
              <w:pStyle w:val="RTableTextAbt"/>
            </w:pPr>
            <w:r>
              <w:rPr>
                <w:szCs w:val="18"/>
              </w:rPr>
              <w:t>-</w:t>
            </w:r>
          </w:p>
        </w:tc>
        <w:tc>
          <w:tcPr>
            <w:tcW w:w="625" w:type="pct"/>
            <w:tcBorders>
              <w:top w:val="single" w:sz="4" w:space="0" w:color="auto"/>
              <w:left w:val="single" w:sz="4" w:space="0" w:color="auto"/>
              <w:bottom w:val="single" w:sz="4" w:space="0" w:color="auto"/>
              <w:right w:val="single" w:sz="4" w:space="0" w:color="auto"/>
            </w:tcBorders>
            <w:vAlign w:val="center"/>
          </w:tcPr>
          <w:p w:rsidR="005F05FC" w:rsidRPr="00654B9B" w:rsidP="00CA0464" w14:paraId="2A0CD743" w14:textId="77777777">
            <w:pPr>
              <w:pStyle w:val="RTableTextAbt"/>
            </w:pPr>
            <w:r>
              <w:rPr>
                <w:szCs w:val="18"/>
              </w:rPr>
              <w:t>-</w:t>
            </w:r>
          </w:p>
        </w:tc>
        <w:tc>
          <w:tcPr>
            <w:tcW w:w="555" w:type="pct"/>
            <w:tcBorders>
              <w:top w:val="single" w:sz="4" w:space="0" w:color="auto"/>
              <w:left w:val="single" w:sz="4" w:space="0" w:color="auto"/>
              <w:bottom w:val="single" w:sz="4" w:space="0" w:color="auto"/>
              <w:right w:val="single" w:sz="4" w:space="0" w:color="auto"/>
            </w:tcBorders>
            <w:vAlign w:val="center"/>
          </w:tcPr>
          <w:p w:rsidR="005F05FC" w:rsidRPr="00654B9B" w:rsidP="00CA0464" w14:paraId="49AAEC5F" w14:textId="77777777">
            <w:pPr>
              <w:pStyle w:val="RTableTextAbt"/>
            </w:pPr>
            <w:r>
              <w:rPr>
                <w:szCs w:val="18"/>
              </w:rPr>
              <w:t>-</w:t>
            </w:r>
          </w:p>
        </w:tc>
        <w:tc>
          <w:tcPr>
            <w:tcW w:w="599" w:type="pct"/>
            <w:tcBorders>
              <w:top w:val="single" w:sz="4" w:space="0" w:color="auto"/>
              <w:left w:val="single" w:sz="4" w:space="0" w:color="auto"/>
              <w:bottom w:val="single" w:sz="4" w:space="0" w:color="auto"/>
              <w:right w:val="single" w:sz="4" w:space="0" w:color="auto"/>
            </w:tcBorders>
            <w:vAlign w:val="center"/>
          </w:tcPr>
          <w:p w:rsidR="005F05FC" w:rsidRPr="00654B9B" w:rsidP="00CA0464" w14:paraId="3D3AD9D8" w14:textId="77777777">
            <w:pPr>
              <w:pStyle w:val="RTableTextAbt"/>
            </w:pPr>
            <w:r>
              <w:rPr>
                <w:szCs w:val="18"/>
              </w:rPr>
              <w:t>-</w:t>
            </w:r>
          </w:p>
        </w:tc>
      </w:tr>
      <w:tr w14:paraId="5AF0A43C" w14:textId="77777777" w:rsidTr="0E4AE1FD">
        <w:tblPrEx>
          <w:tblW w:w="5000" w:type="pct"/>
          <w:tblLayout w:type="fixed"/>
          <w:tblLook w:val="04A0"/>
        </w:tblPrEx>
        <w:tc>
          <w:tcPr>
            <w:tcW w:w="912" w:type="pct"/>
            <w:tcBorders>
              <w:top w:val="single" w:sz="4" w:space="0" w:color="auto"/>
              <w:left w:val="single" w:sz="4" w:space="0" w:color="auto"/>
              <w:bottom w:val="single" w:sz="4" w:space="0" w:color="auto"/>
              <w:right w:val="single" w:sz="4" w:space="0" w:color="auto"/>
            </w:tcBorders>
            <w:vAlign w:val="center"/>
          </w:tcPr>
          <w:p w:rsidR="00C1322E" w:rsidP="00C1322E" w14:paraId="1CF7849B" w14:textId="383A5F10">
            <w:pPr>
              <w:pStyle w:val="LTableTextAbt"/>
            </w:pPr>
            <w:r>
              <w:rPr>
                <w:szCs w:val="18"/>
              </w:rPr>
              <w:t>Rule Familiarization</w:t>
            </w:r>
          </w:p>
        </w:tc>
        <w:tc>
          <w:tcPr>
            <w:tcW w:w="482" w:type="pct"/>
            <w:tcBorders>
              <w:top w:val="single" w:sz="4" w:space="0" w:color="auto"/>
              <w:left w:val="single" w:sz="4" w:space="0" w:color="auto"/>
              <w:bottom w:val="single" w:sz="4" w:space="0" w:color="auto"/>
              <w:right w:val="single" w:sz="4" w:space="0" w:color="auto"/>
            </w:tcBorders>
            <w:vAlign w:val="center"/>
          </w:tcPr>
          <w:p w:rsidR="00C1322E" w:rsidP="00C1322E" w14:paraId="5EA6FBA2" w14:textId="4E2FFE4F">
            <w:pPr>
              <w:pStyle w:val="LTableTextAbt"/>
              <w:jc w:val="right"/>
            </w:pPr>
            <w:r>
              <w:rPr>
                <w:szCs w:val="18"/>
              </w:rPr>
              <w:t>49,670</w:t>
            </w:r>
          </w:p>
        </w:tc>
        <w:tc>
          <w:tcPr>
            <w:tcW w:w="625" w:type="pct"/>
            <w:tcBorders>
              <w:top w:val="single" w:sz="4" w:space="0" w:color="auto"/>
              <w:left w:val="single" w:sz="4" w:space="0" w:color="auto"/>
              <w:bottom w:val="single" w:sz="4" w:space="0" w:color="auto"/>
              <w:right w:val="single" w:sz="4" w:space="0" w:color="auto"/>
            </w:tcBorders>
            <w:vAlign w:val="center"/>
          </w:tcPr>
          <w:p w:rsidR="00C1322E" w:rsidRPr="003C2933" w:rsidP="00C1322E" w14:paraId="47106113" w14:textId="745EFBEB">
            <w:pPr>
              <w:pStyle w:val="LTableTextAbt"/>
              <w:jc w:val="right"/>
            </w:pPr>
            <w:r>
              <w:rPr>
                <w:szCs w:val="18"/>
              </w:rPr>
              <w:t>0.33</w:t>
            </w:r>
          </w:p>
        </w:tc>
        <w:tc>
          <w:tcPr>
            <w:tcW w:w="673" w:type="pct"/>
            <w:tcBorders>
              <w:top w:val="single" w:sz="4" w:space="0" w:color="auto"/>
              <w:left w:val="single" w:sz="4" w:space="0" w:color="auto"/>
              <w:bottom w:val="single" w:sz="4" w:space="0" w:color="auto"/>
              <w:right w:val="single" w:sz="4" w:space="0" w:color="auto"/>
            </w:tcBorders>
            <w:vAlign w:val="center"/>
          </w:tcPr>
          <w:p w:rsidR="00C1322E" w:rsidRPr="00654B9B" w:rsidP="00C1322E" w14:paraId="5A68ECF8" w14:textId="0928FA01">
            <w:pPr>
              <w:pStyle w:val="RTableTextAbt"/>
            </w:pPr>
            <w:r>
              <w:rPr>
                <w:szCs w:val="18"/>
              </w:rPr>
              <w:t>0.33</w:t>
            </w:r>
          </w:p>
        </w:tc>
        <w:tc>
          <w:tcPr>
            <w:tcW w:w="529" w:type="pct"/>
            <w:tcBorders>
              <w:top w:val="single" w:sz="4" w:space="0" w:color="auto"/>
              <w:left w:val="single" w:sz="4" w:space="0" w:color="auto"/>
              <w:bottom w:val="single" w:sz="4" w:space="0" w:color="auto"/>
              <w:right w:val="single" w:sz="4" w:space="0" w:color="auto"/>
            </w:tcBorders>
            <w:vAlign w:val="center"/>
          </w:tcPr>
          <w:p w:rsidR="00C1322E" w:rsidRPr="00654B9B" w:rsidP="00C1322E" w14:paraId="0657C27C" w14:textId="3AAA4E03">
            <w:pPr>
              <w:pStyle w:val="RTableTextAbt"/>
            </w:pPr>
            <w:r>
              <w:rPr>
                <w:szCs w:val="18"/>
              </w:rPr>
              <w:t>16,557</w:t>
            </w:r>
          </w:p>
        </w:tc>
        <w:tc>
          <w:tcPr>
            <w:tcW w:w="625" w:type="pct"/>
            <w:tcBorders>
              <w:top w:val="single" w:sz="4" w:space="0" w:color="auto"/>
              <w:left w:val="single" w:sz="4" w:space="0" w:color="auto"/>
              <w:bottom w:val="single" w:sz="4" w:space="0" w:color="auto"/>
              <w:right w:val="single" w:sz="4" w:space="0" w:color="auto"/>
            </w:tcBorders>
            <w:vAlign w:val="center"/>
          </w:tcPr>
          <w:p w:rsidR="00C1322E" w:rsidRPr="00654B9B" w:rsidP="00C1322E" w14:paraId="6FCCC119" w14:textId="64E83527">
            <w:pPr>
              <w:pStyle w:val="RTableTextAbt"/>
            </w:pPr>
            <w:r>
              <w:rPr>
                <w:szCs w:val="18"/>
              </w:rPr>
              <w:t xml:space="preserve">$1,619,063 </w:t>
            </w:r>
          </w:p>
        </w:tc>
        <w:tc>
          <w:tcPr>
            <w:tcW w:w="555" w:type="pct"/>
            <w:tcBorders>
              <w:top w:val="single" w:sz="4" w:space="0" w:color="auto"/>
              <w:left w:val="single" w:sz="4" w:space="0" w:color="auto"/>
              <w:bottom w:val="single" w:sz="4" w:space="0" w:color="auto"/>
              <w:right w:val="single" w:sz="4" w:space="0" w:color="auto"/>
            </w:tcBorders>
            <w:vAlign w:val="center"/>
          </w:tcPr>
          <w:p w:rsidR="00C1322E" w:rsidRPr="00654B9B" w:rsidP="00C1322E" w14:paraId="1D18C2D0" w14:textId="5BFC5E20">
            <w:pPr>
              <w:pStyle w:val="RTableTextAbt"/>
            </w:pPr>
            <w:r>
              <w:rPr>
                <w:szCs w:val="18"/>
              </w:rPr>
              <w:t>-</w:t>
            </w:r>
            <w:r>
              <w:rPr>
                <w:szCs w:val="18"/>
              </w:rPr>
              <w:t> </w:t>
            </w:r>
          </w:p>
        </w:tc>
        <w:tc>
          <w:tcPr>
            <w:tcW w:w="599" w:type="pct"/>
            <w:tcBorders>
              <w:top w:val="single" w:sz="4" w:space="0" w:color="auto"/>
              <w:left w:val="single" w:sz="4" w:space="0" w:color="auto"/>
              <w:bottom w:val="single" w:sz="4" w:space="0" w:color="auto"/>
              <w:right w:val="single" w:sz="4" w:space="0" w:color="auto"/>
            </w:tcBorders>
            <w:vAlign w:val="center"/>
          </w:tcPr>
          <w:p w:rsidR="00C1322E" w:rsidRPr="00654B9B" w:rsidP="00C1322E" w14:paraId="59F65A3C" w14:textId="33661A60">
            <w:pPr>
              <w:pStyle w:val="RTableTextAbt"/>
            </w:pPr>
            <w:r>
              <w:rPr>
                <w:szCs w:val="18"/>
              </w:rPr>
              <w:t xml:space="preserve">$1,619,063 </w:t>
            </w:r>
          </w:p>
        </w:tc>
      </w:tr>
      <w:tr w14:paraId="1057DE0A" w14:textId="77777777" w:rsidTr="0E4AE1FD">
        <w:tblPrEx>
          <w:tblW w:w="5000" w:type="pct"/>
          <w:tblLayout w:type="fixed"/>
          <w:tblLook w:val="04A0"/>
        </w:tblPrEx>
        <w:tc>
          <w:tcPr>
            <w:tcW w:w="912" w:type="pct"/>
            <w:tcBorders>
              <w:top w:val="single" w:sz="4" w:space="0" w:color="auto"/>
              <w:left w:val="single" w:sz="4" w:space="0" w:color="auto"/>
              <w:bottom w:val="single" w:sz="4" w:space="0" w:color="auto"/>
              <w:right w:val="single" w:sz="4" w:space="0" w:color="auto"/>
            </w:tcBorders>
            <w:vAlign w:val="center"/>
          </w:tcPr>
          <w:p w:rsidR="00C1322E" w:rsidP="00C1322E" w14:paraId="5CD975F9" w14:textId="1FED0431">
            <w:pPr>
              <w:pStyle w:val="LTableTextAbt"/>
            </w:pPr>
            <w:r>
              <w:rPr>
                <w:szCs w:val="18"/>
              </w:rPr>
              <w:t>Downstream Notification</w:t>
            </w:r>
          </w:p>
        </w:tc>
        <w:tc>
          <w:tcPr>
            <w:tcW w:w="482" w:type="pct"/>
            <w:tcBorders>
              <w:top w:val="single" w:sz="4" w:space="0" w:color="auto"/>
              <w:left w:val="single" w:sz="4" w:space="0" w:color="auto"/>
              <w:bottom w:val="single" w:sz="4" w:space="0" w:color="auto"/>
              <w:right w:val="single" w:sz="4" w:space="0" w:color="auto"/>
            </w:tcBorders>
            <w:vAlign w:val="center"/>
          </w:tcPr>
          <w:p w:rsidR="00C1322E" w:rsidP="00C1322E" w14:paraId="1D8FCC0B" w14:textId="75D983C5">
            <w:pPr>
              <w:pStyle w:val="LTableTextAbt"/>
              <w:jc w:val="right"/>
            </w:pPr>
            <w:r>
              <w:rPr>
                <w:szCs w:val="18"/>
              </w:rPr>
              <w:t>1</w:t>
            </w:r>
          </w:p>
        </w:tc>
        <w:tc>
          <w:tcPr>
            <w:tcW w:w="625" w:type="pct"/>
            <w:tcBorders>
              <w:top w:val="single" w:sz="4" w:space="0" w:color="auto"/>
              <w:left w:val="single" w:sz="4" w:space="0" w:color="auto"/>
              <w:bottom w:val="single" w:sz="4" w:space="0" w:color="auto"/>
              <w:right w:val="single" w:sz="4" w:space="0" w:color="auto"/>
            </w:tcBorders>
            <w:vAlign w:val="center"/>
          </w:tcPr>
          <w:p w:rsidR="00C1322E" w:rsidRPr="003C2933" w:rsidP="00C1322E" w14:paraId="30937BC4" w14:textId="22B45082">
            <w:pPr>
              <w:pStyle w:val="LTableTextAbt"/>
              <w:jc w:val="right"/>
            </w:pPr>
            <w:r>
              <w:rPr>
                <w:szCs w:val="18"/>
              </w:rPr>
              <w:t>0.33</w:t>
            </w:r>
          </w:p>
        </w:tc>
        <w:tc>
          <w:tcPr>
            <w:tcW w:w="673" w:type="pct"/>
            <w:tcBorders>
              <w:top w:val="single" w:sz="4" w:space="0" w:color="auto"/>
              <w:left w:val="single" w:sz="4" w:space="0" w:color="auto"/>
              <w:bottom w:val="single" w:sz="4" w:space="0" w:color="auto"/>
              <w:right w:val="single" w:sz="4" w:space="0" w:color="auto"/>
            </w:tcBorders>
            <w:vAlign w:val="center"/>
          </w:tcPr>
          <w:p w:rsidR="00C1322E" w:rsidRPr="00654B9B" w:rsidP="00C1322E" w14:paraId="24FFE9C4" w14:textId="4F85D265">
            <w:pPr>
              <w:pStyle w:val="RTableTextAbt"/>
            </w:pPr>
            <w:r>
              <w:rPr>
                <w:szCs w:val="18"/>
              </w:rPr>
              <w:t>0.6</w:t>
            </w:r>
            <w:r w:rsidR="000C2080">
              <w:rPr>
                <w:szCs w:val="18"/>
              </w:rPr>
              <w:t>7</w:t>
            </w:r>
          </w:p>
        </w:tc>
        <w:tc>
          <w:tcPr>
            <w:tcW w:w="529" w:type="pct"/>
            <w:tcBorders>
              <w:top w:val="single" w:sz="4" w:space="0" w:color="auto"/>
              <w:left w:val="single" w:sz="4" w:space="0" w:color="auto"/>
              <w:bottom w:val="single" w:sz="4" w:space="0" w:color="auto"/>
              <w:right w:val="single" w:sz="4" w:space="0" w:color="auto"/>
            </w:tcBorders>
            <w:vAlign w:val="center"/>
          </w:tcPr>
          <w:p w:rsidR="00C1322E" w:rsidRPr="00654B9B" w:rsidP="00C1322E" w14:paraId="08B7DCB2" w14:textId="286F522B">
            <w:pPr>
              <w:pStyle w:val="RTableTextAbt"/>
            </w:pPr>
            <w:r>
              <w:rPr>
                <w:szCs w:val="18"/>
              </w:rPr>
              <w:t>1</w:t>
            </w:r>
          </w:p>
        </w:tc>
        <w:tc>
          <w:tcPr>
            <w:tcW w:w="625" w:type="pct"/>
            <w:tcBorders>
              <w:top w:val="single" w:sz="4" w:space="0" w:color="auto"/>
              <w:left w:val="single" w:sz="4" w:space="0" w:color="auto"/>
              <w:bottom w:val="single" w:sz="4" w:space="0" w:color="auto"/>
              <w:right w:val="single" w:sz="4" w:space="0" w:color="auto"/>
            </w:tcBorders>
            <w:vAlign w:val="center"/>
          </w:tcPr>
          <w:p w:rsidR="00C1322E" w:rsidRPr="00654B9B" w:rsidP="00C1322E" w14:paraId="109A6000" w14:textId="68AA7EC4">
            <w:pPr>
              <w:pStyle w:val="RTableTextAbt"/>
            </w:pPr>
            <w:r>
              <w:rPr>
                <w:szCs w:val="18"/>
              </w:rPr>
              <w:t xml:space="preserve">$62 </w:t>
            </w:r>
          </w:p>
        </w:tc>
        <w:tc>
          <w:tcPr>
            <w:tcW w:w="555" w:type="pct"/>
            <w:tcBorders>
              <w:top w:val="single" w:sz="4" w:space="0" w:color="auto"/>
              <w:left w:val="single" w:sz="4" w:space="0" w:color="auto"/>
              <w:bottom w:val="single" w:sz="4" w:space="0" w:color="auto"/>
              <w:right w:val="single" w:sz="4" w:space="0" w:color="auto"/>
            </w:tcBorders>
            <w:vAlign w:val="center"/>
          </w:tcPr>
          <w:p w:rsidR="00C1322E" w:rsidRPr="00654B9B" w:rsidP="00C1322E" w14:paraId="0D61907B" w14:textId="2CE0DEDE">
            <w:pPr>
              <w:pStyle w:val="RTableTextAbt"/>
            </w:pPr>
            <w:r>
              <w:rPr>
                <w:szCs w:val="18"/>
              </w:rPr>
              <w:t>-</w:t>
            </w:r>
            <w:r>
              <w:rPr>
                <w:szCs w:val="18"/>
              </w:rPr>
              <w:t> </w:t>
            </w:r>
          </w:p>
        </w:tc>
        <w:tc>
          <w:tcPr>
            <w:tcW w:w="599" w:type="pct"/>
            <w:tcBorders>
              <w:top w:val="single" w:sz="4" w:space="0" w:color="auto"/>
              <w:left w:val="single" w:sz="4" w:space="0" w:color="auto"/>
              <w:bottom w:val="single" w:sz="4" w:space="0" w:color="auto"/>
              <w:right w:val="single" w:sz="4" w:space="0" w:color="auto"/>
            </w:tcBorders>
            <w:vAlign w:val="center"/>
          </w:tcPr>
          <w:p w:rsidR="00C1322E" w:rsidRPr="00654B9B" w:rsidP="00C1322E" w14:paraId="72F0862A" w14:textId="497A2CCA">
            <w:pPr>
              <w:pStyle w:val="RTableTextAbt"/>
            </w:pPr>
            <w:r>
              <w:rPr>
                <w:szCs w:val="18"/>
              </w:rPr>
              <w:t xml:space="preserve">$62 </w:t>
            </w:r>
          </w:p>
        </w:tc>
      </w:tr>
      <w:tr w14:paraId="4FE1C317" w14:textId="77777777" w:rsidTr="0E4AE1FD">
        <w:tblPrEx>
          <w:tblW w:w="5000" w:type="pct"/>
          <w:tblLayout w:type="fixed"/>
          <w:tblLook w:val="04A0"/>
        </w:tblPrEx>
        <w:tc>
          <w:tcPr>
            <w:tcW w:w="912" w:type="pct"/>
            <w:tcBorders>
              <w:top w:val="single" w:sz="4" w:space="0" w:color="auto"/>
              <w:left w:val="single" w:sz="4" w:space="0" w:color="auto"/>
              <w:bottom w:val="single" w:sz="4" w:space="0" w:color="auto"/>
              <w:right w:val="single" w:sz="4" w:space="0" w:color="auto"/>
            </w:tcBorders>
            <w:vAlign w:val="center"/>
          </w:tcPr>
          <w:p w:rsidR="00C1322E" w:rsidP="00C1322E" w14:paraId="15EDE4F3" w14:textId="19FE31A5">
            <w:pPr>
              <w:pStyle w:val="LTableTextAbt"/>
            </w:pPr>
            <w:r>
              <w:rPr>
                <w:szCs w:val="18"/>
              </w:rPr>
              <w:t>Labeling</w:t>
            </w:r>
          </w:p>
        </w:tc>
        <w:tc>
          <w:tcPr>
            <w:tcW w:w="482" w:type="pct"/>
            <w:tcBorders>
              <w:top w:val="single" w:sz="4" w:space="0" w:color="auto"/>
              <w:left w:val="single" w:sz="4" w:space="0" w:color="auto"/>
              <w:bottom w:val="single" w:sz="4" w:space="0" w:color="auto"/>
              <w:right w:val="single" w:sz="4" w:space="0" w:color="auto"/>
            </w:tcBorders>
            <w:vAlign w:val="center"/>
          </w:tcPr>
          <w:p w:rsidR="00C1322E" w:rsidP="00C1322E" w14:paraId="62750469" w14:textId="2B2B83F0">
            <w:pPr>
              <w:pStyle w:val="LTableTextAbt"/>
              <w:jc w:val="right"/>
            </w:pPr>
            <w:r>
              <w:rPr>
                <w:szCs w:val="18"/>
              </w:rPr>
              <w:t>1</w:t>
            </w:r>
          </w:p>
        </w:tc>
        <w:tc>
          <w:tcPr>
            <w:tcW w:w="625" w:type="pct"/>
            <w:tcBorders>
              <w:top w:val="single" w:sz="4" w:space="0" w:color="auto"/>
              <w:left w:val="single" w:sz="4" w:space="0" w:color="auto"/>
              <w:bottom w:val="single" w:sz="4" w:space="0" w:color="auto"/>
              <w:right w:val="single" w:sz="4" w:space="0" w:color="auto"/>
            </w:tcBorders>
            <w:vAlign w:val="center"/>
          </w:tcPr>
          <w:p w:rsidR="00C1322E" w:rsidRPr="003C2933" w:rsidP="00C1322E" w14:paraId="3E370A95" w14:textId="786C575B">
            <w:pPr>
              <w:pStyle w:val="LTableTextAbt"/>
              <w:jc w:val="right"/>
            </w:pPr>
            <w:r>
              <w:rPr>
                <w:szCs w:val="18"/>
              </w:rPr>
              <w:t>0.33</w:t>
            </w:r>
          </w:p>
        </w:tc>
        <w:tc>
          <w:tcPr>
            <w:tcW w:w="673" w:type="pct"/>
            <w:tcBorders>
              <w:top w:val="single" w:sz="4" w:space="0" w:color="auto"/>
              <w:left w:val="single" w:sz="4" w:space="0" w:color="auto"/>
              <w:bottom w:val="single" w:sz="4" w:space="0" w:color="auto"/>
              <w:right w:val="single" w:sz="4" w:space="0" w:color="auto"/>
            </w:tcBorders>
            <w:vAlign w:val="center"/>
          </w:tcPr>
          <w:p w:rsidR="00C1322E" w:rsidRPr="00654B9B" w:rsidP="00C1322E" w14:paraId="609DD92F" w14:textId="2F6C80BE">
            <w:pPr>
              <w:pStyle w:val="RTableTextAbt"/>
            </w:pPr>
            <w:r>
              <w:rPr>
                <w:szCs w:val="18"/>
              </w:rPr>
              <w:t>0.5</w:t>
            </w:r>
            <w:r w:rsidR="000C2080">
              <w:rPr>
                <w:szCs w:val="18"/>
              </w:rPr>
              <w:t>4</w:t>
            </w:r>
          </w:p>
        </w:tc>
        <w:tc>
          <w:tcPr>
            <w:tcW w:w="529" w:type="pct"/>
            <w:tcBorders>
              <w:top w:val="single" w:sz="4" w:space="0" w:color="auto"/>
              <w:left w:val="single" w:sz="4" w:space="0" w:color="auto"/>
              <w:bottom w:val="single" w:sz="4" w:space="0" w:color="auto"/>
              <w:right w:val="single" w:sz="4" w:space="0" w:color="auto"/>
            </w:tcBorders>
            <w:vAlign w:val="center"/>
          </w:tcPr>
          <w:p w:rsidR="00C1322E" w:rsidRPr="00654B9B" w:rsidP="00C1322E" w14:paraId="22A1BEDC" w14:textId="53FE60CC">
            <w:pPr>
              <w:pStyle w:val="RTableTextAbt"/>
            </w:pPr>
            <w:r>
              <w:rPr>
                <w:szCs w:val="18"/>
              </w:rPr>
              <w:t>1</w:t>
            </w:r>
          </w:p>
        </w:tc>
        <w:tc>
          <w:tcPr>
            <w:tcW w:w="625" w:type="pct"/>
            <w:tcBorders>
              <w:top w:val="single" w:sz="4" w:space="0" w:color="auto"/>
              <w:left w:val="single" w:sz="4" w:space="0" w:color="auto"/>
              <w:bottom w:val="single" w:sz="4" w:space="0" w:color="auto"/>
              <w:right w:val="single" w:sz="4" w:space="0" w:color="auto"/>
            </w:tcBorders>
            <w:vAlign w:val="center"/>
          </w:tcPr>
          <w:p w:rsidR="00C1322E" w:rsidRPr="00654B9B" w:rsidP="00C1322E" w14:paraId="3223CF25" w14:textId="4E8057C6">
            <w:pPr>
              <w:pStyle w:val="RTableTextAbt"/>
            </w:pPr>
            <w:r>
              <w:rPr>
                <w:szCs w:val="18"/>
              </w:rPr>
              <w:t xml:space="preserve">$50 </w:t>
            </w:r>
          </w:p>
        </w:tc>
        <w:tc>
          <w:tcPr>
            <w:tcW w:w="555" w:type="pct"/>
            <w:tcBorders>
              <w:top w:val="single" w:sz="4" w:space="0" w:color="auto"/>
              <w:left w:val="single" w:sz="4" w:space="0" w:color="auto"/>
              <w:bottom w:val="single" w:sz="4" w:space="0" w:color="auto"/>
              <w:right w:val="single" w:sz="4" w:space="0" w:color="auto"/>
            </w:tcBorders>
            <w:vAlign w:val="center"/>
          </w:tcPr>
          <w:p w:rsidR="00C1322E" w:rsidRPr="00654B9B" w:rsidP="00C1322E" w14:paraId="22CE9463" w14:textId="2CB417EE">
            <w:pPr>
              <w:pStyle w:val="RTableTextAbt"/>
            </w:pPr>
            <w:r>
              <w:rPr>
                <w:szCs w:val="18"/>
              </w:rPr>
              <w:t xml:space="preserve">$200 </w:t>
            </w:r>
          </w:p>
        </w:tc>
        <w:tc>
          <w:tcPr>
            <w:tcW w:w="599" w:type="pct"/>
            <w:tcBorders>
              <w:top w:val="single" w:sz="4" w:space="0" w:color="auto"/>
              <w:left w:val="single" w:sz="4" w:space="0" w:color="auto"/>
              <w:bottom w:val="single" w:sz="4" w:space="0" w:color="auto"/>
              <w:right w:val="single" w:sz="4" w:space="0" w:color="auto"/>
            </w:tcBorders>
            <w:vAlign w:val="center"/>
          </w:tcPr>
          <w:p w:rsidR="00C1322E" w:rsidRPr="00654B9B" w:rsidP="00C1322E" w14:paraId="6A1F5A8D" w14:textId="62F9E973">
            <w:pPr>
              <w:pStyle w:val="RTableTextAbt"/>
            </w:pPr>
            <w:r>
              <w:rPr>
                <w:szCs w:val="18"/>
              </w:rPr>
              <w:t xml:space="preserve">$250 </w:t>
            </w:r>
          </w:p>
        </w:tc>
      </w:tr>
      <w:tr w14:paraId="282E2943" w14:textId="77777777" w:rsidTr="0E4AE1FD">
        <w:tblPrEx>
          <w:tblW w:w="5000" w:type="pct"/>
          <w:tblLayout w:type="fixed"/>
          <w:tblLook w:val="04A0"/>
        </w:tblPrEx>
        <w:tc>
          <w:tcPr>
            <w:tcW w:w="912" w:type="pct"/>
            <w:tcBorders>
              <w:top w:val="single" w:sz="4" w:space="0" w:color="auto"/>
              <w:left w:val="single" w:sz="4" w:space="0" w:color="auto"/>
              <w:bottom w:val="single" w:sz="4" w:space="0" w:color="auto"/>
              <w:right w:val="single" w:sz="4" w:space="0" w:color="auto"/>
            </w:tcBorders>
            <w:vAlign w:val="center"/>
          </w:tcPr>
          <w:p w:rsidR="00C1322E" w:rsidP="00C1322E" w14:paraId="23062A77" w14:textId="7D8F0CFC">
            <w:pPr>
              <w:pStyle w:val="LTableTextAbt"/>
            </w:pPr>
            <w:r>
              <w:rPr>
                <w:szCs w:val="18"/>
              </w:rPr>
              <w:t>PPE Program</w:t>
            </w:r>
          </w:p>
        </w:tc>
        <w:tc>
          <w:tcPr>
            <w:tcW w:w="482" w:type="pct"/>
            <w:tcBorders>
              <w:top w:val="single" w:sz="4" w:space="0" w:color="auto"/>
              <w:left w:val="single" w:sz="4" w:space="0" w:color="auto"/>
              <w:bottom w:val="single" w:sz="4" w:space="0" w:color="auto"/>
              <w:right w:val="single" w:sz="4" w:space="0" w:color="auto"/>
            </w:tcBorders>
            <w:vAlign w:val="center"/>
          </w:tcPr>
          <w:p w:rsidR="00C1322E" w:rsidP="00C1322E" w14:paraId="3E97DA4B" w14:textId="2AD2B942">
            <w:pPr>
              <w:pStyle w:val="LTableTextAbt"/>
              <w:jc w:val="right"/>
            </w:pPr>
            <w:r>
              <w:rPr>
                <w:szCs w:val="18"/>
              </w:rPr>
              <w:t>22</w:t>
            </w:r>
          </w:p>
        </w:tc>
        <w:tc>
          <w:tcPr>
            <w:tcW w:w="625" w:type="pct"/>
            <w:tcBorders>
              <w:top w:val="single" w:sz="4" w:space="0" w:color="auto"/>
              <w:left w:val="single" w:sz="4" w:space="0" w:color="auto"/>
              <w:bottom w:val="single" w:sz="4" w:space="0" w:color="auto"/>
              <w:right w:val="single" w:sz="4" w:space="0" w:color="auto"/>
            </w:tcBorders>
            <w:vAlign w:val="center"/>
          </w:tcPr>
          <w:p w:rsidR="00C1322E" w:rsidRPr="003C2933" w:rsidP="00C1322E" w14:paraId="629E3886" w14:textId="0BA78C0D">
            <w:pPr>
              <w:pStyle w:val="LTableTextAbt"/>
              <w:jc w:val="right"/>
            </w:pPr>
            <w:r>
              <w:rPr>
                <w:szCs w:val="18"/>
              </w:rPr>
              <w:t>1.00</w:t>
            </w:r>
          </w:p>
        </w:tc>
        <w:tc>
          <w:tcPr>
            <w:tcW w:w="673" w:type="pct"/>
            <w:tcBorders>
              <w:top w:val="single" w:sz="4" w:space="0" w:color="auto"/>
              <w:left w:val="single" w:sz="4" w:space="0" w:color="auto"/>
              <w:bottom w:val="single" w:sz="4" w:space="0" w:color="auto"/>
              <w:right w:val="single" w:sz="4" w:space="0" w:color="auto"/>
            </w:tcBorders>
            <w:vAlign w:val="center"/>
          </w:tcPr>
          <w:p w:rsidR="00C1322E" w:rsidRPr="00654B9B" w:rsidP="00C1322E" w14:paraId="6AEB5F3E" w14:textId="28B33855">
            <w:pPr>
              <w:pStyle w:val="RTableTextAbt"/>
            </w:pPr>
            <w:r>
              <w:rPr>
                <w:szCs w:val="18"/>
              </w:rPr>
              <w:t>4.6</w:t>
            </w:r>
            <w:r w:rsidR="000C2080">
              <w:rPr>
                <w:szCs w:val="18"/>
              </w:rPr>
              <w:t>7</w:t>
            </w:r>
          </w:p>
        </w:tc>
        <w:tc>
          <w:tcPr>
            <w:tcW w:w="529" w:type="pct"/>
            <w:tcBorders>
              <w:top w:val="single" w:sz="4" w:space="0" w:color="auto"/>
              <w:left w:val="single" w:sz="4" w:space="0" w:color="auto"/>
              <w:bottom w:val="single" w:sz="4" w:space="0" w:color="auto"/>
              <w:right w:val="single" w:sz="4" w:space="0" w:color="auto"/>
            </w:tcBorders>
            <w:vAlign w:val="center"/>
          </w:tcPr>
          <w:p w:rsidR="00C1322E" w:rsidRPr="00654B9B" w:rsidP="00C1322E" w14:paraId="62B1C34F" w14:textId="2724FFC7">
            <w:pPr>
              <w:pStyle w:val="RTableTextAbt"/>
            </w:pPr>
            <w:r>
              <w:rPr>
                <w:szCs w:val="18"/>
              </w:rPr>
              <w:t>103</w:t>
            </w:r>
          </w:p>
        </w:tc>
        <w:tc>
          <w:tcPr>
            <w:tcW w:w="625" w:type="pct"/>
            <w:tcBorders>
              <w:top w:val="single" w:sz="4" w:space="0" w:color="auto"/>
              <w:left w:val="single" w:sz="4" w:space="0" w:color="auto"/>
              <w:bottom w:val="single" w:sz="4" w:space="0" w:color="auto"/>
              <w:right w:val="single" w:sz="4" w:space="0" w:color="auto"/>
            </w:tcBorders>
            <w:vAlign w:val="center"/>
          </w:tcPr>
          <w:p w:rsidR="00C1322E" w:rsidRPr="00654B9B" w:rsidP="00C1322E" w14:paraId="589E9C38" w14:textId="1A083871">
            <w:pPr>
              <w:pStyle w:val="RTableTextAbt"/>
            </w:pPr>
            <w:r>
              <w:rPr>
                <w:szCs w:val="18"/>
              </w:rPr>
              <w:t xml:space="preserve">$7,610 </w:t>
            </w:r>
          </w:p>
        </w:tc>
        <w:tc>
          <w:tcPr>
            <w:tcW w:w="555" w:type="pct"/>
            <w:tcBorders>
              <w:top w:val="single" w:sz="4" w:space="0" w:color="auto"/>
              <w:left w:val="single" w:sz="4" w:space="0" w:color="auto"/>
              <w:bottom w:val="single" w:sz="4" w:space="0" w:color="auto"/>
              <w:right w:val="single" w:sz="4" w:space="0" w:color="auto"/>
            </w:tcBorders>
            <w:vAlign w:val="center"/>
          </w:tcPr>
          <w:p w:rsidR="00C1322E" w:rsidRPr="00654B9B" w:rsidP="00C1322E" w14:paraId="57DBE71C" w14:textId="75E2525A">
            <w:pPr>
              <w:pStyle w:val="RTableTextAbt"/>
            </w:pPr>
            <w:r>
              <w:rPr>
                <w:szCs w:val="18"/>
              </w:rPr>
              <w:t>-</w:t>
            </w:r>
            <w:r>
              <w:rPr>
                <w:szCs w:val="18"/>
              </w:rPr>
              <w:t> </w:t>
            </w:r>
          </w:p>
        </w:tc>
        <w:tc>
          <w:tcPr>
            <w:tcW w:w="599" w:type="pct"/>
            <w:tcBorders>
              <w:top w:val="single" w:sz="4" w:space="0" w:color="auto"/>
              <w:left w:val="single" w:sz="4" w:space="0" w:color="auto"/>
              <w:bottom w:val="single" w:sz="4" w:space="0" w:color="auto"/>
              <w:right w:val="single" w:sz="4" w:space="0" w:color="auto"/>
            </w:tcBorders>
            <w:vAlign w:val="center"/>
          </w:tcPr>
          <w:p w:rsidR="00C1322E" w:rsidRPr="00654B9B" w:rsidP="00C1322E" w14:paraId="2A3E040D" w14:textId="7BFE3D3A">
            <w:pPr>
              <w:pStyle w:val="RTableTextAbt"/>
            </w:pPr>
            <w:r>
              <w:rPr>
                <w:szCs w:val="18"/>
              </w:rPr>
              <w:t xml:space="preserve">$7,610 </w:t>
            </w:r>
          </w:p>
        </w:tc>
      </w:tr>
      <w:tr w14:paraId="10C860EB" w14:textId="77777777" w:rsidTr="0E4AE1FD">
        <w:tblPrEx>
          <w:tblW w:w="5000" w:type="pct"/>
          <w:tblLayout w:type="fixed"/>
          <w:tblLook w:val="04A0"/>
        </w:tblPrEx>
        <w:tc>
          <w:tcPr>
            <w:tcW w:w="912" w:type="pct"/>
            <w:tcBorders>
              <w:top w:val="single" w:sz="4" w:space="0" w:color="auto"/>
              <w:left w:val="single" w:sz="4" w:space="0" w:color="auto"/>
              <w:bottom w:val="single" w:sz="4" w:space="0" w:color="auto"/>
              <w:right w:val="single" w:sz="4" w:space="0" w:color="auto"/>
            </w:tcBorders>
            <w:vAlign w:val="center"/>
          </w:tcPr>
          <w:p w:rsidR="00FE6801" w:rsidP="00FE6801" w14:paraId="0D36B65A" w14:textId="51CC7514">
            <w:pPr>
              <w:pStyle w:val="LTableTextAbt"/>
            </w:pPr>
            <w:r>
              <w:t>Equipment and Area Cleaning Recordkeeping</w:t>
            </w:r>
          </w:p>
        </w:tc>
        <w:tc>
          <w:tcPr>
            <w:tcW w:w="482" w:type="pct"/>
            <w:tcBorders>
              <w:top w:val="single" w:sz="4" w:space="0" w:color="auto"/>
              <w:left w:val="single" w:sz="4" w:space="0" w:color="auto"/>
              <w:bottom w:val="single" w:sz="4" w:space="0" w:color="auto"/>
              <w:right w:val="single" w:sz="4" w:space="0" w:color="auto"/>
            </w:tcBorders>
            <w:vAlign w:val="center"/>
          </w:tcPr>
          <w:p w:rsidR="00FE6801" w:rsidP="00FE6801" w14:paraId="06FE57C4" w14:textId="0B8999E3">
            <w:pPr>
              <w:pStyle w:val="LTableTextAbt"/>
              <w:jc w:val="right"/>
              <w:rPr>
                <w:szCs w:val="18"/>
              </w:rPr>
            </w:pPr>
            <w:r>
              <w:rPr>
                <w:szCs w:val="18"/>
              </w:rPr>
              <w:t>22</w:t>
            </w:r>
          </w:p>
        </w:tc>
        <w:tc>
          <w:tcPr>
            <w:tcW w:w="625" w:type="pct"/>
            <w:tcBorders>
              <w:top w:val="single" w:sz="4" w:space="0" w:color="auto"/>
              <w:left w:val="single" w:sz="4" w:space="0" w:color="auto"/>
              <w:bottom w:val="single" w:sz="4" w:space="0" w:color="auto"/>
              <w:right w:val="single" w:sz="4" w:space="0" w:color="auto"/>
            </w:tcBorders>
            <w:vAlign w:val="center"/>
          </w:tcPr>
          <w:p w:rsidR="00FE6801" w:rsidP="00FE6801" w14:paraId="6679AF1A" w14:textId="361AEDAE">
            <w:pPr>
              <w:pStyle w:val="LTableTextAbt"/>
              <w:jc w:val="right"/>
              <w:rPr>
                <w:szCs w:val="18"/>
              </w:rPr>
            </w:pPr>
            <w:r>
              <w:rPr>
                <w:szCs w:val="18"/>
              </w:rPr>
              <w:t>1.00</w:t>
            </w:r>
          </w:p>
        </w:tc>
        <w:tc>
          <w:tcPr>
            <w:tcW w:w="673" w:type="pct"/>
            <w:tcBorders>
              <w:top w:val="single" w:sz="4" w:space="0" w:color="auto"/>
              <w:left w:val="single" w:sz="4" w:space="0" w:color="auto"/>
              <w:bottom w:val="single" w:sz="4" w:space="0" w:color="auto"/>
              <w:right w:val="single" w:sz="4" w:space="0" w:color="auto"/>
            </w:tcBorders>
            <w:vAlign w:val="center"/>
          </w:tcPr>
          <w:p w:rsidR="00FE6801" w:rsidP="00FE6801" w14:paraId="653F5B6C" w14:textId="6EA91074">
            <w:pPr>
              <w:pStyle w:val="RTableTextAbt"/>
              <w:rPr>
                <w:szCs w:val="18"/>
              </w:rPr>
            </w:pPr>
            <w:r>
              <w:rPr>
                <w:szCs w:val="18"/>
              </w:rPr>
              <w:t>14.33</w:t>
            </w:r>
          </w:p>
        </w:tc>
        <w:tc>
          <w:tcPr>
            <w:tcW w:w="529" w:type="pct"/>
            <w:tcBorders>
              <w:top w:val="single" w:sz="4" w:space="0" w:color="auto"/>
              <w:left w:val="single" w:sz="4" w:space="0" w:color="auto"/>
              <w:bottom w:val="single" w:sz="4" w:space="0" w:color="auto"/>
              <w:right w:val="single" w:sz="4" w:space="0" w:color="auto"/>
            </w:tcBorders>
            <w:vAlign w:val="center"/>
          </w:tcPr>
          <w:p w:rsidR="00FE6801" w:rsidP="00FE6801" w14:paraId="4AA33C6A" w14:textId="17A834E6">
            <w:pPr>
              <w:pStyle w:val="RTableTextAbt"/>
              <w:rPr>
                <w:szCs w:val="18"/>
              </w:rPr>
            </w:pPr>
            <w:r>
              <w:rPr>
                <w:szCs w:val="18"/>
              </w:rPr>
              <w:t>315</w:t>
            </w:r>
          </w:p>
        </w:tc>
        <w:tc>
          <w:tcPr>
            <w:tcW w:w="625" w:type="pct"/>
            <w:tcBorders>
              <w:top w:val="single" w:sz="4" w:space="0" w:color="auto"/>
              <w:left w:val="single" w:sz="4" w:space="0" w:color="auto"/>
              <w:bottom w:val="single" w:sz="4" w:space="0" w:color="auto"/>
              <w:right w:val="single" w:sz="4" w:space="0" w:color="auto"/>
            </w:tcBorders>
            <w:vAlign w:val="center"/>
          </w:tcPr>
          <w:p w:rsidR="00FE6801" w:rsidP="00FE6801" w14:paraId="735183D9" w14:textId="0A8006A4">
            <w:pPr>
              <w:pStyle w:val="RTableTextAbt"/>
              <w:rPr>
                <w:szCs w:val="18"/>
              </w:rPr>
            </w:pPr>
            <w:r>
              <w:rPr>
                <w:szCs w:val="18"/>
              </w:rPr>
              <w:t xml:space="preserve">$19,600 </w:t>
            </w:r>
          </w:p>
        </w:tc>
        <w:tc>
          <w:tcPr>
            <w:tcW w:w="555" w:type="pct"/>
            <w:tcBorders>
              <w:top w:val="single" w:sz="4" w:space="0" w:color="auto"/>
              <w:left w:val="single" w:sz="4" w:space="0" w:color="auto"/>
              <w:bottom w:val="single" w:sz="4" w:space="0" w:color="auto"/>
              <w:right w:val="single" w:sz="4" w:space="0" w:color="auto"/>
            </w:tcBorders>
            <w:vAlign w:val="center"/>
          </w:tcPr>
          <w:p w:rsidR="00FE6801" w:rsidP="00FE6801" w14:paraId="193C17C4" w14:textId="3C9AD152">
            <w:pPr>
              <w:pStyle w:val="RTableTextAbt"/>
              <w:rPr>
                <w:szCs w:val="18"/>
              </w:rPr>
            </w:pPr>
            <w:r>
              <w:rPr>
                <w:szCs w:val="18"/>
              </w:rPr>
              <w:t>-</w:t>
            </w:r>
          </w:p>
        </w:tc>
        <w:tc>
          <w:tcPr>
            <w:tcW w:w="599" w:type="pct"/>
            <w:tcBorders>
              <w:top w:val="single" w:sz="4" w:space="0" w:color="auto"/>
              <w:left w:val="single" w:sz="4" w:space="0" w:color="auto"/>
              <w:bottom w:val="single" w:sz="4" w:space="0" w:color="auto"/>
              <w:right w:val="single" w:sz="4" w:space="0" w:color="auto"/>
            </w:tcBorders>
            <w:vAlign w:val="center"/>
          </w:tcPr>
          <w:p w:rsidR="00FE6801" w:rsidP="00FE6801" w14:paraId="31687E77" w14:textId="7D14DC06">
            <w:pPr>
              <w:pStyle w:val="RTableTextAbt"/>
              <w:rPr>
                <w:szCs w:val="18"/>
              </w:rPr>
            </w:pPr>
            <w:r>
              <w:rPr>
                <w:szCs w:val="18"/>
              </w:rPr>
              <w:t xml:space="preserve">$19,600 </w:t>
            </w:r>
          </w:p>
        </w:tc>
      </w:tr>
      <w:tr w14:paraId="7536D301" w14:textId="77777777" w:rsidTr="0E4AE1FD">
        <w:tblPrEx>
          <w:tblW w:w="5000" w:type="pct"/>
          <w:tblLayout w:type="fixed"/>
          <w:tblLook w:val="04A0"/>
        </w:tblPrEx>
        <w:tc>
          <w:tcPr>
            <w:tcW w:w="912" w:type="pct"/>
            <w:tcBorders>
              <w:top w:val="single" w:sz="4" w:space="0" w:color="auto"/>
              <w:left w:val="single" w:sz="4" w:space="0" w:color="auto"/>
              <w:bottom w:val="single" w:sz="4" w:space="0" w:color="auto"/>
              <w:right w:val="single" w:sz="4" w:space="0" w:color="auto"/>
            </w:tcBorders>
            <w:vAlign w:val="center"/>
          </w:tcPr>
          <w:p w:rsidR="00FE6801" w:rsidRPr="001D1438" w:rsidP="00FE6801" w14:paraId="0DF1AE35" w14:textId="0CF03621">
            <w:pPr>
              <w:pStyle w:val="LTableTextAbt"/>
              <w:rPr>
                <w:b/>
                <w:bCs w:val="0"/>
              </w:rPr>
            </w:pPr>
            <w:r w:rsidRPr="0E4AE1FD">
              <w:rPr>
                <w:b/>
              </w:rPr>
              <w:t>Total</w:t>
            </w:r>
          </w:p>
        </w:tc>
        <w:tc>
          <w:tcPr>
            <w:tcW w:w="482" w:type="pct"/>
            <w:tcBorders>
              <w:top w:val="single" w:sz="4" w:space="0" w:color="auto"/>
              <w:left w:val="single" w:sz="4" w:space="0" w:color="auto"/>
              <w:bottom w:val="single" w:sz="4" w:space="0" w:color="auto"/>
              <w:right w:val="single" w:sz="4" w:space="0" w:color="auto"/>
            </w:tcBorders>
            <w:vAlign w:val="center"/>
          </w:tcPr>
          <w:p w:rsidR="00FE6801" w:rsidP="00FE6801" w14:paraId="0BB4E9F2" w14:textId="3C10AE44">
            <w:pPr>
              <w:pStyle w:val="LTableTextAbt"/>
              <w:jc w:val="right"/>
            </w:pPr>
            <w:r>
              <w:rPr>
                <w:b/>
                <w:bCs w:val="0"/>
                <w:szCs w:val="18"/>
              </w:rPr>
              <w:t>49,670</w:t>
            </w:r>
          </w:p>
        </w:tc>
        <w:tc>
          <w:tcPr>
            <w:tcW w:w="625" w:type="pct"/>
            <w:tcBorders>
              <w:top w:val="single" w:sz="4" w:space="0" w:color="auto"/>
              <w:left w:val="single" w:sz="4" w:space="0" w:color="auto"/>
              <w:bottom w:val="single" w:sz="4" w:space="0" w:color="auto"/>
              <w:right w:val="single" w:sz="4" w:space="0" w:color="auto"/>
            </w:tcBorders>
            <w:vAlign w:val="center"/>
          </w:tcPr>
          <w:p w:rsidR="00FE6801" w:rsidRPr="003C2933" w:rsidP="00FE6801" w14:paraId="367F8F5A" w14:textId="2A8ABAA9">
            <w:pPr>
              <w:pStyle w:val="LTableTextAbt"/>
              <w:jc w:val="right"/>
            </w:pPr>
            <w:r>
              <w:rPr>
                <w:b/>
                <w:bCs w:val="0"/>
                <w:szCs w:val="18"/>
              </w:rPr>
              <w:t>0.33</w:t>
            </w:r>
          </w:p>
        </w:tc>
        <w:tc>
          <w:tcPr>
            <w:tcW w:w="673" w:type="pct"/>
            <w:tcBorders>
              <w:top w:val="single" w:sz="4" w:space="0" w:color="auto"/>
              <w:left w:val="single" w:sz="4" w:space="0" w:color="auto"/>
              <w:bottom w:val="single" w:sz="4" w:space="0" w:color="auto"/>
              <w:right w:val="single" w:sz="4" w:space="0" w:color="auto"/>
            </w:tcBorders>
            <w:vAlign w:val="center"/>
          </w:tcPr>
          <w:p w:rsidR="00FE6801" w:rsidRPr="00654B9B" w:rsidP="00FE6801" w14:paraId="56AB5080" w14:textId="3795F85D">
            <w:pPr>
              <w:pStyle w:val="RTableTextAbt"/>
            </w:pPr>
            <w:r>
              <w:rPr>
                <w:b/>
                <w:bCs w:val="0"/>
                <w:szCs w:val="18"/>
              </w:rPr>
              <w:t>0.34</w:t>
            </w:r>
          </w:p>
        </w:tc>
        <w:tc>
          <w:tcPr>
            <w:tcW w:w="529" w:type="pct"/>
            <w:tcBorders>
              <w:top w:val="single" w:sz="4" w:space="0" w:color="auto"/>
              <w:left w:val="single" w:sz="4" w:space="0" w:color="auto"/>
              <w:bottom w:val="single" w:sz="4" w:space="0" w:color="auto"/>
              <w:right w:val="single" w:sz="4" w:space="0" w:color="auto"/>
            </w:tcBorders>
            <w:vAlign w:val="center"/>
          </w:tcPr>
          <w:p w:rsidR="00FE6801" w:rsidRPr="00654B9B" w:rsidP="00FE6801" w14:paraId="053C326B" w14:textId="4F770C5C">
            <w:pPr>
              <w:pStyle w:val="RTableTextAbt"/>
            </w:pPr>
            <w:r>
              <w:rPr>
                <w:b/>
                <w:bCs w:val="0"/>
                <w:szCs w:val="18"/>
              </w:rPr>
              <w:t>16,976</w:t>
            </w:r>
          </w:p>
        </w:tc>
        <w:tc>
          <w:tcPr>
            <w:tcW w:w="625" w:type="pct"/>
            <w:tcBorders>
              <w:top w:val="single" w:sz="4" w:space="0" w:color="auto"/>
              <w:left w:val="single" w:sz="4" w:space="0" w:color="auto"/>
              <w:bottom w:val="single" w:sz="4" w:space="0" w:color="auto"/>
              <w:right w:val="single" w:sz="4" w:space="0" w:color="auto"/>
            </w:tcBorders>
            <w:vAlign w:val="center"/>
          </w:tcPr>
          <w:p w:rsidR="00FE6801" w:rsidRPr="00654B9B" w:rsidP="00FE6801" w14:paraId="7166E645" w14:textId="27557BF7">
            <w:pPr>
              <w:pStyle w:val="RTableTextAbt"/>
            </w:pPr>
            <w:r>
              <w:rPr>
                <w:b/>
                <w:bCs w:val="0"/>
                <w:szCs w:val="18"/>
              </w:rPr>
              <w:t xml:space="preserve">$1,646,384 </w:t>
            </w:r>
          </w:p>
        </w:tc>
        <w:tc>
          <w:tcPr>
            <w:tcW w:w="555" w:type="pct"/>
            <w:tcBorders>
              <w:top w:val="single" w:sz="4" w:space="0" w:color="auto"/>
              <w:left w:val="single" w:sz="4" w:space="0" w:color="auto"/>
              <w:bottom w:val="single" w:sz="4" w:space="0" w:color="auto"/>
              <w:right w:val="single" w:sz="4" w:space="0" w:color="auto"/>
            </w:tcBorders>
            <w:vAlign w:val="center"/>
          </w:tcPr>
          <w:p w:rsidR="00FE6801" w:rsidRPr="00654B9B" w:rsidP="00FE6801" w14:paraId="139CD623" w14:textId="254576DC">
            <w:pPr>
              <w:pStyle w:val="RTableTextAbt"/>
              <w:rPr>
                <w:b/>
              </w:rPr>
            </w:pPr>
            <w:r>
              <w:rPr>
                <w:b/>
                <w:bCs w:val="0"/>
                <w:szCs w:val="18"/>
              </w:rPr>
              <w:t xml:space="preserve">$200 </w:t>
            </w:r>
          </w:p>
        </w:tc>
        <w:tc>
          <w:tcPr>
            <w:tcW w:w="599" w:type="pct"/>
            <w:tcBorders>
              <w:top w:val="single" w:sz="4" w:space="0" w:color="auto"/>
              <w:left w:val="single" w:sz="4" w:space="0" w:color="auto"/>
              <w:bottom w:val="single" w:sz="4" w:space="0" w:color="auto"/>
              <w:right w:val="single" w:sz="4" w:space="0" w:color="auto"/>
            </w:tcBorders>
            <w:vAlign w:val="center"/>
          </w:tcPr>
          <w:p w:rsidR="00FE6801" w:rsidRPr="00654B9B" w:rsidP="00FE6801" w14:paraId="02CFB3F1" w14:textId="5C154DAD">
            <w:pPr>
              <w:pStyle w:val="RTableTextAbt"/>
            </w:pPr>
            <w:r>
              <w:rPr>
                <w:b/>
                <w:bCs w:val="0"/>
                <w:szCs w:val="18"/>
              </w:rPr>
              <w:t xml:space="preserve">$1,646,584 </w:t>
            </w:r>
          </w:p>
        </w:tc>
      </w:tr>
    </w:tbl>
    <w:p w:rsidR="00970025" w:rsidRPr="00970025" w:rsidP="00970025" w14:paraId="5A524A28" w14:textId="77777777">
      <w:pPr>
        <w:pStyle w:val="BodyText"/>
        <w:rPr>
          <w:lang w:val="en-US"/>
        </w:rPr>
      </w:pPr>
    </w:p>
    <w:p w:rsidR="009E04B7" w:rsidRPr="00B56426" w:rsidP="00503B52" w14:paraId="3AC2D255" w14:textId="77777777">
      <w:pPr>
        <w:pStyle w:val="Heading2"/>
      </w:pPr>
      <w:bookmarkStart w:id="341" w:name="_Ref106033547"/>
      <w:bookmarkStart w:id="342" w:name="_Toc184299533"/>
      <w:r w:rsidRPr="00B56426">
        <w:t>Unfunded Mandates Reform Act (UMRA</w:t>
      </w:r>
      <w:bookmarkEnd w:id="341"/>
      <w:r w:rsidRPr="00B56426" w:rsidR="003F2332">
        <w:t>)</w:t>
      </w:r>
      <w:bookmarkEnd w:id="342"/>
    </w:p>
    <w:p w:rsidR="00316A7F" w:rsidRPr="00B56426" w:rsidP="00832749" w14:paraId="5F0BEA15" w14:textId="1736443C">
      <w:pPr>
        <w:pStyle w:val="BodyText"/>
      </w:pPr>
      <w:r w:rsidRPr="47F4D8F7">
        <w:rPr>
          <w:lang w:val="en-US"/>
        </w:rPr>
        <w:t xml:space="preserve">Title II of the Unfunded Mandates Reform Act of 1995, Pub. L. 104-4, establishes requirements for Federal agencies to assess the effects of their regulatory actions on State, local, and Tribal governments, and the private sector. Under section 202 of the UMRA, EPA generally must prepare a written statement, including a cost-benefit analysis, for proposed and final rules with “Federal mandates” that might result in expenditures by State, local, and Tribal governments, in the aggregate, or by the private sector, of $100 million or more (when adjusted annually for inflation) in any one year. The rule is not expected to affect state, local, or Tribal governments because the rule affects entities that </w:t>
      </w:r>
      <w:r w:rsidR="00D861C3">
        <w:rPr>
          <w:lang w:val="en-US"/>
        </w:rPr>
        <w:t xml:space="preserve">manufacture, process, or </w:t>
      </w:r>
      <w:r w:rsidRPr="47F4D8F7">
        <w:rPr>
          <w:lang w:val="en-US"/>
        </w:rPr>
        <w:t xml:space="preserve">use </w:t>
      </w:r>
      <w:r w:rsidR="00D861C3">
        <w:rPr>
          <w:lang w:val="en-US"/>
        </w:rPr>
        <w:t>PV29</w:t>
      </w:r>
      <w:r w:rsidRPr="47F4D8F7" w:rsidR="009B2AB7">
        <w:rPr>
          <w:lang w:val="en-US"/>
        </w:rPr>
        <w:t xml:space="preserve"> </w:t>
      </w:r>
      <w:r w:rsidRPr="47F4D8F7">
        <w:rPr>
          <w:lang w:val="en-US"/>
        </w:rPr>
        <w:t xml:space="preserve">and </w:t>
      </w:r>
      <w:r w:rsidRPr="47F4D8F7" w:rsidR="001F2B0C">
        <w:rPr>
          <w:lang w:val="en-US"/>
        </w:rPr>
        <w:t xml:space="preserve">the use of </w:t>
      </w:r>
      <w:r w:rsidR="00D861C3">
        <w:rPr>
          <w:lang w:val="en-US"/>
        </w:rPr>
        <w:t>regulated PV29</w:t>
      </w:r>
      <w:r w:rsidRPr="47F4D8F7" w:rsidR="00D861C3">
        <w:rPr>
          <w:lang w:val="en-US"/>
        </w:rPr>
        <w:t xml:space="preserve"> </w:t>
      </w:r>
      <w:r w:rsidRPr="47F4D8F7" w:rsidR="001F2B0C">
        <w:rPr>
          <w:lang w:val="en-US"/>
        </w:rPr>
        <w:t xml:space="preserve">by </w:t>
      </w:r>
      <w:r w:rsidRPr="47F4D8F7">
        <w:rPr>
          <w:lang w:val="en-US"/>
        </w:rPr>
        <w:t xml:space="preserve">government entities </w:t>
      </w:r>
      <w:r w:rsidRPr="47F4D8F7" w:rsidR="0041127E">
        <w:rPr>
          <w:lang w:val="en-US"/>
        </w:rPr>
        <w:t xml:space="preserve">is </w:t>
      </w:r>
      <w:r w:rsidR="00D861C3">
        <w:rPr>
          <w:lang w:val="en-US"/>
        </w:rPr>
        <w:t>expected to be minimal if at all</w:t>
      </w:r>
      <w:r w:rsidRPr="47F4D8F7">
        <w:rPr>
          <w:lang w:val="en-US"/>
        </w:rPr>
        <w:t xml:space="preserve">. </w:t>
      </w:r>
      <w:r w:rsidRPr="47F4D8F7" w:rsidR="00CF330D">
        <w:rPr>
          <w:lang w:val="en-US"/>
        </w:rPr>
        <w:t>In addition</w:t>
      </w:r>
      <w:r w:rsidRPr="47F4D8F7">
        <w:rPr>
          <w:lang w:val="en-US"/>
        </w:rPr>
        <w:t xml:space="preserve">, the cost of the rule to the private sector </w:t>
      </w:r>
      <w:r w:rsidRPr="47F4D8F7" w:rsidR="00E15863">
        <w:rPr>
          <w:lang w:val="en-US"/>
        </w:rPr>
        <w:t xml:space="preserve">does not </w:t>
      </w:r>
      <w:r w:rsidRPr="47F4D8F7">
        <w:rPr>
          <w:lang w:val="en-US"/>
        </w:rPr>
        <w:t>exceed the inflation-adjusted UMRA threshold of $100 million.</w:t>
      </w:r>
    </w:p>
    <w:p w:rsidR="009E04B7" w:rsidRPr="00B56426" w:rsidP="00503B52" w14:paraId="67201459" w14:textId="77777777">
      <w:pPr>
        <w:pStyle w:val="Heading2"/>
      </w:pPr>
      <w:bookmarkStart w:id="343" w:name="_Ref106033558"/>
      <w:bookmarkStart w:id="344" w:name="_Toc184299534"/>
      <w:r w:rsidRPr="00B56426">
        <w:t>Executive Order 12898 – Environmental Justice Impacts</w:t>
      </w:r>
      <w:bookmarkEnd w:id="343"/>
      <w:bookmarkEnd w:id="344"/>
    </w:p>
    <w:p w:rsidR="0078141F" w:rsidRPr="00DA5444" w:rsidP="0078141F" w14:paraId="5E620DA5" w14:textId="649CD5D6">
      <w:pPr>
        <w:rPr>
          <w:rFonts w:cstheme="minorHAnsi"/>
        </w:rPr>
      </w:pPr>
      <w:r w:rsidRPr="00DA5444">
        <w:rPr>
          <w:rFonts w:cstheme="minorHAnsi"/>
        </w:rPr>
        <w:t>EPA’s “Technical Guidance for Assessing Environmental Justice in Regulatory Analysis</w:t>
      </w:r>
      <w:r>
        <w:rPr>
          <w:rStyle w:val="FootnoteReference"/>
          <w:rFonts w:eastAsiaTheme="minorHAnsi" w:cstheme="minorHAnsi"/>
        </w:rPr>
        <w:footnoteReference w:id="22"/>
      </w:r>
      <w:r w:rsidRPr="00DA5444">
        <w:rPr>
          <w:rFonts w:cstheme="minorHAnsi"/>
        </w:rPr>
        <w:t>” provides recommendations that encourage analysts to conduct the highest quality analysis feasible, recognizing that data limitations, time and resource constraints, and analytic challenges will vary by media and circumstance (</w:t>
      </w:r>
      <w:hyperlink w:anchor="_ENREF_57" w:tooltip="U.S. Environmental Protection Agency (EPA), 2016 #57" w:history="1">
        <w:r w:rsidRPr="00DA5444" w:rsidR="003D6084">
          <w:rPr>
            <w:rFonts w:cstheme="minorHAnsi"/>
          </w:rPr>
          <w:fldChar w:fldCharType="begin" w:fldLock="1"/>
        </w:r>
        <w:r w:rsidR="003D6084">
          <w:rPr>
            <w:rFonts w:cstheme="minorHAnsi"/>
          </w:rPr>
          <w:instrText xml:space="preserve"> ADDIN EN.CITE &lt;EndNote&gt;&lt;Cite ExcludeAuth="1"&gt;&lt;Author&gt;U.S. Environmental Protection Agency (EPA)&lt;/Author&gt;&lt;Year&gt;2016&lt;/Year&gt;&lt;RecNum&gt;57&lt;/RecNum&gt;&lt;Prefix&gt;EPA &lt;/Prefix&gt;&lt;DisplayText&gt;EPA 2016c&lt;/DisplayText&gt;&lt;record&gt;&lt;rec-number&gt;57&lt;/rec-number&gt;&lt;foreign-keys&gt;&lt;key app="EN" db-id="2apzr05radv9fjet2w6xxwdlz5e9vwfxredw" timestamp="1730757315"&gt;57&lt;/key&gt;&lt;/foreign-keys&gt;&lt;ref-type name="Government Document"&gt;46&lt;/ref-type&gt;&lt;contributors&gt;&lt;authors&gt;&lt;author&gt;U.S. Environmental Protection Agency (EPA),&lt;/author&gt;&lt;/authors&gt;&lt;/contributors&gt;&lt;titles&gt;&lt;title&gt;Technical Guidance for Assessing Environmental Justice in Regulatory Analysis&lt;/title&gt;&lt;/titles&gt;&lt;dates&gt;&lt;year&gt;2016&lt;/year&gt;&lt;/dates&gt;&lt;urls&gt;&lt;related-urls&gt;&lt;url&gt;https://www.epa.gov/sites/default/files/2016-06/documents/ejtg_5_6_16_v5.1.pdf&lt;/url&gt;&lt;/related-urls&gt;&lt;/urls&gt;&lt;/record&gt;&lt;/Cite&gt;&lt;/EndNote&gt;</w:instrText>
        </w:r>
        <w:r w:rsidRPr="00DA5444" w:rsidR="003D6084">
          <w:rPr>
            <w:rFonts w:cstheme="minorHAnsi"/>
          </w:rPr>
          <w:fldChar w:fldCharType="separate"/>
        </w:r>
        <w:r w:rsidR="003D6084">
          <w:rPr>
            <w:rFonts w:cstheme="minorHAnsi"/>
            <w:noProof/>
          </w:rPr>
          <w:t>EPA 2016c</w:t>
        </w:r>
        <w:r w:rsidRPr="00DA5444" w:rsidR="003D6084">
          <w:rPr>
            <w:rFonts w:cstheme="minorHAnsi"/>
          </w:rPr>
          <w:fldChar w:fldCharType="end"/>
        </w:r>
      </w:hyperlink>
      <w:r w:rsidRPr="00DA5444">
        <w:rPr>
          <w:rFonts w:cstheme="minorHAnsi"/>
        </w:rPr>
        <w:t xml:space="preserve">). Given the information on which specific facilities are affected by this proposed regulation and the information on the risks of PV29 developed in the risk evaluation, this analysis presents information about the workforce potentially affected by the regulatory options under current conditions before the rule goes into effect. It draws on publicly available data provided by EPA and U.S. Census, including the Chemical Data Reporting (CDR), the American Community Survey (ACS), and the Quarterly Workforce Indicators (QWI). </w:t>
      </w:r>
    </w:p>
    <w:p w:rsidR="0078141F" w:rsidRPr="00BD3D2B" w:rsidP="0078141F" w14:paraId="72B26C5C" w14:textId="5BDCBDB8">
      <w:pPr>
        <w:pStyle w:val="BodyText"/>
      </w:pPr>
      <w:r w:rsidRPr="00BD3D2B">
        <w:rPr>
          <w:lang w:val="en-US"/>
        </w:rPr>
        <w:t>As discussed in Chapter</w:t>
      </w:r>
      <w:r w:rsidRPr="00BD3D2B" w:rsidR="007D58F4">
        <w:rPr>
          <w:lang w:val="en-US"/>
        </w:rPr>
        <w:t xml:space="preserve"> </w:t>
      </w:r>
      <w:r w:rsidRPr="00BD3D2B" w:rsidR="007D58F4">
        <w:rPr>
          <w:lang w:val="en-US"/>
        </w:rPr>
        <w:fldChar w:fldCharType="begin" w:fldLock="1"/>
      </w:r>
      <w:r w:rsidRPr="00BD3D2B" w:rsidR="007D58F4">
        <w:rPr>
          <w:lang w:val="en-US"/>
        </w:rPr>
        <w:instrText xml:space="preserve"> REF _Ref164846105 \r \h </w:instrText>
      </w:r>
      <w:r w:rsidR="007D58F4">
        <w:rPr>
          <w:lang w:val="en-US"/>
        </w:rPr>
        <w:instrText xml:space="preserve"> \* MERGEFORMAT </w:instrText>
      </w:r>
      <w:r w:rsidRPr="00BD3D2B" w:rsidR="007D58F4">
        <w:rPr>
          <w:lang w:val="en-US"/>
        </w:rPr>
        <w:fldChar w:fldCharType="separate"/>
      </w:r>
      <w:r w:rsidR="00735BBC">
        <w:rPr>
          <w:lang w:val="en-US"/>
        </w:rPr>
        <w:t>1</w:t>
      </w:r>
      <w:r w:rsidRPr="00BD3D2B" w:rsidR="007D58F4">
        <w:rPr>
          <w:lang w:val="en-US"/>
        </w:rPr>
        <w:fldChar w:fldCharType="end"/>
      </w:r>
      <w:r w:rsidRPr="00BD3D2B">
        <w:rPr>
          <w:lang w:val="en-US"/>
        </w:rPr>
        <w:t xml:space="preserve">, EPA found unreasonable risk for numerous uses to workers and ONUs. EPA  also concluded that </w:t>
      </w:r>
      <w:r w:rsidRPr="00BD3D2B">
        <w:t>general population exposures to PV29 are expected to be minimal due to the limited releases of C.I. Pigment Violet 29 to the environment as a result of engineering controls on manufacturing releases. Furthermore, the risk evaluation stated that physical and chemical properties and fate endpoints would also result in minimal exposure to air, water, sediment, and groundwater via biosolids and landfill leaching and that inhalation of PV29 is expected to be low due to limited fugitive and incineration air releases. Based on these findings, the risk evaluation did not analyze exposure to the general population or evaluate potential unreasonable risk to the general population. Therefore, this analysis focuses solely on characterizing the baseline conditions faced b</w:t>
      </w:r>
      <w:r w:rsidRPr="00404203">
        <w:t>y workers</w:t>
      </w:r>
      <w:r>
        <w:rPr>
          <w:rStyle w:val="FootnoteReference"/>
          <w:rFonts w:eastAsiaTheme="minorHAnsi"/>
        </w:rPr>
        <w:footnoteReference w:id="23"/>
      </w:r>
      <w:r w:rsidRPr="00404203">
        <w:t xml:space="preserve">  affected by</w:t>
      </w:r>
      <w:r w:rsidRPr="00BD3D2B">
        <w:t xml:space="preserve"> the proposed regulation to identify the potential for disproportionate impacts on minority and low-income populations.  </w:t>
      </w:r>
    </w:p>
    <w:p w:rsidR="0078141F" w:rsidRPr="00BD3D2B" w:rsidP="0078141F" w14:paraId="41F3FFDB" w14:textId="13D46AF5">
      <w:pPr>
        <w:pStyle w:val="BodyText"/>
      </w:pPr>
      <w:r w:rsidRPr="00BD3D2B">
        <w:rPr>
          <w:lang w:val="en-US"/>
        </w:rPr>
        <w:t>The benefits chapter (</w:t>
      </w:r>
      <w:r w:rsidRPr="00BD3D2B" w:rsidR="007B6DB4">
        <w:rPr>
          <w:lang w:val="en-US"/>
        </w:rPr>
        <w:t xml:space="preserve">Section </w:t>
      </w:r>
      <w:r w:rsidRPr="00BD3D2B" w:rsidR="00432ADD">
        <w:rPr>
          <w:lang w:val="en-US"/>
        </w:rPr>
        <w:fldChar w:fldCharType="begin" w:fldLock="1"/>
      </w:r>
      <w:r w:rsidRPr="00BD3D2B" w:rsidR="00432ADD">
        <w:rPr>
          <w:lang w:val="en-US"/>
        </w:rPr>
        <w:instrText xml:space="preserve"> REF _Ref180684187 \r \h </w:instrText>
      </w:r>
      <w:r w:rsidR="001B2A12">
        <w:rPr>
          <w:lang w:val="en-US"/>
        </w:rPr>
        <w:instrText xml:space="preserve"> \* MERGEFORMAT </w:instrText>
      </w:r>
      <w:r w:rsidRPr="00BD3D2B" w:rsidR="00432ADD">
        <w:rPr>
          <w:lang w:val="en-US"/>
        </w:rPr>
        <w:fldChar w:fldCharType="separate"/>
      </w:r>
      <w:r w:rsidR="00735BBC">
        <w:rPr>
          <w:lang w:val="en-US"/>
        </w:rPr>
        <w:t>4.5.1</w:t>
      </w:r>
      <w:r w:rsidRPr="00BD3D2B" w:rsidR="00432ADD">
        <w:rPr>
          <w:lang w:val="en-US"/>
        </w:rPr>
        <w:fldChar w:fldCharType="end"/>
      </w:r>
      <w:r w:rsidRPr="00BD3D2B">
        <w:rPr>
          <w:lang w:val="en-US"/>
        </w:rPr>
        <w:t>) does not discuss the sociodemographic characteristics of the affected workers. While EPA lacks information on the characteristics of the workers in the specific regulated facilities, this analysis provides sociodemographic information on workers in the affected industries and locations as a proxy for the likely characteristics of affected workers.</w:t>
      </w:r>
    </w:p>
    <w:p w:rsidR="0078141F" w:rsidRPr="00BD3D2B" w:rsidP="0078141F" w14:paraId="48AB46E8" w14:textId="77777777">
      <w:pPr>
        <w:pStyle w:val="BodyText"/>
        <w:rPr>
          <w:lang w:val="en-US"/>
        </w:rPr>
      </w:pPr>
      <w:r w:rsidRPr="00BD3D2B">
        <w:rPr>
          <w:lang w:val="en-US"/>
        </w:rPr>
        <w:t xml:space="preserve">Data limitations prevent EPA from conducting a more comprehensive EJ analysis that would identify the incremental impacts of the regulatory options and assess the extent to which they mitigate or exacerbate any disproportionate impacts in communities with environmental justice concerns. Uncertainties include the information on the specific location of affected facilities using regulated PV29, sociodemographic characteristics of the specific individuals affected by the use categories, and the substitute technologies and practices that would be adopted at regulated entities in response to the proposed rule. </w:t>
      </w:r>
      <w:bookmarkStart w:id="345" w:name="_Ref122357936"/>
    </w:p>
    <w:bookmarkEnd w:id="345"/>
    <w:p w:rsidR="0078141F" w:rsidRPr="001B2A12" w:rsidP="0078141F" w14:paraId="36AD1E89" w14:textId="3112988A">
      <w:pPr>
        <w:pStyle w:val="Heading3"/>
      </w:pPr>
      <w:r w:rsidRPr="001B2A12">
        <w:t xml:space="preserve">All Identified </w:t>
      </w:r>
      <w:r w:rsidRPr="001B2A12" w:rsidR="002D6513">
        <w:t>PV29</w:t>
      </w:r>
      <w:r w:rsidRPr="001B2A12">
        <w:t xml:space="preserve"> Facilities</w:t>
      </w:r>
    </w:p>
    <w:p w:rsidR="0078141F" w:rsidRPr="0078141F" w:rsidP="0078141F" w14:paraId="45CF0BE5" w14:textId="3503A323">
      <w:r w:rsidRPr="00BD3D2B">
        <w:t>Section</w:t>
      </w:r>
      <w:r w:rsidRPr="00BD3D2B">
        <w:t xml:space="preserve"> </w:t>
      </w:r>
      <w:r w:rsidRPr="00BD3D2B" w:rsidR="001B2A12">
        <w:fldChar w:fldCharType="begin" w:fldLock="1"/>
      </w:r>
      <w:r w:rsidRPr="00BD3D2B" w:rsidR="001B2A12">
        <w:instrText xml:space="preserve"> REF _Ref180684200 \r \h </w:instrText>
      </w:r>
      <w:r w:rsidR="001B2A12">
        <w:instrText xml:space="preserve"> \* MERGEFORMAT </w:instrText>
      </w:r>
      <w:r w:rsidRPr="00BD3D2B" w:rsidR="001B2A12">
        <w:fldChar w:fldCharType="separate"/>
      </w:r>
      <w:r w:rsidR="00735BBC">
        <w:t>3.1</w:t>
      </w:r>
      <w:r w:rsidRPr="00BD3D2B" w:rsidR="001B2A12">
        <w:fldChar w:fldCharType="end"/>
      </w:r>
      <w:r w:rsidRPr="001B2A12">
        <w:t xml:space="preserve"> estimates the number of facilities potentially affected by the proposed rule. EPA was only able to determine the specific location of a single facility known to be using regulated PV29.  That facility, DCL Corporation</w:t>
      </w:r>
      <w:r w:rsidRPr="0078141F">
        <w:t xml:space="preserve">, is located at Goose Creek, SC, is both the sole manufacturer of PV29 and the sole processor of PV29 as an intermediate to make other perylene pigments. This section characterizes the baseline demographics of workers at that facility. The Goose Creek facility falls under the NAICs code </w:t>
      </w:r>
      <w:r w:rsidRPr="00BD3D2B">
        <w:rPr>
          <w:i/>
          <w:iCs/>
          <w:color w:val="000000"/>
        </w:rPr>
        <w:t>325130 (Synthetic Dye and Pigment Manufacturing</w:t>
      </w:r>
      <w:r w:rsidRPr="0078141F">
        <w:t xml:space="preserve"> sector). However, demographic data were not available at that level of detail so data are presented for NAICS 3251, Basic Chemical Manufacturing. This analysis assumes that the demographic composition of workers in the county in which the facility is located is representative of the demographics of workers at the facility. Data are taken from the Census’ QWI data averages indicator values for four quarters of 2020 (U.S. Census Bureau, 2022). </w:t>
      </w:r>
      <w:r w:rsidR="001B2A12">
        <w:fldChar w:fldCharType="begin" w:fldLock="1"/>
      </w:r>
      <w:r w:rsidR="001B2A12">
        <w:instrText xml:space="preserve"> REF _Ref180684246 \h </w:instrText>
      </w:r>
      <w:r w:rsidR="001B2A12">
        <w:fldChar w:fldCharType="separate"/>
      </w:r>
      <w:r w:rsidRPr="00C127EE" w:rsidR="00735BBC">
        <w:t xml:space="preserve">Table </w:t>
      </w:r>
      <w:r w:rsidR="00735BBC">
        <w:rPr>
          <w:noProof/>
        </w:rPr>
        <w:t>7</w:t>
      </w:r>
      <w:r w:rsidR="00735BBC">
        <w:noBreakHyphen/>
      </w:r>
      <w:r w:rsidR="00735BBC">
        <w:rPr>
          <w:noProof/>
        </w:rPr>
        <w:t>6</w:t>
      </w:r>
      <w:r w:rsidR="001B2A12">
        <w:fldChar w:fldCharType="end"/>
      </w:r>
      <w:r w:rsidR="001B2A12">
        <w:t xml:space="preserve"> </w:t>
      </w:r>
      <w:r w:rsidRPr="0078141F">
        <w:t xml:space="preserve">shows the data for workers in Berkely County in which the facility is located. </w:t>
      </w:r>
    </w:p>
    <w:p w:rsidR="0078141F" w:rsidRPr="00DA5444" w:rsidP="0078141F" w14:paraId="33081F64" w14:textId="7D347326">
      <w:r w:rsidRPr="0078141F">
        <w:t>The data suggests that worker populations for Berkely County have a higher percentage of Black workers than the national average for workers in the Basic Chemical Manufacturing sector. Additionally, Berkely County</w:t>
      </w:r>
      <w:r w:rsidR="00055515">
        <w:t>, which is rural,</w:t>
      </w:r>
      <w:r w:rsidRPr="0078141F">
        <w:t xml:space="preserve"> has a higher percentage of Black workers than the national average (including both urban and rural averages) for all workers.</w:t>
      </w:r>
      <w:r w:rsidRPr="00DA5444">
        <w:t xml:space="preserve">   </w:t>
      </w:r>
    </w:p>
    <w:p w:rsidR="0078141F" w:rsidP="0078141F" w14:paraId="59A918F1" w14:textId="12C00BD8"/>
    <w:tbl>
      <w:tblPr>
        <w:tblW w:w="9980" w:type="dxa"/>
        <w:jc w:val="center"/>
        <w:tblLook w:val="04A0"/>
      </w:tblPr>
      <w:tblGrid>
        <w:gridCol w:w="836"/>
        <w:gridCol w:w="1596"/>
        <w:gridCol w:w="1167"/>
        <w:gridCol w:w="877"/>
        <w:gridCol w:w="877"/>
        <w:gridCol w:w="907"/>
        <w:gridCol w:w="967"/>
        <w:gridCol w:w="1037"/>
        <w:gridCol w:w="877"/>
        <w:gridCol w:w="877"/>
      </w:tblGrid>
      <w:tr w14:paraId="50E0F566" w14:textId="77777777" w:rsidTr="00BD3D2B">
        <w:tblPrEx>
          <w:tblW w:w="9980" w:type="dxa"/>
          <w:jc w:val="center"/>
          <w:tblLook w:val="04A0"/>
        </w:tblPrEx>
        <w:trPr>
          <w:trHeight w:val="267"/>
          <w:jc w:val="center"/>
        </w:trPr>
        <w:tc>
          <w:tcPr>
            <w:tcW w:w="9980" w:type="dxa"/>
            <w:gridSpan w:val="10"/>
            <w:tcBorders>
              <w:bottom w:val="single" w:sz="4" w:space="0" w:color="auto"/>
            </w:tcBorders>
            <w:shd w:val="clear" w:color="auto" w:fill="auto"/>
            <w:vAlign w:val="center"/>
          </w:tcPr>
          <w:p w:rsidR="00531818" w:rsidRPr="0077753A" w:rsidP="00BD3D2B" w14:paraId="734C4ADD" w14:textId="6AAECFE0">
            <w:pPr>
              <w:pStyle w:val="TableTitleA"/>
              <w:keepLines/>
            </w:pPr>
            <w:bookmarkStart w:id="346" w:name="_Ref180684246"/>
            <w:bookmarkStart w:id="347" w:name="_Toc184299602"/>
            <w:r w:rsidRPr="00C127EE">
              <w:t xml:space="preserve">Table </w:t>
            </w:r>
            <w:r>
              <w:fldChar w:fldCharType="begin" w:fldLock="1"/>
            </w:r>
            <w:r>
              <w:instrText>STYLEREF 1 \s</w:instrText>
            </w:r>
            <w:r>
              <w:fldChar w:fldCharType="separate"/>
            </w:r>
            <w:r w:rsidR="00735BBC">
              <w:rPr>
                <w:noProof/>
              </w:rPr>
              <w:t>7</w:t>
            </w:r>
            <w:r>
              <w:fldChar w:fldCharType="end"/>
            </w:r>
            <w:r w:rsidR="000A1542">
              <w:noBreakHyphen/>
            </w:r>
            <w:r>
              <w:fldChar w:fldCharType="begin" w:fldLock="1"/>
            </w:r>
            <w:r>
              <w:instrText>SEQ Table \* ARABIC \s 1</w:instrText>
            </w:r>
            <w:r>
              <w:fldChar w:fldCharType="separate"/>
            </w:r>
            <w:r w:rsidR="00735BBC">
              <w:rPr>
                <w:noProof/>
              </w:rPr>
              <w:t>6</w:t>
            </w:r>
            <w:r>
              <w:fldChar w:fldCharType="end"/>
            </w:r>
            <w:bookmarkEnd w:id="346"/>
            <w:r w:rsidRPr="00C127EE">
              <w:t xml:space="preserve">: </w:t>
            </w:r>
            <w:r w:rsidRPr="00BD3D2B">
              <w:t>Characteristics of General Worker Populations at National Level and Sector Worker Populations in Areas nearby PV29 Manufacturing Facility</w:t>
            </w:r>
            <w:bookmarkEnd w:id="347"/>
          </w:p>
        </w:tc>
      </w:tr>
      <w:tr w14:paraId="7B8443C3" w14:textId="77777777" w:rsidTr="0077753A">
        <w:tblPrEx>
          <w:tblW w:w="9980" w:type="dxa"/>
          <w:jc w:val="center"/>
          <w:tblLook w:val="04A0"/>
        </w:tblPrEx>
        <w:trPr>
          <w:trHeight w:val="1310"/>
          <w:jc w:val="center"/>
        </w:trPr>
        <w:tc>
          <w:tcPr>
            <w:tcW w:w="0" w:type="auto"/>
            <w:tcBorders>
              <w:top w:val="single" w:sz="4" w:space="0" w:color="auto"/>
              <w:left w:val="single" w:sz="8" w:space="0" w:color="auto"/>
              <w:bottom w:val="single" w:sz="8" w:space="0" w:color="auto"/>
              <w:right w:val="single" w:sz="8" w:space="0" w:color="auto"/>
            </w:tcBorders>
            <w:shd w:val="clear" w:color="auto" w:fill="013E5B"/>
            <w:vAlign w:val="center"/>
            <w:hideMark/>
          </w:tcPr>
          <w:p w:rsidR="0078141F" w:rsidRPr="007724CC" w:rsidP="00BD3D2B" w14:paraId="472EB8AE" w14:textId="77777777">
            <w:pPr>
              <w:pStyle w:val="TableSubtitle"/>
            </w:pPr>
            <w:r w:rsidRPr="007724CC">
              <w:t>Region</w:t>
            </w:r>
          </w:p>
        </w:tc>
        <w:tc>
          <w:tcPr>
            <w:tcW w:w="1755" w:type="dxa"/>
            <w:tcBorders>
              <w:top w:val="single" w:sz="4" w:space="0" w:color="auto"/>
              <w:left w:val="nil"/>
              <w:bottom w:val="single" w:sz="8" w:space="0" w:color="auto"/>
              <w:right w:val="single" w:sz="8" w:space="0" w:color="auto"/>
            </w:tcBorders>
            <w:shd w:val="clear" w:color="auto" w:fill="013E5B"/>
            <w:vAlign w:val="center"/>
            <w:hideMark/>
          </w:tcPr>
          <w:p w:rsidR="0078141F" w:rsidRPr="007724CC" w:rsidP="00BD3D2B" w14:paraId="666FD0F6" w14:textId="77777777">
            <w:pPr>
              <w:pStyle w:val="TableSubtitle"/>
            </w:pPr>
            <w:r>
              <w:t>National/</w:t>
            </w:r>
            <w:r w:rsidRPr="007724CC">
              <w:t>County Employees in Industry</w:t>
            </w:r>
          </w:p>
        </w:tc>
        <w:tc>
          <w:tcPr>
            <w:tcW w:w="1104" w:type="dxa"/>
            <w:tcBorders>
              <w:top w:val="single" w:sz="4" w:space="0" w:color="auto"/>
              <w:left w:val="nil"/>
              <w:bottom w:val="single" w:sz="8" w:space="0" w:color="auto"/>
              <w:right w:val="single" w:sz="8" w:space="0" w:color="auto"/>
            </w:tcBorders>
            <w:shd w:val="clear" w:color="auto" w:fill="013E5B"/>
            <w:vAlign w:val="center"/>
            <w:hideMark/>
          </w:tcPr>
          <w:p w:rsidR="0078141F" w:rsidRPr="007724CC" w:rsidP="00BD3D2B" w14:paraId="6AB060D4" w14:textId="77777777">
            <w:pPr>
              <w:pStyle w:val="TableSubtitle"/>
            </w:pPr>
            <w:r w:rsidRPr="007724CC">
              <w:t>Percent Local Employees in Industry</w:t>
            </w:r>
          </w:p>
        </w:tc>
        <w:tc>
          <w:tcPr>
            <w:tcW w:w="849" w:type="dxa"/>
            <w:tcBorders>
              <w:top w:val="single" w:sz="4" w:space="0" w:color="auto"/>
              <w:left w:val="nil"/>
              <w:bottom w:val="single" w:sz="8" w:space="0" w:color="auto"/>
              <w:right w:val="single" w:sz="8" w:space="0" w:color="auto"/>
            </w:tcBorders>
            <w:shd w:val="clear" w:color="auto" w:fill="013E5B"/>
            <w:vAlign w:val="center"/>
            <w:hideMark/>
          </w:tcPr>
          <w:p w:rsidR="0078141F" w:rsidRPr="007724CC" w:rsidP="00BD3D2B" w14:paraId="0B7FA1B3" w14:textId="77777777">
            <w:pPr>
              <w:pStyle w:val="TableSubtitle"/>
            </w:pPr>
            <w:r w:rsidRPr="007724CC">
              <w:t>Percent Asian</w:t>
            </w:r>
          </w:p>
        </w:tc>
        <w:tc>
          <w:tcPr>
            <w:tcW w:w="847" w:type="dxa"/>
            <w:tcBorders>
              <w:top w:val="single" w:sz="4" w:space="0" w:color="auto"/>
              <w:left w:val="nil"/>
              <w:bottom w:val="single" w:sz="8" w:space="0" w:color="auto"/>
              <w:right w:val="single" w:sz="8" w:space="0" w:color="auto"/>
            </w:tcBorders>
            <w:shd w:val="clear" w:color="auto" w:fill="013E5B"/>
            <w:vAlign w:val="center"/>
            <w:hideMark/>
          </w:tcPr>
          <w:p w:rsidR="0078141F" w:rsidRPr="007724CC" w:rsidP="00BD3D2B" w14:paraId="3A6B0D18" w14:textId="77777777">
            <w:pPr>
              <w:pStyle w:val="TableSubtitle"/>
            </w:pPr>
            <w:r w:rsidRPr="007724CC">
              <w:t>Percent Black</w:t>
            </w:r>
          </w:p>
        </w:tc>
        <w:tc>
          <w:tcPr>
            <w:tcW w:w="884" w:type="dxa"/>
            <w:tcBorders>
              <w:top w:val="single" w:sz="4" w:space="0" w:color="auto"/>
              <w:left w:val="nil"/>
              <w:bottom w:val="single" w:sz="8" w:space="0" w:color="auto"/>
              <w:right w:val="single" w:sz="8" w:space="0" w:color="auto"/>
            </w:tcBorders>
            <w:shd w:val="clear" w:color="auto" w:fill="013E5B"/>
            <w:vAlign w:val="center"/>
            <w:hideMark/>
          </w:tcPr>
          <w:p w:rsidR="0078141F" w:rsidRPr="007724CC" w:rsidP="00BD3D2B" w14:paraId="37E22CFB" w14:textId="77777777">
            <w:pPr>
              <w:pStyle w:val="TableSubtitle"/>
            </w:pPr>
            <w:r w:rsidRPr="007724CC">
              <w:t>Percent Pacific Islander</w:t>
            </w:r>
          </w:p>
        </w:tc>
        <w:tc>
          <w:tcPr>
            <w:tcW w:w="919" w:type="dxa"/>
            <w:tcBorders>
              <w:top w:val="single" w:sz="4" w:space="0" w:color="auto"/>
              <w:left w:val="nil"/>
              <w:bottom w:val="single" w:sz="8" w:space="0" w:color="auto"/>
              <w:right w:val="single" w:sz="8" w:space="0" w:color="auto"/>
            </w:tcBorders>
            <w:shd w:val="clear" w:color="auto" w:fill="013E5B"/>
            <w:vAlign w:val="center"/>
            <w:hideMark/>
          </w:tcPr>
          <w:p w:rsidR="0078141F" w:rsidRPr="007724CC" w:rsidP="00BD3D2B" w14:paraId="7AE47C29" w14:textId="77777777">
            <w:pPr>
              <w:pStyle w:val="TableSubtitle"/>
            </w:pPr>
            <w:r w:rsidRPr="007724CC">
              <w:t>Percent Hispanic</w:t>
            </w:r>
          </w:p>
        </w:tc>
        <w:tc>
          <w:tcPr>
            <w:tcW w:w="1010" w:type="dxa"/>
            <w:tcBorders>
              <w:top w:val="single" w:sz="4" w:space="0" w:color="auto"/>
              <w:left w:val="nil"/>
              <w:bottom w:val="single" w:sz="8" w:space="0" w:color="auto"/>
              <w:right w:val="single" w:sz="8" w:space="0" w:color="auto"/>
            </w:tcBorders>
            <w:shd w:val="clear" w:color="auto" w:fill="013E5B"/>
            <w:vAlign w:val="center"/>
            <w:hideMark/>
          </w:tcPr>
          <w:p w:rsidR="0078141F" w:rsidRPr="007724CC" w:rsidP="00BD3D2B" w14:paraId="2A7C2F13" w14:textId="77777777">
            <w:pPr>
              <w:pStyle w:val="TableSubtitle"/>
            </w:pPr>
            <w:r w:rsidRPr="007724CC">
              <w:t>Percent Native American</w:t>
            </w:r>
          </w:p>
        </w:tc>
        <w:tc>
          <w:tcPr>
            <w:tcW w:w="850" w:type="dxa"/>
            <w:tcBorders>
              <w:top w:val="single" w:sz="4" w:space="0" w:color="auto"/>
              <w:left w:val="nil"/>
              <w:bottom w:val="single" w:sz="8" w:space="0" w:color="auto"/>
              <w:right w:val="single" w:sz="8" w:space="0" w:color="auto"/>
            </w:tcBorders>
            <w:shd w:val="clear" w:color="auto" w:fill="013E5B"/>
            <w:vAlign w:val="center"/>
            <w:hideMark/>
          </w:tcPr>
          <w:p w:rsidR="0078141F" w:rsidRPr="007724CC" w:rsidP="00BD3D2B" w14:paraId="7926C13E" w14:textId="77777777">
            <w:pPr>
              <w:pStyle w:val="TableSubtitle"/>
            </w:pPr>
            <w:r w:rsidRPr="007724CC">
              <w:t>Percent 2 of More Races</w:t>
            </w:r>
          </w:p>
        </w:tc>
        <w:tc>
          <w:tcPr>
            <w:tcW w:w="847" w:type="dxa"/>
            <w:tcBorders>
              <w:top w:val="single" w:sz="4" w:space="0" w:color="auto"/>
              <w:left w:val="nil"/>
              <w:bottom w:val="single" w:sz="8" w:space="0" w:color="auto"/>
              <w:right w:val="single" w:sz="8" w:space="0" w:color="auto"/>
            </w:tcBorders>
            <w:shd w:val="clear" w:color="auto" w:fill="013E5B"/>
            <w:vAlign w:val="center"/>
            <w:hideMark/>
          </w:tcPr>
          <w:p w:rsidR="0078141F" w:rsidRPr="007724CC" w:rsidP="00BD3D2B" w14:paraId="5ED06374" w14:textId="77777777">
            <w:pPr>
              <w:pStyle w:val="TableSubtitle"/>
            </w:pPr>
            <w:r w:rsidRPr="007724CC">
              <w:t>Percent White</w:t>
            </w:r>
          </w:p>
        </w:tc>
      </w:tr>
      <w:tr w14:paraId="644BE2A5" w14:textId="77777777" w:rsidTr="00BD3D2B">
        <w:tblPrEx>
          <w:tblW w:w="9980" w:type="dxa"/>
          <w:jc w:val="center"/>
          <w:tblLook w:val="04A0"/>
        </w:tblPrEx>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8141F" w:rsidRPr="007724CC" w:rsidP="00BD3D2B" w14:paraId="1C287BE4" w14:textId="77777777">
            <w:pPr>
              <w:pStyle w:val="LTableTextAbt"/>
            </w:pPr>
            <w:r w:rsidRPr="007724CC">
              <w:t>National</w:t>
            </w:r>
          </w:p>
        </w:tc>
        <w:tc>
          <w:tcPr>
            <w:tcW w:w="1755" w:type="dxa"/>
            <w:tcBorders>
              <w:top w:val="nil"/>
              <w:left w:val="nil"/>
              <w:bottom w:val="single" w:sz="8" w:space="0" w:color="auto"/>
              <w:right w:val="single" w:sz="8" w:space="0" w:color="auto"/>
            </w:tcBorders>
            <w:shd w:val="clear" w:color="auto" w:fill="auto"/>
            <w:vAlign w:val="center"/>
            <w:hideMark/>
          </w:tcPr>
          <w:p w:rsidR="0078141F" w:rsidRPr="007724CC" w:rsidP="00BD3D2B" w14:paraId="58258A9B" w14:textId="77777777">
            <w:pPr>
              <w:pStyle w:val="RTableTextAbt"/>
            </w:pPr>
            <w:r w:rsidRPr="007724CC">
              <w:t>326,569,308</w:t>
            </w:r>
          </w:p>
        </w:tc>
        <w:tc>
          <w:tcPr>
            <w:tcW w:w="1104" w:type="dxa"/>
            <w:tcBorders>
              <w:top w:val="nil"/>
              <w:left w:val="nil"/>
              <w:bottom w:val="single" w:sz="8" w:space="0" w:color="auto"/>
              <w:right w:val="single" w:sz="8" w:space="0" w:color="auto"/>
            </w:tcBorders>
            <w:shd w:val="clear" w:color="auto" w:fill="auto"/>
            <w:vAlign w:val="center"/>
            <w:hideMark/>
          </w:tcPr>
          <w:p w:rsidR="0078141F" w:rsidRPr="007724CC" w:rsidP="00BD3D2B" w14:paraId="33433FAA" w14:textId="77777777">
            <w:pPr>
              <w:pStyle w:val="RTableTextAbt"/>
            </w:pPr>
            <w:r w:rsidRPr="007724CC">
              <w:t> </w:t>
            </w:r>
          </w:p>
        </w:tc>
        <w:tc>
          <w:tcPr>
            <w:tcW w:w="849" w:type="dxa"/>
            <w:tcBorders>
              <w:top w:val="nil"/>
              <w:left w:val="nil"/>
              <w:bottom w:val="single" w:sz="8" w:space="0" w:color="auto"/>
              <w:right w:val="single" w:sz="8" w:space="0" w:color="auto"/>
            </w:tcBorders>
            <w:shd w:val="clear" w:color="auto" w:fill="auto"/>
            <w:vAlign w:val="center"/>
            <w:hideMark/>
          </w:tcPr>
          <w:p w:rsidR="0078141F" w:rsidRPr="007724CC" w:rsidP="00BD3D2B" w14:paraId="35EE310E" w14:textId="77777777">
            <w:pPr>
              <w:pStyle w:val="RTableTextAbt"/>
            </w:pPr>
            <w:r w:rsidRPr="007724CC">
              <w:t>5.60%</w:t>
            </w:r>
          </w:p>
        </w:tc>
        <w:tc>
          <w:tcPr>
            <w:tcW w:w="847" w:type="dxa"/>
            <w:tcBorders>
              <w:top w:val="nil"/>
              <w:left w:val="nil"/>
              <w:bottom w:val="single" w:sz="8" w:space="0" w:color="auto"/>
              <w:right w:val="single" w:sz="8" w:space="0" w:color="auto"/>
            </w:tcBorders>
            <w:shd w:val="clear" w:color="auto" w:fill="auto"/>
            <w:vAlign w:val="center"/>
            <w:hideMark/>
          </w:tcPr>
          <w:p w:rsidR="0078141F" w:rsidRPr="007724CC" w:rsidP="00BD3D2B" w14:paraId="0DDCA6D4" w14:textId="77777777">
            <w:pPr>
              <w:pStyle w:val="RTableTextAbt"/>
            </w:pPr>
            <w:r w:rsidRPr="007724CC">
              <w:t>12.60%</w:t>
            </w:r>
          </w:p>
        </w:tc>
        <w:tc>
          <w:tcPr>
            <w:tcW w:w="884" w:type="dxa"/>
            <w:tcBorders>
              <w:top w:val="nil"/>
              <w:left w:val="nil"/>
              <w:bottom w:val="single" w:sz="8" w:space="0" w:color="auto"/>
              <w:right w:val="single" w:sz="8" w:space="0" w:color="auto"/>
            </w:tcBorders>
            <w:shd w:val="clear" w:color="auto" w:fill="auto"/>
            <w:vAlign w:val="center"/>
            <w:hideMark/>
          </w:tcPr>
          <w:p w:rsidR="0078141F" w:rsidRPr="007724CC" w:rsidP="00BD3D2B" w14:paraId="64F8C417" w14:textId="77777777">
            <w:pPr>
              <w:pStyle w:val="RTableTextAbt"/>
            </w:pPr>
            <w:r w:rsidRPr="007724CC">
              <w:t>0.20%</w:t>
            </w:r>
          </w:p>
        </w:tc>
        <w:tc>
          <w:tcPr>
            <w:tcW w:w="919" w:type="dxa"/>
            <w:tcBorders>
              <w:top w:val="nil"/>
              <w:left w:val="nil"/>
              <w:bottom w:val="single" w:sz="8" w:space="0" w:color="auto"/>
              <w:right w:val="single" w:sz="8" w:space="0" w:color="auto"/>
            </w:tcBorders>
            <w:shd w:val="clear" w:color="auto" w:fill="auto"/>
            <w:vAlign w:val="center"/>
            <w:hideMark/>
          </w:tcPr>
          <w:p w:rsidR="0078141F" w:rsidRPr="007724CC" w:rsidP="00BD3D2B" w14:paraId="3687A596" w14:textId="77777777">
            <w:pPr>
              <w:pStyle w:val="RTableTextAbt"/>
            </w:pPr>
            <w:r w:rsidRPr="007724CC">
              <w:t>18.20%</w:t>
            </w:r>
          </w:p>
        </w:tc>
        <w:tc>
          <w:tcPr>
            <w:tcW w:w="1010" w:type="dxa"/>
            <w:tcBorders>
              <w:top w:val="nil"/>
              <w:left w:val="nil"/>
              <w:bottom w:val="single" w:sz="8" w:space="0" w:color="auto"/>
              <w:right w:val="single" w:sz="8" w:space="0" w:color="auto"/>
            </w:tcBorders>
            <w:shd w:val="clear" w:color="auto" w:fill="auto"/>
            <w:vAlign w:val="center"/>
            <w:hideMark/>
          </w:tcPr>
          <w:p w:rsidR="0078141F" w:rsidRPr="007724CC" w:rsidP="00BD3D2B" w14:paraId="0CE82F4E" w14:textId="77777777">
            <w:pPr>
              <w:pStyle w:val="RTableTextAbt"/>
            </w:pPr>
            <w:r w:rsidRPr="007724CC">
              <w:t>0.80%</w:t>
            </w:r>
          </w:p>
        </w:tc>
        <w:tc>
          <w:tcPr>
            <w:tcW w:w="850" w:type="dxa"/>
            <w:tcBorders>
              <w:top w:val="nil"/>
              <w:left w:val="nil"/>
              <w:bottom w:val="single" w:sz="8" w:space="0" w:color="auto"/>
              <w:right w:val="single" w:sz="8" w:space="0" w:color="auto"/>
            </w:tcBorders>
            <w:shd w:val="clear" w:color="auto" w:fill="auto"/>
            <w:vAlign w:val="center"/>
            <w:hideMark/>
          </w:tcPr>
          <w:p w:rsidR="0078141F" w:rsidRPr="007724CC" w:rsidP="00BD3D2B" w14:paraId="426B8593" w14:textId="77777777">
            <w:pPr>
              <w:pStyle w:val="RTableTextAbt"/>
            </w:pPr>
            <w:r w:rsidRPr="007724CC">
              <w:t>5.20%</w:t>
            </w:r>
          </w:p>
        </w:tc>
        <w:tc>
          <w:tcPr>
            <w:tcW w:w="847" w:type="dxa"/>
            <w:tcBorders>
              <w:top w:val="nil"/>
              <w:left w:val="nil"/>
              <w:bottom w:val="single" w:sz="8" w:space="0" w:color="auto"/>
              <w:right w:val="single" w:sz="8" w:space="0" w:color="auto"/>
            </w:tcBorders>
            <w:shd w:val="clear" w:color="auto" w:fill="auto"/>
            <w:vAlign w:val="center"/>
            <w:hideMark/>
          </w:tcPr>
          <w:p w:rsidR="0078141F" w:rsidRPr="007724CC" w:rsidP="00BD3D2B" w14:paraId="31F021C2" w14:textId="77777777">
            <w:pPr>
              <w:pStyle w:val="RTableTextAbt"/>
            </w:pPr>
            <w:r w:rsidRPr="007724CC">
              <w:t>70.40%</w:t>
            </w:r>
          </w:p>
        </w:tc>
      </w:tr>
      <w:tr w14:paraId="6B2A7E1C" w14:textId="77777777" w:rsidTr="00BD3D2B">
        <w:tblPrEx>
          <w:tblW w:w="9980" w:type="dxa"/>
          <w:jc w:val="center"/>
          <w:tblLook w:val="04A0"/>
        </w:tblPrEx>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8141F" w:rsidRPr="007724CC" w:rsidP="00BD3D2B" w14:paraId="4E42C59B" w14:textId="77777777">
            <w:pPr>
              <w:pStyle w:val="LTableTextAbt"/>
            </w:pPr>
            <w:r w:rsidRPr="007724CC">
              <w:t>Urban</w:t>
            </w:r>
          </w:p>
        </w:tc>
        <w:tc>
          <w:tcPr>
            <w:tcW w:w="1755" w:type="dxa"/>
            <w:tcBorders>
              <w:top w:val="nil"/>
              <w:left w:val="nil"/>
              <w:bottom w:val="single" w:sz="8" w:space="0" w:color="auto"/>
              <w:right w:val="single" w:sz="8" w:space="0" w:color="auto"/>
            </w:tcBorders>
            <w:shd w:val="clear" w:color="auto" w:fill="auto"/>
            <w:vAlign w:val="center"/>
            <w:hideMark/>
          </w:tcPr>
          <w:p w:rsidR="0078141F" w:rsidRPr="007724CC" w:rsidP="00BD3D2B" w14:paraId="72A3BA33" w14:textId="77777777">
            <w:pPr>
              <w:pStyle w:val="RTableTextAbt"/>
            </w:pPr>
            <w:r w:rsidRPr="007724CC">
              <w:t>266,435,744</w:t>
            </w:r>
          </w:p>
        </w:tc>
        <w:tc>
          <w:tcPr>
            <w:tcW w:w="1104" w:type="dxa"/>
            <w:tcBorders>
              <w:top w:val="nil"/>
              <w:left w:val="nil"/>
              <w:bottom w:val="single" w:sz="8" w:space="0" w:color="auto"/>
              <w:right w:val="single" w:sz="8" w:space="0" w:color="auto"/>
            </w:tcBorders>
            <w:shd w:val="clear" w:color="auto" w:fill="auto"/>
            <w:vAlign w:val="center"/>
            <w:hideMark/>
          </w:tcPr>
          <w:p w:rsidR="0078141F" w:rsidRPr="007724CC" w:rsidP="00BD3D2B" w14:paraId="0E2B3024" w14:textId="77777777">
            <w:pPr>
              <w:pStyle w:val="RTableTextAbt"/>
            </w:pPr>
            <w:r w:rsidRPr="007724CC">
              <w:t> </w:t>
            </w:r>
          </w:p>
        </w:tc>
        <w:tc>
          <w:tcPr>
            <w:tcW w:w="849" w:type="dxa"/>
            <w:tcBorders>
              <w:top w:val="nil"/>
              <w:left w:val="nil"/>
              <w:bottom w:val="single" w:sz="8" w:space="0" w:color="auto"/>
              <w:right w:val="single" w:sz="8" w:space="0" w:color="auto"/>
            </w:tcBorders>
            <w:shd w:val="clear" w:color="auto" w:fill="auto"/>
            <w:vAlign w:val="center"/>
            <w:hideMark/>
          </w:tcPr>
          <w:p w:rsidR="0078141F" w:rsidRPr="007724CC" w:rsidP="00BD3D2B" w14:paraId="29E28110" w14:textId="77777777">
            <w:pPr>
              <w:pStyle w:val="RTableTextAbt"/>
            </w:pPr>
            <w:r w:rsidRPr="007724CC">
              <w:t>6.60%</w:t>
            </w:r>
          </w:p>
        </w:tc>
        <w:tc>
          <w:tcPr>
            <w:tcW w:w="847" w:type="dxa"/>
            <w:tcBorders>
              <w:top w:val="nil"/>
              <w:left w:val="nil"/>
              <w:bottom w:val="single" w:sz="8" w:space="0" w:color="auto"/>
              <w:right w:val="single" w:sz="8" w:space="0" w:color="auto"/>
            </w:tcBorders>
            <w:shd w:val="clear" w:color="auto" w:fill="auto"/>
            <w:vAlign w:val="center"/>
            <w:hideMark/>
          </w:tcPr>
          <w:p w:rsidR="0078141F" w:rsidRPr="007724CC" w:rsidP="00BD3D2B" w14:paraId="717E0E30" w14:textId="77777777">
            <w:pPr>
              <w:pStyle w:val="RTableTextAbt"/>
            </w:pPr>
            <w:r w:rsidRPr="007724CC">
              <w:t>14.20%</w:t>
            </w:r>
          </w:p>
        </w:tc>
        <w:tc>
          <w:tcPr>
            <w:tcW w:w="884" w:type="dxa"/>
            <w:tcBorders>
              <w:top w:val="nil"/>
              <w:left w:val="nil"/>
              <w:bottom w:val="single" w:sz="8" w:space="0" w:color="auto"/>
              <w:right w:val="single" w:sz="8" w:space="0" w:color="auto"/>
            </w:tcBorders>
            <w:shd w:val="clear" w:color="auto" w:fill="auto"/>
            <w:vAlign w:val="center"/>
            <w:hideMark/>
          </w:tcPr>
          <w:p w:rsidR="0078141F" w:rsidRPr="007724CC" w:rsidP="00BD3D2B" w14:paraId="0BF33D4E" w14:textId="77777777">
            <w:pPr>
              <w:pStyle w:val="RTableTextAbt"/>
            </w:pPr>
            <w:r w:rsidRPr="007724CC">
              <w:t>0.20%</w:t>
            </w:r>
          </w:p>
        </w:tc>
        <w:tc>
          <w:tcPr>
            <w:tcW w:w="919" w:type="dxa"/>
            <w:tcBorders>
              <w:top w:val="nil"/>
              <w:left w:val="nil"/>
              <w:bottom w:val="single" w:sz="8" w:space="0" w:color="auto"/>
              <w:right w:val="single" w:sz="8" w:space="0" w:color="auto"/>
            </w:tcBorders>
            <w:shd w:val="clear" w:color="auto" w:fill="auto"/>
            <w:vAlign w:val="center"/>
            <w:hideMark/>
          </w:tcPr>
          <w:p w:rsidR="0078141F" w:rsidRPr="007724CC" w:rsidP="00BD3D2B" w14:paraId="0D83822D" w14:textId="77777777">
            <w:pPr>
              <w:pStyle w:val="RTableTextAbt"/>
            </w:pPr>
            <w:r w:rsidRPr="007724CC">
              <w:t>21.70%</w:t>
            </w:r>
          </w:p>
        </w:tc>
        <w:tc>
          <w:tcPr>
            <w:tcW w:w="1010" w:type="dxa"/>
            <w:tcBorders>
              <w:top w:val="nil"/>
              <w:left w:val="nil"/>
              <w:bottom w:val="single" w:sz="8" w:space="0" w:color="auto"/>
              <w:right w:val="single" w:sz="8" w:space="0" w:color="auto"/>
            </w:tcBorders>
            <w:shd w:val="clear" w:color="auto" w:fill="auto"/>
            <w:vAlign w:val="center"/>
            <w:hideMark/>
          </w:tcPr>
          <w:p w:rsidR="0078141F" w:rsidRPr="007724CC" w:rsidP="00BD3D2B" w14:paraId="0925AB9A" w14:textId="77777777">
            <w:pPr>
              <w:pStyle w:val="RTableTextAbt"/>
            </w:pPr>
            <w:r w:rsidRPr="007724CC">
              <w:t>0.60%</w:t>
            </w:r>
          </w:p>
        </w:tc>
        <w:tc>
          <w:tcPr>
            <w:tcW w:w="850" w:type="dxa"/>
            <w:tcBorders>
              <w:top w:val="nil"/>
              <w:left w:val="nil"/>
              <w:bottom w:val="single" w:sz="8" w:space="0" w:color="auto"/>
              <w:right w:val="single" w:sz="8" w:space="0" w:color="auto"/>
            </w:tcBorders>
            <w:shd w:val="clear" w:color="auto" w:fill="auto"/>
            <w:vAlign w:val="center"/>
            <w:hideMark/>
          </w:tcPr>
          <w:p w:rsidR="0078141F" w:rsidRPr="007724CC" w:rsidP="00BD3D2B" w14:paraId="0534EFB7" w14:textId="77777777">
            <w:pPr>
              <w:pStyle w:val="RTableTextAbt"/>
            </w:pPr>
            <w:r w:rsidRPr="007724CC">
              <w:t>5.70%</w:t>
            </w:r>
          </w:p>
        </w:tc>
        <w:tc>
          <w:tcPr>
            <w:tcW w:w="847" w:type="dxa"/>
            <w:tcBorders>
              <w:top w:val="nil"/>
              <w:left w:val="nil"/>
              <w:bottom w:val="single" w:sz="8" w:space="0" w:color="auto"/>
              <w:right w:val="single" w:sz="8" w:space="0" w:color="auto"/>
            </w:tcBorders>
            <w:shd w:val="clear" w:color="auto" w:fill="auto"/>
            <w:vAlign w:val="center"/>
            <w:hideMark/>
          </w:tcPr>
          <w:p w:rsidR="0078141F" w:rsidRPr="007724CC" w:rsidP="00BD3D2B" w14:paraId="5ADCFEDE" w14:textId="77777777">
            <w:pPr>
              <w:pStyle w:val="RTableTextAbt"/>
            </w:pPr>
            <w:r w:rsidRPr="007724CC">
              <w:t>66.50%</w:t>
            </w:r>
          </w:p>
        </w:tc>
      </w:tr>
      <w:tr w14:paraId="63498960" w14:textId="77777777" w:rsidTr="00BD3D2B">
        <w:tblPrEx>
          <w:tblW w:w="9980" w:type="dxa"/>
          <w:jc w:val="center"/>
          <w:tblLook w:val="04A0"/>
        </w:tblPrEx>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8141F" w:rsidRPr="007724CC" w:rsidP="00BD3D2B" w14:paraId="5834F4DA" w14:textId="77777777">
            <w:pPr>
              <w:pStyle w:val="LTableTextAbt"/>
            </w:pPr>
            <w:r w:rsidRPr="007724CC">
              <w:t>Rural</w:t>
            </w:r>
          </w:p>
        </w:tc>
        <w:tc>
          <w:tcPr>
            <w:tcW w:w="1755" w:type="dxa"/>
            <w:tcBorders>
              <w:top w:val="nil"/>
              <w:left w:val="nil"/>
              <w:bottom w:val="single" w:sz="8" w:space="0" w:color="auto"/>
              <w:right w:val="single" w:sz="8" w:space="0" w:color="auto"/>
            </w:tcBorders>
            <w:shd w:val="clear" w:color="auto" w:fill="auto"/>
            <w:vAlign w:val="center"/>
            <w:hideMark/>
          </w:tcPr>
          <w:p w:rsidR="0078141F" w:rsidRPr="007724CC" w:rsidP="00BD3D2B" w14:paraId="02A232A1" w14:textId="77777777">
            <w:pPr>
              <w:pStyle w:val="RTableTextAbt"/>
            </w:pPr>
            <w:r w:rsidRPr="007724CC">
              <w:t>60,133,564</w:t>
            </w:r>
          </w:p>
        </w:tc>
        <w:tc>
          <w:tcPr>
            <w:tcW w:w="1104" w:type="dxa"/>
            <w:tcBorders>
              <w:top w:val="nil"/>
              <w:left w:val="nil"/>
              <w:bottom w:val="single" w:sz="8" w:space="0" w:color="auto"/>
              <w:right w:val="single" w:sz="8" w:space="0" w:color="auto"/>
            </w:tcBorders>
            <w:shd w:val="clear" w:color="auto" w:fill="auto"/>
            <w:vAlign w:val="center"/>
            <w:hideMark/>
          </w:tcPr>
          <w:p w:rsidR="0078141F" w:rsidRPr="007724CC" w:rsidP="00BD3D2B" w14:paraId="237CFF64" w14:textId="77777777">
            <w:pPr>
              <w:pStyle w:val="RTableTextAbt"/>
            </w:pPr>
            <w:r w:rsidRPr="007724CC">
              <w:t> </w:t>
            </w:r>
          </w:p>
        </w:tc>
        <w:tc>
          <w:tcPr>
            <w:tcW w:w="849" w:type="dxa"/>
            <w:tcBorders>
              <w:top w:val="nil"/>
              <w:left w:val="nil"/>
              <w:bottom w:val="single" w:sz="8" w:space="0" w:color="auto"/>
              <w:right w:val="single" w:sz="8" w:space="0" w:color="auto"/>
            </w:tcBorders>
            <w:shd w:val="clear" w:color="auto" w:fill="auto"/>
            <w:vAlign w:val="center"/>
            <w:hideMark/>
          </w:tcPr>
          <w:p w:rsidR="0078141F" w:rsidRPr="007724CC" w:rsidP="00BD3D2B" w14:paraId="0D5E5BF3" w14:textId="77777777">
            <w:pPr>
              <w:pStyle w:val="RTableTextAbt"/>
            </w:pPr>
            <w:r w:rsidRPr="007724CC">
              <w:t>1.20%</w:t>
            </w:r>
          </w:p>
        </w:tc>
        <w:tc>
          <w:tcPr>
            <w:tcW w:w="847" w:type="dxa"/>
            <w:tcBorders>
              <w:top w:val="nil"/>
              <w:left w:val="nil"/>
              <w:bottom w:val="single" w:sz="8" w:space="0" w:color="auto"/>
              <w:right w:val="single" w:sz="8" w:space="0" w:color="auto"/>
            </w:tcBorders>
            <w:shd w:val="clear" w:color="auto" w:fill="auto"/>
            <w:vAlign w:val="center"/>
            <w:hideMark/>
          </w:tcPr>
          <w:p w:rsidR="0078141F" w:rsidRPr="007724CC" w:rsidP="00BD3D2B" w14:paraId="77FA41BB" w14:textId="77777777">
            <w:pPr>
              <w:pStyle w:val="RTableTextAbt"/>
            </w:pPr>
            <w:r w:rsidRPr="007724CC">
              <w:t>5.80%</w:t>
            </w:r>
          </w:p>
        </w:tc>
        <w:tc>
          <w:tcPr>
            <w:tcW w:w="884" w:type="dxa"/>
            <w:tcBorders>
              <w:top w:val="nil"/>
              <w:left w:val="nil"/>
              <w:bottom w:val="single" w:sz="8" w:space="0" w:color="auto"/>
              <w:right w:val="single" w:sz="8" w:space="0" w:color="auto"/>
            </w:tcBorders>
            <w:shd w:val="clear" w:color="auto" w:fill="auto"/>
            <w:vAlign w:val="center"/>
            <w:hideMark/>
          </w:tcPr>
          <w:p w:rsidR="0078141F" w:rsidRPr="007724CC" w:rsidP="00BD3D2B" w14:paraId="56B89593" w14:textId="77777777">
            <w:pPr>
              <w:pStyle w:val="RTableTextAbt"/>
            </w:pPr>
            <w:r w:rsidRPr="007724CC">
              <w:t>0.10%</w:t>
            </w:r>
          </w:p>
        </w:tc>
        <w:tc>
          <w:tcPr>
            <w:tcW w:w="919" w:type="dxa"/>
            <w:tcBorders>
              <w:top w:val="nil"/>
              <w:left w:val="nil"/>
              <w:bottom w:val="single" w:sz="8" w:space="0" w:color="auto"/>
              <w:right w:val="single" w:sz="8" w:space="0" w:color="auto"/>
            </w:tcBorders>
            <w:shd w:val="clear" w:color="auto" w:fill="auto"/>
            <w:vAlign w:val="center"/>
            <w:hideMark/>
          </w:tcPr>
          <w:p w:rsidR="0078141F" w:rsidRPr="007724CC" w:rsidP="00BD3D2B" w14:paraId="024EFEF3" w14:textId="77777777">
            <w:pPr>
              <w:pStyle w:val="RTableTextAbt"/>
            </w:pPr>
            <w:r w:rsidRPr="007724CC">
              <w:t>2.40%</w:t>
            </w:r>
          </w:p>
        </w:tc>
        <w:tc>
          <w:tcPr>
            <w:tcW w:w="1010" w:type="dxa"/>
            <w:tcBorders>
              <w:top w:val="nil"/>
              <w:left w:val="nil"/>
              <w:bottom w:val="single" w:sz="8" w:space="0" w:color="auto"/>
              <w:right w:val="single" w:sz="8" w:space="0" w:color="auto"/>
            </w:tcBorders>
            <w:shd w:val="clear" w:color="auto" w:fill="auto"/>
            <w:vAlign w:val="center"/>
            <w:hideMark/>
          </w:tcPr>
          <w:p w:rsidR="0078141F" w:rsidRPr="007724CC" w:rsidP="00BD3D2B" w14:paraId="2B975BE3" w14:textId="77777777">
            <w:pPr>
              <w:pStyle w:val="RTableTextAbt"/>
            </w:pPr>
            <w:r w:rsidRPr="007724CC">
              <w:t>1.70%</w:t>
            </w:r>
          </w:p>
        </w:tc>
        <w:tc>
          <w:tcPr>
            <w:tcW w:w="850" w:type="dxa"/>
            <w:tcBorders>
              <w:top w:val="nil"/>
              <w:left w:val="nil"/>
              <w:bottom w:val="single" w:sz="8" w:space="0" w:color="auto"/>
              <w:right w:val="single" w:sz="8" w:space="0" w:color="auto"/>
            </w:tcBorders>
            <w:shd w:val="clear" w:color="auto" w:fill="auto"/>
            <w:vAlign w:val="center"/>
            <w:hideMark/>
          </w:tcPr>
          <w:p w:rsidR="0078141F" w:rsidRPr="007724CC" w:rsidP="00BD3D2B" w14:paraId="68ACE25D" w14:textId="77777777">
            <w:pPr>
              <w:pStyle w:val="RTableTextAbt"/>
            </w:pPr>
            <w:r w:rsidRPr="007724CC">
              <w:t>2.80%</w:t>
            </w:r>
          </w:p>
        </w:tc>
        <w:tc>
          <w:tcPr>
            <w:tcW w:w="847" w:type="dxa"/>
            <w:tcBorders>
              <w:top w:val="nil"/>
              <w:left w:val="nil"/>
              <w:bottom w:val="single" w:sz="8" w:space="0" w:color="auto"/>
              <w:right w:val="single" w:sz="8" w:space="0" w:color="auto"/>
            </w:tcBorders>
            <w:shd w:val="clear" w:color="auto" w:fill="auto"/>
            <w:vAlign w:val="center"/>
            <w:hideMark/>
          </w:tcPr>
          <w:p w:rsidR="0078141F" w:rsidRPr="007724CC" w:rsidP="00BD3D2B" w14:paraId="4B7504E4" w14:textId="77777777">
            <w:pPr>
              <w:pStyle w:val="RTableTextAbt"/>
            </w:pPr>
            <w:r w:rsidRPr="007724CC">
              <w:t>87.60%</w:t>
            </w:r>
          </w:p>
        </w:tc>
      </w:tr>
      <w:tr w14:paraId="7685C7C0" w14:textId="77777777" w:rsidTr="00C71F79">
        <w:tblPrEx>
          <w:tblW w:w="9980" w:type="dxa"/>
          <w:jc w:val="center"/>
          <w:tblLook w:val="04A0"/>
        </w:tblPrEx>
        <w:trPr>
          <w:trHeight w:val="300"/>
          <w:jc w:val="center"/>
        </w:trPr>
        <w:tc>
          <w:tcPr>
            <w:tcW w:w="9980" w:type="dxa"/>
            <w:gridSpan w:val="10"/>
            <w:tcBorders>
              <w:top w:val="single" w:sz="8" w:space="0" w:color="auto"/>
              <w:left w:val="single" w:sz="8" w:space="0" w:color="auto"/>
              <w:bottom w:val="single" w:sz="8" w:space="0" w:color="auto"/>
              <w:right w:val="single" w:sz="8" w:space="0" w:color="000000"/>
            </w:tcBorders>
            <w:shd w:val="clear" w:color="auto" w:fill="97CFDA"/>
            <w:vAlign w:val="center"/>
            <w:hideMark/>
          </w:tcPr>
          <w:p w:rsidR="0078141F" w:rsidRPr="007724CC" w:rsidP="00C71F79" w14:paraId="17280CF5" w14:textId="77777777">
            <w:pPr>
              <w:pStyle w:val="BSUBT"/>
            </w:pPr>
            <w:r w:rsidRPr="007724CC">
              <w:t>Basic Chemical Manufacturing</w:t>
            </w:r>
            <w:r w:rsidRPr="007724CC">
              <w:rPr>
                <w:vertAlign w:val="superscript"/>
              </w:rPr>
              <w:t>1</w:t>
            </w:r>
          </w:p>
        </w:tc>
      </w:tr>
      <w:tr w14:paraId="1A5BC0EC" w14:textId="77777777" w:rsidTr="00BD3D2B">
        <w:tblPrEx>
          <w:tblW w:w="9980" w:type="dxa"/>
          <w:jc w:val="center"/>
          <w:tblLook w:val="04A0"/>
        </w:tblPrEx>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8141F" w:rsidRPr="007724CC" w:rsidP="00BD3D2B" w14:paraId="054D0C29" w14:textId="77777777">
            <w:pPr>
              <w:pStyle w:val="LTableTextAbt"/>
            </w:pPr>
            <w:r w:rsidRPr="007724CC">
              <w:t>National</w:t>
            </w:r>
          </w:p>
        </w:tc>
        <w:tc>
          <w:tcPr>
            <w:tcW w:w="1755" w:type="dxa"/>
            <w:tcBorders>
              <w:top w:val="nil"/>
              <w:left w:val="nil"/>
              <w:bottom w:val="single" w:sz="8" w:space="0" w:color="auto"/>
              <w:right w:val="single" w:sz="8" w:space="0" w:color="auto"/>
            </w:tcBorders>
            <w:shd w:val="clear" w:color="auto" w:fill="auto"/>
            <w:vAlign w:val="center"/>
            <w:hideMark/>
          </w:tcPr>
          <w:p w:rsidR="0078141F" w:rsidRPr="007724CC" w:rsidP="00BD3D2B" w14:paraId="77D83AA9" w14:textId="77777777">
            <w:pPr>
              <w:pStyle w:val="RTableTextAbt"/>
            </w:pPr>
            <w:r w:rsidRPr="007724CC">
              <w:t> </w:t>
            </w:r>
          </w:p>
        </w:tc>
        <w:tc>
          <w:tcPr>
            <w:tcW w:w="1104" w:type="dxa"/>
            <w:tcBorders>
              <w:top w:val="nil"/>
              <w:left w:val="nil"/>
              <w:bottom w:val="single" w:sz="8" w:space="0" w:color="auto"/>
              <w:right w:val="single" w:sz="8" w:space="0" w:color="auto"/>
            </w:tcBorders>
            <w:shd w:val="clear" w:color="auto" w:fill="auto"/>
            <w:vAlign w:val="center"/>
            <w:hideMark/>
          </w:tcPr>
          <w:p w:rsidR="0078141F" w:rsidRPr="007724CC" w:rsidP="00BD3D2B" w14:paraId="3D4F6752" w14:textId="77777777">
            <w:pPr>
              <w:pStyle w:val="RTableTextAbt"/>
            </w:pPr>
            <w:r w:rsidRPr="007724CC">
              <w:t> </w:t>
            </w:r>
          </w:p>
        </w:tc>
        <w:tc>
          <w:tcPr>
            <w:tcW w:w="849" w:type="dxa"/>
            <w:tcBorders>
              <w:top w:val="nil"/>
              <w:left w:val="nil"/>
              <w:bottom w:val="single" w:sz="8" w:space="0" w:color="auto"/>
              <w:right w:val="single" w:sz="8" w:space="0" w:color="auto"/>
            </w:tcBorders>
            <w:shd w:val="clear" w:color="auto" w:fill="auto"/>
            <w:vAlign w:val="center"/>
            <w:hideMark/>
          </w:tcPr>
          <w:p w:rsidR="0078141F" w:rsidRPr="007724CC" w:rsidP="00BD3D2B" w14:paraId="2A3B8D6E" w14:textId="77777777">
            <w:pPr>
              <w:pStyle w:val="RTableTextAbt"/>
            </w:pPr>
            <w:r w:rsidRPr="007724CC">
              <w:t>4.20%</w:t>
            </w:r>
          </w:p>
        </w:tc>
        <w:tc>
          <w:tcPr>
            <w:tcW w:w="847" w:type="dxa"/>
            <w:tcBorders>
              <w:top w:val="nil"/>
              <w:left w:val="nil"/>
              <w:bottom w:val="single" w:sz="8" w:space="0" w:color="auto"/>
              <w:right w:val="single" w:sz="8" w:space="0" w:color="auto"/>
            </w:tcBorders>
            <w:shd w:val="clear" w:color="auto" w:fill="auto"/>
            <w:vAlign w:val="center"/>
            <w:hideMark/>
          </w:tcPr>
          <w:p w:rsidR="0078141F" w:rsidRPr="007724CC" w:rsidP="00BD3D2B" w14:paraId="49AD8A3B" w14:textId="77777777">
            <w:pPr>
              <w:pStyle w:val="RTableTextAbt"/>
            </w:pPr>
            <w:r w:rsidRPr="007724CC">
              <w:t>10.90%</w:t>
            </w:r>
          </w:p>
        </w:tc>
        <w:tc>
          <w:tcPr>
            <w:tcW w:w="884" w:type="dxa"/>
            <w:tcBorders>
              <w:top w:val="nil"/>
              <w:left w:val="nil"/>
              <w:bottom w:val="single" w:sz="8" w:space="0" w:color="auto"/>
              <w:right w:val="single" w:sz="8" w:space="0" w:color="auto"/>
            </w:tcBorders>
            <w:shd w:val="clear" w:color="auto" w:fill="auto"/>
            <w:vAlign w:val="center"/>
            <w:hideMark/>
          </w:tcPr>
          <w:p w:rsidR="0078141F" w:rsidRPr="007724CC" w:rsidP="00BD3D2B" w14:paraId="219CC809" w14:textId="77777777">
            <w:pPr>
              <w:pStyle w:val="RTableTextAbt"/>
            </w:pPr>
            <w:r w:rsidRPr="007724CC">
              <w:t>0.10%</w:t>
            </w:r>
          </w:p>
        </w:tc>
        <w:tc>
          <w:tcPr>
            <w:tcW w:w="919" w:type="dxa"/>
            <w:tcBorders>
              <w:top w:val="nil"/>
              <w:left w:val="nil"/>
              <w:bottom w:val="single" w:sz="8" w:space="0" w:color="auto"/>
              <w:right w:val="single" w:sz="8" w:space="0" w:color="auto"/>
            </w:tcBorders>
            <w:shd w:val="clear" w:color="auto" w:fill="auto"/>
            <w:vAlign w:val="center"/>
            <w:hideMark/>
          </w:tcPr>
          <w:p w:rsidR="0078141F" w:rsidRPr="007724CC" w:rsidP="00BD3D2B" w14:paraId="16B2C981" w14:textId="77777777">
            <w:pPr>
              <w:pStyle w:val="RTableTextAbt"/>
            </w:pPr>
            <w:r w:rsidRPr="007724CC">
              <w:t>9.90%</w:t>
            </w:r>
          </w:p>
        </w:tc>
        <w:tc>
          <w:tcPr>
            <w:tcW w:w="1010" w:type="dxa"/>
            <w:tcBorders>
              <w:top w:val="nil"/>
              <w:left w:val="nil"/>
              <w:bottom w:val="single" w:sz="8" w:space="0" w:color="auto"/>
              <w:right w:val="single" w:sz="8" w:space="0" w:color="auto"/>
            </w:tcBorders>
            <w:shd w:val="clear" w:color="auto" w:fill="auto"/>
            <w:vAlign w:val="center"/>
            <w:hideMark/>
          </w:tcPr>
          <w:p w:rsidR="0078141F" w:rsidRPr="007724CC" w:rsidP="00BD3D2B" w14:paraId="63E9113C" w14:textId="77777777">
            <w:pPr>
              <w:pStyle w:val="RTableTextAbt"/>
            </w:pPr>
            <w:r w:rsidRPr="007724CC">
              <w:t>0.60%</w:t>
            </w:r>
          </w:p>
        </w:tc>
        <w:tc>
          <w:tcPr>
            <w:tcW w:w="850" w:type="dxa"/>
            <w:tcBorders>
              <w:top w:val="nil"/>
              <w:left w:val="nil"/>
              <w:bottom w:val="single" w:sz="8" w:space="0" w:color="auto"/>
              <w:right w:val="single" w:sz="8" w:space="0" w:color="auto"/>
            </w:tcBorders>
            <w:shd w:val="clear" w:color="auto" w:fill="auto"/>
            <w:vAlign w:val="center"/>
            <w:hideMark/>
          </w:tcPr>
          <w:p w:rsidR="0078141F" w:rsidRPr="007724CC" w:rsidP="00BD3D2B" w14:paraId="7F470D8C" w14:textId="77777777">
            <w:pPr>
              <w:pStyle w:val="RTableTextAbt"/>
            </w:pPr>
            <w:r w:rsidRPr="007724CC">
              <w:t>1.20%</w:t>
            </w:r>
          </w:p>
        </w:tc>
        <w:tc>
          <w:tcPr>
            <w:tcW w:w="847" w:type="dxa"/>
            <w:tcBorders>
              <w:top w:val="nil"/>
              <w:left w:val="nil"/>
              <w:bottom w:val="single" w:sz="8" w:space="0" w:color="auto"/>
              <w:right w:val="single" w:sz="8" w:space="0" w:color="auto"/>
            </w:tcBorders>
            <w:shd w:val="clear" w:color="auto" w:fill="auto"/>
            <w:vAlign w:val="center"/>
            <w:hideMark/>
          </w:tcPr>
          <w:p w:rsidR="0078141F" w:rsidRPr="007724CC" w:rsidP="00BD3D2B" w14:paraId="63DFC37F" w14:textId="77777777">
            <w:pPr>
              <w:pStyle w:val="RTableTextAbt"/>
            </w:pPr>
            <w:r w:rsidRPr="007724CC">
              <w:t>82.90%</w:t>
            </w:r>
          </w:p>
        </w:tc>
      </w:tr>
      <w:tr w14:paraId="7DC01300" w14:textId="77777777" w:rsidTr="00BD3D2B">
        <w:tblPrEx>
          <w:tblW w:w="9980" w:type="dxa"/>
          <w:jc w:val="center"/>
          <w:tblLook w:val="04A0"/>
        </w:tblPrEx>
        <w:trPr>
          <w:trHeight w:val="79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8141F" w:rsidRPr="007724CC" w:rsidP="00BD3D2B" w14:paraId="4D04D2C8" w14:textId="77777777">
            <w:pPr>
              <w:pStyle w:val="LTableTextAbt"/>
            </w:pPr>
            <w:r w:rsidRPr="007724CC">
              <w:t>Berkely County, SC</w:t>
            </w:r>
          </w:p>
        </w:tc>
        <w:tc>
          <w:tcPr>
            <w:tcW w:w="1755" w:type="dxa"/>
            <w:tcBorders>
              <w:top w:val="nil"/>
              <w:left w:val="nil"/>
              <w:bottom w:val="single" w:sz="8" w:space="0" w:color="auto"/>
              <w:right w:val="single" w:sz="8" w:space="0" w:color="auto"/>
            </w:tcBorders>
            <w:shd w:val="clear" w:color="auto" w:fill="auto"/>
            <w:vAlign w:val="center"/>
            <w:hideMark/>
          </w:tcPr>
          <w:p w:rsidR="0078141F" w:rsidRPr="007724CC" w:rsidP="00BD3D2B" w14:paraId="4D173393" w14:textId="77777777">
            <w:pPr>
              <w:pStyle w:val="RTableTextAbt"/>
            </w:pPr>
            <w:r w:rsidRPr="007724CC">
              <w:t>433</w:t>
            </w:r>
          </w:p>
        </w:tc>
        <w:tc>
          <w:tcPr>
            <w:tcW w:w="1104" w:type="dxa"/>
            <w:tcBorders>
              <w:top w:val="nil"/>
              <w:left w:val="nil"/>
              <w:bottom w:val="single" w:sz="8" w:space="0" w:color="auto"/>
              <w:right w:val="single" w:sz="8" w:space="0" w:color="auto"/>
            </w:tcBorders>
            <w:shd w:val="clear" w:color="auto" w:fill="auto"/>
            <w:vAlign w:val="center"/>
            <w:hideMark/>
          </w:tcPr>
          <w:p w:rsidR="0078141F" w:rsidRPr="007724CC" w:rsidP="00BD3D2B" w14:paraId="0E225DFB" w14:textId="77777777">
            <w:pPr>
              <w:pStyle w:val="RTableTextAbt"/>
            </w:pPr>
            <w:r w:rsidRPr="007724CC">
              <w:t>0.80%</w:t>
            </w:r>
          </w:p>
        </w:tc>
        <w:tc>
          <w:tcPr>
            <w:tcW w:w="849" w:type="dxa"/>
            <w:tcBorders>
              <w:top w:val="nil"/>
              <w:left w:val="nil"/>
              <w:bottom w:val="single" w:sz="8" w:space="0" w:color="auto"/>
              <w:right w:val="single" w:sz="8" w:space="0" w:color="auto"/>
            </w:tcBorders>
            <w:shd w:val="clear" w:color="auto" w:fill="auto"/>
            <w:vAlign w:val="center"/>
            <w:hideMark/>
          </w:tcPr>
          <w:p w:rsidR="0078141F" w:rsidRPr="007724CC" w:rsidP="00BD3D2B" w14:paraId="577C15E9" w14:textId="77777777">
            <w:pPr>
              <w:pStyle w:val="RTableTextAbt"/>
            </w:pPr>
            <w:r w:rsidRPr="007724CC">
              <w:t>1.39%</w:t>
            </w:r>
          </w:p>
        </w:tc>
        <w:tc>
          <w:tcPr>
            <w:tcW w:w="847" w:type="dxa"/>
            <w:tcBorders>
              <w:top w:val="nil"/>
              <w:left w:val="nil"/>
              <w:bottom w:val="single" w:sz="8" w:space="0" w:color="auto"/>
              <w:right w:val="single" w:sz="8" w:space="0" w:color="auto"/>
            </w:tcBorders>
            <w:shd w:val="clear" w:color="auto" w:fill="auto"/>
            <w:vAlign w:val="center"/>
            <w:hideMark/>
          </w:tcPr>
          <w:p w:rsidR="0078141F" w:rsidRPr="007724CC" w:rsidP="00BD3D2B" w14:paraId="4E618088" w14:textId="77777777">
            <w:pPr>
              <w:pStyle w:val="RTableTextAbt"/>
            </w:pPr>
            <w:r w:rsidRPr="007724CC">
              <w:t>24.02%</w:t>
            </w:r>
          </w:p>
        </w:tc>
        <w:tc>
          <w:tcPr>
            <w:tcW w:w="884" w:type="dxa"/>
            <w:tcBorders>
              <w:top w:val="nil"/>
              <w:left w:val="nil"/>
              <w:bottom w:val="single" w:sz="8" w:space="0" w:color="auto"/>
              <w:right w:val="single" w:sz="8" w:space="0" w:color="auto"/>
            </w:tcBorders>
            <w:shd w:val="clear" w:color="auto" w:fill="auto"/>
            <w:vAlign w:val="center"/>
            <w:hideMark/>
          </w:tcPr>
          <w:p w:rsidR="0078141F" w:rsidRPr="007724CC" w:rsidP="00BD3D2B" w14:paraId="0D8CC909" w14:textId="77777777">
            <w:pPr>
              <w:pStyle w:val="RTableTextAbt"/>
            </w:pPr>
            <w:r w:rsidRPr="007724CC">
              <w:t>0.00%</w:t>
            </w:r>
          </w:p>
        </w:tc>
        <w:tc>
          <w:tcPr>
            <w:tcW w:w="919" w:type="dxa"/>
            <w:tcBorders>
              <w:top w:val="nil"/>
              <w:left w:val="nil"/>
              <w:bottom w:val="single" w:sz="8" w:space="0" w:color="auto"/>
              <w:right w:val="single" w:sz="8" w:space="0" w:color="auto"/>
            </w:tcBorders>
            <w:shd w:val="clear" w:color="auto" w:fill="auto"/>
            <w:vAlign w:val="center"/>
            <w:hideMark/>
          </w:tcPr>
          <w:p w:rsidR="0078141F" w:rsidRPr="007724CC" w:rsidP="00BD3D2B" w14:paraId="6D0919C3" w14:textId="77777777">
            <w:pPr>
              <w:pStyle w:val="RTableTextAbt"/>
            </w:pPr>
            <w:r w:rsidRPr="007724CC">
              <w:t>3.23%</w:t>
            </w:r>
          </w:p>
        </w:tc>
        <w:tc>
          <w:tcPr>
            <w:tcW w:w="1010" w:type="dxa"/>
            <w:tcBorders>
              <w:top w:val="nil"/>
              <w:left w:val="nil"/>
              <w:bottom w:val="single" w:sz="8" w:space="0" w:color="auto"/>
              <w:right w:val="single" w:sz="8" w:space="0" w:color="auto"/>
            </w:tcBorders>
            <w:shd w:val="clear" w:color="auto" w:fill="auto"/>
            <w:vAlign w:val="center"/>
            <w:hideMark/>
          </w:tcPr>
          <w:p w:rsidR="0078141F" w:rsidRPr="007724CC" w:rsidP="00BD3D2B" w14:paraId="112E3039" w14:textId="77777777">
            <w:pPr>
              <w:pStyle w:val="RTableTextAbt"/>
            </w:pPr>
            <w:r w:rsidRPr="007724CC">
              <w:t>0.46%</w:t>
            </w:r>
          </w:p>
        </w:tc>
        <w:tc>
          <w:tcPr>
            <w:tcW w:w="850" w:type="dxa"/>
            <w:tcBorders>
              <w:top w:val="nil"/>
              <w:left w:val="nil"/>
              <w:bottom w:val="single" w:sz="8" w:space="0" w:color="auto"/>
              <w:right w:val="single" w:sz="8" w:space="0" w:color="auto"/>
            </w:tcBorders>
            <w:shd w:val="clear" w:color="auto" w:fill="auto"/>
            <w:vAlign w:val="center"/>
            <w:hideMark/>
          </w:tcPr>
          <w:p w:rsidR="0078141F" w:rsidRPr="007724CC" w:rsidP="00BD3D2B" w14:paraId="33FCC137" w14:textId="77777777">
            <w:pPr>
              <w:pStyle w:val="RTableTextAbt"/>
            </w:pPr>
            <w:r w:rsidRPr="007724CC">
              <w:t>0.92%</w:t>
            </w:r>
          </w:p>
        </w:tc>
        <w:tc>
          <w:tcPr>
            <w:tcW w:w="847" w:type="dxa"/>
            <w:tcBorders>
              <w:top w:val="nil"/>
              <w:left w:val="nil"/>
              <w:bottom w:val="single" w:sz="8" w:space="0" w:color="auto"/>
              <w:right w:val="single" w:sz="8" w:space="0" w:color="auto"/>
            </w:tcBorders>
            <w:shd w:val="clear" w:color="auto" w:fill="auto"/>
            <w:vAlign w:val="center"/>
            <w:hideMark/>
          </w:tcPr>
          <w:p w:rsidR="0078141F" w:rsidRPr="007724CC" w:rsidP="00BD3D2B" w14:paraId="028D31E7" w14:textId="77777777">
            <w:pPr>
              <w:pStyle w:val="RTableTextAbt"/>
            </w:pPr>
            <w:r w:rsidRPr="007724CC">
              <w:t>72.98%</w:t>
            </w:r>
          </w:p>
        </w:tc>
      </w:tr>
      <w:tr w14:paraId="14A932E0" w14:textId="77777777" w:rsidTr="00BD3D2B">
        <w:tblPrEx>
          <w:tblW w:w="9980" w:type="dxa"/>
          <w:jc w:val="center"/>
          <w:tblLook w:val="04A0"/>
        </w:tblPrEx>
        <w:trPr>
          <w:trHeight w:val="630"/>
          <w:jc w:val="center"/>
        </w:trPr>
        <w:tc>
          <w:tcPr>
            <w:tcW w:w="998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78141F" w:rsidRPr="007724CC" w:rsidP="00BD3D2B" w14:paraId="4CA5EE06" w14:textId="77777777">
            <w:pPr>
              <w:pStyle w:val="TableNote0"/>
            </w:pPr>
            <w:r w:rsidRPr="007724CC">
              <w:rPr>
                <w:vertAlign w:val="superscript"/>
              </w:rPr>
              <w:t>1</w:t>
            </w:r>
            <w:r w:rsidRPr="007724CC">
              <w:t>NAICS code for this facility is 325130 (Synthetic Dye and Pigment Manufacturing), however, data were not available at the 6-digit NAICS so data at the 4-digit NAICS 3251 (Basic Chemical Manufacturing) are presented.</w:t>
            </w:r>
          </w:p>
        </w:tc>
      </w:tr>
    </w:tbl>
    <w:p w:rsidR="0078141F" w:rsidP="0078141F" w14:paraId="3A1174EC" w14:textId="77777777">
      <w:pPr>
        <w:pStyle w:val="EndNoteBibliography"/>
        <w:spacing w:after="240"/>
        <w:ind w:left="720" w:hanging="720"/>
      </w:pPr>
    </w:p>
    <w:p w:rsidR="0078141F" w:rsidRPr="00DA5444" w:rsidP="0078141F" w14:paraId="4ABF4864" w14:textId="77777777">
      <w:pPr>
        <w:pStyle w:val="Heading3"/>
      </w:pPr>
      <w:r w:rsidRPr="00B56426">
        <w:t>Conclusion</w:t>
      </w:r>
      <w:r>
        <w:t>s</w:t>
      </w:r>
    </w:p>
    <w:p w:rsidR="0078141F" w:rsidP="0078141F" w14:paraId="2749092F" w14:textId="77777777">
      <w:r>
        <w:t>Briefly,</w:t>
      </w:r>
      <w:r w:rsidRPr="00B56426">
        <w:t xml:space="preserve"> the findings of this baseline characterization suggest that workers in </w:t>
      </w:r>
      <w:r>
        <w:t xml:space="preserve">the PV29 manufacturing facility </w:t>
      </w:r>
      <w:r w:rsidRPr="00B56426">
        <w:t xml:space="preserve">are more likely people of color than </w:t>
      </w:r>
      <w:r>
        <w:t xml:space="preserve">those working in the same industry nationwide. Additionally, these workers are also more likely people of color than workers in all sectors nationwide. </w:t>
      </w:r>
      <w:bookmarkStart w:id="348" w:name="_Hlk178757638"/>
      <w:r>
        <w:t>In the baseline, the analysis suggests that workers at the manufacturing facility may be disproportionately black. To the extent that this reflects the actual distribution of workers at the facility, the proposed regulation, which is designed to protect workers, would improve human health conditions for this population.</w:t>
      </w:r>
      <w:bookmarkEnd w:id="348"/>
    </w:p>
    <w:p w:rsidR="009E04B7" w:rsidRPr="00B56426" w:rsidP="00503B52" w14:paraId="00D314AE" w14:textId="77777777">
      <w:pPr>
        <w:pStyle w:val="Heading2"/>
      </w:pPr>
      <w:bookmarkStart w:id="349" w:name="_Ref106033565"/>
      <w:bookmarkStart w:id="350" w:name="_Toc184299535"/>
      <w:bookmarkStart w:id="351" w:name="_Hlk181193209"/>
      <w:r w:rsidRPr="00B56426">
        <w:t>Impacts on Technological Innovation and the National Economy</w:t>
      </w:r>
      <w:bookmarkEnd w:id="349"/>
      <w:bookmarkEnd w:id="350"/>
    </w:p>
    <w:bookmarkEnd w:id="351"/>
    <w:p w:rsidR="006E174F" w:rsidRPr="00BD3D2B" w:rsidP="006E174F" w14:paraId="3CCD0465" w14:textId="097A2EAA">
      <w:r w:rsidRPr="00BD3D2B">
        <w:t xml:space="preserve">With respect to the anticipated effects of this rule on the national economy, as described in the </w:t>
      </w:r>
      <w:r w:rsidRPr="00BD3D2B" w:rsidR="005865B9">
        <w:t>preamble</w:t>
      </w:r>
      <w:r w:rsidRPr="00BD3D2B">
        <w:t xml:space="preserve">, EPA considered the number of businesses and workers that would be affected and the costs and benefits to those businesses and workers and did not find that there would be a measurable impact on the national economy. Guidance issued by the Office of Management and Budget indicates that the economic impact of a regulation on the national economy becomes measurable only if the economic impact of the regulation reaches 0.25 percent to 0.5 percent of Gross Domestic Product (GDP) (See Memorandum from Sally Katzen, “Guidance for Implementing Title II of [UMRA],” March 31, 1995). </w:t>
      </w:r>
      <w:bookmarkStart w:id="352" w:name="_Hlk181193245"/>
      <w:r w:rsidRPr="00BD3D2B">
        <w:t xml:space="preserve">Given the current </w:t>
      </w:r>
      <w:r w:rsidRPr="00BD3D2B" w:rsidR="00B857EB">
        <w:t xml:space="preserve">real </w:t>
      </w:r>
      <w:r w:rsidRPr="00BD3D2B">
        <w:t>GDP, this is equivalent to a cost of $</w:t>
      </w:r>
      <w:r w:rsidR="0000133A">
        <w:t>69</w:t>
      </w:r>
      <w:r w:rsidRPr="00BD3D2B" w:rsidR="0000133A">
        <w:t xml:space="preserve"> </w:t>
      </w:r>
      <w:r w:rsidRPr="00BD3D2B">
        <w:t>billion to $</w:t>
      </w:r>
      <w:r w:rsidRPr="00BD3D2B" w:rsidR="0000133A">
        <w:t>1</w:t>
      </w:r>
      <w:r w:rsidR="0000133A">
        <w:t>39</w:t>
      </w:r>
      <w:r w:rsidRPr="00BD3D2B" w:rsidR="0000133A">
        <w:t xml:space="preserve"> </w:t>
      </w:r>
      <w:r w:rsidRPr="00BD3D2B">
        <w:t>billion</w:t>
      </w:r>
      <w:r w:rsidRPr="00BD3D2B" w:rsidR="00BA0957">
        <w:t xml:space="preserve"> (</w:t>
      </w:r>
      <w:r>
        <w:fldChar w:fldCharType="begin"/>
      </w:r>
      <w:r>
        <w:instrText xml:space="preserve"> HYPERLINK \l "_ENREF_47" \o "U.S. Bureau of Economic Analysis (BEA), 2024 #74" </w:instrText>
      </w:r>
      <w:r>
        <w:fldChar w:fldCharType="separate"/>
      </w:r>
      <w:r w:rsidRPr="00BD3D2B" w:rsidR="003D6084">
        <w:fldChar w:fldCharType="begin" w:fldLock="1"/>
      </w:r>
      <w:r w:rsidR="003D6084">
        <w:instrText xml:space="preserve"> ADDIN EN.CITE &lt;EndNote&gt;&lt;Cite ExcludeAuth="1"&gt;&lt;Author&gt;U.S. Bureau of Economic Analysis (BEA)&lt;/Author&gt;&lt;Year&gt;2024&lt;/Year&gt;&lt;RecNum&gt;74&lt;/RecNum&gt;&lt;Prefix&gt;BEA &lt;/Prefix&gt;&lt;DisplayText&gt;BEA 2024a&lt;/DisplayText&gt;&lt;record&gt;&lt;rec-number&gt;74&lt;/rec-number&gt;&lt;foreign-keys&gt;&lt;key app="EN" db-id="2apzr05radv9fjet2w6xxwdlz5e9vwfxredw" timestamp="1733247191"&gt;74&lt;/key&gt;&lt;/foreign-keys&gt;&lt;ref-type name="Generic"&gt;13&lt;/ref-type&gt;&lt;contributors&gt;&lt;authors&gt;&lt;author&gt;U.S. Bureau of Economic Analysis (BEA),&lt;/author&gt;&lt;/authors&gt;&lt;/contributors&gt;&lt;titles&gt;&lt;title&gt;Real Gross Domestic Product, Seasonally Adjusted  [GDPC1] May 29, 2024, retrieved from FRED, Federal Reserve Bank of St. Louis, https://fred.stlouisfed.org/series/GDPC1&lt;/title&gt;&lt;/titles&gt;&lt;dates&gt;&lt;year&gt;2024&lt;/year&gt;&lt;/dates&gt;&lt;urls&gt;&lt;/urls&gt;&lt;/record&gt;&lt;/Cite&gt;&lt;/EndNote&gt;</w:instrText>
      </w:r>
      <w:r w:rsidRPr="00BD3D2B" w:rsidR="003D6084">
        <w:fldChar w:fldCharType="separate"/>
      </w:r>
      <w:r w:rsidR="003D6084">
        <w:rPr>
          <w:noProof/>
        </w:rPr>
        <w:t>BEA 2024a</w:t>
      </w:r>
      <w:r w:rsidRPr="00BD3D2B" w:rsidR="003D6084">
        <w:fldChar w:fldCharType="end"/>
      </w:r>
      <w:r>
        <w:fldChar w:fldCharType="end"/>
      </w:r>
      <w:r w:rsidRPr="00BD3D2B" w:rsidR="00BA0957">
        <w:t>)</w:t>
      </w:r>
      <w:r w:rsidRPr="00BD3D2B">
        <w:t>.</w:t>
      </w:r>
      <w:bookmarkEnd w:id="352"/>
      <w:r w:rsidRPr="00BD3D2B">
        <w:t xml:space="preserve"> Therefore, EPA has concluded that this rule is highly unlikely to have any measurable effect on the national economy.</w:t>
      </w:r>
    </w:p>
    <w:p w:rsidR="00A31AE5" w:rsidP="00A31AE5" w14:paraId="7B764D1E" w14:textId="09936643">
      <w:pPr>
        <w:pStyle w:val="BodyText"/>
      </w:pPr>
      <w:r w:rsidRPr="55009522">
        <w:rPr>
          <w:lang w:val="en-US"/>
        </w:rPr>
        <w:t xml:space="preserve">With respect to this rule’s effect on technological innovation, </w:t>
      </w:r>
      <w:r w:rsidRPr="55009522" w:rsidR="3A3B6065">
        <w:rPr>
          <w:lang w:val="en-US"/>
        </w:rPr>
        <w:t xml:space="preserve">because this rule does not </w:t>
      </w:r>
      <w:r w:rsidRPr="55009522" w:rsidR="428B4CAC">
        <w:rPr>
          <w:lang w:val="en-US"/>
        </w:rPr>
        <w:t>prohibit</w:t>
      </w:r>
      <w:r w:rsidRPr="55009522" w:rsidR="3A3B6065">
        <w:rPr>
          <w:lang w:val="en-US"/>
        </w:rPr>
        <w:t xml:space="preserve"> the use of PV29, requiring the use of alternatives, </w:t>
      </w:r>
      <w:r w:rsidRPr="55009522">
        <w:rPr>
          <w:lang w:val="en-US"/>
        </w:rPr>
        <w:t xml:space="preserve">EPA expects this rule </w:t>
      </w:r>
      <w:r w:rsidRPr="55009522" w:rsidR="0745D67B">
        <w:rPr>
          <w:lang w:val="en-US"/>
        </w:rPr>
        <w:t xml:space="preserve">would not be likely to </w:t>
      </w:r>
      <w:r w:rsidRPr="55009522">
        <w:rPr>
          <w:lang w:val="en-US"/>
        </w:rPr>
        <w:t>spur innovation</w:t>
      </w:r>
      <w:r w:rsidRPr="55009522" w:rsidR="2E40661C">
        <w:rPr>
          <w:lang w:val="en-US"/>
        </w:rPr>
        <w:t xml:space="preserve"> nor</w:t>
      </w:r>
      <w:r w:rsidRPr="55009522">
        <w:rPr>
          <w:lang w:val="en-US"/>
        </w:rPr>
        <w:t xml:space="preserve"> hinder it. </w:t>
      </w:r>
    </w:p>
    <w:p w:rsidR="009E04B7" w:rsidRPr="00B56426" w:rsidP="00297F67" w14:paraId="2DEB2DB6" w14:textId="411E8F13">
      <w:pPr>
        <w:pStyle w:val="Heading2"/>
      </w:pPr>
      <w:bookmarkStart w:id="353" w:name="_Ref106033579"/>
      <w:bookmarkStart w:id="354" w:name="_Toc184299536"/>
      <w:r w:rsidRPr="00B56426">
        <w:t>Executive Order 13132 – Federalism</w:t>
      </w:r>
      <w:bookmarkEnd w:id="353"/>
      <w:bookmarkEnd w:id="354"/>
    </w:p>
    <w:p w:rsidR="00297F67" w:rsidRPr="00B36131" w:rsidP="00833B7A" w14:paraId="2D9B7389" w14:textId="71902DE9">
      <w:pPr>
        <w:pStyle w:val="BodyText"/>
      </w:pPr>
      <w:r w:rsidRPr="10CDD6FA">
        <w:rPr>
          <w:lang w:val="en-US"/>
        </w:rPr>
        <w:t xml:space="preserve">Executive Order 13132, entitled Federalism (64 FR 43255, August 10, 1999), directs federal agencies to consider whether a rule has federalism implications (i.e., whether it has substantial direct effects on the states, on the relationship between the national government and the states, or on the distribution of power and responsibilities among the various levels of government, as specified in Executive Order 13132). The EPA has concluded that this action has federalism implications because regulation under TSCA section 6(a) may preempt state law.  </w:t>
      </w:r>
      <w:r w:rsidRPr="00833B7A">
        <w:t xml:space="preserve">The Agency consulted with state and local officials early in the process of developing the proposed action to permit them to have meaningful and timely input into its development. </w:t>
      </w:r>
      <w:r w:rsidRPr="00833B7A" w:rsidR="100A41E6">
        <w:t>This included a consultation meeting on May 13, 2021. EPA invited the following national organizations representing State and local elected officials to this meeting: National Association of Attorneys General, Western States Water Council, National Water Resources Association, Association of State Drinking Water Administrators, Association of Clean Water Administrators, Association of Metropolitan Water Agencies, American Water Works Association, National Governors Association; National Conference of State Legislatures, National League of Cities, U.S. Conference of Mayors, National Association of Counties, County Executives of America, and Environmental Council of States.</w:t>
      </w:r>
      <w:r w:rsidRPr="10CDD6FA" w:rsidR="100A41E6">
        <w:rPr>
          <w:highlight w:val="yellow"/>
          <w:lang w:val="en-US"/>
        </w:rPr>
        <w:t xml:space="preserve"> </w:t>
      </w:r>
    </w:p>
    <w:p w:rsidR="009E04B7" w:rsidRPr="00B56426" w:rsidP="00503B52" w14:paraId="2C5576AA" w14:textId="31AA2C48">
      <w:pPr>
        <w:pStyle w:val="Heading2"/>
      </w:pPr>
      <w:bookmarkStart w:id="355" w:name="_Ref106033585"/>
      <w:bookmarkStart w:id="356" w:name="_Toc184299537"/>
      <w:r w:rsidRPr="00B56426">
        <w:t>Executive Order 13175 – Tribal Implications</w:t>
      </w:r>
      <w:bookmarkEnd w:id="355"/>
      <w:bookmarkEnd w:id="356"/>
    </w:p>
    <w:p w:rsidR="002E248D" w:rsidP="23A69FD4" w14:paraId="68CA0FF3" w14:textId="6CB08878">
      <w:pPr>
        <w:pStyle w:val="BodyText"/>
        <w:rPr>
          <w:highlight w:val="yellow"/>
          <w:lang w:val="en-US"/>
        </w:rPr>
      </w:pPr>
      <w:r w:rsidRPr="7019F579">
        <w:rPr>
          <w:lang w:val="en-US"/>
        </w:rPr>
        <w:t xml:space="preserve">Executive Order 13175, entitled </w:t>
      </w:r>
      <w:r w:rsidRPr="7019F579">
        <w:rPr>
          <w:i/>
          <w:iCs/>
          <w:lang w:val="en-US"/>
        </w:rPr>
        <w:t>Consultation and Coordination with Indian Tribal Governments</w:t>
      </w:r>
      <w:r w:rsidRPr="7019F579">
        <w:rPr>
          <w:lang w:val="en-US"/>
        </w:rPr>
        <w:t xml:space="preserve"> (59 FR 22951, November 6, 2000), directs federal agencies to consider whether a rule has tribal implications (i.e., </w:t>
      </w:r>
      <w:r w:rsidRPr="7019F579" w:rsidR="008363BD">
        <w:rPr>
          <w:lang w:val="en-US"/>
        </w:rPr>
        <w:t xml:space="preserve">whether it has substantial direct effects on tribal governments, on the relationship between the Federal government and the Indian tribes, or on the distribution of power and responsibilities between the Federal government and Indian tribes). This rulemaking would not have substantial direct effects on tribal government because </w:t>
      </w:r>
      <w:r w:rsidRPr="7019F579" w:rsidR="00B90C18">
        <w:rPr>
          <w:lang w:val="en-US"/>
        </w:rPr>
        <w:t xml:space="preserve">PV29 </w:t>
      </w:r>
      <w:r w:rsidRPr="7019F579" w:rsidR="008363BD">
        <w:rPr>
          <w:lang w:val="en-US"/>
        </w:rPr>
        <w:t xml:space="preserve">is not manufactured, processed, or distributed in commerce by tribes and would not impose substantial direct compliance costs on tribal governments. Thus, Executive Order 13175 does not apply to this action. </w:t>
      </w:r>
      <w:r w:rsidRPr="23A69FD4" w:rsidR="3C521DB8">
        <w:rPr>
          <w:lang w:val="en-US"/>
        </w:rPr>
        <w:t xml:space="preserve">EPA nevertheless consulted with tribal officials during the development of this action on May 24 and June 3, 2021, consistent with the EPA Policy on Consultation and Coordination with Indian Tribes.  </w:t>
      </w:r>
    </w:p>
    <w:p w:rsidR="004F774E" w:rsidRPr="00B56426" w:rsidP="00832749" w14:paraId="49079CFD" w14:textId="5B4BE2AF">
      <w:pPr>
        <w:pStyle w:val="BodyText"/>
        <w:sectPr w:rsidSect="00946DC8">
          <w:pgSz w:w="12240" w:h="15840" w:code="1"/>
          <w:pgMar w:top="1440" w:right="1440" w:bottom="1440" w:left="1440" w:header="1080" w:footer="720" w:gutter="0"/>
          <w:pgNumType w:start="1" w:chapStyle="1"/>
          <w:cols w:space="720"/>
          <w:docGrid w:linePitch="360"/>
        </w:sectPr>
      </w:pPr>
      <w:r w:rsidRPr="09297E59">
        <w:rPr>
          <w:highlight w:val="yellow"/>
          <w:lang w:val="en-US"/>
        </w:rPr>
        <w:t xml:space="preserve"> </w:t>
      </w:r>
    </w:p>
    <w:p w:rsidR="007F3AE2" w:rsidRPr="00582FB1" w:rsidP="00503B52" w14:paraId="441E6DBA" w14:textId="77777777">
      <w:pPr>
        <w:pStyle w:val="Heading1"/>
      </w:pPr>
      <w:bookmarkStart w:id="357" w:name="_Ref106195213"/>
      <w:bookmarkStart w:id="358" w:name="_Toc184299538"/>
      <w:r w:rsidRPr="00582FB1">
        <w:t>References</w:t>
      </w:r>
      <w:bookmarkEnd w:id="357"/>
      <w:bookmarkEnd w:id="358"/>
    </w:p>
    <w:p w:rsidR="003D6084" w:rsidRPr="003D6084" w:rsidP="003D6084" w14:paraId="5166CC07" w14:textId="77777777">
      <w:pPr>
        <w:pStyle w:val="EndNoteBibliography"/>
        <w:spacing w:after="240"/>
        <w:ind w:left="720" w:hanging="720"/>
      </w:pPr>
      <w:r w:rsidRPr="00582FB1">
        <w:fldChar w:fldCharType="begin" w:fldLock="1"/>
      </w:r>
      <w:r w:rsidRPr="00582FB1">
        <w:instrText xml:space="preserve"> ADDIN EN.REFLIST </w:instrText>
      </w:r>
      <w:r w:rsidRPr="00582FB1">
        <w:fldChar w:fldCharType="separate"/>
      </w:r>
      <w:bookmarkStart w:id="359" w:name="_ENREF_1"/>
      <w:r w:rsidRPr="003D6084">
        <w:t>Abt Global (2024). Estimated Costs for Respirator PPE for TSCA Risk Management Economic Analyses Submitted to U.S. EPA Economic and Policy Analysis Branch.</w:t>
      </w:r>
      <w:bookmarkEnd w:id="359"/>
    </w:p>
    <w:p w:rsidR="003D6084" w:rsidRPr="003D6084" w:rsidP="003D6084" w14:paraId="04E2B5A5" w14:textId="77777777">
      <w:pPr>
        <w:pStyle w:val="EndNoteBibliography"/>
        <w:spacing w:after="240"/>
        <w:ind w:left="720" w:hanging="720"/>
      </w:pPr>
      <w:bookmarkStart w:id="360" w:name="_ENREF_2"/>
      <w:r w:rsidRPr="003D6084">
        <w:t>American Chemical Society (2019). Molecule of the Week Archive. PV29.</w:t>
      </w:r>
      <w:bookmarkEnd w:id="360"/>
    </w:p>
    <w:p w:rsidR="003D6084" w:rsidRPr="003D6084" w:rsidP="003D6084" w14:paraId="74B4E8F9" w14:textId="77777777">
      <w:pPr>
        <w:pStyle w:val="EndNoteBibliography"/>
        <w:spacing w:after="240"/>
        <w:ind w:left="720" w:hanging="720"/>
      </w:pPr>
      <w:bookmarkStart w:id="361" w:name="_ENREF_3"/>
      <w:r w:rsidRPr="003D6084">
        <w:t>American Lung Association (2024). COPD Trends Brief: Prevalence.</w:t>
      </w:r>
      <w:bookmarkEnd w:id="361"/>
    </w:p>
    <w:p w:rsidR="003D6084" w:rsidRPr="003D6084" w:rsidP="003D6084" w14:paraId="343030B8" w14:textId="33025C99">
      <w:pPr>
        <w:pStyle w:val="EndNoteBibliography"/>
        <w:spacing w:after="240"/>
        <w:ind w:left="720" w:hanging="720"/>
      </w:pPr>
      <w:bookmarkStart w:id="362" w:name="_ENREF_4"/>
      <w:r w:rsidRPr="003D6084">
        <w:t xml:space="preserve">AmPro Online. (2024). "3M N95 Respirator Mask 8511 w/ Valve 10 per box."   Retrieved 11/26, 2024, from </w:t>
      </w:r>
      <w:hyperlink r:id="rId35" w:history="1">
        <w:r w:rsidRPr="003D6084">
          <w:rPr>
            <w:rStyle w:val="Hyperlink"/>
          </w:rPr>
          <w:t>https://www.officesupply.com/cleaning-breakroom/first-safety-security/safety/safety-masks/particulate-respirator-cool-flow-exhalation-valve-standard-size/p22382.html</w:t>
        </w:r>
      </w:hyperlink>
      <w:r w:rsidRPr="003D6084">
        <w:t>.</w:t>
      </w:r>
      <w:bookmarkEnd w:id="362"/>
    </w:p>
    <w:p w:rsidR="003D6084" w:rsidRPr="003D6084" w:rsidP="003D6084" w14:paraId="51B76A33" w14:textId="77777777">
      <w:pPr>
        <w:pStyle w:val="EndNoteBibliography"/>
        <w:spacing w:after="240"/>
        <w:ind w:left="720" w:hanging="720"/>
      </w:pPr>
      <w:bookmarkStart w:id="363" w:name="_ENREF_5"/>
      <w:r w:rsidRPr="003D6084">
        <w:t xml:space="preserve">Arrow, K. J., M. L. Cropper, et al. (1996). "Benefit-Cost Analysis in Environmental, Health, and Safety Regulation: A Statement of Principles." </w:t>
      </w:r>
      <w:r w:rsidRPr="003D6084">
        <w:rPr>
          <w:u w:val="single"/>
        </w:rPr>
        <w:t>Science</w:t>
      </w:r>
      <w:r w:rsidRPr="003D6084">
        <w:t>.</w:t>
      </w:r>
      <w:bookmarkEnd w:id="363"/>
    </w:p>
    <w:p w:rsidR="003D6084" w:rsidRPr="003D6084" w:rsidP="003D6084" w14:paraId="05C06B30" w14:textId="77777777">
      <w:pPr>
        <w:pStyle w:val="EndNoteBibliography"/>
        <w:spacing w:after="240"/>
        <w:ind w:left="720" w:hanging="720"/>
      </w:pPr>
      <w:bookmarkStart w:id="364" w:name="_ENREF_6"/>
      <w:r w:rsidRPr="003D6084">
        <w:t>Automotive Recyclers Association (ARA) (2021). Get to Know 21st Century Automotive Recyling.</w:t>
      </w:r>
      <w:bookmarkEnd w:id="364"/>
    </w:p>
    <w:p w:rsidR="003D6084" w:rsidRPr="003D6084" w:rsidP="003D6084" w14:paraId="4ED3087B" w14:textId="77777777">
      <w:pPr>
        <w:pStyle w:val="EndNoteBibliography"/>
        <w:spacing w:after="240"/>
        <w:ind w:left="720" w:hanging="720"/>
      </w:pPr>
      <w:bookmarkStart w:id="365" w:name="_ENREF_7"/>
      <w:r w:rsidRPr="003D6084">
        <w:t>BASF (2023). Fact Sheet: Greenville, Ohio.</w:t>
      </w:r>
      <w:bookmarkEnd w:id="365"/>
    </w:p>
    <w:p w:rsidR="003D6084" w:rsidRPr="003D6084" w:rsidP="003D6084" w14:paraId="410F8A23" w14:textId="77777777">
      <w:pPr>
        <w:pStyle w:val="EndNoteBibliography"/>
        <w:spacing w:after="240"/>
        <w:ind w:left="720" w:hanging="720"/>
      </w:pPr>
      <w:bookmarkStart w:id="366" w:name="_ENREF_8"/>
      <w:r w:rsidRPr="003D6084">
        <w:t>Bureau of Labor Statistics (2024a). Consumer Price Index for all items, U.S. city average (not seasonally adjusted).</w:t>
      </w:r>
      <w:bookmarkEnd w:id="366"/>
    </w:p>
    <w:p w:rsidR="003D6084" w:rsidRPr="003D6084" w:rsidP="003D6084" w14:paraId="2BEA1EA4" w14:textId="77777777">
      <w:pPr>
        <w:pStyle w:val="EndNoteBibliography"/>
        <w:spacing w:after="240"/>
        <w:ind w:left="720" w:hanging="720"/>
      </w:pPr>
      <w:bookmarkStart w:id="367" w:name="_ENREF_9"/>
      <w:r w:rsidRPr="003D6084">
        <w:t xml:space="preserve">Bureau of Labor Statistics (2024b). Employer Costs for Employee Compensation Historical Supplementary Tables, National Compensation Survey: December 2023 </w:t>
      </w:r>
      <w:bookmarkEnd w:id="367"/>
    </w:p>
    <w:p w:rsidR="003D6084" w:rsidRPr="003D6084" w:rsidP="003D6084" w14:paraId="39CCCDB3" w14:textId="77777777">
      <w:pPr>
        <w:pStyle w:val="EndNoteBibliography"/>
        <w:spacing w:after="240"/>
        <w:ind w:left="720" w:hanging="720"/>
      </w:pPr>
      <w:bookmarkStart w:id="368" w:name="_ENREF_10"/>
      <w:r w:rsidRPr="003D6084">
        <w:t>Bureau Veritas (2024). "Industrial Hygiene Analytical Fee Schedule."</w:t>
      </w:r>
      <w:bookmarkEnd w:id="368"/>
    </w:p>
    <w:p w:rsidR="003D6084" w:rsidRPr="003D6084" w:rsidP="003D6084" w14:paraId="64C401A1" w14:textId="77777777">
      <w:pPr>
        <w:pStyle w:val="EndNoteBibliography"/>
        <w:spacing w:after="240"/>
        <w:ind w:left="720" w:hanging="720"/>
      </w:pPr>
      <w:bookmarkStart w:id="369" w:name="_ENREF_11"/>
      <w:r w:rsidRPr="003D6084">
        <w:t>Carpet America Recovery Effort (2019). CARE 2019 Annual Report.</w:t>
      </w:r>
      <w:bookmarkEnd w:id="369"/>
    </w:p>
    <w:p w:rsidR="003D6084" w:rsidRPr="003D6084" w:rsidP="003D6084" w14:paraId="01885B65" w14:textId="77777777">
      <w:pPr>
        <w:pStyle w:val="EndNoteBibliography"/>
        <w:spacing w:after="240"/>
        <w:ind w:left="720" w:hanging="720"/>
      </w:pPr>
      <w:bookmarkStart w:id="370" w:name="_ENREF_12"/>
      <w:r w:rsidRPr="003D6084">
        <w:t xml:space="preserve">Coase, R. (1960). "The Problem of Social Cost." </w:t>
      </w:r>
      <w:r w:rsidRPr="003D6084">
        <w:rPr>
          <w:u w:val="single"/>
        </w:rPr>
        <w:t>Journal of Law and Economics, Vol. 3 (Oct., 1960), pp. 1-44</w:t>
      </w:r>
      <w:r w:rsidRPr="003D6084">
        <w:t>.</w:t>
      </w:r>
      <w:bookmarkEnd w:id="370"/>
    </w:p>
    <w:p w:rsidR="003D6084" w:rsidRPr="003D6084" w:rsidP="003D6084" w14:paraId="57BA10BF" w14:textId="77777777">
      <w:pPr>
        <w:pStyle w:val="EndNoteBibliography"/>
        <w:spacing w:after="240"/>
        <w:ind w:left="720" w:hanging="720"/>
      </w:pPr>
      <w:bookmarkStart w:id="371" w:name="_ENREF_13"/>
      <w:r w:rsidRPr="003D6084">
        <w:t>CPMA (2017). Letter to EPA Re: The Toxicological Properties, Chemical Use (and Other) Information Relevant to EPA’s Risk Evaluation of C.I. Pigment Violet 29.</w:t>
      </w:r>
      <w:bookmarkEnd w:id="371"/>
    </w:p>
    <w:p w:rsidR="003D6084" w:rsidRPr="003D6084" w:rsidP="003D6084" w14:paraId="7605E7E5" w14:textId="3589469D">
      <w:pPr>
        <w:pStyle w:val="EndNoteBibliography"/>
        <w:spacing w:after="240"/>
        <w:ind w:left="720" w:hanging="720"/>
      </w:pPr>
      <w:bookmarkStart w:id="372" w:name="_ENREF_14"/>
      <w:r w:rsidRPr="003D6084">
        <w:t xml:space="preserve">CPMA. (2024). "Pigment FAQs." from </w:t>
      </w:r>
      <w:hyperlink r:id="rId36" w:history="1">
        <w:r w:rsidRPr="003D6084">
          <w:rPr>
            <w:rStyle w:val="Hyperlink"/>
          </w:rPr>
          <w:t>https://www.pigments.org/news-resources/pigment-faqs/</w:t>
        </w:r>
      </w:hyperlink>
      <w:r w:rsidRPr="003D6084">
        <w:t>.</w:t>
      </w:r>
      <w:bookmarkEnd w:id="372"/>
    </w:p>
    <w:p w:rsidR="003D6084" w:rsidRPr="003D6084" w:rsidP="003D6084" w14:paraId="5C74EEFE" w14:textId="77777777">
      <w:pPr>
        <w:pStyle w:val="EndNoteBibliography"/>
        <w:spacing w:after="240"/>
        <w:ind w:left="720" w:hanging="720"/>
      </w:pPr>
      <w:bookmarkStart w:id="373" w:name="_ENREF_15"/>
      <w:r w:rsidRPr="003D6084">
        <w:t>Dun &amp; Bradstreet, Inc., (2024). Dun &amp; Bradstreet Hoovers Company Reports. Proprietary Database.</w:t>
      </w:r>
      <w:bookmarkEnd w:id="373"/>
    </w:p>
    <w:p w:rsidR="003D6084" w:rsidRPr="003D6084" w:rsidP="003D6084" w14:paraId="7F0DB384" w14:textId="77777777">
      <w:pPr>
        <w:pStyle w:val="EndNoteBibliography"/>
        <w:spacing w:after="240"/>
        <w:ind w:left="720" w:hanging="720"/>
      </w:pPr>
      <w:bookmarkStart w:id="374" w:name="_ENREF_16"/>
      <w:r w:rsidRPr="003D6084">
        <w:t xml:space="preserve">Elder, A., R. Gelein, et al. (2005). "Effects of subchronically inhaled carbon black in three species. I. Retention kinetics, lung inflammation, and histopathology." </w:t>
      </w:r>
      <w:r w:rsidRPr="003D6084">
        <w:rPr>
          <w:u w:val="single"/>
        </w:rPr>
        <w:t>Toxicol Sci</w:t>
      </w:r>
      <w:r w:rsidRPr="003D6084">
        <w:t xml:space="preserve"> 88(2): 614-629.</w:t>
      </w:r>
      <w:bookmarkEnd w:id="374"/>
    </w:p>
    <w:p w:rsidR="003D6084" w:rsidRPr="003D6084" w:rsidP="003D6084" w14:paraId="3F0A097C" w14:textId="77777777">
      <w:pPr>
        <w:pStyle w:val="EndNoteBibliography"/>
        <w:spacing w:after="240"/>
        <w:ind w:left="720" w:hanging="720"/>
      </w:pPr>
      <w:bookmarkStart w:id="375" w:name="_ENREF_17"/>
      <w:r w:rsidRPr="003D6084">
        <w:t>EMSL (2024). "Commercial Price List: Analytical Laboratory Services."</w:t>
      </w:r>
      <w:bookmarkEnd w:id="375"/>
    </w:p>
    <w:p w:rsidR="003D6084" w:rsidRPr="003D6084" w:rsidP="003D6084" w14:paraId="6DE674EB" w14:textId="789CBEBC">
      <w:pPr>
        <w:pStyle w:val="EndNoteBibliography"/>
        <w:spacing w:after="240"/>
        <w:ind w:left="720" w:hanging="720"/>
      </w:pPr>
      <w:bookmarkStart w:id="376" w:name="_ENREF_18"/>
      <w:r w:rsidRPr="003D6084">
        <w:t xml:space="preserve">Environmental Express. (2024). "FILTER, PVC, 5.0µm, 37MM, 100/PK."   Retrieved 10/8, 2024, from </w:t>
      </w:r>
      <w:hyperlink r:id="rId37" w:history="1">
        <w:r w:rsidRPr="003D6084">
          <w:rPr>
            <w:rStyle w:val="Hyperlink"/>
          </w:rPr>
          <w:t>https://www.zefon.com/filter-pvc-50m-37mm-100pk</w:t>
        </w:r>
      </w:hyperlink>
      <w:r w:rsidRPr="003D6084">
        <w:t>.</w:t>
      </w:r>
      <w:bookmarkEnd w:id="376"/>
    </w:p>
    <w:p w:rsidR="003D6084" w:rsidRPr="003D6084" w:rsidP="003D6084" w14:paraId="1A94688A" w14:textId="77777777">
      <w:pPr>
        <w:pStyle w:val="EndNoteBibliography"/>
        <w:spacing w:after="240"/>
        <w:ind w:left="720" w:hanging="720"/>
      </w:pPr>
      <w:bookmarkStart w:id="377" w:name="_ENREF_19"/>
      <w:r w:rsidRPr="003D6084">
        <w:t>Environmental Health &amp; Engineering (2023). Cost Estimate for Industrial Hygiene Exposure Assessment for Carbon Tetrachloride (EH&amp;E 25763).</w:t>
      </w:r>
      <w:bookmarkEnd w:id="377"/>
    </w:p>
    <w:p w:rsidR="003D6084" w:rsidRPr="003D6084" w:rsidP="003D6084" w14:paraId="10C40D18" w14:textId="77777777">
      <w:pPr>
        <w:pStyle w:val="EndNoteBibliography"/>
        <w:spacing w:after="240"/>
        <w:ind w:left="720" w:hanging="720"/>
      </w:pPr>
      <w:bookmarkStart w:id="378" w:name="_ENREF_20"/>
      <w:r w:rsidRPr="003D6084">
        <w:t xml:space="preserve">Gardiner, K., W. N. Trethowan, et al. (1992). "Occupational exposure to carbon black in its manufacture." </w:t>
      </w:r>
      <w:r w:rsidRPr="003D6084">
        <w:rPr>
          <w:u w:val="single"/>
        </w:rPr>
        <w:t>Ann Occup Hyg</w:t>
      </w:r>
      <w:r w:rsidRPr="003D6084">
        <w:t xml:space="preserve"> 36(5): 477-496.</w:t>
      </w:r>
      <w:bookmarkEnd w:id="378"/>
    </w:p>
    <w:p w:rsidR="003D6084" w:rsidRPr="003D6084" w:rsidP="003D6084" w14:paraId="15FB81C5" w14:textId="77777777">
      <w:pPr>
        <w:pStyle w:val="EndNoteBibliography"/>
        <w:spacing w:after="240"/>
        <w:ind w:left="720" w:hanging="720"/>
      </w:pPr>
      <w:bookmarkStart w:id="379" w:name="_ENREF_21"/>
      <w:r w:rsidRPr="003D6084">
        <w:t xml:space="preserve">Gardiner, K., M. van Tongeren, et al. (2001). "Respiratory health effects from exposure to carbon black: results of the phase 2 and 3 cross sectional studies in the European carbon black manufacturing industry." </w:t>
      </w:r>
      <w:r w:rsidRPr="003D6084">
        <w:rPr>
          <w:u w:val="single"/>
        </w:rPr>
        <w:t>Occup Environ Med</w:t>
      </w:r>
      <w:r w:rsidRPr="003D6084">
        <w:t xml:space="preserve"> 58(8): 496-503.</w:t>
      </w:r>
      <w:bookmarkEnd w:id="379"/>
    </w:p>
    <w:p w:rsidR="003D6084" w:rsidRPr="003D6084" w:rsidP="003D6084" w14:paraId="6D5CB7FE" w14:textId="77777777">
      <w:pPr>
        <w:pStyle w:val="EndNoteBibliography"/>
        <w:spacing w:after="240"/>
        <w:ind w:left="720" w:hanging="720"/>
      </w:pPr>
      <w:bookmarkStart w:id="380" w:name="_ENREF_22"/>
      <w:r w:rsidRPr="003D6084">
        <w:t>Gordis, L. (2009). Epidemiology, Fourth Edition. Saunders, Philadelphia, PA.</w:t>
      </w:r>
      <w:bookmarkEnd w:id="380"/>
    </w:p>
    <w:p w:rsidR="003D6084" w:rsidRPr="003D6084" w:rsidP="003D6084" w14:paraId="6A7F9E3D" w14:textId="77777777">
      <w:pPr>
        <w:pStyle w:val="EndNoteBibliography"/>
        <w:spacing w:after="240"/>
        <w:ind w:left="720" w:hanging="720"/>
      </w:pPr>
      <w:bookmarkStart w:id="381" w:name="_ENREF_23"/>
      <w:r w:rsidRPr="003D6084">
        <w:t xml:space="preserve">Greene, M. (2002). Perylene Pigments. </w:t>
      </w:r>
      <w:r w:rsidRPr="003D6084">
        <w:rPr>
          <w:u w:val="single"/>
        </w:rPr>
        <w:t>High Performance Pigments</w:t>
      </w:r>
      <w:r w:rsidRPr="003D6084">
        <w:t>. H. M. Smith.</w:t>
      </w:r>
      <w:bookmarkEnd w:id="381"/>
    </w:p>
    <w:p w:rsidR="003D6084" w:rsidRPr="003D6084" w:rsidP="003D6084" w14:paraId="050C1011" w14:textId="41563CDF">
      <w:pPr>
        <w:pStyle w:val="EndNoteBibliography"/>
        <w:spacing w:after="240"/>
        <w:ind w:left="720" w:hanging="720"/>
      </w:pPr>
      <w:bookmarkStart w:id="382" w:name="_ENREF_24"/>
      <w:r w:rsidRPr="003D6084">
        <w:t xml:space="preserve">GT Midwest. (2024, 10/31/24). "3M™ 7000002056 N Series Cup Style Disposable Particulate Respirator, Standard, Resists: Airborne Biological Particles, Certain Oil, Non-Oil Based Particles, Dust and other Particles."   Retrieved 10/31, 2024, from </w:t>
      </w:r>
      <w:hyperlink r:id="rId38" w:history="1">
        <w:r w:rsidRPr="003D6084">
          <w:rPr>
            <w:rStyle w:val="Hyperlink"/>
          </w:rPr>
          <w:t>https://www.gtmidwest.com/2314468/Product/3mtrade-7000002056</w:t>
        </w:r>
      </w:hyperlink>
      <w:r w:rsidRPr="003D6084">
        <w:t>.</w:t>
      </w:r>
      <w:bookmarkEnd w:id="382"/>
    </w:p>
    <w:p w:rsidR="003D6084" w:rsidRPr="003D6084" w:rsidP="003D6084" w14:paraId="7F8EFFA4" w14:textId="77777777">
      <w:pPr>
        <w:pStyle w:val="EndNoteBibliography"/>
        <w:spacing w:after="240"/>
        <w:ind w:left="720" w:hanging="720"/>
      </w:pPr>
      <w:bookmarkStart w:id="383" w:name="_ENREF_25"/>
      <w:r w:rsidRPr="003D6084">
        <w:t xml:space="preserve">Harber, P., H. Muranko, et al. (2003). "Effect of carbon black exposure on respiratory function and symptoms." </w:t>
      </w:r>
      <w:r w:rsidRPr="003D6084">
        <w:rPr>
          <w:u w:val="single"/>
        </w:rPr>
        <w:t>J Occup Environ Med</w:t>
      </w:r>
      <w:r w:rsidRPr="003D6084">
        <w:t xml:space="preserve"> 45(2): 144-155.</w:t>
      </w:r>
      <w:bookmarkEnd w:id="383"/>
    </w:p>
    <w:p w:rsidR="003D6084" w:rsidRPr="003D6084" w:rsidP="003D6084" w14:paraId="0554D208" w14:textId="77777777">
      <w:pPr>
        <w:pStyle w:val="EndNoteBibliography"/>
        <w:spacing w:after="240"/>
        <w:ind w:left="720" w:hanging="720"/>
      </w:pPr>
      <w:bookmarkStart w:id="384" w:name="_ENREF_26"/>
      <w:r w:rsidRPr="003D6084">
        <w:t>Hawaii Analytical Laboratory, L. (2024). "Contractor Price List."</w:t>
      </w:r>
      <w:bookmarkEnd w:id="384"/>
    </w:p>
    <w:p w:rsidR="003D6084" w:rsidRPr="003D6084" w:rsidP="003D6084" w14:paraId="3ACDF22E" w14:textId="120184CC">
      <w:pPr>
        <w:pStyle w:val="EndNoteBibliography"/>
        <w:spacing w:after="240"/>
        <w:ind w:left="720" w:hanging="720"/>
      </w:pPr>
      <w:bookmarkStart w:id="385" w:name="_ENREF_27"/>
      <w:r w:rsidRPr="003D6084">
        <w:t xml:space="preserve">Hillas Packaging. (2024, 10/31/24). "3M Particulate Respirator 8511, N95 80 EA/Case."   Retrieved 10/31, 2024, from </w:t>
      </w:r>
      <w:hyperlink r:id="rId39" w:history="1">
        <w:r w:rsidRPr="003D6084">
          <w:rPr>
            <w:rStyle w:val="Hyperlink"/>
          </w:rPr>
          <w:t>https://www.hillas.com/Categories/3M-Class-95-Particulate-Respirators/3M-Particulate-Respirator-8511-N95-80-EA-Case.html?srsltid=AfmBOoruYmEUjsdmsykEmpcOLYokC_qTyHkPDUk-Ruc6smrWJjNamK6L</w:t>
        </w:r>
      </w:hyperlink>
      <w:r w:rsidRPr="003D6084">
        <w:t>.</w:t>
      </w:r>
      <w:bookmarkEnd w:id="385"/>
    </w:p>
    <w:p w:rsidR="003D6084" w:rsidRPr="003D6084" w:rsidP="003D6084" w14:paraId="11A07196" w14:textId="22F1EA59">
      <w:pPr>
        <w:pStyle w:val="EndNoteBibliography"/>
        <w:spacing w:after="240"/>
        <w:ind w:left="720" w:hanging="720"/>
      </w:pPr>
      <w:bookmarkStart w:id="386" w:name="_ENREF_28"/>
      <w:r w:rsidRPr="003D6084">
        <w:t xml:space="preserve">Industrial Safety Products. (2024, 10/31/24). "3M 8511 Particulate Respirator, N95 (80 Ea/Case)."   Retrieved 10/31, 2024, from </w:t>
      </w:r>
      <w:hyperlink r:id="rId40" w:history="1">
        <w:r w:rsidRPr="003D6084">
          <w:rPr>
            <w:rStyle w:val="Hyperlink"/>
          </w:rPr>
          <w:t>https://www.industrialsafetyproducts.com/3m-8511-particulate-respirator-n95-80-ea-case/</w:t>
        </w:r>
      </w:hyperlink>
      <w:r w:rsidRPr="003D6084">
        <w:t>.</w:t>
      </w:r>
      <w:bookmarkEnd w:id="386"/>
    </w:p>
    <w:p w:rsidR="003D6084" w:rsidRPr="003D6084" w:rsidP="003D6084" w14:paraId="484C766E" w14:textId="77777777">
      <w:pPr>
        <w:pStyle w:val="EndNoteBibliography"/>
        <w:spacing w:after="240"/>
        <w:ind w:left="720" w:hanging="720"/>
      </w:pPr>
      <w:bookmarkStart w:id="387" w:name="_ENREF_29"/>
      <w:r w:rsidRPr="003D6084">
        <w:t xml:space="preserve">Jeffery, P. K. (2001). "Remodeling in asthma and chronic obstructive lung disease." </w:t>
      </w:r>
      <w:r w:rsidRPr="003D6084">
        <w:rPr>
          <w:u w:val="single"/>
        </w:rPr>
        <w:t>Am J Respir Crit Care Med</w:t>
      </w:r>
      <w:r w:rsidRPr="003D6084">
        <w:t xml:space="preserve"> 164(10 Pt 2): S28-38.</w:t>
      </w:r>
      <w:bookmarkEnd w:id="387"/>
    </w:p>
    <w:p w:rsidR="003D6084" w:rsidRPr="003D6084" w:rsidP="003D6084" w14:paraId="11A924DD" w14:textId="77777777">
      <w:pPr>
        <w:pStyle w:val="EndNoteBibliography"/>
        <w:spacing w:after="240"/>
        <w:ind w:left="720" w:hanging="720"/>
      </w:pPr>
      <w:bookmarkStart w:id="388" w:name="_ENREF_30"/>
      <w:r w:rsidRPr="003D6084">
        <w:t xml:space="preserve">Johnson, A. T. (2016). "Respirator masks protect health but impact performance: a review." </w:t>
      </w:r>
      <w:r w:rsidRPr="003D6084">
        <w:rPr>
          <w:u w:val="single"/>
        </w:rPr>
        <w:t>J Biol Eng</w:t>
      </w:r>
      <w:r w:rsidRPr="003D6084">
        <w:t xml:space="preserve"> 10: 4.</w:t>
      </w:r>
      <w:bookmarkEnd w:id="388"/>
    </w:p>
    <w:p w:rsidR="003D6084" w:rsidRPr="003D6084" w:rsidP="003D6084" w14:paraId="280E001E" w14:textId="77777777">
      <w:pPr>
        <w:pStyle w:val="EndNoteBibliography"/>
        <w:spacing w:after="240"/>
        <w:ind w:left="720" w:hanging="720"/>
      </w:pPr>
      <w:bookmarkStart w:id="389" w:name="_ENREF_31"/>
      <w:r w:rsidRPr="003D6084">
        <w:t>Marcus Paint (2021). Email message from Bob Raymond RE: Question on the use of Pigment Violet 29 from U.S. EPA. August 31, 2021.</w:t>
      </w:r>
      <w:bookmarkEnd w:id="389"/>
    </w:p>
    <w:p w:rsidR="003D6084" w:rsidRPr="003D6084" w:rsidP="003D6084" w14:paraId="4A4AF5F0" w14:textId="77777777">
      <w:pPr>
        <w:pStyle w:val="EndNoteBibliography"/>
        <w:spacing w:after="240"/>
        <w:ind w:left="720" w:hanging="720"/>
      </w:pPr>
      <w:bookmarkStart w:id="390" w:name="_ENREF_32"/>
      <w:r w:rsidRPr="003D6084">
        <w:t>Mashek, W. (2016). Automotive Recycling Devalued is now Revalued.</w:t>
      </w:r>
      <w:bookmarkEnd w:id="390"/>
    </w:p>
    <w:p w:rsidR="003D6084" w:rsidRPr="003D6084" w:rsidP="003D6084" w14:paraId="1EE138F1" w14:textId="77777777">
      <w:pPr>
        <w:pStyle w:val="EndNoteBibliography"/>
        <w:spacing w:after="240"/>
        <w:ind w:left="720" w:hanging="720"/>
      </w:pPr>
      <w:bookmarkStart w:id="391" w:name="_ENREF_33"/>
      <w:r w:rsidRPr="003D6084">
        <w:t xml:space="preserve">Neghab, M., M. H. Mohraz, et al. (2011). "Symptoms of respiratory disease and lung functional impairment associated with occupational inhalation exposure to carbon black dust." </w:t>
      </w:r>
      <w:r w:rsidRPr="003D6084">
        <w:rPr>
          <w:u w:val="single"/>
        </w:rPr>
        <w:t>J Occup Health</w:t>
      </w:r>
      <w:r w:rsidRPr="003D6084">
        <w:t xml:space="preserve"> 53(6): 432-438.</w:t>
      </w:r>
      <w:bookmarkEnd w:id="391"/>
    </w:p>
    <w:p w:rsidR="003D6084" w:rsidRPr="003D6084" w:rsidP="003D6084" w14:paraId="02ED0924" w14:textId="77777777">
      <w:pPr>
        <w:pStyle w:val="EndNoteBibliography"/>
        <w:spacing w:after="240"/>
        <w:ind w:left="720" w:hanging="720"/>
      </w:pPr>
      <w:bookmarkStart w:id="392" w:name="_ENREF_34"/>
      <w:r w:rsidRPr="003D6084">
        <w:t xml:space="preserve">Nikula, K. J., M. B. Snipes, et al. (1995). "Comparative pulmonary toxicities and carcinogenicities of chronically inhaled diesel exhaust and carbon black in F344 rats." </w:t>
      </w:r>
      <w:r w:rsidRPr="003D6084">
        <w:rPr>
          <w:u w:val="single"/>
        </w:rPr>
        <w:t>Fundam Appl Toxicol</w:t>
      </w:r>
      <w:r w:rsidRPr="003D6084">
        <w:t xml:space="preserve"> 25(1): 80-94.</w:t>
      </w:r>
      <w:bookmarkEnd w:id="392"/>
    </w:p>
    <w:p w:rsidR="003D6084" w:rsidRPr="003D6084" w:rsidP="003D6084" w14:paraId="20E3BAD6" w14:textId="77777777">
      <w:pPr>
        <w:pStyle w:val="EndNoteBibliography"/>
        <w:spacing w:after="240"/>
        <w:ind w:left="720" w:hanging="720"/>
      </w:pPr>
      <w:bookmarkStart w:id="393" w:name="_ENREF_35"/>
      <w:r w:rsidRPr="003D6084">
        <w:t>Occupational Safety and Health Administration (OSHA) (2022). "Integrated Management Information System."</w:t>
      </w:r>
      <w:bookmarkEnd w:id="393"/>
    </w:p>
    <w:p w:rsidR="003D6084" w:rsidRPr="003D6084" w:rsidP="003D6084" w14:paraId="63D9F5F3" w14:textId="77777777">
      <w:pPr>
        <w:pStyle w:val="EndNoteBibliography"/>
        <w:spacing w:after="240"/>
        <w:ind w:left="720" w:hanging="720"/>
      </w:pPr>
      <w:bookmarkStart w:id="394" w:name="_ENREF_36"/>
      <w:r w:rsidRPr="003D6084">
        <w:t>Risk Management Association (RMA) (2018, 2019). RMA Statement Studies.</w:t>
      </w:r>
      <w:bookmarkEnd w:id="394"/>
    </w:p>
    <w:p w:rsidR="003D6084" w:rsidRPr="003D6084" w:rsidP="003D6084" w14:paraId="6B05340C" w14:textId="77777777">
      <w:pPr>
        <w:pStyle w:val="EndNoteBibliography"/>
        <w:spacing w:after="240"/>
        <w:ind w:left="720" w:hanging="720"/>
      </w:pPr>
      <w:bookmarkStart w:id="395" w:name="_ENREF_37"/>
      <w:r w:rsidRPr="003D6084">
        <w:t>RJ Lee Group (2018). "Laboratory Testing Guide."</w:t>
      </w:r>
      <w:bookmarkEnd w:id="395"/>
    </w:p>
    <w:p w:rsidR="003D6084" w:rsidRPr="003D6084" w:rsidP="003D6084" w14:paraId="47874CA2" w14:textId="77777777">
      <w:pPr>
        <w:pStyle w:val="EndNoteBibliography"/>
        <w:spacing w:after="240"/>
        <w:ind w:left="720" w:hanging="720"/>
      </w:pPr>
      <w:bookmarkStart w:id="396" w:name="_ENREF_38"/>
      <w:r w:rsidRPr="003D6084">
        <w:t>Rosner, B. (2011). "Fundamentals of Biostatistics, 7th Edition. Cengage Learning, Boston, MA."</w:t>
      </w:r>
      <w:bookmarkEnd w:id="396"/>
    </w:p>
    <w:p w:rsidR="003D6084" w:rsidRPr="003D6084" w:rsidP="003D6084" w14:paraId="59E1AEBF" w14:textId="77777777">
      <w:pPr>
        <w:pStyle w:val="EndNoteBibliography"/>
        <w:spacing w:after="240"/>
        <w:ind w:left="720" w:hanging="720"/>
      </w:pPr>
      <w:bookmarkStart w:id="397" w:name="_ENREF_39"/>
      <w:r w:rsidRPr="003D6084">
        <w:t xml:space="preserve">Saetta, M., G. Turato, et al. (2000). "Goblet cell hyperplasia and epithelial inflammation in peripheral airways of smokers with both symptoms of chronic bronchitis and chronic airflow limitation." </w:t>
      </w:r>
      <w:r w:rsidRPr="003D6084">
        <w:rPr>
          <w:u w:val="single"/>
        </w:rPr>
        <w:t>Am J Respir Crit Care Med</w:t>
      </w:r>
      <w:r w:rsidRPr="003D6084">
        <w:t xml:space="preserve"> 161(3 Pt 1): 1016-1021.</w:t>
      </w:r>
      <w:bookmarkEnd w:id="397"/>
    </w:p>
    <w:p w:rsidR="003D6084" w:rsidRPr="003D6084" w:rsidP="003D6084" w14:paraId="00AACBD4" w14:textId="74334D21">
      <w:pPr>
        <w:pStyle w:val="EndNoteBibliography"/>
        <w:spacing w:after="240"/>
        <w:ind w:left="720" w:hanging="720"/>
      </w:pPr>
      <w:bookmarkStart w:id="398" w:name="_ENREF_40"/>
      <w:r w:rsidRPr="003D6084">
        <w:t xml:space="preserve">SGS Galson. (2024). "Sampling &amp; Analysis."   Retrieved 9/25, 2024, from </w:t>
      </w:r>
      <w:hyperlink r:id="rId41" w:history="1">
        <w:r w:rsidRPr="003D6084">
          <w:rPr>
            <w:rStyle w:val="Hyperlink"/>
          </w:rPr>
          <w:t>https://www.sgsgalson.com/sag-detail/std/Respirable+Dust/NA/</w:t>
        </w:r>
      </w:hyperlink>
      <w:r w:rsidRPr="003D6084">
        <w:t>.</w:t>
      </w:r>
      <w:bookmarkEnd w:id="398"/>
    </w:p>
    <w:p w:rsidR="003D6084" w:rsidRPr="003D6084" w:rsidP="003D6084" w14:paraId="2585E02B" w14:textId="2A82DE84">
      <w:pPr>
        <w:pStyle w:val="EndNoteBibliography"/>
        <w:spacing w:after="240"/>
        <w:ind w:left="720" w:hanging="720"/>
      </w:pPr>
      <w:bookmarkStart w:id="399" w:name="_ENREF_41"/>
      <w:r w:rsidRPr="003D6084">
        <w:t xml:space="preserve">SKC, I. (2024). "Filter Cassette, Clear Styrene, 37 mm."   Retrieved 10/8, 2024, from </w:t>
      </w:r>
      <w:hyperlink r:id="rId42" w:history="1">
        <w:r w:rsidRPr="003D6084">
          <w:rPr>
            <w:rStyle w:val="Hyperlink"/>
          </w:rPr>
          <w:t>https://www.skcinc.com/products/filter-cassette-clear-styrene-37-mm</w:t>
        </w:r>
      </w:hyperlink>
      <w:r w:rsidRPr="003D6084">
        <w:t>.</w:t>
      </w:r>
      <w:bookmarkEnd w:id="399"/>
    </w:p>
    <w:p w:rsidR="003D6084" w:rsidRPr="003D6084" w:rsidP="003D6084" w14:paraId="6B348B3A" w14:textId="6CF41B0A">
      <w:pPr>
        <w:pStyle w:val="EndNoteBibliography"/>
        <w:spacing w:after="240"/>
        <w:ind w:left="720" w:hanging="720"/>
      </w:pPr>
      <w:bookmarkStart w:id="400" w:name="_ENREF_42"/>
      <w:r w:rsidRPr="003D6084">
        <w:t xml:space="preserve">Stauffer Gloves &amp; Safety. (2024). "N95 Particulate Respirator Mask, Cool Flow Exhalation Valve - (Box of 10)."   Retrieved 10/31, 2024, from </w:t>
      </w:r>
      <w:hyperlink r:id="rId43" w:history="1">
        <w:r w:rsidRPr="003D6084">
          <w:rPr>
            <w:rStyle w:val="Hyperlink"/>
          </w:rPr>
          <w:t>https://www.stauffersafety.com/Product/3m-8511-n95-particulate-respirator-mask-cool-flow-exhalation-valve-558144</w:t>
        </w:r>
      </w:hyperlink>
      <w:r w:rsidRPr="003D6084">
        <w:t>.</w:t>
      </w:r>
      <w:bookmarkEnd w:id="400"/>
    </w:p>
    <w:p w:rsidR="003D6084" w:rsidRPr="003D6084" w:rsidP="003D6084" w14:paraId="12688039" w14:textId="7BC9DD2E">
      <w:pPr>
        <w:pStyle w:val="EndNoteBibliography"/>
        <w:spacing w:after="240"/>
        <w:ind w:left="720" w:hanging="720"/>
      </w:pPr>
      <w:bookmarkStart w:id="401" w:name="_ENREF_43"/>
      <w:r w:rsidRPr="003D6084">
        <w:t xml:space="preserve">Sterlitech. (2024). "Polonium 210 Static Eliminator."   Retrieved 10/8, 2024, from </w:t>
      </w:r>
      <w:hyperlink r:id="rId44" w:history="1">
        <w:r w:rsidRPr="003D6084">
          <w:rPr>
            <w:rStyle w:val="Hyperlink"/>
          </w:rPr>
          <w:t>https://www.sterlitech.com/static-eliminator-static.html</w:t>
        </w:r>
      </w:hyperlink>
      <w:r w:rsidRPr="003D6084">
        <w:t>.</w:t>
      </w:r>
      <w:bookmarkEnd w:id="401"/>
    </w:p>
    <w:p w:rsidR="003D6084" w:rsidRPr="003D6084" w:rsidP="003D6084" w14:paraId="3F4B12B2" w14:textId="00E0C7A8">
      <w:pPr>
        <w:pStyle w:val="EndNoteBibliography"/>
        <w:spacing w:after="240"/>
        <w:ind w:left="720" w:hanging="720"/>
      </w:pPr>
      <w:bookmarkStart w:id="402" w:name="_ENREF_44"/>
      <w:r w:rsidRPr="003D6084">
        <w:t xml:space="preserve">Strobels Supply. (2024). "3M Particulate Respirator 8511, N95 80 EA/Case."   Retrieved 10/31, 2024, from </w:t>
      </w:r>
      <w:hyperlink r:id="rId45" w:history="1">
        <w:r w:rsidRPr="003D6084">
          <w:rPr>
            <w:rStyle w:val="Hyperlink"/>
          </w:rPr>
          <w:t>https://www.strobelssupply.com/3m-particulate-respirator-8511-n95-80-ea-case/?gad_source=1&amp;gclid=Cj0KCQjw1Yy5BhD-ARIsAI0RbXZ1GIqwS2FS2nuptQqVQDU9_bqlXnZ2YbmtD0_G3T0LSN5zrkHnccoaAh4NEALw_wcB</w:t>
        </w:r>
      </w:hyperlink>
      <w:r w:rsidRPr="003D6084">
        <w:t>.</w:t>
      </w:r>
      <w:bookmarkEnd w:id="402"/>
    </w:p>
    <w:p w:rsidR="003D6084" w:rsidRPr="003D6084" w:rsidP="003D6084" w14:paraId="62251BD6" w14:textId="77777777">
      <w:pPr>
        <w:pStyle w:val="EndNoteBibliography"/>
        <w:spacing w:after="240"/>
        <w:ind w:left="720" w:hanging="720"/>
      </w:pPr>
      <w:bookmarkStart w:id="403" w:name="_ENREF_45"/>
      <w:r w:rsidRPr="003D6084">
        <w:t>The EI Group (2020). Industrial Hygiene Survey: Sun Chemical Corporation.</w:t>
      </w:r>
      <w:bookmarkEnd w:id="403"/>
    </w:p>
    <w:p w:rsidR="003D6084" w:rsidRPr="003D6084" w:rsidP="003D6084" w14:paraId="414C30E3" w14:textId="33D78869">
      <w:pPr>
        <w:pStyle w:val="EndNoteBibliography"/>
        <w:spacing w:after="240"/>
        <w:ind w:left="720" w:hanging="720"/>
      </w:pPr>
      <w:bookmarkStart w:id="404" w:name="_ENREF_46"/>
      <w:r w:rsidRPr="003D6084">
        <w:t xml:space="preserve">The Paint Spot. (2022). "DS057 Perylene Violet."   Retrieved April 19, 2022, from </w:t>
      </w:r>
      <w:hyperlink r:id="rId46" w:history="1">
        <w:r w:rsidRPr="003D6084">
          <w:rPr>
            <w:rStyle w:val="Hyperlink"/>
          </w:rPr>
          <w:t>https://paintspot.ca/art-supplies/uncategorized/ds057-perylene-violet/</w:t>
        </w:r>
      </w:hyperlink>
      <w:r w:rsidRPr="003D6084">
        <w:t>.</w:t>
      </w:r>
      <w:bookmarkEnd w:id="404"/>
    </w:p>
    <w:p w:rsidR="003D6084" w:rsidRPr="003D6084" w:rsidP="003D6084" w14:paraId="1213A525" w14:textId="7ACDE6D3">
      <w:pPr>
        <w:pStyle w:val="EndNoteBibliography"/>
        <w:spacing w:after="240"/>
        <w:ind w:left="720" w:hanging="720"/>
      </w:pPr>
      <w:bookmarkStart w:id="405" w:name="_ENREF_47"/>
      <w:r w:rsidRPr="003D6084">
        <w:t xml:space="preserve">U.S. Bureau of Economic Analysis (BEA) (2024a). Real Gross Domestic Product, Seasonally Adjusted  [GDPC1] May 29, 2024, retrieved from FRED, Federal Reserve Bank of St. Louis, </w:t>
      </w:r>
      <w:hyperlink r:id="rId47" w:history="1">
        <w:r w:rsidRPr="003D6084">
          <w:rPr>
            <w:rStyle w:val="Hyperlink"/>
          </w:rPr>
          <w:t>https://fred.stlouisfed.org/series/GDPC1</w:t>
        </w:r>
      </w:hyperlink>
      <w:r w:rsidRPr="003D6084">
        <w:t>.</w:t>
      </w:r>
      <w:bookmarkEnd w:id="405"/>
    </w:p>
    <w:p w:rsidR="003D6084" w:rsidRPr="003D6084" w:rsidP="003D6084" w14:paraId="733F3C2B" w14:textId="77777777">
      <w:pPr>
        <w:pStyle w:val="EndNoteBibliography"/>
        <w:spacing w:after="240"/>
        <w:ind w:left="720" w:hanging="720"/>
      </w:pPr>
      <w:bookmarkStart w:id="406" w:name="_ENREF_48"/>
      <w:r w:rsidRPr="003D6084">
        <w:t>U.S. Bureau of Economic Analysis (BEA) (2024b). Table 1.1.9. Implicit Price Deflators for Gross Domestic Product (T10109-A).</w:t>
      </w:r>
      <w:bookmarkEnd w:id="406"/>
    </w:p>
    <w:p w:rsidR="003D6084" w:rsidRPr="003D6084" w:rsidP="003D6084" w14:paraId="3525232F" w14:textId="77777777">
      <w:pPr>
        <w:pStyle w:val="EndNoteBibliography"/>
        <w:spacing w:after="240"/>
        <w:ind w:left="720" w:hanging="720"/>
      </w:pPr>
      <w:bookmarkStart w:id="407" w:name="_ENREF_49"/>
      <w:r w:rsidRPr="003D6084">
        <w:t>U.S. Census Bureau (2021). Statistics of U.S. Businesses (SUSB). The Number of Firms and Establishments, Employment, Annual Payroll, and Receipts by Industry and Enterprise Receipts Size: 2017.</w:t>
      </w:r>
      <w:bookmarkEnd w:id="407"/>
    </w:p>
    <w:p w:rsidR="003D6084" w:rsidRPr="003D6084" w:rsidP="003D6084" w14:paraId="4FDCF3C2" w14:textId="77777777">
      <w:pPr>
        <w:pStyle w:val="EndNoteBibliography"/>
        <w:spacing w:after="240"/>
        <w:ind w:left="720" w:hanging="720"/>
      </w:pPr>
      <w:bookmarkStart w:id="408" w:name="_ENREF_50"/>
      <w:r w:rsidRPr="003D6084">
        <w:t>U.S. Census Bureau (2023). Statistics of U.S. Businesses (SUSB). The Number of Firms and Establishments, Employment, and Annual Payroll by State, Industry, and Enterprise Employment Size: 2021.</w:t>
      </w:r>
      <w:bookmarkEnd w:id="408"/>
    </w:p>
    <w:p w:rsidR="003D6084" w:rsidRPr="003D6084" w:rsidP="003D6084" w14:paraId="568D75F2" w14:textId="77777777">
      <w:pPr>
        <w:pStyle w:val="EndNoteBibliography"/>
        <w:spacing w:after="240"/>
        <w:ind w:left="720" w:hanging="720"/>
      </w:pPr>
      <w:bookmarkStart w:id="409" w:name="_ENREF_51"/>
      <w:r w:rsidRPr="003D6084">
        <w:t>U.S. Environmental Protection Agency (EPA) (1999). The Benefits and Costs of the Clean Air Act 1990 to 2010. EPA Report to Congress. EPA-410-R-99-001.</w:t>
      </w:r>
      <w:bookmarkEnd w:id="409"/>
    </w:p>
    <w:p w:rsidR="003D6084" w:rsidRPr="003D6084" w:rsidP="003D6084" w14:paraId="759BF8AD" w14:textId="77777777">
      <w:pPr>
        <w:pStyle w:val="EndNoteBibliography"/>
        <w:spacing w:after="240"/>
        <w:ind w:left="720" w:hanging="720"/>
      </w:pPr>
      <w:bookmarkStart w:id="410" w:name="_ENREF_52"/>
      <w:r w:rsidRPr="003D6084">
        <w:t>U.S. Environmental Protection Agency (EPA) (2011). The Benefits and Costs of the Clean Air Act from 1990 to 2020. Final Report - Rev. A. Office of Air and Radiation.</w:t>
      </w:r>
      <w:bookmarkEnd w:id="410"/>
    </w:p>
    <w:p w:rsidR="003D6084" w:rsidRPr="003D6084" w:rsidP="003D6084" w14:paraId="460E0889" w14:textId="77777777">
      <w:pPr>
        <w:pStyle w:val="EndNoteBibliography"/>
        <w:spacing w:after="240"/>
        <w:ind w:left="720" w:hanging="720"/>
      </w:pPr>
      <w:bookmarkStart w:id="411" w:name="_ENREF_53"/>
      <w:r w:rsidRPr="003D6084">
        <w:t>U.S. Environmental Protection Agency (EPA) (2012-2015). Non-Confidential Chemical Data Reporting (CDR) 2016-2019.</w:t>
      </w:r>
      <w:bookmarkEnd w:id="411"/>
    </w:p>
    <w:p w:rsidR="003D6084" w:rsidRPr="003D6084" w:rsidP="003D6084" w14:paraId="5887844E" w14:textId="77777777">
      <w:pPr>
        <w:pStyle w:val="EndNoteBibliography"/>
        <w:spacing w:after="240"/>
        <w:ind w:left="720" w:hanging="720"/>
      </w:pPr>
      <w:bookmarkStart w:id="412" w:name="_ENREF_54"/>
      <w:r w:rsidRPr="003D6084">
        <w:t>U.S. Environmental Protection Agency (EPA) (2014). Guidelines for Preparing Economic Analyses. National Center for Environmental Economics. Office of Policy.</w:t>
      </w:r>
      <w:bookmarkEnd w:id="412"/>
    </w:p>
    <w:p w:rsidR="003D6084" w:rsidRPr="003D6084" w:rsidP="003D6084" w14:paraId="10BA29D9" w14:textId="20B0B1EE">
      <w:pPr>
        <w:pStyle w:val="EndNoteBibliography"/>
        <w:spacing w:after="240"/>
        <w:ind w:left="720" w:hanging="720"/>
      </w:pPr>
      <w:bookmarkStart w:id="413" w:name="_ENREF_55"/>
      <w:r w:rsidRPr="003D6084">
        <w:t xml:space="preserve">U.S. Environmental Protection Agency (EPA). (2016a). "Chemical Data Reporting Results." from </w:t>
      </w:r>
      <w:hyperlink r:id="rId48" w:history="1">
        <w:r w:rsidRPr="003D6084">
          <w:rPr>
            <w:rStyle w:val="Hyperlink"/>
          </w:rPr>
          <w:t>https://chemview.epa.gov/chemview</w:t>
        </w:r>
      </w:hyperlink>
      <w:r w:rsidRPr="003D6084">
        <w:t>.</w:t>
      </w:r>
      <w:bookmarkEnd w:id="413"/>
    </w:p>
    <w:p w:rsidR="003D6084" w:rsidRPr="003D6084" w:rsidP="003D6084" w14:paraId="59D7F649" w14:textId="77777777">
      <w:pPr>
        <w:pStyle w:val="EndNoteBibliography"/>
        <w:spacing w:after="240"/>
        <w:ind w:left="720" w:hanging="720"/>
      </w:pPr>
      <w:bookmarkStart w:id="414" w:name="_ENREF_56"/>
      <w:r w:rsidRPr="003D6084">
        <w:t>U.S. Environmental Protection Agency (EPA) (2016b). Guidelines for Preparing Economic Analyses.</w:t>
      </w:r>
      <w:bookmarkEnd w:id="414"/>
    </w:p>
    <w:p w:rsidR="003D6084" w:rsidRPr="003D6084" w:rsidP="003D6084" w14:paraId="00509E71" w14:textId="77777777">
      <w:pPr>
        <w:pStyle w:val="EndNoteBibliography"/>
        <w:spacing w:after="240"/>
        <w:ind w:left="720" w:hanging="720"/>
      </w:pPr>
      <w:bookmarkStart w:id="415" w:name="_ENREF_57"/>
      <w:r w:rsidRPr="003D6084">
        <w:t>U.S. Environmental Protection Agency (EPA) (2016c). Technical Guidance for Assessing Environmental Justice in Regulatory Analysis.</w:t>
      </w:r>
      <w:bookmarkEnd w:id="415"/>
    </w:p>
    <w:p w:rsidR="003D6084" w:rsidRPr="003D6084" w:rsidP="003D6084" w14:paraId="52E09D7A" w14:textId="77777777">
      <w:pPr>
        <w:pStyle w:val="EndNoteBibliography"/>
        <w:spacing w:after="240"/>
        <w:ind w:left="720" w:hanging="720"/>
      </w:pPr>
      <w:bookmarkStart w:id="416" w:name="_ENREF_58"/>
      <w:r w:rsidRPr="003D6084">
        <w:t xml:space="preserve">U.S. Environmental Protection Agency (EPA) (2019). Economic Analysis of Regulation of Methylene Chloride, Paint and Coating Remover under TSCA Section 6(a) </w:t>
      </w:r>
      <w:bookmarkEnd w:id="416"/>
    </w:p>
    <w:p w:rsidR="003D6084" w:rsidRPr="003D6084" w:rsidP="003D6084" w14:paraId="1EB83544" w14:textId="77777777">
      <w:pPr>
        <w:pStyle w:val="EndNoteBibliography"/>
        <w:spacing w:after="240"/>
        <w:ind w:left="720" w:hanging="720"/>
      </w:pPr>
      <w:bookmarkStart w:id="417" w:name="_ENREF_59"/>
      <w:r w:rsidRPr="003D6084">
        <w:t>U.S. Environmental Protection Agency (EPA) (2020a). Chemical Data Reporting Results, Chemview.</w:t>
      </w:r>
      <w:bookmarkEnd w:id="417"/>
    </w:p>
    <w:p w:rsidR="003D6084" w:rsidRPr="003D6084" w:rsidP="003D6084" w14:paraId="342387C6" w14:textId="77777777">
      <w:pPr>
        <w:pStyle w:val="EndNoteBibliography"/>
        <w:spacing w:after="240"/>
        <w:ind w:left="720" w:hanging="720"/>
      </w:pPr>
      <w:bookmarkStart w:id="418" w:name="_ENREF_60"/>
      <w:r w:rsidRPr="003D6084">
        <w:t>U.S. Environmental Protection Agency (EPA) (2020b). Chemical Risk Evaluation Meeting with Sun Chemical Corporation, Color Pigments Manufacturers Association and EPA to discuss the Downstream Processors of C.I. Pigment Violet 29 (PV29).</w:t>
      </w:r>
      <w:bookmarkEnd w:id="418"/>
    </w:p>
    <w:p w:rsidR="003D6084" w:rsidRPr="003D6084" w:rsidP="003D6084" w14:paraId="4CF5EA97" w14:textId="77777777">
      <w:pPr>
        <w:pStyle w:val="EndNoteBibliography"/>
        <w:spacing w:after="240"/>
        <w:ind w:left="720" w:hanging="720"/>
      </w:pPr>
      <w:bookmarkStart w:id="419" w:name="_ENREF_61"/>
      <w:r w:rsidRPr="003D6084">
        <w:t>U.S. Environmental Protection Agency (EPA) (2021a). Final Risk Evaluation for C.I. Pigment Violet 29 (Anthra[2,1,9-def:6,5,10-d'e'f']diisoquinoline-1,3,8,10(2H,9H)-tetrone) Supplemental File: Information Received from Manufacturing Stakeholders, Office of Chemical Safety and Pollution Prevention.</w:t>
      </w:r>
      <w:bookmarkEnd w:id="419"/>
    </w:p>
    <w:p w:rsidR="003D6084" w:rsidRPr="003D6084" w:rsidP="003D6084" w14:paraId="00300D32" w14:textId="77777777">
      <w:pPr>
        <w:pStyle w:val="EndNoteBibliography"/>
        <w:spacing w:after="240"/>
        <w:ind w:left="720" w:hanging="720"/>
      </w:pPr>
      <w:bookmarkStart w:id="420" w:name="_ENREF_62"/>
      <w:r w:rsidRPr="003D6084">
        <w:t>U.S. Environmental Protection Agency (EPA) (2021b). Notes from Meeting with CPMA on April 28, 2021 (compiled by Lynne Blake-Hedges).</w:t>
      </w:r>
      <w:bookmarkEnd w:id="420"/>
    </w:p>
    <w:p w:rsidR="003D6084" w:rsidRPr="003D6084" w:rsidP="003D6084" w14:paraId="0E777DCC" w14:textId="77777777">
      <w:pPr>
        <w:pStyle w:val="EndNoteBibliography"/>
        <w:spacing w:after="240"/>
        <w:ind w:left="720" w:hanging="720"/>
      </w:pPr>
      <w:bookmarkStart w:id="421" w:name="_ENREF_63"/>
      <w:r w:rsidRPr="003D6084">
        <w:t>U.S. Environmental Protection Agency (EPA) (2021c). Notes from Meeting with CPMA on June 24, 2021 (compiled by Lynne Blake-Hedges).</w:t>
      </w:r>
      <w:bookmarkEnd w:id="421"/>
    </w:p>
    <w:p w:rsidR="003D6084" w:rsidRPr="003D6084" w:rsidP="003D6084" w14:paraId="3CF139A1" w14:textId="77777777">
      <w:pPr>
        <w:pStyle w:val="EndNoteBibliography"/>
        <w:spacing w:after="240"/>
        <w:ind w:left="720" w:hanging="720"/>
      </w:pPr>
      <w:bookmarkStart w:id="422" w:name="_ENREF_64"/>
      <w:r w:rsidRPr="003D6084">
        <w:t>U.S. Environmental Protection Agency (EPA) (2021d). Notes from Meeting with Egyptian Coatings on August 31, 2021 (compiled by Todd Coleman).</w:t>
      </w:r>
      <w:bookmarkEnd w:id="422"/>
    </w:p>
    <w:p w:rsidR="003D6084" w:rsidRPr="003D6084" w:rsidP="003D6084" w14:paraId="1549B784" w14:textId="77777777">
      <w:pPr>
        <w:pStyle w:val="EndNoteBibliography"/>
        <w:spacing w:after="240"/>
        <w:ind w:left="720" w:hanging="720"/>
      </w:pPr>
      <w:bookmarkStart w:id="423" w:name="_ENREF_65"/>
      <w:r w:rsidRPr="003D6084">
        <w:t>U.S. Environmental Protection Agency (EPA) (2021e). Risk Evaluation for C.I. Pigment Violet 29 (Anthra[2,1,9-def:6,5,10-d'e'f']diisoquinoline-1,3,8,10(2H,9H)-tetrone).</w:t>
      </w:r>
      <w:bookmarkEnd w:id="423"/>
    </w:p>
    <w:p w:rsidR="003D6084" w:rsidRPr="003D6084" w:rsidP="003D6084" w14:paraId="75415EF5" w14:textId="77777777">
      <w:pPr>
        <w:pStyle w:val="EndNoteBibliography"/>
        <w:spacing w:after="240"/>
        <w:ind w:left="720" w:hanging="720"/>
      </w:pPr>
      <w:bookmarkStart w:id="424" w:name="_ENREF_66"/>
      <w:r w:rsidRPr="003D6084">
        <w:t>U.S. Environmental Protection Agency (EPA) (2022). Final Revised Unreasonable Risk Determination for C.I. Pigment Violet 29.</w:t>
      </w:r>
      <w:bookmarkEnd w:id="424"/>
    </w:p>
    <w:p w:rsidR="003D6084" w:rsidRPr="003D6084" w:rsidP="003D6084" w14:paraId="0F7A128A" w14:textId="77777777">
      <w:pPr>
        <w:pStyle w:val="EndNoteBibliography"/>
        <w:spacing w:after="240"/>
        <w:ind w:left="720" w:hanging="720"/>
      </w:pPr>
      <w:bookmarkStart w:id="425" w:name="_ENREF_67"/>
      <w:r w:rsidRPr="003D6084">
        <w:t>U.S. Environmental Protection Agency (EPA) (2023). Environmental Benefits Mapping and Analysis Program – Community Edition. User's Manual. Updated for BenMAP-CE Version 1.5.8.</w:t>
      </w:r>
      <w:bookmarkEnd w:id="425"/>
    </w:p>
    <w:p w:rsidR="003D6084" w:rsidRPr="003D6084" w:rsidP="003D6084" w14:paraId="66166043" w14:textId="77777777">
      <w:pPr>
        <w:pStyle w:val="EndNoteBibliography"/>
        <w:spacing w:after="240"/>
        <w:ind w:left="720" w:hanging="720"/>
      </w:pPr>
      <w:bookmarkStart w:id="426" w:name="_ENREF_68"/>
      <w:r w:rsidRPr="003D6084">
        <w:t>U.S. Environmental Protection Agency (EPA) (2024). ECRAD Response to CPMA Comments Following Small Business Advocacy Review Panel Outreach Meeting on Proposed PV29 Risk Management Rulemaking.</w:t>
      </w:r>
      <w:bookmarkEnd w:id="426"/>
    </w:p>
    <w:p w:rsidR="003D6084" w:rsidRPr="003D6084" w:rsidP="003D6084" w14:paraId="25A7FF22" w14:textId="77777777">
      <w:pPr>
        <w:pStyle w:val="EndNoteBibliography"/>
        <w:spacing w:after="240"/>
        <w:ind w:left="720" w:hanging="720"/>
      </w:pPr>
      <w:bookmarkStart w:id="427" w:name="_ENREF_69"/>
      <w:r w:rsidRPr="003D6084">
        <w:t>U.S. Office of Management and Budget (OMB) (2015). 2015 Report to Congress on the Benefits and Costs of Federal Regulations and Agency Compliance with the Unfunded Mandates Reform Act.</w:t>
      </w:r>
      <w:bookmarkEnd w:id="427"/>
    </w:p>
    <w:p w:rsidR="003D6084" w:rsidRPr="003D6084" w:rsidP="003D6084" w14:paraId="52732B5B" w14:textId="77777777">
      <w:pPr>
        <w:pStyle w:val="EndNoteBibliography"/>
        <w:spacing w:after="240"/>
        <w:ind w:left="720" w:hanging="720"/>
      </w:pPr>
      <w:bookmarkStart w:id="428" w:name="_ENREF_70"/>
      <w:r w:rsidRPr="003D6084">
        <w:t>U.S. Small Business Administration (SBA) (2023). Table of Size Standards.</w:t>
      </w:r>
      <w:bookmarkEnd w:id="428"/>
    </w:p>
    <w:p w:rsidR="003D6084" w:rsidRPr="003D6084" w:rsidP="003D6084" w14:paraId="39E39DEB" w14:textId="77777777">
      <w:pPr>
        <w:pStyle w:val="EndNoteBibliography"/>
        <w:spacing w:after="240"/>
        <w:ind w:left="720" w:hanging="720"/>
      </w:pPr>
      <w:bookmarkStart w:id="429" w:name="_ENREF_71"/>
      <w:r w:rsidRPr="003D6084">
        <w:t>Wisconsin Occupational Health Laboratory (2024). "Fee Schedule."</w:t>
      </w:r>
      <w:bookmarkEnd w:id="429"/>
    </w:p>
    <w:p w:rsidR="003D6084" w:rsidRPr="003D6084" w:rsidP="003D6084" w14:paraId="3E0CAE2C" w14:textId="59A48092">
      <w:pPr>
        <w:pStyle w:val="EndNoteBibliography"/>
        <w:ind w:left="720" w:hanging="720"/>
      </w:pPr>
      <w:bookmarkStart w:id="430" w:name="_ENREF_72"/>
      <w:r w:rsidRPr="003D6084">
        <w:t xml:space="preserve">Yarbrough, J. (2020). "CRI Statement on VPS Program." from </w:t>
      </w:r>
      <w:hyperlink r:id="rId49" w:history="1">
        <w:r w:rsidRPr="003D6084">
          <w:rPr>
            <w:rStyle w:val="Hyperlink"/>
          </w:rPr>
          <w:t>https://carpetrecovery.org/cri-statement-on-vps-program/</w:t>
        </w:r>
      </w:hyperlink>
      <w:r w:rsidRPr="003D6084">
        <w:t>.</w:t>
      </w:r>
      <w:bookmarkEnd w:id="430"/>
    </w:p>
    <w:p w:rsidR="00706346" w:rsidRPr="00B56426" w:rsidP="00126BD7" w14:paraId="37E97A97" w14:textId="6C2E0F45">
      <w:pPr>
        <w:pStyle w:val="EndNoteBibliography"/>
        <w:ind w:left="720" w:hanging="720"/>
      </w:pPr>
      <w:r w:rsidRPr="00582FB1">
        <w:fldChar w:fldCharType="end"/>
      </w:r>
    </w:p>
    <w:sectPr w:rsidSect="00946DC8">
      <w:pgSz w:w="12240" w:h="15840" w:code="1"/>
      <w:pgMar w:top="1440" w:right="1440" w:bottom="1440" w:left="1440" w:header="1080" w:footer="720" w:gutter="0"/>
      <w:pgNumType w:start="1" w:chapStyle="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charset w:val="80"/>
    <w:family w:val="swiss"/>
    <w:pitch w:val="variable"/>
    <w:sig w:usb0="E00002FF" w:usb1="6AC7FDFB" w:usb2="08000012" w:usb3="00000000" w:csb0="0002009F" w:csb1="00000000"/>
  </w:font>
  <w:font w:name="Gotham">
    <w:altName w:val="Calibri"/>
    <w:charset w:val="00"/>
    <w:family w:val="roman"/>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inorBidi">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Sofia Sans">
    <w:panose1 w:val="00000000000000000000"/>
    <w:charset w:val="00"/>
    <w:family w:val="swiss"/>
    <w:notTrueType/>
    <w:pitch w:val="variable"/>
    <w:sig w:usb0="A00002EF" w:usb1="4000A47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 w:name="Georgia Pro Light">
    <w:charset w:val="00"/>
    <w:family w:val="roman"/>
    <w:pitch w:val="variable"/>
    <w:sig w:usb0="800002AF" w:usb1="00000003" w:usb2="00000000" w:usb3="00000000" w:csb0="0000009F" w:csb1="00000000"/>
  </w:font>
  <w:font w:name="EucrosiaUPC">
    <w:charset w:val="DE"/>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Palatino">
    <w:charset w:val="4D"/>
    <w:family w:val="auto"/>
    <w:pitch w:val="variable"/>
    <w:sig w:usb0="A00002FF" w:usb1="7800205A" w:usb2="14600000" w:usb3="00000000" w:csb0="0000019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B72" w14:paraId="68DD8F1B" w14:textId="77777777">
    <w:pPr>
      <w:pStyle w:val="Footer"/>
    </w:pPr>
    <w:r>
      <w:t>List of Tables</w:t>
    </w:r>
    <w:r w:rsidRPr="00BE5A43">
      <w:tab/>
    </w:r>
    <w:r w:rsidR="007E7B99">
      <w:t>*** EO12866/13563 Review Draft – Deliberative – Do Not Cite, Quote or Release During the Review ***</w:t>
    </w:r>
    <w:r>
      <w:ptab w:relativeTo="margin" w:alignment="right" w:leader="none"/>
    </w:r>
    <w:r w:rsidRPr="00BE5A43">
      <w:fldChar w:fldCharType="begin"/>
    </w:r>
    <w:r w:rsidRPr="00BE5A43">
      <w:instrText xml:space="preserve"> PAGE   \* MERGEFORMAT </w:instrText>
    </w:r>
    <w:r w:rsidRPr="00BE5A43">
      <w:fldChar w:fldCharType="separate"/>
    </w:r>
    <w:r>
      <w:t>xi</w:t>
    </w:r>
    <w:r w:rsidRPr="00BE5A4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0ED7" w:rsidRPr="003C15C0" w:rsidP="009C0A96" w14:paraId="6961DC0C" w14:textId="77777777">
    <w:pPr>
      <w:pStyle w:val="Footer"/>
      <w:rPr>
        <w:color w:val="auto"/>
      </w:rPr>
    </w:pPr>
    <w:r w:rsidRPr="003C15C0">
      <w:rPr>
        <w:color w:val="auto"/>
      </w:rPr>
      <w:tab/>
    </w:r>
    <w:r>
      <w:ptab w:relativeTo="margin" w:alignment="right" w:leader="none"/>
    </w:r>
    <w:r w:rsidRPr="003C15C0">
      <w:rPr>
        <w:color w:val="auto"/>
      </w:rPr>
      <w:fldChar w:fldCharType="begin"/>
    </w:r>
    <w:r w:rsidRPr="003C15C0">
      <w:rPr>
        <w:color w:val="auto"/>
      </w:rPr>
      <w:instrText xml:space="preserve"> PAGE   \* MERGEFORMAT </w:instrText>
    </w:r>
    <w:r w:rsidRPr="003C15C0">
      <w:rPr>
        <w:color w:val="auto"/>
      </w:rPr>
      <w:fldChar w:fldCharType="separate"/>
    </w:r>
    <w:r w:rsidRPr="003C15C0" w:rsidR="001F205D">
      <w:rPr>
        <w:noProof/>
        <w:color w:val="auto"/>
      </w:rPr>
      <w:t>iii</w:t>
    </w:r>
    <w:r w:rsidRPr="003C15C0">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5C08" w:rsidRPr="003C15C0" w:rsidP="009C0A96" w14:paraId="43489B45" w14:textId="77777777">
    <w:pPr>
      <w:pStyle w:val="Footer"/>
      <w:rPr>
        <w:color w:val="auto"/>
      </w:rPr>
    </w:pPr>
    <w:r w:rsidRPr="003C15C0">
      <w:rPr>
        <w:color w:val="auto"/>
      </w:rPr>
      <w:t>Contents</w:t>
    </w:r>
    <w:r w:rsidRPr="003C15C0">
      <w:rPr>
        <w:color w:val="auto"/>
      </w:rPr>
      <w:tab/>
    </w:r>
    <w:r>
      <w:ptab w:relativeTo="margin" w:alignment="right" w:leader="none"/>
    </w:r>
    <w:r w:rsidRPr="003C15C0">
      <w:rPr>
        <w:color w:val="auto"/>
      </w:rPr>
      <w:fldChar w:fldCharType="begin"/>
    </w:r>
    <w:r w:rsidRPr="003C15C0">
      <w:rPr>
        <w:color w:val="auto"/>
      </w:rPr>
      <w:instrText xml:space="preserve"> PAGE   \* MERGEFORMAT </w:instrText>
    </w:r>
    <w:r w:rsidRPr="003C15C0">
      <w:rPr>
        <w:color w:val="auto"/>
      </w:rPr>
      <w:fldChar w:fldCharType="separate"/>
    </w:r>
    <w:r w:rsidRPr="003C15C0">
      <w:rPr>
        <w:noProof/>
        <w:color w:val="auto"/>
      </w:rPr>
      <w:t>iii</w:t>
    </w:r>
    <w:r w:rsidRPr="003C15C0">
      <w:rPr>
        <w:noProof/>
        <w:color w:val="auto"/>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4789" w:rsidRPr="00D45916" w:rsidP="004E08A3" w14:paraId="0277780F" w14:textId="777D8255">
    <w:pPr>
      <w:pStyle w:val="Footer"/>
      <w:rPr>
        <w:color w:val="auto"/>
      </w:rPr>
    </w:pPr>
    <w:r>
      <w:rPr>
        <w:color w:val="auto"/>
      </w:rPr>
      <w:t>Executive Summary</w:t>
    </w:r>
    <w:r w:rsidRPr="00D45916" w:rsidR="004E08A3">
      <w:rPr>
        <w:color w:val="auto"/>
      </w:rPr>
      <w:tab/>
    </w:r>
    <w:r>
      <w:ptab w:relativeTo="margin" w:alignment="right" w:leader="none"/>
    </w:r>
    <w:r>
      <w:rPr>
        <w:color w:val="auto"/>
      </w:rPr>
      <w:t>ES-</w:t>
    </w:r>
    <w:r w:rsidRPr="00D45916" w:rsidR="004E08A3">
      <w:rPr>
        <w:color w:val="auto"/>
      </w:rPr>
      <w:fldChar w:fldCharType="begin"/>
    </w:r>
    <w:r w:rsidRPr="00D45916" w:rsidR="004E08A3">
      <w:rPr>
        <w:color w:val="auto"/>
      </w:rPr>
      <w:instrText xml:space="preserve"> PAGE   \* MERGEFORMAT </w:instrText>
    </w:r>
    <w:r w:rsidRPr="00D45916" w:rsidR="004E08A3">
      <w:rPr>
        <w:color w:val="auto"/>
      </w:rPr>
      <w:fldChar w:fldCharType="separate"/>
    </w:r>
    <w:r w:rsidRPr="00D45916" w:rsidR="004E08A3">
      <w:rPr>
        <w:color w:val="auto"/>
      </w:rPr>
      <w:t>1-4</w:t>
    </w:r>
    <w:r w:rsidRPr="00D45916" w:rsidR="004E08A3">
      <w:rPr>
        <w:noProof/>
        <w:color w:val="auto"/>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5916" w:rsidRPr="00336AF8" w14:paraId="6CECFEDF" w14:textId="78C18FED">
    <w:pPr>
      <w:pStyle w:val="Footer"/>
      <w:rPr>
        <w:color w:val="auto"/>
      </w:rPr>
    </w:pPr>
    <w:r w:rsidRPr="00336AF8">
      <w:rPr>
        <w:color w:val="auto"/>
      </w:rPr>
      <w:t>Executive Summary</w:t>
    </w:r>
    <w:r w:rsidRPr="00336AF8">
      <w:rPr>
        <w:color w:val="auto"/>
      </w:rPr>
      <w:tab/>
    </w:r>
    <w:r>
      <w:ptab w:relativeTo="margin" w:alignment="right" w:leader="none"/>
    </w:r>
    <w:r w:rsidRPr="00336AF8">
      <w:rPr>
        <w:color w:val="auto"/>
      </w:rPr>
      <w:t>ES-</w:t>
    </w:r>
    <w:r w:rsidRPr="00336AF8">
      <w:rPr>
        <w:color w:val="auto"/>
      </w:rPr>
      <w:fldChar w:fldCharType="begin"/>
    </w:r>
    <w:r w:rsidRPr="00336AF8">
      <w:rPr>
        <w:color w:val="auto"/>
      </w:rPr>
      <w:instrText xml:space="preserve"> PAGE   \* MERGEFORMAT </w:instrText>
    </w:r>
    <w:r w:rsidRPr="00336AF8">
      <w:rPr>
        <w:color w:val="auto"/>
      </w:rPr>
      <w:fldChar w:fldCharType="separate"/>
    </w:r>
    <w:r w:rsidRPr="00336AF8">
      <w:rPr>
        <w:color w:val="auto"/>
      </w:rPr>
      <w:t>xi</w:t>
    </w:r>
    <w:r w:rsidRPr="00336AF8">
      <w:rPr>
        <w:noProof/>
        <w:color w:val="auto"/>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4C73" w:rsidRPr="004F68D9" w:rsidP="004E08A3" w14:paraId="454A6484" w14:textId="65D61ED5">
    <w:pPr>
      <w:pStyle w:val="Footer"/>
      <w:rPr>
        <w:color w:val="000000" w:themeColor="text1"/>
      </w:rPr>
    </w:pPr>
    <w:r w:rsidRPr="00D45916">
      <w:rPr>
        <w:color w:val="auto"/>
      </w:rPr>
      <w:fldChar w:fldCharType="begin"/>
    </w:r>
    <w:r w:rsidRPr="00D45916">
      <w:rPr>
        <w:color w:val="auto"/>
      </w:rPr>
      <w:instrText xml:space="preserve"> STYLEREF  "Heading 1,Heading 1 Abt" \t  \* MERGEFORMAT </w:instrText>
    </w:r>
    <w:r w:rsidRPr="00D45916">
      <w:rPr>
        <w:color w:val="auto"/>
      </w:rPr>
      <w:fldChar w:fldCharType="separate"/>
    </w:r>
    <w:r w:rsidR="00715A82">
      <w:rPr>
        <w:noProof/>
        <w:color w:val="auto"/>
      </w:rPr>
      <w:t>Benefits Analysis</w:t>
    </w:r>
    <w:r w:rsidRPr="00D45916">
      <w:rPr>
        <w:noProof/>
        <w:color w:val="auto"/>
      </w:rPr>
      <w:fldChar w:fldCharType="end"/>
    </w:r>
    <w:r w:rsidRPr="00D45916">
      <w:rPr>
        <w:color w:val="auto"/>
      </w:rPr>
      <w:tab/>
    </w:r>
    <w:r>
      <w:ptab w:relativeTo="margin" w:alignment="right" w:leader="none"/>
    </w:r>
    <w:r w:rsidRPr="004F68D9">
      <w:rPr>
        <w:color w:val="000000" w:themeColor="text1"/>
      </w:rPr>
      <w:fldChar w:fldCharType="begin"/>
    </w:r>
    <w:r w:rsidRPr="004F68D9">
      <w:rPr>
        <w:color w:val="000000" w:themeColor="text1"/>
      </w:rPr>
      <w:instrText xml:space="preserve"> PAGE   \* MERGEFORMAT </w:instrText>
    </w:r>
    <w:r w:rsidRPr="004F68D9">
      <w:rPr>
        <w:color w:val="000000" w:themeColor="text1"/>
      </w:rPr>
      <w:fldChar w:fldCharType="separate"/>
    </w:r>
    <w:r w:rsidRPr="004F68D9">
      <w:rPr>
        <w:color w:val="000000" w:themeColor="text1"/>
      </w:rPr>
      <w:t>1-1</w:t>
    </w:r>
    <w:r w:rsidRPr="004F68D9">
      <w:rPr>
        <w:noProof/>
        <w:color w:val="000000" w:themeColor="text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01F0" w:rsidRPr="006401F0" w14:paraId="5B02F05F" w14:textId="27F81FA3">
    <w:pPr>
      <w:pStyle w:val="Footer"/>
      <w:rPr>
        <w:color w:val="auto"/>
      </w:rPr>
    </w:pPr>
    <w:r w:rsidRPr="00D45916">
      <w:rPr>
        <w:color w:val="auto"/>
      </w:rPr>
      <w:fldChar w:fldCharType="begin"/>
    </w:r>
    <w:r w:rsidRPr="00D45916">
      <w:rPr>
        <w:color w:val="auto"/>
      </w:rPr>
      <w:instrText xml:space="preserve"> STYLEREF  "Heading 1,Heading 1 Abt" \t  \* MERGEFORMAT </w:instrText>
    </w:r>
    <w:r w:rsidRPr="00D45916">
      <w:rPr>
        <w:color w:val="auto"/>
      </w:rPr>
      <w:fldChar w:fldCharType="separate"/>
    </w:r>
    <w:r w:rsidR="00715A82">
      <w:rPr>
        <w:noProof/>
        <w:color w:val="auto"/>
      </w:rPr>
      <w:t>Problem Definition/Market Failure</w:t>
    </w:r>
    <w:r w:rsidRPr="00D45916">
      <w:rPr>
        <w:noProof/>
        <w:color w:val="auto"/>
      </w:rPr>
      <w:fldChar w:fldCharType="end"/>
    </w:r>
    <w:r w:rsidRPr="00D45916">
      <w:rPr>
        <w:color w:val="auto"/>
      </w:rPr>
      <w:tab/>
    </w:r>
    <w:r>
      <w:ptab w:relativeTo="margin" w:alignment="right" w:leader="none"/>
    </w:r>
    <w:r w:rsidRPr="003475A1">
      <w:rPr>
        <w:color w:val="000000" w:themeColor="text1"/>
      </w:rPr>
      <w:fldChar w:fldCharType="begin"/>
    </w:r>
    <w:r w:rsidRPr="003475A1">
      <w:rPr>
        <w:color w:val="000000" w:themeColor="text1"/>
      </w:rPr>
      <w:instrText xml:space="preserve"> PAGE   \* MERGEFORMAT </w:instrText>
    </w:r>
    <w:r w:rsidRPr="003475A1">
      <w:rPr>
        <w:color w:val="000000" w:themeColor="text1"/>
      </w:rPr>
      <w:fldChar w:fldCharType="separate"/>
    </w:r>
    <w:r w:rsidRPr="003475A1">
      <w:rPr>
        <w:color w:val="000000" w:themeColor="text1"/>
      </w:rPr>
      <w:t>3-10</w:t>
    </w:r>
    <w:r w:rsidRPr="003475A1">
      <w:rPr>
        <w:noProof/>
        <w:color w:val="000000" w:themeColor="text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3B52" w14:paraId="56A0060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B0AD2" w:rsidP="003C22A9" w14:paraId="474EBA53" w14:textId="77777777">
      <w:pPr>
        <w:spacing w:after="0"/>
      </w:pPr>
      <w:r>
        <w:separator/>
      </w:r>
    </w:p>
  </w:footnote>
  <w:footnote w:type="continuationSeparator" w:id="1">
    <w:p w:rsidR="000B0AD2" w:rsidP="003C22A9" w14:paraId="171DE827" w14:textId="77777777">
      <w:pPr>
        <w:spacing w:after="0"/>
      </w:pPr>
      <w:r>
        <w:continuationSeparator/>
      </w:r>
    </w:p>
  </w:footnote>
  <w:footnote w:type="continuationNotice" w:id="2">
    <w:p w:rsidR="000B0AD2" w:rsidP="003C22A9" w14:paraId="0835455A" w14:textId="77777777">
      <w:pPr>
        <w:spacing w:after="0"/>
      </w:pPr>
    </w:p>
  </w:footnote>
  <w:footnote w:id="3">
    <w:p w:rsidR="009723D6" w:rsidP="009723D6" w14:paraId="2D000430" w14:textId="410F9FF2">
      <w:pPr>
        <w:pStyle w:val="FootnoteText"/>
      </w:pPr>
      <w:r>
        <w:rPr>
          <w:rStyle w:val="FootnoteReference"/>
        </w:rPr>
        <w:footnoteRef/>
      </w:r>
      <w:r>
        <w:t xml:space="preserve"> The Color Pigment Manufacturing Association (CPMA) defines color pigments as “</w:t>
      </w:r>
      <w:r w:rsidRPr="00C25AE3">
        <w:t>colored or fluorescent particulate organic or inorganic solids which usually are insoluble in, and essentially physically and chemically unaffected by, the vehicle or substrate in which they are incorporated. They alter appearance by selective absorption and/or by scattering of light. Pigments are usually dispersed in vehicles or substrates for application, as for instance in the manufacture or inks, paints, plastics or other polymeric materials.</w:t>
      </w:r>
      <w:r w:rsidR="00350E2E">
        <w:t xml:space="preserve"> </w:t>
      </w:r>
      <w:r w:rsidRPr="00C25AE3">
        <w:t>Pigments retain a crystal or particulate structure throughout the coloration process</w:t>
      </w:r>
      <w:r>
        <w:t xml:space="preserve">” </w:t>
      </w:r>
      <w:r w:rsidR="00186E0D">
        <w:t>(</w:t>
      </w:r>
      <w:hyperlink w:anchor="_ENREF_14" w:tooltip="CPMA, 2024 #14" w:history="1">
        <w:r w:rsidR="003D6084">
          <w:fldChar w:fldCharType="begin"/>
        </w:r>
        <w:r w:rsidR="003D6084">
          <w:instrText xml:space="preserve"> ADDIN EN.CITE &lt;EndNote&gt;&lt;Cite&gt;&lt;Author&gt;CPMA&lt;/Author&gt;&lt;Year&gt;2024&lt;/Year&gt;&lt;RecNum&gt;14&lt;/RecNum&gt;&lt;DisplayText&gt;CPMA 2024&lt;/DisplayText&gt;&lt;record&gt;&lt;rec-number&gt;14&lt;/rec-number&gt;&lt;foreign-keys&gt;&lt;key app="EN" db-id="2apzr05radv9fjet2w6xxwdlz5e9vwfxredw" timestamp="1730757315"&gt;14&lt;/key&gt;&lt;/foreign-keys&gt;&lt;ref-type name="Web Page"&gt;12&lt;/ref-type&gt;&lt;contributors&gt;&lt;authors&gt;&lt;author&gt;CPMA&lt;/author&gt;&lt;/authors&gt;&lt;/contributors&gt;&lt;titles&gt;&lt;title&gt;Pigment FAQs&lt;/title&gt;&lt;/titles&gt;&lt;dates&gt;&lt;year&gt;2024&lt;/year&gt;&lt;/dates&gt;&lt;urls&gt;&lt;related-urls&gt;&lt;url&gt;https://www.pigments.org/news-resources/pigment-faqs/&lt;/url&gt;&lt;/related-urls&gt;&lt;/urls&gt;&lt;/record&gt;&lt;/Cite&gt;&lt;/EndNote&gt;</w:instrText>
        </w:r>
        <w:r w:rsidR="003D6084">
          <w:fldChar w:fldCharType="separate"/>
        </w:r>
        <w:r w:rsidR="003D6084">
          <w:rPr>
            <w:noProof/>
          </w:rPr>
          <w:t>CPMA 2024</w:t>
        </w:r>
        <w:r w:rsidR="003D6084">
          <w:fldChar w:fldCharType="end"/>
        </w:r>
      </w:hyperlink>
      <w:r w:rsidR="00186E0D">
        <w:t>)</w:t>
      </w:r>
      <w:r>
        <w:t>.</w:t>
      </w:r>
    </w:p>
  </w:footnote>
  <w:footnote w:id="4">
    <w:p w:rsidR="00B04478" w:rsidP="00B04478" w14:paraId="16F617D5" w14:textId="77777777">
      <w:pPr>
        <w:pStyle w:val="FootnoteText"/>
      </w:pPr>
      <w:r>
        <w:rPr>
          <w:rStyle w:val="FootnoteReference"/>
        </w:rPr>
        <w:footnoteRef/>
      </w:r>
      <w:r>
        <w:t xml:space="preserve"> </w:t>
      </w:r>
      <w:hyperlink r:id="rId1" w:history="1">
        <w:r w:rsidRPr="0066074D">
          <w:rPr>
            <w:rStyle w:val="Hyperlink"/>
          </w:rPr>
          <w:t>https://www.epa.gov/sites/default/files/2016-06/documents/ejtg_5_6_16_v5.1.pdf</w:t>
        </w:r>
      </w:hyperlink>
      <w:r>
        <w:t xml:space="preserve"> </w:t>
      </w:r>
    </w:p>
  </w:footnote>
  <w:footnote w:id="5">
    <w:p w:rsidR="00AD441A" w:rsidP="00AD441A" w14:paraId="225CC0EF" w14:textId="77777777">
      <w:pPr>
        <w:pStyle w:val="FootnoteText"/>
      </w:pPr>
      <w:r>
        <w:rPr>
          <w:rStyle w:val="FootnoteReference"/>
          <w:rFonts w:eastAsiaTheme="minorHAnsi"/>
        </w:rPr>
        <w:footnoteRef/>
      </w:r>
      <w:r>
        <w:t xml:space="preserve"> Throughout this section, the term workers also includes ONUs.</w:t>
      </w:r>
    </w:p>
  </w:footnote>
  <w:footnote w:id="6">
    <w:p w:rsidR="001647F9" w:rsidP="001647F9" w14:paraId="0EBD871D" w14:textId="71176776">
      <w:pPr>
        <w:pStyle w:val="FootnoteText"/>
      </w:pPr>
      <w:r>
        <w:rPr>
          <w:rStyle w:val="FootnoteReference"/>
        </w:rPr>
        <w:footnoteRef/>
      </w:r>
      <w:r>
        <w:t xml:space="preserve"> The Color Pigment Manufacturing Association (CPMA) defines color pigments as “</w:t>
      </w:r>
      <w:r w:rsidRPr="00C25AE3">
        <w:t>colored or fluorescent particulate organic or inorganic solids which usually are insoluble in, and essentially physically and chemically unaffected by, the vehicle or substrate in which they are incorporated. They alter appearance by selective absorption and/or by scattering of light. Pigments are usually dispersed in vehicles or substrates for application, as for instance in the manufacture or inks, paints, plastics or other polymeric materials. Pigments retain a crystal or particulate structure throughout the coloration process</w:t>
      </w:r>
      <w:r>
        <w:t xml:space="preserve">” </w:t>
      </w:r>
      <w:r w:rsidR="00186E0D">
        <w:t>(</w:t>
      </w:r>
      <w:hyperlink w:anchor="_ENREF_14" w:tooltip="CPMA, 2024 #14" w:history="1">
        <w:r w:rsidR="003D6084">
          <w:fldChar w:fldCharType="begin"/>
        </w:r>
        <w:r w:rsidR="003D6084">
          <w:instrText xml:space="preserve"> ADDIN EN.CITE &lt;EndNote&gt;&lt;Cite&gt;&lt;Author&gt;CPMA&lt;/Author&gt;&lt;Year&gt;2024&lt;/Year&gt;&lt;RecNum&gt;14&lt;/RecNum&gt;&lt;DisplayText&gt;CPMA 2024&lt;/DisplayText&gt;&lt;record&gt;&lt;rec-number&gt;14&lt;/rec-number&gt;&lt;foreign-keys&gt;&lt;key app="EN" db-id="2apzr05radv9fjet2w6xxwdlz5e9vwfxredw" timestamp="1730757315"&gt;14&lt;/key&gt;&lt;/foreign-keys&gt;&lt;ref-type name="Web Page"&gt;12&lt;/ref-type&gt;&lt;contributors&gt;&lt;authors&gt;&lt;author&gt;CPMA&lt;/author&gt;&lt;/authors&gt;&lt;/contributors&gt;&lt;titles&gt;&lt;title&gt;Pigment FAQs&lt;/title&gt;&lt;/titles&gt;&lt;dates&gt;&lt;year&gt;2024&lt;/year&gt;&lt;/dates&gt;&lt;urls&gt;&lt;related-urls&gt;&lt;url&gt;https://www.pigments.org/news-resources/pigment-faqs/&lt;/url&gt;&lt;/related-urls&gt;&lt;/urls&gt;&lt;/record&gt;&lt;/Cite&gt;&lt;/EndNote&gt;</w:instrText>
        </w:r>
        <w:r w:rsidR="003D6084">
          <w:fldChar w:fldCharType="separate"/>
        </w:r>
        <w:r w:rsidR="003D6084">
          <w:rPr>
            <w:noProof/>
          </w:rPr>
          <w:t>CPMA 2024</w:t>
        </w:r>
        <w:r w:rsidR="003D6084">
          <w:fldChar w:fldCharType="end"/>
        </w:r>
      </w:hyperlink>
      <w:r w:rsidR="00186E0D">
        <w:t>)</w:t>
      </w:r>
      <w:r>
        <w:t>.</w:t>
      </w:r>
    </w:p>
  </w:footnote>
  <w:footnote w:id="7">
    <w:p w:rsidR="001647F9" w:rsidRPr="00367001" w:rsidP="001647F9" w14:paraId="17F525A0" w14:textId="2237A89D">
      <w:pPr>
        <w:rPr>
          <w:rStyle w:val="FootnoteTextChar"/>
        </w:rPr>
      </w:pPr>
      <w:r w:rsidRPr="00975360">
        <w:rPr>
          <w:rStyle w:val="FootnoteReference"/>
        </w:rPr>
        <w:footnoteRef/>
      </w:r>
      <w:r w:rsidRPr="00367001">
        <w:rPr>
          <w:rStyle w:val="FootnoteTextChar"/>
        </w:rPr>
        <w:t xml:space="preserve">Perylene pigments” refers to a class of high-performance pigments made up of N,N’-disubstituted perylene-3,4,9,10-tetracarboxylic acid imides or perylene 3,4,5,10-tetracarboxylic acid dianhydride </w:t>
      </w:r>
      <w:r w:rsidR="00186E0D">
        <w:rPr>
          <w:rStyle w:val="FootnoteTextChar"/>
        </w:rPr>
        <w:t>(</w:t>
      </w:r>
      <w:hyperlink w:anchor="_ENREF_23" w:tooltip="Greene, 2002 #23" w:history="1">
        <w:r w:rsidR="003D6084">
          <w:rPr>
            <w:rStyle w:val="FootnoteTextChar"/>
          </w:rPr>
          <w:fldChar w:fldCharType="begin"/>
        </w:r>
        <w:r w:rsidR="003D6084">
          <w:rPr>
            <w:rStyle w:val="FootnoteTextChar"/>
          </w:rPr>
          <w:instrText xml:space="preserve"> ADDIN EN.CITE &lt;EndNote&gt;&lt;Cite&gt;&lt;Author&gt;Greene&lt;/Author&gt;&lt;Year&gt;2002&lt;/Year&gt;&lt;RecNum&gt;23&lt;/RecNum&gt;&lt;DisplayText&gt;Greene 2002&lt;/DisplayText&gt;&lt;record&gt;&lt;rec-number&gt;23&lt;/rec-number&gt;&lt;foreign-keys&gt;&lt;key app="EN" db-id="2apzr05radv9fjet2w6xxwdlz5e9vwfxredw" timestamp="1730757315"&gt;23&lt;/key&gt;&lt;/foreign-keys&gt;&lt;ref-type name="Book Section"&gt;5&lt;/ref-type&gt;&lt;contributors&gt;&lt;authors&gt;&lt;author&gt;Greene, Michael&lt;/author&gt;&lt;/authors&gt;&lt;secondary-authors&gt;&lt;author&gt;Hugh M. Smith&lt;/author&gt;&lt;/secondary-authors&gt;&lt;/contributors&gt;&lt;titles&gt;&lt;title&gt;Perylene Pigments&lt;/title&gt;&lt;secondary-title&gt;High Performance Pigments&lt;/secondary-title&gt;&lt;/titles&gt;&lt;dates&gt;&lt;year&gt;2002&lt;/year&gt;&lt;/dates&gt;&lt;urls&gt;&lt;/urls&gt;&lt;/record&gt;&lt;/Cite&gt;&lt;/EndNote&gt;</w:instrText>
        </w:r>
        <w:r w:rsidR="003D6084">
          <w:rPr>
            <w:rStyle w:val="FootnoteTextChar"/>
          </w:rPr>
          <w:fldChar w:fldCharType="separate"/>
        </w:r>
        <w:r w:rsidR="003D6084">
          <w:rPr>
            <w:rStyle w:val="FootnoteTextChar"/>
            <w:noProof/>
          </w:rPr>
          <w:t>Greene 2002</w:t>
        </w:r>
        <w:r w:rsidR="003D6084">
          <w:rPr>
            <w:rStyle w:val="FootnoteTextChar"/>
          </w:rPr>
          <w:fldChar w:fldCharType="end"/>
        </w:r>
      </w:hyperlink>
      <w:r w:rsidR="00186E0D">
        <w:rPr>
          <w:rStyle w:val="FootnoteTextChar"/>
        </w:rPr>
        <w:t>)</w:t>
      </w:r>
      <w:r w:rsidRPr="00367001">
        <w:rPr>
          <w:rStyle w:val="FootnoteTextChar"/>
        </w:rPr>
        <w:t>.</w:t>
      </w:r>
    </w:p>
  </w:footnote>
  <w:footnote w:id="8">
    <w:p w:rsidR="00007B2E" w14:paraId="4CA7530B" w14:textId="77777777">
      <w:pPr>
        <w:pStyle w:val="FootnoteText"/>
      </w:pPr>
      <w:r>
        <w:rPr>
          <w:rStyle w:val="FootnoteReference"/>
        </w:rPr>
        <w:footnoteRef/>
      </w:r>
      <w:r>
        <w:t xml:space="preserve"> See </w:t>
      </w:r>
      <w:r w:rsidRPr="00007B2E">
        <w:t>https://www.epa.gov/assessing-and-managing-chemicals-under-tsca/frank-r-lautenberg-chemical-safety-21st-century-act</w:t>
      </w:r>
      <w:r>
        <w:t>.</w:t>
      </w:r>
    </w:p>
  </w:footnote>
  <w:footnote w:id="9">
    <w:p w:rsidR="00832749" w:rsidP="00832749" w14:paraId="72A0E9FA" w14:textId="77777777">
      <w:pPr>
        <w:pStyle w:val="FootnoteText"/>
      </w:pPr>
      <w:r>
        <w:rPr>
          <w:rStyle w:val="FootnoteReference"/>
        </w:rPr>
        <w:footnoteRef/>
      </w:r>
      <w:r>
        <w:t xml:space="preserve"> The Kaldor-Hicks criterion is also referred to as the potential Pareto criterion or the potential compensation principle because it implies that economic efficiency is improved if those who benefit from an action could fully compensate those who lose from that action, and still be better off. In other words, it is theoretically possible to achieve a Pareto improvement – in which some are made better off, and no one is made worse off – if those who benefit from a regulation were to fully compensate those who pay the cost. The word “potential” is used because the compensation does not have to actually occur, it just has to be theoretically possible to do so for this to be a social improvement.  </w:t>
      </w:r>
    </w:p>
  </w:footnote>
  <w:footnote w:id="10">
    <w:p w:rsidR="00832749" w:rsidRPr="00C85C74" w:rsidP="00832749" w14:paraId="223D144F" w14:textId="29F541A5">
      <w:pPr>
        <w:pStyle w:val="FootnoteText"/>
        <w:rPr>
          <w:szCs w:val="18"/>
        </w:rPr>
      </w:pPr>
      <w:r w:rsidRPr="0006712C">
        <w:rPr>
          <w:rFonts w:eastAsiaTheme="majorEastAsia"/>
          <w:vertAlign w:val="superscript"/>
        </w:rPr>
        <w:footnoteRef/>
      </w:r>
      <w:r w:rsidRPr="0006712C">
        <w:rPr>
          <w:vertAlign w:val="superscript"/>
        </w:rPr>
        <w:t xml:space="preserve"> </w:t>
      </w:r>
      <w:r w:rsidRPr="00C85C74">
        <w:rPr>
          <w:szCs w:val="18"/>
        </w:rPr>
        <w:t xml:space="preserve">This discussion focuses on negative externalities because this is the market failure addressed by this regulation. </w:t>
      </w:r>
      <w:r>
        <w:t xml:space="preserve">Please refer </w:t>
      </w:r>
      <w:r w:rsidRPr="00C866A4">
        <w:t xml:space="preserve">to </w:t>
      </w:r>
      <w:r w:rsidRPr="00162690">
        <w:rPr>
          <w:i/>
        </w:rPr>
        <w:t>EPA Guidelines for Preparing Economic Analyses</w:t>
      </w:r>
      <w:r w:rsidRPr="00C866A4">
        <w:t xml:space="preserve"> (</w:t>
      </w:r>
      <w:hyperlink w:anchor="_ENREF_54" w:tooltip="U.S. Environmental Protection Agency (EPA), 2014 #54" w:history="1">
        <w:r w:rsidR="003D6084">
          <w:fldChar w:fldCharType="begin"/>
        </w:r>
        <w:r w:rsidR="003D6084">
          <w:instrText xml:space="preserve"> ADDIN EN.CITE &lt;EndNote&gt;&lt;Cite ExcludeAuth="1"&gt;&lt;Author&gt;U.S. Environmental Protection Agency (EPA)&lt;/Author&gt;&lt;Year&gt;2014&lt;/Year&gt;&lt;RecNum&gt;54&lt;/RecNum&gt;&lt;Prefix&gt;EPA &lt;/Prefix&gt;&lt;DisplayText&gt;EPA 2014&lt;/DisplayText&gt;&lt;record&gt;&lt;rec-number&gt;54&lt;/rec-number&gt;&lt;foreign-keys&gt;&lt;key app="EN" db-id="2apzr05radv9fjet2w6xxwdlz5e9vwfxredw" timestamp="1730757315"&gt;54&lt;/key&gt;&lt;/foreign-keys&gt;&lt;ref-type name="Government Document"&gt;46&lt;/ref-type&gt;&lt;contributors&gt;&lt;authors&gt;&lt;author&gt;U.S. Environmental Protection Agency (EPA),&lt;/author&gt;&lt;/authors&gt;&lt;secondary-authors&gt;&lt;author&gt;National Center for Environmental Economics. Office of Policy,&lt;/author&gt;&lt;/secondary-authors&gt;&lt;/contributors&gt;&lt;titles&gt;&lt;title&gt;Guidelines for Preparing Economic Analyses&lt;/title&gt;&lt;/titles&gt;&lt;dates&gt;&lt;year&gt;2014&lt;/year&gt;&lt;/dates&gt;&lt;urls&gt;&lt;/urls&gt;&lt;custom1&gt;TCE: Aerosol and Spot Removal&lt;/custom1&gt;&lt;electronic-resource-num&gt;December 17, 2010. Updated May 2014.&lt;/electronic-resource-num&gt;&lt;/record&gt;&lt;/Cite&gt;&lt;/EndNote&gt;</w:instrText>
        </w:r>
        <w:r w:rsidR="003D6084">
          <w:fldChar w:fldCharType="separate"/>
        </w:r>
        <w:r w:rsidR="003D6084">
          <w:rPr>
            <w:noProof/>
          </w:rPr>
          <w:t>EPA 2014</w:t>
        </w:r>
        <w:r w:rsidR="003D6084">
          <w:fldChar w:fldCharType="end"/>
        </w:r>
      </w:hyperlink>
      <w:r w:rsidRPr="00C85C74">
        <w:t xml:space="preserve">) </w:t>
      </w:r>
      <w:r w:rsidRPr="00C85C74">
        <w:rPr>
          <w:szCs w:val="18"/>
        </w:rPr>
        <w:t xml:space="preserve"> for a discussion on additional sources of market failure identified in the literature.</w:t>
      </w:r>
    </w:p>
  </w:footnote>
  <w:footnote w:id="11">
    <w:p w:rsidR="005F1D5F" w:rsidRPr="006A4B52" w:rsidP="005F1D5F" w14:paraId="612BEA5D" w14:textId="77777777">
      <w:r w:rsidRPr="006A4B52">
        <w:rPr>
          <w:rStyle w:val="FootnoteReference"/>
        </w:rPr>
        <w:footnoteRef/>
      </w:r>
      <w:r w:rsidRPr="006A4B52">
        <w:t xml:space="preserve"> </w:t>
      </w:r>
      <w:r w:rsidRPr="00956380">
        <w:rPr>
          <w:rStyle w:val="FootnoteTextChar"/>
        </w:rPr>
        <w:t>This estimate differs from that in the Risk Evaluation</w:t>
      </w:r>
      <w:r>
        <w:rPr>
          <w:rStyle w:val="FootnoteTextChar"/>
        </w:rPr>
        <w:t xml:space="preserve">, which </w:t>
      </w:r>
      <w:r w:rsidRPr="00956380">
        <w:rPr>
          <w:rStyle w:val="FootnoteTextChar"/>
        </w:rPr>
        <w:t>estimated four sites that process PV29 for paint manufacturing using a market volume calculation. This analysis uses the number of sites later provided directly by CPMA/Sun Chemical.</w:t>
      </w:r>
    </w:p>
  </w:footnote>
  <w:footnote w:id="12">
    <w:p w:rsidR="005F1D5F" w:rsidRPr="00AF4DE4" w:rsidP="005F1D5F" w14:paraId="6CCAD4C3" w14:textId="77777777">
      <w:r w:rsidRPr="00AF4DE4">
        <w:rPr>
          <w:rStyle w:val="FootnoteReference"/>
        </w:rPr>
        <w:footnoteRef/>
      </w:r>
      <w:r w:rsidRPr="00AF4DE4">
        <w:t xml:space="preserve"> </w:t>
      </w:r>
      <w:r w:rsidRPr="00002A54">
        <w:rPr>
          <w:rStyle w:val="FootnoteTextChar"/>
        </w:rPr>
        <w:t xml:space="preserve">This estimate differs from that in the Risk Evaluation </w:t>
      </w:r>
      <w:r>
        <w:rPr>
          <w:rStyle w:val="FootnoteTextChar"/>
        </w:rPr>
        <w:t>which</w:t>
      </w:r>
      <w:r w:rsidRPr="00002A54">
        <w:rPr>
          <w:rStyle w:val="FootnoteTextChar"/>
        </w:rPr>
        <w:t xml:space="preserve"> assumes one plastic manufacturer. This analysis uses the number of sites later provided directly by CPMA/Sun Chemical.</w:t>
      </w:r>
    </w:p>
  </w:footnote>
  <w:footnote w:id="13">
    <w:p w:rsidR="00456103" w:rsidP="00456103" w14:paraId="18B6AE0D" w14:textId="77777777">
      <w:r>
        <w:rPr>
          <w:rStyle w:val="FootnoteReference"/>
        </w:rPr>
        <w:footnoteRef/>
      </w:r>
      <w:r>
        <w:t xml:space="preserve"> </w:t>
      </w:r>
      <w:hyperlink r:id="rId2" w:history="1">
        <w:r w:rsidRPr="00956380">
          <w:rPr>
            <w:rStyle w:val="FootnoteTextChar"/>
          </w:rPr>
          <w:t>https://web.a-r-a.org/search</w:t>
        </w:r>
      </w:hyperlink>
    </w:p>
  </w:footnote>
  <w:footnote w:id="14">
    <w:p w:rsidR="00456103" w:rsidP="00456103" w14:paraId="333FF2D4" w14:textId="77777777">
      <w:r>
        <w:rPr>
          <w:rStyle w:val="FootnoteReference"/>
        </w:rPr>
        <w:footnoteRef/>
      </w:r>
      <w:r>
        <w:t xml:space="preserve"> </w:t>
      </w:r>
      <w:hyperlink r:id="rId3" w:history="1">
        <w:r w:rsidRPr="00956380">
          <w:rPr>
            <w:rStyle w:val="FootnoteTextChar"/>
          </w:rPr>
          <w:t>https://carpetrecovery.org/recovery-effort/collector-finder-map/</w:t>
        </w:r>
      </w:hyperlink>
      <w:r w:rsidRPr="00956380">
        <w:rPr>
          <w:rStyle w:val="FootnoteTextChar"/>
        </w:rPr>
        <w:t>, searched in April 22</w:t>
      </w:r>
    </w:p>
  </w:footnote>
  <w:footnote w:id="15">
    <w:p w:rsidR="005F1D5F" w:rsidP="005F1D5F" w14:paraId="76788F56" w14:textId="77777777">
      <w:pPr>
        <w:pStyle w:val="FootnoteText"/>
      </w:pPr>
      <w:r>
        <w:rPr>
          <w:rStyle w:val="FootnoteReference"/>
        </w:rPr>
        <w:footnoteRef/>
      </w:r>
      <w:r>
        <w:t xml:space="preserve"> Two operators were monitored twice in different roles, for a total of 13 observations. See the Risk Evaluation for additional details. </w:t>
      </w:r>
    </w:p>
  </w:footnote>
  <w:footnote w:id="16">
    <w:p w:rsidR="007B6745" w:rsidP="007B6745" w14:paraId="6A2F2E68" w14:textId="77777777">
      <w:pPr>
        <w:pStyle w:val="FootnoteText"/>
      </w:pPr>
      <w:r>
        <w:rPr>
          <w:rStyle w:val="FootnoteReference"/>
        </w:rPr>
        <w:footnoteRef/>
      </w:r>
      <w:r>
        <w:t xml:space="preserve"> In other words, EPA conservatively assumes that all program costs would be incremental under the rule. This may result in an overestimate of costs if established programs lessen the burdens associated with the development of programs under the proposed rule.</w:t>
      </w:r>
    </w:p>
  </w:footnote>
  <w:footnote w:id="17">
    <w:p w:rsidR="007B6745" w:rsidP="007B6745" w14:paraId="2F142ACB" w14:textId="77777777">
      <w:pPr>
        <w:ind w:left="180" w:hanging="180"/>
        <w:rPr>
          <w:rFonts w:asciiTheme="majorBidi" w:hAnsiTheme="majorBidi" w:cstheme="majorBidi"/>
          <w:szCs w:val="18"/>
        </w:rPr>
      </w:pPr>
      <w:r>
        <w:rPr>
          <w:rStyle w:val="FootnoteReference"/>
          <w:rFonts w:asciiTheme="majorBidi" w:hAnsiTheme="majorBidi" w:cstheme="majorBidi"/>
          <w:sz w:val="18"/>
          <w:szCs w:val="18"/>
        </w:rPr>
        <w:footnoteRef/>
      </w:r>
      <w:r>
        <w:rPr>
          <w:rFonts w:asciiTheme="majorBidi" w:hAnsiTheme="majorBidi" w:cstheme="majorBidi"/>
          <w:szCs w:val="18"/>
        </w:rPr>
        <w:t xml:space="preserve"> </w:t>
      </w:r>
      <w:r>
        <w:rPr>
          <w:rStyle w:val="FootnoteTextChar"/>
        </w:rPr>
        <w:t>New printing plates or cylinders will need to be engraved with the redesigned label. EPA assumes only one plate is needed because the label change will only need one color.</w:t>
      </w:r>
    </w:p>
  </w:footnote>
  <w:footnote w:id="18">
    <w:p w:rsidR="007B6745" w:rsidP="007B6745" w14:paraId="33BA6D83" w14:textId="77777777">
      <w:pPr>
        <w:pStyle w:val="FootnoteText"/>
      </w:pPr>
      <w:r>
        <w:rPr>
          <w:rStyle w:val="FootnoteReference"/>
        </w:rPr>
        <w:footnoteRef/>
      </w:r>
      <w:r>
        <w:t xml:space="preserve"> https://www.cdc.gov/niosh/docs/2003-154/pdfs/0600.pdf </w:t>
      </w:r>
    </w:p>
  </w:footnote>
  <w:footnote w:id="19">
    <w:p w:rsidR="000F3FFC" w:rsidP="000F3FFC" w14:paraId="42D72555" w14:textId="77777777">
      <w:pPr>
        <w:pStyle w:val="FootnoteText"/>
      </w:pPr>
      <w:r>
        <w:rPr>
          <w:rStyle w:val="FootnoteReference"/>
        </w:rPr>
        <w:footnoteRef/>
      </w:r>
      <w:r>
        <w:t xml:space="preserve"> One limitation to note is that these studies measure effects in male workers; female workers were either absent or were excluded from the analyses due to small numbers; as such, there is uncertainty regarding the applicability of the resultant dose-response functions to female workers.</w:t>
      </w:r>
    </w:p>
  </w:footnote>
  <w:footnote w:id="20">
    <w:p w:rsidR="000F3FFC" w:rsidP="000F3FFC" w14:paraId="52BFF86F" w14:textId="77777777">
      <w:pPr>
        <w:pStyle w:val="FootnoteText"/>
      </w:pPr>
      <w:r>
        <w:rPr>
          <w:rStyle w:val="FootnoteReference"/>
        </w:rPr>
        <w:footnoteRef/>
      </w:r>
      <w:r>
        <w:t xml:space="preserve"> Specifically, the CPI increased by 133 percent between 1990 and 2023, while the GDP per capita increased by 68 percent. EPA calculated the updated value of a case as $260,000 x 1.33 x 0.68^0.45, rounded to the nearest thousand dollars. </w:t>
      </w:r>
    </w:p>
  </w:footnote>
  <w:footnote w:id="21">
    <w:p w:rsidR="009663CD" w14:paraId="4A563550" w14:textId="4661B01F">
      <w:pPr>
        <w:pStyle w:val="FootnoteText"/>
      </w:pPr>
      <w:r>
        <w:rPr>
          <w:rStyle w:val="FootnoteReference"/>
        </w:rPr>
        <w:footnoteRef/>
      </w:r>
      <w:r>
        <w:t xml:space="preserve"> The most recent </w:t>
      </w:r>
      <w:r w:rsidR="00814696">
        <w:t xml:space="preserve">Statement Study with benchmark data for </w:t>
      </w:r>
      <w:r w:rsidR="00030142">
        <w:t xml:space="preserve">firms with revenues between 2 and 10 million </w:t>
      </w:r>
      <w:r w:rsidR="00267DCA">
        <w:t xml:space="preserve">are </w:t>
      </w:r>
      <w:r w:rsidR="00FC1C21">
        <w:t xml:space="preserve">from </w:t>
      </w:r>
      <w:r w:rsidR="00356043">
        <w:t xml:space="preserve">2018 and 2019 for NAICS </w:t>
      </w:r>
      <w:r w:rsidR="006716B3">
        <w:t xml:space="preserve">325211 and </w:t>
      </w:r>
      <w:r w:rsidR="00F52226">
        <w:t>325</w:t>
      </w:r>
      <w:r w:rsidR="006E75F3">
        <w:t>99</w:t>
      </w:r>
      <w:r w:rsidR="00DC7731">
        <w:t>, respectively.</w:t>
      </w:r>
    </w:p>
  </w:footnote>
  <w:footnote w:id="22">
    <w:p w:rsidR="0078141F" w:rsidP="0078141F" w14:paraId="37F21648" w14:textId="77777777">
      <w:pPr>
        <w:pStyle w:val="FootnoteText"/>
      </w:pPr>
      <w:r>
        <w:rPr>
          <w:rStyle w:val="FootnoteReference"/>
          <w:rFonts w:eastAsiaTheme="minorHAnsi"/>
        </w:rPr>
        <w:footnoteRef/>
      </w:r>
      <w:r>
        <w:t xml:space="preserve"> https://www.epa.gov/sites/default/files/2016-06/documents/ejtg_5_6_16_v5.1.pdf</w:t>
      </w:r>
    </w:p>
  </w:footnote>
  <w:footnote w:id="23">
    <w:p w:rsidR="0078141F" w:rsidP="0078141F" w14:paraId="5D4DA990" w14:textId="77777777">
      <w:pPr>
        <w:pStyle w:val="FootnoteText"/>
      </w:pPr>
      <w:r>
        <w:rPr>
          <w:rStyle w:val="FootnoteReference"/>
          <w:rFonts w:eastAsiaTheme="minorHAnsi"/>
        </w:rPr>
        <w:footnoteRef/>
      </w:r>
      <w:r>
        <w:t xml:space="preserve"> Throughout this section, the term workers also includes ONUs.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0ED7" w:rsidRPr="00597B60" w:rsidP="00DC17F5" w14:paraId="309CDD37" w14:textId="77777777">
    <w:r w:rsidRPr="00597B6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0ED7" w:rsidRPr="000677E1" w:rsidP="000677E1" w14:paraId="4CCB298E" w14:textId="77777777">
    <w:pPr>
      <w:pStyle w:val="TableTitle"/>
      <w:jc w:val="center"/>
      <w:rPr>
        <w:color w:val="DA291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3B52" w:rsidP="002D5406" w14:paraId="5A6FBFC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C1F15"/>
    <w:multiLevelType w:val="hybridMultilevel"/>
    <w:tmpl w:val="23F24A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A8342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21A48D5"/>
    <w:multiLevelType w:val="hybridMultilevel"/>
    <w:tmpl w:val="D312FD04"/>
    <w:lvl w:ilvl="0">
      <w:start w:val="1"/>
      <w:numFmt w:val="upperLetter"/>
      <w:pStyle w:val="Observatio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3F2CB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35032EE"/>
    <w:multiLevelType w:val="hybridMultilevel"/>
    <w:tmpl w:val="2066341C"/>
    <w:lvl w:ilvl="0">
      <w:start w:val="1"/>
      <w:numFmt w:val="decimal"/>
      <w:pStyle w:val="BoxHeading"/>
      <w:lvlText w:val="Box %1:"/>
      <w:lvlJc w:val="left"/>
      <w:pPr>
        <w:ind w:left="587" w:hanging="360"/>
      </w:pPr>
      <w:rPr>
        <w:b/>
        <w:i w:val="0"/>
        <w:color w:val="DA291C" w:themeColor="text2"/>
      </w:r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5">
    <w:nsid w:val="0578007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6B2168F"/>
    <w:multiLevelType w:val="multilevel"/>
    <w:tmpl w:val="550E63E0"/>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upperLetter"/>
      <w:lvlText w:val="Appendix %6"/>
      <w:lvlJc w:val="left"/>
      <w:pPr>
        <w:ind w:left="360" w:hanging="360"/>
      </w:pPr>
      <w:rPr>
        <w:rFonts w:hint="default"/>
      </w:rPr>
    </w:lvl>
    <w:lvl w:ilvl="6">
      <w:start w:val="1"/>
      <w:numFmt w:val="decimal"/>
      <w:lvlText w:val="%6-%7"/>
      <w:lvlJc w:val="left"/>
      <w:pPr>
        <w:ind w:left="720" w:hanging="360"/>
      </w:pPr>
      <w:rPr>
        <w:rFonts w:hint="default"/>
      </w:rPr>
    </w:lvl>
    <w:lvl w:ilvl="7">
      <w:start w:val="1"/>
      <w:numFmt w:val="decimal"/>
      <w:lvlText w:val="%6-%7-%8"/>
      <w:lvlJc w:val="left"/>
      <w:pPr>
        <w:ind w:left="1267" w:hanging="360"/>
      </w:pPr>
      <w:rPr>
        <w:rFonts w:hint="default"/>
      </w:rPr>
    </w:lvl>
    <w:lvl w:ilvl="8">
      <w:start w:val="1"/>
      <w:numFmt w:val="decimal"/>
      <w:lvlText w:val="%6-%7-%8-%9"/>
      <w:lvlJc w:val="left"/>
      <w:pPr>
        <w:ind w:left="1440" w:hanging="360"/>
      </w:pPr>
      <w:rPr>
        <w:rFonts w:hint="default"/>
      </w:rPr>
    </w:lvl>
  </w:abstractNum>
  <w:abstractNum w:abstractNumId="7">
    <w:nsid w:val="06B86D9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09455E10"/>
    <w:multiLevelType w:val="hybridMultilevel"/>
    <w:tmpl w:val="8D36B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96814E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0B101973"/>
    <w:multiLevelType w:val="hybridMultilevel"/>
    <w:tmpl w:val="2C8C616C"/>
    <w:lvl w:ilvl="0">
      <w:start w:val="1"/>
      <w:numFmt w:val="bullet"/>
      <w:lvlText w:val=""/>
      <w:lvlJc w:val="left"/>
      <w:pPr>
        <w:ind w:left="720" w:hanging="360"/>
      </w:pPr>
      <w:rPr>
        <w:rFonts w:ascii="Wingdings" w:hAnsi="Wingdings" w:hint="default"/>
        <w:b w:val="0"/>
        <w:bCs w:val="0"/>
        <w:i w:val="0"/>
        <w:iCs w:val="0"/>
        <w:caps w:val="0"/>
        <w:strike w:val="0"/>
        <w:dstrike w:val="0"/>
        <w:outline w:val="0"/>
        <w:emboss w:val="0"/>
        <w:imprint w:val="0"/>
        <w:color w:val="26654B"/>
        <w:spacing w:val="0"/>
        <w:w w:val="100"/>
        <w:kern w:val="0"/>
        <w:position w:val="0"/>
        <w:vertAlign w:val="baselin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C000F1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0C94474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0D145DF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0D80082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0DF116B9"/>
    <w:multiLevelType w:val="multilevel"/>
    <w:tmpl w:val="EB1C0DD4"/>
    <w:lvl w:ilvl="0">
      <w:start w:val="1"/>
      <w:numFmt w:val="none"/>
      <w:pStyle w:val="Bulletedlist"/>
      <w:lvlText w:val="–"/>
      <w:lvlJc w:val="left"/>
      <w:pPr>
        <w:ind w:left="284" w:hanging="284"/>
      </w:pPr>
    </w:lvl>
    <w:lvl w:ilvl="1">
      <w:start w:val="1"/>
      <w:numFmt w:val="bullet"/>
      <w:lvlText w:val=""/>
      <w:lvlJc w:val="left"/>
      <w:pPr>
        <w:ind w:left="284" w:hanging="227"/>
      </w:pPr>
      <w:rPr>
        <w:rFonts w:ascii="Symbol" w:hAnsi="Symbol" w:hint="default"/>
      </w:rPr>
    </w:lvl>
    <w:lvl w:ilvl="2">
      <w:start w:val="1"/>
      <w:numFmt w:val="none"/>
      <w:lvlText w:val="·"/>
      <w:lvlJc w:val="left"/>
      <w:pPr>
        <w:ind w:left="852" w:hanging="284"/>
      </w:pPr>
    </w:lvl>
    <w:lvl w:ilvl="3">
      <w:start w:val="1"/>
      <w:numFmt w:val="none"/>
      <w:lvlText w:val="·"/>
      <w:lvlJc w:val="left"/>
      <w:pPr>
        <w:ind w:left="1136" w:hanging="284"/>
      </w:pPr>
    </w:lvl>
    <w:lvl w:ilvl="4">
      <w:start w:val="1"/>
      <w:numFmt w:val="none"/>
      <w:lvlText w:val="·"/>
      <w:lvlJc w:val="left"/>
      <w:pPr>
        <w:ind w:left="1420" w:hanging="284"/>
      </w:pPr>
    </w:lvl>
    <w:lvl w:ilvl="5">
      <w:start w:val="1"/>
      <w:numFmt w:val="none"/>
      <w:lvlText w:val="·"/>
      <w:lvlJc w:val="left"/>
      <w:pPr>
        <w:ind w:left="1704" w:hanging="284"/>
      </w:pPr>
    </w:lvl>
    <w:lvl w:ilvl="6">
      <w:start w:val="1"/>
      <w:numFmt w:val="none"/>
      <w:lvlText w:val="·"/>
      <w:lvlJc w:val="left"/>
      <w:pPr>
        <w:ind w:left="1988" w:hanging="284"/>
      </w:pPr>
    </w:lvl>
    <w:lvl w:ilvl="7">
      <w:start w:val="1"/>
      <w:numFmt w:val="none"/>
      <w:lvlText w:val="·"/>
      <w:lvlJc w:val="left"/>
      <w:pPr>
        <w:ind w:left="2272" w:hanging="284"/>
      </w:pPr>
    </w:lvl>
    <w:lvl w:ilvl="8">
      <w:start w:val="1"/>
      <w:numFmt w:val="none"/>
      <w:lvlText w:val="·"/>
      <w:lvlJc w:val="left"/>
      <w:pPr>
        <w:ind w:left="2556" w:hanging="284"/>
      </w:pPr>
    </w:lvl>
  </w:abstractNum>
  <w:abstractNum w:abstractNumId="16">
    <w:nsid w:val="0E27241F"/>
    <w:multiLevelType w:val="hybridMultilevel"/>
    <w:tmpl w:val="005662F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0EB30AA9"/>
    <w:multiLevelType w:val="hybridMultilevel"/>
    <w:tmpl w:val="52284502"/>
    <w:lvl w:ilvl="0">
      <w:start w:val="1"/>
      <w:numFmt w:val="bullet"/>
      <w:lvlText w:val=""/>
      <w:lvlJc w:val="left"/>
      <w:pPr>
        <w:ind w:left="720" w:hanging="360"/>
      </w:pPr>
      <w:rPr>
        <w:rFonts w:ascii="Wingdings" w:hAnsi="Wingdings" w:hint="default"/>
        <w:color w:val="308198" w:themeColor="accent1" w:themeShade="BF"/>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8">
    <w:nsid w:val="103861B2"/>
    <w:multiLevelType w:val="hybridMultilevel"/>
    <w:tmpl w:val="F2AC4E38"/>
    <w:lvl w:ilvl="0">
      <w:start w:val="1"/>
      <w:numFmt w:val="bullet"/>
      <w:pStyle w:val="RRBulletLevel1"/>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17A285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122017A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126B4230"/>
    <w:multiLevelType w:val="multilevel"/>
    <w:tmpl w:val="9B0472DA"/>
    <w:lvl w:ilvl="0">
      <w:start w:val="1"/>
      <w:numFmt w:val="bullet"/>
      <w:pStyle w:val="TableBullets"/>
      <w:lvlText w:val=""/>
      <w:lvlJc w:val="left"/>
      <w:pPr>
        <w:ind w:left="720" w:hanging="720"/>
      </w:pPr>
      <w:rPr>
        <w:rFonts w:ascii="Symbol" w:hAnsi="Symbol" w:cs="Symbol" w:hint="default"/>
        <w:color w:val="48A9C5" w:themeColor="accent1"/>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13803BD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13B536BB"/>
    <w:multiLevelType w:val="hybridMultilevel"/>
    <w:tmpl w:val="A5C88790"/>
    <w:lvl w:ilvl="0">
      <w:start w:val="1"/>
      <w:numFmt w:val="bullet"/>
      <w:pStyle w:val="Call-OutBoxBullet"/>
      <w:lvlText w:val=""/>
      <w:lvlJc w:val="left"/>
      <w:pPr>
        <w:ind w:left="720" w:hanging="360"/>
      </w:pPr>
      <w:rPr>
        <w:rFonts w:ascii="Symbol" w:hAnsi="Symbol" w:cs="Symbol" w:hint="default"/>
        <w:color w:val="48A9C5"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141360FE"/>
    <w:multiLevelType w:val="hybridMultilevel"/>
    <w:tmpl w:val="46381FC8"/>
    <w:lvl w:ilvl="0">
      <w:start w:val="1"/>
      <w:numFmt w:val="upperLetter"/>
      <w:pStyle w:val="Heading7"/>
      <w:lvlText w:val="Appendix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4471DE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15010B2B"/>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15115A0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16A27E1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1738689C"/>
    <w:multiLevelType w:val="multilevel"/>
    <w:tmpl w:val="E67A5EAC"/>
    <w:styleLink w:val="1ai"/>
    <w:lvl w:ilvl="0">
      <w:start w:val="1"/>
      <w:numFmt w:val="decimal"/>
      <w:pStyle w:val="bullets0"/>
      <w:lvlText w:val="%1."/>
      <w:lvlJc w:val="left"/>
      <w:pPr>
        <w:tabs>
          <w:tab w:val="num" w:pos="432"/>
        </w:tabs>
        <w:ind w:left="432" w:hanging="432"/>
      </w:pPr>
      <w:rPr>
        <w:rFonts w:cs="Times New Roman" w:hint="default"/>
        <w:bCs w:val="0"/>
        <w:i w:val="0"/>
        <w:iCs w:val="0"/>
        <w:caps w:val="0"/>
        <w:smallCaps w:val="0"/>
        <w:strike w:val="0"/>
        <w:dstrike w:val="0"/>
        <w:noProof w:val="0"/>
        <w:vanish w:val="0"/>
        <w:color w:val="000000"/>
        <w:spacing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lvlText w:val="%1.%2"/>
      <w:lvlJc w:val="left"/>
      <w:pPr>
        <w:tabs>
          <w:tab w:val="num" w:pos="1080"/>
        </w:tabs>
        <w:ind w:left="1080" w:hanging="720"/>
      </w:pPr>
      <w:rPr>
        <w:rFonts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rPr>
        <w:rFonts w:cs="Times New Roman" w:hint="default"/>
        <w:bCs w:val="0"/>
        <w:i w:val="0"/>
        <w:iCs w:val="0"/>
        <w:caps w:val="0"/>
        <w:smallCaps w:val="0"/>
        <w:strike w:val="0"/>
        <w:dstrike w:val="0"/>
        <w:noProof w:val="0"/>
        <w:vanish w:val="0"/>
        <w:color w:val="000000"/>
        <w:spacing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none"/>
      <w:lvlJc w:val="left"/>
      <w:pPr>
        <w:tabs>
          <w:tab w:val="num" w:pos="0"/>
        </w:tabs>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30">
    <w:nsid w:val="183A10A5"/>
    <w:multiLevelType w:val="hybridMultilevel"/>
    <w:tmpl w:val="0602F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189419E9"/>
    <w:multiLevelType w:val="multilevel"/>
    <w:tmpl w:val="E7184B1C"/>
    <w:styleLink w:val="111111"/>
    <w:lvl w:ilvl="0">
      <w:start w:val="1"/>
      <w:numFmt w:val="decimal"/>
      <w:lvlText w:val="%1."/>
      <w:lvlJc w:val="left"/>
      <w:pPr>
        <w:tabs>
          <w:tab w:val="num" w:pos="648"/>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368"/>
        </w:tabs>
        <w:ind w:left="1368" w:hanging="648"/>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2">
    <w:nsid w:val="195E6C8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1B71002C"/>
    <w:multiLevelType w:val="hybridMultilevel"/>
    <w:tmpl w:val="A120C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1B83289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1C872D4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1CDB33FF"/>
    <w:multiLevelType w:val="hybridMultilevel"/>
    <w:tmpl w:val="D794E29C"/>
    <w:lvl w:ilvl="0">
      <w:start w:val="1"/>
      <w:numFmt w:val="bullet"/>
      <w:lvlText w:val="§"/>
      <w:lvlJc w:val="left"/>
      <w:pPr>
        <w:ind w:left="720" w:hanging="360"/>
      </w:pPr>
      <w:rPr>
        <w:rFonts w:ascii="Wingdings" w:hAnsi="Wingdings" w:hint="default"/>
        <w:b w:val="0"/>
        <w:bCs w:val="0"/>
        <w:i w:val="0"/>
        <w:iCs w:val="0"/>
        <w:caps w:val="0"/>
        <w:strike w:val="0"/>
        <w:dstrike w:val="0"/>
        <w:outline w:val="0"/>
        <w:emboss w:val="0"/>
        <w:imprint w:val="0"/>
        <w:color w:val="26654B"/>
        <w:spacing w:val="0"/>
        <w:w w:val="100"/>
        <w:kern w:val="0"/>
        <w:position w:val="0"/>
        <w:vertAlign w:val="baseline"/>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DD354A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1FA83868"/>
    <w:multiLevelType w:val="multilevel"/>
    <w:tmpl w:val="6EA2A29C"/>
    <w:styleLink w:val="Numberlist"/>
    <w:lvl w:ilvl="0">
      <w:start w:val="1"/>
      <w:numFmt w:val="decimal"/>
      <w:lvlText w:val="%1."/>
      <w:lvlJc w:val="left"/>
      <w:pPr>
        <w:ind w:left="576" w:hanging="216"/>
      </w:pPr>
    </w:lvl>
    <w:lvl w:ilvl="1">
      <w:start w:val="1"/>
      <w:numFmt w:val="lowerLetter"/>
      <w:lvlText w:val="%2."/>
      <w:lvlJc w:val="left"/>
      <w:pPr>
        <w:tabs>
          <w:tab w:val="num" w:pos="1296"/>
        </w:tabs>
        <w:ind w:left="1296" w:hanging="216"/>
      </w:pPr>
    </w:lvl>
    <w:lvl w:ilvl="2">
      <w:start w:val="1"/>
      <w:numFmt w:val="lowerRoman"/>
      <w:lvlText w:val="%3."/>
      <w:lvlJc w:val="left"/>
      <w:pPr>
        <w:ind w:left="2016" w:hanging="216"/>
      </w:p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Wingdings" w:hAnsi="Wingdings" w:hint="default"/>
        <w:color w:val="26654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2012115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20DB2B0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210455D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23744BA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243E0C6A"/>
    <w:multiLevelType w:val="hybridMultilevel"/>
    <w:tmpl w:val="E522DDCA"/>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4">
    <w:nsid w:val="24AC259B"/>
    <w:multiLevelType w:val="singleLevel"/>
    <w:tmpl w:val="EAA2EF36"/>
    <w:lvl w:ilvl="0">
      <w:start w:val="1"/>
      <w:numFmt w:val="decimal"/>
      <w:pStyle w:val="Numbers"/>
      <w:lvlText w:val="%1."/>
      <w:lvlJc w:val="left"/>
      <w:pPr>
        <w:tabs>
          <w:tab w:val="num" w:pos="360"/>
        </w:tabs>
        <w:ind w:left="360" w:hanging="360"/>
      </w:pPr>
      <w:rPr>
        <w:rFonts w:hint="default"/>
      </w:rPr>
    </w:lvl>
  </w:abstractNum>
  <w:abstractNum w:abstractNumId="45">
    <w:nsid w:val="255B5875"/>
    <w:multiLevelType w:val="hybridMultilevel"/>
    <w:tmpl w:val="80DA9E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26110F8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nsid w:val="262338BE"/>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nsid w:val="296F36D1"/>
    <w:multiLevelType w:val="multilevel"/>
    <w:tmpl w:val="EDDCA3CA"/>
    <w:lvl w:ilvl="0">
      <w:start w:val="1"/>
      <w:numFmt w:val="upperLetter"/>
      <w:pStyle w:val="AppendixHeading1"/>
      <w:suff w:val="space"/>
      <w:lvlText w:val="Appendix %1."/>
      <w:lvlJc w:val="left"/>
      <w:pPr>
        <w:ind w:left="360" w:hanging="360"/>
      </w:pPr>
    </w:lvl>
    <w:lvl w:ilvl="1">
      <w:start w:val="1"/>
      <w:numFmt w:val="decimal"/>
      <w:pStyle w:val="AppendixHeading2"/>
      <w:suff w:val="space"/>
      <w:lvlText w:val="%1.%2"/>
      <w:lvlJc w:val="left"/>
      <w:pPr>
        <w:ind w:left="720" w:hanging="720"/>
      </w:pPr>
    </w:lvl>
    <w:lvl w:ilvl="2">
      <w:start w:val="1"/>
      <w:numFmt w:val="decimal"/>
      <w:pStyle w:val="AppendixHeading3"/>
      <w:suff w:val="space"/>
      <w:lvlText w:val="%1.%2.%3"/>
      <w:lvlJc w:val="left"/>
      <w:pPr>
        <w:ind w:left="1080" w:hanging="10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2B51747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nsid w:val="2B825A5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nsid w:val="2B9F292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nsid w:val="2C8F29F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nsid w:val="2D7348BE"/>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nsid w:val="2EE66B0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nsid w:val="2F22720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nsid w:val="2F9F2C1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nsid w:val="30AE3B4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nsid w:val="30EB649A"/>
    <w:multiLevelType w:val="hybridMultilevel"/>
    <w:tmpl w:val="50DC964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31F9699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nsid w:val="331A30B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nsid w:val="368C5AF5"/>
    <w:multiLevelType w:val="hybridMultilevel"/>
    <w:tmpl w:val="8B163A0A"/>
    <w:lvl w:ilvl="0">
      <w:start w:val="1"/>
      <w:numFmt w:val="bullet"/>
      <w:lvlText w:val=""/>
      <w:lvlJc w:val="left"/>
      <w:pPr>
        <w:ind w:left="108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37A5615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nsid w:val="38485BD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nsid w:val="3898610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nsid w:val="38CF1A2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nsid w:val="3A092F8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nsid w:val="3BE03EA5"/>
    <w:multiLevelType w:val="hybridMultilevel"/>
    <w:tmpl w:val="4FCCC1D2"/>
    <w:lvl w:ilvl="0">
      <w:start w:val="1"/>
      <w:numFmt w:val="bullet"/>
      <w:pStyle w:val="TableBullet"/>
      <w:lvlText w:val=""/>
      <w:lvlJc w:val="left"/>
      <w:pPr>
        <w:tabs>
          <w:tab w:val="num" w:pos="216"/>
        </w:tabs>
        <w:ind w:left="216" w:hanging="216"/>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3DA34FBA"/>
    <w:multiLevelType w:val="hybridMultilevel"/>
    <w:tmpl w:val="1A3CD8A6"/>
    <w:lvl w:ilvl="0">
      <w:start w:val="1"/>
      <w:numFmt w:val="bullet"/>
      <w:pStyle w:val="BulletListAbt"/>
      <w:lvlText w:val=""/>
      <w:lvlJc w:val="left"/>
      <w:pPr>
        <w:ind w:left="1138" w:hanging="360"/>
      </w:pPr>
      <w:rPr>
        <w:rFonts w:ascii="Symbol" w:hAnsi="Symbol" w:hint="default"/>
        <w:sz w:val="18"/>
      </w:rPr>
    </w:lvl>
    <w:lvl w:ilvl="1">
      <w:start w:val="1"/>
      <w:numFmt w:val="bullet"/>
      <w:lvlText w:val="o"/>
      <w:lvlJc w:val="left"/>
      <w:pPr>
        <w:ind w:left="1858" w:hanging="360"/>
      </w:pPr>
      <w:rPr>
        <w:rFonts w:ascii="Courier New" w:hAnsi="Courier New" w:cs="Courier New" w:hint="default"/>
      </w:rPr>
    </w:lvl>
    <w:lvl w:ilvl="2" w:tentative="1">
      <w:start w:val="1"/>
      <w:numFmt w:val="bullet"/>
      <w:lvlText w:val=""/>
      <w:lvlJc w:val="left"/>
      <w:pPr>
        <w:ind w:left="2578" w:hanging="360"/>
      </w:pPr>
      <w:rPr>
        <w:rFonts w:ascii="Wingdings" w:hAnsi="Wingdings" w:hint="default"/>
      </w:rPr>
    </w:lvl>
    <w:lvl w:ilvl="3" w:tentative="1">
      <w:start w:val="1"/>
      <w:numFmt w:val="bullet"/>
      <w:lvlText w:val=""/>
      <w:lvlJc w:val="left"/>
      <w:pPr>
        <w:ind w:left="3298" w:hanging="360"/>
      </w:pPr>
      <w:rPr>
        <w:rFonts w:ascii="Symbol" w:hAnsi="Symbol" w:hint="default"/>
      </w:rPr>
    </w:lvl>
    <w:lvl w:ilvl="4" w:tentative="1">
      <w:start w:val="1"/>
      <w:numFmt w:val="bullet"/>
      <w:lvlText w:val="o"/>
      <w:lvlJc w:val="left"/>
      <w:pPr>
        <w:ind w:left="4018" w:hanging="360"/>
      </w:pPr>
      <w:rPr>
        <w:rFonts w:ascii="Courier New" w:hAnsi="Courier New" w:cs="Courier New" w:hint="default"/>
      </w:rPr>
    </w:lvl>
    <w:lvl w:ilvl="5" w:tentative="1">
      <w:start w:val="1"/>
      <w:numFmt w:val="bullet"/>
      <w:lvlText w:val=""/>
      <w:lvlJc w:val="left"/>
      <w:pPr>
        <w:ind w:left="4738" w:hanging="360"/>
      </w:pPr>
      <w:rPr>
        <w:rFonts w:ascii="Wingdings" w:hAnsi="Wingdings" w:hint="default"/>
      </w:rPr>
    </w:lvl>
    <w:lvl w:ilvl="6" w:tentative="1">
      <w:start w:val="1"/>
      <w:numFmt w:val="bullet"/>
      <w:lvlText w:val=""/>
      <w:lvlJc w:val="left"/>
      <w:pPr>
        <w:ind w:left="5458" w:hanging="360"/>
      </w:pPr>
      <w:rPr>
        <w:rFonts w:ascii="Symbol" w:hAnsi="Symbol" w:hint="default"/>
      </w:rPr>
    </w:lvl>
    <w:lvl w:ilvl="7" w:tentative="1">
      <w:start w:val="1"/>
      <w:numFmt w:val="bullet"/>
      <w:lvlText w:val="o"/>
      <w:lvlJc w:val="left"/>
      <w:pPr>
        <w:ind w:left="6178" w:hanging="360"/>
      </w:pPr>
      <w:rPr>
        <w:rFonts w:ascii="Courier New" w:hAnsi="Courier New" w:cs="Courier New" w:hint="default"/>
      </w:rPr>
    </w:lvl>
    <w:lvl w:ilvl="8" w:tentative="1">
      <w:start w:val="1"/>
      <w:numFmt w:val="bullet"/>
      <w:lvlText w:val=""/>
      <w:lvlJc w:val="left"/>
      <w:pPr>
        <w:ind w:left="6898" w:hanging="360"/>
      </w:pPr>
      <w:rPr>
        <w:rFonts w:ascii="Wingdings" w:hAnsi="Wingdings" w:hint="default"/>
      </w:rPr>
    </w:lvl>
  </w:abstractNum>
  <w:abstractNum w:abstractNumId="69">
    <w:nsid w:val="3EAD33C4"/>
    <w:multiLevelType w:val="multilevel"/>
    <w:tmpl w:val="68D08906"/>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70">
    <w:nsid w:val="3EE5203A"/>
    <w:multiLevelType w:val="hybridMultilevel"/>
    <w:tmpl w:val="383A8C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3F0A3095"/>
    <w:multiLevelType w:val="hybridMultilevel"/>
    <w:tmpl w:val="F5F445C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2">
    <w:nsid w:val="405D77A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nsid w:val="40745A6C"/>
    <w:multiLevelType w:val="hybridMultilevel"/>
    <w:tmpl w:val="4092738A"/>
    <w:lvl w:ilvl="0">
      <w:start w:val="1"/>
      <w:numFmt w:val="bullet"/>
      <w:lvlText w:val=""/>
      <w:lvlJc w:val="left"/>
      <w:pPr>
        <w:ind w:left="720" w:hanging="360"/>
      </w:pPr>
      <w:rPr>
        <w:rFonts w:ascii="Wingdings" w:hAnsi="Wingdings" w:hint="default"/>
        <w:color w:val="308198" w:themeColor="accent1" w:themeShade="BF"/>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74">
    <w:nsid w:val="42376F10"/>
    <w:multiLevelType w:val="hybridMultilevel"/>
    <w:tmpl w:val="C5D4CD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4324032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nsid w:val="43374972"/>
    <w:multiLevelType w:val="hybridMultilevel"/>
    <w:tmpl w:val="B8A4F164"/>
    <w:lvl w:ilvl="0">
      <w:start w:val="1"/>
      <w:numFmt w:val="bullet"/>
      <w:lvlText w:val=""/>
      <w:lvlJc w:val="left"/>
      <w:pPr>
        <w:ind w:left="720" w:hanging="360"/>
      </w:pPr>
      <w:rPr>
        <w:rFonts w:ascii="Symbol" w:hAnsi="Symbol" w:hint="default"/>
      </w:rPr>
    </w:lvl>
    <w:lvl w:ilvl="1">
      <w:start w:val="1"/>
      <w:numFmt w:val="bullet"/>
      <w:pStyle w:val="H2NEW"/>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438462F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nsid w:val="44912E8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nsid w:val="44C915E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nsid w:val="47B23FE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nsid w:val="47C170F8"/>
    <w:multiLevelType w:val="singleLevel"/>
    <w:tmpl w:val="89201E9A"/>
    <w:lvl w:ilvl="0">
      <w:start w:val="1"/>
      <w:numFmt w:val="bullet"/>
      <w:pStyle w:val="ListBullet2"/>
      <w:lvlText w:val=""/>
      <w:lvlJc w:val="left"/>
      <w:pPr>
        <w:tabs>
          <w:tab w:val="num" w:pos="1440"/>
        </w:tabs>
        <w:ind w:left="1440" w:hanging="720"/>
      </w:pPr>
      <w:rPr>
        <w:rFonts w:ascii="Wingdings" w:hAnsi="Wingdings" w:hint="default"/>
      </w:rPr>
    </w:lvl>
  </w:abstractNum>
  <w:abstractNum w:abstractNumId="82">
    <w:nsid w:val="4B1E0F77"/>
    <w:multiLevelType w:val="hybridMultilevel"/>
    <w:tmpl w:val="1A3238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4BDC7E8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nsid w:val="4C1A556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nsid w:val="4C203762"/>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nsid w:val="4E84522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7">
    <w:nsid w:val="4F646FB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nsid w:val="4FDC73F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9">
    <w:nsid w:val="50DB20D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0">
    <w:nsid w:val="5293201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nsid w:val="536E69A2"/>
    <w:multiLevelType w:val="hybridMultilevel"/>
    <w:tmpl w:val="6E6C94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5511292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nsid w:val="559F0AF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nsid w:val="5732701E"/>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nsid w:val="575D61D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nsid w:val="57DA17D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7">
    <w:nsid w:val="5839388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8">
    <w:nsid w:val="5965502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nsid w:val="5A2C0D3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0">
    <w:nsid w:val="5AFE79E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nsid w:val="5B424682"/>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nsid w:val="5C875E3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nsid w:val="5CB56325"/>
    <w:multiLevelType w:val="hybridMultilevel"/>
    <w:tmpl w:val="797C2E2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5DE441D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5">
    <w:nsid w:val="5DF011E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nsid w:val="5E5B20A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nsid w:val="613C188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8">
    <w:nsid w:val="6214573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nsid w:val="6300439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0">
    <w:nsid w:val="64CC3D2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1">
    <w:nsid w:val="64CD5FE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nsid w:val="64F732B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3">
    <w:nsid w:val="65181D25"/>
    <w:multiLevelType w:val="hybridMultilevel"/>
    <w:tmpl w:val="7DA47E26"/>
    <w:lvl w:ilvl="0">
      <w:start w:val="1"/>
      <w:numFmt w:val="bullet"/>
      <w:lvlText w:val=""/>
      <w:lvlJc w:val="left"/>
      <w:pPr>
        <w:ind w:left="720" w:hanging="360"/>
      </w:pPr>
      <w:rPr>
        <w:rFonts w:ascii="Wingdings" w:hAnsi="Wingdings" w:hint="default"/>
        <w:b w:val="0"/>
        <w:bCs w:val="0"/>
        <w:i w:val="0"/>
        <w:iCs w:val="0"/>
        <w:caps w:val="0"/>
        <w:strike w:val="0"/>
        <w:dstrike w:val="0"/>
        <w:outline w:val="0"/>
        <w:emboss w:val="0"/>
        <w:imprint w:val="0"/>
        <w:color w:val="26654B"/>
        <w:spacing w:val="0"/>
        <w:w w:val="100"/>
        <w:kern w:val="0"/>
        <w:position w:val="0"/>
        <w:vertAlign w:val="baseline"/>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4">
    <w:nsid w:val="67A5692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5">
    <w:nsid w:val="689A21D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6">
    <w:nsid w:val="6A1C0E33"/>
    <w:multiLevelType w:val="hybridMultilevel"/>
    <w:tmpl w:val="F85A2178"/>
    <w:lvl w:ilvl="0">
      <w:start w:val="1"/>
      <w:numFmt w:val="bullet"/>
      <w:lvlText w:val=""/>
      <w:lvlJc w:val="left"/>
      <w:pPr>
        <w:ind w:left="720" w:hanging="360"/>
      </w:pPr>
      <w:rPr>
        <w:rFonts w:ascii="Wingdings" w:hAnsi="Wingdings" w:hint="default"/>
        <w:b w:val="0"/>
        <w:bCs w:val="0"/>
        <w:i w:val="0"/>
        <w:iCs w:val="0"/>
        <w:caps w:val="0"/>
        <w:strike w:val="0"/>
        <w:dstrike w:val="0"/>
        <w:outline w:val="0"/>
        <w:emboss w:val="0"/>
        <w:imprint w:val="0"/>
        <w:color w:val="26654B"/>
        <w:spacing w:val="0"/>
        <w:w w:val="100"/>
        <w:kern w:val="0"/>
        <w:position w:val="0"/>
        <w:vertAlign w:val="baselin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6AB31167"/>
    <w:multiLevelType w:val="singleLevel"/>
    <w:tmpl w:val="641E4B6E"/>
    <w:lvl w:ilvl="0">
      <w:start w:val="1"/>
      <w:numFmt w:val="bullet"/>
      <w:pStyle w:val="ListBullet3"/>
      <w:lvlText w:val="—"/>
      <w:lvlJc w:val="left"/>
      <w:pPr>
        <w:tabs>
          <w:tab w:val="num" w:pos="2160"/>
        </w:tabs>
        <w:ind w:left="2160" w:hanging="720"/>
      </w:pPr>
      <w:rPr>
        <w:rFonts w:ascii="Times New Roman" w:hAnsi="Times New Roman" w:hint="default"/>
      </w:rPr>
    </w:lvl>
  </w:abstractNum>
  <w:abstractNum w:abstractNumId="118">
    <w:nsid w:val="6B3A6D1E"/>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9">
    <w:nsid w:val="6B54405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0">
    <w:nsid w:val="6B81152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1">
    <w:nsid w:val="6BB13CCF"/>
    <w:multiLevelType w:val="hybridMultilevel"/>
    <w:tmpl w:val="350A476E"/>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abstractNum w:abstractNumId="122">
    <w:nsid w:val="6BC81E5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3">
    <w:nsid w:val="6BDA660C"/>
    <w:multiLevelType w:val="hybridMultilevel"/>
    <w:tmpl w:val="72CEA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6C93136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5">
    <w:nsid w:val="6CA94D4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6">
    <w:nsid w:val="6D1A443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7">
    <w:nsid w:val="6E75400B"/>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8">
    <w:nsid w:val="6F432CEA"/>
    <w:multiLevelType w:val="hybridMultilevel"/>
    <w:tmpl w:val="0AF6F138"/>
    <w:lvl w:ilvl="0">
      <w:start w:val="2"/>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6F4622EE"/>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0">
    <w:nsid w:val="70A126C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1">
    <w:nsid w:val="720E4A2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2">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33">
    <w:nsid w:val="72AE57D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4">
    <w:nsid w:val="74330923"/>
    <w:multiLevelType w:val="multilevel"/>
    <w:tmpl w:val="9C1A144C"/>
    <w:lvl w:ilvl="0">
      <w:start w:val="1"/>
      <w:numFmt w:val="decimal"/>
      <w:pStyle w:val="NumberedListAbt"/>
      <w:lvlText w:val="%1."/>
      <w:lvlJc w:val="left"/>
      <w:pPr>
        <w:ind w:left="773" w:hanging="360"/>
      </w:pPr>
      <w:rPr>
        <w:rFonts w:hint="default"/>
        <w:sz w:val="18"/>
        <w:szCs w:val="18"/>
      </w:rPr>
    </w:lvl>
    <w:lvl w:ilvl="1">
      <w:start w:val="1"/>
      <w:numFmt w:val="upperLetter"/>
      <w:lvlText w:val="%2."/>
      <w:lvlJc w:val="left"/>
      <w:pPr>
        <w:ind w:left="1493" w:hanging="360"/>
      </w:pPr>
      <w:rPr>
        <w:rFonts w:hint="default"/>
        <w:b w:val="0"/>
        <w:sz w:val="22"/>
        <w:szCs w:val="20"/>
      </w:rPr>
    </w:lvl>
    <w:lvl w:ilvl="2">
      <w:start w:val="1"/>
      <w:numFmt w:val="decimal"/>
      <w:lvlText w:val="(%3)."/>
      <w:lvlJc w:val="right"/>
      <w:pPr>
        <w:ind w:left="2213" w:hanging="180"/>
      </w:pPr>
      <w:rPr>
        <w:rFonts w:hint="default"/>
      </w:rPr>
    </w:lvl>
    <w:lvl w:ilvl="3">
      <w:start w:val="1"/>
      <w:numFmt w:val="lowerLetter"/>
      <w:lvlText w:val="%4."/>
      <w:lvlJc w:val="left"/>
      <w:pPr>
        <w:ind w:left="2933" w:hanging="360"/>
      </w:pPr>
      <w:rPr>
        <w:rFonts w:hint="default"/>
      </w:rPr>
    </w:lvl>
    <w:lvl w:ilvl="4">
      <w:start w:val="1"/>
      <w:numFmt w:val="lowerRoman"/>
      <w:lvlText w:val="%5."/>
      <w:lvlJc w:val="left"/>
      <w:pPr>
        <w:ind w:left="3653" w:hanging="360"/>
      </w:pPr>
      <w:rPr>
        <w:rFonts w:hint="default"/>
      </w:rPr>
    </w:lvl>
    <w:lvl w:ilvl="5">
      <w:start w:val="1"/>
      <w:numFmt w:val="bullet"/>
      <w:lvlText w:val=""/>
      <w:lvlJc w:val="left"/>
      <w:pPr>
        <w:ind w:left="4373" w:hanging="180"/>
      </w:pPr>
      <w:rPr>
        <w:rFonts w:ascii="Symbol" w:hAnsi="Symbol" w:hint="default"/>
      </w:rPr>
    </w:lvl>
    <w:lvl w:ilvl="6">
      <w:start w:val="1"/>
      <w:numFmt w:val="none"/>
      <w:lvlText w:val="%7."/>
      <w:lvlJc w:val="left"/>
      <w:pPr>
        <w:ind w:left="5093" w:hanging="360"/>
      </w:pPr>
      <w:rPr>
        <w:rFonts w:hint="default"/>
      </w:rPr>
    </w:lvl>
    <w:lvl w:ilvl="7">
      <w:start w:val="1"/>
      <w:numFmt w:val="none"/>
      <w:lvlText w:val="%8."/>
      <w:lvlJc w:val="left"/>
      <w:pPr>
        <w:ind w:left="5813" w:hanging="360"/>
      </w:pPr>
      <w:rPr>
        <w:rFonts w:hint="default"/>
      </w:rPr>
    </w:lvl>
    <w:lvl w:ilvl="8">
      <w:start w:val="1"/>
      <w:numFmt w:val="none"/>
      <w:lvlText w:val="%9."/>
      <w:lvlJc w:val="right"/>
      <w:pPr>
        <w:ind w:left="6533" w:hanging="180"/>
      </w:pPr>
      <w:rPr>
        <w:rFonts w:hint="default"/>
      </w:rPr>
    </w:lvl>
  </w:abstractNum>
  <w:abstractNum w:abstractNumId="135">
    <w:nsid w:val="74912B7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6">
    <w:nsid w:val="74BD361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7">
    <w:nsid w:val="759A69A2"/>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8">
    <w:nsid w:val="75B0232C"/>
    <w:multiLevelType w:val="hybridMultilevel"/>
    <w:tmpl w:val="5554F8AC"/>
    <w:lvl w:ilvl="0">
      <w:start w:val="1"/>
      <w:numFmt w:val="bullet"/>
      <w:pStyle w:val="BulletHeading"/>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nsid w:val="775F56AF"/>
    <w:multiLevelType w:val="multilevel"/>
    <w:tmpl w:val="34F86E18"/>
    <w:lvl w:ilvl="0">
      <w:start w:val="1"/>
      <w:numFmt w:val="decimal"/>
      <w:pStyle w:val="SNURHeadingLevel1"/>
      <w:lvlText w:val="%1"/>
      <w:lvlJc w:val="left"/>
      <w:pPr>
        <w:ind w:left="405" w:hanging="405"/>
      </w:pPr>
      <w:rPr>
        <w:rFonts w:hint="default"/>
      </w:rPr>
    </w:lvl>
    <w:lvl w:ilvl="1">
      <w:start w:val="1"/>
      <w:numFmt w:val="decimal"/>
      <w:pStyle w:val="SNURHeadingLevel2"/>
      <w:lvlText w:val="%1.%2"/>
      <w:lvlJc w:val="left"/>
      <w:pPr>
        <w:ind w:left="720" w:hanging="720"/>
      </w:pPr>
      <w:rPr>
        <w:rFonts w:hint="default"/>
      </w:rPr>
    </w:lvl>
    <w:lvl w:ilvl="2">
      <w:start w:val="1"/>
      <w:numFmt w:val="decimal"/>
      <w:pStyle w:val="SNURHeadingLevel30"/>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0">
    <w:nsid w:val="78A4723C"/>
    <w:multiLevelType w:val="multilevel"/>
    <w:tmpl w:val="BC767084"/>
    <w:lvl w:ilvl="0">
      <w:start w:val="1"/>
      <w:numFmt w:val="upperLetter"/>
      <w:suff w:val="nothing"/>
      <w:lvlText w:val="Appendix %1"/>
      <w:lvlJc w:val="left"/>
      <w:pPr>
        <w:ind w:left="0" w:firstLine="0"/>
      </w:pPr>
      <w:rPr>
        <w:rFonts w:ascii="Arial Bold" w:hAnsi="Arial Bold" w:cs="Times New Roman" w:hint="default"/>
        <w:b/>
        <w:bCs w:val="0"/>
        <w:i w:val="0"/>
        <w:iCs w:val="0"/>
        <w:caps w:val="0"/>
        <w:smallCaps w:val="0"/>
        <w:strike w:val="0"/>
        <w:dstrike w:val="0"/>
        <w:noProof w:val="0"/>
        <w:vanish w:val="0"/>
        <w:color w:val="F0F4F6"/>
        <w:spacing w:val="0"/>
        <w:kern w:val="0"/>
        <w:position w:val="0"/>
        <w:sz w:val="28"/>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pStyle w:val="AppenHead1"/>
      <w:suff w:val="nothing"/>
      <w:lvlText w:val="%1.%2"/>
      <w:lvlJc w:val="left"/>
      <w:pPr>
        <w:ind w:left="0" w:firstLine="0"/>
      </w:pPr>
      <w:rPr>
        <w:rFonts w:hint="default"/>
      </w:rPr>
    </w:lvl>
    <w:lvl w:ilvl="2">
      <w:start w:val="1"/>
      <w:numFmt w:val="decimal"/>
      <w:lvlText w:val="%1.%2.%3"/>
      <w:lvlJc w:val="right"/>
      <w:pPr>
        <w:ind w:left="2160" w:hanging="180"/>
      </w:pPr>
      <w:rPr>
        <w:rFonts w:hint="default"/>
      </w:rPr>
    </w:lvl>
    <w:lvl w:ilvl="3">
      <w:start w:val="1"/>
      <w:numFmt w:val="upperLetter"/>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nsid w:val="7A82228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2">
    <w:nsid w:val="7A84781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3">
    <w:nsid w:val="7AD63DA6"/>
    <w:multiLevelType w:val="singleLevel"/>
    <w:tmpl w:val="D0AAC418"/>
    <w:lvl w:ilvl="0">
      <w:start w:val="1"/>
      <w:numFmt w:val="bullet"/>
      <w:pStyle w:val="Bullets1"/>
      <w:lvlText w:val=""/>
      <w:lvlJc w:val="left"/>
      <w:pPr>
        <w:ind w:left="360" w:hanging="360"/>
      </w:pPr>
      <w:rPr>
        <w:rFonts w:ascii="Symbol" w:hAnsi="Symbol" w:cs="Symbol" w:hint="default"/>
        <w:color w:val="898D8D" w:themeColor="background2"/>
        <w:sz w:val="22"/>
      </w:rPr>
    </w:lvl>
  </w:abstractNum>
  <w:abstractNum w:abstractNumId="144">
    <w:nsid w:val="7B6F2676"/>
    <w:multiLevelType w:val="hybridMultilevel"/>
    <w:tmpl w:val="50DC964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5">
    <w:nsid w:val="7E3351A7"/>
    <w:multiLevelType w:val="hybridMultilevel"/>
    <w:tmpl w:val="60F40D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6">
    <w:nsid w:val="7EB2348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7">
    <w:nsid w:val="7EF72B6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8">
    <w:nsid w:val="7FCF753D"/>
    <w:multiLevelType w:val="hybridMultilevel"/>
    <w:tmpl w:val="4BE26C2C"/>
    <w:lvl w:ilvl="0">
      <w:start w:val="1"/>
      <w:numFmt w:val="bullet"/>
      <w:pStyle w:val="Bullets2"/>
      <w:lvlText w:val=""/>
      <w:lvlJc w:val="left"/>
      <w:pPr>
        <w:tabs>
          <w:tab w:val="num" w:pos="720"/>
        </w:tabs>
        <w:ind w:left="720" w:hanging="360"/>
      </w:pPr>
      <w:rPr>
        <w:rFonts w:ascii="Symbol" w:hAnsi="Symbol" w:cs="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107923468">
    <w:abstractNumId w:val="21"/>
  </w:num>
  <w:num w:numId="2" w16cid:durableId="1479298048">
    <w:abstractNumId w:val="81"/>
  </w:num>
  <w:num w:numId="3" w16cid:durableId="2588121">
    <w:abstractNumId w:val="117"/>
  </w:num>
  <w:num w:numId="4" w16cid:durableId="94521731">
    <w:abstractNumId w:val="67"/>
  </w:num>
  <w:num w:numId="5" w16cid:durableId="1687442610">
    <w:abstractNumId w:val="29"/>
  </w:num>
  <w:num w:numId="6" w16cid:durableId="1210457525">
    <w:abstractNumId w:val="18"/>
  </w:num>
  <w:num w:numId="7" w16cid:durableId="1532572840">
    <w:abstractNumId w:val="68"/>
  </w:num>
  <w:num w:numId="8" w16cid:durableId="2083870868">
    <w:abstractNumId w:val="31"/>
  </w:num>
  <w:num w:numId="9" w16cid:durableId="190454869">
    <w:abstractNumId w:val="6"/>
  </w:num>
  <w:num w:numId="10" w16cid:durableId="1527326290">
    <w:abstractNumId w:val="140"/>
  </w:num>
  <w:num w:numId="11" w16cid:durableId="255016051">
    <w:abstractNumId w:val="30"/>
  </w:num>
  <w:num w:numId="12" w16cid:durableId="1179003766">
    <w:abstractNumId w:val="103"/>
  </w:num>
  <w:num w:numId="13" w16cid:durableId="182119124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4981113">
    <w:abstractNumId w:val="139"/>
  </w:num>
  <w:num w:numId="15" w16cid:durableId="591623464">
    <w:abstractNumId w:val="43"/>
  </w:num>
  <w:num w:numId="16" w16cid:durableId="1773622466">
    <w:abstractNumId w:val="121"/>
  </w:num>
  <w:num w:numId="17" w16cid:durableId="862207594">
    <w:abstractNumId w:val="33"/>
  </w:num>
  <w:num w:numId="18" w16cid:durableId="160118694">
    <w:abstractNumId w:val="76"/>
  </w:num>
  <w:num w:numId="19" w16cid:durableId="776801618">
    <w:abstractNumId w:val="132"/>
  </w:num>
  <w:num w:numId="20" w16cid:durableId="214051016">
    <w:abstractNumId w:val="148"/>
  </w:num>
  <w:num w:numId="21" w16cid:durableId="683242818">
    <w:abstractNumId w:val="23"/>
  </w:num>
  <w:num w:numId="22" w16cid:durableId="1661543339">
    <w:abstractNumId w:val="24"/>
  </w:num>
  <w:num w:numId="23" w16cid:durableId="236987683">
    <w:abstractNumId w:val="44"/>
    <w:lvlOverride w:ilvl="0">
      <w:startOverride w:val="1"/>
    </w:lvlOverride>
  </w:num>
  <w:num w:numId="24" w16cid:durableId="1515924511">
    <w:abstractNumId w:val="143"/>
    <w:lvlOverride w:ilvl="0">
      <w:startOverride w:val="1"/>
    </w:lvlOverride>
  </w:num>
  <w:num w:numId="25" w16cid:durableId="243027706">
    <w:abstractNumId w:val="69"/>
  </w:num>
  <w:num w:numId="26" w16cid:durableId="5125719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38117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295869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19008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2194710">
    <w:abstractNumId w:val="138"/>
  </w:num>
  <w:num w:numId="31" w16cid:durableId="86108913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2256811">
    <w:abstractNumId w:val="73"/>
  </w:num>
  <w:num w:numId="33" w16cid:durableId="114373347">
    <w:abstractNumId w:val="17"/>
  </w:num>
  <w:num w:numId="34" w16cid:durableId="1756897400">
    <w:abstractNumId w:val="38"/>
  </w:num>
  <w:num w:numId="35" w16cid:durableId="388386383">
    <w:abstractNumId w:val="113"/>
  </w:num>
  <w:num w:numId="36" w16cid:durableId="1212116010">
    <w:abstractNumId w:val="91"/>
  </w:num>
  <w:num w:numId="37" w16cid:durableId="1252162063">
    <w:abstractNumId w:val="116"/>
  </w:num>
  <w:num w:numId="38" w16cid:durableId="362708893">
    <w:abstractNumId w:val="10"/>
  </w:num>
  <w:num w:numId="39" w16cid:durableId="1617786961">
    <w:abstractNumId w:val="36"/>
  </w:num>
  <w:num w:numId="40" w16cid:durableId="1281302964">
    <w:abstractNumId w:val="2"/>
  </w:num>
  <w:num w:numId="41" w16cid:durableId="2142187042">
    <w:abstractNumId w:val="8"/>
  </w:num>
  <w:num w:numId="42" w16cid:durableId="1346856899">
    <w:abstractNumId w:val="42"/>
  </w:num>
  <w:num w:numId="43" w16cid:durableId="16703279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17583143">
    <w:abstractNumId w:val="77"/>
  </w:num>
  <w:num w:numId="45" w16cid:durableId="135522567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52205724">
    <w:abstractNumId w:val="99"/>
  </w:num>
  <w:num w:numId="47" w16cid:durableId="129001370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81761494">
    <w:abstractNumId w:val="1"/>
  </w:num>
  <w:num w:numId="49" w16cid:durableId="387190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87778651">
    <w:abstractNumId w:val="104"/>
  </w:num>
  <w:num w:numId="51" w16cid:durableId="2676217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98739231">
    <w:abstractNumId w:val="111"/>
  </w:num>
  <w:num w:numId="53" w16cid:durableId="67187524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9520052">
    <w:abstractNumId w:val="114"/>
  </w:num>
  <w:num w:numId="55" w16cid:durableId="15947152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21825421">
    <w:abstractNumId w:val="146"/>
  </w:num>
  <w:num w:numId="57" w16cid:durableId="71619801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45602523">
    <w:abstractNumId w:val="22"/>
  </w:num>
  <w:num w:numId="59" w16cid:durableId="1119423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97914966">
    <w:abstractNumId w:val="12"/>
  </w:num>
  <w:num w:numId="61" w16cid:durableId="16135091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74321803">
    <w:abstractNumId w:val="59"/>
  </w:num>
  <w:num w:numId="63" w16cid:durableId="18860162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94094855">
    <w:abstractNumId w:val="66"/>
  </w:num>
  <w:num w:numId="65" w16cid:durableId="147937655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05017982">
    <w:abstractNumId w:val="131"/>
  </w:num>
  <w:num w:numId="67" w16cid:durableId="208896379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25747432">
    <w:abstractNumId w:val="78"/>
  </w:num>
  <w:num w:numId="69" w16cid:durableId="123662683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04198634">
    <w:abstractNumId w:val="39"/>
  </w:num>
  <w:num w:numId="71" w16cid:durableId="9917621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51269796">
    <w:abstractNumId w:val="110"/>
  </w:num>
  <w:num w:numId="73" w16cid:durableId="193940862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11444259">
    <w:abstractNumId w:val="75"/>
  </w:num>
  <w:num w:numId="75" w16cid:durableId="168762966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1846760">
    <w:abstractNumId w:val="54"/>
  </w:num>
  <w:num w:numId="77" w16cid:durableId="150674700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27875831">
    <w:abstractNumId w:val="62"/>
  </w:num>
  <w:num w:numId="79" w16cid:durableId="43497957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825115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809823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42547054">
    <w:abstractNumId w:val="65"/>
  </w:num>
  <w:num w:numId="83" w16cid:durableId="9408013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94537461">
    <w:abstractNumId w:val="11"/>
  </w:num>
  <w:num w:numId="85" w16cid:durableId="1751945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8915022">
    <w:abstractNumId w:val="95"/>
  </w:num>
  <w:num w:numId="87" w16cid:durableId="62897197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41835780">
    <w:abstractNumId w:val="127"/>
  </w:num>
  <w:num w:numId="89" w16cid:durableId="153754870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74961782">
    <w:abstractNumId w:val="72"/>
  </w:num>
  <w:num w:numId="91" w16cid:durableId="16188717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81459360">
    <w:abstractNumId w:val="108"/>
  </w:num>
  <w:num w:numId="93" w16cid:durableId="123951256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75820107">
    <w:abstractNumId w:val="49"/>
  </w:num>
  <w:num w:numId="95" w16cid:durableId="171083970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93669359">
    <w:abstractNumId w:val="119"/>
  </w:num>
  <w:num w:numId="97" w16cid:durableId="183313526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174805158">
    <w:abstractNumId w:val="125"/>
  </w:num>
  <w:num w:numId="99" w16cid:durableId="30975080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53727759">
    <w:abstractNumId w:val="26"/>
  </w:num>
  <w:num w:numId="101" w16cid:durableId="3968257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085182621">
    <w:abstractNumId w:val="85"/>
  </w:num>
  <w:num w:numId="103" w16cid:durableId="79043540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23766129">
    <w:abstractNumId w:val="120"/>
  </w:num>
  <w:num w:numId="105" w16cid:durableId="110129904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10047461">
    <w:abstractNumId w:val="126"/>
  </w:num>
  <w:num w:numId="107" w16cid:durableId="149803794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30650355">
    <w:abstractNumId w:val="46"/>
  </w:num>
  <w:num w:numId="109" w16cid:durableId="16104285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93699939">
    <w:abstractNumId w:val="19"/>
  </w:num>
  <w:num w:numId="111" w16cid:durableId="10962878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191841244">
    <w:abstractNumId w:val="141"/>
  </w:num>
  <w:num w:numId="113" w16cid:durableId="350955708">
    <w:abstractNumId w:val="9"/>
  </w:num>
  <w:num w:numId="114" w16cid:durableId="1431125351">
    <w:abstractNumId w:val="100"/>
  </w:num>
  <w:num w:numId="115" w16cid:durableId="434905406">
    <w:abstractNumId w:val="35"/>
  </w:num>
  <w:num w:numId="116" w16cid:durableId="9111607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750346938">
    <w:abstractNumId w:val="115"/>
  </w:num>
  <w:num w:numId="118" w16cid:durableId="8325955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57099602">
    <w:abstractNumId w:val="3"/>
  </w:num>
  <w:num w:numId="120" w16cid:durableId="3369282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90774013">
    <w:abstractNumId w:val="7"/>
  </w:num>
  <w:num w:numId="122" w16cid:durableId="10015449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872917125">
    <w:abstractNumId w:val="102"/>
  </w:num>
  <w:num w:numId="124" w16cid:durableId="43202080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04378133">
    <w:abstractNumId w:val="98"/>
  </w:num>
  <w:num w:numId="126" w16cid:durableId="191176944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83585200">
    <w:abstractNumId w:val="14"/>
  </w:num>
  <w:num w:numId="128" w16cid:durableId="10252475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512841363">
    <w:abstractNumId w:val="88"/>
  </w:num>
  <w:num w:numId="130" w16cid:durableId="174590926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050420489">
    <w:abstractNumId w:val="137"/>
  </w:num>
  <w:num w:numId="132" w16cid:durableId="607664349">
    <w:abstractNumId w:val="56"/>
  </w:num>
  <w:num w:numId="133" w16cid:durableId="1055200229">
    <w:abstractNumId w:val="130"/>
  </w:num>
  <w:num w:numId="134" w16cid:durableId="1721594134">
    <w:abstractNumId w:val="142"/>
  </w:num>
  <w:num w:numId="135" w16cid:durableId="76562144">
    <w:abstractNumId w:val="5"/>
  </w:num>
  <w:num w:numId="136" w16cid:durableId="2042120486">
    <w:abstractNumId w:val="90"/>
  </w:num>
  <w:num w:numId="137" w16cid:durableId="990672876">
    <w:abstractNumId w:val="93"/>
  </w:num>
  <w:num w:numId="138" w16cid:durableId="498236466">
    <w:abstractNumId w:val="32"/>
  </w:num>
  <w:num w:numId="139" w16cid:durableId="709497630">
    <w:abstractNumId w:val="51"/>
  </w:num>
  <w:num w:numId="140" w16cid:durableId="1144008523">
    <w:abstractNumId w:val="60"/>
  </w:num>
  <w:num w:numId="141" w16cid:durableId="1593509678">
    <w:abstractNumId w:val="122"/>
  </w:num>
  <w:num w:numId="142" w16cid:durableId="996375429">
    <w:abstractNumId w:val="101"/>
  </w:num>
  <w:num w:numId="143" w16cid:durableId="1881355563">
    <w:abstractNumId w:val="94"/>
  </w:num>
  <w:num w:numId="144" w16cid:durableId="794636645">
    <w:abstractNumId w:val="92"/>
  </w:num>
  <w:num w:numId="145" w16cid:durableId="609507164">
    <w:abstractNumId w:val="57"/>
  </w:num>
  <w:num w:numId="146" w16cid:durableId="412508423">
    <w:abstractNumId w:val="107"/>
  </w:num>
  <w:num w:numId="147" w16cid:durableId="1737968617">
    <w:abstractNumId w:val="50"/>
  </w:num>
  <w:num w:numId="148" w16cid:durableId="988822589">
    <w:abstractNumId w:val="129"/>
  </w:num>
  <w:num w:numId="149" w16cid:durableId="1649016980">
    <w:abstractNumId w:val="89"/>
  </w:num>
  <w:num w:numId="150" w16cid:durableId="1333147608">
    <w:abstractNumId w:val="37"/>
  </w:num>
  <w:num w:numId="151" w16cid:durableId="223759365">
    <w:abstractNumId w:val="27"/>
  </w:num>
  <w:num w:numId="152" w16cid:durableId="2030333497">
    <w:abstractNumId w:val="25"/>
  </w:num>
  <w:num w:numId="153" w16cid:durableId="1919896131">
    <w:abstractNumId w:val="83"/>
  </w:num>
  <w:num w:numId="154" w16cid:durableId="863246928">
    <w:abstractNumId w:val="86"/>
  </w:num>
  <w:num w:numId="155" w16cid:durableId="138301521">
    <w:abstractNumId w:val="13"/>
  </w:num>
  <w:num w:numId="156" w16cid:durableId="1471633402">
    <w:abstractNumId w:val="118"/>
  </w:num>
  <w:num w:numId="157" w16cid:durableId="5060926">
    <w:abstractNumId w:val="47"/>
  </w:num>
  <w:num w:numId="158" w16cid:durableId="1806045655">
    <w:abstractNumId w:val="80"/>
  </w:num>
  <w:num w:numId="159" w16cid:durableId="570190590">
    <w:abstractNumId w:val="52"/>
  </w:num>
  <w:num w:numId="160" w16cid:durableId="1920940815">
    <w:abstractNumId w:val="40"/>
  </w:num>
  <w:num w:numId="161" w16cid:durableId="242228964">
    <w:abstractNumId w:val="133"/>
  </w:num>
  <w:num w:numId="162" w16cid:durableId="1904095353">
    <w:abstractNumId w:val="55"/>
  </w:num>
  <w:num w:numId="163" w16cid:durableId="1105804224">
    <w:abstractNumId w:val="112"/>
  </w:num>
  <w:num w:numId="164" w16cid:durableId="141970944">
    <w:abstractNumId w:val="136"/>
  </w:num>
  <w:num w:numId="165" w16cid:durableId="954017033">
    <w:abstractNumId w:val="64"/>
  </w:num>
  <w:num w:numId="166" w16cid:durableId="1811316409">
    <w:abstractNumId w:val="109"/>
  </w:num>
  <w:num w:numId="167" w16cid:durableId="587663207">
    <w:abstractNumId w:val="63"/>
  </w:num>
  <w:num w:numId="168" w16cid:durableId="935334591">
    <w:abstractNumId w:val="97"/>
  </w:num>
  <w:num w:numId="169" w16cid:durableId="632904763">
    <w:abstractNumId w:val="20"/>
  </w:num>
  <w:num w:numId="170" w16cid:durableId="55670270">
    <w:abstractNumId w:val="105"/>
  </w:num>
  <w:num w:numId="171" w16cid:durableId="198128003">
    <w:abstractNumId w:val="28"/>
  </w:num>
  <w:num w:numId="172" w16cid:durableId="264534086">
    <w:abstractNumId w:val="84"/>
  </w:num>
  <w:num w:numId="173" w16cid:durableId="969702904">
    <w:abstractNumId w:val="147"/>
  </w:num>
  <w:num w:numId="174" w16cid:durableId="1489516153">
    <w:abstractNumId w:val="106"/>
  </w:num>
  <w:num w:numId="175" w16cid:durableId="258146962">
    <w:abstractNumId w:val="87"/>
  </w:num>
  <w:num w:numId="176" w16cid:durableId="1610745771">
    <w:abstractNumId w:val="124"/>
  </w:num>
  <w:num w:numId="177" w16cid:durableId="477460885">
    <w:abstractNumId w:val="96"/>
  </w:num>
  <w:num w:numId="178" w16cid:durableId="1749418273">
    <w:abstractNumId w:val="53"/>
  </w:num>
  <w:num w:numId="179" w16cid:durableId="1424958698">
    <w:abstractNumId w:val="79"/>
  </w:num>
  <w:num w:numId="180" w16cid:durableId="4941942">
    <w:abstractNumId w:val="135"/>
  </w:num>
  <w:num w:numId="181" w16cid:durableId="505481346">
    <w:abstractNumId w:val="34"/>
  </w:num>
  <w:num w:numId="182" w16cid:durableId="1466237288">
    <w:abstractNumId w:val="41"/>
  </w:num>
  <w:num w:numId="183" w16cid:durableId="1982031972">
    <w:abstractNumId w:val="128"/>
  </w:num>
  <w:num w:numId="184" w16cid:durableId="538713142">
    <w:abstractNumId w:val="74"/>
  </w:num>
  <w:num w:numId="185" w16cid:durableId="549804245">
    <w:abstractNumId w:val="61"/>
  </w:num>
  <w:num w:numId="186" w16cid:durableId="1433429053">
    <w:abstractNumId w:val="82"/>
  </w:num>
  <w:num w:numId="187" w16cid:durableId="2113625668">
    <w:abstractNumId w:val="70"/>
  </w:num>
  <w:num w:numId="188" w16cid:durableId="1317340183">
    <w:abstractNumId w:val="144"/>
  </w:num>
  <w:num w:numId="189" w16cid:durableId="503087085">
    <w:abstractNumId w:val="45"/>
  </w:num>
  <w:num w:numId="190" w16cid:durableId="999847841">
    <w:abstractNumId w:val="71"/>
  </w:num>
  <w:num w:numId="191" w16cid:durableId="1595047163">
    <w:abstractNumId w:val="16"/>
  </w:num>
  <w:num w:numId="192" w16cid:durableId="1160850125">
    <w:abstractNumId w:val="58"/>
  </w:num>
  <w:num w:numId="193" w16cid:durableId="2023388060">
    <w:abstractNumId w:val="0"/>
  </w:num>
  <w:num w:numId="194" w16cid:durableId="1095008170">
    <w:abstractNumId w:val="145"/>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8" w:allStyles="0" w:alternateStyleNames="0" w:clearFormatting="1" w:customStyles="0" w:directFormattingOnNumbering="0" w:directFormattingOnParagraphs="0" w:directFormattingOnRuns="0" w:directFormattingOnTables="0" w:headingStyles="0" w:latentStyles="0" w:numberingStyles="0" w:stylesInUse="1" w:tableStyles="0" w:top3HeadingStyles="1" w:visibleStyles="0"/>
  <w:stylePaneSortMethod w:val="name"/>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C10"/>
    <w:rsid w:val="00000049"/>
    <w:rsid w:val="00000074"/>
    <w:rsid w:val="000000EF"/>
    <w:rsid w:val="000000FA"/>
    <w:rsid w:val="0000017B"/>
    <w:rsid w:val="0000043F"/>
    <w:rsid w:val="00000531"/>
    <w:rsid w:val="00000639"/>
    <w:rsid w:val="000006D5"/>
    <w:rsid w:val="00000901"/>
    <w:rsid w:val="00000958"/>
    <w:rsid w:val="00000D14"/>
    <w:rsid w:val="00000E60"/>
    <w:rsid w:val="00000FAA"/>
    <w:rsid w:val="000010FB"/>
    <w:rsid w:val="000012B6"/>
    <w:rsid w:val="0000133A"/>
    <w:rsid w:val="0000142D"/>
    <w:rsid w:val="00001473"/>
    <w:rsid w:val="00001642"/>
    <w:rsid w:val="00001792"/>
    <w:rsid w:val="00001875"/>
    <w:rsid w:val="000019BA"/>
    <w:rsid w:val="00001B43"/>
    <w:rsid w:val="00001B6F"/>
    <w:rsid w:val="00001BC3"/>
    <w:rsid w:val="00001C7F"/>
    <w:rsid w:val="00001CF6"/>
    <w:rsid w:val="00001D98"/>
    <w:rsid w:val="00001E0B"/>
    <w:rsid w:val="00001E82"/>
    <w:rsid w:val="00001E9A"/>
    <w:rsid w:val="00001F93"/>
    <w:rsid w:val="00002288"/>
    <w:rsid w:val="00002389"/>
    <w:rsid w:val="000023C0"/>
    <w:rsid w:val="000024B3"/>
    <w:rsid w:val="0000253E"/>
    <w:rsid w:val="0000262A"/>
    <w:rsid w:val="0000269B"/>
    <w:rsid w:val="00002938"/>
    <w:rsid w:val="00002A54"/>
    <w:rsid w:val="00002BF9"/>
    <w:rsid w:val="00002D4C"/>
    <w:rsid w:val="00002E36"/>
    <w:rsid w:val="00002E74"/>
    <w:rsid w:val="00002EAB"/>
    <w:rsid w:val="00003086"/>
    <w:rsid w:val="000030EA"/>
    <w:rsid w:val="000030EF"/>
    <w:rsid w:val="000030F6"/>
    <w:rsid w:val="0000311D"/>
    <w:rsid w:val="00003177"/>
    <w:rsid w:val="00003207"/>
    <w:rsid w:val="00003240"/>
    <w:rsid w:val="0000355E"/>
    <w:rsid w:val="00003786"/>
    <w:rsid w:val="000037A4"/>
    <w:rsid w:val="00003823"/>
    <w:rsid w:val="00003948"/>
    <w:rsid w:val="00003A2C"/>
    <w:rsid w:val="00003C06"/>
    <w:rsid w:val="00003C71"/>
    <w:rsid w:val="00003CA6"/>
    <w:rsid w:val="00003F3D"/>
    <w:rsid w:val="000040B1"/>
    <w:rsid w:val="0000446C"/>
    <w:rsid w:val="0000461F"/>
    <w:rsid w:val="00004684"/>
    <w:rsid w:val="000047D7"/>
    <w:rsid w:val="000047ED"/>
    <w:rsid w:val="000049C7"/>
    <w:rsid w:val="00004AE7"/>
    <w:rsid w:val="00004B3F"/>
    <w:rsid w:val="00004C98"/>
    <w:rsid w:val="00004D83"/>
    <w:rsid w:val="00004DDB"/>
    <w:rsid w:val="00004EE9"/>
    <w:rsid w:val="0000502F"/>
    <w:rsid w:val="00005252"/>
    <w:rsid w:val="0000525D"/>
    <w:rsid w:val="00005410"/>
    <w:rsid w:val="00005413"/>
    <w:rsid w:val="00005849"/>
    <w:rsid w:val="0000588B"/>
    <w:rsid w:val="000058D1"/>
    <w:rsid w:val="00005961"/>
    <w:rsid w:val="00005BA4"/>
    <w:rsid w:val="00005BDD"/>
    <w:rsid w:val="00005BFF"/>
    <w:rsid w:val="00005D51"/>
    <w:rsid w:val="00005E6A"/>
    <w:rsid w:val="00006085"/>
    <w:rsid w:val="00006318"/>
    <w:rsid w:val="00006562"/>
    <w:rsid w:val="00006792"/>
    <w:rsid w:val="000067CB"/>
    <w:rsid w:val="00006835"/>
    <w:rsid w:val="0000688D"/>
    <w:rsid w:val="00006943"/>
    <w:rsid w:val="000069C7"/>
    <w:rsid w:val="00006B3A"/>
    <w:rsid w:val="00006D10"/>
    <w:rsid w:val="00006D8A"/>
    <w:rsid w:val="00006E2F"/>
    <w:rsid w:val="00007134"/>
    <w:rsid w:val="000071C0"/>
    <w:rsid w:val="000072D0"/>
    <w:rsid w:val="00007524"/>
    <w:rsid w:val="00007540"/>
    <w:rsid w:val="00007570"/>
    <w:rsid w:val="000075B6"/>
    <w:rsid w:val="00007720"/>
    <w:rsid w:val="000077C1"/>
    <w:rsid w:val="00007834"/>
    <w:rsid w:val="00007955"/>
    <w:rsid w:val="00007A8E"/>
    <w:rsid w:val="00007AF4"/>
    <w:rsid w:val="00007B2E"/>
    <w:rsid w:val="00007FC9"/>
    <w:rsid w:val="00010030"/>
    <w:rsid w:val="00010095"/>
    <w:rsid w:val="000101A1"/>
    <w:rsid w:val="000101F9"/>
    <w:rsid w:val="000101FB"/>
    <w:rsid w:val="0001035E"/>
    <w:rsid w:val="000103D4"/>
    <w:rsid w:val="000103D7"/>
    <w:rsid w:val="000103E6"/>
    <w:rsid w:val="00010446"/>
    <w:rsid w:val="000106BB"/>
    <w:rsid w:val="000108E5"/>
    <w:rsid w:val="00010993"/>
    <w:rsid w:val="00010B51"/>
    <w:rsid w:val="00010C94"/>
    <w:rsid w:val="0001105C"/>
    <w:rsid w:val="000110A5"/>
    <w:rsid w:val="000113AC"/>
    <w:rsid w:val="000113FC"/>
    <w:rsid w:val="00011428"/>
    <w:rsid w:val="00011497"/>
    <w:rsid w:val="000115CF"/>
    <w:rsid w:val="000117A3"/>
    <w:rsid w:val="0001182D"/>
    <w:rsid w:val="0001188E"/>
    <w:rsid w:val="0001194F"/>
    <w:rsid w:val="0001197F"/>
    <w:rsid w:val="00011D22"/>
    <w:rsid w:val="00011D6C"/>
    <w:rsid w:val="00011D7F"/>
    <w:rsid w:val="00011F70"/>
    <w:rsid w:val="00012066"/>
    <w:rsid w:val="00012259"/>
    <w:rsid w:val="00012401"/>
    <w:rsid w:val="00012536"/>
    <w:rsid w:val="00012550"/>
    <w:rsid w:val="00012669"/>
    <w:rsid w:val="00012753"/>
    <w:rsid w:val="00012762"/>
    <w:rsid w:val="000127C4"/>
    <w:rsid w:val="000127F0"/>
    <w:rsid w:val="000129C7"/>
    <w:rsid w:val="00012C0A"/>
    <w:rsid w:val="00012F24"/>
    <w:rsid w:val="0001311A"/>
    <w:rsid w:val="0001316C"/>
    <w:rsid w:val="000131A8"/>
    <w:rsid w:val="00013297"/>
    <w:rsid w:val="000133AF"/>
    <w:rsid w:val="000133CE"/>
    <w:rsid w:val="0001344B"/>
    <w:rsid w:val="0001348B"/>
    <w:rsid w:val="00013498"/>
    <w:rsid w:val="000134B8"/>
    <w:rsid w:val="00013680"/>
    <w:rsid w:val="000136F3"/>
    <w:rsid w:val="00013B2E"/>
    <w:rsid w:val="00013BE9"/>
    <w:rsid w:val="00013C39"/>
    <w:rsid w:val="00014032"/>
    <w:rsid w:val="0001407E"/>
    <w:rsid w:val="000141D9"/>
    <w:rsid w:val="0001426A"/>
    <w:rsid w:val="00014287"/>
    <w:rsid w:val="00014722"/>
    <w:rsid w:val="00014A55"/>
    <w:rsid w:val="00014D04"/>
    <w:rsid w:val="00014E7A"/>
    <w:rsid w:val="00014F16"/>
    <w:rsid w:val="00015053"/>
    <w:rsid w:val="0001506B"/>
    <w:rsid w:val="000155CD"/>
    <w:rsid w:val="00015792"/>
    <w:rsid w:val="000157A2"/>
    <w:rsid w:val="00015869"/>
    <w:rsid w:val="0001589C"/>
    <w:rsid w:val="00015B2F"/>
    <w:rsid w:val="00015C8F"/>
    <w:rsid w:val="00015DBA"/>
    <w:rsid w:val="00015F2D"/>
    <w:rsid w:val="00016047"/>
    <w:rsid w:val="000165C5"/>
    <w:rsid w:val="0001673E"/>
    <w:rsid w:val="0001683B"/>
    <w:rsid w:val="00016954"/>
    <w:rsid w:val="00016DDF"/>
    <w:rsid w:val="00016E17"/>
    <w:rsid w:val="00016F53"/>
    <w:rsid w:val="00017196"/>
    <w:rsid w:val="000172E2"/>
    <w:rsid w:val="000175B4"/>
    <w:rsid w:val="00017641"/>
    <w:rsid w:val="0001777A"/>
    <w:rsid w:val="00017795"/>
    <w:rsid w:val="0001791B"/>
    <w:rsid w:val="000179E9"/>
    <w:rsid w:val="00017A7A"/>
    <w:rsid w:val="00017E97"/>
    <w:rsid w:val="00017FA5"/>
    <w:rsid w:val="0002011B"/>
    <w:rsid w:val="000202AB"/>
    <w:rsid w:val="000202D3"/>
    <w:rsid w:val="00020348"/>
    <w:rsid w:val="00020358"/>
    <w:rsid w:val="000203B1"/>
    <w:rsid w:val="0002047D"/>
    <w:rsid w:val="00020568"/>
    <w:rsid w:val="000205C3"/>
    <w:rsid w:val="0002061E"/>
    <w:rsid w:val="00020663"/>
    <w:rsid w:val="00020714"/>
    <w:rsid w:val="00020844"/>
    <w:rsid w:val="0002090D"/>
    <w:rsid w:val="0002095F"/>
    <w:rsid w:val="00020A2A"/>
    <w:rsid w:val="00020A5C"/>
    <w:rsid w:val="00020AD1"/>
    <w:rsid w:val="00020B35"/>
    <w:rsid w:val="00020C10"/>
    <w:rsid w:val="00020CD5"/>
    <w:rsid w:val="00020DBB"/>
    <w:rsid w:val="00020DEA"/>
    <w:rsid w:val="00020F22"/>
    <w:rsid w:val="00020F8C"/>
    <w:rsid w:val="00021031"/>
    <w:rsid w:val="00021147"/>
    <w:rsid w:val="000211C4"/>
    <w:rsid w:val="000211F9"/>
    <w:rsid w:val="0002136E"/>
    <w:rsid w:val="000213FF"/>
    <w:rsid w:val="00021973"/>
    <w:rsid w:val="00021A80"/>
    <w:rsid w:val="00021AD3"/>
    <w:rsid w:val="00021B43"/>
    <w:rsid w:val="00021E44"/>
    <w:rsid w:val="00022030"/>
    <w:rsid w:val="00022052"/>
    <w:rsid w:val="00022092"/>
    <w:rsid w:val="0002216E"/>
    <w:rsid w:val="000221C9"/>
    <w:rsid w:val="000221DF"/>
    <w:rsid w:val="0002264E"/>
    <w:rsid w:val="000226D0"/>
    <w:rsid w:val="00022816"/>
    <w:rsid w:val="000228B8"/>
    <w:rsid w:val="00022A0F"/>
    <w:rsid w:val="00022F0A"/>
    <w:rsid w:val="00022FE8"/>
    <w:rsid w:val="00023139"/>
    <w:rsid w:val="000234E3"/>
    <w:rsid w:val="000235EA"/>
    <w:rsid w:val="00023610"/>
    <w:rsid w:val="000238DA"/>
    <w:rsid w:val="00023991"/>
    <w:rsid w:val="00023A93"/>
    <w:rsid w:val="00023B0D"/>
    <w:rsid w:val="00023BA0"/>
    <w:rsid w:val="00023C62"/>
    <w:rsid w:val="00023F7C"/>
    <w:rsid w:val="00024163"/>
    <w:rsid w:val="0002446F"/>
    <w:rsid w:val="0002462A"/>
    <w:rsid w:val="00024665"/>
    <w:rsid w:val="000247F7"/>
    <w:rsid w:val="00024B15"/>
    <w:rsid w:val="00024B97"/>
    <w:rsid w:val="00024BEB"/>
    <w:rsid w:val="00024C25"/>
    <w:rsid w:val="00024C58"/>
    <w:rsid w:val="00024EFE"/>
    <w:rsid w:val="0002529C"/>
    <w:rsid w:val="00025336"/>
    <w:rsid w:val="000253A3"/>
    <w:rsid w:val="000253F6"/>
    <w:rsid w:val="000253FA"/>
    <w:rsid w:val="000254FB"/>
    <w:rsid w:val="00025504"/>
    <w:rsid w:val="00025525"/>
    <w:rsid w:val="000255CD"/>
    <w:rsid w:val="00025680"/>
    <w:rsid w:val="000258EB"/>
    <w:rsid w:val="00025909"/>
    <w:rsid w:val="00025A89"/>
    <w:rsid w:val="00025B0E"/>
    <w:rsid w:val="00025CF8"/>
    <w:rsid w:val="00025E95"/>
    <w:rsid w:val="0002607A"/>
    <w:rsid w:val="0002610A"/>
    <w:rsid w:val="00026145"/>
    <w:rsid w:val="00026204"/>
    <w:rsid w:val="00026386"/>
    <w:rsid w:val="00026876"/>
    <w:rsid w:val="00026DAA"/>
    <w:rsid w:val="00026DE4"/>
    <w:rsid w:val="00026EB0"/>
    <w:rsid w:val="00026F54"/>
    <w:rsid w:val="0002705E"/>
    <w:rsid w:val="00027387"/>
    <w:rsid w:val="000273F2"/>
    <w:rsid w:val="000273F6"/>
    <w:rsid w:val="0002766D"/>
    <w:rsid w:val="000276A6"/>
    <w:rsid w:val="000276F6"/>
    <w:rsid w:val="000277C7"/>
    <w:rsid w:val="00027B20"/>
    <w:rsid w:val="00027E39"/>
    <w:rsid w:val="00030142"/>
    <w:rsid w:val="00030220"/>
    <w:rsid w:val="00030258"/>
    <w:rsid w:val="000302AF"/>
    <w:rsid w:val="000303A9"/>
    <w:rsid w:val="000304B8"/>
    <w:rsid w:val="0003056B"/>
    <w:rsid w:val="000306F4"/>
    <w:rsid w:val="000307CC"/>
    <w:rsid w:val="00030B85"/>
    <w:rsid w:val="00030CB9"/>
    <w:rsid w:val="00030CFD"/>
    <w:rsid w:val="00030DD1"/>
    <w:rsid w:val="00030E50"/>
    <w:rsid w:val="00030E9D"/>
    <w:rsid w:val="00030EFA"/>
    <w:rsid w:val="00031318"/>
    <w:rsid w:val="00031378"/>
    <w:rsid w:val="0003152D"/>
    <w:rsid w:val="00031534"/>
    <w:rsid w:val="000315D0"/>
    <w:rsid w:val="000316F7"/>
    <w:rsid w:val="00031729"/>
    <w:rsid w:val="0003177B"/>
    <w:rsid w:val="00031B3A"/>
    <w:rsid w:val="00031C65"/>
    <w:rsid w:val="00031D5F"/>
    <w:rsid w:val="00031F53"/>
    <w:rsid w:val="00032137"/>
    <w:rsid w:val="0003223A"/>
    <w:rsid w:val="000323A5"/>
    <w:rsid w:val="000323B9"/>
    <w:rsid w:val="00032456"/>
    <w:rsid w:val="0003249D"/>
    <w:rsid w:val="000324BD"/>
    <w:rsid w:val="0003256E"/>
    <w:rsid w:val="0003272B"/>
    <w:rsid w:val="0003273F"/>
    <w:rsid w:val="00032982"/>
    <w:rsid w:val="000329BE"/>
    <w:rsid w:val="00032A5F"/>
    <w:rsid w:val="00032E6B"/>
    <w:rsid w:val="000331FA"/>
    <w:rsid w:val="000334EE"/>
    <w:rsid w:val="00033509"/>
    <w:rsid w:val="000335D8"/>
    <w:rsid w:val="000337D9"/>
    <w:rsid w:val="000338FD"/>
    <w:rsid w:val="0003390C"/>
    <w:rsid w:val="00033B52"/>
    <w:rsid w:val="00033BAA"/>
    <w:rsid w:val="00033E54"/>
    <w:rsid w:val="00033E88"/>
    <w:rsid w:val="00033F28"/>
    <w:rsid w:val="00033F39"/>
    <w:rsid w:val="00033FA6"/>
    <w:rsid w:val="00033FE5"/>
    <w:rsid w:val="00034077"/>
    <w:rsid w:val="00034165"/>
    <w:rsid w:val="0003434F"/>
    <w:rsid w:val="000343C0"/>
    <w:rsid w:val="000343C9"/>
    <w:rsid w:val="000345E9"/>
    <w:rsid w:val="00034B17"/>
    <w:rsid w:val="00034C2A"/>
    <w:rsid w:val="00034C96"/>
    <w:rsid w:val="00034E88"/>
    <w:rsid w:val="00034F57"/>
    <w:rsid w:val="00034FDC"/>
    <w:rsid w:val="0003508F"/>
    <w:rsid w:val="0003512B"/>
    <w:rsid w:val="00035140"/>
    <w:rsid w:val="000351F2"/>
    <w:rsid w:val="00035293"/>
    <w:rsid w:val="0003536D"/>
    <w:rsid w:val="0003558E"/>
    <w:rsid w:val="000355B0"/>
    <w:rsid w:val="000355EC"/>
    <w:rsid w:val="000356F6"/>
    <w:rsid w:val="000358D1"/>
    <w:rsid w:val="00035C9F"/>
    <w:rsid w:val="00035E67"/>
    <w:rsid w:val="00035EAE"/>
    <w:rsid w:val="00036035"/>
    <w:rsid w:val="000360F1"/>
    <w:rsid w:val="00036307"/>
    <w:rsid w:val="0003638B"/>
    <w:rsid w:val="00036523"/>
    <w:rsid w:val="00036865"/>
    <w:rsid w:val="00036874"/>
    <w:rsid w:val="000368CF"/>
    <w:rsid w:val="00036955"/>
    <w:rsid w:val="0003697C"/>
    <w:rsid w:val="00036CCF"/>
    <w:rsid w:val="00036D85"/>
    <w:rsid w:val="00036DD3"/>
    <w:rsid w:val="00036DD6"/>
    <w:rsid w:val="00036E0E"/>
    <w:rsid w:val="00037065"/>
    <w:rsid w:val="0003711A"/>
    <w:rsid w:val="0003716B"/>
    <w:rsid w:val="000371F6"/>
    <w:rsid w:val="0003728C"/>
    <w:rsid w:val="000372CF"/>
    <w:rsid w:val="00037320"/>
    <w:rsid w:val="00037344"/>
    <w:rsid w:val="000375B1"/>
    <w:rsid w:val="00037B43"/>
    <w:rsid w:val="00037C02"/>
    <w:rsid w:val="00037CC9"/>
    <w:rsid w:val="00037CE2"/>
    <w:rsid w:val="00037E94"/>
    <w:rsid w:val="00040097"/>
    <w:rsid w:val="00040132"/>
    <w:rsid w:val="0004013A"/>
    <w:rsid w:val="000402E0"/>
    <w:rsid w:val="0004042D"/>
    <w:rsid w:val="00040584"/>
    <w:rsid w:val="00040599"/>
    <w:rsid w:val="0004067F"/>
    <w:rsid w:val="0004070E"/>
    <w:rsid w:val="000408F0"/>
    <w:rsid w:val="00040967"/>
    <w:rsid w:val="00040B45"/>
    <w:rsid w:val="00040B4C"/>
    <w:rsid w:val="00040C19"/>
    <w:rsid w:val="00040E00"/>
    <w:rsid w:val="00040FE0"/>
    <w:rsid w:val="0004102E"/>
    <w:rsid w:val="0004127A"/>
    <w:rsid w:val="00041459"/>
    <w:rsid w:val="0004153C"/>
    <w:rsid w:val="00041654"/>
    <w:rsid w:val="0004166F"/>
    <w:rsid w:val="000416ED"/>
    <w:rsid w:val="00041819"/>
    <w:rsid w:val="0004190E"/>
    <w:rsid w:val="00041C10"/>
    <w:rsid w:val="00041CEB"/>
    <w:rsid w:val="00041E21"/>
    <w:rsid w:val="00041E58"/>
    <w:rsid w:val="00041FE6"/>
    <w:rsid w:val="0004206B"/>
    <w:rsid w:val="000421D6"/>
    <w:rsid w:val="00042294"/>
    <w:rsid w:val="000422D6"/>
    <w:rsid w:val="00042398"/>
    <w:rsid w:val="0004242B"/>
    <w:rsid w:val="00042456"/>
    <w:rsid w:val="00042640"/>
    <w:rsid w:val="0004280B"/>
    <w:rsid w:val="000428AC"/>
    <w:rsid w:val="0004292C"/>
    <w:rsid w:val="000429F6"/>
    <w:rsid w:val="000429FA"/>
    <w:rsid w:val="00042A32"/>
    <w:rsid w:val="00042CF5"/>
    <w:rsid w:val="00042DB7"/>
    <w:rsid w:val="00042E8A"/>
    <w:rsid w:val="00042FC2"/>
    <w:rsid w:val="000432F7"/>
    <w:rsid w:val="00043319"/>
    <w:rsid w:val="00043384"/>
    <w:rsid w:val="000434E4"/>
    <w:rsid w:val="000434EB"/>
    <w:rsid w:val="000436AA"/>
    <w:rsid w:val="000438F5"/>
    <w:rsid w:val="00043C1F"/>
    <w:rsid w:val="00043CA2"/>
    <w:rsid w:val="00043DE3"/>
    <w:rsid w:val="00043F27"/>
    <w:rsid w:val="00043F69"/>
    <w:rsid w:val="00044346"/>
    <w:rsid w:val="000443DF"/>
    <w:rsid w:val="000445E2"/>
    <w:rsid w:val="0004462F"/>
    <w:rsid w:val="0004475B"/>
    <w:rsid w:val="00044835"/>
    <w:rsid w:val="00044845"/>
    <w:rsid w:val="00044AB9"/>
    <w:rsid w:val="00044B39"/>
    <w:rsid w:val="00044D73"/>
    <w:rsid w:val="00044DAB"/>
    <w:rsid w:val="00044E3A"/>
    <w:rsid w:val="00044E3C"/>
    <w:rsid w:val="00044F92"/>
    <w:rsid w:val="00044FEA"/>
    <w:rsid w:val="0004536E"/>
    <w:rsid w:val="000454DB"/>
    <w:rsid w:val="000458C8"/>
    <w:rsid w:val="00045C69"/>
    <w:rsid w:val="00045E57"/>
    <w:rsid w:val="00045E5B"/>
    <w:rsid w:val="00045F54"/>
    <w:rsid w:val="000460DF"/>
    <w:rsid w:val="0004618B"/>
    <w:rsid w:val="0004638B"/>
    <w:rsid w:val="00046457"/>
    <w:rsid w:val="000464FB"/>
    <w:rsid w:val="00046617"/>
    <w:rsid w:val="00046728"/>
    <w:rsid w:val="0004687C"/>
    <w:rsid w:val="000468BC"/>
    <w:rsid w:val="00046AAA"/>
    <w:rsid w:val="00046AB2"/>
    <w:rsid w:val="00046B02"/>
    <w:rsid w:val="00046C35"/>
    <w:rsid w:val="00046C5E"/>
    <w:rsid w:val="00046DF8"/>
    <w:rsid w:val="00046ED2"/>
    <w:rsid w:val="00046F1C"/>
    <w:rsid w:val="00046F21"/>
    <w:rsid w:val="00046FAE"/>
    <w:rsid w:val="0004709D"/>
    <w:rsid w:val="0004710C"/>
    <w:rsid w:val="000472BD"/>
    <w:rsid w:val="000473D2"/>
    <w:rsid w:val="00047421"/>
    <w:rsid w:val="00047506"/>
    <w:rsid w:val="000475B3"/>
    <w:rsid w:val="000475D9"/>
    <w:rsid w:val="00047759"/>
    <w:rsid w:val="000478D0"/>
    <w:rsid w:val="000478D5"/>
    <w:rsid w:val="00047929"/>
    <w:rsid w:val="00047C54"/>
    <w:rsid w:val="00047E20"/>
    <w:rsid w:val="00047E24"/>
    <w:rsid w:val="00047E80"/>
    <w:rsid w:val="00047FDD"/>
    <w:rsid w:val="00050110"/>
    <w:rsid w:val="00050125"/>
    <w:rsid w:val="00050226"/>
    <w:rsid w:val="00050274"/>
    <w:rsid w:val="00050332"/>
    <w:rsid w:val="000503C9"/>
    <w:rsid w:val="000505F2"/>
    <w:rsid w:val="00050719"/>
    <w:rsid w:val="00050912"/>
    <w:rsid w:val="00050AE3"/>
    <w:rsid w:val="00050ED7"/>
    <w:rsid w:val="00050F14"/>
    <w:rsid w:val="00050F1C"/>
    <w:rsid w:val="00050F74"/>
    <w:rsid w:val="000514D7"/>
    <w:rsid w:val="000514FD"/>
    <w:rsid w:val="000515CC"/>
    <w:rsid w:val="00051669"/>
    <w:rsid w:val="00051762"/>
    <w:rsid w:val="00051829"/>
    <w:rsid w:val="00051860"/>
    <w:rsid w:val="000519DF"/>
    <w:rsid w:val="00051B7B"/>
    <w:rsid w:val="00051BA3"/>
    <w:rsid w:val="00051D72"/>
    <w:rsid w:val="00051EC5"/>
    <w:rsid w:val="00051EF9"/>
    <w:rsid w:val="000520CB"/>
    <w:rsid w:val="00052260"/>
    <w:rsid w:val="000522CC"/>
    <w:rsid w:val="000524D0"/>
    <w:rsid w:val="0005250B"/>
    <w:rsid w:val="000525E0"/>
    <w:rsid w:val="00052638"/>
    <w:rsid w:val="0005272C"/>
    <w:rsid w:val="00052834"/>
    <w:rsid w:val="0005283F"/>
    <w:rsid w:val="000528BA"/>
    <w:rsid w:val="00052A23"/>
    <w:rsid w:val="00052B27"/>
    <w:rsid w:val="00052BA0"/>
    <w:rsid w:val="00052C33"/>
    <w:rsid w:val="00052D8A"/>
    <w:rsid w:val="00052D8B"/>
    <w:rsid w:val="00052DEC"/>
    <w:rsid w:val="0005329D"/>
    <w:rsid w:val="0005346A"/>
    <w:rsid w:val="000535B0"/>
    <w:rsid w:val="00053716"/>
    <w:rsid w:val="00053728"/>
    <w:rsid w:val="0005387D"/>
    <w:rsid w:val="000538CE"/>
    <w:rsid w:val="00053942"/>
    <w:rsid w:val="00053949"/>
    <w:rsid w:val="00053A34"/>
    <w:rsid w:val="00053B00"/>
    <w:rsid w:val="00053BFD"/>
    <w:rsid w:val="00053C29"/>
    <w:rsid w:val="00053C7E"/>
    <w:rsid w:val="00053CF0"/>
    <w:rsid w:val="00053E51"/>
    <w:rsid w:val="00053E7D"/>
    <w:rsid w:val="00053EEF"/>
    <w:rsid w:val="0005422B"/>
    <w:rsid w:val="00054275"/>
    <w:rsid w:val="0005433B"/>
    <w:rsid w:val="000543DC"/>
    <w:rsid w:val="000545A8"/>
    <w:rsid w:val="000548B8"/>
    <w:rsid w:val="00054BCF"/>
    <w:rsid w:val="00054BDF"/>
    <w:rsid w:val="00054C61"/>
    <w:rsid w:val="00054CD6"/>
    <w:rsid w:val="00054DBF"/>
    <w:rsid w:val="00054E00"/>
    <w:rsid w:val="00054EF2"/>
    <w:rsid w:val="00055022"/>
    <w:rsid w:val="000552AA"/>
    <w:rsid w:val="000552B4"/>
    <w:rsid w:val="00055402"/>
    <w:rsid w:val="000554E1"/>
    <w:rsid w:val="00055515"/>
    <w:rsid w:val="00055781"/>
    <w:rsid w:val="000557DF"/>
    <w:rsid w:val="00055896"/>
    <w:rsid w:val="000558C2"/>
    <w:rsid w:val="00055940"/>
    <w:rsid w:val="00055A98"/>
    <w:rsid w:val="00055CB8"/>
    <w:rsid w:val="00055E21"/>
    <w:rsid w:val="00055E57"/>
    <w:rsid w:val="00056046"/>
    <w:rsid w:val="0005604E"/>
    <w:rsid w:val="0005632F"/>
    <w:rsid w:val="000563FF"/>
    <w:rsid w:val="0005652C"/>
    <w:rsid w:val="0005673D"/>
    <w:rsid w:val="000567BD"/>
    <w:rsid w:val="000567CA"/>
    <w:rsid w:val="000569F8"/>
    <w:rsid w:val="00056BEB"/>
    <w:rsid w:val="00056C5B"/>
    <w:rsid w:val="00056DE3"/>
    <w:rsid w:val="00056F10"/>
    <w:rsid w:val="0005730E"/>
    <w:rsid w:val="000574B6"/>
    <w:rsid w:val="0005750B"/>
    <w:rsid w:val="000575AB"/>
    <w:rsid w:val="00057734"/>
    <w:rsid w:val="000578AE"/>
    <w:rsid w:val="0005792D"/>
    <w:rsid w:val="000579B0"/>
    <w:rsid w:val="00057A61"/>
    <w:rsid w:val="00057AFB"/>
    <w:rsid w:val="00057B05"/>
    <w:rsid w:val="00057B24"/>
    <w:rsid w:val="00057B27"/>
    <w:rsid w:val="00057BAA"/>
    <w:rsid w:val="00057F28"/>
    <w:rsid w:val="0006045E"/>
    <w:rsid w:val="000604B2"/>
    <w:rsid w:val="00060648"/>
    <w:rsid w:val="00060ACB"/>
    <w:rsid w:val="00060BB9"/>
    <w:rsid w:val="00060CF7"/>
    <w:rsid w:val="00060E0E"/>
    <w:rsid w:val="00060FAD"/>
    <w:rsid w:val="00060FD2"/>
    <w:rsid w:val="000611DE"/>
    <w:rsid w:val="0006130D"/>
    <w:rsid w:val="000613F2"/>
    <w:rsid w:val="000614F0"/>
    <w:rsid w:val="00061756"/>
    <w:rsid w:val="00061A0B"/>
    <w:rsid w:val="00061C13"/>
    <w:rsid w:val="00061D25"/>
    <w:rsid w:val="00061DA3"/>
    <w:rsid w:val="00061E66"/>
    <w:rsid w:val="00061FAB"/>
    <w:rsid w:val="00062326"/>
    <w:rsid w:val="000623BF"/>
    <w:rsid w:val="00062546"/>
    <w:rsid w:val="0006262C"/>
    <w:rsid w:val="00062903"/>
    <w:rsid w:val="000629B3"/>
    <w:rsid w:val="00062D01"/>
    <w:rsid w:val="00062D86"/>
    <w:rsid w:val="00063049"/>
    <w:rsid w:val="00063078"/>
    <w:rsid w:val="000631FE"/>
    <w:rsid w:val="0006326B"/>
    <w:rsid w:val="0006327A"/>
    <w:rsid w:val="00063294"/>
    <w:rsid w:val="000632A1"/>
    <w:rsid w:val="000632D1"/>
    <w:rsid w:val="00063328"/>
    <w:rsid w:val="00063396"/>
    <w:rsid w:val="0006342C"/>
    <w:rsid w:val="000634D3"/>
    <w:rsid w:val="00063739"/>
    <w:rsid w:val="000637ED"/>
    <w:rsid w:val="0006381F"/>
    <w:rsid w:val="000638DF"/>
    <w:rsid w:val="00063F4C"/>
    <w:rsid w:val="00063F93"/>
    <w:rsid w:val="00064055"/>
    <w:rsid w:val="000640A0"/>
    <w:rsid w:val="000642DC"/>
    <w:rsid w:val="0006446E"/>
    <w:rsid w:val="000644C2"/>
    <w:rsid w:val="00064512"/>
    <w:rsid w:val="000646CF"/>
    <w:rsid w:val="0006474C"/>
    <w:rsid w:val="000648F5"/>
    <w:rsid w:val="000649A4"/>
    <w:rsid w:val="000649D1"/>
    <w:rsid w:val="00064B0F"/>
    <w:rsid w:val="00064B50"/>
    <w:rsid w:val="00064B87"/>
    <w:rsid w:val="00064D4A"/>
    <w:rsid w:val="00064D6D"/>
    <w:rsid w:val="00064EC3"/>
    <w:rsid w:val="00064EF5"/>
    <w:rsid w:val="00065200"/>
    <w:rsid w:val="000652E6"/>
    <w:rsid w:val="000655D5"/>
    <w:rsid w:val="0006587B"/>
    <w:rsid w:val="0006588D"/>
    <w:rsid w:val="00065A95"/>
    <w:rsid w:val="00065B3E"/>
    <w:rsid w:val="00065C0C"/>
    <w:rsid w:val="00065DC0"/>
    <w:rsid w:val="000661F9"/>
    <w:rsid w:val="00066220"/>
    <w:rsid w:val="0006622D"/>
    <w:rsid w:val="00066600"/>
    <w:rsid w:val="000667CF"/>
    <w:rsid w:val="00066935"/>
    <w:rsid w:val="00066997"/>
    <w:rsid w:val="00066A1B"/>
    <w:rsid w:val="00066A23"/>
    <w:rsid w:val="00066AA8"/>
    <w:rsid w:val="00066BA3"/>
    <w:rsid w:val="00066CF2"/>
    <w:rsid w:val="00066E27"/>
    <w:rsid w:val="000670A0"/>
    <w:rsid w:val="00067113"/>
    <w:rsid w:val="0006712C"/>
    <w:rsid w:val="000671FF"/>
    <w:rsid w:val="000673F4"/>
    <w:rsid w:val="00067423"/>
    <w:rsid w:val="00067573"/>
    <w:rsid w:val="00067796"/>
    <w:rsid w:val="000677E1"/>
    <w:rsid w:val="0006787D"/>
    <w:rsid w:val="00067BB0"/>
    <w:rsid w:val="00067CAB"/>
    <w:rsid w:val="00067DAA"/>
    <w:rsid w:val="00070322"/>
    <w:rsid w:val="00070385"/>
    <w:rsid w:val="00070780"/>
    <w:rsid w:val="00070906"/>
    <w:rsid w:val="00070C18"/>
    <w:rsid w:val="00070DBC"/>
    <w:rsid w:val="00071113"/>
    <w:rsid w:val="000713A8"/>
    <w:rsid w:val="00071746"/>
    <w:rsid w:val="00071C4F"/>
    <w:rsid w:val="00071E49"/>
    <w:rsid w:val="00071F3F"/>
    <w:rsid w:val="00071FB9"/>
    <w:rsid w:val="0007243F"/>
    <w:rsid w:val="00072508"/>
    <w:rsid w:val="00072732"/>
    <w:rsid w:val="00072830"/>
    <w:rsid w:val="000728C5"/>
    <w:rsid w:val="00072DED"/>
    <w:rsid w:val="00073073"/>
    <w:rsid w:val="00073151"/>
    <w:rsid w:val="00073166"/>
    <w:rsid w:val="0007328B"/>
    <w:rsid w:val="000732CB"/>
    <w:rsid w:val="00073569"/>
    <w:rsid w:val="000736B6"/>
    <w:rsid w:val="000737B5"/>
    <w:rsid w:val="00073F73"/>
    <w:rsid w:val="00074147"/>
    <w:rsid w:val="000741AA"/>
    <w:rsid w:val="00074217"/>
    <w:rsid w:val="000743E2"/>
    <w:rsid w:val="0007446F"/>
    <w:rsid w:val="000747AD"/>
    <w:rsid w:val="00074974"/>
    <w:rsid w:val="00074BA2"/>
    <w:rsid w:val="00074BFF"/>
    <w:rsid w:val="00074C03"/>
    <w:rsid w:val="00074DCE"/>
    <w:rsid w:val="00074F38"/>
    <w:rsid w:val="00074FAD"/>
    <w:rsid w:val="00074FD9"/>
    <w:rsid w:val="00074FE4"/>
    <w:rsid w:val="00075019"/>
    <w:rsid w:val="00075131"/>
    <w:rsid w:val="000751C6"/>
    <w:rsid w:val="0007524D"/>
    <w:rsid w:val="00075259"/>
    <w:rsid w:val="000752C7"/>
    <w:rsid w:val="000753E4"/>
    <w:rsid w:val="000756BB"/>
    <w:rsid w:val="00075CBE"/>
    <w:rsid w:val="0007603C"/>
    <w:rsid w:val="00076165"/>
    <w:rsid w:val="00076237"/>
    <w:rsid w:val="00076403"/>
    <w:rsid w:val="00076590"/>
    <w:rsid w:val="000765F5"/>
    <w:rsid w:val="00076614"/>
    <w:rsid w:val="000769D6"/>
    <w:rsid w:val="000769D8"/>
    <w:rsid w:val="00076F0A"/>
    <w:rsid w:val="00076F0C"/>
    <w:rsid w:val="00077070"/>
    <w:rsid w:val="00077089"/>
    <w:rsid w:val="00077142"/>
    <w:rsid w:val="00077266"/>
    <w:rsid w:val="0007728A"/>
    <w:rsid w:val="000772E6"/>
    <w:rsid w:val="000773D4"/>
    <w:rsid w:val="0007750E"/>
    <w:rsid w:val="00077562"/>
    <w:rsid w:val="0007777F"/>
    <w:rsid w:val="0007788F"/>
    <w:rsid w:val="00077AA5"/>
    <w:rsid w:val="00077C78"/>
    <w:rsid w:val="00077D38"/>
    <w:rsid w:val="00077E05"/>
    <w:rsid w:val="0008000E"/>
    <w:rsid w:val="000800B7"/>
    <w:rsid w:val="00080182"/>
    <w:rsid w:val="0008022E"/>
    <w:rsid w:val="000803CD"/>
    <w:rsid w:val="00080450"/>
    <w:rsid w:val="000804A6"/>
    <w:rsid w:val="00080590"/>
    <w:rsid w:val="000805F7"/>
    <w:rsid w:val="0008086B"/>
    <w:rsid w:val="00080A1E"/>
    <w:rsid w:val="00080A3E"/>
    <w:rsid w:val="00080C42"/>
    <w:rsid w:val="00080EBA"/>
    <w:rsid w:val="00080EC8"/>
    <w:rsid w:val="000811BE"/>
    <w:rsid w:val="000812B3"/>
    <w:rsid w:val="000812D0"/>
    <w:rsid w:val="0008136E"/>
    <w:rsid w:val="00081436"/>
    <w:rsid w:val="000815F6"/>
    <w:rsid w:val="0008164A"/>
    <w:rsid w:val="000816CE"/>
    <w:rsid w:val="0008171E"/>
    <w:rsid w:val="00081788"/>
    <w:rsid w:val="000817F6"/>
    <w:rsid w:val="00081950"/>
    <w:rsid w:val="000819DC"/>
    <w:rsid w:val="000819E8"/>
    <w:rsid w:val="00081A73"/>
    <w:rsid w:val="00081A9E"/>
    <w:rsid w:val="00081AE9"/>
    <w:rsid w:val="00081E41"/>
    <w:rsid w:val="00081F83"/>
    <w:rsid w:val="000821EE"/>
    <w:rsid w:val="00082366"/>
    <w:rsid w:val="000826C0"/>
    <w:rsid w:val="00082763"/>
    <w:rsid w:val="000827B3"/>
    <w:rsid w:val="000828E4"/>
    <w:rsid w:val="00082958"/>
    <w:rsid w:val="000829A8"/>
    <w:rsid w:val="00082B29"/>
    <w:rsid w:val="00082B3F"/>
    <w:rsid w:val="00082D01"/>
    <w:rsid w:val="00082E4B"/>
    <w:rsid w:val="00082E6D"/>
    <w:rsid w:val="00082FFD"/>
    <w:rsid w:val="000830BC"/>
    <w:rsid w:val="000830C6"/>
    <w:rsid w:val="000830F4"/>
    <w:rsid w:val="00083177"/>
    <w:rsid w:val="00083357"/>
    <w:rsid w:val="00083437"/>
    <w:rsid w:val="0008346C"/>
    <w:rsid w:val="000835A3"/>
    <w:rsid w:val="00083684"/>
    <w:rsid w:val="0008368B"/>
    <w:rsid w:val="000838A3"/>
    <w:rsid w:val="0008391E"/>
    <w:rsid w:val="00083923"/>
    <w:rsid w:val="00083988"/>
    <w:rsid w:val="00083B71"/>
    <w:rsid w:val="00083DD9"/>
    <w:rsid w:val="00083E8A"/>
    <w:rsid w:val="00083EBE"/>
    <w:rsid w:val="00083FC7"/>
    <w:rsid w:val="000840A0"/>
    <w:rsid w:val="000841C1"/>
    <w:rsid w:val="000841E2"/>
    <w:rsid w:val="0008424A"/>
    <w:rsid w:val="0008425A"/>
    <w:rsid w:val="000846AE"/>
    <w:rsid w:val="00084797"/>
    <w:rsid w:val="000848C9"/>
    <w:rsid w:val="00084D56"/>
    <w:rsid w:val="00084E24"/>
    <w:rsid w:val="0008514F"/>
    <w:rsid w:val="00085359"/>
    <w:rsid w:val="00085BE3"/>
    <w:rsid w:val="00085CC3"/>
    <w:rsid w:val="00085D16"/>
    <w:rsid w:val="000860A8"/>
    <w:rsid w:val="00086628"/>
    <w:rsid w:val="0008676B"/>
    <w:rsid w:val="00086815"/>
    <w:rsid w:val="00086B97"/>
    <w:rsid w:val="00086F0A"/>
    <w:rsid w:val="00087128"/>
    <w:rsid w:val="000871A4"/>
    <w:rsid w:val="000872F4"/>
    <w:rsid w:val="0008737F"/>
    <w:rsid w:val="00087471"/>
    <w:rsid w:val="00087487"/>
    <w:rsid w:val="00087488"/>
    <w:rsid w:val="00087641"/>
    <w:rsid w:val="00087767"/>
    <w:rsid w:val="00087856"/>
    <w:rsid w:val="00087A8C"/>
    <w:rsid w:val="00087BAB"/>
    <w:rsid w:val="00087D36"/>
    <w:rsid w:val="00087E2E"/>
    <w:rsid w:val="00087F0C"/>
    <w:rsid w:val="00087F71"/>
    <w:rsid w:val="00090056"/>
    <w:rsid w:val="00090122"/>
    <w:rsid w:val="00090152"/>
    <w:rsid w:val="0009016F"/>
    <w:rsid w:val="00090243"/>
    <w:rsid w:val="00090247"/>
    <w:rsid w:val="0009027C"/>
    <w:rsid w:val="000902AA"/>
    <w:rsid w:val="000902FC"/>
    <w:rsid w:val="00090326"/>
    <w:rsid w:val="000903F3"/>
    <w:rsid w:val="00090444"/>
    <w:rsid w:val="00090495"/>
    <w:rsid w:val="000904D5"/>
    <w:rsid w:val="000905B2"/>
    <w:rsid w:val="00090B67"/>
    <w:rsid w:val="00090D5F"/>
    <w:rsid w:val="00090E2F"/>
    <w:rsid w:val="00090F7A"/>
    <w:rsid w:val="0009108C"/>
    <w:rsid w:val="00091177"/>
    <w:rsid w:val="000913AD"/>
    <w:rsid w:val="000913EB"/>
    <w:rsid w:val="000914CE"/>
    <w:rsid w:val="000917AC"/>
    <w:rsid w:val="000917CA"/>
    <w:rsid w:val="000917DD"/>
    <w:rsid w:val="000918EB"/>
    <w:rsid w:val="0009199A"/>
    <w:rsid w:val="000919F0"/>
    <w:rsid w:val="00091A26"/>
    <w:rsid w:val="00091C7A"/>
    <w:rsid w:val="00091E07"/>
    <w:rsid w:val="00091E39"/>
    <w:rsid w:val="00091ECB"/>
    <w:rsid w:val="00091F52"/>
    <w:rsid w:val="00091F8F"/>
    <w:rsid w:val="00091FC2"/>
    <w:rsid w:val="00092036"/>
    <w:rsid w:val="00092355"/>
    <w:rsid w:val="000923C2"/>
    <w:rsid w:val="000923EA"/>
    <w:rsid w:val="00092429"/>
    <w:rsid w:val="000924F5"/>
    <w:rsid w:val="00092604"/>
    <w:rsid w:val="000927DF"/>
    <w:rsid w:val="00092AAB"/>
    <w:rsid w:val="00092C04"/>
    <w:rsid w:val="00092C18"/>
    <w:rsid w:val="000932F9"/>
    <w:rsid w:val="000933D4"/>
    <w:rsid w:val="000933DB"/>
    <w:rsid w:val="00093548"/>
    <w:rsid w:val="000935A3"/>
    <w:rsid w:val="0009361C"/>
    <w:rsid w:val="000936C7"/>
    <w:rsid w:val="0009373E"/>
    <w:rsid w:val="000937D8"/>
    <w:rsid w:val="000937FB"/>
    <w:rsid w:val="000939EC"/>
    <w:rsid w:val="00093B90"/>
    <w:rsid w:val="00093C2E"/>
    <w:rsid w:val="00093DAC"/>
    <w:rsid w:val="00093E09"/>
    <w:rsid w:val="000940E0"/>
    <w:rsid w:val="00094619"/>
    <w:rsid w:val="00094804"/>
    <w:rsid w:val="0009496A"/>
    <w:rsid w:val="000949F9"/>
    <w:rsid w:val="00094BE7"/>
    <w:rsid w:val="00094C9C"/>
    <w:rsid w:val="00094CA2"/>
    <w:rsid w:val="00094CF3"/>
    <w:rsid w:val="00094D73"/>
    <w:rsid w:val="00094FEC"/>
    <w:rsid w:val="000950CC"/>
    <w:rsid w:val="00095334"/>
    <w:rsid w:val="00095369"/>
    <w:rsid w:val="000954AD"/>
    <w:rsid w:val="000957C0"/>
    <w:rsid w:val="0009581D"/>
    <w:rsid w:val="00095B28"/>
    <w:rsid w:val="00095BE9"/>
    <w:rsid w:val="00095C0E"/>
    <w:rsid w:val="00095D40"/>
    <w:rsid w:val="00095F29"/>
    <w:rsid w:val="00095F86"/>
    <w:rsid w:val="00095FFE"/>
    <w:rsid w:val="0009616F"/>
    <w:rsid w:val="0009636B"/>
    <w:rsid w:val="000963E7"/>
    <w:rsid w:val="00096578"/>
    <w:rsid w:val="00096840"/>
    <w:rsid w:val="0009684E"/>
    <w:rsid w:val="000969BA"/>
    <w:rsid w:val="00096A67"/>
    <w:rsid w:val="00096AAA"/>
    <w:rsid w:val="00096AB7"/>
    <w:rsid w:val="00096D88"/>
    <w:rsid w:val="0009711D"/>
    <w:rsid w:val="00097147"/>
    <w:rsid w:val="00097235"/>
    <w:rsid w:val="00097290"/>
    <w:rsid w:val="00097471"/>
    <w:rsid w:val="00097685"/>
    <w:rsid w:val="00097BCE"/>
    <w:rsid w:val="00097C3D"/>
    <w:rsid w:val="00097D59"/>
    <w:rsid w:val="00097D8D"/>
    <w:rsid w:val="00097DE7"/>
    <w:rsid w:val="000A0063"/>
    <w:rsid w:val="000A00A2"/>
    <w:rsid w:val="000A0140"/>
    <w:rsid w:val="000A0150"/>
    <w:rsid w:val="000A0331"/>
    <w:rsid w:val="000A0364"/>
    <w:rsid w:val="000A03A2"/>
    <w:rsid w:val="000A050F"/>
    <w:rsid w:val="000A06B1"/>
    <w:rsid w:val="000A087D"/>
    <w:rsid w:val="000A08C5"/>
    <w:rsid w:val="000A0950"/>
    <w:rsid w:val="000A0B4D"/>
    <w:rsid w:val="000A0E1C"/>
    <w:rsid w:val="000A0F44"/>
    <w:rsid w:val="000A1099"/>
    <w:rsid w:val="000A12AD"/>
    <w:rsid w:val="000A13ED"/>
    <w:rsid w:val="000A1446"/>
    <w:rsid w:val="000A1542"/>
    <w:rsid w:val="000A154B"/>
    <w:rsid w:val="000A15DA"/>
    <w:rsid w:val="000A15E2"/>
    <w:rsid w:val="000A1642"/>
    <w:rsid w:val="000A17B2"/>
    <w:rsid w:val="000A17C2"/>
    <w:rsid w:val="000A17C8"/>
    <w:rsid w:val="000A1949"/>
    <w:rsid w:val="000A196F"/>
    <w:rsid w:val="000A19F9"/>
    <w:rsid w:val="000A1B1D"/>
    <w:rsid w:val="000A1BA1"/>
    <w:rsid w:val="000A1BA3"/>
    <w:rsid w:val="000A1C3C"/>
    <w:rsid w:val="000A1C6D"/>
    <w:rsid w:val="000A1DFF"/>
    <w:rsid w:val="000A1EB8"/>
    <w:rsid w:val="000A2209"/>
    <w:rsid w:val="000A2380"/>
    <w:rsid w:val="000A246B"/>
    <w:rsid w:val="000A259E"/>
    <w:rsid w:val="000A2667"/>
    <w:rsid w:val="000A2709"/>
    <w:rsid w:val="000A270B"/>
    <w:rsid w:val="000A2754"/>
    <w:rsid w:val="000A2800"/>
    <w:rsid w:val="000A28EC"/>
    <w:rsid w:val="000A29E8"/>
    <w:rsid w:val="000A29FB"/>
    <w:rsid w:val="000A2EF1"/>
    <w:rsid w:val="000A335B"/>
    <w:rsid w:val="000A3382"/>
    <w:rsid w:val="000A341C"/>
    <w:rsid w:val="000A3604"/>
    <w:rsid w:val="000A3670"/>
    <w:rsid w:val="000A375D"/>
    <w:rsid w:val="000A393E"/>
    <w:rsid w:val="000A39D9"/>
    <w:rsid w:val="000A3A36"/>
    <w:rsid w:val="000A3A83"/>
    <w:rsid w:val="000A3A9A"/>
    <w:rsid w:val="000A3ABB"/>
    <w:rsid w:val="000A3BDB"/>
    <w:rsid w:val="000A3EBC"/>
    <w:rsid w:val="000A3EE5"/>
    <w:rsid w:val="000A4179"/>
    <w:rsid w:val="000A45F0"/>
    <w:rsid w:val="000A46A1"/>
    <w:rsid w:val="000A46C3"/>
    <w:rsid w:val="000A479B"/>
    <w:rsid w:val="000A47F9"/>
    <w:rsid w:val="000A488B"/>
    <w:rsid w:val="000A4A0F"/>
    <w:rsid w:val="000A4A6F"/>
    <w:rsid w:val="000A4B51"/>
    <w:rsid w:val="000A4BD3"/>
    <w:rsid w:val="000A4D38"/>
    <w:rsid w:val="000A4D4E"/>
    <w:rsid w:val="000A4F07"/>
    <w:rsid w:val="000A505A"/>
    <w:rsid w:val="000A506D"/>
    <w:rsid w:val="000A5314"/>
    <w:rsid w:val="000A5723"/>
    <w:rsid w:val="000A5744"/>
    <w:rsid w:val="000A598D"/>
    <w:rsid w:val="000A5A78"/>
    <w:rsid w:val="000A5AD8"/>
    <w:rsid w:val="000A5C35"/>
    <w:rsid w:val="000A5D20"/>
    <w:rsid w:val="000A5DC5"/>
    <w:rsid w:val="000A5DDC"/>
    <w:rsid w:val="000A5E23"/>
    <w:rsid w:val="000A5EBC"/>
    <w:rsid w:val="000A5EC1"/>
    <w:rsid w:val="000A61E6"/>
    <w:rsid w:val="000A62FE"/>
    <w:rsid w:val="000A6359"/>
    <w:rsid w:val="000A639C"/>
    <w:rsid w:val="000A6599"/>
    <w:rsid w:val="000A66F1"/>
    <w:rsid w:val="000A6842"/>
    <w:rsid w:val="000A6BF1"/>
    <w:rsid w:val="000A6E15"/>
    <w:rsid w:val="000A6FA9"/>
    <w:rsid w:val="000A72A5"/>
    <w:rsid w:val="000A72BF"/>
    <w:rsid w:val="000A7307"/>
    <w:rsid w:val="000A73F0"/>
    <w:rsid w:val="000A74E6"/>
    <w:rsid w:val="000A75AE"/>
    <w:rsid w:val="000A7655"/>
    <w:rsid w:val="000A7661"/>
    <w:rsid w:val="000A78AC"/>
    <w:rsid w:val="000A7942"/>
    <w:rsid w:val="000A79FE"/>
    <w:rsid w:val="000A7B23"/>
    <w:rsid w:val="000A7CBA"/>
    <w:rsid w:val="000A7D69"/>
    <w:rsid w:val="000A7D98"/>
    <w:rsid w:val="000A7E9F"/>
    <w:rsid w:val="000B00CB"/>
    <w:rsid w:val="000B01FD"/>
    <w:rsid w:val="000B0224"/>
    <w:rsid w:val="000B04AE"/>
    <w:rsid w:val="000B05B9"/>
    <w:rsid w:val="000B062E"/>
    <w:rsid w:val="000B06AC"/>
    <w:rsid w:val="000B0762"/>
    <w:rsid w:val="000B08B1"/>
    <w:rsid w:val="000B08D2"/>
    <w:rsid w:val="000B0986"/>
    <w:rsid w:val="000B09B2"/>
    <w:rsid w:val="000B09C4"/>
    <w:rsid w:val="000B0AA5"/>
    <w:rsid w:val="000B0AD2"/>
    <w:rsid w:val="000B0B24"/>
    <w:rsid w:val="000B0B5D"/>
    <w:rsid w:val="000B0BC3"/>
    <w:rsid w:val="000B0E06"/>
    <w:rsid w:val="000B0F10"/>
    <w:rsid w:val="000B0F1E"/>
    <w:rsid w:val="000B1038"/>
    <w:rsid w:val="000B109D"/>
    <w:rsid w:val="000B114F"/>
    <w:rsid w:val="000B123B"/>
    <w:rsid w:val="000B14E9"/>
    <w:rsid w:val="000B17B8"/>
    <w:rsid w:val="000B1858"/>
    <w:rsid w:val="000B1968"/>
    <w:rsid w:val="000B1A2F"/>
    <w:rsid w:val="000B1C0B"/>
    <w:rsid w:val="000B1CF6"/>
    <w:rsid w:val="000B1D61"/>
    <w:rsid w:val="000B1DCD"/>
    <w:rsid w:val="000B1F7A"/>
    <w:rsid w:val="000B2248"/>
    <w:rsid w:val="000B22B8"/>
    <w:rsid w:val="000B2648"/>
    <w:rsid w:val="000B277C"/>
    <w:rsid w:val="000B27A8"/>
    <w:rsid w:val="000B2803"/>
    <w:rsid w:val="000B2B77"/>
    <w:rsid w:val="000B2BCD"/>
    <w:rsid w:val="000B2BF0"/>
    <w:rsid w:val="000B2FD4"/>
    <w:rsid w:val="000B30C6"/>
    <w:rsid w:val="000B33D1"/>
    <w:rsid w:val="000B3464"/>
    <w:rsid w:val="000B3751"/>
    <w:rsid w:val="000B397F"/>
    <w:rsid w:val="000B3A7E"/>
    <w:rsid w:val="000B3AC3"/>
    <w:rsid w:val="000B3B7B"/>
    <w:rsid w:val="000B3C37"/>
    <w:rsid w:val="000B3C39"/>
    <w:rsid w:val="000B3DAC"/>
    <w:rsid w:val="000B3E69"/>
    <w:rsid w:val="000B40CE"/>
    <w:rsid w:val="000B443D"/>
    <w:rsid w:val="000B4531"/>
    <w:rsid w:val="000B4533"/>
    <w:rsid w:val="000B471B"/>
    <w:rsid w:val="000B48AF"/>
    <w:rsid w:val="000B494B"/>
    <w:rsid w:val="000B496B"/>
    <w:rsid w:val="000B4A31"/>
    <w:rsid w:val="000B4AC8"/>
    <w:rsid w:val="000B4CBA"/>
    <w:rsid w:val="000B4EF5"/>
    <w:rsid w:val="000B501B"/>
    <w:rsid w:val="000B517E"/>
    <w:rsid w:val="000B519E"/>
    <w:rsid w:val="000B528A"/>
    <w:rsid w:val="000B5421"/>
    <w:rsid w:val="000B5524"/>
    <w:rsid w:val="000B55B7"/>
    <w:rsid w:val="000B5739"/>
    <w:rsid w:val="000B579D"/>
    <w:rsid w:val="000B5AB0"/>
    <w:rsid w:val="000B5AC4"/>
    <w:rsid w:val="000B5AFF"/>
    <w:rsid w:val="000B5B5A"/>
    <w:rsid w:val="000B5C8B"/>
    <w:rsid w:val="000B5CA7"/>
    <w:rsid w:val="000B5D35"/>
    <w:rsid w:val="000B5E8B"/>
    <w:rsid w:val="000B5EF5"/>
    <w:rsid w:val="000B5F6B"/>
    <w:rsid w:val="000B6029"/>
    <w:rsid w:val="000B6134"/>
    <w:rsid w:val="000B63C4"/>
    <w:rsid w:val="000B6562"/>
    <w:rsid w:val="000B6570"/>
    <w:rsid w:val="000B65E9"/>
    <w:rsid w:val="000B6699"/>
    <w:rsid w:val="000B6711"/>
    <w:rsid w:val="000B6796"/>
    <w:rsid w:val="000B67A3"/>
    <w:rsid w:val="000B6A3E"/>
    <w:rsid w:val="000B6A61"/>
    <w:rsid w:val="000B6CAD"/>
    <w:rsid w:val="000B6CB5"/>
    <w:rsid w:val="000B6CC4"/>
    <w:rsid w:val="000B6DC2"/>
    <w:rsid w:val="000B6FF3"/>
    <w:rsid w:val="000B7044"/>
    <w:rsid w:val="000B706A"/>
    <w:rsid w:val="000B70CC"/>
    <w:rsid w:val="000B71FD"/>
    <w:rsid w:val="000B72D0"/>
    <w:rsid w:val="000B7504"/>
    <w:rsid w:val="000B7625"/>
    <w:rsid w:val="000B77B1"/>
    <w:rsid w:val="000B77F1"/>
    <w:rsid w:val="000B788A"/>
    <w:rsid w:val="000B78E6"/>
    <w:rsid w:val="000B78FE"/>
    <w:rsid w:val="000B7AB0"/>
    <w:rsid w:val="000B7BD4"/>
    <w:rsid w:val="000B7BF3"/>
    <w:rsid w:val="000B7D94"/>
    <w:rsid w:val="000C00B7"/>
    <w:rsid w:val="000C0260"/>
    <w:rsid w:val="000C0353"/>
    <w:rsid w:val="000C0424"/>
    <w:rsid w:val="000C0691"/>
    <w:rsid w:val="000C084B"/>
    <w:rsid w:val="000C08DE"/>
    <w:rsid w:val="000C09DC"/>
    <w:rsid w:val="000C09E8"/>
    <w:rsid w:val="000C0A39"/>
    <w:rsid w:val="000C0ACD"/>
    <w:rsid w:val="000C0B10"/>
    <w:rsid w:val="000C0B18"/>
    <w:rsid w:val="000C0CC8"/>
    <w:rsid w:val="000C0E3F"/>
    <w:rsid w:val="000C0FE4"/>
    <w:rsid w:val="000C10FB"/>
    <w:rsid w:val="000C11D2"/>
    <w:rsid w:val="000C124F"/>
    <w:rsid w:val="000C1308"/>
    <w:rsid w:val="000C13A4"/>
    <w:rsid w:val="000C145F"/>
    <w:rsid w:val="000C1850"/>
    <w:rsid w:val="000C1A3F"/>
    <w:rsid w:val="000C1A49"/>
    <w:rsid w:val="000C1A56"/>
    <w:rsid w:val="000C1B4E"/>
    <w:rsid w:val="000C1E77"/>
    <w:rsid w:val="000C2080"/>
    <w:rsid w:val="000C21D9"/>
    <w:rsid w:val="000C22B6"/>
    <w:rsid w:val="000C240C"/>
    <w:rsid w:val="000C247F"/>
    <w:rsid w:val="000C24AC"/>
    <w:rsid w:val="000C2765"/>
    <w:rsid w:val="000C28B7"/>
    <w:rsid w:val="000C29BF"/>
    <w:rsid w:val="000C2B79"/>
    <w:rsid w:val="000C2F73"/>
    <w:rsid w:val="000C300B"/>
    <w:rsid w:val="000C300C"/>
    <w:rsid w:val="000C3040"/>
    <w:rsid w:val="000C3045"/>
    <w:rsid w:val="000C317B"/>
    <w:rsid w:val="000C31C0"/>
    <w:rsid w:val="000C31CC"/>
    <w:rsid w:val="000C31E0"/>
    <w:rsid w:val="000C323B"/>
    <w:rsid w:val="000C32CC"/>
    <w:rsid w:val="000C3544"/>
    <w:rsid w:val="000C386B"/>
    <w:rsid w:val="000C38DF"/>
    <w:rsid w:val="000C3A09"/>
    <w:rsid w:val="000C3BA7"/>
    <w:rsid w:val="000C3D86"/>
    <w:rsid w:val="000C3EAD"/>
    <w:rsid w:val="000C3ECE"/>
    <w:rsid w:val="000C4052"/>
    <w:rsid w:val="000C40E3"/>
    <w:rsid w:val="000C41FF"/>
    <w:rsid w:val="000C4261"/>
    <w:rsid w:val="000C4538"/>
    <w:rsid w:val="000C45A7"/>
    <w:rsid w:val="000C4657"/>
    <w:rsid w:val="000C47F0"/>
    <w:rsid w:val="000C4928"/>
    <w:rsid w:val="000C4A1A"/>
    <w:rsid w:val="000C4A3C"/>
    <w:rsid w:val="000C4AEC"/>
    <w:rsid w:val="000C4B77"/>
    <w:rsid w:val="000C4B86"/>
    <w:rsid w:val="000C4BB3"/>
    <w:rsid w:val="000C4CBC"/>
    <w:rsid w:val="000C4CE2"/>
    <w:rsid w:val="000C4D7B"/>
    <w:rsid w:val="000C4E29"/>
    <w:rsid w:val="000C4E84"/>
    <w:rsid w:val="000C4EF3"/>
    <w:rsid w:val="000C50C1"/>
    <w:rsid w:val="000C519D"/>
    <w:rsid w:val="000C5254"/>
    <w:rsid w:val="000C5404"/>
    <w:rsid w:val="000C5471"/>
    <w:rsid w:val="000C5472"/>
    <w:rsid w:val="000C567B"/>
    <w:rsid w:val="000C5A89"/>
    <w:rsid w:val="000C5B13"/>
    <w:rsid w:val="000C5F87"/>
    <w:rsid w:val="000C62ED"/>
    <w:rsid w:val="000C6350"/>
    <w:rsid w:val="000C6698"/>
    <w:rsid w:val="000C6851"/>
    <w:rsid w:val="000C6997"/>
    <w:rsid w:val="000C69E7"/>
    <w:rsid w:val="000C6A0E"/>
    <w:rsid w:val="000C6A12"/>
    <w:rsid w:val="000C6B0F"/>
    <w:rsid w:val="000C6C7F"/>
    <w:rsid w:val="000C6EA9"/>
    <w:rsid w:val="000C6F37"/>
    <w:rsid w:val="000C6FBF"/>
    <w:rsid w:val="000C7311"/>
    <w:rsid w:val="000C7525"/>
    <w:rsid w:val="000C7673"/>
    <w:rsid w:val="000C767A"/>
    <w:rsid w:val="000C7806"/>
    <w:rsid w:val="000C791E"/>
    <w:rsid w:val="000C794B"/>
    <w:rsid w:val="000C7967"/>
    <w:rsid w:val="000C7A2D"/>
    <w:rsid w:val="000D021E"/>
    <w:rsid w:val="000D029F"/>
    <w:rsid w:val="000D0389"/>
    <w:rsid w:val="000D04B5"/>
    <w:rsid w:val="000D04D7"/>
    <w:rsid w:val="000D0589"/>
    <w:rsid w:val="000D05C1"/>
    <w:rsid w:val="000D0838"/>
    <w:rsid w:val="000D08FD"/>
    <w:rsid w:val="000D0993"/>
    <w:rsid w:val="000D0A54"/>
    <w:rsid w:val="000D0A91"/>
    <w:rsid w:val="000D0B13"/>
    <w:rsid w:val="000D0C6C"/>
    <w:rsid w:val="000D0C72"/>
    <w:rsid w:val="000D0DC2"/>
    <w:rsid w:val="000D10E5"/>
    <w:rsid w:val="000D1368"/>
    <w:rsid w:val="000D13F0"/>
    <w:rsid w:val="000D1432"/>
    <w:rsid w:val="000D14AD"/>
    <w:rsid w:val="000D14F8"/>
    <w:rsid w:val="000D153C"/>
    <w:rsid w:val="000D1598"/>
    <w:rsid w:val="000D18F1"/>
    <w:rsid w:val="000D1A85"/>
    <w:rsid w:val="000D1C17"/>
    <w:rsid w:val="000D1C41"/>
    <w:rsid w:val="000D1C4F"/>
    <w:rsid w:val="000D1EE0"/>
    <w:rsid w:val="000D2056"/>
    <w:rsid w:val="000D2234"/>
    <w:rsid w:val="000D228C"/>
    <w:rsid w:val="000D22A8"/>
    <w:rsid w:val="000D234F"/>
    <w:rsid w:val="000D249E"/>
    <w:rsid w:val="000D26EA"/>
    <w:rsid w:val="000D2731"/>
    <w:rsid w:val="000D2A9F"/>
    <w:rsid w:val="000D2B8F"/>
    <w:rsid w:val="000D2C72"/>
    <w:rsid w:val="000D2D31"/>
    <w:rsid w:val="000D2FA6"/>
    <w:rsid w:val="000D2FD0"/>
    <w:rsid w:val="000D30C8"/>
    <w:rsid w:val="000D3129"/>
    <w:rsid w:val="000D318D"/>
    <w:rsid w:val="000D33BB"/>
    <w:rsid w:val="000D34EF"/>
    <w:rsid w:val="000D354D"/>
    <w:rsid w:val="000D3569"/>
    <w:rsid w:val="000D372B"/>
    <w:rsid w:val="000D37E6"/>
    <w:rsid w:val="000D3863"/>
    <w:rsid w:val="000D3D84"/>
    <w:rsid w:val="000D3DA5"/>
    <w:rsid w:val="000D4330"/>
    <w:rsid w:val="000D4379"/>
    <w:rsid w:val="000D43DC"/>
    <w:rsid w:val="000D483D"/>
    <w:rsid w:val="000D48A4"/>
    <w:rsid w:val="000D48B3"/>
    <w:rsid w:val="000D4A2F"/>
    <w:rsid w:val="000D4A70"/>
    <w:rsid w:val="000D4BAA"/>
    <w:rsid w:val="000D4BDE"/>
    <w:rsid w:val="000D4D5E"/>
    <w:rsid w:val="000D4DDB"/>
    <w:rsid w:val="000D4EE9"/>
    <w:rsid w:val="000D4F84"/>
    <w:rsid w:val="000D4FF7"/>
    <w:rsid w:val="000D5242"/>
    <w:rsid w:val="000D53F1"/>
    <w:rsid w:val="000D53F7"/>
    <w:rsid w:val="000D5678"/>
    <w:rsid w:val="000D567C"/>
    <w:rsid w:val="000D5777"/>
    <w:rsid w:val="000D579E"/>
    <w:rsid w:val="000D58A7"/>
    <w:rsid w:val="000D5A68"/>
    <w:rsid w:val="000D5B38"/>
    <w:rsid w:val="000D5CE3"/>
    <w:rsid w:val="000D6132"/>
    <w:rsid w:val="000D665A"/>
    <w:rsid w:val="000D66EF"/>
    <w:rsid w:val="000D687C"/>
    <w:rsid w:val="000D6A43"/>
    <w:rsid w:val="000D6A6A"/>
    <w:rsid w:val="000D6BB8"/>
    <w:rsid w:val="000D6D7C"/>
    <w:rsid w:val="000D6DD0"/>
    <w:rsid w:val="000D6FEB"/>
    <w:rsid w:val="000D6FEC"/>
    <w:rsid w:val="000D7122"/>
    <w:rsid w:val="000D717B"/>
    <w:rsid w:val="000D71A3"/>
    <w:rsid w:val="000D71CD"/>
    <w:rsid w:val="000D7414"/>
    <w:rsid w:val="000D77E4"/>
    <w:rsid w:val="000D7B08"/>
    <w:rsid w:val="000D7B29"/>
    <w:rsid w:val="000D7B4E"/>
    <w:rsid w:val="000D7CB1"/>
    <w:rsid w:val="000D7D1B"/>
    <w:rsid w:val="000D7D2F"/>
    <w:rsid w:val="000D7EA8"/>
    <w:rsid w:val="000D7F2B"/>
    <w:rsid w:val="000E00F5"/>
    <w:rsid w:val="000E0327"/>
    <w:rsid w:val="000E0424"/>
    <w:rsid w:val="000E06B1"/>
    <w:rsid w:val="000E0705"/>
    <w:rsid w:val="000E07C5"/>
    <w:rsid w:val="000E0859"/>
    <w:rsid w:val="000E0973"/>
    <w:rsid w:val="000E0A30"/>
    <w:rsid w:val="000E0ABF"/>
    <w:rsid w:val="000E0B05"/>
    <w:rsid w:val="000E0D97"/>
    <w:rsid w:val="000E0DAF"/>
    <w:rsid w:val="000E0EEB"/>
    <w:rsid w:val="000E104C"/>
    <w:rsid w:val="000E10B6"/>
    <w:rsid w:val="000E1126"/>
    <w:rsid w:val="000E1156"/>
    <w:rsid w:val="000E1321"/>
    <w:rsid w:val="000E1544"/>
    <w:rsid w:val="000E1663"/>
    <w:rsid w:val="000E1673"/>
    <w:rsid w:val="000E1697"/>
    <w:rsid w:val="000E17A3"/>
    <w:rsid w:val="000E1996"/>
    <w:rsid w:val="000E199C"/>
    <w:rsid w:val="000E19E8"/>
    <w:rsid w:val="000E1AEE"/>
    <w:rsid w:val="000E1B31"/>
    <w:rsid w:val="000E1BB0"/>
    <w:rsid w:val="000E1CF7"/>
    <w:rsid w:val="000E1E09"/>
    <w:rsid w:val="000E1F44"/>
    <w:rsid w:val="000E20B8"/>
    <w:rsid w:val="000E20CD"/>
    <w:rsid w:val="000E2380"/>
    <w:rsid w:val="000E23D2"/>
    <w:rsid w:val="000E2453"/>
    <w:rsid w:val="000E2547"/>
    <w:rsid w:val="000E254D"/>
    <w:rsid w:val="000E2558"/>
    <w:rsid w:val="000E2570"/>
    <w:rsid w:val="000E26F9"/>
    <w:rsid w:val="000E29E4"/>
    <w:rsid w:val="000E2A59"/>
    <w:rsid w:val="000E2A79"/>
    <w:rsid w:val="000E2B64"/>
    <w:rsid w:val="000E2CCF"/>
    <w:rsid w:val="000E2DAC"/>
    <w:rsid w:val="000E2F93"/>
    <w:rsid w:val="000E30D1"/>
    <w:rsid w:val="000E3417"/>
    <w:rsid w:val="000E34FD"/>
    <w:rsid w:val="000E3694"/>
    <w:rsid w:val="000E39C6"/>
    <w:rsid w:val="000E3A43"/>
    <w:rsid w:val="000E3ADE"/>
    <w:rsid w:val="000E3B6B"/>
    <w:rsid w:val="000E3B94"/>
    <w:rsid w:val="000E3BE8"/>
    <w:rsid w:val="000E3D88"/>
    <w:rsid w:val="000E3EEA"/>
    <w:rsid w:val="000E3F2A"/>
    <w:rsid w:val="000E3F76"/>
    <w:rsid w:val="000E44B2"/>
    <w:rsid w:val="000E452E"/>
    <w:rsid w:val="000E4610"/>
    <w:rsid w:val="000E4AFA"/>
    <w:rsid w:val="000E4BE1"/>
    <w:rsid w:val="000E4CCA"/>
    <w:rsid w:val="000E5017"/>
    <w:rsid w:val="000E55AD"/>
    <w:rsid w:val="000E55F5"/>
    <w:rsid w:val="000E574F"/>
    <w:rsid w:val="000E59C0"/>
    <w:rsid w:val="000E5C99"/>
    <w:rsid w:val="000E5E19"/>
    <w:rsid w:val="000E5E4B"/>
    <w:rsid w:val="000E5ED8"/>
    <w:rsid w:val="000E6048"/>
    <w:rsid w:val="000E613C"/>
    <w:rsid w:val="000E61AB"/>
    <w:rsid w:val="000E62D5"/>
    <w:rsid w:val="000E6363"/>
    <w:rsid w:val="000E63D3"/>
    <w:rsid w:val="000E6706"/>
    <w:rsid w:val="000E6747"/>
    <w:rsid w:val="000E67CD"/>
    <w:rsid w:val="000E6891"/>
    <w:rsid w:val="000E6B75"/>
    <w:rsid w:val="000E6BA6"/>
    <w:rsid w:val="000E6E4D"/>
    <w:rsid w:val="000E6F06"/>
    <w:rsid w:val="000E7118"/>
    <w:rsid w:val="000E765F"/>
    <w:rsid w:val="000E7805"/>
    <w:rsid w:val="000E7D7D"/>
    <w:rsid w:val="000E7E1A"/>
    <w:rsid w:val="000E7EA4"/>
    <w:rsid w:val="000E7F28"/>
    <w:rsid w:val="000E7FB9"/>
    <w:rsid w:val="000F0177"/>
    <w:rsid w:val="000F025A"/>
    <w:rsid w:val="000F036F"/>
    <w:rsid w:val="000F05A2"/>
    <w:rsid w:val="000F0790"/>
    <w:rsid w:val="000F0805"/>
    <w:rsid w:val="000F0838"/>
    <w:rsid w:val="000F0867"/>
    <w:rsid w:val="000F08F0"/>
    <w:rsid w:val="000F094E"/>
    <w:rsid w:val="000F0ACE"/>
    <w:rsid w:val="000F0B9B"/>
    <w:rsid w:val="000F0D29"/>
    <w:rsid w:val="000F0DA1"/>
    <w:rsid w:val="000F0E8C"/>
    <w:rsid w:val="000F10FA"/>
    <w:rsid w:val="000F13A7"/>
    <w:rsid w:val="000F1409"/>
    <w:rsid w:val="000F1484"/>
    <w:rsid w:val="000F1491"/>
    <w:rsid w:val="000F17A3"/>
    <w:rsid w:val="000F1847"/>
    <w:rsid w:val="000F1952"/>
    <w:rsid w:val="000F1A9B"/>
    <w:rsid w:val="000F1ACA"/>
    <w:rsid w:val="000F1BE5"/>
    <w:rsid w:val="000F1C00"/>
    <w:rsid w:val="000F1C59"/>
    <w:rsid w:val="000F1D37"/>
    <w:rsid w:val="000F1DEB"/>
    <w:rsid w:val="000F23BD"/>
    <w:rsid w:val="000F281C"/>
    <w:rsid w:val="000F288A"/>
    <w:rsid w:val="000F2938"/>
    <w:rsid w:val="000F2959"/>
    <w:rsid w:val="000F29A1"/>
    <w:rsid w:val="000F2ABB"/>
    <w:rsid w:val="000F2D93"/>
    <w:rsid w:val="000F2E45"/>
    <w:rsid w:val="000F2E68"/>
    <w:rsid w:val="000F30E3"/>
    <w:rsid w:val="000F33B1"/>
    <w:rsid w:val="000F35E9"/>
    <w:rsid w:val="000F36C5"/>
    <w:rsid w:val="000F3807"/>
    <w:rsid w:val="000F3931"/>
    <w:rsid w:val="000F39B2"/>
    <w:rsid w:val="000F3B18"/>
    <w:rsid w:val="000F3BB6"/>
    <w:rsid w:val="000F3D0E"/>
    <w:rsid w:val="000F3D19"/>
    <w:rsid w:val="000F3D32"/>
    <w:rsid w:val="000F3D74"/>
    <w:rsid w:val="000F3FFC"/>
    <w:rsid w:val="000F3FFF"/>
    <w:rsid w:val="000F410E"/>
    <w:rsid w:val="000F4315"/>
    <w:rsid w:val="000F433E"/>
    <w:rsid w:val="000F4609"/>
    <w:rsid w:val="000F46CC"/>
    <w:rsid w:val="000F46E7"/>
    <w:rsid w:val="000F46F3"/>
    <w:rsid w:val="000F4917"/>
    <w:rsid w:val="000F49E5"/>
    <w:rsid w:val="000F4AE7"/>
    <w:rsid w:val="000F4B32"/>
    <w:rsid w:val="000F4C91"/>
    <w:rsid w:val="000F4EA2"/>
    <w:rsid w:val="000F4F00"/>
    <w:rsid w:val="000F4F45"/>
    <w:rsid w:val="000F51C1"/>
    <w:rsid w:val="000F528F"/>
    <w:rsid w:val="000F53A7"/>
    <w:rsid w:val="000F53F4"/>
    <w:rsid w:val="000F54AF"/>
    <w:rsid w:val="000F54F2"/>
    <w:rsid w:val="000F594B"/>
    <w:rsid w:val="000F599C"/>
    <w:rsid w:val="000F5AEE"/>
    <w:rsid w:val="000F5C8F"/>
    <w:rsid w:val="000F5E4F"/>
    <w:rsid w:val="000F5F31"/>
    <w:rsid w:val="000F61E0"/>
    <w:rsid w:val="000F6229"/>
    <w:rsid w:val="000F62FD"/>
    <w:rsid w:val="000F664C"/>
    <w:rsid w:val="000F6795"/>
    <w:rsid w:val="000F67A8"/>
    <w:rsid w:val="000F6833"/>
    <w:rsid w:val="000F685F"/>
    <w:rsid w:val="000F6964"/>
    <w:rsid w:val="000F6A62"/>
    <w:rsid w:val="000F6AC6"/>
    <w:rsid w:val="000F6C3A"/>
    <w:rsid w:val="000F6CF4"/>
    <w:rsid w:val="000F6D47"/>
    <w:rsid w:val="000F6EC2"/>
    <w:rsid w:val="000F708F"/>
    <w:rsid w:val="000F7214"/>
    <w:rsid w:val="000F725F"/>
    <w:rsid w:val="000F7596"/>
    <w:rsid w:val="000F7696"/>
    <w:rsid w:val="000F774A"/>
    <w:rsid w:val="000F77A4"/>
    <w:rsid w:val="000F7800"/>
    <w:rsid w:val="000F7A61"/>
    <w:rsid w:val="000F7AA0"/>
    <w:rsid w:val="000F7B5B"/>
    <w:rsid w:val="000F7D63"/>
    <w:rsid w:val="00100086"/>
    <w:rsid w:val="00100404"/>
    <w:rsid w:val="00100406"/>
    <w:rsid w:val="0010046B"/>
    <w:rsid w:val="001005E0"/>
    <w:rsid w:val="00100682"/>
    <w:rsid w:val="00100683"/>
    <w:rsid w:val="001006E3"/>
    <w:rsid w:val="00100A57"/>
    <w:rsid w:val="00100CE5"/>
    <w:rsid w:val="00100D2F"/>
    <w:rsid w:val="00100F20"/>
    <w:rsid w:val="00100F79"/>
    <w:rsid w:val="00100FBF"/>
    <w:rsid w:val="00101512"/>
    <w:rsid w:val="001015BA"/>
    <w:rsid w:val="001015FD"/>
    <w:rsid w:val="00101651"/>
    <w:rsid w:val="00101902"/>
    <w:rsid w:val="001019D8"/>
    <w:rsid w:val="00101D80"/>
    <w:rsid w:val="00101E1D"/>
    <w:rsid w:val="00101FC6"/>
    <w:rsid w:val="001021E6"/>
    <w:rsid w:val="0010221B"/>
    <w:rsid w:val="0010229A"/>
    <w:rsid w:val="001025E5"/>
    <w:rsid w:val="00102800"/>
    <w:rsid w:val="00102827"/>
    <w:rsid w:val="00102C2E"/>
    <w:rsid w:val="00102D72"/>
    <w:rsid w:val="0010305F"/>
    <w:rsid w:val="0010311C"/>
    <w:rsid w:val="0010319A"/>
    <w:rsid w:val="00103207"/>
    <w:rsid w:val="0010326A"/>
    <w:rsid w:val="0010331E"/>
    <w:rsid w:val="0010340D"/>
    <w:rsid w:val="00103418"/>
    <w:rsid w:val="00103442"/>
    <w:rsid w:val="001034D7"/>
    <w:rsid w:val="001035AF"/>
    <w:rsid w:val="00103A69"/>
    <w:rsid w:val="00103BE2"/>
    <w:rsid w:val="00103F30"/>
    <w:rsid w:val="00103F8B"/>
    <w:rsid w:val="0010403F"/>
    <w:rsid w:val="00104060"/>
    <w:rsid w:val="001041EA"/>
    <w:rsid w:val="0010460B"/>
    <w:rsid w:val="00104792"/>
    <w:rsid w:val="001047FE"/>
    <w:rsid w:val="001048D9"/>
    <w:rsid w:val="00104AF3"/>
    <w:rsid w:val="00104C51"/>
    <w:rsid w:val="00104CC9"/>
    <w:rsid w:val="00104CD7"/>
    <w:rsid w:val="00104F2A"/>
    <w:rsid w:val="00104F5F"/>
    <w:rsid w:val="00104F91"/>
    <w:rsid w:val="00105153"/>
    <w:rsid w:val="001054C9"/>
    <w:rsid w:val="00105529"/>
    <w:rsid w:val="001055E2"/>
    <w:rsid w:val="0010566E"/>
    <w:rsid w:val="001057C5"/>
    <w:rsid w:val="00105872"/>
    <w:rsid w:val="001058B1"/>
    <w:rsid w:val="00105AC6"/>
    <w:rsid w:val="00105BAE"/>
    <w:rsid w:val="00105D94"/>
    <w:rsid w:val="00105EA2"/>
    <w:rsid w:val="00105ED0"/>
    <w:rsid w:val="001062F4"/>
    <w:rsid w:val="00106448"/>
    <w:rsid w:val="00106463"/>
    <w:rsid w:val="00106791"/>
    <w:rsid w:val="00106AC5"/>
    <w:rsid w:val="00106CD9"/>
    <w:rsid w:val="00106E6C"/>
    <w:rsid w:val="001070E3"/>
    <w:rsid w:val="00107319"/>
    <w:rsid w:val="0010768C"/>
    <w:rsid w:val="00107771"/>
    <w:rsid w:val="00107818"/>
    <w:rsid w:val="00107A04"/>
    <w:rsid w:val="00107C61"/>
    <w:rsid w:val="00107DE9"/>
    <w:rsid w:val="00107E1D"/>
    <w:rsid w:val="00107FE2"/>
    <w:rsid w:val="00110110"/>
    <w:rsid w:val="00110166"/>
    <w:rsid w:val="00110277"/>
    <w:rsid w:val="001102EA"/>
    <w:rsid w:val="00110398"/>
    <w:rsid w:val="00110410"/>
    <w:rsid w:val="0011047F"/>
    <w:rsid w:val="00110589"/>
    <w:rsid w:val="00110595"/>
    <w:rsid w:val="00110737"/>
    <w:rsid w:val="001108BC"/>
    <w:rsid w:val="00110931"/>
    <w:rsid w:val="00110986"/>
    <w:rsid w:val="00110AF4"/>
    <w:rsid w:val="00110B52"/>
    <w:rsid w:val="00110C74"/>
    <w:rsid w:val="00110E53"/>
    <w:rsid w:val="00110FF0"/>
    <w:rsid w:val="00111120"/>
    <w:rsid w:val="0011114D"/>
    <w:rsid w:val="00111195"/>
    <w:rsid w:val="001111C4"/>
    <w:rsid w:val="0011149A"/>
    <w:rsid w:val="00111598"/>
    <w:rsid w:val="0011170B"/>
    <w:rsid w:val="00111891"/>
    <w:rsid w:val="0011194C"/>
    <w:rsid w:val="00111A21"/>
    <w:rsid w:val="00111BF6"/>
    <w:rsid w:val="00111E29"/>
    <w:rsid w:val="00111E8F"/>
    <w:rsid w:val="00111F88"/>
    <w:rsid w:val="00111FBE"/>
    <w:rsid w:val="001121E7"/>
    <w:rsid w:val="001121F0"/>
    <w:rsid w:val="00112225"/>
    <w:rsid w:val="0011223B"/>
    <w:rsid w:val="00112242"/>
    <w:rsid w:val="001124D1"/>
    <w:rsid w:val="001125AB"/>
    <w:rsid w:val="00112628"/>
    <w:rsid w:val="001128CB"/>
    <w:rsid w:val="00112A62"/>
    <w:rsid w:val="00112C14"/>
    <w:rsid w:val="00112DE3"/>
    <w:rsid w:val="00112F07"/>
    <w:rsid w:val="00113012"/>
    <w:rsid w:val="0011306D"/>
    <w:rsid w:val="00113095"/>
    <w:rsid w:val="001130AE"/>
    <w:rsid w:val="00113133"/>
    <w:rsid w:val="00113149"/>
    <w:rsid w:val="001132B6"/>
    <w:rsid w:val="001132C4"/>
    <w:rsid w:val="00113515"/>
    <w:rsid w:val="0011358B"/>
    <w:rsid w:val="001135B7"/>
    <w:rsid w:val="001135E7"/>
    <w:rsid w:val="0011378A"/>
    <w:rsid w:val="00113A2F"/>
    <w:rsid w:val="00113D2D"/>
    <w:rsid w:val="00114516"/>
    <w:rsid w:val="0011462D"/>
    <w:rsid w:val="00114765"/>
    <w:rsid w:val="001149DF"/>
    <w:rsid w:val="00114C6B"/>
    <w:rsid w:val="00114CFE"/>
    <w:rsid w:val="00114D87"/>
    <w:rsid w:val="00114E24"/>
    <w:rsid w:val="00114E81"/>
    <w:rsid w:val="0011529D"/>
    <w:rsid w:val="001153F5"/>
    <w:rsid w:val="00115452"/>
    <w:rsid w:val="0011588A"/>
    <w:rsid w:val="00115A65"/>
    <w:rsid w:val="00115AC8"/>
    <w:rsid w:val="00115B85"/>
    <w:rsid w:val="00115C4D"/>
    <w:rsid w:val="00115C74"/>
    <w:rsid w:val="00115DA4"/>
    <w:rsid w:val="00115E25"/>
    <w:rsid w:val="00115F21"/>
    <w:rsid w:val="00116131"/>
    <w:rsid w:val="00116293"/>
    <w:rsid w:val="00116765"/>
    <w:rsid w:val="001167FA"/>
    <w:rsid w:val="00116815"/>
    <w:rsid w:val="00116859"/>
    <w:rsid w:val="00116879"/>
    <w:rsid w:val="001168CA"/>
    <w:rsid w:val="00116A09"/>
    <w:rsid w:val="00116B60"/>
    <w:rsid w:val="00116EF9"/>
    <w:rsid w:val="00116F3F"/>
    <w:rsid w:val="001170D3"/>
    <w:rsid w:val="00117169"/>
    <w:rsid w:val="001173D5"/>
    <w:rsid w:val="00117467"/>
    <w:rsid w:val="00117619"/>
    <w:rsid w:val="00117628"/>
    <w:rsid w:val="001176AF"/>
    <w:rsid w:val="0011772F"/>
    <w:rsid w:val="001178CA"/>
    <w:rsid w:val="00117A10"/>
    <w:rsid w:val="00117BA6"/>
    <w:rsid w:val="00117C22"/>
    <w:rsid w:val="00117E1A"/>
    <w:rsid w:val="00117E34"/>
    <w:rsid w:val="00120012"/>
    <w:rsid w:val="00120186"/>
    <w:rsid w:val="001201C0"/>
    <w:rsid w:val="001204C9"/>
    <w:rsid w:val="001204F8"/>
    <w:rsid w:val="0012066C"/>
    <w:rsid w:val="001207CC"/>
    <w:rsid w:val="00120BC4"/>
    <w:rsid w:val="00120C9B"/>
    <w:rsid w:val="00120D48"/>
    <w:rsid w:val="00120F0D"/>
    <w:rsid w:val="00121057"/>
    <w:rsid w:val="001212BC"/>
    <w:rsid w:val="001213D9"/>
    <w:rsid w:val="00121480"/>
    <w:rsid w:val="00121717"/>
    <w:rsid w:val="0012194F"/>
    <w:rsid w:val="0012197F"/>
    <w:rsid w:val="00121A0C"/>
    <w:rsid w:val="00121BC0"/>
    <w:rsid w:val="00121C41"/>
    <w:rsid w:val="00121C92"/>
    <w:rsid w:val="00121DB1"/>
    <w:rsid w:val="00122209"/>
    <w:rsid w:val="001223BA"/>
    <w:rsid w:val="001225ED"/>
    <w:rsid w:val="00122962"/>
    <w:rsid w:val="0012296C"/>
    <w:rsid w:val="00122A66"/>
    <w:rsid w:val="00122D77"/>
    <w:rsid w:val="00122D8B"/>
    <w:rsid w:val="00122DEC"/>
    <w:rsid w:val="00122DF8"/>
    <w:rsid w:val="00122E2E"/>
    <w:rsid w:val="00122FF2"/>
    <w:rsid w:val="00123056"/>
    <w:rsid w:val="00123092"/>
    <w:rsid w:val="00123179"/>
    <w:rsid w:val="001231A9"/>
    <w:rsid w:val="00123318"/>
    <w:rsid w:val="00123320"/>
    <w:rsid w:val="0012338B"/>
    <w:rsid w:val="0012387A"/>
    <w:rsid w:val="001238B1"/>
    <w:rsid w:val="001238F4"/>
    <w:rsid w:val="00123B18"/>
    <w:rsid w:val="00123B9F"/>
    <w:rsid w:val="00123D98"/>
    <w:rsid w:val="0012408C"/>
    <w:rsid w:val="001240A3"/>
    <w:rsid w:val="001240E7"/>
    <w:rsid w:val="00124283"/>
    <w:rsid w:val="001242F2"/>
    <w:rsid w:val="0012439A"/>
    <w:rsid w:val="0012442B"/>
    <w:rsid w:val="00124464"/>
    <w:rsid w:val="0012454B"/>
    <w:rsid w:val="001246D0"/>
    <w:rsid w:val="0012475F"/>
    <w:rsid w:val="0012479B"/>
    <w:rsid w:val="00124811"/>
    <w:rsid w:val="001248F0"/>
    <w:rsid w:val="00124920"/>
    <w:rsid w:val="00124951"/>
    <w:rsid w:val="00124CA0"/>
    <w:rsid w:val="00124DBE"/>
    <w:rsid w:val="00124E0B"/>
    <w:rsid w:val="00125092"/>
    <w:rsid w:val="001250A4"/>
    <w:rsid w:val="001255FC"/>
    <w:rsid w:val="001259B6"/>
    <w:rsid w:val="00125B10"/>
    <w:rsid w:val="00125BD4"/>
    <w:rsid w:val="00126497"/>
    <w:rsid w:val="001264C9"/>
    <w:rsid w:val="00126576"/>
    <w:rsid w:val="0012659A"/>
    <w:rsid w:val="00126693"/>
    <w:rsid w:val="00126785"/>
    <w:rsid w:val="001267F7"/>
    <w:rsid w:val="001269E4"/>
    <w:rsid w:val="00126BD7"/>
    <w:rsid w:val="00126C3E"/>
    <w:rsid w:val="00126EB6"/>
    <w:rsid w:val="0012704A"/>
    <w:rsid w:val="00127296"/>
    <w:rsid w:val="001272F8"/>
    <w:rsid w:val="0012734A"/>
    <w:rsid w:val="00127CF1"/>
    <w:rsid w:val="00127D06"/>
    <w:rsid w:val="00127D0E"/>
    <w:rsid w:val="00127DEE"/>
    <w:rsid w:val="00127F06"/>
    <w:rsid w:val="001300C1"/>
    <w:rsid w:val="00130252"/>
    <w:rsid w:val="00130312"/>
    <w:rsid w:val="0013035A"/>
    <w:rsid w:val="0013035C"/>
    <w:rsid w:val="001303C0"/>
    <w:rsid w:val="001303CC"/>
    <w:rsid w:val="001304F9"/>
    <w:rsid w:val="001305B9"/>
    <w:rsid w:val="001307A5"/>
    <w:rsid w:val="00130878"/>
    <w:rsid w:val="0013090B"/>
    <w:rsid w:val="0013099C"/>
    <w:rsid w:val="00130DC8"/>
    <w:rsid w:val="00130DFC"/>
    <w:rsid w:val="00130EB9"/>
    <w:rsid w:val="00131048"/>
    <w:rsid w:val="001310B5"/>
    <w:rsid w:val="0013110C"/>
    <w:rsid w:val="0013110E"/>
    <w:rsid w:val="001311B0"/>
    <w:rsid w:val="001311CC"/>
    <w:rsid w:val="001311DE"/>
    <w:rsid w:val="001312D6"/>
    <w:rsid w:val="00131300"/>
    <w:rsid w:val="0013143E"/>
    <w:rsid w:val="001314C9"/>
    <w:rsid w:val="00131581"/>
    <w:rsid w:val="00131725"/>
    <w:rsid w:val="00131764"/>
    <w:rsid w:val="00131784"/>
    <w:rsid w:val="001317DE"/>
    <w:rsid w:val="00131852"/>
    <w:rsid w:val="00131935"/>
    <w:rsid w:val="0013193B"/>
    <w:rsid w:val="00131CEF"/>
    <w:rsid w:val="00131F2D"/>
    <w:rsid w:val="00132073"/>
    <w:rsid w:val="00132172"/>
    <w:rsid w:val="00132176"/>
    <w:rsid w:val="0013235B"/>
    <w:rsid w:val="001323B8"/>
    <w:rsid w:val="001323B9"/>
    <w:rsid w:val="00132441"/>
    <w:rsid w:val="001324A0"/>
    <w:rsid w:val="00132573"/>
    <w:rsid w:val="001325C7"/>
    <w:rsid w:val="00132613"/>
    <w:rsid w:val="00132650"/>
    <w:rsid w:val="001327F2"/>
    <w:rsid w:val="0013280C"/>
    <w:rsid w:val="0013295E"/>
    <w:rsid w:val="00132FF8"/>
    <w:rsid w:val="0013336B"/>
    <w:rsid w:val="001334FE"/>
    <w:rsid w:val="0013354F"/>
    <w:rsid w:val="001336B8"/>
    <w:rsid w:val="00133A33"/>
    <w:rsid w:val="00133A94"/>
    <w:rsid w:val="00133CFE"/>
    <w:rsid w:val="00133DDB"/>
    <w:rsid w:val="00133E73"/>
    <w:rsid w:val="00134115"/>
    <w:rsid w:val="001341D8"/>
    <w:rsid w:val="00134213"/>
    <w:rsid w:val="00134624"/>
    <w:rsid w:val="001346AE"/>
    <w:rsid w:val="001346FD"/>
    <w:rsid w:val="0013471A"/>
    <w:rsid w:val="00134882"/>
    <w:rsid w:val="0013489D"/>
    <w:rsid w:val="001349AC"/>
    <w:rsid w:val="00134C14"/>
    <w:rsid w:val="00134DEA"/>
    <w:rsid w:val="00134DED"/>
    <w:rsid w:val="00134EC1"/>
    <w:rsid w:val="00134EF8"/>
    <w:rsid w:val="00134F70"/>
    <w:rsid w:val="00134FE0"/>
    <w:rsid w:val="00135149"/>
    <w:rsid w:val="001355EC"/>
    <w:rsid w:val="001356D6"/>
    <w:rsid w:val="00135765"/>
    <w:rsid w:val="0013577D"/>
    <w:rsid w:val="00135883"/>
    <w:rsid w:val="00135888"/>
    <w:rsid w:val="00135B5F"/>
    <w:rsid w:val="00135D1D"/>
    <w:rsid w:val="00135D58"/>
    <w:rsid w:val="00135EA7"/>
    <w:rsid w:val="00135F5D"/>
    <w:rsid w:val="00135FA0"/>
    <w:rsid w:val="001361D9"/>
    <w:rsid w:val="00136227"/>
    <w:rsid w:val="00136313"/>
    <w:rsid w:val="0013656C"/>
    <w:rsid w:val="0013657F"/>
    <w:rsid w:val="0013662A"/>
    <w:rsid w:val="0013670F"/>
    <w:rsid w:val="00136A68"/>
    <w:rsid w:val="00136DC4"/>
    <w:rsid w:val="00136E7D"/>
    <w:rsid w:val="00136EF8"/>
    <w:rsid w:val="0013722D"/>
    <w:rsid w:val="0013725D"/>
    <w:rsid w:val="001372F8"/>
    <w:rsid w:val="00137632"/>
    <w:rsid w:val="001376A2"/>
    <w:rsid w:val="00137816"/>
    <w:rsid w:val="00137A0C"/>
    <w:rsid w:val="00137AE5"/>
    <w:rsid w:val="00137CF8"/>
    <w:rsid w:val="00137D3B"/>
    <w:rsid w:val="00137D91"/>
    <w:rsid w:val="00140086"/>
    <w:rsid w:val="001400C9"/>
    <w:rsid w:val="001400CF"/>
    <w:rsid w:val="001403C9"/>
    <w:rsid w:val="001404C8"/>
    <w:rsid w:val="00140786"/>
    <w:rsid w:val="001407FA"/>
    <w:rsid w:val="0014097C"/>
    <w:rsid w:val="00140C64"/>
    <w:rsid w:val="00140D12"/>
    <w:rsid w:val="00140D18"/>
    <w:rsid w:val="00140D67"/>
    <w:rsid w:val="00141088"/>
    <w:rsid w:val="001411FC"/>
    <w:rsid w:val="0014133E"/>
    <w:rsid w:val="0014134F"/>
    <w:rsid w:val="00141556"/>
    <w:rsid w:val="0014178F"/>
    <w:rsid w:val="001417DD"/>
    <w:rsid w:val="001418FD"/>
    <w:rsid w:val="00141A73"/>
    <w:rsid w:val="00141A84"/>
    <w:rsid w:val="00141C68"/>
    <w:rsid w:val="00141D72"/>
    <w:rsid w:val="00141DF3"/>
    <w:rsid w:val="00141FD3"/>
    <w:rsid w:val="00141FE8"/>
    <w:rsid w:val="0014210D"/>
    <w:rsid w:val="001421FC"/>
    <w:rsid w:val="0014220D"/>
    <w:rsid w:val="00142379"/>
    <w:rsid w:val="00142397"/>
    <w:rsid w:val="001423CF"/>
    <w:rsid w:val="00142437"/>
    <w:rsid w:val="00142848"/>
    <w:rsid w:val="00142A3E"/>
    <w:rsid w:val="00142B2E"/>
    <w:rsid w:val="00142D94"/>
    <w:rsid w:val="00142E35"/>
    <w:rsid w:val="001431BF"/>
    <w:rsid w:val="001431FA"/>
    <w:rsid w:val="00143389"/>
    <w:rsid w:val="001435FC"/>
    <w:rsid w:val="00143610"/>
    <w:rsid w:val="0014373F"/>
    <w:rsid w:val="001437E2"/>
    <w:rsid w:val="00143945"/>
    <w:rsid w:val="001439BE"/>
    <w:rsid w:val="00143B23"/>
    <w:rsid w:val="00143BD4"/>
    <w:rsid w:val="00143C66"/>
    <w:rsid w:val="00143D1C"/>
    <w:rsid w:val="00143DA3"/>
    <w:rsid w:val="00143DD2"/>
    <w:rsid w:val="00143FF0"/>
    <w:rsid w:val="0014400D"/>
    <w:rsid w:val="00144085"/>
    <w:rsid w:val="00144240"/>
    <w:rsid w:val="0014425D"/>
    <w:rsid w:val="001443AB"/>
    <w:rsid w:val="00144716"/>
    <w:rsid w:val="001448E1"/>
    <w:rsid w:val="0014494D"/>
    <w:rsid w:val="00144A11"/>
    <w:rsid w:val="00144B84"/>
    <w:rsid w:val="00144D44"/>
    <w:rsid w:val="00144F7F"/>
    <w:rsid w:val="00145341"/>
    <w:rsid w:val="0014558A"/>
    <w:rsid w:val="0014558B"/>
    <w:rsid w:val="001455A5"/>
    <w:rsid w:val="0014569E"/>
    <w:rsid w:val="001456CE"/>
    <w:rsid w:val="001457FF"/>
    <w:rsid w:val="001458B3"/>
    <w:rsid w:val="001458D0"/>
    <w:rsid w:val="00145919"/>
    <w:rsid w:val="00145C8D"/>
    <w:rsid w:val="00145CEC"/>
    <w:rsid w:val="00145E0D"/>
    <w:rsid w:val="00145E6D"/>
    <w:rsid w:val="00145FBC"/>
    <w:rsid w:val="001460D9"/>
    <w:rsid w:val="00146104"/>
    <w:rsid w:val="001461F2"/>
    <w:rsid w:val="0014625F"/>
    <w:rsid w:val="001463D2"/>
    <w:rsid w:val="00146712"/>
    <w:rsid w:val="00146759"/>
    <w:rsid w:val="00146B40"/>
    <w:rsid w:val="00146DAC"/>
    <w:rsid w:val="001471CA"/>
    <w:rsid w:val="0014736E"/>
    <w:rsid w:val="001475B3"/>
    <w:rsid w:val="0014776B"/>
    <w:rsid w:val="00147920"/>
    <w:rsid w:val="00147A0E"/>
    <w:rsid w:val="00147FF1"/>
    <w:rsid w:val="00150058"/>
    <w:rsid w:val="001502FA"/>
    <w:rsid w:val="001506B2"/>
    <w:rsid w:val="001507C2"/>
    <w:rsid w:val="001507CB"/>
    <w:rsid w:val="001508C6"/>
    <w:rsid w:val="00150AAA"/>
    <w:rsid w:val="00150AB8"/>
    <w:rsid w:val="00150AD9"/>
    <w:rsid w:val="00150BC1"/>
    <w:rsid w:val="00150BFD"/>
    <w:rsid w:val="00150D0D"/>
    <w:rsid w:val="00150DEF"/>
    <w:rsid w:val="00150E44"/>
    <w:rsid w:val="00150ED7"/>
    <w:rsid w:val="001510F4"/>
    <w:rsid w:val="001512C3"/>
    <w:rsid w:val="0015130D"/>
    <w:rsid w:val="001513EB"/>
    <w:rsid w:val="001514F0"/>
    <w:rsid w:val="00151697"/>
    <w:rsid w:val="00151706"/>
    <w:rsid w:val="001518AD"/>
    <w:rsid w:val="00151970"/>
    <w:rsid w:val="001519B1"/>
    <w:rsid w:val="00151B4C"/>
    <w:rsid w:val="00151B7A"/>
    <w:rsid w:val="00151C1C"/>
    <w:rsid w:val="00151C78"/>
    <w:rsid w:val="00151CE2"/>
    <w:rsid w:val="00151EF1"/>
    <w:rsid w:val="00152153"/>
    <w:rsid w:val="00152297"/>
    <w:rsid w:val="00152378"/>
    <w:rsid w:val="001523F1"/>
    <w:rsid w:val="00152596"/>
    <w:rsid w:val="0015262B"/>
    <w:rsid w:val="0015275D"/>
    <w:rsid w:val="001527BD"/>
    <w:rsid w:val="00152912"/>
    <w:rsid w:val="001529EF"/>
    <w:rsid w:val="00152C17"/>
    <w:rsid w:val="00152CD8"/>
    <w:rsid w:val="00152D49"/>
    <w:rsid w:val="00153026"/>
    <w:rsid w:val="001531B2"/>
    <w:rsid w:val="00153354"/>
    <w:rsid w:val="00153379"/>
    <w:rsid w:val="00153499"/>
    <w:rsid w:val="0015355A"/>
    <w:rsid w:val="001535C5"/>
    <w:rsid w:val="001537A0"/>
    <w:rsid w:val="00153801"/>
    <w:rsid w:val="00153805"/>
    <w:rsid w:val="00153835"/>
    <w:rsid w:val="0015383A"/>
    <w:rsid w:val="00153985"/>
    <w:rsid w:val="001539FD"/>
    <w:rsid w:val="00153B3B"/>
    <w:rsid w:val="00153CCA"/>
    <w:rsid w:val="00153DC1"/>
    <w:rsid w:val="00153E2E"/>
    <w:rsid w:val="00154188"/>
    <w:rsid w:val="001542F1"/>
    <w:rsid w:val="001543E3"/>
    <w:rsid w:val="00154433"/>
    <w:rsid w:val="00154498"/>
    <w:rsid w:val="001544A1"/>
    <w:rsid w:val="0015466B"/>
    <w:rsid w:val="001546BE"/>
    <w:rsid w:val="001547B6"/>
    <w:rsid w:val="001547DA"/>
    <w:rsid w:val="00154A48"/>
    <w:rsid w:val="00154ABC"/>
    <w:rsid w:val="00154ACC"/>
    <w:rsid w:val="00154B09"/>
    <w:rsid w:val="00154B50"/>
    <w:rsid w:val="00154EC2"/>
    <w:rsid w:val="00154FC7"/>
    <w:rsid w:val="00155204"/>
    <w:rsid w:val="00155254"/>
    <w:rsid w:val="001553DF"/>
    <w:rsid w:val="0015543D"/>
    <w:rsid w:val="001554AE"/>
    <w:rsid w:val="001556E4"/>
    <w:rsid w:val="001559C1"/>
    <w:rsid w:val="00155A65"/>
    <w:rsid w:val="00155B58"/>
    <w:rsid w:val="00155C7E"/>
    <w:rsid w:val="00155D69"/>
    <w:rsid w:val="00155D73"/>
    <w:rsid w:val="00155EE0"/>
    <w:rsid w:val="00155FEF"/>
    <w:rsid w:val="0015607C"/>
    <w:rsid w:val="00156351"/>
    <w:rsid w:val="0015635C"/>
    <w:rsid w:val="001565A1"/>
    <w:rsid w:val="0015662C"/>
    <w:rsid w:val="001566DA"/>
    <w:rsid w:val="0015686C"/>
    <w:rsid w:val="0015695F"/>
    <w:rsid w:val="00156997"/>
    <w:rsid w:val="001569B4"/>
    <w:rsid w:val="00156A00"/>
    <w:rsid w:val="00156A08"/>
    <w:rsid w:val="00156D56"/>
    <w:rsid w:val="00156ED1"/>
    <w:rsid w:val="00156F0C"/>
    <w:rsid w:val="00156F46"/>
    <w:rsid w:val="00156FDF"/>
    <w:rsid w:val="00157132"/>
    <w:rsid w:val="001571C9"/>
    <w:rsid w:val="00157211"/>
    <w:rsid w:val="0015723B"/>
    <w:rsid w:val="0015747E"/>
    <w:rsid w:val="00157553"/>
    <w:rsid w:val="001575D9"/>
    <w:rsid w:val="001576BF"/>
    <w:rsid w:val="00157711"/>
    <w:rsid w:val="00157AAB"/>
    <w:rsid w:val="00157B52"/>
    <w:rsid w:val="00157E04"/>
    <w:rsid w:val="0016004F"/>
    <w:rsid w:val="001602EC"/>
    <w:rsid w:val="0016043C"/>
    <w:rsid w:val="00160494"/>
    <w:rsid w:val="001604C9"/>
    <w:rsid w:val="00160657"/>
    <w:rsid w:val="00160743"/>
    <w:rsid w:val="001608DC"/>
    <w:rsid w:val="0016090F"/>
    <w:rsid w:val="00160911"/>
    <w:rsid w:val="00160A4B"/>
    <w:rsid w:val="00160B87"/>
    <w:rsid w:val="00160BFB"/>
    <w:rsid w:val="00160CC4"/>
    <w:rsid w:val="00160DCC"/>
    <w:rsid w:val="00160EAD"/>
    <w:rsid w:val="00160F98"/>
    <w:rsid w:val="0016100D"/>
    <w:rsid w:val="0016116F"/>
    <w:rsid w:val="00161521"/>
    <w:rsid w:val="0016153A"/>
    <w:rsid w:val="00161588"/>
    <w:rsid w:val="0016179E"/>
    <w:rsid w:val="00161B4A"/>
    <w:rsid w:val="00161C03"/>
    <w:rsid w:val="00161D28"/>
    <w:rsid w:val="00162167"/>
    <w:rsid w:val="001621DC"/>
    <w:rsid w:val="001623AF"/>
    <w:rsid w:val="0016254B"/>
    <w:rsid w:val="00162690"/>
    <w:rsid w:val="001627D7"/>
    <w:rsid w:val="001627F6"/>
    <w:rsid w:val="00162A3A"/>
    <w:rsid w:val="00162A99"/>
    <w:rsid w:val="00162E29"/>
    <w:rsid w:val="00162E33"/>
    <w:rsid w:val="00162E9A"/>
    <w:rsid w:val="001630F2"/>
    <w:rsid w:val="001631E1"/>
    <w:rsid w:val="00163512"/>
    <w:rsid w:val="0016382A"/>
    <w:rsid w:val="0016397F"/>
    <w:rsid w:val="001639B3"/>
    <w:rsid w:val="001639ED"/>
    <w:rsid w:val="00163A9F"/>
    <w:rsid w:val="00163B23"/>
    <w:rsid w:val="00163B55"/>
    <w:rsid w:val="00163BD9"/>
    <w:rsid w:val="00163D88"/>
    <w:rsid w:val="00163DAF"/>
    <w:rsid w:val="00163FCE"/>
    <w:rsid w:val="00164241"/>
    <w:rsid w:val="0016435B"/>
    <w:rsid w:val="001644C6"/>
    <w:rsid w:val="001645EF"/>
    <w:rsid w:val="00164603"/>
    <w:rsid w:val="0016474D"/>
    <w:rsid w:val="001647C8"/>
    <w:rsid w:val="001647F9"/>
    <w:rsid w:val="0016486C"/>
    <w:rsid w:val="0016487B"/>
    <w:rsid w:val="00164909"/>
    <w:rsid w:val="0016490F"/>
    <w:rsid w:val="0016497B"/>
    <w:rsid w:val="001649F5"/>
    <w:rsid w:val="00164BC5"/>
    <w:rsid w:val="00164C6F"/>
    <w:rsid w:val="00164EA5"/>
    <w:rsid w:val="00165271"/>
    <w:rsid w:val="0016536D"/>
    <w:rsid w:val="001654F4"/>
    <w:rsid w:val="00165597"/>
    <w:rsid w:val="00165B16"/>
    <w:rsid w:val="00165C2D"/>
    <w:rsid w:val="00165C9E"/>
    <w:rsid w:val="00165D95"/>
    <w:rsid w:val="00165DF2"/>
    <w:rsid w:val="00165E92"/>
    <w:rsid w:val="00165F53"/>
    <w:rsid w:val="00165F64"/>
    <w:rsid w:val="00166073"/>
    <w:rsid w:val="00166087"/>
    <w:rsid w:val="00166092"/>
    <w:rsid w:val="00166247"/>
    <w:rsid w:val="0016640B"/>
    <w:rsid w:val="00166622"/>
    <w:rsid w:val="001666ED"/>
    <w:rsid w:val="0016670D"/>
    <w:rsid w:val="00166C42"/>
    <w:rsid w:val="00166D1D"/>
    <w:rsid w:val="00166E61"/>
    <w:rsid w:val="00166F81"/>
    <w:rsid w:val="00167141"/>
    <w:rsid w:val="0016726B"/>
    <w:rsid w:val="001673B2"/>
    <w:rsid w:val="0016761A"/>
    <w:rsid w:val="001676F1"/>
    <w:rsid w:val="001677DC"/>
    <w:rsid w:val="00167865"/>
    <w:rsid w:val="0016792E"/>
    <w:rsid w:val="00167A3F"/>
    <w:rsid w:val="00167B78"/>
    <w:rsid w:val="00167BF1"/>
    <w:rsid w:val="00167D01"/>
    <w:rsid w:val="00167D40"/>
    <w:rsid w:val="00167DAE"/>
    <w:rsid w:val="00167E2F"/>
    <w:rsid w:val="00167EB0"/>
    <w:rsid w:val="00167F6B"/>
    <w:rsid w:val="00170071"/>
    <w:rsid w:val="0017013F"/>
    <w:rsid w:val="00170217"/>
    <w:rsid w:val="00170558"/>
    <w:rsid w:val="00170860"/>
    <w:rsid w:val="001708C0"/>
    <w:rsid w:val="00170B75"/>
    <w:rsid w:val="00170C5F"/>
    <w:rsid w:val="00170C61"/>
    <w:rsid w:val="00170DF1"/>
    <w:rsid w:val="00170E92"/>
    <w:rsid w:val="001710A0"/>
    <w:rsid w:val="001713B7"/>
    <w:rsid w:val="00171453"/>
    <w:rsid w:val="001715E1"/>
    <w:rsid w:val="00171714"/>
    <w:rsid w:val="00171A6D"/>
    <w:rsid w:val="00171A83"/>
    <w:rsid w:val="00171BC9"/>
    <w:rsid w:val="00171BDE"/>
    <w:rsid w:val="00171D49"/>
    <w:rsid w:val="00171EA5"/>
    <w:rsid w:val="0017200F"/>
    <w:rsid w:val="001720DF"/>
    <w:rsid w:val="00172119"/>
    <w:rsid w:val="0017213D"/>
    <w:rsid w:val="001722A6"/>
    <w:rsid w:val="001722BA"/>
    <w:rsid w:val="001725CD"/>
    <w:rsid w:val="001726AD"/>
    <w:rsid w:val="00172761"/>
    <w:rsid w:val="0017288C"/>
    <w:rsid w:val="0017297C"/>
    <w:rsid w:val="00172A35"/>
    <w:rsid w:val="00172AB4"/>
    <w:rsid w:val="00172B02"/>
    <w:rsid w:val="00172B07"/>
    <w:rsid w:val="00172BDD"/>
    <w:rsid w:val="00172BDE"/>
    <w:rsid w:val="00172C37"/>
    <w:rsid w:val="00172D7A"/>
    <w:rsid w:val="00172DEA"/>
    <w:rsid w:val="00172DF4"/>
    <w:rsid w:val="00172E71"/>
    <w:rsid w:val="00172F6C"/>
    <w:rsid w:val="00172F9A"/>
    <w:rsid w:val="0017302A"/>
    <w:rsid w:val="00173351"/>
    <w:rsid w:val="00173527"/>
    <w:rsid w:val="00173631"/>
    <w:rsid w:val="001736EE"/>
    <w:rsid w:val="001737BA"/>
    <w:rsid w:val="00173840"/>
    <w:rsid w:val="0017385F"/>
    <w:rsid w:val="0017398E"/>
    <w:rsid w:val="00173A2C"/>
    <w:rsid w:val="00173B15"/>
    <w:rsid w:val="00173B55"/>
    <w:rsid w:val="00173B67"/>
    <w:rsid w:val="00173C1D"/>
    <w:rsid w:val="00173E9B"/>
    <w:rsid w:val="00173EB5"/>
    <w:rsid w:val="00173ED8"/>
    <w:rsid w:val="001743D0"/>
    <w:rsid w:val="00174431"/>
    <w:rsid w:val="001745AC"/>
    <w:rsid w:val="001747D9"/>
    <w:rsid w:val="00174860"/>
    <w:rsid w:val="00174A4B"/>
    <w:rsid w:val="00174AE0"/>
    <w:rsid w:val="00174D3B"/>
    <w:rsid w:val="00174F00"/>
    <w:rsid w:val="00175068"/>
    <w:rsid w:val="001752C2"/>
    <w:rsid w:val="0017530E"/>
    <w:rsid w:val="001753F7"/>
    <w:rsid w:val="001755D2"/>
    <w:rsid w:val="00175753"/>
    <w:rsid w:val="001758C1"/>
    <w:rsid w:val="00175A7C"/>
    <w:rsid w:val="00175ACF"/>
    <w:rsid w:val="00175C92"/>
    <w:rsid w:val="00175D90"/>
    <w:rsid w:val="00175FD5"/>
    <w:rsid w:val="0017608F"/>
    <w:rsid w:val="001760C3"/>
    <w:rsid w:val="001760F8"/>
    <w:rsid w:val="00176133"/>
    <w:rsid w:val="00176221"/>
    <w:rsid w:val="00176284"/>
    <w:rsid w:val="001763AE"/>
    <w:rsid w:val="001764FE"/>
    <w:rsid w:val="001766B4"/>
    <w:rsid w:val="00176824"/>
    <w:rsid w:val="0017684E"/>
    <w:rsid w:val="00176900"/>
    <w:rsid w:val="00176941"/>
    <w:rsid w:val="00176D30"/>
    <w:rsid w:val="00176F52"/>
    <w:rsid w:val="00176F5D"/>
    <w:rsid w:val="00177080"/>
    <w:rsid w:val="001770A9"/>
    <w:rsid w:val="00177345"/>
    <w:rsid w:val="001776C0"/>
    <w:rsid w:val="001777F5"/>
    <w:rsid w:val="00177873"/>
    <w:rsid w:val="00177948"/>
    <w:rsid w:val="00177A0D"/>
    <w:rsid w:val="00177A30"/>
    <w:rsid w:val="00177E30"/>
    <w:rsid w:val="00177F66"/>
    <w:rsid w:val="00177F8F"/>
    <w:rsid w:val="00180086"/>
    <w:rsid w:val="001802B1"/>
    <w:rsid w:val="001803B9"/>
    <w:rsid w:val="00180543"/>
    <w:rsid w:val="001805BB"/>
    <w:rsid w:val="001807B3"/>
    <w:rsid w:val="001809DD"/>
    <w:rsid w:val="00180A19"/>
    <w:rsid w:val="00180B04"/>
    <w:rsid w:val="00180DCC"/>
    <w:rsid w:val="00180EE5"/>
    <w:rsid w:val="00181180"/>
    <w:rsid w:val="001811FC"/>
    <w:rsid w:val="0018123A"/>
    <w:rsid w:val="001815DB"/>
    <w:rsid w:val="001815DC"/>
    <w:rsid w:val="001818B9"/>
    <w:rsid w:val="00181902"/>
    <w:rsid w:val="00181932"/>
    <w:rsid w:val="00181C0C"/>
    <w:rsid w:val="00181DB1"/>
    <w:rsid w:val="00181DE7"/>
    <w:rsid w:val="00181E06"/>
    <w:rsid w:val="00181EDD"/>
    <w:rsid w:val="00182020"/>
    <w:rsid w:val="00182077"/>
    <w:rsid w:val="0018220F"/>
    <w:rsid w:val="00182297"/>
    <w:rsid w:val="00182474"/>
    <w:rsid w:val="00182482"/>
    <w:rsid w:val="00182497"/>
    <w:rsid w:val="001824BF"/>
    <w:rsid w:val="0018250C"/>
    <w:rsid w:val="00182527"/>
    <w:rsid w:val="001827A1"/>
    <w:rsid w:val="001827A6"/>
    <w:rsid w:val="001827CD"/>
    <w:rsid w:val="00182BF6"/>
    <w:rsid w:val="00182C0D"/>
    <w:rsid w:val="00182C47"/>
    <w:rsid w:val="00182C83"/>
    <w:rsid w:val="00182DDD"/>
    <w:rsid w:val="00182EA9"/>
    <w:rsid w:val="00182F22"/>
    <w:rsid w:val="00183022"/>
    <w:rsid w:val="0018325E"/>
    <w:rsid w:val="001832C8"/>
    <w:rsid w:val="001832F0"/>
    <w:rsid w:val="00183311"/>
    <w:rsid w:val="001833F4"/>
    <w:rsid w:val="00183659"/>
    <w:rsid w:val="001836F0"/>
    <w:rsid w:val="00183700"/>
    <w:rsid w:val="001837EA"/>
    <w:rsid w:val="00183A72"/>
    <w:rsid w:val="00183BB3"/>
    <w:rsid w:val="00183BD7"/>
    <w:rsid w:val="00183C55"/>
    <w:rsid w:val="00183C69"/>
    <w:rsid w:val="00183C8F"/>
    <w:rsid w:val="00183CDB"/>
    <w:rsid w:val="00183DD0"/>
    <w:rsid w:val="00183DED"/>
    <w:rsid w:val="0018400F"/>
    <w:rsid w:val="00184052"/>
    <w:rsid w:val="00184339"/>
    <w:rsid w:val="00184349"/>
    <w:rsid w:val="00184482"/>
    <w:rsid w:val="00184544"/>
    <w:rsid w:val="00184612"/>
    <w:rsid w:val="00184626"/>
    <w:rsid w:val="001846EB"/>
    <w:rsid w:val="001847AF"/>
    <w:rsid w:val="00184971"/>
    <w:rsid w:val="00184A63"/>
    <w:rsid w:val="00184B9E"/>
    <w:rsid w:val="00184D8B"/>
    <w:rsid w:val="0018514E"/>
    <w:rsid w:val="001852DB"/>
    <w:rsid w:val="00185341"/>
    <w:rsid w:val="00185642"/>
    <w:rsid w:val="001856CA"/>
    <w:rsid w:val="001857BA"/>
    <w:rsid w:val="001859EE"/>
    <w:rsid w:val="00185CE8"/>
    <w:rsid w:val="00185E43"/>
    <w:rsid w:val="00185E58"/>
    <w:rsid w:val="00185EF7"/>
    <w:rsid w:val="00185FB9"/>
    <w:rsid w:val="00185FE0"/>
    <w:rsid w:val="00185FE1"/>
    <w:rsid w:val="0018620B"/>
    <w:rsid w:val="001864A4"/>
    <w:rsid w:val="00186511"/>
    <w:rsid w:val="001865C5"/>
    <w:rsid w:val="001867D1"/>
    <w:rsid w:val="001869F4"/>
    <w:rsid w:val="00186B05"/>
    <w:rsid w:val="00186B13"/>
    <w:rsid w:val="00186B7F"/>
    <w:rsid w:val="00186D61"/>
    <w:rsid w:val="00186E0D"/>
    <w:rsid w:val="00186F64"/>
    <w:rsid w:val="00187085"/>
    <w:rsid w:val="00187317"/>
    <w:rsid w:val="0018737F"/>
    <w:rsid w:val="00187385"/>
    <w:rsid w:val="001873D2"/>
    <w:rsid w:val="001874CD"/>
    <w:rsid w:val="001876FC"/>
    <w:rsid w:val="00187A06"/>
    <w:rsid w:val="00187A97"/>
    <w:rsid w:val="00187B0F"/>
    <w:rsid w:val="00187E88"/>
    <w:rsid w:val="00187ECC"/>
    <w:rsid w:val="0018B536"/>
    <w:rsid w:val="001900A7"/>
    <w:rsid w:val="001901E2"/>
    <w:rsid w:val="00190286"/>
    <w:rsid w:val="001903B7"/>
    <w:rsid w:val="00190557"/>
    <w:rsid w:val="001906DC"/>
    <w:rsid w:val="001906DD"/>
    <w:rsid w:val="0019070A"/>
    <w:rsid w:val="00190A70"/>
    <w:rsid w:val="00190B53"/>
    <w:rsid w:val="00190CB7"/>
    <w:rsid w:val="00190D2F"/>
    <w:rsid w:val="00190DD0"/>
    <w:rsid w:val="00191009"/>
    <w:rsid w:val="00191017"/>
    <w:rsid w:val="00191066"/>
    <w:rsid w:val="00191112"/>
    <w:rsid w:val="001911D2"/>
    <w:rsid w:val="00191266"/>
    <w:rsid w:val="0019143B"/>
    <w:rsid w:val="00191491"/>
    <w:rsid w:val="00191846"/>
    <w:rsid w:val="00191B95"/>
    <w:rsid w:val="00191CF6"/>
    <w:rsid w:val="00191DC2"/>
    <w:rsid w:val="00191F73"/>
    <w:rsid w:val="00191F8D"/>
    <w:rsid w:val="0019229D"/>
    <w:rsid w:val="00192378"/>
    <w:rsid w:val="0019243E"/>
    <w:rsid w:val="001924E9"/>
    <w:rsid w:val="00192710"/>
    <w:rsid w:val="001927A8"/>
    <w:rsid w:val="001928ED"/>
    <w:rsid w:val="00192B5F"/>
    <w:rsid w:val="00192D63"/>
    <w:rsid w:val="00192D71"/>
    <w:rsid w:val="00192EB0"/>
    <w:rsid w:val="00192F4C"/>
    <w:rsid w:val="0019311E"/>
    <w:rsid w:val="001932C1"/>
    <w:rsid w:val="00193334"/>
    <w:rsid w:val="0019343A"/>
    <w:rsid w:val="00193471"/>
    <w:rsid w:val="00193576"/>
    <w:rsid w:val="00193681"/>
    <w:rsid w:val="001936E4"/>
    <w:rsid w:val="001937FC"/>
    <w:rsid w:val="00193B50"/>
    <w:rsid w:val="00193BA5"/>
    <w:rsid w:val="00193C51"/>
    <w:rsid w:val="00193D41"/>
    <w:rsid w:val="00194099"/>
    <w:rsid w:val="001941DC"/>
    <w:rsid w:val="001941E6"/>
    <w:rsid w:val="00194336"/>
    <w:rsid w:val="00194350"/>
    <w:rsid w:val="001944A9"/>
    <w:rsid w:val="00194745"/>
    <w:rsid w:val="00194849"/>
    <w:rsid w:val="00194864"/>
    <w:rsid w:val="0019498F"/>
    <w:rsid w:val="001949D9"/>
    <w:rsid w:val="001949F9"/>
    <w:rsid w:val="00194ACF"/>
    <w:rsid w:val="00194EA3"/>
    <w:rsid w:val="00195044"/>
    <w:rsid w:val="0019515E"/>
    <w:rsid w:val="0019527D"/>
    <w:rsid w:val="001952A3"/>
    <w:rsid w:val="00195476"/>
    <w:rsid w:val="001954A4"/>
    <w:rsid w:val="001954AF"/>
    <w:rsid w:val="00195500"/>
    <w:rsid w:val="00195621"/>
    <w:rsid w:val="0019577D"/>
    <w:rsid w:val="0019580E"/>
    <w:rsid w:val="0019581C"/>
    <w:rsid w:val="00195A48"/>
    <w:rsid w:val="00195B40"/>
    <w:rsid w:val="00195B86"/>
    <w:rsid w:val="00195DD4"/>
    <w:rsid w:val="00196007"/>
    <w:rsid w:val="00196019"/>
    <w:rsid w:val="0019646A"/>
    <w:rsid w:val="001967A7"/>
    <w:rsid w:val="001967AA"/>
    <w:rsid w:val="001967FE"/>
    <w:rsid w:val="00196802"/>
    <w:rsid w:val="00196860"/>
    <w:rsid w:val="00196AD7"/>
    <w:rsid w:val="00196D1F"/>
    <w:rsid w:val="00196D3C"/>
    <w:rsid w:val="00196D98"/>
    <w:rsid w:val="00196F02"/>
    <w:rsid w:val="00197034"/>
    <w:rsid w:val="0019736D"/>
    <w:rsid w:val="00197432"/>
    <w:rsid w:val="001975EA"/>
    <w:rsid w:val="001976BB"/>
    <w:rsid w:val="001976D2"/>
    <w:rsid w:val="001977C5"/>
    <w:rsid w:val="001978CF"/>
    <w:rsid w:val="00197BBD"/>
    <w:rsid w:val="00197EF7"/>
    <w:rsid w:val="00197F0B"/>
    <w:rsid w:val="00197F25"/>
    <w:rsid w:val="001A0082"/>
    <w:rsid w:val="001A02FC"/>
    <w:rsid w:val="001A04CE"/>
    <w:rsid w:val="001A05DD"/>
    <w:rsid w:val="001A09A5"/>
    <w:rsid w:val="001A09C8"/>
    <w:rsid w:val="001A0A67"/>
    <w:rsid w:val="001A0D53"/>
    <w:rsid w:val="001A0E0A"/>
    <w:rsid w:val="001A0FE6"/>
    <w:rsid w:val="001A1082"/>
    <w:rsid w:val="001A1151"/>
    <w:rsid w:val="001A135D"/>
    <w:rsid w:val="001A15D5"/>
    <w:rsid w:val="001A18EB"/>
    <w:rsid w:val="001A1932"/>
    <w:rsid w:val="001A19F7"/>
    <w:rsid w:val="001A1A82"/>
    <w:rsid w:val="001A1AE8"/>
    <w:rsid w:val="001A1BDC"/>
    <w:rsid w:val="001A1C7F"/>
    <w:rsid w:val="001A1F8E"/>
    <w:rsid w:val="001A21BD"/>
    <w:rsid w:val="001A22E2"/>
    <w:rsid w:val="001A23B5"/>
    <w:rsid w:val="001A25E7"/>
    <w:rsid w:val="001A27BC"/>
    <w:rsid w:val="001A294F"/>
    <w:rsid w:val="001A2AD5"/>
    <w:rsid w:val="001A2B4D"/>
    <w:rsid w:val="001A2B91"/>
    <w:rsid w:val="001A2C32"/>
    <w:rsid w:val="001A2DDB"/>
    <w:rsid w:val="001A2E15"/>
    <w:rsid w:val="001A2E69"/>
    <w:rsid w:val="001A2E72"/>
    <w:rsid w:val="001A2EB3"/>
    <w:rsid w:val="001A2EB4"/>
    <w:rsid w:val="001A3189"/>
    <w:rsid w:val="001A31C2"/>
    <w:rsid w:val="001A32D8"/>
    <w:rsid w:val="001A32F5"/>
    <w:rsid w:val="001A35CA"/>
    <w:rsid w:val="001A3878"/>
    <w:rsid w:val="001A388D"/>
    <w:rsid w:val="001A399E"/>
    <w:rsid w:val="001A39C2"/>
    <w:rsid w:val="001A3A5F"/>
    <w:rsid w:val="001A3C5B"/>
    <w:rsid w:val="001A3D16"/>
    <w:rsid w:val="001A3DC6"/>
    <w:rsid w:val="001A4008"/>
    <w:rsid w:val="001A402D"/>
    <w:rsid w:val="001A403F"/>
    <w:rsid w:val="001A40D0"/>
    <w:rsid w:val="001A4104"/>
    <w:rsid w:val="001A4132"/>
    <w:rsid w:val="001A419B"/>
    <w:rsid w:val="001A41F8"/>
    <w:rsid w:val="001A4241"/>
    <w:rsid w:val="001A42A2"/>
    <w:rsid w:val="001A4602"/>
    <w:rsid w:val="001A4633"/>
    <w:rsid w:val="001A4B91"/>
    <w:rsid w:val="001A4E51"/>
    <w:rsid w:val="001A50AC"/>
    <w:rsid w:val="001A51B0"/>
    <w:rsid w:val="001A522C"/>
    <w:rsid w:val="001A5324"/>
    <w:rsid w:val="001A53CC"/>
    <w:rsid w:val="001A53F1"/>
    <w:rsid w:val="001A5477"/>
    <w:rsid w:val="001A55C1"/>
    <w:rsid w:val="001A5932"/>
    <w:rsid w:val="001A5961"/>
    <w:rsid w:val="001A5985"/>
    <w:rsid w:val="001A59D0"/>
    <w:rsid w:val="001A5A53"/>
    <w:rsid w:val="001A5AEF"/>
    <w:rsid w:val="001A5D7A"/>
    <w:rsid w:val="001A5E20"/>
    <w:rsid w:val="001A5E86"/>
    <w:rsid w:val="001A5F6F"/>
    <w:rsid w:val="001A64F4"/>
    <w:rsid w:val="001A652F"/>
    <w:rsid w:val="001A65D7"/>
    <w:rsid w:val="001A67E6"/>
    <w:rsid w:val="001A68A8"/>
    <w:rsid w:val="001A698D"/>
    <w:rsid w:val="001A6A8C"/>
    <w:rsid w:val="001A6B10"/>
    <w:rsid w:val="001A6BE3"/>
    <w:rsid w:val="001A6D43"/>
    <w:rsid w:val="001A6DCA"/>
    <w:rsid w:val="001A6FE8"/>
    <w:rsid w:val="001A7065"/>
    <w:rsid w:val="001A7066"/>
    <w:rsid w:val="001A719B"/>
    <w:rsid w:val="001A734D"/>
    <w:rsid w:val="001A73BD"/>
    <w:rsid w:val="001A7419"/>
    <w:rsid w:val="001A752A"/>
    <w:rsid w:val="001A75F8"/>
    <w:rsid w:val="001A77A3"/>
    <w:rsid w:val="001A790B"/>
    <w:rsid w:val="001A797E"/>
    <w:rsid w:val="001A7A61"/>
    <w:rsid w:val="001A7CFC"/>
    <w:rsid w:val="001A7D7C"/>
    <w:rsid w:val="001A7F56"/>
    <w:rsid w:val="001B028A"/>
    <w:rsid w:val="001B02B2"/>
    <w:rsid w:val="001B034D"/>
    <w:rsid w:val="001B063F"/>
    <w:rsid w:val="001B09B7"/>
    <w:rsid w:val="001B0BB7"/>
    <w:rsid w:val="001B0DCD"/>
    <w:rsid w:val="001B0EB3"/>
    <w:rsid w:val="001B0F60"/>
    <w:rsid w:val="001B0F95"/>
    <w:rsid w:val="001B12FA"/>
    <w:rsid w:val="001B1519"/>
    <w:rsid w:val="001B153A"/>
    <w:rsid w:val="001B1620"/>
    <w:rsid w:val="001B187C"/>
    <w:rsid w:val="001B18E9"/>
    <w:rsid w:val="001B1A1D"/>
    <w:rsid w:val="001B1A5C"/>
    <w:rsid w:val="001B1B9C"/>
    <w:rsid w:val="001B1ED7"/>
    <w:rsid w:val="001B1F75"/>
    <w:rsid w:val="001B20D6"/>
    <w:rsid w:val="001B20DB"/>
    <w:rsid w:val="001B234D"/>
    <w:rsid w:val="001B24FC"/>
    <w:rsid w:val="001B2700"/>
    <w:rsid w:val="001B270D"/>
    <w:rsid w:val="001B2961"/>
    <w:rsid w:val="001B2A12"/>
    <w:rsid w:val="001B2C88"/>
    <w:rsid w:val="001B2D51"/>
    <w:rsid w:val="001B2DD9"/>
    <w:rsid w:val="001B2F98"/>
    <w:rsid w:val="001B309D"/>
    <w:rsid w:val="001B30C1"/>
    <w:rsid w:val="001B31F5"/>
    <w:rsid w:val="001B3405"/>
    <w:rsid w:val="001B35C0"/>
    <w:rsid w:val="001B35EA"/>
    <w:rsid w:val="001B376F"/>
    <w:rsid w:val="001B3A0B"/>
    <w:rsid w:val="001B3A4F"/>
    <w:rsid w:val="001B3A5E"/>
    <w:rsid w:val="001B3B53"/>
    <w:rsid w:val="001B3E43"/>
    <w:rsid w:val="001B410D"/>
    <w:rsid w:val="001B4225"/>
    <w:rsid w:val="001B4313"/>
    <w:rsid w:val="001B4316"/>
    <w:rsid w:val="001B432E"/>
    <w:rsid w:val="001B4472"/>
    <w:rsid w:val="001B4509"/>
    <w:rsid w:val="001B476E"/>
    <w:rsid w:val="001B4A59"/>
    <w:rsid w:val="001B4B8F"/>
    <w:rsid w:val="001B4BEF"/>
    <w:rsid w:val="001B4C07"/>
    <w:rsid w:val="001B4C0F"/>
    <w:rsid w:val="001B4E00"/>
    <w:rsid w:val="001B4E11"/>
    <w:rsid w:val="001B4F05"/>
    <w:rsid w:val="001B52A6"/>
    <w:rsid w:val="001B5537"/>
    <w:rsid w:val="001B578C"/>
    <w:rsid w:val="001B5822"/>
    <w:rsid w:val="001B58D1"/>
    <w:rsid w:val="001B5911"/>
    <w:rsid w:val="001B5CB4"/>
    <w:rsid w:val="001B5D32"/>
    <w:rsid w:val="001B5E48"/>
    <w:rsid w:val="001B60F8"/>
    <w:rsid w:val="001B6169"/>
    <w:rsid w:val="001B618F"/>
    <w:rsid w:val="001B62AB"/>
    <w:rsid w:val="001B63EF"/>
    <w:rsid w:val="001B6471"/>
    <w:rsid w:val="001B6482"/>
    <w:rsid w:val="001B64FF"/>
    <w:rsid w:val="001B6873"/>
    <w:rsid w:val="001B6AD6"/>
    <w:rsid w:val="001B6CD5"/>
    <w:rsid w:val="001B6EFB"/>
    <w:rsid w:val="001B6F32"/>
    <w:rsid w:val="001B7066"/>
    <w:rsid w:val="001B70AC"/>
    <w:rsid w:val="001B71B5"/>
    <w:rsid w:val="001B7366"/>
    <w:rsid w:val="001B739A"/>
    <w:rsid w:val="001B7457"/>
    <w:rsid w:val="001B7478"/>
    <w:rsid w:val="001B74F2"/>
    <w:rsid w:val="001B754A"/>
    <w:rsid w:val="001B755E"/>
    <w:rsid w:val="001B75BA"/>
    <w:rsid w:val="001B77F5"/>
    <w:rsid w:val="001B784D"/>
    <w:rsid w:val="001B7A47"/>
    <w:rsid w:val="001B7AE4"/>
    <w:rsid w:val="001B7B33"/>
    <w:rsid w:val="001B7B3D"/>
    <w:rsid w:val="001B7C09"/>
    <w:rsid w:val="001B7C86"/>
    <w:rsid w:val="001B7D0F"/>
    <w:rsid w:val="001B7DA1"/>
    <w:rsid w:val="001C00FB"/>
    <w:rsid w:val="001C01B8"/>
    <w:rsid w:val="001C02C7"/>
    <w:rsid w:val="001C049B"/>
    <w:rsid w:val="001C04D5"/>
    <w:rsid w:val="001C058A"/>
    <w:rsid w:val="001C05BA"/>
    <w:rsid w:val="001C06D3"/>
    <w:rsid w:val="001C0824"/>
    <w:rsid w:val="001C0891"/>
    <w:rsid w:val="001C09D2"/>
    <w:rsid w:val="001C09F2"/>
    <w:rsid w:val="001C0B6D"/>
    <w:rsid w:val="001C0F06"/>
    <w:rsid w:val="001C0F12"/>
    <w:rsid w:val="001C10AF"/>
    <w:rsid w:val="001C11BC"/>
    <w:rsid w:val="001C130E"/>
    <w:rsid w:val="001C1381"/>
    <w:rsid w:val="001C1426"/>
    <w:rsid w:val="001C1443"/>
    <w:rsid w:val="001C1459"/>
    <w:rsid w:val="001C170B"/>
    <w:rsid w:val="001C179C"/>
    <w:rsid w:val="001C181D"/>
    <w:rsid w:val="001C18C2"/>
    <w:rsid w:val="001C193F"/>
    <w:rsid w:val="001C1BF8"/>
    <w:rsid w:val="001C1ED7"/>
    <w:rsid w:val="001C1F05"/>
    <w:rsid w:val="001C1F62"/>
    <w:rsid w:val="001C2424"/>
    <w:rsid w:val="001C2439"/>
    <w:rsid w:val="001C2624"/>
    <w:rsid w:val="001C2798"/>
    <w:rsid w:val="001C27BD"/>
    <w:rsid w:val="001C28B1"/>
    <w:rsid w:val="001C2987"/>
    <w:rsid w:val="001C29FB"/>
    <w:rsid w:val="001C2AF5"/>
    <w:rsid w:val="001C2DEB"/>
    <w:rsid w:val="001C2EEB"/>
    <w:rsid w:val="001C310C"/>
    <w:rsid w:val="001C3117"/>
    <w:rsid w:val="001C3118"/>
    <w:rsid w:val="001C321A"/>
    <w:rsid w:val="001C33C2"/>
    <w:rsid w:val="001C36D7"/>
    <w:rsid w:val="001C377D"/>
    <w:rsid w:val="001C3AD0"/>
    <w:rsid w:val="001C3D87"/>
    <w:rsid w:val="001C3E9B"/>
    <w:rsid w:val="001C3F27"/>
    <w:rsid w:val="001C4320"/>
    <w:rsid w:val="001C44D4"/>
    <w:rsid w:val="001C455C"/>
    <w:rsid w:val="001C4613"/>
    <w:rsid w:val="001C4A2B"/>
    <w:rsid w:val="001C4BCF"/>
    <w:rsid w:val="001C4CCF"/>
    <w:rsid w:val="001C4CD4"/>
    <w:rsid w:val="001C4CD6"/>
    <w:rsid w:val="001C4DF3"/>
    <w:rsid w:val="001C4E4A"/>
    <w:rsid w:val="001C5016"/>
    <w:rsid w:val="001C50A6"/>
    <w:rsid w:val="001C517C"/>
    <w:rsid w:val="001C5431"/>
    <w:rsid w:val="001C55EC"/>
    <w:rsid w:val="001C57F4"/>
    <w:rsid w:val="001C58BE"/>
    <w:rsid w:val="001C5A87"/>
    <w:rsid w:val="001C5BCB"/>
    <w:rsid w:val="001C5D5E"/>
    <w:rsid w:val="001C5E92"/>
    <w:rsid w:val="001C6044"/>
    <w:rsid w:val="001C6099"/>
    <w:rsid w:val="001C61A0"/>
    <w:rsid w:val="001C61C5"/>
    <w:rsid w:val="001C626E"/>
    <w:rsid w:val="001C627F"/>
    <w:rsid w:val="001C630F"/>
    <w:rsid w:val="001C63F8"/>
    <w:rsid w:val="001C65EC"/>
    <w:rsid w:val="001C672E"/>
    <w:rsid w:val="001C6814"/>
    <w:rsid w:val="001C685A"/>
    <w:rsid w:val="001C6A99"/>
    <w:rsid w:val="001C6E04"/>
    <w:rsid w:val="001C6E08"/>
    <w:rsid w:val="001C6EE1"/>
    <w:rsid w:val="001C7020"/>
    <w:rsid w:val="001C7149"/>
    <w:rsid w:val="001C716E"/>
    <w:rsid w:val="001C71AA"/>
    <w:rsid w:val="001C745B"/>
    <w:rsid w:val="001C74A1"/>
    <w:rsid w:val="001C74A4"/>
    <w:rsid w:val="001C750F"/>
    <w:rsid w:val="001C7559"/>
    <w:rsid w:val="001C75B1"/>
    <w:rsid w:val="001C7661"/>
    <w:rsid w:val="001C79FA"/>
    <w:rsid w:val="001C7C2E"/>
    <w:rsid w:val="001C7E5E"/>
    <w:rsid w:val="001D0062"/>
    <w:rsid w:val="001D011B"/>
    <w:rsid w:val="001D01D2"/>
    <w:rsid w:val="001D0202"/>
    <w:rsid w:val="001D0272"/>
    <w:rsid w:val="001D059F"/>
    <w:rsid w:val="001D0651"/>
    <w:rsid w:val="001D0676"/>
    <w:rsid w:val="001D08DD"/>
    <w:rsid w:val="001D0A35"/>
    <w:rsid w:val="001D0B49"/>
    <w:rsid w:val="001D0BE1"/>
    <w:rsid w:val="001D0C83"/>
    <w:rsid w:val="001D0EB9"/>
    <w:rsid w:val="001D105A"/>
    <w:rsid w:val="001D11DC"/>
    <w:rsid w:val="001D1270"/>
    <w:rsid w:val="001D12D2"/>
    <w:rsid w:val="001D12DA"/>
    <w:rsid w:val="001D12E8"/>
    <w:rsid w:val="001D1322"/>
    <w:rsid w:val="001D1438"/>
    <w:rsid w:val="001D170D"/>
    <w:rsid w:val="001D174B"/>
    <w:rsid w:val="001D1853"/>
    <w:rsid w:val="001D1874"/>
    <w:rsid w:val="001D18F2"/>
    <w:rsid w:val="001D1968"/>
    <w:rsid w:val="001D1B3B"/>
    <w:rsid w:val="001D1B49"/>
    <w:rsid w:val="001D1B4D"/>
    <w:rsid w:val="001D1BC5"/>
    <w:rsid w:val="001D1BF2"/>
    <w:rsid w:val="001D1D0F"/>
    <w:rsid w:val="001D1F6B"/>
    <w:rsid w:val="001D2066"/>
    <w:rsid w:val="001D2125"/>
    <w:rsid w:val="001D21D0"/>
    <w:rsid w:val="001D239C"/>
    <w:rsid w:val="001D246B"/>
    <w:rsid w:val="001D2483"/>
    <w:rsid w:val="001D26F8"/>
    <w:rsid w:val="001D2A02"/>
    <w:rsid w:val="001D2BB6"/>
    <w:rsid w:val="001D2C1E"/>
    <w:rsid w:val="001D2C87"/>
    <w:rsid w:val="001D300B"/>
    <w:rsid w:val="001D31F5"/>
    <w:rsid w:val="001D34BC"/>
    <w:rsid w:val="001D350A"/>
    <w:rsid w:val="001D395B"/>
    <w:rsid w:val="001D39CB"/>
    <w:rsid w:val="001D3C5F"/>
    <w:rsid w:val="001D3D1E"/>
    <w:rsid w:val="001D3DD3"/>
    <w:rsid w:val="001D3DF7"/>
    <w:rsid w:val="001D41D9"/>
    <w:rsid w:val="001D42E6"/>
    <w:rsid w:val="001D42FD"/>
    <w:rsid w:val="001D4595"/>
    <w:rsid w:val="001D459B"/>
    <w:rsid w:val="001D472A"/>
    <w:rsid w:val="001D48E6"/>
    <w:rsid w:val="001D4CEB"/>
    <w:rsid w:val="001D4D70"/>
    <w:rsid w:val="001D4E2A"/>
    <w:rsid w:val="001D4FDD"/>
    <w:rsid w:val="001D5147"/>
    <w:rsid w:val="001D51C2"/>
    <w:rsid w:val="001D565E"/>
    <w:rsid w:val="001D59A0"/>
    <w:rsid w:val="001D59DB"/>
    <w:rsid w:val="001D5A7C"/>
    <w:rsid w:val="001D5BFB"/>
    <w:rsid w:val="001D5D1B"/>
    <w:rsid w:val="001D5EC0"/>
    <w:rsid w:val="001D5EE8"/>
    <w:rsid w:val="001D5F83"/>
    <w:rsid w:val="001D5F9B"/>
    <w:rsid w:val="001D5FAA"/>
    <w:rsid w:val="001D60E3"/>
    <w:rsid w:val="001D627C"/>
    <w:rsid w:val="001D638C"/>
    <w:rsid w:val="001D63F2"/>
    <w:rsid w:val="001D6401"/>
    <w:rsid w:val="001D66B3"/>
    <w:rsid w:val="001D675B"/>
    <w:rsid w:val="001D6B6D"/>
    <w:rsid w:val="001D6BA6"/>
    <w:rsid w:val="001D6BB8"/>
    <w:rsid w:val="001D6C62"/>
    <w:rsid w:val="001D6ECA"/>
    <w:rsid w:val="001D6F73"/>
    <w:rsid w:val="001D737C"/>
    <w:rsid w:val="001D745D"/>
    <w:rsid w:val="001D7505"/>
    <w:rsid w:val="001D7675"/>
    <w:rsid w:val="001D7829"/>
    <w:rsid w:val="001D7A52"/>
    <w:rsid w:val="001D7A80"/>
    <w:rsid w:val="001D7A8B"/>
    <w:rsid w:val="001D7ABF"/>
    <w:rsid w:val="001D7B3E"/>
    <w:rsid w:val="001D7BDD"/>
    <w:rsid w:val="001D7BED"/>
    <w:rsid w:val="001D7C79"/>
    <w:rsid w:val="001D7DD7"/>
    <w:rsid w:val="001D7EA5"/>
    <w:rsid w:val="001D7F53"/>
    <w:rsid w:val="001E026F"/>
    <w:rsid w:val="001E0358"/>
    <w:rsid w:val="001E03FF"/>
    <w:rsid w:val="001E043B"/>
    <w:rsid w:val="001E0455"/>
    <w:rsid w:val="001E0992"/>
    <w:rsid w:val="001E0AFA"/>
    <w:rsid w:val="001E0D61"/>
    <w:rsid w:val="001E0FBE"/>
    <w:rsid w:val="001E1052"/>
    <w:rsid w:val="001E10F1"/>
    <w:rsid w:val="001E1286"/>
    <w:rsid w:val="001E1452"/>
    <w:rsid w:val="001E157F"/>
    <w:rsid w:val="001E1BD1"/>
    <w:rsid w:val="001E1C35"/>
    <w:rsid w:val="001E1D32"/>
    <w:rsid w:val="001E1DEB"/>
    <w:rsid w:val="001E1EF0"/>
    <w:rsid w:val="001E1FA9"/>
    <w:rsid w:val="001E1FAF"/>
    <w:rsid w:val="001E2034"/>
    <w:rsid w:val="001E2071"/>
    <w:rsid w:val="001E20D8"/>
    <w:rsid w:val="001E212A"/>
    <w:rsid w:val="001E212C"/>
    <w:rsid w:val="001E2170"/>
    <w:rsid w:val="001E2293"/>
    <w:rsid w:val="001E22DB"/>
    <w:rsid w:val="001E2307"/>
    <w:rsid w:val="001E2338"/>
    <w:rsid w:val="001E23FB"/>
    <w:rsid w:val="001E247D"/>
    <w:rsid w:val="001E24BC"/>
    <w:rsid w:val="001E2602"/>
    <w:rsid w:val="001E2607"/>
    <w:rsid w:val="001E2831"/>
    <w:rsid w:val="001E285D"/>
    <w:rsid w:val="001E292A"/>
    <w:rsid w:val="001E2A54"/>
    <w:rsid w:val="001E2B47"/>
    <w:rsid w:val="001E2BB2"/>
    <w:rsid w:val="001E2C93"/>
    <w:rsid w:val="001E2CF1"/>
    <w:rsid w:val="001E2EA0"/>
    <w:rsid w:val="001E314D"/>
    <w:rsid w:val="001E3204"/>
    <w:rsid w:val="001E327E"/>
    <w:rsid w:val="001E3419"/>
    <w:rsid w:val="001E34B0"/>
    <w:rsid w:val="001E35AC"/>
    <w:rsid w:val="001E37BB"/>
    <w:rsid w:val="001E387A"/>
    <w:rsid w:val="001E3899"/>
    <w:rsid w:val="001E39A0"/>
    <w:rsid w:val="001E3AB4"/>
    <w:rsid w:val="001E3B45"/>
    <w:rsid w:val="001E3EB5"/>
    <w:rsid w:val="001E41E5"/>
    <w:rsid w:val="001E42E4"/>
    <w:rsid w:val="001E4303"/>
    <w:rsid w:val="001E4390"/>
    <w:rsid w:val="001E44B6"/>
    <w:rsid w:val="001E44C3"/>
    <w:rsid w:val="001E4585"/>
    <w:rsid w:val="001E464A"/>
    <w:rsid w:val="001E4874"/>
    <w:rsid w:val="001E49DA"/>
    <w:rsid w:val="001E4E09"/>
    <w:rsid w:val="001E4E27"/>
    <w:rsid w:val="001E50F4"/>
    <w:rsid w:val="001E520D"/>
    <w:rsid w:val="001E5374"/>
    <w:rsid w:val="001E5400"/>
    <w:rsid w:val="001E540C"/>
    <w:rsid w:val="001E54B1"/>
    <w:rsid w:val="001E54E0"/>
    <w:rsid w:val="001E583A"/>
    <w:rsid w:val="001E5B7F"/>
    <w:rsid w:val="001E5C10"/>
    <w:rsid w:val="001E5D5A"/>
    <w:rsid w:val="001E5F0E"/>
    <w:rsid w:val="001E5F30"/>
    <w:rsid w:val="001E5F4B"/>
    <w:rsid w:val="001E5F69"/>
    <w:rsid w:val="001E5FC8"/>
    <w:rsid w:val="001E61D6"/>
    <w:rsid w:val="001E6202"/>
    <w:rsid w:val="001E68D1"/>
    <w:rsid w:val="001E6949"/>
    <w:rsid w:val="001E6AED"/>
    <w:rsid w:val="001E6CC3"/>
    <w:rsid w:val="001E6D0D"/>
    <w:rsid w:val="001E6EC4"/>
    <w:rsid w:val="001E6F5F"/>
    <w:rsid w:val="001E7427"/>
    <w:rsid w:val="001E74B5"/>
    <w:rsid w:val="001E76DA"/>
    <w:rsid w:val="001E77CD"/>
    <w:rsid w:val="001E787A"/>
    <w:rsid w:val="001E793A"/>
    <w:rsid w:val="001E7980"/>
    <w:rsid w:val="001E7ADE"/>
    <w:rsid w:val="001E7C3B"/>
    <w:rsid w:val="001E7C42"/>
    <w:rsid w:val="001E7EF0"/>
    <w:rsid w:val="001F021F"/>
    <w:rsid w:val="001F057E"/>
    <w:rsid w:val="001F074E"/>
    <w:rsid w:val="001F07C6"/>
    <w:rsid w:val="001F0BFE"/>
    <w:rsid w:val="001F0C5C"/>
    <w:rsid w:val="001F0C92"/>
    <w:rsid w:val="001F10C2"/>
    <w:rsid w:val="001F132E"/>
    <w:rsid w:val="001F13D2"/>
    <w:rsid w:val="001F13D8"/>
    <w:rsid w:val="001F1440"/>
    <w:rsid w:val="001F1530"/>
    <w:rsid w:val="001F15E7"/>
    <w:rsid w:val="001F166F"/>
    <w:rsid w:val="001F16EB"/>
    <w:rsid w:val="001F17BB"/>
    <w:rsid w:val="001F196C"/>
    <w:rsid w:val="001F1B05"/>
    <w:rsid w:val="001F1B26"/>
    <w:rsid w:val="001F1D4B"/>
    <w:rsid w:val="001F1D70"/>
    <w:rsid w:val="001F205D"/>
    <w:rsid w:val="001F20DC"/>
    <w:rsid w:val="001F20E9"/>
    <w:rsid w:val="001F24D4"/>
    <w:rsid w:val="001F2516"/>
    <w:rsid w:val="001F2763"/>
    <w:rsid w:val="001F2824"/>
    <w:rsid w:val="001F2956"/>
    <w:rsid w:val="001F2979"/>
    <w:rsid w:val="001F2B0C"/>
    <w:rsid w:val="001F2B11"/>
    <w:rsid w:val="001F2B88"/>
    <w:rsid w:val="001F2BA3"/>
    <w:rsid w:val="001F2D0D"/>
    <w:rsid w:val="001F2FDF"/>
    <w:rsid w:val="001F30D7"/>
    <w:rsid w:val="001F3132"/>
    <w:rsid w:val="001F34D5"/>
    <w:rsid w:val="001F361E"/>
    <w:rsid w:val="001F3641"/>
    <w:rsid w:val="001F3675"/>
    <w:rsid w:val="001F3750"/>
    <w:rsid w:val="001F37BC"/>
    <w:rsid w:val="001F3978"/>
    <w:rsid w:val="001F39D7"/>
    <w:rsid w:val="001F3C33"/>
    <w:rsid w:val="001F3C3E"/>
    <w:rsid w:val="001F40F8"/>
    <w:rsid w:val="001F4331"/>
    <w:rsid w:val="001F43BD"/>
    <w:rsid w:val="001F4401"/>
    <w:rsid w:val="001F4613"/>
    <w:rsid w:val="001F4777"/>
    <w:rsid w:val="001F4790"/>
    <w:rsid w:val="001F4A70"/>
    <w:rsid w:val="001F4C0E"/>
    <w:rsid w:val="001F4CE6"/>
    <w:rsid w:val="001F4D64"/>
    <w:rsid w:val="001F4FDE"/>
    <w:rsid w:val="001F5095"/>
    <w:rsid w:val="001F50B9"/>
    <w:rsid w:val="001F510E"/>
    <w:rsid w:val="001F52C1"/>
    <w:rsid w:val="001F5384"/>
    <w:rsid w:val="001F5663"/>
    <w:rsid w:val="001F570D"/>
    <w:rsid w:val="001F571E"/>
    <w:rsid w:val="001F57E3"/>
    <w:rsid w:val="001F59C8"/>
    <w:rsid w:val="001F5C4F"/>
    <w:rsid w:val="001F5C6B"/>
    <w:rsid w:val="001F5D89"/>
    <w:rsid w:val="001F5E55"/>
    <w:rsid w:val="001F5EB8"/>
    <w:rsid w:val="001F5F54"/>
    <w:rsid w:val="001F6112"/>
    <w:rsid w:val="001F6467"/>
    <w:rsid w:val="001F66AC"/>
    <w:rsid w:val="001F6773"/>
    <w:rsid w:val="001F67D7"/>
    <w:rsid w:val="001F68AF"/>
    <w:rsid w:val="001F69CB"/>
    <w:rsid w:val="001F69E7"/>
    <w:rsid w:val="001F6A79"/>
    <w:rsid w:val="001F6ABF"/>
    <w:rsid w:val="001F6AE3"/>
    <w:rsid w:val="001F6BA6"/>
    <w:rsid w:val="001F6BF3"/>
    <w:rsid w:val="001F6F38"/>
    <w:rsid w:val="001F715C"/>
    <w:rsid w:val="001F7180"/>
    <w:rsid w:val="001F7342"/>
    <w:rsid w:val="001F73E3"/>
    <w:rsid w:val="001F7418"/>
    <w:rsid w:val="001F74F7"/>
    <w:rsid w:val="001F7530"/>
    <w:rsid w:val="001F770B"/>
    <w:rsid w:val="001F782E"/>
    <w:rsid w:val="001F79C9"/>
    <w:rsid w:val="001F79DC"/>
    <w:rsid w:val="001F7B5E"/>
    <w:rsid w:val="001F7C38"/>
    <w:rsid w:val="001F7CD8"/>
    <w:rsid w:val="002000BB"/>
    <w:rsid w:val="002000F0"/>
    <w:rsid w:val="002000FD"/>
    <w:rsid w:val="00200215"/>
    <w:rsid w:val="00200227"/>
    <w:rsid w:val="0020024F"/>
    <w:rsid w:val="0020039B"/>
    <w:rsid w:val="0020054B"/>
    <w:rsid w:val="00200607"/>
    <w:rsid w:val="00200661"/>
    <w:rsid w:val="00200D9C"/>
    <w:rsid w:val="00200DF2"/>
    <w:rsid w:val="00200E58"/>
    <w:rsid w:val="0020117F"/>
    <w:rsid w:val="00201354"/>
    <w:rsid w:val="002013BA"/>
    <w:rsid w:val="0020164F"/>
    <w:rsid w:val="002017CC"/>
    <w:rsid w:val="00201826"/>
    <w:rsid w:val="00201A0C"/>
    <w:rsid w:val="00201A82"/>
    <w:rsid w:val="00201B0F"/>
    <w:rsid w:val="00201F49"/>
    <w:rsid w:val="00201FAC"/>
    <w:rsid w:val="0020203A"/>
    <w:rsid w:val="00202108"/>
    <w:rsid w:val="0020235C"/>
    <w:rsid w:val="002023DA"/>
    <w:rsid w:val="0020241F"/>
    <w:rsid w:val="00202486"/>
    <w:rsid w:val="002024BC"/>
    <w:rsid w:val="002024FA"/>
    <w:rsid w:val="00202514"/>
    <w:rsid w:val="002026C6"/>
    <w:rsid w:val="00202769"/>
    <w:rsid w:val="0020278D"/>
    <w:rsid w:val="00202907"/>
    <w:rsid w:val="00202948"/>
    <w:rsid w:val="00202A61"/>
    <w:rsid w:val="00202B62"/>
    <w:rsid w:val="00202D9B"/>
    <w:rsid w:val="00202E7A"/>
    <w:rsid w:val="00203002"/>
    <w:rsid w:val="00203020"/>
    <w:rsid w:val="002030A9"/>
    <w:rsid w:val="00203112"/>
    <w:rsid w:val="002033CF"/>
    <w:rsid w:val="00203415"/>
    <w:rsid w:val="00203441"/>
    <w:rsid w:val="00203554"/>
    <w:rsid w:val="00203781"/>
    <w:rsid w:val="002037F3"/>
    <w:rsid w:val="00203A3B"/>
    <w:rsid w:val="00203A3C"/>
    <w:rsid w:val="00203C42"/>
    <w:rsid w:val="00203C59"/>
    <w:rsid w:val="00203E08"/>
    <w:rsid w:val="00203EF4"/>
    <w:rsid w:val="00204112"/>
    <w:rsid w:val="00204312"/>
    <w:rsid w:val="00204426"/>
    <w:rsid w:val="00204510"/>
    <w:rsid w:val="00204566"/>
    <w:rsid w:val="00204892"/>
    <w:rsid w:val="00204B77"/>
    <w:rsid w:val="00204F2B"/>
    <w:rsid w:val="00204FF8"/>
    <w:rsid w:val="00205155"/>
    <w:rsid w:val="00205176"/>
    <w:rsid w:val="002051CC"/>
    <w:rsid w:val="00205448"/>
    <w:rsid w:val="00205522"/>
    <w:rsid w:val="002056ED"/>
    <w:rsid w:val="00205B16"/>
    <w:rsid w:val="00205C5E"/>
    <w:rsid w:val="00205EFF"/>
    <w:rsid w:val="00205F45"/>
    <w:rsid w:val="00206370"/>
    <w:rsid w:val="002063A1"/>
    <w:rsid w:val="002064D3"/>
    <w:rsid w:val="00206585"/>
    <w:rsid w:val="00206625"/>
    <w:rsid w:val="00206634"/>
    <w:rsid w:val="00206712"/>
    <w:rsid w:val="0020673B"/>
    <w:rsid w:val="00206A20"/>
    <w:rsid w:val="00206BF7"/>
    <w:rsid w:val="00206D19"/>
    <w:rsid w:val="00206D3B"/>
    <w:rsid w:val="00206D75"/>
    <w:rsid w:val="00206E67"/>
    <w:rsid w:val="00206F0F"/>
    <w:rsid w:val="00207188"/>
    <w:rsid w:val="002071ED"/>
    <w:rsid w:val="00207269"/>
    <w:rsid w:val="0020753E"/>
    <w:rsid w:val="00207783"/>
    <w:rsid w:val="0020792D"/>
    <w:rsid w:val="00207A19"/>
    <w:rsid w:val="00207A41"/>
    <w:rsid w:val="00207CD9"/>
    <w:rsid w:val="00207D28"/>
    <w:rsid w:val="00207E85"/>
    <w:rsid w:val="00207EE9"/>
    <w:rsid w:val="002100AD"/>
    <w:rsid w:val="00210159"/>
    <w:rsid w:val="002104EA"/>
    <w:rsid w:val="00210505"/>
    <w:rsid w:val="002106BF"/>
    <w:rsid w:val="002106C8"/>
    <w:rsid w:val="002107B9"/>
    <w:rsid w:val="002107EF"/>
    <w:rsid w:val="00210890"/>
    <w:rsid w:val="00210897"/>
    <w:rsid w:val="002109AC"/>
    <w:rsid w:val="002109AD"/>
    <w:rsid w:val="00210AD2"/>
    <w:rsid w:val="00210B28"/>
    <w:rsid w:val="00210BED"/>
    <w:rsid w:val="00210BF1"/>
    <w:rsid w:val="00210C72"/>
    <w:rsid w:val="00210DD9"/>
    <w:rsid w:val="00210E11"/>
    <w:rsid w:val="00210E3A"/>
    <w:rsid w:val="00210E76"/>
    <w:rsid w:val="00210EC0"/>
    <w:rsid w:val="00211051"/>
    <w:rsid w:val="002110DA"/>
    <w:rsid w:val="002111E0"/>
    <w:rsid w:val="00211313"/>
    <w:rsid w:val="00211331"/>
    <w:rsid w:val="00211598"/>
    <w:rsid w:val="002117FB"/>
    <w:rsid w:val="00211856"/>
    <w:rsid w:val="002118E1"/>
    <w:rsid w:val="002119AD"/>
    <w:rsid w:val="002119DD"/>
    <w:rsid w:val="00211DB4"/>
    <w:rsid w:val="00211EC8"/>
    <w:rsid w:val="00211ECC"/>
    <w:rsid w:val="002120C5"/>
    <w:rsid w:val="002120D4"/>
    <w:rsid w:val="0021239D"/>
    <w:rsid w:val="002123B9"/>
    <w:rsid w:val="002124BA"/>
    <w:rsid w:val="002125CD"/>
    <w:rsid w:val="0021272D"/>
    <w:rsid w:val="00212BCF"/>
    <w:rsid w:val="00212C5C"/>
    <w:rsid w:val="00212CF6"/>
    <w:rsid w:val="0021314D"/>
    <w:rsid w:val="002131BC"/>
    <w:rsid w:val="002132CB"/>
    <w:rsid w:val="0021345A"/>
    <w:rsid w:val="00213653"/>
    <w:rsid w:val="00213715"/>
    <w:rsid w:val="00213835"/>
    <w:rsid w:val="0021396E"/>
    <w:rsid w:val="00213A9C"/>
    <w:rsid w:val="00213C36"/>
    <w:rsid w:val="00213D49"/>
    <w:rsid w:val="00213D79"/>
    <w:rsid w:val="0021408D"/>
    <w:rsid w:val="002140D7"/>
    <w:rsid w:val="0021411C"/>
    <w:rsid w:val="0021417B"/>
    <w:rsid w:val="00214232"/>
    <w:rsid w:val="00214284"/>
    <w:rsid w:val="00214294"/>
    <w:rsid w:val="002142C6"/>
    <w:rsid w:val="00214541"/>
    <w:rsid w:val="00214595"/>
    <w:rsid w:val="0021469D"/>
    <w:rsid w:val="002147FB"/>
    <w:rsid w:val="0021493A"/>
    <w:rsid w:val="00214B72"/>
    <w:rsid w:val="00214B73"/>
    <w:rsid w:val="00214C2E"/>
    <w:rsid w:val="00214DF8"/>
    <w:rsid w:val="00214E0E"/>
    <w:rsid w:val="00214E37"/>
    <w:rsid w:val="00214FFC"/>
    <w:rsid w:val="002153E5"/>
    <w:rsid w:val="0021544B"/>
    <w:rsid w:val="00215696"/>
    <w:rsid w:val="00215938"/>
    <w:rsid w:val="00215B36"/>
    <w:rsid w:val="00215BE9"/>
    <w:rsid w:val="00215BF7"/>
    <w:rsid w:val="00215F39"/>
    <w:rsid w:val="00215F99"/>
    <w:rsid w:val="002160DA"/>
    <w:rsid w:val="0021613A"/>
    <w:rsid w:val="002162DE"/>
    <w:rsid w:val="002164B2"/>
    <w:rsid w:val="0021658E"/>
    <w:rsid w:val="00216732"/>
    <w:rsid w:val="0021683A"/>
    <w:rsid w:val="0021694C"/>
    <w:rsid w:val="00216A5F"/>
    <w:rsid w:val="00216B20"/>
    <w:rsid w:val="00216C0F"/>
    <w:rsid w:val="00216ECB"/>
    <w:rsid w:val="0021713F"/>
    <w:rsid w:val="00217182"/>
    <w:rsid w:val="00217244"/>
    <w:rsid w:val="0021736A"/>
    <w:rsid w:val="00217386"/>
    <w:rsid w:val="00217475"/>
    <w:rsid w:val="002176B8"/>
    <w:rsid w:val="0021788E"/>
    <w:rsid w:val="00217C09"/>
    <w:rsid w:val="00217FA5"/>
    <w:rsid w:val="00217FAC"/>
    <w:rsid w:val="00217FCC"/>
    <w:rsid w:val="00217FDF"/>
    <w:rsid w:val="002202B3"/>
    <w:rsid w:val="0022053C"/>
    <w:rsid w:val="002205E6"/>
    <w:rsid w:val="00220702"/>
    <w:rsid w:val="0022077E"/>
    <w:rsid w:val="00220851"/>
    <w:rsid w:val="00220878"/>
    <w:rsid w:val="002208C1"/>
    <w:rsid w:val="00220A77"/>
    <w:rsid w:val="00220A8A"/>
    <w:rsid w:val="00220C2A"/>
    <w:rsid w:val="00220C83"/>
    <w:rsid w:val="00220CF5"/>
    <w:rsid w:val="00220D38"/>
    <w:rsid w:val="00220DAC"/>
    <w:rsid w:val="00220F28"/>
    <w:rsid w:val="0022114D"/>
    <w:rsid w:val="00221228"/>
    <w:rsid w:val="00221272"/>
    <w:rsid w:val="002212E6"/>
    <w:rsid w:val="002216AD"/>
    <w:rsid w:val="002216EF"/>
    <w:rsid w:val="00221C2E"/>
    <w:rsid w:val="00221C5B"/>
    <w:rsid w:val="00221D81"/>
    <w:rsid w:val="00221D99"/>
    <w:rsid w:val="00221EB3"/>
    <w:rsid w:val="00221F28"/>
    <w:rsid w:val="00221F50"/>
    <w:rsid w:val="0022203C"/>
    <w:rsid w:val="00222044"/>
    <w:rsid w:val="00222291"/>
    <w:rsid w:val="0022239B"/>
    <w:rsid w:val="0022242F"/>
    <w:rsid w:val="0022268A"/>
    <w:rsid w:val="0022273C"/>
    <w:rsid w:val="0022276E"/>
    <w:rsid w:val="00222771"/>
    <w:rsid w:val="00222985"/>
    <w:rsid w:val="002229FD"/>
    <w:rsid w:val="00222B13"/>
    <w:rsid w:val="00222CF1"/>
    <w:rsid w:val="00222EDE"/>
    <w:rsid w:val="00223087"/>
    <w:rsid w:val="002230E0"/>
    <w:rsid w:val="0022338C"/>
    <w:rsid w:val="002233E8"/>
    <w:rsid w:val="002234BC"/>
    <w:rsid w:val="00223551"/>
    <w:rsid w:val="0022389A"/>
    <w:rsid w:val="002238D2"/>
    <w:rsid w:val="00223991"/>
    <w:rsid w:val="00223A9F"/>
    <w:rsid w:val="00223CE1"/>
    <w:rsid w:val="00223E02"/>
    <w:rsid w:val="00223EBF"/>
    <w:rsid w:val="00223EC7"/>
    <w:rsid w:val="0022407F"/>
    <w:rsid w:val="00224149"/>
    <w:rsid w:val="0022433B"/>
    <w:rsid w:val="002243BA"/>
    <w:rsid w:val="00224584"/>
    <w:rsid w:val="00224611"/>
    <w:rsid w:val="00224641"/>
    <w:rsid w:val="002248AF"/>
    <w:rsid w:val="0022493B"/>
    <w:rsid w:val="00224BFF"/>
    <w:rsid w:val="00224C87"/>
    <w:rsid w:val="00224D02"/>
    <w:rsid w:val="00224FB7"/>
    <w:rsid w:val="00225080"/>
    <w:rsid w:val="002250CB"/>
    <w:rsid w:val="0022510C"/>
    <w:rsid w:val="00225226"/>
    <w:rsid w:val="002252B7"/>
    <w:rsid w:val="00225508"/>
    <w:rsid w:val="0022550A"/>
    <w:rsid w:val="00225C53"/>
    <w:rsid w:val="00225DD5"/>
    <w:rsid w:val="00225E75"/>
    <w:rsid w:val="002261B0"/>
    <w:rsid w:val="002262D8"/>
    <w:rsid w:val="00226325"/>
    <w:rsid w:val="002264F0"/>
    <w:rsid w:val="00226532"/>
    <w:rsid w:val="0022674D"/>
    <w:rsid w:val="00226921"/>
    <w:rsid w:val="00226D9F"/>
    <w:rsid w:val="00226DD9"/>
    <w:rsid w:val="00227039"/>
    <w:rsid w:val="0022706A"/>
    <w:rsid w:val="00227190"/>
    <w:rsid w:val="0022724E"/>
    <w:rsid w:val="00227519"/>
    <w:rsid w:val="002275BD"/>
    <w:rsid w:val="002277D3"/>
    <w:rsid w:val="0022791B"/>
    <w:rsid w:val="00227977"/>
    <w:rsid w:val="00227AE9"/>
    <w:rsid w:val="00227B34"/>
    <w:rsid w:val="00230086"/>
    <w:rsid w:val="00230110"/>
    <w:rsid w:val="0023014C"/>
    <w:rsid w:val="00230197"/>
    <w:rsid w:val="002301CF"/>
    <w:rsid w:val="0023047F"/>
    <w:rsid w:val="002304E8"/>
    <w:rsid w:val="00230597"/>
    <w:rsid w:val="00230605"/>
    <w:rsid w:val="00230777"/>
    <w:rsid w:val="0023088B"/>
    <w:rsid w:val="002308B8"/>
    <w:rsid w:val="002308E7"/>
    <w:rsid w:val="002309A1"/>
    <w:rsid w:val="002309E2"/>
    <w:rsid w:val="00230E5F"/>
    <w:rsid w:val="0023104E"/>
    <w:rsid w:val="00231126"/>
    <w:rsid w:val="002311BD"/>
    <w:rsid w:val="002311E7"/>
    <w:rsid w:val="00231474"/>
    <w:rsid w:val="002315E8"/>
    <w:rsid w:val="002316EF"/>
    <w:rsid w:val="00231701"/>
    <w:rsid w:val="00231915"/>
    <w:rsid w:val="00231A2F"/>
    <w:rsid w:val="00231AE5"/>
    <w:rsid w:val="00231AEB"/>
    <w:rsid w:val="00231C20"/>
    <w:rsid w:val="00231D10"/>
    <w:rsid w:val="00231D1D"/>
    <w:rsid w:val="00231DA9"/>
    <w:rsid w:val="00231DE5"/>
    <w:rsid w:val="002321E3"/>
    <w:rsid w:val="00232223"/>
    <w:rsid w:val="00232281"/>
    <w:rsid w:val="002325DC"/>
    <w:rsid w:val="0023286E"/>
    <w:rsid w:val="00232877"/>
    <w:rsid w:val="002328BE"/>
    <w:rsid w:val="00232C18"/>
    <w:rsid w:val="00232E75"/>
    <w:rsid w:val="00232E85"/>
    <w:rsid w:val="00232ED1"/>
    <w:rsid w:val="00233562"/>
    <w:rsid w:val="00233A76"/>
    <w:rsid w:val="00233CCF"/>
    <w:rsid w:val="00233EE4"/>
    <w:rsid w:val="00233F01"/>
    <w:rsid w:val="00233FF6"/>
    <w:rsid w:val="00234023"/>
    <w:rsid w:val="0023410C"/>
    <w:rsid w:val="00234361"/>
    <w:rsid w:val="0023449A"/>
    <w:rsid w:val="002344D1"/>
    <w:rsid w:val="0023473D"/>
    <w:rsid w:val="002349B6"/>
    <w:rsid w:val="002349D9"/>
    <w:rsid w:val="00234C0E"/>
    <w:rsid w:val="00234C86"/>
    <w:rsid w:val="00234E01"/>
    <w:rsid w:val="00234F54"/>
    <w:rsid w:val="00234FD2"/>
    <w:rsid w:val="00235123"/>
    <w:rsid w:val="0023514D"/>
    <w:rsid w:val="0023514F"/>
    <w:rsid w:val="00235513"/>
    <w:rsid w:val="002356CF"/>
    <w:rsid w:val="002357BD"/>
    <w:rsid w:val="002358BC"/>
    <w:rsid w:val="00235926"/>
    <w:rsid w:val="002359C5"/>
    <w:rsid w:val="002359D6"/>
    <w:rsid w:val="00235AE2"/>
    <w:rsid w:val="00235D9B"/>
    <w:rsid w:val="00235E9E"/>
    <w:rsid w:val="00235EF1"/>
    <w:rsid w:val="00235F24"/>
    <w:rsid w:val="00235F34"/>
    <w:rsid w:val="00235F88"/>
    <w:rsid w:val="002361AD"/>
    <w:rsid w:val="002362AE"/>
    <w:rsid w:val="00236398"/>
    <w:rsid w:val="002364C8"/>
    <w:rsid w:val="002365CE"/>
    <w:rsid w:val="00236755"/>
    <w:rsid w:val="0023687E"/>
    <w:rsid w:val="00236B6A"/>
    <w:rsid w:val="00236E9E"/>
    <w:rsid w:val="00236F02"/>
    <w:rsid w:val="002370D0"/>
    <w:rsid w:val="0023739A"/>
    <w:rsid w:val="002374BD"/>
    <w:rsid w:val="002374FF"/>
    <w:rsid w:val="00237682"/>
    <w:rsid w:val="002377A6"/>
    <w:rsid w:val="0023781A"/>
    <w:rsid w:val="00237B22"/>
    <w:rsid w:val="00237D35"/>
    <w:rsid w:val="00237E36"/>
    <w:rsid w:val="00240100"/>
    <w:rsid w:val="0024033A"/>
    <w:rsid w:val="002408C0"/>
    <w:rsid w:val="00240986"/>
    <w:rsid w:val="00240991"/>
    <w:rsid w:val="002409BE"/>
    <w:rsid w:val="00240AB6"/>
    <w:rsid w:val="00240AEB"/>
    <w:rsid w:val="00240AFA"/>
    <w:rsid w:val="00240C67"/>
    <w:rsid w:val="00240CA2"/>
    <w:rsid w:val="00240D24"/>
    <w:rsid w:val="00240D6E"/>
    <w:rsid w:val="00240D8F"/>
    <w:rsid w:val="00240E43"/>
    <w:rsid w:val="00240E92"/>
    <w:rsid w:val="00240ECB"/>
    <w:rsid w:val="00240F3E"/>
    <w:rsid w:val="0024102D"/>
    <w:rsid w:val="002412B8"/>
    <w:rsid w:val="002412ED"/>
    <w:rsid w:val="00241492"/>
    <w:rsid w:val="0024176D"/>
    <w:rsid w:val="00241A59"/>
    <w:rsid w:val="00241AF4"/>
    <w:rsid w:val="00241B20"/>
    <w:rsid w:val="00241CD6"/>
    <w:rsid w:val="00241E03"/>
    <w:rsid w:val="00241E1F"/>
    <w:rsid w:val="00241E32"/>
    <w:rsid w:val="00241EE5"/>
    <w:rsid w:val="00241F64"/>
    <w:rsid w:val="00241FC9"/>
    <w:rsid w:val="00241FFD"/>
    <w:rsid w:val="00242101"/>
    <w:rsid w:val="00242175"/>
    <w:rsid w:val="002421A6"/>
    <w:rsid w:val="002422D9"/>
    <w:rsid w:val="0024233E"/>
    <w:rsid w:val="002423CF"/>
    <w:rsid w:val="002424C4"/>
    <w:rsid w:val="002424F3"/>
    <w:rsid w:val="00242547"/>
    <w:rsid w:val="002425B5"/>
    <w:rsid w:val="00242620"/>
    <w:rsid w:val="00242719"/>
    <w:rsid w:val="0024275E"/>
    <w:rsid w:val="002428AC"/>
    <w:rsid w:val="00242C1B"/>
    <w:rsid w:val="00242C64"/>
    <w:rsid w:val="00242DBB"/>
    <w:rsid w:val="00242DE8"/>
    <w:rsid w:val="00242EDB"/>
    <w:rsid w:val="002431EF"/>
    <w:rsid w:val="002432BF"/>
    <w:rsid w:val="002432F6"/>
    <w:rsid w:val="00243345"/>
    <w:rsid w:val="002434FB"/>
    <w:rsid w:val="00243A84"/>
    <w:rsid w:val="00243BA9"/>
    <w:rsid w:val="00243CF5"/>
    <w:rsid w:val="00243E00"/>
    <w:rsid w:val="00243FBB"/>
    <w:rsid w:val="00243FCB"/>
    <w:rsid w:val="0024403A"/>
    <w:rsid w:val="00244355"/>
    <w:rsid w:val="00244500"/>
    <w:rsid w:val="002445FB"/>
    <w:rsid w:val="00244686"/>
    <w:rsid w:val="00244694"/>
    <w:rsid w:val="0024471C"/>
    <w:rsid w:val="00244A98"/>
    <w:rsid w:val="00244AE2"/>
    <w:rsid w:val="00244C22"/>
    <w:rsid w:val="00244CD0"/>
    <w:rsid w:val="00244D9F"/>
    <w:rsid w:val="00244F40"/>
    <w:rsid w:val="00244F49"/>
    <w:rsid w:val="00244FF6"/>
    <w:rsid w:val="002450AE"/>
    <w:rsid w:val="002451B1"/>
    <w:rsid w:val="002454E8"/>
    <w:rsid w:val="0024552C"/>
    <w:rsid w:val="00245611"/>
    <w:rsid w:val="00245821"/>
    <w:rsid w:val="00245919"/>
    <w:rsid w:val="00245ADC"/>
    <w:rsid w:val="002461BF"/>
    <w:rsid w:val="00246236"/>
    <w:rsid w:val="00246524"/>
    <w:rsid w:val="0024661E"/>
    <w:rsid w:val="002466B4"/>
    <w:rsid w:val="00246800"/>
    <w:rsid w:val="00246904"/>
    <w:rsid w:val="002469A4"/>
    <w:rsid w:val="00246C51"/>
    <w:rsid w:val="00246C6C"/>
    <w:rsid w:val="00246CE2"/>
    <w:rsid w:val="00246D61"/>
    <w:rsid w:val="00246D74"/>
    <w:rsid w:val="00246DA4"/>
    <w:rsid w:val="00246E2E"/>
    <w:rsid w:val="00246EAD"/>
    <w:rsid w:val="00246F91"/>
    <w:rsid w:val="002470C5"/>
    <w:rsid w:val="00247244"/>
    <w:rsid w:val="00247268"/>
    <w:rsid w:val="002472DB"/>
    <w:rsid w:val="0024736A"/>
    <w:rsid w:val="00247382"/>
    <w:rsid w:val="002474C1"/>
    <w:rsid w:val="00247611"/>
    <w:rsid w:val="002479B2"/>
    <w:rsid w:val="00247C3F"/>
    <w:rsid w:val="00247CB5"/>
    <w:rsid w:val="00247DB1"/>
    <w:rsid w:val="00247DCD"/>
    <w:rsid w:val="00247EC3"/>
    <w:rsid w:val="00250090"/>
    <w:rsid w:val="00250107"/>
    <w:rsid w:val="0025026C"/>
    <w:rsid w:val="00250311"/>
    <w:rsid w:val="00250322"/>
    <w:rsid w:val="0025035E"/>
    <w:rsid w:val="00250710"/>
    <w:rsid w:val="00250828"/>
    <w:rsid w:val="002508F6"/>
    <w:rsid w:val="00250986"/>
    <w:rsid w:val="00250A22"/>
    <w:rsid w:val="00250AD3"/>
    <w:rsid w:val="00250B12"/>
    <w:rsid w:val="00250FEF"/>
    <w:rsid w:val="00251033"/>
    <w:rsid w:val="0025120E"/>
    <w:rsid w:val="00251295"/>
    <w:rsid w:val="002514E9"/>
    <w:rsid w:val="00251591"/>
    <w:rsid w:val="00251709"/>
    <w:rsid w:val="00251712"/>
    <w:rsid w:val="00251A30"/>
    <w:rsid w:val="00251DF7"/>
    <w:rsid w:val="00251F2B"/>
    <w:rsid w:val="00252455"/>
    <w:rsid w:val="002524E9"/>
    <w:rsid w:val="00252683"/>
    <w:rsid w:val="00252830"/>
    <w:rsid w:val="002528BE"/>
    <w:rsid w:val="00252A10"/>
    <w:rsid w:val="00252A1E"/>
    <w:rsid w:val="00252AD3"/>
    <w:rsid w:val="00252B03"/>
    <w:rsid w:val="00252C3D"/>
    <w:rsid w:val="00252C66"/>
    <w:rsid w:val="00252CB6"/>
    <w:rsid w:val="0025314E"/>
    <w:rsid w:val="00253163"/>
    <w:rsid w:val="002533AB"/>
    <w:rsid w:val="002533FF"/>
    <w:rsid w:val="00253550"/>
    <w:rsid w:val="00253696"/>
    <w:rsid w:val="00253766"/>
    <w:rsid w:val="002538FB"/>
    <w:rsid w:val="0025399C"/>
    <w:rsid w:val="00253D32"/>
    <w:rsid w:val="00253D3A"/>
    <w:rsid w:val="00253EDA"/>
    <w:rsid w:val="00253FB8"/>
    <w:rsid w:val="00253FC6"/>
    <w:rsid w:val="00253FF4"/>
    <w:rsid w:val="0025402D"/>
    <w:rsid w:val="00254104"/>
    <w:rsid w:val="00254139"/>
    <w:rsid w:val="0025420A"/>
    <w:rsid w:val="0025420C"/>
    <w:rsid w:val="002544C3"/>
    <w:rsid w:val="00254588"/>
    <w:rsid w:val="0025471C"/>
    <w:rsid w:val="00254A29"/>
    <w:rsid w:val="00254A80"/>
    <w:rsid w:val="002550F3"/>
    <w:rsid w:val="002553BA"/>
    <w:rsid w:val="002553D8"/>
    <w:rsid w:val="00255649"/>
    <w:rsid w:val="00255975"/>
    <w:rsid w:val="00255991"/>
    <w:rsid w:val="00255C0B"/>
    <w:rsid w:val="00255C8E"/>
    <w:rsid w:val="00255CDE"/>
    <w:rsid w:val="00255F3B"/>
    <w:rsid w:val="00256167"/>
    <w:rsid w:val="002561FF"/>
    <w:rsid w:val="0025621F"/>
    <w:rsid w:val="00256232"/>
    <w:rsid w:val="00256327"/>
    <w:rsid w:val="0025632F"/>
    <w:rsid w:val="002563B4"/>
    <w:rsid w:val="0025642E"/>
    <w:rsid w:val="00256A06"/>
    <w:rsid w:val="00256B10"/>
    <w:rsid w:val="00256D74"/>
    <w:rsid w:val="00256E0B"/>
    <w:rsid w:val="00256E63"/>
    <w:rsid w:val="00256ED8"/>
    <w:rsid w:val="002572D6"/>
    <w:rsid w:val="00257454"/>
    <w:rsid w:val="002575EE"/>
    <w:rsid w:val="0025774E"/>
    <w:rsid w:val="0025785B"/>
    <w:rsid w:val="00257A04"/>
    <w:rsid w:val="00257A6C"/>
    <w:rsid w:val="00257ABA"/>
    <w:rsid w:val="00257AE9"/>
    <w:rsid w:val="00257B56"/>
    <w:rsid w:val="00257BA0"/>
    <w:rsid w:val="00257DCE"/>
    <w:rsid w:val="00257E0D"/>
    <w:rsid w:val="00260225"/>
    <w:rsid w:val="0026022D"/>
    <w:rsid w:val="00260287"/>
    <w:rsid w:val="00260318"/>
    <w:rsid w:val="00260388"/>
    <w:rsid w:val="002603BB"/>
    <w:rsid w:val="0026043B"/>
    <w:rsid w:val="002605A9"/>
    <w:rsid w:val="002607C5"/>
    <w:rsid w:val="002608CA"/>
    <w:rsid w:val="002609E3"/>
    <w:rsid w:val="00260A75"/>
    <w:rsid w:val="00260C3E"/>
    <w:rsid w:val="00260DDB"/>
    <w:rsid w:val="00260EA8"/>
    <w:rsid w:val="00260EE3"/>
    <w:rsid w:val="00261086"/>
    <w:rsid w:val="00261284"/>
    <w:rsid w:val="00261328"/>
    <w:rsid w:val="00261426"/>
    <w:rsid w:val="002614EC"/>
    <w:rsid w:val="0026166A"/>
    <w:rsid w:val="0026180A"/>
    <w:rsid w:val="002619E6"/>
    <w:rsid w:val="00261B89"/>
    <w:rsid w:val="00261C6E"/>
    <w:rsid w:val="00261DB7"/>
    <w:rsid w:val="00262088"/>
    <w:rsid w:val="002620E8"/>
    <w:rsid w:val="0026245A"/>
    <w:rsid w:val="002628DE"/>
    <w:rsid w:val="0026291C"/>
    <w:rsid w:val="002629C6"/>
    <w:rsid w:val="00262A45"/>
    <w:rsid w:val="00262A4E"/>
    <w:rsid w:val="00262A74"/>
    <w:rsid w:val="00262B8B"/>
    <w:rsid w:val="00262BD3"/>
    <w:rsid w:val="00262D13"/>
    <w:rsid w:val="00262E25"/>
    <w:rsid w:val="00262FDE"/>
    <w:rsid w:val="00263210"/>
    <w:rsid w:val="00263276"/>
    <w:rsid w:val="00263311"/>
    <w:rsid w:val="00263406"/>
    <w:rsid w:val="0026361B"/>
    <w:rsid w:val="002637AB"/>
    <w:rsid w:val="00263C63"/>
    <w:rsid w:val="00263DE0"/>
    <w:rsid w:val="00263EBF"/>
    <w:rsid w:val="00263F57"/>
    <w:rsid w:val="00263F58"/>
    <w:rsid w:val="00264337"/>
    <w:rsid w:val="00264528"/>
    <w:rsid w:val="0026455C"/>
    <w:rsid w:val="00264A40"/>
    <w:rsid w:val="00264E3C"/>
    <w:rsid w:val="002650BA"/>
    <w:rsid w:val="0026515C"/>
    <w:rsid w:val="0026516B"/>
    <w:rsid w:val="0026518F"/>
    <w:rsid w:val="002653D9"/>
    <w:rsid w:val="00265530"/>
    <w:rsid w:val="002657E4"/>
    <w:rsid w:val="00265883"/>
    <w:rsid w:val="00265906"/>
    <w:rsid w:val="00265983"/>
    <w:rsid w:val="00265B32"/>
    <w:rsid w:val="00265BD9"/>
    <w:rsid w:val="00265C91"/>
    <w:rsid w:val="00265CF8"/>
    <w:rsid w:val="00265F4B"/>
    <w:rsid w:val="00265F58"/>
    <w:rsid w:val="00265F78"/>
    <w:rsid w:val="0026602D"/>
    <w:rsid w:val="00266164"/>
    <w:rsid w:val="00266273"/>
    <w:rsid w:val="00266294"/>
    <w:rsid w:val="002664BB"/>
    <w:rsid w:val="002664DC"/>
    <w:rsid w:val="002664DD"/>
    <w:rsid w:val="002664EB"/>
    <w:rsid w:val="002665F1"/>
    <w:rsid w:val="00266619"/>
    <w:rsid w:val="002666A5"/>
    <w:rsid w:val="002666C3"/>
    <w:rsid w:val="002667FD"/>
    <w:rsid w:val="0026684B"/>
    <w:rsid w:val="00266C67"/>
    <w:rsid w:val="0026702B"/>
    <w:rsid w:val="002672A1"/>
    <w:rsid w:val="00267674"/>
    <w:rsid w:val="002676D5"/>
    <w:rsid w:val="002677C2"/>
    <w:rsid w:val="0026781F"/>
    <w:rsid w:val="0026789A"/>
    <w:rsid w:val="002679EC"/>
    <w:rsid w:val="00267B28"/>
    <w:rsid w:val="00267DCA"/>
    <w:rsid w:val="00267FC0"/>
    <w:rsid w:val="00270191"/>
    <w:rsid w:val="002701E5"/>
    <w:rsid w:val="0027024B"/>
    <w:rsid w:val="002702F7"/>
    <w:rsid w:val="00270316"/>
    <w:rsid w:val="002703DF"/>
    <w:rsid w:val="00270610"/>
    <w:rsid w:val="0027092E"/>
    <w:rsid w:val="00270A87"/>
    <w:rsid w:val="00270AC0"/>
    <w:rsid w:val="00270BBA"/>
    <w:rsid w:val="00270FA3"/>
    <w:rsid w:val="00271139"/>
    <w:rsid w:val="0027116B"/>
    <w:rsid w:val="0027175A"/>
    <w:rsid w:val="002717A9"/>
    <w:rsid w:val="0027188F"/>
    <w:rsid w:val="00271915"/>
    <w:rsid w:val="00271C9A"/>
    <w:rsid w:val="00271D2B"/>
    <w:rsid w:val="00271FAC"/>
    <w:rsid w:val="0027226E"/>
    <w:rsid w:val="002724EB"/>
    <w:rsid w:val="0027270B"/>
    <w:rsid w:val="0027281C"/>
    <w:rsid w:val="00272960"/>
    <w:rsid w:val="0027298B"/>
    <w:rsid w:val="002729C5"/>
    <w:rsid w:val="002729E6"/>
    <w:rsid w:val="00272AFA"/>
    <w:rsid w:val="00272C03"/>
    <w:rsid w:val="0027302B"/>
    <w:rsid w:val="0027321F"/>
    <w:rsid w:val="00273272"/>
    <w:rsid w:val="0027353C"/>
    <w:rsid w:val="00273592"/>
    <w:rsid w:val="00273673"/>
    <w:rsid w:val="002737E1"/>
    <w:rsid w:val="002739FB"/>
    <w:rsid w:val="00273B0E"/>
    <w:rsid w:val="00273CCC"/>
    <w:rsid w:val="00273D9D"/>
    <w:rsid w:val="00273EAA"/>
    <w:rsid w:val="00273F21"/>
    <w:rsid w:val="002740C3"/>
    <w:rsid w:val="00274151"/>
    <w:rsid w:val="002743D3"/>
    <w:rsid w:val="002745E9"/>
    <w:rsid w:val="002747C7"/>
    <w:rsid w:val="0027491F"/>
    <w:rsid w:val="002749B9"/>
    <w:rsid w:val="002749EB"/>
    <w:rsid w:val="00274E4D"/>
    <w:rsid w:val="00274E7A"/>
    <w:rsid w:val="00274F5C"/>
    <w:rsid w:val="00274FA5"/>
    <w:rsid w:val="00274FE2"/>
    <w:rsid w:val="002750FB"/>
    <w:rsid w:val="002751DD"/>
    <w:rsid w:val="00275674"/>
    <w:rsid w:val="002756DE"/>
    <w:rsid w:val="0027583D"/>
    <w:rsid w:val="00275874"/>
    <w:rsid w:val="002758CD"/>
    <w:rsid w:val="00275AD3"/>
    <w:rsid w:val="00275B81"/>
    <w:rsid w:val="00275B9D"/>
    <w:rsid w:val="00276137"/>
    <w:rsid w:val="0027618A"/>
    <w:rsid w:val="0027623E"/>
    <w:rsid w:val="0027628C"/>
    <w:rsid w:val="00276391"/>
    <w:rsid w:val="00276436"/>
    <w:rsid w:val="00276510"/>
    <w:rsid w:val="0027666F"/>
    <w:rsid w:val="00276687"/>
    <w:rsid w:val="002766EF"/>
    <w:rsid w:val="00276702"/>
    <w:rsid w:val="00276910"/>
    <w:rsid w:val="00276B3C"/>
    <w:rsid w:val="00276CB9"/>
    <w:rsid w:val="00276CFD"/>
    <w:rsid w:val="00276D6D"/>
    <w:rsid w:val="00276FCC"/>
    <w:rsid w:val="00276FDE"/>
    <w:rsid w:val="00277041"/>
    <w:rsid w:val="002770CC"/>
    <w:rsid w:val="002772B9"/>
    <w:rsid w:val="002772C0"/>
    <w:rsid w:val="002773A7"/>
    <w:rsid w:val="00277556"/>
    <w:rsid w:val="00277569"/>
    <w:rsid w:val="00277645"/>
    <w:rsid w:val="002776B4"/>
    <w:rsid w:val="00277829"/>
    <w:rsid w:val="0027791E"/>
    <w:rsid w:val="00277C08"/>
    <w:rsid w:val="00277DDD"/>
    <w:rsid w:val="00277E02"/>
    <w:rsid w:val="00277E6D"/>
    <w:rsid w:val="00277FB7"/>
    <w:rsid w:val="002800DC"/>
    <w:rsid w:val="002801EF"/>
    <w:rsid w:val="00280251"/>
    <w:rsid w:val="00280351"/>
    <w:rsid w:val="00280393"/>
    <w:rsid w:val="00280428"/>
    <w:rsid w:val="0028050F"/>
    <w:rsid w:val="002805F2"/>
    <w:rsid w:val="00280AC2"/>
    <w:rsid w:val="00280CC3"/>
    <w:rsid w:val="00280EE8"/>
    <w:rsid w:val="00280F0A"/>
    <w:rsid w:val="002812B8"/>
    <w:rsid w:val="002814BA"/>
    <w:rsid w:val="002819BA"/>
    <w:rsid w:val="00281AFD"/>
    <w:rsid w:val="00281B28"/>
    <w:rsid w:val="00281B37"/>
    <w:rsid w:val="00281D48"/>
    <w:rsid w:val="00281E55"/>
    <w:rsid w:val="00281FC6"/>
    <w:rsid w:val="0028251A"/>
    <w:rsid w:val="0028256B"/>
    <w:rsid w:val="0028262F"/>
    <w:rsid w:val="00282653"/>
    <w:rsid w:val="002826A7"/>
    <w:rsid w:val="0028278E"/>
    <w:rsid w:val="002827C9"/>
    <w:rsid w:val="002827DA"/>
    <w:rsid w:val="002828B1"/>
    <w:rsid w:val="00282C7C"/>
    <w:rsid w:val="00282C8C"/>
    <w:rsid w:val="00282CC0"/>
    <w:rsid w:val="00282ECE"/>
    <w:rsid w:val="00283144"/>
    <w:rsid w:val="00283163"/>
    <w:rsid w:val="00283256"/>
    <w:rsid w:val="00283260"/>
    <w:rsid w:val="0028328D"/>
    <w:rsid w:val="00283663"/>
    <w:rsid w:val="002836FB"/>
    <w:rsid w:val="00283856"/>
    <w:rsid w:val="002838AD"/>
    <w:rsid w:val="002838F5"/>
    <w:rsid w:val="002838FD"/>
    <w:rsid w:val="00283A46"/>
    <w:rsid w:val="00283D26"/>
    <w:rsid w:val="00283F1C"/>
    <w:rsid w:val="00283FAB"/>
    <w:rsid w:val="002841BF"/>
    <w:rsid w:val="00284430"/>
    <w:rsid w:val="00284475"/>
    <w:rsid w:val="002844B0"/>
    <w:rsid w:val="00284563"/>
    <w:rsid w:val="00284C31"/>
    <w:rsid w:val="00284DCC"/>
    <w:rsid w:val="00284E1A"/>
    <w:rsid w:val="00284E80"/>
    <w:rsid w:val="00284FDE"/>
    <w:rsid w:val="00284FF2"/>
    <w:rsid w:val="00285199"/>
    <w:rsid w:val="00285241"/>
    <w:rsid w:val="002852AF"/>
    <w:rsid w:val="002852E9"/>
    <w:rsid w:val="0028533E"/>
    <w:rsid w:val="0028538D"/>
    <w:rsid w:val="002854AF"/>
    <w:rsid w:val="002856C3"/>
    <w:rsid w:val="002857DE"/>
    <w:rsid w:val="00285858"/>
    <w:rsid w:val="002858BD"/>
    <w:rsid w:val="0028590C"/>
    <w:rsid w:val="00285A47"/>
    <w:rsid w:val="00285A4D"/>
    <w:rsid w:val="00285BB6"/>
    <w:rsid w:val="00285BFD"/>
    <w:rsid w:val="00285C72"/>
    <w:rsid w:val="00285E36"/>
    <w:rsid w:val="00285E47"/>
    <w:rsid w:val="00285FDB"/>
    <w:rsid w:val="0028612F"/>
    <w:rsid w:val="00286137"/>
    <w:rsid w:val="00286370"/>
    <w:rsid w:val="00286504"/>
    <w:rsid w:val="0028690F"/>
    <w:rsid w:val="002869C5"/>
    <w:rsid w:val="00286AEB"/>
    <w:rsid w:val="00286CA2"/>
    <w:rsid w:val="00286D11"/>
    <w:rsid w:val="00286E24"/>
    <w:rsid w:val="00286E31"/>
    <w:rsid w:val="00286E46"/>
    <w:rsid w:val="00286F79"/>
    <w:rsid w:val="00287143"/>
    <w:rsid w:val="00287250"/>
    <w:rsid w:val="00287415"/>
    <w:rsid w:val="00287576"/>
    <w:rsid w:val="002875AE"/>
    <w:rsid w:val="0028769C"/>
    <w:rsid w:val="002876EF"/>
    <w:rsid w:val="002877C4"/>
    <w:rsid w:val="0028788C"/>
    <w:rsid w:val="00287994"/>
    <w:rsid w:val="002879FD"/>
    <w:rsid w:val="00287ABB"/>
    <w:rsid w:val="00287C23"/>
    <w:rsid w:val="00287C89"/>
    <w:rsid w:val="00287C95"/>
    <w:rsid w:val="002900C2"/>
    <w:rsid w:val="00290374"/>
    <w:rsid w:val="002904D9"/>
    <w:rsid w:val="00290770"/>
    <w:rsid w:val="00290A08"/>
    <w:rsid w:val="00290A52"/>
    <w:rsid w:val="00290AF2"/>
    <w:rsid w:val="00290B6B"/>
    <w:rsid w:val="00290B98"/>
    <w:rsid w:val="00290C9D"/>
    <w:rsid w:val="00290F56"/>
    <w:rsid w:val="00291094"/>
    <w:rsid w:val="00291154"/>
    <w:rsid w:val="002912C6"/>
    <w:rsid w:val="0029144B"/>
    <w:rsid w:val="00291735"/>
    <w:rsid w:val="0029199F"/>
    <w:rsid w:val="00291B40"/>
    <w:rsid w:val="00291B4F"/>
    <w:rsid w:val="00291B93"/>
    <w:rsid w:val="00291B97"/>
    <w:rsid w:val="00291BDF"/>
    <w:rsid w:val="00291F32"/>
    <w:rsid w:val="00291F51"/>
    <w:rsid w:val="0029224C"/>
    <w:rsid w:val="002924B1"/>
    <w:rsid w:val="00292577"/>
    <w:rsid w:val="00292731"/>
    <w:rsid w:val="0029273C"/>
    <w:rsid w:val="00292893"/>
    <w:rsid w:val="00292C5A"/>
    <w:rsid w:val="00292D9F"/>
    <w:rsid w:val="00292E89"/>
    <w:rsid w:val="002930D4"/>
    <w:rsid w:val="00293215"/>
    <w:rsid w:val="00293326"/>
    <w:rsid w:val="00293629"/>
    <w:rsid w:val="00293856"/>
    <w:rsid w:val="00293A2B"/>
    <w:rsid w:val="00293C9D"/>
    <w:rsid w:val="00293CAC"/>
    <w:rsid w:val="00293E42"/>
    <w:rsid w:val="00293F42"/>
    <w:rsid w:val="00293F53"/>
    <w:rsid w:val="00293FAD"/>
    <w:rsid w:val="0029401E"/>
    <w:rsid w:val="002940C4"/>
    <w:rsid w:val="002940F2"/>
    <w:rsid w:val="0029410A"/>
    <w:rsid w:val="0029417F"/>
    <w:rsid w:val="0029427E"/>
    <w:rsid w:val="0029436C"/>
    <w:rsid w:val="00294458"/>
    <w:rsid w:val="002947DB"/>
    <w:rsid w:val="002947F0"/>
    <w:rsid w:val="002947FC"/>
    <w:rsid w:val="0029491C"/>
    <w:rsid w:val="00294BCA"/>
    <w:rsid w:val="00294D40"/>
    <w:rsid w:val="00294F04"/>
    <w:rsid w:val="00294F73"/>
    <w:rsid w:val="0029519C"/>
    <w:rsid w:val="002952FD"/>
    <w:rsid w:val="00295984"/>
    <w:rsid w:val="0029599A"/>
    <w:rsid w:val="002959F9"/>
    <w:rsid w:val="00295D02"/>
    <w:rsid w:val="00295FCE"/>
    <w:rsid w:val="00296026"/>
    <w:rsid w:val="00296297"/>
    <w:rsid w:val="002963E2"/>
    <w:rsid w:val="0029643A"/>
    <w:rsid w:val="002964AC"/>
    <w:rsid w:val="00296570"/>
    <w:rsid w:val="0029658E"/>
    <w:rsid w:val="002965A7"/>
    <w:rsid w:val="0029670C"/>
    <w:rsid w:val="00296718"/>
    <w:rsid w:val="002967A3"/>
    <w:rsid w:val="002967CE"/>
    <w:rsid w:val="002968F6"/>
    <w:rsid w:val="00296AEA"/>
    <w:rsid w:val="00296E7B"/>
    <w:rsid w:val="00296EA8"/>
    <w:rsid w:val="00296F84"/>
    <w:rsid w:val="00296FEA"/>
    <w:rsid w:val="00297075"/>
    <w:rsid w:val="0029714F"/>
    <w:rsid w:val="00297176"/>
    <w:rsid w:val="00297400"/>
    <w:rsid w:val="0029783F"/>
    <w:rsid w:val="002978C6"/>
    <w:rsid w:val="002978DE"/>
    <w:rsid w:val="002978EA"/>
    <w:rsid w:val="00297A48"/>
    <w:rsid w:val="00297AC9"/>
    <w:rsid w:val="00297B91"/>
    <w:rsid w:val="00297F67"/>
    <w:rsid w:val="00297FF8"/>
    <w:rsid w:val="002A0078"/>
    <w:rsid w:val="002A00C9"/>
    <w:rsid w:val="002A027D"/>
    <w:rsid w:val="002A028C"/>
    <w:rsid w:val="002A02CC"/>
    <w:rsid w:val="002A02DE"/>
    <w:rsid w:val="002A0454"/>
    <w:rsid w:val="002A05CC"/>
    <w:rsid w:val="002A09D0"/>
    <w:rsid w:val="002A09ED"/>
    <w:rsid w:val="002A0B31"/>
    <w:rsid w:val="002A0B5D"/>
    <w:rsid w:val="002A0C1A"/>
    <w:rsid w:val="002A0D28"/>
    <w:rsid w:val="002A0DD6"/>
    <w:rsid w:val="002A0F17"/>
    <w:rsid w:val="002A10AE"/>
    <w:rsid w:val="002A1518"/>
    <w:rsid w:val="002A15C2"/>
    <w:rsid w:val="002A168D"/>
    <w:rsid w:val="002A176B"/>
    <w:rsid w:val="002A191F"/>
    <w:rsid w:val="002A1C16"/>
    <w:rsid w:val="002A207A"/>
    <w:rsid w:val="002A209D"/>
    <w:rsid w:val="002A21E9"/>
    <w:rsid w:val="002A22FC"/>
    <w:rsid w:val="002A2392"/>
    <w:rsid w:val="002A246C"/>
    <w:rsid w:val="002A266F"/>
    <w:rsid w:val="002A26D5"/>
    <w:rsid w:val="002A270E"/>
    <w:rsid w:val="002A27D9"/>
    <w:rsid w:val="002A29E3"/>
    <w:rsid w:val="002A29FB"/>
    <w:rsid w:val="002A2B72"/>
    <w:rsid w:val="002A2CA6"/>
    <w:rsid w:val="002A2CD0"/>
    <w:rsid w:val="002A2F09"/>
    <w:rsid w:val="002A2F25"/>
    <w:rsid w:val="002A3363"/>
    <w:rsid w:val="002A345E"/>
    <w:rsid w:val="002A362D"/>
    <w:rsid w:val="002A368B"/>
    <w:rsid w:val="002A36EE"/>
    <w:rsid w:val="002A36F6"/>
    <w:rsid w:val="002A37CE"/>
    <w:rsid w:val="002A392B"/>
    <w:rsid w:val="002A39F8"/>
    <w:rsid w:val="002A3A13"/>
    <w:rsid w:val="002A3A73"/>
    <w:rsid w:val="002A3AA4"/>
    <w:rsid w:val="002A3AEB"/>
    <w:rsid w:val="002A3BE8"/>
    <w:rsid w:val="002A3BF0"/>
    <w:rsid w:val="002A3E69"/>
    <w:rsid w:val="002A4078"/>
    <w:rsid w:val="002A40E7"/>
    <w:rsid w:val="002A431C"/>
    <w:rsid w:val="002A43CE"/>
    <w:rsid w:val="002A447F"/>
    <w:rsid w:val="002A4533"/>
    <w:rsid w:val="002A464E"/>
    <w:rsid w:val="002A4717"/>
    <w:rsid w:val="002A4961"/>
    <w:rsid w:val="002A4A0B"/>
    <w:rsid w:val="002A4A16"/>
    <w:rsid w:val="002A4BA2"/>
    <w:rsid w:val="002A4C27"/>
    <w:rsid w:val="002A4CA2"/>
    <w:rsid w:val="002A4CCA"/>
    <w:rsid w:val="002A4EC3"/>
    <w:rsid w:val="002A5054"/>
    <w:rsid w:val="002A522E"/>
    <w:rsid w:val="002A536A"/>
    <w:rsid w:val="002A57BB"/>
    <w:rsid w:val="002A59E4"/>
    <w:rsid w:val="002A5A13"/>
    <w:rsid w:val="002A5C4B"/>
    <w:rsid w:val="002A5CE0"/>
    <w:rsid w:val="002A5D41"/>
    <w:rsid w:val="002A5D77"/>
    <w:rsid w:val="002A6062"/>
    <w:rsid w:val="002A60B1"/>
    <w:rsid w:val="002A629F"/>
    <w:rsid w:val="002A6952"/>
    <w:rsid w:val="002A6C3F"/>
    <w:rsid w:val="002A6C41"/>
    <w:rsid w:val="002A6C47"/>
    <w:rsid w:val="002A6D26"/>
    <w:rsid w:val="002A6EAA"/>
    <w:rsid w:val="002A6F80"/>
    <w:rsid w:val="002A6F8F"/>
    <w:rsid w:val="002A6FA5"/>
    <w:rsid w:val="002A7183"/>
    <w:rsid w:val="002A71BD"/>
    <w:rsid w:val="002A731A"/>
    <w:rsid w:val="002A7327"/>
    <w:rsid w:val="002A7607"/>
    <w:rsid w:val="002A77AC"/>
    <w:rsid w:val="002A79F9"/>
    <w:rsid w:val="002A7A58"/>
    <w:rsid w:val="002A7B95"/>
    <w:rsid w:val="002A7F4D"/>
    <w:rsid w:val="002B0290"/>
    <w:rsid w:val="002B03B0"/>
    <w:rsid w:val="002B0635"/>
    <w:rsid w:val="002B0694"/>
    <w:rsid w:val="002B06D5"/>
    <w:rsid w:val="002B06E9"/>
    <w:rsid w:val="002B07AE"/>
    <w:rsid w:val="002B0A05"/>
    <w:rsid w:val="002B0A13"/>
    <w:rsid w:val="002B0BBC"/>
    <w:rsid w:val="002B0C29"/>
    <w:rsid w:val="002B0CB0"/>
    <w:rsid w:val="002B0CFB"/>
    <w:rsid w:val="002B0D12"/>
    <w:rsid w:val="002B0FAE"/>
    <w:rsid w:val="002B1088"/>
    <w:rsid w:val="002B12D2"/>
    <w:rsid w:val="002B1356"/>
    <w:rsid w:val="002B1418"/>
    <w:rsid w:val="002B14D5"/>
    <w:rsid w:val="002B1536"/>
    <w:rsid w:val="002B161B"/>
    <w:rsid w:val="002B16CA"/>
    <w:rsid w:val="002B18DD"/>
    <w:rsid w:val="002B1960"/>
    <w:rsid w:val="002B19F3"/>
    <w:rsid w:val="002B1AC8"/>
    <w:rsid w:val="002B1B39"/>
    <w:rsid w:val="002B1B7D"/>
    <w:rsid w:val="002B1BBB"/>
    <w:rsid w:val="002B1D85"/>
    <w:rsid w:val="002B1EBE"/>
    <w:rsid w:val="002B1ED5"/>
    <w:rsid w:val="002B2003"/>
    <w:rsid w:val="002B2043"/>
    <w:rsid w:val="002B2456"/>
    <w:rsid w:val="002B25AA"/>
    <w:rsid w:val="002B2676"/>
    <w:rsid w:val="002B275F"/>
    <w:rsid w:val="002B2874"/>
    <w:rsid w:val="002B28B7"/>
    <w:rsid w:val="002B28FF"/>
    <w:rsid w:val="002B2916"/>
    <w:rsid w:val="002B2A44"/>
    <w:rsid w:val="002B2C8D"/>
    <w:rsid w:val="002B2DF3"/>
    <w:rsid w:val="002B2E2F"/>
    <w:rsid w:val="002B2F3C"/>
    <w:rsid w:val="002B30BD"/>
    <w:rsid w:val="002B3126"/>
    <w:rsid w:val="002B3172"/>
    <w:rsid w:val="002B3192"/>
    <w:rsid w:val="002B32B9"/>
    <w:rsid w:val="002B3318"/>
    <w:rsid w:val="002B338B"/>
    <w:rsid w:val="002B33C1"/>
    <w:rsid w:val="002B34F2"/>
    <w:rsid w:val="002B359E"/>
    <w:rsid w:val="002B3659"/>
    <w:rsid w:val="002B3894"/>
    <w:rsid w:val="002B3CF4"/>
    <w:rsid w:val="002B3D36"/>
    <w:rsid w:val="002B3D46"/>
    <w:rsid w:val="002B3DAC"/>
    <w:rsid w:val="002B3DBD"/>
    <w:rsid w:val="002B3EB2"/>
    <w:rsid w:val="002B3F06"/>
    <w:rsid w:val="002B41FA"/>
    <w:rsid w:val="002B4270"/>
    <w:rsid w:val="002B4272"/>
    <w:rsid w:val="002B43C0"/>
    <w:rsid w:val="002B4422"/>
    <w:rsid w:val="002B4625"/>
    <w:rsid w:val="002B4681"/>
    <w:rsid w:val="002B47AE"/>
    <w:rsid w:val="002B4877"/>
    <w:rsid w:val="002B490D"/>
    <w:rsid w:val="002B4950"/>
    <w:rsid w:val="002B4A94"/>
    <w:rsid w:val="002B4C10"/>
    <w:rsid w:val="002B4CFC"/>
    <w:rsid w:val="002B4D1E"/>
    <w:rsid w:val="002B4D65"/>
    <w:rsid w:val="002B4EED"/>
    <w:rsid w:val="002B4F1A"/>
    <w:rsid w:val="002B4F28"/>
    <w:rsid w:val="002B4F64"/>
    <w:rsid w:val="002B511B"/>
    <w:rsid w:val="002B51AC"/>
    <w:rsid w:val="002B53CF"/>
    <w:rsid w:val="002B5455"/>
    <w:rsid w:val="002B551C"/>
    <w:rsid w:val="002B55A3"/>
    <w:rsid w:val="002B5614"/>
    <w:rsid w:val="002B567E"/>
    <w:rsid w:val="002B58CC"/>
    <w:rsid w:val="002B58FE"/>
    <w:rsid w:val="002B5A7B"/>
    <w:rsid w:val="002B5A85"/>
    <w:rsid w:val="002B5B05"/>
    <w:rsid w:val="002B5B82"/>
    <w:rsid w:val="002B5FA4"/>
    <w:rsid w:val="002B630B"/>
    <w:rsid w:val="002B63AD"/>
    <w:rsid w:val="002B656F"/>
    <w:rsid w:val="002B65D2"/>
    <w:rsid w:val="002B6649"/>
    <w:rsid w:val="002B671F"/>
    <w:rsid w:val="002B6773"/>
    <w:rsid w:val="002B6915"/>
    <w:rsid w:val="002B69E3"/>
    <w:rsid w:val="002B6B65"/>
    <w:rsid w:val="002B6BCB"/>
    <w:rsid w:val="002B6D18"/>
    <w:rsid w:val="002B6E82"/>
    <w:rsid w:val="002B71BA"/>
    <w:rsid w:val="002B727B"/>
    <w:rsid w:val="002B7494"/>
    <w:rsid w:val="002B76E7"/>
    <w:rsid w:val="002B79C0"/>
    <w:rsid w:val="002B7A9F"/>
    <w:rsid w:val="002B7B61"/>
    <w:rsid w:val="002B7BF2"/>
    <w:rsid w:val="002B7C07"/>
    <w:rsid w:val="002B7DA9"/>
    <w:rsid w:val="002B7EA5"/>
    <w:rsid w:val="002C0689"/>
    <w:rsid w:val="002C07B1"/>
    <w:rsid w:val="002C07B8"/>
    <w:rsid w:val="002C0B65"/>
    <w:rsid w:val="002C0CA1"/>
    <w:rsid w:val="002C0D02"/>
    <w:rsid w:val="002C0D72"/>
    <w:rsid w:val="002C0EDC"/>
    <w:rsid w:val="002C0F32"/>
    <w:rsid w:val="002C0F38"/>
    <w:rsid w:val="002C0FD2"/>
    <w:rsid w:val="002C1180"/>
    <w:rsid w:val="002C1413"/>
    <w:rsid w:val="002C17BE"/>
    <w:rsid w:val="002C18E4"/>
    <w:rsid w:val="002C18E7"/>
    <w:rsid w:val="002C1CA6"/>
    <w:rsid w:val="002C1FFB"/>
    <w:rsid w:val="002C2062"/>
    <w:rsid w:val="002C223E"/>
    <w:rsid w:val="002C2296"/>
    <w:rsid w:val="002C24CD"/>
    <w:rsid w:val="002C24EF"/>
    <w:rsid w:val="002C25C9"/>
    <w:rsid w:val="002C2737"/>
    <w:rsid w:val="002C2B68"/>
    <w:rsid w:val="002C2B91"/>
    <w:rsid w:val="002C2C2A"/>
    <w:rsid w:val="002C2CE6"/>
    <w:rsid w:val="002C2F24"/>
    <w:rsid w:val="002C321E"/>
    <w:rsid w:val="002C3238"/>
    <w:rsid w:val="002C32AB"/>
    <w:rsid w:val="002C359E"/>
    <w:rsid w:val="002C36B6"/>
    <w:rsid w:val="002C36E0"/>
    <w:rsid w:val="002C371B"/>
    <w:rsid w:val="002C3774"/>
    <w:rsid w:val="002C37A9"/>
    <w:rsid w:val="002C37AD"/>
    <w:rsid w:val="002C39F6"/>
    <w:rsid w:val="002C3BDB"/>
    <w:rsid w:val="002C3C74"/>
    <w:rsid w:val="002C3D8C"/>
    <w:rsid w:val="002C3F38"/>
    <w:rsid w:val="002C3F67"/>
    <w:rsid w:val="002C4115"/>
    <w:rsid w:val="002C412A"/>
    <w:rsid w:val="002C41F9"/>
    <w:rsid w:val="002C43D7"/>
    <w:rsid w:val="002C4495"/>
    <w:rsid w:val="002C466D"/>
    <w:rsid w:val="002C4859"/>
    <w:rsid w:val="002C4C39"/>
    <w:rsid w:val="002C4C55"/>
    <w:rsid w:val="002C4F5C"/>
    <w:rsid w:val="002C514A"/>
    <w:rsid w:val="002C5261"/>
    <w:rsid w:val="002C52D9"/>
    <w:rsid w:val="002C5422"/>
    <w:rsid w:val="002C542A"/>
    <w:rsid w:val="002C5503"/>
    <w:rsid w:val="002C555F"/>
    <w:rsid w:val="002C55C9"/>
    <w:rsid w:val="002C560B"/>
    <w:rsid w:val="002C56E6"/>
    <w:rsid w:val="002C57F0"/>
    <w:rsid w:val="002C5831"/>
    <w:rsid w:val="002C5AC8"/>
    <w:rsid w:val="002C5C0D"/>
    <w:rsid w:val="002C5CC4"/>
    <w:rsid w:val="002C5DC5"/>
    <w:rsid w:val="002C5DFB"/>
    <w:rsid w:val="002C606F"/>
    <w:rsid w:val="002C6158"/>
    <w:rsid w:val="002C61F0"/>
    <w:rsid w:val="002C6379"/>
    <w:rsid w:val="002C6696"/>
    <w:rsid w:val="002C66EC"/>
    <w:rsid w:val="002C67A7"/>
    <w:rsid w:val="002C6854"/>
    <w:rsid w:val="002C68A5"/>
    <w:rsid w:val="002C6ABC"/>
    <w:rsid w:val="002C6C47"/>
    <w:rsid w:val="002C6E58"/>
    <w:rsid w:val="002C6FD5"/>
    <w:rsid w:val="002C7118"/>
    <w:rsid w:val="002C720D"/>
    <w:rsid w:val="002C73A3"/>
    <w:rsid w:val="002C76AB"/>
    <w:rsid w:val="002C7900"/>
    <w:rsid w:val="002C793F"/>
    <w:rsid w:val="002C7A27"/>
    <w:rsid w:val="002C7CD2"/>
    <w:rsid w:val="002C7DB4"/>
    <w:rsid w:val="002D0484"/>
    <w:rsid w:val="002D07D2"/>
    <w:rsid w:val="002D08E6"/>
    <w:rsid w:val="002D09E5"/>
    <w:rsid w:val="002D0A3B"/>
    <w:rsid w:val="002D0B9F"/>
    <w:rsid w:val="002D0C5D"/>
    <w:rsid w:val="002D0C99"/>
    <w:rsid w:val="002D11C8"/>
    <w:rsid w:val="002D1358"/>
    <w:rsid w:val="002D189C"/>
    <w:rsid w:val="002D18D5"/>
    <w:rsid w:val="002D1954"/>
    <w:rsid w:val="002D1A83"/>
    <w:rsid w:val="002D1C3D"/>
    <w:rsid w:val="002D2178"/>
    <w:rsid w:val="002D231D"/>
    <w:rsid w:val="002D2334"/>
    <w:rsid w:val="002D2391"/>
    <w:rsid w:val="002D258D"/>
    <w:rsid w:val="002D2769"/>
    <w:rsid w:val="002D2868"/>
    <w:rsid w:val="002D2A83"/>
    <w:rsid w:val="002D2BAC"/>
    <w:rsid w:val="002D2C3F"/>
    <w:rsid w:val="002D2D83"/>
    <w:rsid w:val="002D2E92"/>
    <w:rsid w:val="002D2F60"/>
    <w:rsid w:val="002D300D"/>
    <w:rsid w:val="002D318C"/>
    <w:rsid w:val="002D31F1"/>
    <w:rsid w:val="002D33C4"/>
    <w:rsid w:val="002D3740"/>
    <w:rsid w:val="002D3809"/>
    <w:rsid w:val="002D3985"/>
    <w:rsid w:val="002D39AD"/>
    <w:rsid w:val="002D3D2C"/>
    <w:rsid w:val="002D3D99"/>
    <w:rsid w:val="002D4138"/>
    <w:rsid w:val="002D4157"/>
    <w:rsid w:val="002D4169"/>
    <w:rsid w:val="002D4212"/>
    <w:rsid w:val="002D4293"/>
    <w:rsid w:val="002D43FD"/>
    <w:rsid w:val="002D4536"/>
    <w:rsid w:val="002D48E0"/>
    <w:rsid w:val="002D4A18"/>
    <w:rsid w:val="002D4B76"/>
    <w:rsid w:val="002D4BD2"/>
    <w:rsid w:val="002D4F74"/>
    <w:rsid w:val="002D51B2"/>
    <w:rsid w:val="002D5243"/>
    <w:rsid w:val="002D53E5"/>
    <w:rsid w:val="002D5406"/>
    <w:rsid w:val="002D5513"/>
    <w:rsid w:val="002D5515"/>
    <w:rsid w:val="002D55B4"/>
    <w:rsid w:val="002D55D0"/>
    <w:rsid w:val="002D5845"/>
    <w:rsid w:val="002D585C"/>
    <w:rsid w:val="002D59B0"/>
    <w:rsid w:val="002D5B16"/>
    <w:rsid w:val="002D61A8"/>
    <w:rsid w:val="002D62B8"/>
    <w:rsid w:val="002D6301"/>
    <w:rsid w:val="002D6410"/>
    <w:rsid w:val="002D6513"/>
    <w:rsid w:val="002D6514"/>
    <w:rsid w:val="002D6779"/>
    <w:rsid w:val="002D6818"/>
    <w:rsid w:val="002D68A3"/>
    <w:rsid w:val="002D69E9"/>
    <w:rsid w:val="002D6ABD"/>
    <w:rsid w:val="002D6B9F"/>
    <w:rsid w:val="002D6C8B"/>
    <w:rsid w:val="002D6FBC"/>
    <w:rsid w:val="002D7086"/>
    <w:rsid w:val="002D717E"/>
    <w:rsid w:val="002D7391"/>
    <w:rsid w:val="002D73DE"/>
    <w:rsid w:val="002D7739"/>
    <w:rsid w:val="002D785A"/>
    <w:rsid w:val="002D78A3"/>
    <w:rsid w:val="002D7A64"/>
    <w:rsid w:val="002D7BC0"/>
    <w:rsid w:val="002D7D60"/>
    <w:rsid w:val="002E0134"/>
    <w:rsid w:val="002E017F"/>
    <w:rsid w:val="002E032C"/>
    <w:rsid w:val="002E0382"/>
    <w:rsid w:val="002E03E6"/>
    <w:rsid w:val="002E04D5"/>
    <w:rsid w:val="002E059A"/>
    <w:rsid w:val="002E08D0"/>
    <w:rsid w:val="002E08D5"/>
    <w:rsid w:val="002E09D0"/>
    <w:rsid w:val="002E0D43"/>
    <w:rsid w:val="002E0DA7"/>
    <w:rsid w:val="002E1003"/>
    <w:rsid w:val="002E1089"/>
    <w:rsid w:val="002E10A4"/>
    <w:rsid w:val="002E12C8"/>
    <w:rsid w:val="002E1366"/>
    <w:rsid w:val="002E14F1"/>
    <w:rsid w:val="002E15D4"/>
    <w:rsid w:val="002E1812"/>
    <w:rsid w:val="002E1A3E"/>
    <w:rsid w:val="002E1A63"/>
    <w:rsid w:val="002E1A6B"/>
    <w:rsid w:val="002E1ADC"/>
    <w:rsid w:val="002E1AE0"/>
    <w:rsid w:val="002E1CF6"/>
    <w:rsid w:val="002E1D2F"/>
    <w:rsid w:val="002E1FA7"/>
    <w:rsid w:val="002E1FC2"/>
    <w:rsid w:val="002E21D8"/>
    <w:rsid w:val="002E220F"/>
    <w:rsid w:val="002E22C7"/>
    <w:rsid w:val="002E248D"/>
    <w:rsid w:val="002E267C"/>
    <w:rsid w:val="002E2813"/>
    <w:rsid w:val="002E292C"/>
    <w:rsid w:val="002E2ADA"/>
    <w:rsid w:val="002E2AE1"/>
    <w:rsid w:val="002E2C96"/>
    <w:rsid w:val="002E2EEB"/>
    <w:rsid w:val="002E2FFE"/>
    <w:rsid w:val="002E3163"/>
    <w:rsid w:val="002E31FC"/>
    <w:rsid w:val="002E3244"/>
    <w:rsid w:val="002E3288"/>
    <w:rsid w:val="002E3495"/>
    <w:rsid w:val="002E34C6"/>
    <w:rsid w:val="002E34D9"/>
    <w:rsid w:val="002E353B"/>
    <w:rsid w:val="002E35FC"/>
    <w:rsid w:val="002E37BE"/>
    <w:rsid w:val="002E3B5A"/>
    <w:rsid w:val="002E3B9D"/>
    <w:rsid w:val="002E3F3D"/>
    <w:rsid w:val="002E42A6"/>
    <w:rsid w:val="002E431D"/>
    <w:rsid w:val="002E43B1"/>
    <w:rsid w:val="002E43E8"/>
    <w:rsid w:val="002E4424"/>
    <w:rsid w:val="002E4816"/>
    <w:rsid w:val="002E486E"/>
    <w:rsid w:val="002E4A1A"/>
    <w:rsid w:val="002E4B87"/>
    <w:rsid w:val="002E4C9C"/>
    <w:rsid w:val="002E4CBB"/>
    <w:rsid w:val="002E4FBA"/>
    <w:rsid w:val="002E5190"/>
    <w:rsid w:val="002E5349"/>
    <w:rsid w:val="002E53A4"/>
    <w:rsid w:val="002E53B2"/>
    <w:rsid w:val="002E554D"/>
    <w:rsid w:val="002E55F4"/>
    <w:rsid w:val="002E5908"/>
    <w:rsid w:val="002E59B6"/>
    <w:rsid w:val="002E5A6E"/>
    <w:rsid w:val="002E5B2D"/>
    <w:rsid w:val="002E5C7C"/>
    <w:rsid w:val="002E6206"/>
    <w:rsid w:val="002E638D"/>
    <w:rsid w:val="002E63C7"/>
    <w:rsid w:val="002E63E7"/>
    <w:rsid w:val="002E67B4"/>
    <w:rsid w:val="002E685F"/>
    <w:rsid w:val="002E69F1"/>
    <w:rsid w:val="002E6E68"/>
    <w:rsid w:val="002E6E93"/>
    <w:rsid w:val="002E6ED2"/>
    <w:rsid w:val="002E6F4D"/>
    <w:rsid w:val="002E6F93"/>
    <w:rsid w:val="002E7147"/>
    <w:rsid w:val="002E715D"/>
    <w:rsid w:val="002E7296"/>
    <w:rsid w:val="002E73D8"/>
    <w:rsid w:val="002E74B1"/>
    <w:rsid w:val="002E7543"/>
    <w:rsid w:val="002E7827"/>
    <w:rsid w:val="002E794E"/>
    <w:rsid w:val="002E79D6"/>
    <w:rsid w:val="002E7C27"/>
    <w:rsid w:val="002E7C73"/>
    <w:rsid w:val="002E7CC0"/>
    <w:rsid w:val="002E7CDF"/>
    <w:rsid w:val="002E7D8D"/>
    <w:rsid w:val="002E7E11"/>
    <w:rsid w:val="002F03CF"/>
    <w:rsid w:val="002F0584"/>
    <w:rsid w:val="002F05C6"/>
    <w:rsid w:val="002F085C"/>
    <w:rsid w:val="002F0BBA"/>
    <w:rsid w:val="002F0D39"/>
    <w:rsid w:val="002F0DC0"/>
    <w:rsid w:val="002F0DD7"/>
    <w:rsid w:val="002F0EC9"/>
    <w:rsid w:val="002F10AC"/>
    <w:rsid w:val="002F10CD"/>
    <w:rsid w:val="002F10D0"/>
    <w:rsid w:val="002F1564"/>
    <w:rsid w:val="002F1645"/>
    <w:rsid w:val="002F1714"/>
    <w:rsid w:val="002F173C"/>
    <w:rsid w:val="002F181A"/>
    <w:rsid w:val="002F183F"/>
    <w:rsid w:val="002F1A35"/>
    <w:rsid w:val="002F1A4A"/>
    <w:rsid w:val="002F1A77"/>
    <w:rsid w:val="002F1AC0"/>
    <w:rsid w:val="002F1B17"/>
    <w:rsid w:val="002F1BFD"/>
    <w:rsid w:val="002F1E1E"/>
    <w:rsid w:val="002F1EE3"/>
    <w:rsid w:val="002F2107"/>
    <w:rsid w:val="002F2158"/>
    <w:rsid w:val="002F217C"/>
    <w:rsid w:val="002F2182"/>
    <w:rsid w:val="002F22FC"/>
    <w:rsid w:val="002F2353"/>
    <w:rsid w:val="002F238B"/>
    <w:rsid w:val="002F240E"/>
    <w:rsid w:val="002F263B"/>
    <w:rsid w:val="002F26F1"/>
    <w:rsid w:val="002F2789"/>
    <w:rsid w:val="002F2801"/>
    <w:rsid w:val="002F281D"/>
    <w:rsid w:val="002F2C33"/>
    <w:rsid w:val="002F2DFB"/>
    <w:rsid w:val="002F2E14"/>
    <w:rsid w:val="002F2EB1"/>
    <w:rsid w:val="002F2EE9"/>
    <w:rsid w:val="002F2F08"/>
    <w:rsid w:val="002F2F5F"/>
    <w:rsid w:val="002F3025"/>
    <w:rsid w:val="002F30DE"/>
    <w:rsid w:val="002F31C8"/>
    <w:rsid w:val="002F33E7"/>
    <w:rsid w:val="002F3820"/>
    <w:rsid w:val="002F3852"/>
    <w:rsid w:val="002F390A"/>
    <w:rsid w:val="002F3AA4"/>
    <w:rsid w:val="002F3C50"/>
    <w:rsid w:val="002F3D9D"/>
    <w:rsid w:val="002F40A4"/>
    <w:rsid w:val="002F40E9"/>
    <w:rsid w:val="002F412B"/>
    <w:rsid w:val="002F4144"/>
    <w:rsid w:val="002F41A2"/>
    <w:rsid w:val="002F42CA"/>
    <w:rsid w:val="002F430F"/>
    <w:rsid w:val="002F432E"/>
    <w:rsid w:val="002F44E4"/>
    <w:rsid w:val="002F44FC"/>
    <w:rsid w:val="002F4671"/>
    <w:rsid w:val="002F468D"/>
    <w:rsid w:val="002F4844"/>
    <w:rsid w:val="002F4862"/>
    <w:rsid w:val="002F48C8"/>
    <w:rsid w:val="002F4ADF"/>
    <w:rsid w:val="002F4B7B"/>
    <w:rsid w:val="002F4C15"/>
    <w:rsid w:val="002F4C4B"/>
    <w:rsid w:val="002F4FA5"/>
    <w:rsid w:val="002F5139"/>
    <w:rsid w:val="002F519E"/>
    <w:rsid w:val="002F51BB"/>
    <w:rsid w:val="002F5202"/>
    <w:rsid w:val="002F52B8"/>
    <w:rsid w:val="002F52EB"/>
    <w:rsid w:val="002F52F3"/>
    <w:rsid w:val="002F5482"/>
    <w:rsid w:val="002F55CE"/>
    <w:rsid w:val="002F564B"/>
    <w:rsid w:val="002F56FF"/>
    <w:rsid w:val="002F580B"/>
    <w:rsid w:val="002F5AFF"/>
    <w:rsid w:val="002F5B61"/>
    <w:rsid w:val="002F5F0D"/>
    <w:rsid w:val="002F5F8A"/>
    <w:rsid w:val="002F5FA5"/>
    <w:rsid w:val="002F5FF2"/>
    <w:rsid w:val="002F616B"/>
    <w:rsid w:val="002F6199"/>
    <w:rsid w:val="002F6219"/>
    <w:rsid w:val="002F628A"/>
    <w:rsid w:val="002F63FA"/>
    <w:rsid w:val="002F64EB"/>
    <w:rsid w:val="002F6535"/>
    <w:rsid w:val="002F660B"/>
    <w:rsid w:val="002F6647"/>
    <w:rsid w:val="002F6677"/>
    <w:rsid w:val="002F6747"/>
    <w:rsid w:val="002F68A8"/>
    <w:rsid w:val="002F69C8"/>
    <w:rsid w:val="002F69D7"/>
    <w:rsid w:val="002F6A3D"/>
    <w:rsid w:val="002F6A5A"/>
    <w:rsid w:val="002F6AE1"/>
    <w:rsid w:val="002F6D23"/>
    <w:rsid w:val="002F6F27"/>
    <w:rsid w:val="002F6FBE"/>
    <w:rsid w:val="002F711F"/>
    <w:rsid w:val="002F714C"/>
    <w:rsid w:val="002F7264"/>
    <w:rsid w:val="002F727D"/>
    <w:rsid w:val="002F73FE"/>
    <w:rsid w:val="002F7548"/>
    <w:rsid w:val="002F7659"/>
    <w:rsid w:val="002F76F5"/>
    <w:rsid w:val="002F7752"/>
    <w:rsid w:val="002F7AB1"/>
    <w:rsid w:val="002F7C94"/>
    <w:rsid w:val="002F7C9E"/>
    <w:rsid w:val="002F7D4B"/>
    <w:rsid w:val="002F7E7E"/>
    <w:rsid w:val="002F7FDA"/>
    <w:rsid w:val="0030009D"/>
    <w:rsid w:val="003002F2"/>
    <w:rsid w:val="003002FF"/>
    <w:rsid w:val="0030041D"/>
    <w:rsid w:val="00300508"/>
    <w:rsid w:val="003005F1"/>
    <w:rsid w:val="00300624"/>
    <w:rsid w:val="00300646"/>
    <w:rsid w:val="0030078E"/>
    <w:rsid w:val="0030089B"/>
    <w:rsid w:val="00300A93"/>
    <w:rsid w:val="00300C94"/>
    <w:rsid w:val="00300E9B"/>
    <w:rsid w:val="003010A9"/>
    <w:rsid w:val="003010B2"/>
    <w:rsid w:val="003013F5"/>
    <w:rsid w:val="0030156F"/>
    <w:rsid w:val="003015E6"/>
    <w:rsid w:val="00301923"/>
    <w:rsid w:val="00301BBC"/>
    <w:rsid w:val="00301BC2"/>
    <w:rsid w:val="00301C5A"/>
    <w:rsid w:val="00301CEE"/>
    <w:rsid w:val="00301E01"/>
    <w:rsid w:val="00301E36"/>
    <w:rsid w:val="00301F82"/>
    <w:rsid w:val="0030226F"/>
    <w:rsid w:val="003022D5"/>
    <w:rsid w:val="003023A4"/>
    <w:rsid w:val="003029E4"/>
    <w:rsid w:val="00302B71"/>
    <w:rsid w:val="00302B85"/>
    <w:rsid w:val="00302C4D"/>
    <w:rsid w:val="00302D6F"/>
    <w:rsid w:val="00302E83"/>
    <w:rsid w:val="00302ECB"/>
    <w:rsid w:val="00303012"/>
    <w:rsid w:val="00303108"/>
    <w:rsid w:val="0030323F"/>
    <w:rsid w:val="003032A5"/>
    <w:rsid w:val="0030330A"/>
    <w:rsid w:val="003034E9"/>
    <w:rsid w:val="0030351F"/>
    <w:rsid w:val="00303768"/>
    <w:rsid w:val="00303775"/>
    <w:rsid w:val="003038A0"/>
    <w:rsid w:val="003039BC"/>
    <w:rsid w:val="00303B85"/>
    <w:rsid w:val="00303BF2"/>
    <w:rsid w:val="00303E11"/>
    <w:rsid w:val="00303E7A"/>
    <w:rsid w:val="00303F52"/>
    <w:rsid w:val="00303F62"/>
    <w:rsid w:val="00304011"/>
    <w:rsid w:val="003040B7"/>
    <w:rsid w:val="0030412E"/>
    <w:rsid w:val="00304287"/>
    <w:rsid w:val="00304296"/>
    <w:rsid w:val="00304350"/>
    <w:rsid w:val="00304378"/>
    <w:rsid w:val="00304405"/>
    <w:rsid w:val="00304421"/>
    <w:rsid w:val="003045C8"/>
    <w:rsid w:val="003046A2"/>
    <w:rsid w:val="00304775"/>
    <w:rsid w:val="003048CE"/>
    <w:rsid w:val="003049DF"/>
    <w:rsid w:val="00304B8D"/>
    <w:rsid w:val="00304CCA"/>
    <w:rsid w:val="00304D83"/>
    <w:rsid w:val="00304DA0"/>
    <w:rsid w:val="00304E43"/>
    <w:rsid w:val="0030500A"/>
    <w:rsid w:val="0030503A"/>
    <w:rsid w:val="0030521D"/>
    <w:rsid w:val="0030521F"/>
    <w:rsid w:val="00305800"/>
    <w:rsid w:val="00305928"/>
    <w:rsid w:val="00305998"/>
    <w:rsid w:val="00305C0D"/>
    <w:rsid w:val="00305CFE"/>
    <w:rsid w:val="00305DE4"/>
    <w:rsid w:val="00305E1D"/>
    <w:rsid w:val="00305E20"/>
    <w:rsid w:val="00305ED9"/>
    <w:rsid w:val="00306163"/>
    <w:rsid w:val="003062C4"/>
    <w:rsid w:val="00306457"/>
    <w:rsid w:val="0030651D"/>
    <w:rsid w:val="00306661"/>
    <w:rsid w:val="003067CA"/>
    <w:rsid w:val="00306B05"/>
    <w:rsid w:val="00306BF3"/>
    <w:rsid w:val="00306DA6"/>
    <w:rsid w:val="00306DBD"/>
    <w:rsid w:val="00306F78"/>
    <w:rsid w:val="00307159"/>
    <w:rsid w:val="003072EF"/>
    <w:rsid w:val="00307397"/>
    <w:rsid w:val="003074D4"/>
    <w:rsid w:val="00307679"/>
    <w:rsid w:val="003076A6"/>
    <w:rsid w:val="00307719"/>
    <w:rsid w:val="003077FF"/>
    <w:rsid w:val="0030789F"/>
    <w:rsid w:val="0030790F"/>
    <w:rsid w:val="003079AD"/>
    <w:rsid w:val="00307B05"/>
    <w:rsid w:val="00307C33"/>
    <w:rsid w:val="00307DA5"/>
    <w:rsid w:val="00307DC6"/>
    <w:rsid w:val="00307FC5"/>
    <w:rsid w:val="00307FE6"/>
    <w:rsid w:val="00310127"/>
    <w:rsid w:val="0031025A"/>
    <w:rsid w:val="00310286"/>
    <w:rsid w:val="00310294"/>
    <w:rsid w:val="003104CF"/>
    <w:rsid w:val="003105E3"/>
    <w:rsid w:val="00310833"/>
    <w:rsid w:val="003109F6"/>
    <w:rsid w:val="00310ADC"/>
    <w:rsid w:val="00310C0A"/>
    <w:rsid w:val="00310DA6"/>
    <w:rsid w:val="00311240"/>
    <w:rsid w:val="003113CF"/>
    <w:rsid w:val="00311594"/>
    <w:rsid w:val="00311A39"/>
    <w:rsid w:val="00311EC2"/>
    <w:rsid w:val="00311EF2"/>
    <w:rsid w:val="00311F95"/>
    <w:rsid w:val="00312228"/>
    <w:rsid w:val="00312247"/>
    <w:rsid w:val="003123AF"/>
    <w:rsid w:val="00312576"/>
    <w:rsid w:val="0031281B"/>
    <w:rsid w:val="00312830"/>
    <w:rsid w:val="003128C5"/>
    <w:rsid w:val="00312920"/>
    <w:rsid w:val="00312AD3"/>
    <w:rsid w:val="00312AD9"/>
    <w:rsid w:val="00312B12"/>
    <w:rsid w:val="00312DF9"/>
    <w:rsid w:val="00312E0B"/>
    <w:rsid w:val="0031322C"/>
    <w:rsid w:val="003132E5"/>
    <w:rsid w:val="00313823"/>
    <w:rsid w:val="00313872"/>
    <w:rsid w:val="003139D2"/>
    <w:rsid w:val="003139F9"/>
    <w:rsid w:val="00313A2F"/>
    <w:rsid w:val="00313B62"/>
    <w:rsid w:val="00313BC8"/>
    <w:rsid w:val="00313C87"/>
    <w:rsid w:val="00313D17"/>
    <w:rsid w:val="00313F15"/>
    <w:rsid w:val="00314016"/>
    <w:rsid w:val="003141DC"/>
    <w:rsid w:val="0031434F"/>
    <w:rsid w:val="0031442D"/>
    <w:rsid w:val="00314464"/>
    <w:rsid w:val="003145D3"/>
    <w:rsid w:val="003145F3"/>
    <w:rsid w:val="00314619"/>
    <w:rsid w:val="003146EE"/>
    <w:rsid w:val="00314712"/>
    <w:rsid w:val="00314760"/>
    <w:rsid w:val="003148B1"/>
    <w:rsid w:val="003148F7"/>
    <w:rsid w:val="003148FC"/>
    <w:rsid w:val="003149D4"/>
    <w:rsid w:val="00314A8A"/>
    <w:rsid w:val="00314B1D"/>
    <w:rsid w:val="00314D08"/>
    <w:rsid w:val="00314F0C"/>
    <w:rsid w:val="0031501F"/>
    <w:rsid w:val="00315210"/>
    <w:rsid w:val="003153EC"/>
    <w:rsid w:val="003154D9"/>
    <w:rsid w:val="003157E1"/>
    <w:rsid w:val="003159AC"/>
    <w:rsid w:val="003159EE"/>
    <w:rsid w:val="00315AEE"/>
    <w:rsid w:val="00315B5E"/>
    <w:rsid w:val="00315DB5"/>
    <w:rsid w:val="00315F56"/>
    <w:rsid w:val="00315F6C"/>
    <w:rsid w:val="00315F6E"/>
    <w:rsid w:val="00315FCD"/>
    <w:rsid w:val="0031602B"/>
    <w:rsid w:val="0031623A"/>
    <w:rsid w:val="00316256"/>
    <w:rsid w:val="00316317"/>
    <w:rsid w:val="003164BE"/>
    <w:rsid w:val="0031650C"/>
    <w:rsid w:val="00316629"/>
    <w:rsid w:val="0031662F"/>
    <w:rsid w:val="00316836"/>
    <w:rsid w:val="00316886"/>
    <w:rsid w:val="003169F7"/>
    <w:rsid w:val="00316A7F"/>
    <w:rsid w:val="00316AA3"/>
    <w:rsid w:val="00316C96"/>
    <w:rsid w:val="00316CAF"/>
    <w:rsid w:val="00316CF5"/>
    <w:rsid w:val="00316D57"/>
    <w:rsid w:val="00316E4F"/>
    <w:rsid w:val="00317027"/>
    <w:rsid w:val="003171D3"/>
    <w:rsid w:val="00317916"/>
    <w:rsid w:val="0031798D"/>
    <w:rsid w:val="00317994"/>
    <w:rsid w:val="003179C7"/>
    <w:rsid w:val="00317BA8"/>
    <w:rsid w:val="00317E68"/>
    <w:rsid w:val="00317E8C"/>
    <w:rsid w:val="00317F20"/>
    <w:rsid w:val="00317F6C"/>
    <w:rsid w:val="003200A3"/>
    <w:rsid w:val="00320116"/>
    <w:rsid w:val="003201AF"/>
    <w:rsid w:val="0032026A"/>
    <w:rsid w:val="003202A8"/>
    <w:rsid w:val="003205A0"/>
    <w:rsid w:val="0032068C"/>
    <w:rsid w:val="003206A5"/>
    <w:rsid w:val="003206C1"/>
    <w:rsid w:val="0032070F"/>
    <w:rsid w:val="003207D7"/>
    <w:rsid w:val="003208D4"/>
    <w:rsid w:val="003209BF"/>
    <w:rsid w:val="003209F0"/>
    <w:rsid w:val="00320ACD"/>
    <w:rsid w:val="00320AD0"/>
    <w:rsid w:val="00320B25"/>
    <w:rsid w:val="00320C04"/>
    <w:rsid w:val="00320C20"/>
    <w:rsid w:val="00320C66"/>
    <w:rsid w:val="00320CC5"/>
    <w:rsid w:val="00320E9F"/>
    <w:rsid w:val="003211F3"/>
    <w:rsid w:val="003215E6"/>
    <w:rsid w:val="003216CA"/>
    <w:rsid w:val="0032172F"/>
    <w:rsid w:val="0032174F"/>
    <w:rsid w:val="00321763"/>
    <w:rsid w:val="00321787"/>
    <w:rsid w:val="00321B67"/>
    <w:rsid w:val="00321EF7"/>
    <w:rsid w:val="00322145"/>
    <w:rsid w:val="00322181"/>
    <w:rsid w:val="00322260"/>
    <w:rsid w:val="00322592"/>
    <w:rsid w:val="003226CC"/>
    <w:rsid w:val="00322730"/>
    <w:rsid w:val="00322B04"/>
    <w:rsid w:val="00322B8E"/>
    <w:rsid w:val="00322BCD"/>
    <w:rsid w:val="00322BE2"/>
    <w:rsid w:val="00322ED5"/>
    <w:rsid w:val="00322F06"/>
    <w:rsid w:val="00322F18"/>
    <w:rsid w:val="00322F6F"/>
    <w:rsid w:val="003230A4"/>
    <w:rsid w:val="0032319D"/>
    <w:rsid w:val="00323289"/>
    <w:rsid w:val="0032339E"/>
    <w:rsid w:val="003235FA"/>
    <w:rsid w:val="00323706"/>
    <w:rsid w:val="00323740"/>
    <w:rsid w:val="003237A8"/>
    <w:rsid w:val="00323A5F"/>
    <w:rsid w:val="00323CEE"/>
    <w:rsid w:val="00323CFB"/>
    <w:rsid w:val="00323D51"/>
    <w:rsid w:val="00323FC0"/>
    <w:rsid w:val="003241F9"/>
    <w:rsid w:val="00324232"/>
    <w:rsid w:val="003242F1"/>
    <w:rsid w:val="003246EC"/>
    <w:rsid w:val="00324845"/>
    <w:rsid w:val="003248C6"/>
    <w:rsid w:val="00324BF7"/>
    <w:rsid w:val="00324CA6"/>
    <w:rsid w:val="00324D53"/>
    <w:rsid w:val="00324D89"/>
    <w:rsid w:val="00324DD1"/>
    <w:rsid w:val="00324E0C"/>
    <w:rsid w:val="00324EC2"/>
    <w:rsid w:val="00324FE4"/>
    <w:rsid w:val="00324FFB"/>
    <w:rsid w:val="00325264"/>
    <w:rsid w:val="003253FC"/>
    <w:rsid w:val="00325525"/>
    <w:rsid w:val="003255B8"/>
    <w:rsid w:val="00325623"/>
    <w:rsid w:val="00325765"/>
    <w:rsid w:val="003258D3"/>
    <w:rsid w:val="00325B8C"/>
    <w:rsid w:val="00325C63"/>
    <w:rsid w:val="00325CA9"/>
    <w:rsid w:val="00325D01"/>
    <w:rsid w:val="0032618C"/>
    <w:rsid w:val="003261F7"/>
    <w:rsid w:val="00326294"/>
    <w:rsid w:val="003263F3"/>
    <w:rsid w:val="003264F7"/>
    <w:rsid w:val="00326564"/>
    <w:rsid w:val="003265D7"/>
    <w:rsid w:val="003266CA"/>
    <w:rsid w:val="0032695E"/>
    <w:rsid w:val="00326B45"/>
    <w:rsid w:val="00326F03"/>
    <w:rsid w:val="00327045"/>
    <w:rsid w:val="0032707D"/>
    <w:rsid w:val="00327081"/>
    <w:rsid w:val="003272C9"/>
    <w:rsid w:val="00327408"/>
    <w:rsid w:val="00327628"/>
    <w:rsid w:val="00327703"/>
    <w:rsid w:val="0032771C"/>
    <w:rsid w:val="00327794"/>
    <w:rsid w:val="003277E1"/>
    <w:rsid w:val="003277F2"/>
    <w:rsid w:val="003277F3"/>
    <w:rsid w:val="00327854"/>
    <w:rsid w:val="00327915"/>
    <w:rsid w:val="003279F2"/>
    <w:rsid w:val="00327EB1"/>
    <w:rsid w:val="00330009"/>
    <w:rsid w:val="003300AE"/>
    <w:rsid w:val="00330324"/>
    <w:rsid w:val="00330519"/>
    <w:rsid w:val="003307B2"/>
    <w:rsid w:val="003307C8"/>
    <w:rsid w:val="0033089F"/>
    <w:rsid w:val="003308C9"/>
    <w:rsid w:val="00330B7B"/>
    <w:rsid w:val="00330CDA"/>
    <w:rsid w:val="00330EA5"/>
    <w:rsid w:val="00330ED7"/>
    <w:rsid w:val="00331115"/>
    <w:rsid w:val="003311BA"/>
    <w:rsid w:val="003311E3"/>
    <w:rsid w:val="003312A8"/>
    <w:rsid w:val="00331347"/>
    <w:rsid w:val="00331355"/>
    <w:rsid w:val="003313C8"/>
    <w:rsid w:val="00331644"/>
    <w:rsid w:val="00331710"/>
    <w:rsid w:val="00331721"/>
    <w:rsid w:val="00331D84"/>
    <w:rsid w:val="00331DC5"/>
    <w:rsid w:val="00331EA6"/>
    <w:rsid w:val="00331FCC"/>
    <w:rsid w:val="0033208E"/>
    <w:rsid w:val="00332095"/>
    <w:rsid w:val="00332289"/>
    <w:rsid w:val="00332438"/>
    <w:rsid w:val="003324B5"/>
    <w:rsid w:val="00332523"/>
    <w:rsid w:val="003325E6"/>
    <w:rsid w:val="00332697"/>
    <w:rsid w:val="003326A0"/>
    <w:rsid w:val="003326D6"/>
    <w:rsid w:val="0033296F"/>
    <w:rsid w:val="00332AE8"/>
    <w:rsid w:val="00332B2A"/>
    <w:rsid w:val="00332FB8"/>
    <w:rsid w:val="00332FCA"/>
    <w:rsid w:val="00333246"/>
    <w:rsid w:val="00333644"/>
    <w:rsid w:val="003337C7"/>
    <w:rsid w:val="003337D9"/>
    <w:rsid w:val="003338E0"/>
    <w:rsid w:val="003339F7"/>
    <w:rsid w:val="00333AE2"/>
    <w:rsid w:val="00333D2F"/>
    <w:rsid w:val="00333D52"/>
    <w:rsid w:val="003341AE"/>
    <w:rsid w:val="003342D7"/>
    <w:rsid w:val="00334546"/>
    <w:rsid w:val="0033487B"/>
    <w:rsid w:val="003348B0"/>
    <w:rsid w:val="00334949"/>
    <w:rsid w:val="00334B8C"/>
    <w:rsid w:val="00334DB0"/>
    <w:rsid w:val="00334EAF"/>
    <w:rsid w:val="00334F3A"/>
    <w:rsid w:val="0033542E"/>
    <w:rsid w:val="003356C9"/>
    <w:rsid w:val="00335793"/>
    <w:rsid w:val="00335991"/>
    <w:rsid w:val="003359E3"/>
    <w:rsid w:val="00335AB3"/>
    <w:rsid w:val="00335AEB"/>
    <w:rsid w:val="00335C0B"/>
    <w:rsid w:val="00335FB8"/>
    <w:rsid w:val="0033615F"/>
    <w:rsid w:val="003361B2"/>
    <w:rsid w:val="00336346"/>
    <w:rsid w:val="003363C8"/>
    <w:rsid w:val="003365A2"/>
    <w:rsid w:val="0033678E"/>
    <w:rsid w:val="003367D6"/>
    <w:rsid w:val="00336838"/>
    <w:rsid w:val="00336853"/>
    <w:rsid w:val="00336899"/>
    <w:rsid w:val="003368D3"/>
    <w:rsid w:val="003368E2"/>
    <w:rsid w:val="003369BE"/>
    <w:rsid w:val="00336AF8"/>
    <w:rsid w:val="00336C4C"/>
    <w:rsid w:val="00336CCF"/>
    <w:rsid w:val="00336DBF"/>
    <w:rsid w:val="00336E39"/>
    <w:rsid w:val="00336FF4"/>
    <w:rsid w:val="003371CF"/>
    <w:rsid w:val="003372C7"/>
    <w:rsid w:val="0033735A"/>
    <w:rsid w:val="003373E3"/>
    <w:rsid w:val="00337565"/>
    <w:rsid w:val="0033780A"/>
    <w:rsid w:val="00337893"/>
    <w:rsid w:val="00337B41"/>
    <w:rsid w:val="00337BF0"/>
    <w:rsid w:val="00337D32"/>
    <w:rsid w:val="00337D9E"/>
    <w:rsid w:val="00337EA9"/>
    <w:rsid w:val="003401B1"/>
    <w:rsid w:val="0034033D"/>
    <w:rsid w:val="00340479"/>
    <w:rsid w:val="003404A0"/>
    <w:rsid w:val="003404AE"/>
    <w:rsid w:val="0034066A"/>
    <w:rsid w:val="0034066E"/>
    <w:rsid w:val="00340868"/>
    <w:rsid w:val="0034092D"/>
    <w:rsid w:val="00340AEF"/>
    <w:rsid w:val="00340B4A"/>
    <w:rsid w:val="00340EDD"/>
    <w:rsid w:val="00340F2E"/>
    <w:rsid w:val="003410DC"/>
    <w:rsid w:val="0034129E"/>
    <w:rsid w:val="003419AD"/>
    <w:rsid w:val="003419EB"/>
    <w:rsid w:val="00341A14"/>
    <w:rsid w:val="00341DF4"/>
    <w:rsid w:val="00341EEC"/>
    <w:rsid w:val="00341F08"/>
    <w:rsid w:val="00342376"/>
    <w:rsid w:val="003423F0"/>
    <w:rsid w:val="003425AC"/>
    <w:rsid w:val="00342793"/>
    <w:rsid w:val="0034281C"/>
    <w:rsid w:val="00342948"/>
    <w:rsid w:val="00342A23"/>
    <w:rsid w:val="00342A5A"/>
    <w:rsid w:val="00342BA9"/>
    <w:rsid w:val="00342C9B"/>
    <w:rsid w:val="00342CD7"/>
    <w:rsid w:val="00342F78"/>
    <w:rsid w:val="00343011"/>
    <w:rsid w:val="003430CF"/>
    <w:rsid w:val="00343292"/>
    <w:rsid w:val="0034333B"/>
    <w:rsid w:val="0034352A"/>
    <w:rsid w:val="003436C8"/>
    <w:rsid w:val="003439A0"/>
    <w:rsid w:val="00343BD4"/>
    <w:rsid w:val="00343DB4"/>
    <w:rsid w:val="00343FF8"/>
    <w:rsid w:val="003446F8"/>
    <w:rsid w:val="00344851"/>
    <w:rsid w:val="00344906"/>
    <w:rsid w:val="00344B10"/>
    <w:rsid w:val="00344BE7"/>
    <w:rsid w:val="00344D2E"/>
    <w:rsid w:val="00344F6F"/>
    <w:rsid w:val="003450B5"/>
    <w:rsid w:val="003450E9"/>
    <w:rsid w:val="00345148"/>
    <w:rsid w:val="003453BD"/>
    <w:rsid w:val="003453D3"/>
    <w:rsid w:val="003454E0"/>
    <w:rsid w:val="003455BC"/>
    <w:rsid w:val="00345654"/>
    <w:rsid w:val="003456B7"/>
    <w:rsid w:val="00345822"/>
    <w:rsid w:val="00345854"/>
    <w:rsid w:val="0034588A"/>
    <w:rsid w:val="0034588F"/>
    <w:rsid w:val="0034598B"/>
    <w:rsid w:val="00345A74"/>
    <w:rsid w:val="00345B2A"/>
    <w:rsid w:val="00345C67"/>
    <w:rsid w:val="00345FBB"/>
    <w:rsid w:val="003464AC"/>
    <w:rsid w:val="003465B1"/>
    <w:rsid w:val="0034685E"/>
    <w:rsid w:val="00346878"/>
    <w:rsid w:val="003468C3"/>
    <w:rsid w:val="003469A9"/>
    <w:rsid w:val="003469BE"/>
    <w:rsid w:val="00346B8D"/>
    <w:rsid w:val="00346E3A"/>
    <w:rsid w:val="00346E4E"/>
    <w:rsid w:val="003470B0"/>
    <w:rsid w:val="003470B9"/>
    <w:rsid w:val="003470C3"/>
    <w:rsid w:val="003471D4"/>
    <w:rsid w:val="00347459"/>
    <w:rsid w:val="003474E6"/>
    <w:rsid w:val="00347535"/>
    <w:rsid w:val="003475A1"/>
    <w:rsid w:val="00347691"/>
    <w:rsid w:val="003476CB"/>
    <w:rsid w:val="003476D0"/>
    <w:rsid w:val="003477D9"/>
    <w:rsid w:val="003478EE"/>
    <w:rsid w:val="00347DD1"/>
    <w:rsid w:val="00347E3A"/>
    <w:rsid w:val="003501B1"/>
    <w:rsid w:val="003501BD"/>
    <w:rsid w:val="00350214"/>
    <w:rsid w:val="003502AB"/>
    <w:rsid w:val="00350304"/>
    <w:rsid w:val="00350335"/>
    <w:rsid w:val="003503EB"/>
    <w:rsid w:val="00350445"/>
    <w:rsid w:val="00350591"/>
    <w:rsid w:val="00350604"/>
    <w:rsid w:val="003506B7"/>
    <w:rsid w:val="00350706"/>
    <w:rsid w:val="00350712"/>
    <w:rsid w:val="003507EE"/>
    <w:rsid w:val="0035085C"/>
    <w:rsid w:val="0035085D"/>
    <w:rsid w:val="00350941"/>
    <w:rsid w:val="00350B3A"/>
    <w:rsid w:val="00350BC3"/>
    <w:rsid w:val="00350E2E"/>
    <w:rsid w:val="00350F59"/>
    <w:rsid w:val="00351096"/>
    <w:rsid w:val="003510B5"/>
    <w:rsid w:val="00351223"/>
    <w:rsid w:val="00351257"/>
    <w:rsid w:val="0035134F"/>
    <w:rsid w:val="003513B8"/>
    <w:rsid w:val="003513C8"/>
    <w:rsid w:val="00351438"/>
    <w:rsid w:val="003514F6"/>
    <w:rsid w:val="00351647"/>
    <w:rsid w:val="003516FB"/>
    <w:rsid w:val="00351964"/>
    <w:rsid w:val="00351B8A"/>
    <w:rsid w:val="00351BF7"/>
    <w:rsid w:val="00351BFE"/>
    <w:rsid w:val="00352009"/>
    <w:rsid w:val="00352155"/>
    <w:rsid w:val="00352380"/>
    <w:rsid w:val="003523DA"/>
    <w:rsid w:val="0035242C"/>
    <w:rsid w:val="0035246D"/>
    <w:rsid w:val="003525B7"/>
    <w:rsid w:val="00352808"/>
    <w:rsid w:val="003528CD"/>
    <w:rsid w:val="00352954"/>
    <w:rsid w:val="0035299D"/>
    <w:rsid w:val="00352A03"/>
    <w:rsid w:val="00352B0D"/>
    <w:rsid w:val="00352B67"/>
    <w:rsid w:val="00352BB7"/>
    <w:rsid w:val="00352C8A"/>
    <w:rsid w:val="00352EC8"/>
    <w:rsid w:val="00353076"/>
    <w:rsid w:val="0035318D"/>
    <w:rsid w:val="003532B1"/>
    <w:rsid w:val="003534D8"/>
    <w:rsid w:val="003534FA"/>
    <w:rsid w:val="00353808"/>
    <w:rsid w:val="00353815"/>
    <w:rsid w:val="003538BD"/>
    <w:rsid w:val="00353B2A"/>
    <w:rsid w:val="00353BF1"/>
    <w:rsid w:val="00353CB3"/>
    <w:rsid w:val="00353D0C"/>
    <w:rsid w:val="00353DEC"/>
    <w:rsid w:val="00353EA3"/>
    <w:rsid w:val="00353F8E"/>
    <w:rsid w:val="00354003"/>
    <w:rsid w:val="00354160"/>
    <w:rsid w:val="00354194"/>
    <w:rsid w:val="00354327"/>
    <w:rsid w:val="00354503"/>
    <w:rsid w:val="003545A4"/>
    <w:rsid w:val="003545DC"/>
    <w:rsid w:val="00354709"/>
    <w:rsid w:val="003549D6"/>
    <w:rsid w:val="00354A54"/>
    <w:rsid w:val="00354A6A"/>
    <w:rsid w:val="00354C7D"/>
    <w:rsid w:val="00354D78"/>
    <w:rsid w:val="00354DC4"/>
    <w:rsid w:val="00354F07"/>
    <w:rsid w:val="00354F7D"/>
    <w:rsid w:val="0035500E"/>
    <w:rsid w:val="003552A1"/>
    <w:rsid w:val="003556B4"/>
    <w:rsid w:val="003557A7"/>
    <w:rsid w:val="003558D5"/>
    <w:rsid w:val="00355952"/>
    <w:rsid w:val="00355CD5"/>
    <w:rsid w:val="00355CF2"/>
    <w:rsid w:val="00355D30"/>
    <w:rsid w:val="00356043"/>
    <w:rsid w:val="003560B2"/>
    <w:rsid w:val="003560DC"/>
    <w:rsid w:val="003563AB"/>
    <w:rsid w:val="003563C4"/>
    <w:rsid w:val="003565C4"/>
    <w:rsid w:val="0035664D"/>
    <w:rsid w:val="00356902"/>
    <w:rsid w:val="00356A48"/>
    <w:rsid w:val="00356DA9"/>
    <w:rsid w:val="00356F70"/>
    <w:rsid w:val="0035704F"/>
    <w:rsid w:val="003570B0"/>
    <w:rsid w:val="00357186"/>
    <w:rsid w:val="0035735E"/>
    <w:rsid w:val="00357409"/>
    <w:rsid w:val="0035745C"/>
    <w:rsid w:val="003575F6"/>
    <w:rsid w:val="003578B1"/>
    <w:rsid w:val="00357959"/>
    <w:rsid w:val="003579A1"/>
    <w:rsid w:val="00357A2A"/>
    <w:rsid w:val="00357ACC"/>
    <w:rsid w:val="00357C76"/>
    <w:rsid w:val="00357D70"/>
    <w:rsid w:val="00357DBA"/>
    <w:rsid w:val="00357F6C"/>
    <w:rsid w:val="003600B6"/>
    <w:rsid w:val="003600FE"/>
    <w:rsid w:val="00360392"/>
    <w:rsid w:val="00360803"/>
    <w:rsid w:val="00360BFF"/>
    <w:rsid w:val="00360C2B"/>
    <w:rsid w:val="00360E80"/>
    <w:rsid w:val="0036103E"/>
    <w:rsid w:val="0036111B"/>
    <w:rsid w:val="003612CA"/>
    <w:rsid w:val="003613C2"/>
    <w:rsid w:val="003613FF"/>
    <w:rsid w:val="0036146B"/>
    <w:rsid w:val="00361593"/>
    <w:rsid w:val="003615D0"/>
    <w:rsid w:val="003616BC"/>
    <w:rsid w:val="003616D6"/>
    <w:rsid w:val="00361755"/>
    <w:rsid w:val="0036185E"/>
    <w:rsid w:val="00361A12"/>
    <w:rsid w:val="00361AD8"/>
    <w:rsid w:val="00361B16"/>
    <w:rsid w:val="00361C37"/>
    <w:rsid w:val="00361C6D"/>
    <w:rsid w:val="00361EFA"/>
    <w:rsid w:val="00361FBE"/>
    <w:rsid w:val="00362002"/>
    <w:rsid w:val="00362184"/>
    <w:rsid w:val="00362352"/>
    <w:rsid w:val="003623F0"/>
    <w:rsid w:val="00362406"/>
    <w:rsid w:val="003624B1"/>
    <w:rsid w:val="0036251B"/>
    <w:rsid w:val="003625F4"/>
    <w:rsid w:val="003629ED"/>
    <w:rsid w:val="00362A87"/>
    <w:rsid w:val="00362BD2"/>
    <w:rsid w:val="00362C10"/>
    <w:rsid w:val="00362C33"/>
    <w:rsid w:val="00362D5B"/>
    <w:rsid w:val="00362E30"/>
    <w:rsid w:val="00362F01"/>
    <w:rsid w:val="00362F5F"/>
    <w:rsid w:val="00362FBB"/>
    <w:rsid w:val="0036302A"/>
    <w:rsid w:val="0036304F"/>
    <w:rsid w:val="00363299"/>
    <w:rsid w:val="0036331F"/>
    <w:rsid w:val="00363578"/>
    <w:rsid w:val="0036383D"/>
    <w:rsid w:val="0036393A"/>
    <w:rsid w:val="00363ABC"/>
    <w:rsid w:val="00363C09"/>
    <w:rsid w:val="00363C4F"/>
    <w:rsid w:val="00363CF6"/>
    <w:rsid w:val="00363E9E"/>
    <w:rsid w:val="00363F52"/>
    <w:rsid w:val="00364041"/>
    <w:rsid w:val="003640AA"/>
    <w:rsid w:val="003640CA"/>
    <w:rsid w:val="003640E7"/>
    <w:rsid w:val="00364143"/>
    <w:rsid w:val="003641D8"/>
    <w:rsid w:val="0036426E"/>
    <w:rsid w:val="0036438F"/>
    <w:rsid w:val="00364397"/>
    <w:rsid w:val="00364461"/>
    <w:rsid w:val="00364504"/>
    <w:rsid w:val="0036458E"/>
    <w:rsid w:val="003646BF"/>
    <w:rsid w:val="003647A6"/>
    <w:rsid w:val="003647A8"/>
    <w:rsid w:val="003649D7"/>
    <w:rsid w:val="00364ACD"/>
    <w:rsid w:val="00364AFE"/>
    <w:rsid w:val="00364CFD"/>
    <w:rsid w:val="00364EC6"/>
    <w:rsid w:val="00364ED5"/>
    <w:rsid w:val="00364FC1"/>
    <w:rsid w:val="00365087"/>
    <w:rsid w:val="00365309"/>
    <w:rsid w:val="0036540B"/>
    <w:rsid w:val="00365474"/>
    <w:rsid w:val="003654C7"/>
    <w:rsid w:val="0036551F"/>
    <w:rsid w:val="00365635"/>
    <w:rsid w:val="00365690"/>
    <w:rsid w:val="0036575C"/>
    <w:rsid w:val="003657AC"/>
    <w:rsid w:val="00365800"/>
    <w:rsid w:val="003658CF"/>
    <w:rsid w:val="00365942"/>
    <w:rsid w:val="00365B32"/>
    <w:rsid w:val="00365DAE"/>
    <w:rsid w:val="00365E3F"/>
    <w:rsid w:val="00365EC9"/>
    <w:rsid w:val="00365F00"/>
    <w:rsid w:val="00365F09"/>
    <w:rsid w:val="0036639F"/>
    <w:rsid w:val="003663D1"/>
    <w:rsid w:val="00366630"/>
    <w:rsid w:val="00366670"/>
    <w:rsid w:val="0036672A"/>
    <w:rsid w:val="003667C6"/>
    <w:rsid w:val="0036683B"/>
    <w:rsid w:val="00366A60"/>
    <w:rsid w:val="00366D0B"/>
    <w:rsid w:val="00366D89"/>
    <w:rsid w:val="00366DAE"/>
    <w:rsid w:val="00366DFD"/>
    <w:rsid w:val="00366E45"/>
    <w:rsid w:val="00367001"/>
    <w:rsid w:val="003671D9"/>
    <w:rsid w:val="00367507"/>
    <w:rsid w:val="003676AA"/>
    <w:rsid w:val="003676AE"/>
    <w:rsid w:val="00367A89"/>
    <w:rsid w:val="00367BB7"/>
    <w:rsid w:val="00367CF6"/>
    <w:rsid w:val="00367CFB"/>
    <w:rsid w:val="00367D68"/>
    <w:rsid w:val="00367E77"/>
    <w:rsid w:val="00367E8C"/>
    <w:rsid w:val="00367FB0"/>
    <w:rsid w:val="003681A0"/>
    <w:rsid w:val="003700B9"/>
    <w:rsid w:val="00370164"/>
    <w:rsid w:val="00370229"/>
    <w:rsid w:val="00370266"/>
    <w:rsid w:val="00370425"/>
    <w:rsid w:val="00370507"/>
    <w:rsid w:val="0037057A"/>
    <w:rsid w:val="00370849"/>
    <w:rsid w:val="003708CC"/>
    <w:rsid w:val="00370ABE"/>
    <w:rsid w:val="00370CBB"/>
    <w:rsid w:val="00370CE8"/>
    <w:rsid w:val="00370D1A"/>
    <w:rsid w:val="00370D8E"/>
    <w:rsid w:val="00370E41"/>
    <w:rsid w:val="00370F2D"/>
    <w:rsid w:val="00371035"/>
    <w:rsid w:val="003711CD"/>
    <w:rsid w:val="003712A3"/>
    <w:rsid w:val="0037131D"/>
    <w:rsid w:val="00371463"/>
    <w:rsid w:val="003714D9"/>
    <w:rsid w:val="0037152C"/>
    <w:rsid w:val="00371573"/>
    <w:rsid w:val="003715A1"/>
    <w:rsid w:val="00371856"/>
    <w:rsid w:val="003719D9"/>
    <w:rsid w:val="00371ADF"/>
    <w:rsid w:val="00371D7D"/>
    <w:rsid w:val="00371DD7"/>
    <w:rsid w:val="00371E3B"/>
    <w:rsid w:val="00372014"/>
    <w:rsid w:val="00372137"/>
    <w:rsid w:val="00372459"/>
    <w:rsid w:val="0037248E"/>
    <w:rsid w:val="003724AE"/>
    <w:rsid w:val="00372594"/>
    <w:rsid w:val="003725E7"/>
    <w:rsid w:val="0037287E"/>
    <w:rsid w:val="003728B5"/>
    <w:rsid w:val="00372905"/>
    <w:rsid w:val="00372A82"/>
    <w:rsid w:val="00372B9F"/>
    <w:rsid w:val="00372C54"/>
    <w:rsid w:val="00372DF9"/>
    <w:rsid w:val="00372E41"/>
    <w:rsid w:val="00372E87"/>
    <w:rsid w:val="00372FA8"/>
    <w:rsid w:val="003730A2"/>
    <w:rsid w:val="00373228"/>
    <w:rsid w:val="00373263"/>
    <w:rsid w:val="0037327A"/>
    <w:rsid w:val="0037335E"/>
    <w:rsid w:val="00373399"/>
    <w:rsid w:val="0037348F"/>
    <w:rsid w:val="003734A8"/>
    <w:rsid w:val="00373643"/>
    <w:rsid w:val="00373667"/>
    <w:rsid w:val="00373EDF"/>
    <w:rsid w:val="00373F83"/>
    <w:rsid w:val="00374090"/>
    <w:rsid w:val="0037432F"/>
    <w:rsid w:val="00374453"/>
    <w:rsid w:val="0037455D"/>
    <w:rsid w:val="00374BCD"/>
    <w:rsid w:val="00374C7C"/>
    <w:rsid w:val="00374F27"/>
    <w:rsid w:val="00374FAF"/>
    <w:rsid w:val="00375095"/>
    <w:rsid w:val="0037518A"/>
    <w:rsid w:val="00375334"/>
    <w:rsid w:val="00375449"/>
    <w:rsid w:val="0037549F"/>
    <w:rsid w:val="003755AF"/>
    <w:rsid w:val="003756C7"/>
    <w:rsid w:val="00375722"/>
    <w:rsid w:val="00375746"/>
    <w:rsid w:val="00375AD4"/>
    <w:rsid w:val="00375AE7"/>
    <w:rsid w:val="00375B64"/>
    <w:rsid w:val="00375C83"/>
    <w:rsid w:val="00375C88"/>
    <w:rsid w:val="00375CBF"/>
    <w:rsid w:val="00375D16"/>
    <w:rsid w:val="00375D32"/>
    <w:rsid w:val="00375E58"/>
    <w:rsid w:val="00375F87"/>
    <w:rsid w:val="003761AD"/>
    <w:rsid w:val="003764E2"/>
    <w:rsid w:val="0037673F"/>
    <w:rsid w:val="0037680C"/>
    <w:rsid w:val="0037682D"/>
    <w:rsid w:val="00376A36"/>
    <w:rsid w:val="00376A4A"/>
    <w:rsid w:val="00376B99"/>
    <w:rsid w:val="00376CCE"/>
    <w:rsid w:val="00376D0C"/>
    <w:rsid w:val="00376D16"/>
    <w:rsid w:val="00376F66"/>
    <w:rsid w:val="00376FDF"/>
    <w:rsid w:val="0037728C"/>
    <w:rsid w:val="0037733F"/>
    <w:rsid w:val="0037745B"/>
    <w:rsid w:val="00377717"/>
    <w:rsid w:val="0037779C"/>
    <w:rsid w:val="003778A2"/>
    <w:rsid w:val="00377AFF"/>
    <w:rsid w:val="00377B04"/>
    <w:rsid w:val="00377B57"/>
    <w:rsid w:val="00377BEB"/>
    <w:rsid w:val="00377C9C"/>
    <w:rsid w:val="00377D2A"/>
    <w:rsid w:val="00377F91"/>
    <w:rsid w:val="00377FE6"/>
    <w:rsid w:val="00380185"/>
    <w:rsid w:val="00380338"/>
    <w:rsid w:val="003803D0"/>
    <w:rsid w:val="0038040F"/>
    <w:rsid w:val="0038056F"/>
    <w:rsid w:val="0038083E"/>
    <w:rsid w:val="003808C5"/>
    <w:rsid w:val="00380A13"/>
    <w:rsid w:val="00380A1D"/>
    <w:rsid w:val="00380A30"/>
    <w:rsid w:val="00380A62"/>
    <w:rsid w:val="00380B0E"/>
    <w:rsid w:val="00380CAE"/>
    <w:rsid w:val="00380D2A"/>
    <w:rsid w:val="00380D38"/>
    <w:rsid w:val="00380D64"/>
    <w:rsid w:val="00380DB1"/>
    <w:rsid w:val="00380E02"/>
    <w:rsid w:val="00380FE5"/>
    <w:rsid w:val="00381470"/>
    <w:rsid w:val="003814B5"/>
    <w:rsid w:val="003815D1"/>
    <w:rsid w:val="00381998"/>
    <w:rsid w:val="00381A3B"/>
    <w:rsid w:val="00381BE4"/>
    <w:rsid w:val="00381C5C"/>
    <w:rsid w:val="00381CC3"/>
    <w:rsid w:val="00381D48"/>
    <w:rsid w:val="00381F4B"/>
    <w:rsid w:val="00382440"/>
    <w:rsid w:val="0038255C"/>
    <w:rsid w:val="003825C6"/>
    <w:rsid w:val="00382629"/>
    <w:rsid w:val="00382766"/>
    <w:rsid w:val="00382862"/>
    <w:rsid w:val="0038292C"/>
    <w:rsid w:val="00382AE3"/>
    <w:rsid w:val="00382BA5"/>
    <w:rsid w:val="00382BAD"/>
    <w:rsid w:val="00382CAC"/>
    <w:rsid w:val="00382D15"/>
    <w:rsid w:val="00382F46"/>
    <w:rsid w:val="00382F8D"/>
    <w:rsid w:val="00383112"/>
    <w:rsid w:val="003832AD"/>
    <w:rsid w:val="003832FF"/>
    <w:rsid w:val="00383358"/>
    <w:rsid w:val="00383377"/>
    <w:rsid w:val="0038342B"/>
    <w:rsid w:val="003834DF"/>
    <w:rsid w:val="0038354D"/>
    <w:rsid w:val="00383583"/>
    <w:rsid w:val="003835B3"/>
    <w:rsid w:val="003835F3"/>
    <w:rsid w:val="003838E6"/>
    <w:rsid w:val="00383A8F"/>
    <w:rsid w:val="00383BFC"/>
    <w:rsid w:val="00383EAD"/>
    <w:rsid w:val="00384003"/>
    <w:rsid w:val="0038401A"/>
    <w:rsid w:val="003840EE"/>
    <w:rsid w:val="00384236"/>
    <w:rsid w:val="00384611"/>
    <w:rsid w:val="00384669"/>
    <w:rsid w:val="00384AC4"/>
    <w:rsid w:val="00384CA0"/>
    <w:rsid w:val="00384E46"/>
    <w:rsid w:val="0038514E"/>
    <w:rsid w:val="003853E8"/>
    <w:rsid w:val="003854CA"/>
    <w:rsid w:val="003859F7"/>
    <w:rsid w:val="00385B82"/>
    <w:rsid w:val="00385C6E"/>
    <w:rsid w:val="00385CFF"/>
    <w:rsid w:val="00385F48"/>
    <w:rsid w:val="0038625F"/>
    <w:rsid w:val="00386285"/>
    <w:rsid w:val="003862B9"/>
    <w:rsid w:val="0038646F"/>
    <w:rsid w:val="003864B5"/>
    <w:rsid w:val="00386795"/>
    <w:rsid w:val="00386D38"/>
    <w:rsid w:val="00386FAF"/>
    <w:rsid w:val="00387042"/>
    <w:rsid w:val="003870BA"/>
    <w:rsid w:val="0038712F"/>
    <w:rsid w:val="00387295"/>
    <w:rsid w:val="0038731F"/>
    <w:rsid w:val="00387620"/>
    <w:rsid w:val="0038783F"/>
    <w:rsid w:val="00387935"/>
    <w:rsid w:val="00387973"/>
    <w:rsid w:val="00387D85"/>
    <w:rsid w:val="00387ECF"/>
    <w:rsid w:val="00387F32"/>
    <w:rsid w:val="003902E4"/>
    <w:rsid w:val="003903AC"/>
    <w:rsid w:val="00390420"/>
    <w:rsid w:val="00390428"/>
    <w:rsid w:val="0039046F"/>
    <w:rsid w:val="0039075D"/>
    <w:rsid w:val="003908CD"/>
    <w:rsid w:val="00390975"/>
    <w:rsid w:val="00390A5C"/>
    <w:rsid w:val="00390AEE"/>
    <w:rsid w:val="00390B33"/>
    <w:rsid w:val="00390C1D"/>
    <w:rsid w:val="00390C7D"/>
    <w:rsid w:val="00390FE7"/>
    <w:rsid w:val="00391018"/>
    <w:rsid w:val="0039118E"/>
    <w:rsid w:val="00391196"/>
    <w:rsid w:val="00391243"/>
    <w:rsid w:val="00391571"/>
    <w:rsid w:val="0039164C"/>
    <w:rsid w:val="003916BF"/>
    <w:rsid w:val="003917AB"/>
    <w:rsid w:val="003917CA"/>
    <w:rsid w:val="00391823"/>
    <w:rsid w:val="003918C5"/>
    <w:rsid w:val="003918ED"/>
    <w:rsid w:val="00391AB9"/>
    <w:rsid w:val="00391B5D"/>
    <w:rsid w:val="00391B87"/>
    <w:rsid w:val="00391C79"/>
    <w:rsid w:val="00391C82"/>
    <w:rsid w:val="00391D75"/>
    <w:rsid w:val="00391EF9"/>
    <w:rsid w:val="0039209C"/>
    <w:rsid w:val="003921B4"/>
    <w:rsid w:val="003922BC"/>
    <w:rsid w:val="003922CD"/>
    <w:rsid w:val="003923B4"/>
    <w:rsid w:val="003925B4"/>
    <w:rsid w:val="003926AD"/>
    <w:rsid w:val="00392795"/>
    <w:rsid w:val="003927D1"/>
    <w:rsid w:val="003929BF"/>
    <w:rsid w:val="00392A29"/>
    <w:rsid w:val="00392A93"/>
    <w:rsid w:val="00392B78"/>
    <w:rsid w:val="00392D6D"/>
    <w:rsid w:val="00392D89"/>
    <w:rsid w:val="00392E94"/>
    <w:rsid w:val="003930AF"/>
    <w:rsid w:val="00393137"/>
    <w:rsid w:val="00393307"/>
    <w:rsid w:val="003933EF"/>
    <w:rsid w:val="003935ED"/>
    <w:rsid w:val="003936C9"/>
    <w:rsid w:val="00393802"/>
    <w:rsid w:val="00393827"/>
    <w:rsid w:val="003939E5"/>
    <w:rsid w:val="00393A22"/>
    <w:rsid w:val="00393AEF"/>
    <w:rsid w:val="00393B0A"/>
    <w:rsid w:val="00393B65"/>
    <w:rsid w:val="00393BF2"/>
    <w:rsid w:val="00393E0A"/>
    <w:rsid w:val="00393E4F"/>
    <w:rsid w:val="00393EB4"/>
    <w:rsid w:val="00393FFA"/>
    <w:rsid w:val="00394098"/>
    <w:rsid w:val="00394171"/>
    <w:rsid w:val="00394423"/>
    <w:rsid w:val="0039471B"/>
    <w:rsid w:val="00394745"/>
    <w:rsid w:val="0039486B"/>
    <w:rsid w:val="003948C8"/>
    <w:rsid w:val="00394CB5"/>
    <w:rsid w:val="00394DD0"/>
    <w:rsid w:val="00394EA6"/>
    <w:rsid w:val="00394F22"/>
    <w:rsid w:val="00394F4E"/>
    <w:rsid w:val="00394FB4"/>
    <w:rsid w:val="00395040"/>
    <w:rsid w:val="00395072"/>
    <w:rsid w:val="00395095"/>
    <w:rsid w:val="0039509C"/>
    <w:rsid w:val="003954BD"/>
    <w:rsid w:val="003957CF"/>
    <w:rsid w:val="003957D5"/>
    <w:rsid w:val="0039582F"/>
    <w:rsid w:val="00395A89"/>
    <w:rsid w:val="00395B1F"/>
    <w:rsid w:val="00395B20"/>
    <w:rsid w:val="00395B4F"/>
    <w:rsid w:val="00395BE4"/>
    <w:rsid w:val="00395C6D"/>
    <w:rsid w:val="00395D52"/>
    <w:rsid w:val="0039618D"/>
    <w:rsid w:val="003963F2"/>
    <w:rsid w:val="003966FE"/>
    <w:rsid w:val="0039670C"/>
    <w:rsid w:val="0039687E"/>
    <w:rsid w:val="00396986"/>
    <w:rsid w:val="003969A4"/>
    <w:rsid w:val="00396EEE"/>
    <w:rsid w:val="00396FDC"/>
    <w:rsid w:val="003977EC"/>
    <w:rsid w:val="00397A80"/>
    <w:rsid w:val="00397A8E"/>
    <w:rsid w:val="00397D75"/>
    <w:rsid w:val="00397DC0"/>
    <w:rsid w:val="00397E86"/>
    <w:rsid w:val="003A04A9"/>
    <w:rsid w:val="003A05C7"/>
    <w:rsid w:val="003A0890"/>
    <w:rsid w:val="003A098B"/>
    <w:rsid w:val="003A0A3D"/>
    <w:rsid w:val="003A0A85"/>
    <w:rsid w:val="003A0B1E"/>
    <w:rsid w:val="003A0B78"/>
    <w:rsid w:val="003A0C5E"/>
    <w:rsid w:val="003A0CC8"/>
    <w:rsid w:val="003A0DD8"/>
    <w:rsid w:val="003A0E3D"/>
    <w:rsid w:val="003A0EF0"/>
    <w:rsid w:val="003A112B"/>
    <w:rsid w:val="003A1226"/>
    <w:rsid w:val="003A12F6"/>
    <w:rsid w:val="003A13AF"/>
    <w:rsid w:val="003A158A"/>
    <w:rsid w:val="003A15ED"/>
    <w:rsid w:val="003A1B25"/>
    <w:rsid w:val="003A1C5A"/>
    <w:rsid w:val="003A1C5D"/>
    <w:rsid w:val="003A1C85"/>
    <w:rsid w:val="003A1CEA"/>
    <w:rsid w:val="003A1E3C"/>
    <w:rsid w:val="003A1E56"/>
    <w:rsid w:val="003A1EB5"/>
    <w:rsid w:val="003A1F13"/>
    <w:rsid w:val="003A2189"/>
    <w:rsid w:val="003A2340"/>
    <w:rsid w:val="003A2477"/>
    <w:rsid w:val="003A2938"/>
    <w:rsid w:val="003A2BB1"/>
    <w:rsid w:val="003A2BE2"/>
    <w:rsid w:val="003A2CB2"/>
    <w:rsid w:val="003A2CF8"/>
    <w:rsid w:val="003A2EBC"/>
    <w:rsid w:val="003A2EC4"/>
    <w:rsid w:val="003A2FA8"/>
    <w:rsid w:val="003A30E5"/>
    <w:rsid w:val="003A3135"/>
    <w:rsid w:val="003A31F9"/>
    <w:rsid w:val="003A32CC"/>
    <w:rsid w:val="003A3403"/>
    <w:rsid w:val="003A3609"/>
    <w:rsid w:val="003A391A"/>
    <w:rsid w:val="003A3998"/>
    <w:rsid w:val="003A3D06"/>
    <w:rsid w:val="003A3DB5"/>
    <w:rsid w:val="003A3DC6"/>
    <w:rsid w:val="003A3DD1"/>
    <w:rsid w:val="003A3EC9"/>
    <w:rsid w:val="003A3EF0"/>
    <w:rsid w:val="003A3F94"/>
    <w:rsid w:val="003A3FA7"/>
    <w:rsid w:val="003A4071"/>
    <w:rsid w:val="003A43CB"/>
    <w:rsid w:val="003A446A"/>
    <w:rsid w:val="003A4487"/>
    <w:rsid w:val="003A44F1"/>
    <w:rsid w:val="003A452B"/>
    <w:rsid w:val="003A488B"/>
    <w:rsid w:val="003A4A4E"/>
    <w:rsid w:val="003A4ADA"/>
    <w:rsid w:val="003A4C59"/>
    <w:rsid w:val="003A501A"/>
    <w:rsid w:val="003A52F5"/>
    <w:rsid w:val="003A5334"/>
    <w:rsid w:val="003A537A"/>
    <w:rsid w:val="003A54CF"/>
    <w:rsid w:val="003A56DB"/>
    <w:rsid w:val="003A5863"/>
    <w:rsid w:val="003A589B"/>
    <w:rsid w:val="003A58B6"/>
    <w:rsid w:val="003A65DB"/>
    <w:rsid w:val="003A6712"/>
    <w:rsid w:val="003A6719"/>
    <w:rsid w:val="003A674A"/>
    <w:rsid w:val="003A67CB"/>
    <w:rsid w:val="003A6892"/>
    <w:rsid w:val="003A6BF9"/>
    <w:rsid w:val="003A6D53"/>
    <w:rsid w:val="003A6D61"/>
    <w:rsid w:val="003A6FCC"/>
    <w:rsid w:val="003A70E3"/>
    <w:rsid w:val="003A7220"/>
    <w:rsid w:val="003A744F"/>
    <w:rsid w:val="003A7493"/>
    <w:rsid w:val="003A7608"/>
    <w:rsid w:val="003A7669"/>
    <w:rsid w:val="003A7839"/>
    <w:rsid w:val="003A7AE2"/>
    <w:rsid w:val="003A7DA8"/>
    <w:rsid w:val="003A7DD5"/>
    <w:rsid w:val="003B0038"/>
    <w:rsid w:val="003B028E"/>
    <w:rsid w:val="003B034B"/>
    <w:rsid w:val="003B03E2"/>
    <w:rsid w:val="003B0661"/>
    <w:rsid w:val="003B0708"/>
    <w:rsid w:val="003B07D4"/>
    <w:rsid w:val="003B0830"/>
    <w:rsid w:val="003B0898"/>
    <w:rsid w:val="003B0911"/>
    <w:rsid w:val="003B0992"/>
    <w:rsid w:val="003B0A0D"/>
    <w:rsid w:val="003B0BAF"/>
    <w:rsid w:val="003B0C73"/>
    <w:rsid w:val="003B0D27"/>
    <w:rsid w:val="003B0DEB"/>
    <w:rsid w:val="003B1051"/>
    <w:rsid w:val="003B11C9"/>
    <w:rsid w:val="003B12A6"/>
    <w:rsid w:val="003B135A"/>
    <w:rsid w:val="003B1389"/>
    <w:rsid w:val="003B1463"/>
    <w:rsid w:val="003B1600"/>
    <w:rsid w:val="003B16F3"/>
    <w:rsid w:val="003B1795"/>
    <w:rsid w:val="003B1B09"/>
    <w:rsid w:val="003B1B1F"/>
    <w:rsid w:val="003B1BCD"/>
    <w:rsid w:val="003B1BFD"/>
    <w:rsid w:val="003B1CED"/>
    <w:rsid w:val="003B1D42"/>
    <w:rsid w:val="003B1E32"/>
    <w:rsid w:val="003B2061"/>
    <w:rsid w:val="003B210F"/>
    <w:rsid w:val="003B2120"/>
    <w:rsid w:val="003B216F"/>
    <w:rsid w:val="003B219F"/>
    <w:rsid w:val="003B224E"/>
    <w:rsid w:val="003B24B2"/>
    <w:rsid w:val="003B268A"/>
    <w:rsid w:val="003B26A0"/>
    <w:rsid w:val="003B26F6"/>
    <w:rsid w:val="003B27EA"/>
    <w:rsid w:val="003B2887"/>
    <w:rsid w:val="003B293A"/>
    <w:rsid w:val="003B2A59"/>
    <w:rsid w:val="003B2EB9"/>
    <w:rsid w:val="003B30CB"/>
    <w:rsid w:val="003B30D5"/>
    <w:rsid w:val="003B3105"/>
    <w:rsid w:val="003B312C"/>
    <w:rsid w:val="003B3183"/>
    <w:rsid w:val="003B3247"/>
    <w:rsid w:val="003B326A"/>
    <w:rsid w:val="003B33DF"/>
    <w:rsid w:val="003B3696"/>
    <w:rsid w:val="003B37A3"/>
    <w:rsid w:val="003B37F5"/>
    <w:rsid w:val="003B3839"/>
    <w:rsid w:val="003B3A13"/>
    <w:rsid w:val="003B3FE2"/>
    <w:rsid w:val="003B4157"/>
    <w:rsid w:val="003B4235"/>
    <w:rsid w:val="003B42A7"/>
    <w:rsid w:val="003B4324"/>
    <w:rsid w:val="003B456A"/>
    <w:rsid w:val="003B46AA"/>
    <w:rsid w:val="003B4737"/>
    <w:rsid w:val="003B4766"/>
    <w:rsid w:val="003B4770"/>
    <w:rsid w:val="003B4905"/>
    <w:rsid w:val="003B4A54"/>
    <w:rsid w:val="003B4B7B"/>
    <w:rsid w:val="003B5232"/>
    <w:rsid w:val="003B52AC"/>
    <w:rsid w:val="003B5483"/>
    <w:rsid w:val="003B549A"/>
    <w:rsid w:val="003B5591"/>
    <w:rsid w:val="003B573B"/>
    <w:rsid w:val="003B5951"/>
    <w:rsid w:val="003B5985"/>
    <w:rsid w:val="003B5A2D"/>
    <w:rsid w:val="003B5BD2"/>
    <w:rsid w:val="003B5E92"/>
    <w:rsid w:val="003B5EAC"/>
    <w:rsid w:val="003B62CA"/>
    <w:rsid w:val="003B6481"/>
    <w:rsid w:val="003B6501"/>
    <w:rsid w:val="003B6663"/>
    <w:rsid w:val="003B66E0"/>
    <w:rsid w:val="003B67E4"/>
    <w:rsid w:val="003B68AD"/>
    <w:rsid w:val="003B691D"/>
    <w:rsid w:val="003B695A"/>
    <w:rsid w:val="003B69F0"/>
    <w:rsid w:val="003B6A9F"/>
    <w:rsid w:val="003B6BD6"/>
    <w:rsid w:val="003B6D11"/>
    <w:rsid w:val="003B6DBE"/>
    <w:rsid w:val="003B6ECA"/>
    <w:rsid w:val="003B6F83"/>
    <w:rsid w:val="003B7024"/>
    <w:rsid w:val="003B71A9"/>
    <w:rsid w:val="003B7290"/>
    <w:rsid w:val="003B74DF"/>
    <w:rsid w:val="003B77E2"/>
    <w:rsid w:val="003B7835"/>
    <w:rsid w:val="003B79A9"/>
    <w:rsid w:val="003B7A71"/>
    <w:rsid w:val="003B7AA3"/>
    <w:rsid w:val="003B7B62"/>
    <w:rsid w:val="003B7C47"/>
    <w:rsid w:val="003B7CAE"/>
    <w:rsid w:val="003B7F9F"/>
    <w:rsid w:val="003C02BC"/>
    <w:rsid w:val="003C0308"/>
    <w:rsid w:val="003C046A"/>
    <w:rsid w:val="003C0483"/>
    <w:rsid w:val="003C07C1"/>
    <w:rsid w:val="003C07D7"/>
    <w:rsid w:val="003C08F4"/>
    <w:rsid w:val="003C09FF"/>
    <w:rsid w:val="003C0C3A"/>
    <w:rsid w:val="003C0CD3"/>
    <w:rsid w:val="003C0E72"/>
    <w:rsid w:val="003C0F54"/>
    <w:rsid w:val="003C10DD"/>
    <w:rsid w:val="003C12DC"/>
    <w:rsid w:val="003C13C9"/>
    <w:rsid w:val="003C15C0"/>
    <w:rsid w:val="003C15EA"/>
    <w:rsid w:val="003C1862"/>
    <w:rsid w:val="003C1C34"/>
    <w:rsid w:val="003C1CF2"/>
    <w:rsid w:val="003C1F48"/>
    <w:rsid w:val="003C1FDB"/>
    <w:rsid w:val="003C1FFD"/>
    <w:rsid w:val="003C20BF"/>
    <w:rsid w:val="003C20F4"/>
    <w:rsid w:val="003C2129"/>
    <w:rsid w:val="003C2177"/>
    <w:rsid w:val="003C227F"/>
    <w:rsid w:val="003C22A9"/>
    <w:rsid w:val="003C22BA"/>
    <w:rsid w:val="003C22F8"/>
    <w:rsid w:val="003C231E"/>
    <w:rsid w:val="003C23E5"/>
    <w:rsid w:val="003C2425"/>
    <w:rsid w:val="003C25E1"/>
    <w:rsid w:val="003C2674"/>
    <w:rsid w:val="003C274B"/>
    <w:rsid w:val="003C2933"/>
    <w:rsid w:val="003C293E"/>
    <w:rsid w:val="003C29E4"/>
    <w:rsid w:val="003C2B32"/>
    <w:rsid w:val="003C2BEB"/>
    <w:rsid w:val="003C2C20"/>
    <w:rsid w:val="003C2D09"/>
    <w:rsid w:val="003C2E77"/>
    <w:rsid w:val="003C2EC2"/>
    <w:rsid w:val="003C304C"/>
    <w:rsid w:val="003C30B4"/>
    <w:rsid w:val="003C32DB"/>
    <w:rsid w:val="003C333A"/>
    <w:rsid w:val="003C37C3"/>
    <w:rsid w:val="003C3C65"/>
    <w:rsid w:val="003C3D0C"/>
    <w:rsid w:val="003C3D29"/>
    <w:rsid w:val="003C3E74"/>
    <w:rsid w:val="003C3E9A"/>
    <w:rsid w:val="003C3F1F"/>
    <w:rsid w:val="003C3FF7"/>
    <w:rsid w:val="003C4045"/>
    <w:rsid w:val="003C41F1"/>
    <w:rsid w:val="003C429E"/>
    <w:rsid w:val="003C43AE"/>
    <w:rsid w:val="003C4506"/>
    <w:rsid w:val="003C453D"/>
    <w:rsid w:val="003C476A"/>
    <w:rsid w:val="003C47A4"/>
    <w:rsid w:val="003C4ACD"/>
    <w:rsid w:val="003C4CF6"/>
    <w:rsid w:val="003C4F1B"/>
    <w:rsid w:val="003C4FEE"/>
    <w:rsid w:val="003C50B8"/>
    <w:rsid w:val="003C50F7"/>
    <w:rsid w:val="003C5103"/>
    <w:rsid w:val="003C531B"/>
    <w:rsid w:val="003C53C7"/>
    <w:rsid w:val="003C5525"/>
    <w:rsid w:val="003C55A5"/>
    <w:rsid w:val="003C5868"/>
    <w:rsid w:val="003C589F"/>
    <w:rsid w:val="003C592A"/>
    <w:rsid w:val="003C5992"/>
    <w:rsid w:val="003C59AE"/>
    <w:rsid w:val="003C5A32"/>
    <w:rsid w:val="003C5B6C"/>
    <w:rsid w:val="003C5D31"/>
    <w:rsid w:val="003C5D42"/>
    <w:rsid w:val="003C5DF7"/>
    <w:rsid w:val="003C5F81"/>
    <w:rsid w:val="003C5FE9"/>
    <w:rsid w:val="003C62DD"/>
    <w:rsid w:val="003C6334"/>
    <w:rsid w:val="003C6413"/>
    <w:rsid w:val="003C64D1"/>
    <w:rsid w:val="003C64FE"/>
    <w:rsid w:val="003C651C"/>
    <w:rsid w:val="003C654A"/>
    <w:rsid w:val="003C6739"/>
    <w:rsid w:val="003C67F1"/>
    <w:rsid w:val="003C685B"/>
    <w:rsid w:val="003C6884"/>
    <w:rsid w:val="003C6984"/>
    <w:rsid w:val="003C6B02"/>
    <w:rsid w:val="003C6B32"/>
    <w:rsid w:val="003C6B6A"/>
    <w:rsid w:val="003C6B84"/>
    <w:rsid w:val="003C6C93"/>
    <w:rsid w:val="003C6D49"/>
    <w:rsid w:val="003C6E58"/>
    <w:rsid w:val="003C72AF"/>
    <w:rsid w:val="003C748C"/>
    <w:rsid w:val="003C78FB"/>
    <w:rsid w:val="003C7DA7"/>
    <w:rsid w:val="003C7E78"/>
    <w:rsid w:val="003C7EBE"/>
    <w:rsid w:val="003C7ECA"/>
    <w:rsid w:val="003C7FC9"/>
    <w:rsid w:val="003D008A"/>
    <w:rsid w:val="003D0437"/>
    <w:rsid w:val="003D045D"/>
    <w:rsid w:val="003D05A3"/>
    <w:rsid w:val="003D05CF"/>
    <w:rsid w:val="003D069F"/>
    <w:rsid w:val="003D089D"/>
    <w:rsid w:val="003D090A"/>
    <w:rsid w:val="003D0978"/>
    <w:rsid w:val="003D0A42"/>
    <w:rsid w:val="003D0A80"/>
    <w:rsid w:val="003D0AFF"/>
    <w:rsid w:val="003D0B58"/>
    <w:rsid w:val="003D0D28"/>
    <w:rsid w:val="003D0D38"/>
    <w:rsid w:val="003D0DB5"/>
    <w:rsid w:val="003D0E44"/>
    <w:rsid w:val="003D129C"/>
    <w:rsid w:val="003D1454"/>
    <w:rsid w:val="003D14D6"/>
    <w:rsid w:val="003D1580"/>
    <w:rsid w:val="003D17D5"/>
    <w:rsid w:val="003D1930"/>
    <w:rsid w:val="003D19DB"/>
    <w:rsid w:val="003D1A0E"/>
    <w:rsid w:val="003D1AF4"/>
    <w:rsid w:val="003D1B01"/>
    <w:rsid w:val="003D1BB2"/>
    <w:rsid w:val="003D1BC0"/>
    <w:rsid w:val="003D1C4E"/>
    <w:rsid w:val="003D1D4D"/>
    <w:rsid w:val="003D1DBC"/>
    <w:rsid w:val="003D1F37"/>
    <w:rsid w:val="003D1FB6"/>
    <w:rsid w:val="003D1FC9"/>
    <w:rsid w:val="003D2175"/>
    <w:rsid w:val="003D21A7"/>
    <w:rsid w:val="003D2255"/>
    <w:rsid w:val="003D22DE"/>
    <w:rsid w:val="003D23A9"/>
    <w:rsid w:val="003D245F"/>
    <w:rsid w:val="003D2500"/>
    <w:rsid w:val="003D2568"/>
    <w:rsid w:val="003D2594"/>
    <w:rsid w:val="003D25EF"/>
    <w:rsid w:val="003D266F"/>
    <w:rsid w:val="003D2A75"/>
    <w:rsid w:val="003D2B07"/>
    <w:rsid w:val="003D2BCC"/>
    <w:rsid w:val="003D2C12"/>
    <w:rsid w:val="003D2DE3"/>
    <w:rsid w:val="003D2EBC"/>
    <w:rsid w:val="003D2FED"/>
    <w:rsid w:val="003D303D"/>
    <w:rsid w:val="003D30C9"/>
    <w:rsid w:val="003D3230"/>
    <w:rsid w:val="003D3294"/>
    <w:rsid w:val="003D3457"/>
    <w:rsid w:val="003D3628"/>
    <w:rsid w:val="003D364E"/>
    <w:rsid w:val="003D38B4"/>
    <w:rsid w:val="003D39D3"/>
    <w:rsid w:val="003D3A10"/>
    <w:rsid w:val="003D3A8B"/>
    <w:rsid w:val="003D3A9D"/>
    <w:rsid w:val="003D3B5C"/>
    <w:rsid w:val="003D3EB9"/>
    <w:rsid w:val="003D3F0F"/>
    <w:rsid w:val="003D40D9"/>
    <w:rsid w:val="003D4121"/>
    <w:rsid w:val="003D432F"/>
    <w:rsid w:val="003D4369"/>
    <w:rsid w:val="003D480A"/>
    <w:rsid w:val="003D48E8"/>
    <w:rsid w:val="003D49FF"/>
    <w:rsid w:val="003D4BAA"/>
    <w:rsid w:val="003D4CB5"/>
    <w:rsid w:val="003D4DC9"/>
    <w:rsid w:val="003D4DEF"/>
    <w:rsid w:val="003D4EDD"/>
    <w:rsid w:val="003D4F3A"/>
    <w:rsid w:val="003D50E6"/>
    <w:rsid w:val="003D537A"/>
    <w:rsid w:val="003D54A5"/>
    <w:rsid w:val="003D54F4"/>
    <w:rsid w:val="003D55F8"/>
    <w:rsid w:val="003D5616"/>
    <w:rsid w:val="003D5888"/>
    <w:rsid w:val="003D5A23"/>
    <w:rsid w:val="003D5A51"/>
    <w:rsid w:val="003D5C91"/>
    <w:rsid w:val="003D5CA3"/>
    <w:rsid w:val="003D5EB4"/>
    <w:rsid w:val="003D5F83"/>
    <w:rsid w:val="003D5F9D"/>
    <w:rsid w:val="003D602F"/>
    <w:rsid w:val="003D6084"/>
    <w:rsid w:val="003D6085"/>
    <w:rsid w:val="003D634D"/>
    <w:rsid w:val="003D64ED"/>
    <w:rsid w:val="003D65DA"/>
    <w:rsid w:val="003D6737"/>
    <w:rsid w:val="003D68AC"/>
    <w:rsid w:val="003D6988"/>
    <w:rsid w:val="003D69FA"/>
    <w:rsid w:val="003D6CCF"/>
    <w:rsid w:val="003D6E98"/>
    <w:rsid w:val="003D6E9C"/>
    <w:rsid w:val="003D6F8B"/>
    <w:rsid w:val="003D71AB"/>
    <w:rsid w:val="003D71AF"/>
    <w:rsid w:val="003D7456"/>
    <w:rsid w:val="003D750D"/>
    <w:rsid w:val="003D76A8"/>
    <w:rsid w:val="003D77C0"/>
    <w:rsid w:val="003D7874"/>
    <w:rsid w:val="003D7950"/>
    <w:rsid w:val="003D7CB5"/>
    <w:rsid w:val="003D7E5E"/>
    <w:rsid w:val="003E0092"/>
    <w:rsid w:val="003E01A2"/>
    <w:rsid w:val="003E01DC"/>
    <w:rsid w:val="003E0345"/>
    <w:rsid w:val="003E0446"/>
    <w:rsid w:val="003E0528"/>
    <w:rsid w:val="003E0580"/>
    <w:rsid w:val="003E077B"/>
    <w:rsid w:val="003E07B7"/>
    <w:rsid w:val="003E081A"/>
    <w:rsid w:val="003E0B23"/>
    <w:rsid w:val="003E0BC9"/>
    <w:rsid w:val="003E0DD8"/>
    <w:rsid w:val="003E0DFC"/>
    <w:rsid w:val="003E0EC4"/>
    <w:rsid w:val="003E0FAC"/>
    <w:rsid w:val="003E1122"/>
    <w:rsid w:val="003E14A7"/>
    <w:rsid w:val="003E14C4"/>
    <w:rsid w:val="003E1A88"/>
    <w:rsid w:val="003E1AE2"/>
    <w:rsid w:val="003E1D92"/>
    <w:rsid w:val="003E1DC9"/>
    <w:rsid w:val="003E1EA1"/>
    <w:rsid w:val="003E21C7"/>
    <w:rsid w:val="003E23FE"/>
    <w:rsid w:val="003E2426"/>
    <w:rsid w:val="003E2457"/>
    <w:rsid w:val="003E2622"/>
    <w:rsid w:val="003E26A2"/>
    <w:rsid w:val="003E275E"/>
    <w:rsid w:val="003E291B"/>
    <w:rsid w:val="003E2962"/>
    <w:rsid w:val="003E2B55"/>
    <w:rsid w:val="003E2CF2"/>
    <w:rsid w:val="003E3254"/>
    <w:rsid w:val="003E3272"/>
    <w:rsid w:val="003E36AD"/>
    <w:rsid w:val="003E383B"/>
    <w:rsid w:val="003E38A1"/>
    <w:rsid w:val="003E397C"/>
    <w:rsid w:val="003E3A35"/>
    <w:rsid w:val="003E3B17"/>
    <w:rsid w:val="003E3B75"/>
    <w:rsid w:val="003E3D33"/>
    <w:rsid w:val="003E3D86"/>
    <w:rsid w:val="003E3F17"/>
    <w:rsid w:val="003E3F33"/>
    <w:rsid w:val="003E40CA"/>
    <w:rsid w:val="003E450E"/>
    <w:rsid w:val="003E453F"/>
    <w:rsid w:val="003E473E"/>
    <w:rsid w:val="003E4896"/>
    <w:rsid w:val="003E499B"/>
    <w:rsid w:val="003E49AB"/>
    <w:rsid w:val="003E4AE3"/>
    <w:rsid w:val="003E4C56"/>
    <w:rsid w:val="003E4ED8"/>
    <w:rsid w:val="003E4F84"/>
    <w:rsid w:val="003E50C2"/>
    <w:rsid w:val="003E52E1"/>
    <w:rsid w:val="003E5379"/>
    <w:rsid w:val="003E538B"/>
    <w:rsid w:val="003E544B"/>
    <w:rsid w:val="003E54E5"/>
    <w:rsid w:val="003E553C"/>
    <w:rsid w:val="003E56E8"/>
    <w:rsid w:val="003E5AEB"/>
    <w:rsid w:val="003E5C38"/>
    <w:rsid w:val="003E5F54"/>
    <w:rsid w:val="003E5FBB"/>
    <w:rsid w:val="003E60E9"/>
    <w:rsid w:val="003E620F"/>
    <w:rsid w:val="003E62AD"/>
    <w:rsid w:val="003E63E4"/>
    <w:rsid w:val="003E64D1"/>
    <w:rsid w:val="003E666B"/>
    <w:rsid w:val="003E66B7"/>
    <w:rsid w:val="003E67BD"/>
    <w:rsid w:val="003E6986"/>
    <w:rsid w:val="003E6C33"/>
    <w:rsid w:val="003E6F47"/>
    <w:rsid w:val="003E6FF5"/>
    <w:rsid w:val="003E704F"/>
    <w:rsid w:val="003E71E3"/>
    <w:rsid w:val="003E725E"/>
    <w:rsid w:val="003E73D9"/>
    <w:rsid w:val="003E740D"/>
    <w:rsid w:val="003E7588"/>
    <w:rsid w:val="003E764C"/>
    <w:rsid w:val="003E781F"/>
    <w:rsid w:val="003E782E"/>
    <w:rsid w:val="003E78C6"/>
    <w:rsid w:val="003E79F7"/>
    <w:rsid w:val="003E7D50"/>
    <w:rsid w:val="003E7D58"/>
    <w:rsid w:val="003E7F52"/>
    <w:rsid w:val="003E7F56"/>
    <w:rsid w:val="003F01A6"/>
    <w:rsid w:val="003F0207"/>
    <w:rsid w:val="003F04FC"/>
    <w:rsid w:val="003F05DB"/>
    <w:rsid w:val="003F065E"/>
    <w:rsid w:val="003F0728"/>
    <w:rsid w:val="003F07B9"/>
    <w:rsid w:val="003F0A3A"/>
    <w:rsid w:val="003F0B14"/>
    <w:rsid w:val="003F0BCD"/>
    <w:rsid w:val="003F0F0A"/>
    <w:rsid w:val="003F1033"/>
    <w:rsid w:val="003F123C"/>
    <w:rsid w:val="003F12C2"/>
    <w:rsid w:val="003F12D2"/>
    <w:rsid w:val="003F13A2"/>
    <w:rsid w:val="003F1A40"/>
    <w:rsid w:val="003F1A72"/>
    <w:rsid w:val="003F1DA2"/>
    <w:rsid w:val="003F1EA3"/>
    <w:rsid w:val="003F210C"/>
    <w:rsid w:val="003F2157"/>
    <w:rsid w:val="003F226D"/>
    <w:rsid w:val="003F2332"/>
    <w:rsid w:val="003F26E7"/>
    <w:rsid w:val="003F27A9"/>
    <w:rsid w:val="003F2A78"/>
    <w:rsid w:val="003F2B0C"/>
    <w:rsid w:val="003F2C70"/>
    <w:rsid w:val="003F2C79"/>
    <w:rsid w:val="003F2DB7"/>
    <w:rsid w:val="003F31FF"/>
    <w:rsid w:val="003F3225"/>
    <w:rsid w:val="003F3267"/>
    <w:rsid w:val="003F32AF"/>
    <w:rsid w:val="003F32D1"/>
    <w:rsid w:val="003F335C"/>
    <w:rsid w:val="003F35E0"/>
    <w:rsid w:val="003F38B9"/>
    <w:rsid w:val="003F39D0"/>
    <w:rsid w:val="003F3A2E"/>
    <w:rsid w:val="003F3B87"/>
    <w:rsid w:val="003F3D17"/>
    <w:rsid w:val="003F3E19"/>
    <w:rsid w:val="003F3E1E"/>
    <w:rsid w:val="003F3FFB"/>
    <w:rsid w:val="003F4003"/>
    <w:rsid w:val="003F4166"/>
    <w:rsid w:val="003F4370"/>
    <w:rsid w:val="003F43A2"/>
    <w:rsid w:val="003F44E4"/>
    <w:rsid w:val="003F455F"/>
    <w:rsid w:val="003F4615"/>
    <w:rsid w:val="003F4634"/>
    <w:rsid w:val="003F470F"/>
    <w:rsid w:val="003F472C"/>
    <w:rsid w:val="003F47F9"/>
    <w:rsid w:val="003F4822"/>
    <w:rsid w:val="003F4980"/>
    <w:rsid w:val="003F4A34"/>
    <w:rsid w:val="003F4A3A"/>
    <w:rsid w:val="003F4A47"/>
    <w:rsid w:val="003F4A55"/>
    <w:rsid w:val="003F4AD3"/>
    <w:rsid w:val="003F4D36"/>
    <w:rsid w:val="003F4D7E"/>
    <w:rsid w:val="003F52F3"/>
    <w:rsid w:val="003F536C"/>
    <w:rsid w:val="003F5447"/>
    <w:rsid w:val="003F5502"/>
    <w:rsid w:val="003F55B4"/>
    <w:rsid w:val="003F5643"/>
    <w:rsid w:val="003F56AB"/>
    <w:rsid w:val="003F58B8"/>
    <w:rsid w:val="003F598C"/>
    <w:rsid w:val="003F5B7A"/>
    <w:rsid w:val="003F5BE7"/>
    <w:rsid w:val="003F5C27"/>
    <w:rsid w:val="003F5D76"/>
    <w:rsid w:val="003F5E18"/>
    <w:rsid w:val="003F5E3E"/>
    <w:rsid w:val="003F5EA2"/>
    <w:rsid w:val="003F5F13"/>
    <w:rsid w:val="003F6179"/>
    <w:rsid w:val="003F63F4"/>
    <w:rsid w:val="003F6681"/>
    <w:rsid w:val="003F69B1"/>
    <w:rsid w:val="003F6B82"/>
    <w:rsid w:val="003F6C88"/>
    <w:rsid w:val="003F6C93"/>
    <w:rsid w:val="003F6F19"/>
    <w:rsid w:val="003F6F1B"/>
    <w:rsid w:val="003F7023"/>
    <w:rsid w:val="003F7049"/>
    <w:rsid w:val="003F7107"/>
    <w:rsid w:val="003F7110"/>
    <w:rsid w:val="003F71C7"/>
    <w:rsid w:val="003F71DF"/>
    <w:rsid w:val="003F724C"/>
    <w:rsid w:val="003F7275"/>
    <w:rsid w:val="003F7350"/>
    <w:rsid w:val="003F74CC"/>
    <w:rsid w:val="003F74E2"/>
    <w:rsid w:val="003F74EC"/>
    <w:rsid w:val="003F7530"/>
    <w:rsid w:val="003F778B"/>
    <w:rsid w:val="003F7792"/>
    <w:rsid w:val="003F77DD"/>
    <w:rsid w:val="003F785D"/>
    <w:rsid w:val="003F78FA"/>
    <w:rsid w:val="003F7B47"/>
    <w:rsid w:val="003F7B67"/>
    <w:rsid w:val="003F7C45"/>
    <w:rsid w:val="003F7D27"/>
    <w:rsid w:val="003F7D4A"/>
    <w:rsid w:val="003F7D9F"/>
    <w:rsid w:val="003F7E25"/>
    <w:rsid w:val="003F7FF0"/>
    <w:rsid w:val="00400367"/>
    <w:rsid w:val="004003B4"/>
    <w:rsid w:val="004003C4"/>
    <w:rsid w:val="00400548"/>
    <w:rsid w:val="00400707"/>
    <w:rsid w:val="0040073B"/>
    <w:rsid w:val="00400755"/>
    <w:rsid w:val="004008B9"/>
    <w:rsid w:val="00400A09"/>
    <w:rsid w:val="00400A0B"/>
    <w:rsid w:val="00400D36"/>
    <w:rsid w:val="00400E50"/>
    <w:rsid w:val="00400FFD"/>
    <w:rsid w:val="00401018"/>
    <w:rsid w:val="00401037"/>
    <w:rsid w:val="004011C0"/>
    <w:rsid w:val="004012DA"/>
    <w:rsid w:val="0040131B"/>
    <w:rsid w:val="0040135F"/>
    <w:rsid w:val="004013B1"/>
    <w:rsid w:val="00401449"/>
    <w:rsid w:val="00401807"/>
    <w:rsid w:val="00401893"/>
    <w:rsid w:val="004019A5"/>
    <w:rsid w:val="00401A14"/>
    <w:rsid w:val="00401A9D"/>
    <w:rsid w:val="00401B9F"/>
    <w:rsid w:val="00401C3F"/>
    <w:rsid w:val="00401D21"/>
    <w:rsid w:val="00401E57"/>
    <w:rsid w:val="00401E60"/>
    <w:rsid w:val="00401EAB"/>
    <w:rsid w:val="00401F36"/>
    <w:rsid w:val="00401FE7"/>
    <w:rsid w:val="00402349"/>
    <w:rsid w:val="004027EA"/>
    <w:rsid w:val="004029DD"/>
    <w:rsid w:val="004029E1"/>
    <w:rsid w:val="00402B6F"/>
    <w:rsid w:val="00402D0B"/>
    <w:rsid w:val="00402DF5"/>
    <w:rsid w:val="00402F3E"/>
    <w:rsid w:val="004030B3"/>
    <w:rsid w:val="00403102"/>
    <w:rsid w:val="0040314F"/>
    <w:rsid w:val="0040320F"/>
    <w:rsid w:val="004032A8"/>
    <w:rsid w:val="00403573"/>
    <w:rsid w:val="00403604"/>
    <w:rsid w:val="004037CB"/>
    <w:rsid w:val="00403881"/>
    <w:rsid w:val="00403C9A"/>
    <w:rsid w:val="00403E09"/>
    <w:rsid w:val="00403ECE"/>
    <w:rsid w:val="00403F1F"/>
    <w:rsid w:val="00404203"/>
    <w:rsid w:val="00404273"/>
    <w:rsid w:val="0040430B"/>
    <w:rsid w:val="004043D3"/>
    <w:rsid w:val="00404476"/>
    <w:rsid w:val="004046CF"/>
    <w:rsid w:val="00404862"/>
    <w:rsid w:val="0040498D"/>
    <w:rsid w:val="00404A8E"/>
    <w:rsid w:val="00404BE4"/>
    <w:rsid w:val="00404CB1"/>
    <w:rsid w:val="00404DB4"/>
    <w:rsid w:val="0040507D"/>
    <w:rsid w:val="004050D2"/>
    <w:rsid w:val="00405334"/>
    <w:rsid w:val="0040551A"/>
    <w:rsid w:val="00405989"/>
    <w:rsid w:val="00405A5A"/>
    <w:rsid w:val="00405AB0"/>
    <w:rsid w:val="00405B43"/>
    <w:rsid w:val="00406053"/>
    <w:rsid w:val="0040608E"/>
    <w:rsid w:val="00406129"/>
    <w:rsid w:val="00406540"/>
    <w:rsid w:val="004066FA"/>
    <w:rsid w:val="004068A3"/>
    <w:rsid w:val="0040694F"/>
    <w:rsid w:val="00406C56"/>
    <w:rsid w:val="00406CB3"/>
    <w:rsid w:val="00406DCE"/>
    <w:rsid w:val="004070AA"/>
    <w:rsid w:val="00407364"/>
    <w:rsid w:val="004073CE"/>
    <w:rsid w:val="00407524"/>
    <w:rsid w:val="0040752A"/>
    <w:rsid w:val="0040759D"/>
    <w:rsid w:val="004077E5"/>
    <w:rsid w:val="0040794A"/>
    <w:rsid w:val="0040796F"/>
    <w:rsid w:val="00407C47"/>
    <w:rsid w:val="0041008E"/>
    <w:rsid w:val="00410290"/>
    <w:rsid w:val="0041047A"/>
    <w:rsid w:val="00410628"/>
    <w:rsid w:val="00410729"/>
    <w:rsid w:val="00410A04"/>
    <w:rsid w:val="00410E90"/>
    <w:rsid w:val="004111FD"/>
    <w:rsid w:val="0041127E"/>
    <w:rsid w:val="0041152A"/>
    <w:rsid w:val="00411545"/>
    <w:rsid w:val="00411846"/>
    <w:rsid w:val="004118E9"/>
    <w:rsid w:val="0041194F"/>
    <w:rsid w:val="00411A60"/>
    <w:rsid w:val="00411AD5"/>
    <w:rsid w:val="00411BA9"/>
    <w:rsid w:val="00411BB6"/>
    <w:rsid w:val="00411CA5"/>
    <w:rsid w:val="00411DE0"/>
    <w:rsid w:val="00411EAA"/>
    <w:rsid w:val="00412058"/>
    <w:rsid w:val="004121FF"/>
    <w:rsid w:val="004123FE"/>
    <w:rsid w:val="004124C1"/>
    <w:rsid w:val="0041257F"/>
    <w:rsid w:val="004126B4"/>
    <w:rsid w:val="0041287B"/>
    <w:rsid w:val="004128DA"/>
    <w:rsid w:val="00412BF0"/>
    <w:rsid w:val="00412D78"/>
    <w:rsid w:val="00412F85"/>
    <w:rsid w:val="00413004"/>
    <w:rsid w:val="004130DF"/>
    <w:rsid w:val="0041311F"/>
    <w:rsid w:val="0041313C"/>
    <w:rsid w:val="004132A8"/>
    <w:rsid w:val="00413371"/>
    <w:rsid w:val="0041337B"/>
    <w:rsid w:val="004133C0"/>
    <w:rsid w:val="00413CDA"/>
    <w:rsid w:val="00413E61"/>
    <w:rsid w:val="00414098"/>
    <w:rsid w:val="00414136"/>
    <w:rsid w:val="004142B1"/>
    <w:rsid w:val="0041470D"/>
    <w:rsid w:val="00414BA4"/>
    <w:rsid w:val="00414E44"/>
    <w:rsid w:val="00414F0F"/>
    <w:rsid w:val="004150D9"/>
    <w:rsid w:val="00415262"/>
    <w:rsid w:val="0041541E"/>
    <w:rsid w:val="0041542A"/>
    <w:rsid w:val="004155A2"/>
    <w:rsid w:val="00415638"/>
    <w:rsid w:val="004156A8"/>
    <w:rsid w:val="004156F3"/>
    <w:rsid w:val="00415792"/>
    <w:rsid w:val="00415C97"/>
    <w:rsid w:val="00415CE2"/>
    <w:rsid w:val="00416149"/>
    <w:rsid w:val="00416190"/>
    <w:rsid w:val="00416196"/>
    <w:rsid w:val="004161BE"/>
    <w:rsid w:val="004162A9"/>
    <w:rsid w:val="004162BE"/>
    <w:rsid w:val="004164C6"/>
    <w:rsid w:val="004164E4"/>
    <w:rsid w:val="00416564"/>
    <w:rsid w:val="00416689"/>
    <w:rsid w:val="004167C7"/>
    <w:rsid w:val="004167EB"/>
    <w:rsid w:val="00416825"/>
    <w:rsid w:val="00416894"/>
    <w:rsid w:val="004168E5"/>
    <w:rsid w:val="0041698A"/>
    <w:rsid w:val="00416A30"/>
    <w:rsid w:val="00416BB5"/>
    <w:rsid w:val="00416C5F"/>
    <w:rsid w:val="00416DE1"/>
    <w:rsid w:val="00416E3A"/>
    <w:rsid w:val="0041704C"/>
    <w:rsid w:val="004175CC"/>
    <w:rsid w:val="004175E3"/>
    <w:rsid w:val="0041768F"/>
    <w:rsid w:val="00417784"/>
    <w:rsid w:val="00417825"/>
    <w:rsid w:val="004178B0"/>
    <w:rsid w:val="00417B4B"/>
    <w:rsid w:val="00417CD4"/>
    <w:rsid w:val="00417E15"/>
    <w:rsid w:val="0042020A"/>
    <w:rsid w:val="004202AC"/>
    <w:rsid w:val="0042064A"/>
    <w:rsid w:val="00420716"/>
    <w:rsid w:val="0042078C"/>
    <w:rsid w:val="004207B7"/>
    <w:rsid w:val="00420804"/>
    <w:rsid w:val="004208B9"/>
    <w:rsid w:val="00420BAE"/>
    <w:rsid w:val="00420E40"/>
    <w:rsid w:val="00420F16"/>
    <w:rsid w:val="00420F85"/>
    <w:rsid w:val="00420F9F"/>
    <w:rsid w:val="00421412"/>
    <w:rsid w:val="00421498"/>
    <w:rsid w:val="00421541"/>
    <w:rsid w:val="00421588"/>
    <w:rsid w:val="004216C7"/>
    <w:rsid w:val="00421BE6"/>
    <w:rsid w:val="00421CB8"/>
    <w:rsid w:val="0042205D"/>
    <w:rsid w:val="00422100"/>
    <w:rsid w:val="00422368"/>
    <w:rsid w:val="00422403"/>
    <w:rsid w:val="004227E1"/>
    <w:rsid w:val="0042282D"/>
    <w:rsid w:val="00422A6F"/>
    <w:rsid w:val="00422AC4"/>
    <w:rsid w:val="00422CC3"/>
    <w:rsid w:val="00422E35"/>
    <w:rsid w:val="00422E39"/>
    <w:rsid w:val="00422E95"/>
    <w:rsid w:val="00423092"/>
    <w:rsid w:val="00423099"/>
    <w:rsid w:val="004231DB"/>
    <w:rsid w:val="00423334"/>
    <w:rsid w:val="00423350"/>
    <w:rsid w:val="004234F0"/>
    <w:rsid w:val="0042370D"/>
    <w:rsid w:val="0042393D"/>
    <w:rsid w:val="0042396D"/>
    <w:rsid w:val="00423BA4"/>
    <w:rsid w:val="00423BCA"/>
    <w:rsid w:val="00423E81"/>
    <w:rsid w:val="00423EAE"/>
    <w:rsid w:val="00423F14"/>
    <w:rsid w:val="00423F3D"/>
    <w:rsid w:val="00423F6D"/>
    <w:rsid w:val="004240A9"/>
    <w:rsid w:val="0042423B"/>
    <w:rsid w:val="0042434A"/>
    <w:rsid w:val="004243E2"/>
    <w:rsid w:val="004243E6"/>
    <w:rsid w:val="0042445E"/>
    <w:rsid w:val="00424523"/>
    <w:rsid w:val="004245E6"/>
    <w:rsid w:val="00424905"/>
    <w:rsid w:val="00424A15"/>
    <w:rsid w:val="00424B57"/>
    <w:rsid w:val="00424B61"/>
    <w:rsid w:val="00424CAB"/>
    <w:rsid w:val="00424E53"/>
    <w:rsid w:val="0042503F"/>
    <w:rsid w:val="00425106"/>
    <w:rsid w:val="004252B1"/>
    <w:rsid w:val="0042532A"/>
    <w:rsid w:val="004253E8"/>
    <w:rsid w:val="00425436"/>
    <w:rsid w:val="0042544A"/>
    <w:rsid w:val="004255D1"/>
    <w:rsid w:val="004256D6"/>
    <w:rsid w:val="004258DB"/>
    <w:rsid w:val="004259A0"/>
    <w:rsid w:val="00425A28"/>
    <w:rsid w:val="00425B55"/>
    <w:rsid w:val="00425E10"/>
    <w:rsid w:val="00425F06"/>
    <w:rsid w:val="0042660E"/>
    <w:rsid w:val="0042667E"/>
    <w:rsid w:val="004266B5"/>
    <w:rsid w:val="004266D9"/>
    <w:rsid w:val="00426703"/>
    <w:rsid w:val="00426B0A"/>
    <w:rsid w:val="00426B41"/>
    <w:rsid w:val="00426EDC"/>
    <w:rsid w:val="00427115"/>
    <w:rsid w:val="0042719C"/>
    <w:rsid w:val="004273FC"/>
    <w:rsid w:val="00427474"/>
    <w:rsid w:val="004274FD"/>
    <w:rsid w:val="0042758F"/>
    <w:rsid w:val="004276C7"/>
    <w:rsid w:val="004276CA"/>
    <w:rsid w:val="00427702"/>
    <w:rsid w:val="00427739"/>
    <w:rsid w:val="0042797E"/>
    <w:rsid w:val="00427AB2"/>
    <w:rsid w:val="00427BDA"/>
    <w:rsid w:val="00427EA8"/>
    <w:rsid w:val="00427EA9"/>
    <w:rsid w:val="0043029D"/>
    <w:rsid w:val="00430541"/>
    <w:rsid w:val="004305A6"/>
    <w:rsid w:val="0043063D"/>
    <w:rsid w:val="004306F0"/>
    <w:rsid w:val="00430A27"/>
    <w:rsid w:val="00430AD8"/>
    <w:rsid w:val="00430BC0"/>
    <w:rsid w:val="00430CB5"/>
    <w:rsid w:val="00430CE1"/>
    <w:rsid w:val="00430DF1"/>
    <w:rsid w:val="00430E3A"/>
    <w:rsid w:val="00430E42"/>
    <w:rsid w:val="00430F17"/>
    <w:rsid w:val="00431020"/>
    <w:rsid w:val="004311D2"/>
    <w:rsid w:val="00431264"/>
    <w:rsid w:val="0043149E"/>
    <w:rsid w:val="00431506"/>
    <w:rsid w:val="0043164A"/>
    <w:rsid w:val="004316C8"/>
    <w:rsid w:val="004317FF"/>
    <w:rsid w:val="0043181B"/>
    <w:rsid w:val="004318B6"/>
    <w:rsid w:val="004319BC"/>
    <w:rsid w:val="00431AE5"/>
    <w:rsid w:val="00431B14"/>
    <w:rsid w:val="00431D55"/>
    <w:rsid w:val="00431EED"/>
    <w:rsid w:val="004320D3"/>
    <w:rsid w:val="00432163"/>
    <w:rsid w:val="00432303"/>
    <w:rsid w:val="00432389"/>
    <w:rsid w:val="004323A2"/>
    <w:rsid w:val="004324C4"/>
    <w:rsid w:val="00432550"/>
    <w:rsid w:val="004326BE"/>
    <w:rsid w:val="004326C6"/>
    <w:rsid w:val="004327A9"/>
    <w:rsid w:val="004328C5"/>
    <w:rsid w:val="004328CF"/>
    <w:rsid w:val="004328D3"/>
    <w:rsid w:val="004329F1"/>
    <w:rsid w:val="00432ADD"/>
    <w:rsid w:val="00432BE7"/>
    <w:rsid w:val="00432E70"/>
    <w:rsid w:val="00432EEA"/>
    <w:rsid w:val="004330FD"/>
    <w:rsid w:val="0043313C"/>
    <w:rsid w:val="00433474"/>
    <w:rsid w:val="00433514"/>
    <w:rsid w:val="00433579"/>
    <w:rsid w:val="0043363D"/>
    <w:rsid w:val="0043364F"/>
    <w:rsid w:val="00433657"/>
    <w:rsid w:val="00433A5B"/>
    <w:rsid w:val="00433AAD"/>
    <w:rsid w:val="00433DC8"/>
    <w:rsid w:val="00433EC1"/>
    <w:rsid w:val="00433FB8"/>
    <w:rsid w:val="00434154"/>
    <w:rsid w:val="00434383"/>
    <w:rsid w:val="0043441D"/>
    <w:rsid w:val="0043458D"/>
    <w:rsid w:val="004345C4"/>
    <w:rsid w:val="00434928"/>
    <w:rsid w:val="00434CD3"/>
    <w:rsid w:val="00434F97"/>
    <w:rsid w:val="00434FAA"/>
    <w:rsid w:val="004350B0"/>
    <w:rsid w:val="00435145"/>
    <w:rsid w:val="004351F1"/>
    <w:rsid w:val="00435367"/>
    <w:rsid w:val="0043541F"/>
    <w:rsid w:val="004355FB"/>
    <w:rsid w:val="004356C2"/>
    <w:rsid w:val="00435702"/>
    <w:rsid w:val="00435760"/>
    <w:rsid w:val="004358F1"/>
    <w:rsid w:val="004358FD"/>
    <w:rsid w:val="004359FC"/>
    <w:rsid w:val="00435A68"/>
    <w:rsid w:val="00435ACA"/>
    <w:rsid w:val="00436071"/>
    <w:rsid w:val="004361A9"/>
    <w:rsid w:val="00436215"/>
    <w:rsid w:val="004362D0"/>
    <w:rsid w:val="00436431"/>
    <w:rsid w:val="00436512"/>
    <w:rsid w:val="004366B0"/>
    <w:rsid w:val="00436868"/>
    <w:rsid w:val="00436CE5"/>
    <w:rsid w:val="00436E58"/>
    <w:rsid w:val="00436EB4"/>
    <w:rsid w:val="00436F8C"/>
    <w:rsid w:val="004372F8"/>
    <w:rsid w:val="00437386"/>
    <w:rsid w:val="004373BA"/>
    <w:rsid w:val="00437487"/>
    <w:rsid w:val="004375F4"/>
    <w:rsid w:val="00437622"/>
    <w:rsid w:val="00437758"/>
    <w:rsid w:val="0043784D"/>
    <w:rsid w:val="0043795A"/>
    <w:rsid w:val="00437AF1"/>
    <w:rsid w:val="00437B61"/>
    <w:rsid w:val="00437B92"/>
    <w:rsid w:val="00437DF0"/>
    <w:rsid w:val="00437EB2"/>
    <w:rsid w:val="00437EF3"/>
    <w:rsid w:val="0044013C"/>
    <w:rsid w:val="004402A2"/>
    <w:rsid w:val="00440524"/>
    <w:rsid w:val="00440A9A"/>
    <w:rsid w:val="00440B84"/>
    <w:rsid w:val="00440D37"/>
    <w:rsid w:val="00440DB0"/>
    <w:rsid w:val="00440EEE"/>
    <w:rsid w:val="00440F2D"/>
    <w:rsid w:val="0044127A"/>
    <w:rsid w:val="0044158C"/>
    <w:rsid w:val="004416BB"/>
    <w:rsid w:val="00441810"/>
    <w:rsid w:val="0044184E"/>
    <w:rsid w:val="004418B6"/>
    <w:rsid w:val="00441903"/>
    <w:rsid w:val="004419C7"/>
    <w:rsid w:val="004419DA"/>
    <w:rsid w:val="00441D8C"/>
    <w:rsid w:val="00441D9E"/>
    <w:rsid w:val="00441F93"/>
    <w:rsid w:val="004423DE"/>
    <w:rsid w:val="00442617"/>
    <w:rsid w:val="00442664"/>
    <w:rsid w:val="004427A3"/>
    <w:rsid w:val="00442A42"/>
    <w:rsid w:val="00442A80"/>
    <w:rsid w:val="00442BA1"/>
    <w:rsid w:val="00442C35"/>
    <w:rsid w:val="00442CBB"/>
    <w:rsid w:val="00442EE2"/>
    <w:rsid w:val="00442F3A"/>
    <w:rsid w:val="00443192"/>
    <w:rsid w:val="0044336D"/>
    <w:rsid w:val="004433C7"/>
    <w:rsid w:val="004435D8"/>
    <w:rsid w:val="004435ED"/>
    <w:rsid w:val="00443925"/>
    <w:rsid w:val="004439B9"/>
    <w:rsid w:val="00443AF7"/>
    <w:rsid w:val="00443B69"/>
    <w:rsid w:val="00443C9F"/>
    <w:rsid w:val="00443D6F"/>
    <w:rsid w:val="00443D73"/>
    <w:rsid w:val="00443E08"/>
    <w:rsid w:val="00443E3D"/>
    <w:rsid w:val="00444089"/>
    <w:rsid w:val="004441D4"/>
    <w:rsid w:val="00444209"/>
    <w:rsid w:val="004442FE"/>
    <w:rsid w:val="00444420"/>
    <w:rsid w:val="004444DD"/>
    <w:rsid w:val="004448D8"/>
    <w:rsid w:val="00444B04"/>
    <w:rsid w:val="00444B09"/>
    <w:rsid w:val="00444C0F"/>
    <w:rsid w:val="00444C8A"/>
    <w:rsid w:val="00444DFD"/>
    <w:rsid w:val="00444E66"/>
    <w:rsid w:val="00445119"/>
    <w:rsid w:val="00445307"/>
    <w:rsid w:val="00445490"/>
    <w:rsid w:val="0044559D"/>
    <w:rsid w:val="00445763"/>
    <w:rsid w:val="00445B20"/>
    <w:rsid w:val="00445CE0"/>
    <w:rsid w:val="00445DD0"/>
    <w:rsid w:val="0044603C"/>
    <w:rsid w:val="00446174"/>
    <w:rsid w:val="004463BF"/>
    <w:rsid w:val="004463C4"/>
    <w:rsid w:val="00446538"/>
    <w:rsid w:val="00446546"/>
    <w:rsid w:val="0044665B"/>
    <w:rsid w:val="00446819"/>
    <w:rsid w:val="004469CD"/>
    <w:rsid w:val="00446A00"/>
    <w:rsid w:val="00446A55"/>
    <w:rsid w:val="00446AA1"/>
    <w:rsid w:val="00446AC9"/>
    <w:rsid w:val="00446B39"/>
    <w:rsid w:val="00446C63"/>
    <w:rsid w:val="00446DBA"/>
    <w:rsid w:val="00446EAA"/>
    <w:rsid w:val="00446FE8"/>
    <w:rsid w:val="00447003"/>
    <w:rsid w:val="0044702D"/>
    <w:rsid w:val="004470BE"/>
    <w:rsid w:val="004470CD"/>
    <w:rsid w:val="004473C3"/>
    <w:rsid w:val="00447583"/>
    <w:rsid w:val="00447789"/>
    <w:rsid w:val="00447A52"/>
    <w:rsid w:val="00447E27"/>
    <w:rsid w:val="00447F35"/>
    <w:rsid w:val="00447FB2"/>
    <w:rsid w:val="00450046"/>
    <w:rsid w:val="004500BA"/>
    <w:rsid w:val="004502A7"/>
    <w:rsid w:val="00450458"/>
    <w:rsid w:val="0045063D"/>
    <w:rsid w:val="00450666"/>
    <w:rsid w:val="004506D5"/>
    <w:rsid w:val="00450713"/>
    <w:rsid w:val="0045071F"/>
    <w:rsid w:val="00450796"/>
    <w:rsid w:val="0045085D"/>
    <w:rsid w:val="004508D9"/>
    <w:rsid w:val="00450942"/>
    <w:rsid w:val="00450A1C"/>
    <w:rsid w:val="00450B6D"/>
    <w:rsid w:val="00450B90"/>
    <w:rsid w:val="00450BCD"/>
    <w:rsid w:val="004510FA"/>
    <w:rsid w:val="004511E8"/>
    <w:rsid w:val="004514D6"/>
    <w:rsid w:val="004516F8"/>
    <w:rsid w:val="0045178B"/>
    <w:rsid w:val="0045179F"/>
    <w:rsid w:val="004518CC"/>
    <w:rsid w:val="004519C3"/>
    <w:rsid w:val="00451A6F"/>
    <w:rsid w:val="00451BAF"/>
    <w:rsid w:val="00451D93"/>
    <w:rsid w:val="00451F28"/>
    <w:rsid w:val="00451F5F"/>
    <w:rsid w:val="00451F7C"/>
    <w:rsid w:val="00452482"/>
    <w:rsid w:val="00452488"/>
    <w:rsid w:val="00452533"/>
    <w:rsid w:val="004525A0"/>
    <w:rsid w:val="0045264E"/>
    <w:rsid w:val="004526B6"/>
    <w:rsid w:val="004526FA"/>
    <w:rsid w:val="004528A6"/>
    <w:rsid w:val="00452954"/>
    <w:rsid w:val="004529B8"/>
    <w:rsid w:val="00452BF6"/>
    <w:rsid w:val="00452CE5"/>
    <w:rsid w:val="00452CF1"/>
    <w:rsid w:val="00452DC5"/>
    <w:rsid w:val="00452E4A"/>
    <w:rsid w:val="00452EE8"/>
    <w:rsid w:val="00452F83"/>
    <w:rsid w:val="0045325B"/>
    <w:rsid w:val="004535B3"/>
    <w:rsid w:val="004535E8"/>
    <w:rsid w:val="0045368C"/>
    <w:rsid w:val="004537F8"/>
    <w:rsid w:val="004539C5"/>
    <w:rsid w:val="00453AF5"/>
    <w:rsid w:val="00453B06"/>
    <w:rsid w:val="00453B47"/>
    <w:rsid w:val="00453BE4"/>
    <w:rsid w:val="00453C87"/>
    <w:rsid w:val="00453CCB"/>
    <w:rsid w:val="00453D39"/>
    <w:rsid w:val="00453DF4"/>
    <w:rsid w:val="00453E33"/>
    <w:rsid w:val="00453E6E"/>
    <w:rsid w:val="00453F2E"/>
    <w:rsid w:val="004540A6"/>
    <w:rsid w:val="00454192"/>
    <w:rsid w:val="004542CD"/>
    <w:rsid w:val="0045432E"/>
    <w:rsid w:val="004543AC"/>
    <w:rsid w:val="004545B3"/>
    <w:rsid w:val="00454686"/>
    <w:rsid w:val="00454BAE"/>
    <w:rsid w:val="00454BF3"/>
    <w:rsid w:val="00454DD3"/>
    <w:rsid w:val="00454F42"/>
    <w:rsid w:val="00454F96"/>
    <w:rsid w:val="004550C7"/>
    <w:rsid w:val="0045518A"/>
    <w:rsid w:val="004551F6"/>
    <w:rsid w:val="0045522D"/>
    <w:rsid w:val="00455444"/>
    <w:rsid w:val="004554A0"/>
    <w:rsid w:val="004554F9"/>
    <w:rsid w:val="0045578E"/>
    <w:rsid w:val="00455792"/>
    <w:rsid w:val="0045593F"/>
    <w:rsid w:val="00455B88"/>
    <w:rsid w:val="00455BEC"/>
    <w:rsid w:val="00455C0C"/>
    <w:rsid w:val="00455C8C"/>
    <w:rsid w:val="00455CFC"/>
    <w:rsid w:val="00455DD6"/>
    <w:rsid w:val="00455EFA"/>
    <w:rsid w:val="00455FDF"/>
    <w:rsid w:val="00456103"/>
    <w:rsid w:val="004561F4"/>
    <w:rsid w:val="00456261"/>
    <w:rsid w:val="0045628E"/>
    <w:rsid w:val="004563F3"/>
    <w:rsid w:val="00456415"/>
    <w:rsid w:val="00456479"/>
    <w:rsid w:val="00456537"/>
    <w:rsid w:val="004566A6"/>
    <w:rsid w:val="004568D0"/>
    <w:rsid w:val="00456987"/>
    <w:rsid w:val="0045699E"/>
    <w:rsid w:val="00456A49"/>
    <w:rsid w:val="00456AE1"/>
    <w:rsid w:val="00456CF7"/>
    <w:rsid w:val="00456E8A"/>
    <w:rsid w:val="00456F07"/>
    <w:rsid w:val="00456F2C"/>
    <w:rsid w:val="00457341"/>
    <w:rsid w:val="00457435"/>
    <w:rsid w:val="004575CD"/>
    <w:rsid w:val="00457667"/>
    <w:rsid w:val="0045772E"/>
    <w:rsid w:val="004577C0"/>
    <w:rsid w:val="004577E5"/>
    <w:rsid w:val="0045786C"/>
    <w:rsid w:val="00457966"/>
    <w:rsid w:val="00457981"/>
    <w:rsid w:val="00457A3F"/>
    <w:rsid w:val="00457A48"/>
    <w:rsid w:val="00457E6A"/>
    <w:rsid w:val="00457E75"/>
    <w:rsid w:val="00457F50"/>
    <w:rsid w:val="00460032"/>
    <w:rsid w:val="00460123"/>
    <w:rsid w:val="004601F2"/>
    <w:rsid w:val="00460307"/>
    <w:rsid w:val="004603AE"/>
    <w:rsid w:val="0046046C"/>
    <w:rsid w:val="00460486"/>
    <w:rsid w:val="0046053A"/>
    <w:rsid w:val="004606E5"/>
    <w:rsid w:val="004607D6"/>
    <w:rsid w:val="00460B47"/>
    <w:rsid w:val="00460BB6"/>
    <w:rsid w:val="00460D6B"/>
    <w:rsid w:val="00460E70"/>
    <w:rsid w:val="00460F19"/>
    <w:rsid w:val="00460F3E"/>
    <w:rsid w:val="00461011"/>
    <w:rsid w:val="004610ED"/>
    <w:rsid w:val="00461267"/>
    <w:rsid w:val="004612CD"/>
    <w:rsid w:val="0046132D"/>
    <w:rsid w:val="00461352"/>
    <w:rsid w:val="004613A5"/>
    <w:rsid w:val="00461463"/>
    <w:rsid w:val="004615AA"/>
    <w:rsid w:val="00461A98"/>
    <w:rsid w:val="00461AF4"/>
    <w:rsid w:val="00461B32"/>
    <w:rsid w:val="00461C02"/>
    <w:rsid w:val="00461E5F"/>
    <w:rsid w:val="00461EDA"/>
    <w:rsid w:val="00461EF6"/>
    <w:rsid w:val="00461FA7"/>
    <w:rsid w:val="00461FD5"/>
    <w:rsid w:val="00462112"/>
    <w:rsid w:val="00462295"/>
    <w:rsid w:val="004622CD"/>
    <w:rsid w:val="00462303"/>
    <w:rsid w:val="00462378"/>
    <w:rsid w:val="00462582"/>
    <w:rsid w:val="004625C8"/>
    <w:rsid w:val="004627A2"/>
    <w:rsid w:val="00462AE6"/>
    <w:rsid w:val="00462C73"/>
    <w:rsid w:val="00462D5D"/>
    <w:rsid w:val="00462D8B"/>
    <w:rsid w:val="00462E78"/>
    <w:rsid w:val="00462FCC"/>
    <w:rsid w:val="00462FE5"/>
    <w:rsid w:val="004630B9"/>
    <w:rsid w:val="00463344"/>
    <w:rsid w:val="004634AD"/>
    <w:rsid w:val="00463719"/>
    <w:rsid w:val="00463756"/>
    <w:rsid w:val="004637CD"/>
    <w:rsid w:val="00463832"/>
    <w:rsid w:val="0046389C"/>
    <w:rsid w:val="0046391F"/>
    <w:rsid w:val="00463E72"/>
    <w:rsid w:val="00463FBF"/>
    <w:rsid w:val="0046430B"/>
    <w:rsid w:val="0046433B"/>
    <w:rsid w:val="004645F8"/>
    <w:rsid w:val="00464627"/>
    <w:rsid w:val="00464733"/>
    <w:rsid w:val="004647C6"/>
    <w:rsid w:val="004647F8"/>
    <w:rsid w:val="004649D0"/>
    <w:rsid w:val="004649F2"/>
    <w:rsid w:val="00464C4D"/>
    <w:rsid w:val="00464E14"/>
    <w:rsid w:val="00464F26"/>
    <w:rsid w:val="00464F7C"/>
    <w:rsid w:val="00464F7E"/>
    <w:rsid w:val="00464F87"/>
    <w:rsid w:val="004652CF"/>
    <w:rsid w:val="00465C09"/>
    <w:rsid w:val="00465C63"/>
    <w:rsid w:val="00465F07"/>
    <w:rsid w:val="00465F9D"/>
    <w:rsid w:val="004660BD"/>
    <w:rsid w:val="004660F5"/>
    <w:rsid w:val="0046626A"/>
    <w:rsid w:val="004662D3"/>
    <w:rsid w:val="00466305"/>
    <w:rsid w:val="0046630C"/>
    <w:rsid w:val="004664E6"/>
    <w:rsid w:val="00466539"/>
    <w:rsid w:val="0046670F"/>
    <w:rsid w:val="00466833"/>
    <w:rsid w:val="0046686C"/>
    <w:rsid w:val="00466889"/>
    <w:rsid w:val="00466DB2"/>
    <w:rsid w:val="00466DD2"/>
    <w:rsid w:val="00466EB4"/>
    <w:rsid w:val="00466FA0"/>
    <w:rsid w:val="004672B9"/>
    <w:rsid w:val="004678AE"/>
    <w:rsid w:val="00467900"/>
    <w:rsid w:val="00467919"/>
    <w:rsid w:val="00467A80"/>
    <w:rsid w:val="00467B00"/>
    <w:rsid w:val="00467B63"/>
    <w:rsid w:val="00467C69"/>
    <w:rsid w:val="00467CD7"/>
    <w:rsid w:val="00467E63"/>
    <w:rsid w:val="0047018E"/>
    <w:rsid w:val="004702ED"/>
    <w:rsid w:val="004702FA"/>
    <w:rsid w:val="0047058F"/>
    <w:rsid w:val="00470594"/>
    <w:rsid w:val="00470609"/>
    <w:rsid w:val="004706EA"/>
    <w:rsid w:val="00470780"/>
    <w:rsid w:val="00470796"/>
    <w:rsid w:val="004707D8"/>
    <w:rsid w:val="004708A2"/>
    <w:rsid w:val="00470A5B"/>
    <w:rsid w:val="00470A72"/>
    <w:rsid w:val="00470AB4"/>
    <w:rsid w:val="00470CA5"/>
    <w:rsid w:val="00470D5D"/>
    <w:rsid w:val="00470DF2"/>
    <w:rsid w:val="00470E1F"/>
    <w:rsid w:val="004714A0"/>
    <w:rsid w:val="004715E9"/>
    <w:rsid w:val="00471698"/>
    <w:rsid w:val="0047169D"/>
    <w:rsid w:val="00471731"/>
    <w:rsid w:val="00471848"/>
    <w:rsid w:val="00471937"/>
    <w:rsid w:val="00471972"/>
    <w:rsid w:val="00471A26"/>
    <w:rsid w:val="00471AE9"/>
    <w:rsid w:val="00471B6D"/>
    <w:rsid w:val="00471D00"/>
    <w:rsid w:val="00471E0D"/>
    <w:rsid w:val="00471FDF"/>
    <w:rsid w:val="0047234D"/>
    <w:rsid w:val="0047272B"/>
    <w:rsid w:val="004729EF"/>
    <w:rsid w:val="00472B4C"/>
    <w:rsid w:val="00472CAD"/>
    <w:rsid w:val="00472E16"/>
    <w:rsid w:val="00472E3D"/>
    <w:rsid w:val="00472F84"/>
    <w:rsid w:val="0047317F"/>
    <w:rsid w:val="004732D2"/>
    <w:rsid w:val="0047335C"/>
    <w:rsid w:val="00473448"/>
    <w:rsid w:val="004734DF"/>
    <w:rsid w:val="004735E7"/>
    <w:rsid w:val="004738A4"/>
    <w:rsid w:val="00473909"/>
    <w:rsid w:val="00473918"/>
    <w:rsid w:val="00473CC2"/>
    <w:rsid w:val="00473E02"/>
    <w:rsid w:val="00474988"/>
    <w:rsid w:val="00474A3A"/>
    <w:rsid w:val="00474B33"/>
    <w:rsid w:val="00474D8B"/>
    <w:rsid w:val="00474E32"/>
    <w:rsid w:val="0047500F"/>
    <w:rsid w:val="004750EF"/>
    <w:rsid w:val="004751E0"/>
    <w:rsid w:val="0047524B"/>
    <w:rsid w:val="00475834"/>
    <w:rsid w:val="00475C12"/>
    <w:rsid w:val="00475D54"/>
    <w:rsid w:val="00475E76"/>
    <w:rsid w:val="00475F7F"/>
    <w:rsid w:val="00475F86"/>
    <w:rsid w:val="00476196"/>
    <w:rsid w:val="0047627A"/>
    <w:rsid w:val="004763B7"/>
    <w:rsid w:val="00476544"/>
    <w:rsid w:val="004766CF"/>
    <w:rsid w:val="00476816"/>
    <w:rsid w:val="00476867"/>
    <w:rsid w:val="004768CB"/>
    <w:rsid w:val="00476911"/>
    <w:rsid w:val="004769A8"/>
    <w:rsid w:val="00476A52"/>
    <w:rsid w:val="00476B44"/>
    <w:rsid w:val="00476B5A"/>
    <w:rsid w:val="00476BF3"/>
    <w:rsid w:val="00476C99"/>
    <w:rsid w:val="0047703D"/>
    <w:rsid w:val="00477080"/>
    <w:rsid w:val="004770EF"/>
    <w:rsid w:val="00477200"/>
    <w:rsid w:val="004772D2"/>
    <w:rsid w:val="0047733C"/>
    <w:rsid w:val="004774A1"/>
    <w:rsid w:val="00477531"/>
    <w:rsid w:val="00477549"/>
    <w:rsid w:val="00477554"/>
    <w:rsid w:val="00477561"/>
    <w:rsid w:val="0047762D"/>
    <w:rsid w:val="0047765A"/>
    <w:rsid w:val="00477706"/>
    <w:rsid w:val="0047774B"/>
    <w:rsid w:val="004778B2"/>
    <w:rsid w:val="00477A4C"/>
    <w:rsid w:val="00477A4D"/>
    <w:rsid w:val="00477B1E"/>
    <w:rsid w:val="00477BCA"/>
    <w:rsid w:val="00477EDA"/>
    <w:rsid w:val="00480026"/>
    <w:rsid w:val="00480336"/>
    <w:rsid w:val="004803A5"/>
    <w:rsid w:val="00480704"/>
    <w:rsid w:val="00480A36"/>
    <w:rsid w:val="00480EC3"/>
    <w:rsid w:val="00480F0B"/>
    <w:rsid w:val="00481168"/>
    <w:rsid w:val="004812AC"/>
    <w:rsid w:val="00481389"/>
    <w:rsid w:val="004813EA"/>
    <w:rsid w:val="00481568"/>
    <w:rsid w:val="00481608"/>
    <w:rsid w:val="004816AA"/>
    <w:rsid w:val="0048199A"/>
    <w:rsid w:val="00481BB1"/>
    <w:rsid w:val="00481D48"/>
    <w:rsid w:val="00481D60"/>
    <w:rsid w:val="00481D79"/>
    <w:rsid w:val="00481DA6"/>
    <w:rsid w:val="00481DCA"/>
    <w:rsid w:val="00481E41"/>
    <w:rsid w:val="004820D5"/>
    <w:rsid w:val="0048231C"/>
    <w:rsid w:val="00482370"/>
    <w:rsid w:val="00482375"/>
    <w:rsid w:val="004823B5"/>
    <w:rsid w:val="004824A8"/>
    <w:rsid w:val="0048283A"/>
    <w:rsid w:val="004828DD"/>
    <w:rsid w:val="0048290E"/>
    <w:rsid w:val="00482987"/>
    <w:rsid w:val="00482AC7"/>
    <w:rsid w:val="00482B2E"/>
    <w:rsid w:val="00482E48"/>
    <w:rsid w:val="00483069"/>
    <w:rsid w:val="004833F6"/>
    <w:rsid w:val="0048348B"/>
    <w:rsid w:val="0048359C"/>
    <w:rsid w:val="00483778"/>
    <w:rsid w:val="00483A86"/>
    <w:rsid w:val="00483CA3"/>
    <w:rsid w:val="00483CF4"/>
    <w:rsid w:val="00483E48"/>
    <w:rsid w:val="0048405E"/>
    <w:rsid w:val="00484318"/>
    <w:rsid w:val="0048438A"/>
    <w:rsid w:val="00484679"/>
    <w:rsid w:val="00484788"/>
    <w:rsid w:val="00484824"/>
    <w:rsid w:val="00484C36"/>
    <w:rsid w:val="00484D7F"/>
    <w:rsid w:val="00484D8C"/>
    <w:rsid w:val="00484F71"/>
    <w:rsid w:val="00484FCE"/>
    <w:rsid w:val="0048510C"/>
    <w:rsid w:val="0048519D"/>
    <w:rsid w:val="0048522A"/>
    <w:rsid w:val="004852CE"/>
    <w:rsid w:val="00485344"/>
    <w:rsid w:val="004853C9"/>
    <w:rsid w:val="00485482"/>
    <w:rsid w:val="0048557F"/>
    <w:rsid w:val="004857B2"/>
    <w:rsid w:val="00485A60"/>
    <w:rsid w:val="00485B29"/>
    <w:rsid w:val="00485B8D"/>
    <w:rsid w:val="00485C29"/>
    <w:rsid w:val="00485C84"/>
    <w:rsid w:val="00485CF9"/>
    <w:rsid w:val="00485D85"/>
    <w:rsid w:val="00485E35"/>
    <w:rsid w:val="0048607D"/>
    <w:rsid w:val="00486191"/>
    <w:rsid w:val="00486201"/>
    <w:rsid w:val="004862C6"/>
    <w:rsid w:val="004864F9"/>
    <w:rsid w:val="00486501"/>
    <w:rsid w:val="0048676A"/>
    <w:rsid w:val="00486787"/>
    <w:rsid w:val="004868EE"/>
    <w:rsid w:val="00486943"/>
    <w:rsid w:val="00486995"/>
    <w:rsid w:val="004869AB"/>
    <w:rsid w:val="004869D3"/>
    <w:rsid w:val="00486A58"/>
    <w:rsid w:val="00486A9F"/>
    <w:rsid w:val="00486B4B"/>
    <w:rsid w:val="00486C63"/>
    <w:rsid w:val="00486D47"/>
    <w:rsid w:val="00486D8A"/>
    <w:rsid w:val="00486FA8"/>
    <w:rsid w:val="00487040"/>
    <w:rsid w:val="0048707C"/>
    <w:rsid w:val="00487276"/>
    <w:rsid w:val="004872F0"/>
    <w:rsid w:val="00487545"/>
    <w:rsid w:val="0048783D"/>
    <w:rsid w:val="00487894"/>
    <w:rsid w:val="00487945"/>
    <w:rsid w:val="00487A4E"/>
    <w:rsid w:val="00487B59"/>
    <w:rsid w:val="00487EF8"/>
    <w:rsid w:val="00487F94"/>
    <w:rsid w:val="0049000D"/>
    <w:rsid w:val="00490222"/>
    <w:rsid w:val="00490331"/>
    <w:rsid w:val="004903DA"/>
    <w:rsid w:val="0049047E"/>
    <w:rsid w:val="0049049D"/>
    <w:rsid w:val="004906B6"/>
    <w:rsid w:val="004907A8"/>
    <w:rsid w:val="0049090F"/>
    <w:rsid w:val="00490972"/>
    <w:rsid w:val="00490A87"/>
    <w:rsid w:val="00490C2B"/>
    <w:rsid w:val="00491147"/>
    <w:rsid w:val="004911C9"/>
    <w:rsid w:val="0049139A"/>
    <w:rsid w:val="00491792"/>
    <w:rsid w:val="00491817"/>
    <w:rsid w:val="0049199E"/>
    <w:rsid w:val="00491BB6"/>
    <w:rsid w:val="00491C1B"/>
    <w:rsid w:val="00491E1D"/>
    <w:rsid w:val="00491E28"/>
    <w:rsid w:val="0049229A"/>
    <w:rsid w:val="0049242B"/>
    <w:rsid w:val="00492446"/>
    <w:rsid w:val="004927D0"/>
    <w:rsid w:val="0049289F"/>
    <w:rsid w:val="0049296D"/>
    <w:rsid w:val="004929B3"/>
    <w:rsid w:val="00492CB1"/>
    <w:rsid w:val="00492D10"/>
    <w:rsid w:val="00492EA5"/>
    <w:rsid w:val="00493011"/>
    <w:rsid w:val="004930DD"/>
    <w:rsid w:val="0049320D"/>
    <w:rsid w:val="004934DE"/>
    <w:rsid w:val="004935CA"/>
    <w:rsid w:val="00493693"/>
    <w:rsid w:val="004937F0"/>
    <w:rsid w:val="004938B3"/>
    <w:rsid w:val="00493A42"/>
    <w:rsid w:val="00493A48"/>
    <w:rsid w:val="00493AC2"/>
    <w:rsid w:val="00493C61"/>
    <w:rsid w:val="00493C9A"/>
    <w:rsid w:val="00493E21"/>
    <w:rsid w:val="00493E24"/>
    <w:rsid w:val="00493EB6"/>
    <w:rsid w:val="00493F65"/>
    <w:rsid w:val="00494284"/>
    <w:rsid w:val="0049438A"/>
    <w:rsid w:val="0049453F"/>
    <w:rsid w:val="00494583"/>
    <w:rsid w:val="00494652"/>
    <w:rsid w:val="00494867"/>
    <w:rsid w:val="00494879"/>
    <w:rsid w:val="004948B2"/>
    <w:rsid w:val="00494945"/>
    <w:rsid w:val="00494981"/>
    <w:rsid w:val="00494B67"/>
    <w:rsid w:val="00494C34"/>
    <w:rsid w:val="00494C67"/>
    <w:rsid w:val="00494CC0"/>
    <w:rsid w:val="00494DE4"/>
    <w:rsid w:val="00494E75"/>
    <w:rsid w:val="00494F11"/>
    <w:rsid w:val="00494FEA"/>
    <w:rsid w:val="00495042"/>
    <w:rsid w:val="0049512C"/>
    <w:rsid w:val="0049520C"/>
    <w:rsid w:val="0049546D"/>
    <w:rsid w:val="004954D6"/>
    <w:rsid w:val="00495870"/>
    <w:rsid w:val="00495AB1"/>
    <w:rsid w:val="00495B91"/>
    <w:rsid w:val="00495C02"/>
    <w:rsid w:val="00495C60"/>
    <w:rsid w:val="00495C7C"/>
    <w:rsid w:val="00495C8D"/>
    <w:rsid w:val="00495CCF"/>
    <w:rsid w:val="00495E04"/>
    <w:rsid w:val="004960C0"/>
    <w:rsid w:val="00496168"/>
    <w:rsid w:val="004961AD"/>
    <w:rsid w:val="00496253"/>
    <w:rsid w:val="00496299"/>
    <w:rsid w:val="00496342"/>
    <w:rsid w:val="0049639A"/>
    <w:rsid w:val="00496428"/>
    <w:rsid w:val="0049667A"/>
    <w:rsid w:val="004966F6"/>
    <w:rsid w:val="0049677E"/>
    <w:rsid w:val="004967C2"/>
    <w:rsid w:val="0049684F"/>
    <w:rsid w:val="00496DB7"/>
    <w:rsid w:val="00496E80"/>
    <w:rsid w:val="00497141"/>
    <w:rsid w:val="00497148"/>
    <w:rsid w:val="004971D5"/>
    <w:rsid w:val="00497243"/>
    <w:rsid w:val="004976A5"/>
    <w:rsid w:val="0049772D"/>
    <w:rsid w:val="00497917"/>
    <w:rsid w:val="00497B7D"/>
    <w:rsid w:val="00497BF9"/>
    <w:rsid w:val="00497DB0"/>
    <w:rsid w:val="00497DDE"/>
    <w:rsid w:val="00497ECB"/>
    <w:rsid w:val="00497F71"/>
    <w:rsid w:val="004A01E1"/>
    <w:rsid w:val="004A022E"/>
    <w:rsid w:val="004A0293"/>
    <w:rsid w:val="004A02DA"/>
    <w:rsid w:val="004A0787"/>
    <w:rsid w:val="004A08B8"/>
    <w:rsid w:val="004A08F4"/>
    <w:rsid w:val="004A0955"/>
    <w:rsid w:val="004A09D6"/>
    <w:rsid w:val="004A09DD"/>
    <w:rsid w:val="004A09FA"/>
    <w:rsid w:val="004A0A7B"/>
    <w:rsid w:val="004A0EE9"/>
    <w:rsid w:val="004A0FA8"/>
    <w:rsid w:val="004A0FD0"/>
    <w:rsid w:val="004A10D8"/>
    <w:rsid w:val="004A1457"/>
    <w:rsid w:val="004A159C"/>
    <w:rsid w:val="004A1699"/>
    <w:rsid w:val="004A1826"/>
    <w:rsid w:val="004A1951"/>
    <w:rsid w:val="004A19F2"/>
    <w:rsid w:val="004A1B7B"/>
    <w:rsid w:val="004A1CA7"/>
    <w:rsid w:val="004A1D6F"/>
    <w:rsid w:val="004A1E76"/>
    <w:rsid w:val="004A1FDC"/>
    <w:rsid w:val="004A1FDD"/>
    <w:rsid w:val="004A2015"/>
    <w:rsid w:val="004A21E3"/>
    <w:rsid w:val="004A226F"/>
    <w:rsid w:val="004A22C8"/>
    <w:rsid w:val="004A241A"/>
    <w:rsid w:val="004A2550"/>
    <w:rsid w:val="004A26CC"/>
    <w:rsid w:val="004A2774"/>
    <w:rsid w:val="004A285D"/>
    <w:rsid w:val="004A28A4"/>
    <w:rsid w:val="004A28C1"/>
    <w:rsid w:val="004A2DC0"/>
    <w:rsid w:val="004A2E40"/>
    <w:rsid w:val="004A3008"/>
    <w:rsid w:val="004A31D3"/>
    <w:rsid w:val="004A3409"/>
    <w:rsid w:val="004A35A3"/>
    <w:rsid w:val="004A3781"/>
    <w:rsid w:val="004A37C3"/>
    <w:rsid w:val="004A37D2"/>
    <w:rsid w:val="004A37ED"/>
    <w:rsid w:val="004A385D"/>
    <w:rsid w:val="004A3A3E"/>
    <w:rsid w:val="004A3B4A"/>
    <w:rsid w:val="004A3C77"/>
    <w:rsid w:val="004A3C86"/>
    <w:rsid w:val="004A3D51"/>
    <w:rsid w:val="004A3DD0"/>
    <w:rsid w:val="004A3E9D"/>
    <w:rsid w:val="004A3EBB"/>
    <w:rsid w:val="004A40CA"/>
    <w:rsid w:val="004A41B6"/>
    <w:rsid w:val="004A4216"/>
    <w:rsid w:val="004A43FD"/>
    <w:rsid w:val="004A458B"/>
    <w:rsid w:val="004A462B"/>
    <w:rsid w:val="004A4692"/>
    <w:rsid w:val="004A48F7"/>
    <w:rsid w:val="004A492F"/>
    <w:rsid w:val="004A4C42"/>
    <w:rsid w:val="004A4D54"/>
    <w:rsid w:val="004A4EFA"/>
    <w:rsid w:val="004A52E7"/>
    <w:rsid w:val="004A5408"/>
    <w:rsid w:val="004A54D1"/>
    <w:rsid w:val="004A57FF"/>
    <w:rsid w:val="004A58B9"/>
    <w:rsid w:val="004A5A07"/>
    <w:rsid w:val="004A5A4B"/>
    <w:rsid w:val="004A5A81"/>
    <w:rsid w:val="004A5AEF"/>
    <w:rsid w:val="004A5C15"/>
    <w:rsid w:val="004A5D88"/>
    <w:rsid w:val="004A5F0A"/>
    <w:rsid w:val="004A5F8E"/>
    <w:rsid w:val="004A61EC"/>
    <w:rsid w:val="004A62E9"/>
    <w:rsid w:val="004A6380"/>
    <w:rsid w:val="004A6769"/>
    <w:rsid w:val="004A678A"/>
    <w:rsid w:val="004A68F8"/>
    <w:rsid w:val="004A6A32"/>
    <w:rsid w:val="004A6A76"/>
    <w:rsid w:val="004A6AAA"/>
    <w:rsid w:val="004A6BB6"/>
    <w:rsid w:val="004A6C50"/>
    <w:rsid w:val="004A6C85"/>
    <w:rsid w:val="004A6CC5"/>
    <w:rsid w:val="004A6D73"/>
    <w:rsid w:val="004A6F07"/>
    <w:rsid w:val="004A6F31"/>
    <w:rsid w:val="004A70E8"/>
    <w:rsid w:val="004A7481"/>
    <w:rsid w:val="004A74AC"/>
    <w:rsid w:val="004A7626"/>
    <w:rsid w:val="004A7695"/>
    <w:rsid w:val="004A7B0F"/>
    <w:rsid w:val="004A7BBD"/>
    <w:rsid w:val="004A7C75"/>
    <w:rsid w:val="004A7CC0"/>
    <w:rsid w:val="004A7CD2"/>
    <w:rsid w:val="004A7D4B"/>
    <w:rsid w:val="004A7E75"/>
    <w:rsid w:val="004B0252"/>
    <w:rsid w:val="004B0715"/>
    <w:rsid w:val="004B0739"/>
    <w:rsid w:val="004B0820"/>
    <w:rsid w:val="004B086C"/>
    <w:rsid w:val="004B08B2"/>
    <w:rsid w:val="004B0BC5"/>
    <w:rsid w:val="004B0CCB"/>
    <w:rsid w:val="004B0D9B"/>
    <w:rsid w:val="004B0DB5"/>
    <w:rsid w:val="004B0ED0"/>
    <w:rsid w:val="004B0F13"/>
    <w:rsid w:val="004B118A"/>
    <w:rsid w:val="004B11F4"/>
    <w:rsid w:val="004B14D8"/>
    <w:rsid w:val="004B1618"/>
    <w:rsid w:val="004B1672"/>
    <w:rsid w:val="004B16B3"/>
    <w:rsid w:val="004B1786"/>
    <w:rsid w:val="004B1834"/>
    <w:rsid w:val="004B186D"/>
    <w:rsid w:val="004B18BB"/>
    <w:rsid w:val="004B194F"/>
    <w:rsid w:val="004B19A2"/>
    <w:rsid w:val="004B1A93"/>
    <w:rsid w:val="004B1F89"/>
    <w:rsid w:val="004B1F8A"/>
    <w:rsid w:val="004B2118"/>
    <w:rsid w:val="004B237E"/>
    <w:rsid w:val="004B23A4"/>
    <w:rsid w:val="004B2457"/>
    <w:rsid w:val="004B2500"/>
    <w:rsid w:val="004B26E1"/>
    <w:rsid w:val="004B26EE"/>
    <w:rsid w:val="004B28D6"/>
    <w:rsid w:val="004B2DAE"/>
    <w:rsid w:val="004B2E31"/>
    <w:rsid w:val="004B2E54"/>
    <w:rsid w:val="004B3016"/>
    <w:rsid w:val="004B3136"/>
    <w:rsid w:val="004B3164"/>
    <w:rsid w:val="004B320D"/>
    <w:rsid w:val="004B325B"/>
    <w:rsid w:val="004B32F9"/>
    <w:rsid w:val="004B3362"/>
    <w:rsid w:val="004B3375"/>
    <w:rsid w:val="004B3401"/>
    <w:rsid w:val="004B3726"/>
    <w:rsid w:val="004B3799"/>
    <w:rsid w:val="004B37EE"/>
    <w:rsid w:val="004B3881"/>
    <w:rsid w:val="004B39BF"/>
    <w:rsid w:val="004B39F8"/>
    <w:rsid w:val="004B3BE2"/>
    <w:rsid w:val="004B3CCE"/>
    <w:rsid w:val="004B3CF6"/>
    <w:rsid w:val="004B402A"/>
    <w:rsid w:val="004B403D"/>
    <w:rsid w:val="004B4042"/>
    <w:rsid w:val="004B4061"/>
    <w:rsid w:val="004B40CC"/>
    <w:rsid w:val="004B4119"/>
    <w:rsid w:val="004B4135"/>
    <w:rsid w:val="004B41B8"/>
    <w:rsid w:val="004B41C6"/>
    <w:rsid w:val="004B41F7"/>
    <w:rsid w:val="004B4381"/>
    <w:rsid w:val="004B4399"/>
    <w:rsid w:val="004B43C0"/>
    <w:rsid w:val="004B43C8"/>
    <w:rsid w:val="004B4567"/>
    <w:rsid w:val="004B45A7"/>
    <w:rsid w:val="004B463B"/>
    <w:rsid w:val="004B4669"/>
    <w:rsid w:val="004B4807"/>
    <w:rsid w:val="004B49EE"/>
    <w:rsid w:val="004B4AD9"/>
    <w:rsid w:val="004B50E7"/>
    <w:rsid w:val="004B52D5"/>
    <w:rsid w:val="004B5759"/>
    <w:rsid w:val="004B578E"/>
    <w:rsid w:val="004B57E0"/>
    <w:rsid w:val="004B5831"/>
    <w:rsid w:val="004B5955"/>
    <w:rsid w:val="004B5968"/>
    <w:rsid w:val="004B5A23"/>
    <w:rsid w:val="004B5ABA"/>
    <w:rsid w:val="004B5B03"/>
    <w:rsid w:val="004B5B19"/>
    <w:rsid w:val="004B5B21"/>
    <w:rsid w:val="004B5C9C"/>
    <w:rsid w:val="004B5CCD"/>
    <w:rsid w:val="004B5DE6"/>
    <w:rsid w:val="004B652A"/>
    <w:rsid w:val="004B6571"/>
    <w:rsid w:val="004B6635"/>
    <w:rsid w:val="004B66CD"/>
    <w:rsid w:val="004B6737"/>
    <w:rsid w:val="004B676A"/>
    <w:rsid w:val="004B6774"/>
    <w:rsid w:val="004B683E"/>
    <w:rsid w:val="004B684E"/>
    <w:rsid w:val="004B692C"/>
    <w:rsid w:val="004B6B1F"/>
    <w:rsid w:val="004B6C6A"/>
    <w:rsid w:val="004B6DB9"/>
    <w:rsid w:val="004B6ED4"/>
    <w:rsid w:val="004B70E8"/>
    <w:rsid w:val="004B7400"/>
    <w:rsid w:val="004B7502"/>
    <w:rsid w:val="004B754C"/>
    <w:rsid w:val="004B76EF"/>
    <w:rsid w:val="004B7825"/>
    <w:rsid w:val="004B791C"/>
    <w:rsid w:val="004B79A7"/>
    <w:rsid w:val="004B79C7"/>
    <w:rsid w:val="004B7BCE"/>
    <w:rsid w:val="004B7CE6"/>
    <w:rsid w:val="004B7E33"/>
    <w:rsid w:val="004B7F0D"/>
    <w:rsid w:val="004B7F92"/>
    <w:rsid w:val="004C00A3"/>
    <w:rsid w:val="004C015B"/>
    <w:rsid w:val="004C02B8"/>
    <w:rsid w:val="004C033E"/>
    <w:rsid w:val="004C04B4"/>
    <w:rsid w:val="004C06E3"/>
    <w:rsid w:val="004C0739"/>
    <w:rsid w:val="004C0849"/>
    <w:rsid w:val="004C0996"/>
    <w:rsid w:val="004C0B86"/>
    <w:rsid w:val="004C0CF1"/>
    <w:rsid w:val="004C1052"/>
    <w:rsid w:val="004C10BF"/>
    <w:rsid w:val="004C10F5"/>
    <w:rsid w:val="004C114D"/>
    <w:rsid w:val="004C12BD"/>
    <w:rsid w:val="004C13AE"/>
    <w:rsid w:val="004C14E1"/>
    <w:rsid w:val="004C1514"/>
    <w:rsid w:val="004C1651"/>
    <w:rsid w:val="004C165A"/>
    <w:rsid w:val="004C16C6"/>
    <w:rsid w:val="004C16DA"/>
    <w:rsid w:val="004C16F4"/>
    <w:rsid w:val="004C179C"/>
    <w:rsid w:val="004C18DF"/>
    <w:rsid w:val="004C1C2C"/>
    <w:rsid w:val="004C1D09"/>
    <w:rsid w:val="004C1DBB"/>
    <w:rsid w:val="004C1EED"/>
    <w:rsid w:val="004C1F73"/>
    <w:rsid w:val="004C1FB6"/>
    <w:rsid w:val="004C20F3"/>
    <w:rsid w:val="004C20F8"/>
    <w:rsid w:val="004C2271"/>
    <w:rsid w:val="004C2291"/>
    <w:rsid w:val="004C2293"/>
    <w:rsid w:val="004C2316"/>
    <w:rsid w:val="004C2323"/>
    <w:rsid w:val="004C23CD"/>
    <w:rsid w:val="004C23FB"/>
    <w:rsid w:val="004C24AC"/>
    <w:rsid w:val="004C24B7"/>
    <w:rsid w:val="004C24EB"/>
    <w:rsid w:val="004C26F2"/>
    <w:rsid w:val="004C282B"/>
    <w:rsid w:val="004C29E5"/>
    <w:rsid w:val="004C2B46"/>
    <w:rsid w:val="004C2BB9"/>
    <w:rsid w:val="004C2D88"/>
    <w:rsid w:val="004C2D9D"/>
    <w:rsid w:val="004C2E26"/>
    <w:rsid w:val="004C2F1F"/>
    <w:rsid w:val="004C2FEE"/>
    <w:rsid w:val="004C3159"/>
    <w:rsid w:val="004C35D2"/>
    <w:rsid w:val="004C36F4"/>
    <w:rsid w:val="004C3827"/>
    <w:rsid w:val="004C3831"/>
    <w:rsid w:val="004C3B83"/>
    <w:rsid w:val="004C3BEA"/>
    <w:rsid w:val="004C3C76"/>
    <w:rsid w:val="004C3CCB"/>
    <w:rsid w:val="004C3CCE"/>
    <w:rsid w:val="004C3D93"/>
    <w:rsid w:val="004C3DC5"/>
    <w:rsid w:val="004C3F56"/>
    <w:rsid w:val="004C40AD"/>
    <w:rsid w:val="004C4107"/>
    <w:rsid w:val="004C41B0"/>
    <w:rsid w:val="004C41C5"/>
    <w:rsid w:val="004C4258"/>
    <w:rsid w:val="004C4318"/>
    <w:rsid w:val="004C4411"/>
    <w:rsid w:val="004C441A"/>
    <w:rsid w:val="004C455D"/>
    <w:rsid w:val="004C463F"/>
    <w:rsid w:val="004C4708"/>
    <w:rsid w:val="004C4A0E"/>
    <w:rsid w:val="004C4B96"/>
    <w:rsid w:val="004C4E6F"/>
    <w:rsid w:val="004C4ECD"/>
    <w:rsid w:val="004C4FB5"/>
    <w:rsid w:val="004C5138"/>
    <w:rsid w:val="004C54D8"/>
    <w:rsid w:val="004C557D"/>
    <w:rsid w:val="004C55C7"/>
    <w:rsid w:val="004C55E0"/>
    <w:rsid w:val="004C58AA"/>
    <w:rsid w:val="004C58EF"/>
    <w:rsid w:val="004C59AC"/>
    <w:rsid w:val="004C5B87"/>
    <w:rsid w:val="004C5D3A"/>
    <w:rsid w:val="004C5E65"/>
    <w:rsid w:val="004C5F9E"/>
    <w:rsid w:val="004C5FA1"/>
    <w:rsid w:val="004C5FBB"/>
    <w:rsid w:val="004C60F4"/>
    <w:rsid w:val="004C62A5"/>
    <w:rsid w:val="004C64EF"/>
    <w:rsid w:val="004C65CC"/>
    <w:rsid w:val="004C662F"/>
    <w:rsid w:val="004C6633"/>
    <w:rsid w:val="004C67FA"/>
    <w:rsid w:val="004C6A18"/>
    <w:rsid w:val="004C6CC3"/>
    <w:rsid w:val="004C6D60"/>
    <w:rsid w:val="004C6E36"/>
    <w:rsid w:val="004C6E5A"/>
    <w:rsid w:val="004C6EC7"/>
    <w:rsid w:val="004C6ED6"/>
    <w:rsid w:val="004C7005"/>
    <w:rsid w:val="004C7148"/>
    <w:rsid w:val="004C71B1"/>
    <w:rsid w:val="004C71D0"/>
    <w:rsid w:val="004C7240"/>
    <w:rsid w:val="004C7299"/>
    <w:rsid w:val="004C73F2"/>
    <w:rsid w:val="004C7461"/>
    <w:rsid w:val="004C779F"/>
    <w:rsid w:val="004C786C"/>
    <w:rsid w:val="004C78E4"/>
    <w:rsid w:val="004C7A83"/>
    <w:rsid w:val="004C7BC2"/>
    <w:rsid w:val="004C7C0B"/>
    <w:rsid w:val="004C7C52"/>
    <w:rsid w:val="004C7DAA"/>
    <w:rsid w:val="004C7E96"/>
    <w:rsid w:val="004C7F2B"/>
    <w:rsid w:val="004C7FF7"/>
    <w:rsid w:val="004D0150"/>
    <w:rsid w:val="004D0177"/>
    <w:rsid w:val="004D0219"/>
    <w:rsid w:val="004D02FD"/>
    <w:rsid w:val="004D0594"/>
    <w:rsid w:val="004D0758"/>
    <w:rsid w:val="004D07BD"/>
    <w:rsid w:val="004D09BB"/>
    <w:rsid w:val="004D0C81"/>
    <w:rsid w:val="004D117B"/>
    <w:rsid w:val="004D1416"/>
    <w:rsid w:val="004D1509"/>
    <w:rsid w:val="004D17AE"/>
    <w:rsid w:val="004D1A3F"/>
    <w:rsid w:val="004D1AD3"/>
    <w:rsid w:val="004D1C4A"/>
    <w:rsid w:val="004D1C8D"/>
    <w:rsid w:val="004D1E9E"/>
    <w:rsid w:val="004D1EBF"/>
    <w:rsid w:val="004D2086"/>
    <w:rsid w:val="004D217E"/>
    <w:rsid w:val="004D21C6"/>
    <w:rsid w:val="004D2217"/>
    <w:rsid w:val="004D226C"/>
    <w:rsid w:val="004D23EF"/>
    <w:rsid w:val="004D24B5"/>
    <w:rsid w:val="004D25A6"/>
    <w:rsid w:val="004D276E"/>
    <w:rsid w:val="004D28C4"/>
    <w:rsid w:val="004D292F"/>
    <w:rsid w:val="004D2B28"/>
    <w:rsid w:val="004D2FA5"/>
    <w:rsid w:val="004D304A"/>
    <w:rsid w:val="004D30E1"/>
    <w:rsid w:val="004D32A4"/>
    <w:rsid w:val="004D3311"/>
    <w:rsid w:val="004D3313"/>
    <w:rsid w:val="004D3564"/>
    <w:rsid w:val="004D359E"/>
    <w:rsid w:val="004D367F"/>
    <w:rsid w:val="004D37BB"/>
    <w:rsid w:val="004D3826"/>
    <w:rsid w:val="004D3A1A"/>
    <w:rsid w:val="004D3AAD"/>
    <w:rsid w:val="004D3E79"/>
    <w:rsid w:val="004D3F46"/>
    <w:rsid w:val="004D4021"/>
    <w:rsid w:val="004D414F"/>
    <w:rsid w:val="004D428D"/>
    <w:rsid w:val="004D42B7"/>
    <w:rsid w:val="004D43A0"/>
    <w:rsid w:val="004D4737"/>
    <w:rsid w:val="004D48C4"/>
    <w:rsid w:val="004D4B6B"/>
    <w:rsid w:val="004D4C6D"/>
    <w:rsid w:val="004D4CFF"/>
    <w:rsid w:val="004D4E09"/>
    <w:rsid w:val="004D517F"/>
    <w:rsid w:val="004D5263"/>
    <w:rsid w:val="004D5284"/>
    <w:rsid w:val="004D53CA"/>
    <w:rsid w:val="004D5486"/>
    <w:rsid w:val="004D55F9"/>
    <w:rsid w:val="004D5601"/>
    <w:rsid w:val="004D59DB"/>
    <w:rsid w:val="004D5A62"/>
    <w:rsid w:val="004D5A84"/>
    <w:rsid w:val="004D5C70"/>
    <w:rsid w:val="004D5DEC"/>
    <w:rsid w:val="004D5E09"/>
    <w:rsid w:val="004D5E3B"/>
    <w:rsid w:val="004D5E71"/>
    <w:rsid w:val="004D5E94"/>
    <w:rsid w:val="004D614F"/>
    <w:rsid w:val="004D619A"/>
    <w:rsid w:val="004D6240"/>
    <w:rsid w:val="004D6373"/>
    <w:rsid w:val="004D66DA"/>
    <w:rsid w:val="004D675F"/>
    <w:rsid w:val="004D6789"/>
    <w:rsid w:val="004D67B8"/>
    <w:rsid w:val="004D67E8"/>
    <w:rsid w:val="004D691F"/>
    <w:rsid w:val="004D69B7"/>
    <w:rsid w:val="004D6B1B"/>
    <w:rsid w:val="004D6D1D"/>
    <w:rsid w:val="004D6DA2"/>
    <w:rsid w:val="004D6E04"/>
    <w:rsid w:val="004D7230"/>
    <w:rsid w:val="004D745F"/>
    <w:rsid w:val="004D7479"/>
    <w:rsid w:val="004D75AE"/>
    <w:rsid w:val="004D76E4"/>
    <w:rsid w:val="004D7A72"/>
    <w:rsid w:val="004D7BA5"/>
    <w:rsid w:val="004D7C78"/>
    <w:rsid w:val="004D7C8A"/>
    <w:rsid w:val="004D7D37"/>
    <w:rsid w:val="004D7DA4"/>
    <w:rsid w:val="004D7E8F"/>
    <w:rsid w:val="004D7F19"/>
    <w:rsid w:val="004E00EE"/>
    <w:rsid w:val="004E01A4"/>
    <w:rsid w:val="004E0288"/>
    <w:rsid w:val="004E02EE"/>
    <w:rsid w:val="004E036F"/>
    <w:rsid w:val="004E0374"/>
    <w:rsid w:val="004E0382"/>
    <w:rsid w:val="004E04D6"/>
    <w:rsid w:val="004E0569"/>
    <w:rsid w:val="004E061F"/>
    <w:rsid w:val="004E0624"/>
    <w:rsid w:val="004E066A"/>
    <w:rsid w:val="004E066F"/>
    <w:rsid w:val="004E0672"/>
    <w:rsid w:val="004E06EE"/>
    <w:rsid w:val="004E0888"/>
    <w:rsid w:val="004E08A3"/>
    <w:rsid w:val="004E09CB"/>
    <w:rsid w:val="004E09E7"/>
    <w:rsid w:val="004E0B91"/>
    <w:rsid w:val="004E0B9B"/>
    <w:rsid w:val="004E0C65"/>
    <w:rsid w:val="004E0EC6"/>
    <w:rsid w:val="004E1108"/>
    <w:rsid w:val="004E119D"/>
    <w:rsid w:val="004E13D5"/>
    <w:rsid w:val="004E142A"/>
    <w:rsid w:val="004E1443"/>
    <w:rsid w:val="004E163F"/>
    <w:rsid w:val="004E1885"/>
    <w:rsid w:val="004E1961"/>
    <w:rsid w:val="004E1A80"/>
    <w:rsid w:val="004E1AEA"/>
    <w:rsid w:val="004E1C61"/>
    <w:rsid w:val="004E1DED"/>
    <w:rsid w:val="004E1F15"/>
    <w:rsid w:val="004E1F69"/>
    <w:rsid w:val="004E1F9E"/>
    <w:rsid w:val="004E2032"/>
    <w:rsid w:val="004E203C"/>
    <w:rsid w:val="004E248B"/>
    <w:rsid w:val="004E264E"/>
    <w:rsid w:val="004E274F"/>
    <w:rsid w:val="004E27C0"/>
    <w:rsid w:val="004E2969"/>
    <w:rsid w:val="004E296C"/>
    <w:rsid w:val="004E2AE8"/>
    <w:rsid w:val="004E2F20"/>
    <w:rsid w:val="004E33F7"/>
    <w:rsid w:val="004E3468"/>
    <w:rsid w:val="004E34D0"/>
    <w:rsid w:val="004E362B"/>
    <w:rsid w:val="004E36C4"/>
    <w:rsid w:val="004E37F6"/>
    <w:rsid w:val="004E3829"/>
    <w:rsid w:val="004E3912"/>
    <w:rsid w:val="004E3981"/>
    <w:rsid w:val="004E3CC3"/>
    <w:rsid w:val="004E3D16"/>
    <w:rsid w:val="004E3E69"/>
    <w:rsid w:val="004E41B9"/>
    <w:rsid w:val="004E4306"/>
    <w:rsid w:val="004E45B6"/>
    <w:rsid w:val="004E471D"/>
    <w:rsid w:val="004E474A"/>
    <w:rsid w:val="004E487E"/>
    <w:rsid w:val="004E496E"/>
    <w:rsid w:val="004E4A8A"/>
    <w:rsid w:val="004E4C64"/>
    <w:rsid w:val="004E4D38"/>
    <w:rsid w:val="004E4D57"/>
    <w:rsid w:val="004E4F11"/>
    <w:rsid w:val="004E4F45"/>
    <w:rsid w:val="004E4F79"/>
    <w:rsid w:val="004E502F"/>
    <w:rsid w:val="004E5135"/>
    <w:rsid w:val="004E51B4"/>
    <w:rsid w:val="004E543B"/>
    <w:rsid w:val="004E543F"/>
    <w:rsid w:val="004E54CE"/>
    <w:rsid w:val="004E562B"/>
    <w:rsid w:val="004E56FA"/>
    <w:rsid w:val="004E57B0"/>
    <w:rsid w:val="004E5BAC"/>
    <w:rsid w:val="004E5C1E"/>
    <w:rsid w:val="004E5D4E"/>
    <w:rsid w:val="004E5EDC"/>
    <w:rsid w:val="004E5F02"/>
    <w:rsid w:val="004E5F58"/>
    <w:rsid w:val="004E5F5F"/>
    <w:rsid w:val="004E5FF5"/>
    <w:rsid w:val="004E6234"/>
    <w:rsid w:val="004E6287"/>
    <w:rsid w:val="004E630E"/>
    <w:rsid w:val="004E6568"/>
    <w:rsid w:val="004E65A4"/>
    <w:rsid w:val="004E65EB"/>
    <w:rsid w:val="004E6925"/>
    <w:rsid w:val="004E6C51"/>
    <w:rsid w:val="004E6CA4"/>
    <w:rsid w:val="004E6E85"/>
    <w:rsid w:val="004E704B"/>
    <w:rsid w:val="004E72A8"/>
    <w:rsid w:val="004E72CB"/>
    <w:rsid w:val="004E730C"/>
    <w:rsid w:val="004E743D"/>
    <w:rsid w:val="004E7558"/>
    <w:rsid w:val="004E79B5"/>
    <w:rsid w:val="004E7B58"/>
    <w:rsid w:val="004E7B69"/>
    <w:rsid w:val="004E7C1A"/>
    <w:rsid w:val="004E7E1C"/>
    <w:rsid w:val="004E7F13"/>
    <w:rsid w:val="004F0029"/>
    <w:rsid w:val="004F0152"/>
    <w:rsid w:val="004F015D"/>
    <w:rsid w:val="004F0205"/>
    <w:rsid w:val="004F02A2"/>
    <w:rsid w:val="004F030C"/>
    <w:rsid w:val="004F045A"/>
    <w:rsid w:val="004F04B0"/>
    <w:rsid w:val="004F061F"/>
    <w:rsid w:val="004F0717"/>
    <w:rsid w:val="004F0E9E"/>
    <w:rsid w:val="004F0FE6"/>
    <w:rsid w:val="004F111B"/>
    <w:rsid w:val="004F128B"/>
    <w:rsid w:val="004F14EC"/>
    <w:rsid w:val="004F1A1A"/>
    <w:rsid w:val="004F1B0B"/>
    <w:rsid w:val="004F1BEB"/>
    <w:rsid w:val="004F1D33"/>
    <w:rsid w:val="004F230E"/>
    <w:rsid w:val="004F2441"/>
    <w:rsid w:val="004F2657"/>
    <w:rsid w:val="004F26EE"/>
    <w:rsid w:val="004F2874"/>
    <w:rsid w:val="004F2A94"/>
    <w:rsid w:val="004F2AB6"/>
    <w:rsid w:val="004F2BA2"/>
    <w:rsid w:val="004F2E5F"/>
    <w:rsid w:val="004F310C"/>
    <w:rsid w:val="004F3351"/>
    <w:rsid w:val="004F34C2"/>
    <w:rsid w:val="004F35A0"/>
    <w:rsid w:val="004F390C"/>
    <w:rsid w:val="004F39DA"/>
    <w:rsid w:val="004F3A87"/>
    <w:rsid w:val="004F3B6E"/>
    <w:rsid w:val="004F3B84"/>
    <w:rsid w:val="004F3C70"/>
    <w:rsid w:val="004F3CEB"/>
    <w:rsid w:val="004F3D1F"/>
    <w:rsid w:val="004F3D36"/>
    <w:rsid w:val="004F3E8A"/>
    <w:rsid w:val="004F3FAC"/>
    <w:rsid w:val="004F4015"/>
    <w:rsid w:val="004F4110"/>
    <w:rsid w:val="004F415F"/>
    <w:rsid w:val="004F4238"/>
    <w:rsid w:val="004F4443"/>
    <w:rsid w:val="004F4499"/>
    <w:rsid w:val="004F48EC"/>
    <w:rsid w:val="004F490B"/>
    <w:rsid w:val="004F4AC3"/>
    <w:rsid w:val="004F4AC7"/>
    <w:rsid w:val="004F4B1D"/>
    <w:rsid w:val="004F4B62"/>
    <w:rsid w:val="004F4F6F"/>
    <w:rsid w:val="004F50F6"/>
    <w:rsid w:val="004F5145"/>
    <w:rsid w:val="004F5228"/>
    <w:rsid w:val="004F54E6"/>
    <w:rsid w:val="004F5505"/>
    <w:rsid w:val="004F559A"/>
    <w:rsid w:val="004F55D0"/>
    <w:rsid w:val="004F5690"/>
    <w:rsid w:val="004F5793"/>
    <w:rsid w:val="004F5892"/>
    <w:rsid w:val="004F58D7"/>
    <w:rsid w:val="004F5B60"/>
    <w:rsid w:val="004F5C7E"/>
    <w:rsid w:val="004F5C92"/>
    <w:rsid w:val="004F5D9A"/>
    <w:rsid w:val="004F5E23"/>
    <w:rsid w:val="004F5E83"/>
    <w:rsid w:val="004F5F87"/>
    <w:rsid w:val="004F61CA"/>
    <w:rsid w:val="004F629A"/>
    <w:rsid w:val="004F62DA"/>
    <w:rsid w:val="004F6473"/>
    <w:rsid w:val="004F6742"/>
    <w:rsid w:val="004F675E"/>
    <w:rsid w:val="004F67FE"/>
    <w:rsid w:val="004F68D9"/>
    <w:rsid w:val="004F68EB"/>
    <w:rsid w:val="004F6924"/>
    <w:rsid w:val="004F6AE3"/>
    <w:rsid w:val="004F6B37"/>
    <w:rsid w:val="004F6CC1"/>
    <w:rsid w:val="004F6E2C"/>
    <w:rsid w:val="004F6E6C"/>
    <w:rsid w:val="004F7011"/>
    <w:rsid w:val="004F7092"/>
    <w:rsid w:val="004F709B"/>
    <w:rsid w:val="004F70CC"/>
    <w:rsid w:val="004F711D"/>
    <w:rsid w:val="004F71C4"/>
    <w:rsid w:val="004F71E1"/>
    <w:rsid w:val="004F724C"/>
    <w:rsid w:val="004F73EA"/>
    <w:rsid w:val="004F7500"/>
    <w:rsid w:val="004F757E"/>
    <w:rsid w:val="004F774E"/>
    <w:rsid w:val="004F774F"/>
    <w:rsid w:val="004F7798"/>
    <w:rsid w:val="004F79B6"/>
    <w:rsid w:val="004F7C69"/>
    <w:rsid w:val="004F7DB4"/>
    <w:rsid w:val="0050029A"/>
    <w:rsid w:val="00500487"/>
    <w:rsid w:val="0050051E"/>
    <w:rsid w:val="00500700"/>
    <w:rsid w:val="005009F8"/>
    <w:rsid w:val="00500DFF"/>
    <w:rsid w:val="00500E08"/>
    <w:rsid w:val="00500E7B"/>
    <w:rsid w:val="00500F71"/>
    <w:rsid w:val="00500FEF"/>
    <w:rsid w:val="005013D1"/>
    <w:rsid w:val="005014B5"/>
    <w:rsid w:val="0050161F"/>
    <w:rsid w:val="00501B1E"/>
    <w:rsid w:val="00501D62"/>
    <w:rsid w:val="00501DE9"/>
    <w:rsid w:val="00501E17"/>
    <w:rsid w:val="00501E70"/>
    <w:rsid w:val="00501E9E"/>
    <w:rsid w:val="00501EB7"/>
    <w:rsid w:val="005020FE"/>
    <w:rsid w:val="005022BD"/>
    <w:rsid w:val="00502313"/>
    <w:rsid w:val="00502419"/>
    <w:rsid w:val="00502451"/>
    <w:rsid w:val="00502463"/>
    <w:rsid w:val="00502495"/>
    <w:rsid w:val="0050261E"/>
    <w:rsid w:val="00502655"/>
    <w:rsid w:val="00502735"/>
    <w:rsid w:val="005027F8"/>
    <w:rsid w:val="005028A7"/>
    <w:rsid w:val="00502D19"/>
    <w:rsid w:val="00502D25"/>
    <w:rsid w:val="00502D31"/>
    <w:rsid w:val="00502DCC"/>
    <w:rsid w:val="00503021"/>
    <w:rsid w:val="00503049"/>
    <w:rsid w:val="005030CC"/>
    <w:rsid w:val="0050321E"/>
    <w:rsid w:val="0050322E"/>
    <w:rsid w:val="005033A8"/>
    <w:rsid w:val="005034F9"/>
    <w:rsid w:val="00503594"/>
    <w:rsid w:val="00503597"/>
    <w:rsid w:val="005035D2"/>
    <w:rsid w:val="005036AD"/>
    <w:rsid w:val="005036B1"/>
    <w:rsid w:val="005036D9"/>
    <w:rsid w:val="00503826"/>
    <w:rsid w:val="005038B5"/>
    <w:rsid w:val="00503970"/>
    <w:rsid w:val="00503972"/>
    <w:rsid w:val="00503A4B"/>
    <w:rsid w:val="00503A8B"/>
    <w:rsid w:val="00503B52"/>
    <w:rsid w:val="00503CBF"/>
    <w:rsid w:val="00503F1A"/>
    <w:rsid w:val="00503F8D"/>
    <w:rsid w:val="00503FBC"/>
    <w:rsid w:val="00504260"/>
    <w:rsid w:val="00504365"/>
    <w:rsid w:val="005049D5"/>
    <w:rsid w:val="00504DCF"/>
    <w:rsid w:val="00504F87"/>
    <w:rsid w:val="00504FF7"/>
    <w:rsid w:val="0050536A"/>
    <w:rsid w:val="00505397"/>
    <w:rsid w:val="0050552F"/>
    <w:rsid w:val="00505559"/>
    <w:rsid w:val="005058BE"/>
    <w:rsid w:val="005058C0"/>
    <w:rsid w:val="00505A18"/>
    <w:rsid w:val="00505A3D"/>
    <w:rsid w:val="00505A71"/>
    <w:rsid w:val="00505A7D"/>
    <w:rsid w:val="00505B0B"/>
    <w:rsid w:val="00505D0B"/>
    <w:rsid w:val="005060F5"/>
    <w:rsid w:val="005061F6"/>
    <w:rsid w:val="00506222"/>
    <w:rsid w:val="00506235"/>
    <w:rsid w:val="00506377"/>
    <w:rsid w:val="00506393"/>
    <w:rsid w:val="00506570"/>
    <w:rsid w:val="0050683D"/>
    <w:rsid w:val="00506893"/>
    <w:rsid w:val="00506925"/>
    <w:rsid w:val="00506DB5"/>
    <w:rsid w:val="00506E9D"/>
    <w:rsid w:val="00506F27"/>
    <w:rsid w:val="00506FD6"/>
    <w:rsid w:val="005070ED"/>
    <w:rsid w:val="005071AA"/>
    <w:rsid w:val="005074D6"/>
    <w:rsid w:val="005074D9"/>
    <w:rsid w:val="00507562"/>
    <w:rsid w:val="0050783C"/>
    <w:rsid w:val="005078D9"/>
    <w:rsid w:val="00507995"/>
    <w:rsid w:val="00507A67"/>
    <w:rsid w:val="00507FB6"/>
    <w:rsid w:val="00507FC1"/>
    <w:rsid w:val="00510296"/>
    <w:rsid w:val="00510377"/>
    <w:rsid w:val="0051053D"/>
    <w:rsid w:val="00510666"/>
    <w:rsid w:val="00511319"/>
    <w:rsid w:val="00511437"/>
    <w:rsid w:val="0051152E"/>
    <w:rsid w:val="0051154D"/>
    <w:rsid w:val="005115B4"/>
    <w:rsid w:val="00511609"/>
    <w:rsid w:val="005116D5"/>
    <w:rsid w:val="005117CE"/>
    <w:rsid w:val="00511878"/>
    <w:rsid w:val="005119B9"/>
    <w:rsid w:val="00511CE8"/>
    <w:rsid w:val="005120A4"/>
    <w:rsid w:val="0051210D"/>
    <w:rsid w:val="00512159"/>
    <w:rsid w:val="0051227E"/>
    <w:rsid w:val="00512349"/>
    <w:rsid w:val="0051234C"/>
    <w:rsid w:val="005123F4"/>
    <w:rsid w:val="005126A0"/>
    <w:rsid w:val="005128B2"/>
    <w:rsid w:val="00512ADA"/>
    <w:rsid w:val="00512FCC"/>
    <w:rsid w:val="00513088"/>
    <w:rsid w:val="005131EE"/>
    <w:rsid w:val="00513260"/>
    <w:rsid w:val="0051326C"/>
    <w:rsid w:val="00513544"/>
    <w:rsid w:val="00513580"/>
    <w:rsid w:val="00513815"/>
    <w:rsid w:val="00513879"/>
    <w:rsid w:val="00513884"/>
    <w:rsid w:val="00513978"/>
    <w:rsid w:val="005139A2"/>
    <w:rsid w:val="005139FC"/>
    <w:rsid w:val="00513A14"/>
    <w:rsid w:val="00513E85"/>
    <w:rsid w:val="00513F11"/>
    <w:rsid w:val="00513F26"/>
    <w:rsid w:val="00513FBC"/>
    <w:rsid w:val="005140D9"/>
    <w:rsid w:val="00514193"/>
    <w:rsid w:val="005142DA"/>
    <w:rsid w:val="0051455E"/>
    <w:rsid w:val="005146B2"/>
    <w:rsid w:val="00514779"/>
    <w:rsid w:val="005147F9"/>
    <w:rsid w:val="00514858"/>
    <w:rsid w:val="005148A4"/>
    <w:rsid w:val="005148B1"/>
    <w:rsid w:val="00514D41"/>
    <w:rsid w:val="00514E1E"/>
    <w:rsid w:val="00515071"/>
    <w:rsid w:val="005150B0"/>
    <w:rsid w:val="00515140"/>
    <w:rsid w:val="00515194"/>
    <w:rsid w:val="00515227"/>
    <w:rsid w:val="0051537C"/>
    <w:rsid w:val="0051540F"/>
    <w:rsid w:val="005154C4"/>
    <w:rsid w:val="00515505"/>
    <w:rsid w:val="0051563E"/>
    <w:rsid w:val="005157C3"/>
    <w:rsid w:val="00515AF6"/>
    <w:rsid w:val="00515CA5"/>
    <w:rsid w:val="00515CF1"/>
    <w:rsid w:val="00515DA7"/>
    <w:rsid w:val="00515E34"/>
    <w:rsid w:val="00515E36"/>
    <w:rsid w:val="00515FBA"/>
    <w:rsid w:val="005160E0"/>
    <w:rsid w:val="0051633B"/>
    <w:rsid w:val="00516349"/>
    <w:rsid w:val="005163B8"/>
    <w:rsid w:val="0051659D"/>
    <w:rsid w:val="0051677E"/>
    <w:rsid w:val="0051692E"/>
    <w:rsid w:val="005169B3"/>
    <w:rsid w:val="005169D5"/>
    <w:rsid w:val="00516A56"/>
    <w:rsid w:val="00516B0B"/>
    <w:rsid w:val="00516BE2"/>
    <w:rsid w:val="00516BFB"/>
    <w:rsid w:val="00516DA2"/>
    <w:rsid w:val="00516E1F"/>
    <w:rsid w:val="00517004"/>
    <w:rsid w:val="00517418"/>
    <w:rsid w:val="00517453"/>
    <w:rsid w:val="005176ED"/>
    <w:rsid w:val="005179B4"/>
    <w:rsid w:val="00517A4C"/>
    <w:rsid w:val="00517BAC"/>
    <w:rsid w:val="00517E54"/>
    <w:rsid w:val="00517E73"/>
    <w:rsid w:val="00517F5C"/>
    <w:rsid w:val="00517F81"/>
    <w:rsid w:val="00517F99"/>
    <w:rsid w:val="00520076"/>
    <w:rsid w:val="005200F9"/>
    <w:rsid w:val="005203DA"/>
    <w:rsid w:val="00520750"/>
    <w:rsid w:val="005207E5"/>
    <w:rsid w:val="0052085F"/>
    <w:rsid w:val="00520873"/>
    <w:rsid w:val="005208F7"/>
    <w:rsid w:val="00520AC0"/>
    <w:rsid w:val="00520AE2"/>
    <w:rsid w:val="00520BAF"/>
    <w:rsid w:val="00520D4D"/>
    <w:rsid w:val="00520D60"/>
    <w:rsid w:val="00520DB4"/>
    <w:rsid w:val="0052106A"/>
    <w:rsid w:val="005211A1"/>
    <w:rsid w:val="00521272"/>
    <w:rsid w:val="0052141B"/>
    <w:rsid w:val="0052159A"/>
    <w:rsid w:val="005215FA"/>
    <w:rsid w:val="005216CB"/>
    <w:rsid w:val="00521856"/>
    <w:rsid w:val="0052195B"/>
    <w:rsid w:val="00521A5C"/>
    <w:rsid w:val="00521AE3"/>
    <w:rsid w:val="00521CAB"/>
    <w:rsid w:val="005221F3"/>
    <w:rsid w:val="00522238"/>
    <w:rsid w:val="0052237A"/>
    <w:rsid w:val="00522472"/>
    <w:rsid w:val="0052257A"/>
    <w:rsid w:val="005225FA"/>
    <w:rsid w:val="005227A7"/>
    <w:rsid w:val="005228F6"/>
    <w:rsid w:val="00522967"/>
    <w:rsid w:val="0052296D"/>
    <w:rsid w:val="005229EB"/>
    <w:rsid w:val="00522A8B"/>
    <w:rsid w:val="00522AC4"/>
    <w:rsid w:val="00522C18"/>
    <w:rsid w:val="00522C73"/>
    <w:rsid w:val="00522D09"/>
    <w:rsid w:val="00522D1C"/>
    <w:rsid w:val="00522E68"/>
    <w:rsid w:val="00522EE5"/>
    <w:rsid w:val="00522EE8"/>
    <w:rsid w:val="00523393"/>
    <w:rsid w:val="005233AF"/>
    <w:rsid w:val="00523717"/>
    <w:rsid w:val="0052372D"/>
    <w:rsid w:val="005237C2"/>
    <w:rsid w:val="00523887"/>
    <w:rsid w:val="0052396A"/>
    <w:rsid w:val="00523994"/>
    <w:rsid w:val="005239B1"/>
    <w:rsid w:val="00523FF8"/>
    <w:rsid w:val="005241D5"/>
    <w:rsid w:val="0052438E"/>
    <w:rsid w:val="0052462B"/>
    <w:rsid w:val="005246BC"/>
    <w:rsid w:val="0052480B"/>
    <w:rsid w:val="00524C73"/>
    <w:rsid w:val="00525010"/>
    <w:rsid w:val="0052503F"/>
    <w:rsid w:val="0052521C"/>
    <w:rsid w:val="005254C4"/>
    <w:rsid w:val="005256CA"/>
    <w:rsid w:val="005256E3"/>
    <w:rsid w:val="00525731"/>
    <w:rsid w:val="00525775"/>
    <w:rsid w:val="00525897"/>
    <w:rsid w:val="00525ED9"/>
    <w:rsid w:val="005261AB"/>
    <w:rsid w:val="00526205"/>
    <w:rsid w:val="0052620A"/>
    <w:rsid w:val="005262BE"/>
    <w:rsid w:val="00526421"/>
    <w:rsid w:val="0052650A"/>
    <w:rsid w:val="00526767"/>
    <w:rsid w:val="005268FE"/>
    <w:rsid w:val="00526A95"/>
    <w:rsid w:val="00526B3E"/>
    <w:rsid w:val="00526B42"/>
    <w:rsid w:val="00526D19"/>
    <w:rsid w:val="00526EA4"/>
    <w:rsid w:val="005271A7"/>
    <w:rsid w:val="005273DB"/>
    <w:rsid w:val="00527730"/>
    <w:rsid w:val="00527750"/>
    <w:rsid w:val="00527868"/>
    <w:rsid w:val="00527B39"/>
    <w:rsid w:val="00527B6E"/>
    <w:rsid w:val="00527C4E"/>
    <w:rsid w:val="00527CFC"/>
    <w:rsid w:val="00527D76"/>
    <w:rsid w:val="00527E14"/>
    <w:rsid w:val="00527E93"/>
    <w:rsid w:val="0053008D"/>
    <w:rsid w:val="00530252"/>
    <w:rsid w:val="00530436"/>
    <w:rsid w:val="00530632"/>
    <w:rsid w:val="0053086A"/>
    <w:rsid w:val="005308DE"/>
    <w:rsid w:val="0053094C"/>
    <w:rsid w:val="00530B46"/>
    <w:rsid w:val="00530D1E"/>
    <w:rsid w:val="00530ED8"/>
    <w:rsid w:val="00530F91"/>
    <w:rsid w:val="005311A4"/>
    <w:rsid w:val="00531303"/>
    <w:rsid w:val="0053132D"/>
    <w:rsid w:val="00531353"/>
    <w:rsid w:val="005314CB"/>
    <w:rsid w:val="005314CC"/>
    <w:rsid w:val="0053152B"/>
    <w:rsid w:val="00531661"/>
    <w:rsid w:val="00531681"/>
    <w:rsid w:val="005317EF"/>
    <w:rsid w:val="00531818"/>
    <w:rsid w:val="00531B23"/>
    <w:rsid w:val="00531C45"/>
    <w:rsid w:val="00531D8A"/>
    <w:rsid w:val="00531D9E"/>
    <w:rsid w:val="00531EF9"/>
    <w:rsid w:val="00531FAE"/>
    <w:rsid w:val="00532122"/>
    <w:rsid w:val="00532195"/>
    <w:rsid w:val="00532277"/>
    <w:rsid w:val="0053248B"/>
    <w:rsid w:val="005324A8"/>
    <w:rsid w:val="005325A2"/>
    <w:rsid w:val="005326BB"/>
    <w:rsid w:val="00532702"/>
    <w:rsid w:val="0053281C"/>
    <w:rsid w:val="005329A5"/>
    <w:rsid w:val="00532C5F"/>
    <w:rsid w:val="00532CA7"/>
    <w:rsid w:val="00532DCF"/>
    <w:rsid w:val="00532E36"/>
    <w:rsid w:val="0053320C"/>
    <w:rsid w:val="00533441"/>
    <w:rsid w:val="0053345D"/>
    <w:rsid w:val="005336B8"/>
    <w:rsid w:val="005338AA"/>
    <w:rsid w:val="00533BD1"/>
    <w:rsid w:val="00533D5F"/>
    <w:rsid w:val="00533E6A"/>
    <w:rsid w:val="00533EDA"/>
    <w:rsid w:val="00533F7D"/>
    <w:rsid w:val="0053400F"/>
    <w:rsid w:val="00534136"/>
    <w:rsid w:val="0053414B"/>
    <w:rsid w:val="005341C5"/>
    <w:rsid w:val="005341D2"/>
    <w:rsid w:val="0053441E"/>
    <w:rsid w:val="00534485"/>
    <w:rsid w:val="00534927"/>
    <w:rsid w:val="0053498E"/>
    <w:rsid w:val="005349D2"/>
    <w:rsid w:val="00534B03"/>
    <w:rsid w:val="00534C04"/>
    <w:rsid w:val="00534C13"/>
    <w:rsid w:val="00534C33"/>
    <w:rsid w:val="00534CBF"/>
    <w:rsid w:val="00534D7A"/>
    <w:rsid w:val="00534E05"/>
    <w:rsid w:val="00534F68"/>
    <w:rsid w:val="0053505B"/>
    <w:rsid w:val="00535414"/>
    <w:rsid w:val="0053541E"/>
    <w:rsid w:val="00535447"/>
    <w:rsid w:val="005355C9"/>
    <w:rsid w:val="005355FB"/>
    <w:rsid w:val="00535740"/>
    <w:rsid w:val="005359A8"/>
    <w:rsid w:val="005359DF"/>
    <w:rsid w:val="00535BB0"/>
    <w:rsid w:val="00535DD7"/>
    <w:rsid w:val="00535EE3"/>
    <w:rsid w:val="00535FB6"/>
    <w:rsid w:val="00536178"/>
    <w:rsid w:val="005361C2"/>
    <w:rsid w:val="0053648F"/>
    <w:rsid w:val="0053649A"/>
    <w:rsid w:val="0053652B"/>
    <w:rsid w:val="0053672B"/>
    <w:rsid w:val="005367E0"/>
    <w:rsid w:val="00536925"/>
    <w:rsid w:val="00536D2F"/>
    <w:rsid w:val="00536DB4"/>
    <w:rsid w:val="00536DFA"/>
    <w:rsid w:val="00536F32"/>
    <w:rsid w:val="0053707F"/>
    <w:rsid w:val="00537099"/>
    <w:rsid w:val="005370C2"/>
    <w:rsid w:val="005371B5"/>
    <w:rsid w:val="005372B6"/>
    <w:rsid w:val="0053735C"/>
    <w:rsid w:val="0053756E"/>
    <w:rsid w:val="0053774C"/>
    <w:rsid w:val="0053796C"/>
    <w:rsid w:val="005379A5"/>
    <w:rsid w:val="005379E8"/>
    <w:rsid w:val="00537B23"/>
    <w:rsid w:val="00537CB6"/>
    <w:rsid w:val="00537E27"/>
    <w:rsid w:val="00537FEA"/>
    <w:rsid w:val="005400B0"/>
    <w:rsid w:val="00540217"/>
    <w:rsid w:val="0054025D"/>
    <w:rsid w:val="00540458"/>
    <w:rsid w:val="00540550"/>
    <w:rsid w:val="005408FC"/>
    <w:rsid w:val="00540AA9"/>
    <w:rsid w:val="00540B08"/>
    <w:rsid w:val="00540D11"/>
    <w:rsid w:val="00540E34"/>
    <w:rsid w:val="00541109"/>
    <w:rsid w:val="00541183"/>
    <w:rsid w:val="005415AB"/>
    <w:rsid w:val="0054173C"/>
    <w:rsid w:val="00541889"/>
    <w:rsid w:val="0054188A"/>
    <w:rsid w:val="00541B89"/>
    <w:rsid w:val="00541E99"/>
    <w:rsid w:val="00542170"/>
    <w:rsid w:val="00542255"/>
    <w:rsid w:val="00542532"/>
    <w:rsid w:val="00542561"/>
    <w:rsid w:val="0054257A"/>
    <w:rsid w:val="0054259D"/>
    <w:rsid w:val="00542643"/>
    <w:rsid w:val="00542675"/>
    <w:rsid w:val="005426D4"/>
    <w:rsid w:val="0054278C"/>
    <w:rsid w:val="00542853"/>
    <w:rsid w:val="00542A6A"/>
    <w:rsid w:val="00542C2A"/>
    <w:rsid w:val="00542C89"/>
    <w:rsid w:val="00542D81"/>
    <w:rsid w:val="00542EE9"/>
    <w:rsid w:val="005430A3"/>
    <w:rsid w:val="005431C7"/>
    <w:rsid w:val="00543282"/>
    <w:rsid w:val="005434A3"/>
    <w:rsid w:val="00543553"/>
    <w:rsid w:val="005436FB"/>
    <w:rsid w:val="005437C3"/>
    <w:rsid w:val="005437F7"/>
    <w:rsid w:val="00543B1B"/>
    <w:rsid w:val="00543C95"/>
    <w:rsid w:val="005440FE"/>
    <w:rsid w:val="005441E1"/>
    <w:rsid w:val="0054420F"/>
    <w:rsid w:val="005442EF"/>
    <w:rsid w:val="00544538"/>
    <w:rsid w:val="005445D3"/>
    <w:rsid w:val="005449B6"/>
    <w:rsid w:val="005449FF"/>
    <w:rsid w:val="00544AA5"/>
    <w:rsid w:val="00544C10"/>
    <w:rsid w:val="00544C74"/>
    <w:rsid w:val="00544C80"/>
    <w:rsid w:val="00544E0A"/>
    <w:rsid w:val="00544E71"/>
    <w:rsid w:val="00544EE4"/>
    <w:rsid w:val="00545047"/>
    <w:rsid w:val="00545075"/>
    <w:rsid w:val="00545122"/>
    <w:rsid w:val="00545370"/>
    <w:rsid w:val="005453B0"/>
    <w:rsid w:val="005453E7"/>
    <w:rsid w:val="00545460"/>
    <w:rsid w:val="0054547D"/>
    <w:rsid w:val="005454A7"/>
    <w:rsid w:val="005454FE"/>
    <w:rsid w:val="005458F2"/>
    <w:rsid w:val="00545923"/>
    <w:rsid w:val="00545A99"/>
    <w:rsid w:val="00545B15"/>
    <w:rsid w:val="00545C18"/>
    <w:rsid w:val="00545DB1"/>
    <w:rsid w:val="00545EB2"/>
    <w:rsid w:val="00545ED2"/>
    <w:rsid w:val="00545FF1"/>
    <w:rsid w:val="005461C2"/>
    <w:rsid w:val="00546522"/>
    <w:rsid w:val="0054673C"/>
    <w:rsid w:val="0054684A"/>
    <w:rsid w:val="00546B4F"/>
    <w:rsid w:val="00546BE6"/>
    <w:rsid w:val="00546C37"/>
    <w:rsid w:val="00546D75"/>
    <w:rsid w:val="00546DE4"/>
    <w:rsid w:val="00546E2A"/>
    <w:rsid w:val="00547096"/>
    <w:rsid w:val="00547195"/>
    <w:rsid w:val="005471FB"/>
    <w:rsid w:val="00547615"/>
    <w:rsid w:val="005476AD"/>
    <w:rsid w:val="005476BC"/>
    <w:rsid w:val="005476E1"/>
    <w:rsid w:val="0054778B"/>
    <w:rsid w:val="0054783B"/>
    <w:rsid w:val="00547979"/>
    <w:rsid w:val="005479DA"/>
    <w:rsid w:val="00547A35"/>
    <w:rsid w:val="00547AEF"/>
    <w:rsid w:val="00547CD4"/>
    <w:rsid w:val="00547CD6"/>
    <w:rsid w:val="00547E9D"/>
    <w:rsid w:val="00547F79"/>
    <w:rsid w:val="00550277"/>
    <w:rsid w:val="005502AB"/>
    <w:rsid w:val="005505EE"/>
    <w:rsid w:val="00550C9F"/>
    <w:rsid w:val="00550D40"/>
    <w:rsid w:val="00550E6E"/>
    <w:rsid w:val="005510B4"/>
    <w:rsid w:val="0055123E"/>
    <w:rsid w:val="005512DF"/>
    <w:rsid w:val="00551392"/>
    <w:rsid w:val="005514F8"/>
    <w:rsid w:val="00551561"/>
    <w:rsid w:val="005517EE"/>
    <w:rsid w:val="00551828"/>
    <w:rsid w:val="00551A71"/>
    <w:rsid w:val="00551AAA"/>
    <w:rsid w:val="00551E2E"/>
    <w:rsid w:val="0055202F"/>
    <w:rsid w:val="005521A7"/>
    <w:rsid w:val="005523D8"/>
    <w:rsid w:val="0055250A"/>
    <w:rsid w:val="00552527"/>
    <w:rsid w:val="0055271E"/>
    <w:rsid w:val="005527B2"/>
    <w:rsid w:val="005528B2"/>
    <w:rsid w:val="00552919"/>
    <w:rsid w:val="00552A16"/>
    <w:rsid w:val="00552B2F"/>
    <w:rsid w:val="00552BA4"/>
    <w:rsid w:val="00552BBD"/>
    <w:rsid w:val="00552C48"/>
    <w:rsid w:val="00552D77"/>
    <w:rsid w:val="00552E44"/>
    <w:rsid w:val="00552ECC"/>
    <w:rsid w:val="00553025"/>
    <w:rsid w:val="00553038"/>
    <w:rsid w:val="0055332A"/>
    <w:rsid w:val="005535F8"/>
    <w:rsid w:val="0055377A"/>
    <w:rsid w:val="00553860"/>
    <w:rsid w:val="00553C34"/>
    <w:rsid w:val="00553CC5"/>
    <w:rsid w:val="00553E89"/>
    <w:rsid w:val="00553EA4"/>
    <w:rsid w:val="00553F61"/>
    <w:rsid w:val="00553F73"/>
    <w:rsid w:val="00553F7A"/>
    <w:rsid w:val="00554152"/>
    <w:rsid w:val="005541CD"/>
    <w:rsid w:val="00554548"/>
    <w:rsid w:val="005547AE"/>
    <w:rsid w:val="005548EB"/>
    <w:rsid w:val="00554934"/>
    <w:rsid w:val="00554AA7"/>
    <w:rsid w:val="00554B49"/>
    <w:rsid w:val="00554E06"/>
    <w:rsid w:val="00554E7C"/>
    <w:rsid w:val="00554ED5"/>
    <w:rsid w:val="0055500C"/>
    <w:rsid w:val="005552C3"/>
    <w:rsid w:val="00555320"/>
    <w:rsid w:val="0055535A"/>
    <w:rsid w:val="0055575B"/>
    <w:rsid w:val="00555B17"/>
    <w:rsid w:val="00555B61"/>
    <w:rsid w:val="00555B81"/>
    <w:rsid w:val="00555C7B"/>
    <w:rsid w:val="005560CC"/>
    <w:rsid w:val="0055620F"/>
    <w:rsid w:val="005563D3"/>
    <w:rsid w:val="00556485"/>
    <w:rsid w:val="005565D3"/>
    <w:rsid w:val="0055663C"/>
    <w:rsid w:val="00556641"/>
    <w:rsid w:val="0055665F"/>
    <w:rsid w:val="0055671F"/>
    <w:rsid w:val="005568B0"/>
    <w:rsid w:val="00556C3D"/>
    <w:rsid w:val="00556DA1"/>
    <w:rsid w:val="00556DF0"/>
    <w:rsid w:val="00556F77"/>
    <w:rsid w:val="005570E2"/>
    <w:rsid w:val="0055719F"/>
    <w:rsid w:val="0055749B"/>
    <w:rsid w:val="005574EF"/>
    <w:rsid w:val="005575A7"/>
    <w:rsid w:val="005575F8"/>
    <w:rsid w:val="00557741"/>
    <w:rsid w:val="00557748"/>
    <w:rsid w:val="005577D7"/>
    <w:rsid w:val="005579A2"/>
    <w:rsid w:val="00557A36"/>
    <w:rsid w:val="00557A6D"/>
    <w:rsid w:val="00557AC6"/>
    <w:rsid w:val="00557BE4"/>
    <w:rsid w:val="00557CD8"/>
    <w:rsid w:val="00557D21"/>
    <w:rsid w:val="00557E96"/>
    <w:rsid w:val="00557FA7"/>
    <w:rsid w:val="00560348"/>
    <w:rsid w:val="0056036A"/>
    <w:rsid w:val="005603FF"/>
    <w:rsid w:val="00560424"/>
    <w:rsid w:val="005606BA"/>
    <w:rsid w:val="00560802"/>
    <w:rsid w:val="00560A22"/>
    <w:rsid w:val="00560A78"/>
    <w:rsid w:val="00560AA2"/>
    <w:rsid w:val="00560ADE"/>
    <w:rsid w:val="00560C15"/>
    <w:rsid w:val="00560D50"/>
    <w:rsid w:val="00560D71"/>
    <w:rsid w:val="00560E24"/>
    <w:rsid w:val="00560EAA"/>
    <w:rsid w:val="00560EAB"/>
    <w:rsid w:val="00560F14"/>
    <w:rsid w:val="00560F6B"/>
    <w:rsid w:val="00561111"/>
    <w:rsid w:val="0056112A"/>
    <w:rsid w:val="005612BA"/>
    <w:rsid w:val="005612F1"/>
    <w:rsid w:val="005612FE"/>
    <w:rsid w:val="00561789"/>
    <w:rsid w:val="005617C4"/>
    <w:rsid w:val="00561853"/>
    <w:rsid w:val="00561898"/>
    <w:rsid w:val="005618A1"/>
    <w:rsid w:val="005618FE"/>
    <w:rsid w:val="005619BC"/>
    <w:rsid w:val="00561A5B"/>
    <w:rsid w:val="00561C6A"/>
    <w:rsid w:val="00561EA1"/>
    <w:rsid w:val="00561EB6"/>
    <w:rsid w:val="00561EB9"/>
    <w:rsid w:val="00561FBC"/>
    <w:rsid w:val="00562238"/>
    <w:rsid w:val="0056225E"/>
    <w:rsid w:val="00562697"/>
    <w:rsid w:val="0056271A"/>
    <w:rsid w:val="005629EC"/>
    <w:rsid w:val="00562AF8"/>
    <w:rsid w:val="00562BBE"/>
    <w:rsid w:val="00562D4A"/>
    <w:rsid w:val="0056328C"/>
    <w:rsid w:val="00563416"/>
    <w:rsid w:val="005636F6"/>
    <w:rsid w:val="00563711"/>
    <w:rsid w:val="00563845"/>
    <w:rsid w:val="005638C4"/>
    <w:rsid w:val="00563B6A"/>
    <w:rsid w:val="00563BC6"/>
    <w:rsid w:val="00563C57"/>
    <w:rsid w:val="00563C91"/>
    <w:rsid w:val="00563DDD"/>
    <w:rsid w:val="00563ED2"/>
    <w:rsid w:val="00563EDA"/>
    <w:rsid w:val="0056417D"/>
    <w:rsid w:val="005641EF"/>
    <w:rsid w:val="0056442D"/>
    <w:rsid w:val="00564448"/>
    <w:rsid w:val="00564544"/>
    <w:rsid w:val="0056487B"/>
    <w:rsid w:val="005648C7"/>
    <w:rsid w:val="00564960"/>
    <w:rsid w:val="005649D9"/>
    <w:rsid w:val="00564BBD"/>
    <w:rsid w:val="00564C98"/>
    <w:rsid w:val="00564CEF"/>
    <w:rsid w:val="00564EA0"/>
    <w:rsid w:val="005650FF"/>
    <w:rsid w:val="005652E3"/>
    <w:rsid w:val="00565420"/>
    <w:rsid w:val="005654F6"/>
    <w:rsid w:val="005655BA"/>
    <w:rsid w:val="00565722"/>
    <w:rsid w:val="00565729"/>
    <w:rsid w:val="0056572B"/>
    <w:rsid w:val="00565C7B"/>
    <w:rsid w:val="00565D82"/>
    <w:rsid w:val="00565F1E"/>
    <w:rsid w:val="00566002"/>
    <w:rsid w:val="005662DB"/>
    <w:rsid w:val="0056661F"/>
    <w:rsid w:val="005666B3"/>
    <w:rsid w:val="005666BA"/>
    <w:rsid w:val="005666C3"/>
    <w:rsid w:val="005666D4"/>
    <w:rsid w:val="005666E5"/>
    <w:rsid w:val="005668DD"/>
    <w:rsid w:val="00566A66"/>
    <w:rsid w:val="00566A6B"/>
    <w:rsid w:val="00566C78"/>
    <w:rsid w:val="005670D4"/>
    <w:rsid w:val="005671EA"/>
    <w:rsid w:val="005672B8"/>
    <w:rsid w:val="00567349"/>
    <w:rsid w:val="0056749F"/>
    <w:rsid w:val="00567599"/>
    <w:rsid w:val="00567634"/>
    <w:rsid w:val="005677B9"/>
    <w:rsid w:val="00567A5D"/>
    <w:rsid w:val="00567A95"/>
    <w:rsid w:val="00567C56"/>
    <w:rsid w:val="00567F21"/>
    <w:rsid w:val="00570049"/>
    <w:rsid w:val="0057009B"/>
    <w:rsid w:val="005705E3"/>
    <w:rsid w:val="005707BA"/>
    <w:rsid w:val="005707D6"/>
    <w:rsid w:val="00570B31"/>
    <w:rsid w:val="00570BA0"/>
    <w:rsid w:val="00570CB9"/>
    <w:rsid w:val="00570CCD"/>
    <w:rsid w:val="00570F19"/>
    <w:rsid w:val="00570F67"/>
    <w:rsid w:val="00570F6A"/>
    <w:rsid w:val="005710D4"/>
    <w:rsid w:val="00571344"/>
    <w:rsid w:val="005713AD"/>
    <w:rsid w:val="005715B4"/>
    <w:rsid w:val="0057164F"/>
    <w:rsid w:val="00571671"/>
    <w:rsid w:val="00571982"/>
    <w:rsid w:val="005719FD"/>
    <w:rsid w:val="00571A6D"/>
    <w:rsid w:val="00571BC6"/>
    <w:rsid w:val="00571CE6"/>
    <w:rsid w:val="00571F56"/>
    <w:rsid w:val="005720DC"/>
    <w:rsid w:val="00572113"/>
    <w:rsid w:val="0057237D"/>
    <w:rsid w:val="00572532"/>
    <w:rsid w:val="0057280E"/>
    <w:rsid w:val="0057298E"/>
    <w:rsid w:val="00572B17"/>
    <w:rsid w:val="00572D32"/>
    <w:rsid w:val="00572E88"/>
    <w:rsid w:val="00572FAB"/>
    <w:rsid w:val="0057317B"/>
    <w:rsid w:val="00573472"/>
    <w:rsid w:val="00573536"/>
    <w:rsid w:val="00573551"/>
    <w:rsid w:val="00573958"/>
    <w:rsid w:val="00573999"/>
    <w:rsid w:val="005739AC"/>
    <w:rsid w:val="00573B42"/>
    <w:rsid w:val="00573B96"/>
    <w:rsid w:val="00573D5A"/>
    <w:rsid w:val="00573DA7"/>
    <w:rsid w:val="00573E99"/>
    <w:rsid w:val="00573EC4"/>
    <w:rsid w:val="00573F47"/>
    <w:rsid w:val="0057414C"/>
    <w:rsid w:val="0057421C"/>
    <w:rsid w:val="005744D5"/>
    <w:rsid w:val="00574572"/>
    <w:rsid w:val="00574696"/>
    <w:rsid w:val="00574795"/>
    <w:rsid w:val="005748F2"/>
    <w:rsid w:val="00574AD1"/>
    <w:rsid w:val="00574AD3"/>
    <w:rsid w:val="00574C0B"/>
    <w:rsid w:val="00574D6B"/>
    <w:rsid w:val="00574E3D"/>
    <w:rsid w:val="00574EE8"/>
    <w:rsid w:val="005754CE"/>
    <w:rsid w:val="0057565B"/>
    <w:rsid w:val="00575698"/>
    <w:rsid w:val="005757B0"/>
    <w:rsid w:val="00575D35"/>
    <w:rsid w:val="00575EE7"/>
    <w:rsid w:val="00575FE0"/>
    <w:rsid w:val="00575FEC"/>
    <w:rsid w:val="00576075"/>
    <w:rsid w:val="005760E9"/>
    <w:rsid w:val="005761AD"/>
    <w:rsid w:val="00576240"/>
    <w:rsid w:val="005763FC"/>
    <w:rsid w:val="005764C2"/>
    <w:rsid w:val="00576618"/>
    <w:rsid w:val="00576827"/>
    <w:rsid w:val="005769BB"/>
    <w:rsid w:val="00576E99"/>
    <w:rsid w:val="00576F16"/>
    <w:rsid w:val="00576FD6"/>
    <w:rsid w:val="00576FDF"/>
    <w:rsid w:val="0057701D"/>
    <w:rsid w:val="00577065"/>
    <w:rsid w:val="005770F3"/>
    <w:rsid w:val="00577276"/>
    <w:rsid w:val="005773DA"/>
    <w:rsid w:val="00577829"/>
    <w:rsid w:val="005778A2"/>
    <w:rsid w:val="00577909"/>
    <w:rsid w:val="00577965"/>
    <w:rsid w:val="00577BE0"/>
    <w:rsid w:val="00577EEF"/>
    <w:rsid w:val="0058001E"/>
    <w:rsid w:val="00580060"/>
    <w:rsid w:val="0058009C"/>
    <w:rsid w:val="0058027E"/>
    <w:rsid w:val="00580343"/>
    <w:rsid w:val="0058034B"/>
    <w:rsid w:val="005804AB"/>
    <w:rsid w:val="00580542"/>
    <w:rsid w:val="00580604"/>
    <w:rsid w:val="005806F4"/>
    <w:rsid w:val="0058076A"/>
    <w:rsid w:val="00580908"/>
    <w:rsid w:val="00580955"/>
    <w:rsid w:val="00580B67"/>
    <w:rsid w:val="00580E83"/>
    <w:rsid w:val="00580EE1"/>
    <w:rsid w:val="00581241"/>
    <w:rsid w:val="005814D0"/>
    <w:rsid w:val="0058150D"/>
    <w:rsid w:val="00581532"/>
    <w:rsid w:val="00581555"/>
    <w:rsid w:val="0058177F"/>
    <w:rsid w:val="00581858"/>
    <w:rsid w:val="00581958"/>
    <w:rsid w:val="00581965"/>
    <w:rsid w:val="00581968"/>
    <w:rsid w:val="00581A08"/>
    <w:rsid w:val="00581CD9"/>
    <w:rsid w:val="00581D11"/>
    <w:rsid w:val="00582052"/>
    <w:rsid w:val="0058214A"/>
    <w:rsid w:val="00582380"/>
    <w:rsid w:val="0058252C"/>
    <w:rsid w:val="00582569"/>
    <w:rsid w:val="00582ADD"/>
    <w:rsid w:val="00582AF0"/>
    <w:rsid w:val="00582C5F"/>
    <w:rsid w:val="00582D11"/>
    <w:rsid w:val="00582E42"/>
    <w:rsid w:val="00582E64"/>
    <w:rsid w:val="00582F55"/>
    <w:rsid w:val="00582FB1"/>
    <w:rsid w:val="00582FD8"/>
    <w:rsid w:val="005830CA"/>
    <w:rsid w:val="00583192"/>
    <w:rsid w:val="0058330B"/>
    <w:rsid w:val="00583478"/>
    <w:rsid w:val="005836B6"/>
    <w:rsid w:val="0058375E"/>
    <w:rsid w:val="005837A7"/>
    <w:rsid w:val="005839C6"/>
    <w:rsid w:val="00583A5B"/>
    <w:rsid w:val="00583C8E"/>
    <w:rsid w:val="00583CC6"/>
    <w:rsid w:val="00584188"/>
    <w:rsid w:val="005841B2"/>
    <w:rsid w:val="00584213"/>
    <w:rsid w:val="00584224"/>
    <w:rsid w:val="0058428F"/>
    <w:rsid w:val="005843DA"/>
    <w:rsid w:val="005844CC"/>
    <w:rsid w:val="005844EB"/>
    <w:rsid w:val="00584564"/>
    <w:rsid w:val="0058463F"/>
    <w:rsid w:val="0058469A"/>
    <w:rsid w:val="005848F1"/>
    <w:rsid w:val="00584946"/>
    <w:rsid w:val="005849F6"/>
    <w:rsid w:val="00584AAD"/>
    <w:rsid w:val="00584B7D"/>
    <w:rsid w:val="00584D6C"/>
    <w:rsid w:val="005851B2"/>
    <w:rsid w:val="005851BB"/>
    <w:rsid w:val="00585321"/>
    <w:rsid w:val="0058536B"/>
    <w:rsid w:val="00585386"/>
    <w:rsid w:val="005853A7"/>
    <w:rsid w:val="0058543D"/>
    <w:rsid w:val="00585722"/>
    <w:rsid w:val="00585778"/>
    <w:rsid w:val="00585890"/>
    <w:rsid w:val="00585AFE"/>
    <w:rsid w:val="00585B58"/>
    <w:rsid w:val="00585C00"/>
    <w:rsid w:val="00585C97"/>
    <w:rsid w:val="00585CA4"/>
    <w:rsid w:val="0058607F"/>
    <w:rsid w:val="005861F9"/>
    <w:rsid w:val="00586284"/>
    <w:rsid w:val="005863C0"/>
    <w:rsid w:val="005863F2"/>
    <w:rsid w:val="0058643E"/>
    <w:rsid w:val="0058647A"/>
    <w:rsid w:val="005865B9"/>
    <w:rsid w:val="005866A1"/>
    <w:rsid w:val="005867DD"/>
    <w:rsid w:val="005869CD"/>
    <w:rsid w:val="00586A30"/>
    <w:rsid w:val="00586B5E"/>
    <w:rsid w:val="00586D90"/>
    <w:rsid w:val="00586EAE"/>
    <w:rsid w:val="00587032"/>
    <w:rsid w:val="00587125"/>
    <w:rsid w:val="005874C3"/>
    <w:rsid w:val="00587503"/>
    <w:rsid w:val="005876CC"/>
    <w:rsid w:val="00587A20"/>
    <w:rsid w:val="00587DD8"/>
    <w:rsid w:val="00587F88"/>
    <w:rsid w:val="00587FDA"/>
    <w:rsid w:val="0059053E"/>
    <w:rsid w:val="005906F5"/>
    <w:rsid w:val="00590883"/>
    <w:rsid w:val="0059088B"/>
    <w:rsid w:val="005908BF"/>
    <w:rsid w:val="00590A21"/>
    <w:rsid w:val="00590F0C"/>
    <w:rsid w:val="0059115E"/>
    <w:rsid w:val="005911BD"/>
    <w:rsid w:val="0059132C"/>
    <w:rsid w:val="00591398"/>
    <w:rsid w:val="00591540"/>
    <w:rsid w:val="0059154A"/>
    <w:rsid w:val="00591763"/>
    <w:rsid w:val="00591BE9"/>
    <w:rsid w:val="00591D92"/>
    <w:rsid w:val="00591EAD"/>
    <w:rsid w:val="00591F18"/>
    <w:rsid w:val="00591F1E"/>
    <w:rsid w:val="00591FE5"/>
    <w:rsid w:val="005921B6"/>
    <w:rsid w:val="0059229E"/>
    <w:rsid w:val="005923C0"/>
    <w:rsid w:val="005923F2"/>
    <w:rsid w:val="005924A2"/>
    <w:rsid w:val="00592893"/>
    <w:rsid w:val="005928B8"/>
    <w:rsid w:val="00592941"/>
    <w:rsid w:val="005929AB"/>
    <w:rsid w:val="00592B2D"/>
    <w:rsid w:val="00592BE9"/>
    <w:rsid w:val="00592CA7"/>
    <w:rsid w:val="00592E30"/>
    <w:rsid w:val="00592E65"/>
    <w:rsid w:val="00592F84"/>
    <w:rsid w:val="00592FBE"/>
    <w:rsid w:val="0059305D"/>
    <w:rsid w:val="0059307A"/>
    <w:rsid w:val="005930D3"/>
    <w:rsid w:val="0059316D"/>
    <w:rsid w:val="005931A6"/>
    <w:rsid w:val="005931DE"/>
    <w:rsid w:val="00593407"/>
    <w:rsid w:val="00593467"/>
    <w:rsid w:val="0059362E"/>
    <w:rsid w:val="00593662"/>
    <w:rsid w:val="00593AF6"/>
    <w:rsid w:val="00593C5B"/>
    <w:rsid w:val="00593CC0"/>
    <w:rsid w:val="00593EE9"/>
    <w:rsid w:val="00593F27"/>
    <w:rsid w:val="005942F8"/>
    <w:rsid w:val="00594331"/>
    <w:rsid w:val="005943A1"/>
    <w:rsid w:val="00594551"/>
    <w:rsid w:val="00594718"/>
    <w:rsid w:val="00594A91"/>
    <w:rsid w:val="00594B35"/>
    <w:rsid w:val="00594DAB"/>
    <w:rsid w:val="00594F4E"/>
    <w:rsid w:val="00594F9F"/>
    <w:rsid w:val="00594FFC"/>
    <w:rsid w:val="005950AA"/>
    <w:rsid w:val="00595145"/>
    <w:rsid w:val="005951E0"/>
    <w:rsid w:val="005951EC"/>
    <w:rsid w:val="0059522A"/>
    <w:rsid w:val="00595381"/>
    <w:rsid w:val="005953BC"/>
    <w:rsid w:val="0059546F"/>
    <w:rsid w:val="005956C9"/>
    <w:rsid w:val="005958CF"/>
    <w:rsid w:val="005959F5"/>
    <w:rsid w:val="00595C09"/>
    <w:rsid w:val="00595C5E"/>
    <w:rsid w:val="00595C95"/>
    <w:rsid w:val="00595D54"/>
    <w:rsid w:val="00595EF9"/>
    <w:rsid w:val="00596090"/>
    <w:rsid w:val="00596265"/>
    <w:rsid w:val="0059629E"/>
    <w:rsid w:val="005967DF"/>
    <w:rsid w:val="00596B5C"/>
    <w:rsid w:val="00596D3C"/>
    <w:rsid w:val="00597133"/>
    <w:rsid w:val="005972D1"/>
    <w:rsid w:val="005974C0"/>
    <w:rsid w:val="00597567"/>
    <w:rsid w:val="0059786F"/>
    <w:rsid w:val="00597948"/>
    <w:rsid w:val="005979D4"/>
    <w:rsid w:val="00597A4E"/>
    <w:rsid w:val="00597A66"/>
    <w:rsid w:val="00597A68"/>
    <w:rsid w:val="00597B60"/>
    <w:rsid w:val="00597DE0"/>
    <w:rsid w:val="00597E5B"/>
    <w:rsid w:val="00597FC9"/>
    <w:rsid w:val="00597FD5"/>
    <w:rsid w:val="005A021E"/>
    <w:rsid w:val="005A04E1"/>
    <w:rsid w:val="005A054C"/>
    <w:rsid w:val="005A0603"/>
    <w:rsid w:val="005A065F"/>
    <w:rsid w:val="005A0695"/>
    <w:rsid w:val="005A0821"/>
    <w:rsid w:val="005A0825"/>
    <w:rsid w:val="005A0BED"/>
    <w:rsid w:val="005A0D8B"/>
    <w:rsid w:val="005A0EF2"/>
    <w:rsid w:val="005A0F92"/>
    <w:rsid w:val="005A1068"/>
    <w:rsid w:val="005A12B8"/>
    <w:rsid w:val="005A12ED"/>
    <w:rsid w:val="005A142B"/>
    <w:rsid w:val="005A1494"/>
    <w:rsid w:val="005A1720"/>
    <w:rsid w:val="005A1766"/>
    <w:rsid w:val="005A1905"/>
    <w:rsid w:val="005A1A62"/>
    <w:rsid w:val="005A1AFF"/>
    <w:rsid w:val="005A1C87"/>
    <w:rsid w:val="005A1D1D"/>
    <w:rsid w:val="005A1E3D"/>
    <w:rsid w:val="005A20E1"/>
    <w:rsid w:val="005A2595"/>
    <w:rsid w:val="005A25D8"/>
    <w:rsid w:val="005A282C"/>
    <w:rsid w:val="005A29BB"/>
    <w:rsid w:val="005A2AFA"/>
    <w:rsid w:val="005A2C18"/>
    <w:rsid w:val="005A2C86"/>
    <w:rsid w:val="005A2DD6"/>
    <w:rsid w:val="005A2F86"/>
    <w:rsid w:val="005A3042"/>
    <w:rsid w:val="005A30B1"/>
    <w:rsid w:val="005A3168"/>
    <w:rsid w:val="005A318E"/>
    <w:rsid w:val="005A32F3"/>
    <w:rsid w:val="005A3576"/>
    <w:rsid w:val="005A363B"/>
    <w:rsid w:val="005A36EE"/>
    <w:rsid w:val="005A37FC"/>
    <w:rsid w:val="005A380D"/>
    <w:rsid w:val="005A3821"/>
    <w:rsid w:val="005A3BDA"/>
    <w:rsid w:val="005A3D4D"/>
    <w:rsid w:val="005A406C"/>
    <w:rsid w:val="005A412E"/>
    <w:rsid w:val="005A418F"/>
    <w:rsid w:val="005A4307"/>
    <w:rsid w:val="005A434F"/>
    <w:rsid w:val="005A44EC"/>
    <w:rsid w:val="005A477C"/>
    <w:rsid w:val="005A488A"/>
    <w:rsid w:val="005A49FC"/>
    <w:rsid w:val="005A4B86"/>
    <w:rsid w:val="005A4E20"/>
    <w:rsid w:val="005A4EAE"/>
    <w:rsid w:val="005A50A7"/>
    <w:rsid w:val="005A53E5"/>
    <w:rsid w:val="005A5615"/>
    <w:rsid w:val="005A5628"/>
    <w:rsid w:val="005A5716"/>
    <w:rsid w:val="005A5867"/>
    <w:rsid w:val="005A5966"/>
    <w:rsid w:val="005A59B2"/>
    <w:rsid w:val="005A5A76"/>
    <w:rsid w:val="005A5D2F"/>
    <w:rsid w:val="005A5F64"/>
    <w:rsid w:val="005A5F9C"/>
    <w:rsid w:val="005A6069"/>
    <w:rsid w:val="005A6081"/>
    <w:rsid w:val="005A60C0"/>
    <w:rsid w:val="005A610F"/>
    <w:rsid w:val="005A6179"/>
    <w:rsid w:val="005A61D3"/>
    <w:rsid w:val="005A683A"/>
    <w:rsid w:val="005A6A49"/>
    <w:rsid w:val="005A6AC9"/>
    <w:rsid w:val="005A6AE0"/>
    <w:rsid w:val="005A6C8E"/>
    <w:rsid w:val="005A6CBB"/>
    <w:rsid w:val="005A6F2A"/>
    <w:rsid w:val="005A7005"/>
    <w:rsid w:val="005A7031"/>
    <w:rsid w:val="005A7376"/>
    <w:rsid w:val="005A7481"/>
    <w:rsid w:val="005A7508"/>
    <w:rsid w:val="005A760D"/>
    <w:rsid w:val="005A796A"/>
    <w:rsid w:val="005A7A74"/>
    <w:rsid w:val="005A7B55"/>
    <w:rsid w:val="005A7B6B"/>
    <w:rsid w:val="005A7E5B"/>
    <w:rsid w:val="005A7F2F"/>
    <w:rsid w:val="005A7F99"/>
    <w:rsid w:val="005B00BF"/>
    <w:rsid w:val="005B016F"/>
    <w:rsid w:val="005B032C"/>
    <w:rsid w:val="005B04F3"/>
    <w:rsid w:val="005B0622"/>
    <w:rsid w:val="005B06AC"/>
    <w:rsid w:val="005B0729"/>
    <w:rsid w:val="005B07E9"/>
    <w:rsid w:val="005B0893"/>
    <w:rsid w:val="005B0A3C"/>
    <w:rsid w:val="005B0F87"/>
    <w:rsid w:val="005B100A"/>
    <w:rsid w:val="005B118C"/>
    <w:rsid w:val="005B120A"/>
    <w:rsid w:val="005B1219"/>
    <w:rsid w:val="005B13D0"/>
    <w:rsid w:val="005B1493"/>
    <w:rsid w:val="005B14AE"/>
    <w:rsid w:val="005B1747"/>
    <w:rsid w:val="005B17D6"/>
    <w:rsid w:val="005B1A18"/>
    <w:rsid w:val="005B1AC5"/>
    <w:rsid w:val="005B1CAD"/>
    <w:rsid w:val="005B1DAF"/>
    <w:rsid w:val="005B1DF6"/>
    <w:rsid w:val="005B1E1C"/>
    <w:rsid w:val="005B1E4E"/>
    <w:rsid w:val="005B1F25"/>
    <w:rsid w:val="005B202F"/>
    <w:rsid w:val="005B20E0"/>
    <w:rsid w:val="005B2312"/>
    <w:rsid w:val="005B241F"/>
    <w:rsid w:val="005B25E0"/>
    <w:rsid w:val="005B2650"/>
    <w:rsid w:val="005B269D"/>
    <w:rsid w:val="005B2736"/>
    <w:rsid w:val="005B2816"/>
    <w:rsid w:val="005B291F"/>
    <w:rsid w:val="005B295F"/>
    <w:rsid w:val="005B2AB8"/>
    <w:rsid w:val="005B2D00"/>
    <w:rsid w:val="005B2DF3"/>
    <w:rsid w:val="005B3139"/>
    <w:rsid w:val="005B3287"/>
    <w:rsid w:val="005B335D"/>
    <w:rsid w:val="005B36D4"/>
    <w:rsid w:val="005B37A9"/>
    <w:rsid w:val="005B38CD"/>
    <w:rsid w:val="005B3930"/>
    <w:rsid w:val="005B3B14"/>
    <w:rsid w:val="005B3BB5"/>
    <w:rsid w:val="005B3C50"/>
    <w:rsid w:val="005B3D1F"/>
    <w:rsid w:val="005B3D59"/>
    <w:rsid w:val="005B3DBD"/>
    <w:rsid w:val="005B3DC9"/>
    <w:rsid w:val="005B3DF5"/>
    <w:rsid w:val="005B43A4"/>
    <w:rsid w:val="005B4402"/>
    <w:rsid w:val="005B4641"/>
    <w:rsid w:val="005B4873"/>
    <w:rsid w:val="005B490B"/>
    <w:rsid w:val="005B4AA1"/>
    <w:rsid w:val="005B4AA6"/>
    <w:rsid w:val="005B4B38"/>
    <w:rsid w:val="005B4D0D"/>
    <w:rsid w:val="005B4D84"/>
    <w:rsid w:val="005B4DC9"/>
    <w:rsid w:val="005B4E4F"/>
    <w:rsid w:val="005B4EF3"/>
    <w:rsid w:val="005B50E8"/>
    <w:rsid w:val="005B51DB"/>
    <w:rsid w:val="005B54BD"/>
    <w:rsid w:val="005B57D5"/>
    <w:rsid w:val="005B5A18"/>
    <w:rsid w:val="005B5A7D"/>
    <w:rsid w:val="005B5E31"/>
    <w:rsid w:val="005B5F93"/>
    <w:rsid w:val="005B60D9"/>
    <w:rsid w:val="005B612D"/>
    <w:rsid w:val="005B6137"/>
    <w:rsid w:val="005B64A5"/>
    <w:rsid w:val="005B65E4"/>
    <w:rsid w:val="005B663E"/>
    <w:rsid w:val="005B699C"/>
    <w:rsid w:val="005B69DB"/>
    <w:rsid w:val="005B6A25"/>
    <w:rsid w:val="005B6AF8"/>
    <w:rsid w:val="005B6BE8"/>
    <w:rsid w:val="005B6CCB"/>
    <w:rsid w:val="005B6DB5"/>
    <w:rsid w:val="005B6DBE"/>
    <w:rsid w:val="005B6E70"/>
    <w:rsid w:val="005B6E8B"/>
    <w:rsid w:val="005B6EB4"/>
    <w:rsid w:val="005B7009"/>
    <w:rsid w:val="005B701B"/>
    <w:rsid w:val="005B70EE"/>
    <w:rsid w:val="005B738B"/>
    <w:rsid w:val="005B78BE"/>
    <w:rsid w:val="005B7BFB"/>
    <w:rsid w:val="005B7C3F"/>
    <w:rsid w:val="005B7CA5"/>
    <w:rsid w:val="005B7DAF"/>
    <w:rsid w:val="005C008A"/>
    <w:rsid w:val="005C00F2"/>
    <w:rsid w:val="005C0153"/>
    <w:rsid w:val="005C099E"/>
    <w:rsid w:val="005C0ACF"/>
    <w:rsid w:val="005C0CBA"/>
    <w:rsid w:val="005C0D00"/>
    <w:rsid w:val="005C0DEB"/>
    <w:rsid w:val="005C0FCD"/>
    <w:rsid w:val="005C12D3"/>
    <w:rsid w:val="005C1332"/>
    <w:rsid w:val="005C13AE"/>
    <w:rsid w:val="005C1607"/>
    <w:rsid w:val="005C1905"/>
    <w:rsid w:val="005C1B75"/>
    <w:rsid w:val="005C1D71"/>
    <w:rsid w:val="005C1D7F"/>
    <w:rsid w:val="005C202D"/>
    <w:rsid w:val="005C207E"/>
    <w:rsid w:val="005C20E5"/>
    <w:rsid w:val="005C2143"/>
    <w:rsid w:val="005C238E"/>
    <w:rsid w:val="005C27EA"/>
    <w:rsid w:val="005C2B4F"/>
    <w:rsid w:val="005C3BD9"/>
    <w:rsid w:val="005C3EAA"/>
    <w:rsid w:val="005C3FED"/>
    <w:rsid w:val="005C3FF2"/>
    <w:rsid w:val="005C4001"/>
    <w:rsid w:val="005C42A3"/>
    <w:rsid w:val="005C4428"/>
    <w:rsid w:val="005C4504"/>
    <w:rsid w:val="005C4647"/>
    <w:rsid w:val="005C4735"/>
    <w:rsid w:val="005C48D2"/>
    <w:rsid w:val="005C490F"/>
    <w:rsid w:val="005C497A"/>
    <w:rsid w:val="005C4AC4"/>
    <w:rsid w:val="005C4B90"/>
    <w:rsid w:val="005C4CAD"/>
    <w:rsid w:val="005C4CD5"/>
    <w:rsid w:val="005C4DD9"/>
    <w:rsid w:val="005C4E2E"/>
    <w:rsid w:val="005C4FBF"/>
    <w:rsid w:val="005C4FC6"/>
    <w:rsid w:val="005C511E"/>
    <w:rsid w:val="005C5177"/>
    <w:rsid w:val="005C51A5"/>
    <w:rsid w:val="005C51EA"/>
    <w:rsid w:val="005C5369"/>
    <w:rsid w:val="005C5508"/>
    <w:rsid w:val="005C55AE"/>
    <w:rsid w:val="005C55D1"/>
    <w:rsid w:val="005C5BFE"/>
    <w:rsid w:val="005C5F67"/>
    <w:rsid w:val="005C60C2"/>
    <w:rsid w:val="005C615F"/>
    <w:rsid w:val="005C61BE"/>
    <w:rsid w:val="005C62C4"/>
    <w:rsid w:val="005C6333"/>
    <w:rsid w:val="005C6395"/>
    <w:rsid w:val="005C63E5"/>
    <w:rsid w:val="005C65FD"/>
    <w:rsid w:val="005C66C6"/>
    <w:rsid w:val="005C66DC"/>
    <w:rsid w:val="005C67B1"/>
    <w:rsid w:val="005C6851"/>
    <w:rsid w:val="005C6923"/>
    <w:rsid w:val="005C6997"/>
    <w:rsid w:val="005C6998"/>
    <w:rsid w:val="005C6AD8"/>
    <w:rsid w:val="005C6CA1"/>
    <w:rsid w:val="005C6ECD"/>
    <w:rsid w:val="005C705B"/>
    <w:rsid w:val="005C709C"/>
    <w:rsid w:val="005C70DB"/>
    <w:rsid w:val="005C713B"/>
    <w:rsid w:val="005C731F"/>
    <w:rsid w:val="005C74DF"/>
    <w:rsid w:val="005C781B"/>
    <w:rsid w:val="005C78F5"/>
    <w:rsid w:val="005C7A55"/>
    <w:rsid w:val="005C7BF9"/>
    <w:rsid w:val="005C7D6B"/>
    <w:rsid w:val="005C7DBF"/>
    <w:rsid w:val="005C7DD6"/>
    <w:rsid w:val="005C7E41"/>
    <w:rsid w:val="005C7F40"/>
    <w:rsid w:val="005C7FFE"/>
    <w:rsid w:val="005D0063"/>
    <w:rsid w:val="005D006C"/>
    <w:rsid w:val="005D01A5"/>
    <w:rsid w:val="005D01F6"/>
    <w:rsid w:val="005D0287"/>
    <w:rsid w:val="005D02AB"/>
    <w:rsid w:val="005D03A4"/>
    <w:rsid w:val="005D04E1"/>
    <w:rsid w:val="005D059C"/>
    <w:rsid w:val="005D05D3"/>
    <w:rsid w:val="005D077E"/>
    <w:rsid w:val="005D07D7"/>
    <w:rsid w:val="005D08DB"/>
    <w:rsid w:val="005D0AE8"/>
    <w:rsid w:val="005D0CD4"/>
    <w:rsid w:val="005D0E5E"/>
    <w:rsid w:val="005D0EF1"/>
    <w:rsid w:val="005D100B"/>
    <w:rsid w:val="005D17B8"/>
    <w:rsid w:val="005D180E"/>
    <w:rsid w:val="005D18FB"/>
    <w:rsid w:val="005D1992"/>
    <w:rsid w:val="005D1A2D"/>
    <w:rsid w:val="005D1B62"/>
    <w:rsid w:val="005D1C68"/>
    <w:rsid w:val="005D1DD2"/>
    <w:rsid w:val="005D1E0E"/>
    <w:rsid w:val="005D1EA3"/>
    <w:rsid w:val="005D1F49"/>
    <w:rsid w:val="005D2198"/>
    <w:rsid w:val="005D221A"/>
    <w:rsid w:val="005D221F"/>
    <w:rsid w:val="005D23EE"/>
    <w:rsid w:val="005D2474"/>
    <w:rsid w:val="005D25DD"/>
    <w:rsid w:val="005D261C"/>
    <w:rsid w:val="005D2781"/>
    <w:rsid w:val="005D28FB"/>
    <w:rsid w:val="005D2A87"/>
    <w:rsid w:val="005D2BB6"/>
    <w:rsid w:val="005D2E82"/>
    <w:rsid w:val="005D30CC"/>
    <w:rsid w:val="005D322C"/>
    <w:rsid w:val="005D324A"/>
    <w:rsid w:val="005D3428"/>
    <w:rsid w:val="005D34A2"/>
    <w:rsid w:val="005D39B0"/>
    <w:rsid w:val="005D3A3F"/>
    <w:rsid w:val="005D3B29"/>
    <w:rsid w:val="005D3DC4"/>
    <w:rsid w:val="005D3E21"/>
    <w:rsid w:val="005D3EBF"/>
    <w:rsid w:val="005D3F9A"/>
    <w:rsid w:val="005D3FA0"/>
    <w:rsid w:val="005D3FA3"/>
    <w:rsid w:val="005D3FCB"/>
    <w:rsid w:val="005D3FE0"/>
    <w:rsid w:val="005D4094"/>
    <w:rsid w:val="005D412B"/>
    <w:rsid w:val="005D41C1"/>
    <w:rsid w:val="005D41F7"/>
    <w:rsid w:val="005D4574"/>
    <w:rsid w:val="005D4592"/>
    <w:rsid w:val="005D45E1"/>
    <w:rsid w:val="005D46B8"/>
    <w:rsid w:val="005D4700"/>
    <w:rsid w:val="005D48FF"/>
    <w:rsid w:val="005D4B18"/>
    <w:rsid w:val="005D4B2B"/>
    <w:rsid w:val="005D4C68"/>
    <w:rsid w:val="005D4C77"/>
    <w:rsid w:val="005D4DE0"/>
    <w:rsid w:val="005D4DE4"/>
    <w:rsid w:val="005D572D"/>
    <w:rsid w:val="005D576B"/>
    <w:rsid w:val="005D5917"/>
    <w:rsid w:val="005D595E"/>
    <w:rsid w:val="005D59E6"/>
    <w:rsid w:val="005D5B28"/>
    <w:rsid w:val="005D5B69"/>
    <w:rsid w:val="005D5C28"/>
    <w:rsid w:val="005D5C53"/>
    <w:rsid w:val="005D5C71"/>
    <w:rsid w:val="005D5F76"/>
    <w:rsid w:val="005D60C7"/>
    <w:rsid w:val="005D6310"/>
    <w:rsid w:val="005D646A"/>
    <w:rsid w:val="005D6489"/>
    <w:rsid w:val="005D649B"/>
    <w:rsid w:val="005D64A7"/>
    <w:rsid w:val="005D64DD"/>
    <w:rsid w:val="005D656D"/>
    <w:rsid w:val="005D65F1"/>
    <w:rsid w:val="005D666B"/>
    <w:rsid w:val="005D67B4"/>
    <w:rsid w:val="005D69CA"/>
    <w:rsid w:val="005D69ED"/>
    <w:rsid w:val="005D6BC8"/>
    <w:rsid w:val="005D6BE1"/>
    <w:rsid w:val="005D6BE5"/>
    <w:rsid w:val="005D6C20"/>
    <w:rsid w:val="005D6C21"/>
    <w:rsid w:val="005D6D1F"/>
    <w:rsid w:val="005D6DA5"/>
    <w:rsid w:val="005D6EDE"/>
    <w:rsid w:val="005D6F26"/>
    <w:rsid w:val="005D70B8"/>
    <w:rsid w:val="005D7239"/>
    <w:rsid w:val="005D731A"/>
    <w:rsid w:val="005D734B"/>
    <w:rsid w:val="005D7462"/>
    <w:rsid w:val="005D74F5"/>
    <w:rsid w:val="005D7558"/>
    <w:rsid w:val="005D7685"/>
    <w:rsid w:val="005D7786"/>
    <w:rsid w:val="005D7942"/>
    <w:rsid w:val="005D7C2F"/>
    <w:rsid w:val="005D7C3F"/>
    <w:rsid w:val="005D7CE8"/>
    <w:rsid w:val="005D7DB3"/>
    <w:rsid w:val="005D7E0E"/>
    <w:rsid w:val="005E00BF"/>
    <w:rsid w:val="005E04A4"/>
    <w:rsid w:val="005E05B8"/>
    <w:rsid w:val="005E069A"/>
    <w:rsid w:val="005E06D2"/>
    <w:rsid w:val="005E0905"/>
    <w:rsid w:val="005E09B0"/>
    <w:rsid w:val="005E0C41"/>
    <w:rsid w:val="005E0C68"/>
    <w:rsid w:val="005E0CBA"/>
    <w:rsid w:val="005E0CF2"/>
    <w:rsid w:val="005E0CF3"/>
    <w:rsid w:val="005E0D0C"/>
    <w:rsid w:val="005E0DB4"/>
    <w:rsid w:val="005E114C"/>
    <w:rsid w:val="005E1151"/>
    <w:rsid w:val="005E123A"/>
    <w:rsid w:val="005E13DD"/>
    <w:rsid w:val="005E14AD"/>
    <w:rsid w:val="005E150F"/>
    <w:rsid w:val="005E1568"/>
    <w:rsid w:val="005E166C"/>
    <w:rsid w:val="005E1679"/>
    <w:rsid w:val="005E183E"/>
    <w:rsid w:val="005E187B"/>
    <w:rsid w:val="005E18B3"/>
    <w:rsid w:val="005E192B"/>
    <w:rsid w:val="005E19E8"/>
    <w:rsid w:val="005E1B6C"/>
    <w:rsid w:val="005E1DB7"/>
    <w:rsid w:val="005E1DD7"/>
    <w:rsid w:val="005E1F33"/>
    <w:rsid w:val="005E2005"/>
    <w:rsid w:val="005E20FB"/>
    <w:rsid w:val="005E23D2"/>
    <w:rsid w:val="005E2497"/>
    <w:rsid w:val="005E28B9"/>
    <w:rsid w:val="005E28CE"/>
    <w:rsid w:val="005E2908"/>
    <w:rsid w:val="005E2941"/>
    <w:rsid w:val="005E2A6B"/>
    <w:rsid w:val="005E2A7B"/>
    <w:rsid w:val="005E2AEA"/>
    <w:rsid w:val="005E2CBC"/>
    <w:rsid w:val="005E2D9A"/>
    <w:rsid w:val="005E313E"/>
    <w:rsid w:val="005E31FE"/>
    <w:rsid w:val="005E3236"/>
    <w:rsid w:val="005E32C1"/>
    <w:rsid w:val="005E3315"/>
    <w:rsid w:val="005E33E0"/>
    <w:rsid w:val="005E3D27"/>
    <w:rsid w:val="005E3D9C"/>
    <w:rsid w:val="005E3E70"/>
    <w:rsid w:val="005E3EE8"/>
    <w:rsid w:val="005E4860"/>
    <w:rsid w:val="005E4949"/>
    <w:rsid w:val="005E4A64"/>
    <w:rsid w:val="005E4CA6"/>
    <w:rsid w:val="005E4E35"/>
    <w:rsid w:val="005E4E7F"/>
    <w:rsid w:val="005E4EF3"/>
    <w:rsid w:val="005E500B"/>
    <w:rsid w:val="005E5102"/>
    <w:rsid w:val="005E514F"/>
    <w:rsid w:val="005E5286"/>
    <w:rsid w:val="005E5326"/>
    <w:rsid w:val="005E546D"/>
    <w:rsid w:val="005E5559"/>
    <w:rsid w:val="005E59D3"/>
    <w:rsid w:val="005E5A0A"/>
    <w:rsid w:val="005E5B68"/>
    <w:rsid w:val="005E5D87"/>
    <w:rsid w:val="005E5E27"/>
    <w:rsid w:val="005E5E59"/>
    <w:rsid w:val="005E5EC4"/>
    <w:rsid w:val="005E6090"/>
    <w:rsid w:val="005E61AB"/>
    <w:rsid w:val="005E62B1"/>
    <w:rsid w:val="005E645A"/>
    <w:rsid w:val="005E64E5"/>
    <w:rsid w:val="005E66B1"/>
    <w:rsid w:val="005E66FF"/>
    <w:rsid w:val="005E672F"/>
    <w:rsid w:val="005E676D"/>
    <w:rsid w:val="005E67F4"/>
    <w:rsid w:val="005E6A4E"/>
    <w:rsid w:val="005E6B70"/>
    <w:rsid w:val="005E6D22"/>
    <w:rsid w:val="005E6F11"/>
    <w:rsid w:val="005E6FCE"/>
    <w:rsid w:val="005E7087"/>
    <w:rsid w:val="005E709C"/>
    <w:rsid w:val="005E70CA"/>
    <w:rsid w:val="005E7287"/>
    <w:rsid w:val="005E72F0"/>
    <w:rsid w:val="005E7332"/>
    <w:rsid w:val="005E770E"/>
    <w:rsid w:val="005E7728"/>
    <w:rsid w:val="005E78C5"/>
    <w:rsid w:val="005E78DD"/>
    <w:rsid w:val="005E79BF"/>
    <w:rsid w:val="005E7A9F"/>
    <w:rsid w:val="005E7CC2"/>
    <w:rsid w:val="005E7CD9"/>
    <w:rsid w:val="005E7E66"/>
    <w:rsid w:val="005E7E76"/>
    <w:rsid w:val="005E7E8A"/>
    <w:rsid w:val="005F003E"/>
    <w:rsid w:val="005F00A3"/>
    <w:rsid w:val="005F0111"/>
    <w:rsid w:val="005F01D5"/>
    <w:rsid w:val="005F030D"/>
    <w:rsid w:val="005F0373"/>
    <w:rsid w:val="005F0381"/>
    <w:rsid w:val="005F05FC"/>
    <w:rsid w:val="005F0688"/>
    <w:rsid w:val="005F0752"/>
    <w:rsid w:val="005F07EF"/>
    <w:rsid w:val="005F0874"/>
    <w:rsid w:val="005F0AFF"/>
    <w:rsid w:val="005F0B0E"/>
    <w:rsid w:val="005F0C32"/>
    <w:rsid w:val="005F0CE0"/>
    <w:rsid w:val="005F0F6D"/>
    <w:rsid w:val="005F0FC5"/>
    <w:rsid w:val="005F101A"/>
    <w:rsid w:val="005F10F2"/>
    <w:rsid w:val="005F12D7"/>
    <w:rsid w:val="005F132D"/>
    <w:rsid w:val="005F13DF"/>
    <w:rsid w:val="005F1436"/>
    <w:rsid w:val="005F150D"/>
    <w:rsid w:val="005F15B4"/>
    <w:rsid w:val="005F15FE"/>
    <w:rsid w:val="005F16B2"/>
    <w:rsid w:val="005F18A3"/>
    <w:rsid w:val="005F1AB8"/>
    <w:rsid w:val="005F1BB6"/>
    <w:rsid w:val="005F1D5F"/>
    <w:rsid w:val="005F1F54"/>
    <w:rsid w:val="005F1FFB"/>
    <w:rsid w:val="005F20EA"/>
    <w:rsid w:val="005F2211"/>
    <w:rsid w:val="005F2317"/>
    <w:rsid w:val="005F2338"/>
    <w:rsid w:val="005F233C"/>
    <w:rsid w:val="005F24D6"/>
    <w:rsid w:val="005F26CA"/>
    <w:rsid w:val="005F2874"/>
    <w:rsid w:val="005F28B1"/>
    <w:rsid w:val="005F2979"/>
    <w:rsid w:val="005F2D37"/>
    <w:rsid w:val="005F2D9D"/>
    <w:rsid w:val="005F2DC4"/>
    <w:rsid w:val="005F2F4A"/>
    <w:rsid w:val="005F309B"/>
    <w:rsid w:val="005F3230"/>
    <w:rsid w:val="005F329A"/>
    <w:rsid w:val="005F32F7"/>
    <w:rsid w:val="005F34A9"/>
    <w:rsid w:val="005F3676"/>
    <w:rsid w:val="005F371A"/>
    <w:rsid w:val="005F39DD"/>
    <w:rsid w:val="005F3A1C"/>
    <w:rsid w:val="005F3AC0"/>
    <w:rsid w:val="005F3AFF"/>
    <w:rsid w:val="005F3B4C"/>
    <w:rsid w:val="005F3DC7"/>
    <w:rsid w:val="005F3EBF"/>
    <w:rsid w:val="005F3ED8"/>
    <w:rsid w:val="005F3F33"/>
    <w:rsid w:val="005F3F8E"/>
    <w:rsid w:val="005F3FD0"/>
    <w:rsid w:val="005F406A"/>
    <w:rsid w:val="005F413F"/>
    <w:rsid w:val="005F4191"/>
    <w:rsid w:val="005F4283"/>
    <w:rsid w:val="005F42F6"/>
    <w:rsid w:val="005F448B"/>
    <w:rsid w:val="005F4492"/>
    <w:rsid w:val="005F45C2"/>
    <w:rsid w:val="005F47C3"/>
    <w:rsid w:val="005F4942"/>
    <w:rsid w:val="005F4B92"/>
    <w:rsid w:val="005F4D2F"/>
    <w:rsid w:val="005F4D64"/>
    <w:rsid w:val="005F515E"/>
    <w:rsid w:val="005F51FF"/>
    <w:rsid w:val="005F531D"/>
    <w:rsid w:val="005F53D2"/>
    <w:rsid w:val="005F563B"/>
    <w:rsid w:val="005F5717"/>
    <w:rsid w:val="005F574E"/>
    <w:rsid w:val="005F58A9"/>
    <w:rsid w:val="005F5AAC"/>
    <w:rsid w:val="005F5AB0"/>
    <w:rsid w:val="005F5AF4"/>
    <w:rsid w:val="005F5BE7"/>
    <w:rsid w:val="005F5DAB"/>
    <w:rsid w:val="005F6104"/>
    <w:rsid w:val="005F6269"/>
    <w:rsid w:val="005F632A"/>
    <w:rsid w:val="005F63A6"/>
    <w:rsid w:val="005F63B7"/>
    <w:rsid w:val="005F657A"/>
    <w:rsid w:val="005F6588"/>
    <w:rsid w:val="005F65EB"/>
    <w:rsid w:val="005F692C"/>
    <w:rsid w:val="005F694F"/>
    <w:rsid w:val="005F6D53"/>
    <w:rsid w:val="005F6F1C"/>
    <w:rsid w:val="005F6F87"/>
    <w:rsid w:val="005F754A"/>
    <w:rsid w:val="005F758A"/>
    <w:rsid w:val="005F76A6"/>
    <w:rsid w:val="005F774F"/>
    <w:rsid w:val="005F77FE"/>
    <w:rsid w:val="005F784F"/>
    <w:rsid w:val="005F78D4"/>
    <w:rsid w:val="005F7E5D"/>
    <w:rsid w:val="005F7EB1"/>
    <w:rsid w:val="005F7EEC"/>
    <w:rsid w:val="006000D5"/>
    <w:rsid w:val="006005BC"/>
    <w:rsid w:val="006005EB"/>
    <w:rsid w:val="006006BB"/>
    <w:rsid w:val="00600750"/>
    <w:rsid w:val="006007C2"/>
    <w:rsid w:val="0060094E"/>
    <w:rsid w:val="00600BBA"/>
    <w:rsid w:val="00600BD9"/>
    <w:rsid w:val="00600D08"/>
    <w:rsid w:val="00600D66"/>
    <w:rsid w:val="00600E1D"/>
    <w:rsid w:val="00600E4A"/>
    <w:rsid w:val="00600FB2"/>
    <w:rsid w:val="0060113F"/>
    <w:rsid w:val="00601273"/>
    <w:rsid w:val="00601505"/>
    <w:rsid w:val="006015F5"/>
    <w:rsid w:val="0060162B"/>
    <w:rsid w:val="00601755"/>
    <w:rsid w:val="00601773"/>
    <w:rsid w:val="00601826"/>
    <w:rsid w:val="006019D5"/>
    <w:rsid w:val="00601A12"/>
    <w:rsid w:val="00601BBF"/>
    <w:rsid w:val="00601C66"/>
    <w:rsid w:val="00601E5A"/>
    <w:rsid w:val="0060209F"/>
    <w:rsid w:val="00602271"/>
    <w:rsid w:val="0060245C"/>
    <w:rsid w:val="00602639"/>
    <w:rsid w:val="00602860"/>
    <w:rsid w:val="00602864"/>
    <w:rsid w:val="00602990"/>
    <w:rsid w:val="006029D9"/>
    <w:rsid w:val="00602AD5"/>
    <w:rsid w:val="00602B4A"/>
    <w:rsid w:val="00602BA4"/>
    <w:rsid w:val="00602C14"/>
    <w:rsid w:val="00602C9E"/>
    <w:rsid w:val="00602D91"/>
    <w:rsid w:val="00602DD1"/>
    <w:rsid w:val="00602DDE"/>
    <w:rsid w:val="00602EB5"/>
    <w:rsid w:val="00602F0F"/>
    <w:rsid w:val="00602F73"/>
    <w:rsid w:val="006030BC"/>
    <w:rsid w:val="006031E1"/>
    <w:rsid w:val="00603295"/>
    <w:rsid w:val="00603437"/>
    <w:rsid w:val="00603599"/>
    <w:rsid w:val="0060360D"/>
    <w:rsid w:val="0060387A"/>
    <w:rsid w:val="00603A2A"/>
    <w:rsid w:val="00603A83"/>
    <w:rsid w:val="00603CCF"/>
    <w:rsid w:val="00603CF0"/>
    <w:rsid w:val="00603E62"/>
    <w:rsid w:val="00603EF9"/>
    <w:rsid w:val="006040A6"/>
    <w:rsid w:val="00604463"/>
    <w:rsid w:val="00604494"/>
    <w:rsid w:val="00604646"/>
    <w:rsid w:val="006046F4"/>
    <w:rsid w:val="00604776"/>
    <w:rsid w:val="00604778"/>
    <w:rsid w:val="006047C2"/>
    <w:rsid w:val="00604805"/>
    <w:rsid w:val="00604849"/>
    <w:rsid w:val="00604982"/>
    <w:rsid w:val="00604A95"/>
    <w:rsid w:val="00604BA8"/>
    <w:rsid w:val="00604C2D"/>
    <w:rsid w:val="00604C37"/>
    <w:rsid w:val="00604C88"/>
    <w:rsid w:val="00604D8F"/>
    <w:rsid w:val="00605189"/>
    <w:rsid w:val="00605298"/>
    <w:rsid w:val="00605358"/>
    <w:rsid w:val="0060535B"/>
    <w:rsid w:val="006053AD"/>
    <w:rsid w:val="006054C3"/>
    <w:rsid w:val="006056C7"/>
    <w:rsid w:val="0060588A"/>
    <w:rsid w:val="00605A07"/>
    <w:rsid w:val="00605BCA"/>
    <w:rsid w:val="00605C3A"/>
    <w:rsid w:val="00605C5D"/>
    <w:rsid w:val="00605C7C"/>
    <w:rsid w:val="00605D0F"/>
    <w:rsid w:val="00605E52"/>
    <w:rsid w:val="0060625D"/>
    <w:rsid w:val="00606464"/>
    <w:rsid w:val="006064C1"/>
    <w:rsid w:val="00606563"/>
    <w:rsid w:val="0060659A"/>
    <w:rsid w:val="0060671C"/>
    <w:rsid w:val="0060680C"/>
    <w:rsid w:val="006068E6"/>
    <w:rsid w:val="006069A2"/>
    <w:rsid w:val="00606C2F"/>
    <w:rsid w:val="00606E77"/>
    <w:rsid w:val="00606FD6"/>
    <w:rsid w:val="0060710B"/>
    <w:rsid w:val="0060723E"/>
    <w:rsid w:val="00607353"/>
    <w:rsid w:val="00607371"/>
    <w:rsid w:val="0060738E"/>
    <w:rsid w:val="00607453"/>
    <w:rsid w:val="00607546"/>
    <w:rsid w:val="006075E4"/>
    <w:rsid w:val="006077AD"/>
    <w:rsid w:val="006078DC"/>
    <w:rsid w:val="00607927"/>
    <w:rsid w:val="006079FE"/>
    <w:rsid w:val="00607B1C"/>
    <w:rsid w:val="00607BA5"/>
    <w:rsid w:val="00607CC0"/>
    <w:rsid w:val="00607F9C"/>
    <w:rsid w:val="00607FC2"/>
    <w:rsid w:val="006100BB"/>
    <w:rsid w:val="0061017F"/>
    <w:rsid w:val="0061027C"/>
    <w:rsid w:val="006102A2"/>
    <w:rsid w:val="006102BD"/>
    <w:rsid w:val="0061042A"/>
    <w:rsid w:val="00610518"/>
    <w:rsid w:val="006105E9"/>
    <w:rsid w:val="0061067E"/>
    <w:rsid w:val="0061091F"/>
    <w:rsid w:val="00610967"/>
    <w:rsid w:val="00610BD3"/>
    <w:rsid w:val="00610E85"/>
    <w:rsid w:val="00611021"/>
    <w:rsid w:val="00611060"/>
    <w:rsid w:val="006110C3"/>
    <w:rsid w:val="0061113A"/>
    <w:rsid w:val="0061152A"/>
    <w:rsid w:val="00611598"/>
    <w:rsid w:val="006115CF"/>
    <w:rsid w:val="00611A3C"/>
    <w:rsid w:val="00611B3E"/>
    <w:rsid w:val="00611BD7"/>
    <w:rsid w:val="00611D66"/>
    <w:rsid w:val="00611D87"/>
    <w:rsid w:val="00611EA2"/>
    <w:rsid w:val="00612158"/>
    <w:rsid w:val="006122D8"/>
    <w:rsid w:val="00612354"/>
    <w:rsid w:val="0061247A"/>
    <w:rsid w:val="00612792"/>
    <w:rsid w:val="00612833"/>
    <w:rsid w:val="00612946"/>
    <w:rsid w:val="00612AE2"/>
    <w:rsid w:val="00612BD3"/>
    <w:rsid w:val="00612ECC"/>
    <w:rsid w:val="00613154"/>
    <w:rsid w:val="006131D5"/>
    <w:rsid w:val="006134BD"/>
    <w:rsid w:val="006134D9"/>
    <w:rsid w:val="006135ED"/>
    <w:rsid w:val="00613693"/>
    <w:rsid w:val="0061372F"/>
    <w:rsid w:val="006137BD"/>
    <w:rsid w:val="00613969"/>
    <w:rsid w:val="00613B2D"/>
    <w:rsid w:val="00613CF9"/>
    <w:rsid w:val="00613E0B"/>
    <w:rsid w:val="00613FFF"/>
    <w:rsid w:val="00614011"/>
    <w:rsid w:val="00614030"/>
    <w:rsid w:val="006140CB"/>
    <w:rsid w:val="0061413B"/>
    <w:rsid w:val="006141CD"/>
    <w:rsid w:val="006142C3"/>
    <w:rsid w:val="006143BD"/>
    <w:rsid w:val="006146EC"/>
    <w:rsid w:val="006147AB"/>
    <w:rsid w:val="00614BD8"/>
    <w:rsid w:val="00614C4A"/>
    <w:rsid w:val="00614CDA"/>
    <w:rsid w:val="00614DD5"/>
    <w:rsid w:val="00614F7B"/>
    <w:rsid w:val="00615223"/>
    <w:rsid w:val="006152F7"/>
    <w:rsid w:val="00615476"/>
    <w:rsid w:val="006156FF"/>
    <w:rsid w:val="00615938"/>
    <w:rsid w:val="0061598A"/>
    <w:rsid w:val="006159A8"/>
    <w:rsid w:val="006159F6"/>
    <w:rsid w:val="006160DE"/>
    <w:rsid w:val="006160EE"/>
    <w:rsid w:val="00616149"/>
    <w:rsid w:val="006162B9"/>
    <w:rsid w:val="00616639"/>
    <w:rsid w:val="0061685B"/>
    <w:rsid w:val="00616AE8"/>
    <w:rsid w:val="00616C34"/>
    <w:rsid w:val="00616EE4"/>
    <w:rsid w:val="00616F04"/>
    <w:rsid w:val="0061710A"/>
    <w:rsid w:val="0061721D"/>
    <w:rsid w:val="00617236"/>
    <w:rsid w:val="0061730C"/>
    <w:rsid w:val="0061756E"/>
    <w:rsid w:val="0061760B"/>
    <w:rsid w:val="00617662"/>
    <w:rsid w:val="006176D7"/>
    <w:rsid w:val="0061779F"/>
    <w:rsid w:val="0061783A"/>
    <w:rsid w:val="00617851"/>
    <w:rsid w:val="0061794A"/>
    <w:rsid w:val="00617CDB"/>
    <w:rsid w:val="00617CE6"/>
    <w:rsid w:val="00617D2A"/>
    <w:rsid w:val="00617D88"/>
    <w:rsid w:val="00617DA7"/>
    <w:rsid w:val="00617E26"/>
    <w:rsid w:val="00617E54"/>
    <w:rsid w:val="00617E9F"/>
    <w:rsid w:val="00617F2E"/>
    <w:rsid w:val="0062007A"/>
    <w:rsid w:val="006201F1"/>
    <w:rsid w:val="006203AD"/>
    <w:rsid w:val="006204A8"/>
    <w:rsid w:val="006205A9"/>
    <w:rsid w:val="00620637"/>
    <w:rsid w:val="006206D4"/>
    <w:rsid w:val="006206DD"/>
    <w:rsid w:val="00620768"/>
    <w:rsid w:val="0062082D"/>
    <w:rsid w:val="006208D4"/>
    <w:rsid w:val="00620B9F"/>
    <w:rsid w:val="00620CA2"/>
    <w:rsid w:val="0062128D"/>
    <w:rsid w:val="006215AD"/>
    <w:rsid w:val="00621682"/>
    <w:rsid w:val="006216A7"/>
    <w:rsid w:val="00621746"/>
    <w:rsid w:val="006218F5"/>
    <w:rsid w:val="00621C52"/>
    <w:rsid w:val="00621C86"/>
    <w:rsid w:val="00621DBA"/>
    <w:rsid w:val="00621EDD"/>
    <w:rsid w:val="00622022"/>
    <w:rsid w:val="00622256"/>
    <w:rsid w:val="00622292"/>
    <w:rsid w:val="006222CB"/>
    <w:rsid w:val="006227A3"/>
    <w:rsid w:val="006227A9"/>
    <w:rsid w:val="00622A85"/>
    <w:rsid w:val="00622B8B"/>
    <w:rsid w:val="00622BBF"/>
    <w:rsid w:val="00622C58"/>
    <w:rsid w:val="00622C79"/>
    <w:rsid w:val="00622C8D"/>
    <w:rsid w:val="00622D6D"/>
    <w:rsid w:val="00622ED1"/>
    <w:rsid w:val="00623081"/>
    <w:rsid w:val="006230BC"/>
    <w:rsid w:val="00623242"/>
    <w:rsid w:val="006232A0"/>
    <w:rsid w:val="006233F4"/>
    <w:rsid w:val="00623699"/>
    <w:rsid w:val="00623812"/>
    <w:rsid w:val="00623B48"/>
    <w:rsid w:val="00623C82"/>
    <w:rsid w:val="00623F96"/>
    <w:rsid w:val="0062419E"/>
    <w:rsid w:val="00624218"/>
    <w:rsid w:val="00624381"/>
    <w:rsid w:val="006243E1"/>
    <w:rsid w:val="00624752"/>
    <w:rsid w:val="00624775"/>
    <w:rsid w:val="0062480E"/>
    <w:rsid w:val="00624815"/>
    <w:rsid w:val="0062491E"/>
    <w:rsid w:val="006249D9"/>
    <w:rsid w:val="00624AD0"/>
    <w:rsid w:val="00624B60"/>
    <w:rsid w:val="00624C02"/>
    <w:rsid w:val="00624CE5"/>
    <w:rsid w:val="00624FE5"/>
    <w:rsid w:val="00625003"/>
    <w:rsid w:val="0062508F"/>
    <w:rsid w:val="00625198"/>
    <w:rsid w:val="006252E0"/>
    <w:rsid w:val="00625548"/>
    <w:rsid w:val="006256C4"/>
    <w:rsid w:val="0062575F"/>
    <w:rsid w:val="006257DB"/>
    <w:rsid w:val="0062582F"/>
    <w:rsid w:val="006259D6"/>
    <w:rsid w:val="00625A4B"/>
    <w:rsid w:val="00625AC4"/>
    <w:rsid w:val="00625B3A"/>
    <w:rsid w:val="00625C7C"/>
    <w:rsid w:val="00625D8B"/>
    <w:rsid w:val="006260C6"/>
    <w:rsid w:val="00626208"/>
    <w:rsid w:val="0062659F"/>
    <w:rsid w:val="006267E4"/>
    <w:rsid w:val="00626838"/>
    <w:rsid w:val="00626904"/>
    <w:rsid w:val="00626912"/>
    <w:rsid w:val="00626C60"/>
    <w:rsid w:val="00626C7A"/>
    <w:rsid w:val="00626CD2"/>
    <w:rsid w:val="00626D3C"/>
    <w:rsid w:val="00626F08"/>
    <w:rsid w:val="00627180"/>
    <w:rsid w:val="006271B6"/>
    <w:rsid w:val="00627202"/>
    <w:rsid w:val="0062739A"/>
    <w:rsid w:val="00627453"/>
    <w:rsid w:val="0062752D"/>
    <w:rsid w:val="006275DC"/>
    <w:rsid w:val="0062761F"/>
    <w:rsid w:val="00627733"/>
    <w:rsid w:val="00627921"/>
    <w:rsid w:val="0062793F"/>
    <w:rsid w:val="00627976"/>
    <w:rsid w:val="00627A62"/>
    <w:rsid w:val="00627C60"/>
    <w:rsid w:val="00627CEC"/>
    <w:rsid w:val="00627CF5"/>
    <w:rsid w:val="00627F3F"/>
    <w:rsid w:val="006300A4"/>
    <w:rsid w:val="0063014E"/>
    <w:rsid w:val="006301CD"/>
    <w:rsid w:val="006301FD"/>
    <w:rsid w:val="00630481"/>
    <w:rsid w:val="006304D6"/>
    <w:rsid w:val="006305D3"/>
    <w:rsid w:val="006305EB"/>
    <w:rsid w:val="0063069E"/>
    <w:rsid w:val="00630819"/>
    <w:rsid w:val="006308CD"/>
    <w:rsid w:val="00630902"/>
    <w:rsid w:val="00630C33"/>
    <w:rsid w:val="00630CE3"/>
    <w:rsid w:val="00630D38"/>
    <w:rsid w:val="00630DBB"/>
    <w:rsid w:val="00630E5A"/>
    <w:rsid w:val="00630F06"/>
    <w:rsid w:val="00630F5C"/>
    <w:rsid w:val="00631009"/>
    <w:rsid w:val="0063116D"/>
    <w:rsid w:val="006312A4"/>
    <w:rsid w:val="00631330"/>
    <w:rsid w:val="00631346"/>
    <w:rsid w:val="00631439"/>
    <w:rsid w:val="006319A7"/>
    <w:rsid w:val="00631A2C"/>
    <w:rsid w:val="00631AE6"/>
    <w:rsid w:val="00631C4E"/>
    <w:rsid w:val="00631E9A"/>
    <w:rsid w:val="00632170"/>
    <w:rsid w:val="00632171"/>
    <w:rsid w:val="006322A3"/>
    <w:rsid w:val="006326DE"/>
    <w:rsid w:val="006327D5"/>
    <w:rsid w:val="0063283E"/>
    <w:rsid w:val="0063299D"/>
    <w:rsid w:val="00632C9C"/>
    <w:rsid w:val="00632E08"/>
    <w:rsid w:val="00632E6D"/>
    <w:rsid w:val="0063303C"/>
    <w:rsid w:val="006332BD"/>
    <w:rsid w:val="006332E5"/>
    <w:rsid w:val="006335CA"/>
    <w:rsid w:val="006337FD"/>
    <w:rsid w:val="00633828"/>
    <w:rsid w:val="0063384B"/>
    <w:rsid w:val="00633987"/>
    <w:rsid w:val="00633BD7"/>
    <w:rsid w:val="00634072"/>
    <w:rsid w:val="0063439F"/>
    <w:rsid w:val="006343A9"/>
    <w:rsid w:val="006343BD"/>
    <w:rsid w:val="00634474"/>
    <w:rsid w:val="006344A1"/>
    <w:rsid w:val="00634534"/>
    <w:rsid w:val="006348D1"/>
    <w:rsid w:val="006349C6"/>
    <w:rsid w:val="006349DD"/>
    <w:rsid w:val="00634B9D"/>
    <w:rsid w:val="00634E2A"/>
    <w:rsid w:val="00634F13"/>
    <w:rsid w:val="0063502A"/>
    <w:rsid w:val="0063503F"/>
    <w:rsid w:val="00635116"/>
    <w:rsid w:val="00635134"/>
    <w:rsid w:val="00635227"/>
    <w:rsid w:val="006352AE"/>
    <w:rsid w:val="00635392"/>
    <w:rsid w:val="00635404"/>
    <w:rsid w:val="00635410"/>
    <w:rsid w:val="0063545E"/>
    <w:rsid w:val="00635550"/>
    <w:rsid w:val="006355EB"/>
    <w:rsid w:val="0063563A"/>
    <w:rsid w:val="006356F5"/>
    <w:rsid w:val="00635731"/>
    <w:rsid w:val="0063581B"/>
    <w:rsid w:val="00635A24"/>
    <w:rsid w:val="00635A39"/>
    <w:rsid w:val="00635B98"/>
    <w:rsid w:val="00635D39"/>
    <w:rsid w:val="00636418"/>
    <w:rsid w:val="0063667E"/>
    <w:rsid w:val="0063672B"/>
    <w:rsid w:val="006367CE"/>
    <w:rsid w:val="0063685B"/>
    <w:rsid w:val="0063693E"/>
    <w:rsid w:val="00636C9B"/>
    <w:rsid w:val="00636DF4"/>
    <w:rsid w:val="00637019"/>
    <w:rsid w:val="00637059"/>
    <w:rsid w:val="00637168"/>
    <w:rsid w:val="006372F7"/>
    <w:rsid w:val="006374B3"/>
    <w:rsid w:val="006374CA"/>
    <w:rsid w:val="0063751D"/>
    <w:rsid w:val="00637523"/>
    <w:rsid w:val="0063752C"/>
    <w:rsid w:val="00637675"/>
    <w:rsid w:val="00637B2D"/>
    <w:rsid w:val="00637C84"/>
    <w:rsid w:val="00637E72"/>
    <w:rsid w:val="00637EE8"/>
    <w:rsid w:val="006400DF"/>
    <w:rsid w:val="00640101"/>
    <w:rsid w:val="00640147"/>
    <w:rsid w:val="006401F0"/>
    <w:rsid w:val="00640818"/>
    <w:rsid w:val="00640840"/>
    <w:rsid w:val="00640AC2"/>
    <w:rsid w:val="00640C2F"/>
    <w:rsid w:val="00640D4E"/>
    <w:rsid w:val="00640DEA"/>
    <w:rsid w:val="00640DF1"/>
    <w:rsid w:val="00640E1D"/>
    <w:rsid w:val="00640E71"/>
    <w:rsid w:val="00640E76"/>
    <w:rsid w:val="00640EB7"/>
    <w:rsid w:val="00641192"/>
    <w:rsid w:val="006412DB"/>
    <w:rsid w:val="006412ED"/>
    <w:rsid w:val="00641327"/>
    <w:rsid w:val="0064152D"/>
    <w:rsid w:val="00641666"/>
    <w:rsid w:val="00641864"/>
    <w:rsid w:val="006418D6"/>
    <w:rsid w:val="006419A9"/>
    <w:rsid w:val="00641A32"/>
    <w:rsid w:val="00641A3B"/>
    <w:rsid w:val="00641A73"/>
    <w:rsid w:val="00641A7F"/>
    <w:rsid w:val="00641BC2"/>
    <w:rsid w:val="00641CF9"/>
    <w:rsid w:val="00641D69"/>
    <w:rsid w:val="00641E10"/>
    <w:rsid w:val="00641E2F"/>
    <w:rsid w:val="00641FB1"/>
    <w:rsid w:val="00641FCF"/>
    <w:rsid w:val="00642052"/>
    <w:rsid w:val="006423C7"/>
    <w:rsid w:val="00642498"/>
    <w:rsid w:val="006426F7"/>
    <w:rsid w:val="0064275D"/>
    <w:rsid w:val="006428B3"/>
    <w:rsid w:val="00642948"/>
    <w:rsid w:val="00642B15"/>
    <w:rsid w:val="00642C17"/>
    <w:rsid w:val="00642F6E"/>
    <w:rsid w:val="006430E8"/>
    <w:rsid w:val="00643107"/>
    <w:rsid w:val="006433F8"/>
    <w:rsid w:val="0064359D"/>
    <w:rsid w:val="006435C8"/>
    <w:rsid w:val="006435FE"/>
    <w:rsid w:val="00643683"/>
    <w:rsid w:val="006436C7"/>
    <w:rsid w:val="00643834"/>
    <w:rsid w:val="0064392A"/>
    <w:rsid w:val="00643BCA"/>
    <w:rsid w:val="00643C52"/>
    <w:rsid w:val="00643E00"/>
    <w:rsid w:val="00643ED5"/>
    <w:rsid w:val="00644176"/>
    <w:rsid w:val="0064418C"/>
    <w:rsid w:val="00644394"/>
    <w:rsid w:val="0064439C"/>
    <w:rsid w:val="00644568"/>
    <w:rsid w:val="006446E4"/>
    <w:rsid w:val="00644B1D"/>
    <w:rsid w:val="00644CD0"/>
    <w:rsid w:val="00644CEE"/>
    <w:rsid w:val="00644EA4"/>
    <w:rsid w:val="00644EF0"/>
    <w:rsid w:val="00644F1E"/>
    <w:rsid w:val="006450A3"/>
    <w:rsid w:val="0064548A"/>
    <w:rsid w:val="00645560"/>
    <w:rsid w:val="006455E2"/>
    <w:rsid w:val="00645684"/>
    <w:rsid w:val="006456E6"/>
    <w:rsid w:val="0064573D"/>
    <w:rsid w:val="006457AD"/>
    <w:rsid w:val="006458A7"/>
    <w:rsid w:val="00645929"/>
    <w:rsid w:val="00645A1B"/>
    <w:rsid w:val="00645ADB"/>
    <w:rsid w:val="00645B01"/>
    <w:rsid w:val="00645B0F"/>
    <w:rsid w:val="00645B5E"/>
    <w:rsid w:val="00645BD3"/>
    <w:rsid w:val="00645C54"/>
    <w:rsid w:val="00645C75"/>
    <w:rsid w:val="00645EA2"/>
    <w:rsid w:val="00645F61"/>
    <w:rsid w:val="00645F83"/>
    <w:rsid w:val="00645FDA"/>
    <w:rsid w:val="00646077"/>
    <w:rsid w:val="00646197"/>
    <w:rsid w:val="006461B5"/>
    <w:rsid w:val="00646279"/>
    <w:rsid w:val="00646291"/>
    <w:rsid w:val="00646405"/>
    <w:rsid w:val="006464B0"/>
    <w:rsid w:val="00646583"/>
    <w:rsid w:val="00646A25"/>
    <w:rsid w:val="00646B6C"/>
    <w:rsid w:val="00646BF3"/>
    <w:rsid w:val="00646CF0"/>
    <w:rsid w:val="00646D61"/>
    <w:rsid w:val="00646DF8"/>
    <w:rsid w:val="00646E01"/>
    <w:rsid w:val="00646E10"/>
    <w:rsid w:val="00646E96"/>
    <w:rsid w:val="00646EF0"/>
    <w:rsid w:val="00646F6B"/>
    <w:rsid w:val="00646FEA"/>
    <w:rsid w:val="006470DB"/>
    <w:rsid w:val="00647168"/>
    <w:rsid w:val="00647384"/>
    <w:rsid w:val="00647428"/>
    <w:rsid w:val="00647553"/>
    <w:rsid w:val="0064758C"/>
    <w:rsid w:val="00647607"/>
    <w:rsid w:val="00647761"/>
    <w:rsid w:val="006479C9"/>
    <w:rsid w:val="00647A6D"/>
    <w:rsid w:val="00647D9E"/>
    <w:rsid w:val="00647E96"/>
    <w:rsid w:val="00647EBB"/>
    <w:rsid w:val="00647FD8"/>
    <w:rsid w:val="00650183"/>
    <w:rsid w:val="006501BE"/>
    <w:rsid w:val="0065023C"/>
    <w:rsid w:val="006502D3"/>
    <w:rsid w:val="00650436"/>
    <w:rsid w:val="006504A5"/>
    <w:rsid w:val="0065055C"/>
    <w:rsid w:val="006505EF"/>
    <w:rsid w:val="006505F1"/>
    <w:rsid w:val="00650657"/>
    <w:rsid w:val="0065080F"/>
    <w:rsid w:val="006508B8"/>
    <w:rsid w:val="006509EF"/>
    <w:rsid w:val="00650A4E"/>
    <w:rsid w:val="00650AF3"/>
    <w:rsid w:val="00650B07"/>
    <w:rsid w:val="00650BC5"/>
    <w:rsid w:val="00650D94"/>
    <w:rsid w:val="00650DAD"/>
    <w:rsid w:val="0065112D"/>
    <w:rsid w:val="00651132"/>
    <w:rsid w:val="00651186"/>
    <w:rsid w:val="0065149B"/>
    <w:rsid w:val="006514C9"/>
    <w:rsid w:val="006515D5"/>
    <w:rsid w:val="006517F5"/>
    <w:rsid w:val="006519CA"/>
    <w:rsid w:val="00651A5D"/>
    <w:rsid w:val="00651BF2"/>
    <w:rsid w:val="00651C76"/>
    <w:rsid w:val="00651D18"/>
    <w:rsid w:val="00651D41"/>
    <w:rsid w:val="00651E14"/>
    <w:rsid w:val="00651F9E"/>
    <w:rsid w:val="00651FAF"/>
    <w:rsid w:val="0065231F"/>
    <w:rsid w:val="006523C8"/>
    <w:rsid w:val="006523F4"/>
    <w:rsid w:val="00652493"/>
    <w:rsid w:val="006524D9"/>
    <w:rsid w:val="00652581"/>
    <w:rsid w:val="00652588"/>
    <w:rsid w:val="0065263E"/>
    <w:rsid w:val="006526B9"/>
    <w:rsid w:val="0065288F"/>
    <w:rsid w:val="00652ADD"/>
    <w:rsid w:val="00652B07"/>
    <w:rsid w:val="00652BEB"/>
    <w:rsid w:val="00652D75"/>
    <w:rsid w:val="00652F6C"/>
    <w:rsid w:val="006532FD"/>
    <w:rsid w:val="00653361"/>
    <w:rsid w:val="0065355B"/>
    <w:rsid w:val="006536AC"/>
    <w:rsid w:val="006536CB"/>
    <w:rsid w:val="00653778"/>
    <w:rsid w:val="006537BF"/>
    <w:rsid w:val="006537C4"/>
    <w:rsid w:val="0065389A"/>
    <w:rsid w:val="0065391A"/>
    <w:rsid w:val="00653A97"/>
    <w:rsid w:val="00653D0D"/>
    <w:rsid w:val="00653FC1"/>
    <w:rsid w:val="006541C7"/>
    <w:rsid w:val="006541D5"/>
    <w:rsid w:val="00654504"/>
    <w:rsid w:val="00654574"/>
    <w:rsid w:val="0065459D"/>
    <w:rsid w:val="00654648"/>
    <w:rsid w:val="00654709"/>
    <w:rsid w:val="006547AA"/>
    <w:rsid w:val="00654877"/>
    <w:rsid w:val="00654892"/>
    <w:rsid w:val="00654A26"/>
    <w:rsid w:val="00654B9B"/>
    <w:rsid w:val="00654C49"/>
    <w:rsid w:val="006550C3"/>
    <w:rsid w:val="00655161"/>
    <w:rsid w:val="00655316"/>
    <w:rsid w:val="0065541E"/>
    <w:rsid w:val="006554A5"/>
    <w:rsid w:val="006554B8"/>
    <w:rsid w:val="00655629"/>
    <w:rsid w:val="0065564D"/>
    <w:rsid w:val="00655804"/>
    <w:rsid w:val="00655D3D"/>
    <w:rsid w:val="00655D92"/>
    <w:rsid w:val="00655EC7"/>
    <w:rsid w:val="00655F09"/>
    <w:rsid w:val="00656038"/>
    <w:rsid w:val="00656064"/>
    <w:rsid w:val="0065623B"/>
    <w:rsid w:val="006562A6"/>
    <w:rsid w:val="0065648D"/>
    <w:rsid w:val="006566FE"/>
    <w:rsid w:val="00656773"/>
    <w:rsid w:val="006568C8"/>
    <w:rsid w:val="00656C1A"/>
    <w:rsid w:val="00656C78"/>
    <w:rsid w:val="00656E2B"/>
    <w:rsid w:val="00656E5F"/>
    <w:rsid w:val="00657011"/>
    <w:rsid w:val="00657057"/>
    <w:rsid w:val="0065706D"/>
    <w:rsid w:val="00657150"/>
    <w:rsid w:val="00657226"/>
    <w:rsid w:val="0065737F"/>
    <w:rsid w:val="00657434"/>
    <w:rsid w:val="00657531"/>
    <w:rsid w:val="00657590"/>
    <w:rsid w:val="006576B3"/>
    <w:rsid w:val="00657766"/>
    <w:rsid w:val="00657835"/>
    <w:rsid w:val="00657C55"/>
    <w:rsid w:val="00657DE8"/>
    <w:rsid w:val="00657E43"/>
    <w:rsid w:val="00657EA8"/>
    <w:rsid w:val="00657F6B"/>
    <w:rsid w:val="00660054"/>
    <w:rsid w:val="006604D3"/>
    <w:rsid w:val="00660503"/>
    <w:rsid w:val="0066074D"/>
    <w:rsid w:val="00660AB6"/>
    <w:rsid w:val="00660D98"/>
    <w:rsid w:val="00660DC3"/>
    <w:rsid w:val="00660FA8"/>
    <w:rsid w:val="006610B6"/>
    <w:rsid w:val="0066120B"/>
    <w:rsid w:val="00661310"/>
    <w:rsid w:val="0066134E"/>
    <w:rsid w:val="0066135F"/>
    <w:rsid w:val="00661362"/>
    <w:rsid w:val="006613D4"/>
    <w:rsid w:val="00661486"/>
    <w:rsid w:val="00661513"/>
    <w:rsid w:val="00661950"/>
    <w:rsid w:val="00661B55"/>
    <w:rsid w:val="00661C97"/>
    <w:rsid w:val="00661CAD"/>
    <w:rsid w:val="00661D3D"/>
    <w:rsid w:val="00661E8A"/>
    <w:rsid w:val="0066201A"/>
    <w:rsid w:val="00662089"/>
    <w:rsid w:val="00662099"/>
    <w:rsid w:val="006621F2"/>
    <w:rsid w:val="0066236B"/>
    <w:rsid w:val="0066238E"/>
    <w:rsid w:val="0066246A"/>
    <w:rsid w:val="00662526"/>
    <w:rsid w:val="00662A28"/>
    <w:rsid w:val="00662C74"/>
    <w:rsid w:val="00662D36"/>
    <w:rsid w:val="00662DCB"/>
    <w:rsid w:val="00662EED"/>
    <w:rsid w:val="00662FE5"/>
    <w:rsid w:val="0066303B"/>
    <w:rsid w:val="00663248"/>
    <w:rsid w:val="006638A9"/>
    <w:rsid w:val="006638B5"/>
    <w:rsid w:val="006639C6"/>
    <w:rsid w:val="00663A13"/>
    <w:rsid w:val="00663B53"/>
    <w:rsid w:val="00663C40"/>
    <w:rsid w:val="00663D41"/>
    <w:rsid w:val="00663F78"/>
    <w:rsid w:val="006640C8"/>
    <w:rsid w:val="0066417F"/>
    <w:rsid w:val="0066430C"/>
    <w:rsid w:val="0066438A"/>
    <w:rsid w:val="0066458C"/>
    <w:rsid w:val="006645F5"/>
    <w:rsid w:val="00664724"/>
    <w:rsid w:val="0066489B"/>
    <w:rsid w:val="00664B23"/>
    <w:rsid w:val="00664D81"/>
    <w:rsid w:val="00664F44"/>
    <w:rsid w:val="00665011"/>
    <w:rsid w:val="006650BD"/>
    <w:rsid w:val="006650E6"/>
    <w:rsid w:val="0066518B"/>
    <w:rsid w:val="006654A7"/>
    <w:rsid w:val="00665513"/>
    <w:rsid w:val="006658B1"/>
    <w:rsid w:val="006659A8"/>
    <w:rsid w:val="00665B53"/>
    <w:rsid w:val="00665B75"/>
    <w:rsid w:val="00665CF2"/>
    <w:rsid w:val="00665EE1"/>
    <w:rsid w:val="006661D2"/>
    <w:rsid w:val="0066638D"/>
    <w:rsid w:val="0066643B"/>
    <w:rsid w:val="006664B7"/>
    <w:rsid w:val="006665D2"/>
    <w:rsid w:val="006667D2"/>
    <w:rsid w:val="00666878"/>
    <w:rsid w:val="006668AA"/>
    <w:rsid w:val="00666BE0"/>
    <w:rsid w:val="00666C0F"/>
    <w:rsid w:val="00666ED4"/>
    <w:rsid w:val="00666F04"/>
    <w:rsid w:val="00667080"/>
    <w:rsid w:val="006671AC"/>
    <w:rsid w:val="0066723E"/>
    <w:rsid w:val="00667348"/>
    <w:rsid w:val="0066760F"/>
    <w:rsid w:val="00667752"/>
    <w:rsid w:val="006679A3"/>
    <w:rsid w:val="00667BA8"/>
    <w:rsid w:val="00667D25"/>
    <w:rsid w:val="00667E1E"/>
    <w:rsid w:val="00667EAD"/>
    <w:rsid w:val="00667F73"/>
    <w:rsid w:val="0066F61B"/>
    <w:rsid w:val="00670232"/>
    <w:rsid w:val="006704E7"/>
    <w:rsid w:val="006706A8"/>
    <w:rsid w:val="006707B2"/>
    <w:rsid w:val="00670870"/>
    <w:rsid w:val="0067091F"/>
    <w:rsid w:val="00670A95"/>
    <w:rsid w:val="00670AE1"/>
    <w:rsid w:val="00670B8E"/>
    <w:rsid w:val="00670D72"/>
    <w:rsid w:val="00670F01"/>
    <w:rsid w:val="00670F43"/>
    <w:rsid w:val="00670F4A"/>
    <w:rsid w:val="00670FC3"/>
    <w:rsid w:val="006712C6"/>
    <w:rsid w:val="00671467"/>
    <w:rsid w:val="0067149E"/>
    <w:rsid w:val="0067150E"/>
    <w:rsid w:val="00671564"/>
    <w:rsid w:val="006715F5"/>
    <w:rsid w:val="006716B3"/>
    <w:rsid w:val="00671875"/>
    <w:rsid w:val="00671A4E"/>
    <w:rsid w:val="00671B13"/>
    <w:rsid w:val="00671C69"/>
    <w:rsid w:val="00671D7E"/>
    <w:rsid w:val="00671DD6"/>
    <w:rsid w:val="00671FF4"/>
    <w:rsid w:val="00672035"/>
    <w:rsid w:val="006721C3"/>
    <w:rsid w:val="00672209"/>
    <w:rsid w:val="006724A2"/>
    <w:rsid w:val="00672735"/>
    <w:rsid w:val="0067276C"/>
    <w:rsid w:val="00672F5F"/>
    <w:rsid w:val="006730D8"/>
    <w:rsid w:val="00673523"/>
    <w:rsid w:val="00673545"/>
    <w:rsid w:val="00673703"/>
    <w:rsid w:val="0067374A"/>
    <w:rsid w:val="0067375F"/>
    <w:rsid w:val="006737C1"/>
    <w:rsid w:val="0067386F"/>
    <w:rsid w:val="0067389D"/>
    <w:rsid w:val="00673A04"/>
    <w:rsid w:val="00673D0D"/>
    <w:rsid w:val="00673EF9"/>
    <w:rsid w:val="00673FD5"/>
    <w:rsid w:val="00674203"/>
    <w:rsid w:val="0067423D"/>
    <w:rsid w:val="00674326"/>
    <w:rsid w:val="0067473B"/>
    <w:rsid w:val="006747DD"/>
    <w:rsid w:val="00674808"/>
    <w:rsid w:val="00674B0B"/>
    <w:rsid w:val="00674C6E"/>
    <w:rsid w:val="00674F78"/>
    <w:rsid w:val="00675150"/>
    <w:rsid w:val="00675210"/>
    <w:rsid w:val="0067531D"/>
    <w:rsid w:val="00675434"/>
    <w:rsid w:val="0067565B"/>
    <w:rsid w:val="00675884"/>
    <w:rsid w:val="0067589A"/>
    <w:rsid w:val="00675A65"/>
    <w:rsid w:val="00675ADC"/>
    <w:rsid w:val="00675B59"/>
    <w:rsid w:val="00675D3D"/>
    <w:rsid w:val="00675D7E"/>
    <w:rsid w:val="006760A1"/>
    <w:rsid w:val="00676247"/>
    <w:rsid w:val="006762E6"/>
    <w:rsid w:val="00676546"/>
    <w:rsid w:val="00676687"/>
    <w:rsid w:val="006766C7"/>
    <w:rsid w:val="006766EF"/>
    <w:rsid w:val="0067685D"/>
    <w:rsid w:val="006768D1"/>
    <w:rsid w:val="00676969"/>
    <w:rsid w:val="006769AB"/>
    <w:rsid w:val="00676B80"/>
    <w:rsid w:val="00676BAA"/>
    <w:rsid w:val="00676D4E"/>
    <w:rsid w:val="00677137"/>
    <w:rsid w:val="00677193"/>
    <w:rsid w:val="006771BC"/>
    <w:rsid w:val="006772A8"/>
    <w:rsid w:val="0067734D"/>
    <w:rsid w:val="006773AC"/>
    <w:rsid w:val="0067742C"/>
    <w:rsid w:val="006775C3"/>
    <w:rsid w:val="00677736"/>
    <w:rsid w:val="00677A28"/>
    <w:rsid w:val="00677C1E"/>
    <w:rsid w:val="00677C52"/>
    <w:rsid w:val="00677CAA"/>
    <w:rsid w:val="00677D05"/>
    <w:rsid w:val="00677D0A"/>
    <w:rsid w:val="00677F2C"/>
    <w:rsid w:val="006801A3"/>
    <w:rsid w:val="0068035D"/>
    <w:rsid w:val="006809A5"/>
    <w:rsid w:val="00680AA9"/>
    <w:rsid w:val="00680D98"/>
    <w:rsid w:val="00680E04"/>
    <w:rsid w:val="00680E18"/>
    <w:rsid w:val="00680EB8"/>
    <w:rsid w:val="00680ED6"/>
    <w:rsid w:val="00680EF6"/>
    <w:rsid w:val="00680F28"/>
    <w:rsid w:val="00680F52"/>
    <w:rsid w:val="006810D3"/>
    <w:rsid w:val="006811B6"/>
    <w:rsid w:val="00681325"/>
    <w:rsid w:val="00681334"/>
    <w:rsid w:val="006814BB"/>
    <w:rsid w:val="006814CE"/>
    <w:rsid w:val="006815A0"/>
    <w:rsid w:val="006815D2"/>
    <w:rsid w:val="006815F9"/>
    <w:rsid w:val="006816F7"/>
    <w:rsid w:val="00681A23"/>
    <w:rsid w:val="00681A42"/>
    <w:rsid w:val="00681BCD"/>
    <w:rsid w:val="00681EA5"/>
    <w:rsid w:val="00681FF7"/>
    <w:rsid w:val="00682010"/>
    <w:rsid w:val="00682134"/>
    <w:rsid w:val="00682146"/>
    <w:rsid w:val="0068219D"/>
    <w:rsid w:val="00682474"/>
    <w:rsid w:val="00682522"/>
    <w:rsid w:val="00682580"/>
    <w:rsid w:val="0068271A"/>
    <w:rsid w:val="00682800"/>
    <w:rsid w:val="00682847"/>
    <w:rsid w:val="006828C3"/>
    <w:rsid w:val="006828D3"/>
    <w:rsid w:val="006828E2"/>
    <w:rsid w:val="00682ADD"/>
    <w:rsid w:val="00682B79"/>
    <w:rsid w:val="00682B8F"/>
    <w:rsid w:val="00682E47"/>
    <w:rsid w:val="0068316F"/>
    <w:rsid w:val="006833B0"/>
    <w:rsid w:val="0068340B"/>
    <w:rsid w:val="006835DB"/>
    <w:rsid w:val="0068391E"/>
    <w:rsid w:val="00683BC2"/>
    <w:rsid w:val="00683C7C"/>
    <w:rsid w:val="00683CF9"/>
    <w:rsid w:val="00683D3F"/>
    <w:rsid w:val="00683FAC"/>
    <w:rsid w:val="006840EB"/>
    <w:rsid w:val="00684152"/>
    <w:rsid w:val="006841D5"/>
    <w:rsid w:val="006842CE"/>
    <w:rsid w:val="0068468D"/>
    <w:rsid w:val="006846AC"/>
    <w:rsid w:val="0068480E"/>
    <w:rsid w:val="0068485E"/>
    <w:rsid w:val="006848F1"/>
    <w:rsid w:val="00684E21"/>
    <w:rsid w:val="00684F73"/>
    <w:rsid w:val="0068501A"/>
    <w:rsid w:val="00685192"/>
    <w:rsid w:val="00685211"/>
    <w:rsid w:val="0068531E"/>
    <w:rsid w:val="0068536E"/>
    <w:rsid w:val="00685512"/>
    <w:rsid w:val="006855D8"/>
    <w:rsid w:val="0068565B"/>
    <w:rsid w:val="006856AE"/>
    <w:rsid w:val="00685765"/>
    <w:rsid w:val="0068582E"/>
    <w:rsid w:val="00685D64"/>
    <w:rsid w:val="00685D6D"/>
    <w:rsid w:val="00685E25"/>
    <w:rsid w:val="00685E81"/>
    <w:rsid w:val="00685EF4"/>
    <w:rsid w:val="006863A9"/>
    <w:rsid w:val="006863E9"/>
    <w:rsid w:val="00686829"/>
    <w:rsid w:val="006868D9"/>
    <w:rsid w:val="006869E0"/>
    <w:rsid w:val="00686A9A"/>
    <w:rsid w:val="00686F50"/>
    <w:rsid w:val="006870D8"/>
    <w:rsid w:val="0068716B"/>
    <w:rsid w:val="00687300"/>
    <w:rsid w:val="00687313"/>
    <w:rsid w:val="0068733A"/>
    <w:rsid w:val="00687457"/>
    <w:rsid w:val="00687576"/>
    <w:rsid w:val="006875E2"/>
    <w:rsid w:val="006875EB"/>
    <w:rsid w:val="00687650"/>
    <w:rsid w:val="00687656"/>
    <w:rsid w:val="006878A3"/>
    <w:rsid w:val="0068792E"/>
    <w:rsid w:val="00687AA0"/>
    <w:rsid w:val="00687BB1"/>
    <w:rsid w:val="00687BFB"/>
    <w:rsid w:val="00687C1D"/>
    <w:rsid w:val="00687FDF"/>
    <w:rsid w:val="006900A6"/>
    <w:rsid w:val="00690237"/>
    <w:rsid w:val="006906AB"/>
    <w:rsid w:val="00690732"/>
    <w:rsid w:val="00690763"/>
    <w:rsid w:val="0069080E"/>
    <w:rsid w:val="00690A2B"/>
    <w:rsid w:val="00690BAA"/>
    <w:rsid w:val="00690C25"/>
    <w:rsid w:val="00690E2E"/>
    <w:rsid w:val="00691056"/>
    <w:rsid w:val="006914CD"/>
    <w:rsid w:val="0069156D"/>
    <w:rsid w:val="0069165E"/>
    <w:rsid w:val="00691742"/>
    <w:rsid w:val="0069177B"/>
    <w:rsid w:val="0069181F"/>
    <w:rsid w:val="006918CD"/>
    <w:rsid w:val="00691A95"/>
    <w:rsid w:val="00691C09"/>
    <w:rsid w:val="00691D00"/>
    <w:rsid w:val="00691ED5"/>
    <w:rsid w:val="00691F76"/>
    <w:rsid w:val="00691FC0"/>
    <w:rsid w:val="00692069"/>
    <w:rsid w:val="0069261C"/>
    <w:rsid w:val="006929D7"/>
    <w:rsid w:val="00692D20"/>
    <w:rsid w:val="00692F2D"/>
    <w:rsid w:val="00693184"/>
    <w:rsid w:val="006931B6"/>
    <w:rsid w:val="0069342C"/>
    <w:rsid w:val="00693571"/>
    <w:rsid w:val="0069366B"/>
    <w:rsid w:val="00693787"/>
    <w:rsid w:val="006938C0"/>
    <w:rsid w:val="0069394E"/>
    <w:rsid w:val="00693950"/>
    <w:rsid w:val="006939C8"/>
    <w:rsid w:val="006939DD"/>
    <w:rsid w:val="00693B54"/>
    <w:rsid w:val="00693BF6"/>
    <w:rsid w:val="00693C60"/>
    <w:rsid w:val="00693DE4"/>
    <w:rsid w:val="00693F3B"/>
    <w:rsid w:val="0069411D"/>
    <w:rsid w:val="00694394"/>
    <w:rsid w:val="006943EE"/>
    <w:rsid w:val="006944A5"/>
    <w:rsid w:val="006944A7"/>
    <w:rsid w:val="00694738"/>
    <w:rsid w:val="00694B53"/>
    <w:rsid w:val="00694BC2"/>
    <w:rsid w:val="00694DD9"/>
    <w:rsid w:val="00694EFF"/>
    <w:rsid w:val="00694FC6"/>
    <w:rsid w:val="006950A9"/>
    <w:rsid w:val="006956A2"/>
    <w:rsid w:val="006956E9"/>
    <w:rsid w:val="0069575B"/>
    <w:rsid w:val="006957EA"/>
    <w:rsid w:val="0069585D"/>
    <w:rsid w:val="00695A59"/>
    <w:rsid w:val="00695A5B"/>
    <w:rsid w:val="00696092"/>
    <w:rsid w:val="00696425"/>
    <w:rsid w:val="00696709"/>
    <w:rsid w:val="006967C7"/>
    <w:rsid w:val="006968A9"/>
    <w:rsid w:val="00696DA5"/>
    <w:rsid w:val="00696F05"/>
    <w:rsid w:val="00696F5D"/>
    <w:rsid w:val="00697047"/>
    <w:rsid w:val="0069719E"/>
    <w:rsid w:val="006971C3"/>
    <w:rsid w:val="00697424"/>
    <w:rsid w:val="006974A1"/>
    <w:rsid w:val="006974BF"/>
    <w:rsid w:val="006974C7"/>
    <w:rsid w:val="00697618"/>
    <w:rsid w:val="006977D6"/>
    <w:rsid w:val="00697841"/>
    <w:rsid w:val="00697B44"/>
    <w:rsid w:val="00697C93"/>
    <w:rsid w:val="00697CD8"/>
    <w:rsid w:val="006A00B3"/>
    <w:rsid w:val="006A015C"/>
    <w:rsid w:val="006A0299"/>
    <w:rsid w:val="006A033F"/>
    <w:rsid w:val="006A04EA"/>
    <w:rsid w:val="006A0660"/>
    <w:rsid w:val="006A082E"/>
    <w:rsid w:val="006A0909"/>
    <w:rsid w:val="006A09A6"/>
    <w:rsid w:val="006A0A34"/>
    <w:rsid w:val="006A0C83"/>
    <w:rsid w:val="006A0DBC"/>
    <w:rsid w:val="006A1015"/>
    <w:rsid w:val="006A1228"/>
    <w:rsid w:val="006A14ED"/>
    <w:rsid w:val="006A1585"/>
    <w:rsid w:val="006A1592"/>
    <w:rsid w:val="006A159F"/>
    <w:rsid w:val="006A16B2"/>
    <w:rsid w:val="006A1741"/>
    <w:rsid w:val="006A177E"/>
    <w:rsid w:val="006A178D"/>
    <w:rsid w:val="006A182C"/>
    <w:rsid w:val="006A1859"/>
    <w:rsid w:val="006A1922"/>
    <w:rsid w:val="006A1B26"/>
    <w:rsid w:val="006A1BA5"/>
    <w:rsid w:val="006A1E6D"/>
    <w:rsid w:val="006A1F62"/>
    <w:rsid w:val="006A1F87"/>
    <w:rsid w:val="006A1FAF"/>
    <w:rsid w:val="006A205D"/>
    <w:rsid w:val="006A2397"/>
    <w:rsid w:val="006A265C"/>
    <w:rsid w:val="006A2A57"/>
    <w:rsid w:val="006A2AD1"/>
    <w:rsid w:val="006A2BF8"/>
    <w:rsid w:val="006A2C8A"/>
    <w:rsid w:val="006A2E23"/>
    <w:rsid w:val="006A3056"/>
    <w:rsid w:val="006A3086"/>
    <w:rsid w:val="006A319C"/>
    <w:rsid w:val="006A3266"/>
    <w:rsid w:val="006A3365"/>
    <w:rsid w:val="006A33CF"/>
    <w:rsid w:val="006A33EF"/>
    <w:rsid w:val="006A35E5"/>
    <w:rsid w:val="006A3799"/>
    <w:rsid w:val="006A390D"/>
    <w:rsid w:val="006A39CE"/>
    <w:rsid w:val="006A3A52"/>
    <w:rsid w:val="006A3A7B"/>
    <w:rsid w:val="006A3B3A"/>
    <w:rsid w:val="006A3C1E"/>
    <w:rsid w:val="006A3C28"/>
    <w:rsid w:val="006A3FF3"/>
    <w:rsid w:val="006A40AD"/>
    <w:rsid w:val="006A41C2"/>
    <w:rsid w:val="006A4391"/>
    <w:rsid w:val="006A44D9"/>
    <w:rsid w:val="006A4596"/>
    <w:rsid w:val="006A4615"/>
    <w:rsid w:val="006A4638"/>
    <w:rsid w:val="006A46C5"/>
    <w:rsid w:val="006A47E7"/>
    <w:rsid w:val="006A49CE"/>
    <w:rsid w:val="006A4AC4"/>
    <w:rsid w:val="006A4B52"/>
    <w:rsid w:val="006A4BC4"/>
    <w:rsid w:val="006A4BE5"/>
    <w:rsid w:val="006A4C35"/>
    <w:rsid w:val="006A4E4E"/>
    <w:rsid w:val="006A52E2"/>
    <w:rsid w:val="006A52F8"/>
    <w:rsid w:val="006A541C"/>
    <w:rsid w:val="006A54A5"/>
    <w:rsid w:val="006A56E8"/>
    <w:rsid w:val="006A56F6"/>
    <w:rsid w:val="006A58A4"/>
    <w:rsid w:val="006A5AFE"/>
    <w:rsid w:val="006A5B3B"/>
    <w:rsid w:val="006A5C4D"/>
    <w:rsid w:val="006A5DAA"/>
    <w:rsid w:val="006A5EA1"/>
    <w:rsid w:val="006A5FC7"/>
    <w:rsid w:val="006A60B7"/>
    <w:rsid w:val="006A60B9"/>
    <w:rsid w:val="006A63A8"/>
    <w:rsid w:val="006A644D"/>
    <w:rsid w:val="006A6609"/>
    <w:rsid w:val="006A66E3"/>
    <w:rsid w:val="006A684D"/>
    <w:rsid w:val="006A69E8"/>
    <w:rsid w:val="006A6B11"/>
    <w:rsid w:val="006A6B14"/>
    <w:rsid w:val="006A6DA1"/>
    <w:rsid w:val="006A6E67"/>
    <w:rsid w:val="006A6EAD"/>
    <w:rsid w:val="006A7168"/>
    <w:rsid w:val="006A72EC"/>
    <w:rsid w:val="006A73DE"/>
    <w:rsid w:val="006A7452"/>
    <w:rsid w:val="006A7513"/>
    <w:rsid w:val="006A763A"/>
    <w:rsid w:val="006A76EC"/>
    <w:rsid w:val="006A76F7"/>
    <w:rsid w:val="006A77F1"/>
    <w:rsid w:val="006A787A"/>
    <w:rsid w:val="006A78C9"/>
    <w:rsid w:val="006A7E46"/>
    <w:rsid w:val="006A7E8B"/>
    <w:rsid w:val="006A7F5A"/>
    <w:rsid w:val="006B002D"/>
    <w:rsid w:val="006B02AB"/>
    <w:rsid w:val="006B04CA"/>
    <w:rsid w:val="006B0578"/>
    <w:rsid w:val="006B0599"/>
    <w:rsid w:val="006B06CF"/>
    <w:rsid w:val="006B07EA"/>
    <w:rsid w:val="006B0859"/>
    <w:rsid w:val="006B08D2"/>
    <w:rsid w:val="006B0962"/>
    <w:rsid w:val="006B0A1B"/>
    <w:rsid w:val="006B0A32"/>
    <w:rsid w:val="006B0B34"/>
    <w:rsid w:val="006B0C24"/>
    <w:rsid w:val="006B0C4C"/>
    <w:rsid w:val="006B11A9"/>
    <w:rsid w:val="006B12D7"/>
    <w:rsid w:val="006B1344"/>
    <w:rsid w:val="006B13FC"/>
    <w:rsid w:val="006B16FF"/>
    <w:rsid w:val="006B1882"/>
    <w:rsid w:val="006B1912"/>
    <w:rsid w:val="006B191D"/>
    <w:rsid w:val="006B19A5"/>
    <w:rsid w:val="006B19FB"/>
    <w:rsid w:val="006B1B04"/>
    <w:rsid w:val="006B1BDD"/>
    <w:rsid w:val="006B1C29"/>
    <w:rsid w:val="006B1D27"/>
    <w:rsid w:val="006B203E"/>
    <w:rsid w:val="006B2051"/>
    <w:rsid w:val="006B2161"/>
    <w:rsid w:val="006B22AD"/>
    <w:rsid w:val="006B22B7"/>
    <w:rsid w:val="006B236F"/>
    <w:rsid w:val="006B246C"/>
    <w:rsid w:val="006B2B54"/>
    <w:rsid w:val="006B2C28"/>
    <w:rsid w:val="006B32A8"/>
    <w:rsid w:val="006B32EE"/>
    <w:rsid w:val="006B3AB4"/>
    <w:rsid w:val="006B3AD3"/>
    <w:rsid w:val="006B3D71"/>
    <w:rsid w:val="006B3F78"/>
    <w:rsid w:val="006B40E6"/>
    <w:rsid w:val="006B441B"/>
    <w:rsid w:val="006B45C8"/>
    <w:rsid w:val="006B4A6F"/>
    <w:rsid w:val="006B4B61"/>
    <w:rsid w:val="006B4D89"/>
    <w:rsid w:val="006B4DBD"/>
    <w:rsid w:val="006B4F5A"/>
    <w:rsid w:val="006B54BE"/>
    <w:rsid w:val="006B552A"/>
    <w:rsid w:val="006B5A1C"/>
    <w:rsid w:val="006B5B4B"/>
    <w:rsid w:val="006B5B75"/>
    <w:rsid w:val="006B5C35"/>
    <w:rsid w:val="006B5C66"/>
    <w:rsid w:val="006B5D31"/>
    <w:rsid w:val="006B5EAD"/>
    <w:rsid w:val="006B60A9"/>
    <w:rsid w:val="006B60D9"/>
    <w:rsid w:val="006B61E3"/>
    <w:rsid w:val="006B6432"/>
    <w:rsid w:val="006B68B2"/>
    <w:rsid w:val="006B69A5"/>
    <w:rsid w:val="006B6B36"/>
    <w:rsid w:val="006B6C90"/>
    <w:rsid w:val="006B6CF2"/>
    <w:rsid w:val="006B6DA1"/>
    <w:rsid w:val="006B6EA1"/>
    <w:rsid w:val="006B6ED2"/>
    <w:rsid w:val="006B6F73"/>
    <w:rsid w:val="006B702C"/>
    <w:rsid w:val="006B70A5"/>
    <w:rsid w:val="006B718C"/>
    <w:rsid w:val="006B71B3"/>
    <w:rsid w:val="006B7331"/>
    <w:rsid w:val="006B733B"/>
    <w:rsid w:val="006B7356"/>
    <w:rsid w:val="006B73ED"/>
    <w:rsid w:val="006B74EC"/>
    <w:rsid w:val="006B75D8"/>
    <w:rsid w:val="006B76E1"/>
    <w:rsid w:val="006B7777"/>
    <w:rsid w:val="006B77CA"/>
    <w:rsid w:val="006B77D0"/>
    <w:rsid w:val="006B77F2"/>
    <w:rsid w:val="006B79B7"/>
    <w:rsid w:val="006B7BFA"/>
    <w:rsid w:val="006B7D29"/>
    <w:rsid w:val="006B7E68"/>
    <w:rsid w:val="006B7ED3"/>
    <w:rsid w:val="006C0285"/>
    <w:rsid w:val="006C0399"/>
    <w:rsid w:val="006C040A"/>
    <w:rsid w:val="006C0488"/>
    <w:rsid w:val="006C072E"/>
    <w:rsid w:val="006C0743"/>
    <w:rsid w:val="006C09CF"/>
    <w:rsid w:val="006C0A4E"/>
    <w:rsid w:val="006C0AAE"/>
    <w:rsid w:val="006C0B60"/>
    <w:rsid w:val="006C0C5B"/>
    <w:rsid w:val="006C0CA0"/>
    <w:rsid w:val="006C0D9B"/>
    <w:rsid w:val="006C0E02"/>
    <w:rsid w:val="006C0E36"/>
    <w:rsid w:val="006C0E95"/>
    <w:rsid w:val="006C10B1"/>
    <w:rsid w:val="006C10D5"/>
    <w:rsid w:val="006C137F"/>
    <w:rsid w:val="006C1434"/>
    <w:rsid w:val="006C14BE"/>
    <w:rsid w:val="006C14C7"/>
    <w:rsid w:val="006C151F"/>
    <w:rsid w:val="006C156B"/>
    <w:rsid w:val="006C1874"/>
    <w:rsid w:val="006C1A69"/>
    <w:rsid w:val="006C1D2F"/>
    <w:rsid w:val="006C1E56"/>
    <w:rsid w:val="006C2195"/>
    <w:rsid w:val="006C21E4"/>
    <w:rsid w:val="006C227D"/>
    <w:rsid w:val="006C22D2"/>
    <w:rsid w:val="006C22DC"/>
    <w:rsid w:val="006C2431"/>
    <w:rsid w:val="006C2519"/>
    <w:rsid w:val="006C2538"/>
    <w:rsid w:val="006C2660"/>
    <w:rsid w:val="006C270E"/>
    <w:rsid w:val="006C2827"/>
    <w:rsid w:val="006C283E"/>
    <w:rsid w:val="006C2935"/>
    <w:rsid w:val="006C2976"/>
    <w:rsid w:val="006C2AC1"/>
    <w:rsid w:val="006C2AC6"/>
    <w:rsid w:val="006C2BDD"/>
    <w:rsid w:val="006C308C"/>
    <w:rsid w:val="006C30BA"/>
    <w:rsid w:val="006C3252"/>
    <w:rsid w:val="006C3263"/>
    <w:rsid w:val="006C32BC"/>
    <w:rsid w:val="006C349E"/>
    <w:rsid w:val="006C355D"/>
    <w:rsid w:val="006C3632"/>
    <w:rsid w:val="006C36CF"/>
    <w:rsid w:val="006C36DD"/>
    <w:rsid w:val="006C3745"/>
    <w:rsid w:val="006C3805"/>
    <w:rsid w:val="006C3894"/>
    <w:rsid w:val="006C3968"/>
    <w:rsid w:val="006C3D7E"/>
    <w:rsid w:val="006C3EAD"/>
    <w:rsid w:val="006C3EC3"/>
    <w:rsid w:val="006C40F8"/>
    <w:rsid w:val="006C40FF"/>
    <w:rsid w:val="006C410F"/>
    <w:rsid w:val="006C454B"/>
    <w:rsid w:val="006C461A"/>
    <w:rsid w:val="006C482C"/>
    <w:rsid w:val="006C4A0E"/>
    <w:rsid w:val="006C4B20"/>
    <w:rsid w:val="006C4BD8"/>
    <w:rsid w:val="006C4D3D"/>
    <w:rsid w:val="006C4EB4"/>
    <w:rsid w:val="006C4FEE"/>
    <w:rsid w:val="006C518F"/>
    <w:rsid w:val="006C51EC"/>
    <w:rsid w:val="006C51F4"/>
    <w:rsid w:val="006C531A"/>
    <w:rsid w:val="006C5373"/>
    <w:rsid w:val="006C54C7"/>
    <w:rsid w:val="006C5673"/>
    <w:rsid w:val="006C576F"/>
    <w:rsid w:val="006C592E"/>
    <w:rsid w:val="006C5AE6"/>
    <w:rsid w:val="006C5C2B"/>
    <w:rsid w:val="006C5D91"/>
    <w:rsid w:val="006C5DF9"/>
    <w:rsid w:val="006C5E2E"/>
    <w:rsid w:val="006C5E91"/>
    <w:rsid w:val="006C5FE5"/>
    <w:rsid w:val="006C6013"/>
    <w:rsid w:val="006C6083"/>
    <w:rsid w:val="006C6185"/>
    <w:rsid w:val="006C61C5"/>
    <w:rsid w:val="006C6340"/>
    <w:rsid w:val="006C647C"/>
    <w:rsid w:val="006C65A3"/>
    <w:rsid w:val="006C6680"/>
    <w:rsid w:val="006C66DA"/>
    <w:rsid w:val="006C66DD"/>
    <w:rsid w:val="006C67C7"/>
    <w:rsid w:val="006C683E"/>
    <w:rsid w:val="006C6841"/>
    <w:rsid w:val="006C68ED"/>
    <w:rsid w:val="006C69E0"/>
    <w:rsid w:val="006C6A12"/>
    <w:rsid w:val="006C6ACF"/>
    <w:rsid w:val="006C6BB8"/>
    <w:rsid w:val="006C6C8B"/>
    <w:rsid w:val="006C6D14"/>
    <w:rsid w:val="006C6F49"/>
    <w:rsid w:val="006C70D1"/>
    <w:rsid w:val="006C7143"/>
    <w:rsid w:val="006C71DF"/>
    <w:rsid w:val="006C72C5"/>
    <w:rsid w:val="006C7323"/>
    <w:rsid w:val="006C7379"/>
    <w:rsid w:val="006C7398"/>
    <w:rsid w:val="006C74C4"/>
    <w:rsid w:val="006C7596"/>
    <w:rsid w:val="006C76FD"/>
    <w:rsid w:val="006C7826"/>
    <w:rsid w:val="006C78D8"/>
    <w:rsid w:val="006C78E2"/>
    <w:rsid w:val="006C7A08"/>
    <w:rsid w:val="006C7A29"/>
    <w:rsid w:val="006C7A4C"/>
    <w:rsid w:val="006C7B97"/>
    <w:rsid w:val="006C7C70"/>
    <w:rsid w:val="006C7C96"/>
    <w:rsid w:val="006C7D25"/>
    <w:rsid w:val="006C7D86"/>
    <w:rsid w:val="006C7F65"/>
    <w:rsid w:val="006D00CE"/>
    <w:rsid w:val="006D00EF"/>
    <w:rsid w:val="006D0161"/>
    <w:rsid w:val="006D02FC"/>
    <w:rsid w:val="006D0386"/>
    <w:rsid w:val="006D03FE"/>
    <w:rsid w:val="006D0409"/>
    <w:rsid w:val="006D04E7"/>
    <w:rsid w:val="006D06F6"/>
    <w:rsid w:val="006D074B"/>
    <w:rsid w:val="006D07B1"/>
    <w:rsid w:val="006D082F"/>
    <w:rsid w:val="006D08FF"/>
    <w:rsid w:val="006D0935"/>
    <w:rsid w:val="006D098F"/>
    <w:rsid w:val="006D0A1D"/>
    <w:rsid w:val="006D0B29"/>
    <w:rsid w:val="006D0BFC"/>
    <w:rsid w:val="006D0EFB"/>
    <w:rsid w:val="006D0FC1"/>
    <w:rsid w:val="006D0FEB"/>
    <w:rsid w:val="006D1087"/>
    <w:rsid w:val="006D10CA"/>
    <w:rsid w:val="006D12DA"/>
    <w:rsid w:val="006D1327"/>
    <w:rsid w:val="006D1378"/>
    <w:rsid w:val="006D1506"/>
    <w:rsid w:val="006D188D"/>
    <w:rsid w:val="006D1A82"/>
    <w:rsid w:val="006D1E62"/>
    <w:rsid w:val="006D1F63"/>
    <w:rsid w:val="006D1FFC"/>
    <w:rsid w:val="006D201E"/>
    <w:rsid w:val="006D2090"/>
    <w:rsid w:val="006D20A8"/>
    <w:rsid w:val="006D20BD"/>
    <w:rsid w:val="006D22F0"/>
    <w:rsid w:val="006D2561"/>
    <w:rsid w:val="006D2697"/>
    <w:rsid w:val="006D28C3"/>
    <w:rsid w:val="006D2937"/>
    <w:rsid w:val="006D29D8"/>
    <w:rsid w:val="006D2ABF"/>
    <w:rsid w:val="006D2E5F"/>
    <w:rsid w:val="006D2FD0"/>
    <w:rsid w:val="006D30C7"/>
    <w:rsid w:val="006D3132"/>
    <w:rsid w:val="006D34C7"/>
    <w:rsid w:val="006D3633"/>
    <w:rsid w:val="006D36F8"/>
    <w:rsid w:val="006D374A"/>
    <w:rsid w:val="006D3762"/>
    <w:rsid w:val="006D3896"/>
    <w:rsid w:val="006D39A9"/>
    <w:rsid w:val="006D3A04"/>
    <w:rsid w:val="006D3AD6"/>
    <w:rsid w:val="006D3F87"/>
    <w:rsid w:val="006D406B"/>
    <w:rsid w:val="006D428E"/>
    <w:rsid w:val="006D42B6"/>
    <w:rsid w:val="006D4302"/>
    <w:rsid w:val="006D4337"/>
    <w:rsid w:val="006D4360"/>
    <w:rsid w:val="006D43C2"/>
    <w:rsid w:val="006D4450"/>
    <w:rsid w:val="006D4487"/>
    <w:rsid w:val="006D45F3"/>
    <w:rsid w:val="006D46AD"/>
    <w:rsid w:val="006D477C"/>
    <w:rsid w:val="006D48FC"/>
    <w:rsid w:val="006D4A0D"/>
    <w:rsid w:val="006D4AC5"/>
    <w:rsid w:val="006D4AF8"/>
    <w:rsid w:val="006D4BBC"/>
    <w:rsid w:val="006D4D76"/>
    <w:rsid w:val="006D4E25"/>
    <w:rsid w:val="006D4EB0"/>
    <w:rsid w:val="006D4FAB"/>
    <w:rsid w:val="006D50B8"/>
    <w:rsid w:val="006D50F7"/>
    <w:rsid w:val="006D512D"/>
    <w:rsid w:val="006D5182"/>
    <w:rsid w:val="006D51C1"/>
    <w:rsid w:val="006D5490"/>
    <w:rsid w:val="006D594F"/>
    <w:rsid w:val="006D59B6"/>
    <w:rsid w:val="006D5AEC"/>
    <w:rsid w:val="006D5AEF"/>
    <w:rsid w:val="006D5B5E"/>
    <w:rsid w:val="006D5BC2"/>
    <w:rsid w:val="006D5C35"/>
    <w:rsid w:val="006D5D40"/>
    <w:rsid w:val="006D5E51"/>
    <w:rsid w:val="006D61FF"/>
    <w:rsid w:val="006D622E"/>
    <w:rsid w:val="006D62E8"/>
    <w:rsid w:val="006D6396"/>
    <w:rsid w:val="006D641D"/>
    <w:rsid w:val="006D6456"/>
    <w:rsid w:val="006D64B5"/>
    <w:rsid w:val="006D6614"/>
    <w:rsid w:val="006D6706"/>
    <w:rsid w:val="006D67DB"/>
    <w:rsid w:val="006D6A85"/>
    <w:rsid w:val="006D6B16"/>
    <w:rsid w:val="006D6D86"/>
    <w:rsid w:val="006D6DAD"/>
    <w:rsid w:val="006D7050"/>
    <w:rsid w:val="006D76E7"/>
    <w:rsid w:val="006D7975"/>
    <w:rsid w:val="006D7A0F"/>
    <w:rsid w:val="006D7A14"/>
    <w:rsid w:val="006D7ACB"/>
    <w:rsid w:val="006D7FA7"/>
    <w:rsid w:val="006D7FF7"/>
    <w:rsid w:val="006E0025"/>
    <w:rsid w:val="006E02A4"/>
    <w:rsid w:val="006E075B"/>
    <w:rsid w:val="006E089C"/>
    <w:rsid w:val="006E0A98"/>
    <w:rsid w:val="006E0B34"/>
    <w:rsid w:val="006E0BE1"/>
    <w:rsid w:val="006E0FDC"/>
    <w:rsid w:val="006E11A2"/>
    <w:rsid w:val="006E12AE"/>
    <w:rsid w:val="006E1564"/>
    <w:rsid w:val="006E172B"/>
    <w:rsid w:val="006E174F"/>
    <w:rsid w:val="006E1943"/>
    <w:rsid w:val="006E1A92"/>
    <w:rsid w:val="006E1EAD"/>
    <w:rsid w:val="006E1EF4"/>
    <w:rsid w:val="006E1FA3"/>
    <w:rsid w:val="006E1FAA"/>
    <w:rsid w:val="006E201E"/>
    <w:rsid w:val="006E2116"/>
    <w:rsid w:val="006E2192"/>
    <w:rsid w:val="006E222A"/>
    <w:rsid w:val="006E242C"/>
    <w:rsid w:val="006E2484"/>
    <w:rsid w:val="006E2544"/>
    <w:rsid w:val="006E25B5"/>
    <w:rsid w:val="006E2668"/>
    <w:rsid w:val="006E2707"/>
    <w:rsid w:val="006E2742"/>
    <w:rsid w:val="006E275C"/>
    <w:rsid w:val="006E280C"/>
    <w:rsid w:val="006E284C"/>
    <w:rsid w:val="006E2AA7"/>
    <w:rsid w:val="006E2AAD"/>
    <w:rsid w:val="006E2B32"/>
    <w:rsid w:val="006E2BE1"/>
    <w:rsid w:val="006E2CDA"/>
    <w:rsid w:val="006E2D90"/>
    <w:rsid w:val="006E2DBB"/>
    <w:rsid w:val="006E2DBE"/>
    <w:rsid w:val="006E2E49"/>
    <w:rsid w:val="006E2F29"/>
    <w:rsid w:val="006E300B"/>
    <w:rsid w:val="006E3328"/>
    <w:rsid w:val="006E3688"/>
    <w:rsid w:val="006E3772"/>
    <w:rsid w:val="006E37EA"/>
    <w:rsid w:val="006E3847"/>
    <w:rsid w:val="006E3857"/>
    <w:rsid w:val="006E3C79"/>
    <w:rsid w:val="006E3CB9"/>
    <w:rsid w:val="006E3E58"/>
    <w:rsid w:val="006E3F83"/>
    <w:rsid w:val="006E4032"/>
    <w:rsid w:val="006E4080"/>
    <w:rsid w:val="006E41A9"/>
    <w:rsid w:val="006E46EC"/>
    <w:rsid w:val="006E46FD"/>
    <w:rsid w:val="006E475C"/>
    <w:rsid w:val="006E4899"/>
    <w:rsid w:val="006E4906"/>
    <w:rsid w:val="006E4934"/>
    <w:rsid w:val="006E49E6"/>
    <w:rsid w:val="006E4A61"/>
    <w:rsid w:val="006E4AFC"/>
    <w:rsid w:val="006E4B20"/>
    <w:rsid w:val="006E4F4B"/>
    <w:rsid w:val="006E502A"/>
    <w:rsid w:val="006E5345"/>
    <w:rsid w:val="006E548F"/>
    <w:rsid w:val="006E5599"/>
    <w:rsid w:val="006E56ED"/>
    <w:rsid w:val="006E588F"/>
    <w:rsid w:val="006E5A9D"/>
    <w:rsid w:val="006E5D90"/>
    <w:rsid w:val="006E5FEF"/>
    <w:rsid w:val="006E6012"/>
    <w:rsid w:val="006E6374"/>
    <w:rsid w:val="006E6431"/>
    <w:rsid w:val="006E648F"/>
    <w:rsid w:val="006E679D"/>
    <w:rsid w:val="006E68DB"/>
    <w:rsid w:val="006E6989"/>
    <w:rsid w:val="006E69EF"/>
    <w:rsid w:val="006E6AF6"/>
    <w:rsid w:val="006E6D88"/>
    <w:rsid w:val="006E70E6"/>
    <w:rsid w:val="006E710B"/>
    <w:rsid w:val="006E7204"/>
    <w:rsid w:val="006E7205"/>
    <w:rsid w:val="006E72B3"/>
    <w:rsid w:val="006E72CD"/>
    <w:rsid w:val="006E73E6"/>
    <w:rsid w:val="006E7525"/>
    <w:rsid w:val="006E75F3"/>
    <w:rsid w:val="006E766A"/>
    <w:rsid w:val="006E7698"/>
    <w:rsid w:val="006E76D4"/>
    <w:rsid w:val="006E7772"/>
    <w:rsid w:val="006E77ED"/>
    <w:rsid w:val="006E7B2E"/>
    <w:rsid w:val="006E7DB4"/>
    <w:rsid w:val="006E7E79"/>
    <w:rsid w:val="006E7F30"/>
    <w:rsid w:val="006E7F91"/>
    <w:rsid w:val="006F020F"/>
    <w:rsid w:val="006F0228"/>
    <w:rsid w:val="006F026E"/>
    <w:rsid w:val="006F03A2"/>
    <w:rsid w:val="006F043D"/>
    <w:rsid w:val="006F04E1"/>
    <w:rsid w:val="006F07AB"/>
    <w:rsid w:val="006F08DA"/>
    <w:rsid w:val="006F0A18"/>
    <w:rsid w:val="006F0A57"/>
    <w:rsid w:val="006F0BA8"/>
    <w:rsid w:val="006F0C46"/>
    <w:rsid w:val="006F0C4A"/>
    <w:rsid w:val="006F0C7C"/>
    <w:rsid w:val="006F0E52"/>
    <w:rsid w:val="006F0E61"/>
    <w:rsid w:val="006F0EB0"/>
    <w:rsid w:val="006F0F17"/>
    <w:rsid w:val="006F0F18"/>
    <w:rsid w:val="006F0F7E"/>
    <w:rsid w:val="006F0FB3"/>
    <w:rsid w:val="006F1030"/>
    <w:rsid w:val="006F1227"/>
    <w:rsid w:val="006F12AC"/>
    <w:rsid w:val="006F12EC"/>
    <w:rsid w:val="006F144C"/>
    <w:rsid w:val="006F16AD"/>
    <w:rsid w:val="006F17D6"/>
    <w:rsid w:val="006F1BC5"/>
    <w:rsid w:val="006F1D7E"/>
    <w:rsid w:val="006F1FDB"/>
    <w:rsid w:val="006F2164"/>
    <w:rsid w:val="006F2253"/>
    <w:rsid w:val="006F233E"/>
    <w:rsid w:val="006F2407"/>
    <w:rsid w:val="006F2416"/>
    <w:rsid w:val="006F2739"/>
    <w:rsid w:val="006F2881"/>
    <w:rsid w:val="006F2968"/>
    <w:rsid w:val="006F2B34"/>
    <w:rsid w:val="006F2BEE"/>
    <w:rsid w:val="006F2CBC"/>
    <w:rsid w:val="006F2ED0"/>
    <w:rsid w:val="006F2F46"/>
    <w:rsid w:val="006F2F9A"/>
    <w:rsid w:val="006F313C"/>
    <w:rsid w:val="006F345C"/>
    <w:rsid w:val="006F34C1"/>
    <w:rsid w:val="006F353C"/>
    <w:rsid w:val="006F36D3"/>
    <w:rsid w:val="006F36FD"/>
    <w:rsid w:val="006F3B07"/>
    <w:rsid w:val="006F3B6F"/>
    <w:rsid w:val="006F40CC"/>
    <w:rsid w:val="006F42ED"/>
    <w:rsid w:val="006F4708"/>
    <w:rsid w:val="006F4821"/>
    <w:rsid w:val="006F4BCE"/>
    <w:rsid w:val="006F4BE3"/>
    <w:rsid w:val="006F4C58"/>
    <w:rsid w:val="006F4D9E"/>
    <w:rsid w:val="006F4E30"/>
    <w:rsid w:val="006F50ED"/>
    <w:rsid w:val="006F50F0"/>
    <w:rsid w:val="006F51D1"/>
    <w:rsid w:val="006F5219"/>
    <w:rsid w:val="006F537F"/>
    <w:rsid w:val="006F56D7"/>
    <w:rsid w:val="006F5818"/>
    <w:rsid w:val="006F5B92"/>
    <w:rsid w:val="006F5C90"/>
    <w:rsid w:val="006F5DF1"/>
    <w:rsid w:val="006F602E"/>
    <w:rsid w:val="006F62B9"/>
    <w:rsid w:val="006F62E6"/>
    <w:rsid w:val="006F632D"/>
    <w:rsid w:val="006F6395"/>
    <w:rsid w:val="006F63E2"/>
    <w:rsid w:val="006F660B"/>
    <w:rsid w:val="006F667B"/>
    <w:rsid w:val="006F6805"/>
    <w:rsid w:val="006F6925"/>
    <w:rsid w:val="006F6A0D"/>
    <w:rsid w:val="006F6BB5"/>
    <w:rsid w:val="006F6C64"/>
    <w:rsid w:val="006F6D0C"/>
    <w:rsid w:val="006F6D4F"/>
    <w:rsid w:val="006F6D8A"/>
    <w:rsid w:val="006F6E92"/>
    <w:rsid w:val="006F6F45"/>
    <w:rsid w:val="006F6FAD"/>
    <w:rsid w:val="006F70E7"/>
    <w:rsid w:val="006F71BE"/>
    <w:rsid w:val="006F7250"/>
    <w:rsid w:val="006F7268"/>
    <w:rsid w:val="006F726B"/>
    <w:rsid w:val="006F72B5"/>
    <w:rsid w:val="006F736B"/>
    <w:rsid w:val="006F7559"/>
    <w:rsid w:val="006F7678"/>
    <w:rsid w:val="006F76BC"/>
    <w:rsid w:val="006F77B7"/>
    <w:rsid w:val="006F78CB"/>
    <w:rsid w:val="006F78D3"/>
    <w:rsid w:val="006F791C"/>
    <w:rsid w:val="006F7B28"/>
    <w:rsid w:val="00700151"/>
    <w:rsid w:val="00700160"/>
    <w:rsid w:val="00700213"/>
    <w:rsid w:val="00700318"/>
    <w:rsid w:val="00700326"/>
    <w:rsid w:val="007005DC"/>
    <w:rsid w:val="00700704"/>
    <w:rsid w:val="007009DD"/>
    <w:rsid w:val="007009EB"/>
    <w:rsid w:val="00700A95"/>
    <w:rsid w:val="00700BB3"/>
    <w:rsid w:val="00700C1F"/>
    <w:rsid w:val="00700C39"/>
    <w:rsid w:val="00700D74"/>
    <w:rsid w:val="00700F71"/>
    <w:rsid w:val="007011D3"/>
    <w:rsid w:val="00701515"/>
    <w:rsid w:val="00701610"/>
    <w:rsid w:val="007018DE"/>
    <w:rsid w:val="00701C6C"/>
    <w:rsid w:val="007024A2"/>
    <w:rsid w:val="00702588"/>
    <w:rsid w:val="007025C6"/>
    <w:rsid w:val="007025EE"/>
    <w:rsid w:val="0070265B"/>
    <w:rsid w:val="00702790"/>
    <w:rsid w:val="007028A0"/>
    <w:rsid w:val="007028BB"/>
    <w:rsid w:val="0070291B"/>
    <w:rsid w:val="00702935"/>
    <w:rsid w:val="007029CA"/>
    <w:rsid w:val="00702AD6"/>
    <w:rsid w:val="00702F53"/>
    <w:rsid w:val="0070320F"/>
    <w:rsid w:val="0070327F"/>
    <w:rsid w:val="0070339F"/>
    <w:rsid w:val="007033A8"/>
    <w:rsid w:val="0070370E"/>
    <w:rsid w:val="00703ADD"/>
    <w:rsid w:val="00703D4C"/>
    <w:rsid w:val="00703DC4"/>
    <w:rsid w:val="00703F82"/>
    <w:rsid w:val="00704150"/>
    <w:rsid w:val="007042C5"/>
    <w:rsid w:val="00704415"/>
    <w:rsid w:val="00704608"/>
    <w:rsid w:val="007046A5"/>
    <w:rsid w:val="007047C1"/>
    <w:rsid w:val="007047ED"/>
    <w:rsid w:val="007048B1"/>
    <w:rsid w:val="007048B5"/>
    <w:rsid w:val="0070495D"/>
    <w:rsid w:val="0070496B"/>
    <w:rsid w:val="00704B42"/>
    <w:rsid w:val="00704F44"/>
    <w:rsid w:val="00705090"/>
    <w:rsid w:val="007050A2"/>
    <w:rsid w:val="00705258"/>
    <w:rsid w:val="007054C0"/>
    <w:rsid w:val="00705517"/>
    <w:rsid w:val="00705541"/>
    <w:rsid w:val="00705686"/>
    <w:rsid w:val="007057ED"/>
    <w:rsid w:val="00705878"/>
    <w:rsid w:val="007058BA"/>
    <w:rsid w:val="00705BCF"/>
    <w:rsid w:val="00705D53"/>
    <w:rsid w:val="00705D7D"/>
    <w:rsid w:val="00705F7A"/>
    <w:rsid w:val="00706009"/>
    <w:rsid w:val="007060CD"/>
    <w:rsid w:val="00706346"/>
    <w:rsid w:val="007064F4"/>
    <w:rsid w:val="00706525"/>
    <w:rsid w:val="0070672F"/>
    <w:rsid w:val="00706D87"/>
    <w:rsid w:val="00706E4F"/>
    <w:rsid w:val="00706EF3"/>
    <w:rsid w:val="007071F6"/>
    <w:rsid w:val="00707235"/>
    <w:rsid w:val="007072AC"/>
    <w:rsid w:val="0070734A"/>
    <w:rsid w:val="00707394"/>
    <w:rsid w:val="00707618"/>
    <w:rsid w:val="00707959"/>
    <w:rsid w:val="00707F0C"/>
    <w:rsid w:val="00707FDF"/>
    <w:rsid w:val="00707FF4"/>
    <w:rsid w:val="00710040"/>
    <w:rsid w:val="0071008B"/>
    <w:rsid w:val="007100F7"/>
    <w:rsid w:val="00710184"/>
    <w:rsid w:val="0071021A"/>
    <w:rsid w:val="00710590"/>
    <w:rsid w:val="007105A6"/>
    <w:rsid w:val="00710898"/>
    <w:rsid w:val="00710BB4"/>
    <w:rsid w:val="00710FE4"/>
    <w:rsid w:val="00711202"/>
    <w:rsid w:val="00711330"/>
    <w:rsid w:val="00711709"/>
    <w:rsid w:val="0071177F"/>
    <w:rsid w:val="00711856"/>
    <w:rsid w:val="007119AE"/>
    <w:rsid w:val="007119FD"/>
    <w:rsid w:val="00711A04"/>
    <w:rsid w:val="00711DC0"/>
    <w:rsid w:val="00712056"/>
    <w:rsid w:val="0071206A"/>
    <w:rsid w:val="0071213F"/>
    <w:rsid w:val="00712277"/>
    <w:rsid w:val="007122C9"/>
    <w:rsid w:val="00712377"/>
    <w:rsid w:val="00712484"/>
    <w:rsid w:val="007124B3"/>
    <w:rsid w:val="0071262D"/>
    <w:rsid w:val="007126EF"/>
    <w:rsid w:val="007128DD"/>
    <w:rsid w:val="00712938"/>
    <w:rsid w:val="00712964"/>
    <w:rsid w:val="00712ACD"/>
    <w:rsid w:val="00712B3A"/>
    <w:rsid w:val="00712C6C"/>
    <w:rsid w:val="00712E97"/>
    <w:rsid w:val="00712EF5"/>
    <w:rsid w:val="007132C0"/>
    <w:rsid w:val="007132CA"/>
    <w:rsid w:val="00713514"/>
    <w:rsid w:val="0071362C"/>
    <w:rsid w:val="007136C9"/>
    <w:rsid w:val="00713B00"/>
    <w:rsid w:val="00713BE9"/>
    <w:rsid w:val="00713C49"/>
    <w:rsid w:val="00713E0C"/>
    <w:rsid w:val="007140D0"/>
    <w:rsid w:val="007142A3"/>
    <w:rsid w:val="00714474"/>
    <w:rsid w:val="00714552"/>
    <w:rsid w:val="007145C1"/>
    <w:rsid w:val="00714A53"/>
    <w:rsid w:val="00714A79"/>
    <w:rsid w:val="00714BC6"/>
    <w:rsid w:val="00714D94"/>
    <w:rsid w:val="00714DE3"/>
    <w:rsid w:val="00714FBB"/>
    <w:rsid w:val="00715160"/>
    <w:rsid w:val="00715236"/>
    <w:rsid w:val="00715417"/>
    <w:rsid w:val="00715519"/>
    <w:rsid w:val="007155F4"/>
    <w:rsid w:val="0071593C"/>
    <w:rsid w:val="0071596C"/>
    <w:rsid w:val="00715A82"/>
    <w:rsid w:val="00715A86"/>
    <w:rsid w:val="00715B19"/>
    <w:rsid w:val="00715C5F"/>
    <w:rsid w:val="00715C93"/>
    <w:rsid w:val="00715DB2"/>
    <w:rsid w:val="00715F73"/>
    <w:rsid w:val="00715FBA"/>
    <w:rsid w:val="0071639E"/>
    <w:rsid w:val="00716743"/>
    <w:rsid w:val="0071674D"/>
    <w:rsid w:val="00716B9A"/>
    <w:rsid w:val="00716C92"/>
    <w:rsid w:val="00716D14"/>
    <w:rsid w:val="00717060"/>
    <w:rsid w:val="00717093"/>
    <w:rsid w:val="007171F8"/>
    <w:rsid w:val="00717309"/>
    <w:rsid w:val="00717332"/>
    <w:rsid w:val="0071740A"/>
    <w:rsid w:val="007177D8"/>
    <w:rsid w:val="007178CF"/>
    <w:rsid w:val="00717BD0"/>
    <w:rsid w:val="00717C66"/>
    <w:rsid w:val="00717C71"/>
    <w:rsid w:val="00717C94"/>
    <w:rsid w:val="00717DE4"/>
    <w:rsid w:val="00717E14"/>
    <w:rsid w:val="00717ED9"/>
    <w:rsid w:val="00720000"/>
    <w:rsid w:val="007200E5"/>
    <w:rsid w:val="00720143"/>
    <w:rsid w:val="007201A3"/>
    <w:rsid w:val="00720234"/>
    <w:rsid w:val="0072028A"/>
    <w:rsid w:val="007207D5"/>
    <w:rsid w:val="00720A51"/>
    <w:rsid w:val="00720D64"/>
    <w:rsid w:val="00721058"/>
    <w:rsid w:val="007212CC"/>
    <w:rsid w:val="007213C6"/>
    <w:rsid w:val="007214A4"/>
    <w:rsid w:val="00721698"/>
    <w:rsid w:val="007218A1"/>
    <w:rsid w:val="007219F1"/>
    <w:rsid w:val="00721AE4"/>
    <w:rsid w:val="00721BE1"/>
    <w:rsid w:val="00721DEA"/>
    <w:rsid w:val="00721E1F"/>
    <w:rsid w:val="00721E84"/>
    <w:rsid w:val="00721E8F"/>
    <w:rsid w:val="00722368"/>
    <w:rsid w:val="007227ED"/>
    <w:rsid w:val="007228C0"/>
    <w:rsid w:val="0072294B"/>
    <w:rsid w:val="007229EB"/>
    <w:rsid w:val="007229F1"/>
    <w:rsid w:val="00722A8C"/>
    <w:rsid w:val="00722B56"/>
    <w:rsid w:val="00722C43"/>
    <w:rsid w:val="00722DF1"/>
    <w:rsid w:val="00722E87"/>
    <w:rsid w:val="00722F20"/>
    <w:rsid w:val="00722FC9"/>
    <w:rsid w:val="0072310B"/>
    <w:rsid w:val="0072318C"/>
    <w:rsid w:val="00723281"/>
    <w:rsid w:val="00723409"/>
    <w:rsid w:val="00723744"/>
    <w:rsid w:val="007238ED"/>
    <w:rsid w:val="007239C8"/>
    <w:rsid w:val="00723B6C"/>
    <w:rsid w:val="00723C58"/>
    <w:rsid w:val="00723DAF"/>
    <w:rsid w:val="0072406C"/>
    <w:rsid w:val="007240A1"/>
    <w:rsid w:val="007240BE"/>
    <w:rsid w:val="0072417C"/>
    <w:rsid w:val="0072434E"/>
    <w:rsid w:val="00724545"/>
    <w:rsid w:val="00724585"/>
    <w:rsid w:val="00724696"/>
    <w:rsid w:val="007248F3"/>
    <w:rsid w:val="00724C87"/>
    <w:rsid w:val="0072517A"/>
    <w:rsid w:val="00725194"/>
    <w:rsid w:val="00725292"/>
    <w:rsid w:val="0072541C"/>
    <w:rsid w:val="00725479"/>
    <w:rsid w:val="007255BF"/>
    <w:rsid w:val="007257C4"/>
    <w:rsid w:val="00725ADE"/>
    <w:rsid w:val="00725B24"/>
    <w:rsid w:val="00725D4A"/>
    <w:rsid w:val="00725DFE"/>
    <w:rsid w:val="00725E35"/>
    <w:rsid w:val="00725E6D"/>
    <w:rsid w:val="00725EA2"/>
    <w:rsid w:val="00725EF4"/>
    <w:rsid w:val="00725F60"/>
    <w:rsid w:val="00726152"/>
    <w:rsid w:val="007262D2"/>
    <w:rsid w:val="0072635D"/>
    <w:rsid w:val="007264D3"/>
    <w:rsid w:val="007267D7"/>
    <w:rsid w:val="007268F4"/>
    <w:rsid w:val="00726A70"/>
    <w:rsid w:val="00726A72"/>
    <w:rsid w:val="00726BBA"/>
    <w:rsid w:val="00726D03"/>
    <w:rsid w:val="00726DD4"/>
    <w:rsid w:val="00726F3A"/>
    <w:rsid w:val="00727182"/>
    <w:rsid w:val="00727233"/>
    <w:rsid w:val="00727236"/>
    <w:rsid w:val="00727275"/>
    <w:rsid w:val="007272AA"/>
    <w:rsid w:val="0072730F"/>
    <w:rsid w:val="0072745E"/>
    <w:rsid w:val="007274AA"/>
    <w:rsid w:val="007275DA"/>
    <w:rsid w:val="00727706"/>
    <w:rsid w:val="00727734"/>
    <w:rsid w:val="00727797"/>
    <w:rsid w:val="007277F3"/>
    <w:rsid w:val="00727881"/>
    <w:rsid w:val="00727950"/>
    <w:rsid w:val="0072797D"/>
    <w:rsid w:val="00727A84"/>
    <w:rsid w:val="00727C91"/>
    <w:rsid w:val="00727CA9"/>
    <w:rsid w:val="00727D8C"/>
    <w:rsid w:val="00727FB7"/>
    <w:rsid w:val="007303B8"/>
    <w:rsid w:val="007303CF"/>
    <w:rsid w:val="00730416"/>
    <w:rsid w:val="00730417"/>
    <w:rsid w:val="00730474"/>
    <w:rsid w:val="007304E9"/>
    <w:rsid w:val="007305BF"/>
    <w:rsid w:val="007305E0"/>
    <w:rsid w:val="00730779"/>
    <w:rsid w:val="0073084A"/>
    <w:rsid w:val="00730B36"/>
    <w:rsid w:val="00730E76"/>
    <w:rsid w:val="00730F16"/>
    <w:rsid w:val="00730F56"/>
    <w:rsid w:val="007312D3"/>
    <w:rsid w:val="007312D6"/>
    <w:rsid w:val="00731380"/>
    <w:rsid w:val="007313C9"/>
    <w:rsid w:val="00731403"/>
    <w:rsid w:val="007314B1"/>
    <w:rsid w:val="00731760"/>
    <w:rsid w:val="007317D4"/>
    <w:rsid w:val="007319AF"/>
    <w:rsid w:val="00731A1F"/>
    <w:rsid w:val="00731A2E"/>
    <w:rsid w:val="00731B99"/>
    <w:rsid w:val="00731BD8"/>
    <w:rsid w:val="00731DC9"/>
    <w:rsid w:val="00731E59"/>
    <w:rsid w:val="007320CD"/>
    <w:rsid w:val="0073211B"/>
    <w:rsid w:val="0073232A"/>
    <w:rsid w:val="007325E2"/>
    <w:rsid w:val="00732A6A"/>
    <w:rsid w:val="00732AAB"/>
    <w:rsid w:val="0073315A"/>
    <w:rsid w:val="007334E8"/>
    <w:rsid w:val="007336A1"/>
    <w:rsid w:val="0073372F"/>
    <w:rsid w:val="0073375E"/>
    <w:rsid w:val="00733A72"/>
    <w:rsid w:val="00733A99"/>
    <w:rsid w:val="00733B6C"/>
    <w:rsid w:val="00733C1D"/>
    <w:rsid w:val="00733E33"/>
    <w:rsid w:val="00733E6A"/>
    <w:rsid w:val="00733EB7"/>
    <w:rsid w:val="00733F50"/>
    <w:rsid w:val="00734026"/>
    <w:rsid w:val="0073412F"/>
    <w:rsid w:val="00734240"/>
    <w:rsid w:val="00734300"/>
    <w:rsid w:val="007344D2"/>
    <w:rsid w:val="007345DE"/>
    <w:rsid w:val="007348DF"/>
    <w:rsid w:val="00734A42"/>
    <w:rsid w:val="00734A4A"/>
    <w:rsid w:val="00734CE4"/>
    <w:rsid w:val="00734CF4"/>
    <w:rsid w:val="00734D67"/>
    <w:rsid w:val="00734E15"/>
    <w:rsid w:val="00734E5F"/>
    <w:rsid w:val="00735004"/>
    <w:rsid w:val="007350F7"/>
    <w:rsid w:val="00735135"/>
    <w:rsid w:val="007351F7"/>
    <w:rsid w:val="00735212"/>
    <w:rsid w:val="007352AA"/>
    <w:rsid w:val="00735332"/>
    <w:rsid w:val="007353F6"/>
    <w:rsid w:val="00735693"/>
    <w:rsid w:val="0073574C"/>
    <w:rsid w:val="007357CC"/>
    <w:rsid w:val="00735A39"/>
    <w:rsid w:val="00735BBC"/>
    <w:rsid w:val="00735DB9"/>
    <w:rsid w:val="00735E4E"/>
    <w:rsid w:val="007360B8"/>
    <w:rsid w:val="00736223"/>
    <w:rsid w:val="0073626F"/>
    <w:rsid w:val="007362E1"/>
    <w:rsid w:val="0073646B"/>
    <w:rsid w:val="007365E0"/>
    <w:rsid w:val="0073668D"/>
    <w:rsid w:val="007367CA"/>
    <w:rsid w:val="00736B08"/>
    <w:rsid w:val="00736BF9"/>
    <w:rsid w:val="00736C6C"/>
    <w:rsid w:val="00736C7F"/>
    <w:rsid w:val="00736DAB"/>
    <w:rsid w:val="00736F19"/>
    <w:rsid w:val="00736FD6"/>
    <w:rsid w:val="0073701A"/>
    <w:rsid w:val="00737031"/>
    <w:rsid w:val="007372D9"/>
    <w:rsid w:val="00737341"/>
    <w:rsid w:val="007374C5"/>
    <w:rsid w:val="00737583"/>
    <w:rsid w:val="00737678"/>
    <w:rsid w:val="007378BC"/>
    <w:rsid w:val="00737916"/>
    <w:rsid w:val="00737A92"/>
    <w:rsid w:val="00737B8F"/>
    <w:rsid w:val="00737C03"/>
    <w:rsid w:val="00737D4E"/>
    <w:rsid w:val="00737DD1"/>
    <w:rsid w:val="00737EF1"/>
    <w:rsid w:val="00740071"/>
    <w:rsid w:val="0074037B"/>
    <w:rsid w:val="007403DF"/>
    <w:rsid w:val="0074059D"/>
    <w:rsid w:val="007406DD"/>
    <w:rsid w:val="007407E8"/>
    <w:rsid w:val="00740825"/>
    <w:rsid w:val="00740843"/>
    <w:rsid w:val="00740909"/>
    <w:rsid w:val="0074094A"/>
    <w:rsid w:val="00740952"/>
    <w:rsid w:val="0074099F"/>
    <w:rsid w:val="007409F5"/>
    <w:rsid w:val="00740A30"/>
    <w:rsid w:val="00740AE1"/>
    <w:rsid w:val="00740B52"/>
    <w:rsid w:val="00740DE9"/>
    <w:rsid w:val="00740E77"/>
    <w:rsid w:val="00740FC4"/>
    <w:rsid w:val="007410FB"/>
    <w:rsid w:val="00741309"/>
    <w:rsid w:val="00741328"/>
    <w:rsid w:val="00741416"/>
    <w:rsid w:val="00741651"/>
    <w:rsid w:val="007417B0"/>
    <w:rsid w:val="007419D5"/>
    <w:rsid w:val="007419F8"/>
    <w:rsid w:val="00741C4D"/>
    <w:rsid w:val="00741E4D"/>
    <w:rsid w:val="0074201B"/>
    <w:rsid w:val="00742165"/>
    <w:rsid w:val="007421F7"/>
    <w:rsid w:val="007421FC"/>
    <w:rsid w:val="0074225E"/>
    <w:rsid w:val="0074236B"/>
    <w:rsid w:val="00742828"/>
    <w:rsid w:val="00742944"/>
    <w:rsid w:val="00742D6D"/>
    <w:rsid w:val="00742DFD"/>
    <w:rsid w:val="00742E95"/>
    <w:rsid w:val="00742EBB"/>
    <w:rsid w:val="00742EDF"/>
    <w:rsid w:val="00742F51"/>
    <w:rsid w:val="0074307F"/>
    <w:rsid w:val="007430B8"/>
    <w:rsid w:val="007430F3"/>
    <w:rsid w:val="0074328B"/>
    <w:rsid w:val="007433F9"/>
    <w:rsid w:val="00743456"/>
    <w:rsid w:val="00743466"/>
    <w:rsid w:val="00743568"/>
    <w:rsid w:val="0074364D"/>
    <w:rsid w:val="00743695"/>
    <w:rsid w:val="00743775"/>
    <w:rsid w:val="007437DA"/>
    <w:rsid w:val="007439A4"/>
    <w:rsid w:val="007439BD"/>
    <w:rsid w:val="00743A44"/>
    <w:rsid w:val="00743C18"/>
    <w:rsid w:val="00743C5E"/>
    <w:rsid w:val="00743CC3"/>
    <w:rsid w:val="00743E7F"/>
    <w:rsid w:val="00744016"/>
    <w:rsid w:val="00744112"/>
    <w:rsid w:val="0074426E"/>
    <w:rsid w:val="00744295"/>
    <w:rsid w:val="0074437E"/>
    <w:rsid w:val="0074438B"/>
    <w:rsid w:val="0074450D"/>
    <w:rsid w:val="0074457A"/>
    <w:rsid w:val="00744A2C"/>
    <w:rsid w:val="00744AA1"/>
    <w:rsid w:val="00744E2C"/>
    <w:rsid w:val="00744EC7"/>
    <w:rsid w:val="00745161"/>
    <w:rsid w:val="0074526A"/>
    <w:rsid w:val="007452B3"/>
    <w:rsid w:val="0074545B"/>
    <w:rsid w:val="007454D5"/>
    <w:rsid w:val="00745535"/>
    <w:rsid w:val="007456F1"/>
    <w:rsid w:val="0074572C"/>
    <w:rsid w:val="007458CA"/>
    <w:rsid w:val="00745983"/>
    <w:rsid w:val="00745C4E"/>
    <w:rsid w:val="00745D30"/>
    <w:rsid w:val="00745E2F"/>
    <w:rsid w:val="00746068"/>
    <w:rsid w:val="007461F6"/>
    <w:rsid w:val="0074621C"/>
    <w:rsid w:val="007462E1"/>
    <w:rsid w:val="007462FA"/>
    <w:rsid w:val="00746481"/>
    <w:rsid w:val="00746502"/>
    <w:rsid w:val="007465FB"/>
    <w:rsid w:val="0074660E"/>
    <w:rsid w:val="0074673B"/>
    <w:rsid w:val="00746765"/>
    <w:rsid w:val="00746984"/>
    <w:rsid w:val="00746A55"/>
    <w:rsid w:val="00746B6C"/>
    <w:rsid w:val="00746EBC"/>
    <w:rsid w:val="00746F61"/>
    <w:rsid w:val="00746F91"/>
    <w:rsid w:val="007471F4"/>
    <w:rsid w:val="00747253"/>
    <w:rsid w:val="00747280"/>
    <w:rsid w:val="00747661"/>
    <w:rsid w:val="00747BCC"/>
    <w:rsid w:val="00747D9C"/>
    <w:rsid w:val="00747F0C"/>
    <w:rsid w:val="007501DD"/>
    <w:rsid w:val="007502D9"/>
    <w:rsid w:val="007504E2"/>
    <w:rsid w:val="0075053C"/>
    <w:rsid w:val="0075064C"/>
    <w:rsid w:val="007507BE"/>
    <w:rsid w:val="00750B0B"/>
    <w:rsid w:val="00750B81"/>
    <w:rsid w:val="00750CCE"/>
    <w:rsid w:val="00750D4E"/>
    <w:rsid w:val="00750D66"/>
    <w:rsid w:val="00750EF3"/>
    <w:rsid w:val="00750F79"/>
    <w:rsid w:val="00750FA8"/>
    <w:rsid w:val="0075104B"/>
    <w:rsid w:val="00751124"/>
    <w:rsid w:val="0075118D"/>
    <w:rsid w:val="007512BB"/>
    <w:rsid w:val="00751984"/>
    <w:rsid w:val="00751BBC"/>
    <w:rsid w:val="00751DA4"/>
    <w:rsid w:val="00751E7A"/>
    <w:rsid w:val="007520DD"/>
    <w:rsid w:val="00752119"/>
    <w:rsid w:val="00752139"/>
    <w:rsid w:val="0075214A"/>
    <w:rsid w:val="00752316"/>
    <w:rsid w:val="0075247F"/>
    <w:rsid w:val="00752547"/>
    <w:rsid w:val="007527A8"/>
    <w:rsid w:val="00752CB2"/>
    <w:rsid w:val="00752CD9"/>
    <w:rsid w:val="00752E64"/>
    <w:rsid w:val="00752EBA"/>
    <w:rsid w:val="007530C3"/>
    <w:rsid w:val="0075315D"/>
    <w:rsid w:val="00753423"/>
    <w:rsid w:val="007534FB"/>
    <w:rsid w:val="00753618"/>
    <w:rsid w:val="00753661"/>
    <w:rsid w:val="007538D9"/>
    <w:rsid w:val="007538E7"/>
    <w:rsid w:val="007539E8"/>
    <w:rsid w:val="007539EA"/>
    <w:rsid w:val="00753A6B"/>
    <w:rsid w:val="00753FA6"/>
    <w:rsid w:val="00753FBC"/>
    <w:rsid w:val="00753FC7"/>
    <w:rsid w:val="00753FDF"/>
    <w:rsid w:val="007540AB"/>
    <w:rsid w:val="0075415A"/>
    <w:rsid w:val="0075419F"/>
    <w:rsid w:val="0075421A"/>
    <w:rsid w:val="0075422D"/>
    <w:rsid w:val="00754239"/>
    <w:rsid w:val="00754281"/>
    <w:rsid w:val="007542AA"/>
    <w:rsid w:val="00754408"/>
    <w:rsid w:val="00754500"/>
    <w:rsid w:val="00754524"/>
    <w:rsid w:val="0075472F"/>
    <w:rsid w:val="007547A5"/>
    <w:rsid w:val="00754AE3"/>
    <w:rsid w:val="00754CAC"/>
    <w:rsid w:val="00754CB3"/>
    <w:rsid w:val="00754EC6"/>
    <w:rsid w:val="00754FBE"/>
    <w:rsid w:val="00755175"/>
    <w:rsid w:val="00755291"/>
    <w:rsid w:val="007552A9"/>
    <w:rsid w:val="00755314"/>
    <w:rsid w:val="0075536B"/>
    <w:rsid w:val="0075537C"/>
    <w:rsid w:val="00755426"/>
    <w:rsid w:val="007554D0"/>
    <w:rsid w:val="0075577C"/>
    <w:rsid w:val="00755815"/>
    <w:rsid w:val="0075583F"/>
    <w:rsid w:val="0075591F"/>
    <w:rsid w:val="00755D40"/>
    <w:rsid w:val="00755E0A"/>
    <w:rsid w:val="00755E20"/>
    <w:rsid w:val="00755EEA"/>
    <w:rsid w:val="00755FD4"/>
    <w:rsid w:val="0075623C"/>
    <w:rsid w:val="0075628D"/>
    <w:rsid w:val="007564D0"/>
    <w:rsid w:val="0075668F"/>
    <w:rsid w:val="00756747"/>
    <w:rsid w:val="007567C2"/>
    <w:rsid w:val="00756844"/>
    <w:rsid w:val="00756964"/>
    <w:rsid w:val="00756B3F"/>
    <w:rsid w:val="00756E71"/>
    <w:rsid w:val="00756F64"/>
    <w:rsid w:val="0075714D"/>
    <w:rsid w:val="00757371"/>
    <w:rsid w:val="007574E9"/>
    <w:rsid w:val="00757642"/>
    <w:rsid w:val="007576A2"/>
    <w:rsid w:val="007576AA"/>
    <w:rsid w:val="00757753"/>
    <w:rsid w:val="007577AF"/>
    <w:rsid w:val="00757808"/>
    <w:rsid w:val="00757857"/>
    <w:rsid w:val="00757A13"/>
    <w:rsid w:val="00757A34"/>
    <w:rsid w:val="00757A52"/>
    <w:rsid w:val="00757AC3"/>
    <w:rsid w:val="00757BDC"/>
    <w:rsid w:val="00757CC3"/>
    <w:rsid w:val="00757E13"/>
    <w:rsid w:val="00757FA4"/>
    <w:rsid w:val="00760082"/>
    <w:rsid w:val="0076012A"/>
    <w:rsid w:val="00760428"/>
    <w:rsid w:val="00760507"/>
    <w:rsid w:val="00760562"/>
    <w:rsid w:val="00760A16"/>
    <w:rsid w:val="00760AAD"/>
    <w:rsid w:val="00760AFB"/>
    <w:rsid w:val="00760B4B"/>
    <w:rsid w:val="00760BED"/>
    <w:rsid w:val="00760CD2"/>
    <w:rsid w:val="00760D20"/>
    <w:rsid w:val="00760EA4"/>
    <w:rsid w:val="007610CB"/>
    <w:rsid w:val="007611C8"/>
    <w:rsid w:val="007613E9"/>
    <w:rsid w:val="00761662"/>
    <w:rsid w:val="00761738"/>
    <w:rsid w:val="007617F3"/>
    <w:rsid w:val="00761B85"/>
    <w:rsid w:val="00761C2A"/>
    <w:rsid w:val="00761D1E"/>
    <w:rsid w:val="00761DE2"/>
    <w:rsid w:val="00761E54"/>
    <w:rsid w:val="00761F60"/>
    <w:rsid w:val="0076206C"/>
    <w:rsid w:val="007620E1"/>
    <w:rsid w:val="0076218E"/>
    <w:rsid w:val="0076249C"/>
    <w:rsid w:val="00762543"/>
    <w:rsid w:val="007626E1"/>
    <w:rsid w:val="00762728"/>
    <w:rsid w:val="0076278F"/>
    <w:rsid w:val="007629DD"/>
    <w:rsid w:val="00762A2F"/>
    <w:rsid w:val="00762BEB"/>
    <w:rsid w:val="00762E62"/>
    <w:rsid w:val="00762EAF"/>
    <w:rsid w:val="00762EC3"/>
    <w:rsid w:val="00762EEE"/>
    <w:rsid w:val="0076317A"/>
    <w:rsid w:val="0076319C"/>
    <w:rsid w:val="007631C7"/>
    <w:rsid w:val="00763263"/>
    <w:rsid w:val="0076336A"/>
    <w:rsid w:val="0076337D"/>
    <w:rsid w:val="00763602"/>
    <w:rsid w:val="007636C2"/>
    <w:rsid w:val="0076378D"/>
    <w:rsid w:val="00763B76"/>
    <w:rsid w:val="00763BB7"/>
    <w:rsid w:val="00763BFF"/>
    <w:rsid w:val="00763CCC"/>
    <w:rsid w:val="00763CD6"/>
    <w:rsid w:val="00763F89"/>
    <w:rsid w:val="00764080"/>
    <w:rsid w:val="0076421E"/>
    <w:rsid w:val="00764253"/>
    <w:rsid w:val="00764364"/>
    <w:rsid w:val="00764567"/>
    <w:rsid w:val="007645BC"/>
    <w:rsid w:val="007646CC"/>
    <w:rsid w:val="007647EE"/>
    <w:rsid w:val="00764820"/>
    <w:rsid w:val="007648A6"/>
    <w:rsid w:val="00764917"/>
    <w:rsid w:val="00764B32"/>
    <w:rsid w:val="00764D32"/>
    <w:rsid w:val="00764EEF"/>
    <w:rsid w:val="00765021"/>
    <w:rsid w:val="00765032"/>
    <w:rsid w:val="0076508F"/>
    <w:rsid w:val="007650B8"/>
    <w:rsid w:val="007652C0"/>
    <w:rsid w:val="007654A3"/>
    <w:rsid w:val="007654B6"/>
    <w:rsid w:val="007655BB"/>
    <w:rsid w:val="007659BA"/>
    <w:rsid w:val="00765A27"/>
    <w:rsid w:val="00765B3C"/>
    <w:rsid w:val="00765C08"/>
    <w:rsid w:val="007660EA"/>
    <w:rsid w:val="007661A2"/>
    <w:rsid w:val="00766470"/>
    <w:rsid w:val="00766614"/>
    <w:rsid w:val="007667E6"/>
    <w:rsid w:val="00766997"/>
    <w:rsid w:val="007669A6"/>
    <w:rsid w:val="007669D9"/>
    <w:rsid w:val="00766A44"/>
    <w:rsid w:val="00766AFC"/>
    <w:rsid w:val="00766B74"/>
    <w:rsid w:val="00766D3F"/>
    <w:rsid w:val="00766D52"/>
    <w:rsid w:val="007670BF"/>
    <w:rsid w:val="00767158"/>
    <w:rsid w:val="007675ED"/>
    <w:rsid w:val="007678B5"/>
    <w:rsid w:val="007678E2"/>
    <w:rsid w:val="00767947"/>
    <w:rsid w:val="00767D13"/>
    <w:rsid w:val="00767D3E"/>
    <w:rsid w:val="00767DED"/>
    <w:rsid w:val="00770051"/>
    <w:rsid w:val="007700C1"/>
    <w:rsid w:val="007701A7"/>
    <w:rsid w:val="0077020B"/>
    <w:rsid w:val="0077022C"/>
    <w:rsid w:val="0077024F"/>
    <w:rsid w:val="0077025E"/>
    <w:rsid w:val="0077026D"/>
    <w:rsid w:val="00770655"/>
    <w:rsid w:val="00770784"/>
    <w:rsid w:val="007707AB"/>
    <w:rsid w:val="00770B9E"/>
    <w:rsid w:val="00770DF9"/>
    <w:rsid w:val="00771120"/>
    <w:rsid w:val="00771234"/>
    <w:rsid w:val="00771309"/>
    <w:rsid w:val="00771334"/>
    <w:rsid w:val="00771622"/>
    <w:rsid w:val="007716C3"/>
    <w:rsid w:val="007717C5"/>
    <w:rsid w:val="00771B29"/>
    <w:rsid w:val="00771D48"/>
    <w:rsid w:val="00771FB8"/>
    <w:rsid w:val="0077216E"/>
    <w:rsid w:val="00772316"/>
    <w:rsid w:val="0077231B"/>
    <w:rsid w:val="007723DD"/>
    <w:rsid w:val="00772497"/>
    <w:rsid w:val="007724B0"/>
    <w:rsid w:val="007724CC"/>
    <w:rsid w:val="00772657"/>
    <w:rsid w:val="00772A7C"/>
    <w:rsid w:val="00772AED"/>
    <w:rsid w:val="00772B91"/>
    <w:rsid w:val="00772C3C"/>
    <w:rsid w:val="00772C84"/>
    <w:rsid w:val="00772D92"/>
    <w:rsid w:val="00772EDE"/>
    <w:rsid w:val="00773061"/>
    <w:rsid w:val="00773081"/>
    <w:rsid w:val="0077357D"/>
    <w:rsid w:val="00773731"/>
    <w:rsid w:val="007738B4"/>
    <w:rsid w:val="007738EB"/>
    <w:rsid w:val="0077393A"/>
    <w:rsid w:val="007739C8"/>
    <w:rsid w:val="00773BB0"/>
    <w:rsid w:val="00773C28"/>
    <w:rsid w:val="00773DB2"/>
    <w:rsid w:val="00773E57"/>
    <w:rsid w:val="00773F4A"/>
    <w:rsid w:val="00774016"/>
    <w:rsid w:val="007741CB"/>
    <w:rsid w:val="007741F7"/>
    <w:rsid w:val="00774402"/>
    <w:rsid w:val="007744AE"/>
    <w:rsid w:val="00774718"/>
    <w:rsid w:val="00774741"/>
    <w:rsid w:val="0077477C"/>
    <w:rsid w:val="0077481B"/>
    <w:rsid w:val="007749B4"/>
    <w:rsid w:val="00774A21"/>
    <w:rsid w:val="00774A2C"/>
    <w:rsid w:val="00774AE5"/>
    <w:rsid w:val="00774C12"/>
    <w:rsid w:val="0077515F"/>
    <w:rsid w:val="00775194"/>
    <w:rsid w:val="007751A6"/>
    <w:rsid w:val="007751D0"/>
    <w:rsid w:val="007751D8"/>
    <w:rsid w:val="00775267"/>
    <w:rsid w:val="0077545A"/>
    <w:rsid w:val="007756CA"/>
    <w:rsid w:val="007759A6"/>
    <w:rsid w:val="00775A4F"/>
    <w:rsid w:val="00775ABD"/>
    <w:rsid w:val="00775AE9"/>
    <w:rsid w:val="00775F80"/>
    <w:rsid w:val="00775F93"/>
    <w:rsid w:val="00775FCB"/>
    <w:rsid w:val="007760C4"/>
    <w:rsid w:val="0077623D"/>
    <w:rsid w:val="00776670"/>
    <w:rsid w:val="007766D8"/>
    <w:rsid w:val="00776713"/>
    <w:rsid w:val="00776746"/>
    <w:rsid w:val="00776766"/>
    <w:rsid w:val="00776878"/>
    <w:rsid w:val="0077689D"/>
    <w:rsid w:val="007768C7"/>
    <w:rsid w:val="007769F5"/>
    <w:rsid w:val="00776B3F"/>
    <w:rsid w:val="00776C3E"/>
    <w:rsid w:val="00776C72"/>
    <w:rsid w:val="0077713E"/>
    <w:rsid w:val="0077728A"/>
    <w:rsid w:val="007772B4"/>
    <w:rsid w:val="007772E7"/>
    <w:rsid w:val="007772E9"/>
    <w:rsid w:val="0077753A"/>
    <w:rsid w:val="00777645"/>
    <w:rsid w:val="00777F9A"/>
    <w:rsid w:val="00780050"/>
    <w:rsid w:val="007800D1"/>
    <w:rsid w:val="00780629"/>
    <w:rsid w:val="007806A1"/>
    <w:rsid w:val="007806A4"/>
    <w:rsid w:val="00780BC2"/>
    <w:rsid w:val="00780C31"/>
    <w:rsid w:val="00780D26"/>
    <w:rsid w:val="00780FD1"/>
    <w:rsid w:val="00781058"/>
    <w:rsid w:val="0078111A"/>
    <w:rsid w:val="007811EC"/>
    <w:rsid w:val="0078136E"/>
    <w:rsid w:val="0078139F"/>
    <w:rsid w:val="0078141F"/>
    <w:rsid w:val="0078182A"/>
    <w:rsid w:val="0078185B"/>
    <w:rsid w:val="00781C78"/>
    <w:rsid w:val="00781EB7"/>
    <w:rsid w:val="00781EE2"/>
    <w:rsid w:val="00781EF2"/>
    <w:rsid w:val="0078208C"/>
    <w:rsid w:val="0078241F"/>
    <w:rsid w:val="00782436"/>
    <w:rsid w:val="0078248C"/>
    <w:rsid w:val="007824FA"/>
    <w:rsid w:val="0078253E"/>
    <w:rsid w:val="0078258F"/>
    <w:rsid w:val="00782778"/>
    <w:rsid w:val="0078278A"/>
    <w:rsid w:val="007827AF"/>
    <w:rsid w:val="0078290A"/>
    <w:rsid w:val="00782AB8"/>
    <w:rsid w:val="00782B06"/>
    <w:rsid w:val="00782E74"/>
    <w:rsid w:val="00783067"/>
    <w:rsid w:val="00783157"/>
    <w:rsid w:val="007831C6"/>
    <w:rsid w:val="007832AB"/>
    <w:rsid w:val="0078345E"/>
    <w:rsid w:val="007837D2"/>
    <w:rsid w:val="007837F1"/>
    <w:rsid w:val="00783925"/>
    <w:rsid w:val="007839BA"/>
    <w:rsid w:val="007839F1"/>
    <w:rsid w:val="00783AD2"/>
    <w:rsid w:val="00783BF6"/>
    <w:rsid w:val="00783CBE"/>
    <w:rsid w:val="00783EAA"/>
    <w:rsid w:val="00783EB7"/>
    <w:rsid w:val="00783F46"/>
    <w:rsid w:val="00784081"/>
    <w:rsid w:val="007840C4"/>
    <w:rsid w:val="007840D8"/>
    <w:rsid w:val="0078427E"/>
    <w:rsid w:val="00784417"/>
    <w:rsid w:val="007846BC"/>
    <w:rsid w:val="007847DB"/>
    <w:rsid w:val="00784895"/>
    <w:rsid w:val="007848DB"/>
    <w:rsid w:val="00784957"/>
    <w:rsid w:val="00784964"/>
    <w:rsid w:val="00784999"/>
    <w:rsid w:val="00784AFF"/>
    <w:rsid w:val="00784B97"/>
    <w:rsid w:val="00784E49"/>
    <w:rsid w:val="0078534A"/>
    <w:rsid w:val="007856C1"/>
    <w:rsid w:val="007856CB"/>
    <w:rsid w:val="00785886"/>
    <w:rsid w:val="007858AE"/>
    <w:rsid w:val="00785B1D"/>
    <w:rsid w:val="00785BB1"/>
    <w:rsid w:val="00785BE1"/>
    <w:rsid w:val="00785E6E"/>
    <w:rsid w:val="00785EA6"/>
    <w:rsid w:val="00785FEC"/>
    <w:rsid w:val="00786471"/>
    <w:rsid w:val="007866B4"/>
    <w:rsid w:val="007866F0"/>
    <w:rsid w:val="007867EA"/>
    <w:rsid w:val="0078683E"/>
    <w:rsid w:val="0078694F"/>
    <w:rsid w:val="00786A15"/>
    <w:rsid w:val="00786AB8"/>
    <w:rsid w:val="00786B0C"/>
    <w:rsid w:val="00786BE2"/>
    <w:rsid w:val="00786C3B"/>
    <w:rsid w:val="00786CEE"/>
    <w:rsid w:val="00786DA4"/>
    <w:rsid w:val="00786DC4"/>
    <w:rsid w:val="00786E29"/>
    <w:rsid w:val="00786EAA"/>
    <w:rsid w:val="007872A8"/>
    <w:rsid w:val="007872B8"/>
    <w:rsid w:val="00787364"/>
    <w:rsid w:val="00787372"/>
    <w:rsid w:val="007873DC"/>
    <w:rsid w:val="0078744D"/>
    <w:rsid w:val="0078750A"/>
    <w:rsid w:val="0078761E"/>
    <w:rsid w:val="0078764E"/>
    <w:rsid w:val="007878C4"/>
    <w:rsid w:val="00787A1A"/>
    <w:rsid w:val="00787B8E"/>
    <w:rsid w:val="00787C60"/>
    <w:rsid w:val="00787C9F"/>
    <w:rsid w:val="00790106"/>
    <w:rsid w:val="007902A7"/>
    <w:rsid w:val="00790387"/>
    <w:rsid w:val="00790470"/>
    <w:rsid w:val="007904E3"/>
    <w:rsid w:val="00790691"/>
    <w:rsid w:val="00790738"/>
    <w:rsid w:val="007907EB"/>
    <w:rsid w:val="0079089F"/>
    <w:rsid w:val="007908BE"/>
    <w:rsid w:val="00790922"/>
    <w:rsid w:val="00790986"/>
    <w:rsid w:val="00790A02"/>
    <w:rsid w:val="00790AB9"/>
    <w:rsid w:val="00790C56"/>
    <w:rsid w:val="00790F43"/>
    <w:rsid w:val="007910E6"/>
    <w:rsid w:val="007913CF"/>
    <w:rsid w:val="007915DB"/>
    <w:rsid w:val="007915F8"/>
    <w:rsid w:val="0079189A"/>
    <w:rsid w:val="007919F7"/>
    <w:rsid w:val="00791B50"/>
    <w:rsid w:val="00791C61"/>
    <w:rsid w:val="00791CD0"/>
    <w:rsid w:val="00791FAD"/>
    <w:rsid w:val="00792160"/>
    <w:rsid w:val="007921A4"/>
    <w:rsid w:val="00792469"/>
    <w:rsid w:val="0079254F"/>
    <w:rsid w:val="00792583"/>
    <w:rsid w:val="00792629"/>
    <w:rsid w:val="007926B8"/>
    <w:rsid w:val="007927AE"/>
    <w:rsid w:val="0079283D"/>
    <w:rsid w:val="007928BE"/>
    <w:rsid w:val="0079295B"/>
    <w:rsid w:val="0079299E"/>
    <w:rsid w:val="00792B99"/>
    <w:rsid w:val="00792CE8"/>
    <w:rsid w:val="00792D17"/>
    <w:rsid w:val="00792EF2"/>
    <w:rsid w:val="00792FDB"/>
    <w:rsid w:val="0079308F"/>
    <w:rsid w:val="0079310B"/>
    <w:rsid w:val="007932AD"/>
    <w:rsid w:val="007933BA"/>
    <w:rsid w:val="007933F1"/>
    <w:rsid w:val="007934A6"/>
    <w:rsid w:val="00793686"/>
    <w:rsid w:val="00793742"/>
    <w:rsid w:val="007939D3"/>
    <w:rsid w:val="00793AD8"/>
    <w:rsid w:val="00793B5A"/>
    <w:rsid w:val="00793C40"/>
    <w:rsid w:val="00793DE8"/>
    <w:rsid w:val="00793EE5"/>
    <w:rsid w:val="00793F28"/>
    <w:rsid w:val="00794002"/>
    <w:rsid w:val="00794088"/>
    <w:rsid w:val="00794214"/>
    <w:rsid w:val="0079421A"/>
    <w:rsid w:val="0079432F"/>
    <w:rsid w:val="007944AB"/>
    <w:rsid w:val="007944F2"/>
    <w:rsid w:val="007945DC"/>
    <w:rsid w:val="007945F4"/>
    <w:rsid w:val="00794733"/>
    <w:rsid w:val="00794773"/>
    <w:rsid w:val="007947C7"/>
    <w:rsid w:val="00794898"/>
    <w:rsid w:val="00794A3E"/>
    <w:rsid w:val="00794A46"/>
    <w:rsid w:val="00794B6E"/>
    <w:rsid w:val="00794BFD"/>
    <w:rsid w:val="00794E46"/>
    <w:rsid w:val="00794E66"/>
    <w:rsid w:val="00794EFA"/>
    <w:rsid w:val="00794F46"/>
    <w:rsid w:val="0079511B"/>
    <w:rsid w:val="007951A8"/>
    <w:rsid w:val="007951EC"/>
    <w:rsid w:val="0079520E"/>
    <w:rsid w:val="0079527B"/>
    <w:rsid w:val="007952FC"/>
    <w:rsid w:val="007953DE"/>
    <w:rsid w:val="00795483"/>
    <w:rsid w:val="00795643"/>
    <w:rsid w:val="0079586E"/>
    <w:rsid w:val="00795C8D"/>
    <w:rsid w:val="00795DA4"/>
    <w:rsid w:val="00795E73"/>
    <w:rsid w:val="00795F9E"/>
    <w:rsid w:val="007960C5"/>
    <w:rsid w:val="00796307"/>
    <w:rsid w:val="007963DC"/>
    <w:rsid w:val="007964CD"/>
    <w:rsid w:val="00796572"/>
    <w:rsid w:val="00796671"/>
    <w:rsid w:val="0079675D"/>
    <w:rsid w:val="00796954"/>
    <w:rsid w:val="007969A4"/>
    <w:rsid w:val="00796A34"/>
    <w:rsid w:val="00796B2A"/>
    <w:rsid w:val="00796BDA"/>
    <w:rsid w:val="00796C19"/>
    <w:rsid w:val="0079703F"/>
    <w:rsid w:val="00797163"/>
    <w:rsid w:val="007971CD"/>
    <w:rsid w:val="00797446"/>
    <w:rsid w:val="0079783A"/>
    <w:rsid w:val="00797875"/>
    <w:rsid w:val="007978B0"/>
    <w:rsid w:val="00797994"/>
    <w:rsid w:val="00797A8D"/>
    <w:rsid w:val="00797BA3"/>
    <w:rsid w:val="00797C6C"/>
    <w:rsid w:val="00797FAE"/>
    <w:rsid w:val="007A00D8"/>
    <w:rsid w:val="007A0114"/>
    <w:rsid w:val="007A0220"/>
    <w:rsid w:val="007A0241"/>
    <w:rsid w:val="007A0415"/>
    <w:rsid w:val="007A0773"/>
    <w:rsid w:val="007A0B46"/>
    <w:rsid w:val="007A0C06"/>
    <w:rsid w:val="007A0CAE"/>
    <w:rsid w:val="007A0E8F"/>
    <w:rsid w:val="007A0ECB"/>
    <w:rsid w:val="007A113A"/>
    <w:rsid w:val="007A1181"/>
    <w:rsid w:val="007A1194"/>
    <w:rsid w:val="007A11A0"/>
    <w:rsid w:val="007A11BC"/>
    <w:rsid w:val="007A135C"/>
    <w:rsid w:val="007A14E9"/>
    <w:rsid w:val="007A1522"/>
    <w:rsid w:val="007A1610"/>
    <w:rsid w:val="007A16AD"/>
    <w:rsid w:val="007A199E"/>
    <w:rsid w:val="007A1DFA"/>
    <w:rsid w:val="007A20C5"/>
    <w:rsid w:val="007A20DA"/>
    <w:rsid w:val="007A2116"/>
    <w:rsid w:val="007A255F"/>
    <w:rsid w:val="007A25A2"/>
    <w:rsid w:val="007A26AA"/>
    <w:rsid w:val="007A26AC"/>
    <w:rsid w:val="007A26F2"/>
    <w:rsid w:val="007A2971"/>
    <w:rsid w:val="007A29E4"/>
    <w:rsid w:val="007A29F7"/>
    <w:rsid w:val="007A2BEA"/>
    <w:rsid w:val="007A2C28"/>
    <w:rsid w:val="007A2C9B"/>
    <w:rsid w:val="007A2CE2"/>
    <w:rsid w:val="007A2D02"/>
    <w:rsid w:val="007A2D2D"/>
    <w:rsid w:val="007A2EAC"/>
    <w:rsid w:val="007A2FAA"/>
    <w:rsid w:val="007A3043"/>
    <w:rsid w:val="007A30AD"/>
    <w:rsid w:val="007A30D0"/>
    <w:rsid w:val="007A328B"/>
    <w:rsid w:val="007A3392"/>
    <w:rsid w:val="007A33ED"/>
    <w:rsid w:val="007A3404"/>
    <w:rsid w:val="007A344F"/>
    <w:rsid w:val="007A3486"/>
    <w:rsid w:val="007A3644"/>
    <w:rsid w:val="007A3690"/>
    <w:rsid w:val="007A36AD"/>
    <w:rsid w:val="007A39A2"/>
    <w:rsid w:val="007A3AC3"/>
    <w:rsid w:val="007A3BC1"/>
    <w:rsid w:val="007A3D5D"/>
    <w:rsid w:val="007A400B"/>
    <w:rsid w:val="007A40B8"/>
    <w:rsid w:val="007A4161"/>
    <w:rsid w:val="007A437C"/>
    <w:rsid w:val="007A43B4"/>
    <w:rsid w:val="007A444F"/>
    <w:rsid w:val="007A45EE"/>
    <w:rsid w:val="007A4607"/>
    <w:rsid w:val="007A4713"/>
    <w:rsid w:val="007A48AB"/>
    <w:rsid w:val="007A4B26"/>
    <w:rsid w:val="007A4C84"/>
    <w:rsid w:val="007A4D3B"/>
    <w:rsid w:val="007A4FD6"/>
    <w:rsid w:val="007A5030"/>
    <w:rsid w:val="007A505C"/>
    <w:rsid w:val="007A53C7"/>
    <w:rsid w:val="007A54EA"/>
    <w:rsid w:val="007A56BF"/>
    <w:rsid w:val="007A5704"/>
    <w:rsid w:val="007A57C8"/>
    <w:rsid w:val="007A57D8"/>
    <w:rsid w:val="007A5A1C"/>
    <w:rsid w:val="007A5A5D"/>
    <w:rsid w:val="007A5BC8"/>
    <w:rsid w:val="007A5CE6"/>
    <w:rsid w:val="007A5DCE"/>
    <w:rsid w:val="007A5F7B"/>
    <w:rsid w:val="007A6111"/>
    <w:rsid w:val="007A6225"/>
    <w:rsid w:val="007A62A8"/>
    <w:rsid w:val="007A62D5"/>
    <w:rsid w:val="007A62DE"/>
    <w:rsid w:val="007A63C0"/>
    <w:rsid w:val="007A6448"/>
    <w:rsid w:val="007A6555"/>
    <w:rsid w:val="007A67C9"/>
    <w:rsid w:val="007A68BA"/>
    <w:rsid w:val="007A6C4B"/>
    <w:rsid w:val="007A6C5A"/>
    <w:rsid w:val="007A6E38"/>
    <w:rsid w:val="007A6E85"/>
    <w:rsid w:val="007A6F28"/>
    <w:rsid w:val="007A6FE5"/>
    <w:rsid w:val="007A72C5"/>
    <w:rsid w:val="007A73B8"/>
    <w:rsid w:val="007A7892"/>
    <w:rsid w:val="007A7A1C"/>
    <w:rsid w:val="007A7A4C"/>
    <w:rsid w:val="007A7B97"/>
    <w:rsid w:val="007A7C16"/>
    <w:rsid w:val="007A7CB0"/>
    <w:rsid w:val="007A7CC2"/>
    <w:rsid w:val="007A7EA0"/>
    <w:rsid w:val="007A7F56"/>
    <w:rsid w:val="007B00DA"/>
    <w:rsid w:val="007B0168"/>
    <w:rsid w:val="007B035D"/>
    <w:rsid w:val="007B059F"/>
    <w:rsid w:val="007B060F"/>
    <w:rsid w:val="007B0637"/>
    <w:rsid w:val="007B0794"/>
    <w:rsid w:val="007B07BD"/>
    <w:rsid w:val="007B0ADC"/>
    <w:rsid w:val="007B0BD1"/>
    <w:rsid w:val="007B0BFE"/>
    <w:rsid w:val="007B0C1F"/>
    <w:rsid w:val="007B0C48"/>
    <w:rsid w:val="007B0CB4"/>
    <w:rsid w:val="007B0F30"/>
    <w:rsid w:val="007B106D"/>
    <w:rsid w:val="007B112B"/>
    <w:rsid w:val="007B1317"/>
    <w:rsid w:val="007B1321"/>
    <w:rsid w:val="007B1374"/>
    <w:rsid w:val="007B1453"/>
    <w:rsid w:val="007B148D"/>
    <w:rsid w:val="007B15FA"/>
    <w:rsid w:val="007B1904"/>
    <w:rsid w:val="007B1A18"/>
    <w:rsid w:val="007B1DF6"/>
    <w:rsid w:val="007B1E78"/>
    <w:rsid w:val="007B1EAE"/>
    <w:rsid w:val="007B1FC2"/>
    <w:rsid w:val="007B2140"/>
    <w:rsid w:val="007B2205"/>
    <w:rsid w:val="007B233B"/>
    <w:rsid w:val="007B235E"/>
    <w:rsid w:val="007B242C"/>
    <w:rsid w:val="007B24B7"/>
    <w:rsid w:val="007B2503"/>
    <w:rsid w:val="007B2510"/>
    <w:rsid w:val="007B28BA"/>
    <w:rsid w:val="007B2CC5"/>
    <w:rsid w:val="007B2E2A"/>
    <w:rsid w:val="007B2E8B"/>
    <w:rsid w:val="007B2F13"/>
    <w:rsid w:val="007B3101"/>
    <w:rsid w:val="007B3188"/>
    <w:rsid w:val="007B322A"/>
    <w:rsid w:val="007B3269"/>
    <w:rsid w:val="007B33D5"/>
    <w:rsid w:val="007B33F2"/>
    <w:rsid w:val="007B33FC"/>
    <w:rsid w:val="007B355E"/>
    <w:rsid w:val="007B3576"/>
    <w:rsid w:val="007B361A"/>
    <w:rsid w:val="007B3745"/>
    <w:rsid w:val="007B3775"/>
    <w:rsid w:val="007B38AE"/>
    <w:rsid w:val="007B399A"/>
    <w:rsid w:val="007B3A39"/>
    <w:rsid w:val="007B3ABF"/>
    <w:rsid w:val="007B4018"/>
    <w:rsid w:val="007B4141"/>
    <w:rsid w:val="007B417C"/>
    <w:rsid w:val="007B41C3"/>
    <w:rsid w:val="007B4574"/>
    <w:rsid w:val="007B4785"/>
    <w:rsid w:val="007B47DE"/>
    <w:rsid w:val="007B4924"/>
    <w:rsid w:val="007B4A93"/>
    <w:rsid w:val="007B4AEF"/>
    <w:rsid w:val="007B4B87"/>
    <w:rsid w:val="007B4BCA"/>
    <w:rsid w:val="007B4BE1"/>
    <w:rsid w:val="007B4CE1"/>
    <w:rsid w:val="007B4DDE"/>
    <w:rsid w:val="007B4E7D"/>
    <w:rsid w:val="007B5037"/>
    <w:rsid w:val="007B50A3"/>
    <w:rsid w:val="007B514D"/>
    <w:rsid w:val="007B5351"/>
    <w:rsid w:val="007B53A3"/>
    <w:rsid w:val="007B544B"/>
    <w:rsid w:val="007B5463"/>
    <w:rsid w:val="007B5576"/>
    <w:rsid w:val="007B58FA"/>
    <w:rsid w:val="007B5925"/>
    <w:rsid w:val="007B59AD"/>
    <w:rsid w:val="007B5A32"/>
    <w:rsid w:val="007B5AAF"/>
    <w:rsid w:val="007B5ABD"/>
    <w:rsid w:val="007B5C8B"/>
    <w:rsid w:val="007B5D30"/>
    <w:rsid w:val="007B6028"/>
    <w:rsid w:val="007B605A"/>
    <w:rsid w:val="007B60E4"/>
    <w:rsid w:val="007B613D"/>
    <w:rsid w:val="007B62E1"/>
    <w:rsid w:val="007B64B4"/>
    <w:rsid w:val="007B662F"/>
    <w:rsid w:val="007B671C"/>
    <w:rsid w:val="007B6745"/>
    <w:rsid w:val="007B67B5"/>
    <w:rsid w:val="007B6949"/>
    <w:rsid w:val="007B69EF"/>
    <w:rsid w:val="007B6A63"/>
    <w:rsid w:val="007B6B21"/>
    <w:rsid w:val="007B6D0B"/>
    <w:rsid w:val="007B6DB4"/>
    <w:rsid w:val="007B6EDD"/>
    <w:rsid w:val="007B6FDA"/>
    <w:rsid w:val="007B6FE0"/>
    <w:rsid w:val="007B718C"/>
    <w:rsid w:val="007B71A5"/>
    <w:rsid w:val="007B72EE"/>
    <w:rsid w:val="007B73F5"/>
    <w:rsid w:val="007B74A6"/>
    <w:rsid w:val="007B761A"/>
    <w:rsid w:val="007B7676"/>
    <w:rsid w:val="007B76DA"/>
    <w:rsid w:val="007B7933"/>
    <w:rsid w:val="007B7A79"/>
    <w:rsid w:val="007B7CF4"/>
    <w:rsid w:val="007B7F05"/>
    <w:rsid w:val="007B7F91"/>
    <w:rsid w:val="007C0332"/>
    <w:rsid w:val="007C0390"/>
    <w:rsid w:val="007C06CF"/>
    <w:rsid w:val="007C092F"/>
    <w:rsid w:val="007C094E"/>
    <w:rsid w:val="007C0A24"/>
    <w:rsid w:val="007C0A83"/>
    <w:rsid w:val="007C0B08"/>
    <w:rsid w:val="007C0BC0"/>
    <w:rsid w:val="007C0C30"/>
    <w:rsid w:val="007C0C56"/>
    <w:rsid w:val="007C0D54"/>
    <w:rsid w:val="007C0DB9"/>
    <w:rsid w:val="007C0E83"/>
    <w:rsid w:val="007C0F36"/>
    <w:rsid w:val="007C0F5F"/>
    <w:rsid w:val="007C1077"/>
    <w:rsid w:val="007C1216"/>
    <w:rsid w:val="007C13B3"/>
    <w:rsid w:val="007C1423"/>
    <w:rsid w:val="007C1438"/>
    <w:rsid w:val="007C1816"/>
    <w:rsid w:val="007C1C57"/>
    <w:rsid w:val="007C1CFE"/>
    <w:rsid w:val="007C1D72"/>
    <w:rsid w:val="007C1E6A"/>
    <w:rsid w:val="007C1EF2"/>
    <w:rsid w:val="007C1F02"/>
    <w:rsid w:val="007C1F11"/>
    <w:rsid w:val="007C2368"/>
    <w:rsid w:val="007C243F"/>
    <w:rsid w:val="007C2659"/>
    <w:rsid w:val="007C28E3"/>
    <w:rsid w:val="007C2CE4"/>
    <w:rsid w:val="007C2D75"/>
    <w:rsid w:val="007C2E8E"/>
    <w:rsid w:val="007C2F63"/>
    <w:rsid w:val="007C319A"/>
    <w:rsid w:val="007C32C3"/>
    <w:rsid w:val="007C3457"/>
    <w:rsid w:val="007C3805"/>
    <w:rsid w:val="007C388D"/>
    <w:rsid w:val="007C39E7"/>
    <w:rsid w:val="007C3AE1"/>
    <w:rsid w:val="007C3B3D"/>
    <w:rsid w:val="007C3E9B"/>
    <w:rsid w:val="007C3FD0"/>
    <w:rsid w:val="007C4067"/>
    <w:rsid w:val="007C4121"/>
    <w:rsid w:val="007C41A2"/>
    <w:rsid w:val="007C42A6"/>
    <w:rsid w:val="007C4378"/>
    <w:rsid w:val="007C4A0D"/>
    <w:rsid w:val="007C4F13"/>
    <w:rsid w:val="007C4FC0"/>
    <w:rsid w:val="007C5040"/>
    <w:rsid w:val="007C5278"/>
    <w:rsid w:val="007C5279"/>
    <w:rsid w:val="007C52F3"/>
    <w:rsid w:val="007C554D"/>
    <w:rsid w:val="007C5581"/>
    <w:rsid w:val="007C59E0"/>
    <w:rsid w:val="007C5BBB"/>
    <w:rsid w:val="007C5DFB"/>
    <w:rsid w:val="007C63C0"/>
    <w:rsid w:val="007C64DD"/>
    <w:rsid w:val="007C6A04"/>
    <w:rsid w:val="007C6A48"/>
    <w:rsid w:val="007C6A97"/>
    <w:rsid w:val="007C6B28"/>
    <w:rsid w:val="007C6EB7"/>
    <w:rsid w:val="007C6F98"/>
    <w:rsid w:val="007C6FF5"/>
    <w:rsid w:val="007C70B0"/>
    <w:rsid w:val="007C7171"/>
    <w:rsid w:val="007C719E"/>
    <w:rsid w:val="007C71DA"/>
    <w:rsid w:val="007C72A2"/>
    <w:rsid w:val="007C74C7"/>
    <w:rsid w:val="007C7824"/>
    <w:rsid w:val="007C7A2C"/>
    <w:rsid w:val="007C7B13"/>
    <w:rsid w:val="007C7BC6"/>
    <w:rsid w:val="007C7C64"/>
    <w:rsid w:val="007C7DE9"/>
    <w:rsid w:val="007D0061"/>
    <w:rsid w:val="007D00B2"/>
    <w:rsid w:val="007D013B"/>
    <w:rsid w:val="007D0270"/>
    <w:rsid w:val="007D0293"/>
    <w:rsid w:val="007D0311"/>
    <w:rsid w:val="007D05A3"/>
    <w:rsid w:val="007D069D"/>
    <w:rsid w:val="007D06C9"/>
    <w:rsid w:val="007D06E8"/>
    <w:rsid w:val="007D075F"/>
    <w:rsid w:val="007D08BD"/>
    <w:rsid w:val="007D0912"/>
    <w:rsid w:val="007D096A"/>
    <w:rsid w:val="007D098C"/>
    <w:rsid w:val="007D0A35"/>
    <w:rsid w:val="007D0AD5"/>
    <w:rsid w:val="007D0B10"/>
    <w:rsid w:val="007D0C0F"/>
    <w:rsid w:val="007D0D93"/>
    <w:rsid w:val="007D0DCD"/>
    <w:rsid w:val="007D0DD7"/>
    <w:rsid w:val="007D0DE7"/>
    <w:rsid w:val="007D0E0C"/>
    <w:rsid w:val="007D109A"/>
    <w:rsid w:val="007D1105"/>
    <w:rsid w:val="007D1403"/>
    <w:rsid w:val="007D15C8"/>
    <w:rsid w:val="007D186D"/>
    <w:rsid w:val="007D1A89"/>
    <w:rsid w:val="007D1B02"/>
    <w:rsid w:val="007D1D3B"/>
    <w:rsid w:val="007D1EA2"/>
    <w:rsid w:val="007D2124"/>
    <w:rsid w:val="007D2192"/>
    <w:rsid w:val="007D21E4"/>
    <w:rsid w:val="007D21F8"/>
    <w:rsid w:val="007D224B"/>
    <w:rsid w:val="007D2274"/>
    <w:rsid w:val="007D2496"/>
    <w:rsid w:val="007D24EB"/>
    <w:rsid w:val="007D2600"/>
    <w:rsid w:val="007D27D9"/>
    <w:rsid w:val="007D2A78"/>
    <w:rsid w:val="007D2C04"/>
    <w:rsid w:val="007D2D82"/>
    <w:rsid w:val="007D2EC0"/>
    <w:rsid w:val="007D32AC"/>
    <w:rsid w:val="007D32E2"/>
    <w:rsid w:val="007D3352"/>
    <w:rsid w:val="007D35F3"/>
    <w:rsid w:val="007D367A"/>
    <w:rsid w:val="007D36BC"/>
    <w:rsid w:val="007D36C4"/>
    <w:rsid w:val="007D37B0"/>
    <w:rsid w:val="007D37E2"/>
    <w:rsid w:val="007D3938"/>
    <w:rsid w:val="007D3AC1"/>
    <w:rsid w:val="007D3BAB"/>
    <w:rsid w:val="007D3C36"/>
    <w:rsid w:val="007D3E65"/>
    <w:rsid w:val="007D3F60"/>
    <w:rsid w:val="007D3F7E"/>
    <w:rsid w:val="007D3F9E"/>
    <w:rsid w:val="007D4334"/>
    <w:rsid w:val="007D433D"/>
    <w:rsid w:val="007D4B3D"/>
    <w:rsid w:val="007D4D96"/>
    <w:rsid w:val="007D4EA7"/>
    <w:rsid w:val="007D4F81"/>
    <w:rsid w:val="007D4FE6"/>
    <w:rsid w:val="007D5248"/>
    <w:rsid w:val="007D5276"/>
    <w:rsid w:val="007D52F5"/>
    <w:rsid w:val="007D53B3"/>
    <w:rsid w:val="007D571B"/>
    <w:rsid w:val="007D5829"/>
    <w:rsid w:val="007D58F4"/>
    <w:rsid w:val="007D5C7E"/>
    <w:rsid w:val="007D5D0A"/>
    <w:rsid w:val="007D5D33"/>
    <w:rsid w:val="007D5D98"/>
    <w:rsid w:val="007D5E3A"/>
    <w:rsid w:val="007D5E5E"/>
    <w:rsid w:val="007D612F"/>
    <w:rsid w:val="007D6359"/>
    <w:rsid w:val="007D6370"/>
    <w:rsid w:val="007D640A"/>
    <w:rsid w:val="007D646C"/>
    <w:rsid w:val="007D65E8"/>
    <w:rsid w:val="007D668A"/>
    <w:rsid w:val="007D66AB"/>
    <w:rsid w:val="007D67F6"/>
    <w:rsid w:val="007D6856"/>
    <w:rsid w:val="007D6864"/>
    <w:rsid w:val="007D6A88"/>
    <w:rsid w:val="007D6C15"/>
    <w:rsid w:val="007D6C40"/>
    <w:rsid w:val="007D6D1A"/>
    <w:rsid w:val="007D6E0E"/>
    <w:rsid w:val="007D6E3D"/>
    <w:rsid w:val="007D7053"/>
    <w:rsid w:val="007D7166"/>
    <w:rsid w:val="007D7212"/>
    <w:rsid w:val="007D7336"/>
    <w:rsid w:val="007D738B"/>
    <w:rsid w:val="007D73EF"/>
    <w:rsid w:val="007D75E5"/>
    <w:rsid w:val="007D771F"/>
    <w:rsid w:val="007D7742"/>
    <w:rsid w:val="007D7759"/>
    <w:rsid w:val="007D7831"/>
    <w:rsid w:val="007D79BF"/>
    <w:rsid w:val="007D7C2D"/>
    <w:rsid w:val="007E0030"/>
    <w:rsid w:val="007E014D"/>
    <w:rsid w:val="007E03F6"/>
    <w:rsid w:val="007E049D"/>
    <w:rsid w:val="007E05B4"/>
    <w:rsid w:val="007E071A"/>
    <w:rsid w:val="007E092F"/>
    <w:rsid w:val="007E0A07"/>
    <w:rsid w:val="007E0B4B"/>
    <w:rsid w:val="007E0BAD"/>
    <w:rsid w:val="007E0BE3"/>
    <w:rsid w:val="007E0CAB"/>
    <w:rsid w:val="007E0D43"/>
    <w:rsid w:val="007E0E26"/>
    <w:rsid w:val="007E0E39"/>
    <w:rsid w:val="007E0E5E"/>
    <w:rsid w:val="007E111F"/>
    <w:rsid w:val="007E1169"/>
    <w:rsid w:val="007E1299"/>
    <w:rsid w:val="007E129B"/>
    <w:rsid w:val="007E1339"/>
    <w:rsid w:val="007E1488"/>
    <w:rsid w:val="007E14C9"/>
    <w:rsid w:val="007E14CE"/>
    <w:rsid w:val="007E169D"/>
    <w:rsid w:val="007E1A5A"/>
    <w:rsid w:val="007E1A6B"/>
    <w:rsid w:val="007E1D13"/>
    <w:rsid w:val="007E201C"/>
    <w:rsid w:val="007E2094"/>
    <w:rsid w:val="007E215C"/>
    <w:rsid w:val="007E222C"/>
    <w:rsid w:val="007E2431"/>
    <w:rsid w:val="007E2AC0"/>
    <w:rsid w:val="007E2E13"/>
    <w:rsid w:val="007E2F47"/>
    <w:rsid w:val="007E2F8B"/>
    <w:rsid w:val="007E314E"/>
    <w:rsid w:val="007E317A"/>
    <w:rsid w:val="007E34EC"/>
    <w:rsid w:val="007E35D9"/>
    <w:rsid w:val="007E3B50"/>
    <w:rsid w:val="007E3C0D"/>
    <w:rsid w:val="007E3CF3"/>
    <w:rsid w:val="007E3DCB"/>
    <w:rsid w:val="007E3FA9"/>
    <w:rsid w:val="007E40A0"/>
    <w:rsid w:val="007E40BA"/>
    <w:rsid w:val="007E41B2"/>
    <w:rsid w:val="007E42F7"/>
    <w:rsid w:val="007E440D"/>
    <w:rsid w:val="007E4454"/>
    <w:rsid w:val="007E4556"/>
    <w:rsid w:val="007E4562"/>
    <w:rsid w:val="007E473F"/>
    <w:rsid w:val="007E575B"/>
    <w:rsid w:val="007E5808"/>
    <w:rsid w:val="007E5896"/>
    <w:rsid w:val="007E5955"/>
    <w:rsid w:val="007E5992"/>
    <w:rsid w:val="007E59AC"/>
    <w:rsid w:val="007E5A4F"/>
    <w:rsid w:val="007E5AA0"/>
    <w:rsid w:val="007E5BFA"/>
    <w:rsid w:val="007E5C2B"/>
    <w:rsid w:val="007E5DE0"/>
    <w:rsid w:val="007E5EC0"/>
    <w:rsid w:val="007E5F08"/>
    <w:rsid w:val="007E5F72"/>
    <w:rsid w:val="007E5F7B"/>
    <w:rsid w:val="007E60C5"/>
    <w:rsid w:val="007E61AB"/>
    <w:rsid w:val="007E62E3"/>
    <w:rsid w:val="007E63B6"/>
    <w:rsid w:val="007E64B6"/>
    <w:rsid w:val="007E6674"/>
    <w:rsid w:val="007E667D"/>
    <w:rsid w:val="007E667E"/>
    <w:rsid w:val="007E670C"/>
    <w:rsid w:val="007E676C"/>
    <w:rsid w:val="007E67CB"/>
    <w:rsid w:val="007E6829"/>
    <w:rsid w:val="007E6832"/>
    <w:rsid w:val="007E694C"/>
    <w:rsid w:val="007E6A45"/>
    <w:rsid w:val="007E6B50"/>
    <w:rsid w:val="007E6CC5"/>
    <w:rsid w:val="007E6D4B"/>
    <w:rsid w:val="007E6DAC"/>
    <w:rsid w:val="007E6F0A"/>
    <w:rsid w:val="007E714E"/>
    <w:rsid w:val="007E71F3"/>
    <w:rsid w:val="007E7250"/>
    <w:rsid w:val="007E72A3"/>
    <w:rsid w:val="007E7368"/>
    <w:rsid w:val="007E772D"/>
    <w:rsid w:val="007E775D"/>
    <w:rsid w:val="007E7881"/>
    <w:rsid w:val="007E78CD"/>
    <w:rsid w:val="007E7946"/>
    <w:rsid w:val="007E7959"/>
    <w:rsid w:val="007E7984"/>
    <w:rsid w:val="007E7A85"/>
    <w:rsid w:val="007E7B8D"/>
    <w:rsid w:val="007E7B99"/>
    <w:rsid w:val="007F0126"/>
    <w:rsid w:val="007F01CF"/>
    <w:rsid w:val="007F0209"/>
    <w:rsid w:val="007F021E"/>
    <w:rsid w:val="007F023C"/>
    <w:rsid w:val="007F025E"/>
    <w:rsid w:val="007F028B"/>
    <w:rsid w:val="007F029C"/>
    <w:rsid w:val="007F02F1"/>
    <w:rsid w:val="007F0314"/>
    <w:rsid w:val="007F0541"/>
    <w:rsid w:val="007F061A"/>
    <w:rsid w:val="007F092B"/>
    <w:rsid w:val="007F0EC9"/>
    <w:rsid w:val="007F13DA"/>
    <w:rsid w:val="007F13DE"/>
    <w:rsid w:val="007F1523"/>
    <w:rsid w:val="007F15D6"/>
    <w:rsid w:val="007F1613"/>
    <w:rsid w:val="007F18C8"/>
    <w:rsid w:val="007F18D1"/>
    <w:rsid w:val="007F1A55"/>
    <w:rsid w:val="007F1C4B"/>
    <w:rsid w:val="007F1C6F"/>
    <w:rsid w:val="007F1CB7"/>
    <w:rsid w:val="007F1CB9"/>
    <w:rsid w:val="007F1D28"/>
    <w:rsid w:val="007F1DAA"/>
    <w:rsid w:val="007F1ED5"/>
    <w:rsid w:val="007F1F6F"/>
    <w:rsid w:val="007F1F8B"/>
    <w:rsid w:val="007F2110"/>
    <w:rsid w:val="007F2163"/>
    <w:rsid w:val="007F22DD"/>
    <w:rsid w:val="007F2375"/>
    <w:rsid w:val="007F23FD"/>
    <w:rsid w:val="007F259F"/>
    <w:rsid w:val="007F28B4"/>
    <w:rsid w:val="007F2A10"/>
    <w:rsid w:val="007F2ABB"/>
    <w:rsid w:val="007F2AF1"/>
    <w:rsid w:val="007F2B57"/>
    <w:rsid w:val="007F2C0D"/>
    <w:rsid w:val="007F2CAD"/>
    <w:rsid w:val="007F2CFF"/>
    <w:rsid w:val="007F2D95"/>
    <w:rsid w:val="007F2F0B"/>
    <w:rsid w:val="007F32E4"/>
    <w:rsid w:val="007F33D3"/>
    <w:rsid w:val="007F34E0"/>
    <w:rsid w:val="007F3600"/>
    <w:rsid w:val="007F3685"/>
    <w:rsid w:val="007F3704"/>
    <w:rsid w:val="007F3736"/>
    <w:rsid w:val="007F37E0"/>
    <w:rsid w:val="007F37E6"/>
    <w:rsid w:val="007F3874"/>
    <w:rsid w:val="007F388E"/>
    <w:rsid w:val="007F3AE2"/>
    <w:rsid w:val="007F3B83"/>
    <w:rsid w:val="007F3BE8"/>
    <w:rsid w:val="007F3D75"/>
    <w:rsid w:val="007F3D85"/>
    <w:rsid w:val="007F3E0E"/>
    <w:rsid w:val="007F3E32"/>
    <w:rsid w:val="007F3EF9"/>
    <w:rsid w:val="007F425F"/>
    <w:rsid w:val="007F4331"/>
    <w:rsid w:val="007F4545"/>
    <w:rsid w:val="007F4567"/>
    <w:rsid w:val="007F4779"/>
    <w:rsid w:val="007F4810"/>
    <w:rsid w:val="007F497D"/>
    <w:rsid w:val="007F4C9C"/>
    <w:rsid w:val="007F4D0A"/>
    <w:rsid w:val="007F4FEB"/>
    <w:rsid w:val="007F5442"/>
    <w:rsid w:val="007F55B8"/>
    <w:rsid w:val="007F55CD"/>
    <w:rsid w:val="007F5611"/>
    <w:rsid w:val="007F562B"/>
    <w:rsid w:val="007F56C6"/>
    <w:rsid w:val="007F5878"/>
    <w:rsid w:val="007F5999"/>
    <w:rsid w:val="007F5A84"/>
    <w:rsid w:val="007F5D61"/>
    <w:rsid w:val="007F5FED"/>
    <w:rsid w:val="007F61D0"/>
    <w:rsid w:val="007F6362"/>
    <w:rsid w:val="007F6454"/>
    <w:rsid w:val="007F66CC"/>
    <w:rsid w:val="007F6AB3"/>
    <w:rsid w:val="007F6B63"/>
    <w:rsid w:val="007F6BB2"/>
    <w:rsid w:val="007F6CA8"/>
    <w:rsid w:val="007F6EB4"/>
    <w:rsid w:val="007F6EC8"/>
    <w:rsid w:val="007F702A"/>
    <w:rsid w:val="007F70AC"/>
    <w:rsid w:val="007F7361"/>
    <w:rsid w:val="007F7495"/>
    <w:rsid w:val="007F7570"/>
    <w:rsid w:val="007F75E4"/>
    <w:rsid w:val="007F75F2"/>
    <w:rsid w:val="007F7672"/>
    <w:rsid w:val="007F795D"/>
    <w:rsid w:val="007F7AED"/>
    <w:rsid w:val="007F7AFB"/>
    <w:rsid w:val="007F7F2E"/>
    <w:rsid w:val="00800029"/>
    <w:rsid w:val="008000E4"/>
    <w:rsid w:val="0080010E"/>
    <w:rsid w:val="0080011B"/>
    <w:rsid w:val="00800398"/>
    <w:rsid w:val="008003B9"/>
    <w:rsid w:val="0080041B"/>
    <w:rsid w:val="0080044F"/>
    <w:rsid w:val="008004C0"/>
    <w:rsid w:val="00800506"/>
    <w:rsid w:val="0080053D"/>
    <w:rsid w:val="0080056F"/>
    <w:rsid w:val="0080080D"/>
    <w:rsid w:val="00800938"/>
    <w:rsid w:val="0080098A"/>
    <w:rsid w:val="00800CFE"/>
    <w:rsid w:val="0080150B"/>
    <w:rsid w:val="00801761"/>
    <w:rsid w:val="00801907"/>
    <w:rsid w:val="0080190C"/>
    <w:rsid w:val="00801A21"/>
    <w:rsid w:val="00801AC9"/>
    <w:rsid w:val="00801B5C"/>
    <w:rsid w:val="00801B67"/>
    <w:rsid w:val="00801B8D"/>
    <w:rsid w:val="00801BC9"/>
    <w:rsid w:val="00801D46"/>
    <w:rsid w:val="00801F99"/>
    <w:rsid w:val="008020AE"/>
    <w:rsid w:val="0080222A"/>
    <w:rsid w:val="0080225F"/>
    <w:rsid w:val="008026B4"/>
    <w:rsid w:val="008029D8"/>
    <w:rsid w:val="008029DD"/>
    <w:rsid w:val="00802AA4"/>
    <w:rsid w:val="00802B09"/>
    <w:rsid w:val="00802B33"/>
    <w:rsid w:val="00802D34"/>
    <w:rsid w:val="00802D8D"/>
    <w:rsid w:val="00802E56"/>
    <w:rsid w:val="00802F36"/>
    <w:rsid w:val="00802F66"/>
    <w:rsid w:val="00802F7D"/>
    <w:rsid w:val="0080309A"/>
    <w:rsid w:val="008031FD"/>
    <w:rsid w:val="00803767"/>
    <w:rsid w:val="00803829"/>
    <w:rsid w:val="0080383D"/>
    <w:rsid w:val="00803A0F"/>
    <w:rsid w:val="00803BBF"/>
    <w:rsid w:val="00803BC4"/>
    <w:rsid w:val="00803C59"/>
    <w:rsid w:val="00803C77"/>
    <w:rsid w:val="00803DAC"/>
    <w:rsid w:val="00803EE0"/>
    <w:rsid w:val="00803F86"/>
    <w:rsid w:val="00803FC8"/>
    <w:rsid w:val="00804285"/>
    <w:rsid w:val="0080442C"/>
    <w:rsid w:val="00804599"/>
    <w:rsid w:val="008045A4"/>
    <w:rsid w:val="00804872"/>
    <w:rsid w:val="00804947"/>
    <w:rsid w:val="00804C72"/>
    <w:rsid w:val="00804CBB"/>
    <w:rsid w:val="00804CF0"/>
    <w:rsid w:val="00804FAE"/>
    <w:rsid w:val="00804FC7"/>
    <w:rsid w:val="00805328"/>
    <w:rsid w:val="008053B1"/>
    <w:rsid w:val="0080541A"/>
    <w:rsid w:val="00805428"/>
    <w:rsid w:val="008057C6"/>
    <w:rsid w:val="00805A6B"/>
    <w:rsid w:val="00805ABC"/>
    <w:rsid w:val="00805B09"/>
    <w:rsid w:val="00805B27"/>
    <w:rsid w:val="00805CE0"/>
    <w:rsid w:val="00805F00"/>
    <w:rsid w:val="0080604E"/>
    <w:rsid w:val="008061E7"/>
    <w:rsid w:val="0080626A"/>
    <w:rsid w:val="00806314"/>
    <w:rsid w:val="0080636D"/>
    <w:rsid w:val="008065DE"/>
    <w:rsid w:val="0080663A"/>
    <w:rsid w:val="008068E2"/>
    <w:rsid w:val="0080692B"/>
    <w:rsid w:val="0080697E"/>
    <w:rsid w:val="008069C4"/>
    <w:rsid w:val="00806A8E"/>
    <w:rsid w:val="00806EB1"/>
    <w:rsid w:val="00807040"/>
    <w:rsid w:val="008070A5"/>
    <w:rsid w:val="008072D6"/>
    <w:rsid w:val="00807475"/>
    <w:rsid w:val="008075A0"/>
    <w:rsid w:val="008077DC"/>
    <w:rsid w:val="008078C3"/>
    <w:rsid w:val="0080793B"/>
    <w:rsid w:val="008079B2"/>
    <w:rsid w:val="008079BC"/>
    <w:rsid w:val="00807A48"/>
    <w:rsid w:val="00807AA5"/>
    <w:rsid w:val="00807B44"/>
    <w:rsid w:val="00807BD2"/>
    <w:rsid w:val="00807D5D"/>
    <w:rsid w:val="00810179"/>
    <w:rsid w:val="008101D9"/>
    <w:rsid w:val="008101FC"/>
    <w:rsid w:val="008102C1"/>
    <w:rsid w:val="00810378"/>
    <w:rsid w:val="00810842"/>
    <w:rsid w:val="00810A88"/>
    <w:rsid w:val="00810B7A"/>
    <w:rsid w:val="00810CBB"/>
    <w:rsid w:val="00810CDE"/>
    <w:rsid w:val="008110C5"/>
    <w:rsid w:val="008111EB"/>
    <w:rsid w:val="008113C0"/>
    <w:rsid w:val="0081157D"/>
    <w:rsid w:val="00811837"/>
    <w:rsid w:val="0081188A"/>
    <w:rsid w:val="00811AE3"/>
    <w:rsid w:val="00811B74"/>
    <w:rsid w:val="00811BAB"/>
    <w:rsid w:val="00811BAC"/>
    <w:rsid w:val="00811F58"/>
    <w:rsid w:val="008120D8"/>
    <w:rsid w:val="008121DD"/>
    <w:rsid w:val="008122D7"/>
    <w:rsid w:val="008124AB"/>
    <w:rsid w:val="008126E1"/>
    <w:rsid w:val="00812907"/>
    <w:rsid w:val="00812A81"/>
    <w:rsid w:val="00812B42"/>
    <w:rsid w:val="00812BB5"/>
    <w:rsid w:val="00812BFA"/>
    <w:rsid w:val="00812E4B"/>
    <w:rsid w:val="00812E78"/>
    <w:rsid w:val="00812EF7"/>
    <w:rsid w:val="00812FA1"/>
    <w:rsid w:val="008130C9"/>
    <w:rsid w:val="0081310F"/>
    <w:rsid w:val="008131A2"/>
    <w:rsid w:val="008131E1"/>
    <w:rsid w:val="008133D3"/>
    <w:rsid w:val="008134F0"/>
    <w:rsid w:val="008137A5"/>
    <w:rsid w:val="00813950"/>
    <w:rsid w:val="0081395B"/>
    <w:rsid w:val="00813AF7"/>
    <w:rsid w:val="00813C9B"/>
    <w:rsid w:val="00813CC8"/>
    <w:rsid w:val="00813D02"/>
    <w:rsid w:val="00813D4F"/>
    <w:rsid w:val="00813E3F"/>
    <w:rsid w:val="00814157"/>
    <w:rsid w:val="00814163"/>
    <w:rsid w:val="0081416D"/>
    <w:rsid w:val="0081418B"/>
    <w:rsid w:val="008141F5"/>
    <w:rsid w:val="00814341"/>
    <w:rsid w:val="00814448"/>
    <w:rsid w:val="00814696"/>
    <w:rsid w:val="00814833"/>
    <w:rsid w:val="00814868"/>
    <w:rsid w:val="00814A82"/>
    <w:rsid w:val="00814EA9"/>
    <w:rsid w:val="00814FE7"/>
    <w:rsid w:val="008150CA"/>
    <w:rsid w:val="008150D6"/>
    <w:rsid w:val="008150DC"/>
    <w:rsid w:val="00815184"/>
    <w:rsid w:val="0081535D"/>
    <w:rsid w:val="008154E4"/>
    <w:rsid w:val="00815556"/>
    <w:rsid w:val="00815641"/>
    <w:rsid w:val="008156DF"/>
    <w:rsid w:val="008159D0"/>
    <w:rsid w:val="008159DA"/>
    <w:rsid w:val="008159F9"/>
    <w:rsid w:val="00815A32"/>
    <w:rsid w:val="00815A54"/>
    <w:rsid w:val="00815B00"/>
    <w:rsid w:val="00815B99"/>
    <w:rsid w:val="00815CAB"/>
    <w:rsid w:val="00815FB7"/>
    <w:rsid w:val="00815FC8"/>
    <w:rsid w:val="00816104"/>
    <w:rsid w:val="008161CC"/>
    <w:rsid w:val="008161F7"/>
    <w:rsid w:val="00816340"/>
    <w:rsid w:val="0081674C"/>
    <w:rsid w:val="00816888"/>
    <w:rsid w:val="00816979"/>
    <w:rsid w:val="008169E6"/>
    <w:rsid w:val="00816A39"/>
    <w:rsid w:val="00816B55"/>
    <w:rsid w:val="00816D24"/>
    <w:rsid w:val="00817283"/>
    <w:rsid w:val="0081769B"/>
    <w:rsid w:val="00817735"/>
    <w:rsid w:val="0081774B"/>
    <w:rsid w:val="008179AA"/>
    <w:rsid w:val="00817B7A"/>
    <w:rsid w:val="00817E42"/>
    <w:rsid w:val="008202AA"/>
    <w:rsid w:val="0082033D"/>
    <w:rsid w:val="0082036C"/>
    <w:rsid w:val="00820439"/>
    <w:rsid w:val="00820572"/>
    <w:rsid w:val="00820691"/>
    <w:rsid w:val="008207F7"/>
    <w:rsid w:val="00820A2C"/>
    <w:rsid w:val="00820A38"/>
    <w:rsid w:val="00820C1F"/>
    <w:rsid w:val="00820D94"/>
    <w:rsid w:val="00820EFD"/>
    <w:rsid w:val="00821043"/>
    <w:rsid w:val="008214C5"/>
    <w:rsid w:val="008215F1"/>
    <w:rsid w:val="008219BA"/>
    <w:rsid w:val="00821BCC"/>
    <w:rsid w:val="00821C41"/>
    <w:rsid w:val="00821D81"/>
    <w:rsid w:val="00822125"/>
    <w:rsid w:val="0082213F"/>
    <w:rsid w:val="0082219D"/>
    <w:rsid w:val="008222AD"/>
    <w:rsid w:val="008222FE"/>
    <w:rsid w:val="00822538"/>
    <w:rsid w:val="008227B8"/>
    <w:rsid w:val="0082288C"/>
    <w:rsid w:val="00822A12"/>
    <w:rsid w:val="00822B57"/>
    <w:rsid w:val="00822EFA"/>
    <w:rsid w:val="00823092"/>
    <w:rsid w:val="008232BF"/>
    <w:rsid w:val="00823304"/>
    <w:rsid w:val="0082333F"/>
    <w:rsid w:val="008234E5"/>
    <w:rsid w:val="00823536"/>
    <w:rsid w:val="00823905"/>
    <w:rsid w:val="00823931"/>
    <w:rsid w:val="008239C3"/>
    <w:rsid w:val="008239C6"/>
    <w:rsid w:val="008239FF"/>
    <w:rsid w:val="00823B15"/>
    <w:rsid w:val="00823BC4"/>
    <w:rsid w:val="00823BD3"/>
    <w:rsid w:val="00823C6D"/>
    <w:rsid w:val="00823C70"/>
    <w:rsid w:val="00823CBC"/>
    <w:rsid w:val="00823CD4"/>
    <w:rsid w:val="00823CDB"/>
    <w:rsid w:val="00823D14"/>
    <w:rsid w:val="00823E5C"/>
    <w:rsid w:val="0082406A"/>
    <w:rsid w:val="00824126"/>
    <w:rsid w:val="008244B2"/>
    <w:rsid w:val="008244F1"/>
    <w:rsid w:val="008249C3"/>
    <w:rsid w:val="00824AE5"/>
    <w:rsid w:val="00824B40"/>
    <w:rsid w:val="00824DA1"/>
    <w:rsid w:val="00824F9C"/>
    <w:rsid w:val="00825218"/>
    <w:rsid w:val="0082529E"/>
    <w:rsid w:val="008253B1"/>
    <w:rsid w:val="008255D8"/>
    <w:rsid w:val="008256B8"/>
    <w:rsid w:val="008256E8"/>
    <w:rsid w:val="0082572C"/>
    <w:rsid w:val="0082583F"/>
    <w:rsid w:val="00825A1D"/>
    <w:rsid w:val="00825B58"/>
    <w:rsid w:val="00825DB3"/>
    <w:rsid w:val="00825DCC"/>
    <w:rsid w:val="00825E72"/>
    <w:rsid w:val="00825F57"/>
    <w:rsid w:val="008260FC"/>
    <w:rsid w:val="0082638E"/>
    <w:rsid w:val="008263B7"/>
    <w:rsid w:val="00826412"/>
    <w:rsid w:val="0082649E"/>
    <w:rsid w:val="008264D2"/>
    <w:rsid w:val="008265F9"/>
    <w:rsid w:val="008266D7"/>
    <w:rsid w:val="00826967"/>
    <w:rsid w:val="008269CA"/>
    <w:rsid w:val="00826A0A"/>
    <w:rsid w:val="00826B55"/>
    <w:rsid w:val="00826BB4"/>
    <w:rsid w:val="00826BC5"/>
    <w:rsid w:val="00826CBB"/>
    <w:rsid w:val="0082705D"/>
    <w:rsid w:val="008270BA"/>
    <w:rsid w:val="0082729C"/>
    <w:rsid w:val="00827310"/>
    <w:rsid w:val="0082739F"/>
    <w:rsid w:val="0082743C"/>
    <w:rsid w:val="008275DE"/>
    <w:rsid w:val="008275EC"/>
    <w:rsid w:val="008277E7"/>
    <w:rsid w:val="00827859"/>
    <w:rsid w:val="00827981"/>
    <w:rsid w:val="008279C0"/>
    <w:rsid w:val="00827B87"/>
    <w:rsid w:val="00827BFF"/>
    <w:rsid w:val="00827D09"/>
    <w:rsid w:val="00827E21"/>
    <w:rsid w:val="00827F12"/>
    <w:rsid w:val="00827FE9"/>
    <w:rsid w:val="00830164"/>
    <w:rsid w:val="008301BB"/>
    <w:rsid w:val="00830264"/>
    <w:rsid w:val="00830452"/>
    <w:rsid w:val="00830819"/>
    <w:rsid w:val="0083087C"/>
    <w:rsid w:val="008308BB"/>
    <w:rsid w:val="00830C5D"/>
    <w:rsid w:val="00830D06"/>
    <w:rsid w:val="00830EE9"/>
    <w:rsid w:val="00830FF1"/>
    <w:rsid w:val="00831002"/>
    <w:rsid w:val="0083104D"/>
    <w:rsid w:val="00831153"/>
    <w:rsid w:val="0083115E"/>
    <w:rsid w:val="00831203"/>
    <w:rsid w:val="00831305"/>
    <w:rsid w:val="00831328"/>
    <w:rsid w:val="00831394"/>
    <w:rsid w:val="008314B5"/>
    <w:rsid w:val="00831796"/>
    <w:rsid w:val="008317D4"/>
    <w:rsid w:val="00831E12"/>
    <w:rsid w:val="00831E66"/>
    <w:rsid w:val="00831F5D"/>
    <w:rsid w:val="00832010"/>
    <w:rsid w:val="00832020"/>
    <w:rsid w:val="00832749"/>
    <w:rsid w:val="0083280D"/>
    <w:rsid w:val="00832847"/>
    <w:rsid w:val="0083291A"/>
    <w:rsid w:val="00832973"/>
    <w:rsid w:val="00832AAB"/>
    <w:rsid w:val="00832BE0"/>
    <w:rsid w:val="00832F48"/>
    <w:rsid w:val="00833014"/>
    <w:rsid w:val="00833019"/>
    <w:rsid w:val="0083314C"/>
    <w:rsid w:val="008331E5"/>
    <w:rsid w:val="008338B9"/>
    <w:rsid w:val="00833A36"/>
    <w:rsid w:val="00833B7A"/>
    <w:rsid w:val="00833C15"/>
    <w:rsid w:val="00833C2A"/>
    <w:rsid w:val="00833FBC"/>
    <w:rsid w:val="00834053"/>
    <w:rsid w:val="008343FD"/>
    <w:rsid w:val="0083442C"/>
    <w:rsid w:val="008347BC"/>
    <w:rsid w:val="008349AE"/>
    <w:rsid w:val="00834A2D"/>
    <w:rsid w:val="00834B38"/>
    <w:rsid w:val="00834E45"/>
    <w:rsid w:val="00834EAA"/>
    <w:rsid w:val="00834F40"/>
    <w:rsid w:val="00834FD9"/>
    <w:rsid w:val="008351F0"/>
    <w:rsid w:val="008353ED"/>
    <w:rsid w:val="008354EB"/>
    <w:rsid w:val="00835598"/>
    <w:rsid w:val="008355D2"/>
    <w:rsid w:val="008356E9"/>
    <w:rsid w:val="008357C1"/>
    <w:rsid w:val="00835891"/>
    <w:rsid w:val="00835909"/>
    <w:rsid w:val="00835BFD"/>
    <w:rsid w:val="00835BFE"/>
    <w:rsid w:val="00835C0E"/>
    <w:rsid w:val="00836040"/>
    <w:rsid w:val="008360DA"/>
    <w:rsid w:val="00836159"/>
    <w:rsid w:val="0083622A"/>
    <w:rsid w:val="008362A7"/>
    <w:rsid w:val="008362D9"/>
    <w:rsid w:val="008362E1"/>
    <w:rsid w:val="00836336"/>
    <w:rsid w:val="0083636F"/>
    <w:rsid w:val="00836372"/>
    <w:rsid w:val="008363BD"/>
    <w:rsid w:val="008364BC"/>
    <w:rsid w:val="00836689"/>
    <w:rsid w:val="008366F7"/>
    <w:rsid w:val="008368AF"/>
    <w:rsid w:val="00836A9F"/>
    <w:rsid w:val="008370AF"/>
    <w:rsid w:val="00837200"/>
    <w:rsid w:val="0083728E"/>
    <w:rsid w:val="00837302"/>
    <w:rsid w:val="008375B0"/>
    <w:rsid w:val="008377DB"/>
    <w:rsid w:val="0083798C"/>
    <w:rsid w:val="00837998"/>
    <w:rsid w:val="008379C7"/>
    <w:rsid w:val="00837AA3"/>
    <w:rsid w:val="00837B01"/>
    <w:rsid w:val="00837B3C"/>
    <w:rsid w:val="00837D4A"/>
    <w:rsid w:val="00837D80"/>
    <w:rsid w:val="00837D97"/>
    <w:rsid w:val="00837F67"/>
    <w:rsid w:val="00837F88"/>
    <w:rsid w:val="008401C4"/>
    <w:rsid w:val="00840243"/>
    <w:rsid w:val="008404F4"/>
    <w:rsid w:val="00840881"/>
    <w:rsid w:val="008408A1"/>
    <w:rsid w:val="008408C5"/>
    <w:rsid w:val="00840B86"/>
    <w:rsid w:val="00840CC6"/>
    <w:rsid w:val="00840CE9"/>
    <w:rsid w:val="00840F15"/>
    <w:rsid w:val="00840FDF"/>
    <w:rsid w:val="00841049"/>
    <w:rsid w:val="008411B4"/>
    <w:rsid w:val="008411BB"/>
    <w:rsid w:val="0084123F"/>
    <w:rsid w:val="008412AB"/>
    <w:rsid w:val="00841314"/>
    <w:rsid w:val="008413D1"/>
    <w:rsid w:val="0084148D"/>
    <w:rsid w:val="008415CF"/>
    <w:rsid w:val="0084160C"/>
    <w:rsid w:val="0084170F"/>
    <w:rsid w:val="00841719"/>
    <w:rsid w:val="008417C2"/>
    <w:rsid w:val="008419DD"/>
    <w:rsid w:val="00841EB6"/>
    <w:rsid w:val="00841F1F"/>
    <w:rsid w:val="00841FD7"/>
    <w:rsid w:val="008421D8"/>
    <w:rsid w:val="0084248B"/>
    <w:rsid w:val="00842590"/>
    <w:rsid w:val="00842818"/>
    <w:rsid w:val="008428B4"/>
    <w:rsid w:val="00842A54"/>
    <w:rsid w:val="00842D76"/>
    <w:rsid w:val="00842E09"/>
    <w:rsid w:val="00842EB9"/>
    <w:rsid w:val="00842F11"/>
    <w:rsid w:val="0084339A"/>
    <w:rsid w:val="008433AE"/>
    <w:rsid w:val="00843426"/>
    <w:rsid w:val="00843433"/>
    <w:rsid w:val="00843485"/>
    <w:rsid w:val="0084348D"/>
    <w:rsid w:val="00843501"/>
    <w:rsid w:val="008435D1"/>
    <w:rsid w:val="00843692"/>
    <w:rsid w:val="0084386D"/>
    <w:rsid w:val="00843905"/>
    <w:rsid w:val="00843AD3"/>
    <w:rsid w:val="00843B1F"/>
    <w:rsid w:val="00843B3A"/>
    <w:rsid w:val="00843B5E"/>
    <w:rsid w:val="00843B82"/>
    <w:rsid w:val="00843D0F"/>
    <w:rsid w:val="00843ECE"/>
    <w:rsid w:val="00843ED4"/>
    <w:rsid w:val="00844082"/>
    <w:rsid w:val="00844166"/>
    <w:rsid w:val="0084440D"/>
    <w:rsid w:val="008446A8"/>
    <w:rsid w:val="0084473A"/>
    <w:rsid w:val="008448B0"/>
    <w:rsid w:val="008448F6"/>
    <w:rsid w:val="008449A3"/>
    <w:rsid w:val="00844AE9"/>
    <w:rsid w:val="00845014"/>
    <w:rsid w:val="008450C1"/>
    <w:rsid w:val="0084511B"/>
    <w:rsid w:val="0084512D"/>
    <w:rsid w:val="00845198"/>
    <w:rsid w:val="008454ED"/>
    <w:rsid w:val="008455E0"/>
    <w:rsid w:val="008457BB"/>
    <w:rsid w:val="008457DB"/>
    <w:rsid w:val="00845846"/>
    <w:rsid w:val="00845AFB"/>
    <w:rsid w:val="00845CD4"/>
    <w:rsid w:val="00845D8E"/>
    <w:rsid w:val="00845E63"/>
    <w:rsid w:val="008461A4"/>
    <w:rsid w:val="00846319"/>
    <w:rsid w:val="0084650C"/>
    <w:rsid w:val="0084650F"/>
    <w:rsid w:val="008466C7"/>
    <w:rsid w:val="008466E5"/>
    <w:rsid w:val="00846B96"/>
    <w:rsid w:val="00846BAC"/>
    <w:rsid w:val="00846CD4"/>
    <w:rsid w:val="00846D0D"/>
    <w:rsid w:val="00846D55"/>
    <w:rsid w:val="00846D77"/>
    <w:rsid w:val="00846D9E"/>
    <w:rsid w:val="008471AE"/>
    <w:rsid w:val="0084722F"/>
    <w:rsid w:val="0084750D"/>
    <w:rsid w:val="008475E0"/>
    <w:rsid w:val="008478F4"/>
    <w:rsid w:val="00847A6E"/>
    <w:rsid w:val="00847B6D"/>
    <w:rsid w:val="00847C1F"/>
    <w:rsid w:val="00847C39"/>
    <w:rsid w:val="0085000F"/>
    <w:rsid w:val="00850214"/>
    <w:rsid w:val="0085029D"/>
    <w:rsid w:val="00850504"/>
    <w:rsid w:val="008505D1"/>
    <w:rsid w:val="0085068F"/>
    <w:rsid w:val="00850706"/>
    <w:rsid w:val="0085072B"/>
    <w:rsid w:val="00850889"/>
    <w:rsid w:val="00850C19"/>
    <w:rsid w:val="00850C97"/>
    <w:rsid w:val="00850CC2"/>
    <w:rsid w:val="00850E39"/>
    <w:rsid w:val="00850F98"/>
    <w:rsid w:val="00851076"/>
    <w:rsid w:val="0085111E"/>
    <w:rsid w:val="008511D4"/>
    <w:rsid w:val="00851303"/>
    <w:rsid w:val="00851478"/>
    <w:rsid w:val="0085149D"/>
    <w:rsid w:val="0085168F"/>
    <w:rsid w:val="00851828"/>
    <w:rsid w:val="0085187C"/>
    <w:rsid w:val="008518C7"/>
    <w:rsid w:val="008518FB"/>
    <w:rsid w:val="00851995"/>
    <w:rsid w:val="00851998"/>
    <w:rsid w:val="008519D2"/>
    <w:rsid w:val="00851C01"/>
    <w:rsid w:val="00851C76"/>
    <w:rsid w:val="00851CF0"/>
    <w:rsid w:val="008520A8"/>
    <w:rsid w:val="008520D6"/>
    <w:rsid w:val="008521ED"/>
    <w:rsid w:val="00852480"/>
    <w:rsid w:val="0085254B"/>
    <w:rsid w:val="00852583"/>
    <w:rsid w:val="008528CA"/>
    <w:rsid w:val="008529D3"/>
    <w:rsid w:val="00852C21"/>
    <w:rsid w:val="00852C5A"/>
    <w:rsid w:val="00852CCC"/>
    <w:rsid w:val="00852EA3"/>
    <w:rsid w:val="00853078"/>
    <w:rsid w:val="008531E5"/>
    <w:rsid w:val="00853260"/>
    <w:rsid w:val="008532F3"/>
    <w:rsid w:val="00853360"/>
    <w:rsid w:val="0085345E"/>
    <w:rsid w:val="008534DD"/>
    <w:rsid w:val="008534F0"/>
    <w:rsid w:val="00853570"/>
    <w:rsid w:val="00853596"/>
    <w:rsid w:val="00853686"/>
    <w:rsid w:val="008537C2"/>
    <w:rsid w:val="00853852"/>
    <w:rsid w:val="00853B91"/>
    <w:rsid w:val="00853E5B"/>
    <w:rsid w:val="00853F12"/>
    <w:rsid w:val="00853FBA"/>
    <w:rsid w:val="0085409F"/>
    <w:rsid w:val="008540D1"/>
    <w:rsid w:val="0085419B"/>
    <w:rsid w:val="008541D8"/>
    <w:rsid w:val="00854392"/>
    <w:rsid w:val="00854398"/>
    <w:rsid w:val="0085442E"/>
    <w:rsid w:val="008546DF"/>
    <w:rsid w:val="008546FF"/>
    <w:rsid w:val="00854938"/>
    <w:rsid w:val="0085494F"/>
    <w:rsid w:val="00854ADA"/>
    <w:rsid w:val="00854B34"/>
    <w:rsid w:val="00854E45"/>
    <w:rsid w:val="00854F30"/>
    <w:rsid w:val="00854F51"/>
    <w:rsid w:val="00855056"/>
    <w:rsid w:val="008550F0"/>
    <w:rsid w:val="008552FE"/>
    <w:rsid w:val="0085534F"/>
    <w:rsid w:val="008556D8"/>
    <w:rsid w:val="00855779"/>
    <w:rsid w:val="008559C8"/>
    <w:rsid w:val="008559DD"/>
    <w:rsid w:val="00855ACA"/>
    <w:rsid w:val="00855AF2"/>
    <w:rsid w:val="00855B4F"/>
    <w:rsid w:val="00855D9B"/>
    <w:rsid w:val="00855EF3"/>
    <w:rsid w:val="00855F96"/>
    <w:rsid w:val="00856016"/>
    <w:rsid w:val="00856067"/>
    <w:rsid w:val="0085643E"/>
    <w:rsid w:val="008565BD"/>
    <w:rsid w:val="00856632"/>
    <w:rsid w:val="008566A6"/>
    <w:rsid w:val="008566AB"/>
    <w:rsid w:val="008569FE"/>
    <w:rsid w:val="00856E6C"/>
    <w:rsid w:val="00856FEA"/>
    <w:rsid w:val="00857057"/>
    <w:rsid w:val="00857064"/>
    <w:rsid w:val="00857079"/>
    <w:rsid w:val="008572E4"/>
    <w:rsid w:val="008574D6"/>
    <w:rsid w:val="008576F3"/>
    <w:rsid w:val="00857709"/>
    <w:rsid w:val="0085771F"/>
    <w:rsid w:val="0085774D"/>
    <w:rsid w:val="00857863"/>
    <w:rsid w:val="008578D4"/>
    <w:rsid w:val="00857D07"/>
    <w:rsid w:val="008600FC"/>
    <w:rsid w:val="00860166"/>
    <w:rsid w:val="00860219"/>
    <w:rsid w:val="00860255"/>
    <w:rsid w:val="00860287"/>
    <w:rsid w:val="00860306"/>
    <w:rsid w:val="0086030C"/>
    <w:rsid w:val="00860339"/>
    <w:rsid w:val="00860370"/>
    <w:rsid w:val="008603E1"/>
    <w:rsid w:val="0086045B"/>
    <w:rsid w:val="008604E7"/>
    <w:rsid w:val="00860618"/>
    <w:rsid w:val="008606D9"/>
    <w:rsid w:val="00860835"/>
    <w:rsid w:val="00860A48"/>
    <w:rsid w:val="00860ABA"/>
    <w:rsid w:val="00860C14"/>
    <w:rsid w:val="00860DAE"/>
    <w:rsid w:val="00860E3F"/>
    <w:rsid w:val="00860F0F"/>
    <w:rsid w:val="00860F93"/>
    <w:rsid w:val="0086105B"/>
    <w:rsid w:val="00861129"/>
    <w:rsid w:val="008611D1"/>
    <w:rsid w:val="00861366"/>
    <w:rsid w:val="008613F1"/>
    <w:rsid w:val="00861696"/>
    <w:rsid w:val="00861961"/>
    <w:rsid w:val="00861BE3"/>
    <w:rsid w:val="00861C49"/>
    <w:rsid w:val="00861CB9"/>
    <w:rsid w:val="00861DC8"/>
    <w:rsid w:val="008623C5"/>
    <w:rsid w:val="0086255A"/>
    <w:rsid w:val="008626F8"/>
    <w:rsid w:val="00862726"/>
    <w:rsid w:val="00862841"/>
    <w:rsid w:val="00862863"/>
    <w:rsid w:val="00862870"/>
    <w:rsid w:val="00862884"/>
    <w:rsid w:val="00862ADE"/>
    <w:rsid w:val="00862B04"/>
    <w:rsid w:val="00862B54"/>
    <w:rsid w:val="00862DB1"/>
    <w:rsid w:val="00862E5B"/>
    <w:rsid w:val="00862E77"/>
    <w:rsid w:val="00862F27"/>
    <w:rsid w:val="00862F3C"/>
    <w:rsid w:val="00862F63"/>
    <w:rsid w:val="00863032"/>
    <w:rsid w:val="00863051"/>
    <w:rsid w:val="00863053"/>
    <w:rsid w:val="00863233"/>
    <w:rsid w:val="0086323C"/>
    <w:rsid w:val="008632AF"/>
    <w:rsid w:val="008633E0"/>
    <w:rsid w:val="0086360F"/>
    <w:rsid w:val="00863929"/>
    <w:rsid w:val="0086393D"/>
    <w:rsid w:val="00863B3D"/>
    <w:rsid w:val="00863B59"/>
    <w:rsid w:val="00863B81"/>
    <w:rsid w:val="00863C81"/>
    <w:rsid w:val="00863D14"/>
    <w:rsid w:val="00863D25"/>
    <w:rsid w:val="00863EB0"/>
    <w:rsid w:val="0086417C"/>
    <w:rsid w:val="008641D4"/>
    <w:rsid w:val="008642BB"/>
    <w:rsid w:val="00864567"/>
    <w:rsid w:val="00864601"/>
    <w:rsid w:val="008647F0"/>
    <w:rsid w:val="008649C2"/>
    <w:rsid w:val="00864C82"/>
    <w:rsid w:val="00864C8E"/>
    <w:rsid w:val="00864DA1"/>
    <w:rsid w:val="00864E34"/>
    <w:rsid w:val="00864EC4"/>
    <w:rsid w:val="00864FC2"/>
    <w:rsid w:val="008650A8"/>
    <w:rsid w:val="008650AB"/>
    <w:rsid w:val="008652FE"/>
    <w:rsid w:val="008653E9"/>
    <w:rsid w:val="00865490"/>
    <w:rsid w:val="0086555F"/>
    <w:rsid w:val="00865582"/>
    <w:rsid w:val="008655C4"/>
    <w:rsid w:val="008658A3"/>
    <w:rsid w:val="0086595A"/>
    <w:rsid w:val="00865A16"/>
    <w:rsid w:val="00865F24"/>
    <w:rsid w:val="00865F5A"/>
    <w:rsid w:val="00865F8F"/>
    <w:rsid w:val="008660A4"/>
    <w:rsid w:val="008661A7"/>
    <w:rsid w:val="0086685A"/>
    <w:rsid w:val="008668C9"/>
    <w:rsid w:val="00866B80"/>
    <w:rsid w:val="00866BD1"/>
    <w:rsid w:val="00866CCD"/>
    <w:rsid w:val="008670EB"/>
    <w:rsid w:val="00867270"/>
    <w:rsid w:val="00867275"/>
    <w:rsid w:val="008672C4"/>
    <w:rsid w:val="00867308"/>
    <w:rsid w:val="0086756C"/>
    <w:rsid w:val="008675A5"/>
    <w:rsid w:val="008675CA"/>
    <w:rsid w:val="00867AE4"/>
    <w:rsid w:val="00867C64"/>
    <w:rsid w:val="00867D61"/>
    <w:rsid w:val="00867D99"/>
    <w:rsid w:val="008701E5"/>
    <w:rsid w:val="00870229"/>
    <w:rsid w:val="008702D3"/>
    <w:rsid w:val="00870763"/>
    <w:rsid w:val="0087080B"/>
    <w:rsid w:val="008708F7"/>
    <w:rsid w:val="00870A2D"/>
    <w:rsid w:val="00870B10"/>
    <w:rsid w:val="00870BA1"/>
    <w:rsid w:val="00870BB9"/>
    <w:rsid w:val="00870CB8"/>
    <w:rsid w:val="00870D24"/>
    <w:rsid w:val="00870DC6"/>
    <w:rsid w:val="00870DE3"/>
    <w:rsid w:val="00870E59"/>
    <w:rsid w:val="00870EB6"/>
    <w:rsid w:val="0087118C"/>
    <w:rsid w:val="008711FE"/>
    <w:rsid w:val="00871756"/>
    <w:rsid w:val="0087179D"/>
    <w:rsid w:val="00871E9B"/>
    <w:rsid w:val="00872016"/>
    <w:rsid w:val="00872124"/>
    <w:rsid w:val="00872308"/>
    <w:rsid w:val="00872433"/>
    <w:rsid w:val="008724DB"/>
    <w:rsid w:val="00872796"/>
    <w:rsid w:val="00872937"/>
    <w:rsid w:val="00872D07"/>
    <w:rsid w:val="00872DA2"/>
    <w:rsid w:val="00872DE6"/>
    <w:rsid w:val="00872E0A"/>
    <w:rsid w:val="00872E41"/>
    <w:rsid w:val="00872E59"/>
    <w:rsid w:val="00872F1A"/>
    <w:rsid w:val="00872F45"/>
    <w:rsid w:val="0087308C"/>
    <w:rsid w:val="008730EB"/>
    <w:rsid w:val="00873201"/>
    <w:rsid w:val="0087322A"/>
    <w:rsid w:val="00873673"/>
    <w:rsid w:val="0087379C"/>
    <w:rsid w:val="008737D8"/>
    <w:rsid w:val="0087381C"/>
    <w:rsid w:val="0087382E"/>
    <w:rsid w:val="0087384B"/>
    <w:rsid w:val="0087388F"/>
    <w:rsid w:val="0087395D"/>
    <w:rsid w:val="00873A0B"/>
    <w:rsid w:val="00873A5A"/>
    <w:rsid w:val="00873AAC"/>
    <w:rsid w:val="00873B7F"/>
    <w:rsid w:val="00873BCE"/>
    <w:rsid w:val="00873BCF"/>
    <w:rsid w:val="00873C48"/>
    <w:rsid w:val="00873FB9"/>
    <w:rsid w:val="00874413"/>
    <w:rsid w:val="00874522"/>
    <w:rsid w:val="00874577"/>
    <w:rsid w:val="0087460C"/>
    <w:rsid w:val="00874A56"/>
    <w:rsid w:val="00874A73"/>
    <w:rsid w:val="00874AF4"/>
    <w:rsid w:val="00874BF6"/>
    <w:rsid w:val="00874F86"/>
    <w:rsid w:val="00875119"/>
    <w:rsid w:val="008752C1"/>
    <w:rsid w:val="00875308"/>
    <w:rsid w:val="00875542"/>
    <w:rsid w:val="00875552"/>
    <w:rsid w:val="00875775"/>
    <w:rsid w:val="00875834"/>
    <w:rsid w:val="00875954"/>
    <w:rsid w:val="0087595D"/>
    <w:rsid w:val="0087599A"/>
    <w:rsid w:val="00875A7A"/>
    <w:rsid w:val="00875D62"/>
    <w:rsid w:val="00875D73"/>
    <w:rsid w:val="00875DA4"/>
    <w:rsid w:val="00875DD1"/>
    <w:rsid w:val="00875FD2"/>
    <w:rsid w:val="008760FE"/>
    <w:rsid w:val="00876217"/>
    <w:rsid w:val="00876265"/>
    <w:rsid w:val="00876281"/>
    <w:rsid w:val="0087635F"/>
    <w:rsid w:val="008763B3"/>
    <w:rsid w:val="008764FE"/>
    <w:rsid w:val="00876857"/>
    <w:rsid w:val="00876D34"/>
    <w:rsid w:val="00876E3F"/>
    <w:rsid w:val="00876E75"/>
    <w:rsid w:val="00876E96"/>
    <w:rsid w:val="00876F62"/>
    <w:rsid w:val="00876F9F"/>
    <w:rsid w:val="00877002"/>
    <w:rsid w:val="0087703D"/>
    <w:rsid w:val="00877098"/>
    <w:rsid w:val="0087712A"/>
    <w:rsid w:val="00877215"/>
    <w:rsid w:val="00877253"/>
    <w:rsid w:val="0087747E"/>
    <w:rsid w:val="008774DE"/>
    <w:rsid w:val="008775AD"/>
    <w:rsid w:val="0087764A"/>
    <w:rsid w:val="0087765B"/>
    <w:rsid w:val="00877A34"/>
    <w:rsid w:val="00877ADA"/>
    <w:rsid w:val="00877C8D"/>
    <w:rsid w:val="00877DC9"/>
    <w:rsid w:val="00877E21"/>
    <w:rsid w:val="00877F21"/>
    <w:rsid w:val="0088001B"/>
    <w:rsid w:val="00880075"/>
    <w:rsid w:val="008802F1"/>
    <w:rsid w:val="00880597"/>
    <w:rsid w:val="00880660"/>
    <w:rsid w:val="00880693"/>
    <w:rsid w:val="008808E8"/>
    <w:rsid w:val="008809D1"/>
    <w:rsid w:val="00880C8E"/>
    <w:rsid w:val="00880CB7"/>
    <w:rsid w:val="00880E2A"/>
    <w:rsid w:val="00880E71"/>
    <w:rsid w:val="00880E74"/>
    <w:rsid w:val="00880E8D"/>
    <w:rsid w:val="00880F52"/>
    <w:rsid w:val="00880FC5"/>
    <w:rsid w:val="0088102B"/>
    <w:rsid w:val="0088103D"/>
    <w:rsid w:val="008814DA"/>
    <w:rsid w:val="0088151C"/>
    <w:rsid w:val="00881540"/>
    <w:rsid w:val="00881593"/>
    <w:rsid w:val="008815CF"/>
    <w:rsid w:val="008817B1"/>
    <w:rsid w:val="008817EA"/>
    <w:rsid w:val="008818A2"/>
    <w:rsid w:val="00881963"/>
    <w:rsid w:val="0088197F"/>
    <w:rsid w:val="00881983"/>
    <w:rsid w:val="00881984"/>
    <w:rsid w:val="00881BC9"/>
    <w:rsid w:val="00881BCD"/>
    <w:rsid w:val="00881C7C"/>
    <w:rsid w:val="00881D09"/>
    <w:rsid w:val="00881DF2"/>
    <w:rsid w:val="00881F83"/>
    <w:rsid w:val="00882065"/>
    <w:rsid w:val="008820D8"/>
    <w:rsid w:val="008821B9"/>
    <w:rsid w:val="0088233B"/>
    <w:rsid w:val="008823C8"/>
    <w:rsid w:val="00882404"/>
    <w:rsid w:val="0088274D"/>
    <w:rsid w:val="00882834"/>
    <w:rsid w:val="00882887"/>
    <w:rsid w:val="00882E1B"/>
    <w:rsid w:val="00882EE3"/>
    <w:rsid w:val="00883238"/>
    <w:rsid w:val="00883310"/>
    <w:rsid w:val="00883336"/>
    <w:rsid w:val="0088380B"/>
    <w:rsid w:val="00883830"/>
    <w:rsid w:val="0088393E"/>
    <w:rsid w:val="00883A70"/>
    <w:rsid w:val="00883FBF"/>
    <w:rsid w:val="00883FF3"/>
    <w:rsid w:val="00884027"/>
    <w:rsid w:val="0088403D"/>
    <w:rsid w:val="0088405B"/>
    <w:rsid w:val="008843D2"/>
    <w:rsid w:val="00884417"/>
    <w:rsid w:val="008845CD"/>
    <w:rsid w:val="008845E5"/>
    <w:rsid w:val="00884687"/>
    <w:rsid w:val="00884BE2"/>
    <w:rsid w:val="0088511A"/>
    <w:rsid w:val="008851BD"/>
    <w:rsid w:val="0088523C"/>
    <w:rsid w:val="00885483"/>
    <w:rsid w:val="008855A9"/>
    <w:rsid w:val="00885874"/>
    <w:rsid w:val="00885AEF"/>
    <w:rsid w:val="00885C09"/>
    <w:rsid w:val="00885D8B"/>
    <w:rsid w:val="00885DB6"/>
    <w:rsid w:val="00885E3E"/>
    <w:rsid w:val="00885E9D"/>
    <w:rsid w:val="00885F63"/>
    <w:rsid w:val="00886023"/>
    <w:rsid w:val="008860D7"/>
    <w:rsid w:val="0088621E"/>
    <w:rsid w:val="00886246"/>
    <w:rsid w:val="0088627E"/>
    <w:rsid w:val="00886351"/>
    <w:rsid w:val="008863C0"/>
    <w:rsid w:val="0088648E"/>
    <w:rsid w:val="008864AD"/>
    <w:rsid w:val="0088673F"/>
    <w:rsid w:val="00886748"/>
    <w:rsid w:val="00886856"/>
    <w:rsid w:val="00886992"/>
    <w:rsid w:val="008869DE"/>
    <w:rsid w:val="00886C38"/>
    <w:rsid w:val="00887094"/>
    <w:rsid w:val="008870AB"/>
    <w:rsid w:val="0088743B"/>
    <w:rsid w:val="00887444"/>
    <w:rsid w:val="0088745B"/>
    <w:rsid w:val="0088762B"/>
    <w:rsid w:val="0088770E"/>
    <w:rsid w:val="008877B0"/>
    <w:rsid w:val="008877CC"/>
    <w:rsid w:val="008877E6"/>
    <w:rsid w:val="00887AB5"/>
    <w:rsid w:val="00887CD0"/>
    <w:rsid w:val="00887D28"/>
    <w:rsid w:val="008900A8"/>
    <w:rsid w:val="008901B4"/>
    <w:rsid w:val="00890229"/>
    <w:rsid w:val="0089027D"/>
    <w:rsid w:val="0089037D"/>
    <w:rsid w:val="008903EA"/>
    <w:rsid w:val="00890413"/>
    <w:rsid w:val="008905AF"/>
    <w:rsid w:val="00890623"/>
    <w:rsid w:val="008907DE"/>
    <w:rsid w:val="0089084A"/>
    <w:rsid w:val="0089086D"/>
    <w:rsid w:val="00890B82"/>
    <w:rsid w:val="00890C5B"/>
    <w:rsid w:val="00890EA8"/>
    <w:rsid w:val="00890ED0"/>
    <w:rsid w:val="00890F5C"/>
    <w:rsid w:val="0089102F"/>
    <w:rsid w:val="00891262"/>
    <w:rsid w:val="0089137A"/>
    <w:rsid w:val="00891419"/>
    <w:rsid w:val="00891662"/>
    <w:rsid w:val="00891692"/>
    <w:rsid w:val="0089169C"/>
    <w:rsid w:val="008916A6"/>
    <w:rsid w:val="008916DA"/>
    <w:rsid w:val="0089176E"/>
    <w:rsid w:val="008918D8"/>
    <w:rsid w:val="008919D1"/>
    <w:rsid w:val="00891B33"/>
    <w:rsid w:val="00891CA3"/>
    <w:rsid w:val="00891DB4"/>
    <w:rsid w:val="008922DA"/>
    <w:rsid w:val="008923C3"/>
    <w:rsid w:val="008924AD"/>
    <w:rsid w:val="008924D7"/>
    <w:rsid w:val="00892778"/>
    <w:rsid w:val="008928C7"/>
    <w:rsid w:val="008928CB"/>
    <w:rsid w:val="00892AB6"/>
    <w:rsid w:val="00892BC3"/>
    <w:rsid w:val="00892C65"/>
    <w:rsid w:val="00892E3B"/>
    <w:rsid w:val="00892EE1"/>
    <w:rsid w:val="00892FA0"/>
    <w:rsid w:val="0089300C"/>
    <w:rsid w:val="00893226"/>
    <w:rsid w:val="0089332D"/>
    <w:rsid w:val="008933AF"/>
    <w:rsid w:val="00893536"/>
    <w:rsid w:val="0089354F"/>
    <w:rsid w:val="0089361D"/>
    <w:rsid w:val="00893707"/>
    <w:rsid w:val="008937BC"/>
    <w:rsid w:val="00893835"/>
    <w:rsid w:val="008938E0"/>
    <w:rsid w:val="0089399F"/>
    <w:rsid w:val="00893C07"/>
    <w:rsid w:val="00893DE5"/>
    <w:rsid w:val="00893DF7"/>
    <w:rsid w:val="00893E93"/>
    <w:rsid w:val="00894232"/>
    <w:rsid w:val="00894349"/>
    <w:rsid w:val="00894499"/>
    <w:rsid w:val="0089462A"/>
    <w:rsid w:val="00894770"/>
    <w:rsid w:val="008947CD"/>
    <w:rsid w:val="00894852"/>
    <w:rsid w:val="0089486F"/>
    <w:rsid w:val="008948FC"/>
    <w:rsid w:val="008949DC"/>
    <w:rsid w:val="00894B15"/>
    <w:rsid w:val="00894D7B"/>
    <w:rsid w:val="00895172"/>
    <w:rsid w:val="0089517D"/>
    <w:rsid w:val="008951AA"/>
    <w:rsid w:val="008953F4"/>
    <w:rsid w:val="008955DF"/>
    <w:rsid w:val="008956A0"/>
    <w:rsid w:val="00895750"/>
    <w:rsid w:val="008959B9"/>
    <w:rsid w:val="00895BEB"/>
    <w:rsid w:val="00895CB5"/>
    <w:rsid w:val="00895E83"/>
    <w:rsid w:val="0089602E"/>
    <w:rsid w:val="0089605A"/>
    <w:rsid w:val="008960B3"/>
    <w:rsid w:val="008961E1"/>
    <w:rsid w:val="00896227"/>
    <w:rsid w:val="00896481"/>
    <w:rsid w:val="00896823"/>
    <w:rsid w:val="00896875"/>
    <w:rsid w:val="0089691E"/>
    <w:rsid w:val="00896B65"/>
    <w:rsid w:val="00896BD6"/>
    <w:rsid w:val="00896C9C"/>
    <w:rsid w:val="00896CE8"/>
    <w:rsid w:val="00896DD2"/>
    <w:rsid w:val="00896F1C"/>
    <w:rsid w:val="00897041"/>
    <w:rsid w:val="00897221"/>
    <w:rsid w:val="008975D8"/>
    <w:rsid w:val="00897619"/>
    <w:rsid w:val="00897B21"/>
    <w:rsid w:val="00897B2C"/>
    <w:rsid w:val="00897B3A"/>
    <w:rsid w:val="00897C81"/>
    <w:rsid w:val="008A00F1"/>
    <w:rsid w:val="008A0119"/>
    <w:rsid w:val="008A01F1"/>
    <w:rsid w:val="008A023F"/>
    <w:rsid w:val="008A0362"/>
    <w:rsid w:val="008A039A"/>
    <w:rsid w:val="008A0457"/>
    <w:rsid w:val="008A0506"/>
    <w:rsid w:val="008A05C4"/>
    <w:rsid w:val="008A0708"/>
    <w:rsid w:val="008A083C"/>
    <w:rsid w:val="008A0C14"/>
    <w:rsid w:val="008A0E05"/>
    <w:rsid w:val="008A0E35"/>
    <w:rsid w:val="008A0ED8"/>
    <w:rsid w:val="008A154D"/>
    <w:rsid w:val="008A16F9"/>
    <w:rsid w:val="008A173F"/>
    <w:rsid w:val="008A175C"/>
    <w:rsid w:val="008A18A0"/>
    <w:rsid w:val="008A19FC"/>
    <w:rsid w:val="008A1AD1"/>
    <w:rsid w:val="008A1C23"/>
    <w:rsid w:val="008A1E6D"/>
    <w:rsid w:val="008A1E9F"/>
    <w:rsid w:val="008A1FED"/>
    <w:rsid w:val="008A2122"/>
    <w:rsid w:val="008A227D"/>
    <w:rsid w:val="008A2284"/>
    <w:rsid w:val="008A23F8"/>
    <w:rsid w:val="008A2437"/>
    <w:rsid w:val="008A26D9"/>
    <w:rsid w:val="008A271D"/>
    <w:rsid w:val="008A276A"/>
    <w:rsid w:val="008A293B"/>
    <w:rsid w:val="008A2BA8"/>
    <w:rsid w:val="008A2E01"/>
    <w:rsid w:val="008A2F21"/>
    <w:rsid w:val="008A2F8D"/>
    <w:rsid w:val="008A2FAA"/>
    <w:rsid w:val="008A3071"/>
    <w:rsid w:val="008A3257"/>
    <w:rsid w:val="008A34BD"/>
    <w:rsid w:val="008A36F0"/>
    <w:rsid w:val="008A3796"/>
    <w:rsid w:val="008A37D2"/>
    <w:rsid w:val="008A382D"/>
    <w:rsid w:val="008A3AAB"/>
    <w:rsid w:val="008A3AC2"/>
    <w:rsid w:val="008A3B87"/>
    <w:rsid w:val="008A3D29"/>
    <w:rsid w:val="008A3E68"/>
    <w:rsid w:val="008A3EA0"/>
    <w:rsid w:val="008A3FD5"/>
    <w:rsid w:val="008A40AB"/>
    <w:rsid w:val="008A4358"/>
    <w:rsid w:val="008A445C"/>
    <w:rsid w:val="008A4485"/>
    <w:rsid w:val="008A455D"/>
    <w:rsid w:val="008A4645"/>
    <w:rsid w:val="008A4B65"/>
    <w:rsid w:val="008A4BA9"/>
    <w:rsid w:val="008A4BE9"/>
    <w:rsid w:val="008A5288"/>
    <w:rsid w:val="008A5421"/>
    <w:rsid w:val="008A562D"/>
    <w:rsid w:val="008A56D1"/>
    <w:rsid w:val="008A56EC"/>
    <w:rsid w:val="008A5727"/>
    <w:rsid w:val="008A5793"/>
    <w:rsid w:val="008A59B0"/>
    <w:rsid w:val="008A5A55"/>
    <w:rsid w:val="008A5B0E"/>
    <w:rsid w:val="008A5B1F"/>
    <w:rsid w:val="008A5BC8"/>
    <w:rsid w:val="008A5C18"/>
    <w:rsid w:val="008A5F37"/>
    <w:rsid w:val="008A5FD6"/>
    <w:rsid w:val="008A619B"/>
    <w:rsid w:val="008A61EA"/>
    <w:rsid w:val="008A633F"/>
    <w:rsid w:val="008A6373"/>
    <w:rsid w:val="008A651F"/>
    <w:rsid w:val="008A6648"/>
    <w:rsid w:val="008A68DF"/>
    <w:rsid w:val="008A697C"/>
    <w:rsid w:val="008A6B12"/>
    <w:rsid w:val="008A6CF7"/>
    <w:rsid w:val="008A6ED1"/>
    <w:rsid w:val="008A7146"/>
    <w:rsid w:val="008A7161"/>
    <w:rsid w:val="008A71BD"/>
    <w:rsid w:val="008A7564"/>
    <w:rsid w:val="008A7690"/>
    <w:rsid w:val="008A77ED"/>
    <w:rsid w:val="008A78B6"/>
    <w:rsid w:val="008A78B8"/>
    <w:rsid w:val="008A7AC2"/>
    <w:rsid w:val="008A7EC8"/>
    <w:rsid w:val="008B0007"/>
    <w:rsid w:val="008B030B"/>
    <w:rsid w:val="008B0543"/>
    <w:rsid w:val="008B06FA"/>
    <w:rsid w:val="008B0716"/>
    <w:rsid w:val="008B0743"/>
    <w:rsid w:val="008B084B"/>
    <w:rsid w:val="008B08F8"/>
    <w:rsid w:val="008B09FA"/>
    <w:rsid w:val="008B0BAA"/>
    <w:rsid w:val="008B0CBC"/>
    <w:rsid w:val="008B0D2D"/>
    <w:rsid w:val="008B0F32"/>
    <w:rsid w:val="008B0FEC"/>
    <w:rsid w:val="008B102D"/>
    <w:rsid w:val="008B1048"/>
    <w:rsid w:val="008B1248"/>
    <w:rsid w:val="008B125F"/>
    <w:rsid w:val="008B12BF"/>
    <w:rsid w:val="008B1479"/>
    <w:rsid w:val="008B1480"/>
    <w:rsid w:val="008B14CF"/>
    <w:rsid w:val="008B155D"/>
    <w:rsid w:val="008B17F9"/>
    <w:rsid w:val="008B1956"/>
    <w:rsid w:val="008B1B54"/>
    <w:rsid w:val="008B1CC5"/>
    <w:rsid w:val="008B1FD4"/>
    <w:rsid w:val="008B227D"/>
    <w:rsid w:val="008B242C"/>
    <w:rsid w:val="008B2914"/>
    <w:rsid w:val="008B2BD6"/>
    <w:rsid w:val="008B2D22"/>
    <w:rsid w:val="008B2E9F"/>
    <w:rsid w:val="008B319A"/>
    <w:rsid w:val="008B33E6"/>
    <w:rsid w:val="008B33EE"/>
    <w:rsid w:val="008B3424"/>
    <w:rsid w:val="008B370A"/>
    <w:rsid w:val="008B37AC"/>
    <w:rsid w:val="008B39A9"/>
    <w:rsid w:val="008B3AC0"/>
    <w:rsid w:val="008B3B77"/>
    <w:rsid w:val="008B3BEE"/>
    <w:rsid w:val="008B3D71"/>
    <w:rsid w:val="008B3D85"/>
    <w:rsid w:val="008B3D9B"/>
    <w:rsid w:val="008B4170"/>
    <w:rsid w:val="008B41E0"/>
    <w:rsid w:val="008B436B"/>
    <w:rsid w:val="008B441B"/>
    <w:rsid w:val="008B4532"/>
    <w:rsid w:val="008B4701"/>
    <w:rsid w:val="008B478D"/>
    <w:rsid w:val="008B4A4F"/>
    <w:rsid w:val="008B4C72"/>
    <w:rsid w:val="008B4DB0"/>
    <w:rsid w:val="008B4DBD"/>
    <w:rsid w:val="008B4DF9"/>
    <w:rsid w:val="008B4F97"/>
    <w:rsid w:val="008B5173"/>
    <w:rsid w:val="008B51BD"/>
    <w:rsid w:val="008B5310"/>
    <w:rsid w:val="008B53DE"/>
    <w:rsid w:val="008B5447"/>
    <w:rsid w:val="008B54DC"/>
    <w:rsid w:val="008B5617"/>
    <w:rsid w:val="008B5714"/>
    <w:rsid w:val="008B5715"/>
    <w:rsid w:val="008B5841"/>
    <w:rsid w:val="008B592F"/>
    <w:rsid w:val="008B5B2C"/>
    <w:rsid w:val="008B5B9D"/>
    <w:rsid w:val="008B5DA1"/>
    <w:rsid w:val="008B60A5"/>
    <w:rsid w:val="008B60AF"/>
    <w:rsid w:val="008B626D"/>
    <w:rsid w:val="008B6306"/>
    <w:rsid w:val="008B639A"/>
    <w:rsid w:val="008B6446"/>
    <w:rsid w:val="008B64CA"/>
    <w:rsid w:val="008B67D1"/>
    <w:rsid w:val="008B67FF"/>
    <w:rsid w:val="008B687F"/>
    <w:rsid w:val="008B68E1"/>
    <w:rsid w:val="008B69A5"/>
    <w:rsid w:val="008B69DE"/>
    <w:rsid w:val="008B6B3A"/>
    <w:rsid w:val="008B6BC6"/>
    <w:rsid w:val="008B6C24"/>
    <w:rsid w:val="008B70A8"/>
    <w:rsid w:val="008B716A"/>
    <w:rsid w:val="008B717D"/>
    <w:rsid w:val="008B730D"/>
    <w:rsid w:val="008B7328"/>
    <w:rsid w:val="008B7370"/>
    <w:rsid w:val="008B740C"/>
    <w:rsid w:val="008B756F"/>
    <w:rsid w:val="008B7718"/>
    <w:rsid w:val="008B7A7D"/>
    <w:rsid w:val="008B7FC5"/>
    <w:rsid w:val="008BB2A6"/>
    <w:rsid w:val="008C0029"/>
    <w:rsid w:val="008C0067"/>
    <w:rsid w:val="008C00C4"/>
    <w:rsid w:val="008C03F4"/>
    <w:rsid w:val="008C042A"/>
    <w:rsid w:val="008C04BE"/>
    <w:rsid w:val="008C053E"/>
    <w:rsid w:val="008C069B"/>
    <w:rsid w:val="008C06CF"/>
    <w:rsid w:val="008C0888"/>
    <w:rsid w:val="008C0B3F"/>
    <w:rsid w:val="008C0C56"/>
    <w:rsid w:val="008C0DDA"/>
    <w:rsid w:val="008C0E88"/>
    <w:rsid w:val="008C0EFB"/>
    <w:rsid w:val="008C0FAF"/>
    <w:rsid w:val="008C101B"/>
    <w:rsid w:val="008C18E3"/>
    <w:rsid w:val="008C1A92"/>
    <w:rsid w:val="008C1AC3"/>
    <w:rsid w:val="008C1B72"/>
    <w:rsid w:val="008C1C50"/>
    <w:rsid w:val="008C1CFD"/>
    <w:rsid w:val="008C1D2F"/>
    <w:rsid w:val="008C1D75"/>
    <w:rsid w:val="008C1E34"/>
    <w:rsid w:val="008C1E59"/>
    <w:rsid w:val="008C1E71"/>
    <w:rsid w:val="008C1EF7"/>
    <w:rsid w:val="008C1F23"/>
    <w:rsid w:val="008C212D"/>
    <w:rsid w:val="008C22FD"/>
    <w:rsid w:val="008C2314"/>
    <w:rsid w:val="008C24F2"/>
    <w:rsid w:val="008C2517"/>
    <w:rsid w:val="008C25D1"/>
    <w:rsid w:val="008C26C8"/>
    <w:rsid w:val="008C26D3"/>
    <w:rsid w:val="008C2725"/>
    <w:rsid w:val="008C2739"/>
    <w:rsid w:val="008C2742"/>
    <w:rsid w:val="008C2752"/>
    <w:rsid w:val="008C2AE1"/>
    <w:rsid w:val="008C2E71"/>
    <w:rsid w:val="008C2F1B"/>
    <w:rsid w:val="008C2F6A"/>
    <w:rsid w:val="008C304B"/>
    <w:rsid w:val="008C34A1"/>
    <w:rsid w:val="008C3505"/>
    <w:rsid w:val="008C35A1"/>
    <w:rsid w:val="008C389F"/>
    <w:rsid w:val="008C3973"/>
    <w:rsid w:val="008C3A40"/>
    <w:rsid w:val="008C3B1B"/>
    <w:rsid w:val="008C3D8B"/>
    <w:rsid w:val="008C436E"/>
    <w:rsid w:val="008C44F9"/>
    <w:rsid w:val="008C47C2"/>
    <w:rsid w:val="008C4941"/>
    <w:rsid w:val="008C4B28"/>
    <w:rsid w:val="008C5618"/>
    <w:rsid w:val="008C56B6"/>
    <w:rsid w:val="008C573E"/>
    <w:rsid w:val="008C5B05"/>
    <w:rsid w:val="008C5CF4"/>
    <w:rsid w:val="008C5D0B"/>
    <w:rsid w:val="008C5E34"/>
    <w:rsid w:val="008C5E86"/>
    <w:rsid w:val="008C5F2F"/>
    <w:rsid w:val="008C5FE2"/>
    <w:rsid w:val="008C6181"/>
    <w:rsid w:val="008C6195"/>
    <w:rsid w:val="008C63B1"/>
    <w:rsid w:val="008C640F"/>
    <w:rsid w:val="008C64D9"/>
    <w:rsid w:val="008C64E6"/>
    <w:rsid w:val="008C67D7"/>
    <w:rsid w:val="008C69AC"/>
    <w:rsid w:val="008C6C8C"/>
    <w:rsid w:val="008C6D8D"/>
    <w:rsid w:val="008C6EAD"/>
    <w:rsid w:val="008C702A"/>
    <w:rsid w:val="008C70E1"/>
    <w:rsid w:val="008C7157"/>
    <w:rsid w:val="008C7252"/>
    <w:rsid w:val="008C73F3"/>
    <w:rsid w:val="008C74DB"/>
    <w:rsid w:val="008C758F"/>
    <w:rsid w:val="008C78F8"/>
    <w:rsid w:val="008C7909"/>
    <w:rsid w:val="008C79DB"/>
    <w:rsid w:val="008C7DE5"/>
    <w:rsid w:val="008C7F97"/>
    <w:rsid w:val="008D0218"/>
    <w:rsid w:val="008D0455"/>
    <w:rsid w:val="008D07C7"/>
    <w:rsid w:val="008D07E7"/>
    <w:rsid w:val="008D0892"/>
    <w:rsid w:val="008D0C57"/>
    <w:rsid w:val="008D0F70"/>
    <w:rsid w:val="008D0FE4"/>
    <w:rsid w:val="008D1064"/>
    <w:rsid w:val="008D1071"/>
    <w:rsid w:val="008D11DA"/>
    <w:rsid w:val="008D11EC"/>
    <w:rsid w:val="008D137B"/>
    <w:rsid w:val="008D143C"/>
    <w:rsid w:val="008D146F"/>
    <w:rsid w:val="008D14B1"/>
    <w:rsid w:val="008D15E3"/>
    <w:rsid w:val="008D1726"/>
    <w:rsid w:val="008D17EA"/>
    <w:rsid w:val="008D1857"/>
    <w:rsid w:val="008D1961"/>
    <w:rsid w:val="008D1987"/>
    <w:rsid w:val="008D1B6D"/>
    <w:rsid w:val="008D1E34"/>
    <w:rsid w:val="008D1EA1"/>
    <w:rsid w:val="008D2265"/>
    <w:rsid w:val="008D232A"/>
    <w:rsid w:val="008D24DA"/>
    <w:rsid w:val="008D2681"/>
    <w:rsid w:val="008D2970"/>
    <w:rsid w:val="008D2BCE"/>
    <w:rsid w:val="008D2C17"/>
    <w:rsid w:val="008D2DAA"/>
    <w:rsid w:val="008D2FA6"/>
    <w:rsid w:val="008D307D"/>
    <w:rsid w:val="008D3095"/>
    <w:rsid w:val="008D30EA"/>
    <w:rsid w:val="008D33E3"/>
    <w:rsid w:val="008D35C1"/>
    <w:rsid w:val="008D3794"/>
    <w:rsid w:val="008D3821"/>
    <w:rsid w:val="008D3A91"/>
    <w:rsid w:val="008D3DDE"/>
    <w:rsid w:val="008D3ED2"/>
    <w:rsid w:val="008D4100"/>
    <w:rsid w:val="008D4293"/>
    <w:rsid w:val="008D4308"/>
    <w:rsid w:val="008D4366"/>
    <w:rsid w:val="008D43B7"/>
    <w:rsid w:val="008D44D1"/>
    <w:rsid w:val="008D4730"/>
    <w:rsid w:val="008D47D2"/>
    <w:rsid w:val="008D48D4"/>
    <w:rsid w:val="008D48E0"/>
    <w:rsid w:val="008D4904"/>
    <w:rsid w:val="008D4BE6"/>
    <w:rsid w:val="008D4D04"/>
    <w:rsid w:val="008D4D7F"/>
    <w:rsid w:val="008D4E9A"/>
    <w:rsid w:val="008D5029"/>
    <w:rsid w:val="008D5037"/>
    <w:rsid w:val="008D5297"/>
    <w:rsid w:val="008D548A"/>
    <w:rsid w:val="008D55C8"/>
    <w:rsid w:val="008D55CE"/>
    <w:rsid w:val="008D569C"/>
    <w:rsid w:val="008D5831"/>
    <w:rsid w:val="008D5AF1"/>
    <w:rsid w:val="008D5EDB"/>
    <w:rsid w:val="008D5FD0"/>
    <w:rsid w:val="008D6077"/>
    <w:rsid w:val="008D6238"/>
    <w:rsid w:val="008D64BB"/>
    <w:rsid w:val="008D64EA"/>
    <w:rsid w:val="008D64FF"/>
    <w:rsid w:val="008D6546"/>
    <w:rsid w:val="008D654A"/>
    <w:rsid w:val="008D661A"/>
    <w:rsid w:val="008D68CF"/>
    <w:rsid w:val="008D69A9"/>
    <w:rsid w:val="008D6BD8"/>
    <w:rsid w:val="008D6CE6"/>
    <w:rsid w:val="008D6E9E"/>
    <w:rsid w:val="008D72F4"/>
    <w:rsid w:val="008D7462"/>
    <w:rsid w:val="008D7485"/>
    <w:rsid w:val="008D7633"/>
    <w:rsid w:val="008D76DC"/>
    <w:rsid w:val="008D782D"/>
    <w:rsid w:val="008D78F4"/>
    <w:rsid w:val="008D79C9"/>
    <w:rsid w:val="008D7CFB"/>
    <w:rsid w:val="008D7DFB"/>
    <w:rsid w:val="008D7E50"/>
    <w:rsid w:val="008D7E92"/>
    <w:rsid w:val="008D7ED5"/>
    <w:rsid w:val="008E00C8"/>
    <w:rsid w:val="008E00EB"/>
    <w:rsid w:val="008E0148"/>
    <w:rsid w:val="008E017C"/>
    <w:rsid w:val="008E027B"/>
    <w:rsid w:val="008E0430"/>
    <w:rsid w:val="008E047E"/>
    <w:rsid w:val="008E08E7"/>
    <w:rsid w:val="008E0CD6"/>
    <w:rsid w:val="008E0DB7"/>
    <w:rsid w:val="008E0DD9"/>
    <w:rsid w:val="008E1034"/>
    <w:rsid w:val="008E12BF"/>
    <w:rsid w:val="008E1795"/>
    <w:rsid w:val="008E1950"/>
    <w:rsid w:val="008E198B"/>
    <w:rsid w:val="008E1E69"/>
    <w:rsid w:val="008E1F10"/>
    <w:rsid w:val="008E1FA4"/>
    <w:rsid w:val="008E2027"/>
    <w:rsid w:val="008E20DE"/>
    <w:rsid w:val="008E2168"/>
    <w:rsid w:val="008E2354"/>
    <w:rsid w:val="008E24CF"/>
    <w:rsid w:val="008E2554"/>
    <w:rsid w:val="008E2821"/>
    <w:rsid w:val="008E2847"/>
    <w:rsid w:val="008E2968"/>
    <w:rsid w:val="008E2A23"/>
    <w:rsid w:val="008E2A9D"/>
    <w:rsid w:val="008E2BB0"/>
    <w:rsid w:val="008E2CE8"/>
    <w:rsid w:val="008E2D83"/>
    <w:rsid w:val="008E2DA0"/>
    <w:rsid w:val="008E2DEC"/>
    <w:rsid w:val="008E2E82"/>
    <w:rsid w:val="008E2EA8"/>
    <w:rsid w:val="008E2F60"/>
    <w:rsid w:val="008E310B"/>
    <w:rsid w:val="008E31D1"/>
    <w:rsid w:val="008E32D1"/>
    <w:rsid w:val="008E364C"/>
    <w:rsid w:val="008E3672"/>
    <w:rsid w:val="008E37F6"/>
    <w:rsid w:val="008E3A40"/>
    <w:rsid w:val="008E3CA6"/>
    <w:rsid w:val="008E3DF0"/>
    <w:rsid w:val="008E40F8"/>
    <w:rsid w:val="008E4167"/>
    <w:rsid w:val="008E422D"/>
    <w:rsid w:val="008E447A"/>
    <w:rsid w:val="008E44B7"/>
    <w:rsid w:val="008E4680"/>
    <w:rsid w:val="008E47CC"/>
    <w:rsid w:val="008E47D0"/>
    <w:rsid w:val="008E49B5"/>
    <w:rsid w:val="008E4A1B"/>
    <w:rsid w:val="008E4AC9"/>
    <w:rsid w:val="008E4DB1"/>
    <w:rsid w:val="008E51CA"/>
    <w:rsid w:val="008E52DD"/>
    <w:rsid w:val="008E5415"/>
    <w:rsid w:val="008E544C"/>
    <w:rsid w:val="008E5660"/>
    <w:rsid w:val="008E5A56"/>
    <w:rsid w:val="008E5C2B"/>
    <w:rsid w:val="008E5C46"/>
    <w:rsid w:val="008E5E72"/>
    <w:rsid w:val="008E63C9"/>
    <w:rsid w:val="008E6427"/>
    <w:rsid w:val="008E643C"/>
    <w:rsid w:val="008E664A"/>
    <w:rsid w:val="008E674C"/>
    <w:rsid w:val="008E6756"/>
    <w:rsid w:val="008E68B1"/>
    <w:rsid w:val="008E6C38"/>
    <w:rsid w:val="008E6D07"/>
    <w:rsid w:val="008E6E44"/>
    <w:rsid w:val="008E6F87"/>
    <w:rsid w:val="008E7052"/>
    <w:rsid w:val="008E7463"/>
    <w:rsid w:val="008E747D"/>
    <w:rsid w:val="008E7621"/>
    <w:rsid w:val="008E766B"/>
    <w:rsid w:val="008E7739"/>
    <w:rsid w:val="008E7961"/>
    <w:rsid w:val="008E798D"/>
    <w:rsid w:val="008E7C72"/>
    <w:rsid w:val="008E7D99"/>
    <w:rsid w:val="008E7E3A"/>
    <w:rsid w:val="008E7ED2"/>
    <w:rsid w:val="008E7F1D"/>
    <w:rsid w:val="008F007E"/>
    <w:rsid w:val="008F0107"/>
    <w:rsid w:val="008F0410"/>
    <w:rsid w:val="008F0438"/>
    <w:rsid w:val="008F05FC"/>
    <w:rsid w:val="008F067E"/>
    <w:rsid w:val="008F06BE"/>
    <w:rsid w:val="008F0837"/>
    <w:rsid w:val="008F0883"/>
    <w:rsid w:val="008F08BF"/>
    <w:rsid w:val="008F0C59"/>
    <w:rsid w:val="008F0E2C"/>
    <w:rsid w:val="008F0E41"/>
    <w:rsid w:val="008F0E5D"/>
    <w:rsid w:val="008F0F3A"/>
    <w:rsid w:val="008F0F50"/>
    <w:rsid w:val="008F0F9F"/>
    <w:rsid w:val="008F100B"/>
    <w:rsid w:val="008F10DC"/>
    <w:rsid w:val="008F1121"/>
    <w:rsid w:val="008F1200"/>
    <w:rsid w:val="008F12CD"/>
    <w:rsid w:val="008F1458"/>
    <w:rsid w:val="008F163D"/>
    <w:rsid w:val="008F1770"/>
    <w:rsid w:val="008F1957"/>
    <w:rsid w:val="008F1AA8"/>
    <w:rsid w:val="008F1AC0"/>
    <w:rsid w:val="008F1B10"/>
    <w:rsid w:val="008F2054"/>
    <w:rsid w:val="008F2096"/>
    <w:rsid w:val="008F2120"/>
    <w:rsid w:val="008F23A2"/>
    <w:rsid w:val="008F2410"/>
    <w:rsid w:val="008F2441"/>
    <w:rsid w:val="008F2861"/>
    <w:rsid w:val="008F29CC"/>
    <w:rsid w:val="008F2AC7"/>
    <w:rsid w:val="008F2B5A"/>
    <w:rsid w:val="008F2DBE"/>
    <w:rsid w:val="008F2DDE"/>
    <w:rsid w:val="008F2E53"/>
    <w:rsid w:val="008F327C"/>
    <w:rsid w:val="008F3348"/>
    <w:rsid w:val="008F3822"/>
    <w:rsid w:val="008F38D2"/>
    <w:rsid w:val="008F3A6F"/>
    <w:rsid w:val="008F3B13"/>
    <w:rsid w:val="008F3BA5"/>
    <w:rsid w:val="008F3BE7"/>
    <w:rsid w:val="008F3BEB"/>
    <w:rsid w:val="008F3D0C"/>
    <w:rsid w:val="008F3EB2"/>
    <w:rsid w:val="008F3F24"/>
    <w:rsid w:val="008F41D2"/>
    <w:rsid w:val="008F425C"/>
    <w:rsid w:val="008F45D8"/>
    <w:rsid w:val="008F4886"/>
    <w:rsid w:val="008F4938"/>
    <w:rsid w:val="008F4A12"/>
    <w:rsid w:val="008F4DAB"/>
    <w:rsid w:val="008F4E2A"/>
    <w:rsid w:val="008F5102"/>
    <w:rsid w:val="008F5369"/>
    <w:rsid w:val="008F545A"/>
    <w:rsid w:val="008F55DE"/>
    <w:rsid w:val="008F566B"/>
    <w:rsid w:val="008F57D8"/>
    <w:rsid w:val="008F5A0A"/>
    <w:rsid w:val="008F5B1F"/>
    <w:rsid w:val="008F5DB3"/>
    <w:rsid w:val="008F5E17"/>
    <w:rsid w:val="008F61DA"/>
    <w:rsid w:val="008F6291"/>
    <w:rsid w:val="008F6373"/>
    <w:rsid w:val="008F63F6"/>
    <w:rsid w:val="008F659E"/>
    <w:rsid w:val="008F66E1"/>
    <w:rsid w:val="008F6752"/>
    <w:rsid w:val="008F67C7"/>
    <w:rsid w:val="008F683A"/>
    <w:rsid w:val="008F6961"/>
    <w:rsid w:val="008F6AA0"/>
    <w:rsid w:val="008F6C01"/>
    <w:rsid w:val="008F6CD6"/>
    <w:rsid w:val="008F6F95"/>
    <w:rsid w:val="008F70C0"/>
    <w:rsid w:val="008F7149"/>
    <w:rsid w:val="008F73CB"/>
    <w:rsid w:val="008F75E5"/>
    <w:rsid w:val="008F7753"/>
    <w:rsid w:val="008F7865"/>
    <w:rsid w:val="008F787C"/>
    <w:rsid w:val="008F78FA"/>
    <w:rsid w:val="008F7B81"/>
    <w:rsid w:val="008F7C0B"/>
    <w:rsid w:val="008F7C83"/>
    <w:rsid w:val="008F7FFB"/>
    <w:rsid w:val="008F7FFE"/>
    <w:rsid w:val="00900448"/>
    <w:rsid w:val="00900464"/>
    <w:rsid w:val="00900497"/>
    <w:rsid w:val="00900612"/>
    <w:rsid w:val="00900626"/>
    <w:rsid w:val="0090067C"/>
    <w:rsid w:val="0090078A"/>
    <w:rsid w:val="00900962"/>
    <w:rsid w:val="00900A7E"/>
    <w:rsid w:val="00900B0C"/>
    <w:rsid w:val="00900D07"/>
    <w:rsid w:val="00900D54"/>
    <w:rsid w:val="00900D69"/>
    <w:rsid w:val="0090106D"/>
    <w:rsid w:val="00901345"/>
    <w:rsid w:val="009013C5"/>
    <w:rsid w:val="0090142D"/>
    <w:rsid w:val="009014FC"/>
    <w:rsid w:val="009016F2"/>
    <w:rsid w:val="0090170D"/>
    <w:rsid w:val="0090178E"/>
    <w:rsid w:val="00901830"/>
    <w:rsid w:val="009018F3"/>
    <w:rsid w:val="00901951"/>
    <w:rsid w:val="00901B8C"/>
    <w:rsid w:val="00901BAF"/>
    <w:rsid w:val="00901D19"/>
    <w:rsid w:val="00901D78"/>
    <w:rsid w:val="00901DD6"/>
    <w:rsid w:val="00901DF3"/>
    <w:rsid w:val="00901F33"/>
    <w:rsid w:val="00901F41"/>
    <w:rsid w:val="00902051"/>
    <w:rsid w:val="00902170"/>
    <w:rsid w:val="009021A9"/>
    <w:rsid w:val="009021E1"/>
    <w:rsid w:val="0090231D"/>
    <w:rsid w:val="00902452"/>
    <w:rsid w:val="00902525"/>
    <w:rsid w:val="00902670"/>
    <w:rsid w:val="009026CB"/>
    <w:rsid w:val="009028CC"/>
    <w:rsid w:val="00902940"/>
    <w:rsid w:val="00902990"/>
    <w:rsid w:val="00902BD0"/>
    <w:rsid w:val="00902BD4"/>
    <w:rsid w:val="00902C58"/>
    <w:rsid w:val="00902CAB"/>
    <w:rsid w:val="00902DFE"/>
    <w:rsid w:val="00902E32"/>
    <w:rsid w:val="00902F68"/>
    <w:rsid w:val="00902FA3"/>
    <w:rsid w:val="00903054"/>
    <w:rsid w:val="009030BD"/>
    <w:rsid w:val="009032C9"/>
    <w:rsid w:val="009033A9"/>
    <w:rsid w:val="0090340A"/>
    <w:rsid w:val="009035C3"/>
    <w:rsid w:val="0090372D"/>
    <w:rsid w:val="00903776"/>
    <w:rsid w:val="00903913"/>
    <w:rsid w:val="00903AD3"/>
    <w:rsid w:val="00903B8A"/>
    <w:rsid w:val="00903C3D"/>
    <w:rsid w:val="00903D2B"/>
    <w:rsid w:val="00903F99"/>
    <w:rsid w:val="0090414D"/>
    <w:rsid w:val="00904295"/>
    <w:rsid w:val="009043D9"/>
    <w:rsid w:val="009043FD"/>
    <w:rsid w:val="009046C3"/>
    <w:rsid w:val="00904796"/>
    <w:rsid w:val="00904840"/>
    <w:rsid w:val="009048D2"/>
    <w:rsid w:val="00904CAC"/>
    <w:rsid w:val="00904D27"/>
    <w:rsid w:val="00904D6F"/>
    <w:rsid w:val="00904D98"/>
    <w:rsid w:val="00904DBE"/>
    <w:rsid w:val="00904E89"/>
    <w:rsid w:val="00904FD5"/>
    <w:rsid w:val="009050A4"/>
    <w:rsid w:val="0090514B"/>
    <w:rsid w:val="0090523C"/>
    <w:rsid w:val="0090525B"/>
    <w:rsid w:val="009052FB"/>
    <w:rsid w:val="009053D6"/>
    <w:rsid w:val="0090568F"/>
    <w:rsid w:val="00905719"/>
    <w:rsid w:val="00905824"/>
    <w:rsid w:val="00905BE7"/>
    <w:rsid w:val="00905D08"/>
    <w:rsid w:val="00905D4A"/>
    <w:rsid w:val="00905FED"/>
    <w:rsid w:val="00906077"/>
    <w:rsid w:val="009060CD"/>
    <w:rsid w:val="009060F9"/>
    <w:rsid w:val="0090611B"/>
    <w:rsid w:val="009061A4"/>
    <w:rsid w:val="00906339"/>
    <w:rsid w:val="00906547"/>
    <w:rsid w:val="00906560"/>
    <w:rsid w:val="0090684A"/>
    <w:rsid w:val="0090685C"/>
    <w:rsid w:val="009068A3"/>
    <w:rsid w:val="0090695F"/>
    <w:rsid w:val="00906B31"/>
    <w:rsid w:val="00906CC6"/>
    <w:rsid w:val="00906CDC"/>
    <w:rsid w:val="00906D3A"/>
    <w:rsid w:val="00906E13"/>
    <w:rsid w:val="00906F80"/>
    <w:rsid w:val="00907096"/>
    <w:rsid w:val="009070B9"/>
    <w:rsid w:val="009070CE"/>
    <w:rsid w:val="009070F6"/>
    <w:rsid w:val="00907151"/>
    <w:rsid w:val="00907479"/>
    <w:rsid w:val="0090761E"/>
    <w:rsid w:val="00907638"/>
    <w:rsid w:val="009076D0"/>
    <w:rsid w:val="0090776C"/>
    <w:rsid w:val="00907AC0"/>
    <w:rsid w:val="00907C09"/>
    <w:rsid w:val="00907F10"/>
    <w:rsid w:val="00907F8D"/>
    <w:rsid w:val="00907FEE"/>
    <w:rsid w:val="00910011"/>
    <w:rsid w:val="00910021"/>
    <w:rsid w:val="009100BB"/>
    <w:rsid w:val="0091012C"/>
    <w:rsid w:val="009101B7"/>
    <w:rsid w:val="009101E8"/>
    <w:rsid w:val="00910216"/>
    <w:rsid w:val="0091028C"/>
    <w:rsid w:val="009102DD"/>
    <w:rsid w:val="009102F7"/>
    <w:rsid w:val="00910760"/>
    <w:rsid w:val="00910777"/>
    <w:rsid w:val="00910AB2"/>
    <w:rsid w:val="00910BD5"/>
    <w:rsid w:val="00910DC8"/>
    <w:rsid w:val="00910DEB"/>
    <w:rsid w:val="00910F1E"/>
    <w:rsid w:val="009113C8"/>
    <w:rsid w:val="009113CB"/>
    <w:rsid w:val="00911449"/>
    <w:rsid w:val="009117D6"/>
    <w:rsid w:val="00911A92"/>
    <w:rsid w:val="00911AFD"/>
    <w:rsid w:val="00911B20"/>
    <w:rsid w:val="00911C5C"/>
    <w:rsid w:val="00911CB5"/>
    <w:rsid w:val="00911D20"/>
    <w:rsid w:val="00911E21"/>
    <w:rsid w:val="00911F3D"/>
    <w:rsid w:val="009122A6"/>
    <w:rsid w:val="00912326"/>
    <w:rsid w:val="009123B4"/>
    <w:rsid w:val="009124C5"/>
    <w:rsid w:val="009125CF"/>
    <w:rsid w:val="0091261A"/>
    <w:rsid w:val="00912695"/>
    <w:rsid w:val="0091287B"/>
    <w:rsid w:val="009128A0"/>
    <w:rsid w:val="00912943"/>
    <w:rsid w:val="00912965"/>
    <w:rsid w:val="009129A8"/>
    <w:rsid w:val="00912A78"/>
    <w:rsid w:val="00912D68"/>
    <w:rsid w:val="00912D84"/>
    <w:rsid w:val="00912DAB"/>
    <w:rsid w:val="00912E02"/>
    <w:rsid w:val="00912F88"/>
    <w:rsid w:val="00912FA8"/>
    <w:rsid w:val="00913045"/>
    <w:rsid w:val="0091305F"/>
    <w:rsid w:val="00913557"/>
    <w:rsid w:val="00913633"/>
    <w:rsid w:val="009139C4"/>
    <w:rsid w:val="00913A19"/>
    <w:rsid w:val="00913A25"/>
    <w:rsid w:val="00913B3D"/>
    <w:rsid w:val="00913B68"/>
    <w:rsid w:val="00913C20"/>
    <w:rsid w:val="00913E06"/>
    <w:rsid w:val="00913ED0"/>
    <w:rsid w:val="0091416C"/>
    <w:rsid w:val="00914204"/>
    <w:rsid w:val="00914431"/>
    <w:rsid w:val="0091444F"/>
    <w:rsid w:val="009144B8"/>
    <w:rsid w:val="00914538"/>
    <w:rsid w:val="0091459E"/>
    <w:rsid w:val="0091462D"/>
    <w:rsid w:val="00914763"/>
    <w:rsid w:val="009149FD"/>
    <w:rsid w:val="00914AF4"/>
    <w:rsid w:val="00914BB3"/>
    <w:rsid w:val="00914CC0"/>
    <w:rsid w:val="00914EDB"/>
    <w:rsid w:val="00915106"/>
    <w:rsid w:val="009152B0"/>
    <w:rsid w:val="00915338"/>
    <w:rsid w:val="009154D6"/>
    <w:rsid w:val="0091550F"/>
    <w:rsid w:val="009155AA"/>
    <w:rsid w:val="0091572B"/>
    <w:rsid w:val="0091574E"/>
    <w:rsid w:val="0091589B"/>
    <w:rsid w:val="009158C4"/>
    <w:rsid w:val="00915984"/>
    <w:rsid w:val="00915A8C"/>
    <w:rsid w:val="00915BBB"/>
    <w:rsid w:val="00915BC2"/>
    <w:rsid w:val="00915C56"/>
    <w:rsid w:val="00915C74"/>
    <w:rsid w:val="00915E68"/>
    <w:rsid w:val="00915ED4"/>
    <w:rsid w:val="00915F47"/>
    <w:rsid w:val="00916658"/>
    <w:rsid w:val="00916694"/>
    <w:rsid w:val="009167F9"/>
    <w:rsid w:val="00916C09"/>
    <w:rsid w:val="00917008"/>
    <w:rsid w:val="009170C9"/>
    <w:rsid w:val="0091712D"/>
    <w:rsid w:val="009171DD"/>
    <w:rsid w:val="0091724D"/>
    <w:rsid w:val="009172EB"/>
    <w:rsid w:val="0091733C"/>
    <w:rsid w:val="009173B1"/>
    <w:rsid w:val="009174FD"/>
    <w:rsid w:val="00917738"/>
    <w:rsid w:val="00917BE1"/>
    <w:rsid w:val="00917C02"/>
    <w:rsid w:val="00917D9E"/>
    <w:rsid w:val="00917DAF"/>
    <w:rsid w:val="00920115"/>
    <w:rsid w:val="0092029D"/>
    <w:rsid w:val="00920324"/>
    <w:rsid w:val="00920331"/>
    <w:rsid w:val="00920544"/>
    <w:rsid w:val="00920826"/>
    <w:rsid w:val="009209D1"/>
    <w:rsid w:val="00920A6E"/>
    <w:rsid w:val="00920AC5"/>
    <w:rsid w:val="00921114"/>
    <w:rsid w:val="00921152"/>
    <w:rsid w:val="009211B1"/>
    <w:rsid w:val="00921216"/>
    <w:rsid w:val="009212E8"/>
    <w:rsid w:val="009215FE"/>
    <w:rsid w:val="0092176C"/>
    <w:rsid w:val="00921944"/>
    <w:rsid w:val="00921ADD"/>
    <w:rsid w:val="00921BF0"/>
    <w:rsid w:val="00921D39"/>
    <w:rsid w:val="00921D83"/>
    <w:rsid w:val="00921FA6"/>
    <w:rsid w:val="009222CA"/>
    <w:rsid w:val="0092235B"/>
    <w:rsid w:val="009225B3"/>
    <w:rsid w:val="0092262A"/>
    <w:rsid w:val="00922720"/>
    <w:rsid w:val="00922883"/>
    <w:rsid w:val="009228BD"/>
    <w:rsid w:val="00922921"/>
    <w:rsid w:val="00922930"/>
    <w:rsid w:val="00922ADC"/>
    <w:rsid w:val="00922ADF"/>
    <w:rsid w:val="00922B13"/>
    <w:rsid w:val="00922C3E"/>
    <w:rsid w:val="00922F33"/>
    <w:rsid w:val="00923018"/>
    <w:rsid w:val="009230A4"/>
    <w:rsid w:val="009230A9"/>
    <w:rsid w:val="009232F5"/>
    <w:rsid w:val="00923341"/>
    <w:rsid w:val="00923561"/>
    <w:rsid w:val="00923671"/>
    <w:rsid w:val="0092369A"/>
    <w:rsid w:val="0092379D"/>
    <w:rsid w:val="009237EE"/>
    <w:rsid w:val="00923887"/>
    <w:rsid w:val="00923ACD"/>
    <w:rsid w:val="00923C0C"/>
    <w:rsid w:val="00923C63"/>
    <w:rsid w:val="00923F52"/>
    <w:rsid w:val="00923FC5"/>
    <w:rsid w:val="009240F3"/>
    <w:rsid w:val="009242D6"/>
    <w:rsid w:val="00924337"/>
    <w:rsid w:val="0092435F"/>
    <w:rsid w:val="009243F4"/>
    <w:rsid w:val="009244B6"/>
    <w:rsid w:val="009244D7"/>
    <w:rsid w:val="00924604"/>
    <w:rsid w:val="00924657"/>
    <w:rsid w:val="009247F8"/>
    <w:rsid w:val="00924923"/>
    <w:rsid w:val="00924947"/>
    <w:rsid w:val="00924CC7"/>
    <w:rsid w:val="00924E99"/>
    <w:rsid w:val="00924FDD"/>
    <w:rsid w:val="0092505D"/>
    <w:rsid w:val="0092535E"/>
    <w:rsid w:val="009253D6"/>
    <w:rsid w:val="009255D9"/>
    <w:rsid w:val="00925691"/>
    <w:rsid w:val="00925C17"/>
    <w:rsid w:val="00925D99"/>
    <w:rsid w:val="00925DA8"/>
    <w:rsid w:val="00925E79"/>
    <w:rsid w:val="00926006"/>
    <w:rsid w:val="00926209"/>
    <w:rsid w:val="00926238"/>
    <w:rsid w:val="009263BC"/>
    <w:rsid w:val="0092671D"/>
    <w:rsid w:val="00926826"/>
    <w:rsid w:val="00926843"/>
    <w:rsid w:val="009268A5"/>
    <w:rsid w:val="00926902"/>
    <w:rsid w:val="00926938"/>
    <w:rsid w:val="00926AE0"/>
    <w:rsid w:val="00926B2A"/>
    <w:rsid w:val="00926CC4"/>
    <w:rsid w:val="00926E33"/>
    <w:rsid w:val="00926E5F"/>
    <w:rsid w:val="00926EE7"/>
    <w:rsid w:val="009270C4"/>
    <w:rsid w:val="009270DD"/>
    <w:rsid w:val="00927127"/>
    <w:rsid w:val="009272F6"/>
    <w:rsid w:val="009273F1"/>
    <w:rsid w:val="009273F7"/>
    <w:rsid w:val="00927413"/>
    <w:rsid w:val="009274A9"/>
    <w:rsid w:val="00927566"/>
    <w:rsid w:val="00927574"/>
    <w:rsid w:val="00927689"/>
    <w:rsid w:val="009277C6"/>
    <w:rsid w:val="00927808"/>
    <w:rsid w:val="009278B9"/>
    <w:rsid w:val="009279D3"/>
    <w:rsid w:val="00927AF1"/>
    <w:rsid w:val="00927C47"/>
    <w:rsid w:val="00927C85"/>
    <w:rsid w:val="00927E64"/>
    <w:rsid w:val="00927F1D"/>
    <w:rsid w:val="00930018"/>
    <w:rsid w:val="00930096"/>
    <w:rsid w:val="009300E4"/>
    <w:rsid w:val="0093020F"/>
    <w:rsid w:val="009304EC"/>
    <w:rsid w:val="009305E0"/>
    <w:rsid w:val="009309BD"/>
    <w:rsid w:val="00930CC3"/>
    <w:rsid w:val="00930D29"/>
    <w:rsid w:val="00930DD6"/>
    <w:rsid w:val="00930F14"/>
    <w:rsid w:val="00931000"/>
    <w:rsid w:val="0093125C"/>
    <w:rsid w:val="0093150E"/>
    <w:rsid w:val="009317D2"/>
    <w:rsid w:val="009318BA"/>
    <w:rsid w:val="00931919"/>
    <w:rsid w:val="00931BBA"/>
    <w:rsid w:val="00931C85"/>
    <w:rsid w:val="00931CDF"/>
    <w:rsid w:val="00931E5D"/>
    <w:rsid w:val="0093206E"/>
    <w:rsid w:val="009320C6"/>
    <w:rsid w:val="0093232F"/>
    <w:rsid w:val="00932360"/>
    <w:rsid w:val="00932425"/>
    <w:rsid w:val="009326FB"/>
    <w:rsid w:val="00932A02"/>
    <w:rsid w:val="00932A3F"/>
    <w:rsid w:val="00932A50"/>
    <w:rsid w:val="00932BBD"/>
    <w:rsid w:val="00932CDC"/>
    <w:rsid w:val="00932D44"/>
    <w:rsid w:val="00932F52"/>
    <w:rsid w:val="00932FD9"/>
    <w:rsid w:val="00933156"/>
    <w:rsid w:val="009332C7"/>
    <w:rsid w:val="00933A88"/>
    <w:rsid w:val="00933B21"/>
    <w:rsid w:val="00933C0A"/>
    <w:rsid w:val="00933CDB"/>
    <w:rsid w:val="00933F7B"/>
    <w:rsid w:val="0093402A"/>
    <w:rsid w:val="009340B2"/>
    <w:rsid w:val="00934173"/>
    <w:rsid w:val="009341EE"/>
    <w:rsid w:val="009343CC"/>
    <w:rsid w:val="009344CB"/>
    <w:rsid w:val="009346B6"/>
    <w:rsid w:val="009348C6"/>
    <w:rsid w:val="009349FE"/>
    <w:rsid w:val="00934BB0"/>
    <w:rsid w:val="00934BCD"/>
    <w:rsid w:val="00934CA2"/>
    <w:rsid w:val="00934EA9"/>
    <w:rsid w:val="00934F1B"/>
    <w:rsid w:val="00934F9C"/>
    <w:rsid w:val="00935032"/>
    <w:rsid w:val="0093516D"/>
    <w:rsid w:val="00935213"/>
    <w:rsid w:val="0093523A"/>
    <w:rsid w:val="0093536F"/>
    <w:rsid w:val="009353B1"/>
    <w:rsid w:val="0093543D"/>
    <w:rsid w:val="009354E0"/>
    <w:rsid w:val="009355FA"/>
    <w:rsid w:val="009356B9"/>
    <w:rsid w:val="009356E5"/>
    <w:rsid w:val="00935995"/>
    <w:rsid w:val="00935B00"/>
    <w:rsid w:val="00935BC3"/>
    <w:rsid w:val="00935C11"/>
    <w:rsid w:val="00935CD1"/>
    <w:rsid w:val="00935D5A"/>
    <w:rsid w:val="00935D94"/>
    <w:rsid w:val="00935E38"/>
    <w:rsid w:val="00935EB7"/>
    <w:rsid w:val="009363DA"/>
    <w:rsid w:val="0093648E"/>
    <w:rsid w:val="0093673F"/>
    <w:rsid w:val="009368A8"/>
    <w:rsid w:val="00936A05"/>
    <w:rsid w:val="00936A78"/>
    <w:rsid w:val="00936FF7"/>
    <w:rsid w:val="0093732A"/>
    <w:rsid w:val="009375EB"/>
    <w:rsid w:val="00937775"/>
    <w:rsid w:val="00937978"/>
    <w:rsid w:val="009379F1"/>
    <w:rsid w:val="00937A35"/>
    <w:rsid w:val="00937B9C"/>
    <w:rsid w:val="00937BD6"/>
    <w:rsid w:val="00937C98"/>
    <w:rsid w:val="00937E40"/>
    <w:rsid w:val="00937F45"/>
    <w:rsid w:val="009402A2"/>
    <w:rsid w:val="00940429"/>
    <w:rsid w:val="0094044F"/>
    <w:rsid w:val="00940562"/>
    <w:rsid w:val="00940694"/>
    <w:rsid w:val="009407E4"/>
    <w:rsid w:val="00940899"/>
    <w:rsid w:val="00940910"/>
    <w:rsid w:val="009409C9"/>
    <w:rsid w:val="00940A7B"/>
    <w:rsid w:val="00940B70"/>
    <w:rsid w:val="00940E92"/>
    <w:rsid w:val="00940F31"/>
    <w:rsid w:val="0094134B"/>
    <w:rsid w:val="00941877"/>
    <w:rsid w:val="00941A30"/>
    <w:rsid w:val="00941B01"/>
    <w:rsid w:val="00941D1E"/>
    <w:rsid w:val="00942024"/>
    <w:rsid w:val="009420F0"/>
    <w:rsid w:val="009421B7"/>
    <w:rsid w:val="00942409"/>
    <w:rsid w:val="00942543"/>
    <w:rsid w:val="0094259E"/>
    <w:rsid w:val="0094269D"/>
    <w:rsid w:val="009426A8"/>
    <w:rsid w:val="0094282D"/>
    <w:rsid w:val="009428EC"/>
    <w:rsid w:val="0094293D"/>
    <w:rsid w:val="009429C1"/>
    <w:rsid w:val="00942BD1"/>
    <w:rsid w:val="00942E72"/>
    <w:rsid w:val="00942F7D"/>
    <w:rsid w:val="00942FF0"/>
    <w:rsid w:val="00942FF2"/>
    <w:rsid w:val="00943416"/>
    <w:rsid w:val="00943449"/>
    <w:rsid w:val="00943453"/>
    <w:rsid w:val="0094360D"/>
    <w:rsid w:val="0094364B"/>
    <w:rsid w:val="0094372E"/>
    <w:rsid w:val="009437DA"/>
    <w:rsid w:val="00943857"/>
    <w:rsid w:val="00943A30"/>
    <w:rsid w:val="00943A63"/>
    <w:rsid w:val="00943B00"/>
    <w:rsid w:val="00943C47"/>
    <w:rsid w:val="00943C95"/>
    <w:rsid w:val="00943DA7"/>
    <w:rsid w:val="00943E39"/>
    <w:rsid w:val="0094406F"/>
    <w:rsid w:val="009440E9"/>
    <w:rsid w:val="0094444E"/>
    <w:rsid w:val="009444D3"/>
    <w:rsid w:val="00944550"/>
    <w:rsid w:val="00944789"/>
    <w:rsid w:val="00944896"/>
    <w:rsid w:val="00944E44"/>
    <w:rsid w:val="009452CD"/>
    <w:rsid w:val="0094530A"/>
    <w:rsid w:val="0094533A"/>
    <w:rsid w:val="0094560E"/>
    <w:rsid w:val="00945704"/>
    <w:rsid w:val="009457B5"/>
    <w:rsid w:val="0094584D"/>
    <w:rsid w:val="009459A7"/>
    <w:rsid w:val="00945AF3"/>
    <w:rsid w:val="00945B73"/>
    <w:rsid w:val="00945C29"/>
    <w:rsid w:val="00945D78"/>
    <w:rsid w:val="00945EE7"/>
    <w:rsid w:val="00945F7B"/>
    <w:rsid w:val="00945FD6"/>
    <w:rsid w:val="0094603E"/>
    <w:rsid w:val="009460D3"/>
    <w:rsid w:val="009462E4"/>
    <w:rsid w:val="009463BA"/>
    <w:rsid w:val="00946482"/>
    <w:rsid w:val="009464A5"/>
    <w:rsid w:val="009464CA"/>
    <w:rsid w:val="00946596"/>
    <w:rsid w:val="0094660A"/>
    <w:rsid w:val="00946A04"/>
    <w:rsid w:val="00946B80"/>
    <w:rsid w:val="00946BC5"/>
    <w:rsid w:val="00946C3E"/>
    <w:rsid w:val="00946C49"/>
    <w:rsid w:val="00946CC5"/>
    <w:rsid w:val="00946DC8"/>
    <w:rsid w:val="00946DDC"/>
    <w:rsid w:val="00946F8E"/>
    <w:rsid w:val="00946F95"/>
    <w:rsid w:val="00946FC9"/>
    <w:rsid w:val="009472CF"/>
    <w:rsid w:val="00947336"/>
    <w:rsid w:val="00947365"/>
    <w:rsid w:val="0094748D"/>
    <w:rsid w:val="009474A6"/>
    <w:rsid w:val="00947565"/>
    <w:rsid w:val="009475D0"/>
    <w:rsid w:val="00947879"/>
    <w:rsid w:val="00947A58"/>
    <w:rsid w:val="00947A7E"/>
    <w:rsid w:val="00947A9A"/>
    <w:rsid w:val="00947B6B"/>
    <w:rsid w:val="00947C00"/>
    <w:rsid w:val="00947D57"/>
    <w:rsid w:val="00947EA6"/>
    <w:rsid w:val="00947F86"/>
    <w:rsid w:val="009500B3"/>
    <w:rsid w:val="009503E8"/>
    <w:rsid w:val="009504F6"/>
    <w:rsid w:val="009505D0"/>
    <w:rsid w:val="009507F1"/>
    <w:rsid w:val="00950B16"/>
    <w:rsid w:val="00950B6E"/>
    <w:rsid w:val="00950C6A"/>
    <w:rsid w:val="00950E66"/>
    <w:rsid w:val="00951060"/>
    <w:rsid w:val="00951071"/>
    <w:rsid w:val="0095110E"/>
    <w:rsid w:val="0095113C"/>
    <w:rsid w:val="00951322"/>
    <w:rsid w:val="00951458"/>
    <w:rsid w:val="00951637"/>
    <w:rsid w:val="0095186B"/>
    <w:rsid w:val="009518B9"/>
    <w:rsid w:val="0095193C"/>
    <w:rsid w:val="0095193D"/>
    <w:rsid w:val="0095194A"/>
    <w:rsid w:val="00951961"/>
    <w:rsid w:val="00951A8A"/>
    <w:rsid w:val="00951DF0"/>
    <w:rsid w:val="0095209E"/>
    <w:rsid w:val="009520E1"/>
    <w:rsid w:val="0095214E"/>
    <w:rsid w:val="00952363"/>
    <w:rsid w:val="0095244A"/>
    <w:rsid w:val="009525E7"/>
    <w:rsid w:val="0095267A"/>
    <w:rsid w:val="009526EB"/>
    <w:rsid w:val="0095324E"/>
    <w:rsid w:val="009532A4"/>
    <w:rsid w:val="009533D1"/>
    <w:rsid w:val="00953418"/>
    <w:rsid w:val="009534D0"/>
    <w:rsid w:val="00953803"/>
    <w:rsid w:val="00953825"/>
    <w:rsid w:val="0095391D"/>
    <w:rsid w:val="00953B18"/>
    <w:rsid w:val="00953B8E"/>
    <w:rsid w:val="00953BDA"/>
    <w:rsid w:val="00953CD5"/>
    <w:rsid w:val="00953DE8"/>
    <w:rsid w:val="009543E5"/>
    <w:rsid w:val="00954455"/>
    <w:rsid w:val="009544F1"/>
    <w:rsid w:val="00954552"/>
    <w:rsid w:val="0095480B"/>
    <w:rsid w:val="009548A3"/>
    <w:rsid w:val="009548D2"/>
    <w:rsid w:val="009548F9"/>
    <w:rsid w:val="009549B4"/>
    <w:rsid w:val="00954B09"/>
    <w:rsid w:val="00954BEB"/>
    <w:rsid w:val="00954C8A"/>
    <w:rsid w:val="00954E1E"/>
    <w:rsid w:val="00954F33"/>
    <w:rsid w:val="009550AD"/>
    <w:rsid w:val="00955154"/>
    <w:rsid w:val="0095516E"/>
    <w:rsid w:val="0095549B"/>
    <w:rsid w:val="009558C4"/>
    <w:rsid w:val="00955950"/>
    <w:rsid w:val="009559E3"/>
    <w:rsid w:val="009559F1"/>
    <w:rsid w:val="00955B03"/>
    <w:rsid w:val="00955E82"/>
    <w:rsid w:val="00955F41"/>
    <w:rsid w:val="00956043"/>
    <w:rsid w:val="00956184"/>
    <w:rsid w:val="00956193"/>
    <w:rsid w:val="0095625A"/>
    <w:rsid w:val="0095628C"/>
    <w:rsid w:val="009562BD"/>
    <w:rsid w:val="009562DC"/>
    <w:rsid w:val="00956380"/>
    <w:rsid w:val="009563F6"/>
    <w:rsid w:val="00956659"/>
    <w:rsid w:val="0095676E"/>
    <w:rsid w:val="00956781"/>
    <w:rsid w:val="009568A4"/>
    <w:rsid w:val="00956A33"/>
    <w:rsid w:val="00956A6D"/>
    <w:rsid w:val="00956A8C"/>
    <w:rsid w:val="00956CCA"/>
    <w:rsid w:val="00956EE3"/>
    <w:rsid w:val="00957213"/>
    <w:rsid w:val="0095725F"/>
    <w:rsid w:val="0095741D"/>
    <w:rsid w:val="00957522"/>
    <w:rsid w:val="0095768A"/>
    <w:rsid w:val="009576BA"/>
    <w:rsid w:val="009578FE"/>
    <w:rsid w:val="00957A37"/>
    <w:rsid w:val="00957B39"/>
    <w:rsid w:val="00957B90"/>
    <w:rsid w:val="00957C1E"/>
    <w:rsid w:val="00957CB1"/>
    <w:rsid w:val="00957E13"/>
    <w:rsid w:val="0096021B"/>
    <w:rsid w:val="009602F6"/>
    <w:rsid w:val="009602FC"/>
    <w:rsid w:val="0096063E"/>
    <w:rsid w:val="009606F7"/>
    <w:rsid w:val="009607E0"/>
    <w:rsid w:val="009607F3"/>
    <w:rsid w:val="00960985"/>
    <w:rsid w:val="00960A17"/>
    <w:rsid w:val="00960B67"/>
    <w:rsid w:val="00960B7E"/>
    <w:rsid w:val="00960CD1"/>
    <w:rsid w:val="00960CDA"/>
    <w:rsid w:val="00960D25"/>
    <w:rsid w:val="00960D4A"/>
    <w:rsid w:val="00960D7B"/>
    <w:rsid w:val="00960ED1"/>
    <w:rsid w:val="009610B4"/>
    <w:rsid w:val="00961122"/>
    <w:rsid w:val="0096133B"/>
    <w:rsid w:val="00961507"/>
    <w:rsid w:val="00961536"/>
    <w:rsid w:val="00961652"/>
    <w:rsid w:val="00961732"/>
    <w:rsid w:val="009617D2"/>
    <w:rsid w:val="009617FF"/>
    <w:rsid w:val="0096189F"/>
    <w:rsid w:val="00961A75"/>
    <w:rsid w:val="00961AAE"/>
    <w:rsid w:val="00961B2D"/>
    <w:rsid w:val="00961C0F"/>
    <w:rsid w:val="00961D23"/>
    <w:rsid w:val="00961F78"/>
    <w:rsid w:val="009620E8"/>
    <w:rsid w:val="00962373"/>
    <w:rsid w:val="00962428"/>
    <w:rsid w:val="0096273D"/>
    <w:rsid w:val="009627C6"/>
    <w:rsid w:val="0096288F"/>
    <w:rsid w:val="00962925"/>
    <w:rsid w:val="00962B90"/>
    <w:rsid w:val="0096322F"/>
    <w:rsid w:val="00963263"/>
    <w:rsid w:val="00963371"/>
    <w:rsid w:val="0096354F"/>
    <w:rsid w:val="0096356A"/>
    <w:rsid w:val="00963659"/>
    <w:rsid w:val="009637B6"/>
    <w:rsid w:val="00963866"/>
    <w:rsid w:val="00963898"/>
    <w:rsid w:val="00963AAA"/>
    <w:rsid w:val="00963BFF"/>
    <w:rsid w:val="00963F38"/>
    <w:rsid w:val="00963FCD"/>
    <w:rsid w:val="00964055"/>
    <w:rsid w:val="00964287"/>
    <w:rsid w:val="00964332"/>
    <w:rsid w:val="00964386"/>
    <w:rsid w:val="009643D0"/>
    <w:rsid w:val="00964617"/>
    <w:rsid w:val="009646A6"/>
    <w:rsid w:val="009646F4"/>
    <w:rsid w:val="00964796"/>
    <w:rsid w:val="009647C2"/>
    <w:rsid w:val="009647F0"/>
    <w:rsid w:val="00964972"/>
    <w:rsid w:val="00964A65"/>
    <w:rsid w:val="00964A94"/>
    <w:rsid w:val="00964C0A"/>
    <w:rsid w:val="00964C38"/>
    <w:rsid w:val="00964E48"/>
    <w:rsid w:val="00964EE3"/>
    <w:rsid w:val="009650F2"/>
    <w:rsid w:val="0096512B"/>
    <w:rsid w:val="009651F4"/>
    <w:rsid w:val="00965294"/>
    <w:rsid w:val="00965363"/>
    <w:rsid w:val="009653AE"/>
    <w:rsid w:val="009653BE"/>
    <w:rsid w:val="009653C6"/>
    <w:rsid w:val="00965528"/>
    <w:rsid w:val="0096579D"/>
    <w:rsid w:val="0096593C"/>
    <w:rsid w:val="00965CC9"/>
    <w:rsid w:val="00965CFB"/>
    <w:rsid w:val="00965F6B"/>
    <w:rsid w:val="00965F9A"/>
    <w:rsid w:val="0096603A"/>
    <w:rsid w:val="00966080"/>
    <w:rsid w:val="0096625C"/>
    <w:rsid w:val="00966366"/>
    <w:rsid w:val="0096639D"/>
    <w:rsid w:val="009663CD"/>
    <w:rsid w:val="0096644B"/>
    <w:rsid w:val="009664D0"/>
    <w:rsid w:val="0096691F"/>
    <w:rsid w:val="00966A30"/>
    <w:rsid w:val="00966CF2"/>
    <w:rsid w:val="00966D3F"/>
    <w:rsid w:val="00966DF7"/>
    <w:rsid w:val="00966F27"/>
    <w:rsid w:val="00966F59"/>
    <w:rsid w:val="00967136"/>
    <w:rsid w:val="0096745E"/>
    <w:rsid w:val="009674C9"/>
    <w:rsid w:val="0096755A"/>
    <w:rsid w:val="0096756D"/>
    <w:rsid w:val="00967585"/>
    <w:rsid w:val="00967609"/>
    <w:rsid w:val="00967800"/>
    <w:rsid w:val="00967A8C"/>
    <w:rsid w:val="00967AE4"/>
    <w:rsid w:val="00967B1E"/>
    <w:rsid w:val="00967B71"/>
    <w:rsid w:val="00967C56"/>
    <w:rsid w:val="00967CB4"/>
    <w:rsid w:val="00967D7C"/>
    <w:rsid w:val="00967E1B"/>
    <w:rsid w:val="00970025"/>
    <w:rsid w:val="00970068"/>
    <w:rsid w:val="00970238"/>
    <w:rsid w:val="0097035E"/>
    <w:rsid w:val="009704BC"/>
    <w:rsid w:val="00970714"/>
    <w:rsid w:val="00970777"/>
    <w:rsid w:val="0097078D"/>
    <w:rsid w:val="009708C0"/>
    <w:rsid w:val="00970953"/>
    <w:rsid w:val="009709BD"/>
    <w:rsid w:val="009709CA"/>
    <w:rsid w:val="00970B0F"/>
    <w:rsid w:val="00970C02"/>
    <w:rsid w:val="00970D67"/>
    <w:rsid w:val="00970DA6"/>
    <w:rsid w:val="00970E85"/>
    <w:rsid w:val="00970EB2"/>
    <w:rsid w:val="00970ED9"/>
    <w:rsid w:val="00971060"/>
    <w:rsid w:val="009711E8"/>
    <w:rsid w:val="00971278"/>
    <w:rsid w:val="009712DF"/>
    <w:rsid w:val="009713DD"/>
    <w:rsid w:val="00971470"/>
    <w:rsid w:val="00971501"/>
    <w:rsid w:val="00971762"/>
    <w:rsid w:val="0097182D"/>
    <w:rsid w:val="009719AE"/>
    <w:rsid w:val="00971B5C"/>
    <w:rsid w:val="00971BDD"/>
    <w:rsid w:val="00971C8E"/>
    <w:rsid w:val="00971C94"/>
    <w:rsid w:val="00971D0F"/>
    <w:rsid w:val="00971F17"/>
    <w:rsid w:val="009720A5"/>
    <w:rsid w:val="00972245"/>
    <w:rsid w:val="009723D6"/>
    <w:rsid w:val="00972483"/>
    <w:rsid w:val="0097252B"/>
    <w:rsid w:val="009725B7"/>
    <w:rsid w:val="0097269A"/>
    <w:rsid w:val="00972791"/>
    <w:rsid w:val="009728C3"/>
    <w:rsid w:val="00972A08"/>
    <w:rsid w:val="00972AF6"/>
    <w:rsid w:val="00972E80"/>
    <w:rsid w:val="00972FA4"/>
    <w:rsid w:val="00972FAC"/>
    <w:rsid w:val="00973046"/>
    <w:rsid w:val="009732AC"/>
    <w:rsid w:val="009734A4"/>
    <w:rsid w:val="00973503"/>
    <w:rsid w:val="0097353A"/>
    <w:rsid w:val="009735A2"/>
    <w:rsid w:val="00973720"/>
    <w:rsid w:val="009737A5"/>
    <w:rsid w:val="0097386D"/>
    <w:rsid w:val="009739FD"/>
    <w:rsid w:val="00973A14"/>
    <w:rsid w:val="00973A9F"/>
    <w:rsid w:val="00973B98"/>
    <w:rsid w:val="00973D51"/>
    <w:rsid w:val="00973DCF"/>
    <w:rsid w:val="00973DDE"/>
    <w:rsid w:val="0097445E"/>
    <w:rsid w:val="00974526"/>
    <w:rsid w:val="009746CE"/>
    <w:rsid w:val="00974704"/>
    <w:rsid w:val="00974876"/>
    <w:rsid w:val="009748C9"/>
    <w:rsid w:val="00974A0A"/>
    <w:rsid w:val="00974A4A"/>
    <w:rsid w:val="00974B09"/>
    <w:rsid w:val="00974B6B"/>
    <w:rsid w:val="00974CF4"/>
    <w:rsid w:val="00974D40"/>
    <w:rsid w:val="00974D6C"/>
    <w:rsid w:val="00974E61"/>
    <w:rsid w:val="00974FE7"/>
    <w:rsid w:val="0097512C"/>
    <w:rsid w:val="00975270"/>
    <w:rsid w:val="00975328"/>
    <w:rsid w:val="00975352"/>
    <w:rsid w:val="00975839"/>
    <w:rsid w:val="00975891"/>
    <w:rsid w:val="00975C8D"/>
    <w:rsid w:val="00975D02"/>
    <w:rsid w:val="00975DF2"/>
    <w:rsid w:val="00975EE7"/>
    <w:rsid w:val="00976002"/>
    <w:rsid w:val="009760D4"/>
    <w:rsid w:val="0097619D"/>
    <w:rsid w:val="009761DB"/>
    <w:rsid w:val="0097624E"/>
    <w:rsid w:val="009762D0"/>
    <w:rsid w:val="0097638E"/>
    <w:rsid w:val="00976471"/>
    <w:rsid w:val="0097657B"/>
    <w:rsid w:val="00976679"/>
    <w:rsid w:val="0097674A"/>
    <w:rsid w:val="00976776"/>
    <w:rsid w:val="00976823"/>
    <w:rsid w:val="00976A33"/>
    <w:rsid w:val="00976B23"/>
    <w:rsid w:val="00976C07"/>
    <w:rsid w:val="00976C54"/>
    <w:rsid w:val="00976DBA"/>
    <w:rsid w:val="00976DDF"/>
    <w:rsid w:val="0097742E"/>
    <w:rsid w:val="00977839"/>
    <w:rsid w:val="00977846"/>
    <w:rsid w:val="009778CA"/>
    <w:rsid w:val="00977931"/>
    <w:rsid w:val="00977954"/>
    <w:rsid w:val="0097797C"/>
    <w:rsid w:val="00977A11"/>
    <w:rsid w:val="00977BF5"/>
    <w:rsid w:val="00977D73"/>
    <w:rsid w:val="00977DC9"/>
    <w:rsid w:val="00977E5E"/>
    <w:rsid w:val="00980351"/>
    <w:rsid w:val="00980393"/>
    <w:rsid w:val="00980511"/>
    <w:rsid w:val="00980745"/>
    <w:rsid w:val="009807AB"/>
    <w:rsid w:val="00980850"/>
    <w:rsid w:val="009808E1"/>
    <w:rsid w:val="00980A33"/>
    <w:rsid w:val="00980C0B"/>
    <w:rsid w:val="00980E66"/>
    <w:rsid w:val="00980FAA"/>
    <w:rsid w:val="009811F7"/>
    <w:rsid w:val="00981271"/>
    <w:rsid w:val="00981460"/>
    <w:rsid w:val="009816EB"/>
    <w:rsid w:val="00981950"/>
    <w:rsid w:val="0098196F"/>
    <w:rsid w:val="00981B49"/>
    <w:rsid w:val="00981CD2"/>
    <w:rsid w:val="00981E50"/>
    <w:rsid w:val="00981E6E"/>
    <w:rsid w:val="0098205B"/>
    <w:rsid w:val="009820C6"/>
    <w:rsid w:val="009820F1"/>
    <w:rsid w:val="0098235A"/>
    <w:rsid w:val="009823CF"/>
    <w:rsid w:val="0098242A"/>
    <w:rsid w:val="00982442"/>
    <w:rsid w:val="00982525"/>
    <w:rsid w:val="00982658"/>
    <w:rsid w:val="00982776"/>
    <w:rsid w:val="009828C5"/>
    <w:rsid w:val="009828CD"/>
    <w:rsid w:val="00982A29"/>
    <w:rsid w:val="00982A77"/>
    <w:rsid w:val="00982C46"/>
    <w:rsid w:val="00982D25"/>
    <w:rsid w:val="0098309B"/>
    <w:rsid w:val="00983144"/>
    <w:rsid w:val="00983179"/>
    <w:rsid w:val="00983459"/>
    <w:rsid w:val="009836D5"/>
    <w:rsid w:val="00983784"/>
    <w:rsid w:val="00983979"/>
    <w:rsid w:val="00983B8D"/>
    <w:rsid w:val="00983BEA"/>
    <w:rsid w:val="00983CD5"/>
    <w:rsid w:val="00983D73"/>
    <w:rsid w:val="00983FA4"/>
    <w:rsid w:val="00984047"/>
    <w:rsid w:val="009840CF"/>
    <w:rsid w:val="0098413C"/>
    <w:rsid w:val="0098419B"/>
    <w:rsid w:val="009841BE"/>
    <w:rsid w:val="009844AA"/>
    <w:rsid w:val="009844E1"/>
    <w:rsid w:val="009844F1"/>
    <w:rsid w:val="0098459F"/>
    <w:rsid w:val="0098466F"/>
    <w:rsid w:val="0098482F"/>
    <w:rsid w:val="00984994"/>
    <w:rsid w:val="00984A68"/>
    <w:rsid w:val="00984AA1"/>
    <w:rsid w:val="00984B3B"/>
    <w:rsid w:val="00984B5E"/>
    <w:rsid w:val="00984BBD"/>
    <w:rsid w:val="00984C38"/>
    <w:rsid w:val="00984D4F"/>
    <w:rsid w:val="00984DBF"/>
    <w:rsid w:val="009850B1"/>
    <w:rsid w:val="009850F2"/>
    <w:rsid w:val="00985118"/>
    <w:rsid w:val="0098517E"/>
    <w:rsid w:val="0098521D"/>
    <w:rsid w:val="0098534C"/>
    <w:rsid w:val="009854A9"/>
    <w:rsid w:val="009854E4"/>
    <w:rsid w:val="009855F0"/>
    <w:rsid w:val="00985877"/>
    <w:rsid w:val="009858A8"/>
    <w:rsid w:val="0098590E"/>
    <w:rsid w:val="00985929"/>
    <w:rsid w:val="0098597E"/>
    <w:rsid w:val="00985A5B"/>
    <w:rsid w:val="00985C7C"/>
    <w:rsid w:val="00985C84"/>
    <w:rsid w:val="00985D01"/>
    <w:rsid w:val="00985DB0"/>
    <w:rsid w:val="00985E1C"/>
    <w:rsid w:val="00985F64"/>
    <w:rsid w:val="009860B8"/>
    <w:rsid w:val="009860E2"/>
    <w:rsid w:val="00986307"/>
    <w:rsid w:val="00986410"/>
    <w:rsid w:val="0098641E"/>
    <w:rsid w:val="009864D7"/>
    <w:rsid w:val="009866B8"/>
    <w:rsid w:val="00986743"/>
    <w:rsid w:val="00986785"/>
    <w:rsid w:val="009867BD"/>
    <w:rsid w:val="009868C5"/>
    <w:rsid w:val="00986991"/>
    <w:rsid w:val="00986AF0"/>
    <w:rsid w:val="00986C81"/>
    <w:rsid w:val="00986C95"/>
    <w:rsid w:val="00986CF2"/>
    <w:rsid w:val="00986DC2"/>
    <w:rsid w:val="00986DFA"/>
    <w:rsid w:val="00986E4C"/>
    <w:rsid w:val="00986E92"/>
    <w:rsid w:val="00986EEA"/>
    <w:rsid w:val="00986F57"/>
    <w:rsid w:val="009870ED"/>
    <w:rsid w:val="009872ED"/>
    <w:rsid w:val="009873B6"/>
    <w:rsid w:val="009873E7"/>
    <w:rsid w:val="009873EF"/>
    <w:rsid w:val="00987423"/>
    <w:rsid w:val="00987493"/>
    <w:rsid w:val="009875E6"/>
    <w:rsid w:val="00987A0E"/>
    <w:rsid w:val="00987CD6"/>
    <w:rsid w:val="00987D36"/>
    <w:rsid w:val="00987D4B"/>
    <w:rsid w:val="009901A4"/>
    <w:rsid w:val="009901AA"/>
    <w:rsid w:val="009904DE"/>
    <w:rsid w:val="00990526"/>
    <w:rsid w:val="00990732"/>
    <w:rsid w:val="00990ACC"/>
    <w:rsid w:val="00990AEA"/>
    <w:rsid w:val="00990C36"/>
    <w:rsid w:val="00990D50"/>
    <w:rsid w:val="00990E08"/>
    <w:rsid w:val="00990F0C"/>
    <w:rsid w:val="0099106F"/>
    <w:rsid w:val="009910B6"/>
    <w:rsid w:val="00991100"/>
    <w:rsid w:val="00991212"/>
    <w:rsid w:val="009912F0"/>
    <w:rsid w:val="0099152F"/>
    <w:rsid w:val="0099153F"/>
    <w:rsid w:val="00991597"/>
    <w:rsid w:val="00991601"/>
    <w:rsid w:val="009917F9"/>
    <w:rsid w:val="00991DA0"/>
    <w:rsid w:val="00991EB6"/>
    <w:rsid w:val="00991FF3"/>
    <w:rsid w:val="0099200C"/>
    <w:rsid w:val="00992171"/>
    <w:rsid w:val="009921A6"/>
    <w:rsid w:val="009922EC"/>
    <w:rsid w:val="00992312"/>
    <w:rsid w:val="0099232B"/>
    <w:rsid w:val="009923CD"/>
    <w:rsid w:val="009925A7"/>
    <w:rsid w:val="0099262A"/>
    <w:rsid w:val="009926D3"/>
    <w:rsid w:val="009926ED"/>
    <w:rsid w:val="009927B8"/>
    <w:rsid w:val="009929C8"/>
    <w:rsid w:val="00992C65"/>
    <w:rsid w:val="00992D62"/>
    <w:rsid w:val="00992F1A"/>
    <w:rsid w:val="00992FB1"/>
    <w:rsid w:val="00993022"/>
    <w:rsid w:val="0099317A"/>
    <w:rsid w:val="009931E1"/>
    <w:rsid w:val="00993206"/>
    <w:rsid w:val="009933CF"/>
    <w:rsid w:val="009933E3"/>
    <w:rsid w:val="0099343A"/>
    <w:rsid w:val="0099358F"/>
    <w:rsid w:val="00993703"/>
    <w:rsid w:val="0099370F"/>
    <w:rsid w:val="00993A53"/>
    <w:rsid w:val="00993C8E"/>
    <w:rsid w:val="00993CC4"/>
    <w:rsid w:val="00993D32"/>
    <w:rsid w:val="0099412B"/>
    <w:rsid w:val="00994339"/>
    <w:rsid w:val="00994386"/>
    <w:rsid w:val="009944C7"/>
    <w:rsid w:val="00994652"/>
    <w:rsid w:val="009946B7"/>
    <w:rsid w:val="00994731"/>
    <w:rsid w:val="0099477D"/>
    <w:rsid w:val="0099484B"/>
    <w:rsid w:val="009949FD"/>
    <w:rsid w:val="00994BE7"/>
    <w:rsid w:val="00994CDA"/>
    <w:rsid w:val="00994E92"/>
    <w:rsid w:val="00994F10"/>
    <w:rsid w:val="00994F85"/>
    <w:rsid w:val="00995093"/>
    <w:rsid w:val="009950A1"/>
    <w:rsid w:val="0099514E"/>
    <w:rsid w:val="0099521E"/>
    <w:rsid w:val="0099540E"/>
    <w:rsid w:val="0099563D"/>
    <w:rsid w:val="00995654"/>
    <w:rsid w:val="00995765"/>
    <w:rsid w:val="009959BC"/>
    <w:rsid w:val="009959D0"/>
    <w:rsid w:val="00995A8E"/>
    <w:rsid w:val="00995AE3"/>
    <w:rsid w:val="00995E48"/>
    <w:rsid w:val="00995EEF"/>
    <w:rsid w:val="00995F57"/>
    <w:rsid w:val="0099608C"/>
    <w:rsid w:val="009960C9"/>
    <w:rsid w:val="009961F1"/>
    <w:rsid w:val="00996235"/>
    <w:rsid w:val="0099628D"/>
    <w:rsid w:val="00996401"/>
    <w:rsid w:val="009964ED"/>
    <w:rsid w:val="0099669D"/>
    <w:rsid w:val="009966D4"/>
    <w:rsid w:val="0099671F"/>
    <w:rsid w:val="00996799"/>
    <w:rsid w:val="0099686D"/>
    <w:rsid w:val="00996D3D"/>
    <w:rsid w:val="00996E07"/>
    <w:rsid w:val="00996EEB"/>
    <w:rsid w:val="009970A0"/>
    <w:rsid w:val="0099725C"/>
    <w:rsid w:val="009972D4"/>
    <w:rsid w:val="009974BD"/>
    <w:rsid w:val="00997646"/>
    <w:rsid w:val="009976A4"/>
    <w:rsid w:val="0099774E"/>
    <w:rsid w:val="0099779F"/>
    <w:rsid w:val="0099782D"/>
    <w:rsid w:val="009978E9"/>
    <w:rsid w:val="009979A3"/>
    <w:rsid w:val="00997A62"/>
    <w:rsid w:val="00997C42"/>
    <w:rsid w:val="00997D19"/>
    <w:rsid w:val="00997E5A"/>
    <w:rsid w:val="00997F30"/>
    <w:rsid w:val="00997F44"/>
    <w:rsid w:val="00997F86"/>
    <w:rsid w:val="009A01EC"/>
    <w:rsid w:val="009A026C"/>
    <w:rsid w:val="009A033A"/>
    <w:rsid w:val="009A0361"/>
    <w:rsid w:val="009A04C9"/>
    <w:rsid w:val="009A052E"/>
    <w:rsid w:val="009A05AB"/>
    <w:rsid w:val="009A05B8"/>
    <w:rsid w:val="009A05F3"/>
    <w:rsid w:val="009A0679"/>
    <w:rsid w:val="009A06CD"/>
    <w:rsid w:val="009A06DD"/>
    <w:rsid w:val="009A06F3"/>
    <w:rsid w:val="009A0718"/>
    <w:rsid w:val="009A0814"/>
    <w:rsid w:val="009A0B2E"/>
    <w:rsid w:val="009A0BF8"/>
    <w:rsid w:val="009A0C99"/>
    <w:rsid w:val="009A104B"/>
    <w:rsid w:val="009A10BB"/>
    <w:rsid w:val="009A1166"/>
    <w:rsid w:val="009A116E"/>
    <w:rsid w:val="009A122E"/>
    <w:rsid w:val="009A1342"/>
    <w:rsid w:val="009A134E"/>
    <w:rsid w:val="009A13DC"/>
    <w:rsid w:val="009A1436"/>
    <w:rsid w:val="009A147F"/>
    <w:rsid w:val="009A1B4B"/>
    <w:rsid w:val="009A1CDC"/>
    <w:rsid w:val="009A1DD3"/>
    <w:rsid w:val="009A1ED2"/>
    <w:rsid w:val="009A209B"/>
    <w:rsid w:val="009A20B8"/>
    <w:rsid w:val="009A215A"/>
    <w:rsid w:val="009A23C3"/>
    <w:rsid w:val="009A2599"/>
    <w:rsid w:val="009A25ED"/>
    <w:rsid w:val="009A2653"/>
    <w:rsid w:val="009A2689"/>
    <w:rsid w:val="009A2698"/>
    <w:rsid w:val="009A26E7"/>
    <w:rsid w:val="009A27A3"/>
    <w:rsid w:val="009A284F"/>
    <w:rsid w:val="009A296B"/>
    <w:rsid w:val="009A2984"/>
    <w:rsid w:val="009A2B6B"/>
    <w:rsid w:val="009A2BEA"/>
    <w:rsid w:val="009A2C41"/>
    <w:rsid w:val="009A2CD6"/>
    <w:rsid w:val="009A2D51"/>
    <w:rsid w:val="009A307A"/>
    <w:rsid w:val="009A331E"/>
    <w:rsid w:val="009A335B"/>
    <w:rsid w:val="009A3502"/>
    <w:rsid w:val="009A38D5"/>
    <w:rsid w:val="009A3971"/>
    <w:rsid w:val="009A3992"/>
    <w:rsid w:val="009A3A55"/>
    <w:rsid w:val="009A3B96"/>
    <w:rsid w:val="009A3E51"/>
    <w:rsid w:val="009A3E6A"/>
    <w:rsid w:val="009A3E6D"/>
    <w:rsid w:val="009A3ED1"/>
    <w:rsid w:val="009A3EE1"/>
    <w:rsid w:val="009A3F38"/>
    <w:rsid w:val="009A4070"/>
    <w:rsid w:val="009A407B"/>
    <w:rsid w:val="009A40C4"/>
    <w:rsid w:val="009A416A"/>
    <w:rsid w:val="009A41B3"/>
    <w:rsid w:val="009A4269"/>
    <w:rsid w:val="009A42B3"/>
    <w:rsid w:val="009A4699"/>
    <w:rsid w:val="009A49BA"/>
    <w:rsid w:val="009A4ABA"/>
    <w:rsid w:val="009A4BFD"/>
    <w:rsid w:val="009A4C41"/>
    <w:rsid w:val="009A4DDA"/>
    <w:rsid w:val="009A4DE1"/>
    <w:rsid w:val="009A5120"/>
    <w:rsid w:val="009A5148"/>
    <w:rsid w:val="009A5347"/>
    <w:rsid w:val="009A572E"/>
    <w:rsid w:val="009A58A9"/>
    <w:rsid w:val="009A58D5"/>
    <w:rsid w:val="009A5AA0"/>
    <w:rsid w:val="009A5D16"/>
    <w:rsid w:val="009A6172"/>
    <w:rsid w:val="009A63FE"/>
    <w:rsid w:val="009A655D"/>
    <w:rsid w:val="009A657C"/>
    <w:rsid w:val="009A6691"/>
    <w:rsid w:val="009A67CC"/>
    <w:rsid w:val="009A67DE"/>
    <w:rsid w:val="009A699A"/>
    <w:rsid w:val="009A6BBF"/>
    <w:rsid w:val="009A6EDF"/>
    <w:rsid w:val="009A7158"/>
    <w:rsid w:val="009A74CD"/>
    <w:rsid w:val="009A75DE"/>
    <w:rsid w:val="009A774D"/>
    <w:rsid w:val="009A7789"/>
    <w:rsid w:val="009A77F3"/>
    <w:rsid w:val="009A7979"/>
    <w:rsid w:val="009A79A9"/>
    <w:rsid w:val="009A7A08"/>
    <w:rsid w:val="009A7EEC"/>
    <w:rsid w:val="009A7F5D"/>
    <w:rsid w:val="009B0099"/>
    <w:rsid w:val="009B015B"/>
    <w:rsid w:val="009B0201"/>
    <w:rsid w:val="009B06BF"/>
    <w:rsid w:val="009B06F9"/>
    <w:rsid w:val="009B0978"/>
    <w:rsid w:val="009B0980"/>
    <w:rsid w:val="009B0C5D"/>
    <w:rsid w:val="009B0C94"/>
    <w:rsid w:val="009B0EA1"/>
    <w:rsid w:val="009B106D"/>
    <w:rsid w:val="009B10E3"/>
    <w:rsid w:val="009B10E9"/>
    <w:rsid w:val="009B1539"/>
    <w:rsid w:val="009B1559"/>
    <w:rsid w:val="009B156E"/>
    <w:rsid w:val="009B1787"/>
    <w:rsid w:val="009B1794"/>
    <w:rsid w:val="009B18A7"/>
    <w:rsid w:val="009B1C9F"/>
    <w:rsid w:val="009B24A9"/>
    <w:rsid w:val="009B256C"/>
    <w:rsid w:val="009B28DE"/>
    <w:rsid w:val="009B2975"/>
    <w:rsid w:val="009B2A57"/>
    <w:rsid w:val="009B2AA7"/>
    <w:rsid w:val="009B2AB7"/>
    <w:rsid w:val="009B2C2A"/>
    <w:rsid w:val="009B2CDB"/>
    <w:rsid w:val="009B2DE8"/>
    <w:rsid w:val="009B2F60"/>
    <w:rsid w:val="009B309C"/>
    <w:rsid w:val="009B31A7"/>
    <w:rsid w:val="009B33D0"/>
    <w:rsid w:val="009B3412"/>
    <w:rsid w:val="009B367E"/>
    <w:rsid w:val="009B37FF"/>
    <w:rsid w:val="009B388B"/>
    <w:rsid w:val="009B3B75"/>
    <w:rsid w:val="009B3E67"/>
    <w:rsid w:val="009B3F4B"/>
    <w:rsid w:val="009B3F99"/>
    <w:rsid w:val="009B4011"/>
    <w:rsid w:val="009B4162"/>
    <w:rsid w:val="009B4699"/>
    <w:rsid w:val="009B46D3"/>
    <w:rsid w:val="009B4A28"/>
    <w:rsid w:val="009B4CDB"/>
    <w:rsid w:val="009B4DE7"/>
    <w:rsid w:val="009B5065"/>
    <w:rsid w:val="009B50C5"/>
    <w:rsid w:val="009B5427"/>
    <w:rsid w:val="009B5437"/>
    <w:rsid w:val="009B5472"/>
    <w:rsid w:val="009B558A"/>
    <w:rsid w:val="009B56C9"/>
    <w:rsid w:val="009B56DA"/>
    <w:rsid w:val="009B57DF"/>
    <w:rsid w:val="009B5952"/>
    <w:rsid w:val="009B5A85"/>
    <w:rsid w:val="009B5AE9"/>
    <w:rsid w:val="009B5CF2"/>
    <w:rsid w:val="009B609D"/>
    <w:rsid w:val="009B61FD"/>
    <w:rsid w:val="009B63A6"/>
    <w:rsid w:val="009B648C"/>
    <w:rsid w:val="009B6573"/>
    <w:rsid w:val="009B65C9"/>
    <w:rsid w:val="009B6601"/>
    <w:rsid w:val="009B66E3"/>
    <w:rsid w:val="009B66F5"/>
    <w:rsid w:val="009B698C"/>
    <w:rsid w:val="009B6CDE"/>
    <w:rsid w:val="009B6CEB"/>
    <w:rsid w:val="009B6D01"/>
    <w:rsid w:val="009B6F65"/>
    <w:rsid w:val="009B6F83"/>
    <w:rsid w:val="009B6F97"/>
    <w:rsid w:val="009B7077"/>
    <w:rsid w:val="009B73E5"/>
    <w:rsid w:val="009B7472"/>
    <w:rsid w:val="009B7571"/>
    <w:rsid w:val="009B7670"/>
    <w:rsid w:val="009B7C63"/>
    <w:rsid w:val="009B7D81"/>
    <w:rsid w:val="009B7DBA"/>
    <w:rsid w:val="009B7DC3"/>
    <w:rsid w:val="009B7F4B"/>
    <w:rsid w:val="009C0172"/>
    <w:rsid w:val="009C07C6"/>
    <w:rsid w:val="009C0A47"/>
    <w:rsid w:val="009C0A96"/>
    <w:rsid w:val="009C0B88"/>
    <w:rsid w:val="009C0E02"/>
    <w:rsid w:val="009C0E31"/>
    <w:rsid w:val="009C0E6B"/>
    <w:rsid w:val="009C0E9A"/>
    <w:rsid w:val="009C0EC9"/>
    <w:rsid w:val="009C1270"/>
    <w:rsid w:val="009C136E"/>
    <w:rsid w:val="009C1525"/>
    <w:rsid w:val="009C167B"/>
    <w:rsid w:val="009C179F"/>
    <w:rsid w:val="009C1846"/>
    <w:rsid w:val="009C1908"/>
    <w:rsid w:val="009C191E"/>
    <w:rsid w:val="009C1BEA"/>
    <w:rsid w:val="009C1DF2"/>
    <w:rsid w:val="009C23B1"/>
    <w:rsid w:val="009C2462"/>
    <w:rsid w:val="009C24C5"/>
    <w:rsid w:val="009C264F"/>
    <w:rsid w:val="009C29FD"/>
    <w:rsid w:val="009C2A7F"/>
    <w:rsid w:val="009C2B93"/>
    <w:rsid w:val="009C2BFC"/>
    <w:rsid w:val="009C2C11"/>
    <w:rsid w:val="009C2D67"/>
    <w:rsid w:val="009C2E57"/>
    <w:rsid w:val="009C2EC6"/>
    <w:rsid w:val="009C2F02"/>
    <w:rsid w:val="009C303A"/>
    <w:rsid w:val="009C317F"/>
    <w:rsid w:val="009C344D"/>
    <w:rsid w:val="009C3461"/>
    <w:rsid w:val="009C34F3"/>
    <w:rsid w:val="009C373F"/>
    <w:rsid w:val="009C378A"/>
    <w:rsid w:val="009C3889"/>
    <w:rsid w:val="009C38F9"/>
    <w:rsid w:val="009C3983"/>
    <w:rsid w:val="009C39DD"/>
    <w:rsid w:val="009C3A01"/>
    <w:rsid w:val="009C3B28"/>
    <w:rsid w:val="009C3BC3"/>
    <w:rsid w:val="009C3EF7"/>
    <w:rsid w:val="009C42BA"/>
    <w:rsid w:val="009C4303"/>
    <w:rsid w:val="009C4511"/>
    <w:rsid w:val="009C4856"/>
    <w:rsid w:val="009C4A56"/>
    <w:rsid w:val="009C4CEC"/>
    <w:rsid w:val="009C4D4C"/>
    <w:rsid w:val="009C4D90"/>
    <w:rsid w:val="009C4F48"/>
    <w:rsid w:val="009C5378"/>
    <w:rsid w:val="009C5389"/>
    <w:rsid w:val="009C5424"/>
    <w:rsid w:val="009C5442"/>
    <w:rsid w:val="009C559D"/>
    <w:rsid w:val="009C5674"/>
    <w:rsid w:val="009C569A"/>
    <w:rsid w:val="009C574A"/>
    <w:rsid w:val="009C5873"/>
    <w:rsid w:val="009C5952"/>
    <w:rsid w:val="009C59C0"/>
    <w:rsid w:val="009C5A65"/>
    <w:rsid w:val="009C5A9B"/>
    <w:rsid w:val="009C5AA1"/>
    <w:rsid w:val="009C5C81"/>
    <w:rsid w:val="009C5CBC"/>
    <w:rsid w:val="009C5E1B"/>
    <w:rsid w:val="009C612E"/>
    <w:rsid w:val="009C6249"/>
    <w:rsid w:val="009C634E"/>
    <w:rsid w:val="009C6536"/>
    <w:rsid w:val="009C65A9"/>
    <w:rsid w:val="009C6811"/>
    <w:rsid w:val="009C6871"/>
    <w:rsid w:val="009C6B37"/>
    <w:rsid w:val="009C6CBF"/>
    <w:rsid w:val="009C6CEA"/>
    <w:rsid w:val="009C6D92"/>
    <w:rsid w:val="009C6DDF"/>
    <w:rsid w:val="009C6E5A"/>
    <w:rsid w:val="009C7278"/>
    <w:rsid w:val="009C72AA"/>
    <w:rsid w:val="009C7380"/>
    <w:rsid w:val="009C7529"/>
    <w:rsid w:val="009C765A"/>
    <w:rsid w:val="009C7885"/>
    <w:rsid w:val="009C78AB"/>
    <w:rsid w:val="009C7C24"/>
    <w:rsid w:val="009C7C9F"/>
    <w:rsid w:val="009C7CF7"/>
    <w:rsid w:val="009C7E0E"/>
    <w:rsid w:val="009D001D"/>
    <w:rsid w:val="009D006E"/>
    <w:rsid w:val="009D010C"/>
    <w:rsid w:val="009D015C"/>
    <w:rsid w:val="009D0171"/>
    <w:rsid w:val="009D03D4"/>
    <w:rsid w:val="009D0426"/>
    <w:rsid w:val="009D04CC"/>
    <w:rsid w:val="009D053E"/>
    <w:rsid w:val="009D05ED"/>
    <w:rsid w:val="009D09E6"/>
    <w:rsid w:val="009D09F4"/>
    <w:rsid w:val="009D0AAC"/>
    <w:rsid w:val="009D0B78"/>
    <w:rsid w:val="009D0BF7"/>
    <w:rsid w:val="009D0ED3"/>
    <w:rsid w:val="009D0F03"/>
    <w:rsid w:val="009D101D"/>
    <w:rsid w:val="009D1023"/>
    <w:rsid w:val="009D1190"/>
    <w:rsid w:val="009D1247"/>
    <w:rsid w:val="009D1386"/>
    <w:rsid w:val="009D13BB"/>
    <w:rsid w:val="009D14C3"/>
    <w:rsid w:val="009D161A"/>
    <w:rsid w:val="009D16CD"/>
    <w:rsid w:val="009D16E0"/>
    <w:rsid w:val="009D184B"/>
    <w:rsid w:val="009D1968"/>
    <w:rsid w:val="009D19C7"/>
    <w:rsid w:val="009D1D9A"/>
    <w:rsid w:val="009D1DFA"/>
    <w:rsid w:val="009D1F00"/>
    <w:rsid w:val="009D20E0"/>
    <w:rsid w:val="009D2105"/>
    <w:rsid w:val="009D2534"/>
    <w:rsid w:val="009D266F"/>
    <w:rsid w:val="009D278A"/>
    <w:rsid w:val="009D29E4"/>
    <w:rsid w:val="009D2A63"/>
    <w:rsid w:val="009D2ADF"/>
    <w:rsid w:val="009D2BEF"/>
    <w:rsid w:val="009D303B"/>
    <w:rsid w:val="009D30A3"/>
    <w:rsid w:val="009D31F4"/>
    <w:rsid w:val="009D32D5"/>
    <w:rsid w:val="009D3371"/>
    <w:rsid w:val="009D3526"/>
    <w:rsid w:val="009D39EA"/>
    <w:rsid w:val="009D3CD7"/>
    <w:rsid w:val="009D3E38"/>
    <w:rsid w:val="009D3F78"/>
    <w:rsid w:val="009D4119"/>
    <w:rsid w:val="009D4120"/>
    <w:rsid w:val="009D438C"/>
    <w:rsid w:val="009D45EF"/>
    <w:rsid w:val="009D46F5"/>
    <w:rsid w:val="009D4822"/>
    <w:rsid w:val="009D486B"/>
    <w:rsid w:val="009D488B"/>
    <w:rsid w:val="009D48FC"/>
    <w:rsid w:val="009D49C6"/>
    <w:rsid w:val="009D4ABF"/>
    <w:rsid w:val="009D4DDE"/>
    <w:rsid w:val="009D4F4F"/>
    <w:rsid w:val="009D501D"/>
    <w:rsid w:val="009D50EB"/>
    <w:rsid w:val="009D549E"/>
    <w:rsid w:val="009D5527"/>
    <w:rsid w:val="009D5605"/>
    <w:rsid w:val="009D5664"/>
    <w:rsid w:val="009D5991"/>
    <w:rsid w:val="009D5B6D"/>
    <w:rsid w:val="009D5B7F"/>
    <w:rsid w:val="009D5C73"/>
    <w:rsid w:val="009D5CD6"/>
    <w:rsid w:val="009D5F90"/>
    <w:rsid w:val="009D60CA"/>
    <w:rsid w:val="009D6180"/>
    <w:rsid w:val="009D649C"/>
    <w:rsid w:val="009D6686"/>
    <w:rsid w:val="009D6713"/>
    <w:rsid w:val="009D6979"/>
    <w:rsid w:val="009D6A7D"/>
    <w:rsid w:val="009D6B9A"/>
    <w:rsid w:val="009D6C21"/>
    <w:rsid w:val="009D6DB7"/>
    <w:rsid w:val="009D6F1A"/>
    <w:rsid w:val="009D6FE7"/>
    <w:rsid w:val="009D703B"/>
    <w:rsid w:val="009D713B"/>
    <w:rsid w:val="009D73F7"/>
    <w:rsid w:val="009D7400"/>
    <w:rsid w:val="009D749D"/>
    <w:rsid w:val="009D7800"/>
    <w:rsid w:val="009D790D"/>
    <w:rsid w:val="009D7C8D"/>
    <w:rsid w:val="009E001F"/>
    <w:rsid w:val="009E00B0"/>
    <w:rsid w:val="009E00CE"/>
    <w:rsid w:val="009E00F2"/>
    <w:rsid w:val="009E04B7"/>
    <w:rsid w:val="009E058D"/>
    <w:rsid w:val="009E05C4"/>
    <w:rsid w:val="009E077C"/>
    <w:rsid w:val="009E07C1"/>
    <w:rsid w:val="009E0915"/>
    <w:rsid w:val="009E0A35"/>
    <w:rsid w:val="009E1066"/>
    <w:rsid w:val="009E1230"/>
    <w:rsid w:val="009E136B"/>
    <w:rsid w:val="009E15EB"/>
    <w:rsid w:val="009E185C"/>
    <w:rsid w:val="009E195B"/>
    <w:rsid w:val="009E1985"/>
    <w:rsid w:val="009E199E"/>
    <w:rsid w:val="009E1A65"/>
    <w:rsid w:val="009E1B73"/>
    <w:rsid w:val="009E1C47"/>
    <w:rsid w:val="009E1D8F"/>
    <w:rsid w:val="009E1EC5"/>
    <w:rsid w:val="009E2076"/>
    <w:rsid w:val="009E20C0"/>
    <w:rsid w:val="009E226F"/>
    <w:rsid w:val="009E22AA"/>
    <w:rsid w:val="009E23F5"/>
    <w:rsid w:val="009E2449"/>
    <w:rsid w:val="009E2480"/>
    <w:rsid w:val="009E2539"/>
    <w:rsid w:val="009E25E3"/>
    <w:rsid w:val="009E269D"/>
    <w:rsid w:val="009E2756"/>
    <w:rsid w:val="009E27A4"/>
    <w:rsid w:val="009E27F0"/>
    <w:rsid w:val="009E282B"/>
    <w:rsid w:val="009E287C"/>
    <w:rsid w:val="009E2A4D"/>
    <w:rsid w:val="009E2B91"/>
    <w:rsid w:val="009E2D42"/>
    <w:rsid w:val="009E2DBA"/>
    <w:rsid w:val="009E2DD9"/>
    <w:rsid w:val="009E2E20"/>
    <w:rsid w:val="009E2E72"/>
    <w:rsid w:val="009E3081"/>
    <w:rsid w:val="009E316A"/>
    <w:rsid w:val="009E316C"/>
    <w:rsid w:val="009E32D2"/>
    <w:rsid w:val="009E32F5"/>
    <w:rsid w:val="009E347D"/>
    <w:rsid w:val="009E3500"/>
    <w:rsid w:val="009E3823"/>
    <w:rsid w:val="009E3963"/>
    <w:rsid w:val="009E3AA7"/>
    <w:rsid w:val="009E3D37"/>
    <w:rsid w:val="009E3DAA"/>
    <w:rsid w:val="009E3F44"/>
    <w:rsid w:val="009E404A"/>
    <w:rsid w:val="009E4069"/>
    <w:rsid w:val="009E43D0"/>
    <w:rsid w:val="009E43F8"/>
    <w:rsid w:val="009E457E"/>
    <w:rsid w:val="009E4606"/>
    <w:rsid w:val="009E4676"/>
    <w:rsid w:val="009E46CC"/>
    <w:rsid w:val="009E47D1"/>
    <w:rsid w:val="009E48C8"/>
    <w:rsid w:val="009E4B8B"/>
    <w:rsid w:val="009E4C8D"/>
    <w:rsid w:val="009E4CB3"/>
    <w:rsid w:val="009E4CD8"/>
    <w:rsid w:val="009E4E99"/>
    <w:rsid w:val="009E52C1"/>
    <w:rsid w:val="009E5419"/>
    <w:rsid w:val="009E55EF"/>
    <w:rsid w:val="009E56A8"/>
    <w:rsid w:val="009E57FD"/>
    <w:rsid w:val="009E5816"/>
    <w:rsid w:val="009E58B1"/>
    <w:rsid w:val="009E58D5"/>
    <w:rsid w:val="009E59E7"/>
    <w:rsid w:val="009E5A3D"/>
    <w:rsid w:val="009E5BB0"/>
    <w:rsid w:val="009E5C07"/>
    <w:rsid w:val="009E5C75"/>
    <w:rsid w:val="009E5D12"/>
    <w:rsid w:val="009E5E92"/>
    <w:rsid w:val="009E5F5F"/>
    <w:rsid w:val="009E604B"/>
    <w:rsid w:val="009E6279"/>
    <w:rsid w:val="009E644B"/>
    <w:rsid w:val="009E644E"/>
    <w:rsid w:val="009E6480"/>
    <w:rsid w:val="009E65EC"/>
    <w:rsid w:val="009E68BF"/>
    <w:rsid w:val="009E68CD"/>
    <w:rsid w:val="009E68D8"/>
    <w:rsid w:val="009E6CB1"/>
    <w:rsid w:val="009E713B"/>
    <w:rsid w:val="009E7190"/>
    <w:rsid w:val="009E7409"/>
    <w:rsid w:val="009E7460"/>
    <w:rsid w:val="009E7620"/>
    <w:rsid w:val="009E76CC"/>
    <w:rsid w:val="009E782D"/>
    <w:rsid w:val="009E7EA2"/>
    <w:rsid w:val="009E7FF9"/>
    <w:rsid w:val="009F008B"/>
    <w:rsid w:val="009F020C"/>
    <w:rsid w:val="009F0238"/>
    <w:rsid w:val="009F045D"/>
    <w:rsid w:val="009F0460"/>
    <w:rsid w:val="009F0513"/>
    <w:rsid w:val="009F05C7"/>
    <w:rsid w:val="009F05D1"/>
    <w:rsid w:val="009F0DC5"/>
    <w:rsid w:val="009F1192"/>
    <w:rsid w:val="009F11AF"/>
    <w:rsid w:val="009F1522"/>
    <w:rsid w:val="009F15B7"/>
    <w:rsid w:val="009F1622"/>
    <w:rsid w:val="009F16D8"/>
    <w:rsid w:val="009F1916"/>
    <w:rsid w:val="009F1BF5"/>
    <w:rsid w:val="009F1C04"/>
    <w:rsid w:val="009F2026"/>
    <w:rsid w:val="009F2219"/>
    <w:rsid w:val="009F22BD"/>
    <w:rsid w:val="009F2339"/>
    <w:rsid w:val="009F233C"/>
    <w:rsid w:val="009F23EB"/>
    <w:rsid w:val="009F2649"/>
    <w:rsid w:val="009F26FA"/>
    <w:rsid w:val="009F2732"/>
    <w:rsid w:val="009F28F9"/>
    <w:rsid w:val="009F29A9"/>
    <w:rsid w:val="009F2B5D"/>
    <w:rsid w:val="009F2BEF"/>
    <w:rsid w:val="009F2BF0"/>
    <w:rsid w:val="009F2CC6"/>
    <w:rsid w:val="009F2D04"/>
    <w:rsid w:val="009F301D"/>
    <w:rsid w:val="009F3119"/>
    <w:rsid w:val="009F33D5"/>
    <w:rsid w:val="009F35AD"/>
    <w:rsid w:val="009F3629"/>
    <w:rsid w:val="009F37BD"/>
    <w:rsid w:val="009F388E"/>
    <w:rsid w:val="009F38E1"/>
    <w:rsid w:val="009F38FB"/>
    <w:rsid w:val="009F3A7E"/>
    <w:rsid w:val="009F4022"/>
    <w:rsid w:val="009F4202"/>
    <w:rsid w:val="009F4353"/>
    <w:rsid w:val="009F46A4"/>
    <w:rsid w:val="009F46E4"/>
    <w:rsid w:val="009F4788"/>
    <w:rsid w:val="009F4D5F"/>
    <w:rsid w:val="009F4E7A"/>
    <w:rsid w:val="009F4EDF"/>
    <w:rsid w:val="009F4EFE"/>
    <w:rsid w:val="009F5085"/>
    <w:rsid w:val="009F509B"/>
    <w:rsid w:val="009F51F0"/>
    <w:rsid w:val="009F5561"/>
    <w:rsid w:val="009F5964"/>
    <w:rsid w:val="009F5A97"/>
    <w:rsid w:val="009F5B9F"/>
    <w:rsid w:val="009F5BA7"/>
    <w:rsid w:val="009F5C4F"/>
    <w:rsid w:val="009F5E81"/>
    <w:rsid w:val="009F60B5"/>
    <w:rsid w:val="009F60C5"/>
    <w:rsid w:val="009F610C"/>
    <w:rsid w:val="009F6199"/>
    <w:rsid w:val="009F623F"/>
    <w:rsid w:val="009F63C4"/>
    <w:rsid w:val="009F65F1"/>
    <w:rsid w:val="009F6647"/>
    <w:rsid w:val="009F66AF"/>
    <w:rsid w:val="009F674A"/>
    <w:rsid w:val="009F698B"/>
    <w:rsid w:val="009F6ABB"/>
    <w:rsid w:val="009F6BC7"/>
    <w:rsid w:val="009F6E78"/>
    <w:rsid w:val="009F6EFC"/>
    <w:rsid w:val="009F6F85"/>
    <w:rsid w:val="009F704C"/>
    <w:rsid w:val="009F70B5"/>
    <w:rsid w:val="009F7113"/>
    <w:rsid w:val="009F72BB"/>
    <w:rsid w:val="009F7479"/>
    <w:rsid w:val="009F768D"/>
    <w:rsid w:val="009F76BF"/>
    <w:rsid w:val="009F76F1"/>
    <w:rsid w:val="009F7AEA"/>
    <w:rsid w:val="009F7BA7"/>
    <w:rsid w:val="009F7C48"/>
    <w:rsid w:val="009F7C58"/>
    <w:rsid w:val="009F7D2F"/>
    <w:rsid w:val="009F7F0A"/>
    <w:rsid w:val="009F7F19"/>
    <w:rsid w:val="009F7F27"/>
    <w:rsid w:val="009F7F63"/>
    <w:rsid w:val="009F7F84"/>
    <w:rsid w:val="00A00177"/>
    <w:rsid w:val="00A00215"/>
    <w:rsid w:val="00A0039F"/>
    <w:rsid w:val="00A0089B"/>
    <w:rsid w:val="00A008C7"/>
    <w:rsid w:val="00A009A4"/>
    <w:rsid w:val="00A009F3"/>
    <w:rsid w:val="00A00C99"/>
    <w:rsid w:val="00A00CC0"/>
    <w:rsid w:val="00A00CD5"/>
    <w:rsid w:val="00A00D3F"/>
    <w:rsid w:val="00A011A7"/>
    <w:rsid w:val="00A0138E"/>
    <w:rsid w:val="00A01456"/>
    <w:rsid w:val="00A01458"/>
    <w:rsid w:val="00A0153C"/>
    <w:rsid w:val="00A01706"/>
    <w:rsid w:val="00A0170A"/>
    <w:rsid w:val="00A0182D"/>
    <w:rsid w:val="00A01AC3"/>
    <w:rsid w:val="00A01AD0"/>
    <w:rsid w:val="00A01C8C"/>
    <w:rsid w:val="00A01DEF"/>
    <w:rsid w:val="00A0215D"/>
    <w:rsid w:val="00A021DA"/>
    <w:rsid w:val="00A023A2"/>
    <w:rsid w:val="00A02545"/>
    <w:rsid w:val="00A02597"/>
    <w:rsid w:val="00A025F1"/>
    <w:rsid w:val="00A02663"/>
    <w:rsid w:val="00A02739"/>
    <w:rsid w:val="00A02763"/>
    <w:rsid w:val="00A027C7"/>
    <w:rsid w:val="00A027DF"/>
    <w:rsid w:val="00A02951"/>
    <w:rsid w:val="00A029E9"/>
    <w:rsid w:val="00A02CED"/>
    <w:rsid w:val="00A02DC0"/>
    <w:rsid w:val="00A02E82"/>
    <w:rsid w:val="00A02F56"/>
    <w:rsid w:val="00A030FE"/>
    <w:rsid w:val="00A031F3"/>
    <w:rsid w:val="00A03212"/>
    <w:rsid w:val="00A032E7"/>
    <w:rsid w:val="00A033A0"/>
    <w:rsid w:val="00A0343D"/>
    <w:rsid w:val="00A03490"/>
    <w:rsid w:val="00A034EC"/>
    <w:rsid w:val="00A03924"/>
    <w:rsid w:val="00A039C4"/>
    <w:rsid w:val="00A03A03"/>
    <w:rsid w:val="00A03A59"/>
    <w:rsid w:val="00A03B27"/>
    <w:rsid w:val="00A03DAE"/>
    <w:rsid w:val="00A03E2D"/>
    <w:rsid w:val="00A03ECD"/>
    <w:rsid w:val="00A03F24"/>
    <w:rsid w:val="00A03FDD"/>
    <w:rsid w:val="00A04100"/>
    <w:rsid w:val="00A04396"/>
    <w:rsid w:val="00A04476"/>
    <w:rsid w:val="00A04591"/>
    <w:rsid w:val="00A047E0"/>
    <w:rsid w:val="00A047FB"/>
    <w:rsid w:val="00A04892"/>
    <w:rsid w:val="00A0493F"/>
    <w:rsid w:val="00A04997"/>
    <w:rsid w:val="00A04A6C"/>
    <w:rsid w:val="00A04ADA"/>
    <w:rsid w:val="00A04BFA"/>
    <w:rsid w:val="00A04DA8"/>
    <w:rsid w:val="00A0505C"/>
    <w:rsid w:val="00A05061"/>
    <w:rsid w:val="00A050A7"/>
    <w:rsid w:val="00A051CD"/>
    <w:rsid w:val="00A0533A"/>
    <w:rsid w:val="00A0551C"/>
    <w:rsid w:val="00A055EA"/>
    <w:rsid w:val="00A055FA"/>
    <w:rsid w:val="00A056FA"/>
    <w:rsid w:val="00A05741"/>
    <w:rsid w:val="00A057EF"/>
    <w:rsid w:val="00A05C22"/>
    <w:rsid w:val="00A05C8C"/>
    <w:rsid w:val="00A05D48"/>
    <w:rsid w:val="00A05F2A"/>
    <w:rsid w:val="00A05FF6"/>
    <w:rsid w:val="00A0614A"/>
    <w:rsid w:val="00A065CF"/>
    <w:rsid w:val="00A0661B"/>
    <w:rsid w:val="00A06666"/>
    <w:rsid w:val="00A0671A"/>
    <w:rsid w:val="00A06812"/>
    <w:rsid w:val="00A06840"/>
    <w:rsid w:val="00A06879"/>
    <w:rsid w:val="00A06895"/>
    <w:rsid w:val="00A069BD"/>
    <w:rsid w:val="00A06B3D"/>
    <w:rsid w:val="00A06B46"/>
    <w:rsid w:val="00A06B49"/>
    <w:rsid w:val="00A06BA8"/>
    <w:rsid w:val="00A06BAB"/>
    <w:rsid w:val="00A07193"/>
    <w:rsid w:val="00A0745D"/>
    <w:rsid w:val="00A074CB"/>
    <w:rsid w:val="00A074DF"/>
    <w:rsid w:val="00A074E2"/>
    <w:rsid w:val="00A075BB"/>
    <w:rsid w:val="00A0777F"/>
    <w:rsid w:val="00A07CB0"/>
    <w:rsid w:val="00A07E8A"/>
    <w:rsid w:val="00A07FA1"/>
    <w:rsid w:val="00A07FF9"/>
    <w:rsid w:val="00A103D1"/>
    <w:rsid w:val="00A1047B"/>
    <w:rsid w:val="00A10512"/>
    <w:rsid w:val="00A105E0"/>
    <w:rsid w:val="00A106A8"/>
    <w:rsid w:val="00A107CB"/>
    <w:rsid w:val="00A1085F"/>
    <w:rsid w:val="00A11214"/>
    <w:rsid w:val="00A1130F"/>
    <w:rsid w:val="00A11342"/>
    <w:rsid w:val="00A1134B"/>
    <w:rsid w:val="00A113B6"/>
    <w:rsid w:val="00A113CA"/>
    <w:rsid w:val="00A11618"/>
    <w:rsid w:val="00A116C2"/>
    <w:rsid w:val="00A116EC"/>
    <w:rsid w:val="00A117B9"/>
    <w:rsid w:val="00A11928"/>
    <w:rsid w:val="00A11AC4"/>
    <w:rsid w:val="00A11B8A"/>
    <w:rsid w:val="00A11C26"/>
    <w:rsid w:val="00A11C5C"/>
    <w:rsid w:val="00A11C91"/>
    <w:rsid w:val="00A11FB2"/>
    <w:rsid w:val="00A12004"/>
    <w:rsid w:val="00A12247"/>
    <w:rsid w:val="00A1231F"/>
    <w:rsid w:val="00A125AC"/>
    <w:rsid w:val="00A12601"/>
    <w:rsid w:val="00A127D3"/>
    <w:rsid w:val="00A128A1"/>
    <w:rsid w:val="00A12D02"/>
    <w:rsid w:val="00A12DC9"/>
    <w:rsid w:val="00A12E83"/>
    <w:rsid w:val="00A12EE4"/>
    <w:rsid w:val="00A13066"/>
    <w:rsid w:val="00A13314"/>
    <w:rsid w:val="00A13325"/>
    <w:rsid w:val="00A13417"/>
    <w:rsid w:val="00A1354F"/>
    <w:rsid w:val="00A13552"/>
    <w:rsid w:val="00A137A4"/>
    <w:rsid w:val="00A1382F"/>
    <w:rsid w:val="00A139E0"/>
    <w:rsid w:val="00A13A18"/>
    <w:rsid w:val="00A13A24"/>
    <w:rsid w:val="00A13B1A"/>
    <w:rsid w:val="00A13C0B"/>
    <w:rsid w:val="00A13D3E"/>
    <w:rsid w:val="00A1409C"/>
    <w:rsid w:val="00A143B5"/>
    <w:rsid w:val="00A14720"/>
    <w:rsid w:val="00A149B2"/>
    <w:rsid w:val="00A14A83"/>
    <w:rsid w:val="00A14DBB"/>
    <w:rsid w:val="00A14F18"/>
    <w:rsid w:val="00A14FA2"/>
    <w:rsid w:val="00A150CF"/>
    <w:rsid w:val="00A152B9"/>
    <w:rsid w:val="00A15302"/>
    <w:rsid w:val="00A1550C"/>
    <w:rsid w:val="00A15A01"/>
    <w:rsid w:val="00A15C70"/>
    <w:rsid w:val="00A15F11"/>
    <w:rsid w:val="00A16043"/>
    <w:rsid w:val="00A1606D"/>
    <w:rsid w:val="00A160E1"/>
    <w:rsid w:val="00A16224"/>
    <w:rsid w:val="00A16393"/>
    <w:rsid w:val="00A1658E"/>
    <w:rsid w:val="00A16655"/>
    <w:rsid w:val="00A16803"/>
    <w:rsid w:val="00A1683B"/>
    <w:rsid w:val="00A16998"/>
    <w:rsid w:val="00A169B0"/>
    <w:rsid w:val="00A16B0E"/>
    <w:rsid w:val="00A16B73"/>
    <w:rsid w:val="00A16D08"/>
    <w:rsid w:val="00A16D0C"/>
    <w:rsid w:val="00A16D95"/>
    <w:rsid w:val="00A16F62"/>
    <w:rsid w:val="00A171CB"/>
    <w:rsid w:val="00A17212"/>
    <w:rsid w:val="00A17271"/>
    <w:rsid w:val="00A17472"/>
    <w:rsid w:val="00A174CC"/>
    <w:rsid w:val="00A17501"/>
    <w:rsid w:val="00A17749"/>
    <w:rsid w:val="00A1782E"/>
    <w:rsid w:val="00A17A49"/>
    <w:rsid w:val="00A17BCB"/>
    <w:rsid w:val="00A17C28"/>
    <w:rsid w:val="00A17E01"/>
    <w:rsid w:val="00A17E2F"/>
    <w:rsid w:val="00A17F12"/>
    <w:rsid w:val="00A2001C"/>
    <w:rsid w:val="00A20156"/>
    <w:rsid w:val="00A20270"/>
    <w:rsid w:val="00A20350"/>
    <w:rsid w:val="00A203EA"/>
    <w:rsid w:val="00A20481"/>
    <w:rsid w:val="00A205AE"/>
    <w:rsid w:val="00A2063A"/>
    <w:rsid w:val="00A20684"/>
    <w:rsid w:val="00A2070C"/>
    <w:rsid w:val="00A20B1B"/>
    <w:rsid w:val="00A20B4D"/>
    <w:rsid w:val="00A20D8C"/>
    <w:rsid w:val="00A20E18"/>
    <w:rsid w:val="00A20EBC"/>
    <w:rsid w:val="00A210A2"/>
    <w:rsid w:val="00A21127"/>
    <w:rsid w:val="00A21222"/>
    <w:rsid w:val="00A213BE"/>
    <w:rsid w:val="00A21492"/>
    <w:rsid w:val="00A21546"/>
    <w:rsid w:val="00A217F8"/>
    <w:rsid w:val="00A2183E"/>
    <w:rsid w:val="00A21D06"/>
    <w:rsid w:val="00A21D08"/>
    <w:rsid w:val="00A21FAB"/>
    <w:rsid w:val="00A22110"/>
    <w:rsid w:val="00A22161"/>
    <w:rsid w:val="00A22453"/>
    <w:rsid w:val="00A224D6"/>
    <w:rsid w:val="00A22575"/>
    <w:rsid w:val="00A226E7"/>
    <w:rsid w:val="00A2271C"/>
    <w:rsid w:val="00A2272E"/>
    <w:rsid w:val="00A22916"/>
    <w:rsid w:val="00A2291C"/>
    <w:rsid w:val="00A22BB1"/>
    <w:rsid w:val="00A22C73"/>
    <w:rsid w:val="00A22D7B"/>
    <w:rsid w:val="00A22DC3"/>
    <w:rsid w:val="00A22EAD"/>
    <w:rsid w:val="00A22FA5"/>
    <w:rsid w:val="00A22FFC"/>
    <w:rsid w:val="00A23076"/>
    <w:rsid w:val="00A2319E"/>
    <w:rsid w:val="00A231B6"/>
    <w:rsid w:val="00A233D7"/>
    <w:rsid w:val="00A233F1"/>
    <w:rsid w:val="00A2348C"/>
    <w:rsid w:val="00A2374B"/>
    <w:rsid w:val="00A237AA"/>
    <w:rsid w:val="00A237B9"/>
    <w:rsid w:val="00A2383E"/>
    <w:rsid w:val="00A23B16"/>
    <w:rsid w:val="00A241EE"/>
    <w:rsid w:val="00A24543"/>
    <w:rsid w:val="00A2458A"/>
    <w:rsid w:val="00A245D0"/>
    <w:rsid w:val="00A246C0"/>
    <w:rsid w:val="00A24AA2"/>
    <w:rsid w:val="00A24AB7"/>
    <w:rsid w:val="00A24B0A"/>
    <w:rsid w:val="00A24C6E"/>
    <w:rsid w:val="00A24C7F"/>
    <w:rsid w:val="00A24D15"/>
    <w:rsid w:val="00A24E05"/>
    <w:rsid w:val="00A24E4B"/>
    <w:rsid w:val="00A24FA5"/>
    <w:rsid w:val="00A250CD"/>
    <w:rsid w:val="00A25100"/>
    <w:rsid w:val="00A25601"/>
    <w:rsid w:val="00A25641"/>
    <w:rsid w:val="00A25842"/>
    <w:rsid w:val="00A259BA"/>
    <w:rsid w:val="00A25A4A"/>
    <w:rsid w:val="00A25C83"/>
    <w:rsid w:val="00A25FC3"/>
    <w:rsid w:val="00A2601F"/>
    <w:rsid w:val="00A2602B"/>
    <w:rsid w:val="00A26130"/>
    <w:rsid w:val="00A26243"/>
    <w:rsid w:val="00A26440"/>
    <w:rsid w:val="00A2655A"/>
    <w:rsid w:val="00A265DC"/>
    <w:rsid w:val="00A265E5"/>
    <w:rsid w:val="00A2665A"/>
    <w:rsid w:val="00A2674A"/>
    <w:rsid w:val="00A26A3A"/>
    <w:rsid w:val="00A26A69"/>
    <w:rsid w:val="00A26B2E"/>
    <w:rsid w:val="00A26CA0"/>
    <w:rsid w:val="00A26D7A"/>
    <w:rsid w:val="00A27098"/>
    <w:rsid w:val="00A271FE"/>
    <w:rsid w:val="00A272C5"/>
    <w:rsid w:val="00A27342"/>
    <w:rsid w:val="00A27403"/>
    <w:rsid w:val="00A2744B"/>
    <w:rsid w:val="00A276B5"/>
    <w:rsid w:val="00A27724"/>
    <w:rsid w:val="00A277D9"/>
    <w:rsid w:val="00A27879"/>
    <w:rsid w:val="00A27ADC"/>
    <w:rsid w:val="00A27BA9"/>
    <w:rsid w:val="00A27C81"/>
    <w:rsid w:val="00A27CCB"/>
    <w:rsid w:val="00A3003A"/>
    <w:rsid w:val="00A30150"/>
    <w:rsid w:val="00A3018B"/>
    <w:rsid w:val="00A30273"/>
    <w:rsid w:val="00A30372"/>
    <w:rsid w:val="00A30451"/>
    <w:rsid w:val="00A30481"/>
    <w:rsid w:val="00A30695"/>
    <w:rsid w:val="00A306D8"/>
    <w:rsid w:val="00A30810"/>
    <w:rsid w:val="00A30870"/>
    <w:rsid w:val="00A30928"/>
    <w:rsid w:val="00A309ED"/>
    <w:rsid w:val="00A30A2D"/>
    <w:rsid w:val="00A30A36"/>
    <w:rsid w:val="00A30CB8"/>
    <w:rsid w:val="00A30D10"/>
    <w:rsid w:val="00A30DCD"/>
    <w:rsid w:val="00A30E71"/>
    <w:rsid w:val="00A30F79"/>
    <w:rsid w:val="00A31037"/>
    <w:rsid w:val="00A3128D"/>
    <w:rsid w:val="00A314EE"/>
    <w:rsid w:val="00A315AF"/>
    <w:rsid w:val="00A317CF"/>
    <w:rsid w:val="00A318B6"/>
    <w:rsid w:val="00A31949"/>
    <w:rsid w:val="00A31A48"/>
    <w:rsid w:val="00A31AE5"/>
    <w:rsid w:val="00A31B30"/>
    <w:rsid w:val="00A31FC3"/>
    <w:rsid w:val="00A31FD0"/>
    <w:rsid w:val="00A320CB"/>
    <w:rsid w:val="00A3226A"/>
    <w:rsid w:val="00A32347"/>
    <w:rsid w:val="00A3238A"/>
    <w:rsid w:val="00A324EA"/>
    <w:rsid w:val="00A32A9C"/>
    <w:rsid w:val="00A32AE5"/>
    <w:rsid w:val="00A32C47"/>
    <w:rsid w:val="00A32D11"/>
    <w:rsid w:val="00A32DA7"/>
    <w:rsid w:val="00A32DC5"/>
    <w:rsid w:val="00A32F2D"/>
    <w:rsid w:val="00A32FD7"/>
    <w:rsid w:val="00A33121"/>
    <w:rsid w:val="00A332AD"/>
    <w:rsid w:val="00A33306"/>
    <w:rsid w:val="00A333CA"/>
    <w:rsid w:val="00A33807"/>
    <w:rsid w:val="00A3384B"/>
    <w:rsid w:val="00A338BB"/>
    <w:rsid w:val="00A339F1"/>
    <w:rsid w:val="00A33A46"/>
    <w:rsid w:val="00A33B28"/>
    <w:rsid w:val="00A33DC2"/>
    <w:rsid w:val="00A33F16"/>
    <w:rsid w:val="00A33F41"/>
    <w:rsid w:val="00A34019"/>
    <w:rsid w:val="00A34264"/>
    <w:rsid w:val="00A344F1"/>
    <w:rsid w:val="00A345B8"/>
    <w:rsid w:val="00A347AF"/>
    <w:rsid w:val="00A34882"/>
    <w:rsid w:val="00A348C1"/>
    <w:rsid w:val="00A349C1"/>
    <w:rsid w:val="00A34ABA"/>
    <w:rsid w:val="00A34AE1"/>
    <w:rsid w:val="00A34C92"/>
    <w:rsid w:val="00A34F01"/>
    <w:rsid w:val="00A34F23"/>
    <w:rsid w:val="00A34FA9"/>
    <w:rsid w:val="00A35009"/>
    <w:rsid w:val="00A3518D"/>
    <w:rsid w:val="00A353AC"/>
    <w:rsid w:val="00A35661"/>
    <w:rsid w:val="00A35B4A"/>
    <w:rsid w:val="00A35D24"/>
    <w:rsid w:val="00A35D8A"/>
    <w:rsid w:val="00A35DE5"/>
    <w:rsid w:val="00A35F02"/>
    <w:rsid w:val="00A35F7D"/>
    <w:rsid w:val="00A35FFC"/>
    <w:rsid w:val="00A36085"/>
    <w:rsid w:val="00A360B6"/>
    <w:rsid w:val="00A3619C"/>
    <w:rsid w:val="00A362E5"/>
    <w:rsid w:val="00A364D9"/>
    <w:rsid w:val="00A365B4"/>
    <w:rsid w:val="00A3663A"/>
    <w:rsid w:val="00A3696F"/>
    <w:rsid w:val="00A36A28"/>
    <w:rsid w:val="00A36A60"/>
    <w:rsid w:val="00A36B8D"/>
    <w:rsid w:val="00A36BC2"/>
    <w:rsid w:val="00A36C2A"/>
    <w:rsid w:val="00A36C7F"/>
    <w:rsid w:val="00A36EF9"/>
    <w:rsid w:val="00A371C4"/>
    <w:rsid w:val="00A37295"/>
    <w:rsid w:val="00A37374"/>
    <w:rsid w:val="00A373BC"/>
    <w:rsid w:val="00A377E9"/>
    <w:rsid w:val="00A37872"/>
    <w:rsid w:val="00A378CC"/>
    <w:rsid w:val="00A37922"/>
    <w:rsid w:val="00A3793C"/>
    <w:rsid w:val="00A3799D"/>
    <w:rsid w:val="00A37B90"/>
    <w:rsid w:val="00A37CAF"/>
    <w:rsid w:val="00A37D8D"/>
    <w:rsid w:val="00A40002"/>
    <w:rsid w:val="00A401DE"/>
    <w:rsid w:val="00A40255"/>
    <w:rsid w:val="00A40554"/>
    <w:rsid w:val="00A40687"/>
    <w:rsid w:val="00A408F0"/>
    <w:rsid w:val="00A40A33"/>
    <w:rsid w:val="00A40BFA"/>
    <w:rsid w:val="00A40D4F"/>
    <w:rsid w:val="00A40DB7"/>
    <w:rsid w:val="00A41362"/>
    <w:rsid w:val="00A41454"/>
    <w:rsid w:val="00A41472"/>
    <w:rsid w:val="00A4161D"/>
    <w:rsid w:val="00A41757"/>
    <w:rsid w:val="00A4177E"/>
    <w:rsid w:val="00A41796"/>
    <w:rsid w:val="00A4187C"/>
    <w:rsid w:val="00A41A0E"/>
    <w:rsid w:val="00A41C85"/>
    <w:rsid w:val="00A41E53"/>
    <w:rsid w:val="00A421BE"/>
    <w:rsid w:val="00A422DB"/>
    <w:rsid w:val="00A4236B"/>
    <w:rsid w:val="00A42399"/>
    <w:rsid w:val="00A42458"/>
    <w:rsid w:val="00A42719"/>
    <w:rsid w:val="00A42736"/>
    <w:rsid w:val="00A42738"/>
    <w:rsid w:val="00A42748"/>
    <w:rsid w:val="00A4274A"/>
    <w:rsid w:val="00A4275D"/>
    <w:rsid w:val="00A4290A"/>
    <w:rsid w:val="00A429C1"/>
    <w:rsid w:val="00A42B2E"/>
    <w:rsid w:val="00A42B72"/>
    <w:rsid w:val="00A42B7C"/>
    <w:rsid w:val="00A4309F"/>
    <w:rsid w:val="00A431D6"/>
    <w:rsid w:val="00A43212"/>
    <w:rsid w:val="00A43374"/>
    <w:rsid w:val="00A4339A"/>
    <w:rsid w:val="00A4341B"/>
    <w:rsid w:val="00A43695"/>
    <w:rsid w:val="00A436B0"/>
    <w:rsid w:val="00A436F8"/>
    <w:rsid w:val="00A4375D"/>
    <w:rsid w:val="00A437B5"/>
    <w:rsid w:val="00A438A6"/>
    <w:rsid w:val="00A439D6"/>
    <w:rsid w:val="00A43CE1"/>
    <w:rsid w:val="00A43CF8"/>
    <w:rsid w:val="00A43E3C"/>
    <w:rsid w:val="00A43F1A"/>
    <w:rsid w:val="00A44002"/>
    <w:rsid w:val="00A4406C"/>
    <w:rsid w:val="00A440D6"/>
    <w:rsid w:val="00A44145"/>
    <w:rsid w:val="00A44225"/>
    <w:rsid w:val="00A4423E"/>
    <w:rsid w:val="00A442EB"/>
    <w:rsid w:val="00A443AE"/>
    <w:rsid w:val="00A44526"/>
    <w:rsid w:val="00A44B4D"/>
    <w:rsid w:val="00A44B76"/>
    <w:rsid w:val="00A44D56"/>
    <w:rsid w:val="00A44E8D"/>
    <w:rsid w:val="00A44F2F"/>
    <w:rsid w:val="00A44F74"/>
    <w:rsid w:val="00A44FE1"/>
    <w:rsid w:val="00A452CA"/>
    <w:rsid w:val="00A45440"/>
    <w:rsid w:val="00A45811"/>
    <w:rsid w:val="00A4581E"/>
    <w:rsid w:val="00A45882"/>
    <w:rsid w:val="00A459B8"/>
    <w:rsid w:val="00A45A2D"/>
    <w:rsid w:val="00A45A35"/>
    <w:rsid w:val="00A45AF2"/>
    <w:rsid w:val="00A45B43"/>
    <w:rsid w:val="00A45BCA"/>
    <w:rsid w:val="00A45C9A"/>
    <w:rsid w:val="00A45E14"/>
    <w:rsid w:val="00A45FB6"/>
    <w:rsid w:val="00A46009"/>
    <w:rsid w:val="00A461C4"/>
    <w:rsid w:val="00A46382"/>
    <w:rsid w:val="00A463F5"/>
    <w:rsid w:val="00A465AE"/>
    <w:rsid w:val="00A46629"/>
    <w:rsid w:val="00A46659"/>
    <w:rsid w:val="00A46823"/>
    <w:rsid w:val="00A4683D"/>
    <w:rsid w:val="00A469D6"/>
    <w:rsid w:val="00A469EE"/>
    <w:rsid w:val="00A46A99"/>
    <w:rsid w:val="00A46B1C"/>
    <w:rsid w:val="00A46B4A"/>
    <w:rsid w:val="00A46E1F"/>
    <w:rsid w:val="00A46EC0"/>
    <w:rsid w:val="00A4701A"/>
    <w:rsid w:val="00A47022"/>
    <w:rsid w:val="00A4711A"/>
    <w:rsid w:val="00A47158"/>
    <w:rsid w:val="00A4742C"/>
    <w:rsid w:val="00A4746D"/>
    <w:rsid w:val="00A47539"/>
    <w:rsid w:val="00A4756A"/>
    <w:rsid w:val="00A475AF"/>
    <w:rsid w:val="00A475E8"/>
    <w:rsid w:val="00A478A6"/>
    <w:rsid w:val="00A478F0"/>
    <w:rsid w:val="00A4794A"/>
    <w:rsid w:val="00A47A06"/>
    <w:rsid w:val="00A47B2A"/>
    <w:rsid w:val="00A47BD9"/>
    <w:rsid w:val="00A47E5C"/>
    <w:rsid w:val="00A47FA8"/>
    <w:rsid w:val="00A500D7"/>
    <w:rsid w:val="00A500FC"/>
    <w:rsid w:val="00A503BC"/>
    <w:rsid w:val="00A5040D"/>
    <w:rsid w:val="00A5045F"/>
    <w:rsid w:val="00A505CB"/>
    <w:rsid w:val="00A50602"/>
    <w:rsid w:val="00A5062C"/>
    <w:rsid w:val="00A5066B"/>
    <w:rsid w:val="00A50682"/>
    <w:rsid w:val="00A507A8"/>
    <w:rsid w:val="00A50AD1"/>
    <w:rsid w:val="00A512B9"/>
    <w:rsid w:val="00A51370"/>
    <w:rsid w:val="00A5144B"/>
    <w:rsid w:val="00A51529"/>
    <w:rsid w:val="00A51732"/>
    <w:rsid w:val="00A51E2A"/>
    <w:rsid w:val="00A51EA7"/>
    <w:rsid w:val="00A5203F"/>
    <w:rsid w:val="00A52257"/>
    <w:rsid w:val="00A524C3"/>
    <w:rsid w:val="00A5274A"/>
    <w:rsid w:val="00A5282C"/>
    <w:rsid w:val="00A52B49"/>
    <w:rsid w:val="00A52B5C"/>
    <w:rsid w:val="00A52BD0"/>
    <w:rsid w:val="00A52F24"/>
    <w:rsid w:val="00A52FB8"/>
    <w:rsid w:val="00A53079"/>
    <w:rsid w:val="00A5308E"/>
    <w:rsid w:val="00A530EA"/>
    <w:rsid w:val="00A532B7"/>
    <w:rsid w:val="00A532BF"/>
    <w:rsid w:val="00A533DE"/>
    <w:rsid w:val="00A5357F"/>
    <w:rsid w:val="00A53668"/>
    <w:rsid w:val="00A53A69"/>
    <w:rsid w:val="00A53B1F"/>
    <w:rsid w:val="00A53E2B"/>
    <w:rsid w:val="00A53E4D"/>
    <w:rsid w:val="00A53E90"/>
    <w:rsid w:val="00A54006"/>
    <w:rsid w:val="00A5401D"/>
    <w:rsid w:val="00A544BD"/>
    <w:rsid w:val="00A546BE"/>
    <w:rsid w:val="00A546E3"/>
    <w:rsid w:val="00A54913"/>
    <w:rsid w:val="00A54990"/>
    <w:rsid w:val="00A54CEF"/>
    <w:rsid w:val="00A54E22"/>
    <w:rsid w:val="00A54EF9"/>
    <w:rsid w:val="00A55065"/>
    <w:rsid w:val="00A5507D"/>
    <w:rsid w:val="00A550B3"/>
    <w:rsid w:val="00A551C8"/>
    <w:rsid w:val="00A553C5"/>
    <w:rsid w:val="00A55533"/>
    <w:rsid w:val="00A555DF"/>
    <w:rsid w:val="00A55A6A"/>
    <w:rsid w:val="00A55A9E"/>
    <w:rsid w:val="00A55AAB"/>
    <w:rsid w:val="00A55AEC"/>
    <w:rsid w:val="00A55BEE"/>
    <w:rsid w:val="00A55C32"/>
    <w:rsid w:val="00A55CA4"/>
    <w:rsid w:val="00A55E1E"/>
    <w:rsid w:val="00A55F21"/>
    <w:rsid w:val="00A55F59"/>
    <w:rsid w:val="00A55FFA"/>
    <w:rsid w:val="00A56008"/>
    <w:rsid w:val="00A5609F"/>
    <w:rsid w:val="00A561E0"/>
    <w:rsid w:val="00A5648A"/>
    <w:rsid w:val="00A564B5"/>
    <w:rsid w:val="00A56521"/>
    <w:rsid w:val="00A5656C"/>
    <w:rsid w:val="00A56950"/>
    <w:rsid w:val="00A56979"/>
    <w:rsid w:val="00A5699E"/>
    <w:rsid w:val="00A56A7B"/>
    <w:rsid w:val="00A56AC4"/>
    <w:rsid w:val="00A56D93"/>
    <w:rsid w:val="00A56FA2"/>
    <w:rsid w:val="00A57376"/>
    <w:rsid w:val="00A574B6"/>
    <w:rsid w:val="00A57732"/>
    <w:rsid w:val="00A5777C"/>
    <w:rsid w:val="00A577F6"/>
    <w:rsid w:val="00A57881"/>
    <w:rsid w:val="00A5795F"/>
    <w:rsid w:val="00A57B75"/>
    <w:rsid w:val="00A57C16"/>
    <w:rsid w:val="00A57D24"/>
    <w:rsid w:val="00A57DA0"/>
    <w:rsid w:val="00A57E7E"/>
    <w:rsid w:val="00A6016F"/>
    <w:rsid w:val="00A601A1"/>
    <w:rsid w:val="00A606A8"/>
    <w:rsid w:val="00A609D4"/>
    <w:rsid w:val="00A60D36"/>
    <w:rsid w:val="00A60F46"/>
    <w:rsid w:val="00A610B1"/>
    <w:rsid w:val="00A61403"/>
    <w:rsid w:val="00A61510"/>
    <w:rsid w:val="00A61578"/>
    <w:rsid w:val="00A61808"/>
    <w:rsid w:val="00A618C7"/>
    <w:rsid w:val="00A6199D"/>
    <w:rsid w:val="00A6199F"/>
    <w:rsid w:val="00A61A04"/>
    <w:rsid w:val="00A61A2F"/>
    <w:rsid w:val="00A61A57"/>
    <w:rsid w:val="00A61B86"/>
    <w:rsid w:val="00A61C08"/>
    <w:rsid w:val="00A61C7D"/>
    <w:rsid w:val="00A61EEC"/>
    <w:rsid w:val="00A61F5C"/>
    <w:rsid w:val="00A620E9"/>
    <w:rsid w:val="00A6210D"/>
    <w:rsid w:val="00A62110"/>
    <w:rsid w:val="00A622D6"/>
    <w:rsid w:val="00A626C7"/>
    <w:rsid w:val="00A6275F"/>
    <w:rsid w:val="00A628BF"/>
    <w:rsid w:val="00A62A8F"/>
    <w:rsid w:val="00A62BF8"/>
    <w:rsid w:val="00A62C4A"/>
    <w:rsid w:val="00A62D00"/>
    <w:rsid w:val="00A62DBB"/>
    <w:rsid w:val="00A62E5A"/>
    <w:rsid w:val="00A62F47"/>
    <w:rsid w:val="00A63072"/>
    <w:rsid w:val="00A6322A"/>
    <w:rsid w:val="00A63230"/>
    <w:rsid w:val="00A633F5"/>
    <w:rsid w:val="00A634DC"/>
    <w:rsid w:val="00A63597"/>
    <w:rsid w:val="00A635EB"/>
    <w:rsid w:val="00A63740"/>
    <w:rsid w:val="00A6390E"/>
    <w:rsid w:val="00A63A6D"/>
    <w:rsid w:val="00A63AB5"/>
    <w:rsid w:val="00A63B18"/>
    <w:rsid w:val="00A63B3B"/>
    <w:rsid w:val="00A63BB9"/>
    <w:rsid w:val="00A63E71"/>
    <w:rsid w:val="00A63EDB"/>
    <w:rsid w:val="00A63F5C"/>
    <w:rsid w:val="00A63F9A"/>
    <w:rsid w:val="00A640C6"/>
    <w:rsid w:val="00A643EA"/>
    <w:rsid w:val="00A647A5"/>
    <w:rsid w:val="00A64868"/>
    <w:rsid w:val="00A64897"/>
    <w:rsid w:val="00A6492C"/>
    <w:rsid w:val="00A64AB2"/>
    <w:rsid w:val="00A64D5D"/>
    <w:rsid w:val="00A64EB9"/>
    <w:rsid w:val="00A64EFB"/>
    <w:rsid w:val="00A64F3C"/>
    <w:rsid w:val="00A6500A"/>
    <w:rsid w:val="00A6504C"/>
    <w:rsid w:val="00A650E9"/>
    <w:rsid w:val="00A65120"/>
    <w:rsid w:val="00A653A9"/>
    <w:rsid w:val="00A65491"/>
    <w:rsid w:val="00A654B1"/>
    <w:rsid w:val="00A654CF"/>
    <w:rsid w:val="00A6558A"/>
    <w:rsid w:val="00A65A53"/>
    <w:rsid w:val="00A65A58"/>
    <w:rsid w:val="00A65B0B"/>
    <w:rsid w:val="00A65DA0"/>
    <w:rsid w:val="00A65EDC"/>
    <w:rsid w:val="00A660F0"/>
    <w:rsid w:val="00A662C1"/>
    <w:rsid w:val="00A662DD"/>
    <w:rsid w:val="00A6652C"/>
    <w:rsid w:val="00A666D1"/>
    <w:rsid w:val="00A66879"/>
    <w:rsid w:val="00A668FC"/>
    <w:rsid w:val="00A66B86"/>
    <w:rsid w:val="00A66C6E"/>
    <w:rsid w:val="00A66D22"/>
    <w:rsid w:val="00A66DA0"/>
    <w:rsid w:val="00A66DFB"/>
    <w:rsid w:val="00A670BF"/>
    <w:rsid w:val="00A67126"/>
    <w:rsid w:val="00A677FA"/>
    <w:rsid w:val="00A67B52"/>
    <w:rsid w:val="00A67BAA"/>
    <w:rsid w:val="00A7015C"/>
    <w:rsid w:val="00A70286"/>
    <w:rsid w:val="00A70411"/>
    <w:rsid w:val="00A70508"/>
    <w:rsid w:val="00A70531"/>
    <w:rsid w:val="00A708B1"/>
    <w:rsid w:val="00A70977"/>
    <w:rsid w:val="00A709AA"/>
    <w:rsid w:val="00A70B41"/>
    <w:rsid w:val="00A70CD6"/>
    <w:rsid w:val="00A71122"/>
    <w:rsid w:val="00A71346"/>
    <w:rsid w:val="00A7156A"/>
    <w:rsid w:val="00A716D1"/>
    <w:rsid w:val="00A71984"/>
    <w:rsid w:val="00A71A27"/>
    <w:rsid w:val="00A71D50"/>
    <w:rsid w:val="00A71DDB"/>
    <w:rsid w:val="00A71F8B"/>
    <w:rsid w:val="00A72550"/>
    <w:rsid w:val="00A72823"/>
    <w:rsid w:val="00A72884"/>
    <w:rsid w:val="00A729BF"/>
    <w:rsid w:val="00A729FE"/>
    <w:rsid w:val="00A72A83"/>
    <w:rsid w:val="00A72D74"/>
    <w:rsid w:val="00A72D79"/>
    <w:rsid w:val="00A72EBA"/>
    <w:rsid w:val="00A72F68"/>
    <w:rsid w:val="00A7329C"/>
    <w:rsid w:val="00A73442"/>
    <w:rsid w:val="00A736B6"/>
    <w:rsid w:val="00A7373A"/>
    <w:rsid w:val="00A73BFA"/>
    <w:rsid w:val="00A73C85"/>
    <w:rsid w:val="00A73D5D"/>
    <w:rsid w:val="00A73DA8"/>
    <w:rsid w:val="00A73E26"/>
    <w:rsid w:val="00A73EF2"/>
    <w:rsid w:val="00A73F10"/>
    <w:rsid w:val="00A73F9D"/>
    <w:rsid w:val="00A73FA4"/>
    <w:rsid w:val="00A74101"/>
    <w:rsid w:val="00A74259"/>
    <w:rsid w:val="00A7426C"/>
    <w:rsid w:val="00A742F8"/>
    <w:rsid w:val="00A742FA"/>
    <w:rsid w:val="00A7437A"/>
    <w:rsid w:val="00A74464"/>
    <w:rsid w:val="00A747DE"/>
    <w:rsid w:val="00A7481C"/>
    <w:rsid w:val="00A74918"/>
    <w:rsid w:val="00A74920"/>
    <w:rsid w:val="00A74D48"/>
    <w:rsid w:val="00A74DD1"/>
    <w:rsid w:val="00A75007"/>
    <w:rsid w:val="00A75472"/>
    <w:rsid w:val="00A757AD"/>
    <w:rsid w:val="00A759B4"/>
    <w:rsid w:val="00A75A63"/>
    <w:rsid w:val="00A75B9A"/>
    <w:rsid w:val="00A75C76"/>
    <w:rsid w:val="00A75CBB"/>
    <w:rsid w:val="00A75CFD"/>
    <w:rsid w:val="00A75F29"/>
    <w:rsid w:val="00A76009"/>
    <w:rsid w:val="00A7631F"/>
    <w:rsid w:val="00A765F9"/>
    <w:rsid w:val="00A7676E"/>
    <w:rsid w:val="00A767D2"/>
    <w:rsid w:val="00A76826"/>
    <w:rsid w:val="00A76BCE"/>
    <w:rsid w:val="00A76BE2"/>
    <w:rsid w:val="00A770C5"/>
    <w:rsid w:val="00A7753E"/>
    <w:rsid w:val="00A7765B"/>
    <w:rsid w:val="00A7782A"/>
    <w:rsid w:val="00A77B71"/>
    <w:rsid w:val="00A77DD6"/>
    <w:rsid w:val="00A77E61"/>
    <w:rsid w:val="00A77E89"/>
    <w:rsid w:val="00A77FDF"/>
    <w:rsid w:val="00A8042D"/>
    <w:rsid w:val="00A804BD"/>
    <w:rsid w:val="00A804F3"/>
    <w:rsid w:val="00A80651"/>
    <w:rsid w:val="00A806BB"/>
    <w:rsid w:val="00A80834"/>
    <w:rsid w:val="00A809CB"/>
    <w:rsid w:val="00A80ACF"/>
    <w:rsid w:val="00A80FBE"/>
    <w:rsid w:val="00A810DC"/>
    <w:rsid w:val="00A8123B"/>
    <w:rsid w:val="00A812A7"/>
    <w:rsid w:val="00A812CE"/>
    <w:rsid w:val="00A8130A"/>
    <w:rsid w:val="00A8132A"/>
    <w:rsid w:val="00A81370"/>
    <w:rsid w:val="00A8137E"/>
    <w:rsid w:val="00A81546"/>
    <w:rsid w:val="00A817CE"/>
    <w:rsid w:val="00A817E7"/>
    <w:rsid w:val="00A8181D"/>
    <w:rsid w:val="00A81943"/>
    <w:rsid w:val="00A81AE5"/>
    <w:rsid w:val="00A81C7A"/>
    <w:rsid w:val="00A81D75"/>
    <w:rsid w:val="00A81F97"/>
    <w:rsid w:val="00A82187"/>
    <w:rsid w:val="00A82447"/>
    <w:rsid w:val="00A8249F"/>
    <w:rsid w:val="00A82509"/>
    <w:rsid w:val="00A826C9"/>
    <w:rsid w:val="00A827D4"/>
    <w:rsid w:val="00A82842"/>
    <w:rsid w:val="00A82944"/>
    <w:rsid w:val="00A82ACB"/>
    <w:rsid w:val="00A82ACE"/>
    <w:rsid w:val="00A82AD0"/>
    <w:rsid w:val="00A82BBF"/>
    <w:rsid w:val="00A82C37"/>
    <w:rsid w:val="00A82CC5"/>
    <w:rsid w:val="00A82DFA"/>
    <w:rsid w:val="00A83011"/>
    <w:rsid w:val="00A830F1"/>
    <w:rsid w:val="00A83162"/>
    <w:rsid w:val="00A831FC"/>
    <w:rsid w:val="00A8328D"/>
    <w:rsid w:val="00A8364B"/>
    <w:rsid w:val="00A8371A"/>
    <w:rsid w:val="00A837EC"/>
    <w:rsid w:val="00A83810"/>
    <w:rsid w:val="00A8395A"/>
    <w:rsid w:val="00A83A48"/>
    <w:rsid w:val="00A83B26"/>
    <w:rsid w:val="00A83C58"/>
    <w:rsid w:val="00A83C84"/>
    <w:rsid w:val="00A83E15"/>
    <w:rsid w:val="00A83ECC"/>
    <w:rsid w:val="00A83F47"/>
    <w:rsid w:val="00A8400D"/>
    <w:rsid w:val="00A84233"/>
    <w:rsid w:val="00A8430B"/>
    <w:rsid w:val="00A84311"/>
    <w:rsid w:val="00A844E8"/>
    <w:rsid w:val="00A8465F"/>
    <w:rsid w:val="00A84703"/>
    <w:rsid w:val="00A847AD"/>
    <w:rsid w:val="00A84881"/>
    <w:rsid w:val="00A849C2"/>
    <w:rsid w:val="00A84A8B"/>
    <w:rsid w:val="00A84A8F"/>
    <w:rsid w:val="00A84BB9"/>
    <w:rsid w:val="00A84BBB"/>
    <w:rsid w:val="00A84D3E"/>
    <w:rsid w:val="00A84DE4"/>
    <w:rsid w:val="00A84FB4"/>
    <w:rsid w:val="00A85316"/>
    <w:rsid w:val="00A8553F"/>
    <w:rsid w:val="00A855CA"/>
    <w:rsid w:val="00A857DD"/>
    <w:rsid w:val="00A85833"/>
    <w:rsid w:val="00A859E4"/>
    <w:rsid w:val="00A85A77"/>
    <w:rsid w:val="00A85BCA"/>
    <w:rsid w:val="00A85E51"/>
    <w:rsid w:val="00A85F04"/>
    <w:rsid w:val="00A86138"/>
    <w:rsid w:val="00A86162"/>
    <w:rsid w:val="00A866E7"/>
    <w:rsid w:val="00A8678A"/>
    <w:rsid w:val="00A86B47"/>
    <w:rsid w:val="00A86B4E"/>
    <w:rsid w:val="00A86E61"/>
    <w:rsid w:val="00A86EF9"/>
    <w:rsid w:val="00A86F67"/>
    <w:rsid w:val="00A870AD"/>
    <w:rsid w:val="00A87111"/>
    <w:rsid w:val="00A871F7"/>
    <w:rsid w:val="00A87371"/>
    <w:rsid w:val="00A87384"/>
    <w:rsid w:val="00A8748D"/>
    <w:rsid w:val="00A874CC"/>
    <w:rsid w:val="00A87581"/>
    <w:rsid w:val="00A875A5"/>
    <w:rsid w:val="00A87743"/>
    <w:rsid w:val="00A8786B"/>
    <w:rsid w:val="00A87902"/>
    <w:rsid w:val="00A8791C"/>
    <w:rsid w:val="00A87B12"/>
    <w:rsid w:val="00A87EFC"/>
    <w:rsid w:val="00A87F66"/>
    <w:rsid w:val="00A87FD2"/>
    <w:rsid w:val="00A90262"/>
    <w:rsid w:val="00A902F7"/>
    <w:rsid w:val="00A906D0"/>
    <w:rsid w:val="00A907BD"/>
    <w:rsid w:val="00A9091C"/>
    <w:rsid w:val="00A90B3A"/>
    <w:rsid w:val="00A90B81"/>
    <w:rsid w:val="00A90BD3"/>
    <w:rsid w:val="00A90CD0"/>
    <w:rsid w:val="00A90D7B"/>
    <w:rsid w:val="00A90EA7"/>
    <w:rsid w:val="00A90ECD"/>
    <w:rsid w:val="00A90EEF"/>
    <w:rsid w:val="00A91019"/>
    <w:rsid w:val="00A910A6"/>
    <w:rsid w:val="00A9118F"/>
    <w:rsid w:val="00A911A4"/>
    <w:rsid w:val="00A914D5"/>
    <w:rsid w:val="00A91A30"/>
    <w:rsid w:val="00A91CED"/>
    <w:rsid w:val="00A91D2E"/>
    <w:rsid w:val="00A91D8A"/>
    <w:rsid w:val="00A91DD5"/>
    <w:rsid w:val="00A91DDF"/>
    <w:rsid w:val="00A91EBF"/>
    <w:rsid w:val="00A91ECF"/>
    <w:rsid w:val="00A91F79"/>
    <w:rsid w:val="00A921C0"/>
    <w:rsid w:val="00A9226D"/>
    <w:rsid w:val="00A92471"/>
    <w:rsid w:val="00A925F9"/>
    <w:rsid w:val="00A9289D"/>
    <w:rsid w:val="00A928FA"/>
    <w:rsid w:val="00A92AB4"/>
    <w:rsid w:val="00A92B4C"/>
    <w:rsid w:val="00A92C1D"/>
    <w:rsid w:val="00A92E01"/>
    <w:rsid w:val="00A92E5C"/>
    <w:rsid w:val="00A92F5D"/>
    <w:rsid w:val="00A930D9"/>
    <w:rsid w:val="00A9328B"/>
    <w:rsid w:val="00A9342A"/>
    <w:rsid w:val="00A93497"/>
    <w:rsid w:val="00A934CB"/>
    <w:rsid w:val="00A93638"/>
    <w:rsid w:val="00A93D26"/>
    <w:rsid w:val="00A93D7B"/>
    <w:rsid w:val="00A93DE5"/>
    <w:rsid w:val="00A93F33"/>
    <w:rsid w:val="00A9401C"/>
    <w:rsid w:val="00A94052"/>
    <w:rsid w:val="00A94167"/>
    <w:rsid w:val="00A9417C"/>
    <w:rsid w:val="00A942B5"/>
    <w:rsid w:val="00A94619"/>
    <w:rsid w:val="00A94761"/>
    <w:rsid w:val="00A94804"/>
    <w:rsid w:val="00A948A0"/>
    <w:rsid w:val="00A94C82"/>
    <w:rsid w:val="00A94D95"/>
    <w:rsid w:val="00A94DED"/>
    <w:rsid w:val="00A94ED6"/>
    <w:rsid w:val="00A95011"/>
    <w:rsid w:val="00A9526B"/>
    <w:rsid w:val="00A95289"/>
    <w:rsid w:val="00A952C7"/>
    <w:rsid w:val="00A9552B"/>
    <w:rsid w:val="00A9563C"/>
    <w:rsid w:val="00A95698"/>
    <w:rsid w:val="00A9573B"/>
    <w:rsid w:val="00A9577B"/>
    <w:rsid w:val="00A9577C"/>
    <w:rsid w:val="00A95A56"/>
    <w:rsid w:val="00A95A85"/>
    <w:rsid w:val="00A95C60"/>
    <w:rsid w:val="00A95F21"/>
    <w:rsid w:val="00A96647"/>
    <w:rsid w:val="00A96698"/>
    <w:rsid w:val="00A9677E"/>
    <w:rsid w:val="00A9681F"/>
    <w:rsid w:val="00A96AF8"/>
    <w:rsid w:val="00A96B84"/>
    <w:rsid w:val="00A96BB7"/>
    <w:rsid w:val="00A96C0C"/>
    <w:rsid w:val="00A96CE0"/>
    <w:rsid w:val="00A96E0A"/>
    <w:rsid w:val="00A972C8"/>
    <w:rsid w:val="00A9738B"/>
    <w:rsid w:val="00A973CC"/>
    <w:rsid w:val="00A97505"/>
    <w:rsid w:val="00A975FE"/>
    <w:rsid w:val="00A976BE"/>
    <w:rsid w:val="00A9788E"/>
    <w:rsid w:val="00A979BA"/>
    <w:rsid w:val="00A97D51"/>
    <w:rsid w:val="00AA003E"/>
    <w:rsid w:val="00AA0050"/>
    <w:rsid w:val="00AA055F"/>
    <w:rsid w:val="00AA05FB"/>
    <w:rsid w:val="00AA0659"/>
    <w:rsid w:val="00AA0681"/>
    <w:rsid w:val="00AA068F"/>
    <w:rsid w:val="00AA07BC"/>
    <w:rsid w:val="00AA084B"/>
    <w:rsid w:val="00AA0AB8"/>
    <w:rsid w:val="00AA0BC7"/>
    <w:rsid w:val="00AA0E11"/>
    <w:rsid w:val="00AA1049"/>
    <w:rsid w:val="00AA1125"/>
    <w:rsid w:val="00AA116C"/>
    <w:rsid w:val="00AA118E"/>
    <w:rsid w:val="00AA1687"/>
    <w:rsid w:val="00AA16DB"/>
    <w:rsid w:val="00AA175F"/>
    <w:rsid w:val="00AA17B0"/>
    <w:rsid w:val="00AA18A8"/>
    <w:rsid w:val="00AA18DA"/>
    <w:rsid w:val="00AA1919"/>
    <w:rsid w:val="00AA1D34"/>
    <w:rsid w:val="00AA1D59"/>
    <w:rsid w:val="00AA1F36"/>
    <w:rsid w:val="00AA211F"/>
    <w:rsid w:val="00AA2161"/>
    <w:rsid w:val="00AA245A"/>
    <w:rsid w:val="00AA24C8"/>
    <w:rsid w:val="00AA2560"/>
    <w:rsid w:val="00AA25C3"/>
    <w:rsid w:val="00AA275C"/>
    <w:rsid w:val="00AA29EB"/>
    <w:rsid w:val="00AA2A28"/>
    <w:rsid w:val="00AA2AEA"/>
    <w:rsid w:val="00AA2C35"/>
    <w:rsid w:val="00AA2CD6"/>
    <w:rsid w:val="00AA2CF5"/>
    <w:rsid w:val="00AA2D2E"/>
    <w:rsid w:val="00AA311E"/>
    <w:rsid w:val="00AA3154"/>
    <w:rsid w:val="00AA31B4"/>
    <w:rsid w:val="00AA3307"/>
    <w:rsid w:val="00AA33C7"/>
    <w:rsid w:val="00AA3602"/>
    <w:rsid w:val="00AA36E2"/>
    <w:rsid w:val="00AA377E"/>
    <w:rsid w:val="00AA383C"/>
    <w:rsid w:val="00AA3964"/>
    <w:rsid w:val="00AA3A74"/>
    <w:rsid w:val="00AA3CCC"/>
    <w:rsid w:val="00AA3CDB"/>
    <w:rsid w:val="00AA3D99"/>
    <w:rsid w:val="00AA3DBB"/>
    <w:rsid w:val="00AA4055"/>
    <w:rsid w:val="00AA4287"/>
    <w:rsid w:val="00AA45DD"/>
    <w:rsid w:val="00AA465F"/>
    <w:rsid w:val="00AA472F"/>
    <w:rsid w:val="00AA475F"/>
    <w:rsid w:val="00AA47FB"/>
    <w:rsid w:val="00AA496B"/>
    <w:rsid w:val="00AA4AC8"/>
    <w:rsid w:val="00AA4C10"/>
    <w:rsid w:val="00AA4CFF"/>
    <w:rsid w:val="00AA4D00"/>
    <w:rsid w:val="00AA5090"/>
    <w:rsid w:val="00AA5105"/>
    <w:rsid w:val="00AA5190"/>
    <w:rsid w:val="00AA51A0"/>
    <w:rsid w:val="00AA51BD"/>
    <w:rsid w:val="00AA5313"/>
    <w:rsid w:val="00AA5353"/>
    <w:rsid w:val="00AA53DE"/>
    <w:rsid w:val="00AA5408"/>
    <w:rsid w:val="00AA557B"/>
    <w:rsid w:val="00AA55EB"/>
    <w:rsid w:val="00AA5774"/>
    <w:rsid w:val="00AA5983"/>
    <w:rsid w:val="00AA5A1F"/>
    <w:rsid w:val="00AA5B90"/>
    <w:rsid w:val="00AA5BF4"/>
    <w:rsid w:val="00AA5CF1"/>
    <w:rsid w:val="00AA5E3E"/>
    <w:rsid w:val="00AA5E6D"/>
    <w:rsid w:val="00AA5EA2"/>
    <w:rsid w:val="00AA5EE2"/>
    <w:rsid w:val="00AA6259"/>
    <w:rsid w:val="00AA644A"/>
    <w:rsid w:val="00AA6605"/>
    <w:rsid w:val="00AA6687"/>
    <w:rsid w:val="00AA6751"/>
    <w:rsid w:val="00AA6783"/>
    <w:rsid w:val="00AA690E"/>
    <w:rsid w:val="00AA6BD4"/>
    <w:rsid w:val="00AA7726"/>
    <w:rsid w:val="00AA7824"/>
    <w:rsid w:val="00AA783F"/>
    <w:rsid w:val="00AA789A"/>
    <w:rsid w:val="00AA78B4"/>
    <w:rsid w:val="00AA7B0B"/>
    <w:rsid w:val="00AA7C17"/>
    <w:rsid w:val="00AB00F7"/>
    <w:rsid w:val="00AB0118"/>
    <w:rsid w:val="00AB0291"/>
    <w:rsid w:val="00AB0478"/>
    <w:rsid w:val="00AB05B2"/>
    <w:rsid w:val="00AB05D6"/>
    <w:rsid w:val="00AB0647"/>
    <w:rsid w:val="00AB0744"/>
    <w:rsid w:val="00AB0759"/>
    <w:rsid w:val="00AB0AD8"/>
    <w:rsid w:val="00AB0ADA"/>
    <w:rsid w:val="00AB0B27"/>
    <w:rsid w:val="00AB0BA2"/>
    <w:rsid w:val="00AB0BFD"/>
    <w:rsid w:val="00AB0C9E"/>
    <w:rsid w:val="00AB0FEB"/>
    <w:rsid w:val="00AB1022"/>
    <w:rsid w:val="00AB1185"/>
    <w:rsid w:val="00AB13C5"/>
    <w:rsid w:val="00AB15E4"/>
    <w:rsid w:val="00AB1654"/>
    <w:rsid w:val="00AB16A9"/>
    <w:rsid w:val="00AB17B1"/>
    <w:rsid w:val="00AB17ED"/>
    <w:rsid w:val="00AB196C"/>
    <w:rsid w:val="00AB1A2A"/>
    <w:rsid w:val="00AB1B70"/>
    <w:rsid w:val="00AB1B96"/>
    <w:rsid w:val="00AB1D2A"/>
    <w:rsid w:val="00AB2089"/>
    <w:rsid w:val="00AB20A2"/>
    <w:rsid w:val="00AB2236"/>
    <w:rsid w:val="00AB2266"/>
    <w:rsid w:val="00AB22D5"/>
    <w:rsid w:val="00AB248F"/>
    <w:rsid w:val="00AB24B8"/>
    <w:rsid w:val="00AB24CA"/>
    <w:rsid w:val="00AB256D"/>
    <w:rsid w:val="00AB2815"/>
    <w:rsid w:val="00AB28B9"/>
    <w:rsid w:val="00AB2900"/>
    <w:rsid w:val="00AB2967"/>
    <w:rsid w:val="00AB2A20"/>
    <w:rsid w:val="00AB2A24"/>
    <w:rsid w:val="00AB2ACF"/>
    <w:rsid w:val="00AB2ADE"/>
    <w:rsid w:val="00AB2F7B"/>
    <w:rsid w:val="00AB2FA8"/>
    <w:rsid w:val="00AB30B4"/>
    <w:rsid w:val="00AB32CF"/>
    <w:rsid w:val="00AB3925"/>
    <w:rsid w:val="00AB39E5"/>
    <w:rsid w:val="00AB3F05"/>
    <w:rsid w:val="00AB4081"/>
    <w:rsid w:val="00AB4175"/>
    <w:rsid w:val="00AB4687"/>
    <w:rsid w:val="00AB4747"/>
    <w:rsid w:val="00AB474F"/>
    <w:rsid w:val="00AB47A9"/>
    <w:rsid w:val="00AB4847"/>
    <w:rsid w:val="00AB4949"/>
    <w:rsid w:val="00AB4C07"/>
    <w:rsid w:val="00AB4E50"/>
    <w:rsid w:val="00AB5175"/>
    <w:rsid w:val="00AB51CE"/>
    <w:rsid w:val="00AB5365"/>
    <w:rsid w:val="00AB53F5"/>
    <w:rsid w:val="00AB543F"/>
    <w:rsid w:val="00AB547F"/>
    <w:rsid w:val="00AB55DC"/>
    <w:rsid w:val="00AB56C1"/>
    <w:rsid w:val="00AB56F6"/>
    <w:rsid w:val="00AB580D"/>
    <w:rsid w:val="00AB5A11"/>
    <w:rsid w:val="00AB5A5D"/>
    <w:rsid w:val="00AB5B51"/>
    <w:rsid w:val="00AB5D85"/>
    <w:rsid w:val="00AB5E69"/>
    <w:rsid w:val="00AB6021"/>
    <w:rsid w:val="00AB62D8"/>
    <w:rsid w:val="00AB6637"/>
    <w:rsid w:val="00AB6897"/>
    <w:rsid w:val="00AB68BE"/>
    <w:rsid w:val="00AB6BF1"/>
    <w:rsid w:val="00AB6C73"/>
    <w:rsid w:val="00AB6CA1"/>
    <w:rsid w:val="00AB6F61"/>
    <w:rsid w:val="00AB7062"/>
    <w:rsid w:val="00AB70DC"/>
    <w:rsid w:val="00AB70F8"/>
    <w:rsid w:val="00AB744C"/>
    <w:rsid w:val="00AB756F"/>
    <w:rsid w:val="00AB7799"/>
    <w:rsid w:val="00AB7819"/>
    <w:rsid w:val="00AB78BE"/>
    <w:rsid w:val="00AB7905"/>
    <w:rsid w:val="00AB7920"/>
    <w:rsid w:val="00AB7B86"/>
    <w:rsid w:val="00AB7BE8"/>
    <w:rsid w:val="00AB7BEB"/>
    <w:rsid w:val="00AC00E8"/>
    <w:rsid w:val="00AC028C"/>
    <w:rsid w:val="00AC0322"/>
    <w:rsid w:val="00AC0441"/>
    <w:rsid w:val="00AC0547"/>
    <w:rsid w:val="00AC05DF"/>
    <w:rsid w:val="00AC069A"/>
    <w:rsid w:val="00AC071F"/>
    <w:rsid w:val="00AC0756"/>
    <w:rsid w:val="00AC0891"/>
    <w:rsid w:val="00AC0913"/>
    <w:rsid w:val="00AC0A05"/>
    <w:rsid w:val="00AC1075"/>
    <w:rsid w:val="00AC1143"/>
    <w:rsid w:val="00AC122E"/>
    <w:rsid w:val="00AC1377"/>
    <w:rsid w:val="00AC1433"/>
    <w:rsid w:val="00AC176F"/>
    <w:rsid w:val="00AC1917"/>
    <w:rsid w:val="00AC1B19"/>
    <w:rsid w:val="00AC1C9C"/>
    <w:rsid w:val="00AC1CB4"/>
    <w:rsid w:val="00AC1D26"/>
    <w:rsid w:val="00AC1DE5"/>
    <w:rsid w:val="00AC1EBC"/>
    <w:rsid w:val="00AC1F3B"/>
    <w:rsid w:val="00AC1FC6"/>
    <w:rsid w:val="00AC1FD9"/>
    <w:rsid w:val="00AC243A"/>
    <w:rsid w:val="00AC2815"/>
    <w:rsid w:val="00AC2C53"/>
    <w:rsid w:val="00AC2E0D"/>
    <w:rsid w:val="00AC2E9F"/>
    <w:rsid w:val="00AC31C2"/>
    <w:rsid w:val="00AC3232"/>
    <w:rsid w:val="00AC3551"/>
    <w:rsid w:val="00AC36D6"/>
    <w:rsid w:val="00AC37B5"/>
    <w:rsid w:val="00AC388C"/>
    <w:rsid w:val="00AC3C99"/>
    <w:rsid w:val="00AC3CA8"/>
    <w:rsid w:val="00AC3D3F"/>
    <w:rsid w:val="00AC3D85"/>
    <w:rsid w:val="00AC3DD9"/>
    <w:rsid w:val="00AC3F4B"/>
    <w:rsid w:val="00AC40CF"/>
    <w:rsid w:val="00AC43BF"/>
    <w:rsid w:val="00AC463B"/>
    <w:rsid w:val="00AC46E1"/>
    <w:rsid w:val="00AC46FB"/>
    <w:rsid w:val="00AC4BE7"/>
    <w:rsid w:val="00AC4C6C"/>
    <w:rsid w:val="00AC4D37"/>
    <w:rsid w:val="00AC4D57"/>
    <w:rsid w:val="00AC4DFC"/>
    <w:rsid w:val="00AC4E4C"/>
    <w:rsid w:val="00AC5071"/>
    <w:rsid w:val="00AC5110"/>
    <w:rsid w:val="00AC5233"/>
    <w:rsid w:val="00AC52FA"/>
    <w:rsid w:val="00AC52FF"/>
    <w:rsid w:val="00AC53E7"/>
    <w:rsid w:val="00AC53FE"/>
    <w:rsid w:val="00AC549E"/>
    <w:rsid w:val="00AC54E0"/>
    <w:rsid w:val="00AC5765"/>
    <w:rsid w:val="00AC5800"/>
    <w:rsid w:val="00AC5814"/>
    <w:rsid w:val="00AC5868"/>
    <w:rsid w:val="00AC589A"/>
    <w:rsid w:val="00AC58D7"/>
    <w:rsid w:val="00AC59EB"/>
    <w:rsid w:val="00AC5A0C"/>
    <w:rsid w:val="00AC5B61"/>
    <w:rsid w:val="00AC5D61"/>
    <w:rsid w:val="00AC620B"/>
    <w:rsid w:val="00AC6242"/>
    <w:rsid w:val="00AC63F4"/>
    <w:rsid w:val="00AC64DF"/>
    <w:rsid w:val="00AC6501"/>
    <w:rsid w:val="00AC6529"/>
    <w:rsid w:val="00AC65CF"/>
    <w:rsid w:val="00AC66F6"/>
    <w:rsid w:val="00AC67DF"/>
    <w:rsid w:val="00AC69B3"/>
    <w:rsid w:val="00AC69C4"/>
    <w:rsid w:val="00AC6B08"/>
    <w:rsid w:val="00AC6B1F"/>
    <w:rsid w:val="00AC6F9E"/>
    <w:rsid w:val="00AC702B"/>
    <w:rsid w:val="00AC7166"/>
    <w:rsid w:val="00AC7448"/>
    <w:rsid w:val="00AC7551"/>
    <w:rsid w:val="00AC7FC4"/>
    <w:rsid w:val="00AC7FF5"/>
    <w:rsid w:val="00AD0170"/>
    <w:rsid w:val="00AD01BB"/>
    <w:rsid w:val="00AD028F"/>
    <w:rsid w:val="00AD0293"/>
    <w:rsid w:val="00AD02EE"/>
    <w:rsid w:val="00AD033E"/>
    <w:rsid w:val="00AD03B8"/>
    <w:rsid w:val="00AD04DA"/>
    <w:rsid w:val="00AD0525"/>
    <w:rsid w:val="00AD05BE"/>
    <w:rsid w:val="00AD06A9"/>
    <w:rsid w:val="00AD07A1"/>
    <w:rsid w:val="00AD07BA"/>
    <w:rsid w:val="00AD0863"/>
    <w:rsid w:val="00AD0947"/>
    <w:rsid w:val="00AD0DB2"/>
    <w:rsid w:val="00AD0E3D"/>
    <w:rsid w:val="00AD1164"/>
    <w:rsid w:val="00AD129F"/>
    <w:rsid w:val="00AD1346"/>
    <w:rsid w:val="00AD1362"/>
    <w:rsid w:val="00AD1556"/>
    <w:rsid w:val="00AD1672"/>
    <w:rsid w:val="00AD1687"/>
    <w:rsid w:val="00AD1809"/>
    <w:rsid w:val="00AD1992"/>
    <w:rsid w:val="00AD1A68"/>
    <w:rsid w:val="00AD1B48"/>
    <w:rsid w:val="00AD1BC3"/>
    <w:rsid w:val="00AD1CEA"/>
    <w:rsid w:val="00AD1E7B"/>
    <w:rsid w:val="00AD1E8A"/>
    <w:rsid w:val="00AD1F40"/>
    <w:rsid w:val="00AD1F97"/>
    <w:rsid w:val="00AD213E"/>
    <w:rsid w:val="00AD2235"/>
    <w:rsid w:val="00AD244E"/>
    <w:rsid w:val="00AD264B"/>
    <w:rsid w:val="00AD29A4"/>
    <w:rsid w:val="00AD2A09"/>
    <w:rsid w:val="00AD2D60"/>
    <w:rsid w:val="00AD2F28"/>
    <w:rsid w:val="00AD30E0"/>
    <w:rsid w:val="00AD31B6"/>
    <w:rsid w:val="00AD329C"/>
    <w:rsid w:val="00AD35D2"/>
    <w:rsid w:val="00AD366A"/>
    <w:rsid w:val="00AD381A"/>
    <w:rsid w:val="00AD395A"/>
    <w:rsid w:val="00AD39D0"/>
    <w:rsid w:val="00AD3B50"/>
    <w:rsid w:val="00AD3C80"/>
    <w:rsid w:val="00AD3D02"/>
    <w:rsid w:val="00AD3E82"/>
    <w:rsid w:val="00AD3E91"/>
    <w:rsid w:val="00AD3F0B"/>
    <w:rsid w:val="00AD3FE6"/>
    <w:rsid w:val="00AD416E"/>
    <w:rsid w:val="00AD41D3"/>
    <w:rsid w:val="00AD41F7"/>
    <w:rsid w:val="00AD434D"/>
    <w:rsid w:val="00AD441A"/>
    <w:rsid w:val="00AD4527"/>
    <w:rsid w:val="00AD4762"/>
    <w:rsid w:val="00AD481B"/>
    <w:rsid w:val="00AD49C0"/>
    <w:rsid w:val="00AD4B16"/>
    <w:rsid w:val="00AD4B9A"/>
    <w:rsid w:val="00AD4FE7"/>
    <w:rsid w:val="00AD50E7"/>
    <w:rsid w:val="00AD510F"/>
    <w:rsid w:val="00AD52B6"/>
    <w:rsid w:val="00AD52BE"/>
    <w:rsid w:val="00AD54AD"/>
    <w:rsid w:val="00AD54D9"/>
    <w:rsid w:val="00AD5511"/>
    <w:rsid w:val="00AD573A"/>
    <w:rsid w:val="00AD59AF"/>
    <w:rsid w:val="00AD5A37"/>
    <w:rsid w:val="00AD5BAC"/>
    <w:rsid w:val="00AD5C00"/>
    <w:rsid w:val="00AD5DFC"/>
    <w:rsid w:val="00AD5E53"/>
    <w:rsid w:val="00AD5F5C"/>
    <w:rsid w:val="00AD6097"/>
    <w:rsid w:val="00AD62D0"/>
    <w:rsid w:val="00AD6390"/>
    <w:rsid w:val="00AD6488"/>
    <w:rsid w:val="00AD6601"/>
    <w:rsid w:val="00AD66CD"/>
    <w:rsid w:val="00AD6914"/>
    <w:rsid w:val="00AD6942"/>
    <w:rsid w:val="00AD6A84"/>
    <w:rsid w:val="00AD6B45"/>
    <w:rsid w:val="00AD6BEA"/>
    <w:rsid w:val="00AD6C62"/>
    <w:rsid w:val="00AD6C7B"/>
    <w:rsid w:val="00AD7064"/>
    <w:rsid w:val="00AD7116"/>
    <w:rsid w:val="00AD71B8"/>
    <w:rsid w:val="00AD77F2"/>
    <w:rsid w:val="00AD7956"/>
    <w:rsid w:val="00AD7C22"/>
    <w:rsid w:val="00AD7CC6"/>
    <w:rsid w:val="00AD7FAB"/>
    <w:rsid w:val="00AE0083"/>
    <w:rsid w:val="00AE009F"/>
    <w:rsid w:val="00AE0227"/>
    <w:rsid w:val="00AE04CE"/>
    <w:rsid w:val="00AE04F4"/>
    <w:rsid w:val="00AE08AF"/>
    <w:rsid w:val="00AE0983"/>
    <w:rsid w:val="00AE09EF"/>
    <w:rsid w:val="00AE0A15"/>
    <w:rsid w:val="00AE0A59"/>
    <w:rsid w:val="00AE0AE0"/>
    <w:rsid w:val="00AE0B82"/>
    <w:rsid w:val="00AE0C16"/>
    <w:rsid w:val="00AE0D26"/>
    <w:rsid w:val="00AE0E43"/>
    <w:rsid w:val="00AE0FA8"/>
    <w:rsid w:val="00AE1077"/>
    <w:rsid w:val="00AE1177"/>
    <w:rsid w:val="00AE128A"/>
    <w:rsid w:val="00AE15F6"/>
    <w:rsid w:val="00AE16EC"/>
    <w:rsid w:val="00AE1774"/>
    <w:rsid w:val="00AE178A"/>
    <w:rsid w:val="00AE18BE"/>
    <w:rsid w:val="00AE18E8"/>
    <w:rsid w:val="00AE1A9E"/>
    <w:rsid w:val="00AE1ACB"/>
    <w:rsid w:val="00AE1B25"/>
    <w:rsid w:val="00AE1B88"/>
    <w:rsid w:val="00AE1D62"/>
    <w:rsid w:val="00AE1DB7"/>
    <w:rsid w:val="00AE1DE2"/>
    <w:rsid w:val="00AE212E"/>
    <w:rsid w:val="00AE24F8"/>
    <w:rsid w:val="00AE25DD"/>
    <w:rsid w:val="00AE29D8"/>
    <w:rsid w:val="00AE2BD7"/>
    <w:rsid w:val="00AE2D56"/>
    <w:rsid w:val="00AE2E38"/>
    <w:rsid w:val="00AE31D2"/>
    <w:rsid w:val="00AE31E5"/>
    <w:rsid w:val="00AE31E7"/>
    <w:rsid w:val="00AE34F4"/>
    <w:rsid w:val="00AE3581"/>
    <w:rsid w:val="00AE3748"/>
    <w:rsid w:val="00AE3A73"/>
    <w:rsid w:val="00AE3ED5"/>
    <w:rsid w:val="00AE4076"/>
    <w:rsid w:val="00AE413A"/>
    <w:rsid w:val="00AE4188"/>
    <w:rsid w:val="00AE4209"/>
    <w:rsid w:val="00AE4449"/>
    <w:rsid w:val="00AE4559"/>
    <w:rsid w:val="00AE4771"/>
    <w:rsid w:val="00AE49A2"/>
    <w:rsid w:val="00AE49EB"/>
    <w:rsid w:val="00AE4A01"/>
    <w:rsid w:val="00AE4A2D"/>
    <w:rsid w:val="00AE4BD6"/>
    <w:rsid w:val="00AE4D59"/>
    <w:rsid w:val="00AE4D94"/>
    <w:rsid w:val="00AE4DA4"/>
    <w:rsid w:val="00AE5269"/>
    <w:rsid w:val="00AE52C5"/>
    <w:rsid w:val="00AE5337"/>
    <w:rsid w:val="00AE542C"/>
    <w:rsid w:val="00AE5466"/>
    <w:rsid w:val="00AE59E2"/>
    <w:rsid w:val="00AE5A24"/>
    <w:rsid w:val="00AE5CD3"/>
    <w:rsid w:val="00AE5D1A"/>
    <w:rsid w:val="00AE5F4A"/>
    <w:rsid w:val="00AE62B1"/>
    <w:rsid w:val="00AE63A2"/>
    <w:rsid w:val="00AE6733"/>
    <w:rsid w:val="00AE677B"/>
    <w:rsid w:val="00AE6855"/>
    <w:rsid w:val="00AE6A97"/>
    <w:rsid w:val="00AE6BB2"/>
    <w:rsid w:val="00AE6D6F"/>
    <w:rsid w:val="00AE6E2C"/>
    <w:rsid w:val="00AE6E6B"/>
    <w:rsid w:val="00AE6F33"/>
    <w:rsid w:val="00AE7057"/>
    <w:rsid w:val="00AE7082"/>
    <w:rsid w:val="00AE70EA"/>
    <w:rsid w:val="00AE7119"/>
    <w:rsid w:val="00AE7139"/>
    <w:rsid w:val="00AE7298"/>
    <w:rsid w:val="00AE74B0"/>
    <w:rsid w:val="00AE7861"/>
    <w:rsid w:val="00AE7EDA"/>
    <w:rsid w:val="00AE7EF7"/>
    <w:rsid w:val="00AE7F9A"/>
    <w:rsid w:val="00AF0013"/>
    <w:rsid w:val="00AF018B"/>
    <w:rsid w:val="00AF02A9"/>
    <w:rsid w:val="00AF03C1"/>
    <w:rsid w:val="00AF0ACE"/>
    <w:rsid w:val="00AF0AE3"/>
    <w:rsid w:val="00AF0DDA"/>
    <w:rsid w:val="00AF0EB1"/>
    <w:rsid w:val="00AF0EE8"/>
    <w:rsid w:val="00AF0F39"/>
    <w:rsid w:val="00AF0F66"/>
    <w:rsid w:val="00AF0FC6"/>
    <w:rsid w:val="00AF0FFD"/>
    <w:rsid w:val="00AF1165"/>
    <w:rsid w:val="00AF121B"/>
    <w:rsid w:val="00AF134A"/>
    <w:rsid w:val="00AF135C"/>
    <w:rsid w:val="00AF1412"/>
    <w:rsid w:val="00AF14C6"/>
    <w:rsid w:val="00AF15BD"/>
    <w:rsid w:val="00AF17FC"/>
    <w:rsid w:val="00AF19C3"/>
    <w:rsid w:val="00AF1B03"/>
    <w:rsid w:val="00AF1C58"/>
    <w:rsid w:val="00AF1C95"/>
    <w:rsid w:val="00AF1DDE"/>
    <w:rsid w:val="00AF1DF6"/>
    <w:rsid w:val="00AF1E4F"/>
    <w:rsid w:val="00AF2129"/>
    <w:rsid w:val="00AF2566"/>
    <w:rsid w:val="00AF25BB"/>
    <w:rsid w:val="00AF2632"/>
    <w:rsid w:val="00AF2745"/>
    <w:rsid w:val="00AF28C2"/>
    <w:rsid w:val="00AF2925"/>
    <w:rsid w:val="00AF296B"/>
    <w:rsid w:val="00AF299C"/>
    <w:rsid w:val="00AF2B6A"/>
    <w:rsid w:val="00AF2E97"/>
    <w:rsid w:val="00AF30C2"/>
    <w:rsid w:val="00AF31BB"/>
    <w:rsid w:val="00AF32C6"/>
    <w:rsid w:val="00AF36CF"/>
    <w:rsid w:val="00AF3A31"/>
    <w:rsid w:val="00AF3A5D"/>
    <w:rsid w:val="00AF3B97"/>
    <w:rsid w:val="00AF3C42"/>
    <w:rsid w:val="00AF3EEB"/>
    <w:rsid w:val="00AF4193"/>
    <w:rsid w:val="00AF419D"/>
    <w:rsid w:val="00AF4247"/>
    <w:rsid w:val="00AF4470"/>
    <w:rsid w:val="00AF449E"/>
    <w:rsid w:val="00AF46AC"/>
    <w:rsid w:val="00AF48C4"/>
    <w:rsid w:val="00AF4AEE"/>
    <w:rsid w:val="00AF4B04"/>
    <w:rsid w:val="00AF4C08"/>
    <w:rsid w:val="00AF4C19"/>
    <w:rsid w:val="00AF4D5B"/>
    <w:rsid w:val="00AF4DC5"/>
    <w:rsid w:val="00AF4DE4"/>
    <w:rsid w:val="00AF4EEA"/>
    <w:rsid w:val="00AF4EF1"/>
    <w:rsid w:val="00AF5186"/>
    <w:rsid w:val="00AF51F5"/>
    <w:rsid w:val="00AF5310"/>
    <w:rsid w:val="00AF54FA"/>
    <w:rsid w:val="00AF5928"/>
    <w:rsid w:val="00AF5C25"/>
    <w:rsid w:val="00AF5CAD"/>
    <w:rsid w:val="00AF5EC6"/>
    <w:rsid w:val="00AF6064"/>
    <w:rsid w:val="00AF60D9"/>
    <w:rsid w:val="00AF6115"/>
    <w:rsid w:val="00AF646E"/>
    <w:rsid w:val="00AF64A2"/>
    <w:rsid w:val="00AF6539"/>
    <w:rsid w:val="00AF65EB"/>
    <w:rsid w:val="00AF677A"/>
    <w:rsid w:val="00AF6865"/>
    <w:rsid w:val="00AF6898"/>
    <w:rsid w:val="00AF693A"/>
    <w:rsid w:val="00AF69CF"/>
    <w:rsid w:val="00AF6A82"/>
    <w:rsid w:val="00AF6B2F"/>
    <w:rsid w:val="00AF6FC6"/>
    <w:rsid w:val="00AF7050"/>
    <w:rsid w:val="00AF71C6"/>
    <w:rsid w:val="00AF7216"/>
    <w:rsid w:val="00AF7238"/>
    <w:rsid w:val="00AF728B"/>
    <w:rsid w:val="00AF73C6"/>
    <w:rsid w:val="00AF74AA"/>
    <w:rsid w:val="00AF7513"/>
    <w:rsid w:val="00AF761D"/>
    <w:rsid w:val="00AF78AA"/>
    <w:rsid w:val="00AF7AD1"/>
    <w:rsid w:val="00AF7C20"/>
    <w:rsid w:val="00AF7C7E"/>
    <w:rsid w:val="00AF7D2F"/>
    <w:rsid w:val="00B00019"/>
    <w:rsid w:val="00B000F1"/>
    <w:rsid w:val="00B0024F"/>
    <w:rsid w:val="00B00304"/>
    <w:rsid w:val="00B00482"/>
    <w:rsid w:val="00B00834"/>
    <w:rsid w:val="00B00A15"/>
    <w:rsid w:val="00B00A3E"/>
    <w:rsid w:val="00B00A6C"/>
    <w:rsid w:val="00B00B27"/>
    <w:rsid w:val="00B00B87"/>
    <w:rsid w:val="00B00C30"/>
    <w:rsid w:val="00B00CBE"/>
    <w:rsid w:val="00B00D62"/>
    <w:rsid w:val="00B00EF6"/>
    <w:rsid w:val="00B01108"/>
    <w:rsid w:val="00B0119F"/>
    <w:rsid w:val="00B01391"/>
    <w:rsid w:val="00B013CD"/>
    <w:rsid w:val="00B01650"/>
    <w:rsid w:val="00B0179C"/>
    <w:rsid w:val="00B018FF"/>
    <w:rsid w:val="00B01A7A"/>
    <w:rsid w:val="00B01AA6"/>
    <w:rsid w:val="00B01E67"/>
    <w:rsid w:val="00B01EB0"/>
    <w:rsid w:val="00B01FA4"/>
    <w:rsid w:val="00B021A0"/>
    <w:rsid w:val="00B02493"/>
    <w:rsid w:val="00B02599"/>
    <w:rsid w:val="00B025A9"/>
    <w:rsid w:val="00B026FB"/>
    <w:rsid w:val="00B028E9"/>
    <w:rsid w:val="00B029A2"/>
    <w:rsid w:val="00B02D0B"/>
    <w:rsid w:val="00B02F73"/>
    <w:rsid w:val="00B0305D"/>
    <w:rsid w:val="00B031D6"/>
    <w:rsid w:val="00B03240"/>
    <w:rsid w:val="00B0337B"/>
    <w:rsid w:val="00B033AC"/>
    <w:rsid w:val="00B03462"/>
    <w:rsid w:val="00B034FC"/>
    <w:rsid w:val="00B036B9"/>
    <w:rsid w:val="00B0375C"/>
    <w:rsid w:val="00B037E8"/>
    <w:rsid w:val="00B038EC"/>
    <w:rsid w:val="00B039A4"/>
    <w:rsid w:val="00B03B90"/>
    <w:rsid w:val="00B03C39"/>
    <w:rsid w:val="00B03D18"/>
    <w:rsid w:val="00B03D29"/>
    <w:rsid w:val="00B03F59"/>
    <w:rsid w:val="00B04020"/>
    <w:rsid w:val="00B04229"/>
    <w:rsid w:val="00B0426E"/>
    <w:rsid w:val="00B04298"/>
    <w:rsid w:val="00B04394"/>
    <w:rsid w:val="00B04478"/>
    <w:rsid w:val="00B0458C"/>
    <w:rsid w:val="00B045D6"/>
    <w:rsid w:val="00B046D0"/>
    <w:rsid w:val="00B04741"/>
    <w:rsid w:val="00B04862"/>
    <w:rsid w:val="00B048D3"/>
    <w:rsid w:val="00B04B94"/>
    <w:rsid w:val="00B04C74"/>
    <w:rsid w:val="00B04D9B"/>
    <w:rsid w:val="00B04DDD"/>
    <w:rsid w:val="00B0515F"/>
    <w:rsid w:val="00B051DF"/>
    <w:rsid w:val="00B055D5"/>
    <w:rsid w:val="00B0579D"/>
    <w:rsid w:val="00B05900"/>
    <w:rsid w:val="00B059E7"/>
    <w:rsid w:val="00B05A73"/>
    <w:rsid w:val="00B05AA2"/>
    <w:rsid w:val="00B05C29"/>
    <w:rsid w:val="00B05DC4"/>
    <w:rsid w:val="00B0606D"/>
    <w:rsid w:val="00B06428"/>
    <w:rsid w:val="00B06762"/>
    <w:rsid w:val="00B06802"/>
    <w:rsid w:val="00B068A8"/>
    <w:rsid w:val="00B06B85"/>
    <w:rsid w:val="00B06BC9"/>
    <w:rsid w:val="00B06CC8"/>
    <w:rsid w:val="00B06CF6"/>
    <w:rsid w:val="00B06F71"/>
    <w:rsid w:val="00B06FF9"/>
    <w:rsid w:val="00B0709C"/>
    <w:rsid w:val="00B071C1"/>
    <w:rsid w:val="00B0720E"/>
    <w:rsid w:val="00B07222"/>
    <w:rsid w:val="00B07347"/>
    <w:rsid w:val="00B0737F"/>
    <w:rsid w:val="00B0751B"/>
    <w:rsid w:val="00B07678"/>
    <w:rsid w:val="00B07703"/>
    <w:rsid w:val="00B077A9"/>
    <w:rsid w:val="00B0788F"/>
    <w:rsid w:val="00B0793D"/>
    <w:rsid w:val="00B0795E"/>
    <w:rsid w:val="00B07A46"/>
    <w:rsid w:val="00B07F96"/>
    <w:rsid w:val="00B10071"/>
    <w:rsid w:val="00B1008E"/>
    <w:rsid w:val="00B10194"/>
    <w:rsid w:val="00B10355"/>
    <w:rsid w:val="00B1036A"/>
    <w:rsid w:val="00B10380"/>
    <w:rsid w:val="00B103AB"/>
    <w:rsid w:val="00B10920"/>
    <w:rsid w:val="00B10E86"/>
    <w:rsid w:val="00B10F88"/>
    <w:rsid w:val="00B11059"/>
    <w:rsid w:val="00B110DF"/>
    <w:rsid w:val="00B110EA"/>
    <w:rsid w:val="00B1110C"/>
    <w:rsid w:val="00B112C0"/>
    <w:rsid w:val="00B11331"/>
    <w:rsid w:val="00B11478"/>
    <w:rsid w:val="00B114B6"/>
    <w:rsid w:val="00B1155C"/>
    <w:rsid w:val="00B11964"/>
    <w:rsid w:val="00B11BD8"/>
    <w:rsid w:val="00B11C19"/>
    <w:rsid w:val="00B11DED"/>
    <w:rsid w:val="00B1214E"/>
    <w:rsid w:val="00B12177"/>
    <w:rsid w:val="00B12296"/>
    <w:rsid w:val="00B12354"/>
    <w:rsid w:val="00B124FB"/>
    <w:rsid w:val="00B125D9"/>
    <w:rsid w:val="00B12677"/>
    <w:rsid w:val="00B126C2"/>
    <w:rsid w:val="00B126E3"/>
    <w:rsid w:val="00B1285E"/>
    <w:rsid w:val="00B1286D"/>
    <w:rsid w:val="00B1289D"/>
    <w:rsid w:val="00B128ED"/>
    <w:rsid w:val="00B12958"/>
    <w:rsid w:val="00B12A92"/>
    <w:rsid w:val="00B12AA0"/>
    <w:rsid w:val="00B12AB1"/>
    <w:rsid w:val="00B12BE3"/>
    <w:rsid w:val="00B12C80"/>
    <w:rsid w:val="00B12D3F"/>
    <w:rsid w:val="00B12E56"/>
    <w:rsid w:val="00B12EB8"/>
    <w:rsid w:val="00B12EF0"/>
    <w:rsid w:val="00B12EF7"/>
    <w:rsid w:val="00B12EFC"/>
    <w:rsid w:val="00B1308F"/>
    <w:rsid w:val="00B132F8"/>
    <w:rsid w:val="00B133DA"/>
    <w:rsid w:val="00B1359C"/>
    <w:rsid w:val="00B136CE"/>
    <w:rsid w:val="00B13703"/>
    <w:rsid w:val="00B13D6F"/>
    <w:rsid w:val="00B13DFD"/>
    <w:rsid w:val="00B13E98"/>
    <w:rsid w:val="00B13ED4"/>
    <w:rsid w:val="00B14060"/>
    <w:rsid w:val="00B14168"/>
    <w:rsid w:val="00B1440B"/>
    <w:rsid w:val="00B14473"/>
    <w:rsid w:val="00B144F6"/>
    <w:rsid w:val="00B145F6"/>
    <w:rsid w:val="00B14623"/>
    <w:rsid w:val="00B146BA"/>
    <w:rsid w:val="00B1472D"/>
    <w:rsid w:val="00B147A8"/>
    <w:rsid w:val="00B14894"/>
    <w:rsid w:val="00B148F9"/>
    <w:rsid w:val="00B14AEA"/>
    <w:rsid w:val="00B14C52"/>
    <w:rsid w:val="00B14D09"/>
    <w:rsid w:val="00B14D21"/>
    <w:rsid w:val="00B14DE1"/>
    <w:rsid w:val="00B14ED5"/>
    <w:rsid w:val="00B14F67"/>
    <w:rsid w:val="00B1510E"/>
    <w:rsid w:val="00B1516E"/>
    <w:rsid w:val="00B1519A"/>
    <w:rsid w:val="00B151E4"/>
    <w:rsid w:val="00B15375"/>
    <w:rsid w:val="00B153DE"/>
    <w:rsid w:val="00B15587"/>
    <w:rsid w:val="00B15699"/>
    <w:rsid w:val="00B158DC"/>
    <w:rsid w:val="00B15AB2"/>
    <w:rsid w:val="00B15B07"/>
    <w:rsid w:val="00B15D2F"/>
    <w:rsid w:val="00B15D4C"/>
    <w:rsid w:val="00B15EF8"/>
    <w:rsid w:val="00B15F45"/>
    <w:rsid w:val="00B15FA9"/>
    <w:rsid w:val="00B15FAD"/>
    <w:rsid w:val="00B1607B"/>
    <w:rsid w:val="00B16122"/>
    <w:rsid w:val="00B16139"/>
    <w:rsid w:val="00B1637F"/>
    <w:rsid w:val="00B163D1"/>
    <w:rsid w:val="00B16418"/>
    <w:rsid w:val="00B1651D"/>
    <w:rsid w:val="00B1689C"/>
    <w:rsid w:val="00B16931"/>
    <w:rsid w:val="00B16B3C"/>
    <w:rsid w:val="00B16C68"/>
    <w:rsid w:val="00B16E85"/>
    <w:rsid w:val="00B17040"/>
    <w:rsid w:val="00B171A7"/>
    <w:rsid w:val="00B171B3"/>
    <w:rsid w:val="00B172B0"/>
    <w:rsid w:val="00B17336"/>
    <w:rsid w:val="00B173C0"/>
    <w:rsid w:val="00B17548"/>
    <w:rsid w:val="00B1776C"/>
    <w:rsid w:val="00B17807"/>
    <w:rsid w:val="00B17A2D"/>
    <w:rsid w:val="00B17A93"/>
    <w:rsid w:val="00B17C29"/>
    <w:rsid w:val="00B17F11"/>
    <w:rsid w:val="00B20246"/>
    <w:rsid w:val="00B20264"/>
    <w:rsid w:val="00B202A2"/>
    <w:rsid w:val="00B20417"/>
    <w:rsid w:val="00B20553"/>
    <w:rsid w:val="00B20788"/>
    <w:rsid w:val="00B208AB"/>
    <w:rsid w:val="00B2097E"/>
    <w:rsid w:val="00B20B82"/>
    <w:rsid w:val="00B20B85"/>
    <w:rsid w:val="00B20BDF"/>
    <w:rsid w:val="00B20E54"/>
    <w:rsid w:val="00B20FC7"/>
    <w:rsid w:val="00B20FDD"/>
    <w:rsid w:val="00B21306"/>
    <w:rsid w:val="00B21397"/>
    <w:rsid w:val="00B2146D"/>
    <w:rsid w:val="00B2178A"/>
    <w:rsid w:val="00B217A3"/>
    <w:rsid w:val="00B21876"/>
    <w:rsid w:val="00B218FE"/>
    <w:rsid w:val="00B220D3"/>
    <w:rsid w:val="00B220E5"/>
    <w:rsid w:val="00B221C7"/>
    <w:rsid w:val="00B2220C"/>
    <w:rsid w:val="00B222D2"/>
    <w:rsid w:val="00B22303"/>
    <w:rsid w:val="00B22607"/>
    <w:rsid w:val="00B2264B"/>
    <w:rsid w:val="00B227F1"/>
    <w:rsid w:val="00B2286F"/>
    <w:rsid w:val="00B2299C"/>
    <w:rsid w:val="00B22B12"/>
    <w:rsid w:val="00B22CC2"/>
    <w:rsid w:val="00B22D05"/>
    <w:rsid w:val="00B22D7F"/>
    <w:rsid w:val="00B231EC"/>
    <w:rsid w:val="00B231F7"/>
    <w:rsid w:val="00B232B4"/>
    <w:rsid w:val="00B232D3"/>
    <w:rsid w:val="00B2336A"/>
    <w:rsid w:val="00B234B3"/>
    <w:rsid w:val="00B235A1"/>
    <w:rsid w:val="00B23638"/>
    <w:rsid w:val="00B239F2"/>
    <w:rsid w:val="00B23BBD"/>
    <w:rsid w:val="00B23E7D"/>
    <w:rsid w:val="00B23FF0"/>
    <w:rsid w:val="00B24382"/>
    <w:rsid w:val="00B24470"/>
    <w:rsid w:val="00B248FF"/>
    <w:rsid w:val="00B249BB"/>
    <w:rsid w:val="00B24A4E"/>
    <w:rsid w:val="00B24D96"/>
    <w:rsid w:val="00B24EDD"/>
    <w:rsid w:val="00B2500E"/>
    <w:rsid w:val="00B25402"/>
    <w:rsid w:val="00B25539"/>
    <w:rsid w:val="00B258DB"/>
    <w:rsid w:val="00B25987"/>
    <w:rsid w:val="00B25A56"/>
    <w:rsid w:val="00B25A59"/>
    <w:rsid w:val="00B25A99"/>
    <w:rsid w:val="00B25ACA"/>
    <w:rsid w:val="00B25C61"/>
    <w:rsid w:val="00B25C91"/>
    <w:rsid w:val="00B25DED"/>
    <w:rsid w:val="00B25E1F"/>
    <w:rsid w:val="00B25ED7"/>
    <w:rsid w:val="00B25EE3"/>
    <w:rsid w:val="00B25F1D"/>
    <w:rsid w:val="00B26144"/>
    <w:rsid w:val="00B2622E"/>
    <w:rsid w:val="00B26394"/>
    <w:rsid w:val="00B2650A"/>
    <w:rsid w:val="00B26955"/>
    <w:rsid w:val="00B269D4"/>
    <w:rsid w:val="00B269E1"/>
    <w:rsid w:val="00B26AB0"/>
    <w:rsid w:val="00B26D78"/>
    <w:rsid w:val="00B26F30"/>
    <w:rsid w:val="00B26FA4"/>
    <w:rsid w:val="00B270F9"/>
    <w:rsid w:val="00B271AA"/>
    <w:rsid w:val="00B272D8"/>
    <w:rsid w:val="00B27592"/>
    <w:rsid w:val="00B275B2"/>
    <w:rsid w:val="00B278E7"/>
    <w:rsid w:val="00B27A5D"/>
    <w:rsid w:val="00B27BA1"/>
    <w:rsid w:val="00B27DFA"/>
    <w:rsid w:val="00B30024"/>
    <w:rsid w:val="00B30422"/>
    <w:rsid w:val="00B304F4"/>
    <w:rsid w:val="00B305AC"/>
    <w:rsid w:val="00B305F4"/>
    <w:rsid w:val="00B30878"/>
    <w:rsid w:val="00B309BA"/>
    <w:rsid w:val="00B30A50"/>
    <w:rsid w:val="00B30A65"/>
    <w:rsid w:val="00B30A6C"/>
    <w:rsid w:val="00B30B36"/>
    <w:rsid w:val="00B30BB1"/>
    <w:rsid w:val="00B30BE7"/>
    <w:rsid w:val="00B30C60"/>
    <w:rsid w:val="00B30CC8"/>
    <w:rsid w:val="00B30D05"/>
    <w:rsid w:val="00B30D6B"/>
    <w:rsid w:val="00B30DD8"/>
    <w:rsid w:val="00B30DF2"/>
    <w:rsid w:val="00B30DFF"/>
    <w:rsid w:val="00B30F6F"/>
    <w:rsid w:val="00B312FF"/>
    <w:rsid w:val="00B317B3"/>
    <w:rsid w:val="00B31B80"/>
    <w:rsid w:val="00B31C17"/>
    <w:rsid w:val="00B31C1C"/>
    <w:rsid w:val="00B31D00"/>
    <w:rsid w:val="00B31D71"/>
    <w:rsid w:val="00B31DFB"/>
    <w:rsid w:val="00B31F92"/>
    <w:rsid w:val="00B31FEC"/>
    <w:rsid w:val="00B3200C"/>
    <w:rsid w:val="00B320F3"/>
    <w:rsid w:val="00B32167"/>
    <w:rsid w:val="00B322BC"/>
    <w:rsid w:val="00B3233B"/>
    <w:rsid w:val="00B32345"/>
    <w:rsid w:val="00B32378"/>
    <w:rsid w:val="00B32671"/>
    <w:rsid w:val="00B32731"/>
    <w:rsid w:val="00B327C0"/>
    <w:rsid w:val="00B32866"/>
    <w:rsid w:val="00B329DB"/>
    <w:rsid w:val="00B32ACC"/>
    <w:rsid w:val="00B32C16"/>
    <w:rsid w:val="00B32DFC"/>
    <w:rsid w:val="00B32E3D"/>
    <w:rsid w:val="00B32E72"/>
    <w:rsid w:val="00B330A4"/>
    <w:rsid w:val="00B331B1"/>
    <w:rsid w:val="00B33236"/>
    <w:rsid w:val="00B3335B"/>
    <w:rsid w:val="00B33531"/>
    <w:rsid w:val="00B33561"/>
    <w:rsid w:val="00B3357C"/>
    <w:rsid w:val="00B336BF"/>
    <w:rsid w:val="00B336CB"/>
    <w:rsid w:val="00B33769"/>
    <w:rsid w:val="00B33884"/>
    <w:rsid w:val="00B3394A"/>
    <w:rsid w:val="00B339D5"/>
    <w:rsid w:val="00B33B67"/>
    <w:rsid w:val="00B33E8B"/>
    <w:rsid w:val="00B33F65"/>
    <w:rsid w:val="00B343D8"/>
    <w:rsid w:val="00B34480"/>
    <w:rsid w:val="00B34582"/>
    <w:rsid w:val="00B345F7"/>
    <w:rsid w:val="00B3479E"/>
    <w:rsid w:val="00B3494E"/>
    <w:rsid w:val="00B34EC3"/>
    <w:rsid w:val="00B34EE7"/>
    <w:rsid w:val="00B3505E"/>
    <w:rsid w:val="00B350AD"/>
    <w:rsid w:val="00B350E8"/>
    <w:rsid w:val="00B352C9"/>
    <w:rsid w:val="00B353F5"/>
    <w:rsid w:val="00B354CA"/>
    <w:rsid w:val="00B355C5"/>
    <w:rsid w:val="00B355EE"/>
    <w:rsid w:val="00B35945"/>
    <w:rsid w:val="00B359F0"/>
    <w:rsid w:val="00B35ABA"/>
    <w:rsid w:val="00B35BDD"/>
    <w:rsid w:val="00B35CF6"/>
    <w:rsid w:val="00B35D2E"/>
    <w:rsid w:val="00B35DE6"/>
    <w:rsid w:val="00B35DE9"/>
    <w:rsid w:val="00B35E76"/>
    <w:rsid w:val="00B3607F"/>
    <w:rsid w:val="00B36112"/>
    <w:rsid w:val="00B36131"/>
    <w:rsid w:val="00B3645A"/>
    <w:rsid w:val="00B36613"/>
    <w:rsid w:val="00B36683"/>
    <w:rsid w:val="00B3668C"/>
    <w:rsid w:val="00B366FE"/>
    <w:rsid w:val="00B368D8"/>
    <w:rsid w:val="00B36945"/>
    <w:rsid w:val="00B36998"/>
    <w:rsid w:val="00B36D5E"/>
    <w:rsid w:val="00B36F1E"/>
    <w:rsid w:val="00B3720E"/>
    <w:rsid w:val="00B37287"/>
    <w:rsid w:val="00B37334"/>
    <w:rsid w:val="00B3758C"/>
    <w:rsid w:val="00B3772F"/>
    <w:rsid w:val="00B37739"/>
    <w:rsid w:val="00B3778A"/>
    <w:rsid w:val="00B378CB"/>
    <w:rsid w:val="00B37BAE"/>
    <w:rsid w:val="00B37CAF"/>
    <w:rsid w:val="00B37E1A"/>
    <w:rsid w:val="00B400F2"/>
    <w:rsid w:val="00B40322"/>
    <w:rsid w:val="00B40484"/>
    <w:rsid w:val="00B404C2"/>
    <w:rsid w:val="00B40664"/>
    <w:rsid w:val="00B4084C"/>
    <w:rsid w:val="00B40957"/>
    <w:rsid w:val="00B409EA"/>
    <w:rsid w:val="00B40A21"/>
    <w:rsid w:val="00B40AD9"/>
    <w:rsid w:val="00B40C01"/>
    <w:rsid w:val="00B411A7"/>
    <w:rsid w:val="00B4131E"/>
    <w:rsid w:val="00B41399"/>
    <w:rsid w:val="00B4143C"/>
    <w:rsid w:val="00B4156F"/>
    <w:rsid w:val="00B415A3"/>
    <w:rsid w:val="00B416DF"/>
    <w:rsid w:val="00B417FB"/>
    <w:rsid w:val="00B4192A"/>
    <w:rsid w:val="00B4195D"/>
    <w:rsid w:val="00B419A5"/>
    <w:rsid w:val="00B41BFD"/>
    <w:rsid w:val="00B41D12"/>
    <w:rsid w:val="00B41DB4"/>
    <w:rsid w:val="00B41FD0"/>
    <w:rsid w:val="00B4207C"/>
    <w:rsid w:val="00B423C9"/>
    <w:rsid w:val="00B42404"/>
    <w:rsid w:val="00B42469"/>
    <w:rsid w:val="00B42675"/>
    <w:rsid w:val="00B4291A"/>
    <w:rsid w:val="00B42B88"/>
    <w:rsid w:val="00B42BEC"/>
    <w:rsid w:val="00B42D16"/>
    <w:rsid w:val="00B42E34"/>
    <w:rsid w:val="00B42EC6"/>
    <w:rsid w:val="00B42F98"/>
    <w:rsid w:val="00B42FC5"/>
    <w:rsid w:val="00B42FD5"/>
    <w:rsid w:val="00B4321F"/>
    <w:rsid w:val="00B432FB"/>
    <w:rsid w:val="00B43308"/>
    <w:rsid w:val="00B434EA"/>
    <w:rsid w:val="00B436B4"/>
    <w:rsid w:val="00B437EF"/>
    <w:rsid w:val="00B43986"/>
    <w:rsid w:val="00B439F9"/>
    <w:rsid w:val="00B43DA9"/>
    <w:rsid w:val="00B43E86"/>
    <w:rsid w:val="00B44384"/>
    <w:rsid w:val="00B445B0"/>
    <w:rsid w:val="00B4484F"/>
    <w:rsid w:val="00B4494F"/>
    <w:rsid w:val="00B44D12"/>
    <w:rsid w:val="00B44DFF"/>
    <w:rsid w:val="00B44F81"/>
    <w:rsid w:val="00B45055"/>
    <w:rsid w:val="00B45095"/>
    <w:rsid w:val="00B450E3"/>
    <w:rsid w:val="00B45146"/>
    <w:rsid w:val="00B451DC"/>
    <w:rsid w:val="00B4544B"/>
    <w:rsid w:val="00B45485"/>
    <w:rsid w:val="00B455B9"/>
    <w:rsid w:val="00B455D1"/>
    <w:rsid w:val="00B45678"/>
    <w:rsid w:val="00B45808"/>
    <w:rsid w:val="00B4580B"/>
    <w:rsid w:val="00B45907"/>
    <w:rsid w:val="00B45A79"/>
    <w:rsid w:val="00B45AAF"/>
    <w:rsid w:val="00B45B9F"/>
    <w:rsid w:val="00B45DA3"/>
    <w:rsid w:val="00B45F63"/>
    <w:rsid w:val="00B46077"/>
    <w:rsid w:val="00B4619B"/>
    <w:rsid w:val="00B46334"/>
    <w:rsid w:val="00B463EB"/>
    <w:rsid w:val="00B4642B"/>
    <w:rsid w:val="00B464B2"/>
    <w:rsid w:val="00B466A7"/>
    <w:rsid w:val="00B466EE"/>
    <w:rsid w:val="00B4670C"/>
    <w:rsid w:val="00B46739"/>
    <w:rsid w:val="00B468AE"/>
    <w:rsid w:val="00B46A7C"/>
    <w:rsid w:val="00B46BE7"/>
    <w:rsid w:val="00B46F2B"/>
    <w:rsid w:val="00B46F88"/>
    <w:rsid w:val="00B47431"/>
    <w:rsid w:val="00B474A5"/>
    <w:rsid w:val="00B476E6"/>
    <w:rsid w:val="00B477F5"/>
    <w:rsid w:val="00B47938"/>
    <w:rsid w:val="00B47A84"/>
    <w:rsid w:val="00B47CF9"/>
    <w:rsid w:val="00B50030"/>
    <w:rsid w:val="00B501FB"/>
    <w:rsid w:val="00B50234"/>
    <w:rsid w:val="00B50244"/>
    <w:rsid w:val="00B50274"/>
    <w:rsid w:val="00B5039C"/>
    <w:rsid w:val="00B503BB"/>
    <w:rsid w:val="00B50410"/>
    <w:rsid w:val="00B50614"/>
    <w:rsid w:val="00B5065D"/>
    <w:rsid w:val="00B5094D"/>
    <w:rsid w:val="00B50B77"/>
    <w:rsid w:val="00B50CE6"/>
    <w:rsid w:val="00B50D39"/>
    <w:rsid w:val="00B50EA2"/>
    <w:rsid w:val="00B51071"/>
    <w:rsid w:val="00B510A6"/>
    <w:rsid w:val="00B510EE"/>
    <w:rsid w:val="00B5145E"/>
    <w:rsid w:val="00B514CE"/>
    <w:rsid w:val="00B516FC"/>
    <w:rsid w:val="00B5175F"/>
    <w:rsid w:val="00B51765"/>
    <w:rsid w:val="00B51767"/>
    <w:rsid w:val="00B51974"/>
    <w:rsid w:val="00B519BA"/>
    <w:rsid w:val="00B51B7C"/>
    <w:rsid w:val="00B51CFE"/>
    <w:rsid w:val="00B51DE9"/>
    <w:rsid w:val="00B51E26"/>
    <w:rsid w:val="00B51E29"/>
    <w:rsid w:val="00B5246C"/>
    <w:rsid w:val="00B5249A"/>
    <w:rsid w:val="00B527C0"/>
    <w:rsid w:val="00B52902"/>
    <w:rsid w:val="00B52A53"/>
    <w:rsid w:val="00B52ADB"/>
    <w:rsid w:val="00B52BE7"/>
    <w:rsid w:val="00B52D8F"/>
    <w:rsid w:val="00B52E53"/>
    <w:rsid w:val="00B53074"/>
    <w:rsid w:val="00B532B6"/>
    <w:rsid w:val="00B534F3"/>
    <w:rsid w:val="00B535D8"/>
    <w:rsid w:val="00B53697"/>
    <w:rsid w:val="00B53766"/>
    <w:rsid w:val="00B537C4"/>
    <w:rsid w:val="00B538E5"/>
    <w:rsid w:val="00B53974"/>
    <w:rsid w:val="00B53997"/>
    <w:rsid w:val="00B53A5D"/>
    <w:rsid w:val="00B53CAC"/>
    <w:rsid w:val="00B53E06"/>
    <w:rsid w:val="00B53E1C"/>
    <w:rsid w:val="00B53E78"/>
    <w:rsid w:val="00B53E85"/>
    <w:rsid w:val="00B53E96"/>
    <w:rsid w:val="00B540F5"/>
    <w:rsid w:val="00B5441C"/>
    <w:rsid w:val="00B54460"/>
    <w:rsid w:val="00B54577"/>
    <w:rsid w:val="00B54643"/>
    <w:rsid w:val="00B546F2"/>
    <w:rsid w:val="00B54746"/>
    <w:rsid w:val="00B54A15"/>
    <w:rsid w:val="00B54ADA"/>
    <w:rsid w:val="00B54D51"/>
    <w:rsid w:val="00B54D64"/>
    <w:rsid w:val="00B55011"/>
    <w:rsid w:val="00B5520D"/>
    <w:rsid w:val="00B55306"/>
    <w:rsid w:val="00B55531"/>
    <w:rsid w:val="00B5563F"/>
    <w:rsid w:val="00B55693"/>
    <w:rsid w:val="00B556D7"/>
    <w:rsid w:val="00B5597D"/>
    <w:rsid w:val="00B55B6E"/>
    <w:rsid w:val="00B55BCC"/>
    <w:rsid w:val="00B55CB9"/>
    <w:rsid w:val="00B55CE1"/>
    <w:rsid w:val="00B55D91"/>
    <w:rsid w:val="00B55E94"/>
    <w:rsid w:val="00B55FB1"/>
    <w:rsid w:val="00B560BE"/>
    <w:rsid w:val="00B56313"/>
    <w:rsid w:val="00B56406"/>
    <w:rsid w:val="00B56426"/>
    <w:rsid w:val="00B56436"/>
    <w:rsid w:val="00B565CD"/>
    <w:rsid w:val="00B56610"/>
    <w:rsid w:val="00B5663E"/>
    <w:rsid w:val="00B569E7"/>
    <w:rsid w:val="00B56EB7"/>
    <w:rsid w:val="00B572F9"/>
    <w:rsid w:val="00B57442"/>
    <w:rsid w:val="00B575A7"/>
    <w:rsid w:val="00B5787F"/>
    <w:rsid w:val="00B57967"/>
    <w:rsid w:val="00B57A20"/>
    <w:rsid w:val="00B57AAE"/>
    <w:rsid w:val="00B57B1E"/>
    <w:rsid w:val="00B57D5A"/>
    <w:rsid w:val="00B57F38"/>
    <w:rsid w:val="00B57F59"/>
    <w:rsid w:val="00B6001C"/>
    <w:rsid w:val="00B60193"/>
    <w:rsid w:val="00B605CC"/>
    <w:rsid w:val="00B60769"/>
    <w:rsid w:val="00B60BFF"/>
    <w:rsid w:val="00B60E3D"/>
    <w:rsid w:val="00B60F15"/>
    <w:rsid w:val="00B60F55"/>
    <w:rsid w:val="00B610E7"/>
    <w:rsid w:val="00B61567"/>
    <w:rsid w:val="00B6178F"/>
    <w:rsid w:val="00B61932"/>
    <w:rsid w:val="00B619B2"/>
    <w:rsid w:val="00B619DA"/>
    <w:rsid w:val="00B61A3A"/>
    <w:rsid w:val="00B61B28"/>
    <w:rsid w:val="00B61B35"/>
    <w:rsid w:val="00B61B7B"/>
    <w:rsid w:val="00B61BCB"/>
    <w:rsid w:val="00B61C4A"/>
    <w:rsid w:val="00B61EC9"/>
    <w:rsid w:val="00B61F46"/>
    <w:rsid w:val="00B620D5"/>
    <w:rsid w:val="00B6210F"/>
    <w:rsid w:val="00B6240A"/>
    <w:rsid w:val="00B624F5"/>
    <w:rsid w:val="00B62547"/>
    <w:rsid w:val="00B62603"/>
    <w:rsid w:val="00B62789"/>
    <w:rsid w:val="00B62AE0"/>
    <w:rsid w:val="00B62DB4"/>
    <w:rsid w:val="00B62E36"/>
    <w:rsid w:val="00B62EDF"/>
    <w:rsid w:val="00B62FEB"/>
    <w:rsid w:val="00B6349D"/>
    <w:rsid w:val="00B6383D"/>
    <w:rsid w:val="00B638E9"/>
    <w:rsid w:val="00B63C39"/>
    <w:rsid w:val="00B63F18"/>
    <w:rsid w:val="00B63FEB"/>
    <w:rsid w:val="00B63FFC"/>
    <w:rsid w:val="00B64090"/>
    <w:rsid w:val="00B640F7"/>
    <w:rsid w:val="00B6455A"/>
    <w:rsid w:val="00B647BB"/>
    <w:rsid w:val="00B64822"/>
    <w:rsid w:val="00B64A38"/>
    <w:rsid w:val="00B64B39"/>
    <w:rsid w:val="00B64CF3"/>
    <w:rsid w:val="00B65460"/>
    <w:rsid w:val="00B657C6"/>
    <w:rsid w:val="00B658D9"/>
    <w:rsid w:val="00B659A9"/>
    <w:rsid w:val="00B65A26"/>
    <w:rsid w:val="00B65A2C"/>
    <w:rsid w:val="00B65A8D"/>
    <w:rsid w:val="00B65EAE"/>
    <w:rsid w:val="00B662A4"/>
    <w:rsid w:val="00B664C1"/>
    <w:rsid w:val="00B665A6"/>
    <w:rsid w:val="00B66783"/>
    <w:rsid w:val="00B66827"/>
    <w:rsid w:val="00B67185"/>
    <w:rsid w:val="00B6728D"/>
    <w:rsid w:val="00B672CF"/>
    <w:rsid w:val="00B6731F"/>
    <w:rsid w:val="00B6745F"/>
    <w:rsid w:val="00B67641"/>
    <w:rsid w:val="00B676B6"/>
    <w:rsid w:val="00B676CF"/>
    <w:rsid w:val="00B677D7"/>
    <w:rsid w:val="00B67927"/>
    <w:rsid w:val="00B679AD"/>
    <w:rsid w:val="00B67B35"/>
    <w:rsid w:val="00B67BBF"/>
    <w:rsid w:val="00B67BF3"/>
    <w:rsid w:val="00B67D61"/>
    <w:rsid w:val="00B67D73"/>
    <w:rsid w:val="00B67DFA"/>
    <w:rsid w:val="00B704B1"/>
    <w:rsid w:val="00B704F6"/>
    <w:rsid w:val="00B707F0"/>
    <w:rsid w:val="00B70841"/>
    <w:rsid w:val="00B70ACC"/>
    <w:rsid w:val="00B70B8E"/>
    <w:rsid w:val="00B70E28"/>
    <w:rsid w:val="00B70FBE"/>
    <w:rsid w:val="00B711C0"/>
    <w:rsid w:val="00B71293"/>
    <w:rsid w:val="00B71578"/>
    <w:rsid w:val="00B71832"/>
    <w:rsid w:val="00B7187A"/>
    <w:rsid w:val="00B7190B"/>
    <w:rsid w:val="00B71AED"/>
    <w:rsid w:val="00B71BA7"/>
    <w:rsid w:val="00B71C0B"/>
    <w:rsid w:val="00B71D53"/>
    <w:rsid w:val="00B71E85"/>
    <w:rsid w:val="00B71EF1"/>
    <w:rsid w:val="00B71F3B"/>
    <w:rsid w:val="00B72152"/>
    <w:rsid w:val="00B721F3"/>
    <w:rsid w:val="00B722F6"/>
    <w:rsid w:val="00B7245F"/>
    <w:rsid w:val="00B72534"/>
    <w:rsid w:val="00B72B7B"/>
    <w:rsid w:val="00B72BA0"/>
    <w:rsid w:val="00B72E59"/>
    <w:rsid w:val="00B72FC4"/>
    <w:rsid w:val="00B72FE0"/>
    <w:rsid w:val="00B72FF1"/>
    <w:rsid w:val="00B73133"/>
    <w:rsid w:val="00B731E7"/>
    <w:rsid w:val="00B731F1"/>
    <w:rsid w:val="00B731F7"/>
    <w:rsid w:val="00B73311"/>
    <w:rsid w:val="00B73392"/>
    <w:rsid w:val="00B735DB"/>
    <w:rsid w:val="00B73688"/>
    <w:rsid w:val="00B73738"/>
    <w:rsid w:val="00B7384D"/>
    <w:rsid w:val="00B73AF5"/>
    <w:rsid w:val="00B73C8A"/>
    <w:rsid w:val="00B73CC1"/>
    <w:rsid w:val="00B73D27"/>
    <w:rsid w:val="00B73F1A"/>
    <w:rsid w:val="00B743CC"/>
    <w:rsid w:val="00B743F5"/>
    <w:rsid w:val="00B74406"/>
    <w:rsid w:val="00B74700"/>
    <w:rsid w:val="00B74772"/>
    <w:rsid w:val="00B747E8"/>
    <w:rsid w:val="00B747F4"/>
    <w:rsid w:val="00B74880"/>
    <w:rsid w:val="00B749BF"/>
    <w:rsid w:val="00B749CD"/>
    <w:rsid w:val="00B74AFD"/>
    <w:rsid w:val="00B74B6D"/>
    <w:rsid w:val="00B74B7E"/>
    <w:rsid w:val="00B74BDB"/>
    <w:rsid w:val="00B74C9F"/>
    <w:rsid w:val="00B74CC0"/>
    <w:rsid w:val="00B74DF5"/>
    <w:rsid w:val="00B74E2D"/>
    <w:rsid w:val="00B75245"/>
    <w:rsid w:val="00B75435"/>
    <w:rsid w:val="00B75458"/>
    <w:rsid w:val="00B75868"/>
    <w:rsid w:val="00B75908"/>
    <w:rsid w:val="00B75990"/>
    <w:rsid w:val="00B75A7E"/>
    <w:rsid w:val="00B75B11"/>
    <w:rsid w:val="00B75B57"/>
    <w:rsid w:val="00B75B69"/>
    <w:rsid w:val="00B75C89"/>
    <w:rsid w:val="00B75EB3"/>
    <w:rsid w:val="00B7621F"/>
    <w:rsid w:val="00B76298"/>
    <w:rsid w:val="00B76385"/>
    <w:rsid w:val="00B763F2"/>
    <w:rsid w:val="00B76453"/>
    <w:rsid w:val="00B765A2"/>
    <w:rsid w:val="00B765C1"/>
    <w:rsid w:val="00B769E0"/>
    <w:rsid w:val="00B76A7D"/>
    <w:rsid w:val="00B76B7C"/>
    <w:rsid w:val="00B76BEA"/>
    <w:rsid w:val="00B76D5D"/>
    <w:rsid w:val="00B76DE8"/>
    <w:rsid w:val="00B76E4C"/>
    <w:rsid w:val="00B76E58"/>
    <w:rsid w:val="00B76E98"/>
    <w:rsid w:val="00B77010"/>
    <w:rsid w:val="00B77081"/>
    <w:rsid w:val="00B7712A"/>
    <w:rsid w:val="00B7716A"/>
    <w:rsid w:val="00B772E6"/>
    <w:rsid w:val="00B7744A"/>
    <w:rsid w:val="00B7759E"/>
    <w:rsid w:val="00B77706"/>
    <w:rsid w:val="00B777DD"/>
    <w:rsid w:val="00B778F1"/>
    <w:rsid w:val="00B7792A"/>
    <w:rsid w:val="00B77A43"/>
    <w:rsid w:val="00B77DB7"/>
    <w:rsid w:val="00B77FE1"/>
    <w:rsid w:val="00B800F9"/>
    <w:rsid w:val="00B8025F"/>
    <w:rsid w:val="00B80408"/>
    <w:rsid w:val="00B80517"/>
    <w:rsid w:val="00B80625"/>
    <w:rsid w:val="00B80751"/>
    <w:rsid w:val="00B807CF"/>
    <w:rsid w:val="00B80B31"/>
    <w:rsid w:val="00B80B59"/>
    <w:rsid w:val="00B80C81"/>
    <w:rsid w:val="00B80D78"/>
    <w:rsid w:val="00B80E12"/>
    <w:rsid w:val="00B812CD"/>
    <w:rsid w:val="00B81442"/>
    <w:rsid w:val="00B8154B"/>
    <w:rsid w:val="00B81571"/>
    <w:rsid w:val="00B816F8"/>
    <w:rsid w:val="00B81765"/>
    <w:rsid w:val="00B81831"/>
    <w:rsid w:val="00B818A0"/>
    <w:rsid w:val="00B818BB"/>
    <w:rsid w:val="00B81ABA"/>
    <w:rsid w:val="00B81B64"/>
    <w:rsid w:val="00B81BC7"/>
    <w:rsid w:val="00B81C86"/>
    <w:rsid w:val="00B81D3B"/>
    <w:rsid w:val="00B81F14"/>
    <w:rsid w:val="00B81F78"/>
    <w:rsid w:val="00B820BB"/>
    <w:rsid w:val="00B820CA"/>
    <w:rsid w:val="00B82235"/>
    <w:rsid w:val="00B8243B"/>
    <w:rsid w:val="00B8277E"/>
    <w:rsid w:val="00B828FB"/>
    <w:rsid w:val="00B82A6C"/>
    <w:rsid w:val="00B82B6F"/>
    <w:rsid w:val="00B82D05"/>
    <w:rsid w:val="00B82D4D"/>
    <w:rsid w:val="00B82DA0"/>
    <w:rsid w:val="00B82F68"/>
    <w:rsid w:val="00B83125"/>
    <w:rsid w:val="00B83183"/>
    <w:rsid w:val="00B83241"/>
    <w:rsid w:val="00B83499"/>
    <w:rsid w:val="00B834D6"/>
    <w:rsid w:val="00B83566"/>
    <w:rsid w:val="00B83613"/>
    <w:rsid w:val="00B836BE"/>
    <w:rsid w:val="00B83941"/>
    <w:rsid w:val="00B83A50"/>
    <w:rsid w:val="00B83C62"/>
    <w:rsid w:val="00B83CA5"/>
    <w:rsid w:val="00B83D9E"/>
    <w:rsid w:val="00B83E6E"/>
    <w:rsid w:val="00B83F48"/>
    <w:rsid w:val="00B84008"/>
    <w:rsid w:val="00B840DA"/>
    <w:rsid w:val="00B84108"/>
    <w:rsid w:val="00B84247"/>
    <w:rsid w:val="00B842A8"/>
    <w:rsid w:val="00B84370"/>
    <w:rsid w:val="00B84399"/>
    <w:rsid w:val="00B843DD"/>
    <w:rsid w:val="00B84446"/>
    <w:rsid w:val="00B84573"/>
    <w:rsid w:val="00B845BB"/>
    <w:rsid w:val="00B84664"/>
    <w:rsid w:val="00B84A8D"/>
    <w:rsid w:val="00B84B3E"/>
    <w:rsid w:val="00B84C18"/>
    <w:rsid w:val="00B84D89"/>
    <w:rsid w:val="00B84E1F"/>
    <w:rsid w:val="00B84EC4"/>
    <w:rsid w:val="00B8515B"/>
    <w:rsid w:val="00B85322"/>
    <w:rsid w:val="00B85760"/>
    <w:rsid w:val="00B857EB"/>
    <w:rsid w:val="00B85843"/>
    <w:rsid w:val="00B859FC"/>
    <w:rsid w:val="00B85D92"/>
    <w:rsid w:val="00B85DA4"/>
    <w:rsid w:val="00B85E10"/>
    <w:rsid w:val="00B85E8E"/>
    <w:rsid w:val="00B86266"/>
    <w:rsid w:val="00B862F7"/>
    <w:rsid w:val="00B86599"/>
    <w:rsid w:val="00B867E1"/>
    <w:rsid w:val="00B86931"/>
    <w:rsid w:val="00B86BC5"/>
    <w:rsid w:val="00B86C06"/>
    <w:rsid w:val="00B86D87"/>
    <w:rsid w:val="00B86F13"/>
    <w:rsid w:val="00B870DC"/>
    <w:rsid w:val="00B87123"/>
    <w:rsid w:val="00B874C4"/>
    <w:rsid w:val="00B877D5"/>
    <w:rsid w:val="00B8787F"/>
    <w:rsid w:val="00B878A8"/>
    <w:rsid w:val="00B87CE5"/>
    <w:rsid w:val="00B87E36"/>
    <w:rsid w:val="00B87E80"/>
    <w:rsid w:val="00B87E9F"/>
    <w:rsid w:val="00B87EE6"/>
    <w:rsid w:val="00B900EE"/>
    <w:rsid w:val="00B904EE"/>
    <w:rsid w:val="00B906F4"/>
    <w:rsid w:val="00B90A8F"/>
    <w:rsid w:val="00B90B3D"/>
    <w:rsid w:val="00B90B3F"/>
    <w:rsid w:val="00B90C18"/>
    <w:rsid w:val="00B90D4D"/>
    <w:rsid w:val="00B90DE8"/>
    <w:rsid w:val="00B90DEE"/>
    <w:rsid w:val="00B91038"/>
    <w:rsid w:val="00B91172"/>
    <w:rsid w:val="00B9123F"/>
    <w:rsid w:val="00B912AA"/>
    <w:rsid w:val="00B91332"/>
    <w:rsid w:val="00B9148E"/>
    <w:rsid w:val="00B9154E"/>
    <w:rsid w:val="00B915A9"/>
    <w:rsid w:val="00B91656"/>
    <w:rsid w:val="00B91836"/>
    <w:rsid w:val="00B91846"/>
    <w:rsid w:val="00B91C5B"/>
    <w:rsid w:val="00B91CD7"/>
    <w:rsid w:val="00B91F26"/>
    <w:rsid w:val="00B91FB2"/>
    <w:rsid w:val="00B92016"/>
    <w:rsid w:val="00B92091"/>
    <w:rsid w:val="00B92165"/>
    <w:rsid w:val="00B922A6"/>
    <w:rsid w:val="00B92356"/>
    <w:rsid w:val="00B923B6"/>
    <w:rsid w:val="00B924A5"/>
    <w:rsid w:val="00B9260A"/>
    <w:rsid w:val="00B9268E"/>
    <w:rsid w:val="00B926C0"/>
    <w:rsid w:val="00B928BE"/>
    <w:rsid w:val="00B92966"/>
    <w:rsid w:val="00B92CE6"/>
    <w:rsid w:val="00B92D54"/>
    <w:rsid w:val="00B92DDE"/>
    <w:rsid w:val="00B93008"/>
    <w:rsid w:val="00B93011"/>
    <w:rsid w:val="00B930AD"/>
    <w:rsid w:val="00B93180"/>
    <w:rsid w:val="00B931CD"/>
    <w:rsid w:val="00B93358"/>
    <w:rsid w:val="00B933E3"/>
    <w:rsid w:val="00B9345C"/>
    <w:rsid w:val="00B937C9"/>
    <w:rsid w:val="00B9388B"/>
    <w:rsid w:val="00B93A6B"/>
    <w:rsid w:val="00B93AD2"/>
    <w:rsid w:val="00B93ADF"/>
    <w:rsid w:val="00B93CEA"/>
    <w:rsid w:val="00B93EA4"/>
    <w:rsid w:val="00B93FC5"/>
    <w:rsid w:val="00B944B8"/>
    <w:rsid w:val="00B94797"/>
    <w:rsid w:val="00B94A22"/>
    <w:rsid w:val="00B94A24"/>
    <w:rsid w:val="00B94AB7"/>
    <w:rsid w:val="00B94CB1"/>
    <w:rsid w:val="00B94E48"/>
    <w:rsid w:val="00B94ED8"/>
    <w:rsid w:val="00B950BC"/>
    <w:rsid w:val="00B951C1"/>
    <w:rsid w:val="00B95261"/>
    <w:rsid w:val="00B95374"/>
    <w:rsid w:val="00B954F7"/>
    <w:rsid w:val="00B95523"/>
    <w:rsid w:val="00B9554E"/>
    <w:rsid w:val="00B955AA"/>
    <w:rsid w:val="00B95690"/>
    <w:rsid w:val="00B958E9"/>
    <w:rsid w:val="00B95989"/>
    <w:rsid w:val="00B95F6E"/>
    <w:rsid w:val="00B96270"/>
    <w:rsid w:val="00B963C4"/>
    <w:rsid w:val="00B96436"/>
    <w:rsid w:val="00B9664E"/>
    <w:rsid w:val="00B9668D"/>
    <w:rsid w:val="00B96ABD"/>
    <w:rsid w:val="00B96B56"/>
    <w:rsid w:val="00B96E15"/>
    <w:rsid w:val="00B96EE5"/>
    <w:rsid w:val="00B9704A"/>
    <w:rsid w:val="00B97158"/>
    <w:rsid w:val="00B972E0"/>
    <w:rsid w:val="00B973D3"/>
    <w:rsid w:val="00B974A9"/>
    <w:rsid w:val="00B97551"/>
    <w:rsid w:val="00B975E4"/>
    <w:rsid w:val="00B976B6"/>
    <w:rsid w:val="00B97A98"/>
    <w:rsid w:val="00B97A9C"/>
    <w:rsid w:val="00B97E74"/>
    <w:rsid w:val="00BA0016"/>
    <w:rsid w:val="00BA0151"/>
    <w:rsid w:val="00BA01B9"/>
    <w:rsid w:val="00BA0437"/>
    <w:rsid w:val="00BA0595"/>
    <w:rsid w:val="00BA05B8"/>
    <w:rsid w:val="00BA0740"/>
    <w:rsid w:val="00BA094B"/>
    <w:rsid w:val="00BA0957"/>
    <w:rsid w:val="00BA098D"/>
    <w:rsid w:val="00BA0D39"/>
    <w:rsid w:val="00BA0F23"/>
    <w:rsid w:val="00BA13F6"/>
    <w:rsid w:val="00BA140D"/>
    <w:rsid w:val="00BA1418"/>
    <w:rsid w:val="00BA1699"/>
    <w:rsid w:val="00BA1724"/>
    <w:rsid w:val="00BA1A50"/>
    <w:rsid w:val="00BA1D8F"/>
    <w:rsid w:val="00BA1EA9"/>
    <w:rsid w:val="00BA1F5E"/>
    <w:rsid w:val="00BA2064"/>
    <w:rsid w:val="00BA207C"/>
    <w:rsid w:val="00BA23E9"/>
    <w:rsid w:val="00BA2540"/>
    <w:rsid w:val="00BA25E8"/>
    <w:rsid w:val="00BA2626"/>
    <w:rsid w:val="00BA283C"/>
    <w:rsid w:val="00BA2A3E"/>
    <w:rsid w:val="00BA2E67"/>
    <w:rsid w:val="00BA2F5D"/>
    <w:rsid w:val="00BA2F7A"/>
    <w:rsid w:val="00BA2F97"/>
    <w:rsid w:val="00BA33AB"/>
    <w:rsid w:val="00BA340E"/>
    <w:rsid w:val="00BA36EB"/>
    <w:rsid w:val="00BA3935"/>
    <w:rsid w:val="00BA3BF0"/>
    <w:rsid w:val="00BA3D77"/>
    <w:rsid w:val="00BA3DA6"/>
    <w:rsid w:val="00BA3DFE"/>
    <w:rsid w:val="00BA4019"/>
    <w:rsid w:val="00BA417D"/>
    <w:rsid w:val="00BA427E"/>
    <w:rsid w:val="00BA443F"/>
    <w:rsid w:val="00BA4457"/>
    <w:rsid w:val="00BA4516"/>
    <w:rsid w:val="00BA46EE"/>
    <w:rsid w:val="00BA474A"/>
    <w:rsid w:val="00BA492B"/>
    <w:rsid w:val="00BA4A72"/>
    <w:rsid w:val="00BA4A7B"/>
    <w:rsid w:val="00BA4BB8"/>
    <w:rsid w:val="00BA4D89"/>
    <w:rsid w:val="00BA4DB1"/>
    <w:rsid w:val="00BA4DB8"/>
    <w:rsid w:val="00BA4E28"/>
    <w:rsid w:val="00BA4F36"/>
    <w:rsid w:val="00BA4FDC"/>
    <w:rsid w:val="00BA4FFB"/>
    <w:rsid w:val="00BA528B"/>
    <w:rsid w:val="00BA53B5"/>
    <w:rsid w:val="00BA56DB"/>
    <w:rsid w:val="00BA572B"/>
    <w:rsid w:val="00BA59BC"/>
    <w:rsid w:val="00BA5A4A"/>
    <w:rsid w:val="00BA5DAC"/>
    <w:rsid w:val="00BA5EA9"/>
    <w:rsid w:val="00BA5ECD"/>
    <w:rsid w:val="00BA601B"/>
    <w:rsid w:val="00BA6061"/>
    <w:rsid w:val="00BA6095"/>
    <w:rsid w:val="00BA6117"/>
    <w:rsid w:val="00BA6227"/>
    <w:rsid w:val="00BA626E"/>
    <w:rsid w:val="00BA6270"/>
    <w:rsid w:val="00BA62AC"/>
    <w:rsid w:val="00BA62E9"/>
    <w:rsid w:val="00BA64EC"/>
    <w:rsid w:val="00BA6663"/>
    <w:rsid w:val="00BA6795"/>
    <w:rsid w:val="00BA6F17"/>
    <w:rsid w:val="00BA706B"/>
    <w:rsid w:val="00BA7092"/>
    <w:rsid w:val="00BA7203"/>
    <w:rsid w:val="00BA7258"/>
    <w:rsid w:val="00BA7360"/>
    <w:rsid w:val="00BA74DA"/>
    <w:rsid w:val="00BA75E6"/>
    <w:rsid w:val="00BA7613"/>
    <w:rsid w:val="00BA7677"/>
    <w:rsid w:val="00BA768E"/>
    <w:rsid w:val="00BA786E"/>
    <w:rsid w:val="00BA78B3"/>
    <w:rsid w:val="00BA78CE"/>
    <w:rsid w:val="00BA797A"/>
    <w:rsid w:val="00BA7A07"/>
    <w:rsid w:val="00BA7B29"/>
    <w:rsid w:val="00BA7BC3"/>
    <w:rsid w:val="00BA7C1C"/>
    <w:rsid w:val="00BA7D95"/>
    <w:rsid w:val="00BA7DA7"/>
    <w:rsid w:val="00BA7FE5"/>
    <w:rsid w:val="00BB0378"/>
    <w:rsid w:val="00BB0391"/>
    <w:rsid w:val="00BB04D7"/>
    <w:rsid w:val="00BB06E1"/>
    <w:rsid w:val="00BB0B3B"/>
    <w:rsid w:val="00BB0B70"/>
    <w:rsid w:val="00BB0BE9"/>
    <w:rsid w:val="00BB0EE3"/>
    <w:rsid w:val="00BB0F39"/>
    <w:rsid w:val="00BB1004"/>
    <w:rsid w:val="00BB124B"/>
    <w:rsid w:val="00BB1379"/>
    <w:rsid w:val="00BB14F1"/>
    <w:rsid w:val="00BB1567"/>
    <w:rsid w:val="00BB15DC"/>
    <w:rsid w:val="00BB1702"/>
    <w:rsid w:val="00BB17D0"/>
    <w:rsid w:val="00BB187A"/>
    <w:rsid w:val="00BB18B6"/>
    <w:rsid w:val="00BB1A9F"/>
    <w:rsid w:val="00BB1BA5"/>
    <w:rsid w:val="00BB1E8D"/>
    <w:rsid w:val="00BB1EDD"/>
    <w:rsid w:val="00BB1F5A"/>
    <w:rsid w:val="00BB214E"/>
    <w:rsid w:val="00BB227A"/>
    <w:rsid w:val="00BB2650"/>
    <w:rsid w:val="00BB28E9"/>
    <w:rsid w:val="00BB2A82"/>
    <w:rsid w:val="00BB2AB7"/>
    <w:rsid w:val="00BB2F23"/>
    <w:rsid w:val="00BB2FDF"/>
    <w:rsid w:val="00BB3012"/>
    <w:rsid w:val="00BB3204"/>
    <w:rsid w:val="00BB3348"/>
    <w:rsid w:val="00BB348C"/>
    <w:rsid w:val="00BB34E3"/>
    <w:rsid w:val="00BB3546"/>
    <w:rsid w:val="00BB384A"/>
    <w:rsid w:val="00BB3A85"/>
    <w:rsid w:val="00BB3B19"/>
    <w:rsid w:val="00BB3BB0"/>
    <w:rsid w:val="00BB4003"/>
    <w:rsid w:val="00BB411F"/>
    <w:rsid w:val="00BB418A"/>
    <w:rsid w:val="00BB4255"/>
    <w:rsid w:val="00BB43D5"/>
    <w:rsid w:val="00BB441B"/>
    <w:rsid w:val="00BB4481"/>
    <w:rsid w:val="00BB49A6"/>
    <w:rsid w:val="00BB4BE0"/>
    <w:rsid w:val="00BB4D35"/>
    <w:rsid w:val="00BB4D36"/>
    <w:rsid w:val="00BB4DEC"/>
    <w:rsid w:val="00BB4EC8"/>
    <w:rsid w:val="00BB5107"/>
    <w:rsid w:val="00BB513C"/>
    <w:rsid w:val="00BB5340"/>
    <w:rsid w:val="00BB53F5"/>
    <w:rsid w:val="00BB54DE"/>
    <w:rsid w:val="00BB555F"/>
    <w:rsid w:val="00BB57E9"/>
    <w:rsid w:val="00BB5A32"/>
    <w:rsid w:val="00BB5A8C"/>
    <w:rsid w:val="00BB600C"/>
    <w:rsid w:val="00BB611E"/>
    <w:rsid w:val="00BB61CB"/>
    <w:rsid w:val="00BB6223"/>
    <w:rsid w:val="00BB623D"/>
    <w:rsid w:val="00BB6AFC"/>
    <w:rsid w:val="00BB6E0C"/>
    <w:rsid w:val="00BB6F2E"/>
    <w:rsid w:val="00BB6F9F"/>
    <w:rsid w:val="00BB6FA7"/>
    <w:rsid w:val="00BB6FDD"/>
    <w:rsid w:val="00BB71F0"/>
    <w:rsid w:val="00BB72AE"/>
    <w:rsid w:val="00BB738D"/>
    <w:rsid w:val="00BB73AE"/>
    <w:rsid w:val="00BB7716"/>
    <w:rsid w:val="00BB77E9"/>
    <w:rsid w:val="00BB7919"/>
    <w:rsid w:val="00BB7CBC"/>
    <w:rsid w:val="00BB7CCC"/>
    <w:rsid w:val="00BC0638"/>
    <w:rsid w:val="00BC0D2D"/>
    <w:rsid w:val="00BC0D9F"/>
    <w:rsid w:val="00BC0FE2"/>
    <w:rsid w:val="00BC1093"/>
    <w:rsid w:val="00BC12E5"/>
    <w:rsid w:val="00BC1482"/>
    <w:rsid w:val="00BC14D5"/>
    <w:rsid w:val="00BC15C9"/>
    <w:rsid w:val="00BC1682"/>
    <w:rsid w:val="00BC16F7"/>
    <w:rsid w:val="00BC1A65"/>
    <w:rsid w:val="00BC1CD0"/>
    <w:rsid w:val="00BC203A"/>
    <w:rsid w:val="00BC2275"/>
    <w:rsid w:val="00BC22CF"/>
    <w:rsid w:val="00BC25ED"/>
    <w:rsid w:val="00BC2893"/>
    <w:rsid w:val="00BC28DE"/>
    <w:rsid w:val="00BC29DD"/>
    <w:rsid w:val="00BC2BD4"/>
    <w:rsid w:val="00BC2C89"/>
    <w:rsid w:val="00BC2CF4"/>
    <w:rsid w:val="00BC2CF7"/>
    <w:rsid w:val="00BC2CFE"/>
    <w:rsid w:val="00BC2D87"/>
    <w:rsid w:val="00BC2F39"/>
    <w:rsid w:val="00BC3442"/>
    <w:rsid w:val="00BC3507"/>
    <w:rsid w:val="00BC3552"/>
    <w:rsid w:val="00BC36A2"/>
    <w:rsid w:val="00BC37D4"/>
    <w:rsid w:val="00BC38EB"/>
    <w:rsid w:val="00BC3A81"/>
    <w:rsid w:val="00BC3A88"/>
    <w:rsid w:val="00BC3B73"/>
    <w:rsid w:val="00BC3C23"/>
    <w:rsid w:val="00BC3E43"/>
    <w:rsid w:val="00BC4348"/>
    <w:rsid w:val="00BC4375"/>
    <w:rsid w:val="00BC43AF"/>
    <w:rsid w:val="00BC4717"/>
    <w:rsid w:val="00BC4749"/>
    <w:rsid w:val="00BC4B7B"/>
    <w:rsid w:val="00BC4BED"/>
    <w:rsid w:val="00BC4C11"/>
    <w:rsid w:val="00BC4D05"/>
    <w:rsid w:val="00BC4D78"/>
    <w:rsid w:val="00BC4DEB"/>
    <w:rsid w:val="00BC4E08"/>
    <w:rsid w:val="00BC4E1E"/>
    <w:rsid w:val="00BC4E50"/>
    <w:rsid w:val="00BC50BA"/>
    <w:rsid w:val="00BC542A"/>
    <w:rsid w:val="00BC55F3"/>
    <w:rsid w:val="00BC568E"/>
    <w:rsid w:val="00BC57DD"/>
    <w:rsid w:val="00BC585E"/>
    <w:rsid w:val="00BC5891"/>
    <w:rsid w:val="00BC5A24"/>
    <w:rsid w:val="00BC5C35"/>
    <w:rsid w:val="00BC5D49"/>
    <w:rsid w:val="00BC5F9C"/>
    <w:rsid w:val="00BC5FDF"/>
    <w:rsid w:val="00BC625B"/>
    <w:rsid w:val="00BC6336"/>
    <w:rsid w:val="00BC654A"/>
    <w:rsid w:val="00BC676B"/>
    <w:rsid w:val="00BC6A65"/>
    <w:rsid w:val="00BC6C17"/>
    <w:rsid w:val="00BC6D1B"/>
    <w:rsid w:val="00BC7339"/>
    <w:rsid w:val="00BC77DA"/>
    <w:rsid w:val="00BC7933"/>
    <w:rsid w:val="00BC7959"/>
    <w:rsid w:val="00BC7A63"/>
    <w:rsid w:val="00BC7C5E"/>
    <w:rsid w:val="00BC7E6E"/>
    <w:rsid w:val="00BC7F72"/>
    <w:rsid w:val="00BC7FD8"/>
    <w:rsid w:val="00BCA29A"/>
    <w:rsid w:val="00BD0197"/>
    <w:rsid w:val="00BD0265"/>
    <w:rsid w:val="00BD0422"/>
    <w:rsid w:val="00BD0541"/>
    <w:rsid w:val="00BD0557"/>
    <w:rsid w:val="00BD05AA"/>
    <w:rsid w:val="00BD0659"/>
    <w:rsid w:val="00BD0729"/>
    <w:rsid w:val="00BD0A97"/>
    <w:rsid w:val="00BD0C5C"/>
    <w:rsid w:val="00BD0CF5"/>
    <w:rsid w:val="00BD0CFD"/>
    <w:rsid w:val="00BD0DF5"/>
    <w:rsid w:val="00BD0E09"/>
    <w:rsid w:val="00BD0F7E"/>
    <w:rsid w:val="00BD107E"/>
    <w:rsid w:val="00BD1254"/>
    <w:rsid w:val="00BD128A"/>
    <w:rsid w:val="00BD14A9"/>
    <w:rsid w:val="00BD169D"/>
    <w:rsid w:val="00BD17CA"/>
    <w:rsid w:val="00BD18F0"/>
    <w:rsid w:val="00BD1DF3"/>
    <w:rsid w:val="00BD1F29"/>
    <w:rsid w:val="00BD20EB"/>
    <w:rsid w:val="00BD2302"/>
    <w:rsid w:val="00BD2619"/>
    <w:rsid w:val="00BD266B"/>
    <w:rsid w:val="00BD2780"/>
    <w:rsid w:val="00BD28AD"/>
    <w:rsid w:val="00BD29B4"/>
    <w:rsid w:val="00BD2A03"/>
    <w:rsid w:val="00BD2A28"/>
    <w:rsid w:val="00BD2A8F"/>
    <w:rsid w:val="00BD2CD2"/>
    <w:rsid w:val="00BD2D48"/>
    <w:rsid w:val="00BD2D5D"/>
    <w:rsid w:val="00BD2D9A"/>
    <w:rsid w:val="00BD2F93"/>
    <w:rsid w:val="00BD3023"/>
    <w:rsid w:val="00BD3053"/>
    <w:rsid w:val="00BD328C"/>
    <w:rsid w:val="00BD32B4"/>
    <w:rsid w:val="00BD33DD"/>
    <w:rsid w:val="00BD3475"/>
    <w:rsid w:val="00BD35A5"/>
    <w:rsid w:val="00BD37F7"/>
    <w:rsid w:val="00BD3831"/>
    <w:rsid w:val="00BD3A54"/>
    <w:rsid w:val="00BD3A7F"/>
    <w:rsid w:val="00BD3A98"/>
    <w:rsid w:val="00BD3AB3"/>
    <w:rsid w:val="00BD3D2B"/>
    <w:rsid w:val="00BD3D3D"/>
    <w:rsid w:val="00BD3E2E"/>
    <w:rsid w:val="00BD3EA2"/>
    <w:rsid w:val="00BD3EEA"/>
    <w:rsid w:val="00BD3F9F"/>
    <w:rsid w:val="00BD40A3"/>
    <w:rsid w:val="00BD40FC"/>
    <w:rsid w:val="00BD417B"/>
    <w:rsid w:val="00BD41A4"/>
    <w:rsid w:val="00BD4295"/>
    <w:rsid w:val="00BD453A"/>
    <w:rsid w:val="00BD46B8"/>
    <w:rsid w:val="00BD4A9E"/>
    <w:rsid w:val="00BD4AAA"/>
    <w:rsid w:val="00BD4EFD"/>
    <w:rsid w:val="00BD4F88"/>
    <w:rsid w:val="00BD4FB7"/>
    <w:rsid w:val="00BD4FE3"/>
    <w:rsid w:val="00BD50B8"/>
    <w:rsid w:val="00BD511B"/>
    <w:rsid w:val="00BD5189"/>
    <w:rsid w:val="00BD51FA"/>
    <w:rsid w:val="00BD52B0"/>
    <w:rsid w:val="00BD53C7"/>
    <w:rsid w:val="00BD55BF"/>
    <w:rsid w:val="00BD56D7"/>
    <w:rsid w:val="00BD597A"/>
    <w:rsid w:val="00BD5AE4"/>
    <w:rsid w:val="00BD5BC2"/>
    <w:rsid w:val="00BD5CFD"/>
    <w:rsid w:val="00BD5D9F"/>
    <w:rsid w:val="00BD60CE"/>
    <w:rsid w:val="00BD6196"/>
    <w:rsid w:val="00BD6315"/>
    <w:rsid w:val="00BD637E"/>
    <w:rsid w:val="00BD63C7"/>
    <w:rsid w:val="00BD6454"/>
    <w:rsid w:val="00BD6553"/>
    <w:rsid w:val="00BD661B"/>
    <w:rsid w:val="00BD66D7"/>
    <w:rsid w:val="00BD68F1"/>
    <w:rsid w:val="00BD6925"/>
    <w:rsid w:val="00BD6AF6"/>
    <w:rsid w:val="00BD6B17"/>
    <w:rsid w:val="00BD6B76"/>
    <w:rsid w:val="00BD6EDA"/>
    <w:rsid w:val="00BD6F0F"/>
    <w:rsid w:val="00BD72A4"/>
    <w:rsid w:val="00BD7330"/>
    <w:rsid w:val="00BD737E"/>
    <w:rsid w:val="00BD7A4F"/>
    <w:rsid w:val="00BD7DB6"/>
    <w:rsid w:val="00BD7EB7"/>
    <w:rsid w:val="00BE0142"/>
    <w:rsid w:val="00BE022F"/>
    <w:rsid w:val="00BE03A5"/>
    <w:rsid w:val="00BE03AA"/>
    <w:rsid w:val="00BE0441"/>
    <w:rsid w:val="00BE0447"/>
    <w:rsid w:val="00BE06DD"/>
    <w:rsid w:val="00BE0723"/>
    <w:rsid w:val="00BE088D"/>
    <w:rsid w:val="00BE09A4"/>
    <w:rsid w:val="00BE0B3D"/>
    <w:rsid w:val="00BE0C2B"/>
    <w:rsid w:val="00BE0F39"/>
    <w:rsid w:val="00BE1542"/>
    <w:rsid w:val="00BE177D"/>
    <w:rsid w:val="00BE18D2"/>
    <w:rsid w:val="00BE1ACB"/>
    <w:rsid w:val="00BE1ACC"/>
    <w:rsid w:val="00BE1B81"/>
    <w:rsid w:val="00BE1BB7"/>
    <w:rsid w:val="00BE1CC1"/>
    <w:rsid w:val="00BE1D42"/>
    <w:rsid w:val="00BE1D66"/>
    <w:rsid w:val="00BE1F4D"/>
    <w:rsid w:val="00BE1F7D"/>
    <w:rsid w:val="00BE20D9"/>
    <w:rsid w:val="00BE232F"/>
    <w:rsid w:val="00BE250C"/>
    <w:rsid w:val="00BE2564"/>
    <w:rsid w:val="00BE2659"/>
    <w:rsid w:val="00BE2723"/>
    <w:rsid w:val="00BE27BA"/>
    <w:rsid w:val="00BE27DD"/>
    <w:rsid w:val="00BE2810"/>
    <w:rsid w:val="00BE28D3"/>
    <w:rsid w:val="00BE2AAC"/>
    <w:rsid w:val="00BE2B80"/>
    <w:rsid w:val="00BE2CF0"/>
    <w:rsid w:val="00BE2F16"/>
    <w:rsid w:val="00BE2F19"/>
    <w:rsid w:val="00BE2F51"/>
    <w:rsid w:val="00BE31CB"/>
    <w:rsid w:val="00BE32BD"/>
    <w:rsid w:val="00BE36D8"/>
    <w:rsid w:val="00BE38B0"/>
    <w:rsid w:val="00BE39A7"/>
    <w:rsid w:val="00BE39D9"/>
    <w:rsid w:val="00BE3AAF"/>
    <w:rsid w:val="00BE3C52"/>
    <w:rsid w:val="00BE3C66"/>
    <w:rsid w:val="00BE3CF5"/>
    <w:rsid w:val="00BE3D54"/>
    <w:rsid w:val="00BE3E3A"/>
    <w:rsid w:val="00BE3F15"/>
    <w:rsid w:val="00BE3F1C"/>
    <w:rsid w:val="00BE4285"/>
    <w:rsid w:val="00BE446C"/>
    <w:rsid w:val="00BE4719"/>
    <w:rsid w:val="00BE475E"/>
    <w:rsid w:val="00BE4988"/>
    <w:rsid w:val="00BE4D3C"/>
    <w:rsid w:val="00BE4DA6"/>
    <w:rsid w:val="00BE4F16"/>
    <w:rsid w:val="00BE4F5D"/>
    <w:rsid w:val="00BE4F83"/>
    <w:rsid w:val="00BE4FE8"/>
    <w:rsid w:val="00BE5260"/>
    <w:rsid w:val="00BE52CC"/>
    <w:rsid w:val="00BE52F4"/>
    <w:rsid w:val="00BE53F9"/>
    <w:rsid w:val="00BE567E"/>
    <w:rsid w:val="00BE573C"/>
    <w:rsid w:val="00BE5843"/>
    <w:rsid w:val="00BE584B"/>
    <w:rsid w:val="00BE58D5"/>
    <w:rsid w:val="00BE5A43"/>
    <w:rsid w:val="00BE5AFC"/>
    <w:rsid w:val="00BE5B02"/>
    <w:rsid w:val="00BE5B1F"/>
    <w:rsid w:val="00BE5E61"/>
    <w:rsid w:val="00BE5FE6"/>
    <w:rsid w:val="00BE5FF9"/>
    <w:rsid w:val="00BE622A"/>
    <w:rsid w:val="00BE62BC"/>
    <w:rsid w:val="00BE64E1"/>
    <w:rsid w:val="00BE64F1"/>
    <w:rsid w:val="00BE6573"/>
    <w:rsid w:val="00BE662A"/>
    <w:rsid w:val="00BE6701"/>
    <w:rsid w:val="00BE6923"/>
    <w:rsid w:val="00BE6AA4"/>
    <w:rsid w:val="00BE6D29"/>
    <w:rsid w:val="00BE6D59"/>
    <w:rsid w:val="00BE6E73"/>
    <w:rsid w:val="00BE6F30"/>
    <w:rsid w:val="00BE7147"/>
    <w:rsid w:val="00BE719E"/>
    <w:rsid w:val="00BE7266"/>
    <w:rsid w:val="00BE73F1"/>
    <w:rsid w:val="00BE74D2"/>
    <w:rsid w:val="00BE7924"/>
    <w:rsid w:val="00BE79D6"/>
    <w:rsid w:val="00BE7BF7"/>
    <w:rsid w:val="00BE7D98"/>
    <w:rsid w:val="00BE7E84"/>
    <w:rsid w:val="00BF0113"/>
    <w:rsid w:val="00BF0196"/>
    <w:rsid w:val="00BF01C3"/>
    <w:rsid w:val="00BF023E"/>
    <w:rsid w:val="00BF02BD"/>
    <w:rsid w:val="00BF0395"/>
    <w:rsid w:val="00BF0420"/>
    <w:rsid w:val="00BF0422"/>
    <w:rsid w:val="00BF058B"/>
    <w:rsid w:val="00BF065C"/>
    <w:rsid w:val="00BF0850"/>
    <w:rsid w:val="00BF08BD"/>
    <w:rsid w:val="00BF0945"/>
    <w:rsid w:val="00BF0D60"/>
    <w:rsid w:val="00BF0E49"/>
    <w:rsid w:val="00BF0E58"/>
    <w:rsid w:val="00BF0F5F"/>
    <w:rsid w:val="00BF12AE"/>
    <w:rsid w:val="00BF12B8"/>
    <w:rsid w:val="00BF15A8"/>
    <w:rsid w:val="00BF1623"/>
    <w:rsid w:val="00BF18DC"/>
    <w:rsid w:val="00BF1938"/>
    <w:rsid w:val="00BF1AE9"/>
    <w:rsid w:val="00BF1B6A"/>
    <w:rsid w:val="00BF1B8D"/>
    <w:rsid w:val="00BF1BA8"/>
    <w:rsid w:val="00BF1C8B"/>
    <w:rsid w:val="00BF1D01"/>
    <w:rsid w:val="00BF1F20"/>
    <w:rsid w:val="00BF1FFC"/>
    <w:rsid w:val="00BF2099"/>
    <w:rsid w:val="00BF21E9"/>
    <w:rsid w:val="00BF2234"/>
    <w:rsid w:val="00BF23E6"/>
    <w:rsid w:val="00BF27F3"/>
    <w:rsid w:val="00BF2833"/>
    <w:rsid w:val="00BF2B00"/>
    <w:rsid w:val="00BF2C05"/>
    <w:rsid w:val="00BF2D32"/>
    <w:rsid w:val="00BF2D77"/>
    <w:rsid w:val="00BF2DAC"/>
    <w:rsid w:val="00BF2E3B"/>
    <w:rsid w:val="00BF2FDD"/>
    <w:rsid w:val="00BF30E6"/>
    <w:rsid w:val="00BF316B"/>
    <w:rsid w:val="00BF3198"/>
    <w:rsid w:val="00BF31B2"/>
    <w:rsid w:val="00BF320B"/>
    <w:rsid w:val="00BF32F7"/>
    <w:rsid w:val="00BF334B"/>
    <w:rsid w:val="00BF354B"/>
    <w:rsid w:val="00BF35E3"/>
    <w:rsid w:val="00BF361C"/>
    <w:rsid w:val="00BF367E"/>
    <w:rsid w:val="00BF3709"/>
    <w:rsid w:val="00BF3781"/>
    <w:rsid w:val="00BF38FF"/>
    <w:rsid w:val="00BF396D"/>
    <w:rsid w:val="00BF429A"/>
    <w:rsid w:val="00BF4335"/>
    <w:rsid w:val="00BF437D"/>
    <w:rsid w:val="00BF44C3"/>
    <w:rsid w:val="00BF45A3"/>
    <w:rsid w:val="00BF468A"/>
    <w:rsid w:val="00BF47D4"/>
    <w:rsid w:val="00BF4916"/>
    <w:rsid w:val="00BF4BA1"/>
    <w:rsid w:val="00BF4C25"/>
    <w:rsid w:val="00BF4D55"/>
    <w:rsid w:val="00BF4DDC"/>
    <w:rsid w:val="00BF52AA"/>
    <w:rsid w:val="00BF5438"/>
    <w:rsid w:val="00BF54E9"/>
    <w:rsid w:val="00BF5562"/>
    <w:rsid w:val="00BF571C"/>
    <w:rsid w:val="00BF58DF"/>
    <w:rsid w:val="00BF5908"/>
    <w:rsid w:val="00BF596B"/>
    <w:rsid w:val="00BF598C"/>
    <w:rsid w:val="00BF5AC8"/>
    <w:rsid w:val="00BF5B52"/>
    <w:rsid w:val="00BF5C90"/>
    <w:rsid w:val="00BF6296"/>
    <w:rsid w:val="00BF6355"/>
    <w:rsid w:val="00BF6524"/>
    <w:rsid w:val="00BF6658"/>
    <w:rsid w:val="00BF6751"/>
    <w:rsid w:val="00BF6C45"/>
    <w:rsid w:val="00BF6E65"/>
    <w:rsid w:val="00BF6E94"/>
    <w:rsid w:val="00BF70FD"/>
    <w:rsid w:val="00BF7128"/>
    <w:rsid w:val="00BF7152"/>
    <w:rsid w:val="00BF7272"/>
    <w:rsid w:val="00BF732B"/>
    <w:rsid w:val="00BF7446"/>
    <w:rsid w:val="00BF7548"/>
    <w:rsid w:val="00BF7761"/>
    <w:rsid w:val="00BF7C60"/>
    <w:rsid w:val="00BF7CCD"/>
    <w:rsid w:val="00BF7E34"/>
    <w:rsid w:val="00BF7FE3"/>
    <w:rsid w:val="00C00180"/>
    <w:rsid w:val="00C001FA"/>
    <w:rsid w:val="00C002FD"/>
    <w:rsid w:val="00C004CD"/>
    <w:rsid w:val="00C00611"/>
    <w:rsid w:val="00C00669"/>
    <w:rsid w:val="00C00863"/>
    <w:rsid w:val="00C009CF"/>
    <w:rsid w:val="00C00B41"/>
    <w:rsid w:val="00C00CD8"/>
    <w:rsid w:val="00C00F50"/>
    <w:rsid w:val="00C010A5"/>
    <w:rsid w:val="00C010E9"/>
    <w:rsid w:val="00C01308"/>
    <w:rsid w:val="00C014B2"/>
    <w:rsid w:val="00C01511"/>
    <w:rsid w:val="00C016CC"/>
    <w:rsid w:val="00C017C1"/>
    <w:rsid w:val="00C018FD"/>
    <w:rsid w:val="00C01AF4"/>
    <w:rsid w:val="00C01B39"/>
    <w:rsid w:val="00C01BCB"/>
    <w:rsid w:val="00C01C23"/>
    <w:rsid w:val="00C01C6C"/>
    <w:rsid w:val="00C01CBC"/>
    <w:rsid w:val="00C01DC7"/>
    <w:rsid w:val="00C01E48"/>
    <w:rsid w:val="00C01E50"/>
    <w:rsid w:val="00C01F34"/>
    <w:rsid w:val="00C01FDE"/>
    <w:rsid w:val="00C0220C"/>
    <w:rsid w:val="00C0274F"/>
    <w:rsid w:val="00C0287C"/>
    <w:rsid w:val="00C02942"/>
    <w:rsid w:val="00C02A15"/>
    <w:rsid w:val="00C03015"/>
    <w:rsid w:val="00C030D0"/>
    <w:rsid w:val="00C03184"/>
    <w:rsid w:val="00C03580"/>
    <w:rsid w:val="00C035D3"/>
    <w:rsid w:val="00C03A57"/>
    <w:rsid w:val="00C03A9C"/>
    <w:rsid w:val="00C03AE7"/>
    <w:rsid w:val="00C03B7D"/>
    <w:rsid w:val="00C03C2C"/>
    <w:rsid w:val="00C03EB2"/>
    <w:rsid w:val="00C03F29"/>
    <w:rsid w:val="00C0410C"/>
    <w:rsid w:val="00C04163"/>
    <w:rsid w:val="00C047B3"/>
    <w:rsid w:val="00C048DC"/>
    <w:rsid w:val="00C04914"/>
    <w:rsid w:val="00C04A23"/>
    <w:rsid w:val="00C04ABB"/>
    <w:rsid w:val="00C04B4F"/>
    <w:rsid w:val="00C04B85"/>
    <w:rsid w:val="00C04DB0"/>
    <w:rsid w:val="00C04DF5"/>
    <w:rsid w:val="00C0521C"/>
    <w:rsid w:val="00C05317"/>
    <w:rsid w:val="00C05357"/>
    <w:rsid w:val="00C054AA"/>
    <w:rsid w:val="00C054B4"/>
    <w:rsid w:val="00C0566F"/>
    <w:rsid w:val="00C057CF"/>
    <w:rsid w:val="00C059F2"/>
    <w:rsid w:val="00C05BAB"/>
    <w:rsid w:val="00C05BD7"/>
    <w:rsid w:val="00C05E9E"/>
    <w:rsid w:val="00C05F82"/>
    <w:rsid w:val="00C05FFA"/>
    <w:rsid w:val="00C06018"/>
    <w:rsid w:val="00C061DA"/>
    <w:rsid w:val="00C061F0"/>
    <w:rsid w:val="00C062A7"/>
    <w:rsid w:val="00C06328"/>
    <w:rsid w:val="00C0640F"/>
    <w:rsid w:val="00C0644A"/>
    <w:rsid w:val="00C064D8"/>
    <w:rsid w:val="00C064F5"/>
    <w:rsid w:val="00C067EB"/>
    <w:rsid w:val="00C06990"/>
    <w:rsid w:val="00C06AA7"/>
    <w:rsid w:val="00C06B4D"/>
    <w:rsid w:val="00C06BC2"/>
    <w:rsid w:val="00C06C02"/>
    <w:rsid w:val="00C06C0B"/>
    <w:rsid w:val="00C06EDE"/>
    <w:rsid w:val="00C06FBF"/>
    <w:rsid w:val="00C06FC1"/>
    <w:rsid w:val="00C06FF9"/>
    <w:rsid w:val="00C073AB"/>
    <w:rsid w:val="00C073BE"/>
    <w:rsid w:val="00C07411"/>
    <w:rsid w:val="00C07557"/>
    <w:rsid w:val="00C075C7"/>
    <w:rsid w:val="00C077B4"/>
    <w:rsid w:val="00C07963"/>
    <w:rsid w:val="00C07995"/>
    <w:rsid w:val="00C07AA5"/>
    <w:rsid w:val="00C07E8E"/>
    <w:rsid w:val="00C102BC"/>
    <w:rsid w:val="00C10331"/>
    <w:rsid w:val="00C10337"/>
    <w:rsid w:val="00C104A2"/>
    <w:rsid w:val="00C104D3"/>
    <w:rsid w:val="00C10512"/>
    <w:rsid w:val="00C10715"/>
    <w:rsid w:val="00C10758"/>
    <w:rsid w:val="00C10786"/>
    <w:rsid w:val="00C107AB"/>
    <w:rsid w:val="00C107B8"/>
    <w:rsid w:val="00C1094A"/>
    <w:rsid w:val="00C10BBF"/>
    <w:rsid w:val="00C10C98"/>
    <w:rsid w:val="00C10D13"/>
    <w:rsid w:val="00C10E54"/>
    <w:rsid w:val="00C10F65"/>
    <w:rsid w:val="00C10F73"/>
    <w:rsid w:val="00C10F84"/>
    <w:rsid w:val="00C110E3"/>
    <w:rsid w:val="00C11456"/>
    <w:rsid w:val="00C118DB"/>
    <w:rsid w:val="00C11A49"/>
    <w:rsid w:val="00C11B18"/>
    <w:rsid w:val="00C11B21"/>
    <w:rsid w:val="00C11CC8"/>
    <w:rsid w:val="00C11D0E"/>
    <w:rsid w:val="00C11EE9"/>
    <w:rsid w:val="00C12071"/>
    <w:rsid w:val="00C12151"/>
    <w:rsid w:val="00C1225A"/>
    <w:rsid w:val="00C123F5"/>
    <w:rsid w:val="00C124B1"/>
    <w:rsid w:val="00C124E0"/>
    <w:rsid w:val="00C125DA"/>
    <w:rsid w:val="00C1265E"/>
    <w:rsid w:val="00C126E5"/>
    <w:rsid w:val="00C12726"/>
    <w:rsid w:val="00C127CD"/>
    <w:rsid w:val="00C127EE"/>
    <w:rsid w:val="00C128FA"/>
    <w:rsid w:val="00C12B23"/>
    <w:rsid w:val="00C12C85"/>
    <w:rsid w:val="00C12D2D"/>
    <w:rsid w:val="00C12E14"/>
    <w:rsid w:val="00C12F96"/>
    <w:rsid w:val="00C12FC6"/>
    <w:rsid w:val="00C1305C"/>
    <w:rsid w:val="00C1305D"/>
    <w:rsid w:val="00C130D3"/>
    <w:rsid w:val="00C1322E"/>
    <w:rsid w:val="00C13308"/>
    <w:rsid w:val="00C133A2"/>
    <w:rsid w:val="00C13428"/>
    <w:rsid w:val="00C13491"/>
    <w:rsid w:val="00C1355F"/>
    <w:rsid w:val="00C136CE"/>
    <w:rsid w:val="00C13B34"/>
    <w:rsid w:val="00C13C3C"/>
    <w:rsid w:val="00C13DE2"/>
    <w:rsid w:val="00C14408"/>
    <w:rsid w:val="00C144B0"/>
    <w:rsid w:val="00C1456C"/>
    <w:rsid w:val="00C145A0"/>
    <w:rsid w:val="00C145ED"/>
    <w:rsid w:val="00C14770"/>
    <w:rsid w:val="00C14776"/>
    <w:rsid w:val="00C147B1"/>
    <w:rsid w:val="00C1489D"/>
    <w:rsid w:val="00C14E78"/>
    <w:rsid w:val="00C151C8"/>
    <w:rsid w:val="00C151DF"/>
    <w:rsid w:val="00C15321"/>
    <w:rsid w:val="00C1533D"/>
    <w:rsid w:val="00C1540F"/>
    <w:rsid w:val="00C15482"/>
    <w:rsid w:val="00C154B0"/>
    <w:rsid w:val="00C154CE"/>
    <w:rsid w:val="00C15663"/>
    <w:rsid w:val="00C159EC"/>
    <w:rsid w:val="00C15B44"/>
    <w:rsid w:val="00C15D90"/>
    <w:rsid w:val="00C15EF8"/>
    <w:rsid w:val="00C15F00"/>
    <w:rsid w:val="00C15F2A"/>
    <w:rsid w:val="00C16031"/>
    <w:rsid w:val="00C16192"/>
    <w:rsid w:val="00C16463"/>
    <w:rsid w:val="00C1653F"/>
    <w:rsid w:val="00C16621"/>
    <w:rsid w:val="00C166ED"/>
    <w:rsid w:val="00C16794"/>
    <w:rsid w:val="00C167BE"/>
    <w:rsid w:val="00C167C2"/>
    <w:rsid w:val="00C167F6"/>
    <w:rsid w:val="00C1692A"/>
    <w:rsid w:val="00C16A4E"/>
    <w:rsid w:val="00C16E13"/>
    <w:rsid w:val="00C16E2F"/>
    <w:rsid w:val="00C16E96"/>
    <w:rsid w:val="00C16F26"/>
    <w:rsid w:val="00C172C7"/>
    <w:rsid w:val="00C17311"/>
    <w:rsid w:val="00C1737B"/>
    <w:rsid w:val="00C174B2"/>
    <w:rsid w:val="00C1751B"/>
    <w:rsid w:val="00C176EC"/>
    <w:rsid w:val="00C17BD9"/>
    <w:rsid w:val="00C17CF0"/>
    <w:rsid w:val="00C17D7F"/>
    <w:rsid w:val="00C17E91"/>
    <w:rsid w:val="00C17F1E"/>
    <w:rsid w:val="00C17F58"/>
    <w:rsid w:val="00C17F8B"/>
    <w:rsid w:val="00C200AF"/>
    <w:rsid w:val="00C20265"/>
    <w:rsid w:val="00C202A6"/>
    <w:rsid w:val="00C203E7"/>
    <w:rsid w:val="00C2057C"/>
    <w:rsid w:val="00C2075A"/>
    <w:rsid w:val="00C207D7"/>
    <w:rsid w:val="00C20B41"/>
    <w:rsid w:val="00C20B70"/>
    <w:rsid w:val="00C20C9C"/>
    <w:rsid w:val="00C21063"/>
    <w:rsid w:val="00C2122E"/>
    <w:rsid w:val="00C2140F"/>
    <w:rsid w:val="00C214CB"/>
    <w:rsid w:val="00C214D8"/>
    <w:rsid w:val="00C21525"/>
    <w:rsid w:val="00C215FB"/>
    <w:rsid w:val="00C21938"/>
    <w:rsid w:val="00C21A6B"/>
    <w:rsid w:val="00C21B50"/>
    <w:rsid w:val="00C21DBD"/>
    <w:rsid w:val="00C21E2C"/>
    <w:rsid w:val="00C21EE3"/>
    <w:rsid w:val="00C21F74"/>
    <w:rsid w:val="00C220B5"/>
    <w:rsid w:val="00C22291"/>
    <w:rsid w:val="00C222E3"/>
    <w:rsid w:val="00C22321"/>
    <w:rsid w:val="00C22433"/>
    <w:rsid w:val="00C22683"/>
    <w:rsid w:val="00C22785"/>
    <w:rsid w:val="00C2278D"/>
    <w:rsid w:val="00C22910"/>
    <w:rsid w:val="00C22A3C"/>
    <w:rsid w:val="00C22BC3"/>
    <w:rsid w:val="00C22EFE"/>
    <w:rsid w:val="00C23000"/>
    <w:rsid w:val="00C23112"/>
    <w:rsid w:val="00C23196"/>
    <w:rsid w:val="00C23283"/>
    <w:rsid w:val="00C23303"/>
    <w:rsid w:val="00C23383"/>
    <w:rsid w:val="00C23551"/>
    <w:rsid w:val="00C2380B"/>
    <w:rsid w:val="00C238B1"/>
    <w:rsid w:val="00C23914"/>
    <w:rsid w:val="00C23CB8"/>
    <w:rsid w:val="00C23CE4"/>
    <w:rsid w:val="00C23EDF"/>
    <w:rsid w:val="00C23F6B"/>
    <w:rsid w:val="00C241E6"/>
    <w:rsid w:val="00C24245"/>
    <w:rsid w:val="00C24298"/>
    <w:rsid w:val="00C2452D"/>
    <w:rsid w:val="00C2466E"/>
    <w:rsid w:val="00C246A9"/>
    <w:rsid w:val="00C2472A"/>
    <w:rsid w:val="00C2477C"/>
    <w:rsid w:val="00C24901"/>
    <w:rsid w:val="00C249DC"/>
    <w:rsid w:val="00C24CE6"/>
    <w:rsid w:val="00C24F3F"/>
    <w:rsid w:val="00C24F5E"/>
    <w:rsid w:val="00C251CF"/>
    <w:rsid w:val="00C25345"/>
    <w:rsid w:val="00C256AA"/>
    <w:rsid w:val="00C2579D"/>
    <w:rsid w:val="00C25839"/>
    <w:rsid w:val="00C25981"/>
    <w:rsid w:val="00C259C2"/>
    <w:rsid w:val="00C25A32"/>
    <w:rsid w:val="00C25AE3"/>
    <w:rsid w:val="00C25B86"/>
    <w:rsid w:val="00C25FC6"/>
    <w:rsid w:val="00C26242"/>
    <w:rsid w:val="00C2656F"/>
    <w:rsid w:val="00C26672"/>
    <w:rsid w:val="00C26920"/>
    <w:rsid w:val="00C26933"/>
    <w:rsid w:val="00C26993"/>
    <w:rsid w:val="00C269A6"/>
    <w:rsid w:val="00C26AD9"/>
    <w:rsid w:val="00C26D16"/>
    <w:rsid w:val="00C26D3E"/>
    <w:rsid w:val="00C26FEB"/>
    <w:rsid w:val="00C27121"/>
    <w:rsid w:val="00C27146"/>
    <w:rsid w:val="00C271BA"/>
    <w:rsid w:val="00C2725F"/>
    <w:rsid w:val="00C2734D"/>
    <w:rsid w:val="00C274E6"/>
    <w:rsid w:val="00C27865"/>
    <w:rsid w:val="00C2788B"/>
    <w:rsid w:val="00C27A5B"/>
    <w:rsid w:val="00C27AAD"/>
    <w:rsid w:val="00C27B19"/>
    <w:rsid w:val="00C27B79"/>
    <w:rsid w:val="00C27C86"/>
    <w:rsid w:val="00C27CEC"/>
    <w:rsid w:val="00C27D3A"/>
    <w:rsid w:val="00C27E5B"/>
    <w:rsid w:val="00C27F6F"/>
    <w:rsid w:val="00C3012E"/>
    <w:rsid w:val="00C3029C"/>
    <w:rsid w:val="00C30317"/>
    <w:rsid w:val="00C3058A"/>
    <w:rsid w:val="00C3068C"/>
    <w:rsid w:val="00C30706"/>
    <w:rsid w:val="00C30797"/>
    <w:rsid w:val="00C307DE"/>
    <w:rsid w:val="00C307E7"/>
    <w:rsid w:val="00C309B0"/>
    <w:rsid w:val="00C309F3"/>
    <w:rsid w:val="00C30A78"/>
    <w:rsid w:val="00C31027"/>
    <w:rsid w:val="00C31139"/>
    <w:rsid w:val="00C311D3"/>
    <w:rsid w:val="00C31201"/>
    <w:rsid w:val="00C3151F"/>
    <w:rsid w:val="00C316A3"/>
    <w:rsid w:val="00C31805"/>
    <w:rsid w:val="00C3192F"/>
    <w:rsid w:val="00C31964"/>
    <w:rsid w:val="00C31A21"/>
    <w:rsid w:val="00C31AEA"/>
    <w:rsid w:val="00C31B23"/>
    <w:rsid w:val="00C31C96"/>
    <w:rsid w:val="00C31E76"/>
    <w:rsid w:val="00C31FA3"/>
    <w:rsid w:val="00C322CF"/>
    <w:rsid w:val="00C326D9"/>
    <w:rsid w:val="00C32798"/>
    <w:rsid w:val="00C32C43"/>
    <w:rsid w:val="00C32C4C"/>
    <w:rsid w:val="00C32DC5"/>
    <w:rsid w:val="00C32E96"/>
    <w:rsid w:val="00C32FA6"/>
    <w:rsid w:val="00C33022"/>
    <w:rsid w:val="00C3336D"/>
    <w:rsid w:val="00C33387"/>
    <w:rsid w:val="00C33530"/>
    <w:rsid w:val="00C33896"/>
    <w:rsid w:val="00C33A34"/>
    <w:rsid w:val="00C33A7D"/>
    <w:rsid w:val="00C33B06"/>
    <w:rsid w:val="00C33BE0"/>
    <w:rsid w:val="00C33C0B"/>
    <w:rsid w:val="00C33D7E"/>
    <w:rsid w:val="00C33F0B"/>
    <w:rsid w:val="00C33FA5"/>
    <w:rsid w:val="00C33FE3"/>
    <w:rsid w:val="00C34038"/>
    <w:rsid w:val="00C3406A"/>
    <w:rsid w:val="00C34166"/>
    <w:rsid w:val="00C34183"/>
    <w:rsid w:val="00C34272"/>
    <w:rsid w:val="00C34663"/>
    <w:rsid w:val="00C34940"/>
    <w:rsid w:val="00C34992"/>
    <w:rsid w:val="00C34A57"/>
    <w:rsid w:val="00C34A92"/>
    <w:rsid w:val="00C34B13"/>
    <w:rsid w:val="00C34D52"/>
    <w:rsid w:val="00C34D8D"/>
    <w:rsid w:val="00C34DA2"/>
    <w:rsid w:val="00C34FF3"/>
    <w:rsid w:val="00C350D2"/>
    <w:rsid w:val="00C35163"/>
    <w:rsid w:val="00C353C5"/>
    <w:rsid w:val="00C353DF"/>
    <w:rsid w:val="00C35478"/>
    <w:rsid w:val="00C3560F"/>
    <w:rsid w:val="00C35829"/>
    <w:rsid w:val="00C35869"/>
    <w:rsid w:val="00C358B9"/>
    <w:rsid w:val="00C358BB"/>
    <w:rsid w:val="00C35A66"/>
    <w:rsid w:val="00C35A6E"/>
    <w:rsid w:val="00C35BF6"/>
    <w:rsid w:val="00C35D53"/>
    <w:rsid w:val="00C35F97"/>
    <w:rsid w:val="00C35FA4"/>
    <w:rsid w:val="00C35FC4"/>
    <w:rsid w:val="00C3613B"/>
    <w:rsid w:val="00C36181"/>
    <w:rsid w:val="00C36642"/>
    <w:rsid w:val="00C366F6"/>
    <w:rsid w:val="00C36F38"/>
    <w:rsid w:val="00C370A7"/>
    <w:rsid w:val="00C3723E"/>
    <w:rsid w:val="00C374C6"/>
    <w:rsid w:val="00C375D0"/>
    <w:rsid w:val="00C3790B"/>
    <w:rsid w:val="00C37A94"/>
    <w:rsid w:val="00C37B93"/>
    <w:rsid w:val="00C37C29"/>
    <w:rsid w:val="00C37C92"/>
    <w:rsid w:val="00C37CAA"/>
    <w:rsid w:val="00C37D1D"/>
    <w:rsid w:val="00C37ED3"/>
    <w:rsid w:val="00C40018"/>
    <w:rsid w:val="00C4006F"/>
    <w:rsid w:val="00C400CD"/>
    <w:rsid w:val="00C400D7"/>
    <w:rsid w:val="00C400F9"/>
    <w:rsid w:val="00C401F8"/>
    <w:rsid w:val="00C40361"/>
    <w:rsid w:val="00C403FF"/>
    <w:rsid w:val="00C40541"/>
    <w:rsid w:val="00C40564"/>
    <w:rsid w:val="00C4064F"/>
    <w:rsid w:val="00C40656"/>
    <w:rsid w:val="00C407FE"/>
    <w:rsid w:val="00C40B57"/>
    <w:rsid w:val="00C40CB2"/>
    <w:rsid w:val="00C40F2D"/>
    <w:rsid w:val="00C4106D"/>
    <w:rsid w:val="00C41080"/>
    <w:rsid w:val="00C41113"/>
    <w:rsid w:val="00C41174"/>
    <w:rsid w:val="00C411CE"/>
    <w:rsid w:val="00C412CA"/>
    <w:rsid w:val="00C412D4"/>
    <w:rsid w:val="00C413AC"/>
    <w:rsid w:val="00C4142F"/>
    <w:rsid w:val="00C4147B"/>
    <w:rsid w:val="00C41A71"/>
    <w:rsid w:val="00C41C20"/>
    <w:rsid w:val="00C41C56"/>
    <w:rsid w:val="00C41CCA"/>
    <w:rsid w:val="00C420ED"/>
    <w:rsid w:val="00C42137"/>
    <w:rsid w:val="00C421BC"/>
    <w:rsid w:val="00C423A7"/>
    <w:rsid w:val="00C42567"/>
    <w:rsid w:val="00C425A2"/>
    <w:rsid w:val="00C425F5"/>
    <w:rsid w:val="00C4262B"/>
    <w:rsid w:val="00C427AA"/>
    <w:rsid w:val="00C42824"/>
    <w:rsid w:val="00C4282D"/>
    <w:rsid w:val="00C4295F"/>
    <w:rsid w:val="00C42A12"/>
    <w:rsid w:val="00C42C60"/>
    <w:rsid w:val="00C42F9C"/>
    <w:rsid w:val="00C42FF1"/>
    <w:rsid w:val="00C4301F"/>
    <w:rsid w:val="00C43074"/>
    <w:rsid w:val="00C431E1"/>
    <w:rsid w:val="00C43232"/>
    <w:rsid w:val="00C4328A"/>
    <w:rsid w:val="00C432E3"/>
    <w:rsid w:val="00C43438"/>
    <w:rsid w:val="00C43645"/>
    <w:rsid w:val="00C4373A"/>
    <w:rsid w:val="00C4373C"/>
    <w:rsid w:val="00C4374D"/>
    <w:rsid w:val="00C437CA"/>
    <w:rsid w:val="00C43969"/>
    <w:rsid w:val="00C43A9D"/>
    <w:rsid w:val="00C43E86"/>
    <w:rsid w:val="00C440C5"/>
    <w:rsid w:val="00C44351"/>
    <w:rsid w:val="00C443B3"/>
    <w:rsid w:val="00C444FD"/>
    <w:rsid w:val="00C44743"/>
    <w:rsid w:val="00C447C1"/>
    <w:rsid w:val="00C44C11"/>
    <w:rsid w:val="00C44EDC"/>
    <w:rsid w:val="00C450A0"/>
    <w:rsid w:val="00C450DD"/>
    <w:rsid w:val="00C4510F"/>
    <w:rsid w:val="00C452AC"/>
    <w:rsid w:val="00C452B3"/>
    <w:rsid w:val="00C453D2"/>
    <w:rsid w:val="00C4562A"/>
    <w:rsid w:val="00C45B79"/>
    <w:rsid w:val="00C45BED"/>
    <w:rsid w:val="00C45C19"/>
    <w:rsid w:val="00C45CCF"/>
    <w:rsid w:val="00C45CF7"/>
    <w:rsid w:val="00C45ED6"/>
    <w:rsid w:val="00C45EFF"/>
    <w:rsid w:val="00C45F99"/>
    <w:rsid w:val="00C46043"/>
    <w:rsid w:val="00C460EF"/>
    <w:rsid w:val="00C4616D"/>
    <w:rsid w:val="00C461AA"/>
    <w:rsid w:val="00C466D7"/>
    <w:rsid w:val="00C469FC"/>
    <w:rsid w:val="00C46B88"/>
    <w:rsid w:val="00C46CD2"/>
    <w:rsid w:val="00C47014"/>
    <w:rsid w:val="00C47149"/>
    <w:rsid w:val="00C47246"/>
    <w:rsid w:val="00C47347"/>
    <w:rsid w:val="00C474A6"/>
    <w:rsid w:val="00C4751B"/>
    <w:rsid w:val="00C4756D"/>
    <w:rsid w:val="00C475D2"/>
    <w:rsid w:val="00C476BF"/>
    <w:rsid w:val="00C476D5"/>
    <w:rsid w:val="00C476F0"/>
    <w:rsid w:val="00C477C7"/>
    <w:rsid w:val="00C47918"/>
    <w:rsid w:val="00C47A02"/>
    <w:rsid w:val="00C47A77"/>
    <w:rsid w:val="00C47ABD"/>
    <w:rsid w:val="00C47B29"/>
    <w:rsid w:val="00C47B2A"/>
    <w:rsid w:val="00C47B83"/>
    <w:rsid w:val="00C47D58"/>
    <w:rsid w:val="00C47F57"/>
    <w:rsid w:val="00C47F6F"/>
    <w:rsid w:val="00C502FE"/>
    <w:rsid w:val="00C5061A"/>
    <w:rsid w:val="00C5065C"/>
    <w:rsid w:val="00C50692"/>
    <w:rsid w:val="00C507D7"/>
    <w:rsid w:val="00C507F2"/>
    <w:rsid w:val="00C50800"/>
    <w:rsid w:val="00C50909"/>
    <w:rsid w:val="00C50B59"/>
    <w:rsid w:val="00C50B96"/>
    <w:rsid w:val="00C50EA0"/>
    <w:rsid w:val="00C50F2D"/>
    <w:rsid w:val="00C50F92"/>
    <w:rsid w:val="00C51532"/>
    <w:rsid w:val="00C5192A"/>
    <w:rsid w:val="00C51950"/>
    <w:rsid w:val="00C519FE"/>
    <w:rsid w:val="00C51A07"/>
    <w:rsid w:val="00C51AC8"/>
    <w:rsid w:val="00C51BFC"/>
    <w:rsid w:val="00C51CDB"/>
    <w:rsid w:val="00C51E6E"/>
    <w:rsid w:val="00C5207B"/>
    <w:rsid w:val="00C520E7"/>
    <w:rsid w:val="00C52161"/>
    <w:rsid w:val="00C52292"/>
    <w:rsid w:val="00C522BA"/>
    <w:rsid w:val="00C52335"/>
    <w:rsid w:val="00C52487"/>
    <w:rsid w:val="00C52680"/>
    <w:rsid w:val="00C52842"/>
    <w:rsid w:val="00C5293D"/>
    <w:rsid w:val="00C52A0D"/>
    <w:rsid w:val="00C52A36"/>
    <w:rsid w:val="00C52A4F"/>
    <w:rsid w:val="00C52A8C"/>
    <w:rsid w:val="00C52BA3"/>
    <w:rsid w:val="00C52C2B"/>
    <w:rsid w:val="00C53168"/>
    <w:rsid w:val="00C53370"/>
    <w:rsid w:val="00C53595"/>
    <w:rsid w:val="00C535A1"/>
    <w:rsid w:val="00C535B5"/>
    <w:rsid w:val="00C5379B"/>
    <w:rsid w:val="00C53A71"/>
    <w:rsid w:val="00C53D35"/>
    <w:rsid w:val="00C53E0C"/>
    <w:rsid w:val="00C53EA2"/>
    <w:rsid w:val="00C53EEB"/>
    <w:rsid w:val="00C53FA8"/>
    <w:rsid w:val="00C54074"/>
    <w:rsid w:val="00C54080"/>
    <w:rsid w:val="00C540A3"/>
    <w:rsid w:val="00C5425A"/>
    <w:rsid w:val="00C54406"/>
    <w:rsid w:val="00C54418"/>
    <w:rsid w:val="00C5445F"/>
    <w:rsid w:val="00C54487"/>
    <w:rsid w:val="00C54526"/>
    <w:rsid w:val="00C545DB"/>
    <w:rsid w:val="00C545F6"/>
    <w:rsid w:val="00C5470F"/>
    <w:rsid w:val="00C5481A"/>
    <w:rsid w:val="00C5499F"/>
    <w:rsid w:val="00C54B5E"/>
    <w:rsid w:val="00C54BF4"/>
    <w:rsid w:val="00C54C6F"/>
    <w:rsid w:val="00C54D65"/>
    <w:rsid w:val="00C5520C"/>
    <w:rsid w:val="00C55221"/>
    <w:rsid w:val="00C55378"/>
    <w:rsid w:val="00C55518"/>
    <w:rsid w:val="00C555DF"/>
    <w:rsid w:val="00C556A6"/>
    <w:rsid w:val="00C557BB"/>
    <w:rsid w:val="00C55840"/>
    <w:rsid w:val="00C55A42"/>
    <w:rsid w:val="00C56001"/>
    <w:rsid w:val="00C5605F"/>
    <w:rsid w:val="00C562F8"/>
    <w:rsid w:val="00C564F3"/>
    <w:rsid w:val="00C5689A"/>
    <w:rsid w:val="00C568DE"/>
    <w:rsid w:val="00C56995"/>
    <w:rsid w:val="00C569CB"/>
    <w:rsid w:val="00C56B7F"/>
    <w:rsid w:val="00C56D40"/>
    <w:rsid w:val="00C5727C"/>
    <w:rsid w:val="00C572AE"/>
    <w:rsid w:val="00C572F0"/>
    <w:rsid w:val="00C5733C"/>
    <w:rsid w:val="00C573B4"/>
    <w:rsid w:val="00C57456"/>
    <w:rsid w:val="00C574D1"/>
    <w:rsid w:val="00C57509"/>
    <w:rsid w:val="00C57680"/>
    <w:rsid w:val="00C576C4"/>
    <w:rsid w:val="00C57743"/>
    <w:rsid w:val="00C577B3"/>
    <w:rsid w:val="00C5781E"/>
    <w:rsid w:val="00C5782E"/>
    <w:rsid w:val="00C57B54"/>
    <w:rsid w:val="00C57C00"/>
    <w:rsid w:val="00C57C1D"/>
    <w:rsid w:val="00C57D60"/>
    <w:rsid w:val="00C57E49"/>
    <w:rsid w:val="00C57E90"/>
    <w:rsid w:val="00C6003D"/>
    <w:rsid w:val="00C600D8"/>
    <w:rsid w:val="00C6047A"/>
    <w:rsid w:val="00C6057C"/>
    <w:rsid w:val="00C605ED"/>
    <w:rsid w:val="00C60679"/>
    <w:rsid w:val="00C60697"/>
    <w:rsid w:val="00C60813"/>
    <w:rsid w:val="00C60823"/>
    <w:rsid w:val="00C608A0"/>
    <w:rsid w:val="00C60A06"/>
    <w:rsid w:val="00C60A1F"/>
    <w:rsid w:val="00C60A28"/>
    <w:rsid w:val="00C60A60"/>
    <w:rsid w:val="00C60CCD"/>
    <w:rsid w:val="00C60D2B"/>
    <w:rsid w:val="00C60E7B"/>
    <w:rsid w:val="00C60F54"/>
    <w:rsid w:val="00C60F55"/>
    <w:rsid w:val="00C60FEB"/>
    <w:rsid w:val="00C611A2"/>
    <w:rsid w:val="00C611A4"/>
    <w:rsid w:val="00C61389"/>
    <w:rsid w:val="00C613AC"/>
    <w:rsid w:val="00C613B5"/>
    <w:rsid w:val="00C613DF"/>
    <w:rsid w:val="00C61468"/>
    <w:rsid w:val="00C615E3"/>
    <w:rsid w:val="00C61682"/>
    <w:rsid w:val="00C616C8"/>
    <w:rsid w:val="00C61767"/>
    <w:rsid w:val="00C61802"/>
    <w:rsid w:val="00C61912"/>
    <w:rsid w:val="00C61B89"/>
    <w:rsid w:val="00C61D4D"/>
    <w:rsid w:val="00C61DA3"/>
    <w:rsid w:val="00C61EAC"/>
    <w:rsid w:val="00C61EF0"/>
    <w:rsid w:val="00C61F5B"/>
    <w:rsid w:val="00C61FD7"/>
    <w:rsid w:val="00C621E3"/>
    <w:rsid w:val="00C62218"/>
    <w:rsid w:val="00C62335"/>
    <w:rsid w:val="00C625EB"/>
    <w:rsid w:val="00C627CA"/>
    <w:rsid w:val="00C62801"/>
    <w:rsid w:val="00C62845"/>
    <w:rsid w:val="00C62A87"/>
    <w:rsid w:val="00C62B15"/>
    <w:rsid w:val="00C62B58"/>
    <w:rsid w:val="00C62BCE"/>
    <w:rsid w:val="00C62BD4"/>
    <w:rsid w:val="00C62CA4"/>
    <w:rsid w:val="00C62F1C"/>
    <w:rsid w:val="00C63018"/>
    <w:rsid w:val="00C631E3"/>
    <w:rsid w:val="00C63207"/>
    <w:rsid w:val="00C63236"/>
    <w:rsid w:val="00C63353"/>
    <w:rsid w:val="00C633A9"/>
    <w:rsid w:val="00C63440"/>
    <w:rsid w:val="00C6345F"/>
    <w:rsid w:val="00C6349B"/>
    <w:rsid w:val="00C634F3"/>
    <w:rsid w:val="00C63501"/>
    <w:rsid w:val="00C6350E"/>
    <w:rsid w:val="00C637FA"/>
    <w:rsid w:val="00C6380F"/>
    <w:rsid w:val="00C638A8"/>
    <w:rsid w:val="00C638C9"/>
    <w:rsid w:val="00C6394E"/>
    <w:rsid w:val="00C63A82"/>
    <w:rsid w:val="00C63CB3"/>
    <w:rsid w:val="00C63CDB"/>
    <w:rsid w:val="00C63E74"/>
    <w:rsid w:val="00C64330"/>
    <w:rsid w:val="00C6449E"/>
    <w:rsid w:val="00C64587"/>
    <w:rsid w:val="00C64671"/>
    <w:rsid w:val="00C646D3"/>
    <w:rsid w:val="00C6492E"/>
    <w:rsid w:val="00C64A16"/>
    <w:rsid w:val="00C64A3B"/>
    <w:rsid w:val="00C64C6E"/>
    <w:rsid w:val="00C64FB4"/>
    <w:rsid w:val="00C651ED"/>
    <w:rsid w:val="00C6552D"/>
    <w:rsid w:val="00C6555F"/>
    <w:rsid w:val="00C65564"/>
    <w:rsid w:val="00C6575D"/>
    <w:rsid w:val="00C65AE1"/>
    <w:rsid w:val="00C65B1E"/>
    <w:rsid w:val="00C65DAA"/>
    <w:rsid w:val="00C65E78"/>
    <w:rsid w:val="00C65F6A"/>
    <w:rsid w:val="00C6605E"/>
    <w:rsid w:val="00C66155"/>
    <w:rsid w:val="00C6646E"/>
    <w:rsid w:val="00C664B1"/>
    <w:rsid w:val="00C664CA"/>
    <w:rsid w:val="00C665C9"/>
    <w:rsid w:val="00C6676A"/>
    <w:rsid w:val="00C66897"/>
    <w:rsid w:val="00C66901"/>
    <w:rsid w:val="00C66ADD"/>
    <w:rsid w:val="00C6701C"/>
    <w:rsid w:val="00C67096"/>
    <w:rsid w:val="00C67271"/>
    <w:rsid w:val="00C672DF"/>
    <w:rsid w:val="00C6763E"/>
    <w:rsid w:val="00C677D8"/>
    <w:rsid w:val="00C67B94"/>
    <w:rsid w:val="00C67CC9"/>
    <w:rsid w:val="00C67EB2"/>
    <w:rsid w:val="00C67ECF"/>
    <w:rsid w:val="00C67EF4"/>
    <w:rsid w:val="00C67FCA"/>
    <w:rsid w:val="00C7011B"/>
    <w:rsid w:val="00C7011C"/>
    <w:rsid w:val="00C7035C"/>
    <w:rsid w:val="00C70406"/>
    <w:rsid w:val="00C704FB"/>
    <w:rsid w:val="00C706D1"/>
    <w:rsid w:val="00C7073D"/>
    <w:rsid w:val="00C707DE"/>
    <w:rsid w:val="00C7091C"/>
    <w:rsid w:val="00C70AFE"/>
    <w:rsid w:val="00C70C61"/>
    <w:rsid w:val="00C70DC3"/>
    <w:rsid w:val="00C70EFE"/>
    <w:rsid w:val="00C70F61"/>
    <w:rsid w:val="00C70F68"/>
    <w:rsid w:val="00C710AF"/>
    <w:rsid w:val="00C710FD"/>
    <w:rsid w:val="00C710FF"/>
    <w:rsid w:val="00C7154C"/>
    <w:rsid w:val="00C715E2"/>
    <w:rsid w:val="00C716B1"/>
    <w:rsid w:val="00C71773"/>
    <w:rsid w:val="00C71854"/>
    <w:rsid w:val="00C71931"/>
    <w:rsid w:val="00C71AED"/>
    <w:rsid w:val="00C71E06"/>
    <w:rsid w:val="00C71E91"/>
    <w:rsid w:val="00C71F79"/>
    <w:rsid w:val="00C71FF3"/>
    <w:rsid w:val="00C72122"/>
    <w:rsid w:val="00C721FF"/>
    <w:rsid w:val="00C72240"/>
    <w:rsid w:val="00C7229C"/>
    <w:rsid w:val="00C723DB"/>
    <w:rsid w:val="00C727CD"/>
    <w:rsid w:val="00C7284C"/>
    <w:rsid w:val="00C7298C"/>
    <w:rsid w:val="00C72A21"/>
    <w:rsid w:val="00C72A2A"/>
    <w:rsid w:val="00C72B11"/>
    <w:rsid w:val="00C72B8A"/>
    <w:rsid w:val="00C72D23"/>
    <w:rsid w:val="00C72D94"/>
    <w:rsid w:val="00C72EF6"/>
    <w:rsid w:val="00C72F9F"/>
    <w:rsid w:val="00C72FF7"/>
    <w:rsid w:val="00C7302D"/>
    <w:rsid w:val="00C7315E"/>
    <w:rsid w:val="00C73265"/>
    <w:rsid w:val="00C73381"/>
    <w:rsid w:val="00C73448"/>
    <w:rsid w:val="00C73483"/>
    <w:rsid w:val="00C735E3"/>
    <w:rsid w:val="00C7397B"/>
    <w:rsid w:val="00C739E7"/>
    <w:rsid w:val="00C73F16"/>
    <w:rsid w:val="00C74104"/>
    <w:rsid w:val="00C741DA"/>
    <w:rsid w:val="00C7440A"/>
    <w:rsid w:val="00C74492"/>
    <w:rsid w:val="00C744A3"/>
    <w:rsid w:val="00C744DE"/>
    <w:rsid w:val="00C74784"/>
    <w:rsid w:val="00C74858"/>
    <w:rsid w:val="00C7492D"/>
    <w:rsid w:val="00C74B6F"/>
    <w:rsid w:val="00C74D05"/>
    <w:rsid w:val="00C74D2D"/>
    <w:rsid w:val="00C74D98"/>
    <w:rsid w:val="00C751CB"/>
    <w:rsid w:val="00C75206"/>
    <w:rsid w:val="00C7543B"/>
    <w:rsid w:val="00C7549D"/>
    <w:rsid w:val="00C758C4"/>
    <w:rsid w:val="00C75955"/>
    <w:rsid w:val="00C759D7"/>
    <w:rsid w:val="00C75A5F"/>
    <w:rsid w:val="00C75B87"/>
    <w:rsid w:val="00C75BD5"/>
    <w:rsid w:val="00C75C47"/>
    <w:rsid w:val="00C75D0B"/>
    <w:rsid w:val="00C75DC0"/>
    <w:rsid w:val="00C75DFC"/>
    <w:rsid w:val="00C75F6D"/>
    <w:rsid w:val="00C75FF7"/>
    <w:rsid w:val="00C7617A"/>
    <w:rsid w:val="00C761CA"/>
    <w:rsid w:val="00C76215"/>
    <w:rsid w:val="00C76299"/>
    <w:rsid w:val="00C7649E"/>
    <w:rsid w:val="00C76637"/>
    <w:rsid w:val="00C766DB"/>
    <w:rsid w:val="00C767F1"/>
    <w:rsid w:val="00C768EA"/>
    <w:rsid w:val="00C7690B"/>
    <w:rsid w:val="00C76977"/>
    <w:rsid w:val="00C76D72"/>
    <w:rsid w:val="00C76E89"/>
    <w:rsid w:val="00C770CD"/>
    <w:rsid w:val="00C7711B"/>
    <w:rsid w:val="00C771AC"/>
    <w:rsid w:val="00C77273"/>
    <w:rsid w:val="00C77788"/>
    <w:rsid w:val="00C777F1"/>
    <w:rsid w:val="00C7784B"/>
    <w:rsid w:val="00C778D0"/>
    <w:rsid w:val="00C7790C"/>
    <w:rsid w:val="00C7798C"/>
    <w:rsid w:val="00C77A40"/>
    <w:rsid w:val="00C77D66"/>
    <w:rsid w:val="00C77DE7"/>
    <w:rsid w:val="00C77F31"/>
    <w:rsid w:val="00C80165"/>
    <w:rsid w:val="00C803FE"/>
    <w:rsid w:val="00C8048D"/>
    <w:rsid w:val="00C80509"/>
    <w:rsid w:val="00C80A23"/>
    <w:rsid w:val="00C80B28"/>
    <w:rsid w:val="00C80CDE"/>
    <w:rsid w:val="00C80D6D"/>
    <w:rsid w:val="00C80E20"/>
    <w:rsid w:val="00C80E30"/>
    <w:rsid w:val="00C810C5"/>
    <w:rsid w:val="00C8110D"/>
    <w:rsid w:val="00C81367"/>
    <w:rsid w:val="00C8151B"/>
    <w:rsid w:val="00C81706"/>
    <w:rsid w:val="00C8189A"/>
    <w:rsid w:val="00C819CC"/>
    <w:rsid w:val="00C81A2F"/>
    <w:rsid w:val="00C81AB6"/>
    <w:rsid w:val="00C81B60"/>
    <w:rsid w:val="00C81B74"/>
    <w:rsid w:val="00C81B99"/>
    <w:rsid w:val="00C81C4D"/>
    <w:rsid w:val="00C81CE5"/>
    <w:rsid w:val="00C81DB5"/>
    <w:rsid w:val="00C81DE5"/>
    <w:rsid w:val="00C82174"/>
    <w:rsid w:val="00C82275"/>
    <w:rsid w:val="00C822A5"/>
    <w:rsid w:val="00C8244E"/>
    <w:rsid w:val="00C826A1"/>
    <w:rsid w:val="00C826C7"/>
    <w:rsid w:val="00C82C3B"/>
    <w:rsid w:val="00C82CC4"/>
    <w:rsid w:val="00C82E4C"/>
    <w:rsid w:val="00C82EE4"/>
    <w:rsid w:val="00C82F3F"/>
    <w:rsid w:val="00C82F68"/>
    <w:rsid w:val="00C8304A"/>
    <w:rsid w:val="00C83484"/>
    <w:rsid w:val="00C835CE"/>
    <w:rsid w:val="00C83DB8"/>
    <w:rsid w:val="00C83E54"/>
    <w:rsid w:val="00C83E77"/>
    <w:rsid w:val="00C83E9B"/>
    <w:rsid w:val="00C83F10"/>
    <w:rsid w:val="00C83F63"/>
    <w:rsid w:val="00C83F9E"/>
    <w:rsid w:val="00C845F5"/>
    <w:rsid w:val="00C846C8"/>
    <w:rsid w:val="00C84728"/>
    <w:rsid w:val="00C849B3"/>
    <w:rsid w:val="00C84AEC"/>
    <w:rsid w:val="00C84E7F"/>
    <w:rsid w:val="00C84EDB"/>
    <w:rsid w:val="00C850B8"/>
    <w:rsid w:val="00C8546F"/>
    <w:rsid w:val="00C85614"/>
    <w:rsid w:val="00C85634"/>
    <w:rsid w:val="00C8575C"/>
    <w:rsid w:val="00C857A2"/>
    <w:rsid w:val="00C85B04"/>
    <w:rsid w:val="00C85B29"/>
    <w:rsid w:val="00C85C74"/>
    <w:rsid w:val="00C85E47"/>
    <w:rsid w:val="00C85E5A"/>
    <w:rsid w:val="00C85ED2"/>
    <w:rsid w:val="00C86042"/>
    <w:rsid w:val="00C86288"/>
    <w:rsid w:val="00C862AD"/>
    <w:rsid w:val="00C8636B"/>
    <w:rsid w:val="00C86389"/>
    <w:rsid w:val="00C863E0"/>
    <w:rsid w:val="00C86614"/>
    <w:rsid w:val="00C866A3"/>
    <w:rsid w:val="00C866A4"/>
    <w:rsid w:val="00C86709"/>
    <w:rsid w:val="00C867C8"/>
    <w:rsid w:val="00C86A8A"/>
    <w:rsid w:val="00C86C88"/>
    <w:rsid w:val="00C86FC2"/>
    <w:rsid w:val="00C870BB"/>
    <w:rsid w:val="00C87170"/>
    <w:rsid w:val="00C871AA"/>
    <w:rsid w:val="00C871E9"/>
    <w:rsid w:val="00C8723A"/>
    <w:rsid w:val="00C874F5"/>
    <w:rsid w:val="00C87514"/>
    <w:rsid w:val="00C87839"/>
    <w:rsid w:val="00C87972"/>
    <w:rsid w:val="00C87A7D"/>
    <w:rsid w:val="00C87CA5"/>
    <w:rsid w:val="00C87F38"/>
    <w:rsid w:val="00C87FF1"/>
    <w:rsid w:val="00C900A3"/>
    <w:rsid w:val="00C900FF"/>
    <w:rsid w:val="00C902CA"/>
    <w:rsid w:val="00C90373"/>
    <w:rsid w:val="00C9040E"/>
    <w:rsid w:val="00C904E8"/>
    <w:rsid w:val="00C9053B"/>
    <w:rsid w:val="00C9055B"/>
    <w:rsid w:val="00C9060B"/>
    <w:rsid w:val="00C9077C"/>
    <w:rsid w:val="00C90A45"/>
    <w:rsid w:val="00C90B1D"/>
    <w:rsid w:val="00C90EB7"/>
    <w:rsid w:val="00C910C4"/>
    <w:rsid w:val="00C91105"/>
    <w:rsid w:val="00C9129B"/>
    <w:rsid w:val="00C9135E"/>
    <w:rsid w:val="00C913CF"/>
    <w:rsid w:val="00C914D1"/>
    <w:rsid w:val="00C918D9"/>
    <w:rsid w:val="00C91B0D"/>
    <w:rsid w:val="00C91BA0"/>
    <w:rsid w:val="00C91D80"/>
    <w:rsid w:val="00C91EFE"/>
    <w:rsid w:val="00C921C8"/>
    <w:rsid w:val="00C92383"/>
    <w:rsid w:val="00C92418"/>
    <w:rsid w:val="00C924DD"/>
    <w:rsid w:val="00C92515"/>
    <w:rsid w:val="00C92733"/>
    <w:rsid w:val="00C9282C"/>
    <w:rsid w:val="00C928B4"/>
    <w:rsid w:val="00C92A44"/>
    <w:rsid w:val="00C92AE6"/>
    <w:rsid w:val="00C92F80"/>
    <w:rsid w:val="00C931C0"/>
    <w:rsid w:val="00C932C4"/>
    <w:rsid w:val="00C93498"/>
    <w:rsid w:val="00C93515"/>
    <w:rsid w:val="00C93681"/>
    <w:rsid w:val="00C93722"/>
    <w:rsid w:val="00C93B5D"/>
    <w:rsid w:val="00C93B65"/>
    <w:rsid w:val="00C93BBD"/>
    <w:rsid w:val="00C93D51"/>
    <w:rsid w:val="00C93ED6"/>
    <w:rsid w:val="00C94452"/>
    <w:rsid w:val="00C94489"/>
    <w:rsid w:val="00C94548"/>
    <w:rsid w:val="00C945A4"/>
    <w:rsid w:val="00C945E1"/>
    <w:rsid w:val="00C94631"/>
    <w:rsid w:val="00C94848"/>
    <w:rsid w:val="00C948FB"/>
    <w:rsid w:val="00C94ACB"/>
    <w:rsid w:val="00C94CD0"/>
    <w:rsid w:val="00C95297"/>
    <w:rsid w:val="00C953A2"/>
    <w:rsid w:val="00C95490"/>
    <w:rsid w:val="00C9555A"/>
    <w:rsid w:val="00C955A9"/>
    <w:rsid w:val="00C957D3"/>
    <w:rsid w:val="00C95BA6"/>
    <w:rsid w:val="00C95C14"/>
    <w:rsid w:val="00C9615E"/>
    <w:rsid w:val="00C9679B"/>
    <w:rsid w:val="00C96A46"/>
    <w:rsid w:val="00C96B48"/>
    <w:rsid w:val="00C9708E"/>
    <w:rsid w:val="00C970E4"/>
    <w:rsid w:val="00C97158"/>
    <w:rsid w:val="00C971A5"/>
    <w:rsid w:val="00C973A1"/>
    <w:rsid w:val="00C97704"/>
    <w:rsid w:val="00C9776A"/>
    <w:rsid w:val="00C9791C"/>
    <w:rsid w:val="00C97A8C"/>
    <w:rsid w:val="00C97EC9"/>
    <w:rsid w:val="00CA0017"/>
    <w:rsid w:val="00CA0246"/>
    <w:rsid w:val="00CA025C"/>
    <w:rsid w:val="00CA0268"/>
    <w:rsid w:val="00CA0329"/>
    <w:rsid w:val="00CA0332"/>
    <w:rsid w:val="00CA0380"/>
    <w:rsid w:val="00CA0464"/>
    <w:rsid w:val="00CA05F5"/>
    <w:rsid w:val="00CA071F"/>
    <w:rsid w:val="00CA0737"/>
    <w:rsid w:val="00CA083C"/>
    <w:rsid w:val="00CA0844"/>
    <w:rsid w:val="00CA0992"/>
    <w:rsid w:val="00CA0A9C"/>
    <w:rsid w:val="00CA0C91"/>
    <w:rsid w:val="00CA0CE2"/>
    <w:rsid w:val="00CA0E48"/>
    <w:rsid w:val="00CA0E84"/>
    <w:rsid w:val="00CA0F6A"/>
    <w:rsid w:val="00CA0FE6"/>
    <w:rsid w:val="00CA1010"/>
    <w:rsid w:val="00CA10C8"/>
    <w:rsid w:val="00CA1168"/>
    <w:rsid w:val="00CA1269"/>
    <w:rsid w:val="00CA1398"/>
    <w:rsid w:val="00CA1536"/>
    <w:rsid w:val="00CA159F"/>
    <w:rsid w:val="00CA179B"/>
    <w:rsid w:val="00CA1896"/>
    <w:rsid w:val="00CA18B8"/>
    <w:rsid w:val="00CA18DD"/>
    <w:rsid w:val="00CA196C"/>
    <w:rsid w:val="00CA1A79"/>
    <w:rsid w:val="00CA1B60"/>
    <w:rsid w:val="00CA1CD9"/>
    <w:rsid w:val="00CA1D2A"/>
    <w:rsid w:val="00CA1D72"/>
    <w:rsid w:val="00CA1E30"/>
    <w:rsid w:val="00CA20E1"/>
    <w:rsid w:val="00CA21FB"/>
    <w:rsid w:val="00CA22E9"/>
    <w:rsid w:val="00CA23A3"/>
    <w:rsid w:val="00CA250E"/>
    <w:rsid w:val="00CA2653"/>
    <w:rsid w:val="00CA2659"/>
    <w:rsid w:val="00CA2672"/>
    <w:rsid w:val="00CA2721"/>
    <w:rsid w:val="00CA2804"/>
    <w:rsid w:val="00CA293C"/>
    <w:rsid w:val="00CA2A73"/>
    <w:rsid w:val="00CA2AFD"/>
    <w:rsid w:val="00CA2C6A"/>
    <w:rsid w:val="00CA2D9C"/>
    <w:rsid w:val="00CA2E1A"/>
    <w:rsid w:val="00CA2E86"/>
    <w:rsid w:val="00CA2E8F"/>
    <w:rsid w:val="00CA2F29"/>
    <w:rsid w:val="00CA2F96"/>
    <w:rsid w:val="00CA2F9B"/>
    <w:rsid w:val="00CA306D"/>
    <w:rsid w:val="00CA3155"/>
    <w:rsid w:val="00CA3279"/>
    <w:rsid w:val="00CA3295"/>
    <w:rsid w:val="00CA3362"/>
    <w:rsid w:val="00CA342C"/>
    <w:rsid w:val="00CA343D"/>
    <w:rsid w:val="00CA352C"/>
    <w:rsid w:val="00CA35DD"/>
    <w:rsid w:val="00CA367B"/>
    <w:rsid w:val="00CA3773"/>
    <w:rsid w:val="00CA37AB"/>
    <w:rsid w:val="00CA3A86"/>
    <w:rsid w:val="00CA3B5F"/>
    <w:rsid w:val="00CA3C77"/>
    <w:rsid w:val="00CA3D4B"/>
    <w:rsid w:val="00CA3D9C"/>
    <w:rsid w:val="00CA3ED4"/>
    <w:rsid w:val="00CA4120"/>
    <w:rsid w:val="00CA4188"/>
    <w:rsid w:val="00CA4342"/>
    <w:rsid w:val="00CA4509"/>
    <w:rsid w:val="00CA49A5"/>
    <w:rsid w:val="00CA4A70"/>
    <w:rsid w:val="00CA4A89"/>
    <w:rsid w:val="00CA4BF8"/>
    <w:rsid w:val="00CA4D3F"/>
    <w:rsid w:val="00CA4EF3"/>
    <w:rsid w:val="00CA4F4A"/>
    <w:rsid w:val="00CA4FBC"/>
    <w:rsid w:val="00CA50D2"/>
    <w:rsid w:val="00CA50DF"/>
    <w:rsid w:val="00CA5126"/>
    <w:rsid w:val="00CA5143"/>
    <w:rsid w:val="00CA541E"/>
    <w:rsid w:val="00CA552B"/>
    <w:rsid w:val="00CA560F"/>
    <w:rsid w:val="00CA593F"/>
    <w:rsid w:val="00CA5C8F"/>
    <w:rsid w:val="00CA6069"/>
    <w:rsid w:val="00CA60AD"/>
    <w:rsid w:val="00CA626D"/>
    <w:rsid w:val="00CA64E8"/>
    <w:rsid w:val="00CA6588"/>
    <w:rsid w:val="00CA665C"/>
    <w:rsid w:val="00CA6852"/>
    <w:rsid w:val="00CA6958"/>
    <w:rsid w:val="00CA6A5C"/>
    <w:rsid w:val="00CA6AD0"/>
    <w:rsid w:val="00CA6B1D"/>
    <w:rsid w:val="00CA6CB3"/>
    <w:rsid w:val="00CA6CE8"/>
    <w:rsid w:val="00CA6DBA"/>
    <w:rsid w:val="00CA6EDF"/>
    <w:rsid w:val="00CA6FF3"/>
    <w:rsid w:val="00CA7204"/>
    <w:rsid w:val="00CA75B6"/>
    <w:rsid w:val="00CA7846"/>
    <w:rsid w:val="00CA7C4D"/>
    <w:rsid w:val="00CA7D5E"/>
    <w:rsid w:val="00CA7E3B"/>
    <w:rsid w:val="00CA7EF2"/>
    <w:rsid w:val="00CB0123"/>
    <w:rsid w:val="00CB01CF"/>
    <w:rsid w:val="00CB0549"/>
    <w:rsid w:val="00CB0554"/>
    <w:rsid w:val="00CB0617"/>
    <w:rsid w:val="00CB06C2"/>
    <w:rsid w:val="00CB07C5"/>
    <w:rsid w:val="00CB07CE"/>
    <w:rsid w:val="00CB089E"/>
    <w:rsid w:val="00CB08F4"/>
    <w:rsid w:val="00CB08F7"/>
    <w:rsid w:val="00CB0947"/>
    <w:rsid w:val="00CB0B85"/>
    <w:rsid w:val="00CB0B96"/>
    <w:rsid w:val="00CB0BE0"/>
    <w:rsid w:val="00CB0CD5"/>
    <w:rsid w:val="00CB0E10"/>
    <w:rsid w:val="00CB0EDB"/>
    <w:rsid w:val="00CB10E9"/>
    <w:rsid w:val="00CB11E0"/>
    <w:rsid w:val="00CB13FF"/>
    <w:rsid w:val="00CB1522"/>
    <w:rsid w:val="00CB169C"/>
    <w:rsid w:val="00CB1729"/>
    <w:rsid w:val="00CB1792"/>
    <w:rsid w:val="00CB18E1"/>
    <w:rsid w:val="00CB192A"/>
    <w:rsid w:val="00CB1E11"/>
    <w:rsid w:val="00CB1FEC"/>
    <w:rsid w:val="00CB208A"/>
    <w:rsid w:val="00CB20BE"/>
    <w:rsid w:val="00CB2403"/>
    <w:rsid w:val="00CB243B"/>
    <w:rsid w:val="00CB24D2"/>
    <w:rsid w:val="00CB2562"/>
    <w:rsid w:val="00CB2667"/>
    <w:rsid w:val="00CB29CA"/>
    <w:rsid w:val="00CB2AE8"/>
    <w:rsid w:val="00CB2B9C"/>
    <w:rsid w:val="00CB2CD2"/>
    <w:rsid w:val="00CB2E06"/>
    <w:rsid w:val="00CB2E47"/>
    <w:rsid w:val="00CB2F43"/>
    <w:rsid w:val="00CB2F8C"/>
    <w:rsid w:val="00CB31FD"/>
    <w:rsid w:val="00CB332F"/>
    <w:rsid w:val="00CB34F8"/>
    <w:rsid w:val="00CB37B2"/>
    <w:rsid w:val="00CB3897"/>
    <w:rsid w:val="00CB39FB"/>
    <w:rsid w:val="00CB3ACE"/>
    <w:rsid w:val="00CB3B5D"/>
    <w:rsid w:val="00CB3F42"/>
    <w:rsid w:val="00CB3FC8"/>
    <w:rsid w:val="00CB3FDA"/>
    <w:rsid w:val="00CB4144"/>
    <w:rsid w:val="00CB4327"/>
    <w:rsid w:val="00CB4395"/>
    <w:rsid w:val="00CB442A"/>
    <w:rsid w:val="00CB45B5"/>
    <w:rsid w:val="00CB45CF"/>
    <w:rsid w:val="00CB4656"/>
    <w:rsid w:val="00CB46D9"/>
    <w:rsid w:val="00CB47D6"/>
    <w:rsid w:val="00CB4A50"/>
    <w:rsid w:val="00CB4CB5"/>
    <w:rsid w:val="00CB4DA7"/>
    <w:rsid w:val="00CB4DF7"/>
    <w:rsid w:val="00CB4EB7"/>
    <w:rsid w:val="00CB5064"/>
    <w:rsid w:val="00CB50C6"/>
    <w:rsid w:val="00CB5458"/>
    <w:rsid w:val="00CB54E7"/>
    <w:rsid w:val="00CB566A"/>
    <w:rsid w:val="00CB5866"/>
    <w:rsid w:val="00CB590F"/>
    <w:rsid w:val="00CB5992"/>
    <w:rsid w:val="00CB5A5A"/>
    <w:rsid w:val="00CB5BA1"/>
    <w:rsid w:val="00CB5BC0"/>
    <w:rsid w:val="00CB5DC0"/>
    <w:rsid w:val="00CB5DC6"/>
    <w:rsid w:val="00CB5FC0"/>
    <w:rsid w:val="00CB629A"/>
    <w:rsid w:val="00CB63CE"/>
    <w:rsid w:val="00CB64B3"/>
    <w:rsid w:val="00CB661B"/>
    <w:rsid w:val="00CB663F"/>
    <w:rsid w:val="00CB6718"/>
    <w:rsid w:val="00CB6897"/>
    <w:rsid w:val="00CB6977"/>
    <w:rsid w:val="00CB69FC"/>
    <w:rsid w:val="00CB6BE2"/>
    <w:rsid w:val="00CB6DD8"/>
    <w:rsid w:val="00CB7443"/>
    <w:rsid w:val="00CB7468"/>
    <w:rsid w:val="00CB74FE"/>
    <w:rsid w:val="00CB753A"/>
    <w:rsid w:val="00CB7597"/>
    <w:rsid w:val="00CB7781"/>
    <w:rsid w:val="00CB7784"/>
    <w:rsid w:val="00CB7832"/>
    <w:rsid w:val="00CB7912"/>
    <w:rsid w:val="00CB79B0"/>
    <w:rsid w:val="00CB79FB"/>
    <w:rsid w:val="00CB7E64"/>
    <w:rsid w:val="00CC004B"/>
    <w:rsid w:val="00CC004E"/>
    <w:rsid w:val="00CC0086"/>
    <w:rsid w:val="00CC01C7"/>
    <w:rsid w:val="00CC03ED"/>
    <w:rsid w:val="00CC05DF"/>
    <w:rsid w:val="00CC0893"/>
    <w:rsid w:val="00CC09F0"/>
    <w:rsid w:val="00CC0A98"/>
    <w:rsid w:val="00CC0BC3"/>
    <w:rsid w:val="00CC0C2D"/>
    <w:rsid w:val="00CC0D60"/>
    <w:rsid w:val="00CC0EBC"/>
    <w:rsid w:val="00CC1005"/>
    <w:rsid w:val="00CC1325"/>
    <w:rsid w:val="00CC1379"/>
    <w:rsid w:val="00CC1380"/>
    <w:rsid w:val="00CC16D3"/>
    <w:rsid w:val="00CC182C"/>
    <w:rsid w:val="00CC19F3"/>
    <w:rsid w:val="00CC1B56"/>
    <w:rsid w:val="00CC1B5A"/>
    <w:rsid w:val="00CC1C62"/>
    <w:rsid w:val="00CC1FF0"/>
    <w:rsid w:val="00CC2043"/>
    <w:rsid w:val="00CC227D"/>
    <w:rsid w:val="00CC243F"/>
    <w:rsid w:val="00CC2488"/>
    <w:rsid w:val="00CC250B"/>
    <w:rsid w:val="00CC25F7"/>
    <w:rsid w:val="00CC272E"/>
    <w:rsid w:val="00CC286B"/>
    <w:rsid w:val="00CC29A8"/>
    <w:rsid w:val="00CC2A6F"/>
    <w:rsid w:val="00CC2CE4"/>
    <w:rsid w:val="00CC2FE1"/>
    <w:rsid w:val="00CC30D2"/>
    <w:rsid w:val="00CC3113"/>
    <w:rsid w:val="00CC32E9"/>
    <w:rsid w:val="00CC3374"/>
    <w:rsid w:val="00CC3400"/>
    <w:rsid w:val="00CC3415"/>
    <w:rsid w:val="00CC35B2"/>
    <w:rsid w:val="00CC3612"/>
    <w:rsid w:val="00CC362D"/>
    <w:rsid w:val="00CC368E"/>
    <w:rsid w:val="00CC36FE"/>
    <w:rsid w:val="00CC392B"/>
    <w:rsid w:val="00CC3DC4"/>
    <w:rsid w:val="00CC3F37"/>
    <w:rsid w:val="00CC3FB7"/>
    <w:rsid w:val="00CC4260"/>
    <w:rsid w:val="00CC42AD"/>
    <w:rsid w:val="00CC456F"/>
    <w:rsid w:val="00CC4627"/>
    <w:rsid w:val="00CC46EF"/>
    <w:rsid w:val="00CC4A15"/>
    <w:rsid w:val="00CC4B7D"/>
    <w:rsid w:val="00CC4CAE"/>
    <w:rsid w:val="00CC4CB0"/>
    <w:rsid w:val="00CC509E"/>
    <w:rsid w:val="00CC5273"/>
    <w:rsid w:val="00CC5333"/>
    <w:rsid w:val="00CC54F2"/>
    <w:rsid w:val="00CC56A1"/>
    <w:rsid w:val="00CC5BE8"/>
    <w:rsid w:val="00CC5D19"/>
    <w:rsid w:val="00CC5E94"/>
    <w:rsid w:val="00CC60C6"/>
    <w:rsid w:val="00CC612E"/>
    <w:rsid w:val="00CC6138"/>
    <w:rsid w:val="00CC6172"/>
    <w:rsid w:val="00CC63F5"/>
    <w:rsid w:val="00CC640E"/>
    <w:rsid w:val="00CC6541"/>
    <w:rsid w:val="00CC66EA"/>
    <w:rsid w:val="00CC66FA"/>
    <w:rsid w:val="00CC6807"/>
    <w:rsid w:val="00CC6ACE"/>
    <w:rsid w:val="00CC716E"/>
    <w:rsid w:val="00CC72F2"/>
    <w:rsid w:val="00CC72F6"/>
    <w:rsid w:val="00CC74F9"/>
    <w:rsid w:val="00CC7632"/>
    <w:rsid w:val="00CC7714"/>
    <w:rsid w:val="00CC790B"/>
    <w:rsid w:val="00CC7A19"/>
    <w:rsid w:val="00CC7B81"/>
    <w:rsid w:val="00CC7BBE"/>
    <w:rsid w:val="00CC7CC9"/>
    <w:rsid w:val="00CD020F"/>
    <w:rsid w:val="00CD023A"/>
    <w:rsid w:val="00CD07E7"/>
    <w:rsid w:val="00CD0987"/>
    <w:rsid w:val="00CD0AE7"/>
    <w:rsid w:val="00CD0CDE"/>
    <w:rsid w:val="00CD0FC2"/>
    <w:rsid w:val="00CD1049"/>
    <w:rsid w:val="00CD117B"/>
    <w:rsid w:val="00CD1324"/>
    <w:rsid w:val="00CD142D"/>
    <w:rsid w:val="00CD1584"/>
    <w:rsid w:val="00CD1679"/>
    <w:rsid w:val="00CD17E9"/>
    <w:rsid w:val="00CD18C9"/>
    <w:rsid w:val="00CD1A0B"/>
    <w:rsid w:val="00CD1A2A"/>
    <w:rsid w:val="00CD1B5A"/>
    <w:rsid w:val="00CD1C3E"/>
    <w:rsid w:val="00CD1D90"/>
    <w:rsid w:val="00CD1D9E"/>
    <w:rsid w:val="00CD1DD3"/>
    <w:rsid w:val="00CD1EF2"/>
    <w:rsid w:val="00CD1FD9"/>
    <w:rsid w:val="00CD2300"/>
    <w:rsid w:val="00CD254A"/>
    <w:rsid w:val="00CD2651"/>
    <w:rsid w:val="00CD26B3"/>
    <w:rsid w:val="00CD2719"/>
    <w:rsid w:val="00CD2832"/>
    <w:rsid w:val="00CD29AE"/>
    <w:rsid w:val="00CD2C04"/>
    <w:rsid w:val="00CD303A"/>
    <w:rsid w:val="00CD31C4"/>
    <w:rsid w:val="00CD325D"/>
    <w:rsid w:val="00CD33F9"/>
    <w:rsid w:val="00CD3523"/>
    <w:rsid w:val="00CD353D"/>
    <w:rsid w:val="00CD35F2"/>
    <w:rsid w:val="00CD3822"/>
    <w:rsid w:val="00CD3919"/>
    <w:rsid w:val="00CD3989"/>
    <w:rsid w:val="00CD3A58"/>
    <w:rsid w:val="00CD3ADA"/>
    <w:rsid w:val="00CD3B6C"/>
    <w:rsid w:val="00CD3DBD"/>
    <w:rsid w:val="00CD3DFE"/>
    <w:rsid w:val="00CD3EFD"/>
    <w:rsid w:val="00CD3F5E"/>
    <w:rsid w:val="00CD4249"/>
    <w:rsid w:val="00CD44B5"/>
    <w:rsid w:val="00CD4552"/>
    <w:rsid w:val="00CD462E"/>
    <w:rsid w:val="00CD4668"/>
    <w:rsid w:val="00CD48BF"/>
    <w:rsid w:val="00CD4995"/>
    <w:rsid w:val="00CD4B2E"/>
    <w:rsid w:val="00CD4C3C"/>
    <w:rsid w:val="00CD4D5D"/>
    <w:rsid w:val="00CD4D87"/>
    <w:rsid w:val="00CD4DE4"/>
    <w:rsid w:val="00CD4ECB"/>
    <w:rsid w:val="00CD4EF3"/>
    <w:rsid w:val="00CD4EF6"/>
    <w:rsid w:val="00CD4EFF"/>
    <w:rsid w:val="00CD4F31"/>
    <w:rsid w:val="00CD512C"/>
    <w:rsid w:val="00CD525A"/>
    <w:rsid w:val="00CD5381"/>
    <w:rsid w:val="00CD5532"/>
    <w:rsid w:val="00CD5584"/>
    <w:rsid w:val="00CD5683"/>
    <w:rsid w:val="00CD579B"/>
    <w:rsid w:val="00CD57FE"/>
    <w:rsid w:val="00CD596F"/>
    <w:rsid w:val="00CD5C36"/>
    <w:rsid w:val="00CD5F06"/>
    <w:rsid w:val="00CD5F5C"/>
    <w:rsid w:val="00CD5FF0"/>
    <w:rsid w:val="00CD604F"/>
    <w:rsid w:val="00CD63D0"/>
    <w:rsid w:val="00CD6527"/>
    <w:rsid w:val="00CD6565"/>
    <w:rsid w:val="00CD65AA"/>
    <w:rsid w:val="00CD65C2"/>
    <w:rsid w:val="00CD664F"/>
    <w:rsid w:val="00CD6682"/>
    <w:rsid w:val="00CD698E"/>
    <w:rsid w:val="00CD6992"/>
    <w:rsid w:val="00CD6B3F"/>
    <w:rsid w:val="00CD6C07"/>
    <w:rsid w:val="00CD6C1C"/>
    <w:rsid w:val="00CD6C8A"/>
    <w:rsid w:val="00CD6E48"/>
    <w:rsid w:val="00CD6F0D"/>
    <w:rsid w:val="00CD6FB7"/>
    <w:rsid w:val="00CD71D9"/>
    <w:rsid w:val="00CD7AE3"/>
    <w:rsid w:val="00CD7C54"/>
    <w:rsid w:val="00CD7F3C"/>
    <w:rsid w:val="00CD7F63"/>
    <w:rsid w:val="00CE00BD"/>
    <w:rsid w:val="00CE0323"/>
    <w:rsid w:val="00CE03AE"/>
    <w:rsid w:val="00CE052E"/>
    <w:rsid w:val="00CE0595"/>
    <w:rsid w:val="00CE07BB"/>
    <w:rsid w:val="00CE080E"/>
    <w:rsid w:val="00CE08E0"/>
    <w:rsid w:val="00CE0C8D"/>
    <w:rsid w:val="00CE0F02"/>
    <w:rsid w:val="00CE0F8C"/>
    <w:rsid w:val="00CE0FA4"/>
    <w:rsid w:val="00CE0FA7"/>
    <w:rsid w:val="00CE1064"/>
    <w:rsid w:val="00CE11C2"/>
    <w:rsid w:val="00CE11C3"/>
    <w:rsid w:val="00CE13A3"/>
    <w:rsid w:val="00CE13F1"/>
    <w:rsid w:val="00CE1469"/>
    <w:rsid w:val="00CE1984"/>
    <w:rsid w:val="00CE1AB0"/>
    <w:rsid w:val="00CE1B0F"/>
    <w:rsid w:val="00CE1B69"/>
    <w:rsid w:val="00CE1C26"/>
    <w:rsid w:val="00CE1CDF"/>
    <w:rsid w:val="00CE1CE1"/>
    <w:rsid w:val="00CE1D86"/>
    <w:rsid w:val="00CE1E4C"/>
    <w:rsid w:val="00CE1FA3"/>
    <w:rsid w:val="00CE260B"/>
    <w:rsid w:val="00CE2815"/>
    <w:rsid w:val="00CE2858"/>
    <w:rsid w:val="00CE28D7"/>
    <w:rsid w:val="00CE28E1"/>
    <w:rsid w:val="00CE2A11"/>
    <w:rsid w:val="00CE2A14"/>
    <w:rsid w:val="00CE2A4E"/>
    <w:rsid w:val="00CE2D04"/>
    <w:rsid w:val="00CE2E4B"/>
    <w:rsid w:val="00CE309B"/>
    <w:rsid w:val="00CE3138"/>
    <w:rsid w:val="00CE3188"/>
    <w:rsid w:val="00CE34DE"/>
    <w:rsid w:val="00CE34F2"/>
    <w:rsid w:val="00CE35F5"/>
    <w:rsid w:val="00CE3662"/>
    <w:rsid w:val="00CE373C"/>
    <w:rsid w:val="00CE37A4"/>
    <w:rsid w:val="00CE3990"/>
    <w:rsid w:val="00CE3BDE"/>
    <w:rsid w:val="00CE3D90"/>
    <w:rsid w:val="00CE402C"/>
    <w:rsid w:val="00CE427B"/>
    <w:rsid w:val="00CE439E"/>
    <w:rsid w:val="00CE4418"/>
    <w:rsid w:val="00CE46A3"/>
    <w:rsid w:val="00CE47CC"/>
    <w:rsid w:val="00CE483A"/>
    <w:rsid w:val="00CE498E"/>
    <w:rsid w:val="00CE4A3B"/>
    <w:rsid w:val="00CE4B45"/>
    <w:rsid w:val="00CE4BFF"/>
    <w:rsid w:val="00CE4C11"/>
    <w:rsid w:val="00CE4D15"/>
    <w:rsid w:val="00CE4F33"/>
    <w:rsid w:val="00CE5064"/>
    <w:rsid w:val="00CE5248"/>
    <w:rsid w:val="00CE540D"/>
    <w:rsid w:val="00CE55E8"/>
    <w:rsid w:val="00CE5AD1"/>
    <w:rsid w:val="00CE5DD2"/>
    <w:rsid w:val="00CE636D"/>
    <w:rsid w:val="00CE6370"/>
    <w:rsid w:val="00CE65B7"/>
    <w:rsid w:val="00CE69DA"/>
    <w:rsid w:val="00CE6D53"/>
    <w:rsid w:val="00CE6DC9"/>
    <w:rsid w:val="00CE6E98"/>
    <w:rsid w:val="00CE71F6"/>
    <w:rsid w:val="00CE7279"/>
    <w:rsid w:val="00CE729D"/>
    <w:rsid w:val="00CE754E"/>
    <w:rsid w:val="00CE7678"/>
    <w:rsid w:val="00CE76A3"/>
    <w:rsid w:val="00CE79B7"/>
    <w:rsid w:val="00CE7A6F"/>
    <w:rsid w:val="00CE7AA0"/>
    <w:rsid w:val="00CE7BC2"/>
    <w:rsid w:val="00CE7DAA"/>
    <w:rsid w:val="00CE7F40"/>
    <w:rsid w:val="00CF017D"/>
    <w:rsid w:val="00CF0681"/>
    <w:rsid w:val="00CF07BA"/>
    <w:rsid w:val="00CF0832"/>
    <w:rsid w:val="00CF0ABD"/>
    <w:rsid w:val="00CF0D17"/>
    <w:rsid w:val="00CF0E0D"/>
    <w:rsid w:val="00CF0E51"/>
    <w:rsid w:val="00CF11D9"/>
    <w:rsid w:val="00CF11E9"/>
    <w:rsid w:val="00CF11FB"/>
    <w:rsid w:val="00CF127B"/>
    <w:rsid w:val="00CF12CF"/>
    <w:rsid w:val="00CF145E"/>
    <w:rsid w:val="00CF14C0"/>
    <w:rsid w:val="00CF14E5"/>
    <w:rsid w:val="00CF1538"/>
    <w:rsid w:val="00CF1697"/>
    <w:rsid w:val="00CF16F2"/>
    <w:rsid w:val="00CF176A"/>
    <w:rsid w:val="00CF17F9"/>
    <w:rsid w:val="00CF193A"/>
    <w:rsid w:val="00CF1ADD"/>
    <w:rsid w:val="00CF1AEE"/>
    <w:rsid w:val="00CF1BF1"/>
    <w:rsid w:val="00CF1C96"/>
    <w:rsid w:val="00CF1EF3"/>
    <w:rsid w:val="00CF2025"/>
    <w:rsid w:val="00CF20E4"/>
    <w:rsid w:val="00CF23C5"/>
    <w:rsid w:val="00CF2416"/>
    <w:rsid w:val="00CF2421"/>
    <w:rsid w:val="00CF258C"/>
    <w:rsid w:val="00CF269F"/>
    <w:rsid w:val="00CF2877"/>
    <w:rsid w:val="00CF2915"/>
    <w:rsid w:val="00CF2A2B"/>
    <w:rsid w:val="00CF2B8A"/>
    <w:rsid w:val="00CF2C13"/>
    <w:rsid w:val="00CF2C48"/>
    <w:rsid w:val="00CF2DF6"/>
    <w:rsid w:val="00CF2E2A"/>
    <w:rsid w:val="00CF2E3C"/>
    <w:rsid w:val="00CF3070"/>
    <w:rsid w:val="00CF3077"/>
    <w:rsid w:val="00CF31D8"/>
    <w:rsid w:val="00CF330D"/>
    <w:rsid w:val="00CF3514"/>
    <w:rsid w:val="00CF35B3"/>
    <w:rsid w:val="00CF3837"/>
    <w:rsid w:val="00CF3A1D"/>
    <w:rsid w:val="00CF3B22"/>
    <w:rsid w:val="00CF3CAA"/>
    <w:rsid w:val="00CF3E12"/>
    <w:rsid w:val="00CF3E63"/>
    <w:rsid w:val="00CF3FD3"/>
    <w:rsid w:val="00CF413A"/>
    <w:rsid w:val="00CF457F"/>
    <w:rsid w:val="00CF476F"/>
    <w:rsid w:val="00CF47FA"/>
    <w:rsid w:val="00CF483E"/>
    <w:rsid w:val="00CF49DB"/>
    <w:rsid w:val="00CF4C60"/>
    <w:rsid w:val="00CF4F09"/>
    <w:rsid w:val="00CF501B"/>
    <w:rsid w:val="00CF5162"/>
    <w:rsid w:val="00CF5196"/>
    <w:rsid w:val="00CF530D"/>
    <w:rsid w:val="00CF53E2"/>
    <w:rsid w:val="00CF54F1"/>
    <w:rsid w:val="00CF561E"/>
    <w:rsid w:val="00CF564F"/>
    <w:rsid w:val="00CF566F"/>
    <w:rsid w:val="00CF57E8"/>
    <w:rsid w:val="00CF58CF"/>
    <w:rsid w:val="00CF5A5A"/>
    <w:rsid w:val="00CF5AE0"/>
    <w:rsid w:val="00CF5AE9"/>
    <w:rsid w:val="00CF5C1D"/>
    <w:rsid w:val="00CF5C36"/>
    <w:rsid w:val="00CF5DCF"/>
    <w:rsid w:val="00CF5E71"/>
    <w:rsid w:val="00CF5F0E"/>
    <w:rsid w:val="00CF5F7D"/>
    <w:rsid w:val="00CF627C"/>
    <w:rsid w:val="00CF651D"/>
    <w:rsid w:val="00CF6574"/>
    <w:rsid w:val="00CF69A9"/>
    <w:rsid w:val="00CF6B5E"/>
    <w:rsid w:val="00CF6BAE"/>
    <w:rsid w:val="00CF6BF2"/>
    <w:rsid w:val="00CF6C28"/>
    <w:rsid w:val="00CF6EE9"/>
    <w:rsid w:val="00CF6F3A"/>
    <w:rsid w:val="00CF6FBC"/>
    <w:rsid w:val="00CF708F"/>
    <w:rsid w:val="00CF7093"/>
    <w:rsid w:val="00CF7128"/>
    <w:rsid w:val="00CF735E"/>
    <w:rsid w:val="00CF74F6"/>
    <w:rsid w:val="00CF7539"/>
    <w:rsid w:val="00CF76D5"/>
    <w:rsid w:val="00CF78DA"/>
    <w:rsid w:val="00CF7A37"/>
    <w:rsid w:val="00CF7B3A"/>
    <w:rsid w:val="00CF7BC7"/>
    <w:rsid w:val="00CF7C64"/>
    <w:rsid w:val="00CF7CAA"/>
    <w:rsid w:val="00CF7CEA"/>
    <w:rsid w:val="00CF7FCF"/>
    <w:rsid w:val="00CF7FF5"/>
    <w:rsid w:val="00D001BA"/>
    <w:rsid w:val="00D00235"/>
    <w:rsid w:val="00D00372"/>
    <w:rsid w:val="00D0077F"/>
    <w:rsid w:val="00D00793"/>
    <w:rsid w:val="00D008A0"/>
    <w:rsid w:val="00D008DC"/>
    <w:rsid w:val="00D00955"/>
    <w:rsid w:val="00D00D53"/>
    <w:rsid w:val="00D012A8"/>
    <w:rsid w:val="00D0139D"/>
    <w:rsid w:val="00D0159F"/>
    <w:rsid w:val="00D01725"/>
    <w:rsid w:val="00D01800"/>
    <w:rsid w:val="00D01889"/>
    <w:rsid w:val="00D01903"/>
    <w:rsid w:val="00D0191C"/>
    <w:rsid w:val="00D019B5"/>
    <w:rsid w:val="00D01B61"/>
    <w:rsid w:val="00D01D1F"/>
    <w:rsid w:val="00D01EDE"/>
    <w:rsid w:val="00D01F64"/>
    <w:rsid w:val="00D01F99"/>
    <w:rsid w:val="00D020C5"/>
    <w:rsid w:val="00D020F2"/>
    <w:rsid w:val="00D0216B"/>
    <w:rsid w:val="00D021BA"/>
    <w:rsid w:val="00D022F8"/>
    <w:rsid w:val="00D02867"/>
    <w:rsid w:val="00D028F3"/>
    <w:rsid w:val="00D029F1"/>
    <w:rsid w:val="00D02B31"/>
    <w:rsid w:val="00D02DF9"/>
    <w:rsid w:val="00D02E7D"/>
    <w:rsid w:val="00D02F86"/>
    <w:rsid w:val="00D031F2"/>
    <w:rsid w:val="00D03298"/>
    <w:rsid w:val="00D032DA"/>
    <w:rsid w:val="00D0355D"/>
    <w:rsid w:val="00D0370F"/>
    <w:rsid w:val="00D03747"/>
    <w:rsid w:val="00D037D0"/>
    <w:rsid w:val="00D03912"/>
    <w:rsid w:val="00D03940"/>
    <w:rsid w:val="00D039D2"/>
    <w:rsid w:val="00D03AA1"/>
    <w:rsid w:val="00D03AD5"/>
    <w:rsid w:val="00D03C66"/>
    <w:rsid w:val="00D03D45"/>
    <w:rsid w:val="00D03D69"/>
    <w:rsid w:val="00D03E0E"/>
    <w:rsid w:val="00D03F94"/>
    <w:rsid w:val="00D04221"/>
    <w:rsid w:val="00D042BF"/>
    <w:rsid w:val="00D04561"/>
    <w:rsid w:val="00D046EF"/>
    <w:rsid w:val="00D04716"/>
    <w:rsid w:val="00D0493E"/>
    <w:rsid w:val="00D04D8B"/>
    <w:rsid w:val="00D04E59"/>
    <w:rsid w:val="00D05021"/>
    <w:rsid w:val="00D050C7"/>
    <w:rsid w:val="00D0518A"/>
    <w:rsid w:val="00D0527C"/>
    <w:rsid w:val="00D0530E"/>
    <w:rsid w:val="00D0536F"/>
    <w:rsid w:val="00D05395"/>
    <w:rsid w:val="00D0545E"/>
    <w:rsid w:val="00D05716"/>
    <w:rsid w:val="00D05D07"/>
    <w:rsid w:val="00D062D1"/>
    <w:rsid w:val="00D06527"/>
    <w:rsid w:val="00D06657"/>
    <w:rsid w:val="00D06774"/>
    <w:rsid w:val="00D06785"/>
    <w:rsid w:val="00D067C3"/>
    <w:rsid w:val="00D06840"/>
    <w:rsid w:val="00D06A37"/>
    <w:rsid w:val="00D06E1C"/>
    <w:rsid w:val="00D07186"/>
    <w:rsid w:val="00D07377"/>
    <w:rsid w:val="00D0741F"/>
    <w:rsid w:val="00D07452"/>
    <w:rsid w:val="00D07509"/>
    <w:rsid w:val="00D0760B"/>
    <w:rsid w:val="00D07731"/>
    <w:rsid w:val="00D077CD"/>
    <w:rsid w:val="00D07873"/>
    <w:rsid w:val="00D07FFD"/>
    <w:rsid w:val="00D1003E"/>
    <w:rsid w:val="00D10073"/>
    <w:rsid w:val="00D100C5"/>
    <w:rsid w:val="00D1031D"/>
    <w:rsid w:val="00D103AE"/>
    <w:rsid w:val="00D10532"/>
    <w:rsid w:val="00D10562"/>
    <w:rsid w:val="00D1079E"/>
    <w:rsid w:val="00D10866"/>
    <w:rsid w:val="00D10987"/>
    <w:rsid w:val="00D109F0"/>
    <w:rsid w:val="00D10A28"/>
    <w:rsid w:val="00D10BE2"/>
    <w:rsid w:val="00D10CE1"/>
    <w:rsid w:val="00D10D1A"/>
    <w:rsid w:val="00D10EAA"/>
    <w:rsid w:val="00D10EDD"/>
    <w:rsid w:val="00D11040"/>
    <w:rsid w:val="00D110A4"/>
    <w:rsid w:val="00D1149B"/>
    <w:rsid w:val="00D114A4"/>
    <w:rsid w:val="00D1164A"/>
    <w:rsid w:val="00D116BE"/>
    <w:rsid w:val="00D11709"/>
    <w:rsid w:val="00D11773"/>
    <w:rsid w:val="00D11841"/>
    <w:rsid w:val="00D11879"/>
    <w:rsid w:val="00D11BFE"/>
    <w:rsid w:val="00D11C69"/>
    <w:rsid w:val="00D11DAB"/>
    <w:rsid w:val="00D11DE7"/>
    <w:rsid w:val="00D120AD"/>
    <w:rsid w:val="00D120C9"/>
    <w:rsid w:val="00D120F5"/>
    <w:rsid w:val="00D120F8"/>
    <w:rsid w:val="00D1231B"/>
    <w:rsid w:val="00D1241F"/>
    <w:rsid w:val="00D1246F"/>
    <w:rsid w:val="00D125BA"/>
    <w:rsid w:val="00D126DF"/>
    <w:rsid w:val="00D12856"/>
    <w:rsid w:val="00D12879"/>
    <w:rsid w:val="00D12ABA"/>
    <w:rsid w:val="00D12C96"/>
    <w:rsid w:val="00D12D5B"/>
    <w:rsid w:val="00D12ECF"/>
    <w:rsid w:val="00D13032"/>
    <w:rsid w:val="00D136B1"/>
    <w:rsid w:val="00D137A6"/>
    <w:rsid w:val="00D1387D"/>
    <w:rsid w:val="00D139CF"/>
    <w:rsid w:val="00D13A9E"/>
    <w:rsid w:val="00D13CB8"/>
    <w:rsid w:val="00D13DD2"/>
    <w:rsid w:val="00D13F64"/>
    <w:rsid w:val="00D14056"/>
    <w:rsid w:val="00D14246"/>
    <w:rsid w:val="00D143BA"/>
    <w:rsid w:val="00D144FA"/>
    <w:rsid w:val="00D1481B"/>
    <w:rsid w:val="00D14849"/>
    <w:rsid w:val="00D14A6B"/>
    <w:rsid w:val="00D14AE9"/>
    <w:rsid w:val="00D14CB4"/>
    <w:rsid w:val="00D14E40"/>
    <w:rsid w:val="00D150A5"/>
    <w:rsid w:val="00D15130"/>
    <w:rsid w:val="00D15166"/>
    <w:rsid w:val="00D151ED"/>
    <w:rsid w:val="00D153B3"/>
    <w:rsid w:val="00D1543D"/>
    <w:rsid w:val="00D1573D"/>
    <w:rsid w:val="00D15878"/>
    <w:rsid w:val="00D1591C"/>
    <w:rsid w:val="00D159A5"/>
    <w:rsid w:val="00D159D5"/>
    <w:rsid w:val="00D15A2C"/>
    <w:rsid w:val="00D15A94"/>
    <w:rsid w:val="00D15BA9"/>
    <w:rsid w:val="00D15CD9"/>
    <w:rsid w:val="00D15F29"/>
    <w:rsid w:val="00D1615F"/>
    <w:rsid w:val="00D16209"/>
    <w:rsid w:val="00D163F0"/>
    <w:rsid w:val="00D163F2"/>
    <w:rsid w:val="00D164B0"/>
    <w:rsid w:val="00D16552"/>
    <w:rsid w:val="00D16601"/>
    <w:rsid w:val="00D16617"/>
    <w:rsid w:val="00D16622"/>
    <w:rsid w:val="00D16A47"/>
    <w:rsid w:val="00D16B0C"/>
    <w:rsid w:val="00D16B45"/>
    <w:rsid w:val="00D16BF8"/>
    <w:rsid w:val="00D17005"/>
    <w:rsid w:val="00D17280"/>
    <w:rsid w:val="00D17427"/>
    <w:rsid w:val="00D174B7"/>
    <w:rsid w:val="00D17546"/>
    <w:rsid w:val="00D17661"/>
    <w:rsid w:val="00D176C7"/>
    <w:rsid w:val="00D17964"/>
    <w:rsid w:val="00D179D7"/>
    <w:rsid w:val="00D17A21"/>
    <w:rsid w:val="00D17ACD"/>
    <w:rsid w:val="00D17AE7"/>
    <w:rsid w:val="00D17E27"/>
    <w:rsid w:val="00D17E50"/>
    <w:rsid w:val="00D17E57"/>
    <w:rsid w:val="00D17ECF"/>
    <w:rsid w:val="00D20008"/>
    <w:rsid w:val="00D20147"/>
    <w:rsid w:val="00D20276"/>
    <w:rsid w:val="00D202C0"/>
    <w:rsid w:val="00D2050F"/>
    <w:rsid w:val="00D206AE"/>
    <w:rsid w:val="00D207A0"/>
    <w:rsid w:val="00D20923"/>
    <w:rsid w:val="00D209F4"/>
    <w:rsid w:val="00D20A97"/>
    <w:rsid w:val="00D20B57"/>
    <w:rsid w:val="00D20B7F"/>
    <w:rsid w:val="00D20DD2"/>
    <w:rsid w:val="00D2105B"/>
    <w:rsid w:val="00D21123"/>
    <w:rsid w:val="00D211F4"/>
    <w:rsid w:val="00D211F9"/>
    <w:rsid w:val="00D212D4"/>
    <w:rsid w:val="00D21485"/>
    <w:rsid w:val="00D2169C"/>
    <w:rsid w:val="00D216F9"/>
    <w:rsid w:val="00D217EA"/>
    <w:rsid w:val="00D217F8"/>
    <w:rsid w:val="00D21824"/>
    <w:rsid w:val="00D2185A"/>
    <w:rsid w:val="00D219CB"/>
    <w:rsid w:val="00D21A27"/>
    <w:rsid w:val="00D21CBA"/>
    <w:rsid w:val="00D21E71"/>
    <w:rsid w:val="00D221A5"/>
    <w:rsid w:val="00D2223F"/>
    <w:rsid w:val="00D22298"/>
    <w:rsid w:val="00D22317"/>
    <w:rsid w:val="00D224CD"/>
    <w:rsid w:val="00D225C6"/>
    <w:rsid w:val="00D2293B"/>
    <w:rsid w:val="00D2294C"/>
    <w:rsid w:val="00D2295D"/>
    <w:rsid w:val="00D22B62"/>
    <w:rsid w:val="00D22BDA"/>
    <w:rsid w:val="00D22DEE"/>
    <w:rsid w:val="00D22F7E"/>
    <w:rsid w:val="00D22FED"/>
    <w:rsid w:val="00D23025"/>
    <w:rsid w:val="00D232A9"/>
    <w:rsid w:val="00D233B2"/>
    <w:rsid w:val="00D23568"/>
    <w:rsid w:val="00D235D9"/>
    <w:rsid w:val="00D23627"/>
    <w:rsid w:val="00D236F1"/>
    <w:rsid w:val="00D2374B"/>
    <w:rsid w:val="00D238EB"/>
    <w:rsid w:val="00D23A6D"/>
    <w:rsid w:val="00D23BCD"/>
    <w:rsid w:val="00D23C89"/>
    <w:rsid w:val="00D23D62"/>
    <w:rsid w:val="00D23DC2"/>
    <w:rsid w:val="00D23E37"/>
    <w:rsid w:val="00D23F0E"/>
    <w:rsid w:val="00D23F69"/>
    <w:rsid w:val="00D24075"/>
    <w:rsid w:val="00D24160"/>
    <w:rsid w:val="00D24195"/>
    <w:rsid w:val="00D24218"/>
    <w:rsid w:val="00D24246"/>
    <w:rsid w:val="00D2426B"/>
    <w:rsid w:val="00D2428E"/>
    <w:rsid w:val="00D2440B"/>
    <w:rsid w:val="00D2450D"/>
    <w:rsid w:val="00D24624"/>
    <w:rsid w:val="00D24996"/>
    <w:rsid w:val="00D249FD"/>
    <w:rsid w:val="00D24AE4"/>
    <w:rsid w:val="00D24BB1"/>
    <w:rsid w:val="00D24CCB"/>
    <w:rsid w:val="00D24D85"/>
    <w:rsid w:val="00D24DB2"/>
    <w:rsid w:val="00D24EBC"/>
    <w:rsid w:val="00D24F6E"/>
    <w:rsid w:val="00D24FF5"/>
    <w:rsid w:val="00D25033"/>
    <w:rsid w:val="00D2511E"/>
    <w:rsid w:val="00D251A3"/>
    <w:rsid w:val="00D2531A"/>
    <w:rsid w:val="00D2559D"/>
    <w:rsid w:val="00D25624"/>
    <w:rsid w:val="00D25668"/>
    <w:rsid w:val="00D25796"/>
    <w:rsid w:val="00D258E5"/>
    <w:rsid w:val="00D25B1D"/>
    <w:rsid w:val="00D25B5F"/>
    <w:rsid w:val="00D25D96"/>
    <w:rsid w:val="00D25E35"/>
    <w:rsid w:val="00D26008"/>
    <w:rsid w:val="00D26057"/>
    <w:rsid w:val="00D26142"/>
    <w:rsid w:val="00D261A2"/>
    <w:rsid w:val="00D262ED"/>
    <w:rsid w:val="00D2644D"/>
    <w:rsid w:val="00D26483"/>
    <w:rsid w:val="00D264EA"/>
    <w:rsid w:val="00D265B4"/>
    <w:rsid w:val="00D2665B"/>
    <w:rsid w:val="00D267C3"/>
    <w:rsid w:val="00D2687B"/>
    <w:rsid w:val="00D268F9"/>
    <w:rsid w:val="00D2696D"/>
    <w:rsid w:val="00D269D5"/>
    <w:rsid w:val="00D26A71"/>
    <w:rsid w:val="00D26ADE"/>
    <w:rsid w:val="00D26B71"/>
    <w:rsid w:val="00D26F6B"/>
    <w:rsid w:val="00D26F8B"/>
    <w:rsid w:val="00D26FF1"/>
    <w:rsid w:val="00D27133"/>
    <w:rsid w:val="00D2715A"/>
    <w:rsid w:val="00D27263"/>
    <w:rsid w:val="00D272C2"/>
    <w:rsid w:val="00D27372"/>
    <w:rsid w:val="00D27814"/>
    <w:rsid w:val="00D27B12"/>
    <w:rsid w:val="00D27B3D"/>
    <w:rsid w:val="00D27B64"/>
    <w:rsid w:val="00D27BC8"/>
    <w:rsid w:val="00D27E37"/>
    <w:rsid w:val="00D27E7B"/>
    <w:rsid w:val="00D27F0B"/>
    <w:rsid w:val="00D27FDF"/>
    <w:rsid w:val="00D30136"/>
    <w:rsid w:val="00D302C6"/>
    <w:rsid w:val="00D303C5"/>
    <w:rsid w:val="00D30535"/>
    <w:rsid w:val="00D305DD"/>
    <w:rsid w:val="00D30698"/>
    <w:rsid w:val="00D30866"/>
    <w:rsid w:val="00D30884"/>
    <w:rsid w:val="00D30B02"/>
    <w:rsid w:val="00D30C3B"/>
    <w:rsid w:val="00D30D85"/>
    <w:rsid w:val="00D30DB5"/>
    <w:rsid w:val="00D30DF1"/>
    <w:rsid w:val="00D30EBC"/>
    <w:rsid w:val="00D3101A"/>
    <w:rsid w:val="00D3102A"/>
    <w:rsid w:val="00D31055"/>
    <w:rsid w:val="00D3112D"/>
    <w:rsid w:val="00D311B4"/>
    <w:rsid w:val="00D31337"/>
    <w:rsid w:val="00D3171B"/>
    <w:rsid w:val="00D3180E"/>
    <w:rsid w:val="00D31B1C"/>
    <w:rsid w:val="00D31C4A"/>
    <w:rsid w:val="00D31DD1"/>
    <w:rsid w:val="00D31E3D"/>
    <w:rsid w:val="00D32059"/>
    <w:rsid w:val="00D32067"/>
    <w:rsid w:val="00D320DD"/>
    <w:rsid w:val="00D324B6"/>
    <w:rsid w:val="00D3253F"/>
    <w:rsid w:val="00D32551"/>
    <w:rsid w:val="00D32707"/>
    <w:rsid w:val="00D3276D"/>
    <w:rsid w:val="00D3279D"/>
    <w:rsid w:val="00D328FE"/>
    <w:rsid w:val="00D32B34"/>
    <w:rsid w:val="00D32BBC"/>
    <w:rsid w:val="00D32CD5"/>
    <w:rsid w:val="00D32D8C"/>
    <w:rsid w:val="00D32F03"/>
    <w:rsid w:val="00D33154"/>
    <w:rsid w:val="00D3343E"/>
    <w:rsid w:val="00D334DF"/>
    <w:rsid w:val="00D33944"/>
    <w:rsid w:val="00D339F6"/>
    <w:rsid w:val="00D33A32"/>
    <w:rsid w:val="00D33A98"/>
    <w:rsid w:val="00D33AAC"/>
    <w:rsid w:val="00D33BD3"/>
    <w:rsid w:val="00D33C8B"/>
    <w:rsid w:val="00D33E60"/>
    <w:rsid w:val="00D33E7D"/>
    <w:rsid w:val="00D33E7E"/>
    <w:rsid w:val="00D33F64"/>
    <w:rsid w:val="00D34113"/>
    <w:rsid w:val="00D34178"/>
    <w:rsid w:val="00D342DC"/>
    <w:rsid w:val="00D343DA"/>
    <w:rsid w:val="00D34483"/>
    <w:rsid w:val="00D34848"/>
    <w:rsid w:val="00D34B8B"/>
    <w:rsid w:val="00D34BA7"/>
    <w:rsid w:val="00D34BF0"/>
    <w:rsid w:val="00D34C3A"/>
    <w:rsid w:val="00D34C47"/>
    <w:rsid w:val="00D34C4F"/>
    <w:rsid w:val="00D34EEE"/>
    <w:rsid w:val="00D3509B"/>
    <w:rsid w:val="00D350BE"/>
    <w:rsid w:val="00D353E3"/>
    <w:rsid w:val="00D35449"/>
    <w:rsid w:val="00D35477"/>
    <w:rsid w:val="00D354F9"/>
    <w:rsid w:val="00D354FC"/>
    <w:rsid w:val="00D355F2"/>
    <w:rsid w:val="00D35642"/>
    <w:rsid w:val="00D35690"/>
    <w:rsid w:val="00D356D4"/>
    <w:rsid w:val="00D358EA"/>
    <w:rsid w:val="00D35906"/>
    <w:rsid w:val="00D359E3"/>
    <w:rsid w:val="00D35A4E"/>
    <w:rsid w:val="00D35B7F"/>
    <w:rsid w:val="00D35E83"/>
    <w:rsid w:val="00D35E96"/>
    <w:rsid w:val="00D35EB8"/>
    <w:rsid w:val="00D3611A"/>
    <w:rsid w:val="00D36183"/>
    <w:rsid w:val="00D361E7"/>
    <w:rsid w:val="00D36289"/>
    <w:rsid w:val="00D36545"/>
    <w:rsid w:val="00D366BF"/>
    <w:rsid w:val="00D36716"/>
    <w:rsid w:val="00D367B4"/>
    <w:rsid w:val="00D36809"/>
    <w:rsid w:val="00D36954"/>
    <w:rsid w:val="00D369A7"/>
    <w:rsid w:val="00D36CC5"/>
    <w:rsid w:val="00D36F52"/>
    <w:rsid w:val="00D3734B"/>
    <w:rsid w:val="00D37734"/>
    <w:rsid w:val="00D377EF"/>
    <w:rsid w:val="00D3791F"/>
    <w:rsid w:val="00D37AC6"/>
    <w:rsid w:val="00D37BAF"/>
    <w:rsid w:val="00D37BBA"/>
    <w:rsid w:val="00D37EB0"/>
    <w:rsid w:val="00D37EE3"/>
    <w:rsid w:val="00D37FE4"/>
    <w:rsid w:val="00D401EA"/>
    <w:rsid w:val="00D40291"/>
    <w:rsid w:val="00D40300"/>
    <w:rsid w:val="00D4035E"/>
    <w:rsid w:val="00D4039E"/>
    <w:rsid w:val="00D404D9"/>
    <w:rsid w:val="00D4089D"/>
    <w:rsid w:val="00D40916"/>
    <w:rsid w:val="00D40C71"/>
    <w:rsid w:val="00D41085"/>
    <w:rsid w:val="00D41136"/>
    <w:rsid w:val="00D41200"/>
    <w:rsid w:val="00D4139C"/>
    <w:rsid w:val="00D41577"/>
    <w:rsid w:val="00D415FA"/>
    <w:rsid w:val="00D416F6"/>
    <w:rsid w:val="00D4178F"/>
    <w:rsid w:val="00D418DB"/>
    <w:rsid w:val="00D41CD9"/>
    <w:rsid w:val="00D41DF7"/>
    <w:rsid w:val="00D41E52"/>
    <w:rsid w:val="00D41E5B"/>
    <w:rsid w:val="00D41F6D"/>
    <w:rsid w:val="00D4218A"/>
    <w:rsid w:val="00D42417"/>
    <w:rsid w:val="00D4241E"/>
    <w:rsid w:val="00D4274C"/>
    <w:rsid w:val="00D427DA"/>
    <w:rsid w:val="00D427F6"/>
    <w:rsid w:val="00D427F9"/>
    <w:rsid w:val="00D42B14"/>
    <w:rsid w:val="00D42D84"/>
    <w:rsid w:val="00D42D9C"/>
    <w:rsid w:val="00D432B8"/>
    <w:rsid w:val="00D43431"/>
    <w:rsid w:val="00D4344F"/>
    <w:rsid w:val="00D43661"/>
    <w:rsid w:val="00D437D4"/>
    <w:rsid w:val="00D43914"/>
    <w:rsid w:val="00D4397F"/>
    <w:rsid w:val="00D43EBA"/>
    <w:rsid w:val="00D44286"/>
    <w:rsid w:val="00D4462A"/>
    <w:rsid w:val="00D44829"/>
    <w:rsid w:val="00D44838"/>
    <w:rsid w:val="00D44A9E"/>
    <w:rsid w:val="00D44D92"/>
    <w:rsid w:val="00D44E4A"/>
    <w:rsid w:val="00D45011"/>
    <w:rsid w:val="00D4503E"/>
    <w:rsid w:val="00D4504B"/>
    <w:rsid w:val="00D45218"/>
    <w:rsid w:val="00D45252"/>
    <w:rsid w:val="00D45262"/>
    <w:rsid w:val="00D452F3"/>
    <w:rsid w:val="00D4532E"/>
    <w:rsid w:val="00D45558"/>
    <w:rsid w:val="00D45573"/>
    <w:rsid w:val="00D455AE"/>
    <w:rsid w:val="00D455AF"/>
    <w:rsid w:val="00D45607"/>
    <w:rsid w:val="00D45699"/>
    <w:rsid w:val="00D456D1"/>
    <w:rsid w:val="00D45790"/>
    <w:rsid w:val="00D457BD"/>
    <w:rsid w:val="00D45916"/>
    <w:rsid w:val="00D45A59"/>
    <w:rsid w:val="00D45C25"/>
    <w:rsid w:val="00D45D52"/>
    <w:rsid w:val="00D45E1C"/>
    <w:rsid w:val="00D45E63"/>
    <w:rsid w:val="00D46052"/>
    <w:rsid w:val="00D46072"/>
    <w:rsid w:val="00D460BE"/>
    <w:rsid w:val="00D4613C"/>
    <w:rsid w:val="00D46181"/>
    <w:rsid w:val="00D46332"/>
    <w:rsid w:val="00D46337"/>
    <w:rsid w:val="00D463A8"/>
    <w:rsid w:val="00D4655D"/>
    <w:rsid w:val="00D46673"/>
    <w:rsid w:val="00D46731"/>
    <w:rsid w:val="00D46987"/>
    <w:rsid w:val="00D469A3"/>
    <w:rsid w:val="00D46A41"/>
    <w:rsid w:val="00D46ADC"/>
    <w:rsid w:val="00D46B75"/>
    <w:rsid w:val="00D46D96"/>
    <w:rsid w:val="00D46DD7"/>
    <w:rsid w:val="00D46E98"/>
    <w:rsid w:val="00D4714C"/>
    <w:rsid w:val="00D47323"/>
    <w:rsid w:val="00D4777B"/>
    <w:rsid w:val="00D47C4E"/>
    <w:rsid w:val="00D47D8B"/>
    <w:rsid w:val="00D47DEC"/>
    <w:rsid w:val="00D47E2F"/>
    <w:rsid w:val="00D47F1B"/>
    <w:rsid w:val="00D47F63"/>
    <w:rsid w:val="00D501B0"/>
    <w:rsid w:val="00D5022E"/>
    <w:rsid w:val="00D50386"/>
    <w:rsid w:val="00D504BD"/>
    <w:rsid w:val="00D5060B"/>
    <w:rsid w:val="00D506D9"/>
    <w:rsid w:val="00D50707"/>
    <w:rsid w:val="00D5080F"/>
    <w:rsid w:val="00D50967"/>
    <w:rsid w:val="00D509CC"/>
    <w:rsid w:val="00D50E30"/>
    <w:rsid w:val="00D51050"/>
    <w:rsid w:val="00D510BF"/>
    <w:rsid w:val="00D51256"/>
    <w:rsid w:val="00D5153B"/>
    <w:rsid w:val="00D515C9"/>
    <w:rsid w:val="00D515F9"/>
    <w:rsid w:val="00D51717"/>
    <w:rsid w:val="00D51722"/>
    <w:rsid w:val="00D517D8"/>
    <w:rsid w:val="00D517DE"/>
    <w:rsid w:val="00D51826"/>
    <w:rsid w:val="00D51865"/>
    <w:rsid w:val="00D51952"/>
    <w:rsid w:val="00D519F5"/>
    <w:rsid w:val="00D51A1E"/>
    <w:rsid w:val="00D51A9A"/>
    <w:rsid w:val="00D51B1E"/>
    <w:rsid w:val="00D51B2F"/>
    <w:rsid w:val="00D51CE7"/>
    <w:rsid w:val="00D51D20"/>
    <w:rsid w:val="00D51D79"/>
    <w:rsid w:val="00D5204C"/>
    <w:rsid w:val="00D520BF"/>
    <w:rsid w:val="00D520D0"/>
    <w:rsid w:val="00D52392"/>
    <w:rsid w:val="00D5249B"/>
    <w:rsid w:val="00D52764"/>
    <w:rsid w:val="00D52AE5"/>
    <w:rsid w:val="00D52BB3"/>
    <w:rsid w:val="00D52E74"/>
    <w:rsid w:val="00D52ED8"/>
    <w:rsid w:val="00D53160"/>
    <w:rsid w:val="00D531AF"/>
    <w:rsid w:val="00D53400"/>
    <w:rsid w:val="00D53501"/>
    <w:rsid w:val="00D535F5"/>
    <w:rsid w:val="00D53646"/>
    <w:rsid w:val="00D536DD"/>
    <w:rsid w:val="00D5372B"/>
    <w:rsid w:val="00D5393B"/>
    <w:rsid w:val="00D539F4"/>
    <w:rsid w:val="00D53A67"/>
    <w:rsid w:val="00D53AB4"/>
    <w:rsid w:val="00D53B47"/>
    <w:rsid w:val="00D53B7C"/>
    <w:rsid w:val="00D53C62"/>
    <w:rsid w:val="00D53DA3"/>
    <w:rsid w:val="00D53FEB"/>
    <w:rsid w:val="00D54177"/>
    <w:rsid w:val="00D545A5"/>
    <w:rsid w:val="00D54A6B"/>
    <w:rsid w:val="00D54AF4"/>
    <w:rsid w:val="00D54BAD"/>
    <w:rsid w:val="00D54D23"/>
    <w:rsid w:val="00D54D48"/>
    <w:rsid w:val="00D55009"/>
    <w:rsid w:val="00D5516E"/>
    <w:rsid w:val="00D5520F"/>
    <w:rsid w:val="00D55442"/>
    <w:rsid w:val="00D55652"/>
    <w:rsid w:val="00D55690"/>
    <w:rsid w:val="00D5586B"/>
    <w:rsid w:val="00D55B67"/>
    <w:rsid w:val="00D55C76"/>
    <w:rsid w:val="00D5600D"/>
    <w:rsid w:val="00D56070"/>
    <w:rsid w:val="00D560B4"/>
    <w:rsid w:val="00D5627B"/>
    <w:rsid w:val="00D56337"/>
    <w:rsid w:val="00D5641C"/>
    <w:rsid w:val="00D565D6"/>
    <w:rsid w:val="00D566D9"/>
    <w:rsid w:val="00D566E1"/>
    <w:rsid w:val="00D569BE"/>
    <w:rsid w:val="00D569E6"/>
    <w:rsid w:val="00D56B31"/>
    <w:rsid w:val="00D56D87"/>
    <w:rsid w:val="00D56EF7"/>
    <w:rsid w:val="00D56FFF"/>
    <w:rsid w:val="00D57137"/>
    <w:rsid w:val="00D57286"/>
    <w:rsid w:val="00D57376"/>
    <w:rsid w:val="00D5745D"/>
    <w:rsid w:val="00D57734"/>
    <w:rsid w:val="00D577FD"/>
    <w:rsid w:val="00D578A0"/>
    <w:rsid w:val="00D578C2"/>
    <w:rsid w:val="00D578FF"/>
    <w:rsid w:val="00D57985"/>
    <w:rsid w:val="00D5798A"/>
    <w:rsid w:val="00D57995"/>
    <w:rsid w:val="00D57AB1"/>
    <w:rsid w:val="00D57B90"/>
    <w:rsid w:val="00D57FA1"/>
    <w:rsid w:val="00D57FC7"/>
    <w:rsid w:val="00D600C4"/>
    <w:rsid w:val="00D60329"/>
    <w:rsid w:val="00D604D3"/>
    <w:rsid w:val="00D60505"/>
    <w:rsid w:val="00D606B8"/>
    <w:rsid w:val="00D60848"/>
    <w:rsid w:val="00D6093D"/>
    <w:rsid w:val="00D60A99"/>
    <w:rsid w:val="00D60AA3"/>
    <w:rsid w:val="00D60C45"/>
    <w:rsid w:val="00D60D04"/>
    <w:rsid w:val="00D60D78"/>
    <w:rsid w:val="00D60F90"/>
    <w:rsid w:val="00D60F93"/>
    <w:rsid w:val="00D6102E"/>
    <w:rsid w:val="00D612AA"/>
    <w:rsid w:val="00D612BB"/>
    <w:rsid w:val="00D61305"/>
    <w:rsid w:val="00D6136D"/>
    <w:rsid w:val="00D61602"/>
    <w:rsid w:val="00D617A7"/>
    <w:rsid w:val="00D61963"/>
    <w:rsid w:val="00D61A7A"/>
    <w:rsid w:val="00D61AC6"/>
    <w:rsid w:val="00D61C4E"/>
    <w:rsid w:val="00D61D3C"/>
    <w:rsid w:val="00D620F9"/>
    <w:rsid w:val="00D6214A"/>
    <w:rsid w:val="00D621B9"/>
    <w:rsid w:val="00D622F2"/>
    <w:rsid w:val="00D6241E"/>
    <w:rsid w:val="00D625E1"/>
    <w:rsid w:val="00D626B7"/>
    <w:rsid w:val="00D626DC"/>
    <w:rsid w:val="00D62956"/>
    <w:rsid w:val="00D62F6E"/>
    <w:rsid w:val="00D62FD5"/>
    <w:rsid w:val="00D62FDB"/>
    <w:rsid w:val="00D63181"/>
    <w:rsid w:val="00D635B7"/>
    <w:rsid w:val="00D6390A"/>
    <w:rsid w:val="00D639F9"/>
    <w:rsid w:val="00D63A51"/>
    <w:rsid w:val="00D63AF0"/>
    <w:rsid w:val="00D63B2B"/>
    <w:rsid w:val="00D63BDA"/>
    <w:rsid w:val="00D63C12"/>
    <w:rsid w:val="00D63CD1"/>
    <w:rsid w:val="00D63DE8"/>
    <w:rsid w:val="00D640D4"/>
    <w:rsid w:val="00D6411D"/>
    <w:rsid w:val="00D644A3"/>
    <w:rsid w:val="00D644C1"/>
    <w:rsid w:val="00D6450F"/>
    <w:rsid w:val="00D646B9"/>
    <w:rsid w:val="00D6491E"/>
    <w:rsid w:val="00D64A4F"/>
    <w:rsid w:val="00D64B16"/>
    <w:rsid w:val="00D64CD5"/>
    <w:rsid w:val="00D64E69"/>
    <w:rsid w:val="00D64F20"/>
    <w:rsid w:val="00D64FDC"/>
    <w:rsid w:val="00D65000"/>
    <w:rsid w:val="00D65046"/>
    <w:rsid w:val="00D651A8"/>
    <w:rsid w:val="00D65263"/>
    <w:rsid w:val="00D652CC"/>
    <w:rsid w:val="00D6533B"/>
    <w:rsid w:val="00D65382"/>
    <w:rsid w:val="00D657BE"/>
    <w:rsid w:val="00D65847"/>
    <w:rsid w:val="00D658AB"/>
    <w:rsid w:val="00D65910"/>
    <w:rsid w:val="00D65A91"/>
    <w:rsid w:val="00D65CB6"/>
    <w:rsid w:val="00D65DDD"/>
    <w:rsid w:val="00D65FA4"/>
    <w:rsid w:val="00D66053"/>
    <w:rsid w:val="00D66114"/>
    <w:rsid w:val="00D66184"/>
    <w:rsid w:val="00D664D5"/>
    <w:rsid w:val="00D6663D"/>
    <w:rsid w:val="00D666DA"/>
    <w:rsid w:val="00D66B0A"/>
    <w:rsid w:val="00D66B27"/>
    <w:rsid w:val="00D66B53"/>
    <w:rsid w:val="00D66EE0"/>
    <w:rsid w:val="00D67263"/>
    <w:rsid w:val="00D67355"/>
    <w:rsid w:val="00D67415"/>
    <w:rsid w:val="00D67472"/>
    <w:rsid w:val="00D674CB"/>
    <w:rsid w:val="00D6751D"/>
    <w:rsid w:val="00D6777C"/>
    <w:rsid w:val="00D6780F"/>
    <w:rsid w:val="00D6788C"/>
    <w:rsid w:val="00D678E1"/>
    <w:rsid w:val="00D6793F"/>
    <w:rsid w:val="00D67B37"/>
    <w:rsid w:val="00D67D33"/>
    <w:rsid w:val="00D67F2B"/>
    <w:rsid w:val="00D701F2"/>
    <w:rsid w:val="00D7038F"/>
    <w:rsid w:val="00D704D7"/>
    <w:rsid w:val="00D70639"/>
    <w:rsid w:val="00D70A07"/>
    <w:rsid w:val="00D70ABC"/>
    <w:rsid w:val="00D70B0B"/>
    <w:rsid w:val="00D70B24"/>
    <w:rsid w:val="00D70B63"/>
    <w:rsid w:val="00D70E51"/>
    <w:rsid w:val="00D71058"/>
    <w:rsid w:val="00D7115A"/>
    <w:rsid w:val="00D7138D"/>
    <w:rsid w:val="00D713F7"/>
    <w:rsid w:val="00D71828"/>
    <w:rsid w:val="00D71A76"/>
    <w:rsid w:val="00D71C94"/>
    <w:rsid w:val="00D71DE7"/>
    <w:rsid w:val="00D71E18"/>
    <w:rsid w:val="00D71FD6"/>
    <w:rsid w:val="00D720D0"/>
    <w:rsid w:val="00D72140"/>
    <w:rsid w:val="00D7229A"/>
    <w:rsid w:val="00D72360"/>
    <w:rsid w:val="00D72449"/>
    <w:rsid w:val="00D72456"/>
    <w:rsid w:val="00D72511"/>
    <w:rsid w:val="00D72726"/>
    <w:rsid w:val="00D72B88"/>
    <w:rsid w:val="00D72BEF"/>
    <w:rsid w:val="00D72C76"/>
    <w:rsid w:val="00D72C7C"/>
    <w:rsid w:val="00D72E28"/>
    <w:rsid w:val="00D72E4B"/>
    <w:rsid w:val="00D72E58"/>
    <w:rsid w:val="00D72FEB"/>
    <w:rsid w:val="00D7318C"/>
    <w:rsid w:val="00D73448"/>
    <w:rsid w:val="00D7344B"/>
    <w:rsid w:val="00D7346C"/>
    <w:rsid w:val="00D73B68"/>
    <w:rsid w:val="00D73B9A"/>
    <w:rsid w:val="00D73C7B"/>
    <w:rsid w:val="00D73D94"/>
    <w:rsid w:val="00D73E39"/>
    <w:rsid w:val="00D73E4D"/>
    <w:rsid w:val="00D73EF9"/>
    <w:rsid w:val="00D73F45"/>
    <w:rsid w:val="00D7404E"/>
    <w:rsid w:val="00D74276"/>
    <w:rsid w:val="00D74499"/>
    <w:rsid w:val="00D744C0"/>
    <w:rsid w:val="00D745D3"/>
    <w:rsid w:val="00D74782"/>
    <w:rsid w:val="00D74968"/>
    <w:rsid w:val="00D74AB2"/>
    <w:rsid w:val="00D74B75"/>
    <w:rsid w:val="00D74BDB"/>
    <w:rsid w:val="00D74DBF"/>
    <w:rsid w:val="00D74DE9"/>
    <w:rsid w:val="00D74E08"/>
    <w:rsid w:val="00D74E6A"/>
    <w:rsid w:val="00D751A2"/>
    <w:rsid w:val="00D751B5"/>
    <w:rsid w:val="00D751E5"/>
    <w:rsid w:val="00D75213"/>
    <w:rsid w:val="00D752CC"/>
    <w:rsid w:val="00D75351"/>
    <w:rsid w:val="00D75393"/>
    <w:rsid w:val="00D753A5"/>
    <w:rsid w:val="00D75412"/>
    <w:rsid w:val="00D75512"/>
    <w:rsid w:val="00D75661"/>
    <w:rsid w:val="00D757DA"/>
    <w:rsid w:val="00D759CC"/>
    <w:rsid w:val="00D75B96"/>
    <w:rsid w:val="00D75BCB"/>
    <w:rsid w:val="00D75BD3"/>
    <w:rsid w:val="00D75EEC"/>
    <w:rsid w:val="00D75F6B"/>
    <w:rsid w:val="00D75FBA"/>
    <w:rsid w:val="00D76008"/>
    <w:rsid w:val="00D7613C"/>
    <w:rsid w:val="00D76221"/>
    <w:rsid w:val="00D762BD"/>
    <w:rsid w:val="00D7631B"/>
    <w:rsid w:val="00D76397"/>
    <w:rsid w:val="00D763F8"/>
    <w:rsid w:val="00D76411"/>
    <w:rsid w:val="00D765C5"/>
    <w:rsid w:val="00D7661B"/>
    <w:rsid w:val="00D766AD"/>
    <w:rsid w:val="00D7685A"/>
    <w:rsid w:val="00D7687F"/>
    <w:rsid w:val="00D7691E"/>
    <w:rsid w:val="00D76993"/>
    <w:rsid w:val="00D76B54"/>
    <w:rsid w:val="00D76B60"/>
    <w:rsid w:val="00D76DFE"/>
    <w:rsid w:val="00D76E28"/>
    <w:rsid w:val="00D76E5C"/>
    <w:rsid w:val="00D76EF9"/>
    <w:rsid w:val="00D76EFC"/>
    <w:rsid w:val="00D76F18"/>
    <w:rsid w:val="00D7706E"/>
    <w:rsid w:val="00D77296"/>
    <w:rsid w:val="00D77305"/>
    <w:rsid w:val="00D774E1"/>
    <w:rsid w:val="00D774E5"/>
    <w:rsid w:val="00D77526"/>
    <w:rsid w:val="00D77625"/>
    <w:rsid w:val="00D77666"/>
    <w:rsid w:val="00D77843"/>
    <w:rsid w:val="00D7786F"/>
    <w:rsid w:val="00D7798F"/>
    <w:rsid w:val="00D77CC7"/>
    <w:rsid w:val="00D77D84"/>
    <w:rsid w:val="00D77DB7"/>
    <w:rsid w:val="00D77E37"/>
    <w:rsid w:val="00D77ED0"/>
    <w:rsid w:val="00D8025A"/>
    <w:rsid w:val="00D802EA"/>
    <w:rsid w:val="00D803EC"/>
    <w:rsid w:val="00D8082B"/>
    <w:rsid w:val="00D80880"/>
    <w:rsid w:val="00D808C0"/>
    <w:rsid w:val="00D808F3"/>
    <w:rsid w:val="00D80947"/>
    <w:rsid w:val="00D809B1"/>
    <w:rsid w:val="00D80A6B"/>
    <w:rsid w:val="00D80CBE"/>
    <w:rsid w:val="00D80D50"/>
    <w:rsid w:val="00D80FFD"/>
    <w:rsid w:val="00D810D2"/>
    <w:rsid w:val="00D810F7"/>
    <w:rsid w:val="00D810FC"/>
    <w:rsid w:val="00D813CF"/>
    <w:rsid w:val="00D813F1"/>
    <w:rsid w:val="00D815A4"/>
    <w:rsid w:val="00D815E4"/>
    <w:rsid w:val="00D81713"/>
    <w:rsid w:val="00D81994"/>
    <w:rsid w:val="00D81C9C"/>
    <w:rsid w:val="00D81EEF"/>
    <w:rsid w:val="00D81EF0"/>
    <w:rsid w:val="00D821DA"/>
    <w:rsid w:val="00D822E4"/>
    <w:rsid w:val="00D8259F"/>
    <w:rsid w:val="00D82A91"/>
    <w:rsid w:val="00D82EFB"/>
    <w:rsid w:val="00D83032"/>
    <w:rsid w:val="00D83122"/>
    <w:rsid w:val="00D8315F"/>
    <w:rsid w:val="00D83250"/>
    <w:rsid w:val="00D83265"/>
    <w:rsid w:val="00D8330F"/>
    <w:rsid w:val="00D83312"/>
    <w:rsid w:val="00D83323"/>
    <w:rsid w:val="00D83442"/>
    <w:rsid w:val="00D83482"/>
    <w:rsid w:val="00D834C3"/>
    <w:rsid w:val="00D835C1"/>
    <w:rsid w:val="00D837CA"/>
    <w:rsid w:val="00D838DA"/>
    <w:rsid w:val="00D83B51"/>
    <w:rsid w:val="00D83EE0"/>
    <w:rsid w:val="00D840C7"/>
    <w:rsid w:val="00D840F0"/>
    <w:rsid w:val="00D84317"/>
    <w:rsid w:val="00D84420"/>
    <w:rsid w:val="00D84490"/>
    <w:rsid w:val="00D84527"/>
    <w:rsid w:val="00D84570"/>
    <w:rsid w:val="00D84904"/>
    <w:rsid w:val="00D84BC4"/>
    <w:rsid w:val="00D84CF5"/>
    <w:rsid w:val="00D84D2D"/>
    <w:rsid w:val="00D85007"/>
    <w:rsid w:val="00D850E7"/>
    <w:rsid w:val="00D852E2"/>
    <w:rsid w:val="00D8542F"/>
    <w:rsid w:val="00D85478"/>
    <w:rsid w:val="00D854EB"/>
    <w:rsid w:val="00D8586C"/>
    <w:rsid w:val="00D8589E"/>
    <w:rsid w:val="00D85A0D"/>
    <w:rsid w:val="00D85BEC"/>
    <w:rsid w:val="00D85D13"/>
    <w:rsid w:val="00D85D48"/>
    <w:rsid w:val="00D85E8A"/>
    <w:rsid w:val="00D85E95"/>
    <w:rsid w:val="00D85EF5"/>
    <w:rsid w:val="00D8601F"/>
    <w:rsid w:val="00D861C3"/>
    <w:rsid w:val="00D8655B"/>
    <w:rsid w:val="00D86710"/>
    <w:rsid w:val="00D86788"/>
    <w:rsid w:val="00D86843"/>
    <w:rsid w:val="00D86850"/>
    <w:rsid w:val="00D868F6"/>
    <w:rsid w:val="00D86B75"/>
    <w:rsid w:val="00D86C66"/>
    <w:rsid w:val="00D86CA7"/>
    <w:rsid w:val="00D86DBD"/>
    <w:rsid w:val="00D86E23"/>
    <w:rsid w:val="00D86FA8"/>
    <w:rsid w:val="00D8702A"/>
    <w:rsid w:val="00D87053"/>
    <w:rsid w:val="00D874F7"/>
    <w:rsid w:val="00D875B8"/>
    <w:rsid w:val="00D875C3"/>
    <w:rsid w:val="00D878C6"/>
    <w:rsid w:val="00D87C2B"/>
    <w:rsid w:val="00D87EB7"/>
    <w:rsid w:val="00D87F48"/>
    <w:rsid w:val="00D87FE7"/>
    <w:rsid w:val="00D90270"/>
    <w:rsid w:val="00D902D4"/>
    <w:rsid w:val="00D902DD"/>
    <w:rsid w:val="00D9039A"/>
    <w:rsid w:val="00D903CC"/>
    <w:rsid w:val="00D90564"/>
    <w:rsid w:val="00D905A0"/>
    <w:rsid w:val="00D90629"/>
    <w:rsid w:val="00D907B1"/>
    <w:rsid w:val="00D9085A"/>
    <w:rsid w:val="00D90890"/>
    <w:rsid w:val="00D908FF"/>
    <w:rsid w:val="00D90935"/>
    <w:rsid w:val="00D90949"/>
    <w:rsid w:val="00D90991"/>
    <w:rsid w:val="00D90A96"/>
    <w:rsid w:val="00D90CC4"/>
    <w:rsid w:val="00D90D46"/>
    <w:rsid w:val="00D9132F"/>
    <w:rsid w:val="00D91574"/>
    <w:rsid w:val="00D9162A"/>
    <w:rsid w:val="00D916D9"/>
    <w:rsid w:val="00D916FC"/>
    <w:rsid w:val="00D91883"/>
    <w:rsid w:val="00D918B0"/>
    <w:rsid w:val="00D91BCC"/>
    <w:rsid w:val="00D91CD6"/>
    <w:rsid w:val="00D91D52"/>
    <w:rsid w:val="00D91E1D"/>
    <w:rsid w:val="00D91E5B"/>
    <w:rsid w:val="00D9207B"/>
    <w:rsid w:val="00D92179"/>
    <w:rsid w:val="00D92679"/>
    <w:rsid w:val="00D929F1"/>
    <w:rsid w:val="00D92A7E"/>
    <w:rsid w:val="00D92B29"/>
    <w:rsid w:val="00D92C18"/>
    <w:rsid w:val="00D92C8F"/>
    <w:rsid w:val="00D9312C"/>
    <w:rsid w:val="00D9315A"/>
    <w:rsid w:val="00D934AA"/>
    <w:rsid w:val="00D93806"/>
    <w:rsid w:val="00D938A8"/>
    <w:rsid w:val="00D93ADE"/>
    <w:rsid w:val="00D93F2C"/>
    <w:rsid w:val="00D93F44"/>
    <w:rsid w:val="00D94184"/>
    <w:rsid w:val="00D941C2"/>
    <w:rsid w:val="00D94273"/>
    <w:rsid w:val="00D9492C"/>
    <w:rsid w:val="00D94AB1"/>
    <w:rsid w:val="00D94C8E"/>
    <w:rsid w:val="00D94E56"/>
    <w:rsid w:val="00D95004"/>
    <w:rsid w:val="00D95080"/>
    <w:rsid w:val="00D951BE"/>
    <w:rsid w:val="00D95283"/>
    <w:rsid w:val="00D9550C"/>
    <w:rsid w:val="00D95556"/>
    <w:rsid w:val="00D9555C"/>
    <w:rsid w:val="00D956D7"/>
    <w:rsid w:val="00D956D9"/>
    <w:rsid w:val="00D957EE"/>
    <w:rsid w:val="00D95822"/>
    <w:rsid w:val="00D95A5C"/>
    <w:rsid w:val="00D95A9A"/>
    <w:rsid w:val="00D95AD3"/>
    <w:rsid w:val="00D95B52"/>
    <w:rsid w:val="00D95BD2"/>
    <w:rsid w:val="00D95C14"/>
    <w:rsid w:val="00D95DAD"/>
    <w:rsid w:val="00D95E5D"/>
    <w:rsid w:val="00D95EC1"/>
    <w:rsid w:val="00D95F1D"/>
    <w:rsid w:val="00D95F21"/>
    <w:rsid w:val="00D95F51"/>
    <w:rsid w:val="00D96065"/>
    <w:rsid w:val="00D962C3"/>
    <w:rsid w:val="00D9639B"/>
    <w:rsid w:val="00D96446"/>
    <w:rsid w:val="00D96542"/>
    <w:rsid w:val="00D96590"/>
    <w:rsid w:val="00D96598"/>
    <w:rsid w:val="00D965EA"/>
    <w:rsid w:val="00D96771"/>
    <w:rsid w:val="00D96C70"/>
    <w:rsid w:val="00D96E27"/>
    <w:rsid w:val="00D96F5C"/>
    <w:rsid w:val="00D9700E"/>
    <w:rsid w:val="00D97225"/>
    <w:rsid w:val="00D974EF"/>
    <w:rsid w:val="00D9768B"/>
    <w:rsid w:val="00D9771F"/>
    <w:rsid w:val="00D978B4"/>
    <w:rsid w:val="00D979EA"/>
    <w:rsid w:val="00D97A48"/>
    <w:rsid w:val="00D97C7E"/>
    <w:rsid w:val="00D97D69"/>
    <w:rsid w:val="00D97FB0"/>
    <w:rsid w:val="00DA0015"/>
    <w:rsid w:val="00DA0093"/>
    <w:rsid w:val="00DA00A0"/>
    <w:rsid w:val="00DA01C4"/>
    <w:rsid w:val="00DA028E"/>
    <w:rsid w:val="00DA02B9"/>
    <w:rsid w:val="00DA0468"/>
    <w:rsid w:val="00DA0620"/>
    <w:rsid w:val="00DA06C7"/>
    <w:rsid w:val="00DA0750"/>
    <w:rsid w:val="00DA088F"/>
    <w:rsid w:val="00DA0991"/>
    <w:rsid w:val="00DA0A63"/>
    <w:rsid w:val="00DA0B5C"/>
    <w:rsid w:val="00DA0D84"/>
    <w:rsid w:val="00DA0E1E"/>
    <w:rsid w:val="00DA0F1E"/>
    <w:rsid w:val="00DA0F88"/>
    <w:rsid w:val="00DA128A"/>
    <w:rsid w:val="00DA12C9"/>
    <w:rsid w:val="00DA1479"/>
    <w:rsid w:val="00DA1503"/>
    <w:rsid w:val="00DA1590"/>
    <w:rsid w:val="00DA16D7"/>
    <w:rsid w:val="00DA184C"/>
    <w:rsid w:val="00DA18A3"/>
    <w:rsid w:val="00DA19A8"/>
    <w:rsid w:val="00DA19F2"/>
    <w:rsid w:val="00DA1A6B"/>
    <w:rsid w:val="00DA1B3A"/>
    <w:rsid w:val="00DA1C3A"/>
    <w:rsid w:val="00DA1E6B"/>
    <w:rsid w:val="00DA21C4"/>
    <w:rsid w:val="00DA223D"/>
    <w:rsid w:val="00DA243F"/>
    <w:rsid w:val="00DA24CE"/>
    <w:rsid w:val="00DA25DA"/>
    <w:rsid w:val="00DA2610"/>
    <w:rsid w:val="00DA2A51"/>
    <w:rsid w:val="00DA2A5F"/>
    <w:rsid w:val="00DA2F13"/>
    <w:rsid w:val="00DA3063"/>
    <w:rsid w:val="00DA30E3"/>
    <w:rsid w:val="00DA3256"/>
    <w:rsid w:val="00DA35D7"/>
    <w:rsid w:val="00DA3749"/>
    <w:rsid w:val="00DA3767"/>
    <w:rsid w:val="00DA3832"/>
    <w:rsid w:val="00DA3A98"/>
    <w:rsid w:val="00DA3AF2"/>
    <w:rsid w:val="00DA3CF3"/>
    <w:rsid w:val="00DA3DB7"/>
    <w:rsid w:val="00DA3DF8"/>
    <w:rsid w:val="00DA3E7E"/>
    <w:rsid w:val="00DA3E99"/>
    <w:rsid w:val="00DA3F2A"/>
    <w:rsid w:val="00DA428D"/>
    <w:rsid w:val="00DA42D1"/>
    <w:rsid w:val="00DA42EA"/>
    <w:rsid w:val="00DA4460"/>
    <w:rsid w:val="00DA476A"/>
    <w:rsid w:val="00DA49C1"/>
    <w:rsid w:val="00DA4B26"/>
    <w:rsid w:val="00DA4CAF"/>
    <w:rsid w:val="00DA4D7E"/>
    <w:rsid w:val="00DA4E7F"/>
    <w:rsid w:val="00DA5146"/>
    <w:rsid w:val="00DA51FE"/>
    <w:rsid w:val="00DA53DE"/>
    <w:rsid w:val="00DA5444"/>
    <w:rsid w:val="00DA559A"/>
    <w:rsid w:val="00DA57CD"/>
    <w:rsid w:val="00DA585B"/>
    <w:rsid w:val="00DA58F7"/>
    <w:rsid w:val="00DA59F4"/>
    <w:rsid w:val="00DA5A92"/>
    <w:rsid w:val="00DA5BE9"/>
    <w:rsid w:val="00DA5C41"/>
    <w:rsid w:val="00DA5C7B"/>
    <w:rsid w:val="00DA5DC7"/>
    <w:rsid w:val="00DA5EF9"/>
    <w:rsid w:val="00DA5F1B"/>
    <w:rsid w:val="00DA6288"/>
    <w:rsid w:val="00DA6294"/>
    <w:rsid w:val="00DA6386"/>
    <w:rsid w:val="00DA63A6"/>
    <w:rsid w:val="00DA6588"/>
    <w:rsid w:val="00DA65A1"/>
    <w:rsid w:val="00DA6732"/>
    <w:rsid w:val="00DA67F4"/>
    <w:rsid w:val="00DA68CA"/>
    <w:rsid w:val="00DA6A02"/>
    <w:rsid w:val="00DA6AD4"/>
    <w:rsid w:val="00DA6B31"/>
    <w:rsid w:val="00DA6BDE"/>
    <w:rsid w:val="00DA6C0D"/>
    <w:rsid w:val="00DA6CC0"/>
    <w:rsid w:val="00DA6CF7"/>
    <w:rsid w:val="00DA6EF3"/>
    <w:rsid w:val="00DA70C8"/>
    <w:rsid w:val="00DA7142"/>
    <w:rsid w:val="00DA7335"/>
    <w:rsid w:val="00DA7515"/>
    <w:rsid w:val="00DA78C3"/>
    <w:rsid w:val="00DA79C8"/>
    <w:rsid w:val="00DA7BB0"/>
    <w:rsid w:val="00DA7D6A"/>
    <w:rsid w:val="00DA7FB6"/>
    <w:rsid w:val="00DA7FEA"/>
    <w:rsid w:val="00DB030E"/>
    <w:rsid w:val="00DB034A"/>
    <w:rsid w:val="00DB07E8"/>
    <w:rsid w:val="00DB0855"/>
    <w:rsid w:val="00DB0874"/>
    <w:rsid w:val="00DB0B03"/>
    <w:rsid w:val="00DB0C78"/>
    <w:rsid w:val="00DB0D83"/>
    <w:rsid w:val="00DB0DA4"/>
    <w:rsid w:val="00DB0F1A"/>
    <w:rsid w:val="00DB0F50"/>
    <w:rsid w:val="00DB0FE0"/>
    <w:rsid w:val="00DB1000"/>
    <w:rsid w:val="00DB1169"/>
    <w:rsid w:val="00DB12CB"/>
    <w:rsid w:val="00DB156A"/>
    <w:rsid w:val="00DB17A4"/>
    <w:rsid w:val="00DB1825"/>
    <w:rsid w:val="00DB197B"/>
    <w:rsid w:val="00DB19E5"/>
    <w:rsid w:val="00DB1CF9"/>
    <w:rsid w:val="00DB1E5E"/>
    <w:rsid w:val="00DB1F4F"/>
    <w:rsid w:val="00DB1F6C"/>
    <w:rsid w:val="00DB20DA"/>
    <w:rsid w:val="00DB20EC"/>
    <w:rsid w:val="00DB229E"/>
    <w:rsid w:val="00DB22AD"/>
    <w:rsid w:val="00DB259D"/>
    <w:rsid w:val="00DB2648"/>
    <w:rsid w:val="00DB269B"/>
    <w:rsid w:val="00DB2A0D"/>
    <w:rsid w:val="00DB2D5A"/>
    <w:rsid w:val="00DB2D5B"/>
    <w:rsid w:val="00DB2E94"/>
    <w:rsid w:val="00DB300C"/>
    <w:rsid w:val="00DB30F8"/>
    <w:rsid w:val="00DB3121"/>
    <w:rsid w:val="00DB31EE"/>
    <w:rsid w:val="00DB32F7"/>
    <w:rsid w:val="00DB333A"/>
    <w:rsid w:val="00DB344A"/>
    <w:rsid w:val="00DB34A1"/>
    <w:rsid w:val="00DB35F7"/>
    <w:rsid w:val="00DB371F"/>
    <w:rsid w:val="00DB3753"/>
    <w:rsid w:val="00DB3ACF"/>
    <w:rsid w:val="00DB3B35"/>
    <w:rsid w:val="00DB3BA2"/>
    <w:rsid w:val="00DB3CF9"/>
    <w:rsid w:val="00DB3D91"/>
    <w:rsid w:val="00DB4117"/>
    <w:rsid w:val="00DB44C8"/>
    <w:rsid w:val="00DB46A0"/>
    <w:rsid w:val="00DB4AD3"/>
    <w:rsid w:val="00DB4D26"/>
    <w:rsid w:val="00DB5057"/>
    <w:rsid w:val="00DB507A"/>
    <w:rsid w:val="00DB508F"/>
    <w:rsid w:val="00DB5098"/>
    <w:rsid w:val="00DB5192"/>
    <w:rsid w:val="00DB52B1"/>
    <w:rsid w:val="00DB52CF"/>
    <w:rsid w:val="00DB56CB"/>
    <w:rsid w:val="00DB56D4"/>
    <w:rsid w:val="00DB5713"/>
    <w:rsid w:val="00DB5828"/>
    <w:rsid w:val="00DB5874"/>
    <w:rsid w:val="00DB5BEB"/>
    <w:rsid w:val="00DB5CE6"/>
    <w:rsid w:val="00DB5F31"/>
    <w:rsid w:val="00DB6016"/>
    <w:rsid w:val="00DB61B3"/>
    <w:rsid w:val="00DB61F6"/>
    <w:rsid w:val="00DB6213"/>
    <w:rsid w:val="00DB6244"/>
    <w:rsid w:val="00DB62BC"/>
    <w:rsid w:val="00DB64B3"/>
    <w:rsid w:val="00DB669C"/>
    <w:rsid w:val="00DB66DC"/>
    <w:rsid w:val="00DB66DE"/>
    <w:rsid w:val="00DB6ADD"/>
    <w:rsid w:val="00DB6C53"/>
    <w:rsid w:val="00DB6DA7"/>
    <w:rsid w:val="00DB6E1D"/>
    <w:rsid w:val="00DB6E3D"/>
    <w:rsid w:val="00DB6EB9"/>
    <w:rsid w:val="00DB6F26"/>
    <w:rsid w:val="00DB70FF"/>
    <w:rsid w:val="00DB71D6"/>
    <w:rsid w:val="00DB71EB"/>
    <w:rsid w:val="00DB7272"/>
    <w:rsid w:val="00DB72AF"/>
    <w:rsid w:val="00DB72B5"/>
    <w:rsid w:val="00DB72C9"/>
    <w:rsid w:val="00DB7337"/>
    <w:rsid w:val="00DB7560"/>
    <w:rsid w:val="00DB772F"/>
    <w:rsid w:val="00DB7817"/>
    <w:rsid w:val="00DB78BF"/>
    <w:rsid w:val="00DB795B"/>
    <w:rsid w:val="00DB7A20"/>
    <w:rsid w:val="00DB7A25"/>
    <w:rsid w:val="00DB7B0F"/>
    <w:rsid w:val="00DB7B48"/>
    <w:rsid w:val="00DB7C3A"/>
    <w:rsid w:val="00DB7D00"/>
    <w:rsid w:val="00DC00BF"/>
    <w:rsid w:val="00DC00DA"/>
    <w:rsid w:val="00DC01DC"/>
    <w:rsid w:val="00DC02B5"/>
    <w:rsid w:val="00DC03EB"/>
    <w:rsid w:val="00DC03FC"/>
    <w:rsid w:val="00DC0521"/>
    <w:rsid w:val="00DC0542"/>
    <w:rsid w:val="00DC07A8"/>
    <w:rsid w:val="00DC086D"/>
    <w:rsid w:val="00DC08AD"/>
    <w:rsid w:val="00DC0D48"/>
    <w:rsid w:val="00DC0FA2"/>
    <w:rsid w:val="00DC111F"/>
    <w:rsid w:val="00DC1231"/>
    <w:rsid w:val="00DC1333"/>
    <w:rsid w:val="00DC15E2"/>
    <w:rsid w:val="00DC1649"/>
    <w:rsid w:val="00DC16BD"/>
    <w:rsid w:val="00DC1749"/>
    <w:rsid w:val="00DC17F5"/>
    <w:rsid w:val="00DC1827"/>
    <w:rsid w:val="00DC191A"/>
    <w:rsid w:val="00DC1AA7"/>
    <w:rsid w:val="00DC1AC0"/>
    <w:rsid w:val="00DC1DAF"/>
    <w:rsid w:val="00DC22D6"/>
    <w:rsid w:val="00DC243B"/>
    <w:rsid w:val="00DC24D1"/>
    <w:rsid w:val="00DC25C1"/>
    <w:rsid w:val="00DC2615"/>
    <w:rsid w:val="00DC273D"/>
    <w:rsid w:val="00DC2852"/>
    <w:rsid w:val="00DC28C6"/>
    <w:rsid w:val="00DC2CBA"/>
    <w:rsid w:val="00DC2E0D"/>
    <w:rsid w:val="00DC3009"/>
    <w:rsid w:val="00DC300C"/>
    <w:rsid w:val="00DC319F"/>
    <w:rsid w:val="00DC3208"/>
    <w:rsid w:val="00DC3233"/>
    <w:rsid w:val="00DC324C"/>
    <w:rsid w:val="00DC3266"/>
    <w:rsid w:val="00DC329F"/>
    <w:rsid w:val="00DC346C"/>
    <w:rsid w:val="00DC35E2"/>
    <w:rsid w:val="00DC3811"/>
    <w:rsid w:val="00DC381A"/>
    <w:rsid w:val="00DC3877"/>
    <w:rsid w:val="00DC3B66"/>
    <w:rsid w:val="00DC3B9F"/>
    <w:rsid w:val="00DC3C55"/>
    <w:rsid w:val="00DC3C70"/>
    <w:rsid w:val="00DC3CBA"/>
    <w:rsid w:val="00DC3D47"/>
    <w:rsid w:val="00DC3E08"/>
    <w:rsid w:val="00DC3E84"/>
    <w:rsid w:val="00DC3F82"/>
    <w:rsid w:val="00DC4142"/>
    <w:rsid w:val="00DC429C"/>
    <w:rsid w:val="00DC4659"/>
    <w:rsid w:val="00DC4696"/>
    <w:rsid w:val="00DC46D7"/>
    <w:rsid w:val="00DC4841"/>
    <w:rsid w:val="00DC49BB"/>
    <w:rsid w:val="00DC49C3"/>
    <w:rsid w:val="00DC4AD0"/>
    <w:rsid w:val="00DC4C52"/>
    <w:rsid w:val="00DC4E5D"/>
    <w:rsid w:val="00DC4EB8"/>
    <w:rsid w:val="00DC4F93"/>
    <w:rsid w:val="00DC4FB4"/>
    <w:rsid w:val="00DC504D"/>
    <w:rsid w:val="00DC52C0"/>
    <w:rsid w:val="00DC5394"/>
    <w:rsid w:val="00DC54C4"/>
    <w:rsid w:val="00DC56E7"/>
    <w:rsid w:val="00DC57D8"/>
    <w:rsid w:val="00DC5808"/>
    <w:rsid w:val="00DC5963"/>
    <w:rsid w:val="00DC5BFA"/>
    <w:rsid w:val="00DC5D82"/>
    <w:rsid w:val="00DC5DCF"/>
    <w:rsid w:val="00DC5EE8"/>
    <w:rsid w:val="00DC6003"/>
    <w:rsid w:val="00DC604E"/>
    <w:rsid w:val="00DC6235"/>
    <w:rsid w:val="00DC62ED"/>
    <w:rsid w:val="00DC62FE"/>
    <w:rsid w:val="00DC6434"/>
    <w:rsid w:val="00DC64FC"/>
    <w:rsid w:val="00DC671E"/>
    <w:rsid w:val="00DC6AC2"/>
    <w:rsid w:val="00DC6B15"/>
    <w:rsid w:val="00DC6DDC"/>
    <w:rsid w:val="00DC6E6B"/>
    <w:rsid w:val="00DC6E76"/>
    <w:rsid w:val="00DC6F0C"/>
    <w:rsid w:val="00DC7034"/>
    <w:rsid w:val="00DC7080"/>
    <w:rsid w:val="00DC7102"/>
    <w:rsid w:val="00DC726E"/>
    <w:rsid w:val="00DC732D"/>
    <w:rsid w:val="00DC7422"/>
    <w:rsid w:val="00DC7504"/>
    <w:rsid w:val="00DC7731"/>
    <w:rsid w:val="00DC7B5D"/>
    <w:rsid w:val="00DC7C69"/>
    <w:rsid w:val="00DC7C8E"/>
    <w:rsid w:val="00DC7D2E"/>
    <w:rsid w:val="00DC7EBA"/>
    <w:rsid w:val="00DD0035"/>
    <w:rsid w:val="00DD00A2"/>
    <w:rsid w:val="00DD00B9"/>
    <w:rsid w:val="00DD00C2"/>
    <w:rsid w:val="00DD0254"/>
    <w:rsid w:val="00DD0263"/>
    <w:rsid w:val="00DD02C8"/>
    <w:rsid w:val="00DD035D"/>
    <w:rsid w:val="00DD04AD"/>
    <w:rsid w:val="00DD07AE"/>
    <w:rsid w:val="00DD0822"/>
    <w:rsid w:val="00DD0877"/>
    <w:rsid w:val="00DD0E4D"/>
    <w:rsid w:val="00DD0E98"/>
    <w:rsid w:val="00DD0F62"/>
    <w:rsid w:val="00DD1071"/>
    <w:rsid w:val="00DD1240"/>
    <w:rsid w:val="00DD1335"/>
    <w:rsid w:val="00DD138F"/>
    <w:rsid w:val="00DD1551"/>
    <w:rsid w:val="00DD1611"/>
    <w:rsid w:val="00DD1676"/>
    <w:rsid w:val="00DD1718"/>
    <w:rsid w:val="00DD17EB"/>
    <w:rsid w:val="00DD1942"/>
    <w:rsid w:val="00DD1CB3"/>
    <w:rsid w:val="00DD1D05"/>
    <w:rsid w:val="00DD1DB8"/>
    <w:rsid w:val="00DD1E42"/>
    <w:rsid w:val="00DD2018"/>
    <w:rsid w:val="00DD2189"/>
    <w:rsid w:val="00DD2303"/>
    <w:rsid w:val="00DD2489"/>
    <w:rsid w:val="00DD24AB"/>
    <w:rsid w:val="00DD27D1"/>
    <w:rsid w:val="00DD2889"/>
    <w:rsid w:val="00DD29BA"/>
    <w:rsid w:val="00DD2A1A"/>
    <w:rsid w:val="00DD2AA0"/>
    <w:rsid w:val="00DD2AF9"/>
    <w:rsid w:val="00DD2B62"/>
    <w:rsid w:val="00DD2E0D"/>
    <w:rsid w:val="00DD2E4E"/>
    <w:rsid w:val="00DD30B4"/>
    <w:rsid w:val="00DD31D4"/>
    <w:rsid w:val="00DD31EF"/>
    <w:rsid w:val="00DD371B"/>
    <w:rsid w:val="00DD3927"/>
    <w:rsid w:val="00DD3939"/>
    <w:rsid w:val="00DD39C5"/>
    <w:rsid w:val="00DD3CAA"/>
    <w:rsid w:val="00DD3CEB"/>
    <w:rsid w:val="00DD407E"/>
    <w:rsid w:val="00DD4091"/>
    <w:rsid w:val="00DD488B"/>
    <w:rsid w:val="00DD48B3"/>
    <w:rsid w:val="00DD491A"/>
    <w:rsid w:val="00DD4A4E"/>
    <w:rsid w:val="00DD4A9C"/>
    <w:rsid w:val="00DD4AE3"/>
    <w:rsid w:val="00DD4BA8"/>
    <w:rsid w:val="00DD4C76"/>
    <w:rsid w:val="00DD4CDF"/>
    <w:rsid w:val="00DD4D45"/>
    <w:rsid w:val="00DD4F4D"/>
    <w:rsid w:val="00DD5012"/>
    <w:rsid w:val="00DD501E"/>
    <w:rsid w:val="00DD5203"/>
    <w:rsid w:val="00DD529A"/>
    <w:rsid w:val="00DD52EC"/>
    <w:rsid w:val="00DD54E3"/>
    <w:rsid w:val="00DD5690"/>
    <w:rsid w:val="00DD570A"/>
    <w:rsid w:val="00DD5CA2"/>
    <w:rsid w:val="00DD5E42"/>
    <w:rsid w:val="00DD5E4C"/>
    <w:rsid w:val="00DD5F50"/>
    <w:rsid w:val="00DD5F6C"/>
    <w:rsid w:val="00DD6121"/>
    <w:rsid w:val="00DD638F"/>
    <w:rsid w:val="00DD63F1"/>
    <w:rsid w:val="00DD642D"/>
    <w:rsid w:val="00DD64BC"/>
    <w:rsid w:val="00DD6738"/>
    <w:rsid w:val="00DD6766"/>
    <w:rsid w:val="00DD679D"/>
    <w:rsid w:val="00DD67F5"/>
    <w:rsid w:val="00DD68B6"/>
    <w:rsid w:val="00DD6A01"/>
    <w:rsid w:val="00DD6A03"/>
    <w:rsid w:val="00DD6A9B"/>
    <w:rsid w:val="00DD6D8E"/>
    <w:rsid w:val="00DD6E3F"/>
    <w:rsid w:val="00DD6F2A"/>
    <w:rsid w:val="00DD705B"/>
    <w:rsid w:val="00DD717E"/>
    <w:rsid w:val="00DD739C"/>
    <w:rsid w:val="00DD749C"/>
    <w:rsid w:val="00DD7687"/>
    <w:rsid w:val="00DD76FD"/>
    <w:rsid w:val="00DD776E"/>
    <w:rsid w:val="00DD777D"/>
    <w:rsid w:val="00DD78ED"/>
    <w:rsid w:val="00DD7BA6"/>
    <w:rsid w:val="00DD7F7C"/>
    <w:rsid w:val="00DE001A"/>
    <w:rsid w:val="00DE0154"/>
    <w:rsid w:val="00DE01EB"/>
    <w:rsid w:val="00DE0207"/>
    <w:rsid w:val="00DE0390"/>
    <w:rsid w:val="00DE0455"/>
    <w:rsid w:val="00DE04C7"/>
    <w:rsid w:val="00DE05F8"/>
    <w:rsid w:val="00DE0815"/>
    <w:rsid w:val="00DE090A"/>
    <w:rsid w:val="00DE0AD2"/>
    <w:rsid w:val="00DE0C13"/>
    <w:rsid w:val="00DE0C61"/>
    <w:rsid w:val="00DE0CF9"/>
    <w:rsid w:val="00DE0E68"/>
    <w:rsid w:val="00DE0F35"/>
    <w:rsid w:val="00DE101E"/>
    <w:rsid w:val="00DE10FA"/>
    <w:rsid w:val="00DE1119"/>
    <w:rsid w:val="00DE14C5"/>
    <w:rsid w:val="00DE17C9"/>
    <w:rsid w:val="00DE1868"/>
    <w:rsid w:val="00DE19E0"/>
    <w:rsid w:val="00DE1A2E"/>
    <w:rsid w:val="00DE1AA2"/>
    <w:rsid w:val="00DE1FF3"/>
    <w:rsid w:val="00DE2158"/>
    <w:rsid w:val="00DE221A"/>
    <w:rsid w:val="00DE2334"/>
    <w:rsid w:val="00DE2467"/>
    <w:rsid w:val="00DE24CB"/>
    <w:rsid w:val="00DE268F"/>
    <w:rsid w:val="00DE26DC"/>
    <w:rsid w:val="00DE26E0"/>
    <w:rsid w:val="00DE295B"/>
    <w:rsid w:val="00DE298C"/>
    <w:rsid w:val="00DE2A42"/>
    <w:rsid w:val="00DE2B8D"/>
    <w:rsid w:val="00DE2BBF"/>
    <w:rsid w:val="00DE2C79"/>
    <w:rsid w:val="00DE2D44"/>
    <w:rsid w:val="00DE2E3D"/>
    <w:rsid w:val="00DE2E52"/>
    <w:rsid w:val="00DE2F0C"/>
    <w:rsid w:val="00DE2F81"/>
    <w:rsid w:val="00DE307A"/>
    <w:rsid w:val="00DE3102"/>
    <w:rsid w:val="00DE331D"/>
    <w:rsid w:val="00DE338D"/>
    <w:rsid w:val="00DE345C"/>
    <w:rsid w:val="00DE36FC"/>
    <w:rsid w:val="00DE3A05"/>
    <w:rsid w:val="00DE3B64"/>
    <w:rsid w:val="00DE3FDC"/>
    <w:rsid w:val="00DE400F"/>
    <w:rsid w:val="00DE4214"/>
    <w:rsid w:val="00DE426B"/>
    <w:rsid w:val="00DE45A6"/>
    <w:rsid w:val="00DE45C9"/>
    <w:rsid w:val="00DE487C"/>
    <w:rsid w:val="00DE4992"/>
    <w:rsid w:val="00DE4DC2"/>
    <w:rsid w:val="00DE4E6A"/>
    <w:rsid w:val="00DE4F93"/>
    <w:rsid w:val="00DE5375"/>
    <w:rsid w:val="00DE53D9"/>
    <w:rsid w:val="00DE5598"/>
    <w:rsid w:val="00DE562B"/>
    <w:rsid w:val="00DE56B5"/>
    <w:rsid w:val="00DE5789"/>
    <w:rsid w:val="00DE582E"/>
    <w:rsid w:val="00DE5896"/>
    <w:rsid w:val="00DE5B92"/>
    <w:rsid w:val="00DE5BFF"/>
    <w:rsid w:val="00DE5C1E"/>
    <w:rsid w:val="00DE5C56"/>
    <w:rsid w:val="00DE6077"/>
    <w:rsid w:val="00DE6236"/>
    <w:rsid w:val="00DE6354"/>
    <w:rsid w:val="00DE661C"/>
    <w:rsid w:val="00DE67CC"/>
    <w:rsid w:val="00DE683B"/>
    <w:rsid w:val="00DE6850"/>
    <w:rsid w:val="00DE698D"/>
    <w:rsid w:val="00DE6A32"/>
    <w:rsid w:val="00DE6B11"/>
    <w:rsid w:val="00DE6DAD"/>
    <w:rsid w:val="00DE6EBB"/>
    <w:rsid w:val="00DE6F31"/>
    <w:rsid w:val="00DE7007"/>
    <w:rsid w:val="00DE70B6"/>
    <w:rsid w:val="00DE7265"/>
    <w:rsid w:val="00DE7375"/>
    <w:rsid w:val="00DE74FD"/>
    <w:rsid w:val="00DE75B0"/>
    <w:rsid w:val="00DE7655"/>
    <w:rsid w:val="00DE7754"/>
    <w:rsid w:val="00DE7769"/>
    <w:rsid w:val="00DE784B"/>
    <w:rsid w:val="00DE790E"/>
    <w:rsid w:val="00DE79CB"/>
    <w:rsid w:val="00DE7AF5"/>
    <w:rsid w:val="00DE7C09"/>
    <w:rsid w:val="00DE7C1D"/>
    <w:rsid w:val="00DE7DA5"/>
    <w:rsid w:val="00DE7DDF"/>
    <w:rsid w:val="00DE7EF2"/>
    <w:rsid w:val="00DF00E0"/>
    <w:rsid w:val="00DF0414"/>
    <w:rsid w:val="00DF0443"/>
    <w:rsid w:val="00DF04B6"/>
    <w:rsid w:val="00DF0721"/>
    <w:rsid w:val="00DF0733"/>
    <w:rsid w:val="00DF08DE"/>
    <w:rsid w:val="00DF0A03"/>
    <w:rsid w:val="00DF0AB8"/>
    <w:rsid w:val="00DF0BCF"/>
    <w:rsid w:val="00DF0D70"/>
    <w:rsid w:val="00DF11DE"/>
    <w:rsid w:val="00DF11EC"/>
    <w:rsid w:val="00DF135A"/>
    <w:rsid w:val="00DF1399"/>
    <w:rsid w:val="00DF13DE"/>
    <w:rsid w:val="00DF171F"/>
    <w:rsid w:val="00DF1A3C"/>
    <w:rsid w:val="00DF1A5F"/>
    <w:rsid w:val="00DF1DE5"/>
    <w:rsid w:val="00DF20C3"/>
    <w:rsid w:val="00DF2127"/>
    <w:rsid w:val="00DF222A"/>
    <w:rsid w:val="00DF236A"/>
    <w:rsid w:val="00DF237C"/>
    <w:rsid w:val="00DF2467"/>
    <w:rsid w:val="00DF2591"/>
    <w:rsid w:val="00DF2BC4"/>
    <w:rsid w:val="00DF2C1B"/>
    <w:rsid w:val="00DF2CB3"/>
    <w:rsid w:val="00DF2D86"/>
    <w:rsid w:val="00DF2E3C"/>
    <w:rsid w:val="00DF2F48"/>
    <w:rsid w:val="00DF306A"/>
    <w:rsid w:val="00DF30ED"/>
    <w:rsid w:val="00DF314B"/>
    <w:rsid w:val="00DF34CD"/>
    <w:rsid w:val="00DF35A8"/>
    <w:rsid w:val="00DF3679"/>
    <w:rsid w:val="00DF369D"/>
    <w:rsid w:val="00DF37C0"/>
    <w:rsid w:val="00DF381B"/>
    <w:rsid w:val="00DF3844"/>
    <w:rsid w:val="00DF384A"/>
    <w:rsid w:val="00DF3944"/>
    <w:rsid w:val="00DF399C"/>
    <w:rsid w:val="00DF3A74"/>
    <w:rsid w:val="00DF3E7F"/>
    <w:rsid w:val="00DF3EA0"/>
    <w:rsid w:val="00DF3FDE"/>
    <w:rsid w:val="00DF4087"/>
    <w:rsid w:val="00DF40D8"/>
    <w:rsid w:val="00DF4113"/>
    <w:rsid w:val="00DF4217"/>
    <w:rsid w:val="00DF42B5"/>
    <w:rsid w:val="00DF4395"/>
    <w:rsid w:val="00DF445F"/>
    <w:rsid w:val="00DF44C3"/>
    <w:rsid w:val="00DF47D5"/>
    <w:rsid w:val="00DF4808"/>
    <w:rsid w:val="00DF48E3"/>
    <w:rsid w:val="00DF4A15"/>
    <w:rsid w:val="00DF4B28"/>
    <w:rsid w:val="00DF4D3B"/>
    <w:rsid w:val="00DF4E14"/>
    <w:rsid w:val="00DF4E5B"/>
    <w:rsid w:val="00DF4ED4"/>
    <w:rsid w:val="00DF51FC"/>
    <w:rsid w:val="00DF521B"/>
    <w:rsid w:val="00DF53EA"/>
    <w:rsid w:val="00DF549D"/>
    <w:rsid w:val="00DF54AD"/>
    <w:rsid w:val="00DF5582"/>
    <w:rsid w:val="00DF5641"/>
    <w:rsid w:val="00DF5B07"/>
    <w:rsid w:val="00DF6025"/>
    <w:rsid w:val="00DF60D4"/>
    <w:rsid w:val="00DF60F5"/>
    <w:rsid w:val="00DF617C"/>
    <w:rsid w:val="00DF6252"/>
    <w:rsid w:val="00DF6261"/>
    <w:rsid w:val="00DF6304"/>
    <w:rsid w:val="00DF6409"/>
    <w:rsid w:val="00DF65F2"/>
    <w:rsid w:val="00DF67B4"/>
    <w:rsid w:val="00DF68DF"/>
    <w:rsid w:val="00DF68F0"/>
    <w:rsid w:val="00DF6AD3"/>
    <w:rsid w:val="00DF6B7A"/>
    <w:rsid w:val="00DF6C41"/>
    <w:rsid w:val="00DF6C8E"/>
    <w:rsid w:val="00DF6CDE"/>
    <w:rsid w:val="00DF6DFF"/>
    <w:rsid w:val="00DF7005"/>
    <w:rsid w:val="00DF7126"/>
    <w:rsid w:val="00DF748C"/>
    <w:rsid w:val="00DF7818"/>
    <w:rsid w:val="00DF7D94"/>
    <w:rsid w:val="00DF7F35"/>
    <w:rsid w:val="00DF7FF8"/>
    <w:rsid w:val="00E000D9"/>
    <w:rsid w:val="00E0010A"/>
    <w:rsid w:val="00E00234"/>
    <w:rsid w:val="00E002A9"/>
    <w:rsid w:val="00E005B8"/>
    <w:rsid w:val="00E0084E"/>
    <w:rsid w:val="00E008C0"/>
    <w:rsid w:val="00E00909"/>
    <w:rsid w:val="00E00978"/>
    <w:rsid w:val="00E00D4E"/>
    <w:rsid w:val="00E00E43"/>
    <w:rsid w:val="00E0100B"/>
    <w:rsid w:val="00E0113D"/>
    <w:rsid w:val="00E011D7"/>
    <w:rsid w:val="00E0128C"/>
    <w:rsid w:val="00E012AB"/>
    <w:rsid w:val="00E012CD"/>
    <w:rsid w:val="00E01472"/>
    <w:rsid w:val="00E014D6"/>
    <w:rsid w:val="00E016D1"/>
    <w:rsid w:val="00E0178B"/>
    <w:rsid w:val="00E019AA"/>
    <w:rsid w:val="00E01AE0"/>
    <w:rsid w:val="00E01AEB"/>
    <w:rsid w:val="00E01F75"/>
    <w:rsid w:val="00E022D3"/>
    <w:rsid w:val="00E02390"/>
    <w:rsid w:val="00E024A7"/>
    <w:rsid w:val="00E025B0"/>
    <w:rsid w:val="00E02625"/>
    <w:rsid w:val="00E02767"/>
    <w:rsid w:val="00E02921"/>
    <w:rsid w:val="00E02CBA"/>
    <w:rsid w:val="00E02E03"/>
    <w:rsid w:val="00E02F1D"/>
    <w:rsid w:val="00E02FED"/>
    <w:rsid w:val="00E03103"/>
    <w:rsid w:val="00E03104"/>
    <w:rsid w:val="00E0315E"/>
    <w:rsid w:val="00E0320C"/>
    <w:rsid w:val="00E0355A"/>
    <w:rsid w:val="00E039CB"/>
    <w:rsid w:val="00E039DF"/>
    <w:rsid w:val="00E039EF"/>
    <w:rsid w:val="00E03A8F"/>
    <w:rsid w:val="00E03B50"/>
    <w:rsid w:val="00E03BCB"/>
    <w:rsid w:val="00E03C06"/>
    <w:rsid w:val="00E03C32"/>
    <w:rsid w:val="00E03C5F"/>
    <w:rsid w:val="00E03CC1"/>
    <w:rsid w:val="00E0467E"/>
    <w:rsid w:val="00E046AB"/>
    <w:rsid w:val="00E047B7"/>
    <w:rsid w:val="00E04849"/>
    <w:rsid w:val="00E04BB7"/>
    <w:rsid w:val="00E04E27"/>
    <w:rsid w:val="00E04E34"/>
    <w:rsid w:val="00E04EC0"/>
    <w:rsid w:val="00E05050"/>
    <w:rsid w:val="00E05104"/>
    <w:rsid w:val="00E05245"/>
    <w:rsid w:val="00E052B2"/>
    <w:rsid w:val="00E05328"/>
    <w:rsid w:val="00E0539F"/>
    <w:rsid w:val="00E05901"/>
    <w:rsid w:val="00E05BD3"/>
    <w:rsid w:val="00E05C09"/>
    <w:rsid w:val="00E05CD8"/>
    <w:rsid w:val="00E05DBC"/>
    <w:rsid w:val="00E05E69"/>
    <w:rsid w:val="00E05EDE"/>
    <w:rsid w:val="00E0606B"/>
    <w:rsid w:val="00E06117"/>
    <w:rsid w:val="00E06148"/>
    <w:rsid w:val="00E0624C"/>
    <w:rsid w:val="00E06575"/>
    <w:rsid w:val="00E065FA"/>
    <w:rsid w:val="00E0666D"/>
    <w:rsid w:val="00E06684"/>
    <w:rsid w:val="00E066ED"/>
    <w:rsid w:val="00E0672F"/>
    <w:rsid w:val="00E06783"/>
    <w:rsid w:val="00E067B9"/>
    <w:rsid w:val="00E0692B"/>
    <w:rsid w:val="00E06C1F"/>
    <w:rsid w:val="00E06EC7"/>
    <w:rsid w:val="00E071DB"/>
    <w:rsid w:val="00E0722D"/>
    <w:rsid w:val="00E07346"/>
    <w:rsid w:val="00E075A2"/>
    <w:rsid w:val="00E07628"/>
    <w:rsid w:val="00E076B2"/>
    <w:rsid w:val="00E07770"/>
    <w:rsid w:val="00E0785E"/>
    <w:rsid w:val="00E07AD5"/>
    <w:rsid w:val="00E07B94"/>
    <w:rsid w:val="00E07BC1"/>
    <w:rsid w:val="00E07BE8"/>
    <w:rsid w:val="00E07C8E"/>
    <w:rsid w:val="00E07D7E"/>
    <w:rsid w:val="00E07E69"/>
    <w:rsid w:val="00E07F90"/>
    <w:rsid w:val="00E07FA3"/>
    <w:rsid w:val="00E1010F"/>
    <w:rsid w:val="00E1011B"/>
    <w:rsid w:val="00E101BB"/>
    <w:rsid w:val="00E104A3"/>
    <w:rsid w:val="00E107B9"/>
    <w:rsid w:val="00E10853"/>
    <w:rsid w:val="00E10901"/>
    <w:rsid w:val="00E10953"/>
    <w:rsid w:val="00E109E8"/>
    <w:rsid w:val="00E10C78"/>
    <w:rsid w:val="00E10D53"/>
    <w:rsid w:val="00E10E3B"/>
    <w:rsid w:val="00E10FA2"/>
    <w:rsid w:val="00E11187"/>
    <w:rsid w:val="00E1154F"/>
    <w:rsid w:val="00E115AC"/>
    <w:rsid w:val="00E1169A"/>
    <w:rsid w:val="00E116E3"/>
    <w:rsid w:val="00E11787"/>
    <w:rsid w:val="00E1187D"/>
    <w:rsid w:val="00E11B3A"/>
    <w:rsid w:val="00E11C09"/>
    <w:rsid w:val="00E11D20"/>
    <w:rsid w:val="00E11DD4"/>
    <w:rsid w:val="00E11FDC"/>
    <w:rsid w:val="00E12454"/>
    <w:rsid w:val="00E12554"/>
    <w:rsid w:val="00E12585"/>
    <w:rsid w:val="00E125D7"/>
    <w:rsid w:val="00E12716"/>
    <w:rsid w:val="00E1278B"/>
    <w:rsid w:val="00E12817"/>
    <w:rsid w:val="00E12856"/>
    <w:rsid w:val="00E12A21"/>
    <w:rsid w:val="00E12A3D"/>
    <w:rsid w:val="00E12C39"/>
    <w:rsid w:val="00E12EE3"/>
    <w:rsid w:val="00E132EB"/>
    <w:rsid w:val="00E13581"/>
    <w:rsid w:val="00E135C2"/>
    <w:rsid w:val="00E138A5"/>
    <w:rsid w:val="00E138BD"/>
    <w:rsid w:val="00E13A18"/>
    <w:rsid w:val="00E13A2A"/>
    <w:rsid w:val="00E13D3E"/>
    <w:rsid w:val="00E13DB0"/>
    <w:rsid w:val="00E13DB5"/>
    <w:rsid w:val="00E13DDD"/>
    <w:rsid w:val="00E13EB9"/>
    <w:rsid w:val="00E13F34"/>
    <w:rsid w:val="00E1423B"/>
    <w:rsid w:val="00E142A9"/>
    <w:rsid w:val="00E14444"/>
    <w:rsid w:val="00E1450C"/>
    <w:rsid w:val="00E14523"/>
    <w:rsid w:val="00E14839"/>
    <w:rsid w:val="00E14BA4"/>
    <w:rsid w:val="00E14BAA"/>
    <w:rsid w:val="00E14BAC"/>
    <w:rsid w:val="00E14C21"/>
    <w:rsid w:val="00E14C90"/>
    <w:rsid w:val="00E14CBC"/>
    <w:rsid w:val="00E14D29"/>
    <w:rsid w:val="00E14F47"/>
    <w:rsid w:val="00E1513C"/>
    <w:rsid w:val="00E153AE"/>
    <w:rsid w:val="00E153F9"/>
    <w:rsid w:val="00E15509"/>
    <w:rsid w:val="00E156BD"/>
    <w:rsid w:val="00E15863"/>
    <w:rsid w:val="00E15B2E"/>
    <w:rsid w:val="00E15B48"/>
    <w:rsid w:val="00E15C46"/>
    <w:rsid w:val="00E15CC5"/>
    <w:rsid w:val="00E15D26"/>
    <w:rsid w:val="00E16164"/>
    <w:rsid w:val="00E161B2"/>
    <w:rsid w:val="00E16491"/>
    <w:rsid w:val="00E16613"/>
    <w:rsid w:val="00E1676A"/>
    <w:rsid w:val="00E167A0"/>
    <w:rsid w:val="00E167AE"/>
    <w:rsid w:val="00E16835"/>
    <w:rsid w:val="00E16877"/>
    <w:rsid w:val="00E1691D"/>
    <w:rsid w:val="00E1692F"/>
    <w:rsid w:val="00E16AB0"/>
    <w:rsid w:val="00E16B0D"/>
    <w:rsid w:val="00E16B70"/>
    <w:rsid w:val="00E16CA5"/>
    <w:rsid w:val="00E16D62"/>
    <w:rsid w:val="00E16DD7"/>
    <w:rsid w:val="00E16E1F"/>
    <w:rsid w:val="00E16EC1"/>
    <w:rsid w:val="00E17145"/>
    <w:rsid w:val="00E172A1"/>
    <w:rsid w:val="00E172D4"/>
    <w:rsid w:val="00E17540"/>
    <w:rsid w:val="00E1774A"/>
    <w:rsid w:val="00E17800"/>
    <w:rsid w:val="00E17837"/>
    <w:rsid w:val="00E17972"/>
    <w:rsid w:val="00E17BC0"/>
    <w:rsid w:val="00E17CE3"/>
    <w:rsid w:val="00E17D08"/>
    <w:rsid w:val="00E17FEB"/>
    <w:rsid w:val="00E20021"/>
    <w:rsid w:val="00E201D5"/>
    <w:rsid w:val="00E201D7"/>
    <w:rsid w:val="00E20627"/>
    <w:rsid w:val="00E20B94"/>
    <w:rsid w:val="00E20BCF"/>
    <w:rsid w:val="00E20BEA"/>
    <w:rsid w:val="00E20C23"/>
    <w:rsid w:val="00E20E2F"/>
    <w:rsid w:val="00E20E8C"/>
    <w:rsid w:val="00E21032"/>
    <w:rsid w:val="00E2110A"/>
    <w:rsid w:val="00E2114C"/>
    <w:rsid w:val="00E2151D"/>
    <w:rsid w:val="00E2159F"/>
    <w:rsid w:val="00E2161E"/>
    <w:rsid w:val="00E21653"/>
    <w:rsid w:val="00E21668"/>
    <w:rsid w:val="00E21983"/>
    <w:rsid w:val="00E21C8D"/>
    <w:rsid w:val="00E21DB3"/>
    <w:rsid w:val="00E21F87"/>
    <w:rsid w:val="00E220D3"/>
    <w:rsid w:val="00E221B9"/>
    <w:rsid w:val="00E22214"/>
    <w:rsid w:val="00E225CE"/>
    <w:rsid w:val="00E22695"/>
    <w:rsid w:val="00E22760"/>
    <w:rsid w:val="00E22943"/>
    <w:rsid w:val="00E22BDC"/>
    <w:rsid w:val="00E22C74"/>
    <w:rsid w:val="00E22CC4"/>
    <w:rsid w:val="00E22DE1"/>
    <w:rsid w:val="00E22FA7"/>
    <w:rsid w:val="00E23229"/>
    <w:rsid w:val="00E232D4"/>
    <w:rsid w:val="00E23571"/>
    <w:rsid w:val="00E23577"/>
    <w:rsid w:val="00E23656"/>
    <w:rsid w:val="00E23ACA"/>
    <w:rsid w:val="00E23B40"/>
    <w:rsid w:val="00E23CA9"/>
    <w:rsid w:val="00E23F40"/>
    <w:rsid w:val="00E24058"/>
    <w:rsid w:val="00E24221"/>
    <w:rsid w:val="00E2427B"/>
    <w:rsid w:val="00E2444F"/>
    <w:rsid w:val="00E24489"/>
    <w:rsid w:val="00E24559"/>
    <w:rsid w:val="00E245DF"/>
    <w:rsid w:val="00E24748"/>
    <w:rsid w:val="00E247E5"/>
    <w:rsid w:val="00E24890"/>
    <w:rsid w:val="00E248DC"/>
    <w:rsid w:val="00E2495F"/>
    <w:rsid w:val="00E2498A"/>
    <w:rsid w:val="00E249DF"/>
    <w:rsid w:val="00E24B75"/>
    <w:rsid w:val="00E24BAE"/>
    <w:rsid w:val="00E24C78"/>
    <w:rsid w:val="00E24DFC"/>
    <w:rsid w:val="00E24E92"/>
    <w:rsid w:val="00E24ED5"/>
    <w:rsid w:val="00E24F9B"/>
    <w:rsid w:val="00E25347"/>
    <w:rsid w:val="00E25782"/>
    <w:rsid w:val="00E257F1"/>
    <w:rsid w:val="00E25875"/>
    <w:rsid w:val="00E258FD"/>
    <w:rsid w:val="00E25B16"/>
    <w:rsid w:val="00E25CAC"/>
    <w:rsid w:val="00E25D0C"/>
    <w:rsid w:val="00E25D42"/>
    <w:rsid w:val="00E25E21"/>
    <w:rsid w:val="00E261F5"/>
    <w:rsid w:val="00E2642A"/>
    <w:rsid w:val="00E2651D"/>
    <w:rsid w:val="00E265E0"/>
    <w:rsid w:val="00E2661C"/>
    <w:rsid w:val="00E266B5"/>
    <w:rsid w:val="00E26729"/>
    <w:rsid w:val="00E26954"/>
    <w:rsid w:val="00E26B6C"/>
    <w:rsid w:val="00E26C53"/>
    <w:rsid w:val="00E26C59"/>
    <w:rsid w:val="00E26EDC"/>
    <w:rsid w:val="00E26F13"/>
    <w:rsid w:val="00E26F64"/>
    <w:rsid w:val="00E270F9"/>
    <w:rsid w:val="00E274A4"/>
    <w:rsid w:val="00E27537"/>
    <w:rsid w:val="00E2756B"/>
    <w:rsid w:val="00E277A4"/>
    <w:rsid w:val="00E27B25"/>
    <w:rsid w:val="00E27B4D"/>
    <w:rsid w:val="00E27B89"/>
    <w:rsid w:val="00E27FDD"/>
    <w:rsid w:val="00E30059"/>
    <w:rsid w:val="00E302B1"/>
    <w:rsid w:val="00E30600"/>
    <w:rsid w:val="00E30697"/>
    <w:rsid w:val="00E306BB"/>
    <w:rsid w:val="00E30786"/>
    <w:rsid w:val="00E308EB"/>
    <w:rsid w:val="00E3096D"/>
    <w:rsid w:val="00E30AD4"/>
    <w:rsid w:val="00E30ECA"/>
    <w:rsid w:val="00E312AE"/>
    <w:rsid w:val="00E31647"/>
    <w:rsid w:val="00E317E1"/>
    <w:rsid w:val="00E319EB"/>
    <w:rsid w:val="00E31A44"/>
    <w:rsid w:val="00E31A74"/>
    <w:rsid w:val="00E31B97"/>
    <w:rsid w:val="00E31BEC"/>
    <w:rsid w:val="00E31D59"/>
    <w:rsid w:val="00E31F0F"/>
    <w:rsid w:val="00E32037"/>
    <w:rsid w:val="00E32268"/>
    <w:rsid w:val="00E32499"/>
    <w:rsid w:val="00E326DE"/>
    <w:rsid w:val="00E328D3"/>
    <w:rsid w:val="00E329FC"/>
    <w:rsid w:val="00E32B23"/>
    <w:rsid w:val="00E32BC8"/>
    <w:rsid w:val="00E32C59"/>
    <w:rsid w:val="00E32DC0"/>
    <w:rsid w:val="00E32E12"/>
    <w:rsid w:val="00E32EFF"/>
    <w:rsid w:val="00E3300B"/>
    <w:rsid w:val="00E3303A"/>
    <w:rsid w:val="00E33070"/>
    <w:rsid w:val="00E330D9"/>
    <w:rsid w:val="00E330F1"/>
    <w:rsid w:val="00E332E9"/>
    <w:rsid w:val="00E3333B"/>
    <w:rsid w:val="00E333D0"/>
    <w:rsid w:val="00E33433"/>
    <w:rsid w:val="00E33597"/>
    <w:rsid w:val="00E335B5"/>
    <w:rsid w:val="00E3375A"/>
    <w:rsid w:val="00E33875"/>
    <w:rsid w:val="00E33A9F"/>
    <w:rsid w:val="00E33CE4"/>
    <w:rsid w:val="00E33D90"/>
    <w:rsid w:val="00E34091"/>
    <w:rsid w:val="00E341DF"/>
    <w:rsid w:val="00E34266"/>
    <w:rsid w:val="00E3435E"/>
    <w:rsid w:val="00E343D5"/>
    <w:rsid w:val="00E344D1"/>
    <w:rsid w:val="00E34608"/>
    <w:rsid w:val="00E34871"/>
    <w:rsid w:val="00E348F6"/>
    <w:rsid w:val="00E34A09"/>
    <w:rsid w:val="00E34A81"/>
    <w:rsid w:val="00E34BF1"/>
    <w:rsid w:val="00E34E63"/>
    <w:rsid w:val="00E34FCE"/>
    <w:rsid w:val="00E35315"/>
    <w:rsid w:val="00E356BB"/>
    <w:rsid w:val="00E356DE"/>
    <w:rsid w:val="00E358D0"/>
    <w:rsid w:val="00E35A94"/>
    <w:rsid w:val="00E35CBF"/>
    <w:rsid w:val="00E35EA8"/>
    <w:rsid w:val="00E35EEF"/>
    <w:rsid w:val="00E3608D"/>
    <w:rsid w:val="00E36134"/>
    <w:rsid w:val="00E3615C"/>
    <w:rsid w:val="00E36282"/>
    <w:rsid w:val="00E36386"/>
    <w:rsid w:val="00E36471"/>
    <w:rsid w:val="00E3651F"/>
    <w:rsid w:val="00E36596"/>
    <w:rsid w:val="00E36719"/>
    <w:rsid w:val="00E367FA"/>
    <w:rsid w:val="00E368D4"/>
    <w:rsid w:val="00E36984"/>
    <w:rsid w:val="00E36AA2"/>
    <w:rsid w:val="00E36C26"/>
    <w:rsid w:val="00E36C8A"/>
    <w:rsid w:val="00E37258"/>
    <w:rsid w:val="00E37262"/>
    <w:rsid w:val="00E373E8"/>
    <w:rsid w:val="00E375A0"/>
    <w:rsid w:val="00E375D1"/>
    <w:rsid w:val="00E376F9"/>
    <w:rsid w:val="00E377AE"/>
    <w:rsid w:val="00E377C7"/>
    <w:rsid w:val="00E378C2"/>
    <w:rsid w:val="00E37A70"/>
    <w:rsid w:val="00E37AD6"/>
    <w:rsid w:val="00E37C27"/>
    <w:rsid w:val="00E37E14"/>
    <w:rsid w:val="00E4000E"/>
    <w:rsid w:val="00E40031"/>
    <w:rsid w:val="00E400FA"/>
    <w:rsid w:val="00E401F7"/>
    <w:rsid w:val="00E404A7"/>
    <w:rsid w:val="00E40593"/>
    <w:rsid w:val="00E4063E"/>
    <w:rsid w:val="00E40656"/>
    <w:rsid w:val="00E406CA"/>
    <w:rsid w:val="00E40775"/>
    <w:rsid w:val="00E40853"/>
    <w:rsid w:val="00E408EB"/>
    <w:rsid w:val="00E409A1"/>
    <w:rsid w:val="00E40ADF"/>
    <w:rsid w:val="00E40B30"/>
    <w:rsid w:val="00E40C09"/>
    <w:rsid w:val="00E40CF3"/>
    <w:rsid w:val="00E41158"/>
    <w:rsid w:val="00E4131E"/>
    <w:rsid w:val="00E41557"/>
    <w:rsid w:val="00E4164E"/>
    <w:rsid w:val="00E417CD"/>
    <w:rsid w:val="00E41867"/>
    <w:rsid w:val="00E418A9"/>
    <w:rsid w:val="00E419BB"/>
    <w:rsid w:val="00E41A1D"/>
    <w:rsid w:val="00E41CCA"/>
    <w:rsid w:val="00E41D69"/>
    <w:rsid w:val="00E42502"/>
    <w:rsid w:val="00E42671"/>
    <w:rsid w:val="00E428A0"/>
    <w:rsid w:val="00E428DB"/>
    <w:rsid w:val="00E428FF"/>
    <w:rsid w:val="00E43153"/>
    <w:rsid w:val="00E43441"/>
    <w:rsid w:val="00E434E0"/>
    <w:rsid w:val="00E4360F"/>
    <w:rsid w:val="00E4370A"/>
    <w:rsid w:val="00E4397B"/>
    <w:rsid w:val="00E43C16"/>
    <w:rsid w:val="00E43DD5"/>
    <w:rsid w:val="00E43F8E"/>
    <w:rsid w:val="00E44109"/>
    <w:rsid w:val="00E4420D"/>
    <w:rsid w:val="00E4425E"/>
    <w:rsid w:val="00E44276"/>
    <w:rsid w:val="00E442B6"/>
    <w:rsid w:val="00E443D0"/>
    <w:rsid w:val="00E4445E"/>
    <w:rsid w:val="00E44477"/>
    <w:rsid w:val="00E44481"/>
    <w:rsid w:val="00E444D0"/>
    <w:rsid w:val="00E44532"/>
    <w:rsid w:val="00E4470E"/>
    <w:rsid w:val="00E447F2"/>
    <w:rsid w:val="00E447F6"/>
    <w:rsid w:val="00E448C5"/>
    <w:rsid w:val="00E44974"/>
    <w:rsid w:val="00E449AE"/>
    <w:rsid w:val="00E44A0C"/>
    <w:rsid w:val="00E44B02"/>
    <w:rsid w:val="00E44C10"/>
    <w:rsid w:val="00E44C26"/>
    <w:rsid w:val="00E44CE9"/>
    <w:rsid w:val="00E44D45"/>
    <w:rsid w:val="00E44D7A"/>
    <w:rsid w:val="00E44D94"/>
    <w:rsid w:val="00E44F5A"/>
    <w:rsid w:val="00E4509D"/>
    <w:rsid w:val="00E45105"/>
    <w:rsid w:val="00E45134"/>
    <w:rsid w:val="00E452EE"/>
    <w:rsid w:val="00E454BD"/>
    <w:rsid w:val="00E45700"/>
    <w:rsid w:val="00E45733"/>
    <w:rsid w:val="00E45750"/>
    <w:rsid w:val="00E45992"/>
    <w:rsid w:val="00E459D4"/>
    <w:rsid w:val="00E45AB5"/>
    <w:rsid w:val="00E45AD3"/>
    <w:rsid w:val="00E45B44"/>
    <w:rsid w:val="00E45C91"/>
    <w:rsid w:val="00E45D38"/>
    <w:rsid w:val="00E45E6B"/>
    <w:rsid w:val="00E45F49"/>
    <w:rsid w:val="00E46090"/>
    <w:rsid w:val="00E46187"/>
    <w:rsid w:val="00E4620C"/>
    <w:rsid w:val="00E4640E"/>
    <w:rsid w:val="00E4641C"/>
    <w:rsid w:val="00E46454"/>
    <w:rsid w:val="00E464A3"/>
    <w:rsid w:val="00E4669E"/>
    <w:rsid w:val="00E466C3"/>
    <w:rsid w:val="00E46810"/>
    <w:rsid w:val="00E46850"/>
    <w:rsid w:val="00E46B1F"/>
    <w:rsid w:val="00E46B2A"/>
    <w:rsid w:val="00E46B31"/>
    <w:rsid w:val="00E46CAC"/>
    <w:rsid w:val="00E46CFF"/>
    <w:rsid w:val="00E46D94"/>
    <w:rsid w:val="00E46F99"/>
    <w:rsid w:val="00E470BD"/>
    <w:rsid w:val="00E470D0"/>
    <w:rsid w:val="00E47152"/>
    <w:rsid w:val="00E4728C"/>
    <w:rsid w:val="00E475D0"/>
    <w:rsid w:val="00E47668"/>
    <w:rsid w:val="00E476DD"/>
    <w:rsid w:val="00E4779D"/>
    <w:rsid w:val="00E47865"/>
    <w:rsid w:val="00E4798D"/>
    <w:rsid w:val="00E47A75"/>
    <w:rsid w:val="00E47BD4"/>
    <w:rsid w:val="00E47C3C"/>
    <w:rsid w:val="00E47DAD"/>
    <w:rsid w:val="00E47F44"/>
    <w:rsid w:val="00E47F46"/>
    <w:rsid w:val="00E47F9D"/>
    <w:rsid w:val="00E50074"/>
    <w:rsid w:val="00E501D2"/>
    <w:rsid w:val="00E504D8"/>
    <w:rsid w:val="00E50688"/>
    <w:rsid w:val="00E506FD"/>
    <w:rsid w:val="00E50801"/>
    <w:rsid w:val="00E508E5"/>
    <w:rsid w:val="00E50919"/>
    <w:rsid w:val="00E50B4D"/>
    <w:rsid w:val="00E50C68"/>
    <w:rsid w:val="00E50E8D"/>
    <w:rsid w:val="00E50F11"/>
    <w:rsid w:val="00E50F63"/>
    <w:rsid w:val="00E510A8"/>
    <w:rsid w:val="00E5120D"/>
    <w:rsid w:val="00E5122E"/>
    <w:rsid w:val="00E516AB"/>
    <w:rsid w:val="00E51974"/>
    <w:rsid w:val="00E519C0"/>
    <w:rsid w:val="00E51A5F"/>
    <w:rsid w:val="00E51E9D"/>
    <w:rsid w:val="00E51F99"/>
    <w:rsid w:val="00E51FAF"/>
    <w:rsid w:val="00E5205F"/>
    <w:rsid w:val="00E520C9"/>
    <w:rsid w:val="00E5234C"/>
    <w:rsid w:val="00E52653"/>
    <w:rsid w:val="00E528C3"/>
    <w:rsid w:val="00E528DD"/>
    <w:rsid w:val="00E529C1"/>
    <w:rsid w:val="00E52A62"/>
    <w:rsid w:val="00E52D50"/>
    <w:rsid w:val="00E52E5D"/>
    <w:rsid w:val="00E5305D"/>
    <w:rsid w:val="00E53286"/>
    <w:rsid w:val="00E533F0"/>
    <w:rsid w:val="00E53401"/>
    <w:rsid w:val="00E534E2"/>
    <w:rsid w:val="00E5351B"/>
    <w:rsid w:val="00E53545"/>
    <w:rsid w:val="00E53711"/>
    <w:rsid w:val="00E537A9"/>
    <w:rsid w:val="00E5385A"/>
    <w:rsid w:val="00E5385B"/>
    <w:rsid w:val="00E5385C"/>
    <w:rsid w:val="00E5389C"/>
    <w:rsid w:val="00E539E8"/>
    <w:rsid w:val="00E53C8F"/>
    <w:rsid w:val="00E53D4A"/>
    <w:rsid w:val="00E53D90"/>
    <w:rsid w:val="00E53E73"/>
    <w:rsid w:val="00E53E7F"/>
    <w:rsid w:val="00E54149"/>
    <w:rsid w:val="00E5421C"/>
    <w:rsid w:val="00E54323"/>
    <w:rsid w:val="00E54327"/>
    <w:rsid w:val="00E54433"/>
    <w:rsid w:val="00E546CA"/>
    <w:rsid w:val="00E54855"/>
    <w:rsid w:val="00E54957"/>
    <w:rsid w:val="00E5498C"/>
    <w:rsid w:val="00E54B10"/>
    <w:rsid w:val="00E54B59"/>
    <w:rsid w:val="00E54BB3"/>
    <w:rsid w:val="00E54E78"/>
    <w:rsid w:val="00E54F03"/>
    <w:rsid w:val="00E55032"/>
    <w:rsid w:val="00E551D9"/>
    <w:rsid w:val="00E5536A"/>
    <w:rsid w:val="00E554ED"/>
    <w:rsid w:val="00E55501"/>
    <w:rsid w:val="00E5550C"/>
    <w:rsid w:val="00E555F2"/>
    <w:rsid w:val="00E55854"/>
    <w:rsid w:val="00E55A6C"/>
    <w:rsid w:val="00E55B5C"/>
    <w:rsid w:val="00E55BF9"/>
    <w:rsid w:val="00E55D93"/>
    <w:rsid w:val="00E55F2B"/>
    <w:rsid w:val="00E5603D"/>
    <w:rsid w:val="00E56342"/>
    <w:rsid w:val="00E563A1"/>
    <w:rsid w:val="00E56659"/>
    <w:rsid w:val="00E56728"/>
    <w:rsid w:val="00E567EF"/>
    <w:rsid w:val="00E56B04"/>
    <w:rsid w:val="00E56B81"/>
    <w:rsid w:val="00E56CC6"/>
    <w:rsid w:val="00E56D52"/>
    <w:rsid w:val="00E56DF3"/>
    <w:rsid w:val="00E5705D"/>
    <w:rsid w:val="00E5706F"/>
    <w:rsid w:val="00E570B7"/>
    <w:rsid w:val="00E573EB"/>
    <w:rsid w:val="00E57474"/>
    <w:rsid w:val="00E57564"/>
    <w:rsid w:val="00E57693"/>
    <w:rsid w:val="00E57889"/>
    <w:rsid w:val="00E578A7"/>
    <w:rsid w:val="00E57A2C"/>
    <w:rsid w:val="00E57B53"/>
    <w:rsid w:val="00E57DE0"/>
    <w:rsid w:val="00E57F10"/>
    <w:rsid w:val="00E57FCF"/>
    <w:rsid w:val="00E600A7"/>
    <w:rsid w:val="00E6017D"/>
    <w:rsid w:val="00E60186"/>
    <w:rsid w:val="00E601AA"/>
    <w:rsid w:val="00E60555"/>
    <w:rsid w:val="00E605F3"/>
    <w:rsid w:val="00E60672"/>
    <w:rsid w:val="00E607D2"/>
    <w:rsid w:val="00E60B47"/>
    <w:rsid w:val="00E60B9C"/>
    <w:rsid w:val="00E60BFC"/>
    <w:rsid w:val="00E60D3E"/>
    <w:rsid w:val="00E6116A"/>
    <w:rsid w:val="00E6120B"/>
    <w:rsid w:val="00E61648"/>
    <w:rsid w:val="00E617EF"/>
    <w:rsid w:val="00E6186E"/>
    <w:rsid w:val="00E61898"/>
    <w:rsid w:val="00E61AAE"/>
    <w:rsid w:val="00E61B14"/>
    <w:rsid w:val="00E61DC0"/>
    <w:rsid w:val="00E61FA3"/>
    <w:rsid w:val="00E624B6"/>
    <w:rsid w:val="00E62655"/>
    <w:rsid w:val="00E629E8"/>
    <w:rsid w:val="00E62B8D"/>
    <w:rsid w:val="00E62F08"/>
    <w:rsid w:val="00E63100"/>
    <w:rsid w:val="00E63125"/>
    <w:rsid w:val="00E63283"/>
    <w:rsid w:val="00E63382"/>
    <w:rsid w:val="00E6349B"/>
    <w:rsid w:val="00E63501"/>
    <w:rsid w:val="00E63555"/>
    <w:rsid w:val="00E63839"/>
    <w:rsid w:val="00E63854"/>
    <w:rsid w:val="00E638F4"/>
    <w:rsid w:val="00E63A77"/>
    <w:rsid w:val="00E63ABD"/>
    <w:rsid w:val="00E63B93"/>
    <w:rsid w:val="00E63C93"/>
    <w:rsid w:val="00E63CB9"/>
    <w:rsid w:val="00E63CEA"/>
    <w:rsid w:val="00E63D0E"/>
    <w:rsid w:val="00E63DA4"/>
    <w:rsid w:val="00E63DB5"/>
    <w:rsid w:val="00E63E31"/>
    <w:rsid w:val="00E63F62"/>
    <w:rsid w:val="00E63F87"/>
    <w:rsid w:val="00E64412"/>
    <w:rsid w:val="00E644C2"/>
    <w:rsid w:val="00E64528"/>
    <w:rsid w:val="00E6456E"/>
    <w:rsid w:val="00E64981"/>
    <w:rsid w:val="00E64B67"/>
    <w:rsid w:val="00E64BD8"/>
    <w:rsid w:val="00E64D08"/>
    <w:rsid w:val="00E64E11"/>
    <w:rsid w:val="00E64F56"/>
    <w:rsid w:val="00E650C3"/>
    <w:rsid w:val="00E65446"/>
    <w:rsid w:val="00E6545A"/>
    <w:rsid w:val="00E656CC"/>
    <w:rsid w:val="00E657DE"/>
    <w:rsid w:val="00E65B6F"/>
    <w:rsid w:val="00E65E88"/>
    <w:rsid w:val="00E65EF7"/>
    <w:rsid w:val="00E65F1A"/>
    <w:rsid w:val="00E6607D"/>
    <w:rsid w:val="00E661D8"/>
    <w:rsid w:val="00E661FD"/>
    <w:rsid w:val="00E662E6"/>
    <w:rsid w:val="00E66366"/>
    <w:rsid w:val="00E6640D"/>
    <w:rsid w:val="00E66747"/>
    <w:rsid w:val="00E66997"/>
    <w:rsid w:val="00E66AB3"/>
    <w:rsid w:val="00E66B8B"/>
    <w:rsid w:val="00E66BB8"/>
    <w:rsid w:val="00E66BF0"/>
    <w:rsid w:val="00E66C68"/>
    <w:rsid w:val="00E66CC6"/>
    <w:rsid w:val="00E66F1B"/>
    <w:rsid w:val="00E66F91"/>
    <w:rsid w:val="00E67110"/>
    <w:rsid w:val="00E6718D"/>
    <w:rsid w:val="00E6720B"/>
    <w:rsid w:val="00E6727E"/>
    <w:rsid w:val="00E672E8"/>
    <w:rsid w:val="00E674A2"/>
    <w:rsid w:val="00E6754A"/>
    <w:rsid w:val="00E67929"/>
    <w:rsid w:val="00E67AA6"/>
    <w:rsid w:val="00E67B5A"/>
    <w:rsid w:val="00E67BDB"/>
    <w:rsid w:val="00E67C8E"/>
    <w:rsid w:val="00E67D68"/>
    <w:rsid w:val="00E67DDA"/>
    <w:rsid w:val="00E67FB9"/>
    <w:rsid w:val="00E70057"/>
    <w:rsid w:val="00E70086"/>
    <w:rsid w:val="00E700B6"/>
    <w:rsid w:val="00E70165"/>
    <w:rsid w:val="00E701EE"/>
    <w:rsid w:val="00E702D5"/>
    <w:rsid w:val="00E7033D"/>
    <w:rsid w:val="00E7050F"/>
    <w:rsid w:val="00E7059E"/>
    <w:rsid w:val="00E707F5"/>
    <w:rsid w:val="00E70839"/>
    <w:rsid w:val="00E7088D"/>
    <w:rsid w:val="00E709F3"/>
    <w:rsid w:val="00E70A70"/>
    <w:rsid w:val="00E70F2C"/>
    <w:rsid w:val="00E70F3E"/>
    <w:rsid w:val="00E70F4C"/>
    <w:rsid w:val="00E70FF9"/>
    <w:rsid w:val="00E7125A"/>
    <w:rsid w:val="00E71521"/>
    <w:rsid w:val="00E71662"/>
    <w:rsid w:val="00E71671"/>
    <w:rsid w:val="00E717AB"/>
    <w:rsid w:val="00E7183E"/>
    <w:rsid w:val="00E71C72"/>
    <w:rsid w:val="00E71CFE"/>
    <w:rsid w:val="00E71D41"/>
    <w:rsid w:val="00E71E23"/>
    <w:rsid w:val="00E71E3A"/>
    <w:rsid w:val="00E71E74"/>
    <w:rsid w:val="00E71EDB"/>
    <w:rsid w:val="00E71F66"/>
    <w:rsid w:val="00E71FA8"/>
    <w:rsid w:val="00E721D8"/>
    <w:rsid w:val="00E721EB"/>
    <w:rsid w:val="00E72325"/>
    <w:rsid w:val="00E72474"/>
    <w:rsid w:val="00E72735"/>
    <w:rsid w:val="00E72761"/>
    <w:rsid w:val="00E729A7"/>
    <w:rsid w:val="00E72E66"/>
    <w:rsid w:val="00E72F03"/>
    <w:rsid w:val="00E72F48"/>
    <w:rsid w:val="00E72FD5"/>
    <w:rsid w:val="00E733C7"/>
    <w:rsid w:val="00E733FB"/>
    <w:rsid w:val="00E735A1"/>
    <w:rsid w:val="00E7369D"/>
    <w:rsid w:val="00E737A0"/>
    <w:rsid w:val="00E73856"/>
    <w:rsid w:val="00E73D78"/>
    <w:rsid w:val="00E73ED9"/>
    <w:rsid w:val="00E73F22"/>
    <w:rsid w:val="00E7429A"/>
    <w:rsid w:val="00E742BF"/>
    <w:rsid w:val="00E7432C"/>
    <w:rsid w:val="00E743F9"/>
    <w:rsid w:val="00E744AA"/>
    <w:rsid w:val="00E74576"/>
    <w:rsid w:val="00E745E5"/>
    <w:rsid w:val="00E74675"/>
    <w:rsid w:val="00E74678"/>
    <w:rsid w:val="00E74992"/>
    <w:rsid w:val="00E74C15"/>
    <w:rsid w:val="00E74CC3"/>
    <w:rsid w:val="00E74DFB"/>
    <w:rsid w:val="00E74EC3"/>
    <w:rsid w:val="00E752DF"/>
    <w:rsid w:val="00E7555C"/>
    <w:rsid w:val="00E755D7"/>
    <w:rsid w:val="00E75653"/>
    <w:rsid w:val="00E756B3"/>
    <w:rsid w:val="00E75762"/>
    <w:rsid w:val="00E7594E"/>
    <w:rsid w:val="00E75D64"/>
    <w:rsid w:val="00E75D89"/>
    <w:rsid w:val="00E75FF3"/>
    <w:rsid w:val="00E76041"/>
    <w:rsid w:val="00E7622A"/>
    <w:rsid w:val="00E762CE"/>
    <w:rsid w:val="00E7650C"/>
    <w:rsid w:val="00E7653A"/>
    <w:rsid w:val="00E7657B"/>
    <w:rsid w:val="00E76627"/>
    <w:rsid w:val="00E7669B"/>
    <w:rsid w:val="00E766FE"/>
    <w:rsid w:val="00E76767"/>
    <w:rsid w:val="00E768B4"/>
    <w:rsid w:val="00E768DD"/>
    <w:rsid w:val="00E76DB1"/>
    <w:rsid w:val="00E77001"/>
    <w:rsid w:val="00E7708D"/>
    <w:rsid w:val="00E77198"/>
    <w:rsid w:val="00E771FF"/>
    <w:rsid w:val="00E773E0"/>
    <w:rsid w:val="00E773EC"/>
    <w:rsid w:val="00E77585"/>
    <w:rsid w:val="00E77833"/>
    <w:rsid w:val="00E7785B"/>
    <w:rsid w:val="00E77E1A"/>
    <w:rsid w:val="00E77F47"/>
    <w:rsid w:val="00E80004"/>
    <w:rsid w:val="00E800B3"/>
    <w:rsid w:val="00E80226"/>
    <w:rsid w:val="00E80652"/>
    <w:rsid w:val="00E80738"/>
    <w:rsid w:val="00E80A03"/>
    <w:rsid w:val="00E80BFB"/>
    <w:rsid w:val="00E80D27"/>
    <w:rsid w:val="00E80D70"/>
    <w:rsid w:val="00E80D9D"/>
    <w:rsid w:val="00E80FE7"/>
    <w:rsid w:val="00E81083"/>
    <w:rsid w:val="00E81090"/>
    <w:rsid w:val="00E81108"/>
    <w:rsid w:val="00E812C2"/>
    <w:rsid w:val="00E81825"/>
    <w:rsid w:val="00E81992"/>
    <w:rsid w:val="00E819C5"/>
    <w:rsid w:val="00E81BCD"/>
    <w:rsid w:val="00E81E09"/>
    <w:rsid w:val="00E81E6C"/>
    <w:rsid w:val="00E81F61"/>
    <w:rsid w:val="00E81F93"/>
    <w:rsid w:val="00E81FCD"/>
    <w:rsid w:val="00E8205A"/>
    <w:rsid w:val="00E82246"/>
    <w:rsid w:val="00E8245D"/>
    <w:rsid w:val="00E824EC"/>
    <w:rsid w:val="00E8251C"/>
    <w:rsid w:val="00E8253B"/>
    <w:rsid w:val="00E825BC"/>
    <w:rsid w:val="00E826E0"/>
    <w:rsid w:val="00E8282F"/>
    <w:rsid w:val="00E8299E"/>
    <w:rsid w:val="00E82A72"/>
    <w:rsid w:val="00E82AFE"/>
    <w:rsid w:val="00E82B3E"/>
    <w:rsid w:val="00E82BC3"/>
    <w:rsid w:val="00E82EFB"/>
    <w:rsid w:val="00E8302A"/>
    <w:rsid w:val="00E830E6"/>
    <w:rsid w:val="00E8340C"/>
    <w:rsid w:val="00E834B0"/>
    <w:rsid w:val="00E8358F"/>
    <w:rsid w:val="00E8383F"/>
    <w:rsid w:val="00E838CA"/>
    <w:rsid w:val="00E83C92"/>
    <w:rsid w:val="00E83E53"/>
    <w:rsid w:val="00E83F5F"/>
    <w:rsid w:val="00E841D4"/>
    <w:rsid w:val="00E842AA"/>
    <w:rsid w:val="00E842FA"/>
    <w:rsid w:val="00E8434D"/>
    <w:rsid w:val="00E84350"/>
    <w:rsid w:val="00E8439B"/>
    <w:rsid w:val="00E8441A"/>
    <w:rsid w:val="00E84434"/>
    <w:rsid w:val="00E84451"/>
    <w:rsid w:val="00E844F9"/>
    <w:rsid w:val="00E84532"/>
    <w:rsid w:val="00E84662"/>
    <w:rsid w:val="00E846D9"/>
    <w:rsid w:val="00E84734"/>
    <w:rsid w:val="00E847D4"/>
    <w:rsid w:val="00E84891"/>
    <w:rsid w:val="00E84892"/>
    <w:rsid w:val="00E84915"/>
    <w:rsid w:val="00E84AC6"/>
    <w:rsid w:val="00E84BF2"/>
    <w:rsid w:val="00E84D95"/>
    <w:rsid w:val="00E84EA3"/>
    <w:rsid w:val="00E84F9C"/>
    <w:rsid w:val="00E84F9F"/>
    <w:rsid w:val="00E84FF2"/>
    <w:rsid w:val="00E852A3"/>
    <w:rsid w:val="00E85307"/>
    <w:rsid w:val="00E8539A"/>
    <w:rsid w:val="00E853C0"/>
    <w:rsid w:val="00E854CC"/>
    <w:rsid w:val="00E8557D"/>
    <w:rsid w:val="00E85744"/>
    <w:rsid w:val="00E857BE"/>
    <w:rsid w:val="00E858C2"/>
    <w:rsid w:val="00E858CE"/>
    <w:rsid w:val="00E8593A"/>
    <w:rsid w:val="00E85C96"/>
    <w:rsid w:val="00E85D93"/>
    <w:rsid w:val="00E85DB7"/>
    <w:rsid w:val="00E85E07"/>
    <w:rsid w:val="00E85FDD"/>
    <w:rsid w:val="00E860C0"/>
    <w:rsid w:val="00E86303"/>
    <w:rsid w:val="00E86482"/>
    <w:rsid w:val="00E867A0"/>
    <w:rsid w:val="00E86946"/>
    <w:rsid w:val="00E8699C"/>
    <w:rsid w:val="00E86AF9"/>
    <w:rsid w:val="00E86C89"/>
    <w:rsid w:val="00E86DD2"/>
    <w:rsid w:val="00E86E05"/>
    <w:rsid w:val="00E86F10"/>
    <w:rsid w:val="00E8701E"/>
    <w:rsid w:val="00E87178"/>
    <w:rsid w:val="00E8717B"/>
    <w:rsid w:val="00E87208"/>
    <w:rsid w:val="00E87594"/>
    <w:rsid w:val="00E8770E"/>
    <w:rsid w:val="00E87851"/>
    <w:rsid w:val="00E87912"/>
    <w:rsid w:val="00E879BA"/>
    <w:rsid w:val="00E879F5"/>
    <w:rsid w:val="00E87AED"/>
    <w:rsid w:val="00E87B5D"/>
    <w:rsid w:val="00E87B6E"/>
    <w:rsid w:val="00E87C4F"/>
    <w:rsid w:val="00E87DB7"/>
    <w:rsid w:val="00E87E13"/>
    <w:rsid w:val="00E902BB"/>
    <w:rsid w:val="00E90346"/>
    <w:rsid w:val="00E904B9"/>
    <w:rsid w:val="00E904FD"/>
    <w:rsid w:val="00E90620"/>
    <w:rsid w:val="00E9079C"/>
    <w:rsid w:val="00E909D3"/>
    <w:rsid w:val="00E90C0F"/>
    <w:rsid w:val="00E90C58"/>
    <w:rsid w:val="00E90F00"/>
    <w:rsid w:val="00E90FCC"/>
    <w:rsid w:val="00E9122A"/>
    <w:rsid w:val="00E9138E"/>
    <w:rsid w:val="00E91441"/>
    <w:rsid w:val="00E91998"/>
    <w:rsid w:val="00E91B3E"/>
    <w:rsid w:val="00E91BD9"/>
    <w:rsid w:val="00E91C12"/>
    <w:rsid w:val="00E91CBD"/>
    <w:rsid w:val="00E91D79"/>
    <w:rsid w:val="00E91FEC"/>
    <w:rsid w:val="00E92113"/>
    <w:rsid w:val="00E921EE"/>
    <w:rsid w:val="00E92379"/>
    <w:rsid w:val="00E9238B"/>
    <w:rsid w:val="00E9241A"/>
    <w:rsid w:val="00E92512"/>
    <w:rsid w:val="00E92578"/>
    <w:rsid w:val="00E926B9"/>
    <w:rsid w:val="00E9276E"/>
    <w:rsid w:val="00E928B1"/>
    <w:rsid w:val="00E92A2F"/>
    <w:rsid w:val="00E92B82"/>
    <w:rsid w:val="00E92C9D"/>
    <w:rsid w:val="00E92D7B"/>
    <w:rsid w:val="00E92DEB"/>
    <w:rsid w:val="00E92EE1"/>
    <w:rsid w:val="00E93015"/>
    <w:rsid w:val="00E93048"/>
    <w:rsid w:val="00E930B2"/>
    <w:rsid w:val="00E931A5"/>
    <w:rsid w:val="00E931E4"/>
    <w:rsid w:val="00E934D7"/>
    <w:rsid w:val="00E93531"/>
    <w:rsid w:val="00E9357D"/>
    <w:rsid w:val="00E93788"/>
    <w:rsid w:val="00E93897"/>
    <w:rsid w:val="00E93D08"/>
    <w:rsid w:val="00E93F85"/>
    <w:rsid w:val="00E94075"/>
    <w:rsid w:val="00E94140"/>
    <w:rsid w:val="00E9424E"/>
    <w:rsid w:val="00E945A6"/>
    <w:rsid w:val="00E946DF"/>
    <w:rsid w:val="00E94782"/>
    <w:rsid w:val="00E94912"/>
    <w:rsid w:val="00E949B0"/>
    <w:rsid w:val="00E94A01"/>
    <w:rsid w:val="00E94ACE"/>
    <w:rsid w:val="00E94E97"/>
    <w:rsid w:val="00E950EE"/>
    <w:rsid w:val="00E9525D"/>
    <w:rsid w:val="00E9554E"/>
    <w:rsid w:val="00E9566A"/>
    <w:rsid w:val="00E956C6"/>
    <w:rsid w:val="00E95744"/>
    <w:rsid w:val="00E957FC"/>
    <w:rsid w:val="00E9590B"/>
    <w:rsid w:val="00E95921"/>
    <w:rsid w:val="00E95A99"/>
    <w:rsid w:val="00E95ACA"/>
    <w:rsid w:val="00E95AD7"/>
    <w:rsid w:val="00E95BFC"/>
    <w:rsid w:val="00E95C3B"/>
    <w:rsid w:val="00E95CFC"/>
    <w:rsid w:val="00E95E01"/>
    <w:rsid w:val="00E95E7A"/>
    <w:rsid w:val="00E95E8F"/>
    <w:rsid w:val="00E95EA7"/>
    <w:rsid w:val="00E960F1"/>
    <w:rsid w:val="00E9634F"/>
    <w:rsid w:val="00E9654D"/>
    <w:rsid w:val="00E9677B"/>
    <w:rsid w:val="00E968A1"/>
    <w:rsid w:val="00E96900"/>
    <w:rsid w:val="00E96987"/>
    <w:rsid w:val="00E969DE"/>
    <w:rsid w:val="00E96A55"/>
    <w:rsid w:val="00E96AFC"/>
    <w:rsid w:val="00E96B65"/>
    <w:rsid w:val="00E96BEC"/>
    <w:rsid w:val="00E96D8F"/>
    <w:rsid w:val="00E96E2E"/>
    <w:rsid w:val="00E97158"/>
    <w:rsid w:val="00E97201"/>
    <w:rsid w:val="00E9732A"/>
    <w:rsid w:val="00E97371"/>
    <w:rsid w:val="00E9772D"/>
    <w:rsid w:val="00E97805"/>
    <w:rsid w:val="00E97838"/>
    <w:rsid w:val="00E97A5C"/>
    <w:rsid w:val="00E97AAB"/>
    <w:rsid w:val="00E97ADF"/>
    <w:rsid w:val="00E97C67"/>
    <w:rsid w:val="00E97E85"/>
    <w:rsid w:val="00E97EB6"/>
    <w:rsid w:val="00EA0008"/>
    <w:rsid w:val="00EA0138"/>
    <w:rsid w:val="00EA0346"/>
    <w:rsid w:val="00EA04A8"/>
    <w:rsid w:val="00EA0512"/>
    <w:rsid w:val="00EA0516"/>
    <w:rsid w:val="00EA05AA"/>
    <w:rsid w:val="00EA069A"/>
    <w:rsid w:val="00EA0880"/>
    <w:rsid w:val="00EA089F"/>
    <w:rsid w:val="00EA0CE0"/>
    <w:rsid w:val="00EA0D06"/>
    <w:rsid w:val="00EA0E11"/>
    <w:rsid w:val="00EA0E50"/>
    <w:rsid w:val="00EA0EE6"/>
    <w:rsid w:val="00EA1082"/>
    <w:rsid w:val="00EA1505"/>
    <w:rsid w:val="00EA158A"/>
    <w:rsid w:val="00EA15C6"/>
    <w:rsid w:val="00EA15E5"/>
    <w:rsid w:val="00EA179C"/>
    <w:rsid w:val="00EA184E"/>
    <w:rsid w:val="00EA19BE"/>
    <w:rsid w:val="00EA1CD1"/>
    <w:rsid w:val="00EA1EC2"/>
    <w:rsid w:val="00EA1F41"/>
    <w:rsid w:val="00EA202B"/>
    <w:rsid w:val="00EA2036"/>
    <w:rsid w:val="00EA2077"/>
    <w:rsid w:val="00EA22EA"/>
    <w:rsid w:val="00EA2451"/>
    <w:rsid w:val="00EA2541"/>
    <w:rsid w:val="00EA256E"/>
    <w:rsid w:val="00EA268B"/>
    <w:rsid w:val="00EA26D2"/>
    <w:rsid w:val="00EA2985"/>
    <w:rsid w:val="00EA2A4D"/>
    <w:rsid w:val="00EA2AA6"/>
    <w:rsid w:val="00EA2B0C"/>
    <w:rsid w:val="00EA2BB5"/>
    <w:rsid w:val="00EA2E0F"/>
    <w:rsid w:val="00EA3038"/>
    <w:rsid w:val="00EA3062"/>
    <w:rsid w:val="00EA3325"/>
    <w:rsid w:val="00EA335A"/>
    <w:rsid w:val="00EA34C6"/>
    <w:rsid w:val="00EA3567"/>
    <w:rsid w:val="00EA36B2"/>
    <w:rsid w:val="00EA3CD8"/>
    <w:rsid w:val="00EA3D60"/>
    <w:rsid w:val="00EA3D6D"/>
    <w:rsid w:val="00EA3D72"/>
    <w:rsid w:val="00EA4014"/>
    <w:rsid w:val="00EA40C0"/>
    <w:rsid w:val="00EA419B"/>
    <w:rsid w:val="00EA44BE"/>
    <w:rsid w:val="00EA4601"/>
    <w:rsid w:val="00EA4619"/>
    <w:rsid w:val="00EA46C1"/>
    <w:rsid w:val="00EA471C"/>
    <w:rsid w:val="00EA48F5"/>
    <w:rsid w:val="00EA4AD4"/>
    <w:rsid w:val="00EA4D00"/>
    <w:rsid w:val="00EA5030"/>
    <w:rsid w:val="00EA51B8"/>
    <w:rsid w:val="00EA530E"/>
    <w:rsid w:val="00EA54E3"/>
    <w:rsid w:val="00EA555C"/>
    <w:rsid w:val="00EA58D8"/>
    <w:rsid w:val="00EA5B43"/>
    <w:rsid w:val="00EA5B44"/>
    <w:rsid w:val="00EA5C05"/>
    <w:rsid w:val="00EA5E49"/>
    <w:rsid w:val="00EA5E84"/>
    <w:rsid w:val="00EA603A"/>
    <w:rsid w:val="00EA60A3"/>
    <w:rsid w:val="00EA61E8"/>
    <w:rsid w:val="00EA6403"/>
    <w:rsid w:val="00EA64DB"/>
    <w:rsid w:val="00EA65A4"/>
    <w:rsid w:val="00EA66D0"/>
    <w:rsid w:val="00EA674E"/>
    <w:rsid w:val="00EA6797"/>
    <w:rsid w:val="00EA6824"/>
    <w:rsid w:val="00EA692C"/>
    <w:rsid w:val="00EA6949"/>
    <w:rsid w:val="00EA6A9A"/>
    <w:rsid w:val="00EA6EB5"/>
    <w:rsid w:val="00EA74E0"/>
    <w:rsid w:val="00EA752D"/>
    <w:rsid w:val="00EA75D6"/>
    <w:rsid w:val="00EA7885"/>
    <w:rsid w:val="00EA7B3A"/>
    <w:rsid w:val="00EA7BA8"/>
    <w:rsid w:val="00EA7C7E"/>
    <w:rsid w:val="00EA7DC0"/>
    <w:rsid w:val="00EA7DE3"/>
    <w:rsid w:val="00EA7E10"/>
    <w:rsid w:val="00EA7E6B"/>
    <w:rsid w:val="00EA7E9F"/>
    <w:rsid w:val="00EA7F60"/>
    <w:rsid w:val="00EA7FB2"/>
    <w:rsid w:val="00EA7FC5"/>
    <w:rsid w:val="00EB0094"/>
    <w:rsid w:val="00EB00E5"/>
    <w:rsid w:val="00EB013A"/>
    <w:rsid w:val="00EB025F"/>
    <w:rsid w:val="00EB03CA"/>
    <w:rsid w:val="00EB05F3"/>
    <w:rsid w:val="00EB06CB"/>
    <w:rsid w:val="00EB09E1"/>
    <w:rsid w:val="00EB0C18"/>
    <w:rsid w:val="00EB0FFD"/>
    <w:rsid w:val="00EB11C5"/>
    <w:rsid w:val="00EB1226"/>
    <w:rsid w:val="00EB129D"/>
    <w:rsid w:val="00EB1376"/>
    <w:rsid w:val="00EB14E1"/>
    <w:rsid w:val="00EB17E2"/>
    <w:rsid w:val="00EB18E6"/>
    <w:rsid w:val="00EB199C"/>
    <w:rsid w:val="00EB19FE"/>
    <w:rsid w:val="00EB1CCA"/>
    <w:rsid w:val="00EB1CD0"/>
    <w:rsid w:val="00EB218B"/>
    <w:rsid w:val="00EB21FB"/>
    <w:rsid w:val="00EB2214"/>
    <w:rsid w:val="00EB2323"/>
    <w:rsid w:val="00EB23AB"/>
    <w:rsid w:val="00EB2445"/>
    <w:rsid w:val="00EB25BA"/>
    <w:rsid w:val="00EB27ED"/>
    <w:rsid w:val="00EB2838"/>
    <w:rsid w:val="00EB2907"/>
    <w:rsid w:val="00EB297E"/>
    <w:rsid w:val="00EB2A56"/>
    <w:rsid w:val="00EB2A7B"/>
    <w:rsid w:val="00EB2D51"/>
    <w:rsid w:val="00EB2D5F"/>
    <w:rsid w:val="00EB30F5"/>
    <w:rsid w:val="00EB30FC"/>
    <w:rsid w:val="00EB3108"/>
    <w:rsid w:val="00EB3414"/>
    <w:rsid w:val="00EB36D1"/>
    <w:rsid w:val="00EB3737"/>
    <w:rsid w:val="00EB3782"/>
    <w:rsid w:val="00EB3875"/>
    <w:rsid w:val="00EB3ABA"/>
    <w:rsid w:val="00EB3AFE"/>
    <w:rsid w:val="00EB3B63"/>
    <w:rsid w:val="00EB3B72"/>
    <w:rsid w:val="00EB3BEC"/>
    <w:rsid w:val="00EB3F00"/>
    <w:rsid w:val="00EB3F26"/>
    <w:rsid w:val="00EB4381"/>
    <w:rsid w:val="00EB4435"/>
    <w:rsid w:val="00EB447D"/>
    <w:rsid w:val="00EB45D6"/>
    <w:rsid w:val="00EB49C4"/>
    <w:rsid w:val="00EB4D89"/>
    <w:rsid w:val="00EB4E76"/>
    <w:rsid w:val="00EB4F17"/>
    <w:rsid w:val="00EB528B"/>
    <w:rsid w:val="00EB533D"/>
    <w:rsid w:val="00EB53BA"/>
    <w:rsid w:val="00EB5464"/>
    <w:rsid w:val="00EB54B9"/>
    <w:rsid w:val="00EB550D"/>
    <w:rsid w:val="00EB5716"/>
    <w:rsid w:val="00EB5B01"/>
    <w:rsid w:val="00EB5C8B"/>
    <w:rsid w:val="00EB5E60"/>
    <w:rsid w:val="00EB6181"/>
    <w:rsid w:val="00EB6446"/>
    <w:rsid w:val="00EB6524"/>
    <w:rsid w:val="00EB66D6"/>
    <w:rsid w:val="00EB6888"/>
    <w:rsid w:val="00EB6AA3"/>
    <w:rsid w:val="00EB6BA4"/>
    <w:rsid w:val="00EB6DA2"/>
    <w:rsid w:val="00EB6DA4"/>
    <w:rsid w:val="00EB6E0D"/>
    <w:rsid w:val="00EB6FE1"/>
    <w:rsid w:val="00EB70C9"/>
    <w:rsid w:val="00EB719D"/>
    <w:rsid w:val="00EB7270"/>
    <w:rsid w:val="00EB7400"/>
    <w:rsid w:val="00EB74B6"/>
    <w:rsid w:val="00EB74E0"/>
    <w:rsid w:val="00EB75ED"/>
    <w:rsid w:val="00EB7DDB"/>
    <w:rsid w:val="00EC001D"/>
    <w:rsid w:val="00EC00C1"/>
    <w:rsid w:val="00EC01D9"/>
    <w:rsid w:val="00EC01DD"/>
    <w:rsid w:val="00EC02A7"/>
    <w:rsid w:val="00EC0570"/>
    <w:rsid w:val="00EC0620"/>
    <w:rsid w:val="00EC0771"/>
    <w:rsid w:val="00EC07B2"/>
    <w:rsid w:val="00EC093A"/>
    <w:rsid w:val="00EC09D4"/>
    <w:rsid w:val="00EC09FA"/>
    <w:rsid w:val="00EC0A17"/>
    <w:rsid w:val="00EC0A33"/>
    <w:rsid w:val="00EC0A48"/>
    <w:rsid w:val="00EC0ADE"/>
    <w:rsid w:val="00EC0C25"/>
    <w:rsid w:val="00EC0E6A"/>
    <w:rsid w:val="00EC0F40"/>
    <w:rsid w:val="00EC0F89"/>
    <w:rsid w:val="00EC15F0"/>
    <w:rsid w:val="00EC1630"/>
    <w:rsid w:val="00EC166C"/>
    <w:rsid w:val="00EC175F"/>
    <w:rsid w:val="00EC17D7"/>
    <w:rsid w:val="00EC1A1D"/>
    <w:rsid w:val="00EC1B2E"/>
    <w:rsid w:val="00EC1B49"/>
    <w:rsid w:val="00EC1B8E"/>
    <w:rsid w:val="00EC1C72"/>
    <w:rsid w:val="00EC1CB6"/>
    <w:rsid w:val="00EC1D2F"/>
    <w:rsid w:val="00EC1F33"/>
    <w:rsid w:val="00EC2076"/>
    <w:rsid w:val="00EC21D2"/>
    <w:rsid w:val="00EC24AF"/>
    <w:rsid w:val="00EC2681"/>
    <w:rsid w:val="00EC2AF0"/>
    <w:rsid w:val="00EC2C31"/>
    <w:rsid w:val="00EC3008"/>
    <w:rsid w:val="00EC3176"/>
    <w:rsid w:val="00EC3213"/>
    <w:rsid w:val="00EC3264"/>
    <w:rsid w:val="00EC332B"/>
    <w:rsid w:val="00EC33AC"/>
    <w:rsid w:val="00EC34D9"/>
    <w:rsid w:val="00EC350F"/>
    <w:rsid w:val="00EC3510"/>
    <w:rsid w:val="00EC3514"/>
    <w:rsid w:val="00EC3640"/>
    <w:rsid w:val="00EC38AD"/>
    <w:rsid w:val="00EC3A6B"/>
    <w:rsid w:val="00EC3D78"/>
    <w:rsid w:val="00EC3E77"/>
    <w:rsid w:val="00EC3EDF"/>
    <w:rsid w:val="00EC3EE5"/>
    <w:rsid w:val="00EC41DC"/>
    <w:rsid w:val="00EC43AA"/>
    <w:rsid w:val="00EC4407"/>
    <w:rsid w:val="00EC4587"/>
    <w:rsid w:val="00EC45A6"/>
    <w:rsid w:val="00EC4622"/>
    <w:rsid w:val="00EC479C"/>
    <w:rsid w:val="00EC47CA"/>
    <w:rsid w:val="00EC4B08"/>
    <w:rsid w:val="00EC4C22"/>
    <w:rsid w:val="00EC4C6A"/>
    <w:rsid w:val="00EC4C97"/>
    <w:rsid w:val="00EC4CEC"/>
    <w:rsid w:val="00EC4E60"/>
    <w:rsid w:val="00EC501B"/>
    <w:rsid w:val="00EC54CD"/>
    <w:rsid w:val="00EC5550"/>
    <w:rsid w:val="00EC598F"/>
    <w:rsid w:val="00EC59C1"/>
    <w:rsid w:val="00EC59D0"/>
    <w:rsid w:val="00EC5ABA"/>
    <w:rsid w:val="00EC5C10"/>
    <w:rsid w:val="00EC5DA4"/>
    <w:rsid w:val="00EC5DD0"/>
    <w:rsid w:val="00EC5EEF"/>
    <w:rsid w:val="00EC60FA"/>
    <w:rsid w:val="00EC6404"/>
    <w:rsid w:val="00EC6487"/>
    <w:rsid w:val="00EC651C"/>
    <w:rsid w:val="00EC656B"/>
    <w:rsid w:val="00EC6604"/>
    <w:rsid w:val="00EC6611"/>
    <w:rsid w:val="00EC662F"/>
    <w:rsid w:val="00EC66EB"/>
    <w:rsid w:val="00EC67A5"/>
    <w:rsid w:val="00EC6A06"/>
    <w:rsid w:val="00EC6AA5"/>
    <w:rsid w:val="00EC6B5E"/>
    <w:rsid w:val="00EC6B95"/>
    <w:rsid w:val="00EC6C2C"/>
    <w:rsid w:val="00EC70B9"/>
    <w:rsid w:val="00EC70BB"/>
    <w:rsid w:val="00EC70CD"/>
    <w:rsid w:val="00EC70E2"/>
    <w:rsid w:val="00EC70ED"/>
    <w:rsid w:val="00EC71A9"/>
    <w:rsid w:val="00EC71F5"/>
    <w:rsid w:val="00EC7246"/>
    <w:rsid w:val="00EC7398"/>
    <w:rsid w:val="00EC75EE"/>
    <w:rsid w:val="00EC79AC"/>
    <w:rsid w:val="00EC7A2E"/>
    <w:rsid w:val="00EC7A43"/>
    <w:rsid w:val="00EC7D03"/>
    <w:rsid w:val="00EC7D4C"/>
    <w:rsid w:val="00EC7DAE"/>
    <w:rsid w:val="00EC7E93"/>
    <w:rsid w:val="00ED026D"/>
    <w:rsid w:val="00ED03B3"/>
    <w:rsid w:val="00ED04A6"/>
    <w:rsid w:val="00ED068C"/>
    <w:rsid w:val="00ED07B2"/>
    <w:rsid w:val="00ED088D"/>
    <w:rsid w:val="00ED0930"/>
    <w:rsid w:val="00ED09A7"/>
    <w:rsid w:val="00ED0A03"/>
    <w:rsid w:val="00ED0B09"/>
    <w:rsid w:val="00ED0C86"/>
    <w:rsid w:val="00ED0D6A"/>
    <w:rsid w:val="00ED0F14"/>
    <w:rsid w:val="00ED1120"/>
    <w:rsid w:val="00ED11B2"/>
    <w:rsid w:val="00ED12A2"/>
    <w:rsid w:val="00ED12C7"/>
    <w:rsid w:val="00ED1314"/>
    <w:rsid w:val="00ED1391"/>
    <w:rsid w:val="00ED1395"/>
    <w:rsid w:val="00ED13D2"/>
    <w:rsid w:val="00ED14C6"/>
    <w:rsid w:val="00ED1549"/>
    <w:rsid w:val="00ED15A6"/>
    <w:rsid w:val="00ED15C9"/>
    <w:rsid w:val="00ED1848"/>
    <w:rsid w:val="00ED18BA"/>
    <w:rsid w:val="00ED1928"/>
    <w:rsid w:val="00ED19ED"/>
    <w:rsid w:val="00ED1B31"/>
    <w:rsid w:val="00ED1BD1"/>
    <w:rsid w:val="00ED1C1B"/>
    <w:rsid w:val="00ED1C44"/>
    <w:rsid w:val="00ED1CBB"/>
    <w:rsid w:val="00ED1CDC"/>
    <w:rsid w:val="00ED1E6D"/>
    <w:rsid w:val="00ED1F15"/>
    <w:rsid w:val="00ED1FC1"/>
    <w:rsid w:val="00ED2151"/>
    <w:rsid w:val="00ED2167"/>
    <w:rsid w:val="00ED2280"/>
    <w:rsid w:val="00ED2398"/>
    <w:rsid w:val="00ED263C"/>
    <w:rsid w:val="00ED2646"/>
    <w:rsid w:val="00ED269D"/>
    <w:rsid w:val="00ED27E2"/>
    <w:rsid w:val="00ED2A92"/>
    <w:rsid w:val="00ED2ACB"/>
    <w:rsid w:val="00ED2BD0"/>
    <w:rsid w:val="00ED2BF4"/>
    <w:rsid w:val="00ED2BF5"/>
    <w:rsid w:val="00ED2DD7"/>
    <w:rsid w:val="00ED2E77"/>
    <w:rsid w:val="00ED2F78"/>
    <w:rsid w:val="00ED31A0"/>
    <w:rsid w:val="00ED3224"/>
    <w:rsid w:val="00ED33CB"/>
    <w:rsid w:val="00ED3455"/>
    <w:rsid w:val="00ED34F6"/>
    <w:rsid w:val="00ED352D"/>
    <w:rsid w:val="00ED3646"/>
    <w:rsid w:val="00ED36C1"/>
    <w:rsid w:val="00ED3731"/>
    <w:rsid w:val="00ED3790"/>
    <w:rsid w:val="00ED38BD"/>
    <w:rsid w:val="00ED3A78"/>
    <w:rsid w:val="00ED3B5C"/>
    <w:rsid w:val="00ED3CC0"/>
    <w:rsid w:val="00ED3DA3"/>
    <w:rsid w:val="00ED3DE5"/>
    <w:rsid w:val="00ED4077"/>
    <w:rsid w:val="00ED40B8"/>
    <w:rsid w:val="00ED40FF"/>
    <w:rsid w:val="00ED443C"/>
    <w:rsid w:val="00ED47F1"/>
    <w:rsid w:val="00ED484A"/>
    <w:rsid w:val="00ED4899"/>
    <w:rsid w:val="00ED498F"/>
    <w:rsid w:val="00ED4A4B"/>
    <w:rsid w:val="00ED4B4C"/>
    <w:rsid w:val="00ED4C12"/>
    <w:rsid w:val="00ED4D43"/>
    <w:rsid w:val="00ED4D63"/>
    <w:rsid w:val="00ED4D88"/>
    <w:rsid w:val="00ED4E88"/>
    <w:rsid w:val="00ED4E9C"/>
    <w:rsid w:val="00ED4E9E"/>
    <w:rsid w:val="00ED503D"/>
    <w:rsid w:val="00ED52BE"/>
    <w:rsid w:val="00ED54E6"/>
    <w:rsid w:val="00ED54E7"/>
    <w:rsid w:val="00ED577E"/>
    <w:rsid w:val="00ED5820"/>
    <w:rsid w:val="00ED5A68"/>
    <w:rsid w:val="00ED5A9D"/>
    <w:rsid w:val="00ED5BE8"/>
    <w:rsid w:val="00ED5C15"/>
    <w:rsid w:val="00ED5C24"/>
    <w:rsid w:val="00ED5CC0"/>
    <w:rsid w:val="00ED5D9C"/>
    <w:rsid w:val="00ED5D9F"/>
    <w:rsid w:val="00ED5E8B"/>
    <w:rsid w:val="00ED5F22"/>
    <w:rsid w:val="00ED6182"/>
    <w:rsid w:val="00ED639F"/>
    <w:rsid w:val="00ED6562"/>
    <w:rsid w:val="00ED690D"/>
    <w:rsid w:val="00ED6CEE"/>
    <w:rsid w:val="00ED712C"/>
    <w:rsid w:val="00ED7312"/>
    <w:rsid w:val="00ED7458"/>
    <w:rsid w:val="00ED74D8"/>
    <w:rsid w:val="00ED76A0"/>
    <w:rsid w:val="00ED77C8"/>
    <w:rsid w:val="00ED77D6"/>
    <w:rsid w:val="00ED7947"/>
    <w:rsid w:val="00ED7953"/>
    <w:rsid w:val="00ED79C2"/>
    <w:rsid w:val="00ED7AEF"/>
    <w:rsid w:val="00ED7B3A"/>
    <w:rsid w:val="00ED7E2B"/>
    <w:rsid w:val="00ED7E50"/>
    <w:rsid w:val="00ED7E7C"/>
    <w:rsid w:val="00EE0002"/>
    <w:rsid w:val="00EE029C"/>
    <w:rsid w:val="00EE0521"/>
    <w:rsid w:val="00EE05F4"/>
    <w:rsid w:val="00EE0651"/>
    <w:rsid w:val="00EE0822"/>
    <w:rsid w:val="00EE0862"/>
    <w:rsid w:val="00EE0A07"/>
    <w:rsid w:val="00EE0A0A"/>
    <w:rsid w:val="00EE0A16"/>
    <w:rsid w:val="00EE0B89"/>
    <w:rsid w:val="00EE0D13"/>
    <w:rsid w:val="00EE0D67"/>
    <w:rsid w:val="00EE0E5C"/>
    <w:rsid w:val="00EE1103"/>
    <w:rsid w:val="00EE110F"/>
    <w:rsid w:val="00EE11FD"/>
    <w:rsid w:val="00EE1208"/>
    <w:rsid w:val="00EE1265"/>
    <w:rsid w:val="00EE16E9"/>
    <w:rsid w:val="00EE180F"/>
    <w:rsid w:val="00EE1A96"/>
    <w:rsid w:val="00EE1D07"/>
    <w:rsid w:val="00EE1DFF"/>
    <w:rsid w:val="00EE211A"/>
    <w:rsid w:val="00EE2295"/>
    <w:rsid w:val="00EE22B2"/>
    <w:rsid w:val="00EE2311"/>
    <w:rsid w:val="00EE24B0"/>
    <w:rsid w:val="00EE25AF"/>
    <w:rsid w:val="00EE2634"/>
    <w:rsid w:val="00EE28AA"/>
    <w:rsid w:val="00EE2AC9"/>
    <w:rsid w:val="00EE2C49"/>
    <w:rsid w:val="00EE326B"/>
    <w:rsid w:val="00EE361D"/>
    <w:rsid w:val="00EE368B"/>
    <w:rsid w:val="00EE3777"/>
    <w:rsid w:val="00EE380F"/>
    <w:rsid w:val="00EE3877"/>
    <w:rsid w:val="00EE3B6E"/>
    <w:rsid w:val="00EE3CBF"/>
    <w:rsid w:val="00EE3CC4"/>
    <w:rsid w:val="00EE3E9E"/>
    <w:rsid w:val="00EE3F2E"/>
    <w:rsid w:val="00EE3F9E"/>
    <w:rsid w:val="00EE434A"/>
    <w:rsid w:val="00EE4394"/>
    <w:rsid w:val="00EE470D"/>
    <w:rsid w:val="00EE4743"/>
    <w:rsid w:val="00EE4D92"/>
    <w:rsid w:val="00EE5018"/>
    <w:rsid w:val="00EE5031"/>
    <w:rsid w:val="00EE50F0"/>
    <w:rsid w:val="00EE50FE"/>
    <w:rsid w:val="00EE5137"/>
    <w:rsid w:val="00EE515B"/>
    <w:rsid w:val="00EE5213"/>
    <w:rsid w:val="00EE5257"/>
    <w:rsid w:val="00EE5550"/>
    <w:rsid w:val="00EE573D"/>
    <w:rsid w:val="00EE591C"/>
    <w:rsid w:val="00EE5B25"/>
    <w:rsid w:val="00EE5E42"/>
    <w:rsid w:val="00EE6098"/>
    <w:rsid w:val="00EE625E"/>
    <w:rsid w:val="00EE62BB"/>
    <w:rsid w:val="00EE63A6"/>
    <w:rsid w:val="00EE63AD"/>
    <w:rsid w:val="00EE63C6"/>
    <w:rsid w:val="00EE6489"/>
    <w:rsid w:val="00EE6559"/>
    <w:rsid w:val="00EE668B"/>
    <w:rsid w:val="00EE6876"/>
    <w:rsid w:val="00EE6996"/>
    <w:rsid w:val="00EE6AA4"/>
    <w:rsid w:val="00EE6AA7"/>
    <w:rsid w:val="00EE6ACB"/>
    <w:rsid w:val="00EE6B18"/>
    <w:rsid w:val="00EE6E02"/>
    <w:rsid w:val="00EE6F6D"/>
    <w:rsid w:val="00EE7079"/>
    <w:rsid w:val="00EE70FB"/>
    <w:rsid w:val="00EE71AD"/>
    <w:rsid w:val="00EE74A8"/>
    <w:rsid w:val="00EE7578"/>
    <w:rsid w:val="00EE7930"/>
    <w:rsid w:val="00EE7AB6"/>
    <w:rsid w:val="00EE7AC4"/>
    <w:rsid w:val="00EE7EF2"/>
    <w:rsid w:val="00EF00E0"/>
    <w:rsid w:val="00EF0284"/>
    <w:rsid w:val="00EF0409"/>
    <w:rsid w:val="00EF0635"/>
    <w:rsid w:val="00EF0718"/>
    <w:rsid w:val="00EF0742"/>
    <w:rsid w:val="00EF07AB"/>
    <w:rsid w:val="00EF0A83"/>
    <w:rsid w:val="00EF0CF6"/>
    <w:rsid w:val="00EF0F0B"/>
    <w:rsid w:val="00EF0F25"/>
    <w:rsid w:val="00EF0F4C"/>
    <w:rsid w:val="00EF1055"/>
    <w:rsid w:val="00EF118A"/>
    <w:rsid w:val="00EF11CB"/>
    <w:rsid w:val="00EF11FD"/>
    <w:rsid w:val="00EF151A"/>
    <w:rsid w:val="00EF1701"/>
    <w:rsid w:val="00EF18F4"/>
    <w:rsid w:val="00EF1942"/>
    <w:rsid w:val="00EF1A58"/>
    <w:rsid w:val="00EF1C45"/>
    <w:rsid w:val="00EF1DEC"/>
    <w:rsid w:val="00EF205D"/>
    <w:rsid w:val="00EF2341"/>
    <w:rsid w:val="00EF2463"/>
    <w:rsid w:val="00EF24E1"/>
    <w:rsid w:val="00EF2587"/>
    <w:rsid w:val="00EF2755"/>
    <w:rsid w:val="00EF2A7B"/>
    <w:rsid w:val="00EF2B0F"/>
    <w:rsid w:val="00EF2BD1"/>
    <w:rsid w:val="00EF2C98"/>
    <w:rsid w:val="00EF2E3C"/>
    <w:rsid w:val="00EF2F70"/>
    <w:rsid w:val="00EF2FD2"/>
    <w:rsid w:val="00EF3085"/>
    <w:rsid w:val="00EF331F"/>
    <w:rsid w:val="00EF336F"/>
    <w:rsid w:val="00EF349F"/>
    <w:rsid w:val="00EF3635"/>
    <w:rsid w:val="00EF36B5"/>
    <w:rsid w:val="00EF3892"/>
    <w:rsid w:val="00EF3E6C"/>
    <w:rsid w:val="00EF3EE3"/>
    <w:rsid w:val="00EF3F54"/>
    <w:rsid w:val="00EF417E"/>
    <w:rsid w:val="00EF4188"/>
    <w:rsid w:val="00EF4562"/>
    <w:rsid w:val="00EF459F"/>
    <w:rsid w:val="00EF4699"/>
    <w:rsid w:val="00EF47AD"/>
    <w:rsid w:val="00EF4963"/>
    <w:rsid w:val="00EF4AFC"/>
    <w:rsid w:val="00EF4B10"/>
    <w:rsid w:val="00EF4B9A"/>
    <w:rsid w:val="00EF4B9F"/>
    <w:rsid w:val="00EF4BC9"/>
    <w:rsid w:val="00EF4BF0"/>
    <w:rsid w:val="00EF4CDC"/>
    <w:rsid w:val="00EF505E"/>
    <w:rsid w:val="00EF5390"/>
    <w:rsid w:val="00EF543A"/>
    <w:rsid w:val="00EF54EE"/>
    <w:rsid w:val="00EF552D"/>
    <w:rsid w:val="00EF5805"/>
    <w:rsid w:val="00EF5990"/>
    <w:rsid w:val="00EF5A16"/>
    <w:rsid w:val="00EF5AC5"/>
    <w:rsid w:val="00EF5B33"/>
    <w:rsid w:val="00EF5E33"/>
    <w:rsid w:val="00EF5EDC"/>
    <w:rsid w:val="00EF61A5"/>
    <w:rsid w:val="00EF623A"/>
    <w:rsid w:val="00EF62DF"/>
    <w:rsid w:val="00EF62F3"/>
    <w:rsid w:val="00EF678E"/>
    <w:rsid w:val="00EF67F5"/>
    <w:rsid w:val="00EF6966"/>
    <w:rsid w:val="00EF6A13"/>
    <w:rsid w:val="00EF6A6C"/>
    <w:rsid w:val="00EF6AC6"/>
    <w:rsid w:val="00EF6AF4"/>
    <w:rsid w:val="00EF6E4E"/>
    <w:rsid w:val="00EF6F56"/>
    <w:rsid w:val="00EF6F64"/>
    <w:rsid w:val="00EF7028"/>
    <w:rsid w:val="00EF725C"/>
    <w:rsid w:val="00EF731C"/>
    <w:rsid w:val="00EF75AD"/>
    <w:rsid w:val="00EF75E2"/>
    <w:rsid w:val="00EF763B"/>
    <w:rsid w:val="00EF7721"/>
    <w:rsid w:val="00EF772C"/>
    <w:rsid w:val="00EF77E7"/>
    <w:rsid w:val="00EF7898"/>
    <w:rsid w:val="00EF79EE"/>
    <w:rsid w:val="00EF7A5A"/>
    <w:rsid w:val="00EF7B93"/>
    <w:rsid w:val="00EF7DFA"/>
    <w:rsid w:val="00EF7E2C"/>
    <w:rsid w:val="00EF7F8B"/>
    <w:rsid w:val="00EF7FF8"/>
    <w:rsid w:val="00F0006D"/>
    <w:rsid w:val="00F0034E"/>
    <w:rsid w:val="00F00496"/>
    <w:rsid w:val="00F0087D"/>
    <w:rsid w:val="00F009EF"/>
    <w:rsid w:val="00F00AE3"/>
    <w:rsid w:val="00F00D2F"/>
    <w:rsid w:val="00F00DB6"/>
    <w:rsid w:val="00F00DFF"/>
    <w:rsid w:val="00F00E49"/>
    <w:rsid w:val="00F00E78"/>
    <w:rsid w:val="00F00FF6"/>
    <w:rsid w:val="00F010C5"/>
    <w:rsid w:val="00F012FA"/>
    <w:rsid w:val="00F01374"/>
    <w:rsid w:val="00F01499"/>
    <w:rsid w:val="00F01631"/>
    <w:rsid w:val="00F017FC"/>
    <w:rsid w:val="00F0195B"/>
    <w:rsid w:val="00F01999"/>
    <w:rsid w:val="00F01B4F"/>
    <w:rsid w:val="00F01C62"/>
    <w:rsid w:val="00F01D2C"/>
    <w:rsid w:val="00F01D46"/>
    <w:rsid w:val="00F01DAA"/>
    <w:rsid w:val="00F01DCD"/>
    <w:rsid w:val="00F01E3B"/>
    <w:rsid w:val="00F01E75"/>
    <w:rsid w:val="00F01EB9"/>
    <w:rsid w:val="00F0209D"/>
    <w:rsid w:val="00F020F0"/>
    <w:rsid w:val="00F02283"/>
    <w:rsid w:val="00F02321"/>
    <w:rsid w:val="00F02349"/>
    <w:rsid w:val="00F02618"/>
    <w:rsid w:val="00F02BDE"/>
    <w:rsid w:val="00F02C40"/>
    <w:rsid w:val="00F02CF0"/>
    <w:rsid w:val="00F02D0F"/>
    <w:rsid w:val="00F03117"/>
    <w:rsid w:val="00F03129"/>
    <w:rsid w:val="00F03193"/>
    <w:rsid w:val="00F0327E"/>
    <w:rsid w:val="00F0350B"/>
    <w:rsid w:val="00F03808"/>
    <w:rsid w:val="00F0380C"/>
    <w:rsid w:val="00F0385B"/>
    <w:rsid w:val="00F03A1B"/>
    <w:rsid w:val="00F03C82"/>
    <w:rsid w:val="00F03D38"/>
    <w:rsid w:val="00F03D56"/>
    <w:rsid w:val="00F03DBD"/>
    <w:rsid w:val="00F03DD3"/>
    <w:rsid w:val="00F03E52"/>
    <w:rsid w:val="00F03F49"/>
    <w:rsid w:val="00F03FD3"/>
    <w:rsid w:val="00F0420C"/>
    <w:rsid w:val="00F042FE"/>
    <w:rsid w:val="00F04713"/>
    <w:rsid w:val="00F0472C"/>
    <w:rsid w:val="00F04772"/>
    <w:rsid w:val="00F047FF"/>
    <w:rsid w:val="00F04818"/>
    <w:rsid w:val="00F048A7"/>
    <w:rsid w:val="00F049B3"/>
    <w:rsid w:val="00F04BEB"/>
    <w:rsid w:val="00F04F30"/>
    <w:rsid w:val="00F05000"/>
    <w:rsid w:val="00F050EA"/>
    <w:rsid w:val="00F05298"/>
    <w:rsid w:val="00F053D9"/>
    <w:rsid w:val="00F05422"/>
    <w:rsid w:val="00F05663"/>
    <w:rsid w:val="00F0578F"/>
    <w:rsid w:val="00F0583A"/>
    <w:rsid w:val="00F05891"/>
    <w:rsid w:val="00F058EB"/>
    <w:rsid w:val="00F059A7"/>
    <w:rsid w:val="00F05A5C"/>
    <w:rsid w:val="00F05AB3"/>
    <w:rsid w:val="00F05B35"/>
    <w:rsid w:val="00F05BAD"/>
    <w:rsid w:val="00F05D41"/>
    <w:rsid w:val="00F05ED0"/>
    <w:rsid w:val="00F05F65"/>
    <w:rsid w:val="00F06212"/>
    <w:rsid w:val="00F06386"/>
    <w:rsid w:val="00F063B2"/>
    <w:rsid w:val="00F0646B"/>
    <w:rsid w:val="00F064C9"/>
    <w:rsid w:val="00F06B59"/>
    <w:rsid w:val="00F06D1D"/>
    <w:rsid w:val="00F06E48"/>
    <w:rsid w:val="00F06EAF"/>
    <w:rsid w:val="00F06F30"/>
    <w:rsid w:val="00F06F56"/>
    <w:rsid w:val="00F070AD"/>
    <w:rsid w:val="00F072ED"/>
    <w:rsid w:val="00F072F2"/>
    <w:rsid w:val="00F0746F"/>
    <w:rsid w:val="00F074C6"/>
    <w:rsid w:val="00F07509"/>
    <w:rsid w:val="00F076AA"/>
    <w:rsid w:val="00F07754"/>
    <w:rsid w:val="00F07857"/>
    <w:rsid w:val="00F078C6"/>
    <w:rsid w:val="00F0797E"/>
    <w:rsid w:val="00F07B00"/>
    <w:rsid w:val="00F07B8D"/>
    <w:rsid w:val="00F07CEB"/>
    <w:rsid w:val="00F07F52"/>
    <w:rsid w:val="00F10201"/>
    <w:rsid w:val="00F103B5"/>
    <w:rsid w:val="00F103C1"/>
    <w:rsid w:val="00F1063D"/>
    <w:rsid w:val="00F10724"/>
    <w:rsid w:val="00F10869"/>
    <w:rsid w:val="00F10AE6"/>
    <w:rsid w:val="00F10BB8"/>
    <w:rsid w:val="00F10ED2"/>
    <w:rsid w:val="00F10F49"/>
    <w:rsid w:val="00F11062"/>
    <w:rsid w:val="00F1110E"/>
    <w:rsid w:val="00F1116B"/>
    <w:rsid w:val="00F11313"/>
    <w:rsid w:val="00F113FA"/>
    <w:rsid w:val="00F1154A"/>
    <w:rsid w:val="00F115C1"/>
    <w:rsid w:val="00F1160C"/>
    <w:rsid w:val="00F1164E"/>
    <w:rsid w:val="00F116D6"/>
    <w:rsid w:val="00F11778"/>
    <w:rsid w:val="00F117D6"/>
    <w:rsid w:val="00F118D8"/>
    <w:rsid w:val="00F11931"/>
    <w:rsid w:val="00F119AE"/>
    <w:rsid w:val="00F11B47"/>
    <w:rsid w:val="00F11D6C"/>
    <w:rsid w:val="00F1230E"/>
    <w:rsid w:val="00F1237A"/>
    <w:rsid w:val="00F12593"/>
    <w:rsid w:val="00F12640"/>
    <w:rsid w:val="00F12689"/>
    <w:rsid w:val="00F12833"/>
    <w:rsid w:val="00F128B9"/>
    <w:rsid w:val="00F12910"/>
    <w:rsid w:val="00F12983"/>
    <w:rsid w:val="00F12AD0"/>
    <w:rsid w:val="00F12B30"/>
    <w:rsid w:val="00F12C84"/>
    <w:rsid w:val="00F12EA5"/>
    <w:rsid w:val="00F12EA8"/>
    <w:rsid w:val="00F12F0D"/>
    <w:rsid w:val="00F12F77"/>
    <w:rsid w:val="00F12FDE"/>
    <w:rsid w:val="00F13235"/>
    <w:rsid w:val="00F13248"/>
    <w:rsid w:val="00F1328C"/>
    <w:rsid w:val="00F1333C"/>
    <w:rsid w:val="00F13342"/>
    <w:rsid w:val="00F13AFB"/>
    <w:rsid w:val="00F13D73"/>
    <w:rsid w:val="00F13D9B"/>
    <w:rsid w:val="00F13E25"/>
    <w:rsid w:val="00F13E3D"/>
    <w:rsid w:val="00F13EFD"/>
    <w:rsid w:val="00F13F53"/>
    <w:rsid w:val="00F13FBB"/>
    <w:rsid w:val="00F13FD5"/>
    <w:rsid w:val="00F142FA"/>
    <w:rsid w:val="00F143BA"/>
    <w:rsid w:val="00F14718"/>
    <w:rsid w:val="00F147EB"/>
    <w:rsid w:val="00F147F9"/>
    <w:rsid w:val="00F1494E"/>
    <w:rsid w:val="00F149CB"/>
    <w:rsid w:val="00F14B6E"/>
    <w:rsid w:val="00F14BDF"/>
    <w:rsid w:val="00F14C57"/>
    <w:rsid w:val="00F14D46"/>
    <w:rsid w:val="00F150D8"/>
    <w:rsid w:val="00F150DF"/>
    <w:rsid w:val="00F15133"/>
    <w:rsid w:val="00F15490"/>
    <w:rsid w:val="00F154C5"/>
    <w:rsid w:val="00F1565C"/>
    <w:rsid w:val="00F158DD"/>
    <w:rsid w:val="00F1595B"/>
    <w:rsid w:val="00F15AF1"/>
    <w:rsid w:val="00F15B98"/>
    <w:rsid w:val="00F15BCA"/>
    <w:rsid w:val="00F15CB8"/>
    <w:rsid w:val="00F16279"/>
    <w:rsid w:val="00F163C9"/>
    <w:rsid w:val="00F16650"/>
    <w:rsid w:val="00F1666A"/>
    <w:rsid w:val="00F16670"/>
    <w:rsid w:val="00F16820"/>
    <w:rsid w:val="00F16A0B"/>
    <w:rsid w:val="00F16A90"/>
    <w:rsid w:val="00F16B0C"/>
    <w:rsid w:val="00F16D49"/>
    <w:rsid w:val="00F16ED4"/>
    <w:rsid w:val="00F16F67"/>
    <w:rsid w:val="00F16F6F"/>
    <w:rsid w:val="00F1705C"/>
    <w:rsid w:val="00F1711F"/>
    <w:rsid w:val="00F17401"/>
    <w:rsid w:val="00F17488"/>
    <w:rsid w:val="00F174BA"/>
    <w:rsid w:val="00F174C4"/>
    <w:rsid w:val="00F176B6"/>
    <w:rsid w:val="00F1772C"/>
    <w:rsid w:val="00F17B80"/>
    <w:rsid w:val="00F17C0F"/>
    <w:rsid w:val="00F17F44"/>
    <w:rsid w:val="00F2016D"/>
    <w:rsid w:val="00F20231"/>
    <w:rsid w:val="00F20238"/>
    <w:rsid w:val="00F2031D"/>
    <w:rsid w:val="00F203EA"/>
    <w:rsid w:val="00F2062F"/>
    <w:rsid w:val="00F20751"/>
    <w:rsid w:val="00F2086D"/>
    <w:rsid w:val="00F20979"/>
    <w:rsid w:val="00F20A15"/>
    <w:rsid w:val="00F20A45"/>
    <w:rsid w:val="00F20D10"/>
    <w:rsid w:val="00F20F19"/>
    <w:rsid w:val="00F21050"/>
    <w:rsid w:val="00F21219"/>
    <w:rsid w:val="00F21335"/>
    <w:rsid w:val="00F2142A"/>
    <w:rsid w:val="00F21523"/>
    <w:rsid w:val="00F217E6"/>
    <w:rsid w:val="00F219AA"/>
    <w:rsid w:val="00F21BE2"/>
    <w:rsid w:val="00F21D0D"/>
    <w:rsid w:val="00F21DED"/>
    <w:rsid w:val="00F2209F"/>
    <w:rsid w:val="00F223D2"/>
    <w:rsid w:val="00F224D6"/>
    <w:rsid w:val="00F22681"/>
    <w:rsid w:val="00F227EF"/>
    <w:rsid w:val="00F22866"/>
    <w:rsid w:val="00F22A0F"/>
    <w:rsid w:val="00F22A10"/>
    <w:rsid w:val="00F22C10"/>
    <w:rsid w:val="00F22C38"/>
    <w:rsid w:val="00F22D19"/>
    <w:rsid w:val="00F22FCA"/>
    <w:rsid w:val="00F231A7"/>
    <w:rsid w:val="00F232B5"/>
    <w:rsid w:val="00F232BD"/>
    <w:rsid w:val="00F2341C"/>
    <w:rsid w:val="00F234FC"/>
    <w:rsid w:val="00F2350E"/>
    <w:rsid w:val="00F2356C"/>
    <w:rsid w:val="00F236DE"/>
    <w:rsid w:val="00F23798"/>
    <w:rsid w:val="00F23C45"/>
    <w:rsid w:val="00F23C85"/>
    <w:rsid w:val="00F23D15"/>
    <w:rsid w:val="00F23F8C"/>
    <w:rsid w:val="00F23FDB"/>
    <w:rsid w:val="00F24237"/>
    <w:rsid w:val="00F24295"/>
    <w:rsid w:val="00F243CC"/>
    <w:rsid w:val="00F24425"/>
    <w:rsid w:val="00F244CE"/>
    <w:rsid w:val="00F24557"/>
    <w:rsid w:val="00F24561"/>
    <w:rsid w:val="00F24629"/>
    <w:rsid w:val="00F24672"/>
    <w:rsid w:val="00F24944"/>
    <w:rsid w:val="00F24A85"/>
    <w:rsid w:val="00F24AF7"/>
    <w:rsid w:val="00F24CAE"/>
    <w:rsid w:val="00F24EAD"/>
    <w:rsid w:val="00F251C5"/>
    <w:rsid w:val="00F251E5"/>
    <w:rsid w:val="00F252A0"/>
    <w:rsid w:val="00F25420"/>
    <w:rsid w:val="00F25578"/>
    <w:rsid w:val="00F255ED"/>
    <w:rsid w:val="00F25694"/>
    <w:rsid w:val="00F2572B"/>
    <w:rsid w:val="00F258FB"/>
    <w:rsid w:val="00F25A6F"/>
    <w:rsid w:val="00F25A7E"/>
    <w:rsid w:val="00F25B71"/>
    <w:rsid w:val="00F25BE0"/>
    <w:rsid w:val="00F25EAC"/>
    <w:rsid w:val="00F26047"/>
    <w:rsid w:val="00F260AC"/>
    <w:rsid w:val="00F261C0"/>
    <w:rsid w:val="00F2625F"/>
    <w:rsid w:val="00F263A2"/>
    <w:rsid w:val="00F2650D"/>
    <w:rsid w:val="00F26662"/>
    <w:rsid w:val="00F266E4"/>
    <w:rsid w:val="00F26716"/>
    <w:rsid w:val="00F26A21"/>
    <w:rsid w:val="00F26AF2"/>
    <w:rsid w:val="00F26DEE"/>
    <w:rsid w:val="00F26DFB"/>
    <w:rsid w:val="00F26F27"/>
    <w:rsid w:val="00F26FFF"/>
    <w:rsid w:val="00F27043"/>
    <w:rsid w:val="00F270B2"/>
    <w:rsid w:val="00F27599"/>
    <w:rsid w:val="00F27812"/>
    <w:rsid w:val="00F27986"/>
    <w:rsid w:val="00F27CF1"/>
    <w:rsid w:val="00F27E94"/>
    <w:rsid w:val="00F27F43"/>
    <w:rsid w:val="00F30239"/>
    <w:rsid w:val="00F30349"/>
    <w:rsid w:val="00F30373"/>
    <w:rsid w:val="00F30467"/>
    <w:rsid w:val="00F304C6"/>
    <w:rsid w:val="00F306E9"/>
    <w:rsid w:val="00F30AF1"/>
    <w:rsid w:val="00F30B36"/>
    <w:rsid w:val="00F30B63"/>
    <w:rsid w:val="00F30C0A"/>
    <w:rsid w:val="00F30DDC"/>
    <w:rsid w:val="00F31157"/>
    <w:rsid w:val="00F311E3"/>
    <w:rsid w:val="00F31439"/>
    <w:rsid w:val="00F314B6"/>
    <w:rsid w:val="00F315F2"/>
    <w:rsid w:val="00F316F8"/>
    <w:rsid w:val="00F31801"/>
    <w:rsid w:val="00F31C02"/>
    <w:rsid w:val="00F31D52"/>
    <w:rsid w:val="00F31D98"/>
    <w:rsid w:val="00F31F95"/>
    <w:rsid w:val="00F31FBC"/>
    <w:rsid w:val="00F3201F"/>
    <w:rsid w:val="00F3216D"/>
    <w:rsid w:val="00F3219E"/>
    <w:rsid w:val="00F321E4"/>
    <w:rsid w:val="00F3249B"/>
    <w:rsid w:val="00F324DC"/>
    <w:rsid w:val="00F32550"/>
    <w:rsid w:val="00F325A8"/>
    <w:rsid w:val="00F32643"/>
    <w:rsid w:val="00F326FB"/>
    <w:rsid w:val="00F32767"/>
    <w:rsid w:val="00F32970"/>
    <w:rsid w:val="00F32AD1"/>
    <w:rsid w:val="00F32C17"/>
    <w:rsid w:val="00F32E6E"/>
    <w:rsid w:val="00F32E78"/>
    <w:rsid w:val="00F32EB6"/>
    <w:rsid w:val="00F32F02"/>
    <w:rsid w:val="00F32FC9"/>
    <w:rsid w:val="00F33079"/>
    <w:rsid w:val="00F330F2"/>
    <w:rsid w:val="00F33253"/>
    <w:rsid w:val="00F333C1"/>
    <w:rsid w:val="00F333F2"/>
    <w:rsid w:val="00F335E7"/>
    <w:rsid w:val="00F336CD"/>
    <w:rsid w:val="00F33935"/>
    <w:rsid w:val="00F3399C"/>
    <w:rsid w:val="00F33AC5"/>
    <w:rsid w:val="00F33C46"/>
    <w:rsid w:val="00F33CB2"/>
    <w:rsid w:val="00F33EA9"/>
    <w:rsid w:val="00F34001"/>
    <w:rsid w:val="00F3402B"/>
    <w:rsid w:val="00F34055"/>
    <w:rsid w:val="00F34362"/>
    <w:rsid w:val="00F3437F"/>
    <w:rsid w:val="00F343E4"/>
    <w:rsid w:val="00F34443"/>
    <w:rsid w:val="00F344B6"/>
    <w:rsid w:val="00F34547"/>
    <w:rsid w:val="00F345EE"/>
    <w:rsid w:val="00F34743"/>
    <w:rsid w:val="00F34789"/>
    <w:rsid w:val="00F34825"/>
    <w:rsid w:val="00F349DD"/>
    <w:rsid w:val="00F34CC0"/>
    <w:rsid w:val="00F34E46"/>
    <w:rsid w:val="00F34EA3"/>
    <w:rsid w:val="00F3508D"/>
    <w:rsid w:val="00F352EB"/>
    <w:rsid w:val="00F3530F"/>
    <w:rsid w:val="00F35484"/>
    <w:rsid w:val="00F354DF"/>
    <w:rsid w:val="00F35533"/>
    <w:rsid w:val="00F355D6"/>
    <w:rsid w:val="00F35649"/>
    <w:rsid w:val="00F359A3"/>
    <w:rsid w:val="00F35A08"/>
    <w:rsid w:val="00F35BC3"/>
    <w:rsid w:val="00F3615D"/>
    <w:rsid w:val="00F3627D"/>
    <w:rsid w:val="00F3630A"/>
    <w:rsid w:val="00F366BC"/>
    <w:rsid w:val="00F367D8"/>
    <w:rsid w:val="00F369DC"/>
    <w:rsid w:val="00F36C4D"/>
    <w:rsid w:val="00F36DE3"/>
    <w:rsid w:val="00F36FD3"/>
    <w:rsid w:val="00F37137"/>
    <w:rsid w:val="00F3713B"/>
    <w:rsid w:val="00F372A7"/>
    <w:rsid w:val="00F37309"/>
    <w:rsid w:val="00F37316"/>
    <w:rsid w:val="00F37490"/>
    <w:rsid w:val="00F3758E"/>
    <w:rsid w:val="00F3763E"/>
    <w:rsid w:val="00F37A66"/>
    <w:rsid w:val="00F37DDF"/>
    <w:rsid w:val="00F37E0E"/>
    <w:rsid w:val="00F37E92"/>
    <w:rsid w:val="00F37F39"/>
    <w:rsid w:val="00F37F98"/>
    <w:rsid w:val="00F37FC8"/>
    <w:rsid w:val="00F4001D"/>
    <w:rsid w:val="00F4007E"/>
    <w:rsid w:val="00F4012D"/>
    <w:rsid w:val="00F40139"/>
    <w:rsid w:val="00F4020B"/>
    <w:rsid w:val="00F40239"/>
    <w:rsid w:val="00F4027A"/>
    <w:rsid w:val="00F4036A"/>
    <w:rsid w:val="00F40515"/>
    <w:rsid w:val="00F40779"/>
    <w:rsid w:val="00F40975"/>
    <w:rsid w:val="00F40A9A"/>
    <w:rsid w:val="00F40C08"/>
    <w:rsid w:val="00F40C4F"/>
    <w:rsid w:val="00F40D07"/>
    <w:rsid w:val="00F40E8D"/>
    <w:rsid w:val="00F40F44"/>
    <w:rsid w:val="00F40FA6"/>
    <w:rsid w:val="00F4134A"/>
    <w:rsid w:val="00F414FE"/>
    <w:rsid w:val="00F415CE"/>
    <w:rsid w:val="00F4174B"/>
    <w:rsid w:val="00F417B0"/>
    <w:rsid w:val="00F419F4"/>
    <w:rsid w:val="00F41E1B"/>
    <w:rsid w:val="00F41F0C"/>
    <w:rsid w:val="00F41F44"/>
    <w:rsid w:val="00F41F46"/>
    <w:rsid w:val="00F41F4F"/>
    <w:rsid w:val="00F41FD8"/>
    <w:rsid w:val="00F424AF"/>
    <w:rsid w:val="00F425A3"/>
    <w:rsid w:val="00F4263A"/>
    <w:rsid w:val="00F42990"/>
    <w:rsid w:val="00F429B6"/>
    <w:rsid w:val="00F42A14"/>
    <w:rsid w:val="00F42A6F"/>
    <w:rsid w:val="00F42AB6"/>
    <w:rsid w:val="00F42BF8"/>
    <w:rsid w:val="00F42CCC"/>
    <w:rsid w:val="00F42D82"/>
    <w:rsid w:val="00F42DD2"/>
    <w:rsid w:val="00F431A0"/>
    <w:rsid w:val="00F432C8"/>
    <w:rsid w:val="00F4332E"/>
    <w:rsid w:val="00F433B9"/>
    <w:rsid w:val="00F43835"/>
    <w:rsid w:val="00F4389D"/>
    <w:rsid w:val="00F43AE9"/>
    <w:rsid w:val="00F43B77"/>
    <w:rsid w:val="00F43B7A"/>
    <w:rsid w:val="00F43C53"/>
    <w:rsid w:val="00F43C5C"/>
    <w:rsid w:val="00F43D2B"/>
    <w:rsid w:val="00F43EA6"/>
    <w:rsid w:val="00F43F7B"/>
    <w:rsid w:val="00F44078"/>
    <w:rsid w:val="00F440E3"/>
    <w:rsid w:val="00F443D4"/>
    <w:rsid w:val="00F44426"/>
    <w:rsid w:val="00F445A4"/>
    <w:rsid w:val="00F446EF"/>
    <w:rsid w:val="00F446F2"/>
    <w:rsid w:val="00F44A39"/>
    <w:rsid w:val="00F44A68"/>
    <w:rsid w:val="00F44D0C"/>
    <w:rsid w:val="00F44F45"/>
    <w:rsid w:val="00F452C4"/>
    <w:rsid w:val="00F4537D"/>
    <w:rsid w:val="00F4545F"/>
    <w:rsid w:val="00F455EA"/>
    <w:rsid w:val="00F455FC"/>
    <w:rsid w:val="00F45932"/>
    <w:rsid w:val="00F459BF"/>
    <w:rsid w:val="00F45C30"/>
    <w:rsid w:val="00F45C6A"/>
    <w:rsid w:val="00F45E3C"/>
    <w:rsid w:val="00F45F72"/>
    <w:rsid w:val="00F45FFB"/>
    <w:rsid w:val="00F461F8"/>
    <w:rsid w:val="00F46260"/>
    <w:rsid w:val="00F462F7"/>
    <w:rsid w:val="00F463AA"/>
    <w:rsid w:val="00F464F8"/>
    <w:rsid w:val="00F4654B"/>
    <w:rsid w:val="00F465E2"/>
    <w:rsid w:val="00F46839"/>
    <w:rsid w:val="00F46B3F"/>
    <w:rsid w:val="00F46D22"/>
    <w:rsid w:val="00F46E86"/>
    <w:rsid w:val="00F46EE5"/>
    <w:rsid w:val="00F47543"/>
    <w:rsid w:val="00F476A9"/>
    <w:rsid w:val="00F4778A"/>
    <w:rsid w:val="00F4789F"/>
    <w:rsid w:val="00F479EF"/>
    <w:rsid w:val="00F47AE3"/>
    <w:rsid w:val="00F47C15"/>
    <w:rsid w:val="00F47CD7"/>
    <w:rsid w:val="00F47D6D"/>
    <w:rsid w:val="00F47E96"/>
    <w:rsid w:val="00F47EA5"/>
    <w:rsid w:val="00F47F50"/>
    <w:rsid w:val="00F500FF"/>
    <w:rsid w:val="00F50309"/>
    <w:rsid w:val="00F50732"/>
    <w:rsid w:val="00F509E6"/>
    <w:rsid w:val="00F50A3A"/>
    <w:rsid w:val="00F50AEC"/>
    <w:rsid w:val="00F50C95"/>
    <w:rsid w:val="00F50E9B"/>
    <w:rsid w:val="00F51080"/>
    <w:rsid w:val="00F51286"/>
    <w:rsid w:val="00F512AC"/>
    <w:rsid w:val="00F5130E"/>
    <w:rsid w:val="00F51363"/>
    <w:rsid w:val="00F5139F"/>
    <w:rsid w:val="00F51664"/>
    <w:rsid w:val="00F51722"/>
    <w:rsid w:val="00F517F7"/>
    <w:rsid w:val="00F5189C"/>
    <w:rsid w:val="00F51A62"/>
    <w:rsid w:val="00F51AA6"/>
    <w:rsid w:val="00F51AC3"/>
    <w:rsid w:val="00F51B3B"/>
    <w:rsid w:val="00F51D30"/>
    <w:rsid w:val="00F51D36"/>
    <w:rsid w:val="00F52075"/>
    <w:rsid w:val="00F52173"/>
    <w:rsid w:val="00F52226"/>
    <w:rsid w:val="00F522E9"/>
    <w:rsid w:val="00F523D2"/>
    <w:rsid w:val="00F523E3"/>
    <w:rsid w:val="00F524CF"/>
    <w:rsid w:val="00F52617"/>
    <w:rsid w:val="00F5285A"/>
    <w:rsid w:val="00F52893"/>
    <w:rsid w:val="00F5293B"/>
    <w:rsid w:val="00F52A53"/>
    <w:rsid w:val="00F52C69"/>
    <w:rsid w:val="00F52DE1"/>
    <w:rsid w:val="00F53203"/>
    <w:rsid w:val="00F53321"/>
    <w:rsid w:val="00F535E5"/>
    <w:rsid w:val="00F5385C"/>
    <w:rsid w:val="00F53879"/>
    <w:rsid w:val="00F538F5"/>
    <w:rsid w:val="00F53967"/>
    <w:rsid w:val="00F53A17"/>
    <w:rsid w:val="00F53BBD"/>
    <w:rsid w:val="00F53CCC"/>
    <w:rsid w:val="00F53FA6"/>
    <w:rsid w:val="00F54097"/>
    <w:rsid w:val="00F5409C"/>
    <w:rsid w:val="00F540DD"/>
    <w:rsid w:val="00F54169"/>
    <w:rsid w:val="00F541E9"/>
    <w:rsid w:val="00F5429C"/>
    <w:rsid w:val="00F5430D"/>
    <w:rsid w:val="00F543DC"/>
    <w:rsid w:val="00F5449E"/>
    <w:rsid w:val="00F54630"/>
    <w:rsid w:val="00F547F8"/>
    <w:rsid w:val="00F54921"/>
    <w:rsid w:val="00F5498E"/>
    <w:rsid w:val="00F54AA5"/>
    <w:rsid w:val="00F54C0F"/>
    <w:rsid w:val="00F54C95"/>
    <w:rsid w:val="00F54D78"/>
    <w:rsid w:val="00F54FEA"/>
    <w:rsid w:val="00F55411"/>
    <w:rsid w:val="00F5555D"/>
    <w:rsid w:val="00F557BB"/>
    <w:rsid w:val="00F55AC8"/>
    <w:rsid w:val="00F55B33"/>
    <w:rsid w:val="00F55BE5"/>
    <w:rsid w:val="00F55CC0"/>
    <w:rsid w:val="00F55CF8"/>
    <w:rsid w:val="00F560A0"/>
    <w:rsid w:val="00F5628C"/>
    <w:rsid w:val="00F5649D"/>
    <w:rsid w:val="00F564B8"/>
    <w:rsid w:val="00F56667"/>
    <w:rsid w:val="00F56968"/>
    <w:rsid w:val="00F5697F"/>
    <w:rsid w:val="00F569C1"/>
    <w:rsid w:val="00F56B65"/>
    <w:rsid w:val="00F56C34"/>
    <w:rsid w:val="00F56C5A"/>
    <w:rsid w:val="00F5706B"/>
    <w:rsid w:val="00F5714B"/>
    <w:rsid w:val="00F573E3"/>
    <w:rsid w:val="00F573F9"/>
    <w:rsid w:val="00F5743B"/>
    <w:rsid w:val="00F57460"/>
    <w:rsid w:val="00F57631"/>
    <w:rsid w:val="00F5763C"/>
    <w:rsid w:val="00F5764F"/>
    <w:rsid w:val="00F57930"/>
    <w:rsid w:val="00F5795A"/>
    <w:rsid w:val="00F57977"/>
    <w:rsid w:val="00F57A3D"/>
    <w:rsid w:val="00F57E84"/>
    <w:rsid w:val="00F5D31B"/>
    <w:rsid w:val="00F60033"/>
    <w:rsid w:val="00F600F3"/>
    <w:rsid w:val="00F6010B"/>
    <w:rsid w:val="00F60850"/>
    <w:rsid w:val="00F60888"/>
    <w:rsid w:val="00F60894"/>
    <w:rsid w:val="00F60A20"/>
    <w:rsid w:val="00F60AFA"/>
    <w:rsid w:val="00F60BE9"/>
    <w:rsid w:val="00F60C87"/>
    <w:rsid w:val="00F60CDC"/>
    <w:rsid w:val="00F60CF8"/>
    <w:rsid w:val="00F60D33"/>
    <w:rsid w:val="00F60E4F"/>
    <w:rsid w:val="00F60E7C"/>
    <w:rsid w:val="00F60F0F"/>
    <w:rsid w:val="00F60F65"/>
    <w:rsid w:val="00F60FAF"/>
    <w:rsid w:val="00F612FE"/>
    <w:rsid w:val="00F6143C"/>
    <w:rsid w:val="00F6146E"/>
    <w:rsid w:val="00F614A9"/>
    <w:rsid w:val="00F616E6"/>
    <w:rsid w:val="00F61751"/>
    <w:rsid w:val="00F618DD"/>
    <w:rsid w:val="00F6196E"/>
    <w:rsid w:val="00F6197D"/>
    <w:rsid w:val="00F61C42"/>
    <w:rsid w:val="00F61C6D"/>
    <w:rsid w:val="00F61FC3"/>
    <w:rsid w:val="00F620A3"/>
    <w:rsid w:val="00F62308"/>
    <w:rsid w:val="00F6231E"/>
    <w:rsid w:val="00F6259F"/>
    <w:rsid w:val="00F62635"/>
    <w:rsid w:val="00F62793"/>
    <w:rsid w:val="00F627F4"/>
    <w:rsid w:val="00F6284D"/>
    <w:rsid w:val="00F629F7"/>
    <w:rsid w:val="00F62A1E"/>
    <w:rsid w:val="00F62AB6"/>
    <w:rsid w:val="00F62C5B"/>
    <w:rsid w:val="00F62C66"/>
    <w:rsid w:val="00F62CE9"/>
    <w:rsid w:val="00F62DDE"/>
    <w:rsid w:val="00F62F11"/>
    <w:rsid w:val="00F6311C"/>
    <w:rsid w:val="00F633C7"/>
    <w:rsid w:val="00F633FF"/>
    <w:rsid w:val="00F634C2"/>
    <w:rsid w:val="00F63547"/>
    <w:rsid w:val="00F63751"/>
    <w:rsid w:val="00F63834"/>
    <w:rsid w:val="00F638C7"/>
    <w:rsid w:val="00F638D9"/>
    <w:rsid w:val="00F639AC"/>
    <w:rsid w:val="00F63AA8"/>
    <w:rsid w:val="00F63CBB"/>
    <w:rsid w:val="00F63D5B"/>
    <w:rsid w:val="00F63F33"/>
    <w:rsid w:val="00F63F3D"/>
    <w:rsid w:val="00F63F9A"/>
    <w:rsid w:val="00F63FC0"/>
    <w:rsid w:val="00F64105"/>
    <w:rsid w:val="00F64128"/>
    <w:rsid w:val="00F643AC"/>
    <w:rsid w:val="00F6446D"/>
    <w:rsid w:val="00F6454C"/>
    <w:rsid w:val="00F647A7"/>
    <w:rsid w:val="00F647AA"/>
    <w:rsid w:val="00F64981"/>
    <w:rsid w:val="00F64991"/>
    <w:rsid w:val="00F64995"/>
    <w:rsid w:val="00F64BA0"/>
    <w:rsid w:val="00F64DB9"/>
    <w:rsid w:val="00F65004"/>
    <w:rsid w:val="00F6504A"/>
    <w:rsid w:val="00F650F5"/>
    <w:rsid w:val="00F6530C"/>
    <w:rsid w:val="00F65369"/>
    <w:rsid w:val="00F6542E"/>
    <w:rsid w:val="00F65513"/>
    <w:rsid w:val="00F655C1"/>
    <w:rsid w:val="00F65665"/>
    <w:rsid w:val="00F657F5"/>
    <w:rsid w:val="00F6581E"/>
    <w:rsid w:val="00F65851"/>
    <w:rsid w:val="00F65C3E"/>
    <w:rsid w:val="00F65CF2"/>
    <w:rsid w:val="00F65FB2"/>
    <w:rsid w:val="00F6603C"/>
    <w:rsid w:val="00F661BC"/>
    <w:rsid w:val="00F6681D"/>
    <w:rsid w:val="00F66941"/>
    <w:rsid w:val="00F669B1"/>
    <w:rsid w:val="00F66B70"/>
    <w:rsid w:val="00F66BA6"/>
    <w:rsid w:val="00F66EA4"/>
    <w:rsid w:val="00F6702E"/>
    <w:rsid w:val="00F67142"/>
    <w:rsid w:val="00F67266"/>
    <w:rsid w:val="00F672A9"/>
    <w:rsid w:val="00F672F9"/>
    <w:rsid w:val="00F67316"/>
    <w:rsid w:val="00F673F9"/>
    <w:rsid w:val="00F6743A"/>
    <w:rsid w:val="00F6744C"/>
    <w:rsid w:val="00F67791"/>
    <w:rsid w:val="00F678DC"/>
    <w:rsid w:val="00F6799D"/>
    <w:rsid w:val="00F67A46"/>
    <w:rsid w:val="00F67AFC"/>
    <w:rsid w:val="00F67E3B"/>
    <w:rsid w:val="00F700EE"/>
    <w:rsid w:val="00F701CC"/>
    <w:rsid w:val="00F701F4"/>
    <w:rsid w:val="00F7021F"/>
    <w:rsid w:val="00F7033A"/>
    <w:rsid w:val="00F7042F"/>
    <w:rsid w:val="00F70494"/>
    <w:rsid w:val="00F708CD"/>
    <w:rsid w:val="00F7091D"/>
    <w:rsid w:val="00F70994"/>
    <w:rsid w:val="00F70AEF"/>
    <w:rsid w:val="00F70B72"/>
    <w:rsid w:val="00F70BCE"/>
    <w:rsid w:val="00F70C15"/>
    <w:rsid w:val="00F70D6E"/>
    <w:rsid w:val="00F70F04"/>
    <w:rsid w:val="00F70F2A"/>
    <w:rsid w:val="00F70F6A"/>
    <w:rsid w:val="00F71023"/>
    <w:rsid w:val="00F7111C"/>
    <w:rsid w:val="00F7119B"/>
    <w:rsid w:val="00F711D4"/>
    <w:rsid w:val="00F711ED"/>
    <w:rsid w:val="00F71265"/>
    <w:rsid w:val="00F71368"/>
    <w:rsid w:val="00F7150D"/>
    <w:rsid w:val="00F7184B"/>
    <w:rsid w:val="00F71AA5"/>
    <w:rsid w:val="00F71B45"/>
    <w:rsid w:val="00F71EA9"/>
    <w:rsid w:val="00F71EF9"/>
    <w:rsid w:val="00F71FAC"/>
    <w:rsid w:val="00F7202F"/>
    <w:rsid w:val="00F7204B"/>
    <w:rsid w:val="00F720B0"/>
    <w:rsid w:val="00F721CC"/>
    <w:rsid w:val="00F721EF"/>
    <w:rsid w:val="00F7222A"/>
    <w:rsid w:val="00F72712"/>
    <w:rsid w:val="00F7286D"/>
    <w:rsid w:val="00F72A65"/>
    <w:rsid w:val="00F72B7F"/>
    <w:rsid w:val="00F72D0C"/>
    <w:rsid w:val="00F72D42"/>
    <w:rsid w:val="00F72DC5"/>
    <w:rsid w:val="00F72E7E"/>
    <w:rsid w:val="00F72EDD"/>
    <w:rsid w:val="00F72FAF"/>
    <w:rsid w:val="00F73033"/>
    <w:rsid w:val="00F73112"/>
    <w:rsid w:val="00F7312C"/>
    <w:rsid w:val="00F73191"/>
    <w:rsid w:val="00F73426"/>
    <w:rsid w:val="00F73531"/>
    <w:rsid w:val="00F73756"/>
    <w:rsid w:val="00F73874"/>
    <w:rsid w:val="00F7425F"/>
    <w:rsid w:val="00F7429E"/>
    <w:rsid w:val="00F742D4"/>
    <w:rsid w:val="00F7433F"/>
    <w:rsid w:val="00F74351"/>
    <w:rsid w:val="00F74401"/>
    <w:rsid w:val="00F74479"/>
    <w:rsid w:val="00F74547"/>
    <w:rsid w:val="00F74718"/>
    <w:rsid w:val="00F74789"/>
    <w:rsid w:val="00F747C5"/>
    <w:rsid w:val="00F74B03"/>
    <w:rsid w:val="00F74CF5"/>
    <w:rsid w:val="00F74CFF"/>
    <w:rsid w:val="00F74D2C"/>
    <w:rsid w:val="00F74F5A"/>
    <w:rsid w:val="00F74F6A"/>
    <w:rsid w:val="00F74FB2"/>
    <w:rsid w:val="00F750C6"/>
    <w:rsid w:val="00F751D3"/>
    <w:rsid w:val="00F753B5"/>
    <w:rsid w:val="00F75459"/>
    <w:rsid w:val="00F75509"/>
    <w:rsid w:val="00F7571D"/>
    <w:rsid w:val="00F7578C"/>
    <w:rsid w:val="00F758DD"/>
    <w:rsid w:val="00F75CA5"/>
    <w:rsid w:val="00F75D9B"/>
    <w:rsid w:val="00F75F41"/>
    <w:rsid w:val="00F75F53"/>
    <w:rsid w:val="00F760A7"/>
    <w:rsid w:val="00F76426"/>
    <w:rsid w:val="00F766CB"/>
    <w:rsid w:val="00F76730"/>
    <w:rsid w:val="00F767D0"/>
    <w:rsid w:val="00F76B15"/>
    <w:rsid w:val="00F76C1E"/>
    <w:rsid w:val="00F76E5A"/>
    <w:rsid w:val="00F77176"/>
    <w:rsid w:val="00F771E8"/>
    <w:rsid w:val="00F77428"/>
    <w:rsid w:val="00F774EE"/>
    <w:rsid w:val="00F775B6"/>
    <w:rsid w:val="00F777A3"/>
    <w:rsid w:val="00F777DE"/>
    <w:rsid w:val="00F77A12"/>
    <w:rsid w:val="00F77A87"/>
    <w:rsid w:val="00F77B14"/>
    <w:rsid w:val="00F800EE"/>
    <w:rsid w:val="00F80200"/>
    <w:rsid w:val="00F803BA"/>
    <w:rsid w:val="00F804D3"/>
    <w:rsid w:val="00F806C8"/>
    <w:rsid w:val="00F806CC"/>
    <w:rsid w:val="00F806FA"/>
    <w:rsid w:val="00F80715"/>
    <w:rsid w:val="00F808B0"/>
    <w:rsid w:val="00F809A7"/>
    <w:rsid w:val="00F80B44"/>
    <w:rsid w:val="00F80C4A"/>
    <w:rsid w:val="00F80C55"/>
    <w:rsid w:val="00F80C6C"/>
    <w:rsid w:val="00F80CA7"/>
    <w:rsid w:val="00F810BA"/>
    <w:rsid w:val="00F8112F"/>
    <w:rsid w:val="00F8126A"/>
    <w:rsid w:val="00F8126B"/>
    <w:rsid w:val="00F812A3"/>
    <w:rsid w:val="00F8143E"/>
    <w:rsid w:val="00F814DB"/>
    <w:rsid w:val="00F815F4"/>
    <w:rsid w:val="00F815FD"/>
    <w:rsid w:val="00F81627"/>
    <w:rsid w:val="00F8164A"/>
    <w:rsid w:val="00F8193F"/>
    <w:rsid w:val="00F81A50"/>
    <w:rsid w:val="00F81AAB"/>
    <w:rsid w:val="00F81D7C"/>
    <w:rsid w:val="00F81D87"/>
    <w:rsid w:val="00F82072"/>
    <w:rsid w:val="00F820B3"/>
    <w:rsid w:val="00F821D0"/>
    <w:rsid w:val="00F8221B"/>
    <w:rsid w:val="00F822D9"/>
    <w:rsid w:val="00F82461"/>
    <w:rsid w:val="00F8257D"/>
    <w:rsid w:val="00F82616"/>
    <w:rsid w:val="00F826A6"/>
    <w:rsid w:val="00F82744"/>
    <w:rsid w:val="00F8290D"/>
    <w:rsid w:val="00F82A27"/>
    <w:rsid w:val="00F82A9A"/>
    <w:rsid w:val="00F82B4D"/>
    <w:rsid w:val="00F82BB4"/>
    <w:rsid w:val="00F82C35"/>
    <w:rsid w:val="00F82EB0"/>
    <w:rsid w:val="00F82FFD"/>
    <w:rsid w:val="00F8300A"/>
    <w:rsid w:val="00F83076"/>
    <w:rsid w:val="00F83139"/>
    <w:rsid w:val="00F8341B"/>
    <w:rsid w:val="00F83617"/>
    <w:rsid w:val="00F83655"/>
    <w:rsid w:val="00F836B8"/>
    <w:rsid w:val="00F8376C"/>
    <w:rsid w:val="00F8381D"/>
    <w:rsid w:val="00F83ABF"/>
    <w:rsid w:val="00F83BF0"/>
    <w:rsid w:val="00F83C05"/>
    <w:rsid w:val="00F83CD6"/>
    <w:rsid w:val="00F84244"/>
    <w:rsid w:val="00F84318"/>
    <w:rsid w:val="00F843B1"/>
    <w:rsid w:val="00F843E7"/>
    <w:rsid w:val="00F8441E"/>
    <w:rsid w:val="00F84463"/>
    <w:rsid w:val="00F84769"/>
    <w:rsid w:val="00F8476F"/>
    <w:rsid w:val="00F848C9"/>
    <w:rsid w:val="00F84934"/>
    <w:rsid w:val="00F8496A"/>
    <w:rsid w:val="00F849DE"/>
    <w:rsid w:val="00F84A38"/>
    <w:rsid w:val="00F84A3F"/>
    <w:rsid w:val="00F84A4C"/>
    <w:rsid w:val="00F84B08"/>
    <w:rsid w:val="00F84C7E"/>
    <w:rsid w:val="00F84DA9"/>
    <w:rsid w:val="00F85306"/>
    <w:rsid w:val="00F85399"/>
    <w:rsid w:val="00F85438"/>
    <w:rsid w:val="00F855F3"/>
    <w:rsid w:val="00F85878"/>
    <w:rsid w:val="00F858F6"/>
    <w:rsid w:val="00F8592A"/>
    <w:rsid w:val="00F85AA0"/>
    <w:rsid w:val="00F85B5E"/>
    <w:rsid w:val="00F85C2C"/>
    <w:rsid w:val="00F85C69"/>
    <w:rsid w:val="00F85EE5"/>
    <w:rsid w:val="00F8609D"/>
    <w:rsid w:val="00F861DD"/>
    <w:rsid w:val="00F861F0"/>
    <w:rsid w:val="00F862CC"/>
    <w:rsid w:val="00F86607"/>
    <w:rsid w:val="00F866F4"/>
    <w:rsid w:val="00F86A34"/>
    <w:rsid w:val="00F86A65"/>
    <w:rsid w:val="00F86CA9"/>
    <w:rsid w:val="00F86E4B"/>
    <w:rsid w:val="00F86E81"/>
    <w:rsid w:val="00F86F50"/>
    <w:rsid w:val="00F87064"/>
    <w:rsid w:val="00F870D1"/>
    <w:rsid w:val="00F87107"/>
    <w:rsid w:val="00F87156"/>
    <w:rsid w:val="00F87181"/>
    <w:rsid w:val="00F872AE"/>
    <w:rsid w:val="00F8746F"/>
    <w:rsid w:val="00F8749B"/>
    <w:rsid w:val="00F87565"/>
    <w:rsid w:val="00F87843"/>
    <w:rsid w:val="00F878CB"/>
    <w:rsid w:val="00F878F7"/>
    <w:rsid w:val="00F87987"/>
    <w:rsid w:val="00F87C62"/>
    <w:rsid w:val="00F87CBC"/>
    <w:rsid w:val="00F87D0E"/>
    <w:rsid w:val="00F87E96"/>
    <w:rsid w:val="00F87F79"/>
    <w:rsid w:val="00F87FA2"/>
    <w:rsid w:val="00F90344"/>
    <w:rsid w:val="00F903E8"/>
    <w:rsid w:val="00F905DC"/>
    <w:rsid w:val="00F90612"/>
    <w:rsid w:val="00F9063F"/>
    <w:rsid w:val="00F90936"/>
    <w:rsid w:val="00F909BE"/>
    <w:rsid w:val="00F909D5"/>
    <w:rsid w:val="00F90AD1"/>
    <w:rsid w:val="00F90B63"/>
    <w:rsid w:val="00F90C27"/>
    <w:rsid w:val="00F90D49"/>
    <w:rsid w:val="00F90ED8"/>
    <w:rsid w:val="00F90FCE"/>
    <w:rsid w:val="00F90FF5"/>
    <w:rsid w:val="00F910C1"/>
    <w:rsid w:val="00F91151"/>
    <w:rsid w:val="00F9120A"/>
    <w:rsid w:val="00F91224"/>
    <w:rsid w:val="00F912FB"/>
    <w:rsid w:val="00F913F7"/>
    <w:rsid w:val="00F91481"/>
    <w:rsid w:val="00F915B9"/>
    <w:rsid w:val="00F91815"/>
    <w:rsid w:val="00F919B9"/>
    <w:rsid w:val="00F91CAD"/>
    <w:rsid w:val="00F91FDE"/>
    <w:rsid w:val="00F924D9"/>
    <w:rsid w:val="00F92578"/>
    <w:rsid w:val="00F92A62"/>
    <w:rsid w:val="00F92ACF"/>
    <w:rsid w:val="00F92BE2"/>
    <w:rsid w:val="00F92D84"/>
    <w:rsid w:val="00F92DBB"/>
    <w:rsid w:val="00F92ED9"/>
    <w:rsid w:val="00F92F0A"/>
    <w:rsid w:val="00F92F54"/>
    <w:rsid w:val="00F930E1"/>
    <w:rsid w:val="00F93183"/>
    <w:rsid w:val="00F9319C"/>
    <w:rsid w:val="00F931EC"/>
    <w:rsid w:val="00F93248"/>
    <w:rsid w:val="00F9326D"/>
    <w:rsid w:val="00F932D6"/>
    <w:rsid w:val="00F9349F"/>
    <w:rsid w:val="00F93C61"/>
    <w:rsid w:val="00F93C8E"/>
    <w:rsid w:val="00F93D4B"/>
    <w:rsid w:val="00F93E1F"/>
    <w:rsid w:val="00F9401C"/>
    <w:rsid w:val="00F94298"/>
    <w:rsid w:val="00F9443C"/>
    <w:rsid w:val="00F94839"/>
    <w:rsid w:val="00F9484B"/>
    <w:rsid w:val="00F94968"/>
    <w:rsid w:val="00F94BCC"/>
    <w:rsid w:val="00F94DC7"/>
    <w:rsid w:val="00F94ED3"/>
    <w:rsid w:val="00F950D2"/>
    <w:rsid w:val="00F954C6"/>
    <w:rsid w:val="00F9579E"/>
    <w:rsid w:val="00F957B4"/>
    <w:rsid w:val="00F958C3"/>
    <w:rsid w:val="00F9590D"/>
    <w:rsid w:val="00F95A7C"/>
    <w:rsid w:val="00F95BC5"/>
    <w:rsid w:val="00F95D38"/>
    <w:rsid w:val="00F95F9F"/>
    <w:rsid w:val="00F96020"/>
    <w:rsid w:val="00F96329"/>
    <w:rsid w:val="00F963C2"/>
    <w:rsid w:val="00F96447"/>
    <w:rsid w:val="00F96615"/>
    <w:rsid w:val="00F966D1"/>
    <w:rsid w:val="00F96759"/>
    <w:rsid w:val="00F96910"/>
    <w:rsid w:val="00F969EE"/>
    <w:rsid w:val="00F96A84"/>
    <w:rsid w:val="00F96C19"/>
    <w:rsid w:val="00F96D41"/>
    <w:rsid w:val="00F96E73"/>
    <w:rsid w:val="00F96EA1"/>
    <w:rsid w:val="00F97118"/>
    <w:rsid w:val="00F971B4"/>
    <w:rsid w:val="00F97231"/>
    <w:rsid w:val="00F972DF"/>
    <w:rsid w:val="00F97378"/>
    <w:rsid w:val="00F9758A"/>
    <w:rsid w:val="00F975CB"/>
    <w:rsid w:val="00F97629"/>
    <w:rsid w:val="00F97762"/>
    <w:rsid w:val="00F978CB"/>
    <w:rsid w:val="00F97ADE"/>
    <w:rsid w:val="00F97B7C"/>
    <w:rsid w:val="00F97BF0"/>
    <w:rsid w:val="00FA0030"/>
    <w:rsid w:val="00FA004B"/>
    <w:rsid w:val="00FA02DB"/>
    <w:rsid w:val="00FA035F"/>
    <w:rsid w:val="00FA0374"/>
    <w:rsid w:val="00FA04DD"/>
    <w:rsid w:val="00FA0778"/>
    <w:rsid w:val="00FA0919"/>
    <w:rsid w:val="00FA0925"/>
    <w:rsid w:val="00FA0949"/>
    <w:rsid w:val="00FA0E11"/>
    <w:rsid w:val="00FA0E8B"/>
    <w:rsid w:val="00FA0FD3"/>
    <w:rsid w:val="00FA1183"/>
    <w:rsid w:val="00FA139E"/>
    <w:rsid w:val="00FA1506"/>
    <w:rsid w:val="00FA1540"/>
    <w:rsid w:val="00FA1575"/>
    <w:rsid w:val="00FA157A"/>
    <w:rsid w:val="00FA1688"/>
    <w:rsid w:val="00FA16D2"/>
    <w:rsid w:val="00FA184F"/>
    <w:rsid w:val="00FA19EA"/>
    <w:rsid w:val="00FA1AB1"/>
    <w:rsid w:val="00FA1AC8"/>
    <w:rsid w:val="00FA1BEF"/>
    <w:rsid w:val="00FA1C35"/>
    <w:rsid w:val="00FA1EAE"/>
    <w:rsid w:val="00FA1EF2"/>
    <w:rsid w:val="00FA1F83"/>
    <w:rsid w:val="00FA2229"/>
    <w:rsid w:val="00FA2303"/>
    <w:rsid w:val="00FA24A4"/>
    <w:rsid w:val="00FA2887"/>
    <w:rsid w:val="00FA2B3A"/>
    <w:rsid w:val="00FA3085"/>
    <w:rsid w:val="00FA31E9"/>
    <w:rsid w:val="00FA32FD"/>
    <w:rsid w:val="00FA33DC"/>
    <w:rsid w:val="00FA3446"/>
    <w:rsid w:val="00FA34A8"/>
    <w:rsid w:val="00FA35C3"/>
    <w:rsid w:val="00FA35CA"/>
    <w:rsid w:val="00FA36BE"/>
    <w:rsid w:val="00FA371B"/>
    <w:rsid w:val="00FA3762"/>
    <w:rsid w:val="00FA37E5"/>
    <w:rsid w:val="00FA388A"/>
    <w:rsid w:val="00FA38A9"/>
    <w:rsid w:val="00FA3A8A"/>
    <w:rsid w:val="00FA3C09"/>
    <w:rsid w:val="00FA3DDD"/>
    <w:rsid w:val="00FA3E90"/>
    <w:rsid w:val="00FA4037"/>
    <w:rsid w:val="00FA41BB"/>
    <w:rsid w:val="00FA435D"/>
    <w:rsid w:val="00FA4506"/>
    <w:rsid w:val="00FA479A"/>
    <w:rsid w:val="00FA4B14"/>
    <w:rsid w:val="00FA4B58"/>
    <w:rsid w:val="00FA4D15"/>
    <w:rsid w:val="00FA4EC5"/>
    <w:rsid w:val="00FA51FD"/>
    <w:rsid w:val="00FA522D"/>
    <w:rsid w:val="00FA5281"/>
    <w:rsid w:val="00FA52C7"/>
    <w:rsid w:val="00FA533E"/>
    <w:rsid w:val="00FA53B7"/>
    <w:rsid w:val="00FA5507"/>
    <w:rsid w:val="00FA559D"/>
    <w:rsid w:val="00FA562B"/>
    <w:rsid w:val="00FA5647"/>
    <w:rsid w:val="00FA5B90"/>
    <w:rsid w:val="00FA5B9C"/>
    <w:rsid w:val="00FA5BF5"/>
    <w:rsid w:val="00FA5C66"/>
    <w:rsid w:val="00FA5D9C"/>
    <w:rsid w:val="00FA5E27"/>
    <w:rsid w:val="00FA60E2"/>
    <w:rsid w:val="00FA6164"/>
    <w:rsid w:val="00FA6721"/>
    <w:rsid w:val="00FA67A2"/>
    <w:rsid w:val="00FA686C"/>
    <w:rsid w:val="00FA6932"/>
    <w:rsid w:val="00FA6B18"/>
    <w:rsid w:val="00FA6C5D"/>
    <w:rsid w:val="00FA6C5E"/>
    <w:rsid w:val="00FA6E99"/>
    <w:rsid w:val="00FA6F35"/>
    <w:rsid w:val="00FA7106"/>
    <w:rsid w:val="00FA72FC"/>
    <w:rsid w:val="00FA742B"/>
    <w:rsid w:val="00FA77AA"/>
    <w:rsid w:val="00FA7936"/>
    <w:rsid w:val="00FA7D0D"/>
    <w:rsid w:val="00FA7D62"/>
    <w:rsid w:val="00FA7E01"/>
    <w:rsid w:val="00FA7F3F"/>
    <w:rsid w:val="00FA7F8B"/>
    <w:rsid w:val="00FB00A1"/>
    <w:rsid w:val="00FB0188"/>
    <w:rsid w:val="00FB026A"/>
    <w:rsid w:val="00FB046C"/>
    <w:rsid w:val="00FB056C"/>
    <w:rsid w:val="00FB063F"/>
    <w:rsid w:val="00FB0898"/>
    <w:rsid w:val="00FB0A05"/>
    <w:rsid w:val="00FB0A18"/>
    <w:rsid w:val="00FB0B55"/>
    <w:rsid w:val="00FB0BF4"/>
    <w:rsid w:val="00FB0C5F"/>
    <w:rsid w:val="00FB0D73"/>
    <w:rsid w:val="00FB0E49"/>
    <w:rsid w:val="00FB0EBE"/>
    <w:rsid w:val="00FB0FEB"/>
    <w:rsid w:val="00FB1065"/>
    <w:rsid w:val="00FB11A7"/>
    <w:rsid w:val="00FB1658"/>
    <w:rsid w:val="00FB16CE"/>
    <w:rsid w:val="00FB1787"/>
    <w:rsid w:val="00FB1942"/>
    <w:rsid w:val="00FB195F"/>
    <w:rsid w:val="00FB19EF"/>
    <w:rsid w:val="00FB1A3A"/>
    <w:rsid w:val="00FB1B7B"/>
    <w:rsid w:val="00FB1B84"/>
    <w:rsid w:val="00FB1D0C"/>
    <w:rsid w:val="00FB1F4F"/>
    <w:rsid w:val="00FB1F56"/>
    <w:rsid w:val="00FB1FF1"/>
    <w:rsid w:val="00FB203A"/>
    <w:rsid w:val="00FB20F6"/>
    <w:rsid w:val="00FB2154"/>
    <w:rsid w:val="00FB2399"/>
    <w:rsid w:val="00FB2523"/>
    <w:rsid w:val="00FB261D"/>
    <w:rsid w:val="00FB27A4"/>
    <w:rsid w:val="00FB2958"/>
    <w:rsid w:val="00FB296C"/>
    <w:rsid w:val="00FB296F"/>
    <w:rsid w:val="00FB2AC0"/>
    <w:rsid w:val="00FB2B96"/>
    <w:rsid w:val="00FB2C30"/>
    <w:rsid w:val="00FB2CEE"/>
    <w:rsid w:val="00FB2E50"/>
    <w:rsid w:val="00FB30B0"/>
    <w:rsid w:val="00FB3180"/>
    <w:rsid w:val="00FB3229"/>
    <w:rsid w:val="00FB33FC"/>
    <w:rsid w:val="00FB358B"/>
    <w:rsid w:val="00FB35B9"/>
    <w:rsid w:val="00FB3652"/>
    <w:rsid w:val="00FB3716"/>
    <w:rsid w:val="00FB3744"/>
    <w:rsid w:val="00FB3860"/>
    <w:rsid w:val="00FB38B7"/>
    <w:rsid w:val="00FB3972"/>
    <w:rsid w:val="00FB3CB0"/>
    <w:rsid w:val="00FB3D59"/>
    <w:rsid w:val="00FB4058"/>
    <w:rsid w:val="00FB412B"/>
    <w:rsid w:val="00FB427F"/>
    <w:rsid w:val="00FB43A8"/>
    <w:rsid w:val="00FB43E2"/>
    <w:rsid w:val="00FB4406"/>
    <w:rsid w:val="00FB442A"/>
    <w:rsid w:val="00FB49BA"/>
    <w:rsid w:val="00FB4BB7"/>
    <w:rsid w:val="00FB4BE5"/>
    <w:rsid w:val="00FB4C9B"/>
    <w:rsid w:val="00FB4CD5"/>
    <w:rsid w:val="00FB4E73"/>
    <w:rsid w:val="00FB4EDE"/>
    <w:rsid w:val="00FB4F4E"/>
    <w:rsid w:val="00FB4FE2"/>
    <w:rsid w:val="00FB50A9"/>
    <w:rsid w:val="00FB50B5"/>
    <w:rsid w:val="00FB50F5"/>
    <w:rsid w:val="00FB5662"/>
    <w:rsid w:val="00FB570C"/>
    <w:rsid w:val="00FB581B"/>
    <w:rsid w:val="00FB5828"/>
    <w:rsid w:val="00FB5976"/>
    <w:rsid w:val="00FB59BE"/>
    <w:rsid w:val="00FB5A57"/>
    <w:rsid w:val="00FB5F02"/>
    <w:rsid w:val="00FB6272"/>
    <w:rsid w:val="00FB67C0"/>
    <w:rsid w:val="00FB67FC"/>
    <w:rsid w:val="00FB6862"/>
    <w:rsid w:val="00FB68E9"/>
    <w:rsid w:val="00FB6A3F"/>
    <w:rsid w:val="00FB6BB5"/>
    <w:rsid w:val="00FB6DD8"/>
    <w:rsid w:val="00FB6ECF"/>
    <w:rsid w:val="00FB6FFB"/>
    <w:rsid w:val="00FB70DE"/>
    <w:rsid w:val="00FB722B"/>
    <w:rsid w:val="00FB7318"/>
    <w:rsid w:val="00FB7482"/>
    <w:rsid w:val="00FB74B0"/>
    <w:rsid w:val="00FB753E"/>
    <w:rsid w:val="00FB75C4"/>
    <w:rsid w:val="00FB76A6"/>
    <w:rsid w:val="00FB78F4"/>
    <w:rsid w:val="00FB7C67"/>
    <w:rsid w:val="00FB7D21"/>
    <w:rsid w:val="00FB7DA7"/>
    <w:rsid w:val="00FB7E26"/>
    <w:rsid w:val="00FB7E57"/>
    <w:rsid w:val="00FB7FE1"/>
    <w:rsid w:val="00FC0116"/>
    <w:rsid w:val="00FC0165"/>
    <w:rsid w:val="00FC03BC"/>
    <w:rsid w:val="00FC04A2"/>
    <w:rsid w:val="00FC04BA"/>
    <w:rsid w:val="00FC04CB"/>
    <w:rsid w:val="00FC04DE"/>
    <w:rsid w:val="00FC0723"/>
    <w:rsid w:val="00FC080B"/>
    <w:rsid w:val="00FC0850"/>
    <w:rsid w:val="00FC09C3"/>
    <w:rsid w:val="00FC0C26"/>
    <w:rsid w:val="00FC0E4A"/>
    <w:rsid w:val="00FC0E57"/>
    <w:rsid w:val="00FC0F26"/>
    <w:rsid w:val="00FC0FD0"/>
    <w:rsid w:val="00FC0FEA"/>
    <w:rsid w:val="00FC0FFF"/>
    <w:rsid w:val="00FC101C"/>
    <w:rsid w:val="00FC11CF"/>
    <w:rsid w:val="00FC1389"/>
    <w:rsid w:val="00FC164B"/>
    <w:rsid w:val="00FC17CE"/>
    <w:rsid w:val="00FC1882"/>
    <w:rsid w:val="00FC18F8"/>
    <w:rsid w:val="00FC1C21"/>
    <w:rsid w:val="00FC1C46"/>
    <w:rsid w:val="00FC1DE5"/>
    <w:rsid w:val="00FC1E6B"/>
    <w:rsid w:val="00FC1F71"/>
    <w:rsid w:val="00FC1F7E"/>
    <w:rsid w:val="00FC2106"/>
    <w:rsid w:val="00FC21CE"/>
    <w:rsid w:val="00FC21F9"/>
    <w:rsid w:val="00FC24F0"/>
    <w:rsid w:val="00FC268F"/>
    <w:rsid w:val="00FC26DA"/>
    <w:rsid w:val="00FC28A7"/>
    <w:rsid w:val="00FC2916"/>
    <w:rsid w:val="00FC29B1"/>
    <w:rsid w:val="00FC2A0E"/>
    <w:rsid w:val="00FC2BD1"/>
    <w:rsid w:val="00FC2BFF"/>
    <w:rsid w:val="00FC2CA0"/>
    <w:rsid w:val="00FC2E1C"/>
    <w:rsid w:val="00FC2E65"/>
    <w:rsid w:val="00FC2FE3"/>
    <w:rsid w:val="00FC31A6"/>
    <w:rsid w:val="00FC31C0"/>
    <w:rsid w:val="00FC31E3"/>
    <w:rsid w:val="00FC3396"/>
    <w:rsid w:val="00FC3503"/>
    <w:rsid w:val="00FC3527"/>
    <w:rsid w:val="00FC363C"/>
    <w:rsid w:val="00FC3724"/>
    <w:rsid w:val="00FC3A95"/>
    <w:rsid w:val="00FC3BA9"/>
    <w:rsid w:val="00FC3C53"/>
    <w:rsid w:val="00FC3C5A"/>
    <w:rsid w:val="00FC3D2F"/>
    <w:rsid w:val="00FC3EB9"/>
    <w:rsid w:val="00FC3F29"/>
    <w:rsid w:val="00FC3F2C"/>
    <w:rsid w:val="00FC3F79"/>
    <w:rsid w:val="00FC3FB6"/>
    <w:rsid w:val="00FC440F"/>
    <w:rsid w:val="00FC46E7"/>
    <w:rsid w:val="00FC46FE"/>
    <w:rsid w:val="00FC48F3"/>
    <w:rsid w:val="00FC4A45"/>
    <w:rsid w:val="00FC4A7A"/>
    <w:rsid w:val="00FC4B76"/>
    <w:rsid w:val="00FC4BE8"/>
    <w:rsid w:val="00FC4DEA"/>
    <w:rsid w:val="00FC4F74"/>
    <w:rsid w:val="00FC5010"/>
    <w:rsid w:val="00FC5029"/>
    <w:rsid w:val="00FC5609"/>
    <w:rsid w:val="00FC57F2"/>
    <w:rsid w:val="00FC5810"/>
    <w:rsid w:val="00FC5A0E"/>
    <w:rsid w:val="00FC5D0A"/>
    <w:rsid w:val="00FC5D38"/>
    <w:rsid w:val="00FC5FD8"/>
    <w:rsid w:val="00FC5FF0"/>
    <w:rsid w:val="00FC61CE"/>
    <w:rsid w:val="00FC6481"/>
    <w:rsid w:val="00FC6735"/>
    <w:rsid w:val="00FC674E"/>
    <w:rsid w:val="00FC6759"/>
    <w:rsid w:val="00FC6769"/>
    <w:rsid w:val="00FC67AE"/>
    <w:rsid w:val="00FC694A"/>
    <w:rsid w:val="00FC6AD8"/>
    <w:rsid w:val="00FC6B0C"/>
    <w:rsid w:val="00FC6B4A"/>
    <w:rsid w:val="00FC6B95"/>
    <w:rsid w:val="00FC6BE4"/>
    <w:rsid w:val="00FC6C80"/>
    <w:rsid w:val="00FC6D08"/>
    <w:rsid w:val="00FC6E42"/>
    <w:rsid w:val="00FC6E8F"/>
    <w:rsid w:val="00FC6F1D"/>
    <w:rsid w:val="00FC71DF"/>
    <w:rsid w:val="00FC734B"/>
    <w:rsid w:val="00FC73A1"/>
    <w:rsid w:val="00FC73C1"/>
    <w:rsid w:val="00FC74A5"/>
    <w:rsid w:val="00FC7507"/>
    <w:rsid w:val="00FC773F"/>
    <w:rsid w:val="00FC77D7"/>
    <w:rsid w:val="00FC7B1D"/>
    <w:rsid w:val="00FC7CFD"/>
    <w:rsid w:val="00FC7F56"/>
    <w:rsid w:val="00FD00DA"/>
    <w:rsid w:val="00FD00DE"/>
    <w:rsid w:val="00FD0184"/>
    <w:rsid w:val="00FD0320"/>
    <w:rsid w:val="00FD05B8"/>
    <w:rsid w:val="00FD06E2"/>
    <w:rsid w:val="00FD071F"/>
    <w:rsid w:val="00FD0743"/>
    <w:rsid w:val="00FD0915"/>
    <w:rsid w:val="00FD09A0"/>
    <w:rsid w:val="00FD0A8D"/>
    <w:rsid w:val="00FD0ACA"/>
    <w:rsid w:val="00FD0AE9"/>
    <w:rsid w:val="00FD0B6D"/>
    <w:rsid w:val="00FD0BF8"/>
    <w:rsid w:val="00FD0E57"/>
    <w:rsid w:val="00FD0F53"/>
    <w:rsid w:val="00FD0F6D"/>
    <w:rsid w:val="00FD0F96"/>
    <w:rsid w:val="00FD112F"/>
    <w:rsid w:val="00FD137F"/>
    <w:rsid w:val="00FD15DE"/>
    <w:rsid w:val="00FD15FB"/>
    <w:rsid w:val="00FD17C2"/>
    <w:rsid w:val="00FD1990"/>
    <w:rsid w:val="00FD1B0D"/>
    <w:rsid w:val="00FD1BF0"/>
    <w:rsid w:val="00FD1C9E"/>
    <w:rsid w:val="00FD1D0B"/>
    <w:rsid w:val="00FD1D3D"/>
    <w:rsid w:val="00FD1FAC"/>
    <w:rsid w:val="00FD2018"/>
    <w:rsid w:val="00FD2056"/>
    <w:rsid w:val="00FD21AF"/>
    <w:rsid w:val="00FD21EE"/>
    <w:rsid w:val="00FD2201"/>
    <w:rsid w:val="00FD2445"/>
    <w:rsid w:val="00FD24EB"/>
    <w:rsid w:val="00FD2797"/>
    <w:rsid w:val="00FD2EE8"/>
    <w:rsid w:val="00FD31B9"/>
    <w:rsid w:val="00FD3573"/>
    <w:rsid w:val="00FD361E"/>
    <w:rsid w:val="00FD3847"/>
    <w:rsid w:val="00FD3914"/>
    <w:rsid w:val="00FD398B"/>
    <w:rsid w:val="00FD3B61"/>
    <w:rsid w:val="00FD3B63"/>
    <w:rsid w:val="00FD3BE4"/>
    <w:rsid w:val="00FD3C48"/>
    <w:rsid w:val="00FD3EFC"/>
    <w:rsid w:val="00FD3F24"/>
    <w:rsid w:val="00FD40A6"/>
    <w:rsid w:val="00FD4421"/>
    <w:rsid w:val="00FD4425"/>
    <w:rsid w:val="00FD45BC"/>
    <w:rsid w:val="00FD46EE"/>
    <w:rsid w:val="00FD47C4"/>
    <w:rsid w:val="00FD4842"/>
    <w:rsid w:val="00FD4875"/>
    <w:rsid w:val="00FD4BE5"/>
    <w:rsid w:val="00FD4CD7"/>
    <w:rsid w:val="00FD4F38"/>
    <w:rsid w:val="00FD4FA4"/>
    <w:rsid w:val="00FD50AA"/>
    <w:rsid w:val="00FD50C6"/>
    <w:rsid w:val="00FD5109"/>
    <w:rsid w:val="00FD51A9"/>
    <w:rsid w:val="00FD51F2"/>
    <w:rsid w:val="00FD53C2"/>
    <w:rsid w:val="00FD53C6"/>
    <w:rsid w:val="00FD54D7"/>
    <w:rsid w:val="00FD5596"/>
    <w:rsid w:val="00FD55BA"/>
    <w:rsid w:val="00FD55DE"/>
    <w:rsid w:val="00FD581D"/>
    <w:rsid w:val="00FD584D"/>
    <w:rsid w:val="00FD590B"/>
    <w:rsid w:val="00FD5ACD"/>
    <w:rsid w:val="00FD5AD6"/>
    <w:rsid w:val="00FD5B3D"/>
    <w:rsid w:val="00FD5C9B"/>
    <w:rsid w:val="00FD5FE2"/>
    <w:rsid w:val="00FD6063"/>
    <w:rsid w:val="00FD61DA"/>
    <w:rsid w:val="00FD6223"/>
    <w:rsid w:val="00FD6249"/>
    <w:rsid w:val="00FD634F"/>
    <w:rsid w:val="00FD648F"/>
    <w:rsid w:val="00FD679E"/>
    <w:rsid w:val="00FD67BD"/>
    <w:rsid w:val="00FD6833"/>
    <w:rsid w:val="00FD6B7E"/>
    <w:rsid w:val="00FD6D22"/>
    <w:rsid w:val="00FD6D43"/>
    <w:rsid w:val="00FD6D58"/>
    <w:rsid w:val="00FD7237"/>
    <w:rsid w:val="00FD762E"/>
    <w:rsid w:val="00FD7637"/>
    <w:rsid w:val="00FD76C1"/>
    <w:rsid w:val="00FD770F"/>
    <w:rsid w:val="00FD7A2D"/>
    <w:rsid w:val="00FD7BC4"/>
    <w:rsid w:val="00FD7BF7"/>
    <w:rsid w:val="00FD7C3E"/>
    <w:rsid w:val="00FD7D38"/>
    <w:rsid w:val="00FD7DB8"/>
    <w:rsid w:val="00FD7E79"/>
    <w:rsid w:val="00FD7F47"/>
    <w:rsid w:val="00FE00AB"/>
    <w:rsid w:val="00FE029D"/>
    <w:rsid w:val="00FE0398"/>
    <w:rsid w:val="00FE03F7"/>
    <w:rsid w:val="00FE04BF"/>
    <w:rsid w:val="00FE05FE"/>
    <w:rsid w:val="00FE0808"/>
    <w:rsid w:val="00FE08B0"/>
    <w:rsid w:val="00FE0967"/>
    <w:rsid w:val="00FE09FB"/>
    <w:rsid w:val="00FE0A31"/>
    <w:rsid w:val="00FE0A5A"/>
    <w:rsid w:val="00FE0A7C"/>
    <w:rsid w:val="00FE0A95"/>
    <w:rsid w:val="00FE0BDD"/>
    <w:rsid w:val="00FE0BEA"/>
    <w:rsid w:val="00FE0CE8"/>
    <w:rsid w:val="00FE0DB3"/>
    <w:rsid w:val="00FE0F0B"/>
    <w:rsid w:val="00FE11B7"/>
    <w:rsid w:val="00FE1242"/>
    <w:rsid w:val="00FE140A"/>
    <w:rsid w:val="00FE14F0"/>
    <w:rsid w:val="00FE1702"/>
    <w:rsid w:val="00FE1A39"/>
    <w:rsid w:val="00FE1AEB"/>
    <w:rsid w:val="00FE1B58"/>
    <w:rsid w:val="00FE1DFC"/>
    <w:rsid w:val="00FE1F4A"/>
    <w:rsid w:val="00FE220D"/>
    <w:rsid w:val="00FE2376"/>
    <w:rsid w:val="00FE23D7"/>
    <w:rsid w:val="00FE2611"/>
    <w:rsid w:val="00FE26C0"/>
    <w:rsid w:val="00FE2756"/>
    <w:rsid w:val="00FE290F"/>
    <w:rsid w:val="00FE2B08"/>
    <w:rsid w:val="00FE2B4C"/>
    <w:rsid w:val="00FE2C1C"/>
    <w:rsid w:val="00FE2EC7"/>
    <w:rsid w:val="00FE2ECA"/>
    <w:rsid w:val="00FE2F01"/>
    <w:rsid w:val="00FE2F62"/>
    <w:rsid w:val="00FE3132"/>
    <w:rsid w:val="00FE358C"/>
    <w:rsid w:val="00FE35F6"/>
    <w:rsid w:val="00FE387B"/>
    <w:rsid w:val="00FE38D4"/>
    <w:rsid w:val="00FE398B"/>
    <w:rsid w:val="00FE3B32"/>
    <w:rsid w:val="00FE3D59"/>
    <w:rsid w:val="00FE3E78"/>
    <w:rsid w:val="00FE413A"/>
    <w:rsid w:val="00FE417D"/>
    <w:rsid w:val="00FE455E"/>
    <w:rsid w:val="00FE471F"/>
    <w:rsid w:val="00FE47D4"/>
    <w:rsid w:val="00FE4840"/>
    <w:rsid w:val="00FE4884"/>
    <w:rsid w:val="00FE48AA"/>
    <w:rsid w:val="00FE4936"/>
    <w:rsid w:val="00FE4D5D"/>
    <w:rsid w:val="00FE4DAC"/>
    <w:rsid w:val="00FE4E68"/>
    <w:rsid w:val="00FE4F7B"/>
    <w:rsid w:val="00FE5172"/>
    <w:rsid w:val="00FE52C1"/>
    <w:rsid w:val="00FE5323"/>
    <w:rsid w:val="00FE5471"/>
    <w:rsid w:val="00FE5627"/>
    <w:rsid w:val="00FE5650"/>
    <w:rsid w:val="00FE5711"/>
    <w:rsid w:val="00FE575A"/>
    <w:rsid w:val="00FE581E"/>
    <w:rsid w:val="00FE5840"/>
    <w:rsid w:val="00FE5CB7"/>
    <w:rsid w:val="00FE5F7D"/>
    <w:rsid w:val="00FE63C1"/>
    <w:rsid w:val="00FE6416"/>
    <w:rsid w:val="00FE6519"/>
    <w:rsid w:val="00FE6612"/>
    <w:rsid w:val="00FE66FE"/>
    <w:rsid w:val="00FE6801"/>
    <w:rsid w:val="00FE684B"/>
    <w:rsid w:val="00FE6993"/>
    <w:rsid w:val="00FE6AC3"/>
    <w:rsid w:val="00FE6B39"/>
    <w:rsid w:val="00FE6B7E"/>
    <w:rsid w:val="00FE6BDA"/>
    <w:rsid w:val="00FE6C2A"/>
    <w:rsid w:val="00FE72E0"/>
    <w:rsid w:val="00FE737E"/>
    <w:rsid w:val="00FE7386"/>
    <w:rsid w:val="00FE73E5"/>
    <w:rsid w:val="00FE74AA"/>
    <w:rsid w:val="00FE75F6"/>
    <w:rsid w:val="00FE7870"/>
    <w:rsid w:val="00FE7BA1"/>
    <w:rsid w:val="00FE7C4F"/>
    <w:rsid w:val="00FE7DCA"/>
    <w:rsid w:val="00FE7E17"/>
    <w:rsid w:val="00FE7EDC"/>
    <w:rsid w:val="00FE7FB2"/>
    <w:rsid w:val="00FF00AB"/>
    <w:rsid w:val="00FF01F3"/>
    <w:rsid w:val="00FF04D8"/>
    <w:rsid w:val="00FF05F9"/>
    <w:rsid w:val="00FF063B"/>
    <w:rsid w:val="00FF0679"/>
    <w:rsid w:val="00FF06DB"/>
    <w:rsid w:val="00FF0895"/>
    <w:rsid w:val="00FF097A"/>
    <w:rsid w:val="00FF09E4"/>
    <w:rsid w:val="00FF0BEE"/>
    <w:rsid w:val="00FF0C14"/>
    <w:rsid w:val="00FF0CED"/>
    <w:rsid w:val="00FF0F74"/>
    <w:rsid w:val="00FF13FF"/>
    <w:rsid w:val="00FF17BC"/>
    <w:rsid w:val="00FF1BC8"/>
    <w:rsid w:val="00FF1DC3"/>
    <w:rsid w:val="00FF1DF5"/>
    <w:rsid w:val="00FF1F70"/>
    <w:rsid w:val="00FF2032"/>
    <w:rsid w:val="00FF204F"/>
    <w:rsid w:val="00FF2067"/>
    <w:rsid w:val="00FF231F"/>
    <w:rsid w:val="00FF28D3"/>
    <w:rsid w:val="00FF290A"/>
    <w:rsid w:val="00FF2AFC"/>
    <w:rsid w:val="00FF2D20"/>
    <w:rsid w:val="00FF2E48"/>
    <w:rsid w:val="00FF2EDF"/>
    <w:rsid w:val="00FF2FC7"/>
    <w:rsid w:val="00FF3008"/>
    <w:rsid w:val="00FF30CE"/>
    <w:rsid w:val="00FF35B5"/>
    <w:rsid w:val="00FF3771"/>
    <w:rsid w:val="00FF3794"/>
    <w:rsid w:val="00FF3815"/>
    <w:rsid w:val="00FF3947"/>
    <w:rsid w:val="00FF3B8E"/>
    <w:rsid w:val="00FF3C3B"/>
    <w:rsid w:val="00FF3FFA"/>
    <w:rsid w:val="00FF401C"/>
    <w:rsid w:val="00FF412E"/>
    <w:rsid w:val="00FF41C1"/>
    <w:rsid w:val="00FF41D5"/>
    <w:rsid w:val="00FF44C1"/>
    <w:rsid w:val="00FF4641"/>
    <w:rsid w:val="00FF4682"/>
    <w:rsid w:val="00FF46D8"/>
    <w:rsid w:val="00FF48EF"/>
    <w:rsid w:val="00FF4AF2"/>
    <w:rsid w:val="00FF4C98"/>
    <w:rsid w:val="00FF4CAD"/>
    <w:rsid w:val="00FF4D55"/>
    <w:rsid w:val="00FF4DFE"/>
    <w:rsid w:val="00FF4EC5"/>
    <w:rsid w:val="00FF4EEB"/>
    <w:rsid w:val="00FF4F77"/>
    <w:rsid w:val="00FF51C0"/>
    <w:rsid w:val="00FF5267"/>
    <w:rsid w:val="00FF540D"/>
    <w:rsid w:val="00FF54D0"/>
    <w:rsid w:val="00FF550D"/>
    <w:rsid w:val="00FF55D5"/>
    <w:rsid w:val="00FF563D"/>
    <w:rsid w:val="00FF5665"/>
    <w:rsid w:val="00FF58CF"/>
    <w:rsid w:val="00FF5B00"/>
    <w:rsid w:val="00FF5BF8"/>
    <w:rsid w:val="00FF5D59"/>
    <w:rsid w:val="00FF5DB3"/>
    <w:rsid w:val="00FF5FD2"/>
    <w:rsid w:val="00FF605E"/>
    <w:rsid w:val="00FF61CF"/>
    <w:rsid w:val="00FF645B"/>
    <w:rsid w:val="00FF64C6"/>
    <w:rsid w:val="00FF668E"/>
    <w:rsid w:val="00FF671A"/>
    <w:rsid w:val="00FF685A"/>
    <w:rsid w:val="00FF68A4"/>
    <w:rsid w:val="00FF6A22"/>
    <w:rsid w:val="00FF6A90"/>
    <w:rsid w:val="00FF6DA0"/>
    <w:rsid w:val="00FF6DD9"/>
    <w:rsid w:val="00FF6F1F"/>
    <w:rsid w:val="00FF6F2A"/>
    <w:rsid w:val="00FF737D"/>
    <w:rsid w:val="00FF7433"/>
    <w:rsid w:val="00FF751A"/>
    <w:rsid w:val="00FF7550"/>
    <w:rsid w:val="00FF75E2"/>
    <w:rsid w:val="00FF75E4"/>
    <w:rsid w:val="00FF7720"/>
    <w:rsid w:val="00FF7AEF"/>
    <w:rsid w:val="00FF7B6F"/>
    <w:rsid w:val="00FF7BC6"/>
    <w:rsid w:val="00FF7C29"/>
    <w:rsid w:val="00FF7D01"/>
    <w:rsid w:val="00FF7D26"/>
    <w:rsid w:val="00FF7EF6"/>
    <w:rsid w:val="0111CD08"/>
    <w:rsid w:val="011B69E5"/>
    <w:rsid w:val="019C8B91"/>
    <w:rsid w:val="01A721A1"/>
    <w:rsid w:val="01A969CD"/>
    <w:rsid w:val="01BCFB9C"/>
    <w:rsid w:val="0200DF95"/>
    <w:rsid w:val="020C3BFB"/>
    <w:rsid w:val="02762E95"/>
    <w:rsid w:val="0281652C"/>
    <w:rsid w:val="02968C72"/>
    <w:rsid w:val="02A2EBBE"/>
    <w:rsid w:val="02A7C371"/>
    <w:rsid w:val="02E8DA7D"/>
    <w:rsid w:val="0327B599"/>
    <w:rsid w:val="034DBB98"/>
    <w:rsid w:val="038B967C"/>
    <w:rsid w:val="04105AE7"/>
    <w:rsid w:val="049B4196"/>
    <w:rsid w:val="04E343E1"/>
    <w:rsid w:val="04FD1E18"/>
    <w:rsid w:val="05176DDC"/>
    <w:rsid w:val="051BDDAD"/>
    <w:rsid w:val="057D2EDC"/>
    <w:rsid w:val="06478EC4"/>
    <w:rsid w:val="0651A1F9"/>
    <w:rsid w:val="068333BB"/>
    <w:rsid w:val="06E0A633"/>
    <w:rsid w:val="06F6078D"/>
    <w:rsid w:val="07079C41"/>
    <w:rsid w:val="070B23C7"/>
    <w:rsid w:val="0745D67B"/>
    <w:rsid w:val="07BABF4D"/>
    <w:rsid w:val="07D6225D"/>
    <w:rsid w:val="0853C618"/>
    <w:rsid w:val="08742CE2"/>
    <w:rsid w:val="08F16D41"/>
    <w:rsid w:val="0913DEE4"/>
    <w:rsid w:val="09297E59"/>
    <w:rsid w:val="0983FF80"/>
    <w:rsid w:val="09A83B65"/>
    <w:rsid w:val="09DACC2D"/>
    <w:rsid w:val="09EBC9A3"/>
    <w:rsid w:val="09FDADAB"/>
    <w:rsid w:val="0A12E491"/>
    <w:rsid w:val="0A2169AF"/>
    <w:rsid w:val="0AC2F409"/>
    <w:rsid w:val="0AFBD6CD"/>
    <w:rsid w:val="0B0DCAC1"/>
    <w:rsid w:val="0BC3A5D8"/>
    <w:rsid w:val="0C14635E"/>
    <w:rsid w:val="0CCCFE02"/>
    <w:rsid w:val="0D0830AD"/>
    <w:rsid w:val="0D3E4978"/>
    <w:rsid w:val="0D4B738C"/>
    <w:rsid w:val="0D561BD7"/>
    <w:rsid w:val="0E4AE1FD"/>
    <w:rsid w:val="0EBD4684"/>
    <w:rsid w:val="0ECE41F1"/>
    <w:rsid w:val="0ED6F15C"/>
    <w:rsid w:val="0F2E6589"/>
    <w:rsid w:val="0F420628"/>
    <w:rsid w:val="0F42D34F"/>
    <w:rsid w:val="0F44BE3F"/>
    <w:rsid w:val="0F515034"/>
    <w:rsid w:val="0F58968E"/>
    <w:rsid w:val="0F65E891"/>
    <w:rsid w:val="0F87938C"/>
    <w:rsid w:val="0FE1D43F"/>
    <w:rsid w:val="0FF2E09D"/>
    <w:rsid w:val="100A41E6"/>
    <w:rsid w:val="10376727"/>
    <w:rsid w:val="10CBA890"/>
    <w:rsid w:val="10CDD6FA"/>
    <w:rsid w:val="10E86609"/>
    <w:rsid w:val="11141B7F"/>
    <w:rsid w:val="113A2380"/>
    <w:rsid w:val="11518E07"/>
    <w:rsid w:val="11848D9F"/>
    <w:rsid w:val="118F5410"/>
    <w:rsid w:val="11A2158B"/>
    <w:rsid w:val="11AC6DFC"/>
    <w:rsid w:val="11B7D8D1"/>
    <w:rsid w:val="11D48592"/>
    <w:rsid w:val="11FD8E58"/>
    <w:rsid w:val="11FE9E7D"/>
    <w:rsid w:val="124009F7"/>
    <w:rsid w:val="12471AFC"/>
    <w:rsid w:val="12505AE7"/>
    <w:rsid w:val="12B0BBC1"/>
    <w:rsid w:val="13139798"/>
    <w:rsid w:val="13465739"/>
    <w:rsid w:val="134ADC63"/>
    <w:rsid w:val="135E772D"/>
    <w:rsid w:val="13A5AF69"/>
    <w:rsid w:val="13C7CE2B"/>
    <w:rsid w:val="13D055C9"/>
    <w:rsid w:val="13E6C924"/>
    <w:rsid w:val="14273BED"/>
    <w:rsid w:val="157D6616"/>
    <w:rsid w:val="158B56D4"/>
    <w:rsid w:val="159AA22B"/>
    <w:rsid w:val="15C04735"/>
    <w:rsid w:val="15C83AE7"/>
    <w:rsid w:val="15CC1F30"/>
    <w:rsid w:val="16B27DBF"/>
    <w:rsid w:val="16C28497"/>
    <w:rsid w:val="16DC1824"/>
    <w:rsid w:val="17049F1E"/>
    <w:rsid w:val="1723EA3D"/>
    <w:rsid w:val="172837B9"/>
    <w:rsid w:val="1745A5BE"/>
    <w:rsid w:val="17869CC9"/>
    <w:rsid w:val="178FE0B4"/>
    <w:rsid w:val="17A1628D"/>
    <w:rsid w:val="17B1E965"/>
    <w:rsid w:val="17CBBDDD"/>
    <w:rsid w:val="17D42286"/>
    <w:rsid w:val="17FF3CD0"/>
    <w:rsid w:val="184A3E24"/>
    <w:rsid w:val="18859FDA"/>
    <w:rsid w:val="18AD9C4A"/>
    <w:rsid w:val="18BE0450"/>
    <w:rsid w:val="18DB4127"/>
    <w:rsid w:val="19031DE2"/>
    <w:rsid w:val="190ABF5E"/>
    <w:rsid w:val="1959C282"/>
    <w:rsid w:val="19ED2DE2"/>
    <w:rsid w:val="19F66EC8"/>
    <w:rsid w:val="1A4BA021"/>
    <w:rsid w:val="1A543B46"/>
    <w:rsid w:val="1A579478"/>
    <w:rsid w:val="1A8B384D"/>
    <w:rsid w:val="1A8F0379"/>
    <w:rsid w:val="1AA815D6"/>
    <w:rsid w:val="1AB7D8D0"/>
    <w:rsid w:val="1ACEDFBD"/>
    <w:rsid w:val="1AD276DA"/>
    <w:rsid w:val="1AF62023"/>
    <w:rsid w:val="1B2D01C3"/>
    <w:rsid w:val="1B82C8A9"/>
    <w:rsid w:val="1BB6E746"/>
    <w:rsid w:val="1BCA3052"/>
    <w:rsid w:val="1BCA4A71"/>
    <w:rsid w:val="1BDC08DB"/>
    <w:rsid w:val="1BEF32F9"/>
    <w:rsid w:val="1C59E468"/>
    <w:rsid w:val="1C642261"/>
    <w:rsid w:val="1C66057B"/>
    <w:rsid w:val="1C696A75"/>
    <w:rsid w:val="1C721DB5"/>
    <w:rsid w:val="1C99B1AC"/>
    <w:rsid w:val="1C9EC024"/>
    <w:rsid w:val="1CA37C96"/>
    <w:rsid w:val="1CB590BB"/>
    <w:rsid w:val="1D471002"/>
    <w:rsid w:val="1D4F6E46"/>
    <w:rsid w:val="1D7E51E9"/>
    <w:rsid w:val="1DAB0831"/>
    <w:rsid w:val="1DAB27EC"/>
    <w:rsid w:val="1DE1CE2E"/>
    <w:rsid w:val="1E9A9FD9"/>
    <w:rsid w:val="1EAA460C"/>
    <w:rsid w:val="1F69846A"/>
    <w:rsid w:val="1F7098E4"/>
    <w:rsid w:val="1F8C702E"/>
    <w:rsid w:val="201CEBCC"/>
    <w:rsid w:val="202015B9"/>
    <w:rsid w:val="2022B2CD"/>
    <w:rsid w:val="20346A98"/>
    <w:rsid w:val="20605199"/>
    <w:rsid w:val="20A45155"/>
    <w:rsid w:val="20A868C4"/>
    <w:rsid w:val="2120E1EE"/>
    <w:rsid w:val="21341C13"/>
    <w:rsid w:val="216B4854"/>
    <w:rsid w:val="21B73D25"/>
    <w:rsid w:val="21C42DDF"/>
    <w:rsid w:val="220960FD"/>
    <w:rsid w:val="222927A9"/>
    <w:rsid w:val="223EC604"/>
    <w:rsid w:val="2245B3A2"/>
    <w:rsid w:val="2281455A"/>
    <w:rsid w:val="2289F782"/>
    <w:rsid w:val="228D7FC0"/>
    <w:rsid w:val="2302EC2D"/>
    <w:rsid w:val="2323CBC0"/>
    <w:rsid w:val="2364D89D"/>
    <w:rsid w:val="23809481"/>
    <w:rsid w:val="23A644E8"/>
    <w:rsid w:val="23A69FD4"/>
    <w:rsid w:val="23AF2D45"/>
    <w:rsid w:val="23B4A4C1"/>
    <w:rsid w:val="23D58A40"/>
    <w:rsid w:val="242EF310"/>
    <w:rsid w:val="2484EE05"/>
    <w:rsid w:val="24B08405"/>
    <w:rsid w:val="24B5230C"/>
    <w:rsid w:val="24BF0234"/>
    <w:rsid w:val="24EB9EC1"/>
    <w:rsid w:val="24FA2F7B"/>
    <w:rsid w:val="24FC6C99"/>
    <w:rsid w:val="2506904B"/>
    <w:rsid w:val="251512E6"/>
    <w:rsid w:val="25241307"/>
    <w:rsid w:val="25303E19"/>
    <w:rsid w:val="25546D4D"/>
    <w:rsid w:val="256C36FA"/>
    <w:rsid w:val="25750E40"/>
    <w:rsid w:val="2599CD81"/>
    <w:rsid w:val="259E694C"/>
    <w:rsid w:val="25AF546A"/>
    <w:rsid w:val="25D57DB1"/>
    <w:rsid w:val="26676B7B"/>
    <w:rsid w:val="26AD299D"/>
    <w:rsid w:val="26CBCA76"/>
    <w:rsid w:val="26CE849F"/>
    <w:rsid w:val="26D88005"/>
    <w:rsid w:val="27152C90"/>
    <w:rsid w:val="27820BC3"/>
    <w:rsid w:val="2792169D"/>
    <w:rsid w:val="2794F5B7"/>
    <w:rsid w:val="27957CCD"/>
    <w:rsid w:val="279B1FD4"/>
    <w:rsid w:val="2812564F"/>
    <w:rsid w:val="2815E042"/>
    <w:rsid w:val="2840728B"/>
    <w:rsid w:val="28729FC0"/>
    <w:rsid w:val="28785E3B"/>
    <w:rsid w:val="28B399C8"/>
    <w:rsid w:val="28D4F378"/>
    <w:rsid w:val="28F68874"/>
    <w:rsid w:val="28FB83E7"/>
    <w:rsid w:val="29259E9D"/>
    <w:rsid w:val="29536487"/>
    <w:rsid w:val="297DC484"/>
    <w:rsid w:val="29A76F44"/>
    <w:rsid w:val="29F2C910"/>
    <w:rsid w:val="2A13F8DA"/>
    <w:rsid w:val="2A73D8A6"/>
    <w:rsid w:val="2AD2223C"/>
    <w:rsid w:val="2AF8123D"/>
    <w:rsid w:val="2B05312C"/>
    <w:rsid w:val="2B11E166"/>
    <w:rsid w:val="2B2857CD"/>
    <w:rsid w:val="2B3EF044"/>
    <w:rsid w:val="2B733F50"/>
    <w:rsid w:val="2B80BD74"/>
    <w:rsid w:val="2BCCE6C7"/>
    <w:rsid w:val="2C0ADF0D"/>
    <w:rsid w:val="2C47E352"/>
    <w:rsid w:val="2C892E47"/>
    <w:rsid w:val="2C8DBA94"/>
    <w:rsid w:val="2CA693A9"/>
    <w:rsid w:val="2D8A9FE9"/>
    <w:rsid w:val="2D975FC2"/>
    <w:rsid w:val="2DA9B02C"/>
    <w:rsid w:val="2DF4D87A"/>
    <w:rsid w:val="2E40661C"/>
    <w:rsid w:val="2E532CC4"/>
    <w:rsid w:val="2E672E6A"/>
    <w:rsid w:val="2E8DCD60"/>
    <w:rsid w:val="2F054B59"/>
    <w:rsid w:val="2F0C11F5"/>
    <w:rsid w:val="2F0D2FBA"/>
    <w:rsid w:val="2F0FCDB1"/>
    <w:rsid w:val="2F743593"/>
    <w:rsid w:val="2F8B0BCF"/>
    <w:rsid w:val="2F8E6BBC"/>
    <w:rsid w:val="3008058B"/>
    <w:rsid w:val="30A1D36F"/>
    <w:rsid w:val="31102CD9"/>
    <w:rsid w:val="311035A6"/>
    <w:rsid w:val="31340569"/>
    <w:rsid w:val="313FCFC5"/>
    <w:rsid w:val="317A0029"/>
    <w:rsid w:val="31C1457F"/>
    <w:rsid w:val="31D9D8AE"/>
    <w:rsid w:val="3208A4D9"/>
    <w:rsid w:val="3213D206"/>
    <w:rsid w:val="323F75CF"/>
    <w:rsid w:val="325A6D04"/>
    <w:rsid w:val="32C63228"/>
    <w:rsid w:val="32D4B5B4"/>
    <w:rsid w:val="33109BA7"/>
    <w:rsid w:val="333CD1E7"/>
    <w:rsid w:val="335E2CCD"/>
    <w:rsid w:val="33628DFB"/>
    <w:rsid w:val="33768449"/>
    <w:rsid w:val="33797078"/>
    <w:rsid w:val="33DD7813"/>
    <w:rsid w:val="34109980"/>
    <w:rsid w:val="34405AD4"/>
    <w:rsid w:val="344AB97C"/>
    <w:rsid w:val="347D36CE"/>
    <w:rsid w:val="34B35FA1"/>
    <w:rsid w:val="34D129A4"/>
    <w:rsid w:val="34F0BDF3"/>
    <w:rsid w:val="35111091"/>
    <w:rsid w:val="3517E43C"/>
    <w:rsid w:val="359A6838"/>
    <w:rsid w:val="35B02E76"/>
    <w:rsid w:val="35DE4B1A"/>
    <w:rsid w:val="35EF72B2"/>
    <w:rsid w:val="35EFA88E"/>
    <w:rsid w:val="36209EE9"/>
    <w:rsid w:val="3636827F"/>
    <w:rsid w:val="364E38C4"/>
    <w:rsid w:val="367219C1"/>
    <w:rsid w:val="367D8F45"/>
    <w:rsid w:val="3695F679"/>
    <w:rsid w:val="36B26849"/>
    <w:rsid w:val="370366EA"/>
    <w:rsid w:val="373F89FF"/>
    <w:rsid w:val="37682509"/>
    <w:rsid w:val="37A346ED"/>
    <w:rsid w:val="37AF2978"/>
    <w:rsid w:val="37CDAF2C"/>
    <w:rsid w:val="37EFA719"/>
    <w:rsid w:val="38134670"/>
    <w:rsid w:val="3826A453"/>
    <w:rsid w:val="3832A9E4"/>
    <w:rsid w:val="3854F6EB"/>
    <w:rsid w:val="388E00B1"/>
    <w:rsid w:val="38C7B67E"/>
    <w:rsid w:val="3906A8F7"/>
    <w:rsid w:val="390E2488"/>
    <w:rsid w:val="393E439D"/>
    <w:rsid w:val="3940A0E1"/>
    <w:rsid w:val="394B2E58"/>
    <w:rsid w:val="39644BE1"/>
    <w:rsid w:val="39A848E9"/>
    <w:rsid w:val="39FA6D2A"/>
    <w:rsid w:val="3A02BDCB"/>
    <w:rsid w:val="3A3B6065"/>
    <w:rsid w:val="3A45E3F6"/>
    <w:rsid w:val="3AAC9E7F"/>
    <w:rsid w:val="3AEFA04F"/>
    <w:rsid w:val="3B013A66"/>
    <w:rsid w:val="3B1EC360"/>
    <w:rsid w:val="3B2B4740"/>
    <w:rsid w:val="3B415A61"/>
    <w:rsid w:val="3B6971AD"/>
    <w:rsid w:val="3B7628F2"/>
    <w:rsid w:val="3B854A79"/>
    <w:rsid w:val="3B86AE2A"/>
    <w:rsid w:val="3B9EEAED"/>
    <w:rsid w:val="3BDDB458"/>
    <w:rsid w:val="3C215C5F"/>
    <w:rsid w:val="3C521DB8"/>
    <w:rsid w:val="3CA03DA3"/>
    <w:rsid w:val="3CA7D9F3"/>
    <w:rsid w:val="3D148000"/>
    <w:rsid w:val="3D58D501"/>
    <w:rsid w:val="3D890411"/>
    <w:rsid w:val="3D983289"/>
    <w:rsid w:val="3DA4A55B"/>
    <w:rsid w:val="3DC23D7F"/>
    <w:rsid w:val="3E037C9C"/>
    <w:rsid w:val="3E1224F6"/>
    <w:rsid w:val="3E84E9C2"/>
    <w:rsid w:val="3EA9D48C"/>
    <w:rsid w:val="3F1FD64D"/>
    <w:rsid w:val="3F52436B"/>
    <w:rsid w:val="3F713183"/>
    <w:rsid w:val="3F95976E"/>
    <w:rsid w:val="3FF55A7F"/>
    <w:rsid w:val="4033AC9A"/>
    <w:rsid w:val="4078FF01"/>
    <w:rsid w:val="40B78457"/>
    <w:rsid w:val="41101427"/>
    <w:rsid w:val="413078E1"/>
    <w:rsid w:val="413A105A"/>
    <w:rsid w:val="41577C5C"/>
    <w:rsid w:val="415872FC"/>
    <w:rsid w:val="4163F246"/>
    <w:rsid w:val="4196ADF2"/>
    <w:rsid w:val="41A72187"/>
    <w:rsid w:val="41FA769C"/>
    <w:rsid w:val="425EE497"/>
    <w:rsid w:val="428B4CAC"/>
    <w:rsid w:val="4296E48D"/>
    <w:rsid w:val="42D4A05C"/>
    <w:rsid w:val="42EC2DE8"/>
    <w:rsid w:val="431A49C4"/>
    <w:rsid w:val="43383366"/>
    <w:rsid w:val="433DA81C"/>
    <w:rsid w:val="437E21C1"/>
    <w:rsid w:val="43AC2371"/>
    <w:rsid w:val="43BD6012"/>
    <w:rsid w:val="43C9844A"/>
    <w:rsid w:val="445F6BC7"/>
    <w:rsid w:val="4463B095"/>
    <w:rsid w:val="44990AC6"/>
    <w:rsid w:val="44F9C2D6"/>
    <w:rsid w:val="4554A039"/>
    <w:rsid w:val="459B5DE0"/>
    <w:rsid w:val="45B012D0"/>
    <w:rsid w:val="45CEBD79"/>
    <w:rsid w:val="462641A4"/>
    <w:rsid w:val="465FB234"/>
    <w:rsid w:val="4668D08F"/>
    <w:rsid w:val="468CABAA"/>
    <w:rsid w:val="46946349"/>
    <w:rsid w:val="46A23524"/>
    <w:rsid w:val="46BF1438"/>
    <w:rsid w:val="46DE5C5C"/>
    <w:rsid w:val="470C1510"/>
    <w:rsid w:val="470D6429"/>
    <w:rsid w:val="470EFEDC"/>
    <w:rsid w:val="4719420D"/>
    <w:rsid w:val="4799D9EC"/>
    <w:rsid w:val="47CCFCD1"/>
    <w:rsid w:val="47F4D8F7"/>
    <w:rsid w:val="47FEF703"/>
    <w:rsid w:val="482E917C"/>
    <w:rsid w:val="48B0F71F"/>
    <w:rsid w:val="48F9E04A"/>
    <w:rsid w:val="49214563"/>
    <w:rsid w:val="495DD77B"/>
    <w:rsid w:val="4A089910"/>
    <w:rsid w:val="4A77C85B"/>
    <w:rsid w:val="4A8A1481"/>
    <w:rsid w:val="4AA8F212"/>
    <w:rsid w:val="4AC840BB"/>
    <w:rsid w:val="4B118AC1"/>
    <w:rsid w:val="4B2ACF83"/>
    <w:rsid w:val="4B4220DA"/>
    <w:rsid w:val="4B539BD2"/>
    <w:rsid w:val="4B6D3024"/>
    <w:rsid w:val="4B7BEDFC"/>
    <w:rsid w:val="4B90D7E1"/>
    <w:rsid w:val="4BA86F39"/>
    <w:rsid w:val="4BAB7F2F"/>
    <w:rsid w:val="4BFF3CFB"/>
    <w:rsid w:val="4C32F946"/>
    <w:rsid w:val="4C979CC3"/>
    <w:rsid w:val="4C9B5415"/>
    <w:rsid w:val="4CA139D1"/>
    <w:rsid w:val="4CC722D0"/>
    <w:rsid w:val="4CD70838"/>
    <w:rsid w:val="4D809ECD"/>
    <w:rsid w:val="4DA83D5F"/>
    <w:rsid w:val="4DE2EE04"/>
    <w:rsid w:val="4DEBDA0B"/>
    <w:rsid w:val="4E6788EC"/>
    <w:rsid w:val="4E77D2B9"/>
    <w:rsid w:val="4E8C1A86"/>
    <w:rsid w:val="4EBAD818"/>
    <w:rsid w:val="4F17F70B"/>
    <w:rsid w:val="4F199D68"/>
    <w:rsid w:val="4F3182AB"/>
    <w:rsid w:val="4F9E6C54"/>
    <w:rsid w:val="4FB7333C"/>
    <w:rsid w:val="4FC4E18E"/>
    <w:rsid w:val="500DD5FA"/>
    <w:rsid w:val="500E2661"/>
    <w:rsid w:val="501016EB"/>
    <w:rsid w:val="50A33720"/>
    <w:rsid w:val="50D1C97F"/>
    <w:rsid w:val="51131616"/>
    <w:rsid w:val="513497AA"/>
    <w:rsid w:val="515129B3"/>
    <w:rsid w:val="51BBBD9F"/>
    <w:rsid w:val="51DEDCD1"/>
    <w:rsid w:val="51EA3338"/>
    <w:rsid w:val="5214DCC8"/>
    <w:rsid w:val="5261AEE8"/>
    <w:rsid w:val="52BCBADA"/>
    <w:rsid w:val="52C385F3"/>
    <w:rsid w:val="530340F4"/>
    <w:rsid w:val="530714D0"/>
    <w:rsid w:val="530DE4F9"/>
    <w:rsid w:val="5342DA77"/>
    <w:rsid w:val="53671BB5"/>
    <w:rsid w:val="53A05C6B"/>
    <w:rsid w:val="53A4F0F3"/>
    <w:rsid w:val="53CA8C6D"/>
    <w:rsid w:val="53DC1ADA"/>
    <w:rsid w:val="541C3148"/>
    <w:rsid w:val="546CD708"/>
    <w:rsid w:val="5472115F"/>
    <w:rsid w:val="549F99CC"/>
    <w:rsid w:val="54B45F3F"/>
    <w:rsid w:val="54CA7AE7"/>
    <w:rsid w:val="54EB5805"/>
    <w:rsid w:val="54F49DC4"/>
    <w:rsid w:val="54F80BCD"/>
    <w:rsid w:val="55009522"/>
    <w:rsid w:val="554365D5"/>
    <w:rsid w:val="5566A5B8"/>
    <w:rsid w:val="558C7239"/>
    <w:rsid w:val="55AEFC4E"/>
    <w:rsid w:val="55B0FF12"/>
    <w:rsid w:val="55C4E398"/>
    <w:rsid w:val="55FC21AB"/>
    <w:rsid w:val="56125C11"/>
    <w:rsid w:val="562EB634"/>
    <w:rsid w:val="5659ED06"/>
    <w:rsid w:val="5694B55F"/>
    <w:rsid w:val="56A283B3"/>
    <w:rsid w:val="570411BF"/>
    <w:rsid w:val="5708950C"/>
    <w:rsid w:val="5782706F"/>
    <w:rsid w:val="586A553C"/>
    <w:rsid w:val="5874CA4E"/>
    <w:rsid w:val="58D819F8"/>
    <w:rsid w:val="5910C985"/>
    <w:rsid w:val="59378CC2"/>
    <w:rsid w:val="595F49E3"/>
    <w:rsid w:val="598EBD9C"/>
    <w:rsid w:val="59A4A83F"/>
    <w:rsid w:val="59AB28F8"/>
    <w:rsid w:val="59B31AC3"/>
    <w:rsid w:val="59E10710"/>
    <w:rsid w:val="59E20861"/>
    <w:rsid w:val="59E9525F"/>
    <w:rsid w:val="5A51D875"/>
    <w:rsid w:val="5A633EB3"/>
    <w:rsid w:val="5A9F3FF0"/>
    <w:rsid w:val="5AC6D1EC"/>
    <w:rsid w:val="5B85A4C1"/>
    <w:rsid w:val="5BD3D302"/>
    <w:rsid w:val="5BDEDE15"/>
    <w:rsid w:val="5BF2CFAF"/>
    <w:rsid w:val="5C0474D2"/>
    <w:rsid w:val="5C4D8E6A"/>
    <w:rsid w:val="5C6CABAB"/>
    <w:rsid w:val="5C6D988D"/>
    <w:rsid w:val="5CB4001D"/>
    <w:rsid w:val="5CC055E6"/>
    <w:rsid w:val="5CE58C4D"/>
    <w:rsid w:val="5CF8B3BF"/>
    <w:rsid w:val="5D281BB6"/>
    <w:rsid w:val="5D3B6469"/>
    <w:rsid w:val="5D48CDC0"/>
    <w:rsid w:val="5D673817"/>
    <w:rsid w:val="5D9FDE02"/>
    <w:rsid w:val="5DA0D911"/>
    <w:rsid w:val="5DC13063"/>
    <w:rsid w:val="5E09E3DD"/>
    <w:rsid w:val="5E15D4A3"/>
    <w:rsid w:val="5E56E192"/>
    <w:rsid w:val="5E62FBE8"/>
    <w:rsid w:val="5E7880AA"/>
    <w:rsid w:val="5EFB092A"/>
    <w:rsid w:val="5F2AF0B4"/>
    <w:rsid w:val="5F452F90"/>
    <w:rsid w:val="5F65662C"/>
    <w:rsid w:val="5F6D431A"/>
    <w:rsid w:val="5F77F76A"/>
    <w:rsid w:val="5FDD83CC"/>
    <w:rsid w:val="6002D4F1"/>
    <w:rsid w:val="604AF6AC"/>
    <w:rsid w:val="604C9B7E"/>
    <w:rsid w:val="6063F479"/>
    <w:rsid w:val="609992BA"/>
    <w:rsid w:val="60AF256B"/>
    <w:rsid w:val="60E2AE43"/>
    <w:rsid w:val="61350D30"/>
    <w:rsid w:val="6149529E"/>
    <w:rsid w:val="615842A6"/>
    <w:rsid w:val="61871306"/>
    <w:rsid w:val="61911B82"/>
    <w:rsid w:val="61A71B55"/>
    <w:rsid w:val="61B03476"/>
    <w:rsid w:val="61B22465"/>
    <w:rsid w:val="61B6442A"/>
    <w:rsid w:val="62FCE177"/>
    <w:rsid w:val="631179A4"/>
    <w:rsid w:val="63227DF3"/>
    <w:rsid w:val="6323EF25"/>
    <w:rsid w:val="637427ED"/>
    <w:rsid w:val="63790F4F"/>
    <w:rsid w:val="63ECA56C"/>
    <w:rsid w:val="642C54A0"/>
    <w:rsid w:val="6456B4A6"/>
    <w:rsid w:val="6480DEAE"/>
    <w:rsid w:val="648F7A57"/>
    <w:rsid w:val="64AA8D07"/>
    <w:rsid w:val="64EC14B6"/>
    <w:rsid w:val="655681B8"/>
    <w:rsid w:val="6593F9F6"/>
    <w:rsid w:val="65DDC0DF"/>
    <w:rsid w:val="665DE71D"/>
    <w:rsid w:val="6667B8BC"/>
    <w:rsid w:val="669C7858"/>
    <w:rsid w:val="66AEAB31"/>
    <w:rsid w:val="66B42414"/>
    <w:rsid w:val="66D44382"/>
    <w:rsid w:val="66EEB7DE"/>
    <w:rsid w:val="66F0FECC"/>
    <w:rsid w:val="67084C41"/>
    <w:rsid w:val="670C1F67"/>
    <w:rsid w:val="675960E3"/>
    <w:rsid w:val="67C0A58D"/>
    <w:rsid w:val="67EE186F"/>
    <w:rsid w:val="68180D9D"/>
    <w:rsid w:val="682E617B"/>
    <w:rsid w:val="6869F1DD"/>
    <w:rsid w:val="687323A0"/>
    <w:rsid w:val="6874DA2C"/>
    <w:rsid w:val="68AE8601"/>
    <w:rsid w:val="68E5D7C4"/>
    <w:rsid w:val="690F9DCD"/>
    <w:rsid w:val="6A33D2B2"/>
    <w:rsid w:val="6A5526F3"/>
    <w:rsid w:val="6A875A52"/>
    <w:rsid w:val="6A9C213B"/>
    <w:rsid w:val="6B1CDB67"/>
    <w:rsid w:val="6B63E7A2"/>
    <w:rsid w:val="6B6D38B5"/>
    <w:rsid w:val="6B88D3A5"/>
    <w:rsid w:val="6B8C80AC"/>
    <w:rsid w:val="6B9CCABE"/>
    <w:rsid w:val="6BB65456"/>
    <w:rsid w:val="6BBEF05E"/>
    <w:rsid w:val="6C221138"/>
    <w:rsid w:val="6C38319A"/>
    <w:rsid w:val="6C7D98E2"/>
    <w:rsid w:val="6C93CFEB"/>
    <w:rsid w:val="6C9BD5EC"/>
    <w:rsid w:val="6CAC60CD"/>
    <w:rsid w:val="6CAEB3BE"/>
    <w:rsid w:val="6CDF9F7E"/>
    <w:rsid w:val="6D0605C8"/>
    <w:rsid w:val="6D32E994"/>
    <w:rsid w:val="6D34CCE3"/>
    <w:rsid w:val="6D49AC2D"/>
    <w:rsid w:val="6D5FA33E"/>
    <w:rsid w:val="6D798808"/>
    <w:rsid w:val="6D87B923"/>
    <w:rsid w:val="6DB0D222"/>
    <w:rsid w:val="6DFD78C3"/>
    <w:rsid w:val="6E1CE687"/>
    <w:rsid w:val="6E2CC25E"/>
    <w:rsid w:val="6E423670"/>
    <w:rsid w:val="6E42F60C"/>
    <w:rsid w:val="6E5605FC"/>
    <w:rsid w:val="6E5705DC"/>
    <w:rsid w:val="6E650896"/>
    <w:rsid w:val="6E880B5B"/>
    <w:rsid w:val="6E928011"/>
    <w:rsid w:val="6E96B388"/>
    <w:rsid w:val="6EA14203"/>
    <w:rsid w:val="6F6FFFDC"/>
    <w:rsid w:val="6F9E8F8C"/>
    <w:rsid w:val="6FD2626C"/>
    <w:rsid w:val="6FF7A10D"/>
    <w:rsid w:val="6FF836C8"/>
    <w:rsid w:val="7015EE66"/>
    <w:rsid w:val="7019F579"/>
    <w:rsid w:val="703ACCD8"/>
    <w:rsid w:val="70494E12"/>
    <w:rsid w:val="70614553"/>
    <w:rsid w:val="7083A595"/>
    <w:rsid w:val="7098044E"/>
    <w:rsid w:val="70C00C57"/>
    <w:rsid w:val="70ECB9BC"/>
    <w:rsid w:val="70F70FB0"/>
    <w:rsid w:val="71115CC9"/>
    <w:rsid w:val="71443E79"/>
    <w:rsid w:val="715F4599"/>
    <w:rsid w:val="71678C93"/>
    <w:rsid w:val="716A0680"/>
    <w:rsid w:val="716AAFB1"/>
    <w:rsid w:val="71768F9E"/>
    <w:rsid w:val="71826C3E"/>
    <w:rsid w:val="71946AC6"/>
    <w:rsid w:val="71AF3ECC"/>
    <w:rsid w:val="7241EBC7"/>
    <w:rsid w:val="72436299"/>
    <w:rsid w:val="7252A44F"/>
    <w:rsid w:val="72532D63"/>
    <w:rsid w:val="7256FFE4"/>
    <w:rsid w:val="72875505"/>
    <w:rsid w:val="7289D27B"/>
    <w:rsid w:val="72E74F19"/>
    <w:rsid w:val="7311FD7C"/>
    <w:rsid w:val="73152E2A"/>
    <w:rsid w:val="731E912B"/>
    <w:rsid w:val="73487961"/>
    <w:rsid w:val="73552A46"/>
    <w:rsid w:val="73691C0A"/>
    <w:rsid w:val="747AA8D0"/>
    <w:rsid w:val="748D6948"/>
    <w:rsid w:val="74E58BF4"/>
    <w:rsid w:val="74FAFA09"/>
    <w:rsid w:val="75030816"/>
    <w:rsid w:val="759C9C60"/>
    <w:rsid w:val="75B5CA53"/>
    <w:rsid w:val="75CAD2AA"/>
    <w:rsid w:val="75E9FA04"/>
    <w:rsid w:val="7620CBDE"/>
    <w:rsid w:val="76294201"/>
    <w:rsid w:val="76AF1906"/>
    <w:rsid w:val="76D5373E"/>
    <w:rsid w:val="770FC567"/>
    <w:rsid w:val="77282A65"/>
    <w:rsid w:val="7788AC04"/>
    <w:rsid w:val="779DF52D"/>
    <w:rsid w:val="77C72967"/>
    <w:rsid w:val="77CDB983"/>
    <w:rsid w:val="7823FE60"/>
    <w:rsid w:val="7825F457"/>
    <w:rsid w:val="7866C1F6"/>
    <w:rsid w:val="78DD78AF"/>
    <w:rsid w:val="78E30691"/>
    <w:rsid w:val="79236851"/>
    <w:rsid w:val="795307D0"/>
    <w:rsid w:val="79781437"/>
    <w:rsid w:val="79C0C0C2"/>
    <w:rsid w:val="7A0A5DBE"/>
    <w:rsid w:val="7A62654A"/>
    <w:rsid w:val="7A6A9ADD"/>
    <w:rsid w:val="7A992DFA"/>
    <w:rsid w:val="7A9DD5F1"/>
    <w:rsid w:val="7AA39F55"/>
    <w:rsid w:val="7AAD1B5C"/>
    <w:rsid w:val="7AD5DF81"/>
    <w:rsid w:val="7AF070AB"/>
    <w:rsid w:val="7B26CA99"/>
    <w:rsid w:val="7B31ED02"/>
    <w:rsid w:val="7B431C31"/>
    <w:rsid w:val="7B69C07E"/>
    <w:rsid w:val="7B9DE200"/>
    <w:rsid w:val="7BA1063C"/>
    <w:rsid w:val="7BFA0648"/>
    <w:rsid w:val="7C21F627"/>
    <w:rsid w:val="7C4E6517"/>
    <w:rsid w:val="7C5155FA"/>
    <w:rsid w:val="7C5DD49C"/>
    <w:rsid w:val="7C61B478"/>
    <w:rsid w:val="7C73B4A7"/>
    <w:rsid w:val="7C749AB7"/>
    <w:rsid w:val="7CC84FB5"/>
    <w:rsid w:val="7CCEAEA0"/>
    <w:rsid w:val="7D2C422C"/>
    <w:rsid w:val="7D3C0B09"/>
    <w:rsid w:val="7D6773C9"/>
    <w:rsid w:val="7DB199A2"/>
    <w:rsid w:val="7DE73181"/>
    <w:rsid w:val="7DFBB87D"/>
    <w:rsid w:val="7E21E454"/>
    <w:rsid w:val="7E36BF2B"/>
    <w:rsid w:val="7E417A8C"/>
    <w:rsid w:val="7E4C03CE"/>
    <w:rsid w:val="7E544D34"/>
    <w:rsid w:val="7E56686D"/>
    <w:rsid w:val="7EBF0ED7"/>
    <w:rsid w:val="7EE55682"/>
    <w:rsid w:val="7EEADEBC"/>
  </w:rsids>
  <w:docVars>
    <w:docVar w:name="EN.InstantFormat" w:val="&lt;ENInstantFormat&gt;&lt;Enabled&gt;1&lt;/Enabled&gt;&lt;ScanUnformatted&gt;1&lt;/ScanUnformatted&gt;&lt;ScanChanges&gt;1&lt;/ScanChanges&gt;&lt;Suspended&gt;1&lt;/Suspended&gt;&lt;/ENInstantFormat&gt;"/>
    <w:docVar w:name="EN.Layout" w:val="&lt;ENLayout&gt;&lt;Style&gt;Author-Date (year a,b) no paren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2apzr05radv9fjet2w6xxwdlz5e9vwfxredw&quot;&gt;PV29_PRV2&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8&lt;/item&gt;&lt;item&gt;49&lt;/item&gt;&lt;item&gt;50&lt;/item&gt;&lt;item&gt;51&lt;/item&gt;&lt;item&gt;52&lt;/item&gt;&lt;item&gt;53&lt;/item&gt;&lt;item&gt;54&lt;/item&gt;&lt;item&gt;55&lt;/item&gt;&lt;item&gt;56&lt;/item&gt;&lt;item&gt;57&lt;/item&gt;&lt;item&gt;58&lt;/item&gt;&lt;item&gt;59&lt;/item&gt;&lt;item&gt;61&lt;/item&gt;&lt;item&gt;62&lt;/item&gt;&lt;item&gt;63&lt;/item&gt;&lt;item&gt;64&lt;/item&gt;&lt;item&gt;65&lt;/item&gt;&lt;item&gt;66&lt;/item&gt;&lt;item&gt;67&lt;/item&gt;&lt;item&gt;68&lt;/item&gt;&lt;item&gt;69&lt;/item&gt;&lt;item&gt;70&lt;/item&gt;&lt;item&gt;71&lt;/item&gt;&lt;item&gt;72&lt;/item&gt;&lt;item&gt;73&lt;/item&gt;&lt;item&gt;74&lt;/item&gt;&lt;/record-ids&gt;&lt;/item&gt;&lt;/Libraries&gt;"/>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691278D"/>
  <w15:docId w15:val="{DB072CB2-5E88-4764-9948-54AFC603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qFormat="1"/>
    <w:lsdException w:name="annotation reference" w:semiHidden="1" w:uiPriority="99" w:unhideWhenUsed="1" w:qFormat="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14C9"/>
    <w:pPr>
      <w:spacing w:after="180"/>
    </w:pPr>
    <w:rPr>
      <w:sz w:val="22"/>
    </w:rPr>
  </w:style>
  <w:style w:type="paragraph" w:styleId="Heading1">
    <w:name w:val="heading 1"/>
    <w:aliases w:val="Heading 1 Abt"/>
    <w:basedOn w:val="Normal"/>
    <w:next w:val="BodyText"/>
    <w:link w:val="Heading1Char"/>
    <w:uiPriority w:val="9"/>
    <w:qFormat/>
    <w:rsid w:val="00B231EC"/>
    <w:pPr>
      <w:pageBreakBefore/>
      <w:numPr>
        <w:numId w:val="25"/>
      </w:numPr>
      <w:outlineLvl w:val="0"/>
    </w:pPr>
    <w:rPr>
      <w:rFonts w:ascii="Arial" w:hAnsi="Arial" w:eastAsiaTheme="minorHAnsi" w:cs="Arial"/>
      <w:b/>
      <w:color w:val="BB2127"/>
      <w:spacing w:val="20"/>
      <w:sz w:val="32"/>
      <w:szCs w:val="22"/>
    </w:rPr>
  </w:style>
  <w:style w:type="paragraph" w:styleId="Heading2">
    <w:name w:val="heading 2"/>
    <w:basedOn w:val="Normal"/>
    <w:next w:val="BodyText"/>
    <w:link w:val="Heading2Char"/>
    <w:uiPriority w:val="9"/>
    <w:qFormat/>
    <w:rsid w:val="00B231EC"/>
    <w:pPr>
      <w:keepNext/>
      <w:numPr>
        <w:ilvl w:val="1"/>
        <w:numId w:val="25"/>
      </w:numPr>
      <w:spacing w:after="120"/>
      <w:outlineLvl w:val="1"/>
    </w:pPr>
    <w:rPr>
      <w:rFonts w:ascii="Arial" w:hAnsi="Arial" w:cs="Arial"/>
      <w:b/>
      <w:bCs/>
      <w:i/>
      <w:iCs/>
      <w:color w:val="4A1222"/>
      <w:sz w:val="24"/>
      <w:szCs w:val="28"/>
    </w:rPr>
  </w:style>
  <w:style w:type="paragraph" w:styleId="Heading3">
    <w:name w:val="heading 3"/>
    <w:basedOn w:val="Normal"/>
    <w:next w:val="BodyText"/>
    <w:link w:val="Heading3Char"/>
    <w:qFormat/>
    <w:rsid w:val="008E12BF"/>
    <w:pPr>
      <w:keepNext/>
      <w:numPr>
        <w:ilvl w:val="2"/>
        <w:numId w:val="25"/>
      </w:numPr>
      <w:spacing w:after="60"/>
      <w:outlineLvl w:val="2"/>
    </w:pPr>
    <w:rPr>
      <w:rFonts w:ascii="Arial Narrow" w:hAnsi="Arial Narrow" w:eastAsiaTheme="minorHAnsi"/>
      <w:b/>
      <w:color w:val="013E5B"/>
      <w:szCs w:val="22"/>
    </w:rPr>
  </w:style>
  <w:style w:type="paragraph" w:styleId="Heading4">
    <w:name w:val="heading 4"/>
    <w:basedOn w:val="Normal"/>
    <w:next w:val="BodyText"/>
    <w:link w:val="Heading4Char"/>
    <w:qFormat/>
    <w:rsid w:val="00E87DB7"/>
    <w:pPr>
      <w:keepNext/>
      <w:numPr>
        <w:ilvl w:val="3"/>
        <w:numId w:val="25"/>
      </w:numPr>
      <w:spacing w:after="60"/>
      <w:outlineLvl w:val="3"/>
    </w:pPr>
    <w:rPr>
      <w:rFonts w:ascii="Times New Roman Bold" w:hAnsi="Times New Roman Bold"/>
      <w:b/>
      <w:i/>
      <w:color w:val="BB2127"/>
      <w:sz w:val="24"/>
    </w:rPr>
  </w:style>
  <w:style w:type="paragraph" w:styleId="Heading5">
    <w:name w:val="heading 5"/>
    <w:basedOn w:val="Normal"/>
    <w:next w:val="BodyText"/>
    <w:link w:val="Heading5Char"/>
    <w:uiPriority w:val="9"/>
    <w:qFormat/>
    <w:rsid w:val="004C3827"/>
    <w:pPr>
      <w:keepNext/>
      <w:keepLines/>
      <w:numPr>
        <w:ilvl w:val="4"/>
        <w:numId w:val="25"/>
      </w:numPr>
      <w:spacing w:after="60"/>
      <w:outlineLvl w:val="4"/>
    </w:pPr>
    <w:rPr>
      <w:rFonts w:ascii="Arial" w:hAnsi="Arial" w:cs="Arial"/>
      <w:b/>
      <w:sz w:val="20"/>
    </w:rPr>
  </w:style>
  <w:style w:type="paragraph" w:styleId="Heading6">
    <w:name w:val="heading 6"/>
    <w:basedOn w:val="Normal"/>
    <w:next w:val="Normal"/>
    <w:link w:val="Heading6Char"/>
    <w:uiPriority w:val="9"/>
    <w:qFormat/>
    <w:rsid w:val="00581A08"/>
    <w:pPr>
      <w:numPr>
        <w:ilvl w:val="5"/>
        <w:numId w:val="25"/>
      </w:numPr>
      <w:spacing w:before="60" w:after="60"/>
      <w:outlineLvl w:val="5"/>
    </w:pPr>
    <w:rPr>
      <w:b/>
      <w:bCs/>
      <w:szCs w:val="22"/>
    </w:rPr>
  </w:style>
  <w:style w:type="paragraph" w:styleId="Heading7">
    <w:name w:val="heading 7"/>
    <w:basedOn w:val="Heading1NoNumbering"/>
    <w:next w:val="Normal"/>
    <w:link w:val="Heading7Char"/>
    <w:uiPriority w:val="9"/>
    <w:qFormat/>
    <w:rsid w:val="00581A08"/>
    <w:pPr>
      <w:numPr>
        <w:numId w:val="22"/>
      </w:numPr>
      <w:ind w:left="2520" w:hanging="2520"/>
      <w:outlineLvl w:val="6"/>
    </w:pPr>
  </w:style>
  <w:style w:type="paragraph" w:styleId="Heading8">
    <w:name w:val="heading 8"/>
    <w:basedOn w:val="Normal"/>
    <w:next w:val="Normal"/>
    <w:link w:val="Heading8Char"/>
    <w:uiPriority w:val="9"/>
    <w:qFormat/>
    <w:rsid w:val="00581A08"/>
    <w:pPr>
      <w:numPr>
        <w:ilvl w:val="7"/>
        <w:numId w:val="25"/>
      </w:numPr>
      <w:spacing w:before="240" w:after="60"/>
      <w:outlineLvl w:val="7"/>
    </w:pPr>
    <w:rPr>
      <w:i/>
      <w:iCs/>
      <w:sz w:val="24"/>
      <w:szCs w:val="24"/>
    </w:rPr>
  </w:style>
  <w:style w:type="paragraph" w:styleId="Heading9">
    <w:name w:val="heading 9"/>
    <w:basedOn w:val="Normal"/>
    <w:next w:val="Normal"/>
    <w:link w:val="Heading9Char"/>
    <w:uiPriority w:val="9"/>
    <w:qFormat/>
    <w:rsid w:val="00581A08"/>
    <w:pPr>
      <w:numPr>
        <w:ilvl w:val="8"/>
        <w:numId w:val="2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832749"/>
    <w:rPr>
      <w:szCs w:val="22"/>
      <w:lang w:val="en"/>
    </w:rPr>
  </w:style>
  <w:style w:type="character" w:customStyle="1" w:styleId="BodyTextChar">
    <w:name w:val="Body Text Char"/>
    <w:basedOn w:val="DefaultParagraphFont"/>
    <w:link w:val="BodyText"/>
    <w:uiPriority w:val="99"/>
    <w:rsid w:val="00832749"/>
    <w:rPr>
      <w:sz w:val="22"/>
      <w:szCs w:val="22"/>
      <w:lang w:val="en"/>
    </w:rPr>
  </w:style>
  <w:style w:type="character" w:customStyle="1" w:styleId="Heading1Char">
    <w:name w:val="Heading 1 Char"/>
    <w:aliases w:val="Heading 1 Abt Char"/>
    <w:basedOn w:val="DefaultParagraphFont"/>
    <w:link w:val="Heading1"/>
    <w:uiPriority w:val="9"/>
    <w:rsid w:val="00B231EC"/>
    <w:rPr>
      <w:rFonts w:ascii="Arial" w:hAnsi="Arial" w:eastAsiaTheme="minorHAnsi" w:cs="Arial"/>
      <w:b/>
      <w:color w:val="BB2127"/>
      <w:spacing w:val="20"/>
      <w:sz w:val="32"/>
      <w:szCs w:val="22"/>
    </w:rPr>
  </w:style>
  <w:style w:type="character" w:customStyle="1" w:styleId="Heading2Char">
    <w:name w:val="Heading 2 Char"/>
    <w:basedOn w:val="DefaultParagraphFont"/>
    <w:link w:val="Heading2"/>
    <w:uiPriority w:val="9"/>
    <w:rsid w:val="00B231EC"/>
    <w:rPr>
      <w:rFonts w:ascii="Arial" w:hAnsi="Arial" w:cs="Arial"/>
      <w:b/>
      <w:bCs/>
      <w:i/>
      <w:iCs/>
      <w:color w:val="4A1222"/>
      <w:sz w:val="24"/>
      <w:szCs w:val="28"/>
    </w:rPr>
  </w:style>
  <w:style w:type="character" w:customStyle="1" w:styleId="Heading3Char">
    <w:name w:val="Heading 3 Char"/>
    <w:link w:val="Heading3"/>
    <w:rsid w:val="008E12BF"/>
    <w:rPr>
      <w:rFonts w:ascii="Arial Narrow" w:hAnsi="Arial Narrow" w:eastAsiaTheme="minorHAnsi"/>
      <w:b/>
      <w:color w:val="013E5B"/>
      <w:sz w:val="22"/>
      <w:szCs w:val="22"/>
    </w:rPr>
  </w:style>
  <w:style w:type="character" w:customStyle="1" w:styleId="Heading4Char">
    <w:name w:val="Heading 4 Char"/>
    <w:basedOn w:val="DefaultParagraphFont"/>
    <w:link w:val="Heading4"/>
    <w:rsid w:val="00E87DB7"/>
    <w:rPr>
      <w:rFonts w:ascii="Times New Roman Bold" w:hAnsi="Times New Roman Bold"/>
      <w:b/>
      <w:i/>
      <w:color w:val="BB2127"/>
      <w:sz w:val="24"/>
    </w:rPr>
  </w:style>
  <w:style w:type="character" w:customStyle="1" w:styleId="Heading5Char">
    <w:name w:val="Heading 5 Char"/>
    <w:link w:val="Heading5"/>
    <w:uiPriority w:val="9"/>
    <w:rsid w:val="004C3827"/>
    <w:rPr>
      <w:rFonts w:ascii="Arial" w:hAnsi="Arial" w:cs="Arial"/>
      <w:b/>
    </w:rPr>
  </w:style>
  <w:style w:type="character" w:customStyle="1" w:styleId="Heading6Char">
    <w:name w:val="Heading 6 Char"/>
    <w:basedOn w:val="DefaultParagraphFont"/>
    <w:link w:val="Heading6"/>
    <w:uiPriority w:val="9"/>
    <w:rsid w:val="00AC43BF"/>
    <w:rPr>
      <w:b/>
      <w:bCs/>
      <w:sz w:val="22"/>
      <w:szCs w:val="22"/>
    </w:rPr>
  </w:style>
  <w:style w:type="character" w:customStyle="1" w:styleId="Heading7Char">
    <w:name w:val="Heading 7 Char"/>
    <w:basedOn w:val="DefaultParagraphFont"/>
    <w:link w:val="Heading7"/>
    <w:uiPriority w:val="9"/>
    <w:rsid w:val="004A7CC0"/>
    <w:rPr>
      <w:rFonts w:ascii="Arial" w:hAnsi="Arial" w:eastAsiaTheme="minorHAnsi" w:cs="Arial"/>
      <w:b/>
      <w:bCs/>
      <w:color w:val="BB2127"/>
      <w:spacing w:val="20"/>
      <w:sz w:val="32"/>
      <w:szCs w:val="22"/>
    </w:rPr>
  </w:style>
  <w:style w:type="character" w:customStyle="1" w:styleId="Heading8Char">
    <w:name w:val="Heading 8 Char"/>
    <w:basedOn w:val="DefaultParagraphFont"/>
    <w:link w:val="Heading8"/>
    <w:uiPriority w:val="9"/>
    <w:rsid w:val="00AC43BF"/>
    <w:rPr>
      <w:i/>
      <w:iCs/>
      <w:sz w:val="24"/>
      <w:szCs w:val="24"/>
    </w:rPr>
  </w:style>
  <w:style w:type="character" w:customStyle="1" w:styleId="Heading9Char">
    <w:name w:val="Heading 9 Char"/>
    <w:basedOn w:val="DefaultParagraphFont"/>
    <w:link w:val="Heading9"/>
    <w:uiPriority w:val="9"/>
    <w:rsid w:val="00AC43BF"/>
    <w:rPr>
      <w:rFonts w:ascii="Arial" w:hAnsi="Arial" w:cs="Arial"/>
      <w:sz w:val="22"/>
      <w:szCs w:val="22"/>
    </w:rPr>
  </w:style>
  <w:style w:type="paragraph" w:styleId="Footer">
    <w:name w:val="footer"/>
    <w:basedOn w:val="Normal"/>
    <w:link w:val="FooterChar"/>
    <w:uiPriority w:val="99"/>
    <w:qFormat/>
    <w:rsid w:val="00581A08"/>
    <w:pPr>
      <w:tabs>
        <w:tab w:val="center" w:pos="4680"/>
        <w:tab w:val="right" w:pos="9360"/>
      </w:tabs>
      <w:spacing w:after="0"/>
    </w:pPr>
    <w:rPr>
      <w:rFonts w:ascii="Arial" w:hAnsi="Arial" w:cs="Arial"/>
      <w:b/>
      <w:color w:val="898D8D" w:themeColor="background2"/>
      <w:sz w:val="18"/>
    </w:rPr>
  </w:style>
  <w:style w:type="character" w:customStyle="1" w:styleId="FooterChar">
    <w:name w:val="Footer Char"/>
    <w:basedOn w:val="DefaultParagraphFont"/>
    <w:link w:val="Footer"/>
    <w:uiPriority w:val="99"/>
    <w:rsid w:val="00581A08"/>
    <w:rPr>
      <w:rFonts w:ascii="Arial" w:hAnsi="Arial" w:cs="Arial"/>
      <w:b/>
      <w:color w:val="898D8D" w:themeColor="background2"/>
      <w:sz w:val="18"/>
    </w:rPr>
  </w:style>
  <w:style w:type="paragraph" w:customStyle="1" w:styleId="TableRowHeader">
    <w:name w:val="Table Row Header"/>
    <w:basedOn w:val="TableText"/>
    <w:rsid w:val="00581A08"/>
    <w:pPr>
      <w:keepNext/>
    </w:pPr>
    <w:rPr>
      <w:b/>
      <w:color w:val="000000" w:themeColor="text1"/>
    </w:rPr>
  </w:style>
  <w:style w:type="character" w:styleId="PageNumber">
    <w:name w:val="page number"/>
    <w:basedOn w:val="DefaultParagraphFont"/>
    <w:uiPriority w:val="99"/>
    <w:rsid w:val="00581A08"/>
    <w:rPr>
      <w:rFonts w:ascii="Arial" w:hAnsi="Arial"/>
      <w:color w:val="48A9C5" w:themeColor="accent1"/>
      <w:sz w:val="18"/>
    </w:rPr>
  </w:style>
  <w:style w:type="paragraph" w:customStyle="1" w:styleId="Bullets">
    <w:name w:val="Bullets"/>
    <w:basedOn w:val="BodyText"/>
    <w:rsid w:val="00B70B8E"/>
    <w:pPr>
      <w:tabs>
        <w:tab w:val="left" w:pos="360"/>
      </w:tabs>
      <w:spacing w:after="120"/>
      <w:ind w:left="360" w:hanging="360"/>
    </w:pPr>
  </w:style>
  <w:style w:type="paragraph" w:customStyle="1" w:styleId="RefNumbers">
    <w:name w:val="Ref Numbers"/>
    <w:basedOn w:val="BodyText"/>
    <w:uiPriority w:val="99"/>
    <w:rsid w:val="00581A08"/>
    <w:pPr>
      <w:numPr>
        <w:numId w:val="19"/>
      </w:numPr>
    </w:pPr>
  </w:style>
  <w:style w:type="paragraph" w:styleId="Header">
    <w:name w:val="header"/>
    <w:basedOn w:val="Normal"/>
    <w:next w:val="HeaderLine2"/>
    <w:link w:val="HeaderChar"/>
    <w:qFormat/>
    <w:rsid w:val="002D5406"/>
    <w:pPr>
      <w:tabs>
        <w:tab w:val="center" w:pos="4680"/>
        <w:tab w:val="right" w:pos="9360"/>
      </w:tabs>
      <w:spacing w:after="60"/>
      <w:jc w:val="center"/>
    </w:pPr>
    <w:rPr>
      <w:rFonts w:ascii="Arial Narrow" w:hAnsi="Arial Narrow" w:cs="Times New Roman Bold"/>
      <w:b/>
      <w:caps/>
      <w:sz w:val="18"/>
      <w:szCs w:val="18"/>
    </w:rPr>
  </w:style>
  <w:style w:type="paragraph" w:customStyle="1" w:styleId="HeaderLine2">
    <w:name w:val="Header Line 2"/>
    <w:basedOn w:val="Header"/>
    <w:rsid w:val="00581A08"/>
    <w:rPr>
      <w:rFonts w:ascii="Times New Roman" w:hAnsi="Times New Roman"/>
      <w:b w:val="0"/>
      <w:i/>
      <w:color w:val="808080" w:themeColor="background1" w:themeShade="80"/>
    </w:rPr>
  </w:style>
  <w:style w:type="character" w:customStyle="1" w:styleId="HeaderChar">
    <w:name w:val="Header Char"/>
    <w:basedOn w:val="DefaultParagraphFont"/>
    <w:link w:val="Header"/>
    <w:rsid w:val="002D5406"/>
    <w:rPr>
      <w:rFonts w:ascii="Arial Narrow" w:hAnsi="Arial Narrow" w:cs="Times New Roman Bold"/>
      <w:b/>
      <w:caps/>
      <w:sz w:val="18"/>
      <w:szCs w:val="18"/>
    </w:rPr>
  </w:style>
  <w:style w:type="paragraph" w:styleId="TOC1">
    <w:name w:val="toc 1"/>
    <w:basedOn w:val="Normal"/>
    <w:next w:val="BodyText"/>
    <w:uiPriority w:val="39"/>
    <w:rsid w:val="00581A08"/>
    <w:pPr>
      <w:keepNext/>
      <w:tabs>
        <w:tab w:val="left" w:pos="720"/>
        <w:tab w:val="left" w:pos="1440"/>
        <w:tab w:val="right" w:leader="dot" w:pos="9360"/>
      </w:tabs>
      <w:spacing w:before="120" w:after="0"/>
      <w:ind w:right="540"/>
    </w:pPr>
    <w:rPr>
      <w:rFonts w:ascii="Arial" w:eastAsia="Calibri" w:hAnsi="Arial" w:cs="Arial"/>
      <w:b/>
      <w:noProof/>
      <w:szCs w:val="24"/>
      <w:u w:color="7F7F7F"/>
    </w:rPr>
  </w:style>
  <w:style w:type="character" w:styleId="CommentReference">
    <w:name w:val="annotation reference"/>
    <w:basedOn w:val="DefaultParagraphFont"/>
    <w:uiPriority w:val="99"/>
    <w:qFormat/>
    <w:rsid w:val="00581A08"/>
    <w:rPr>
      <w:sz w:val="16"/>
    </w:rPr>
  </w:style>
  <w:style w:type="paragraph" w:styleId="TOC2">
    <w:name w:val="toc 2"/>
    <w:next w:val="BodyText"/>
    <w:uiPriority w:val="39"/>
    <w:rsid w:val="00581A08"/>
    <w:pPr>
      <w:tabs>
        <w:tab w:val="left" w:pos="1260"/>
        <w:tab w:val="right" w:leader="dot" w:pos="9360"/>
      </w:tabs>
      <w:spacing w:before="40"/>
      <w:ind w:left="1267" w:right="547" w:hanging="547"/>
    </w:pPr>
    <w:rPr>
      <w:rFonts w:ascii="Arial" w:hAnsi="Arial" w:cs="Arial"/>
      <w:noProof/>
      <w:sz w:val="22"/>
    </w:rPr>
  </w:style>
  <w:style w:type="paragraph" w:styleId="TOC3">
    <w:name w:val="toc 3"/>
    <w:next w:val="BodyText"/>
    <w:uiPriority w:val="39"/>
    <w:rsid w:val="00581A08"/>
    <w:pPr>
      <w:tabs>
        <w:tab w:val="left" w:pos="1980"/>
        <w:tab w:val="right" w:leader="dot" w:pos="9360"/>
      </w:tabs>
      <w:spacing w:before="20"/>
      <w:ind w:left="1987" w:right="547" w:hanging="720"/>
    </w:pPr>
    <w:rPr>
      <w:rFonts w:ascii="Arial" w:hAnsi="Arial" w:cs="Arial"/>
      <w:noProof/>
      <w:sz w:val="22"/>
    </w:rPr>
  </w:style>
  <w:style w:type="paragraph" w:styleId="TOC4">
    <w:name w:val="toc 4"/>
    <w:basedOn w:val="BodyText"/>
    <w:next w:val="BodyText"/>
    <w:link w:val="TOC4Char"/>
    <w:uiPriority w:val="39"/>
    <w:rsid w:val="00581A08"/>
    <w:pPr>
      <w:tabs>
        <w:tab w:val="right" w:leader="dot" w:pos="9360"/>
      </w:tabs>
      <w:spacing w:after="0"/>
      <w:ind w:left="1800" w:right="540"/>
    </w:pPr>
    <w:rPr>
      <w:noProof/>
    </w:rPr>
  </w:style>
  <w:style w:type="paragraph" w:styleId="TOC5">
    <w:name w:val="toc 5"/>
    <w:basedOn w:val="Normal"/>
    <w:next w:val="Normal"/>
    <w:autoRedefine/>
    <w:uiPriority w:val="39"/>
    <w:rsid w:val="00581A08"/>
    <w:pPr>
      <w:ind w:left="960"/>
    </w:pPr>
  </w:style>
  <w:style w:type="paragraph" w:styleId="TOC6">
    <w:name w:val="toc 6"/>
    <w:basedOn w:val="Normal"/>
    <w:next w:val="Normal"/>
    <w:autoRedefine/>
    <w:uiPriority w:val="39"/>
    <w:rsid w:val="00581A08"/>
    <w:pPr>
      <w:ind w:left="1200"/>
    </w:pPr>
  </w:style>
  <w:style w:type="paragraph" w:styleId="TOC7">
    <w:name w:val="toc 7"/>
    <w:basedOn w:val="Normal"/>
    <w:next w:val="Normal"/>
    <w:autoRedefine/>
    <w:uiPriority w:val="39"/>
    <w:rsid w:val="00581A08"/>
    <w:pPr>
      <w:ind w:left="1440"/>
    </w:pPr>
  </w:style>
  <w:style w:type="paragraph" w:styleId="TOC8">
    <w:name w:val="toc 8"/>
    <w:basedOn w:val="Normal"/>
    <w:next w:val="Normal"/>
    <w:autoRedefine/>
    <w:uiPriority w:val="39"/>
    <w:rsid w:val="00581A08"/>
    <w:pPr>
      <w:ind w:left="1680"/>
    </w:pPr>
  </w:style>
  <w:style w:type="paragraph" w:styleId="TOC9">
    <w:name w:val="toc 9"/>
    <w:basedOn w:val="Normal"/>
    <w:next w:val="Normal"/>
    <w:autoRedefine/>
    <w:uiPriority w:val="39"/>
    <w:rsid w:val="00581A08"/>
    <w:pPr>
      <w:ind w:left="1920"/>
    </w:pPr>
  </w:style>
  <w:style w:type="character" w:styleId="FootnoteReference">
    <w:name w:val="footnote reference"/>
    <w:aliases w:val="(NECG) Footnote Reference,16 Point,FR,FR Footnote Reference,IEE Footnote,Styl,Style 12,Style 13,Style 15,Style 17,Style 18,Style 19,Style 20,Style 7,Style 8,Style 9,Superscript 6 Point,TSD Footnote Reference,fr,fr1,fr2,fr3,o,o1,o2,o3"/>
    <w:basedOn w:val="DefaultParagraphFont"/>
    <w:uiPriority w:val="99"/>
    <w:qFormat/>
    <w:rsid w:val="00581A08"/>
    <w:rPr>
      <w:vertAlign w:val="superscript"/>
    </w:rPr>
  </w:style>
  <w:style w:type="paragraph" w:styleId="FootnoteText">
    <w:name w:val="footnote text"/>
    <w:aliases w:val=" Char, Char1, Char4,ALTS FOOTNOTE,Char1,Char11,Char2,Char3,Char4,Footnote Text - Preamble,Footnote Text - Preamble1,Footnote Text Char Char,Footnote Text Char Char Char Char,Footnote Text Char Char1,Footnote Text Char1 Char Char,f,fn,ft"/>
    <w:basedOn w:val="Normal"/>
    <w:link w:val="FootnoteTextChar"/>
    <w:uiPriority w:val="99"/>
    <w:qFormat/>
    <w:rsid w:val="00581A08"/>
    <w:pPr>
      <w:spacing w:after="120"/>
      <w:ind w:left="360" w:hanging="360"/>
    </w:pPr>
    <w:rPr>
      <w:sz w:val="20"/>
    </w:rPr>
  </w:style>
  <w:style w:type="character" w:customStyle="1" w:styleId="FootnoteTextChar">
    <w:name w:val="Footnote Text Char"/>
    <w:aliases w:val=" Char Char, Char1 Char, Char4 Char,ALTS FOOTNOTE Char,Char1 Char,Char11 Char,Char2 Char,Char3 Char,Char4 Char,Footnote Text - Preamble Char,Footnote Text - Preamble1 Char,Footnote Text Char Char Char,Footnote Text Char Char1 Char"/>
    <w:basedOn w:val="DefaultParagraphFont"/>
    <w:link w:val="FootnoteText"/>
    <w:uiPriority w:val="99"/>
    <w:qFormat/>
    <w:rsid w:val="00581A08"/>
  </w:style>
  <w:style w:type="paragraph" w:styleId="Index1">
    <w:name w:val="index 1"/>
    <w:basedOn w:val="Normal"/>
    <w:next w:val="Normal"/>
    <w:autoRedefine/>
    <w:rsid w:val="00581A08"/>
    <w:pPr>
      <w:ind w:left="220" w:hanging="220"/>
    </w:pPr>
    <w:rPr>
      <w:sz w:val="20"/>
    </w:rPr>
  </w:style>
  <w:style w:type="paragraph" w:styleId="Index2">
    <w:name w:val="index 2"/>
    <w:basedOn w:val="Normal"/>
    <w:next w:val="Normal"/>
    <w:autoRedefine/>
    <w:rsid w:val="00581A08"/>
    <w:pPr>
      <w:ind w:left="440" w:hanging="220"/>
    </w:pPr>
    <w:rPr>
      <w:sz w:val="20"/>
    </w:rPr>
  </w:style>
  <w:style w:type="paragraph" w:styleId="Index3">
    <w:name w:val="index 3"/>
    <w:basedOn w:val="Normal"/>
    <w:next w:val="Normal"/>
    <w:autoRedefine/>
    <w:rsid w:val="00581A08"/>
    <w:pPr>
      <w:ind w:left="660" w:hanging="220"/>
    </w:pPr>
    <w:rPr>
      <w:sz w:val="20"/>
    </w:rPr>
  </w:style>
  <w:style w:type="paragraph" w:customStyle="1" w:styleId="Numbers">
    <w:name w:val="Numbers"/>
    <w:basedOn w:val="BodyText"/>
    <w:rsid w:val="00581A08"/>
    <w:pPr>
      <w:numPr>
        <w:numId w:val="23"/>
      </w:numPr>
    </w:pPr>
  </w:style>
  <w:style w:type="paragraph" w:customStyle="1" w:styleId="BoxText">
    <w:name w:val="Box Text"/>
    <w:basedOn w:val="BodyText"/>
    <w:rsid w:val="00581A08"/>
    <w:rPr>
      <w:rFonts w:ascii="Arial" w:hAnsi="Arial" w:cs="Arial"/>
      <w:sz w:val="18"/>
    </w:rPr>
  </w:style>
  <w:style w:type="paragraph" w:styleId="CommentText">
    <w:name w:val="annotation text"/>
    <w:aliases w:val="Bubble Text"/>
    <w:basedOn w:val="Normal"/>
    <w:link w:val="CommentTextChar"/>
    <w:uiPriority w:val="99"/>
    <w:qFormat/>
    <w:rsid w:val="00581A08"/>
    <w:rPr>
      <w:sz w:val="20"/>
    </w:rPr>
  </w:style>
  <w:style w:type="character" w:customStyle="1" w:styleId="CommentTextChar">
    <w:name w:val="Comment Text Char"/>
    <w:aliases w:val="Bubble Text Char"/>
    <w:basedOn w:val="DefaultParagraphFont"/>
    <w:link w:val="CommentText"/>
    <w:uiPriority w:val="99"/>
    <w:rsid w:val="00AC43BF"/>
  </w:style>
  <w:style w:type="paragraph" w:styleId="CommentSubject">
    <w:name w:val="annotation subject"/>
    <w:basedOn w:val="CommentText"/>
    <w:next w:val="CommentText"/>
    <w:link w:val="CommentSubjectChar"/>
    <w:uiPriority w:val="99"/>
    <w:rsid w:val="00581A08"/>
    <w:rPr>
      <w:b/>
      <w:bCs/>
    </w:rPr>
  </w:style>
  <w:style w:type="character" w:customStyle="1" w:styleId="CommentSubjectChar">
    <w:name w:val="Comment Subject Char"/>
    <w:basedOn w:val="CommentTextChar"/>
    <w:link w:val="CommentSubject"/>
    <w:uiPriority w:val="99"/>
    <w:rsid w:val="00AC43BF"/>
    <w:rPr>
      <w:b/>
      <w:bCs/>
    </w:rPr>
  </w:style>
  <w:style w:type="paragraph" w:styleId="BalloonText">
    <w:name w:val="Balloon Text"/>
    <w:basedOn w:val="Normal"/>
    <w:link w:val="BalloonTextChar"/>
    <w:uiPriority w:val="99"/>
    <w:rsid w:val="00581A08"/>
    <w:rPr>
      <w:rFonts w:ascii="Tahoma" w:hAnsi="Tahoma" w:cs="Tahoma"/>
      <w:sz w:val="16"/>
      <w:szCs w:val="16"/>
    </w:rPr>
  </w:style>
  <w:style w:type="character" w:customStyle="1" w:styleId="BalloonTextChar">
    <w:name w:val="Balloon Text Char"/>
    <w:basedOn w:val="DefaultParagraphFont"/>
    <w:link w:val="BalloonText"/>
    <w:uiPriority w:val="99"/>
    <w:rsid w:val="00AC43BF"/>
    <w:rPr>
      <w:rFonts w:ascii="Tahoma" w:hAnsi="Tahoma" w:cs="Tahoma"/>
      <w:sz w:val="16"/>
      <w:szCs w:val="16"/>
    </w:rPr>
  </w:style>
  <w:style w:type="table" w:styleId="TableGrid">
    <w:name w:val="Table Grid"/>
    <w:aliases w:val="NTP,PTV Figure Grid,Shelley's,Table Grid-rea,Table RAD"/>
    <w:basedOn w:val="TableNormal"/>
    <w:rsid w:val="00581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81A08"/>
    <w:rPr>
      <w:color w:val="0000FF"/>
      <w:u w:val="single"/>
    </w:rPr>
  </w:style>
  <w:style w:type="paragraph" w:customStyle="1" w:styleId="TOCHeader">
    <w:name w:val="TOC Header"/>
    <w:basedOn w:val="Normal"/>
    <w:next w:val="BodyText"/>
    <w:rsid w:val="00581A08"/>
    <w:pPr>
      <w:spacing w:after="240"/>
    </w:pPr>
    <w:rPr>
      <w:rFonts w:ascii="Arial" w:hAnsi="Arial" w:cs="Arial"/>
      <w:b/>
      <w:color w:val="898D8D" w:themeColor="background2"/>
      <w:sz w:val="28"/>
      <w:szCs w:val="28"/>
      <w:lang w:val="fr-FR"/>
    </w:rPr>
  </w:style>
  <w:style w:type="paragraph" w:customStyle="1" w:styleId="VolumeHeader">
    <w:name w:val="Volume Header"/>
    <w:basedOn w:val="Normal"/>
    <w:next w:val="BodyText"/>
    <w:rsid w:val="004A7CC0"/>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uiPriority w:val="35"/>
    <w:qFormat/>
    <w:rsid w:val="00581A08"/>
    <w:pPr>
      <w:keepNext/>
      <w:tabs>
        <w:tab w:val="left" w:pos="1260"/>
      </w:tabs>
      <w:spacing w:after="120"/>
      <w:ind w:left="1267" w:hanging="1267"/>
    </w:pPr>
    <w:rPr>
      <w:rFonts w:ascii="Arial" w:hAnsi="Arial" w:eastAsiaTheme="minorHAnsi" w:cs="Arial"/>
      <w:b/>
      <w:sz w:val="20"/>
      <w:szCs w:val="22"/>
    </w:rPr>
  </w:style>
  <w:style w:type="character" w:customStyle="1" w:styleId="CaptionChar">
    <w:name w:val="Caption Char"/>
    <w:basedOn w:val="DefaultParagraphFont"/>
    <w:link w:val="Caption"/>
    <w:uiPriority w:val="35"/>
    <w:locked/>
    <w:rsid w:val="00581A08"/>
    <w:rPr>
      <w:rFonts w:ascii="Arial" w:hAnsi="Arial" w:eastAsiaTheme="minorHAnsi" w:cs="Arial"/>
      <w:b/>
      <w:szCs w:val="22"/>
    </w:rPr>
  </w:style>
  <w:style w:type="paragraph" w:customStyle="1" w:styleId="FooterLandscape">
    <w:name w:val="Footer Landscape"/>
    <w:basedOn w:val="Footer"/>
    <w:rsid w:val="00581A08"/>
    <w:pPr>
      <w:tabs>
        <w:tab w:val="clear" w:pos="4680"/>
        <w:tab w:val="center" w:pos="6480"/>
        <w:tab w:val="clear" w:pos="9360"/>
        <w:tab w:val="right" w:pos="12960"/>
      </w:tabs>
    </w:pPr>
  </w:style>
  <w:style w:type="paragraph" w:customStyle="1" w:styleId="CoverTechorBusiness">
    <w:name w:val="Cover Tech or Business"/>
    <w:basedOn w:val="Normal"/>
    <w:qFormat/>
    <w:rsid w:val="003663D1"/>
    <w:pPr>
      <w:shd w:val="solid" w:color="FFFFFF" w:fill="FFFFFF"/>
      <w:spacing w:line="276" w:lineRule="auto"/>
      <w:jc w:val="right"/>
    </w:pPr>
    <w:rPr>
      <w:rFonts w:ascii="Arial" w:hAnsi="Arial"/>
      <w:color w:val="DA291C"/>
      <w:sz w:val="20"/>
    </w:rPr>
  </w:style>
  <w:style w:type="paragraph" w:customStyle="1" w:styleId="Bullet2">
    <w:name w:val="Bullet2"/>
    <w:basedOn w:val="Normal"/>
    <w:rsid w:val="003663D1"/>
    <w:pPr>
      <w:tabs>
        <w:tab w:val="num" w:pos="720"/>
      </w:tabs>
      <w:spacing w:after="120"/>
      <w:ind w:left="720" w:hanging="360"/>
    </w:pPr>
  </w:style>
  <w:style w:type="paragraph" w:customStyle="1" w:styleId="ProposalTitle">
    <w:name w:val="Proposal Title"/>
    <w:basedOn w:val="Normal"/>
    <w:qFormat/>
    <w:rsid w:val="004A7CC0"/>
    <w:pPr>
      <w:autoSpaceDE w:val="0"/>
      <w:autoSpaceDN w:val="0"/>
      <w:adjustRightInd w:val="0"/>
      <w:ind w:left="6696" w:right="-792"/>
    </w:pPr>
    <w:rPr>
      <w:b/>
      <w:sz w:val="32"/>
      <w:szCs w:val="32"/>
    </w:rPr>
  </w:style>
  <w:style w:type="paragraph" w:customStyle="1" w:styleId="RFPNumber">
    <w:name w:val="RFP Number"/>
    <w:basedOn w:val="Normal"/>
    <w:qFormat/>
    <w:rsid w:val="003663D1"/>
    <w:pPr>
      <w:autoSpaceDE w:val="0"/>
      <w:autoSpaceDN w:val="0"/>
      <w:adjustRightInd w:val="0"/>
      <w:ind w:left="6696" w:right="-792"/>
    </w:pPr>
    <w:rPr>
      <w:sz w:val="32"/>
      <w:szCs w:val="32"/>
    </w:rPr>
  </w:style>
  <w:style w:type="paragraph" w:customStyle="1" w:styleId="CoverTextRed14pt">
    <w:name w:val="Cover Text  Red 14pt"/>
    <w:basedOn w:val="Normal"/>
    <w:rsid w:val="004A7CC0"/>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rsid w:val="004A7CC0"/>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rsid w:val="003663D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link w:val="TableTextChar"/>
    <w:qFormat/>
    <w:rsid w:val="00581A08"/>
    <w:pPr>
      <w:spacing w:before="20" w:after="20"/>
    </w:pPr>
    <w:rPr>
      <w:rFonts w:ascii="Arial Narrow" w:hAnsi="Arial Narrow"/>
      <w:sz w:val="20"/>
    </w:rPr>
  </w:style>
  <w:style w:type="character" w:customStyle="1" w:styleId="TableTextChar">
    <w:name w:val="Table Text Char"/>
    <w:link w:val="TableText"/>
    <w:rsid w:val="00AC43BF"/>
    <w:rPr>
      <w:rFonts w:ascii="Arial Narrow" w:hAnsi="Arial Narrow"/>
    </w:rPr>
  </w:style>
  <w:style w:type="paragraph" w:customStyle="1" w:styleId="TableSource">
    <w:name w:val="Table Source"/>
    <w:basedOn w:val="Normal"/>
    <w:next w:val="BodyText"/>
    <w:link w:val="TableSourceChar"/>
    <w:qFormat/>
    <w:rsid w:val="00581A08"/>
    <w:pPr>
      <w:spacing w:before="40" w:after="240"/>
      <w:contextualSpacing/>
    </w:pPr>
    <w:rPr>
      <w:rFonts w:ascii="Arial Narrow" w:hAnsi="Arial Narrow" w:cs="Arial"/>
      <w:sz w:val="18"/>
    </w:rPr>
  </w:style>
  <w:style w:type="paragraph" w:customStyle="1" w:styleId="CoverTextGreyBold">
    <w:name w:val="Cover Text Grey Bold"/>
    <w:basedOn w:val="Normal"/>
    <w:rsid w:val="004A7CC0"/>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581A08"/>
    <w:pPr>
      <w:tabs>
        <w:tab w:val="center" w:pos="4680"/>
        <w:tab w:val="right" w:pos="9360"/>
      </w:tabs>
      <w:spacing w:before="60" w:after="0"/>
      <w:jc w:val="center"/>
    </w:pPr>
    <w:rPr>
      <w:sz w:val="18"/>
    </w:rPr>
  </w:style>
  <w:style w:type="table" w:customStyle="1" w:styleId="AbtFinal">
    <w:name w:val="Abt Final"/>
    <w:basedOn w:val="TableNormal"/>
    <w:uiPriority w:val="99"/>
    <w:rsid w:val="00581A08"/>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MS PGothic" w:hAnsi="@MS PGothic"/>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MS PGothic" w:hAnsi="@MS PGothic"/>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MS PGothic" w:hAnsi="@MS PGothic"/>
        <w:sz w:val="20"/>
      </w:rPr>
    </w:tblStylePr>
    <w:tblStylePr w:type="lastCol">
      <w:rPr>
        <w:rFonts w:ascii="@MS PGothic" w:hAnsi="@MS PGothic"/>
        <w:sz w:val="20"/>
      </w:rPr>
    </w:tblStylePr>
    <w:tblStylePr w:type="band1Horz">
      <w:rPr>
        <w:rFonts w:ascii="@MS PGothic" w:hAnsi="@MS PGothic"/>
        <w:sz w:val="20"/>
      </w:rPr>
    </w:tblStylePr>
    <w:tblStylePr w:type="band2Horz">
      <w:rPr>
        <w:rFonts w:ascii="@MS PGothic" w:hAnsi="@MS PGothic"/>
        <w:sz w:val="20"/>
      </w:rPr>
    </w:tblStylePr>
  </w:style>
  <w:style w:type="paragraph" w:customStyle="1" w:styleId="Default">
    <w:name w:val="Default"/>
    <w:rsid w:val="00581A08"/>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581A08"/>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581A08"/>
    <w:rPr>
      <w:rFonts w:asciiTheme="minorHAnsi" w:eastAsiaTheme="minorHAnsi" w:hAnsiTheme="minorHAnsi" w:cstheme="minorHAnsi"/>
      <w:i/>
      <w:color w:val="FFFFFF" w:themeColor="background1"/>
      <w:sz w:val="40"/>
      <w:szCs w:val="24"/>
    </w:rPr>
  </w:style>
  <w:style w:type="paragraph" w:styleId="ListParagraph">
    <w:name w:val="List Paragraph"/>
    <w:aliases w:val="3,Bullet 1,Bullet Points,CARB_BULLETS,Colorful List - Accent 11,Dot pt,F5 List Paragraph,Indicator Text,Issue Action POC,List Paragraph Char Char Char,List Paragraph1,List Paragraph2,Numbered Para 1,POCG Table Text,Primary Bullet List"/>
    <w:basedOn w:val="Normal"/>
    <w:link w:val="ListParagraphChar"/>
    <w:uiPriority w:val="34"/>
    <w:qFormat/>
    <w:rsid w:val="00581A08"/>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3 Char,CARB_BULLETS Char,Dot pt Char,F5 List Paragraph Char,Indicator Text Char,Issue Action POC Char,List Paragraph Char Char Char Char,List Paragraph1 Char,Numbered Para 1 Char,POCG Table Text Char,Primary Bullet List Char"/>
    <w:link w:val="ListParagraph"/>
    <w:uiPriority w:val="34"/>
    <w:locked/>
    <w:rsid w:val="00581A08"/>
    <w:rPr>
      <w:rFonts w:asciiTheme="minorHAnsi" w:eastAsiaTheme="minorHAnsi" w:hAnsiTheme="minorHAnsi" w:cstheme="minorBidi"/>
      <w:sz w:val="22"/>
      <w:szCs w:val="22"/>
    </w:rPr>
  </w:style>
  <w:style w:type="paragraph" w:customStyle="1" w:styleId="Call-OutBoxHeader">
    <w:name w:val="Call-Out Box Header"/>
    <w:basedOn w:val="Call-OutBoxText"/>
    <w:next w:val="Call-OutBoxText"/>
    <w:rsid w:val="00581A08"/>
    <w:pPr>
      <w:jc w:val="center"/>
    </w:pPr>
    <w:rPr>
      <w:b/>
      <w:color w:val="48A9C5" w:themeColor="accent1"/>
    </w:rPr>
  </w:style>
  <w:style w:type="paragraph" w:customStyle="1" w:styleId="Call-OutBoxText">
    <w:name w:val="Call-Out Box Text"/>
    <w:basedOn w:val="Normal"/>
    <w:rsid w:val="00581A08"/>
    <w:pPr>
      <w:spacing w:after="120"/>
    </w:pPr>
    <w:rPr>
      <w:rFonts w:ascii="Arial Narrow" w:hAnsi="Arial Narrow" w:eastAsiaTheme="minorHAnsi" w:cs="Arial"/>
      <w:color w:val="000000" w:themeColor="text1"/>
      <w:sz w:val="20"/>
      <w:szCs w:val="22"/>
    </w:rPr>
  </w:style>
  <w:style w:type="table" w:styleId="Table3Deffects1">
    <w:name w:val="Table 3D effects 1"/>
    <w:basedOn w:val="TableNormal"/>
    <w:rsid w:val="00581A08"/>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qFormat/>
    <w:rsid w:val="002745E9"/>
    <w:pPr>
      <w:numPr>
        <w:ilvl w:val="0"/>
        <w:numId w:val="0"/>
      </w:numPr>
    </w:pPr>
    <w:rPr>
      <w:i/>
    </w:rPr>
  </w:style>
  <w:style w:type="paragraph" w:customStyle="1" w:styleId="TableBullets">
    <w:name w:val="Table Bullets"/>
    <w:basedOn w:val="TableText"/>
    <w:qFormat/>
    <w:rsid w:val="00581A08"/>
    <w:pPr>
      <w:numPr>
        <w:numId w:val="1"/>
      </w:numPr>
      <w:spacing w:after="0"/>
      <w:ind w:left="202" w:hanging="202"/>
    </w:pPr>
  </w:style>
  <w:style w:type="paragraph" w:customStyle="1" w:styleId="StaffResumeList">
    <w:name w:val="Staff Resume List"/>
    <w:basedOn w:val="BodyTextNoSpaceAfter"/>
    <w:qFormat/>
    <w:rsid w:val="003663D1"/>
    <w:pPr>
      <w:tabs>
        <w:tab w:val="left" w:pos="5040"/>
      </w:tabs>
      <w:spacing w:after="240"/>
      <w:contextualSpacing/>
    </w:pPr>
  </w:style>
  <w:style w:type="paragraph" w:customStyle="1" w:styleId="BodyTextNoSpaceAfter">
    <w:name w:val="Body Text No Space After"/>
    <w:basedOn w:val="BodyText"/>
    <w:rsid w:val="00581A08"/>
    <w:pPr>
      <w:spacing w:after="0"/>
    </w:pPr>
  </w:style>
  <w:style w:type="paragraph" w:customStyle="1" w:styleId="Heading1NoNumbering">
    <w:name w:val="Heading 1 No Numbering"/>
    <w:basedOn w:val="Heading1"/>
    <w:next w:val="BodyText"/>
    <w:qFormat/>
    <w:rsid w:val="008B756F"/>
    <w:pPr>
      <w:numPr>
        <w:numId w:val="0"/>
      </w:numPr>
    </w:pPr>
    <w:rPr>
      <w:bCs/>
    </w:rPr>
  </w:style>
  <w:style w:type="paragraph" w:customStyle="1" w:styleId="TableColumnHeader">
    <w:name w:val="Table Column Header"/>
    <w:basedOn w:val="TableText"/>
    <w:qFormat/>
    <w:rsid w:val="00581A08"/>
    <w:pPr>
      <w:jc w:val="center"/>
    </w:pPr>
    <w:rPr>
      <w:b/>
    </w:rPr>
  </w:style>
  <w:style w:type="table" w:styleId="MediumList1Accent1">
    <w:name w:val="Medium List 1 Accent 1"/>
    <w:basedOn w:val="TableNormal"/>
    <w:uiPriority w:val="65"/>
    <w:rsid w:val="00581A08"/>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3663D1"/>
  </w:style>
  <w:style w:type="paragraph" w:customStyle="1" w:styleId="PPTextBold">
    <w:name w:val="PP Text Bold"/>
    <w:basedOn w:val="PPText"/>
    <w:qFormat/>
    <w:rsid w:val="003663D1"/>
    <w:pPr>
      <w:spacing w:before="20" w:after="20"/>
    </w:pPr>
    <w:rPr>
      <w:rFonts w:eastAsia="Calibri"/>
      <w:b/>
      <w:color w:val="000000" w:themeColor="text1"/>
      <w:szCs w:val="22"/>
    </w:rPr>
  </w:style>
  <w:style w:type="paragraph" w:customStyle="1" w:styleId="PPText">
    <w:name w:val="PP Text"/>
    <w:basedOn w:val="Normal"/>
    <w:qFormat/>
    <w:rsid w:val="003663D1"/>
    <w:pPr>
      <w:spacing w:after="120"/>
    </w:pPr>
    <w:rPr>
      <w:rFonts w:ascii="Arial Narrow" w:hAnsi="Arial Narrow"/>
      <w:sz w:val="20"/>
    </w:rPr>
  </w:style>
  <w:style w:type="paragraph" w:customStyle="1" w:styleId="PPRowText">
    <w:name w:val="PP Row Text"/>
    <w:basedOn w:val="PPRowHeader"/>
    <w:qFormat/>
    <w:rsid w:val="003663D1"/>
    <w:rPr>
      <w:b w:val="0"/>
    </w:rPr>
  </w:style>
  <w:style w:type="paragraph" w:customStyle="1" w:styleId="PPTitle">
    <w:name w:val="PP Title"/>
    <w:basedOn w:val="Normal"/>
    <w:qFormat/>
    <w:rsid w:val="003663D1"/>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3663D1"/>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3663D1"/>
    <w:pPr>
      <w:spacing w:before="120"/>
    </w:pPr>
    <w:rPr>
      <w:rFonts w:eastAsia="Calibri"/>
      <w:i/>
      <w:color w:val="000000" w:themeColor="text1"/>
      <w:szCs w:val="22"/>
    </w:rPr>
  </w:style>
  <w:style w:type="paragraph" w:customStyle="1" w:styleId="Call-OutBoxBullet">
    <w:name w:val="Call-Out Box Bullet"/>
    <w:basedOn w:val="Call-OutBoxText"/>
    <w:rsid w:val="00581A08"/>
    <w:pPr>
      <w:numPr>
        <w:numId w:val="21"/>
      </w:numPr>
      <w:ind w:left="202" w:hanging="202"/>
      <w:contextualSpacing/>
    </w:pPr>
  </w:style>
  <w:style w:type="paragraph" w:customStyle="1" w:styleId="PPBullet">
    <w:name w:val="PP Bullet"/>
    <w:qFormat/>
    <w:rsid w:val="0065055C"/>
    <w:pPr>
      <w:widowControl w:val="0"/>
      <w:spacing w:after="120"/>
      <w:ind w:left="360" w:hanging="360"/>
      <w:contextualSpacing/>
    </w:pPr>
    <w:rPr>
      <w:rFonts w:ascii="Arial Narrow" w:hAnsi="Arial Narrow" w:eastAsiaTheme="minorHAnsi" w:cstheme="minorBidi"/>
      <w:szCs w:val="22"/>
    </w:rPr>
  </w:style>
  <w:style w:type="paragraph" w:customStyle="1" w:styleId="BodyTextGraphic">
    <w:name w:val="Body Text Graphic"/>
    <w:basedOn w:val="BodyText"/>
    <w:next w:val="BodyText"/>
    <w:rsid w:val="00581A08"/>
    <w:pPr>
      <w:spacing w:after="360"/>
      <w:jc w:val="center"/>
    </w:pPr>
  </w:style>
  <w:style w:type="paragraph" w:customStyle="1" w:styleId="StaffResumeHeader">
    <w:name w:val="Staff Resume Header"/>
    <w:basedOn w:val="Normal"/>
    <w:qFormat/>
    <w:rsid w:val="003663D1"/>
    <w:pPr>
      <w:pBdr>
        <w:bottom w:val="single" w:sz="4" w:space="1" w:color="auto"/>
      </w:pBdr>
      <w:spacing w:after="240"/>
    </w:pPr>
    <w:rPr>
      <w:rFonts w:ascii="Century Gothic" w:hAnsi="Century Gothic" w:eastAsiaTheme="minorHAnsi" w:cstheme="minorBidi"/>
      <w:b/>
      <w:i/>
      <w:color w:val="DA291C"/>
      <w:spacing w:val="20"/>
      <w:sz w:val="28"/>
      <w:szCs w:val="22"/>
    </w:rPr>
  </w:style>
  <w:style w:type="paragraph" w:customStyle="1" w:styleId="Heading2NoNumbering">
    <w:name w:val="Heading 2 No Numbering"/>
    <w:basedOn w:val="Heading2"/>
    <w:next w:val="BodyText"/>
    <w:qFormat/>
    <w:rsid w:val="00A30DCD"/>
    <w:pPr>
      <w:numPr>
        <w:ilvl w:val="0"/>
        <w:numId w:val="0"/>
      </w:numPr>
    </w:pPr>
  </w:style>
  <w:style w:type="paragraph" w:customStyle="1" w:styleId="TOCUnlinked">
    <w:name w:val="TOC Unlinked"/>
    <w:basedOn w:val="Normal"/>
    <w:rsid w:val="00581A08"/>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3663D1"/>
    <w:pPr>
      <w:spacing w:after="120"/>
    </w:pPr>
    <w:rPr>
      <w:rFonts w:ascii="Century Gothic" w:hAnsi="Century Gothic"/>
      <w:b/>
      <w:color w:val="48A9C5" w:themeColor="accent1"/>
      <w:szCs w:val="24"/>
    </w:rPr>
  </w:style>
  <w:style w:type="paragraph" w:customStyle="1" w:styleId="TableTextCentered">
    <w:name w:val="Table Text Centered"/>
    <w:basedOn w:val="TableText"/>
    <w:link w:val="TableTextCenteredChar"/>
    <w:qFormat/>
    <w:rsid w:val="00581A08"/>
    <w:pPr>
      <w:jc w:val="center"/>
    </w:pPr>
  </w:style>
  <w:style w:type="paragraph" w:customStyle="1" w:styleId="TableTextWhitefont">
    <w:name w:val="Table Text White font"/>
    <w:basedOn w:val="TableText"/>
    <w:qFormat/>
    <w:rsid w:val="00581A08"/>
    <w:rPr>
      <w:color w:val="FFFFFF" w:themeColor="background1"/>
    </w:rPr>
  </w:style>
  <w:style w:type="paragraph" w:customStyle="1" w:styleId="PrpCoverSheetHeading">
    <w:name w:val="Prp Cover Sheet Heading"/>
    <w:basedOn w:val="BodyTextNoSpaceAfter"/>
    <w:qFormat/>
    <w:rsid w:val="003663D1"/>
    <w:rPr>
      <w:rFonts w:ascii="Arial" w:hAnsi="Arial" w:cs="Arial"/>
      <w:b/>
    </w:rPr>
  </w:style>
  <w:style w:type="paragraph" w:styleId="Title">
    <w:name w:val="Title"/>
    <w:basedOn w:val="Normal"/>
    <w:link w:val="TitleChar"/>
    <w:qFormat/>
    <w:rsid w:val="00581A08"/>
    <w:pPr>
      <w:framePr w:hSpace="180" w:wrap="around" w:vAnchor="text" w:hAnchor="margin" w:xAlign="center" w:y="-12904"/>
      <w:spacing w:after="0"/>
      <w:contextualSpacing/>
    </w:pPr>
    <w:rPr>
      <w:rFonts w:ascii="Arial" w:hAnsi="Arial" w:eastAsiaTheme="minorHAnsi" w:cs="Arial"/>
      <w:b/>
      <w:color w:val="FFFFFF" w:themeColor="background1"/>
      <w:sz w:val="56"/>
      <w:szCs w:val="48"/>
    </w:rPr>
  </w:style>
  <w:style w:type="character" w:customStyle="1" w:styleId="TitleChar">
    <w:name w:val="Title Char"/>
    <w:basedOn w:val="DefaultParagraphFont"/>
    <w:link w:val="Title"/>
    <w:rsid w:val="00581A08"/>
    <w:rPr>
      <w:rFonts w:ascii="Arial" w:hAnsi="Arial" w:eastAsiaTheme="minorHAnsi" w:cs="Arial"/>
      <w:b/>
      <w:color w:val="FFFFFF" w:themeColor="background1"/>
      <w:sz w:val="56"/>
      <w:szCs w:val="48"/>
    </w:rPr>
  </w:style>
  <w:style w:type="paragraph" w:customStyle="1" w:styleId="BulletsLast">
    <w:name w:val="BulletsLast"/>
    <w:basedOn w:val="Bullets"/>
    <w:link w:val="BulletsLastChar"/>
    <w:rsid w:val="000343C9"/>
    <w:pPr>
      <w:spacing w:after="240"/>
    </w:pPr>
  </w:style>
  <w:style w:type="paragraph" w:customStyle="1" w:styleId="CoverDate">
    <w:name w:val="Cover Date"/>
    <w:basedOn w:val="CoverSubmitted"/>
    <w:rsid w:val="00581A08"/>
  </w:style>
  <w:style w:type="paragraph" w:customStyle="1" w:styleId="CoverSubmitted">
    <w:name w:val="Cover Submitted"/>
    <w:basedOn w:val="Normal"/>
    <w:qFormat/>
    <w:rsid w:val="00581A08"/>
    <w:pPr>
      <w:spacing w:after="240"/>
      <w:ind w:left="4680"/>
    </w:pPr>
    <w:rPr>
      <w:rFonts w:ascii="Arial" w:hAnsi="Arial"/>
      <w:b/>
      <w:bCs/>
      <w:color w:val="B7C9D3" w:themeColor="accent6"/>
      <w:sz w:val="28"/>
      <w:szCs w:val="28"/>
      <w:lang w:val="en"/>
    </w:rPr>
  </w:style>
  <w:style w:type="paragraph" w:customStyle="1" w:styleId="TableTitleAbt">
    <w:name w:val="Table Title Abt"/>
    <w:link w:val="TableTitleAbtChar"/>
    <w:uiPriority w:val="7"/>
    <w:qFormat/>
    <w:rsid w:val="0065055C"/>
    <w:pPr>
      <w:keepNext/>
      <w:widowControl w:val="0"/>
      <w:shd w:val="solid" w:color="DA291C" w:fill="DA291C"/>
    </w:pPr>
    <w:rPr>
      <w:rFonts w:ascii="Arial Bold" w:hAnsi="Arial Bold" w:eastAsiaTheme="minorHAnsi" w:cs="Arial"/>
      <w:b/>
      <w:color w:val="F0F4F6"/>
      <w:sz w:val="22"/>
      <w:szCs w:val="22"/>
      <w:shd w:val="clear" w:color="auto" w:fill="DA291C"/>
    </w:rPr>
  </w:style>
  <w:style w:type="character" w:customStyle="1" w:styleId="TableTitleAbtChar">
    <w:name w:val="Table Title Abt Char"/>
    <w:basedOn w:val="TableTitle2Char"/>
    <w:link w:val="TableTitleAbt"/>
    <w:uiPriority w:val="7"/>
    <w:rsid w:val="00AC43BF"/>
    <w:rPr>
      <w:rFonts w:ascii="Arial Bold" w:hAnsi="Arial Bold" w:eastAsiaTheme="minorHAnsi" w:cs="Arial"/>
      <w:b/>
      <w:bCs w:val="0"/>
      <w:color w:val="F0F4F6"/>
      <w:sz w:val="22"/>
      <w:szCs w:val="22"/>
      <w:shd w:val="solid" w:color="DA291C" w:fill="DA291C"/>
    </w:rPr>
  </w:style>
  <w:style w:type="paragraph" w:customStyle="1" w:styleId="CTableHeadingAbt">
    <w:name w:val="(C)Table Heading Abt"/>
    <w:link w:val="CTableHeadingAbtChar"/>
    <w:uiPriority w:val="9"/>
    <w:rsid w:val="0065055C"/>
    <w:pPr>
      <w:keepNext/>
      <w:keepLines/>
      <w:shd w:val="clear" w:color="auto" w:fill="C3C6A8"/>
      <w:jc w:val="center"/>
    </w:pPr>
    <w:rPr>
      <w:rFonts w:ascii="Arial" w:hAnsi="Arial" w:cs="Arial"/>
      <w:b/>
      <w:bCs/>
      <w:color w:val="000000"/>
      <w:szCs w:val="18"/>
    </w:rPr>
  </w:style>
  <w:style w:type="character" w:customStyle="1" w:styleId="CTableHeadingAbtChar">
    <w:name w:val="(C)Table Heading Abt Char"/>
    <w:basedOn w:val="DefaultParagraphFont"/>
    <w:link w:val="CTableHeadingAbt"/>
    <w:uiPriority w:val="9"/>
    <w:rsid w:val="00AC43BF"/>
    <w:rPr>
      <w:rFonts w:ascii="Arial" w:hAnsi="Arial" w:cs="Arial"/>
      <w:b/>
      <w:bCs/>
      <w:color w:val="000000"/>
      <w:szCs w:val="18"/>
      <w:shd w:val="clear" w:color="auto" w:fill="C3C6A8"/>
    </w:rPr>
  </w:style>
  <w:style w:type="paragraph" w:customStyle="1" w:styleId="CTableTextAbt">
    <w:name w:val="(C)Table Text Abt"/>
    <w:link w:val="CTableTextAbtChar"/>
    <w:uiPriority w:val="13"/>
    <w:qFormat/>
    <w:rsid w:val="0065055C"/>
    <w:pPr>
      <w:jc w:val="center"/>
    </w:pPr>
    <w:rPr>
      <w:rFonts w:eastAsiaTheme="minorHAnsi"/>
      <w:bCs/>
      <w:color w:val="000000"/>
      <w:sz w:val="18"/>
    </w:rPr>
  </w:style>
  <w:style w:type="character" w:customStyle="1" w:styleId="CTableTextAbtChar">
    <w:name w:val="(C)Table Text Abt Char"/>
    <w:basedOn w:val="DefaultParagraphFont"/>
    <w:link w:val="CTableTextAbt"/>
    <w:uiPriority w:val="13"/>
    <w:rsid w:val="004A7CC0"/>
    <w:rPr>
      <w:rFonts w:eastAsiaTheme="minorHAnsi"/>
      <w:bCs/>
      <w:color w:val="000000"/>
      <w:sz w:val="18"/>
    </w:rPr>
  </w:style>
  <w:style w:type="paragraph" w:customStyle="1" w:styleId="NumberedListAbt">
    <w:name w:val="Numbered List Abt"/>
    <w:link w:val="NumberedListAbtChar"/>
    <w:uiPriority w:val="31"/>
    <w:qFormat/>
    <w:rsid w:val="0065055C"/>
    <w:pPr>
      <w:keepNext/>
      <w:numPr>
        <w:numId w:val="13"/>
      </w:numPr>
      <w:spacing w:after="120"/>
    </w:pPr>
    <w:rPr>
      <w:sz w:val="22"/>
    </w:rPr>
  </w:style>
  <w:style w:type="paragraph" w:customStyle="1" w:styleId="TableNotesAbt">
    <w:name w:val="Table Notes Abt"/>
    <w:basedOn w:val="TableSource"/>
    <w:uiPriority w:val="17"/>
    <w:qFormat/>
    <w:rsid w:val="0074426E"/>
  </w:style>
  <w:style w:type="paragraph" w:customStyle="1" w:styleId="EndNoteBibliographyTitle">
    <w:name w:val="EndNote Bibliography Title"/>
    <w:basedOn w:val="Normal"/>
    <w:link w:val="EndNoteBibliographyTitleChar"/>
    <w:rsid w:val="00AC43BF"/>
    <w:pPr>
      <w:jc w:val="center"/>
    </w:pPr>
    <w:rPr>
      <w:noProof/>
      <w:color w:val="000000" w:themeColor="text1"/>
    </w:rPr>
  </w:style>
  <w:style w:type="character" w:customStyle="1" w:styleId="EndNoteBibliographyTitleChar">
    <w:name w:val="EndNote Bibliography Title Char"/>
    <w:basedOn w:val="BodyTextChar"/>
    <w:link w:val="EndNoteBibliographyTitle"/>
    <w:rsid w:val="00AC43BF"/>
    <w:rPr>
      <w:noProof/>
      <w:color w:val="000000" w:themeColor="text1"/>
      <w:sz w:val="22"/>
      <w:szCs w:val="22"/>
      <w:lang w:val="en"/>
    </w:rPr>
  </w:style>
  <w:style w:type="paragraph" w:customStyle="1" w:styleId="EndNoteBibliography">
    <w:name w:val="EndNote Bibliography"/>
    <w:basedOn w:val="Normal"/>
    <w:link w:val="EndNoteBibliographyChar"/>
    <w:qFormat/>
    <w:rsid w:val="00AC43BF"/>
    <w:rPr>
      <w:noProof/>
      <w:color w:val="000000" w:themeColor="text1"/>
    </w:rPr>
  </w:style>
  <w:style w:type="character" w:customStyle="1" w:styleId="EndNoteBibliographyChar">
    <w:name w:val="EndNote Bibliography Char"/>
    <w:basedOn w:val="BodyTextChar"/>
    <w:link w:val="EndNoteBibliography"/>
    <w:rsid w:val="00AC43BF"/>
    <w:rPr>
      <w:noProof/>
      <w:color w:val="000000" w:themeColor="text1"/>
      <w:sz w:val="22"/>
      <w:szCs w:val="22"/>
      <w:lang w:val="en"/>
    </w:rPr>
  </w:style>
  <w:style w:type="character" w:styleId="PlaceholderText">
    <w:name w:val="Placeholder Text"/>
    <w:basedOn w:val="DefaultParagraphFont"/>
    <w:uiPriority w:val="99"/>
    <w:rsid w:val="00AC43BF"/>
    <w:rPr>
      <w:color w:val="808080"/>
    </w:rPr>
  </w:style>
  <w:style w:type="paragraph" w:styleId="Revision">
    <w:name w:val="Revision"/>
    <w:hidden/>
    <w:uiPriority w:val="99"/>
    <w:semiHidden/>
    <w:rsid w:val="0065055C"/>
    <w:rPr>
      <w:sz w:val="22"/>
    </w:rPr>
  </w:style>
  <w:style w:type="paragraph" w:styleId="NoSpacing">
    <w:name w:val="No Spacing"/>
    <w:uiPriority w:val="1"/>
    <w:qFormat/>
    <w:rsid w:val="0065055C"/>
    <w:rPr>
      <w:sz w:val="22"/>
    </w:rPr>
  </w:style>
  <w:style w:type="character" w:customStyle="1" w:styleId="st1">
    <w:name w:val="st1"/>
    <w:basedOn w:val="DefaultParagraphFont"/>
    <w:rsid w:val="00883238"/>
  </w:style>
  <w:style w:type="paragraph" w:customStyle="1" w:styleId="CoverTextRed16pt">
    <w:name w:val="Cover Text  Red 16pt"/>
    <w:basedOn w:val="Normal"/>
    <w:uiPriority w:val="25"/>
    <w:qFormat/>
    <w:rsid w:val="00AC43BF"/>
    <w:pPr>
      <w:tabs>
        <w:tab w:val="left" w:pos="720"/>
        <w:tab w:val="left" w:pos="1080"/>
        <w:tab w:val="left" w:pos="1440"/>
        <w:tab w:val="left" w:pos="1800"/>
        <w:tab w:val="left" w:pos="6660"/>
      </w:tabs>
      <w:ind w:left="6490" w:right="-540"/>
      <w:jc w:val="right"/>
    </w:pPr>
    <w:rPr>
      <w:rFonts w:ascii="Arial" w:hAnsi="Arial"/>
      <w:b/>
      <w:color w:val="DA291C"/>
      <w:sz w:val="32"/>
      <w:szCs w:val="32"/>
    </w:rPr>
  </w:style>
  <w:style w:type="paragraph" w:customStyle="1" w:styleId="ExhibitSource">
    <w:name w:val="Exhibit Source"/>
    <w:basedOn w:val="Normal"/>
    <w:uiPriority w:val="49"/>
    <w:rsid w:val="00AC43BF"/>
    <w:pPr>
      <w:spacing w:before="120"/>
    </w:pPr>
    <w:rPr>
      <w:rFonts w:ascii="Arial" w:hAnsi="Arial" w:cs="Arial"/>
      <w:sz w:val="18"/>
    </w:rPr>
  </w:style>
  <w:style w:type="paragraph" w:customStyle="1" w:styleId="ExhibitText">
    <w:name w:val="Exhibit Text"/>
    <w:basedOn w:val="LTableTextAbt"/>
    <w:link w:val="ExhibitTextChar"/>
    <w:rsid w:val="0065055C"/>
    <w:rPr>
      <w:rFonts w:eastAsia="Times New Roman"/>
    </w:rPr>
  </w:style>
  <w:style w:type="paragraph" w:customStyle="1" w:styleId="ExhibitColumnHeader">
    <w:name w:val="Exhibit Column Header"/>
    <w:basedOn w:val="Normal"/>
    <w:rsid w:val="00AC43BF"/>
    <w:pPr>
      <w:spacing w:before="20" w:after="20"/>
      <w:jc w:val="center"/>
    </w:pPr>
    <w:rPr>
      <w:rFonts w:ascii="Arial" w:hAnsi="Arial" w:cs="Arial"/>
      <w:b/>
      <w:color w:val="000000" w:themeColor="text1"/>
      <w:sz w:val="20"/>
    </w:rPr>
  </w:style>
  <w:style w:type="paragraph" w:customStyle="1" w:styleId="TableTitle">
    <w:name w:val="Table Title"/>
    <w:basedOn w:val="Normal"/>
    <w:next w:val="Normal"/>
    <w:link w:val="TableTitleChar"/>
    <w:qFormat/>
    <w:rsid w:val="004A7CC0"/>
    <w:pPr>
      <w:keepNext/>
      <w:keepLines/>
      <w:spacing w:after="120"/>
    </w:pPr>
    <w:rPr>
      <w:rFonts w:ascii="Arial Bold" w:hAnsi="Arial Bold"/>
      <w:sz w:val="20"/>
      <w:szCs w:val="24"/>
    </w:rPr>
  </w:style>
  <w:style w:type="character" w:customStyle="1" w:styleId="TableTitleChar">
    <w:name w:val="Table Title Char"/>
    <w:link w:val="TableTitle"/>
    <w:rsid w:val="004A7CC0"/>
    <w:rPr>
      <w:rFonts w:ascii="Arial Bold" w:hAnsi="Arial Bold"/>
      <w:szCs w:val="24"/>
    </w:rPr>
  </w:style>
  <w:style w:type="paragraph" w:styleId="Quote">
    <w:name w:val="Quote"/>
    <w:basedOn w:val="Normal"/>
    <w:next w:val="Normal"/>
    <w:link w:val="QuoteChar"/>
    <w:uiPriority w:val="29"/>
    <w:qFormat/>
    <w:rsid w:val="00AC43BF"/>
    <w:pPr>
      <w:ind w:left="360" w:right="360"/>
    </w:pPr>
    <w:rPr>
      <w:iCs/>
      <w:color w:val="000000" w:themeColor="text1"/>
      <w:sz w:val="18"/>
    </w:rPr>
  </w:style>
  <w:style w:type="character" w:customStyle="1" w:styleId="QuoteChar">
    <w:name w:val="Quote Char"/>
    <w:basedOn w:val="DefaultParagraphFont"/>
    <w:link w:val="Quote"/>
    <w:uiPriority w:val="29"/>
    <w:rsid w:val="00AC43BF"/>
    <w:rPr>
      <w:iCs/>
      <w:color w:val="000000" w:themeColor="text1"/>
      <w:sz w:val="18"/>
    </w:rPr>
  </w:style>
  <w:style w:type="paragraph" w:customStyle="1" w:styleId="AbtHeadA">
    <w:name w:val="AbtHead A"/>
    <w:basedOn w:val="Normal"/>
    <w:next w:val="BodyText"/>
    <w:uiPriority w:val="99"/>
    <w:locked/>
    <w:rsid w:val="00AC43BF"/>
    <w:pPr>
      <w:keepNext/>
      <w:keepLines/>
      <w:tabs>
        <w:tab w:val="left" w:pos="360"/>
        <w:tab w:val="left" w:pos="720"/>
        <w:tab w:val="left" w:pos="1440"/>
      </w:tabs>
      <w:spacing w:after="360"/>
      <w:outlineLvl w:val="0"/>
    </w:pPr>
    <w:rPr>
      <w:rFonts w:ascii="Arial" w:hAnsi="Arial"/>
      <w:b/>
      <w:sz w:val="36"/>
    </w:rPr>
  </w:style>
  <w:style w:type="paragraph" w:customStyle="1" w:styleId="AbtHeadB">
    <w:name w:val="AbtHead B"/>
    <w:basedOn w:val="Normal"/>
    <w:next w:val="BodyText"/>
    <w:uiPriority w:val="99"/>
    <w:locked/>
    <w:rsid w:val="00AC43BF"/>
    <w:pPr>
      <w:keepNext/>
      <w:keepLines/>
      <w:tabs>
        <w:tab w:val="left" w:pos="360"/>
        <w:tab w:val="left" w:pos="720"/>
        <w:tab w:val="left" w:pos="1440"/>
      </w:tabs>
      <w:spacing w:after="280"/>
      <w:outlineLvl w:val="1"/>
    </w:pPr>
    <w:rPr>
      <w:rFonts w:ascii="Arial" w:hAnsi="Arial"/>
      <w:b/>
      <w:sz w:val="28"/>
    </w:rPr>
  </w:style>
  <w:style w:type="paragraph" w:customStyle="1" w:styleId="AbtHeadC">
    <w:name w:val="AbtHead C"/>
    <w:basedOn w:val="Normal"/>
    <w:next w:val="BodyText"/>
    <w:uiPriority w:val="99"/>
    <w:locked/>
    <w:rsid w:val="00AC43BF"/>
    <w:pPr>
      <w:keepNext/>
      <w:keepLines/>
      <w:tabs>
        <w:tab w:val="left" w:pos="360"/>
        <w:tab w:val="left" w:pos="720"/>
        <w:tab w:val="left" w:pos="1440"/>
      </w:tabs>
      <w:spacing w:after="240"/>
      <w:outlineLvl w:val="2"/>
    </w:pPr>
    <w:rPr>
      <w:rFonts w:ascii="Arial" w:hAnsi="Arial"/>
      <w:b/>
      <w:sz w:val="20"/>
    </w:rPr>
  </w:style>
  <w:style w:type="paragraph" w:customStyle="1" w:styleId="AbtHeadD">
    <w:name w:val="AbtHead D"/>
    <w:basedOn w:val="Normal"/>
    <w:next w:val="BodyText"/>
    <w:uiPriority w:val="99"/>
    <w:locked/>
    <w:rsid w:val="00AC43BF"/>
    <w:pPr>
      <w:keepNext/>
      <w:keepLines/>
      <w:tabs>
        <w:tab w:val="left" w:pos="360"/>
        <w:tab w:val="left" w:pos="720"/>
        <w:tab w:val="left" w:pos="1440"/>
      </w:tabs>
      <w:outlineLvl w:val="3"/>
    </w:pPr>
    <w:rPr>
      <w:b/>
      <w:i/>
    </w:rPr>
  </w:style>
  <w:style w:type="paragraph" w:customStyle="1" w:styleId="Table">
    <w:name w:val="Table"/>
    <w:basedOn w:val="Normal"/>
    <w:uiPriority w:val="99"/>
    <w:locked/>
    <w:rsid w:val="00AC43BF"/>
    <w:pPr>
      <w:tabs>
        <w:tab w:val="left" w:pos="360"/>
        <w:tab w:val="left" w:pos="720"/>
        <w:tab w:val="left" w:pos="1440"/>
      </w:tabs>
      <w:spacing w:before="120" w:after="120"/>
    </w:pPr>
    <w:rPr>
      <w:sz w:val="20"/>
    </w:rPr>
  </w:style>
  <w:style w:type="paragraph" w:customStyle="1" w:styleId="LTableTextAbt">
    <w:name w:val="(L)Table Text Abt"/>
    <w:link w:val="LTableTextAbtChar"/>
    <w:uiPriority w:val="12"/>
    <w:qFormat/>
    <w:rsid w:val="0065055C"/>
    <w:pPr>
      <w:keepNext/>
      <w:keepLines/>
      <w:spacing w:before="20" w:after="20"/>
    </w:pPr>
    <w:rPr>
      <w:rFonts w:eastAsiaTheme="minorHAnsi"/>
      <w:bCs/>
      <w:color w:val="000000"/>
      <w:sz w:val="18"/>
    </w:rPr>
  </w:style>
  <w:style w:type="character" w:customStyle="1" w:styleId="LTableTextAbtChar">
    <w:name w:val="(L)Table Text Abt Char"/>
    <w:link w:val="LTableTextAbt"/>
    <w:uiPriority w:val="12"/>
    <w:rsid w:val="004A7CC0"/>
    <w:rPr>
      <w:rFonts w:eastAsiaTheme="minorHAnsi"/>
      <w:bCs/>
      <w:color w:val="000000"/>
      <w:sz w:val="18"/>
    </w:rPr>
  </w:style>
  <w:style w:type="paragraph" w:customStyle="1" w:styleId="StyleTableBold">
    <w:name w:val="Style Table + Bold"/>
    <w:basedOn w:val="Table"/>
    <w:uiPriority w:val="99"/>
    <w:locked/>
    <w:rsid w:val="00AC43BF"/>
    <w:rPr>
      <w:b/>
      <w:bCs/>
      <w:sz w:val="22"/>
    </w:rPr>
  </w:style>
  <w:style w:type="paragraph" w:customStyle="1" w:styleId="StyleTableArialBold">
    <w:name w:val="Style Table + Arial Bold"/>
    <w:basedOn w:val="Table"/>
    <w:uiPriority w:val="99"/>
    <w:locked/>
    <w:rsid w:val="00AC43BF"/>
    <w:rPr>
      <w:b/>
      <w:bCs/>
    </w:rPr>
  </w:style>
  <w:style w:type="table" w:customStyle="1" w:styleId="AbtERDTable">
    <w:name w:val="Abt ERD Table"/>
    <w:basedOn w:val="TableNormal"/>
    <w:uiPriority w:val="99"/>
    <w:rsid w:val="00AC43BF"/>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FFFFFF" w:themeColor="background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A291C"/>
      </w:tcPr>
    </w:tblStylePr>
  </w:style>
  <w:style w:type="paragraph" w:customStyle="1" w:styleId="RTableTextAbt">
    <w:name w:val="(R) Table Text Abt"/>
    <w:link w:val="RTableTextAbtChar"/>
    <w:uiPriority w:val="14"/>
    <w:qFormat/>
    <w:rsid w:val="0065055C"/>
    <w:pPr>
      <w:jc w:val="right"/>
    </w:pPr>
    <w:rPr>
      <w:rFonts w:eastAsiaTheme="minorHAnsi"/>
      <w:bCs/>
      <w:color w:val="000000"/>
      <w:sz w:val="18"/>
    </w:rPr>
  </w:style>
  <w:style w:type="character" w:customStyle="1" w:styleId="RTableTextAbtChar">
    <w:name w:val="(R) Table Text Abt Char"/>
    <w:basedOn w:val="LTableTextAbtChar"/>
    <w:link w:val="RTableTextAbt"/>
    <w:uiPriority w:val="14"/>
    <w:rsid w:val="004A7CC0"/>
    <w:rPr>
      <w:rFonts w:eastAsiaTheme="minorHAnsi"/>
      <w:bCs/>
      <w:color w:val="000000"/>
      <w:sz w:val="18"/>
    </w:rPr>
  </w:style>
  <w:style w:type="paragraph" w:customStyle="1" w:styleId="ReportTitle-TOCPage">
    <w:name w:val="Report Title - TOC Page"/>
    <w:basedOn w:val="Normal"/>
    <w:next w:val="BodyText"/>
    <w:uiPriority w:val="99"/>
    <w:locked/>
    <w:rsid w:val="00AC43BF"/>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customStyle="1" w:styleId="Note">
    <w:name w:val="Note"/>
    <w:basedOn w:val="Normal"/>
    <w:link w:val="NoteChar"/>
    <w:uiPriority w:val="49"/>
    <w:qFormat/>
    <w:locked/>
    <w:rsid w:val="00AC43BF"/>
    <w:pPr>
      <w:spacing w:before="80"/>
      <w:ind w:left="86" w:hanging="86"/>
    </w:pPr>
    <w:rPr>
      <w:rFonts w:ascii="Arial" w:hAnsi="Arial" w:cs="Arial"/>
      <w:color w:val="000000"/>
      <w:sz w:val="16"/>
      <w:szCs w:val="18"/>
    </w:rPr>
  </w:style>
  <w:style w:type="paragraph" w:customStyle="1" w:styleId="TableTitle2">
    <w:name w:val="Table Title2"/>
    <w:basedOn w:val="Normal"/>
    <w:link w:val="TableTitle2Char"/>
    <w:uiPriority w:val="99"/>
    <w:locked/>
    <w:rsid w:val="00AC43BF"/>
    <w:pPr>
      <w:spacing w:before="20" w:after="20"/>
    </w:pPr>
    <w:rPr>
      <w:rFonts w:ascii="Arial" w:hAnsi="Arial" w:cs="Arial"/>
      <w:b/>
      <w:bCs/>
      <w:color w:val="F0F4F6"/>
      <w:szCs w:val="22"/>
    </w:rPr>
  </w:style>
  <w:style w:type="character" w:customStyle="1" w:styleId="NoteChar">
    <w:name w:val="Note Char"/>
    <w:basedOn w:val="DefaultParagraphFont"/>
    <w:link w:val="Note"/>
    <w:uiPriority w:val="49"/>
    <w:rsid w:val="00AC43BF"/>
    <w:rPr>
      <w:rFonts w:ascii="Arial" w:hAnsi="Arial" w:cs="Arial"/>
      <w:color w:val="000000"/>
      <w:sz w:val="16"/>
      <w:szCs w:val="18"/>
    </w:rPr>
  </w:style>
  <w:style w:type="character" w:customStyle="1" w:styleId="TableTitle2Char">
    <w:name w:val="Table Title2 Char"/>
    <w:basedOn w:val="DefaultParagraphFont"/>
    <w:link w:val="TableTitle2"/>
    <w:uiPriority w:val="99"/>
    <w:rsid w:val="00AC43BF"/>
    <w:rPr>
      <w:rFonts w:ascii="Arial" w:hAnsi="Arial" w:cs="Arial"/>
      <w:b/>
      <w:bCs/>
      <w:color w:val="F0F4F6"/>
      <w:sz w:val="22"/>
      <w:szCs w:val="22"/>
    </w:rPr>
  </w:style>
  <w:style w:type="paragraph" w:customStyle="1" w:styleId="DisclaimerText">
    <w:name w:val="Disclaimer Text"/>
    <w:basedOn w:val="Normal"/>
    <w:uiPriority w:val="49"/>
    <w:locked/>
    <w:rsid w:val="00AC43BF"/>
    <w:rPr>
      <w:sz w:val="18"/>
      <w:szCs w:val="18"/>
    </w:rPr>
  </w:style>
  <w:style w:type="character" w:styleId="Strong">
    <w:name w:val="Strong"/>
    <w:basedOn w:val="DefaultParagraphFont"/>
    <w:uiPriority w:val="22"/>
    <w:qFormat/>
    <w:rsid w:val="00AC43BF"/>
    <w:rPr>
      <w:b/>
      <w:bCs/>
    </w:rPr>
  </w:style>
  <w:style w:type="character" w:styleId="Emphasis">
    <w:name w:val="Emphasis"/>
    <w:basedOn w:val="DefaultParagraphFont"/>
    <w:uiPriority w:val="20"/>
    <w:qFormat/>
    <w:rsid w:val="00AC43BF"/>
    <w:rPr>
      <w:i/>
      <w:iCs/>
    </w:rPr>
  </w:style>
  <w:style w:type="paragraph" w:styleId="TOCHeading">
    <w:name w:val="TOC Heading"/>
    <w:basedOn w:val="Heading1"/>
    <w:next w:val="Normal"/>
    <w:uiPriority w:val="39"/>
    <w:qFormat/>
    <w:rsid w:val="00AC43BF"/>
    <w:pPr>
      <w:keepNext/>
      <w:keepLines/>
      <w:numPr>
        <w:numId w:val="0"/>
      </w:numPr>
      <w:spacing w:before="480" w:after="0" w:line="276" w:lineRule="auto"/>
      <w:outlineLvl w:val="9"/>
    </w:pPr>
    <w:rPr>
      <w:rFonts w:asciiTheme="majorHAnsi" w:eastAsiaTheme="majorEastAsia" w:hAnsiTheme="majorHAnsi" w:cstheme="majorBidi"/>
      <w:bCs/>
      <w:color w:val="308198" w:themeColor="accent1" w:themeShade="BF"/>
      <w:szCs w:val="28"/>
      <w:lang w:eastAsia="ja-JP"/>
    </w:rPr>
  </w:style>
  <w:style w:type="paragraph" w:customStyle="1" w:styleId="AppendixHead1">
    <w:name w:val="Appendix Head1"/>
    <w:basedOn w:val="Heading1"/>
    <w:next w:val="BodyText"/>
    <w:link w:val="AppendixHead1Char"/>
    <w:uiPriority w:val="99"/>
    <w:locked/>
    <w:rsid w:val="00AC43BF"/>
  </w:style>
  <w:style w:type="paragraph" w:styleId="BlockText">
    <w:name w:val="Block Text"/>
    <w:basedOn w:val="Normal"/>
    <w:uiPriority w:val="99"/>
    <w:rsid w:val="00AC43BF"/>
    <w:pPr>
      <w:pBdr>
        <w:top w:val="single" w:sz="2" w:space="10" w:color="48A9C5" w:themeColor="accent1" w:shadow="1" w:frame="1"/>
        <w:left w:val="single" w:sz="2" w:space="10" w:color="48A9C5" w:themeColor="accent1" w:shadow="1" w:frame="1"/>
        <w:bottom w:val="single" w:sz="2" w:space="10" w:color="48A9C5" w:themeColor="accent1" w:shadow="1" w:frame="1"/>
        <w:right w:val="single" w:sz="2" w:space="10" w:color="48A9C5" w:themeColor="accent1" w:shadow="1" w:frame="1"/>
      </w:pBdr>
      <w:ind w:left="1152" w:right="1152"/>
    </w:pPr>
    <w:rPr>
      <w:rFonts w:asciiTheme="minorHAnsi" w:eastAsiaTheme="minorEastAsia" w:hAnsiTheme="minorHAnsi" w:cstheme="minorBidi"/>
      <w:i/>
      <w:iCs/>
      <w:color w:val="48A9C5" w:themeColor="accent1"/>
    </w:rPr>
  </w:style>
  <w:style w:type="character" w:customStyle="1" w:styleId="AppendixHead1Char">
    <w:name w:val="Appendix Head1 Char"/>
    <w:basedOn w:val="Heading1Char"/>
    <w:link w:val="AppendixHead1"/>
    <w:uiPriority w:val="99"/>
    <w:rsid w:val="00AC43BF"/>
    <w:rPr>
      <w:rFonts w:ascii="Arial" w:hAnsi="Arial" w:eastAsiaTheme="minorHAnsi" w:cs="Arial"/>
      <w:b/>
      <w:color w:val="BB2127"/>
      <w:spacing w:val="20"/>
      <w:sz w:val="32"/>
      <w:szCs w:val="22"/>
    </w:rPr>
  </w:style>
  <w:style w:type="character" w:styleId="SubtleEmphasis">
    <w:name w:val="Subtle Emphasis"/>
    <w:basedOn w:val="DefaultParagraphFont"/>
    <w:uiPriority w:val="49"/>
    <w:qFormat/>
    <w:rsid w:val="00AC43BF"/>
    <w:rPr>
      <w:i/>
      <w:iCs/>
      <w:color w:val="808080" w:themeColor="text1" w:themeTint="7F"/>
    </w:rPr>
  </w:style>
  <w:style w:type="character" w:styleId="FollowedHyperlink">
    <w:name w:val="FollowedHyperlink"/>
    <w:basedOn w:val="DefaultParagraphFont"/>
    <w:uiPriority w:val="99"/>
    <w:rsid w:val="00AC43BF"/>
    <w:rPr>
      <w:color w:val="800080" w:themeColor="followedHyperlink"/>
      <w:u w:val="single"/>
    </w:rPr>
  </w:style>
  <w:style w:type="paragraph" w:styleId="TableofFigures">
    <w:name w:val="table of figures"/>
    <w:basedOn w:val="Normal"/>
    <w:next w:val="Normal"/>
    <w:uiPriority w:val="99"/>
    <w:unhideWhenUsed/>
    <w:rsid w:val="00581A08"/>
    <w:pPr>
      <w:tabs>
        <w:tab w:val="left" w:pos="1267"/>
        <w:tab w:val="right" w:leader="dot" w:pos="9350"/>
      </w:tabs>
      <w:spacing w:after="60"/>
    </w:pPr>
    <w:rPr>
      <w:rFonts w:ascii="Arial" w:hAnsi="Arial"/>
      <w:noProof/>
    </w:rPr>
  </w:style>
  <w:style w:type="paragraph" w:customStyle="1" w:styleId="FooterHead">
    <w:name w:val="Footer Head"/>
    <w:link w:val="FooterHeadChar"/>
    <w:uiPriority w:val="29"/>
    <w:rsid w:val="0065055C"/>
    <w:rPr>
      <w:rFonts w:ascii="Arial Bold" w:hAnsi="Arial Bold"/>
      <w:b/>
      <w:color w:val="000000" w:themeColor="text1"/>
      <w:sz w:val="22"/>
      <w:lang w:val="en"/>
    </w:rPr>
  </w:style>
  <w:style w:type="paragraph" w:customStyle="1" w:styleId="FooterFont">
    <w:name w:val="Footer Font"/>
    <w:basedOn w:val="FooterHead"/>
    <w:link w:val="FooterFontChar"/>
    <w:uiPriority w:val="28"/>
    <w:rsid w:val="00AC43BF"/>
  </w:style>
  <w:style w:type="character" w:customStyle="1" w:styleId="FooterHeadChar">
    <w:name w:val="Footer Head Char"/>
    <w:basedOn w:val="BodyTextChar"/>
    <w:link w:val="FooterHead"/>
    <w:uiPriority w:val="29"/>
    <w:rsid w:val="00AC43BF"/>
    <w:rPr>
      <w:rFonts w:ascii="Arial Bold" w:hAnsi="Arial Bold"/>
      <w:b/>
      <w:color w:val="000000" w:themeColor="text1"/>
      <w:sz w:val="22"/>
      <w:szCs w:val="22"/>
      <w:lang w:val="en"/>
    </w:rPr>
  </w:style>
  <w:style w:type="character" w:customStyle="1" w:styleId="FooterFontChar">
    <w:name w:val="Footer Font Char"/>
    <w:basedOn w:val="FooterHeadChar"/>
    <w:link w:val="FooterFont"/>
    <w:uiPriority w:val="28"/>
    <w:rsid w:val="00AC43BF"/>
    <w:rPr>
      <w:rFonts w:ascii="Arial Bold" w:hAnsi="Arial Bold"/>
      <w:b/>
      <w:color w:val="000000" w:themeColor="text1"/>
      <w:sz w:val="22"/>
      <w:szCs w:val="22"/>
      <w:lang w:val="en"/>
    </w:rPr>
  </w:style>
  <w:style w:type="paragraph" w:customStyle="1" w:styleId="TableTitle5">
    <w:name w:val="Table Title5"/>
    <w:basedOn w:val="Normal"/>
    <w:next w:val="Normal"/>
    <w:link w:val="TableTitle5Char"/>
    <w:locked/>
    <w:rsid w:val="00AC43BF"/>
    <w:pPr>
      <w:keepNext/>
      <w:keepLines/>
    </w:pPr>
    <w:rPr>
      <w:rFonts w:ascii="Arial Bold" w:hAnsi="Arial Bold"/>
      <w:color w:val="FFFFFF" w:themeColor="background1"/>
      <w:sz w:val="20"/>
      <w:szCs w:val="22"/>
    </w:rPr>
  </w:style>
  <w:style w:type="paragraph" w:customStyle="1" w:styleId="LTableHeadingAbt">
    <w:name w:val="(L)Table Heading Abt"/>
    <w:link w:val="LTableHeadingAbtChar"/>
    <w:uiPriority w:val="8"/>
    <w:rsid w:val="0065055C"/>
    <w:pPr>
      <w:keepNext/>
      <w:keepLines/>
      <w:shd w:val="clear" w:color="auto" w:fill="C3C6A8"/>
    </w:pPr>
    <w:rPr>
      <w:rFonts w:ascii="Arial" w:hAnsi="Arial" w:cs="Arial"/>
      <w:b/>
      <w:bCs/>
      <w:color w:val="000000"/>
      <w:szCs w:val="18"/>
    </w:rPr>
  </w:style>
  <w:style w:type="character" w:customStyle="1" w:styleId="LTableHeadingAbtChar">
    <w:name w:val="(L)Table Heading Abt Char"/>
    <w:basedOn w:val="DefaultParagraphFont"/>
    <w:link w:val="LTableHeadingAbt"/>
    <w:uiPriority w:val="8"/>
    <w:rsid w:val="00AC43BF"/>
    <w:rPr>
      <w:rFonts w:ascii="Arial" w:hAnsi="Arial" w:cs="Arial"/>
      <w:b/>
      <w:bCs/>
      <w:color w:val="000000"/>
      <w:szCs w:val="18"/>
      <w:shd w:val="clear" w:color="auto" w:fill="C3C6A8"/>
    </w:rPr>
  </w:style>
  <w:style w:type="paragraph" w:customStyle="1" w:styleId="ExecSumHeading1Abt">
    <w:name w:val="Exec Sum Heading 1 Abt"/>
    <w:basedOn w:val="Heading1"/>
    <w:next w:val="BodyText"/>
    <w:link w:val="ExecSumHeading1AbtChar"/>
    <w:uiPriority w:val="19"/>
    <w:rsid w:val="00AC43BF"/>
    <w:pPr>
      <w:numPr>
        <w:numId w:val="0"/>
      </w:numPr>
    </w:pPr>
  </w:style>
  <w:style w:type="character" w:customStyle="1" w:styleId="ExecSumHeading1AbtChar">
    <w:name w:val="Exec Sum Heading 1 Abt Char"/>
    <w:basedOn w:val="Heading1Char"/>
    <w:link w:val="ExecSumHeading1Abt"/>
    <w:uiPriority w:val="19"/>
    <w:rsid w:val="00AC43BF"/>
    <w:rPr>
      <w:rFonts w:ascii="Arial" w:hAnsi="Arial" w:eastAsiaTheme="minorHAnsi" w:cs="Arial"/>
      <w:b/>
      <w:noProof/>
      <w:color w:val="DA291C" w:themeColor="text2"/>
      <w:spacing w:val="20"/>
      <w:sz w:val="28"/>
      <w:szCs w:val="22"/>
    </w:rPr>
  </w:style>
  <w:style w:type="paragraph" w:customStyle="1" w:styleId="TableTitle20">
    <w:name w:val="Table Title 2"/>
    <w:basedOn w:val="Normal"/>
    <w:next w:val="Normal"/>
    <w:link w:val="TableTitle2Char0"/>
    <w:uiPriority w:val="99"/>
    <w:rsid w:val="00AC43BF"/>
    <w:pPr>
      <w:keepNext/>
      <w:keepLines/>
      <w:spacing w:before="20" w:after="20"/>
    </w:pPr>
    <w:rPr>
      <w:rFonts w:ascii="Arial" w:hAnsi="Arial" w:cs="Arial"/>
      <w:b/>
      <w:color w:val="F0F4F6"/>
      <w:szCs w:val="22"/>
    </w:rPr>
  </w:style>
  <w:style w:type="character" w:customStyle="1" w:styleId="TableTitle2Char0">
    <w:name w:val="Table Title 2 Char"/>
    <w:basedOn w:val="TableTitle2Char"/>
    <w:link w:val="TableTitle20"/>
    <w:uiPriority w:val="99"/>
    <w:rsid w:val="00AC43BF"/>
    <w:rPr>
      <w:rFonts w:ascii="Arial" w:hAnsi="Arial" w:cs="Arial"/>
      <w:b/>
      <w:bCs w:val="0"/>
      <w:color w:val="F0F4F6"/>
      <w:sz w:val="22"/>
      <w:szCs w:val="22"/>
    </w:rPr>
  </w:style>
  <w:style w:type="paragraph" w:customStyle="1" w:styleId="LTableTextHeadAbt">
    <w:name w:val="(L)Table Text Head Abt"/>
    <w:basedOn w:val="Normal"/>
    <w:link w:val="LTableTextHeadAbtChar"/>
    <w:uiPriority w:val="10"/>
    <w:rsid w:val="00AC43BF"/>
    <w:pPr>
      <w:keepNext/>
      <w:keepLines/>
      <w:shd w:val="clear" w:color="auto" w:fill="BFBFBF" w:themeFill="background1" w:themeFillShade="BF"/>
    </w:pPr>
    <w:rPr>
      <w:rFonts w:eastAsiaTheme="minorEastAsia" w:cstheme="minorBidi"/>
      <w:b/>
      <w:bCs/>
      <w:color w:val="000000"/>
      <w:sz w:val="18"/>
      <w:szCs w:val="22"/>
    </w:rPr>
  </w:style>
  <w:style w:type="paragraph" w:styleId="ListBullet2">
    <w:name w:val="List Bullet 2"/>
    <w:basedOn w:val="Normal"/>
    <w:autoRedefine/>
    <w:uiPriority w:val="99"/>
    <w:rsid w:val="00AC43BF"/>
    <w:pPr>
      <w:numPr>
        <w:numId w:val="2"/>
      </w:numPr>
    </w:pPr>
  </w:style>
  <w:style w:type="paragraph" w:customStyle="1" w:styleId="StyleBodyTextCambriaMath9ptItalic">
    <w:name w:val="Style Body Text + Cambria Math 9 pt Italic"/>
    <w:basedOn w:val="BodyText"/>
    <w:uiPriority w:val="99"/>
    <w:rsid w:val="00AC43BF"/>
    <w:rPr>
      <w:i/>
      <w:iCs/>
      <w:sz w:val="18"/>
    </w:rPr>
  </w:style>
  <w:style w:type="paragraph" w:customStyle="1" w:styleId="CTableTextHeadAbt">
    <w:name w:val="(C)Table Text Head Abt"/>
    <w:basedOn w:val="LTableTextHeadAbt"/>
    <w:link w:val="CTableTextHeadAbtChar"/>
    <w:uiPriority w:val="11"/>
    <w:rsid w:val="00AC43BF"/>
    <w:pPr>
      <w:jc w:val="center"/>
    </w:pPr>
  </w:style>
  <w:style w:type="paragraph" w:customStyle="1" w:styleId="BulletListAbt">
    <w:name w:val="Bullet List Abt"/>
    <w:basedOn w:val="NumberedListAbt"/>
    <w:link w:val="BulletListAbtChar"/>
    <w:uiPriority w:val="32"/>
    <w:qFormat/>
    <w:rsid w:val="00AC43BF"/>
    <w:pPr>
      <w:numPr>
        <w:numId w:val="7"/>
      </w:numPr>
      <w:tabs>
        <w:tab w:val="num" w:pos="1800"/>
      </w:tabs>
    </w:pPr>
  </w:style>
  <w:style w:type="character" w:customStyle="1" w:styleId="LTableTextHeadAbtChar">
    <w:name w:val="(L)Table Text Head Abt Char"/>
    <w:basedOn w:val="DefaultParagraphFont"/>
    <w:link w:val="LTableTextHeadAbt"/>
    <w:uiPriority w:val="10"/>
    <w:rsid w:val="00AC43BF"/>
    <w:rPr>
      <w:rFonts w:eastAsiaTheme="minorEastAsia" w:cstheme="minorBidi"/>
      <w:b/>
      <w:bCs/>
      <w:color w:val="000000"/>
      <w:sz w:val="18"/>
      <w:szCs w:val="22"/>
      <w:shd w:val="clear" w:color="auto" w:fill="BFBFBF" w:themeFill="background1" w:themeFillShade="BF"/>
    </w:rPr>
  </w:style>
  <w:style w:type="character" w:customStyle="1" w:styleId="CTableTextHeadAbtChar">
    <w:name w:val="(C)Table Text Head Abt Char"/>
    <w:basedOn w:val="LTableTextHeadAbtChar"/>
    <w:link w:val="CTableTextHeadAbt"/>
    <w:uiPriority w:val="11"/>
    <w:rsid w:val="00AC43BF"/>
    <w:rPr>
      <w:rFonts w:eastAsiaTheme="minorEastAsia" w:cstheme="minorBidi"/>
      <w:b/>
      <w:bCs/>
      <w:color w:val="000000"/>
      <w:sz w:val="18"/>
      <w:szCs w:val="22"/>
      <w:shd w:val="clear" w:color="auto" w:fill="BFBFBF" w:themeFill="background1" w:themeFillShade="BF"/>
    </w:rPr>
  </w:style>
  <w:style w:type="character" w:customStyle="1" w:styleId="NumberedListAbtChar">
    <w:name w:val="Numbered List Abt Char"/>
    <w:basedOn w:val="DefaultParagraphFont"/>
    <w:link w:val="NumberedListAbt"/>
    <w:uiPriority w:val="31"/>
    <w:rsid w:val="00AC43BF"/>
    <w:rPr>
      <w:sz w:val="22"/>
    </w:rPr>
  </w:style>
  <w:style w:type="character" w:customStyle="1" w:styleId="BulletListAbtChar">
    <w:name w:val="Bullet List Abt Char"/>
    <w:basedOn w:val="NumberedListAbtChar"/>
    <w:link w:val="BulletListAbt"/>
    <w:uiPriority w:val="32"/>
    <w:rsid w:val="00AC43BF"/>
    <w:rPr>
      <w:sz w:val="22"/>
    </w:rPr>
  </w:style>
  <w:style w:type="character" w:customStyle="1" w:styleId="TableTitle5Char">
    <w:name w:val="Table Title5 Char"/>
    <w:basedOn w:val="DefaultParagraphFont"/>
    <w:link w:val="TableTitle5"/>
    <w:rsid w:val="00AC43BF"/>
    <w:rPr>
      <w:rFonts w:ascii="Arial Bold" w:hAnsi="Arial Bold"/>
      <w:color w:val="FFFFFF" w:themeColor="background1"/>
      <w:szCs w:val="22"/>
    </w:rPr>
  </w:style>
  <w:style w:type="paragraph" w:customStyle="1" w:styleId="LTableText">
    <w:name w:val="(L) Table Text"/>
    <w:basedOn w:val="Normal"/>
    <w:link w:val="LTableTextChar"/>
    <w:rsid w:val="00AC43BF"/>
    <w:rPr>
      <w:rFonts w:eastAsiaTheme="minorHAnsi"/>
      <w:bCs/>
      <w:color w:val="000000"/>
      <w:sz w:val="20"/>
    </w:rPr>
  </w:style>
  <w:style w:type="character" w:customStyle="1" w:styleId="LTableTextChar">
    <w:name w:val="(L) Table Text Char"/>
    <w:link w:val="LTableText"/>
    <w:rsid w:val="00AC43BF"/>
    <w:rPr>
      <w:rFonts w:eastAsiaTheme="minorHAnsi"/>
      <w:bCs/>
      <w:color w:val="000000"/>
    </w:rPr>
  </w:style>
  <w:style w:type="paragraph" w:customStyle="1" w:styleId="Heading3ES">
    <w:name w:val="Heading 3 ES"/>
    <w:basedOn w:val="Heading3"/>
    <w:uiPriority w:val="99"/>
    <w:qFormat/>
    <w:rsid w:val="00AC43BF"/>
    <w:pPr>
      <w:numPr>
        <w:ilvl w:val="0"/>
        <w:numId w:val="0"/>
      </w:numPr>
      <w:outlineLvl w:val="9"/>
    </w:pPr>
  </w:style>
  <w:style w:type="table" w:customStyle="1" w:styleId="TableGrid1">
    <w:name w:val="Table Grid1"/>
    <w:basedOn w:val="TableNormal"/>
    <w:next w:val="TableGrid"/>
    <w:rsid w:val="00AC4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uiPriority w:val="99"/>
    <w:rsid w:val="00AC43BF"/>
    <w:pPr>
      <w:spacing w:after="240"/>
    </w:pPr>
  </w:style>
  <w:style w:type="paragraph" w:customStyle="1" w:styleId="ExecutiveSummaryHeading">
    <w:name w:val="Executive Summary Heading"/>
    <w:basedOn w:val="Heading1"/>
    <w:link w:val="ExecutiveSummaryHeadingChar"/>
    <w:uiPriority w:val="99"/>
    <w:rsid w:val="00AC43BF"/>
    <w:pPr>
      <w:numPr>
        <w:numId w:val="0"/>
      </w:numPr>
    </w:pPr>
    <w:rPr>
      <w:color w:val="FFFFFF"/>
    </w:rPr>
  </w:style>
  <w:style w:type="character" w:customStyle="1" w:styleId="ExecutiveSummaryHeadingChar">
    <w:name w:val="Executive Summary Heading Char"/>
    <w:basedOn w:val="Heading1Char"/>
    <w:link w:val="ExecutiveSummaryHeading"/>
    <w:uiPriority w:val="99"/>
    <w:rsid w:val="00AC43BF"/>
    <w:rPr>
      <w:rFonts w:ascii="Arial" w:hAnsi="Arial" w:eastAsiaTheme="minorHAnsi" w:cs="Arial"/>
      <w:b/>
      <w:noProof/>
      <w:color w:val="FFFFFF"/>
      <w:spacing w:val="20"/>
      <w:sz w:val="28"/>
      <w:szCs w:val="22"/>
    </w:rPr>
  </w:style>
  <w:style w:type="character" w:customStyle="1" w:styleId="FootnoteTextChar1">
    <w:name w:val="Footnote Text Char1"/>
    <w:aliases w:val="ALTS FOOTNOTE Char1,Char2 Char1,Char3 Char1,Char4 Char1,Footnote Text - Preamble Char1,Footnote Text Char Char Char Char Char1,Footnote Text Char Char Char1,Footnote Text Char Char1 Char1,Footnote Text Char1 Char Char Char1,fn Char1"/>
    <w:basedOn w:val="DefaultParagraphFont"/>
    <w:uiPriority w:val="99"/>
    <w:rsid w:val="00AC43BF"/>
  </w:style>
  <w:style w:type="paragraph" w:customStyle="1" w:styleId="ExhibitRowHeader">
    <w:name w:val="Exhibit Row Header"/>
    <w:basedOn w:val="BodyText"/>
    <w:uiPriority w:val="99"/>
    <w:rsid w:val="00AC43BF"/>
    <w:pPr>
      <w:spacing w:before="20" w:after="20"/>
      <w:jc w:val="center"/>
    </w:pPr>
    <w:rPr>
      <w:rFonts w:ascii="Arial" w:hAnsi="Arial" w:cs="Arial"/>
      <w:b/>
      <w:color w:val="F8F8F8"/>
      <w:sz w:val="20"/>
    </w:rPr>
  </w:style>
  <w:style w:type="paragraph" w:customStyle="1" w:styleId="Exhibit">
    <w:name w:val="Exhibit"/>
    <w:basedOn w:val="Normal"/>
    <w:uiPriority w:val="99"/>
    <w:rsid w:val="00AC43BF"/>
    <w:rPr>
      <w:rFonts w:ascii="Arial" w:hAnsi="Arial"/>
      <w:sz w:val="18"/>
    </w:rPr>
  </w:style>
  <w:style w:type="paragraph" w:customStyle="1" w:styleId="Call-OutBoxTextHeader">
    <w:name w:val="Call-Out Box Text Header"/>
    <w:basedOn w:val="NoSpacing"/>
    <w:uiPriority w:val="99"/>
    <w:rsid w:val="00AC43BF"/>
    <w:pPr>
      <w:ind w:left="180" w:right="204"/>
    </w:pPr>
    <w:rPr>
      <w:rFonts w:ascii="Arial" w:hAnsi="Arial" w:eastAsiaTheme="minorHAnsi" w:cs="Arial"/>
      <w:b/>
      <w:color w:val="48A9C5" w:themeColor="accent1"/>
      <w:szCs w:val="22"/>
    </w:rPr>
  </w:style>
  <w:style w:type="paragraph" w:customStyle="1" w:styleId="Call-OutBoxTextArial">
    <w:name w:val="Call-Out Box Text (Arial)"/>
    <w:basedOn w:val="NoSpacing"/>
    <w:uiPriority w:val="99"/>
    <w:rsid w:val="00AC43BF"/>
    <w:pPr>
      <w:ind w:left="180" w:right="204"/>
    </w:pPr>
    <w:rPr>
      <w:rFonts w:ascii="Arial" w:hAnsi="Arial" w:eastAsiaTheme="minorHAnsi" w:cs="Arial"/>
      <w:i/>
      <w:sz w:val="20"/>
      <w:szCs w:val="22"/>
    </w:rPr>
  </w:style>
  <w:style w:type="paragraph" w:customStyle="1" w:styleId="ExhibitColumnHead">
    <w:name w:val="Exhibit Column Head"/>
    <w:uiPriority w:val="99"/>
    <w:rsid w:val="0065055C"/>
    <w:pPr>
      <w:jc w:val="center"/>
    </w:pPr>
    <w:rPr>
      <w:rFonts w:ascii="Arial Narrow" w:hAnsi="Arial Narrow" w:cs="Arial"/>
      <w:b/>
      <w:color w:val="000000" w:themeColor="text1"/>
      <w:sz w:val="18"/>
    </w:rPr>
  </w:style>
  <w:style w:type="paragraph" w:customStyle="1" w:styleId="Heading1ES">
    <w:name w:val="Heading 1 ES"/>
    <w:basedOn w:val="Heading1"/>
    <w:uiPriority w:val="99"/>
    <w:qFormat/>
    <w:rsid w:val="00AC43BF"/>
    <w:pPr>
      <w:keepNext/>
      <w:keepLines/>
      <w:numPr>
        <w:numId w:val="0"/>
      </w:numPr>
    </w:pPr>
    <w:rPr>
      <w:color w:val="FFFFFF"/>
    </w:rPr>
  </w:style>
  <w:style w:type="paragraph" w:customStyle="1" w:styleId="Heading2ES">
    <w:name w:val="Heading 2 ES"/>
    <w:basedOn w:val="Heading2"/>
    <w:uiPriority w:val="99"/>
    <w:qFormat/>
    <w:rsid w:val="00AC43BF"/>
    <w:pPr>
      <w:numPr>
        <w:ilvl w:val="0"/>
        <w:numId w:val="0"/>
      </w:numPr>
      <w:outlineLvl w:val="9"/>
    </w:pPr>
  </w:style>
  <w:style w:type="paragraph" w:customStyle="1" w:styleId="TableSubtitle">
    <w:name w:val="TableSubtitle"/>
    <w:basedOn w:val="Normal"/>
    <w:link w:val="TableSubtitleChar"/>
    <w:qFormat/>
    <w:rsid w:val="004B2118"/>
    <w:pPr>
      <w:keepNext/>
      <w:keepLines/>
      <w:autoSpaceDE w:val="0"/>
      <w:autoSpaceDN w:val="0"/>
      <w:adjustRightInd w:val="0"/>
      <w:spacing w:after="0"/>
      <w:jc w:val="center"/>
    </w:pPr>
    <w:rPr>
      <w:rFonts w:ascii="Arial" w:hAnsi="Arial" w:cs="Arial"/>
      <w:b/>
      <w:bCs/>
      <w:color w:val="FFFFFF" w:themeColor="background1"/>
      <w:sz w:val="18"/>
      <w:szCs w:val="18"/>
    </w:rPr>
  </w:style>
  <w:style w:type="character" w:customStyle="1" w:styleId="TableSourceChar">
    <w:name w:val="Table Source Char"/>
    <w:link w:val="TableSource"/>
    <w:locked/>
    <w:rsid w:val="004B0CCB"/>
    <w:rPr>
      <w:rFonts w:ascii="Arial Narrow" w:hAnsi="Arial Narrow" w:cs="Arial"/>
      <w:sz w:val="18"/>
    </w:rPr>
  </w:style>
  <w:style w:type="paragraph" w:customStyle="1" w:styleId="ExhibitTitle">
    <w:name w:val="Exhibit Title"/>
    <w:basedOn w:val="Normal"/>
    <w:uiPriority w:val="99"/>
    <w:rsid w:val="00AC43BF"/>
    <w:pPr>
      <w:keepNext/>
      <w:keepLines/>
    </w:pPr>
    <w:rPr>
      <w:rFonts w:ascii="Arial" w:hAnsi="Arial" w:cs="Arial"/>
      <w:b/>
      <w:color w:val="FFFFFF"/>
      <w:sz w:val="20"/>
    </w:rPr>
  </w:style>
  <w:style w:type="paragraph" w:customStyle="1" w:styleId="TableNote">
    <w:name w:val="TableNote"/>
    <w:basedOn w:val="Normal"/>
    <w:autoRedefine/>
    <w:uiPriority w:val="99"/>
    <w:qFormat/>
    <w:rsid w:val="00AC43BF"/>
    <w:pPr>
      <w:spacing w:before="40" w:after="80"/>
    </w:pPr>
    <w:rPr>
      <w:sz w:val="16"/>
      <w:szCs w:val="16"/>
    </w:rPr>
  </w:style>
  <w:style w:type="paragraph" w:customStyle="1" w:styleId="Heading20">
    <w:name w:val="Heading2"/>
    <w:basedOn w:val="Heading2"/>
    <w:next w:val="Normal"/>
    <w:uiPriority w:val="99"/>
    <w:rsid w:val="00AC43BF"/>
    <w:pPr>
      <w:keepLines/>
      <w:numPr>
        <w:ilvl w:val="0"/>
        <w:numId w:val="0"/>
      </w:numPr>
      <w:spacing w:before="200" w:after="240"/>
    </w:pPr>
    <w:rPr>
      <w:rFonts w:eastAsiaTheme="majorEastAsia" w:cstheme="majorBidi"/>
      <w:iCs w:val="0"/>
      <w:color w:val="auto"/>
      <w:sz w:val="22"/>
      <w:szCs w:val="26"/>
    </w:rPr>
  </w:style>
  <w:style w:type="character" w:customStyle="1" w:styleId="apple-converted-space">
    <w:name w:val="apple-converted-space"/>
    <w:basedOn w:val="DefaultParagraphFont"/>
    <w:uiPriority w:val="99"/>
    <w:rsid w:val="00AC43BF"/>
  </w:style>
  <w:style w:type="character" w:customStyle="1" w:styleId="st">
    <w:name w:val="st"/>
    <w:basedOn w:val="DefaultParagraphFont"/>
    <w:uiPriority w:val="99"/>
    <w:rsid w:val="00AC43BF"/>
  </w:style>
  <w:style w:type="table" w:styleId="TableElegant">
    <w:name w:val="Table Elegant"/>
    <w:basedOn w:val="TableNormal"/>
    <w:unhideWhenUsed/>
    <w:rsid w:val="00AC43B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MediumShading1Accent4">
    <w:name w:val="Medium Shading 1 Accent 4"/>
    <w:basedOn w:val="TableNormal"/>
    <w:uiPriority w:val="63"/>
    <w:rsid w:val="00AC43BF"/>
    <w:tblPr>
      <w:tblStyleRowBandSize w:val="1"/>
      <w:tblStyleColBandSize w:val="1"/>
      <w:tblBorders>
        <w:top w:val="single" w:sz="8" w:space="0" w:color="9ABC71" w:themeColor="accent4" w:themeTint="BF"/>
        <w:left w:val="single" w:sz="8" w:space="0" w:color="9ABC71" w:themeColor="accent4" w:themeTint="BF"/>
        <w:bottom w:val="single" w:sz="8" w:space="0" w:color="9ABC71" w:themeColor="accent4" w:themeTint="BF"/>
        <w:right w:val="single" w:sz="8" w:space="0" w:color="9ABC71" w:themeColor="accent4" w:themeTint="BF"/>
        <w:insideH w:val="single" w:sz="8" w:space="0" w:color="9ABC71" w:themeColor="accent4" w:themeTint="BF"/>
      </w:tblBorders>
    </w:tblPr>
    <w:tblStylePr w:type="firstRow">
      <w:pPr>
        <w:spacing w:before="0" w:beforeLines="0" w:beforeAutospacing="0" w:after="0" w:afterLines="0" w:afterAutospacing="0" w:line="240" w:lineRule="auto"/>
      </w:pPr>
      <w:rPr>
        <w:b/>
        <w:bCs/>
        <w:color w:val="FFFFFF" w:themeColor="background1"/>
      </w:rPr>
      <w:tblPr/>
      <w:tcPr>
        <w:tcBorders>
          <w:top w:val="single" w:sz="8" w:space="0" w:color="9ABC71" w:themeColor="accent4" w:themeTint="BF"/>
          <w:left w:val="single" w:sz="8" w:space="0" w:color="9ABC71" w:themeColor="accent4" w:themeTint="BF"/>
          <w:bottom w:val="single" w:sz="8" w:space="0" w:color="9ABC71" w:themeColor="accent4" w:themeTint="BF"/>
          <w:right w:val="single" w:sz="8" w:space="0" w:color="9ABC71" w:themeColor="accent4" w:themeTint="BF"/>
          <w:insideH w:val="nil"/>
          <w:insideV w:val="nil"/>
        </w:tcBorders>
        <w:shd w:val="clear" w:color="auto" w:fill="789D4A" w:themeFill="accent4"/>
      </w:tcPr>
    </w:tblStylePr>
    <w:tblStylePr w:type="lastRow">
      <w:pPr>
        <w:spacing w:before="0" w:beforeLines="0" w:beforeAutospacing="0" w:after="0" w:afterLines="0" w:afterAutospacing="0" w:line="240" w:lineRule="auto"/>
      </w:pPr>
      <w:rPr>
        <w:b/>
        <w:bCs/>
      </w:rPr>
      <w:tblPr/>
      <w:tcPr>
        <w:tcBorders>
          <w:top w:val="double" w:sz="6" w:space="0" w:color="9ABC71" w:themeColor="accent4" w:themeTint="BF"/>
          <w:left w:val="single" w:sz="8" w:space="0" w:color="9ABC71" w:themeColor="accent4" w:themeTint="BF"/>
          <w:bottom w:val="single" w:sz="8" w:space="0" w:color="9ABC71" w:themeColor="accent4" w:themeTint="BF"/>
          <w:right w:val="single" w:sz="8" w:space="0" w:color="9ABC7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E9D0" w:themeFill="accent4" w:themeFillTint="3F"/>
      </w:tcPr>
    </w:tblStylePr>
    <w:tblStylePr w:type="band1Horz">
      <w:tblPr/>
      <w:tcPr>
        <w:tcBorders>
          <w:insideH w:val="nil"/>
          <w:insideV w:val="nil"/>
        </w:tcBorders>
        <w:shd w:val="clear" w:color="auto" w:fill="DDE9D0" w:themeFill="accent4" w:themeFillTint="3F"/>
      </w:tcPr>
    </w:tblStylePr>
    <w:tblStylePr w:type="band2Horz">
      <w:tblPr/>
      <w:tcPr>
        <w:tcBorders>
          <w:insideH w:val="nil"/>
          <w:insideV w:val="nil"/>
        </w:tcBorders>
      </w:tcPr>
    </w:tblStylePr>
  </w:style>
  <w:style w:type="table" w:customStyle="1" w:styleId="Abt">
    <w:name w:val="Abt"/>
    <w:basedOn w:val="TableNormal"/>
    <w:uiPriority w:val="99"/>
    <w:rsid w:val="00AC43BF"/>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Segoe UI Emoji" w:hAnsi="Segoe UI Emoji" w:hint="default"/>
        <w:b/>
        <w:caps w:val="0"/>
        <w:smallCaps w:val="0"/>
        <w:strike w:val="0"/>
        <w:dstrike w:val="0"/>
        <w:vanish w:val="0"/>
        <w:webHidden w:val="0"/>
        <w:sz w:val="18"/>
        <w:szCs w:val="18"/>
        <w:u w:val="none"/>
        <w:effect w:val="none"/>
        <w:specVanish w:val="0"/>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Segoe UI Emoji" w:hAnsi="Segoe UI Emoji"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Segoe UI Emoji" w:hAnsi="Segoe UI Emoji"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Reference">
    <w:name w:val="Reference"/>
    <w:basedOn w:val="BodyText"/>
    <w:qFormat/>
    <w:rsid w:val="00AC43BF"/>
    <w:pPr>
      <w:tabs>
        <w:tab w:val="num" w:pos="720"/>
        <w:tab w:val="left" w:pos="1080"/>
        <w:tab w:val="left" w:pos="1800"/>
      </w:tabs>
      <w:spacing w:after="0"/>
      <w:ind w:left="720" w:hanging="720"/>
    </w:pPr>
  </w:style>
  <w:style w:type="paragraph" w:customStyle="1" w:styleId="referencelist">
    <w:name w:val="reference list"/>
    <w:basedOn w:val="Normal"/>
    <w:uiPriority w:val="99"/>
    <w:qFormat/>
    <w:rsid w:val="00AC43BF"/>
    <w:pPr>
      <w:spacing w:before="120" w:after="120"/>
      <w:ind w:left="720" w:right="720" w:hanging="720"/>
    </w:pPr>
  </w:style>
  <w:style w:type="paragraph" w:customStyle="1" w:styleId="NumberedList">
    <w:name w:val="Numbered List"/>
    <w:basedOn w:val="ListBullet"/>
    <w:uiPriority w:val="99"/>
    <w:rsid w:val="00AC43BF"/>
    <w:pPr>
      <w:tabs>
        <w:tab w:val="num" w:pos="720"/>
      </w:tabs>
      <w:spacing w:after="120"/>
      <w:contextualSpacing w:val="0"/>
    </w:pPr>
  </w:style>
  <w:style w:type="paragraph" w:styleId="ListBullet">
    <w:name w:val="List Bullet"/>
    <w:basedOn w:val="Normal"/>
    <w:unhideWhenUsed/>
    <w:rsid w:val="00AC43BF"/>
    <w:pPr>
      <w:tabs>
        <w:tab w:val="num" w:pos="360"/>
      </w:tabs>
      <w:ind w:left="360" w:hanging="360"/>
      <w:contextualSpacing/>
    </w:pPr>
  </w:style>
  <w:style w:type="paragraph" w:customStyle="1" w:styleId="eq">
    <w:name w:val="eq#"/>
    <w:basedOn w:val="TableText"/>
    <w:next w:val="BodyText"/>
    <w:uiPriority w:val="99"/>
    <w:rsid w:val="00AC43BF"/>
    <w:pPr>
      <w:keepNext/>
      <w:keepLines/>
      <w:spacing w:before="0" w:after="0"/>
      <w:jc w:val="right"/>
    </w:pPr>
    <w:rPr>
      <w:bCs/>
    </w:rPr>
  </w:style>
  <w:style w:type="paragraph" w:customStyle="1" w:styleId="TableTextR">
    <w:name w:val="Table TextR"/>
    <w:basedOn w:val="Normal"/>
    <w:link w:val="TableTextRChar"/>
    <w:uiPriority w:val="99"/>
    <w:rsid w:val="00AC43BF"/>
    <w:pPr>
      <w:keepNext/>
      <w:keepLines/>
      <w:jc w:val="right"/>
    </w:pPr>
    <w:rPr>
      <w:sz w:val="18"/>
    </w:rPr>
  </w:style>
  <w:style w:type="character" w:customStyle="1" w:styleId="TableTextRChar">
    <w:name w:val="Table TextR Char"/>
    <w:link w:val="TableTextR"/>
    <w:uiPriority w:val="99"/>
    <w:locked/>
    <w:rsid w:val="00AC43BF"/>
    <w:rPr>
      <w:sz w:val="18"/>
    </w:rPr>
  </w:style>
  <w:style w:type="character" w:styleId="SubtleReference">
    <w:name w:val="Subtle Reference"/>
    <w:basedOn w:val="DefaultParagraphFont"/>
    <w:uiPriority w:val="31"/>
    <w:qFormat/>
    <w:rsid w:val="00AC43BF"/>
    <w:rPr>
      <w:smallCaps/>
    </w:rPr>
  </w:style>
  <w:style w:type="paragraph" w:customStyle="1" w:styleId="numberlistintable">
    <w:name w:val="numberlistintable"/>
    <w:basedOn w:val="TableText"/>
    <w:link w:val="numberlistintableChar"/>
    <w:uiPriority w:val="99"/>
    <w:rsid w:val="00AC43BF"/>
    <w:pPr>
      <w:keepNext/>
      <w:keepLines/>
      <w:spacing w:before="0" w:after="0"/>
      <w:ind w:left="241" w:hanging="270"/>
    </w:pPr>
    <w:rPr>
      <w:bCs/>
    </w:rPr>
  </w:style>
  <w:style w:type="character" w:customStyle="1" w:styleId="numberlistintableChar">
    <w:name w:val="numberlistintable Char"/>
    <w:basedOn w:val="TableTextChar"/>
    <w:link w:val="numberlistintable"/>
    <w:uiPriority w:val="99"/>
    <w:locked/>
    <w:rsid w:val="00AC43BF"/>
    <w:rPr>
      <w:rFonts w:ascii="Arial Narrow" w:hAnsi="Arial Narrow"/>
      <w:bCs/>
    </w:rPr>
  </w:style>
  <w:style w:type="paragraph" w:customStyle="1" w:styleId="tabletextr0">
    <w:name w:val="tabletextr"/>
    <w:basedOn w:val="TableText"/>
    <w:link w:val="tabletextrChar0"/>
    <w:uiPriority w:val="99"/>
    <w:rsid w:val="00AC43BF"/>
    <w:pPr>
      <w:keepNext/>
      <w:keepLines/>
      <w:spacing w:before="0" w:after="0"/>
      <w:jc w:val="right"/>
    </w:pPr>
    <w:rPr>
      <w:bCs/>
    </w:rPr>
  </w:style>
  <w:style w:type="character" w:customStyle="1" w:styleId="tabletextrChar0">
    <w:name w:val="tabletextr Char"/>
    <w:basedOn w:val="TableTextChar"/>
    <w:link w:val="tabletextr0"/>
    <w:uiPriority w:val="99"/>
    <w:locked/>
    <w:rsid w:val="00AC43BF"/>
    <w:rPr>
      <w:rFonts w:ascii="Arial Narrow" w:hAnsi="Arial Narrow"/>
      <w:bCs/>
    </w:rPr>
  </w:style>
  <w:style w:type="paragraph" w:customStyle="1" w:styleId="referenceheading">
    <w:name w:val="reference heading"/>
    <w:basedOn w:val="Caption"/>
    <w:link w:val="referenceheadingChar"/>
    <w:uiPriority w:val="99"/>
    <w:rsid w:val="00AC43BF"/>
    <w:pPr>
      <w:spacing w:after="0"/>
      <w:jc w:val="both"/>
    </w:pPr>
    <w:rPr>
      <w:rFonts w:ascii="Arial Bold" w:hAnsi="Arial Bold"/>
      <w:bCs/>
      <w:sz w:val="28"/>
      <w:szCs w:val="28"/>
    </w:rPr>
  </w:style>
  <w:style w:type="character" w:customStyle="1" w:styleId="referenceheadingChar">
    <w:name w:val="reference heading Char"/>
    <w:basedOn w:val="CaptionChar"/>
    <w:link w:val="referenceheading"/>
    <w:uiPriority w:val="99"/>
    <w:locked/>
    <w:rsid w:val="00AC43BF"/>
    <w:rPr>
      <w:rFonts w:ascii="Arial Bold" w:hAnsi="Arial Bold" w:eastAsiaTheme="minorHAnsi" w:cs="Arial"/>
      <w:b/>
      <w:bCs/>
      <w:sz w:val="28"/>
      <w:szCs w:val="28"/>
    </w:rPr>
  </w:style>
  <w:style w:type="paragraph" w:customStyle="1" w:styleId="bullist">
    <w:name w:val="bullist"/>
    <w:basedOn w:val="BodyText"/>
    <w:link w:val="bullistChar"/>
    <w:uiPriority w:val="99"/>
    <w:rsid w:val="00AC43BF"/>
    <w:pPr>
      <w:tabs>
        <w:tab w:val="left" w:pos="720"/>
        <w:tab w:val="left" w:pos="1080"/>
        <w:tab w:val="left" w:pos="1440"/>
        <w:tab w:val="left" w:pos="1800"/>
      </w:tabs>
      <w:spacing w:after="0"/>
      <w:ind w:left="432" w:hanging="432"/>
    </w:pPr>
  </w:style>
  <w:style w:type="character" w:customStyle="1" w:styleId="bullistChar">
    <w:name w:val="bullist Char"/>
    <w:basedOn w:val="BodyTextChar"/>
    <w:link w:val="bullist"/>
    <w:uiPriority w:val="99"/>
    <w:locked/>
    <w:rsid w:val="00AC43BF"/>
    <w:rPr>
      <w:sz w:val="22"/>
      <w:szCs w:val="22"/>
      <w:lang w:val="en"/>
    </w:rPr>
  </w:style>
  <w:style w:type="paragraph" w:customStyle="1" w:styleId="Glossary">
    <w:name w:val="_Glossary"/>
    <w:basedOn w:val="BodyText"/>
    <w:semiHidden/>
    <w:rsid w:val="00AC43BF"/>
    <w:pPr>
      <w:tabs>
        <w:tab w:val="left" w:pos="720"/>
        <w:tab w:val="left" w:pos="1080"/>
        <w:tab w:val="left" w:pos="1440"/>
        <w:tab w:val="left" w:pos="1800"/>
      </w:tabs>
      <w:spacing w:after="0"/>
      <w:ind w:firstLine="720"/>
    </w:pPr>
    <w:rPr>
      <w:rFonts w:ascii="Arial" w:hAnsi="Arial" w:cs="Arial"/>
      <w:b/>
      <w:bCs/>
      <w:i/>
      <w:iCs/>
      <w:color w:val="008000"/>
      <w:sz w:val="20"/>
      <w:szCs w:val="24"/>
    </w:rPr>
  </w:style>
  <w:style w:type="paragraph" w:styleId="DocumentMap">
    <w:name w:val="Document Map"/>
    <w:basedOn w:val="Normal"/>
    <w:link w:val="DocumentMapChar"/>
    <w:uiPriority w:val="99"/>
    <w:rsid w:val="00AC43BF"/>
    <w:pPr>
      <w:shd w:val="clear" w:color="auto" w:fill="000080"/>
    </w:pPr>
    <w:rPr>
      <w:rFonts w:ascii="Tahoma" w:hAnsi="Tahoma"/>
    </w:rPr>
  </w:style>
  <w:style w:type="character" w:customStyle="1" w:styleId="DocumentMapChar">
    <w:name w:val="Document Map Char"/>
    <w:basedOn w:val="DefaultParagraphFont"/>
    <w:link w:val="DocumentMap"/>
    <w:uiPriority w:val="99"/>
    <w:rsid w:val="00AC43BF"/>
    <w:rPr>
      <w:rFonts w:ascii="Tahoma" w:hAnsi="Tahoma"/>
      <w:sz w:val="22"/>
      <w:shd w:val="clear" w:color="auto" w:fill="000080"/>
    </w:rPr>
  </w:style>
  <w:style w:type="character" w:styleId="EndnoteReference">
    <w:name w:val="endnote reference"/>
    <w:basedOn w:val="DefaultParagraphFont"/>
    <w:uiPriority w:val="99"/>
    <w:rsid w:val="00AC43BF"/>
    <w:rPr>
      <w:vertAlign w:val="superscript"/>
    </w:rPr>
  </w:style>
  <w:style w:type="paragraph" w:styleId="EndnoteText">
    <w:name w:val="endnote text"/>
    <w:basedOn w:val="Normal"/>
    <w:link w:val="EndnoteTextChar"/>
    <w:uiPriority w:val="99"/>
    <w:rsid w:val="00AC43BF"/>
    <w:rPr>
      <w:sz w:val="21"/>
    </w:rPr>
  </w:style>
  <w:style w:type="character" w:customStyle="1" w:styleId="EndnoteTextChar">
    <w:name w:val="Endnote Text Char"/>
    <w:basedOn w:val="DefaultParagraphFont"/>
    <w:link w:val="EndnoteText"/>
    <w:uiPriority w:val="99"/>
    <w:rsid w:val="00AC43BF"/>
    <w:rPr>
      <w:sz w:val="21"/>
    </w:rPr>
  </w:style>
  <w:style w:type="paragraph" w:styleId="EnvelopeAddress">
    <w:name w:val="envelope address"/>
    <w:basedOn w:val="Normal"/>
    <w:uiPriority w:val="99"/>
    <w:rsid w:val="00AC43BF"/>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AC43BF"/>
    <w:rPr>
      <w:rFonts w:ascii="Arial" w:hAnsi="Arial"/>
      <w:sz w:val="20"/>
    </w:rPr>
  </w:style>
  <w:style w:type="paragraph" w:customStyle="1" w:styleId="Equation">
    <w:name w:val="Equation"/>
    <w:basedOn w:val="BodyText"/>
    <w:uiPriority w:val="99"/>
    <w:rsid w:val="00AC43BF"/>
    <w:pPr>
      <w:tabs>
        <w:tab w:val="left" w:pos="720"/>
        <w:tab w:val="left" w:pos="1080"/>
        <w:tab w:val="left" w:pos="1440"/>
        <w:tab w:val="left" w:pos="1800"/>
      </w:tabs>
      <w:spacing w:after="240"/>
      <w:ind w:firstLine="720"/>
      <w:jc w:val="center"/>
    </w:pPr>
  </w:style>
  <w:style w:type="paragraph" w:customStyle="1" w:styleId="source">
    <w:name w:val="source"/>
    <w:basedOn w:val="BodyText"/>
    <w:uiPriority w:val="99"/>
    <w:rsid w:val="00AC43BF"/>
    <w:pPr>
      <w:tabs>
        <w:tab w:val="left" w:pos="720"/>
        <w:tab w:val="left" w:pos="1080"/>
        <w:tab w:val="left" w:pos="1440"/>
        <w:tab w:val="left" w:pos="1800"/>
      </w:tabs>
      <w:spacing w:after="0"/>
      <w:ind w:firstLine="720"/>
    </w:pPr>
  </w:style>
  <w:style w:type="paragraph" w:customStyle="1" w:styleId="DocumentTitle">
    <w:name w:val="Document Title"/>
    <w:basedOn w:val="Normal"/>
    <w:autoRedefine/>
    <w:uiPriority w:val="99"/>
    <w:rsid w:val="00AC43BF"/>
    <w:rPr>
      <w:rFonts w:ascii="Arial" w:hAnsi="Arial"/>
      <w:b/>
      <w:sz w:val="28"/>
    </w:rPr>
  </w:style>
  <w:style w:type="paragraph" w:customStyle="1" w:styleId="FigureFootnoteText">
    <w:name w:val="Figure Footnote Text"/>
    <w:basedOn w:val="FootnoteText"/>
    <w:semiHidden/>
    <w:rsid w:val="00AC43BF"/>
    <w:pPr>
      <w:spacing w:after="0"/>
      <w:ind w:left="403" w:right="288" w:hanging="115"/>
    </w:pPr>
  </w:style>
  <w:style w:type="paragraph" w:customStyle="1" w:styleId="FigureSource">
    <w:name w:val="Figure Source"/>
    <w:basedOn w:val="Normal"/>
    <w:semiHidden/>
    <w:rsid w:val="00AC43BF"/>
    <w:pPr>
      <w:keepNext/>
      <w:keepLines/>
      <w:pBdr>
        <w:top w:val="single" w:sz="4" w:space="1" w:color="auto"/>
        <w:left w:val="single" w:sz="4" w:space="4" w:color="auto"/>
        <w:bottom w:val="single" w:sz="4" w:space="1" w:color="auto"/>
        <w:right w:val="single" w:sz="4" w:space="4" w:color="auto"/>
      </w:pBdr>
      <w:tabs>
        <w:tab w:val="right" w:pos="10080"/>
      </w:tabs>
    </w:pPr>
    <w:rPr>
      <w:bCs/>
      <w:i/>
      <w:iCs/>
      <w:sz w:val="18"/>
      <w:szCs w:val="24"/>
    </w:rPr>
  </w:style>
  <w:style w:type="paragraph" w:customStyle="1" w:styleId="Level1">
    <w:name w:val="Level 1"/>
    <w:basedOn w:val="Normal"/>
    <w:uiPriority w:val="99"/>
    <w:rsid w:val="00AC43BF"/>
    <w:pPr>
      <w:outlineLvl w:val="0"/>
    </w:pPr>
  </w:style>
  <w:style w:type="paragraph" w:customStyle="1" w:styleId="Level2">
    <w:name w:val="Level 2"/>
    <w:basedOn w:val="Normal"/>
    <w:uiPriority w:val="99"/>
    <w:rsid w:val="00AC43BF"/>
    <w:pPr>
      <w:outlineLvl w:val="1"/>
    </w:pPr>
  </w:style>
  <w:style w:type="paragraph" w:customStyle="1" w:styleId="Level3">
    <w:name w:val="Level 3"/>
    <w:basedOn w:val="Normal"/>
    <w:uiPriority w:val="99"/>
    <w:rsid w:val="00AC43BF"/>
    <w:pPr>
      <w:outlineLvl w:val="2"/>
    </w:pPr>
  </w:style>
  <w:style w:type="paragraph" w:customStyle="1" w:styleId="Level4">
    <w:name w:val="Level 4"/>
    <w:basedOn w:val="Normal"/>
    <w:uiPriority w:val="99"/>
    <w:rsid w:val="00AC43BF"/>
    <w:pPr>
      <w:outlineLvl w:val="3"/>
    </w:pPr>
  </w:style>
  <w:style w:type="paragraph" w:customStyle="1" w:styleId="Level5">
    <w:name w:val="Level 5"/>
    <w:basedOn w:val="Normal"/>
    <w:uiPriority w:val="99"/>
    <w:rsid w:val="00AC43BF"/>
    <w:pPr>
      <w:outlineLvl w:val="4"/>
    </w:pPr>
  </w:style>
  <w:style w:type="paragraph" w:styleId="ListBullet3">
    <w:name w:val="List Bullet 3"/>
    <w:basedOn w:val="Normal"/>
    <w:autoRedefine/>
    <w:uiPriority w:val="99"/>
    <w:rsid w:val="00AC43BF"/>
    <w:pPr>
      <w:numPr>
        <w:numId w:val="3"/>
      </w:numPr>
    </w:pPr>
  </w:style>
  <w:style w:type="paragraph" w:styleId="NormalWeb">
    <w:name w:val="Normal (Web)"/>
    <w:basedOn w:val="BodyText"/>
    <w:uiPriority w:val="99"/>
    <w:rsid w:val="00AC43BF"/>
    <w:pPr>
      <w:tabs>
        <w:tab w:val="left" w:pos="720"/>
        <w:tab w:val="left" w:pos="1080"/>
        <w:tab w:val="left" w:pos="1440"/>
        <w:tab w:val="left" w:pos="1800"/>
      </w:tabs>
      <w:spacing w:after="0"/>
      <w:ind w:firstLine="720"/>
    </w:pPr>
    <w:rPr>
      <w:rFonts w:eastAsia="Arial Unicode MS" w:cs="Arial Unicode MS"/>
      <w:szCs w:val="24"/>
    </w:rPr>
  </w:style>
  <w:style w:type="paragraph" w:customStyle="1" w:styleId="TableBullet">
    <w:name w:val="Table Bullet"/>
    <w:basedOn w:val="Normal"/>
    <w:uiPriority w:val="99"/>
    <w:rsid w:val="00AC43BF"/>
    <w:pPr>
      <w:keepNext/>
      <w:keepLines/>
      <w:numPr>
        <w:numId w:val="4"/>
      </w:numPr>
    </w:pPr>
    <w:rPr>
      <w:sz w:val="16"/>
    </w:rPr>
  </w:style>
  <w:style w:type="paragraph" w:customStyle="1" w:styleId="tablefootnote">
    <w:name w:val="table footnote"/>
    <w:basedOn w:val="Normal"/>
    <w:link w:val="tablefootnoteChar"/>
    <w:uiPriority w:val="99"/>
    <w:rsid w:val="004A7CC0"/>
    <w:pPr>
      <w:keepNext/>
    </w:pPr>
    <w:rPr>
      <w:sz w:val="16"/>
    </w:rPr>
  </w:style>
  <w:style w:type="paragraph" w:customStyle="1" w:styleId="TableHeading1">
    <w:name w:val="Table Heading1"/>
    <w:basedOn w:val="BodyText"/>
    <w:semiHidden/>
    <w:rsid w:val="00AC43BF"/>
    <w:pPr>
      <w:keepNext/>
      <w:shd w:val="clear" w:color="auto" w:fill="999999"/>
      <w:tabs>
        <w:tab w:val="left" w:pos="0"/>
        <w:tab w:val="left" w:pos="1080"/>
        <w:tab w:val="left" w:pos="1440"/>
        <w:tab w:val="left" w:pos="1800"/>
      </w:tabs>
      <w:spacing w:after="0"/>
      <w:ind w:firstLine="720"/>
    </w:pPr>
    <w:rPr>
      <w:rFonts w:ascii="Arial" w:hAnsi="Arial"/>
      <w:b/>
      <w:bCs/>
      <w:sz w:val="18"/>
    </w:rPr>
  </w:style>
  <w:style w:type="paragraph" w:customStyle="1" w:styleId="TableHeading2">
    <w:name w:val="Table Heading2"/>
    <w:basedOn w:val="BodyText"/>
    <w:semiHidden/>
    <w:rsid w:val="00AC43BF"/>
    <w:pPr>
      <w:keepNext/>
      <w:keepLines/>
      <w:shd w:val="clear" w:color="auto" w:fill="FFFF99"/>
      <w:tabs>
        <w:tab w:val="left" w:pos="0"/>
        <w:tab w:val="left" w:pos="1080"/>
        <w:tab w:val="left" w:pos="1440"/>
        <w:tab w:val="left" w:pos="1800"/>
      </w:tabs>
      <w:spacing w:after="0"/>
      <w:ind w:firstLine="720"/>
    </w:pPr>
    <w:rPr>
      <w:rFonts w:ascii="Arial" w:hAnsi="Arial"/>
      <w:b/>
      <w:sz w:val="18"/>
    </w:rPr>
  </w:style>
  <w:style w:type="paragraph" w:customStyle="1" w:styleId="TableHeading3">
    <w:name w:val="Table Heading3"/>
    <w:basedOn w:val="CommentSubject"/>
    <w:semiHidden/>
    <w:rsid w:val="00AC43BF"/>
    <w:pPr>
      <w:keepNext/>
      <w:keepLines/>
      <w:shd w:val="clear" w:color="auto" w:fill="99CCFF"/>
      <w:spacing w:line="264" w:lineRule="auto"/>
    </w:pPr>
    <w:rPr>
      <w:sz w:val="18"/>
    </w:rPr>
  </w:style>
  <w:style w:type="paragraph" w:styleId="E-mailSignature">
    <w:name w:val="E-mail Signature"/>
    <w:basedOn w:val="Normal"/>
    <w:link w:val="E-mailSignatureChar"/>
    <w:uiPriority w:val="99"/>
    <w:rsid w:val="00AC43BF"/>
  </w:style>
  <w:style w:type="character" w:customStyle="1" w:styleId="E-mailSignatureChar">
    <w:name w:val="E-mail Signature Char"/>
    <w:basedOn w:val="DefaultParagraphFont"/>
    <w:link w:val="E-mailSignature"/>
    <w:uiPriority w:val="99"/>
    <w:rsid w:val="00AC43BF"/>
    <w:rPr>
      <w:sz w:val="22"/>
    </w:rPr>
  </w:style>
  <w:style w:type="character" w:styleId="HTMLAcronym">
    <w:name w:val="HTML Acronym"/>
    <w:basedOn w:val="DefaultParagraphFont"/>
    <w:uiPriority w:val="99"/>
    <w:rsid w:val="00AC43BF"/>
  </w:style>
  <w:style w:type="paragraph" w:styleId="HTMLAddress">
    <w:name w:val="HTML Address"/>
    <w:basedOn w:val="Normal"/>
    <w:link w:val="HTMLAddressChar"/>
    <w:uiPriority w:val="99"/>
    <w:rsid w:val="00AC43BF"/>
    <w:rPr>
      <w:i/>
      <w:iCs/>
    </w:rPr>
  </w:style>
  <w:style w:type="character" w:customStyle="1" w:styleId="HTMLAddressChar">
    <w:name w:val="HTML Address Char"/>
    <w:basedOn w:val="DefaultParagraphFont"/>
    <w:link w:val="HTMLAddress"/>
    <w:uiPriority w:val="99"/>
    <w:rsid w:val="00AC43BF"/>
    <w:rPr>
      <w:i/>
      <w:iCs/>
      <w:sz w:val="22"/>
    </w:rPr>
  </w:style>
  <w:style w:type="character" w:styleId="HTMLCite">
    <w:name w:val="HTML Cite"/>
    <w:basedOn w:val="DefaultParagraphFont"/>
    <w:uiPriority w:val="99"/>
    <w:rsid w:val="00AC43BF"/>
    <w:rPr>
      <w:i/>
    </w:rPr>
  </w:style>
  <w:style w:type="character" w:styleId="HTMLCode">
    <w:name w:val="HTML Code"/>
    <w:basedOn w:val="DefaultParagraphFont"/>
    <w:uiPriority w:val="99"/>
    <w:rsid w:val="00AC43BF"/>
    <w:rPr>
      <w:rFonts w:ascii="Courier New" w:hAnsi="Courier New"/>
      <w:sz w:val="20"/>
    </w:rPr>
  </w:style>
  <w:style w:type="character" w:styleId="HTMLDefinition">
    <w:name w:val="HTML Definition"/>
    <w:basedOn w:val="DefaultParagraphFont"/>
    <w:uiPriority w:val="99"/>
    <w:rsid w:val="00AC43BF"/>
    <w:rPr>
      <w:i/>
    </w:rPr>
  </w:style>
  <w:style w:type="character" w:styleId="HTMLKeyboard">
    <w:name w:val="HTML Keyboard"/>
    <w:basedOn w:val="DefaultParagraphFont"/>
    <w:uiPriority w:val="99"/>
    <w:rsid w:val="00AC43BF"/>
    <w:rPr>
      <w:rFonts w:ascii="Courier New" w:hAnsi="Courier New"/>
      <w:sz w:val="20"/>
    </w:rPr>
  </w:style>
  <w:style w:type="paragraph" w:styleId="HTMLPreformatted">
    <w:name w:val="HTML Preformatted"/>
    <w:basedOn w:val="Normal"/>
    <w:link w:val="HTMLPreformattedChar"/>
    <w:uiPriority w:val="99"/>
    <w:rsid w:val="00AC43BF"/>
    <w:rPr>
      <w:rFonts w:ascii="Courier New" w:hAnsi="Courier New" w:cs="Courier New"/>
      <w:sz w:val="20"/>
    </w:rPr>
  </w:style>
  <w:style w:type="character" w:customStyle="1" w:styleId="HTMLPreformattedChar">
    <w:name w:val="HTML Preformatted Char"/>
    <w:basedOn w:val="DefaultParagraphFont"/>
    <w:link w:val="HTMLPreformatted"/>
    <w:uiPriority w:val="99"/>
    <w:rsid w:val="00AC43BF"/>
    <w:rPr>
      <w:rFonts w:ascii="Courier New" w:hAnsi="Courier New" w:cs="Courier New"/>
    </w:rPr>
  </w:style>
  <w:style w:type="character" w:styleId="HTMLSample">
    <w:name w:val="HTML Sample"/>
    <w:basedOn w:val="DefaultParagraphFont"/>
    <w:uiPriority w:val="99"/>
    <w:rsid w:val="00AC43BF"/>
    <w:rPr>
      <w:rFonts w:ascii="Courier New" w:hAnsi="Courier New"/>
    </w:rPr>
  </w:style>
  <w:style w:type="character" w:styleId="HTMLTypewriter">
    <w:name w:val="HTML Typewriter"/>
    <w:basedOn w:val="DefaultParagraphFont"/>
    <w:uiPriority w:val="99"/>
    <w:rsid w:val="00AC43BF"/>
    <w:rPr>
      <w:rFonts w:ascii="Courier New" w:hAnsi="Courier New"/>
      <w:sz w:val="20"/>
    </w:rPr>
  </w:style>
  <w:style w:type="character" w:styleId="HTMLVariable">
    <w:name w:val="HTML Variable"/>
    <w:basedOn w:val="DefaultParagraphFont"/>
    <w:uiPriority w:val="99"/>
    <w:rsid w:val="00AC43BF"/>
    <w:rPr>
      <w:i/>
    </w:rPr>
  </w:style>
  <w:style w:type="character" w:styleId="LineNumber">
    <w:name w:val="line number"/>
    <w:basedOn w:val="DefaultParagraphFont"/>
    <w:uiPriority w:val="99"/>
    <w:rsid w:val="00AC43BF"/>
  </w:style>
  <w:style w:type="paragraph" w:styleId="List">
    <w:name w:val="List"/>
    <w:basedOn w:val="Normal"/>
    <w:uiPriority w:val="99"/>
    <w:rsid w:val="00AC43BF"/>
    <w:pPr>
      <w:ind w:left="360" w:hanging="360"/>
    </w:pPr>
  </w:style>
  <w:style w:type="paragraph" w:styleId="List2">
    <w:name w:val="List 2"/>
    <w:basedOn w:val="Normal"/>
    <w:uiPriority w:val="99"/>
    <w:rsid w:val="00AC43BF"/>
    <w:pPr>
      <w:ind w:left="720" w:hanging="360"/>
    </w:pPr>
  </w:style>
  <w:style w:type="paragraph" w:styleId="List3">
    <w:name w:val="List 3"/>
    <w:basedOn w:val="Normal"/>
    <w:uiPriority w:val="99"/>
    <w:rsid w:val="00AC43BF"/>
    <w:pPr>
      <w:ind w:left="1080" w:hanging="360"/>
    </w:pPr>
  </w:style>
  <w:style w:type="paragraph" w:styleId="List4">
    <w:name w:val="List 4"/>
    <w:basedOn w:val="Normal"/>
    <w:uiPriority w:val="99"/>
    <w:rsid w:val="00AC43BF"/>
    <w:pPr>
      <w:ind w:left="1440" w:hanging="360"/>
    </w:pPr>
  </w:style>
  <w:style w:type="paragraph" w:styleId="List5">
    <w:name w:val="List 5"/>
    <w:basedOn w:val="Normal"/>
    <w:uiPriority w:val="99"/>
    <w:rsid w:val="00AC43BF"/>
    <w:pPr>
      <w:ind w:left="1800" w:hanging="360"/>
    </w:pPr>
  </w:style>
  <w:style w:type="paragraph" w:styleId="ListContinue">
    <w:name w:val="List Continue"/>
    <w:basedOn w:val="Normal"/>
    <w:uiPriority w:val="99"/>
    <w:rsid w:val="00AC43BF"/>
    <w:pPr>
      <w:spacing w:after="120"/>
      <w:ind w:left="360"/>
    </w:pPr>
  </w:style>
  <w:style w:type="paragraph" w:styleId="ListContinue2">
    <w:name w:val="List Continue 2"/>
    <w:basedOn w:val="Normal"/>
    <w:uiPriority w:val="99"/>
    <w:rsid w:val="00AC43BF"/>
    <w:pPr>
      <w:spacing w:after="120"/>
      <w:ind w:left="720"/>
    </w:pPr>
  </w:style>
  <w:style w:type="paragraph" w:styleId="ListContinue3">
    <w:name w:val="List Continue 3"/>
    <w:basedOn w:val="Normal"/>
    <w:uiPriority w:val="99"/>
    <w:rsid w:val="00AC43BF"/>
    <w:pPr>
      <w:spacing w:after="120"/>
      <w:ind w:left="1080"/>
    </w:pPr>
  </w:style>
  <w:style w:type="paragraph" w:styleId="ListContinue4">
    <w:name w:val="List Continue 4"/>
    <w:basedOn w:val="Normal"/>
    <w:uiPriority w:val="99"/>
    <w:rsid w:val="00AC43BF"/>
    <w:pPr>
      <w:spacing w:after="120"/>
      <w:ind w:left="1440"/>
    </w:pPr>
  </w:style>
  <w:style w:type="paragraph" w:styleId="ListContinue5">
    <w:name w:val="List Continue 5"/>
    <w:basedOn w:val="Normal"/>
    <w:uiPriority w:val="99"/>
    <w:rsid w:val="00AC43BF"/>
    <w:pPr>
      <w:spacing w:after="120"/>
      <w:ind w:left="1800"/>
    </w:pPr>
  </w:style>
  <w:style w:type="paragraph" w:styleId="ListNumber">
    <w:name w:val="List Number"/>
    <w:basedOn w:val="Normal"/>
    <w:uiPriority w:val="99"/>
    <w:rsid w:val="00AC43BF"/>
    <w:pPr>
      <w:tabs>
        <w:tab w:val="num" w:pos="360"/>
      </w:tabs>
      <w:ind w:left="360" w:hanging="360"/>
    </w:pPr>
  </w:style>
  <w:style w:type="paragraph" w:styleId="ListNumber2">
    <w:name w:val="List Number 2"/>
    <w:basedOn w:val="Normal"/>
    <w:uiPriority w:val="99"/>
    <w:rsid w:val="00AC43BF"/>
    <w:pPr>
      <w:tabs>
        <w:tab w:val="num" w:pos="720"/>
      </w:tabs>
      <w:ind w:left="720" w:hanging="360"/>
    </w:pPr>
  </w:style>
  <w:style w:type="paragraph" w:styleId="ListNumber3">
    <w:name w:val="List Number 3"/>
    <w:basedOn w:val="Normal"/>
    <w:uiPriority w:val="99"/>
    <w:rsid w:val="00AC43BF"/>
    <w:pPr>
      <w:tabs>
        <w:tab w:val="num" w:pos="1080"/>
      </w:tabs>
      <w:ind w:left="1080" w:hanging="360"/>
    </w:pPr>
  </w:style>
  <w:style w:type="paragraph" w:styleId="ListNumber4">
    <w:name w:val="List Number 4"/>
    <w:basedOn w:val="Normal"/>
    <w:uiPriority w:val="99"/>
    <w:rsid w:val="00AC43BF"/>
    <w:pPr>
      <w:tabs>
        <w:tab w:val="num" w:pos="1440"/>
      </w:tabs>
      <w:ind w:left="1440" w:hanging="360"/>
    </w:pPr>
  </w:style>
  <w:style w:type="paragraph" w:styleId="ListNumber5">
    <w:name w:val="List Number 5"/>
    <w:basedOn w:val="Normal"/>
    <w:uiPriority w:val="99"/>
    <w:rsid w:val="00AC43BF"/>
    <w:pPr>
      <w:tabs>
        <w:tab w:val="num" w:pos="1800"/>
      </w:tabs>
      <w:ind w:left="1800" w:hanging="360"/>
    </w:pPr>
  </w:style>
  <w:style w:type="paragraph" w:styleId="MessageHeader">
    <w:name w:val="Message Header"/>
    <w:basedOn w:val="Normal"/>
    <w:link w:val="MessageHeaderChar"/>
    <w:uiPriority w:val="99"/>
    <w:rsid w:val="00AC43B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rsid w:val="00AC43BF"/>
    <w:rPr>
      <w:rFonts w:ascii="Arial" w:hAnsi="Arial" w:cs="Arial"/>
      <w:sz w:val="24"/>
      <w:szCs w:val="24"/>
      <w:shd w:val="pct20" w:color="auto" w:fill="auto"/>
    </w:rPr>
  </w:style>
  <w:style w:type="paragraph" w:styleId="NormalIndent">
    <w:name w:val="Normal Indent"/>
    <w:basedOn w:val="Normal"/>
    <w:uiPriority w:val="99"/>
    <w:rsid w:val="00AC43BF"/>
    <w:pPr>
      <w:ind w:left="720"/>
    </w:pPr>
  </w:style>
  <w:style w:type="paragraph" w:styleId="NoteHeading">
    <w:name w:val="Note Heading"/>
    <w:basedOn w:val="Normal"/>
    <w:next w:val="Normal"/>
    <w:link w:val="NoteHeadingChar"/>
    <w:uiPriority w:val="99"/>
    <w:rsid w:val="00AC43BF"/>
  </w:style>
  <w:style w:type="character" w:customStyle="1" w:styleId="NoteHeadingChar">
    <w:name w:val="Note Heading Char"/>
    <w:basedOn w:val="DefaultParagraphFont"/>
    <w:link w:val="NoteHeading"/>
    <w:uiPriority w:val="99"/>
    <w:rsid w:val="00AC43BF"/>
    <w:rPr>
      <w:sz w:val="22"/>
    </w:rPr>
  </w:style>
  <w:style w:type="paragraph" w:styleId="PlainText">
    <w:name w:val="Plain Text"/>
    <w:basedOn w:val="Normal"/>
    <w:link w:val="PlainTextChar"/>
    <w:uiPriority w:val="99"/>
    <w:rsid w:val="00AC43BF"/>
    <w:rPr>
      <w:rFonts w:ascii="Courier New" w:hAnsi="Courier New" w:cs="Courier New"/>
      <w:sz w:val="20"/>
    </w:rPr>
  </w:style>
  <w:style w:type="character" w:customStyle="1" w:styleId="PlainTextChar">
    <w:name w:val="Plain Text Char"/>
    <w:basedOn w:val="DefaultParagraphFont"/>
    <w:link w:val="PlainText"/>
    <w:uiPriority w:val="99"/>
    <w:rsid w:val="00AC43BF"/>
    <w:rPr>
      <w:rFonts w:ascii="Courier New" w:hAnsi="Courier New" w:cs="Courier New"/>
    </w:rPr>
  </w:style>
  <w:style w:type="paragraph" w:styleId="Salutation">
    <w:name w:val="Salutation"/>
    <w:basedOn w:val="Normal"/>
    <w:next w:val="Normal"/>
    <w:link w:val="SalutationChar"/>
    <w:uiPriority w:val="99"/>
    <w:rsid w:val="00AC43BF"/>
  </w:style>
  <w:style w:type="character" w:customStyle="1" w:styleId="SalutationChar">
    <w:name w:val="Salutation Char"/>
    <w:basedOn w:val="DefaultParagraphFont"/>
    <w:link w:val="Salutation"/>
    <w:uiPriority w:val="99"/>
    <w:rsid w:val="00AC43BF"/>
    <w:rPr>
      <w:sz w:val="22"/>
    </w:rPr>
  </w:style>
  <w:style w:type="paragraph" w:styleId="Signature">
    <w:name w:val="Signature"/>
    <w:basedOn w:val="Normal"/>
    <w:link w:val="SignatureChar"/>
    <w:uiPriority w:val="99"/>
    <w:rsid w:val="00AC43BF"/>
    <w:pPr>
      <w:ind w:left="4320"/>
    </w:pPr>
  </w:style>
  <w:style w:type="character" w:customStyle="1" w:styleId="SignatureChar">
    <w:name w:val="Signature Char"/>
    <w:basedOn w:val="DefaultParagraphFont"/>
    <w:link w:val="Signature"/>
    <w:uiPriority w:val="99"/>
    <w:rsid w:val="00AC43BF"/>
    <w:rPr>
      <w:sz w:val="22"/>
    </w:rPr>
  </w:style>
  <w:style w:type="table" w:styleId="Table3Deffects2">
    <w:name w:val="Table 3D effects 2"/>
    <w:basedOn w:val="TableNormal"/>
    <w:rsid w:val="00AC43BF"/>
    <w:pPr>
      <w:spacing w:line="264" w:lineRule="auto"/>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AC43BF"/>
    <w:pPr>
      <w:spacing w:line="264" w:lineRule="auto"/>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AC43BF"/>
    <w:pPr>
      <w:spacing w:line="264" w:lineRule="auto"/>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AC43BF"/>
    <w:pPr>
      <w:spacing w:line="264" w:lineRule="auto"/>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AC43BF"/>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AC43BF"/>
    <w:pPr>
      <w:spacing w:line="264" w:lineRule="auto"/>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AC43BF"/>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C43BF"/>
    <w:pPr>
      <w:spacing w:line="264" w:lineRule="auto"/>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C43BF"/>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C43BF"/>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AC43BF"/>
    <w:pPr>
      <w:spacing w:line="264" w:lineRule="auto"/>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AC43BF"/>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AC43BF"/>
    <w:pPr>
      <w:spacing w:line="264" w:lineRule="auto"/>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AC43BF"/>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AC43BF"/>
    <w:pPr>
      <w:spacing w:line="264" w:lineRule="auto"/>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Grid10">
    <w:name w:val="Table Grid 1"/>
    <w:basedOn w:val="TableNormal"/>
    <w:rsid w:val="00AC43BF"/>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AC43BF"/>
    <w:pPr>
      <w:spacing w:line="264" w:lineRule="auto"/>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AC43BF"/>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AC43BF"/>
    <w:pPr>
      <w:spacing w:line="264" w:lineRule="auto"/>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AC43BF"/>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AC43BF"/>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AC43BF"/>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AC43BF"/>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AC43BF"/>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AC43BF"/>
    <w:pPr>
      <w:spacing w:line="264" w:lineRule="auto"/>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AC43BF"/>
    <w:pPr>
      <w:spacing w:line="264" w:lineRule="auto"/>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AC43BF"/>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C43BF"/>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AC43BF"/>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AC43BF"/>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AC43BF"/>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C43BF"/>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C43BF"/>
    <w:pPr>
      <w:spacing w:line="264" w:lineRule="auto"/>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C43BF"/>
    <w:pPr>
      <w:spacing w:line="264" w:lineRule="auto"/>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C43BF"/>
    <w:pPr>
      <w:spacing w:line="264" w:lineRule="auto"/>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C43BF"/>
    <w:pPr>
      <w:spacing w:line="264" w:lineRule="auto"/>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AC43BF"/>
    <w:pPr>
      <w:spacing w:line="264" w:lineRule="auto"/>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AC43BF"/>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C43BF"/>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AC43BF"/>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AC43BF"/>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apple-style-span">
    <w:name w:val="apple-style-span"/>
    <w:basedOn w:val="DefaultParagraphFont"/>
    <w:uiPriority w:val="99"/>
    <w:rsid w:val="00AC43BF"/>
    <w:rPr>
      <w:rFonts w:cs="Times New Roman"/>
    </w:rPr>
  </w:style>
  <w:style w:type="paragraph" w:customStyle="1" w:styleId="xl24">
    <w:name w:val="xl24"/>
    <w:basedOn w:val="Normal"/>
    <w:uiPriority w:val="99"/>
    <w:rsid w:val="00AC43B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
    <w:name w:val="xl25"/>
    <w:basedOn w:val="Normal"/>
    <w:uiPriority w:val="99"/>
    <w:rsid w:val="00AC43B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26">
    <w:name w:val="xl26"/>
    <w:basedOn w:val="Normal"/>
    <w:uiPriority w:val="99"/>
    <w:rsid w:val="00AC43BF"/>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27">
    <w:name w:val="xl27"/>
    <w:basedOn w:val="Normal"/>
    <w:uiPriority w:val="99"/>
    <w:rsid w:val="00AC43B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28">
    <w:name w:val="xl28"/>
    <w:basedOn w:val="Normal"/>
    <w:uiPriority w:val="99"/>
    <w:rsid w:val="00AC43BF"/>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29">
    <w:name w:val="xl29"/>
    <w:basedOn w:val="Normal"/>
    <w:uiPriority w:val="99"/>
    <w:rsid w:val="00AC43BF"/>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30">
    <w:name w:val="xl30"/>
    <w:basedOn w:val="Normal"/>
    <w:uiPriority w:val="99"/>
    <w:rsid w:val="00AC43BF"/>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24"/>
      <w:szCs w:val="24"/>
    </w:rPr>
  </w:style>
  <w:style w:type="paragraph" w:customStyle="1" w:styleId="xl31">
    <w:name w:val="xl31"/>
    <w:basedOn w:val="Normal"/>
    <w:uiPriority w:val="99"/>
    <w:rsid w:val="00AC43B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24"/>
      <w:szCs w:val="24"/>
    </w:rPr>
  </w:style>
  <w:style w:type="paragraph" w:customStyle="1" w:styleId="xl32">
    <w:name w:val="xl32"/>
    <w:basedOn w:val="Normal"/>
    <w:uiPriority w:val="99"/>
    <w:rsid w:val="00AC43BF"/>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b/>
      <w:bCs/>
      <w:sz w:val="24"/>
      <w:szCs w:val="24"/>
    </w:rPr>
  </w:style>
  <w:style w:type="paragraph" w:customStyle="1" w:styleId="xl33">
    <w:name w:val="xl33"/>
    <w:basedOn w:val="Normal"/>
    <w:uiPriority w:val="99"/>
    <w:rsid w:val="00AC43BF"/>
    <w:pPr>
      <w:pBdr>
        <w:top w:val="single" w:sz="8" w:space="0" w:color="auto"/>
        <w:left w:val="single" w:sz="8" w:space="0" w:color="auto"/>
        <w:bottom w:val="single" w:sz="4" w:space="0" w:color="auto"/>
      </w:pBdr>
      <w:shd w:val="clear" w:color="auto" w:fill="C0C0C0"/>
      <w:spacing w:before="100" w:beforeAutospacing="1" w:after="100" w:afterAutospacing="1"/>
      <w:textAlignment w:val="top"/>
    </w:pPr>
    <w:rPr>
      <w:b/>
      <w:bCs/>
      <w:sz w:val="24"/>
      <w:szCs w:val="24"/>
    </w:rPr>
  </w:style>
  <w:style w:type="paragraph" w:customStyle="1" w:styleId="xl34">
    <w:name w:val="xl34"/>
    <w:basedOn w:val="Normal"/>
    <w:uiPriority w:val="99"/>
    <w:rsid w:val="00AC43BF"/>
    <w:pPr>
      <w:pBdr>
        <w:top w:val="single" w:sz="8" w:space="0" w:color="auto"/>
        <w:bottom w:val="single" w:sz="4" w:space="0" w:color="auto"/>
      </w:pBdr>
      <w:shd w:val="clear" w:color="auto" w:fill="C0C0C0"/>
      <w:spacing w:before="100" w:beforeAutospacing="1" w:after="100" w:afterAutospacing="1"/>
      <w:textAlignment w:val="top"/>
    </w:pPr>
    <w:rPr>
      <w:b/>
      <w:bCs/>
      <w:sz w:val="24"/>
      <w:szCs w:val="24"/>
    </w:rPr>
  </w:style>
  <w:style w:type="paragraph" w:customStyle="1" w:styleId="xl35">
    <w:name w:val="xl35"/>
    <w:basedOn w:val="Normal"/>
    <w:uiPriority w:val="99"/>
    <w:rsid w:val="00AC43BF"/>
    <w:pPr>
      <w:pBdr>
        <w:top w:val="single" w:sz="8" w:space="0" w:color="auto"/>
        <w:bottom w:val="single" w:sz="4" w:space="0" w:color="auto"/>
        <w:right w:val="single" w:sz="8" w:space="0" w:color="auto"/>
      </w:pBdr>
      <w:shd w:val="clear" w:color="auto" w:fill="C0C0C0"/>
      <w:spacing w:before="100" w:beforeAutospacing="1" w:after="100" w:afterAutospacing="1"/>
      <w:textAlignment w:val="top"/>
    </w:pPr>
    <w:rPr>
      <w:b/>
      <w:bCs/>
      <w:sz w:val="24"/>
      <w:szCs w:val="24"/>
    </w:rPr>
  </w:style>
  <w:style w:type="paragraph" w:customStyle="1" w:styleId="font5">
    <w:name w:val="font5"/>
    <w:basedOn w:val="Normal"/>
    <w:rsid w:val="00AC43BF"/>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C43BF"/>
    <w:pPr>
      <w:spacing w:before="100" w:beforeAutospacing="1" w:after="100" w:afterAutospacing="1"/>
    </w:pPr>
    <w:rPr>
      <w:rFonts w:ascii="Tahoma" w:hAnsi="Tahoma" w:cs="Tahoma"/>
      <w:b/>
      <w:bCs/>
      <w:color w:val="000000"/>
      <w:sz w:val="16"/>
      <w:szCs w:val="16"/>
    </w:rPr>
  </w:style>
  <w:style w:type="character" w:customStyle="1" w:styleId="CharChar11">
    <w:name w:val="Char Char11"/>
    <w:uiPriority w:val="99"/>
    <w:rsid w:val="00AC43BF"/>
    <w:rPr>
      <w:sz w:val="22"/>
      <w:lang w:val="en-US" w:eastAsia="en-US"/>
    </w:rPr>
  </w:style>
  <w:style w:type="character" w:customStyle="1" w:styleId="CharChar3">
    <w:name w:val="Char Char3"/>
    <w:uiPriority w:val="99"/>
    <w:rsid w:val="00AC43BF"/>
    <w:rPr>
      <w:rFonts w:ascii="Arial" w:hAnsi="Arial"/>
      <w:b/>
      <w:sz w:val="16"/>
    </w:rPr>
  </w:style>
  <w:style w:type="character" w:customStyle="1" w:styleId="CharChar2">
    <w:name w:val="Char Char2"/>
    <w:uiPriority w:val="99"/>
    <w:rsid w:val="00AC43BF"/>
    <w:rPr>
      <w:b/>
      <w:sz w:val="18"/>
    </w:rPr>
  </w:style>
  <w:style w:type="character" w:customStyle="1" w:styleId="CharChar5">
    <w:name w:val="Char Char5"/>
    <w:uiPriority w:val="99"/>
    <w:rsid w:val="00AC43BF"/>
    <w:rPr>
      <w:rFonts w:ascii="Arial" w:hAnsi="Arial"/>
      <w:b/>
      <w:sz w:val="16"/>
    </w:rPr>
  </w:style>
  <w:style w:type="character" w:customStyle="1" w:styleId="CharChar4">
    <w:name w:val="Char Char4"/>
    <w:uiPriority w:val="99"/>
    <w:rsid w:val="00AC43BF"/>
    <w:rPr>
      <w:b/>
      <w:sz w:val="18"/>
    </w:rPr>
  </w:style>
  <w:style w:type="character" w:customStyle="1" w:styleId="CharChar7">
    <w:name w:val="Char Char7"/>
    <w:uiPriority w:val="99"/>
    <w:rsid w:val="00AC43BF"/>
    <w:rPr>
      <w:rFonts w:ascii="Arial" w:hAnsi="Arial"/>
      <w:b/>
      <w:sz w:val="16"/>
    </w:rPr>
  </w:style>
  <w:style w:type="character" w:customStyle="1" w:styleId="CharChar6">
    <w:name w:val="Char Char6"/>
    <w:uiPriority w:val="99"/>
    <w:rsid w:val="00AC43BF"/>
    <w:rPr>
      <w:b/>
      <w:sz w:val="18"/>
    </w:rPr>
  </w:style>
  <w:style w:type="character" w:customStyle="1" w:styleId="CharChar10">
    <w:name w:val="Char Char10"/>
    <w:uiPriority w:val="99"/>
    <w:rsid w:val="00AC43BF"/>
    <w:rPr>
      <w:rFonts w:ascii="Arial" w:hAnsi="Arial"/>
      <w:b/>
      <w:sz w:val="16"/>
    </w:rPr>
  </w:style>
  <w:style w:type="character" w:customStyle="1" w:styleId="CharChar8">
    <w:name w:val="Char Char8"/>
    <w:uiPriority w:val="99"/>
    <w:rsid w:val="00AC43BF"/>
    <w:rPr>
      <w:b/>
      <w:sz w:val="18"/>
    </w:rPr>
  </w:style>
  <w:style w:type="paragraph" w:styleId="IntenseQuote">
    <w:name w:val="Intense Quote"/>
    <w:basedOn w:val="Normal"/>
    <w:next w:val="Normal"/>
    <w:link w:val="IntenseQuoteChar"/>
    <w:uiPriority w:val="30"/>
    <w:qFormat/>
    <w:rsid w:val="00AC43B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43BF"/>
    <w:rPr>
      <w:b/>
      <w:bCs/>
      <w:i/>
      <w:iCs/>
      <w:sz w:val="22"/>
    </w:rPr>
  </w:style>
  <w:style w:type="character" w:styleId="IntenseEmphasis">
    <w:name w:val="Intense Emphasis"/>
    <w:basedOn w:val="DefaultParagraphFont"/>
    <w:uiPriority w:val="21"/>
    <w:qFormat/>
    <w:rsid w:val="00AC43BF"/>
    <w:rPr>
      <w:b/>
    </w:rPr>
  </w:style>
  <w:style w:type="character" w:styleId="IntenseReference">
    <w:name w:val="Intense Reference"/>
    <w:basedOn w:val="DefaultParagraphFont"/>
    <w:uiPriority w:val="32"/>
    <w:qFormat/>
    <w:rsid w:val="00AC43BF"/>
    <w:rPr>
      <w:smallCaps/>
      <w:spacing w:val="5"/>
      <w:u w:val="single"/>
    </w:rPr>
  </w:style>
  <w:style w:type="character" w:styleId="BookTitle">
    <w:name w:val="Book Title"/>
    <w:basedOn w:val="DefaultParagraphFont"/>
    <w:uiPriority w:val="33"/>
    <w:qFormat/>
    <w:rsid w:val="00AC43BF"/>
    <w:rPr>
      <w:i/>
      <w:smallCaps/>
      <w:spacing w:val="5"/>
    </w:rPr>
  </w:style>
  <w:style w:type="paragraph" w:customStyle="1" w:styleId="eqintable">
    <w:name w:val="eq in table"/>
    <w:basedOn w:val="TableText"/>
    <w:link w:val="eqintableChar"/>
    <w:autoRedefine/>
    <w:uiPriority w:val="99"/>
    <w:rsid w:val="00AC43BF"/>
    <w:pPr>
      <w:keepNext/>
      <w:keepLines/>
      <w:spacing w:before="0" w:after="0"/>
      <w:jc w:val="center"/>
    </w:pPr>
    <w:rPr>
      <w:bCs/>
      <w:sz w:val="22"/>
      <w:szCs w:val="16"/>
    </w:rPr>
  </w:style>
  <w:style w:type="character" w:customStyle="1" w:styleId="eqintableChar">
    <w:name w:val="eq in table Char"/>
    <w:link w:val="eqintable"/>
    <w:uiPriority w:val="99"/>
    <w:locked/>
    <w:rsid w:val="00AC43BF"/>
    <w:rPr>
      <w:rFonts w:ascii="Arial Narrow" w:hAnsi="Arial Narrow"/>
      <w:bCs/>
      <w:sz w:val="22"/>
      <w:szCs w:val="16"/>
    </w:rPr>
  </w:style>
  <w:style w:type="paragraph" w:styleId="BodyText20">
    <w:name w:val="Body Text 2"/>
    <w:basedOn w:val="Normal"/>
    <w:link w:val="BodyText2Char"/>
    <w:uiPriority w:val="99"/>
    <w:rsid w:val="00AC43BF"/>
    <w:pPr>
      <w:spacing w:after="120" w:line="480" w:lineRule="auto"/>
    </w:pPr>
  </w:style>
  <w:style w:type="character" w:customStyle="1" w:styleId="BodyText2Char">
    <w:name w:val="Body Text 2 Char"/>
    <w:basedOn w:val="DefaultParagraphFont"/>
    <w:link w:val="BodyText20"/>
    <w:uiPriority w:val="99"/>
    <w:rsid w:val="00AC43BF"/>
    <w:rPr>
      <w:sz w:val="22"/>
    </w:rPr>
  </w:style>
  <w:style w:type="paragraph" w:customStyle="1" w:styleId="NonsectionHeading2">
    <w:name w:val="Nonsection Heading 2"/>
    <w:basedOn w:val="Normal"/>
    <w:next w:val="Normal"/>
    <w:uiPriority w:val="99"/>
    <w:rsid w:val="00AC43BF"/>
    <w:pPr>
      <w:ind w:left="720"/>
    </w:pPr>
    <w:rPr>
      <w:i/>
    </w:rPr>
  </w:style>
  <w:style w:type="paragraph" w:customStyle="1" w:styleId="Appendix1">
    <w:name w:val="Appendix 1"/>
    <w:basedOn w:val="Heading1"/>
    <w:uiPriority w:val="99"/>
    <w:rsid w:val="00AC43BF"/>
    <w:pPr>
      <w:keepNext/>
      <w:keepLines/>
      <w:numPr>
        <w:numId w:val="0"/>
      </w:numPr>
      <w:spacing w:before="60"/>
    </w:pPr>
    <w:rPr>
      <w:color w:val="auto"/>
    </w:rPr>
  </w:style>
  <w:style w:type="paragraph" w:customStyle="1" w:styleId="Appendix2">
    <w:name w:val="Appendix 2"/>
    <w:uiPriority w:val="99"/>
    <w:rsid w:val="0065055C"/>
    <w:pPr>
      <w:keepNext/>
      <w:keepLines/>
      <w:spacing w:before="60" w:after="180" w:line="264" w:lineRule="auto"/>
      <w:ind w:left="576" w:hanging="576"/>
    </w:pPr>
    <w:rPr>
      <w:rFonts w:ascii="Arial" w:hAnsi="Arial" w:cs="Arial"/>
      <w:b/>
      <w:bCs/>
      <w:sz w:val="22"/>
    </w:rPr>
  </w:style>
  <w:style w:type="paragraph" w:customStyle="1" w:styleId="Appendix3">
    <w:name w:val="Appendix 3"/>
    <w:basedOn w:val="Heading3"/>
    <w:next w:val="BodyText"/>
    <w:uiPriority w:val="99"/>
    <w:rsid w:val="00AC43BF"/>
    <w:pPr>
      <w:keepLines/>
      <w:numPr>
        <w:ilvl w:val="0"/>
        <w:numId w:val="0"/>
      </w:numPr>
      <w:tabs>
        <w:tab w:val="num" w:pos="2160"/>
      </w:tabs>
      <w:ind w:left="2160" w:hanging="360"/>
    </w:pPr>
    <w:rPr>
      <w:rFonts w:cs="Arial"/>
      <w:bCs/>
      <w:iCs/>
      <w:kern w:val="28"/>
    </w:rPr>
  </w:style>
  <w:style w:type="paragraph" w:customStyle="1" w:styleId="Normal11pt">
    <w:name w:val="Normal 11pt"/>
    <w:basedOn w:val="Normal"/>
    <w:uiPriority w:val="99"/>
    <w:rsid w:val="00AC43BF"/>
    <w:pPr>
      <w:widowControl w:val="0"/>
      <w:autoSpaceDE w:val="0"/>
      <w:autoSpaceDN w:val="0"/>
      <w:spacing w:before="180"/>
      <w:ind w:firstLine="720"/>
    </w:pPr>
  </w:style>
  <w:style w:type="character" w:customStyle="1" w:styleId="BodyTextChar2">
    <w:name w:val="Body Text Char2"/>
    <w:basedOn w:val="DefaultParagraphFont"/>
    <w:uiPriority w:val="99"/>
    <w:rsid w:val="00AC43BF"/>
    <w:rPr>
      <w:rFonts w:cs="Times New Roman"/>
      <w:sz w:val="22"/>
      <w:lang w:val="en-US" w:eastAsia="en-US" w:bidi="ar-SA"/>
    </w:rPr>
  </w:style>
  <w:style w:type="paragraph" w:customStyle="1" w:styleId="Footnote">
    <w:name w:val="Footnote"/>
    <w:basedOn w:val="Footer"/>
    <w:uiPriority w:val="99"/>
    <w:rsid w:val="00AC43BF"/>
    <w:pPr>
      <w:pBdr>
        <w:top w:val="single" w:sz="8" w:space="1" w:color="auto"/>
      </w:pBdr>
      <w:spacing w:line="264" w:lineRule="auto"/>
    </w:pPr>
    <w:rPr>
      <w:color w:val="auto"/>
      <w:sz w:val="16"/>
    </w:rPr>
  </w:style>
  <w:style w:type="paragraph" w:customStyle="1" w:styleId="References">
    <w:name w:val="References"/>
    <w:basedOn w:val="Heading1"/>
    <w:uiPriority w:val="99"/>
    <w:rsid w:val="00AC43BF"/>
    <w:pPr>
      <w:keepNext/>
      <w:keepLines/>
      <w:numPr>
        <w:numId w:val="0"/>
      </w:numPr>
      <w:spacing w:after="0"/>
    </w:pPr>
    <w:rPr>
      <w:rFonts w:ascii="Times New Roman" w:hAnsi="Times New Roman"/>
      <w:i/>
      <w:iCs/>
      <w:color w:val="auto"/>
    </w:rPr>
  </w:style>
  <w:style w:type="character" w:customStyle="1" w:styleId="Heading1Char1">
    <w:name w:val="Heading 1 Char1"/>
    <w:basedOn w:val="DefaultParagraphFont"/>
    <w:uiPriority w:val="99"/>
    <w:rsid w:val="00AC43BF"/>
    <w:rPr>
      <w:rFonts w:ascii="Arial Bold" w:hAnsi="Arial Bold" w:cs="Arial"/>
      <w:b/>
      <w:kern w:val="28"/>
      <w:sz w:val="28"/>
      <w:lang w:val="en-US" w:eastAsia="en-US" w:bidi="ar-SA"/>
    </w:rPr>
  </w:style>
  <w:style w:type="character" w:customStyle="1" w:styleId="Heading2Char1">
    <w:name w:val="Heading 2 Char1"/>
    <w:basedOn w:val="Heading1Char1"/>
    <w:uiPriority w:val="99"/>
    <w:rsid w:val="00AC43BF"/>
    <w:rPr>
      <w:rFonts w:ascii="Arial Bold" w:hAnsi="Arial Bold" w:cs="Arial"/>
      <w:b/>
      <w:bCs/>
      <w:kern w:val="28"/>
      <w:sz w:val="24"/>
      <w:lang w:val="en-US" w:eastAsia="en-US" w:bidi="ar-SA"/>
    </w:rPr>
  </w:style>
  <w:style w:type="character" w:customStyle="1" w:styleId="Heading3Char2">
    <w:name w:val="Heading 3 Char2"/>
    <w:basedOn w:val="Heading2Char1"/>
    <w:uiPriority w:val="99"/>
    <w:rsid w:val="00AC43BF"/>
    <w:rPr>
      <w:rFonts w:ascii="Arial Bold" w:hAnsi="Arial Bold" w:cs="Arial"/>
      <w:b/>
      <w:bCs/>
      <w:iCs/>
      <w:kern w:val="28"/>
      <w:sz w:val="22"/>
      <w:lang w:val="en-US" w:eastAsia="en-US" w:bidi="ar-SA"/>
    </w:rPr>
  </w:style>
  <w:style w:type="character" w:customStyle="1" w:styleId="abbr">
    <w:name w:val="abbr"/>
    <w:basedOn w:val="DefaultParagraphFont"/>
    <w:uiPriority w:val="99"/>
    <w:rsid w:val="00AC43BF"/>
    <w:rPr>
      <w:rFonts w:cs="Times New Roman"/>
    </w:rPr>
  </w:style>
  <w:style w:type="character" w:customStyle="1" w:styleId="tablefootnoteChar">
    <w:name w:val="table footnote Char"/>
    <w:basedOn w:val="DefaultParagraphFont"/>
    <w:link w:val="tablefootnote"/>
    <w:uiPriority w:val="99"/>
    <w:locked/>
    <w:rsid w:val="004A7CC0"/>
    <w:rPr>
      <w:sz w:val="16"/>
    </w:rPr>
  </w:style>
  <w:style w:type="paragraph" w:customStyle="1" w:styleId="xl36">
    <w:name w:val="xl36"/>
    <w:basedOn w:val="Normal"/>
    <w:uiPriority w:val="99"/>
    <w:rsid w:val="00AC43BF"/>
    <w:pPr>
      <w:pBdr>
        <w:bottom w:val="single" w:sz="8" w:space="0" w:color="auto"/>
        <w:right w:val="single" w:sz="8" w:space="0" w:color="auto"/>
      </w:pBdr>
      <w:shd w:val="clear" w:color="auto" w:fill="FFFFFF"/>
      <w:spacing w:before="100" w:beforeAutospacing="1" w:after="100" w:afterAutospacing="1"/>
      <w:jc w:val="right"/>
    </w:pPr>
    <w:rPr>
      <w:b/>
      <w:bCs/>
      <w:sz w:val="18"/>
      <w:szCs w:val="18"/>
    </w:rPr>
  </w:style>
  <w:style w:type="paragraph" w:customStyle="1" w:styleId="xl37">
    <w:name w:val="xl37"/>
    <w:basedOn w:val="Normal"/>
    <w:uiPriority w:val="99"/>
    <w:rsid w:val="00AC43BF"/>
    <w:pPr>
      <w:pBdr>
        <w:top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38">
    <w:name w:val="xl38"/>
    <w:basedOn w:val="Normal"/>
    <w:uiPriority w:val="99"/>
    <w:rsid w:val="00AC43BF"/>
    <w:pPr>
      <w:pBdr>
        <w:top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39">
    <w:name w:val="xl39"/>
    <w:basedOn w:val="Normal"/>
    <w:uiPriority w:val="99"/>
    <w:rsid w:val="00AC43BF"/>
    <w:pPr>
      <w:pBdr>
        <w:bottom w:val="single" w:sz="8" w:space="0" w:color="auto"/>
        <w:right w:val="single" w:sz="8" w:space="0" w:color="auto"/>
      </w:pBdr>
      <w:spacing w:before="100" w:beforeAutospacing="1" w:after="100" w:afterAutospacing="1"/>
    </w:pPr>
    <w:rPr>
      <w:sz w:val="18"/>
      <w:szCs w:val="18"/>
    </w:rPr>
  </w:style>
  <w:style w:type="paragraph" w:customStyle="1" w:styleId="xl40">
    <w:name w:val="xl40"/>
    <w:basedOn w:val="Normal"/>
    <w:uiPriority w:val="99"/>
    <w:rsid w:val="00AC43BF"/>
    <w:pPr>
      <w:pBdr>
        <w:bottom w:val="single" w:sz="8" w:space="0" w:color="auto"/>
        <w:right w:val="single" w:sz="8" w:space="0" w:color="auto"/>
      </w:pBdr>
      <w:spacing w:before="100" w:beforeAutospacing="1" w:after="100" w:afterAutospacing="1"/>
      <w:jc w:val="right"/>
    </w:pPr>
    <w:rPr>
      <w:sz w:val="18"/>
      <w:szCs w:val="18"/>
    </w:rPr>
  </w:style>
  <w:style w:type="paragraph" w:customStyle="1" w:styleId="xl41">
    <w:name w:val="xl41"/>
    <w:basedOn w:val="Normal"/>
    <w:uiPriority w:val="99"/>
    <w:rsid w:val="00AC43BF"/>
    <w:pPr>
      <w:pBdr>
        <w:bottom w:val="single" w:sz="8" w:space="0" w:color="auto"/>
        <w:right w:val="single" w:sz="8" w:space="0" w:color="auto"/>
      </w:pBdr>
      <w:spacing w:before="100" w:beforeAutospacing="1" w:after="100" w:afterAutospacing="1"/>
    </w:pPr>
    <w:rPr>
      <w:b/>
      <w:bCs/>
      <w:sz w:val="18"/>
      <w:szCs w:val="18"/>
    </w:rPr>
  </w:style>
  <w:style w:type="paragraph" w:customStyle="1" w:styleId="xl42">
    <w:name w:val="xl42"/>
    <w:basedOn w:val="Normal"/>
    <w:uiPriority w:val="99"/>
    <w:rsid w:val="00AC43BF"/>
    <w:pPr>
      <w:pBdr>
        <w:bottom w:val="single" w:sz="8" w:space="0" w:color="auto"/>
        <w:right w:val="single" w:sz="8" w:space="0" w:color="auto"/>
      </w:pBdr>
      <w:spacing w:before="100" w:beforeAutospacing="1" w:after="100" w:afterAutospacing="1"/>
      <w:jc w:val="right"/>
    </w:pPr>
    <w:rPr>
      <w:b/>
      <w:bCs/>
      <w:sz w:val="18"/>
      <w:szCs w:val="18"/>
    </w:rPr>
  </w:style>
  <w:style w:type="paragraph" w:customStyle="1" w:styleId="xl43">
    <w:name w:val="xl43"/>
    <w:basedOn w:val="Normal"/>
    <w:uiPriority w:val="99"/>
    <w:rsid w:val="00AC43BF"/>
    <w:pPr>
      <w:pBdr>
        <w:top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44">
    <w:name w:val="xl44"/>
    <w:basedOn w:val="Normal"/>
    <w:uiPriority w:val="99"/>
    <w:rsid w:val="00AC43BF"/>
    <w:pPr>
      <w:pBdr>
        <w:bottom w:val="single" w:sz="8" w:space="0" w:color="auto"/>
        <w:right w:val="single" w:sz="8" w:space="0" w:color="auto"/>
      </w:pBdr>
      <w:spacing w:before="100" w:beforeAutospacing="1" w:after="100" w:afterAutospacing="1"/>
      <w:jc w:val="right"/>
    </w:pPr>
    <w:rPr>
      <w:sz w:val="18"/>
      <w:szCs w:val="18"/>
    </w:rPr>
  </w:style>
  <w:style w:type="paragraph" w:customStyle="1" w:styleId="xl45">
    <w:name w:val="xl45"/>
    <w:basedOn w:val="Normal"/>
    <w:uiPriority w:val="99"/>
    <w:rsid w:val="00AC43BF"/>
    <w:pPr>
      <w:pBdr>
        <w:bottom w:val="single" w:sz="8" w:space="0" w:color="auto"/>
        <w:right w:val="single" w:sz="8" w:space="0" w:color="auto"/>
      </w:pBdr>
      <w:spacing w:before="100" w:beforeAutospacing="1" w:after="100" w:afterAutospacing="1"/>
      <w:jc w:val="right"/>
    </w:pPr>
    <w:rPr>
      <w:sz w:val="18"/>
      <w:szCs w:val="18"/>
    </w:rPr>
  </w:style>
  <w:style w:type="paragraph" w:customStyle="1" w:styleId="xl46">
    <w:name w:val="xl46"/>
    <w:basedOn w:val="Normal"/>
    <w:uiPriority w:val="99"/>
    <w:rsid w:val="00AC43BF"/>
    <w:pPr>
      <w:pBdr>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47">
    <w:name w:val="xl47"/>
    <w:basedOn w:val="Normal"/>
    <w:uiPriority w:val="99"/>
    <w:rsid w:val="00AC43BF"/>
    <w:pPr>
      <w:pBdr>
        <w:bottom w:val="single" w:sz="8" w:space="0" w:color="auto"/>
        <w:right w:val="single" w:sz="8" w:space="0" w:color="auto"/>
      </w:pBdr>
      <w:spacing w:before="100" w:beforeAutospacing="1" w:after="100" w:afterAutospacing="1"/>
    </w:pPr>
    <w:rPr>
      <w:b/>
      <w:bCs/>
      <w:i/>
      <w:iCs/>
      <w:sz w:val="18"/>
      <w:szCs w:val="18"/>
    </w:rPr>
  </w:style>
  <w:style w:type="paragraph" w:customStyle="1" w:styleId="xl48">
    <w:name w:val="xl48"/>
    <w:basedOn w:val="Normal"/>
    <w:uiPriority w:val="99"/>
    <w:rsid w:val="00AC43BF"/>
    <w:pPr>
      <w:pBdr>
        <w:top w:val="single" w:sz="8" w:space="0" w:color="auto"/>
        <w:left w:val="single" w:sz="8" w:space="0" w:color="auto"/>
        <w:right w:val="single" w:sz="8" w:space="0" w:color="auto"/>
      </w:pBdr>
      <w:shd w:val="clear" w:color="auto" w:fill="FFFFFF"/>
      <w:spacing w:before="100" w:beforeAutospacing="1" w:after="100" w:afterAutospacing="1"/>
    </w:pPr>
    <w:rPr>
      <w:sz w:val="18"/>
      <w:szCs w:val="18"/>
    </w:rPr>
  </w:style>
  <w:style w:type="paragraph" w:customStyle="1" w:styleId="xl49">
    <w:name w:val="xl49"/>
    <w:basedOn w:val="Normal"/>
    <w:uiPriority w:val="99"/>
    <w:rsid w:val="00AC43B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sz w:val="18"/>
      <w:szCs w:val="18"/>
    </w:rPr>
  </w:style>
  <w:style w:type="paragraph" w:customStyle="1" w:styleId="xl50">
    <w:name w:val="xl50"/>
    <w:basedOn w:val="Normal"/>
    <w:uiPriority w:val="99"/>
    <w:rsid w:val="00AC43B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sz w:val="18"/>
      <w:szCs w:val="18"/>
    </w:rPr>
  </w:style>
  <w:style w:type="paragraph" w:customStyle="1" w:styleId="xl51">
    <w:name w:val="xl51"/>
    <w:basedOn w:val="Normal"/>
    <w:uiPriority w:val="99"/>
    <w:rsid w:val="00AC43B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right"/>
    </w:pPr>
    <w:rPr>
      <w:sz w:val="18"/>
      <w:szCs w:val="18"/>
    </w:rPr>
  </w:style>
  <w:style w:type="paragraph" w:customStyle="1" w:styleId="xl52">
    <w:name w:val="xl52"/>
    <w:basedOn w:val="Normal"/>
    <w:uiPriority w:val="99"/>
    <w:rsid w:val="00AC43BF"/>
    <w:pPr>
      <w:pBdr>
        <w:bottom w:val="single" w:sz="8" w:space="0" w:color="auto"/>
        <w:right w:val="single" w:sz="8" w:space="0" w:color="auto"/>
      </w:pBdr>
      <w:spacing w:before="100" w:beforeAutospacing="1" w:after="100" w:afterAutospacing="1"/>
      <w:jc w:val="right"/>
    </w:pPr>
    <w:rPr>
      <w:i/>
      <w:iCs/>
      <w:sz w:val="18"/>
      <w:szCs w:val="18"/>
    </w:rPr>
  </w:style>
  <w:style w:type="paragraph" w:customStyle="1" w:styleId="xl53">
    <w:name w:val="xl53"/>
    <w:basedOn w:val="Normal"/>
    <w:uiPriority w:val="99"/>
    <w:rsid w:val="00AC43BF"/>
    <w:pPr>
      <w:pBdr>
        <w:top w:val="single" w:sz="8" w:space="0" w:color="auto"/>
        <w:left w:val="single" w:sz="8" w:space="0" w:color="auto"/>
        <w:bottom w:val="single" w:sz="8" w:space="0" w:color="auto"/>
      </w:pBdr>
      <w:shd w:val="clear" w:color="auto" w:fill="C0C0C0"/>
      <w:spacing w:before="100" w:beforeAutospacing="1" w:after="100" w:afterAutospacing="1"/>
    </w:pPr>
    <w:rPr>
      <w:rFonts w:ascii="Arial Bold" w:hAnsi="Arial Bold"/>
      <w:b/>
      <w:bCs/>
      <w:sz w:val="24"/>
      <w:szCs w:val="24"/>
    </w:rPr>
  </w:style>
  <w:style w:type="paragraph" w:customStyle="1" w:styleId="xl54">
    <w:name w:val="xl54"/>
    <w:basedOn w:val="Normal"/>
    <w:uiPriority w:val="99"/>
    <w:rsid w:val="00AC43BF"/>
    <w:pPr>
      <w:pBdr>
        <w:top w:val="single" w:sz="8" w:space="0" w:color="auto"/>
        <w:bottom w:val="single" w:sz="8" w:space="0" w:color="auto"/>
      </w:pBdr>
      <w:shd w:val="clear" w:color="auto" w:fill="C0C0C0"/>
      <w:spacing w:before="100" w:beforeAutospacing="1" w:after="100" w:afterAutospacing="1"/>
    </w:pPr>
    <w:rPr>
      <w:rFonts w:ascii="Arial Bold" w:hAnsi="Arial Bold"/>
      <w:b/>
      <w:bCs/>
      <w:sz w:val="24"/>
      <w:szCs w:val="24"/>
    </w:rPr>
  </w:style>
  <w:style w:type="paragraph" w:customStyle="1" w:styleId="xl55">
    <w:name w:val="xl55"/>
    <w:basedOn w:val="Normal"/>
    <w:uiPriority w:val="99"/>
    <w:rsid w:val="00AC43BF"/>
    <w:pPr>
      <w:pBdr>
        <w:top w:val="single" w:sz="8" w:space="0" w:color="auto"/>
        <w:bottom w:val="single" w:sz="8" w:space="0" w:color="auto"/>
        <w:right w:val="single" w:sz="8" w:space="0" w:color="auto"/>
      </w:pBdr>
      <w:shd w:val="clear" w:color="auto" w:fill="C0C0C0"/>
      <w:spacing w:before="100" w:beforeAutospacing="1" w:after="100" w:afterAutospacing="1"/>
    </w:pPr>
    <w:rPr>
      <w:rFonts w:ascii="Arial Bold" w:hAnsi="Arial Bold"/>
      <w:b/>
      <w:bCs/>
      <w:sz w:val="24"/>
      <w:szCs w:val="24"/>
    </w:rPr>
  </w:style>
  <w:style w:type="paragraph" w:customStyle="1" w:styleId="xl56">
    <w:name w:val="xl56"/>
    <w:basedOn w:val="Normal"/>
    <w:uiPriority w:val="99"/>
    <w:rsid w:val="00AC43BF"/>
    <w:pPr>
      <w:pBdr>
        <w:top w:val="single" w:sz="8" w:space="0" w:color="auto"/>
        <w:left w:val="single" w:sz="8" w:space="0" w:color="auto"/>
        <w:right w:val="single" w:sz="8" w:space="0" w:color="auto"/>
      </w:pBdr>
      <w:shd w:val="clear" w:color="auto" w:fill="FFFF99"/>
      <w:spacing w:before="100" w:beforeAutospacing="1" w:after="100" w:afterAutospacing="1"/>
      <w:jc w:val="center"/>
    </w:pPr>
    <w:rPr>
      <w:b/>
      <w:bCs/>
      <w:color w:val="000000"/>
      <w:sz w:val="18"/>
      <w:szCs w:val="18"/>
    </w:rPr>
  </w:style>
  <w:style w:type="paragraph" w:customStyle="1" w:styleId="xl57">
    <w:name w:val="xl57"/>
    <w:basedOn w:val="Normal"/>
    <w:uiPriority w:val="99"/>
    <w:rsid w:val="00AC43BF"/>
    <w:pPr>
      <w:pBdr>
        <w:left w:val="single" w:sz="8" w:space="0" w:color="auto"/>
        <w:bottom w:val="single" w:sz="8" w:space="0" w:color="auto"/>
        <w:right w:val="single" w:sz="8" w:space="0" w:color="auto"/>
      </w:pBdr>
      <w:shd w:val="clear" w:color="auto" w:fill="FFFF99"/>
      <w:spacing w:before="100" w:beforeAutospacing="1" w:after="100" w:afterAutospacing="1"/>
      <w:jc w:val="center"/>
    </w:pPr>
    <w:rPr>
      <w:b/>
      <w:bCs/>
      <w:color w:val="000000"/>
      <w:sz w:val="18"/>
      <w:szCs w:val="18"/>
    </w:rPr>
  </w:style>
  <w:style w:type="paragraph" w:customStyle="1" w:styleId="xl58">
    <w:name w:val="xl58"/>
    <w:basedOn w:val="Normal"/>
    <w:uiPriority w:val="99"/>
    <w:rsid w:val="00AC43BF"/>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9">
    <w:name w:val="xl59"/>
    <w:basedOn w:val="Normal"/>
    <w:uiPriority w:val="99"/>
    <w:rsid w:val="00AC43BF"/>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0">
    <w:name w:val="xl60"/>
    <w:basedOn w:val="Normal"/>
    <w:uiPriority w:val="99"/>
    <w:rsid w:val="00AC43BF"/>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1">
    <w:name w:val="xl61"/>
    <w:basedOn w:val="Normal"/>
    <w:uiPriority w:val="99"/>
    <w:rsid w:val="00AC43BF"/>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2">
    <w:name w:val="xl62"/>
    <w:basedOn w:val="Normal"/>
    <w:uiPriority w:val="99"/>
    <w:rsid w:val="00AC43BF"/>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3">
    <w:name w:val="xl63"/>
    <w:basedOn w:val="Normal"/>
    <w:uiPriority w:val="99"/>
    <w:rsid w:val="00AC43BF"/>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4">
    <w:name w:val="xl64"/>
    <w:basedOn w:val="Normal"/>
    <w:uiPriority w:val="99"/>
    <w:rsid w:val="00AC43BF"/>
    <w:pPr>
      <w:pBdr>
        <w:top w:val="single" w:sz="8" w:space="0" w:color="auto"/>
        <w:left w:val="single" w:sz="8" w:space="0" w:color="auto"/>
        <w:bottom w:val="single" w:sz="8" w:space="0" w:color="auto"/>
      </w:pBdr>
      <w:spacing w:before="100" w:beforeAutospacing="1" w:after="100" w:afterAutospacing="1"/>
    </w:pPr>
    <w:rPr>
      <w:i/>
      <w:iCs/>
      <w:sz w:val="18"/>
      <w:szCs w:val="18"/>
    </w:rPr>
  </w:style>
  <w:style w:type="paragraph" w:customStyle="1" w:styleId="xl65">
    <w:name w:val="xl65"/>
    <w:basedOn w:val="Normal"/>
    <w:uiPriority w:val="99"/>
    <w:rsid w:val="00AC43BF"/>
    <w:pPr>
      <w:pBdr>
        <w:top w:val="single" w:sz="8" w:space="0" w:color="auto"/>
        <w:bottom w:val="single" w:sz="8" w:space="0" w:color="auto"/>
      </w:pBdr>
      <w:spacing w:before="100" w:beforeAutospacing="1" w:after="100" w:afterAutospacing="1"/>
    </w:pPr>
    <w:rPr>
      <w:rFonts w:ascii="Arial" w:hAnsi="Arial" w:cs="Arial"/>
      <w:i/>
      <w:iCs/>
      <w:sz w:val="24"/>
      <w:szCs w:val="24"/>
    </w:rPr>
  </w:style>
  <w:style w:type="paragraph" w:customStyle="1" w:styleId="xl66">
    <w:name w:val="xl66"/>
    <w:basedOn w:val="Normal"/>
    <w:uiPriority w:val="99"/>
    <w:rsid w:val="00AC43BF"/>
    <w:pPr>
      <w:pBdr>
        <w:top w:val="single" w:sz="8" w:space="0" w:color="auto"/>
        <w:bottom w:val="single" w:sz="8" w:space="0" w:color="auto"/>
        <w:right w:val="single" w:sz="8" w:space="0" w:color="auto"/>
      </w:pBdr>
      <w:spacing w:before="100" w:beforeAutospacing="1" w:after="100" w:afterAutospacing="1"/>
    </w:pPr>
    <w:rPr>
      <w:rFonts w:ascii="Arial" w:hAnsi="Arial" w:cs="Arial"/>
      <w:i/>
      <w:iCs/>
      <w:sz w:val="24"/>
      <w:szCs w:val="24"/>
    </w:rPr>
  </w:style>
  <w:style w:type="paragraph" w:customStyle="1" w:styleId="TableTex">
    <w:name w:val="Table Tex"/>
    <w:basedOn w:val="TableText"/>
    <w:uiPriority w:val="99"/>
    <w:rsid w:val="00AC43BF"/>
    <w:pPr>
      <w:keepNext/>
      <w:keepLines/>
      <w:spacing w:before="0" w:after="0"/>
    </w:pPr>
    <w:rPr>
      <w:bCs/>
    </w:rPr>
  </w:style>
  <w:style w:type="paragraph" w:customStyle="1" w:styleId="Headnig2">
    <w:name w:val="Headnig 2"/>
    <w:basedOn w:val="BodyText"/>
    <w:uiPriority w:val="99"/>
    <w:rsid w:val="00AC43BF"/>
    <w:pPr>
      <w:tabs>
        <w:tab w:val="left" w:pos="720"/>
        <w:tab w:val="left" w:pos="1080"/>
        <w:tab w:val="left" w:pos="1440"/>
        <w:tab w:val="left" w:pos="1800"/>
      </w:tabs>
      <w:spacing w:after="0"/>
      <w:ind w:firstLine="720"/>
    </w:pPr>
  </w:style>
  <w:style w:type="paragraph" w:customStyle="1" w:styleId="TableSubtitlwe">
    <w:name w:val="TableSubtitlwe"/>
    <w:basedOn w:val="TableSubtitle"/>
    <w:uiPriority w:val="99"/>
    <w:rsid w:val="00AC43BF"/>
    <w:rPr>
      <w:rFonts w:ascii="Times New Roman" w:hAnsi="Times New Roman" w:cs="Times New Roman"/>
      <w:sz w:val="20"/>
      <w:szCs w:val="20"/>
    </w:rPr>
  </w:style>
  <w:style w:type="paragraph" w:styleId="IndexHeading">
    <w:name w:val="index heading"/>
    <w:basedOn w:val="Normal"/>
    <w:next w:val="Index1"/>
    <w:uiPriority w:val="99"/>
    <w:rsid w:val="00AC43BF"/>
    <w:rPr>
      <w:rFonts w:ascii="Arial" w:hAnsi="Arial" w:cs="Arial"/>
      <w:b/>
      <w:bCs/>
    </w:rPr>
  </w:style>
  <w:style w:type="character" w:customStyle="1" w:styleId="BodyTextChar1">
    <w:name w:val="Body Text Char1"/>
    <w:basedOn w:val="DefaultParagraphFont"/>
    <w:uiPriority w:val="99"/>
    <w:rsid w:val="00AC43BF"/>
    <w:rPr>
      <w:rFonts w:cs="Times New Roman"/>
      <w:sz w:val="22"/>
      <w:lang w:val="en-US" w:eastAsia="en-US" w:bidi="ar-SA"/>
    </w:rPr>
  </w:style>
  <w:style w:type="character" w:customStyle="1" w:styleId="Heading3Char1">
    <w:name w:val="Heading 3 Char1"/>
    <w:basedOn w:val="DefaultParagraphFont"/>
    <w:uiPriority w:val="99"/>
    <w:rsid w:val="00AC43BF"/>
    <w:rPr>
      <w:rFonts w:ascii="Arial Bold" w:hAnsi="Arial Bold" w:cs="Arial"/>
      <w:b/>
      <w:bCs/>
      <w:iCs/>
      <w:kern w:val="28"/>
      <w:sz w:val="22"/>
      <w:lang w:val="en-US" w:eastAsia="en-US" w:bidi="ar-SA"/>
    </w:rPr>
  </w:style>
  <w:style w:type="character" w:customStyle="1" w:styleId="CharChar9">
    <w:name w:val="Char Char9"/>
    <w:basedOn w:val="DefaultParagraphFont"/>
    <w:uiPriority w:val="99"/>
    <w:rsid w:val="00AC43BF"/>
    <w:rPr>
      <w:rFonts w:cs="Times New Roman"/>
      <w:b/>
      <w:sz w:val="18"/>
      <w:szCs w:val="18"/>
      <w:lang w:val="en-US" w:eastAsia="en-US" w:bidi="ar-SA"/>
    </w:rPr>
  </w:style>
  <w:style w:type="paragraph" w:customStyle="1" w:styleId="BodyText0">
    <w:name w:val="Body Text'"/>
    <w:basedOn w:val="ListBullet"/>
    <w:uiPriority w:val="99"/>
    <w:rsid w:val="00AC43BF"/>
    <w:pPr>
      <w:tabs>
        <w:tab w:val="clear" w:pos="360"/>
      </w:tabs>
      <w:ind w:left="720" w:firstLine="0"/>
    </w:pPr>
  </w:style>
  <w:style w:type="paragraph" w:customStyle="1" w:styleId="TableSubtitle0">
    <w:name w:val="Table Subtitle"/>
    <w:basedOn w:val="Normal"/>
    <w:autoRedefine/>
    <w:uiPriority w:val="99"/>
    <w:qFormat/>
    <w:rsid w:val="00257454"/>
    <w:pPr>
      <w:keepNext/>
      <w:framePr w:hSpace="180" w:wrap="around" w:vAnchor="text" w:hAnchor="text" w:y="1"/>
      <w:spacing w:after="0"/>
      <w:suppressOverlap/>
      <w:jc w:val="center"/>
    </w:pPr>
    <w:rPr>
      <w:rFonts w:ascii="Arial Narrow" w:hAnsi="Arial Narrow"/>
      <w:b/>
      <w:bCs/>
      <w:color w:val="FFFFFF"/>
      <w:sz w:val="20"/>
    </w:rPr>
  </w:style>
  <w:style w:type="paragraph" w:styleId="Date">
    <w:name w:val="Date"/>
    <w:basedOn w:val="Normal"/>
    <w:next w:val="Normal"/>
    <w:link w:val="DateChar"/>
    <w:uiPriority w:val="99"/>
    <w:rsid w:val="00AC43BF"/>
  </w:style>
  <w:style w:type="character" w:customStyle="1" w:styleId="DateChar">
    <w:name w:val="Date Char"/>
    <w:basedOn w:val="DefaultParagraphFont"/>
    <w:link w:val="Date"/>
    <w:uiPriority w:val="99"/>
    <w:rsid w:val="00AC43BF"/>
    <w:rPr>
      <w:sz w:val="22"/>
    </w:rPr>
  </w:style>
  <w:style w:type="paragraph" w:customStyle="1" w:styleId="4">
    <w:name w:val="4"/>
    <w:basedOn w:val="Heading3"/>
    <w:uiPriority w:val="99"/>
    <w:rsid w:val="00AC43BF"/>
    <w:pPr>
      <w:keepLines/>
      <w:numPr>
        <w:ilvl w:val="0"/>
        <w:numId w:val="0"/>
      </w:numPr>
      <w:tabs>
        <w:tab w:val="num" w:pos="2160"/>
      </w:tabs>
      <w:ind w:left="2160" w:hanging="180"/>
    </w:pPr>
    <w:rPr>
      <w:rFonts w:cs="Arial"/>
      <w:bCs/>
      <w:iCs/>
      <w:kern w:val="28"/>
    </w:rPr>
  </w:style>
  <w:style w:type="paragraph" w:customStyle="1" w:styleId="ES1">
    <w:name w:val="ES 1"/>
    <w:next w:val="BodyText"/>
    <w:uiPriority w:val="99"/>
    <w:rsid w:val="0065055C"/>
    <w:rPr>
      <w:rFonts w:ascii="Arial" w:hAnsi="Arial" w:cs="Arial"/>
      <w:b/>
      <w:sz w:val="32"/>
      <w:szCs w:val="28"/>
    </w:rPr>
  </w:style>
  <w:style w:type="paragraph" w:customStyle="1" w:styleId="ES2">
    <w:name w:val="ES 2"/>
    <w:next w:val="BodyText"/>
    <w:uiPriority w:val="99"/>
    <w:rsid w:val="0065055C"/>
    <w:pPr>
      <w:ind w:left="720"/>
    </w:pPr>
    <w:rPr>
      <w:rFonts w:ascii="Arial" w:hAnsi="Arial" w:cs="Arial"/>
      <w:b/>
      <w:sz w:val="24"/>
      <w:szCs w:val="24"/>
    </w:rPr>
  </w:style>
  <w:style w:type="paragraph" w:customStyle="1" w:styleId="ES3">
    <w:name w:val="ES 3"/>
    <w:next w:val="BodyText"/>
    <w:uiPriority w:val="99"/>
    <w:rsid w:val="0065055C"/>
    <w:rPr>
      <w:rFonts w:ascii="Arial" w:hAnsi="Arial" w:cs="Arial"/>
      <w:b/>
      <w:sz w:val="22"/>
    </w:rPr>
  </w:style>
  <w:style w:type="paragraph" w:customStyle="1" w:styleId="Glossary1">
    <w:name w:val="_Glossary1"/>
    <w:basedOn w:val="BodyText"/>
    <w:semiHidden/>
    <w:rsid w:val="00AC43BF"/>
    <w:pPr>
      <w:tabs>
        <w:tab w:val="left" w:pos="720"/>
        <w:tab w:val="left" w:pos="1080"/>
        <w:tab w:val="left" w:pos="1440"/>
        <w:tab w:val="left" w:pos="1800"/>
      </w:tabs>
      <w:spacing w:after="0"/>
      <w:ind w:firstLine="720"/>
    </w:pPr>
    <w:rPr>
      <w:rFonts w:ascii="Arial" w:hAnsi="Arial" w:cs="Arial"/>
      <w:b/>
      <w:bCs/>
      <w:i/>
      <w:iCs/>
      <w:color w:val="008000"/>
      <w:sz w:val="20"/>
      <w:szCs w:val="24"/>
    </w:rPr>
  </w:style>
  <w:style w:type="character" w:customStyle="1" w:styleId="CharChar12">
    <w:name w:val="Char Char12"/>
    <w:uiPriority w:val="99"/>
    <w:rsid w:val="00AC43BF"/>
    <w:rPr>
      <w:rFonts w:ascii="Arial" w:hAnsi="Arial"/>
      <w:b/>
      <w:sz w:val="16"/>
    </w:rPr>
  </w:style>
  <w:style w:type="character" w:customStyle="1" w:styleId="TableTitleChar1">
    <w:name w:val="Table Title Char1"/>
    <w:uiPriority w:val="99"/>
    <w:rsid w:val="00AC43BF"/>
    <w:rPr>
      <w:rFonts w:ascii="Arial Bold" w:hAnsi="Arial Bold"/>
      <w:sz w:val="22"/>
    </w:rPr>
  </w:style>
  <w:style w:type="paragraph" w:customStyle="1" w:styleId="Equation1">
    <w:name w:val="Equation1"/>
    <w:basedOn w:val="BodyText"/>
    <w:uiPriority w:val="99"/>
    <w:rsid w:val="00AC43BF"/>
    <w:pPr>
      <w:tabs>
        <w:tab w:val="left" w:pos="720"/>
        <w:tab w:val="left" w:pos="1080"/>
        <w:tab w:val="left" w:pos="1440"/>
        <w:tab w:val="left" w:pos="1800"/>
      </w:tabs>
      <w:spacing w:after="240"/>
      <w:ind w:firstLine="720"/>
      <w:jc w:val="center"/>
    </w:pPr>
  </w:style>
  <w:style w:type="paragraph" w:customStyle="1" w:styleId="source1">
    <w:name w:val="source1"/>
    <w:basedOn w:val="BodyText"/>
    <w:uiPriority w:val="99"/>
    <w:rsid w:val="00AC43BF"/>
    <w:pPr>
      <w:tabs>
        <w:tab w:val="left" w:pos="720"/>
        <w:tab w:val="left" w:pos="1080"/>
        <w:tab w:val="left" w:pos="1440"/>
        <w:tab w:val="left" w:pos="1800"/>
      </w:tabs>
      <w:spacing w:after="0"/>
      <w:ind w:firstLine="720"/>
    </w:pPr>
  </w:style>
  <w:style w:type="paragraph" w:customStyle="1" w:styleId="DocumentTitle1">
    <w:name w:val="Document Title1"/>
    <w:basedOn w:val="Normal"/>
    <w:autoRedefine/>
    <w:uiPriority w:val="99"/>
    <w:rsid w:val="00AC43BF"/>
    <w:rPr>
      <w:rFonts w:ascii="Arial" w:hAnsi="Arial"/>
      <w:b/>
      <w:sz w:val="28"/>
    </w:rPr>
  </w:style>
  <w:style w:type="paragraph" w:customStyle="1" w:styleId="FigureFootnoteText1">
    <w:name w:val="Figure Footnote Text1"/>
    <w:basedOn w:val="FootnoteText"/>
    <w:semiHidden/>
    <w:rsid w:val="00AC43BF"/>
    <w:pPr>
      <w:spacing w:after="0"/>
      <w:ind w:left="403" w:right="288" w:hanging="115"/>
    </w:pPr>
  </w:style>
  <w:style w:type="paragraph" w:customStyle="1" w:styleId="FigureSource1">
    <w:name w:val="Figure Source1"/>
    <w:basedOn w:val="Normal"/>
    <w:semiHidden/>
    <w:rsid w:val="00AC43BF"/>
    <w:pPr>
      <w:keepNext/>
      <w:keepLines/>
      <w:pBdr>
        <w:top w:val="single" w:sz="4" w:space="1" w:color="auto"/>
        <w:left w:val="single" w:sz="4" w:space="4" w:color="auto"/>
        <w:bottom w:val="single" w:sz="4" w:space="1" w:color="auto"/>
        <w:right w:val="single" w:sz="4" w:space="4" w:color="auto"/>
      </w:pBdr>
      <w:tabs>
        <w:tab w:val="right" w:pos="10080"/>
      </w:tabs>
    </w:pPr>
    <w:rPr>
      <w:bCs/>
      <w:i/>
      <w:iCs/>
      <w:sz w:val="18"/>
      <w:szCs w:val="24"/>
    </w:rPr>
  </w:style>
  <w:style w:type="paragraph" w:customStyle="1" w:styleId="Level11">
    <w:name w:val="Level 11"/>
    <w:basedOn w:val="Normal"/>
    <w:uiPriority w:val="99"/>
    <w:rsid w:val="00AC43BF"/>
    <w:pPr>
      <w:outlineLvl w:val="0"/>
    </w:pPr>
  </w:style>
  <w:style w:type="paragraph" w:customStyle="1" w:styleId="Level21">
    <w:name w:val="Level 21"/>
    <w:basedOn w:val="Normal"/>
    <w:uiPriority w:val="99"/>
    <w:rsid w:val="00AC43BF"/>
    <w:pPr>
      <w:outlineLvl w:val="1"/>
    </w:pPr>
  </w:style>
  <w:style w:type="paragraph" w:customStyle="1" w:styleId="Level31">
    <w:name w:val="Level 31"/>
    <w:basedOn w:val="Normal"/>
    <w:uiPriority w:val="99"/>
    <w:rsid w:val="00AC43BF"/>
    <w:pPr>
      <w:outlineLvl w:val="2"/>
    </w:pPr>
  </w:style>
  <w:style w:type="paragraph" w:customStyle="1" w:styleId="Level41">
    <w:name w:val="Level 41"/>
    <w:basedOn w:val="Normal"/>
    <w:uiPriority w:val="99"/>
    <w:rsid w:val="00AC43BF"/>
    <w:pPr>
      <w:outlineLvl w:val="3"/>
    </w:pPr>
  </w:style>
  <w:style w:type="paragraph" w:customStyle="1" w:styleId="Level51">
    <w:name w:val="Level 51"/>
    <w:basedOn w:val="Normal"/>
    <w:uiPriority w:val="99"/>
    <w:rsid w:val="00AC43BF"/>
    <w:pPr>
      <w:outlineLvl w:val="4"/>
    </w:pPr>
  </w:style>
  <w:style w:type="paragraph" w:customStyle="1" w:styleId="NumberedList1">
    <w:name w:val="Numbered List1"/>
    <w:basedOn w:val="ListBullet"/>
    <w:uiPriority w:val="99"/>
    <w:rsid w:val="00AC43BF"/>
    <w:pPr>
      <w:tabs>
        <w:tab w:val="clear" w:pos="360"/>
        <w:tab w:val="num" w:pos="720"/>
      </w:tabs>
      <w:spacing w:after="120"/>
      <w:ind w:left="720"/>
      <w:contextualSpacing w:val="0"/>
    </w:pPr>
  </w:style>
  <w:style w:type="character" w:customStyle="1" w:styleId="CharChar13">
    <w:name w:val="Char Char13"/>
    <w:uiPriority w:val="99"/>
    <w:rsid w:val="00AC43BF"/>
    <w:rPr>
      <w:b/>
      <w:sz w:val="18"/>
    </w:rPr>
  </w:style>
  <w:style w:type="paragraph" w:customStyle="1" w:styleId="Reference1">
    <w:name w:val="Reference1"/>
    <w:basedOn w:val="BodyText"/>
    <w:semiHidden/>
    <w:rsid w:val="00AC43BF"/>
    <w:pPr>
      <w:tabs>
        <w:tab w:val="num" w:pos="720"/>
        <w:tab w:val="left" w:pos="1080"/>
        <w:tab w:val="left" w:pos="1800"/>
      </w:tabs>
      <w:spacing w:after="0"/>
      <w:ind w:left="720" w:hanging="720"/>
    </w:pPr>
  </w:style>
  <w:style w:type="paragraph" w:customStyle="1" w:styleId="Table1">
    <w:name w:val="Table1"/>
    <w:basedOn w:val="Normal"/>
    <w:uiPriority w:val="99"/>
    <w:rsid w:val="00AC43BF"/>
    <w:pPr>
      <w:keepNext/>
    </w:pPr>
    <w:rPr>
      <w:b/>
    </w:rPr>
  </w:style>
  <w:style w:type="paragraph" w:customStyle="1" w:styleId="TableBullet1">
    <w:name w:val="Table Bullet1"/>
    <w:basedOn w:val="Normal"/>
    <w:uiPriority w:val="99"/>
    <w:rsid w:val="00AC43BF"/>
    <w:pPr>
      <w:keepNext/>
      <w:keepLines/>
      <w:tabs>
        <w:tab w:val="num" w:pos="216"/>
      </w:tabs>
      <w:ind w:left="216" w:hanging="216"/>
    </w:pPr>
    <w:rPr>
      <w:sz w:val="16"/>
    </w:rPr>
  </w:style>
  <w:style w:type="paragraph" w:customStyle="1" w:styleId="tablefootnote1">
    <w:name w:val="table footnote1"/>
    <w:basedOn w:val="Normal"/>
    <w:uiPriority w:val="99"/>
    <w:rsid w:val="00AC43BF"/>
    <w:pPr>
      <w:keepNext/>
    </w:pPr>
    <w:rPr>
      <w:sz w:val="16"/>
    </w:rPr>
  </w:style>
  <w:style w:type="paragraph" w:customStyle="1" w:styleId="TableText1">
    <w:name w:val="Table Text1"/>
    <w:basedOn w:val="Normal"/>
    <w:uiPriority w:val="99"/>
    <w:rsid w:val="00AC43BF"/>
    <w:pPr>
      <w:keepNext/>
      <w:keepLines/>
    </w:pPr>
    <w:rPr>
      <w:sz w:val="18"/>
    </w:rPr>
  </w:style>
  <w:style w:type="paragraph" w:customStyle="1" w:styleId="TableHeading11">
    <w:name w:val="Table Heading11"/>
    <w:basedOn w:val="BodyText"/>
    <w:semiHidden/>
    <w:rsid w:val="00AC43BF"/>
    <w:pPr>
      <w:keepNext/>
      <w:shd w:val="clear" w:color="auto" w:fill="999999"/>
      <w:tabs>
        <w:tab w:val="left" w:pos="0"/>
        <w:tab w:val="left" w:pos="1080"/>
        <w:tab w:val="left" w:pos="1440"/>
        <w:tab w:val="left" w:pos="1800"/>
      </w:tabs>
      <w:spacing w:after="0"/>
      <w:ind w:firstLine="720"/>
    </w:pPr>
    <w:rPr>
      <w:rFonts w:ascii="Arial" w:hAnsi="Arial"/>
      <w:b/>
      <w:bCs/>
      <w:sz w:val="18"/>
    </w:rPr>
  </w:style>
  <w:style w:type="paragraph" w:customStyle="1" w:styleId="TableHeading21">
    <w:name w:val="Table Heading21"/>
    <w:basedOn w:val="BodyText"/>
    <w:semiHidden/>
    <w:rsid w:val="00AC43BF"/>
    <w:pPr>
      <w:keepNext/>
      <w:keepLines/>
      <w:shd w:val="clear" w:color="auto" w:fill="FFFF99"/>
      <w:tabs>
        <w:tab w:val="left" w:pos="0"/>
        <w:tab w:val="left" w:pos="1080"/>
        <w:tab w:val="left" w:pos="1440"/>
        <w:tab w:val="left" w:pos="1800"/>
      </w:tabs>
      <w:spacing w:after="0"/>
      <w:ind w:firstLine="720"/>
    </w:pPr>
    <w:rPr>
      <w:rFonts w:ascii="Arial" w:hAnsi="Arial"/>
      <w:b/>
      <w:sz w:val="18"/>
    </w:rPr>
  </w:style>
  <w:style w:type="paragraph" w:customStyle="1" w:styleId="TableHeading31">
    <w:name w:val="Table Heading31"/>
    <w:basedOn w:val="CommentSubject"/>
    <w:semiHidden/>
    <w:rsid w:val="00AC43BF"/>
    <w:pPr>
      <w:keepNext/>
      <w:keepLines/>
      <w:shd w:val="clear" w:color="auto" w:fill="99CCFF"/>
      <w:spacing w:line="264" w:lineRule="auto"/>
    </w:pPr>
    <w:rPr>
      <w:sz w:val="18"/>
    </w:rPr>
  </w:style>
  <w:style w:type="paragraph" w:customStyle="1" w:styleId="TableSource1">
    <w:name w:val="Table Source1"/>
    <w:basedOn w:val="Normal"/>
    <w:uiPriority w:val="99"/>
    <w:rsid w:val="00AC43BF"/>
    <w:rPr>
      <w:i/>
      <w:iCs/>
      <w:sz w:val="18"/>
    </w:rPr>
  </w:style>
  <w:style w:type="paragraph" w:customStyle="1" w:styleId="TableTitle1">
    <w:name w:val="Table Title1"/>
    <w:basedOn w:val="Normal"/>
    <w:next w:val="Normal"/>
    <w:uiPriority w:val="99"/>
    <w:rsid w:val="00AC43BF"/>
    <w:pPr>
      <w:keepNext/>
      <w:keepLines/>
    </w:pPr>
    <w:rPr>
      <w:rFonts w:ascii="Arial Bold" w:hAnsi="Arial Bold"/>
      <w:sz w:val="20"/>
    </w:rPr>
  </w:style>
  <w:style w:type="paragraph" w:customStyle="1" w:styleId="TableSubtitle1">
    <w:name w:val="TableSubtitle1"/>
    <w:basedOn w:val="Normal"/>
    <w:uiPriority w:val="99"/>
    <w:rsid w:val="00AC43BF"/>
    <w:pPr>
      <w:keepNext/>
      <w:keepLines/>
      <w:autoSpaceDE w:val="0"/>
      <w:autoSpaceDN w:val="0"/>
      <w:adjustRightInd w:val="0"/>
      <w:jc w:val="center"/>
    </w:pPr>
    <w:rPr>
      <w:b/>
      <w:bCs/>
      <w:color w:val="000000"/>
      <w:sz w:val="18"/>
      <w:szCs w:val="18"/>
    </w:rPr>
  </w:style>
  <w:style w:type="paragraph" w:customStyle="1" w:styleId="FooterLandscape1">
    <w:name w:val="Footer Landscape1"/>
    <w:basedOn w:val="Normal"/>
    <w:next w:val="BodyText"/>
    <w:uiPriority w:val="99"/>
    <w:rsid w:val="00AC43BF"/>
    <w:pPr>
      <w:pBdr>
        <w:top w:val="single" w:sz="8" w:space="1" w:color="auto"/>
      </w:pBdr>
      <w:tabs>
        <w:tab w:val="center" w:pos="7150"/>
        <w:tab w:val="right" w:pos="13530"/>
      </w:tabs>
    </w:pPr>
    <w:rPr>
      <w:rFonts w:ascii="Arial" w:hAnsi="Arial"/>
      <w:b/>
      <w:sz w:val="16"/>
      <w:szCs w:val="16"/>
    </w:rPr>
  </w:style>
  <w:style w:type="character" w:customStyle="1" w:styleId="apple-style-span1">
    <w:name w:val="apple-style-span1"/>
    <w:basedOn w:val="DefaultParagraphFont"/>
    <w:uiPriority w:val="99"/>
    <w:rsid w:val="00AC43BF"/>
    <w:rPr>
      <w:rFonts w:cs="Times New Roman"/>
    </w:rPr>
  </w:style>
  <w:style w:type="character" w:customStyle="1" w:styleId="apple-converted-space1">
    <w:name w:val="apple-converted-space1"/>
    <w:basedOn w:val="DefaultParagraphFont"/>
    <w:uiPriority w:val="99"/>
    <w:rsid w:val="00AC43BF"/>
    <w:rPr>
      <w:rFonts w:cs="Times New Roman"/>
    </w:rPr>
  </w:style>
  <w:style w:type="paragraph" w:customStyle="1" w:styleId="xl241">
    <w:name w:val="xl241"/>
    <w:basedOn w:val="Normal"/>
    <w:rsid w:val="00AC43B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1">
    <w:name w:val="xl251"/>
    <w:basedOn w:val="Normal"/>
    <w:uiPriority w:val="99"/>
    <w:rsid w:val="00AC43B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261">
    <w:name w:val="xl261"/>
    <w:basedOn w:val="Normal"/>
    <w:uiPriority w:val="99"/>
    <w:rsid w:val="00AC43BF"/>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271">
    <w:name w:val="xl271"/>
    <w:basedOn w:val="Normal"/>
    <w:uiPriority w:val="99"/>
    <w:rsid w:val="00AC43B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281">
    <w:name w:val="xl281"/>
    <w:basedOn w:val="Normal"/>
    <w:uiPriority w:val="99"/>
    <w:rsid w:val="00AC43BF"/>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291">
    <w:name w:val="xl291"/>
    <w:basedOn w:val="Normal"/>
    <w:uiPriority w:val="99"/>
    <w:rsid w:val="00AC43BF"/>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301">
    <w:name w:val="xl301"/>
    <w:basedOn w:val="Normal"/>
    <w:uiPriority w:val="99"/>
    <w:rsid w:val="00AC43BF"/>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24"/>
      <w:szCs w:val="24"/>
    </w:rPr>
  </w:style>
  <w:style w:type="paragraph" w:customStyle="1" w:styleId="xl311">
    <w:name w:val="xl311"/>
    <w:basedOn w:val="Normal"/>
    <w:uiPriority w:val="99"/>
    <w:rsid w:val="00AC43B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24"/>
      <w:szCs w:val="24"/>
    </w:rPr>
  </w:style>
  <w:style w:type="paragraph" w:customStyle="1" w:styleId="xl321">
    <w:name w:val="xl321"/>
    <w:basedOn w:val="Normal"/>
    <w:uiPriority w:val="99"/>
    <w:rsid w:val="00AC43BF"/>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b/>
      <w:bCs/>
      <w:sz w:val="24"/>
      <w:szCs w:val="24"/>
    </w:rPr>
  </w:style>
  <w:style w:type="paragraph" w:customStyle="1" w:styleId="xl331">
    <w:name w:val="xl331"/>
    <w:basedOn w:val="Normal"/>
    <w:uiPriority w:val="99"/>
    <w:rsid w:val="00AC43BF"/>
    <w:pPr>
      <w:pBdr>
        <w:top w:val="single" w:sz="8" w:space="0" w:color="auto"/>
        <w:left w:val="single" w:sz="8" w:space="0" w:color="auto"/>
        <w:bottom w:val="single" w:sz="4" w:space="0" w:color="auto"/>
      </w:pBdr>
      <w:shd w:val="clear" w:color="auto" w:fill="C0C0C0"/>
      <w:spacing w:before="100" w:beforeAutospacing="1" w:after="100" w:afterAutospacing="1"/>
      <w:textAlignment w:val="top"/>
    </w:pPr>
    <w:rPr>
      <w:b/>
      <w:bCs/>
      <w:sz w:val="24"/>
      <w:szCs w:val="24"/>
    </w:rPr>
  </w:style>
  <w:style w:type="paragraph" w:customStyle="1" w:styleId="xl341">
    <w:name w:val="xl341"/>
    <w:basedOn w:val="Normal"/>
    <w:uiPriority w:val="99"/>
    <w:rsid w:val="00AC43BF"/>
    <w:pPr>
      <w:pBdr>
        <w:top w:val="single" w:sz="8" w:space="0" w:color="auto"/>
        <w:bottom w:val="single" w:sz="4" w:space="0" w:color="auto"/>
      </w:pBdr>
      <w:shd w:val="clear" w:color="auto" w:fill="C0C0C0"/>
      <w:spacing w:before="100" w:beforeAutospacing="1" w:after="100" w:afterAutospacing="1"/>
      <w:textAlignment w:val="top"/>
    </w:pPr>
    <w:rPr>
      <w:b/>
      <w:bCs/>
      <w:sz w:val="24"/>
      <w:szCs w:val="24"/>
    </w:rPr>
  </w:style>
  <w:style w:type="paragraph" w:customStyle="1" w:styleId="xl351">
    <w:name w:val="xl351"/>
    <w:basedOn w:val="Normal"/>
    <w:uiPriority w:val="99"/>
    <w:rsid w:val="00AC43BF"/>
    <w:pPr>
      <w:pBdr>
        <w:top w:val="single" w:sz="8" w:space="0" w:color="auto"/>
        <w:bottom w:val="single" w:sz="4" w:space="0" w:color="auto"/>
        <w:right w:val="single" w:sz="8" w:space="0" w:color="auto"/>
      </w:pBdr>
      <w:shd w:val="clear" w:color="auto" w:fill="C0C0C0"/>
      <w:spacing w:before="100" w:beforeAutospacing="1" w:after="100" w:afterAutospacing="1"/>
      <w:textAlignment w:val="top"/>
    </w:pPr>
    <w:rPr>
      <w:b/>
      <w:bCs/>
      <w:sz w:val="24"/>
      <w:szCs w:val="24"/>
    </w:rPr>
  </w:style>
  <w:style w:type="paragraph" w:customStyle="1" w:styleId="font51">
    <w:name w:val="font51"/>
    <w:basedOn w:val="Normal"/>
    <w:uiPriority w:val="99"/>
    <w:rsid w:val="00AC43BF"/>
    <w:pPr>
      <w:spacing w:before="100" w:beforeAutospacing="1" w:after="100" w:afterAutospacing="1"/>
    </w:pPr>
    <w:rPr>
      <w:rFonts w:ascii="Tahoma" w:hAnsi="Tahoma" w:cs="Tahoma"/>
      <w:color w:val="000000"/>
      <w:sz w:val="16"/>
      <w:szCs w:val="16"/>
    </w:rPr>
  </w:style>
  <w:style w:type="paragraph" w:customStyle="1" w:styleId="font61">
    <w:name w:val="font61"/>
    <w:basedOn w:val="Normal"/>
    <w:uiPriority w:val="99"/>
    <w:rsid w:val="00AC43BF"/>
    <w:pPr>
      <w:spacing w:before="100" w:beforeAutospacing="1" w:after="100" w:afterAutospacing="1"/>
    </w:pPr>
    <w:rPr>
      <w:rFonts w:ascii="Tahoma" w:hAnsi="Tahoma" w:cs="Tahoma"/>
      <w:b/>
      <w:bCs/>
      <w:color w:val="000000"/>
      <w:sz w:val="16"/>
      <w:szCs w:val="16"/>
    </w:rPr>
  </w:style>
  <w:style w:type="character" w:customStyle="1" w:styleId="CharChar111">
    <w:name w:val="Char Char111"/>
    <w:uiPriority w:val="99"/>
    <w:rsid w:val="00AC43BF"/>
    <w:rPr>
      <w:sz w:val="22"/>
      <w:lang w:val="en-US" w:eastAsia="en-US"/>
    </w:rPr>
  </w:style>
  <w:style w:type="character" w:customStyle="1" w:styleId="TableTextChar1">
    <w:name w:val="Table Text Char1"/>
    <w:uiPriority w:val="99"/>
    <w:rsid w:val="00AC43BF"/>
    <w:rPr>
      <w:sz w:val="18"/>
    </w:rPr>
  </w:style>
  <w:style w:type="character" w:customStyle="1" w:styleId="CharChar31">
    <w:name w:val="Char Char31"/>
    <w:uiPriority w:val="99"/>
    <w:rsid w:val="00AC43BF"/>
    <w:rPr>
      <w:rFonts w:ascii="Arial" w:hAnsi="Arial"/>
      <w:b/>
      <w:sz w:val="16"/>
    </w:rPr>
  </w:style>
  <w:style w:type="character" w:customStyle="1" w:styleId="CharChar21">
    <w:name w:val="Char Char21"/>
    <w:uiPriority w:val="99"/>
    <w:rsid w:val="00AC43BF"/>
    <w:rPr>
      <w:b/>
      <w:sz w:val="18"/>
    </w:rPr>
  </w:style>
  <w:style w:type="character" w:customStyle="1" w:styleId="CharChar51">
    <w:name w:val="Char Char51"/>
    <w:uiPriority w:val="99"/>
    <w:rsid w:val="00AC43BF"/>
    <w:rPr>
      <w:rFonts w:ascii="Arial" w:hAnsi="Arial"/>
      <w:b/>
      <w:sz w:val="16"/>
    </w:rPr>
  </w:style>
  <w:style w:type="character" w:customStyle="1" w:styleId="CharChar41">
    <w:name w:val="Char Char41"/>
    <w:uiPriority w:val="99"/>
    <w:rsid w:val="00AC43BF"/>
    <w:rPr>
      <w:b/>
      <w:sz w:val="18"/>
    </w:rPr>
  </w:style>
  <w:style w:type="character" w:customStyle="1" w:styleId="CharChar71">
    <w:name w:val="Char Char71"/>
    <w:uiPriority w:val="99"/>
    <w:rsid w:val="00AC43BF"/>
    <w:rPr>
      <w:rFonts w:ascii="Arial" w:hAnsi="Arial"/>
      <w:b/>
      <w:sz w:val="16"/>
    </w:rPr>
  </w:style>
  <w:style w:type="character" w:customStyle="1" w:styleId="CharChar61">
    <w:name w:val="Char Char61"/>
    <w:uiPriority w:val="99"/>
    <w:rsid w:val="00AC43BF"/>
    <w:rPr>
      <w:b/>
      <w:sz w:val="18"/>
    </w:rPr>
  </w:style>
  <w:style w:type="character" w:customStyle="1" w:styleId="CharChar101">
    <w:name w:val="Char Char101"/>
    <w:uiPriority w:val="99"/>
    <w:rsid w:val="00AC43BF"/>
    <w:rPr>
      <w:rFonts w:ascii="Arial" w:hAnsi="Arial"/>
      <w:b/>
      <w:sz w:val="16"/>
    </w:rPr>
  </w:style>
  <w:style w:type="character" w:customStyle="1" w:styleId="CharChar81">
    <w:name w:val="Char Char81"/>
    <w:uiPriority w:val="99"/>
    <w:rsid w:val="00AC43BF"/>
    <w:rPr>
      <w:b/>
      <w:sz w:val="18"/>
    </w:rPr>
  </w:style>
  <w:style w:type="character" w:customStyle="1" w:styleId="FooterChar1">
    <w:name w:val="Footer Char1"/>
    <w:uiPriority w:val="99"/>
    <w:rsid w:val="00AC43BF"/>
    <w:rPr>
      <w:rFonts w:ascii="Arial" w:hAnsi="Arial"/>
      <w:b/>
      <w:sz w:val="16"/>
    </w:rPr>
  </w:style>
  <w:style w:type="paragraph" w:customStyle="1" w:styleId="referencelist1">
    <w:name w:val="reference list1"/>
    <w:basedOn w:val="Normal"/>
    <w:uiPriority w:val="99"/>
    <w:rsid w:val="00AC43BF"/>
    <w:pPr>
      <w:spacing w:before="120" w:after="120"/>
      <w:ind w:left="720" w:right="720" w:hanging="720"/>
    </w:pPr>
  </w:style>
  <w:style w:type="character" w:customStyle="1" w:styleId="HeaderChar1">
    <w:name w:val="Header Char1"/>
    <w:uiPriority w:val="99"/>
    <w:rsid w:val="00AC43BF"/>
    <w:rPr>
      <w:b/>
      <w:sz w:val="18"/>
    </w:rPr>
  </w:style>
  <w:style w:type="character" w:customStyle="1" w:styleId="Heading3Char3">
    <w:name w:val="Heading 3 Char3"/>
    <w:uiPriority w:val="99"/>
    <w:rsid w:val="00AC43BF"/>
    <w:rPr>
      <w:rFonts w:ascii="Arial Bold" w:hAnsi="Arial Bold"/>
      <w:b/>
      <w:kern w:val="28"/>
      <w:sz w:val="22"/>
    </w:rPr>
  </w:style>
  <w:style w:type="character" w:customStyle="1" w:styleId="Heading4Char1">
    <w:name w:val="Heading 4 Char1"/>
    <w:uiPriority w:val="99"/>
    <w:rsid w:val="00AC43BF"/>
    <w:rPr>
      <w:rFonts w:ascii="Arial Bold" w:hAnsi="Arial Bold"/>
      <w:b/>
      <w:kern w:val="28"/>
    </w:rPr>
  </w:style>
  <w:style w:type="character" w:customStyle="1" w:styleId="Heading5Char1">
    <w:name w:val="Heading 5 Char1"/>
    <w:uiPriority w:val="99"/>
    <w:rsid w:val="00AC43BF"/>
    <w:rPr>
      <w:rFonts w:ascii="Arial Bold" w:hAnsi="Arial Bold"/>
      <w:b/>
      <w:kern w:val="28"/>
    </w:rPr>
  </w:style>
  <w:style w:type="character" w:customStyle="1" w:styleId="Heading7Char1">
    <w:name w:val="Heading 7 Char1"/>
    <w:uiPriority w:val="99"/>
    <w:rsid w:val="00AC43BF"/>
    <w:rPr>
      <w:rFonts w:ascii="Arial" w:hAnsi="Arial"/>
      <w:b/>
      <w:color w:val="FFFFFF"/>
      <w:kern w:val="28"/>
      <w:sz w:val="24"/>
      <w:shd w:val="clear" w:color="auto" w:fill="000066"/>
    </w:rPr>
  </w:style>
  <w:style w:type="character" w:customStyle="1" w:styleId="Heading8Char1">
    <w:name w:val="Heading 8 Char1"/>
    <w:uiPriority w:val="99"/>
    <w:rsid w:val="00AC43BF"/>
    <w:rPr>
      <w:rFonts w:ascii="Arial" w:hAnsi="Arial"/>
      <w:b/>
      <w:kern w:val="28"/>
      <w:sz w:val="24"/>
      <w:shd w:val="clear" w:color="auto" w:fill="999999"/>
    </w:rPr>
  </w:style>
  <w:style w:type="character" w:customStyle="1" w:styleId="Heading9Char1">
    <w:name w:val="Heading 9 Char1"/>
    <w:uiPriority w:val="99"/>
    <w:rsid w:val="00AC43BF"/>
    <w:rPr>
      <w:rFonts w:ascii="Arial" w:hAnsi="Arial"/>
      <w:b/>
      <w:kern w:val="28"/>
      <w:sz w:val="22"/>
      <w:shd w:val="clear" w:color="auto" w:fill="FFFF99"/>
    </w:rPr>
  </w:style>
  <w:style w:type="character" w:customStyle="1" w:styleId="TitleChar1">
    <w:name w:val="Title Char1"/>
    <w:uiPriority w:val="99"/>
    <w:rsid w:val="00AC43BF"/>
    <w:rPr>
      <w:rFonts w:ascii="Cambria" w:hAnsi="Cambria" w:eastAsiaTheme="majorEastAsia"/>
      <w:spacing w:val="5"/>
      <w:sz w:val="52"/>
    </w:rPr>
  </w:style>
  <w:style w:type="character" w:customStyle="1" w:styleId="SubtitleChar1">
    <w:name w:val="Subtitle Char1"/>
    <w:uiPriority w:val="99"/>
    <w:rsid w:val="00AC43BF"/>
    <w:rPr>
      <w:rFonts w:ascii="Cambria" w:hAnsi="Cambria"/>
      <w:i/>
      <w:spacing w:val="13"/>
      <w:sz w:val="24"/>
    </w:rPr>
  </w:style>
  <w:style w:type="character" w:customStyle="1" w:styleId="QuoteChar1">
    <w:name w:val="Quote Char1"/>
    <w:uiPriority w:val="29"/>
    <w:rsid w:val="00AC43BF"/>
    <w:rPr>
      <w:rFonts w:ascii="Calibri" w:hAnsi="Calibri"/>
      <w:i/>
      <w:sz w:val="22"/>
    </w:rPr>
  </w:style>
  <w:style w:type="character" w:customStyle="1" w:styleId="IntenseQuoteChar1">
    <w:name w:val="Intense Quote Char1"/>
    <w:uiPriority w:val="30"/>
    <w:rsid w:val="00AC43BF"/>
    <w:rPr>
      <w:rFonts w:ascii="Calibri" w:hAnsi="Calibri"/>
      <w:b/>
      <w:i/>
      <w:sz w:val="22"/>
    </w:rPr>
  </w:style>
  <w:style w:type="character" w:customStyle="1" w:styleId="CharChar14">
    <w:name w:val="Char Char14"/>
    <w:uiPriority w:val="99"/>
    <w:rsid w:val="00AC43BF"/>
    <w:rPr>
      <w:rFonts w:ascii="Arial" w:hAnsi="Arial"/>
      <w:b/>
      <w:sz w:val="16"/>
      <w:lang w:val="en-US" w:eastAsia="en-US"/>
    </w:rPr>
  </w:style>
  <w:style w:type="character" w:customStyle="1" w:styleId="CharChar15">
    <w:name w:val="Char Char15"/>
    <w:uiPriority w:val="99"/>
    <w:rsid w:val="00AC43BF"/>
    <w:rPr>
      <w:b/>
      <w:sz w:val="18"/>
      <w:lang w:val="en-US" w:eastAsia="en-US"/>
    </w:rPr>
  </w:style>
  <w:style w:type="paragraph" w:customStyle="1" w:styleId="eq1">
    <w:name w:val="eq#1"/>
    <w:basedOn w:val="Normal"/>
    <w:next w:val="BodyText"/>
    <w:uiPriority w:val="99"/>
    <w:rsid w:val="00AC43BF"/>
    <w:pPr>
      <w:tabs>
        <w:tab w:val="right" w:pos="9360"/>
      </w:tabs>
    </w:pPr>
    <w:rPr>
      <w:position w:val="-72"/>
    </w:rPr>
  </w:style>
  <w:style w:type="paragraph" w:customStyle="1" w:styleId="eqintable1">
    <w:name w:val="eq in table1"/>
    <w:basedOn w:val="TableText"/>
    <w:autoRedefine/>
    <w:uiPriority w:val="99"/>
    <w:rsid w:val="00AC43BF"/>
    <w:pPr>
      <w:keepNext/>
      <w:keepLines/>
      <w:spacing w:before="0" w:after="0"/>
      <w:ind w:left="720"/>
    </w:pPr>
    <w:rPr>
      <w:rFonts w:ascii="Cambria Math" w:hAnsi="Cambria Math" w:eastAsiaTheme="minorHAnsi"/>
      <w:bCs/>
      <w:i/>
      <w:iCs/>
      <w:szCs w:val="22"/>
    </w:rPr>
  </w:style>
  <w:style w:type="character" w:customStyle="1" w:styleId="eqintableChar1">
    <w:name w:val="eq in table Char1"/>
    <w:uiPriority w:val="99"/>
    <w:rsid w:val="00AC43BF"/>
    <w:rPr>
      <w:rFonts w:eastAsia="Times New Roman"/>
      <w:sz w:val="24"/>
    </w:rPr>
  </w:style>
  <w:style w:type="character" w:customStyle="1" w:styleId="BodyText2Char1">
    <w:name w:val="Body Text 2 Char1"/>
    <w:uiPriority w:val="99"/>
    <w:rsid w:val="00AC43BF"/>
    <w:rPr>
      <w:sz w:val="22"/>
    </w:rPr>
  </w:style>
  <w:style w:type="character" w:customStyle="1" w:styleId="tabletextrChar1">
    <w:name w:val="tabletextr Char1"/>
    <w:basedOn w:val="TableTextChar"/>
    <w:uiPriority w:val="99"/>
    <w:locked/>
    <w:rsid w:val="00AC43BF"/>
    <w:rPr>
      <w:rFonts w:ascii="Arial Narrow" w:hAnsi="Arial Narrow" w:cs="Times New Roman"/>
      <w:bCs/>
      <w:sz w:val="18"/>
      <w:szCs w:val="18"/>
    </w:rPr>
  </w:style>
  <w:style w:type="paragraph" w:customStyle="1" w:styleId="tabletextr1">
    <w:name w:val="tabletextr1"/>
    <w:basedOn w:val="TableText"/>
    <w:uiPriority w:val="99"/>
    <w:rsid w:val="00AC43BF"/>
    <w:pPr>
      <w:keepNext/>
      <w:keepLines/>
      <w:spacing w:before="0" w:after="0"/>
      <w:jc w:val="right"/>
    </w:pPr>
    <w:rPr>
      <w:bCs/>
    </w:rPr>
  </w:style>
  <w:style w:type="character" w:customStyle="1" w:styleId="BalloonTextChar1">
    <w:name w:val="Balloon Text Char1"/>
    <w:basedOn w:val="DefaultParagraphFont"/>
    <w:semiHidden/>
    <w:rsid w:val="00AC43BF"/>
    <w:rPr>
      <w:rFonts w:ascii="Tahoma" w:hAnsi="Tahoma" w:cs="Tahoma"/>
      <w:sz w:val="16"/>
      <w:szCs w:val="16"/>
    </w:rPr>
  </w:style>
  <w:style w:type="character" w:customStyle="1" w:styleId="CommentTextChar1">
    <w:name w:val="Comment Text Char1"/>
    <w:aliases w:val="Bubble Text Char1"/>
    <w:basedOn w:val="DefaultParagraphFont"/>
    <w:uiPriority w:val="99"/>
    <w:semiHidden/>
    <w:rsid w:val="00AC43BF"/>
    <w:rPr>
      <w:rFonts w:cs="Times New Roman"/>
    </w:rPr>
  </w:style>
  <w:style w:type="character" w:customStyle="1" w:styleId="CommentSubjectChar1">
    <w:name w:val="Comment Subject Char1"/>
    <w:basedOn w:val="CommentTextChar"/>
    <w:semiHidden/>
    <w:rsid w:val="00AC43BF"/>
    <w:rPr>
      <w:rFonts w:eastAsia="Times New Roman" w:cs="Times New Roman"/>
      <w:b/>
      <w:bCs/>
    </w:rPr>
  </w:style>
  <w:style w:type="character" w:customStyle="1" w:styleId="DocumentMapChar1">
    <w:name w:val="Document Map Char1"/>
    <w:basedOn w:val="DefaultParagraphFont"/>
    <w:semiHidden/>
    <w:rsid w:val="00AC43BF"/>
    <w:rPr>
      <w:rFonts w:ascii="Tahoma" w:hAnsi="Tahoma" w:cs="Times New Roman"/>
      <w:sz w:val="22"/>
      <w:shd w:val="clear" w:color="auto" w:fill="000080"/>
    </w:rPr>
  </w:style>
  <w:style w:type="character" w:customStyle="1" w:styleId="EndnoteTextChar1">
    <w:name w:val="Endnote Text Char1"/>
    <w:basedOn w:val="DefaultParagraphFont"/>
    <w:semiHidden/>
    <w:rsid w:val="00AC43BF"/>
    <w:rPr>
      <w:rFonts w:cs="Times New Roman"/>
      <w:sz w:val="21"/>
    </w:rPr>
  </w:style>
  <w:style w:type="character" w:customStyle="1" w:styleId="E-mailSignatureChar1">
    <w:name w:val="E-mail Signature Char1"/>
    <w:basedOn w:val="DefaultParagraphFont"/>
    <w:semiHidden/>
    <w:rsid w:val="00AC43BF"/>
    <w:rPr>
      <w:rFonts w:cs="Times New Roman"/>
      <w:sz w:val="22"/>
    </w:rPr>
  </w:style>
  <w:style w:type="character" w:customStyle="1" w:styleId="HTMLAddressChar1">
    <w:name w:val="HTML Address Char1"/>
    <w:basedOn w:val="DefaultParagraphFont"/>
    <w:semiHidden/>
    <w:rsid w:val="00AC43BF"/>
    <w:rPr>
      <w:rFonts w:cs="Times New Roman"/>
      <w:i/>
      <w:iCs/>
      <w:sz w:val="22"/>
    </w:rPr>
  </w:style>
  <w:style w:type="character" w:customStyle="1" w:styleId="HTMLPreformattedChar1">
    <w:name w:val="HTML Preformatted Char1"/>
    <w:basedOn w:val="DefaultParagraphFont"/>
    <w:semiHidden/>
    <w:rsid w:val="00AC43BF"/>
    <w:rPr>
      <w:rFonts w:ascii="Courier New" w:hAnsi="Courier New" w:cs="Courier New"/>
    </w:rPr>
  </w:style>
  <w:style w:type="character" w:customStyle="1" w:styleId="MessageHeaderChar1">
    <w:name w:val="Message Header Char1"/>
    <w:basedOn w:val="DefaultParagraphFont"/>
    <w:semiHidden/>
    <w:rsid w:val="00AC43BF"/>
    <w:rPr>
      <w:rFonts w:ascii="Arial" w:hAnsi="Arial" w:cs="Arial"/>
      <w:sz w:val="24"/>
      <w:szCs w:val="24"/>
      <w:shd w:val="pct20" w:color="auto" w:fill="auto"/>
    </w:rPr>
  </w:style>
  <w:style w:type="character" w:customStyle="1" w:styleId="NoteHeadingChar1">
    <w:name w:val="Note Heading Char1"/>
    <w:basedOn w:val="DefaultParagraphFont"/>
    <w:semiHidden/>
    <w:rsid w:val="00AC43BF"/>
    <w:rPr>
      <w:rFonts w:cs="Times New Roman"/>
      <w:sz w:val="22"/>
    </w:rPr>
  </w:style>
  <w:style w:type="character" w:customStyle="1" w:styleId="PlainTextChar1">
    <w:name w:val="Plain Text Char1"/>
    <w:basedOn w:val="DefaultParagraphFont"/>
    <w:semiHidden/>
    <w:rsid w:val="00AC43BF"/>
    <w:rPr>
      <w:rFonts w:ascii="Courier New" w:hAnsi="Courier New" w:cs="Courier New"/>
    </w:rPr>
  </w:style>
  <w:style w:type="character" w:customStyle="1" w:styleId="SalutationChar1">
    <w:name w:val="Salutation Char1"/>
    <w:basedOn w:val="DefaultParagraphFont"/>
    <w:semiHidden/>
    <w:rsid w:val="00AC43BF"/>
    <w:rPr>
      <w:rFonts w:cs="Times New Roman"/>
      <w:sz w:val="22"/>
    </w:rPr>
  </w:style>
  <w:style w:type="character" w:customStyle="1" w:styleId="SignatureChar1">
    <w:name w:val="Signature Char1"/>
    <w:basedOn w:val="DefaultParagraphFont"/>
    <w:semiHidden/>
    <w:rsid w:val="00AC43BF"/>
    <w:rPr>
      <w:rFonts w:cs="Times New Roman"/>
      <w:sz w:val="22"/>
    </w:rPr>
  </w:style>
  <w:style w:type="paragraph" w:customStyle="1" w:styleId="NonsectionHeading21">
    <w:name w:val="Nonsection Heading 21"/>
    <w:basedOn w:val="Normal"/>
    <w:next w:val="Normal"/>
    <w:uiPriority w:val="99"/>
    <w:rsid w:val="00AC43BF"/>
    <w:pPr>
      <w:ind w:left="720"/>
    </w:pPr>
    <w:rPr>
      <w:i/>
    </w:rPr>
  </w:style>
  <w:style w:type="paragraph" w:customStyle="1" w:styleId="Bullets1">
    <w:name w:val="Bullets1"/>
    <w:basedOn w:val="BodyText"/>
    <w:rsid w:val="00581A08"/>
    <w:pPr>
      <w:numPr>
        <w:numId w:val="24"/>
      </w:numPr>
      <w:tabs>
        <w:tab w:val="left" w:pos="360"/>
      </w:tabs>
      <w:spacing w:after="120"/>
    </w:pPr>
  </w:style>
  <w:style w:type="paragraph" w:customStyle="1" w:styleId="Numbers1">
    <w:name w:val="Numbers1"/>
    <w:basedOn w:val="BodyText"/>
    <w:uiPriority w:val="99"/>
    <w:rsid w:val="00AC43BF"/>
    <w:pPr>
      <w:tabs>
        <w:tab w:val="left" w:pos="720"/>
        <w:tab w:val="num" w:pos="1080"/>
        <w:tab w:val="left" w:pos="1440"/>
        <w:tab w:val="left" w:pos="1800"/>
      </w:tabs>
      <w:spacing w:after="0"/>
      <w:ind w:left="1080" w:hanging="360"/>
    </w:pPr>
  </w:style>
  <w:style w:type="paragraph" w:customStyle="1" w:styleId="RefNumbers1">
    <w:name w:val="Ref Numbers1"/>
    <w:basedOn w:val="BodyText"/>
    <w:uiPriority w:val="99"/>
    <w:rsid w:val="00AC43BF"/>
    <w:pPr>
      <w:tabs>
        <w:tab w:val="num" w:pos="720"/>
        <w:tab w:val="left" w:pos="1080"/>
        <w:tab w:val="left" w:pos="1440"/>
        <w:tab w:val="left" w:pos="1800"/>
      </w:tabs>
      <w:spacing w:after="240"/>
      <w:ind w:left="720" w:hanging="720"/>
    </w:pPr>
  </w:style>
  <w:style w:type="paragraph" w:customStyle="1" w:styleId="Appendix11">
    <w:name w:val="Appendix 11"/>
    <w:basedOn w:val="Heading1"/>
    <w:uiPriority w:val="99"/>
    <w:rsid w:val="00AC43BF"/>
    <w:pPr>
      <w:keepNext/>
      <w:keepLines/>
      <w:numPr>
        <w:numId w:val="0"/>
      </w:numPr>
      <w:spacing w:before="60"/>
    </w:pPr>
    <w:rPr>
      <w:color w:val="auto"/>
    </w:rPr>
  </w:style>
  <w:style w:type="paragraph" w:customStyle="1" w:styleId="Appendix21">
    <w:name w:val="Appendix 21"/>
    <w:uiPriority w:val="99"/>
    <w:rsid w:val="0065055C"/>
    <w:pPr>
      <w:keepNext/>
      <w:keepLines/>
      <w:spacing w:before="60" w:after="180" w:line="264" w:lineRule="auto"/>
      <w:ind w:left="576" w:hanging="576"/>
    </w:pPr>
    <w:rPr>
      <w:rFonts w:ascii="Arial" w:hAnsi="Arial" w:cs="Arial"/>
      <w:b/>
      <w:bCs/>
      <w:sz w:val="22"/>
    </w:rPr>
  </w:style>
  <w:style w:type="paragraph" w:customStyle="1" w:styleId="Appendix31">
    <w:name w:val="Appendix 31"/>
    <w:basedOn w:val="Heading3"/>
    <w:next w:val="BodyText"/>
    <w:uiPriority w:val="99"/>
    <w:rsid w:val="00AC43BF"/>
    <w:pPr>
      <w:keepLines/>
      <w:numPr>
        <w:ilvl w:val="0"/>
        <w:numId w:val="0"/>
      </w:numPr>
      <w:tabs>
        <w:tab w:val="num" w:pos="2160"/>
      </w:tabs>
      <w:ind w:left="2160" w:hanging="360"/>
    </w:pPr>
    <w:rPr>
      <w:rFonts w:cs="Arial"/>
      <w:bCs/>
      <w:iCs/>
      <w:kern w:val="28"/>
    </w:rPr>
  </w:style>
  <w:style w:type="paragraph" w:customStyle="1" w:styleId="Normal11pt1">
    <w:name w:val="Normal 11pt1"/>
    <w:basedOn w:val="Normal"/>
    <w:uiPriority w:val="99"/>
    <w:rsid w:val="00AC43BF"/>
    <w:pPr>
      <w:widowControl w:val="0"/>
      <w:autoSpaceDE w:val="0"/>
      <w:autoSpaceDN w:val="0"/>
      <w:spacing w:before="180"/>
      <w:ind w:firstLine="720"/>
    </w:pPr>
  </w:style>
  <w:style w:type="character" w:customStyle="1" w:styleId="BodyTextChar21">
    <w:name w:val="Body Text Char21"/>
    <w:basedOn w:val="DefaultParagraphFont"/>
    <w:uiPriority w:val="99"/>
    <w:rsid w:val="00AC43BF"/>
    <w:rPr>
      <w:rFonts w:cs="Times New Roman"/>
      <w:sz w:val="22"/>
      <w:lang w:val="en-US" w:eastAsia="en-US" w:bidi="ar-SA"/>
    </w:rPr>
  </w:style>
  <w:style w:type="paragraph" w:customStyle="1" w:styleId="Footnote1">
    <w:name w:val="Footnote1"/>
    <w:basedOn w:val="Footer"/>
    <w:uiPriority w:val="99"/>
    <w:rsid w:val="00AC43BF"/>
    <w:pPr>
      <w:pBdr>
        <w:top w:val="single" w:sz="8" w:space="1" w:color="auto"/>
      </w:pBdr>
      <w:spacing w:line="264" w:lineRule="auto"/>
    </w:pPr>
    <w:rPr>
      <w:color w:val="auto"/>
      <w:sz w:val="16"/>
    </w:rPr>
  </w:style>
  <w:style w:type="paragraph" w:customStyle="1" w:styleId="References1">
    <w:name w:val="References1"/>
    <w:basedOn w:val="Heading1"/>
    <w:uiPriority w:val="99"/>
    <w:rsid w:val="00AC43BF"/>
    <w:pPr>
      <w:keepNext/>
      <w:keepLines/>
      <w:numPr>
        <w:numId w:val="0"/>
      </w:numPr>
      <w:spacing w:after="0"/>
    </w:pPr>
    <w:rPr>
      <w:rFonts w:ascii="Times New Roman" w:hAnsi="Times New Roman"/>
      <w:i/>
      <w:iCs/>
      <w:color w:val="auto"/>
    </w:rPr>
  </w:style>
  <w:style w:type="character" w:customStyle="1" w:styleId="Heading1Char11">
    <w:name w:val="Heading 1 Char11"/>
    <w:basedOn w:val="DefaultParagraphFont"/>
    <w:uiPriority w:val="99"/>
    <w:rsid w:val="00AC43BF"/>
    <w:rPr>
      <w:rFonts w:ascii="Arial Bold" w:hAnsi="Arial Bold" w:cs="Arial"/>
      <w:b/>
      <w:kern w:val="28"/>
      <w:sz w:val="28"/>
      <w:lang w:val="en-US" w:eastAsia="en-US" w:bidi="ar-SA"/>
    </w:rPr>
  </w:style>
  <w:style w:type="character" w:customStyle="1" w:styleId="Heading2Char11">
    <w:name w:val="Heading 2 Char11"/>
    <w:basedOn w:val="Heading1Char1"/>
    <w:uiPriority w:val="99"/>
    <w:rsid w:val="00AC43BF"/>
    <w:rPr>
      <w:rFonts w:ascii="Arial Bold" w:hAnsi="Arial Bold" w:cs="Arial"/>
      <w:b/>
      <w:bCs/>
      <w:kern w:val="28"/>
      <w:sz w:val="24"/>
      <w:lang w:val="en-US" w:eastAsia="en-US" w:bidi="ar-SA"/>
    </w:rPr>
  </w:style>
  <w:style w:type="character" w:customStyle="1" w:styleId="Heading3Char21">
    <w:name w:val="Heading 3 Char21"/>
    <w:basedOn w:val="Heading2Char1"/>
    <w:uiPriority w:val="99"/>
    <w:rsid w:val="00AC43BF"/>
    <w:rPr>
      <w:rFonts w:ascii="Arial Bold" w:hAnsi="Arial Bold" w:cs="Arial"/>
      <w:b/>
      <w:bCs/>
      <w:iCs/>
      <w:kern w:val="28"/>
      <w:sz w:val="22"/>
      <w:lang w:val="en-US" w:eastAsia="en-US" w:bidi="ar-SA"/>
    </w:rPr>
  </w:style>
  <w:style w:type="character" w:customStyle="1" w:styleId="abbr1">
    <w:name w:val="abbr1"/>
    <w:basedOn w:val="DefaultParagraphFont"/>
    <w:uiPriority w:val="99"/>
    <w:rsid w:val="00AC43BF"/>
    <w:rPr>
      <w:rFonts w:cs="Times New Roman"/>
    </w:rPr>
  </w:style>
  <w:style w:type="character" w:customStyle="1" w:styleId="TableSourceChar1">
    <w:name w:val="Table Source Char1"/>
    <w:uiPriority w:val="99"/>
    <w:rsid w:val="00AC43BF"/>
    <w:rPr>
      <w:rFonts w:eastAsia="Times New Roman"/>
      <w:i/>
      <w:sz w:val="18"/>
    </w:rPr>
  </w:style>
  <w:style w:type="character" w:customStyle="1" w:styleId="tablefootnoteChar1">
    <w:name w:val="table footnote Char1"/>
    <w:basedOn w:val="DefaultParagraphFont"/>
    <w:uiPriority w:val="99"/>
    <w:rsid w:val="00AC43BF"/>
    <w:rPr>
      <w:rFonts w:cs="Times New Roman"/>
      <w:sz w:val="16"/>
    </w:rPr>
  </w:style>
  <w:style w:type="paragraph" w:customStyle="1" w:styleId="xl361">
    <w:name w:val="xl361"/>
    <w:basedOn w:val="Normal"/>
    <w:uiPriority w:val="99"/>
    <w:rsid w:val="00AC43BF"/>
    <w:pPr>
      <w:pBdr>
        <w:bottom w:val="single" w:sz="8" w:space="0" w:color="auto"/>
        <w:right w:val="single" w:sz="8" w:space="0" w:color="auto"/>
      </w:pBdr>
      <w:shd w:val="clear" w:color="auto" w:fill="FFFFFF"/>
      <w:spacing w:before="100" w:beforeAutospacing="1" w:after="100" w:afterAutospacing="1"/>
      <w:jc w:val="right"/>
    </w:pPr>
    <w:rPr>
      <w:b/>
      <w:bCs/>
      <w:sz w:val="18"/>
      <w:szCs w:val="18"/>
    </w:rPr>
  </w:style>
  <w:style w:type="paragraph" w:customStyle="1" w:styleId="xl371">
    <w:name w:val="xl371"/>
    <w:basedOn w:val="Normal"/>
    <w:uiPriority w:val="99"/>
    <w:rsid w:val="00AC43BF"/>
    <w:pPr>
      <w:pBdr>
        <w:top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381">
    <w:name w:val="xl381"/>
    <w:basedOn w:val="Normal"/>
    <w:uiPriority w:val="99"/>
    <w:rsid w:val="00AC43BF"/>
    <w:pPr>
      <w:pBdr>
        <w:top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391">
    <w:name w:val="xl391"/>
    <w:basedOn w:val="Normal"/>
    <w:uiPriority w:val="99"/>
    <w:rsid w:val="00AC43BF"/>
    <w:pPr>
      <w:pBdr>
        <w:bottom w:val="single" w:sz="8" w:space="0" w:color="auto"/>
        <w:right w:val="single" w:sz="8" w:space="0" w:color="auto"/>
      </w:pBdr>
      <w:spacing w:before="100" w:beforeAutospacing="1" w:after="100" w:afterAutospacing="1"/>
    </w:pPr>
    <w:rPr>
      <w:sz w:val="18"/>
      <w:szCs w:val="18"/>
    </w:rPr>
  </w:style>
  <w:style w:type="paragraph" w:customStyle="1" w:styleId="xl401">
    <w:name w:val="xl401"/>
    <w:basedOn w:val="Normal"/>
    <w:uiPriority w:val="99"/>
    <w:rsid w:val="00AC43BF"/>
    <w:pPr>
      <w:pBdr>
        <w:bottom w:val="single" w:sz="8" w:space="0" w:color="auto"/>
        <w:right w:val="single" w:sz="8" w:space="0" w:color="auto"/>
      </w:pBdr>
      <w:spacing w:before="100" w:beforeAutospacing="1" w:after="100" w:afterAutospacing="1"/>
      <w:jc w:val="right"/>
    </w:pPr>
    <w:rPr>
      <w:sz w:val="18"/>
      <w:szCs w:val="18"/>
    </w:rPr>
  </w:style>
  <w:style w:type="paragraph" w:customStyle="1" w:styleId="xl411">
    <w:name w:val="xl411"/>
    <w:basedOn w:val="Normal"/>
    <w:uiPriority w:val="99"/>
    <w:rsid w:val="00AC43BF"/>
    <w:pPr>
      <w:pBdr>
        <w:bottom w:val="single" w:sz="8" w:space="0" w:color="auto"/>
        <w:right w:val="single" w:sz="8" w:space="0" w:color="auto"/>
      </w:pBdr>
      <w:spacing w:before="100" w:beforeAutospacing="1" w:after="100" w:afterAutospacing="1"/>
    </w:pPr>
    <w:rPr>
      <w:b/>
      <w:bCs/>
      <w:sz w:val="18"/>
      <w:szCs w:val="18"/>
    </w:rPr>
  </w:style>
  <w:style w:type="paragraph" w:customStyle="1" w:styleId="xl421">
    <w:name w:val="xl421"/>
    <w:basedOn w:val="Normal"/>
    <w:uiPriority w:val="99"/>
    <w:rsid w:val="00AC43BF"/>
    <w:pPr>
      <w:pBdr>
        <w:bottom w:val="single" w:sz="8" w:space="0" w:color="auto"/>
        <w:right w:val="single" w:sz="8" w:space="0" w:color="auto"/>
      </w:pBdr>
      <w:spacing w:before="100" w:beforeAutospacing="1" w:after="100" w:afterAutospacing="1"/>
      <w:jc w:val="right"/>
    </w:pPr>
    <w:rPr>
      <w:b/>
      <w:bCs/>
      <w:sz w:val="18"/>
      <w:szCs w:val="18"/>
    </w:rPr>
  </w:style>
  <w:style w:type="paragraph" w:customStyle="1" w:styleId="xl431">
    <w:name w:val="xl431"/>
    <w:basedOn w:val="Normal"/>
    <w:uiPriority w:val="99"/>
    <w:rsid w:val="00AC43BF"/>
    <w:pPr>
      <w:pBdr>
        <w:top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441">
    <w:name w:val="xl441"/>
    <w:basedOn w:val="Normal"/>
    <w:uiPriority w:val="99"/>
    <w:rsid w:val="00AC43BF"/>
    <w:pPr>
      <w:pBdr>
        <w:bottom w:val="single" w:sz="8" w:space="0" w:color="auto"/>
        <w:right w:val="single" w:sz="8" w:space="0" w:color="auto"/>
      </w:pBdr>
      <w:spacing w:before="100" w:beforeAutospacing="1" w:after="100" w:afterAutospacing="1"/>
      <w:jc w:val="right"/>
    </w:pPr>
    <w:rPr>
      <w:sz w:val="18"/>
      <w:szCs w:val="18"/>
    </w:rPr>
  </w:style>
  <w:style w:type="paragraph" w:customStyle="1" w:styleId="xl451">
    <w:name w:val="xl451"/>
    <w:basedOn w:val="Normal"/>
    <w:uiPriority w:val="99"/>
    <w:rsid w:val="00AC43BF"/>
    <w:pPr>
      <w:pBdr>
        <w:bottom w:val="single" w:sz="8" w:space="0" w:color="auto"/>
        <w:right w:val="single" w:sz="8" w:space="0" w:color="auto"/>
      </w:pBdr>
      <w:spacing w:before="100" w:beforeAutospacing="1" w:after="100" w:afterAutospacing="1"/>
      <w:jc w:val="right"/>
    </w:pPr>
    <w:rPr>
      <w:sz w:val="18"/>
      <w:szCs w:val="18"/>
    </w:rPr>
  </w:style>
  <w:style w:type="paragraph" w:customStyle="1" w:styleId="xl461">
    <w:name w:val="xl461"/>
    <w:basedOn w:val="Normal"/>
    <w:uiPriority w:val="99"/>
    <w:rsid w:val="00AC43BF"/>
    <w:pPr>
      <w:pBdr>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471">
    <w:name w:val="xl471"/>
    <w:basedOn w:val="Normal"/>
    <w:uiPriority w:val="99"/>
    <w:rsid w:val="00AC43BF"/>
    <w:pPr>
      <w:pBdr>
        <w:bottom w:val="single" w:sz="8" w:space="0" w:color="auto"/>
        <w:right w:val="single" w:sz="8" w:space="0" w:color="auto"/>
      </w:pBdr>
      <w:spacing w:before="100" w:beforeAutospacing="1" w:after="100" w:afterAutospacing="1"/>
    </w:pPr>
    <w:rPr>
      <w:b/>
      <w:bCs/>
      <w:i/>
      <w:iCs/>
      <w:sz w:val="18"/>
      <w:szCs w:val="18"/>
    </w:rPr>
  </w:style>
  <w:style w:type="paragraph" w:customStyle="1" w:styleId="xl481">
    <w:name w:val="xl481"/>
    <w:basedOn w:val="Normal"/>
    <w:uiPriority w:val="99"/>
    <w:rsid w:val="00AC43BF"/>
    <w:pPr>
      <w:pBdr>
        <w:top w:val="single" w:sz="8" w:space="0" w:color="auto"/>
        <w:left w:val="single" w:sz="8" w:space="0" w:color="auto"/>
        <w:right w:val="single" w:sz="8" w:space="0" w:color="auto"/>
      </w:pBdr>
      <w:shd w:val="clear" w:color="auto" w:fill="FFFFFF"/>
      <w:spacing w:before="100" w:beforeAutospacing="1" w:after="100" w:afterAutospacing="1"/>
    </w:pPr>
    <w:rPr>
      <w:sz w:val="18"/>
      <w:szCs w:val="18"/>
    </w:rPr>
  </w:style>
  <w:style w:type="paragraph" w:customStyle="1" w:styleId="xl491">
    <w:name w:val="xl491"/>
    <w:basedOn w:val="Normal"/>
    <w:uiPriority w:val="99"/>
    <w:rsid w:val="00AC43B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sz w:val="18"/>
      <w:szCs w:val="18"/>
    </w:rPr>
  </w:style>
  <w:style w:type="paragraph" w:customStyle="1" w:styleId="xl501">
    <w:name w:val="xl501"/>
    <w:basedOn w:val="Normal"/>
    <w:uiPriority w:val="99"/>
    <w:rsid w:val="00AC43B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sz w:val="18"/>
      <w:szCs w:val="18"/>
    </w:rPr>
  </w:style>
  <w:style w:type="paragraph" w:customStyle="1" w:styleId="xl511">
    <w:name w:val="xl511"/>
    <w:basedOn w:val="Normal"/>
    <w:uiPriority w:val="99"/>
    <w:rsid w:val="00AC43B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right"/>
    </w:pPr>
    <w:rPr>
      <w:sz w:val="18"/>
      <w:szCs w:val="18"/>
    </w:rPr>
  </w:style>
  <w:style w:type="paragraph" w:customStyle="1" w:styleId="xl521">
    <w:name w:val="xl521"/>
    <w:basedOn w:val="Normal"/>
    <w:uiPriority w:val="99"/>
    <w:rsid w:val="00AC43BF"/>
    <w:pPr>
      <w:pBdr>
        <w:bottom w:val="single" w:sz="8" w:space="0" w:color="auto"/>
        <w:right w:val="single" w:sz="8" w:space="0" w:color="auto"/>
      </w:pBdr>
      <w:spacing w:before="100" w:beforeAutospacing="1" w:after="100" w:afterAutospacing="1"/>
      <w:jc w:val="right"/>
    </w:pPr>
    <w:rPr>
      <w:i/>
      <w:iCs/>
      <w:sz w:val="18"/>
      <w:szCs w:val="18"/>
    </w:rPr>
  </w:style>
  <w:style w:type="paragraph" w:customStyle="1" w:styleId="xl531">
    <w:name w:val="xl531"/>
    <w:basedOn w:val="Normal"/>
    <w:uiPriority w:val="99"/>
    <w:rsid w:val="00AC43BF"/>
    <w:pPr>
      <w:pBdr>
        <w:top w:val="single" w:sz="8" w:space="0" w:color="auto"/>
        <w:left w:val="single" w:sz="8" w:space="0" w:color="auto"/>
        <w:bottom w:val="single" w:sz="8" w:space="0" w:color="auto"/>
      </w:pBdr>
      <w:shd w:val="clear" w:color="auto" w:fill="C0C0C0"/>
      <w:spacing w:before="100" w:beforeAutospacing="1" w:after="100" w:afterAutospacing="1"/>
    </w:pPr>
    <w:rPr>
      <w:rFonts w:ascii="Arial Bold" w:hAnsi="Arial Bold"/>
      <w:b/>
      <w:bCs/>
      <w:sz w:val="24"/>
      <w:szCs w:val="24"/>
    </w:rPr>
  </w:style>
  <w:style w:type="paragraph" w:customStyle="1" w:styleId="xl541">
    <w:name w:val="xl541"/>
    <w:basedOn w:val="Normal"/>
    <w:uiPriority w:val="99"/>
    <w:rsid w:val="00AC43BF"/>
    <w:pPr>
      <w:pBdr>
        <w:top w:val="single" w:sz="8" w:space="0" w:color="auto"/>
        <w:bottom w:val="single" w:sz="8" w:space="0" w:color="auto"/>
      </w:pBdr>
      <w:shd w:val="clear" w:color="auto" w:fill="C0C0C0"/>
      <w:spacing w:before="100" w:beforeAutospacing="1" w:after="100" w:afterAutospacing="1"/>
    </w:pPr>
    <w:rPr>
      <w:rFonts w:ascii="Arial Bold" w:hAnsi="Arial Bold"/>
      <w:b/>
      <w:bCs/>
      <w:sz w:val="24"/>
      <w:szCs w:val="24"/>
    </w:rPr>
  </w:style>
  <w:style w:type="paragraph" w:customStyle="1" w:styleId="xl551">
    <w:name w:val="xl551"/>
    <w:basedOn w:val="Normal"/>
    <w:uiPriority w:val="99"/>
    <w:rsid w:val="00AC43BF"/>
    <w:pPr>
      <w:pBdr>
        <w:top w:val="single" w:sz="8" w:space="0" w:color="auto"/>
        <w:bottom w:val="single" w:sz="8" w:space="0" w:color="auto"/>
        <w:right w:val="single" w:sz="8" w:space="0" w:color="auto"/>
      </w:pBdr>
      <w:shd w:val="clear" w:color="auto" w:fill="C0C0C0"/>
      <w:spacing w:before="100" w:beforeAutospacing="1" w:after="100" w:afterAutospacing="1"/>
    </w:pPr>
    <w:rPr>
      <w:rFonts w:ascii="Arial Bold" w:hAnsi="Arial Bold"/>
      <w:b/>
      <w:bCs/>
      <w:sz w:val="24"/>
      <w:szCs w:val="24"/>
    </w:rPr>
  </w:style>
  <w:style w:type="paragraph" w:customStyle="1" w:styleId="xl561">
    <w:name w:val="xl561"/>
    <w:basedOn w:val="Normal"/>
    <w:uiPriority w:val="99"/>
    <w:rsid w:val="00AC43BF"/>
    <w:pPr>
      <w:pBdr>
        <w:top w:val="single" w:sz="8" w:space="0" w:color="auto"/>
        <w:left w:val="single" w:sz="8" w:space="0" w:color="auto"/>
        <w:right w:val="single" w:sz="8" w:space="0" w:color="auto"/>
      </w:pBdr>
      <w:shd w:val="clear" w:color="auto" w:fill="FFFF99"/>
      <w:spacing w:before="100" w:beforeAutospacing="1" w:after="100" w:afterAutospacing="1"/>
      <w:jc w:val="center"/>
    </w:pPr>
    <w:rPr>
      <w:b/>
      <w:bCs/>
      <w:color w:val="000000"/>
      <w:sz w:val="18"/>
      <w:szCs w:val="18"/>
    </w:rPr>
  </w:style>
  <w:style w:type="paragraph" w:customStyle="1" w:styleId="xl571">
    <w:name w:val="xl571"/>
    <w:basedOn w:val="Normal"/>
    <w:uiPriority w:val="99"/>
    <w:rsid w:val="00AC43BF"/>
    <w:pPr>
      <w:pBdr>
        <w:left w:val="single" w:sz="8" w:space="0" w:color="auto"/>
        <w:bottom w:val="single" w:sz="8" w:space="0" w:color="auto"/>
        <w:right w:val="single" w:sz="8" w:space="0" w:color="auto"/>
      </w:pBdr>
      <w:shd w:val="clear" w:color="auto" w:fill="FFFF99"/>
      <w:spacing w:before="100" w:beforeAutospacing="1" w:after="100" w:afterAutospacing="1"/>
      <w:jc w:val="center"/>
    </w:pPr>
    <w:rPr>
      <w:b/>
      <w:bCs/>
      <w:color w:val="000000"/>
      <w:sz w:val="18"/>
      <w:szCs w:val="18"/>
    </w:rPr>
  </w:style>
  <w:style w:type="paragraph" w:customStyle="1" w:styleId="xl581">
    <w:name w:val="xl581"/>
    <w:basedOn w:val="Normal"/>
    <w:uiPriority w:val="99"/>
    <w:rsid w:val="00AC43BF"/>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91">
    <w:name w:val="xl591"/>
    <w:basedOn w:val="Normal"/>
    <w:uiPriority w:val="99"/>
    <w:rsid w:val="00AC43BF"/>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01">
    <w:name w:val="xl601"/>
    <w:basedOn w:val="Normal"/>
    <w:uiPriority w:val="99"/>
    <w:rsid w:val="00AC43BF"/>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11">
    <w:name w:val="xl611"/>
    <w:basedOn w:val="Normal"/>
    <w:uiPriority w:val="99"/>
    <w:rsid w:val="00AC43BF"/>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21">
    <w:name w:val="xl621"/>
    <w:basedOn w:val="Normal"/>
    <w:uiPriority w:val="99"/>
    <w:rsid w:val="00AC43BF"/>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31">
    <w:name w:val="xl631"/>
    <w:basedOn w:val="Normal"/>
    <w:uiPriority w:val="99"/>
    <w:rsid w:val="00AC43BF"/>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41">
    <w:name w:val="xl641"/>
    <w:basedOn w:val="Normal"/>
    <w:uiPriority w:val="99"/>
    <w:rsid w:val="00AC43BF"/>
    <w:pPr>
      <w:pBdr>
        <w:top w:val="single" w:sz="8" w:space="0" w:color="auto"/>
        <w:left w:val="single" w:sz="8" w:space="0" w:color="auto"/>
        <w:bottom w:val="single" w:sz="8" w:space="0" w:color="auto"/>
      </w:pBdr>
      <w:spacing w:before="100" w:beforeAutospacing="1" w:after="100" w:afterAutospacing="1"/>
    </w:pPr>
    <w:rPr>
      <w:i/>
      <w:iCs/>
      <w:sz w:val="18"/>
      <w:szCs w:val="18"/>
    </w:rPr>
  </w:style>
  <w:style w:type="paragraph" w:customStyle="1" w:styleId="xl651">
    <w:name w:val="xl651"/>
    <w:basedOn w:val="Normal"/>
    <w:uiPriority w:val="99"/>
    <w:rsid w:val="00AC43BF"/>
    <w:pPr>
      <w:pBdr>
        <w:top w:val="single" w:sz="8" w:space="0" w:color="auto"/>
        <w:bottom w:val="single" w:sz="8" w:space="0" w:color="auto"/>
      </w:pBdr>
      <w:spacing w:before="100" w:beforeAutospacing="1" w:after="100" w:afterAutospacing="1"/>
    </w:pPr>
    <w:rPr>
      <w:rFonts w:ascii="Arial" w:hAnsi="Arial" w:cs="Arial"/>
      <w:i/>
      <w:iCs/>
      <w:sz w:val="24"/>
      <w:szCs w:val="24"/>
    </w:rPr>
  </w:style>
  <w:style w:type="paragraph" w:customStyle="1" w:styleId="xl661">
    <w:name w:val="xl661"/>
    <w:basedOn w:val="Normal"/>
    <w:uiPriority w:val="99"/>
    <w:rsid w:val="00AC43BF"/>
    <w:pPr>
      <w:pBdr>
        <w:top w:val="single" w:sz="8" w:space="0" w:color="auto"/>
        <w:bottom w:val="single" w:sz="8" w:space="0" w:color="auto"/>
        <w:right w:val="single" w:sz="8" w:space="0" w:color="auto"/>
      </w:pBdr>
      <w:spacing w:before="100" w:beforeAutospacing="1" w:after="100" w:afterAutospacing="1"/>
    </w:pPr>
    <w:rPr>
      <w:rFonts w:ascii="Arial" w:hAnsi="Arial" w:cs="Arial"/>
      <w:i/>
      <w:iCs/>
      <w:sz w:val="24"/>
      <w:szCs w:val="24"/>
    </w:rPr>
  </w:style>
  <w:style w:type="paragraph" w:customStyle="1" w:styleId="TableTex1">
    <w:name w:val="Table Tex1"/>
    <w:basedOn w:val="TableText"/>
    <w:uiPriority w:val="99"/>
    <w:rsid w:val="00AC43BF"/>
    <w:pPr>
      <w:keepNext/>
      <w:keepLines/>
      <w:spacing w:before="0" w:after="0"/>
    </w:pPr>
    <w:rPr>
      <w:bCs/>
    </w:rPr>
  </w:style>
  <w:style w:type="paragraph" w:customStyle="1" w:styleId="Headnig21">
    <w:name w:val="Headnig 21"/>
    <w:basedOn w:val="BodyText"/>
    <w:uiPriority w:val="99"/>
    <w:rsid w:val="00AC43BF"/>
    <w:pPr>
      <w:tabs>
        <w:tab w:val="left" w:pos="720"/>
        <w:tab w:val="left" w:pos="1080"/>
        <w:tab w:val="left" w:pos="1440"/>
        <w:tab w:val="left" w:pos="1800"/>
      </w:tabs>
      <w:spacing w:after="0"/>
      <w:ind w:firstLine="720"/>
    </w:pPr>
  </w:style>
  <w:style w:type="paragraph" w:customStyle="1" w:styleId="TableSubtitlwe1">
    <w:name w:val="TableSubtitlwe1"/>
    <w:basedOn w:val="TableSubtitle"/>
    <w:uiPriority w:val="99"/>
    <w:rsid w:val="00AC43BF"/>
    <w:rPr>
      <w:rFonts w:ascii="Times New Roman" w:hAnsi="Times New Roman" w:cs="Times New Roman"/>
      <w:sz w:val="20"/>
      <w:szCs w:val="20"/>
    </w:rPr>
  </w:style>
  <w:style w:type="character" w:customStyle="1" w:styleId="BodyTextChar11">
    <w:name w:val="Body Text Char11"/>
    <w:basedOn w:val="DefaultParagraphFont"/>
    <w:uiPriority w:val="99"/>
    <w:rsid w:val="00AC43BF"/>
    <w:rPr>
      <w:rFonts w:cs="Times New Roman"/>
      <w:sz w:val="22"/>
      <w:lang w:val="en-US" w:eastAsia="en-US" w:bidi="ar-SA"/>
    </w:rPr>
  </w:style>
  <w:style w:type="character" w:customStyle="1" w:styleId="Heading3Char11">
    <w:name w:val="Heading 3 Char11"/>
    <w:basedOn w:val="DefaultParagraphFont"/>
    <w:uiPriority w:val="99"/>
    <w:rsid w:val="00AC43BF"/>
    <w:rPr>
      <w:rFonts w:ascii="Arial Bold" w:hAnsi="Arial Bold" w:cs="Arial"/>
      <w:b/>
      <w:bCs/>
      <w:iCs/>
      <w:kern w:val="28"/>
      <w:sz w:val="22"/>
      <w:lang w:val="en-US" w:eastAsia="en-US" w:bidi="ar-SA"/>
    </w:rPr>
  </w:style>
  <w:style w:type="character" w:customStyle="1" w:styleId="CharChar91">
    <w:name w:val="Char Char91"/>
    <w:basedOn w:val="DefaultParagraphFont"/>
    <w:uiPriority w:val="99"/>
    <w:rsid w:val="00AC43BF"/>
    <w:rPr>
      <w:rFonts w:cs="Times New Roman"/>
      <w:b/>
      <w:sz w:val="18"/>
      <w:szCs w:val="18"/>
      <w:lang w:val="en-US" w:eastAsia="en-US" w:bidi="ar-SA"/>
    </w:rPr>
  </w:style>
  <w:style w:type="paragraph" w:customStyle="1" w:styleId="BodyText1">
    <w:name w:val="Body Text'1"/>
    <w:basedOn w:val="ListBullet"/>
    <w:uiPriority w:val="99"/>
    <w:rsid w:val="00AC43BF"/>
    <w:pPr>
      <w:tabs>
        <w:tab w:val="clear" w:pos="360"/>
      </w:tabs>
      <w:ind w:left="720" w:firstLine="0"/>
    </w:pPr>
  </w:style>
  <w:style w:type="paragraph" w:customStyle="1" w:styleId="TableTextR10">
    <w:name w:val="Table TextR1"/>
    <w:basedOn w:val="Normal"/>
    <w:uiPriority w:val="99"/>
    <w:rsid w:val="00AC43BF"/>
    <w:pPr>
      <w:keepNext/>
      <w:keepLines/>
      <w:jc w:val="right"/>
    </w:pPr>
    <w:rPr>
      <w:sz w:val="18"/>
    </w:rPr>
  </w:style>
  <w:style w:type="character" w:customStyle="1" w:styleId="TableTextRChar10">
    <w:name w:val="Table TextR Char1"/>
    <w:uiPriority w:val="99"/>
    <w:rsid w:val="00AC43BF"/>
    <w:rPr>
      <w:rFonts w:eastAsia="Times New Roman"/>
      <w:sz w:val="18"/>
    </w:rPr>
  </w:style>
  <w:style w:type="paragraph" w:customStyle="1" w:styleId="numberlistintable1">
    <w:name w:val="numberlistintable1"/>
    <w:basedOn w:val="TableText"/>
    <w:uiPriority w:val="99"/>
    <w:rsid w:val="00AC43BF"/>
    <w:pPr>
      <w:keepNext/>
      <w:keepLines/>
      <w:spacing w:before="0" w:after="0"/>
      <w:ind w:left="241" w:hanging="270"/>
    </w:pPr>
    <w:rPr>
      <w:bCs/>
    </w:rPr>
  </w:style>
  <w:style w:type="character" w:customStyle="1" w:styleId="numberlistintableChar1">
    <w:name w:val="numberlistintable Char1"/>
    <w:basedOn w:val="TableTextChar"/>
    <w:uiPriority w:val="99"/>
    <w:rsid w:val="00AC43BF"/>
    <w:rPr>
      <w:rFonts w:ascii="Arial Narrow" w:hAnsi="Arial Narrow" w:cs="Times New Roman"/>
      <w:bCs/>
      <w:sz w:val="18"/>
      <w:szCs w:val="18"/>
    </w:rPr>
  </w:style>
  <w:style w:type="paragraph" w:customStyle="1" w:styleId="referenceheading1">
    <w:name w:val="reference heading1"/>
    <w:basedOn w:val="Caption"/>
    <w:uiPriority w:val="99"/>
    <w:rsid w:val="00AC43BF"/>
    <w:pPr>
      <w:spacing w:after="0"/>
      <w:jc w:val="both"/>
    </w:pPr>
    <w:rPr>
      <w:rFonts w:ascii="Arial Bold" w:hAnsi="Arial Bold"/>
      <w:bCs/>
      <w:sz w:val="28"/>
      <w:szCs w:val="28"/>
    </w:rPr>
  </w:style>
  <w:style w:type="character" w:customStyle="1" w:styleId="referenceheadingChar1">
    <w:name w:val="reference heading Char1"/>
    <w:basedOn w:val="CaptionChar"/>
    <w:uiPriority w:val="99"/>
    <w:rsid w:val="00AC43BF"/>
    <w:rPr>
      <w:rFonts w:ascii="Arial" w:hAnsi="Arial" w:eastAsiaTheme="minorHAnsi" w:cs="Arial"/>
      <w:b/>
      <w:bCs/>
      <w:sz w:val="28"/>
      <w:szCs w:val="28"/>
    </w:rPr>
  </w:style>
  <w:style w:type="paragraph" w:customStyle="1" w:styleId="bullist1">
    <w:name w:val="bullist1"/>
    <w:basedOn w:val="BodyText"/>
    <w:uiPriority w:val="99"/>
    <w:rsid w:val="00AC43BF"/>
    <w:pPr>
      <w:tabs>
        <w:tab w:val="left" w:pos="720"/>
        <w:tab w:val="left" w:pos="1080"/>
        <w:tab w:val="left" w:pos="1440"/>
        <w:tab w:val="left" w:pos="1800"/>
      </w:tabs>
      <w:spacing w:after="0"/>
      <w:ind w:left="432" w:hanging="432"/>
    </w:pPr>
  </w:style>
  <w:style w:type="character" w:customStyle="1" w:styleId="bullistChar1">
    <w:name w:val="bullist Char1"/>
    <w:basedOn w:val="BodyTextChar"/>
    <w:uiPriority w:val="99"/>
    <w:rsid w:val="00AC43BF"/>
    <w:rPr>
      <w:rFonts w:cs="Times New Roman"/>
      <w:sz w:val="22"/>
      <w:szCs w:val="22"/>
      <w:lang w:val="en"/>
    </w:rPr>
  </w:style>
  <w:style w:type="character" w:customStyle="1" w:styleId="CaptionChar1">
    <w:name w:val="Caption Char1"/>
    <w:basedOn w:val="DefaultParagraphFont"/>
    <w:uiPriority w:val="99"/>
    <w:rsid w:val="00AC43BF"/>
    <w:rPr>
      <w:rFonts w:ascii="Arial" w:hAnsi="Arial" w:cs="Arial"/>
      <w:b/>
      <w:sz w:val="18"/>
    </w:rPr>
  </w:style>
  <w:style w:type="paragraph" w:customStyle="1" w:styleId="TableSubtitle10">
    <w:name w:val="Table Subtitle1"/>
    <w:basedOn w:val="Normal"/>
    <w:uiPriority w:val="99"/>
    <w:rsid w:val="00AC43BF"/>
    <w:pPr>
      <w:keepNext/>
      <w:jc w:val="center"/>
    </w:pPr>
    <w:rPr>
      <w:b/>
      <w:bCs/>
      <w:sz w:val="20"/>
    </w:rPr>
  </w:style>
  <w:style w:type="character" w:customStyle="1" w:styleId="DateChar1">
    <w:name w:val="Date Char1"/>
    <w:basedOn w:val="DefaultParagraphFont"/>
    <w:uiPriority w:val="99"/>
    <w:rsid w:val="00AC43BF"/>
    <w:rPr>
      <w:rFonts w:cs="Times New Roman"/>
      <w:sz w:val="22"/>
    </w:rPr>
  </w:style>
  <w:style w:type="paragraph" w:customStyle="1" w:styleId="41">
    <w:name w:val="41"/>
    <w:basedOn w:val="Heading3"/>
    <w:uiPriority w:val="99"/>
    <w:rsid w:val="00AC43BF"/>
    <w:pPr>
      <w:keepLines/>
      <w:numPr>
        <w:ilvl w:val="0"/>
        <w:numId w:val="0"/>
      </w:numPr>
      <w:tabs>
        <w:tab w:val="num" w:pos="2160"/>
      </w:tabs>
      <w:ind w:left="2160" w:hanging="360"/>
    </w:pPr>
    <w:rPr>
      <w:rFonts w:cs="Arial"/>
      <w:bCs/>
      <w:iCs/>
      <w:kern w:val="28"/>
    </w:rPr>
  </w:style>
  <w:style w:type="paragraph" w:customStyle="1" w:styleId="xl70">
    <w:name w:val="xl70"/>
    <w:basedOn w:val="Normal"/>
    <w:uiPriority w:val="99"/>
    <w:rsid w:val="00AC43BF"/>
    <w:pPr>
      <w:spacing w:before="100" w:beforeAutospacing="1" w:after="100" w:afterAutospacing="1"/>
    </w:pPr>
    <w:rPr>
      <w:sz w:val="20"/>
    </w:rPr>
  </w:style>
  <w:style w:type="paragraph" w:customStyle="1" w:styleId="xl71">
    <w:name w:val="xl71"/>
    <w:basedOn w:val="Normal"/>
    <w:uiPriority w:val="99"/>
    <w:rsid w:val="00AC43BF"/>
    <w:pPr>
      <w:spacing w:before="100" w:beforeAutospacing="1" w:after="100" w:afterAutospacing="1"/>
      <w:jc w:val="center"/>
    </w:pPr>
    <w:rPr>
      <w:b/>
      <w:bCs/>
      <w:sz w:val="20"/>
    </w:rPr>
  </w:style>
  <w:style w:type="paragraph" w:customStyle="1" w:styleId="xl72">
    <w:name w:val="xl72"/>
    <w:basedOn w:val="Normal"/>
    <w:rsid w:val="00AC43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3">
    <w:name w:val="xl73"/>
    <w:basedOn w:val="Normal"/>
    <w:rsid w:val="00AC43B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20"/>
    </w:rPr>
  </w:style>
  <w:style w:type="paragraph" w:customStyle="1" w:styleId="xl74">
    <w:name w:val="xl74"/>
    <w:basedOn w:val="Normal"/>
    <w:rsid w:val="00AC43B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5">
    <w:name w:val="xl75"/>
    <w:basedOn w:val="Normal"/>
    <w:rsid w:val="00AC43B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sz w:val="20"/>
    </w:rPr>
  </w:style>
  <w:style w:type="paragraph" w:customStyle="1" w:styleId="xl76">
    <w:name w:val="xl76"/>
    <w:basedOn w:val="Normal"/>
    <w:rsid w:val="00AC43BF"/>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sz w:val="20"/>
    </w:rPr>
  </w:style>
  <w:style w:type="paragraph" w:customStyle="1" w:styleId="xl77">
    <w:name w:val="xl77"/>
    <w:basedOn w:val="Normal"/>
    <w:rsid w:val="00AC43BF"/>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8">
    <w:name w:val="xl78"/>
    <w:basedOn w:val="Normal"/>
    <w:rsid w:val="00AC43BF"/>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b/>
      <w:bCs/>
      <w:sz w:val="24"/>
      <w:szCs w:val="24"/>
    </w:rPr>
  </w:style>
  <w:style w:type="paragraph" w:customStyle="1" w:styleId="xl79">
    <w:name w:val="xl79"/>
    <w:basedOn w:val="Normal"/>
    <w:rsid w:val="00AC43BF"/>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80">
    <w:name w:val="xl80"/>
    <w:basedOn w:val="Normal"/>
    <w:rsid w:val="00AC43BF"/>
    <w:pPr>
      <w:pBdr>
        <w:top w:val="single" w:sz="4" w:space="0" w:color="auto"/>
        <w:left w:val="single" w:sz="4" w:space="0" w:color="auto"/>
        <w:bottom w:val="single" w:sz="4" w:space="0" w:color="auto"/>
        <w:right w:val="single" w:sz="8" w:space="0" w:color="auto"/>
      </w:pBdr>
      <w:spacing w:before="100" w:beforeAutospacing="1" w:after="100" w:afterAutospacing="1"/>
    </w:pPr>
    <w:rPr>
      <w:sz w:val="20"/>
    </w:rPr>
  </w:style>
  <w:style w:type="paragraph" w:customStyle="1" w:styleId="xl81">
    <w:name w:val="xl81"/>
    <w:basedOn w:val="Normal"/>
    <w:rsid w:val="00AC43BF"/>
    <w:pPr>
      <w:pBdr>
        <w:top w:val="single" w:sz="4" w:space="0" w:color="auto"/>
        <w:left w:val="single" w:sz="4" w:space="0" w:color="auto"/>
        <w:bottom w:val="single" w:sz="8" w:space="0" w:color="auto"/>
        <w:right w:val="single" w:sz="4" w:space="0" w:color="auto"/>
      </w:pBdr>
      <w:spacing w:before="100" w:beforeAutospacing="1" w:after="100" w:afterAutospacing="1"/>
    </w:pPr>
    <w:rPr>
      <w:sz w:val="20"/>
    </w:rPr>
  </w:style>
  <w:style w:type="paragraph" w:customStyle="1" w:styleId="xl82">
    <w:name w:val="xl82"/>
    <w:basedOn w:val="Normal"/>
    <w:rsid w:val="00AC43BF"/>
    <w:pPr>
      <w:pBdr>
        <w:top w:val="single" w:sz="4" w:space="0" w:color="auto"/>
        <w:left w:val="single" w:sz="4" w:space="0" w:color="auto"/>
        <w:bottom w:val="single" w:sz="8" w:space="0" w:color="auto"/>
        <w:right w:val="single" w:sz="8" w:space="0" w:color="auto"/>
      </w:pBdr>
      <w:spacing w:before="100" w:beforeAutospacing="1" w:after="100" w:afterAutospacing="1"/>
    </w:pPr>
    <w:rPr>
      <w:sz w:val="20"/>
    </w:rPr>
  </w:style>
  <w:style w:type="character" w:customStyle="1" w:styleId="FooterChar2">
    <w:name w:val="Footer Char2"/>
    <w:uiPriority w:val="99"/>
    <w:rsid w:val="00AC43BF"/>
    <w:rPr>
      <w:rFonts w:ascii="Arial" w:hAnsi="Arial"/>
      <w:b/>
      <w:sz w:val="16"/>
    </w:rPr>
  </w:style>
  <w:style w:type="character" w:customStyle="1" w:styleId="HeaderChar2">
    <w:name w:val="Header Char2"/>
    <w:uiPriority w:val="99"/>
    <w:rsid w:val="00AC43BF"/>
    <w:rPr>
      <w:rFonts w:eastAsia="Times New Roman"/>
      <w:b/>
      <w:sz w:val="18"/>
    </w:rPr>
  </w:style>
  <w:style w:type="paragraph" w:customStyle="1" w:styleId="referencelist2">
    <w:name w:val="reference list2"/>
    <w:basedOn w:val="Normal"/>
    <w:uiPriority w:val="99"/>
    <w:rsid w:val="00AC43BF"/>
    <w:pPr>
      <w:spacing w:before="120" w:after="120"/>
      <w:ind w:left="720" w:right="720" w:hanging="720"/>
    </w:pPr>
  </w:style>
  <w:style w:type="character" w:customStyle="1" w:styleId="FooterChar3">
    <w:name w:val="Footer Char3"/>
    <w:uiPriority w:val="99"/>
    <w:rsid w:val="00AC43BF"/>
    <w:rPr>
      <w:rFonts w:ascii="Arial" w:hAnsi="Arial"/>
      <w:b/>
      <w:sz w:val="16"/>
    </w:rPr>
  </w:style>
  <w:style w:type="character" w:customStyle="1" w:styleId="HeaderChar3">
    <w:name w:val="Header Char3"/>
    <w:uiPriority w:val="99"/>
    <w:rsid w:val="00AC43BF"/>
    <w:rPr>
      <w:rFonts w:eastAsia="Times New Roman"/>
      <w:b/>
      <w:sz w:val="18"/>
    </w:rPr>
  </w:style>
  <w:style w:type="paragraph" w:customStyle="1" w:styleId="referencelist3">
    <w:name w:val="reference list3"/>
    <w:basedOn w:val="Normal"/>
    <w:uiPriority w:val="99"/>
    <w:rsid w:val="00AC43BF"/>
    <w:pPr>
      <w:spacing w:before="120" w:after="120"/>
      <w:ind w:left="720" w:right="720" w:hanging="720"/>
    </w:pPr>
  </w:style>
  <w:style w:type="paragraph" w:customStyle="1" w:styleId="TableText5">
    <w:name w:val="Table Text5"/>
    <w:basedOn w:val="Normal"/>
    <w:uiPriority w:val="99"/>
    <w:rsid w:val="00AC43BF"/>
    <w:pPr>
      <w:keepNext/>
      <w:keepLines/>
    </w:pPr>
    <w:rPr>
      <w:sz w:val="18"/>
    </w:rPr>
  </w:style>
  <w:style w:type="paragraph" w:customStyle="1" w:styleId="TableSubtitle5">
    <w:name w:val="TableSubtitle5"/>
    <w:basedOn w:val="Normal"/>
    <w:uiPriority w:val="99"/>
    <w:rsid w:val="00AC43BF"/>
    <w:pPr>
      <w:keepNext/>
      <w:keepLines/>
      <w:autoSpaceDE w:val="0"/>
      <w:autoSpaceDN w:val="0"/>
      <w:adjustRightInd w:val="0"/>
      <w:jc w:val="center"/>
    </w:pPr>
    <w:rPr>
      <w:b/>
      <w:bCs/>
      <w:color w:val="000000"/>
      <w:sz w:val="18"/>
      <w:szCs w:val="18"/>
    </w:rPr>
  </w:style>
  <w:style w:type="paragraph" w:customStyle="1" w:styleId="TableTextR5">
    <w:name w:val="Table TextR5"/>
    <w:basedOn w:val="Normal"/>
    <w:uiPriority w:val="99"/>
    <w:rsid w:val="00AC43BF"/>
    <w:pPr>
      <w:keepNext/>
      <w:keepLines/>
      <w:jc w:val="right"/>
    </w:pPr>
    <w:rPr>
      <w:sz w:val="18"/>
    </w:rPr>
  </w:style>
  <w:style w:type="paragraph" w:customStyle="1" w:styleId="h5style">
    <w:name w:val="h5style"/>
    <w:basedOn w:val="Normal"/>
    <w:link w:val="h5styleChar"/>
    <w:uiPriority w:val="99"/>
    <w:rsid w:val="00AC43BF"/>
    <w:rPr>
      <w:rFonts w:ascii="Arial" w:hAnsi="Arial" w:cs="Arial"/>
      <w:b/>
      <w:sz w:val="20"/>
    </w:rPr>
  </w:style>
  <w:style w:type="character" w:customStyle="1" w:styleId="h5styleChar">
    <w:name w:val="h5style Char"/>
    <w:basedOn w:val="DefaultParagraphFont"/>
    <w:link w:val="h5style"/>
    <w:uiPriority w:val="99"/>
    <w:locked/>
    <w:rsid w:val="00AC43BF"/>
    <w:rPr>
      <w:rFonts w:ascii="Arial" w:hAnsi="Arial" w:cs="Arial"/>
      <w:b/>
    </w:rPr>
  </w:style>
  <w:style w:type="paragraph" w:customStyle="1" w:styleId="a">
    <w:name w:val=""/>
    <w:uiPriority w:val="99"/>
    <w:rsid w:val="0065055C"/>
    <w:pPr>
      <w:autoSpaceDE w:val="0"/>
      <w:autoSpaceDN w:val="0"/>
      <w:adjustRightInd w:val="0"/>
      <w:ind w:left="-1440"/>
    </w:pPr>
    <w:rPr>
      <w:sz w:val="24"/>
      <w:szCs w:val="24"/>
    </w:rPr>
  </w:style>
  <w:style w:type="character" w:customStyle="1" w:styleId="SYSHYPERTEXT">
    <w:name w:val="SYS_HYPERTEXT"/>
    <w:uiPriority w:val="99"/>
    <w:rsid w:val="00AC43BF"/>
    <w:rPr>
      <w:color w:val="0000FF"/>
      <w:u w:val="single"/>
    </w:rPr>
  </w:style>
  <w:style w:type="character" w:customStyle="1" w:styleId="GPOInlineP">
    <w:name w:val="GPO InlineP"/>
    <w:uiPriority w:val="99"/>
    <w:rsid w:val="00AC43BF"/>
    <w:rPr>
      <w:rFonts w:ascii="Times New Roman" w:hAnsi="Times New Roman"/>
      <w:sz w:val="20"/>
    </w:rPr>
  </w:style>
  <w:style w:type="paragraph" w:customStyle="1" w:styleId="footnotetex">
    <w:name w:val="footnote tex"/>
    <w:basedOn w:val="Normal"/>
    <w:uiPriority w:val="99"/>
    <w:rsid w:val="00AC43BF"/>
    <w:pPr>
      <w:widowControl w:val="0"/>
      <w:autoSpaceDE w:val="0"/>
      <w:autoSpaceDN w:val="0"/>
      <w:adjustRightInd w:val="0"/>
    </w:pPr>
    <w:rPr>
      <w:sz w:val="24"/>
      <w:szCs w:val="24"/>
    </w:rPr>
  </w:style>
  <w:style w:type="paragraph" w:styleId="BodyTextIndent">
    <w:name w:val="Body Text Indent"/>
    <w:basedOn w:val="Normal"/>
    <w:link w:val="BodyTextIndentChar"/>
    <w:uiPriority w:val="99"/>
    <w:rsid w:val="00AC43BF"/>
    <w:pPr>
      <w:autoSpaceDE w:val="0"/>
      <w:autoSpaceDN w:val="0"/>
      <w:adjustRightInd w:val="0"/>
      <w:spacing w:after="120"/>
      <w:ind w:left="360"/>
    </w:pPr>
    <w:rPr>
      <w:sz w:val="20"/>
    </w:rPr>
  </w:style>
  <w:style w:type="character" w:customStyle="1" w:styleId="BodyTextIndentChar">
    <w:name w:val="Body Text Indent Char"/>
    <w:basedOn w:val="DefaultParagraphFont"/>
    <w:link w:val="BodyTextIndent"/>
    <w:uiPriority w:val="99"/>
    <w:rsid w:val="00AC43BF"/>
  </w:style>
  <w:style w:type="paragraph" w:customStyle="1" w:styleId="TableSource0">
    <w:name w:val="TableSource"/>
    <w:basedOn w:val="Normal"/>
    <w:uiPriority w:val="99"/>
    <w:rsid w:val="00AC43BF"/>
    <w:rPr>
      <w:i/>
      <w:iCs/>
      <w:sz w:val="18"/>
    </w:rPr>
  </w:style>
  <w:style w:type="character" w:customStyle="1" w:styleId="FootnoteCharacters">
    <w:name w:val="Footnote Characters"/>
    <w:uiPriority w:val="99"/>
    <w:rsid w:val="00AC43BF"/>
    <w:rPr>
      <w:vertAlign w:val="superscript"/>
    </w:rPr>
  </w:style>
  <w:style w:type="paragraph" w:customStyle="1" w:styleId="RRBodyText">
    <w:name w:val="R&amp;R Body Text"/>
    <w:basedOn w:val="Normal"/>
    <w:link w:val="RRBodyTextChar"/>
    <w:uiPriority w:val="99"/>
    <w:rsid w:val="00AC43BF"/>
    <w:pPr>
      <w:tabs>
        <w:tab w:val="left" w:pos="0"/>
        <w:tab w:val="left" w:pos="720"/>
        <w:tab w:val="left" w:pos="1080"/>
        <w:tab w:val="left" w:pos="1440"/>
        <w:tab w:val="left" w:pos="1800"/>
        <w:tab w:val="left" w:pos="8985"/>
      </w:tabs>
      <w:autoSpaceDE w:val="0"/>
      <w:autoSpaceDN w:val="0"/>
      <w:adjustRightInd w:val="0"/>
    </w:pPr>
    <w:rPr>
      <w:szCs w:val="24"/>
    </w:rPr>
  </w:style>
  <w:style w:type="paragraph" w:styleId="Macro">
    <w:name w:val="macro"/>
    <w:link w:val="MacroTextChar"/>
    <w:uiPriority w:val="99"/>
    <w:rsid w:val="0065055C"/>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character" w:customStyle="1" w:styleId="MacroTextChar">
    <w:name w:val="Macro Text Char"/>
    <w:basedOn w:val="DefaultParagraphFont"/>
    <w:link w:val="Macro"/>
    <w:uiPriority w:val="99"/>
    <w:rsid w:val="00AC43BF"/>
    <w:rPr>
      <w:rFonts w:ascii="Courier New" w:hAnsi="Courier New" w:cs="Courier New"/>
    </w:rPr>
  </w:style>
  <w:style w:type="paragraph" w:styleId="BodyTextIndent2">
    <w:name w:val="Body Text Indent 2"/>
    <w:basedOn w:val="Normal"/>
    <w:link w:val="BodyTextIndent2Char"/>
    <w:uiPriority w:val="99"/>
    <w:rsid w:val="00AC43BF"/>
    <w:pPr>
      <w:widowControl w:val="0"/>
      <w:adjustRightInd w:val="0"/>
      <w:ind w:left="720" w:hanging="720"/>
    </w:pPr>
    <w:rPr>
      <w:sz w:val="24"/>
      <w:szCs w:val="24"/>
    </w:rPr>
  </w:style>
  <w:style w:type="character" w:customStyle="1" w:styleId="BodyTextIndent2Char">
    <w:name w:val="Body Text Indent 2 Char"/>
    <w:basedOn w:val="DefaultParagraphFont"/>
    <w:link w:val="BodyTextIndent2"/>
    <w:uiPriority w:val="99"/>
    <w:rsid w:val="00AC43BF"/>
    <w:rPr>
      <w:sz w:val="24"/>
      <w:szCs w:val="24"/>
    </w:rPr>
  </w:style>
  <w:style w:type="paragraph" w:customStyle="1" w:styleId="xl128">
    <w:name w:val="xl128"/>
    <w:basedOn w:val="Normal"/>
    <w:uiPriority w:val="99"/>
    <w:rsid w:val="00AC43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9">
    <w:name w:val="xl129"/>
    <w:basedOn w:val="Normal"/>
    <w:uiPriority w:val="99"/>
    <w:rsid w:val="00AC43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0">
    <w:name w:val="xl130"/>
    <w:basedOn w:val="Normal"/>
    <w:uiPriority w:val="99"/>
    <w:rsid w:val="00AC43B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31">
    <w:name w:val="xl131"/>
    <w:basedOn w:val="Normal"/>
    <w:uiPriority w:val="99"/>
    <w:rsid w:val="00AC43BF"/>
    <w:pPr>
      <w:pBdr>
        <w:top w:val="single" w:sz="4" w:space="0" w:color="auto"/>
        <w:bottom w:val="single" w:sz="4" w:space="0" w:color="auto"/>
      </w:pBdr>
      <w:spacing w:before="100" w:beforeAutospacing="1" w:after="100" w:afterAutospacing="1"/>
    </w:pPr>
    <w:rPr>
      <w:b/>
      <w:bCs/>
      <w:sz w:val="24"/>
      <w:szCs w:val="24"/>
    </w:rPr>
  </w:style>
  <w:style w:type="paragraph" w:customStyle="1" w:styleId="xl132">
    <w:name w:val="xl132"/>
    <w:basedOn w:val="Normal"/>
    <w:uiPriority w:val="99"/>
    <w:rsid w:val="00AC43B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3">
    <w:name w:val="xl133"/>
    <w:basedOn w:val="Normal"/>
    <w:uiPriority w:val="99"/>
    <w:rsid w:val="00AC43BF"/>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34">
    <w:name w:val="xl134"/>
    <w:basedOn w:val="Normal"/>
    <w:uiPriority w:val="99"/>
    <w:rsid w:val="00AC43B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5">
    <w:name w:val="xl135"/>
    <w:basedOn w:val="Normal"/>
    <w:uiPriority w:val="99"/>
    <w:rsid w:val="00AC43B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6">
    <w:name w:val="xl136"/>
    <w:basedOn w:val="Normal"/>
    <w:uiPriority w:val="99"/>
    <w:rsid w:val="00AC43B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Normal"/>
    <w:uiPriority w:val="99"/>
    <w:rsid w:val="00AC43B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8">
    <w:name w:val="xl138"/>
    <w:basedOn w:val="Normal"/>
    <w:uiPriority w:val="99"/>
    <w:rsid w:val="00AC43BF"/>
    <w:pPr>
      <w:pBdr>
        <w:top w:val="single" w:sz="4" w:space="0" w:color="auto"/>
        <w:left w:val="single" w:sz="8" w:space="27" w:color="auto"/>
        <w:bottom w:val="single" w:sz="4" w:space="0" w:color="auto"/>
        <w:right w:val="single" w:sz="4" w:space="0" w:color="auto"/>
      </w:pBdr>
      <w:spacing w:before="100" w:beforeAutospacing="1" w:after="100" w:afterAutospacing="1"/>
      <w:ind w:firstLine="400" w:firstLineChars="400"/>
    </w:pPr>
    <w:rPr>
      <w:sz w:val="24"/>
      <w:szCs w:val="24"/>
    </w:rPr>
  </w:style>
  <w:style w:type="paragraph" w:customStyle="1" w:styleId="xl139">
    <w:name w:val="xl139"/>
    <w:basedOn w:val="Normal"/>
    <w:uiPriority w:val="99"/>
    <w:rsid w:val="00AC43B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0">
    <w:name w:val="xl140"/>
    <w:basedOn w:val="Normal"/>
    <w:uiPriority w:val="99"/>
    <w:rsid w:val="00AC43B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1">
    <w:name w:val="xl141"/>
    <w:basedOn w:val="Normal"/>
    <w:uiPriority w:val="99"/>
    <w:rsid w:val="00AC43B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2">
    <w:name w:val="xl142"/>
    <w:basedOn w:val="Normal"/>
    <w:uiPriority w:val="99"/>
    <w:rsid w:val="00AC43BF"/>
    <w:pPr>
      <w:pBdr>
        <w:top w:val="single" w:sz="4" w:space="0" w:color="auto"/>
        <w:left w:val="single" w:sz="8" w:space="14" w:color="auto"/>
        <w:bottom w:val="single" w:sz="4" w:space="0" w:color="auto"/>
        <w:right w:val="single" w:sz="4" w:space="0" w:color="auto"/>
      </w:pBdr>
      <w:spacing w:before="100" w:beforeAutospacing="1" w:after="100" w:afterAutospacing="1"/>
      <w:ind w:firstLine="200" w:firstLineChars="200"/>
    </w:pPr>
    <w:rPr>
      <w:sz w:val="18"/>
      <w:szCs w:val="18"/>
    </w:rPr>
  </w:style>
  <w:style w:type="paragraph" w:customStyle="1" w:styleId="xl143">
    <w:name w:val="xl143"/>
    <w:basedOn w:val="Normal"/>
    <w:uiPriority w:val="99"/>
    <w:rsid w:val="00AC43B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4">
    <w:name w:val="xl144"/>
    <w:basedOn w:val="Normal"/>
    <w:uiPriority w:val="99"/>
    <w:rsid w:val="00AC43B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5">
    <w:name w:val="xl145"/>
    <w:basedOn w:val="Normal"/>
    <w:uiPriority w:val="99"/>
    <w:rsid w:val="00AC43B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6">
    <w:name w:val="xl146"/>
    <w:basedOn w:val="Normal"/>
    <w:uiPriority w:val="99"/>
    <w:rsid w:val="00AC43BF"/>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47">
    <w:name w:val="xl147"/>
    <w:basedOn w:val="Normal"/>
    <w:uiPriority w:val="99"/>
    <w:rsid w:val="00AC43BF"/>
    <w:pPr>
      <w:pBdr>
        <w:top w:val="single" w:sz="4" w:space="0" w:color="auto"/>
        <w:bottom w:val="single" w:sz="4" w:space="0" w:color="auto"/>
      </w:pBdr>
      <w:spacing w:before="100" w:beforeAutospacing="1" w:after="100" w:afterAutospacing="1"/>
    </w:pPr>
    <w:rPr>
      <w:b/>
      <w:bCs/>
      <w:sz w:val="18"/>
      <w:szCs w:val="18"/>
    </w:rPr>
  </w:style>
  <w:style w:type="paragraph" w:customStyle="1" w:styleId="xl148">
    <w:name w:val="xl148"/>
    <w:basedOn w:val="Normal"/>
    <w:uiPriority w:val="99"/>
    <w:rsid w:val="00AC43BF"/>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27">
    <w:name w:val="xl127"/>
    <w:basedOn w:val="Normal"/>
    <w:uiPriority w:val="99"/>
    <w:rsid w:val="00AC43BF"/>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49">
    <w:name w:val="xl149"/>
    <w:basedOn w:val="Normal"/>
    <w:uiPriority w:val="99"/>
    <w:rsid w:val="00AC43BF"/>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50">
    <w:name w:val="xl150"/>
    <w:basedOn w:val="Normal"/>
    <w:uiPriority w:val="99"/>
    <w:rsid w:val="00AC43B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24"/>
      <w:szCs w:val="24"/>
    </w:rPr>
  </w:style>
  <w:style w:type="paragraph" w:customStyle="1" w:styleId="xl151">
    <w:name w:val="xl151"/>
    <w:basedOn w:val="Normal"/>
    <w:uiPriority w:val="99"/>
    <w:rsid w:val="00AC43BF"/>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52">
    <w:name w:val="xl152"/>
    <w:basedOn w:val="Normal"/>
    <w:uiPriority w:val="99"/>
    <w:rsid w:val="00AC43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53">
    <w:name w:val="xl153"/>
    <w:basedOn w:val="Normal"/>
    <w:uiPriority w:val="99"/>
    <w:rsid w:val="00AC43BF"/>
    <w:pPr>
      <w:pBdr>
        <w:top w:val="single" w:sz="4" w:space="0" w:color="auto"/>
        <w:left w:val="single" w:sz="4" w:space="0" w:color="auto"/>
        <w:right w:val="single" w:sz="4" w:space="0" w:color="auto"/>
      </w:pBdr>
      <w:spacing w:before="100" w:beforeAutospacing="1" w:after="100" w:afterAutospacing="1"/>
      <w:jc w:val="center"/>
    </w:pPr>
    <w:rPr>
      <w:b/>
      <w:bCs/>
      <w:sz w:val="18"/>
      <w:szCs w:val="18"/>
    </w:rPr>
  </w:style>
  <w:style w:type="paragraph" w:customStyle="1" w:styleId="xl154">
    <w:name w:val="xl154"/>
    <w:basedOn w:val="Normal"/>
    <w:uiPriority w:val="99"/>
    <w:rsid w:val="00AC43BF"/>
    <w:pPr>
      <w:pBdr>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55">
    <w:name w:val="xl155"/>
    <w:basedOn w:val="Normal"/>
    <w:uiPriority w:val="99"/>
    <w:rsid w:val="00AC43B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6">
    <w:name w:val="xl156"/>
    <w:basedOn w:val="Normal"/>
    <w:uiPriority w:val="99"/>
    <w:rsid w:val="00AC43B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7">
    <w:name w:val="xl157"/>
    <w:basedOn w:val="Normal"/>
    <w:uiPriority w:val="99"/>
    <w:rsid w:val="00AC43BF"/>
    <w:pPr>
      <w:spacing w:before="100" w:beforeAutospacing="1" w:after="100" w:afterAutospacing="1"/>
    </w:pPr>
    <w:rPr>
      <w:sz w:val="24"/>
      <w:szCs w:val="24"/>
    </w:rPr>
  </w:style>
  <w:style w:type="paragraph" w:customStyle="1" w:styleId="xl158">
    <w:name w:val="xl158"/>
    <w:basedOn w:val="Normal"/>
    <w:uiPriority w:val="99"/>
    <w:rsid w:val="00AC43BF"/>
    <w:pPr>
      <w:spacing w:before="100" w:beforeAutospacing="1" w:after="100" w:afterAutospacing="1"/>
      <w:textAlignment w:val="center"/>
    </w:pPr>
    <w:rPr>
      <w:sz w:val="16"/>
      <w:szCs w:val="16"/>
    </w:rPr>
  </w:style>
  <w:style w:type="paragraph" w:customStyle="1" w:styleId="xl159">
    <w:name w:val="xl159"/>
    <w:basedOn w:val="Normal"/>
    <w:uiPriority w:val="99"/>
    <w:rsid w:val="00AC43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sz w:val="24"/>
      <w:szCs w:val="24"/>
    </w:rPr>
  </w:style>
  <w:style w:type="paragraph" w:customStyle="1" w:styleId="xl160">
    <w:name w:val="xl160"/>
    <w:basedOn w:val="Normal"/>
    <w:uiPriority w:val="99"/>
    <w:rsid w:val="00AC43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sz w:val="24"/>
      <w:szCs w:val="24"/>
    </w:rPr>
  </w:style>
  <w:style w:type="paragraph" w:customStyle="1" w:styleId="xl161">
    <w:name w:val="xl161"/>
    <w:basedOn w:val="Normal"/>
    <w:uiPriority w:val="99"/>
    <w:rsid w:val="00AC43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sz w:val="24"/>
      <w:szCs w:val="24"/>
    </w:rPr>
  </w:style>
  <w:style w:type="paragraph" w:customStyle="1" w:styleId="xl162">
    <w:name w:val="xl162"/>
    <w:basedOn w:val="Normal"/>
    <w:uiPriority w:val="99"/>
    <w:rsid w:val="00AC43BF"/>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163">
    <w:name w:val="xl163"/>
    <w:basedOn w:val="Normal"/>
    <w:uiPriority w:val="99"/>
    <w:rsid w:val="00AC43BF"/>
    <w:pPr>
      <w:shd w:val="clear" w:color="000000" w:fill="FF0000"/>
      <w:spacing w:before="100" w:beforeAutospacing="1" w:after="100" w:afterAutospacing="1"/>
    </w:pPr>
    <w:rPr>
      <w:sz w:val="24"/>
      <w:szCs w:val="24"/>
    </w:rPr>
  </w:style>
  <w:style w:type="paragraph" w:customStyle="1" w:styleId="xl164">
    <w:name w:val="xl164"/>
    <w:basedOn w:val="Normal"/>
    <w:uiPriority w:val="99"/>
    <w:rsid w:val="00AC43BF"/>
    <w:pPr>
      <w:pBdr>
        <w:top w:val="single" w:sz="4" w:space="0" w:color="auto"/>
        <w:left w:val="single" w:sz="4" w:space="14" w:color="auto"/>
        <w:bottom w:val="single" w:sz="4" w:space="0" w:color="auto"/>
        <w:right w:val="single" w:sz="4" w:space="0" w:color="auto"/>
      </w:pBdr>
      <w:shd w:val="clear" w:color="000000" w:fill="FF0000"/>
      <w:spacing w:before="100" w:beforeAutospacing="1" w:after="100" w:afterAutospacing="1"/>
      <w:ind w:firstLine="200" w:firstLineChars="200"/>
    </w:pPr>
    <w:rPr>
      <w:sz w:val="18"/>
      <w:szCs w:val="18"/>
    </w:rPr>
  </w:style>
  <w:style w:type="paragraph" w:customStyle="1" w:styleId="xl165">
    <w:name w:val="xl165"/>
    <w:basedOn w:val="Normal"/>
    <w:uiPriority w:val="99"/>
    <w:rsid w:val="00AC43B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pPr>
    <w:rPr>
      <w:sz w:val="24"/>
      <w:szCs w:val="24"/>
    </w:rPr>
  </w:style>
  <w:style w:type="paragraph" w:customStyle="1" w:styleId="xl166">
    <w:name w:val="xl166"/>
    <w:basedOn w:val="Normal"/>
    <w:uiPriority w:val="99"/>
    <w:rsid w:val="00AC43B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pPr>
    <w:rPr>
      <w:sz w:val="24"/>
      <w:szCs w:val="24"/>
    </w:rPr>
  </w:style>
  <w:style w:type="paragraph" w:customStyle="1" w:styleId="xl167">
    <w:name w:val="xl167"/>
    <w:basedOn w:val="Normal"/>
    <w:uiPriority w:val="99"/>
    <w:rsid w:val="00AC43BF"/>
    <w:pPr>
      <w:shd w:val="clear" w:color="000000" w:fill="FF0000"/>
      <w:spacing w:before="100" w:beforeAutospacing="1" w:after="100" w:afterAutospacing="1"/>
    </w:pPr>
    <w:rPr>
      <w:sz w:val="24"/>
      <w:szCs w:val="24"/>
    </w:rPr>
  </w:style>
  <w:style w:type="paragraph" w:customStyle="1" w:styleId="xl168">
    <w:name w:val="xl168"/>
    <w:basedOn w:val="Normal"/>
    <w:uiPriority w:val="99"/>
    <w:rsid w:val="00AC43B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pPr>
    <w:rPr>
      <w:sz w:val="24"/>
      <w:szCs w:val="24"/>
    </w:rPr>
  </w:style>
  <w:style w:type="paragraph" w:customStyle="1" w:styleId="xl169">
    <w:name w:val="xl169"/>
    <w:basedOn w:val="Normal"/>
    <w:uiPriority w:val="99"/>
    <w:rsid w:val="00AC43B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pPr>
    <w:rPr>
      <w:sz w:val="24"/>
      <w:szCs w:val="24"/>
    </w:rPr>
  </w:style>
  <w:style w:type="paragraph" w:customStyle="1" w:styleId="xl170">
    <w:name w:val="xl170"/>
    <w:basedOn w:val="Normal"/>
    <w:uiPriority w:val="99"/>
    <w:rsid w:val="00AC43BF"/>
    <w:pPr>
      <w:pBdr>
        <w:top w:val="single" w:sz="4" w:space="0" w:color="auto"/>
        <w:left w:val="single" w:sz="8" w:space="14" w:color="auto"/>
        <w:bottom w:val="single" w:sz="4" w:space="0" w:color="auto"/>
        <w:right w:val="single" w:sz="4" w:space="0" w:color="auto"/>
      </w:pBdr>
      <w:shd w:val="clear" w:color="000000" w:fill="FF0000"/>
      <w:spacing w:before="100" w:beforeAutospacing="1" w:after="100" w:afterAutospacing="1"/>
      <w:ind w:firstLine="200" w:firstLineChars="200"/>
    </w:pPr>
    <w:rPr>
      <w:sz w:val="24"/>
      <w:szCs w:val="24"/>
    </w:rPr>
  </w:style>
  <w:style w:type="paragraph" w:customStyle="1" w:styleId="xl171">
    <w:name w:val="xl171"/>
    <w:basedOn w:val="Normal"/>
    <w:uiPriority w:val="99"/>
    <w:rsid w:val="00AC43B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72">
    <w:name w:val="xl172"/>
    <w:basedOn w:val="Normal"/>
    <w:uiPriority w:val="99"/>
    <w:rsid w:val="00AC43BF"/>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173">
    <w:name w:val="xl173"/>
    <w:basedOn w:val="Normal"/>
    <w:uiPriority w:val="99"/>
    <w:rsid w:val="00AC43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174">
    <w:name w:val="xl174"/>
    <w:basedOn w:val="Normal"/>
    <w:uiPriority w:val="99"/>
    <w:rsid w:val="00AC43BF"/>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top"/>
    </w:pPr>
    <w:rPr>
      <w:sz w:val="24"/>
      <w:szCs w:val="24"/>
    </w:rPr>
  </w:style>
  <w:style w:type="paragraph" w:customStyle="1" w:styleId="xl175">
    <w:name w:val="xl175"/>
    <w:basedOn w:val="Normal"/>
    <w:uiPriority w:val="99"/>
    <w:rsid w:val="00AC43BF"/>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176">
    <w:name w:val="xl176"/>
    <w:basedOn w:val="Normal"/>
    <w:uiPriority w:val="99"/>
    <w:rsid w:val="00AC43BF"/>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24"/>
      <w:szCs w:val="24"/>
    </w:rPr>
  </w:style>
  <w:style w:type="paragraph" w:customStyle="1" w:styleId="xl177">
    <w:name w:val="xl177"/>
    <w:basedOn w:val="Normal"/>
    <w:uiPriority w:val="99"/>
    <w:rsid w:val="00AC43B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
    <w:name w:val="xl178"/>
    <w:basedOn w:val="Normal"/>
    <w:uiPriority w:val="99"/>
    <w:rsid w:val="00AC43B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79">
    <w:name w:val="xl179"/>
    <w:basedOn w:val="Normal"/>
    <w:uiPriority w:val="99"/>
    <w:rsid w:val="00AC43B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Normal"/>
    <w:uiPriority w:val="99"/>
    <w:rsid w:val="00AC43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1">
    <w:name w:val="xl181"/>
    <w:basedOn w:val="Normal"/>
    <w:uiPriority w:val="99"/>
    <w:rsid w:val="00AC43B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82">
    <w:name w:val="xl182"/>
    <w:basedOn w:val="Normal"/>
    <w:uiPriority w:val="99"/>
    <w:rsid w:val="00AC43BF"/>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83">
    <w:name w:val="xl183"/>
    <w:basedOn w:val="Normal"/>
    <w:uiPriority w:val="99"/>
    <w:rsid w:val="00AC43BF"/>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84">
    <w:name w:val="xl184"/>
    <w:basedOn w:val="Normal"/>
    <w:uiPriority w:val="99"/>
    <w:rsid w:val="00AC43BF"/>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b/>
      <w:bCs/>
      <w:sz w:val="24"/>
      <w:szCs w:val="24"/>
    </w:rPr>
  </w:style>
  <w:style w:type="paragraph" w:customStyle="1" w:styleId="xl185">
    <w:name w:val="xl185"/>
    <w:basedOn w:val="Normal"/>
    <w:uiPriority w:val="99"/>
    <w:rsid w:val="00AC43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6">
    <w:name w:val="xl186"/>
    <w:basedOn w:val="Normal"/>
    <w:uiPriority w:val="99"/>
    <w:rsid w:val="00AC43B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87">
    <w:name w:val="xl187"/>
    <w:basedOn w:val="Normal"/>
    <w:uiPriority w:val="99"/>
    <w:rsid w:val="00AC43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8">
    <w:name w:val="xl188"/>
    <w:basedOn w:val="Normal"/>
    <w:uiPriority w:val="99"/>
    <w:rsid w:val="00AC43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89">
    <w:name w:val="xl189"/>
    <w:basedOn w:val="Normal"/>
    <w:uiPriority w:val="99"/>
    <w:rsid w:val="00AC43BF"/>
    <w:pPr>
      <w:pBdr>
        <w:top w:val="single" w:sz="4" w:space="0" w:color="auto"/>
        <w:left w:val="single" w:sz="8" w:space="0" w:color="auto"/>
        <w:bottom w:val="single" w:sz="4" w:space="0" w:color="auto"/>
      </w:pBdr>
      <w:spacing w:before="100" w:beforeAutospacing="1" w:after="100" w:afterAutospacing="1"/>
      <w:textAlignment w:val="top"/>
    </w:pPr>
    <w:rPr>
      <w:b/>
      <w:bCs/>
      <w:sz w:val="24"/>
      <w:szCs w:val="24"/>
    </w:rPr>
  </w:style>
  <w:style w:type="paragraph" w:customStyle="1" w:styleId="xl190">
    <w:name w:val="xl190"/>
    <w:basedOn w:val="Normal"/>
    <w:uiPriority w:val="99"/>
    <w:rsid w:val="00AC43BF"/>
    <w:pPr>
      <w:pBdr>
        <w:top w:val="single" w:sz="4" w:space="0" w:color="auto"/>
        <w:bottom w:val="single" w:sz="4" w:space="0" w:color="auto"/>
      </w:pBdr>
      <w:spacing w:before="100" w:beforeAutospacing="1" w:after="100" w:afterAutospacing="1"/>
      <w:textAlignment w:val="top"/>
    </w:pPr>
    <w:rPr>
      <w:sz w:val="24"/>
      <w:szCs w:val="24"/>
    </w:rPr>
  </w:style>
  <w:style w:type="paragraph" w:customStyle="1" w:styleId="xl191">
    <w:name w:val="xl191"/>
    <w:basedOn w:val="Normal"/>
    <w:uiPriority w:val="99"/>
    <w:rsid w:val="00AC43BF"/>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92">
    <w:name w:val="xl192"/>
    <w:basedOn w:val="Normal"/>
    <w:uiPriority w:val="99"/>
    <w:rsid w:val="00AC43BF"/>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sz w:val="24"/>
      <w:szCs w:val="24"/>
    </w:rPr>
  </w:style>
  <w:style w:type="paragraph" w:customStyle="1" w:styleId="xl193">
    <w:name w:val="xl193"/>
    <w:basedOn w:val="Normal"/>
    <w:uiPriority w:val="99"/>
    <w:rsid w:val="00AC43B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24"/>
      <w:szCs w:val="24"/>
    </w:rPr>
  </w:style>
  <w:style w:type="paragraph" w:customStyle="1" w:styleId="xl194">
    <w:name w:val="xl194"/>
    <w:basedOn w:val="Normal"/>
    <w:uiPriority w:val="99"/>
    <w:rsid w:val="00AC43BF"/>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95">
    <w:name w:val="xl195"/>
    <w:basedOn w:val="Normal"/>
    <w:uiPriority w:val="99"/>
    <w:rsid w:val="00AC43B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8"/>
      <w:szCs w:val="18"/>
    </w:rPr>
  </w:style>
  <w:style w:type="paragraph" w:customStyle="1" w:styleId="xl196">
    <w:name w:val="xl196"/>
    <w:basedOn w:val="Normal"/>
    <w:uiPriority w:val="99"/>
    <w:rsid w:val="00AC43B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8"/>
      <w:szCs w:val="18"/>
    </w:rPr>
  </w:style>
  <w:style w:type="paragraph" w:customStyle="1" w:styleId="xl197">
    <w:name w:val="xl197"/>
    <w:basedOn w:val="Normal"/>
    <w:uiPriority w:val="99"/>
    <w:rsid w:val="00AC43BF"/>
    <w:pPr>
      <w:pBdr>
        <w:top w:val="single" w:sz="4" w:space="0" w:color="auto"/>
        <w:left w:val="single" w:sz="8" w:space="0" w:color="auto"/>
        <w:bottom w:val="single" w:sz="4" w:space="0" w:color="auto"/>
        <w:right w:val="single" w:sz="4" w:space="0" w:color="auto"/>
      </w:pBdr>
      <w:shd w:val="clear" w:color="000000" w:fill="FF0000"/>
      <w:spacing w:before="100" w:beforeAutospacing="1" w:after="100" w:afterAutospacing="1"/>
    </w:pPr>
    <w:rPr>
      <w:sz w:val="24"/>
      <w:szCs w:val="24"/>
    </w:rPr>
  </w:style>
  <w:style w:type="paragraph" w:customStyle="1" w:styleId="ICRBodyText">
    <w:name w:val="ICRBody Text"/>
    <w:basedOn w:val="BodyText"/>
    <w:link w:val="ICRBodyTextChar"/>
    <w:uiPriority w:val="99"/>
    <w:rsid w:val="00AC43BF"/>
    <w:pPr>
      <w:tabs>
        <w:tab w:val="left" w:pos="720"/>
        <w:tab w:val="left" w:pos="1080"/>
        <w:tab w:val="left" w:pos="1440"/>
        <w:tab w:val="left" w:pos="1800"/>
      </w:tabs>
      <w:spacing w:after="0"/>
      <w:ind w:firstLine="720"/>
    </w:pPr>
    <w:rPr>
      <w:szCs w:val="24"/>
    </w:rPr>
  </w:style>
  <w:style w:type="character" w:customStyle="1" w:styleId="ICRBodyTextChar">
    <w:name w:val="ICRBody Text Char"/>
    <w:basedOn w:val="BodyTextChar"/>
    <w:link w:val="ICRBodyText"/>
    <w:uiPriority w:val="99"/>
    <w:locked/>
    <w:rsid w:val="00AC43BF"/>
    <w:rPr>
      <w:sz w:val="24"/>
      <w:szCs w:val="24"/>
      <w:lang w:val="en"/>
    </w:rPr>
  </w:style>
  <w:style w:type="character" w:customStyle="1" w:styleId="p1">
    <w:name w:val="p1"/>
    <w:basedOn w:val="DefaultParagraphFont"/>
    <w:uiPriority w:val="99"/>
    <w:rsid w:val="00AC43BF"/>
    <w:rPr>
      <w:rFonts w:cs="Times New Roman"/>
    </w:rPr>
  </w:style>
  <w:style w:type="paragraph" w:customStyle="1" w:styleId="bullets0">
    <w:name w:val="bullets"/>
    <w:aliases w:val="bu"/>
    <w:basedOn w:val="Normal"/>
    <w:link w:val="bulletsChar"/>
    <w:uiPriority w:val="99"/>
    <w:rsid w:val="00AC43BF"/>
    <w:pPr>
      <w:numPr>
        <w:numId w:val="5"/>
      </w:numPr>
      <w:tabs>
        <w:tab w:val="num" w:pos="1080"/>
      </w:tabs>
      <w:spacing w:after="240"/>
    </w:pPr>
    <w:rPr>
      <w:rFonts w:eastAsia="PMingLiU"/>
      <w:sz w:val="24"/>
      <w:szCs w:val="24"/>
    </w:rPr>
  </w:style>
  <w:style w:type="character" w:customStyle="1" w:styleId="bulletsChar">
    <w:name w:val="bullets Char"/>
    <w:aliases w:val="bu Char"/>
    <w:basedOn w:val="DefaultParagraphFont"/>
    <w:link w:val="bullets0"/>
    <w:uiPriority w:val="99"/>
    <w:locked/>
    <w:rsid w:val="00AC43BF"/>
    <w:rPr>
      <w:rFonts w:eastAsia="PMingLiU"/>
      <w:sz w:val="24"/>
      <w:szCs w:val="24"/>
    </w:rPr>
  </w:style>
  <w:style w:type="paragraph" w:customStyle="1" w:styleId="BodyText10">
    <w:name w:val="Body Text1"/>
    <w:aliases w:val="body 4equationh,body 4h,body tx,bt,flush,indent,memo body text"/>
    <w:basedOn w:val="Normal"/>
    <w:link w:val="bodytextChar0"/>
    <w:uiPriority w:val="99"/>
    <w:rsid w:val="00AC43BF"/>
    <w:pPr>
      <w:spacing w:after="240" w:line="360" w:lineRule="atLeast"/>
      <w:ind w:firstLine="720"/>
    </w:pPr>
    <w:rPr>
      <w:rFonts w:eastAsia="PMingLiU"/>
      <w:sz w:val="24"/>
      <w:szCs w:val="24"/>
    </w:rPr>
  </w:style>
  <w:style w:type="character" w:customStyle="1" w:styleId="bodytextChar0">
    <w:name w:val="body text Char"/>
    <w:aliases w:val="body tx Char,bt Char,flush Char,indent Char"/>
    <w:basedOn w:val="DefaultParagraphFont"/>
    <w:link w:val="BodyText10"/>
    <w:uiPriority w:val="99"/>
    <w:locked/>
    <w:rsid w:val="00AC43BF"/>
    <w:rPr>
      <w:rFonts w:eastAsia="PMingLiU"/>
      <w:sz w:val="24"/>
      <w:szCs w:val="24"/>
    </w:rPr>
  </w:style>
  <w:style w:type="character" w:customStyle="1" w:styleId="RRBodyTextChar">
    <w:name w:val="R&amp;R Body Text Char"/>
    <w:basedOn w:val="DefaultParagraphFont"/>
    <w:link w:val="RRBodyText"/>
    <w:uiPriority w:val="99"/>
    <w:locked/>
    <w:rsid w:val="00AC43BF"/>
    <w:rPr>
      <w:sz w:val="22"/>
      <w:szCs w:val="24"/>
    </w:rPr>
  </w:style>
  <w:style w:type="character" w:customStyle="1" w:styleId="slug-vol">
    <w:name w:val="slug-vol"/>
    <w:basedOn w:val="DefaultParagraphFont"/>
    <w:uiPriority w:val="99"/>
    <w:rsid w:val="00AC43BF"/>
    <w:rPr>
      <w:rFonts w:cs="Times New Roman"/>
    </w:rPr>
  </w:style>
  <w:style w:type="character" w:customStyle="1" w:styleId="slug-issue">
    <w:name w:val="slug-issue"/>
    <w:basedOn w:val="DefaultParagraphFont"/>
    <w:uiPriority w:val="99"/>
    <w:rsid w:val="00AC43BF"/>
    <w:rPr>
      <w:rFonts w:cs="Times New Roman"/>
    </w:rPr>
  </w:style>
  <w:style w:type="paragraph" w:customStyle="1" w:styleId="xl67">
    <w:name w:val="xl67"/>
    <w:basedOn w:val="Normal"/>
    <w:uiPriority w:val="99"/>
    <w:rsid w:val="00AC43BF"/>
    <w:pPr>
      <w:pBdr>
        <w:bottom w:val="single" w:sz="8" w:space="0" w:color="auto"/>
        <w:right w:val="single" w:sz="8" w:space="0" w:color="auto"/>
      </w:pBdr>
      <w:spacing w:before="100" w:beforeAutospacing="1" w:after="100" w:afterAutospacing="1"/>
      <w:jc w:val="right"/>
      <w:textAlignment w:val="center"/>
    </w:pPr>
    <w:rPr>
      <w:color w:val="000000"/>
      <w:sz w:val="18"/>
      <w:szCs w:val="18"/>
    </w:rPr>
  </w:style>
  <w:style w:type="paragraph" w:customStyle="1" w:styleId="xl68">
    <w:name w:val="xl68"/>
    <w:basedOn w:val="Normal"/>
    <w:uiPriority w:val="99"/>
    <w:rsid w:val="00AC43BF"/>
    <w:pPr>
      <w:pBdr>
        <w:bottom w:val="single" w:sz="8" w:space="0" w:color="auto"/>
        <w:right w:val="single" w:sz="8" w:space="0" w:color="auto"/>
      </w:pBdr>
      <w:spacing w:before="100" w:beforeAutospacing="1" w:after="100" w:afterAutospacing="1"/>
      <w:jc w:val="right"/>
      <w:textAlignment w:val="center"/>
    </w:pPr>
    <w:rPr>
      <w:b/>
      <w:bCs/>
      <w:color w:val="000000"/>
      <w:sz w:val="18"/>
      <w:szCs w:val="18"/>
    </w:rPr>
  </w:style>
  <w:style w:type="paragraph" w:customStyle="1" w:styleId="xl69">
    <w:name w:val="xl69"/>
    <w:basedOn w:val="Normal"/>
    <w:uiPriority w:val="99"/>
    <w:rsid w:val="00AC43BF"/>
    <w:pPr>
      <w:pBdr>
        <w:bottom w:val="single" w:sz="8" w:space="0" w:color="auto"/>
        <w:right w:val="single" w:sz="8" w:space="0" w:color="auto"/>
      </w:pBdr>
      <w:spacing w:before="100" w:beforeAutospacing="1" w:after="100" w:afterAutospacing="1"/>
      <w:jc w:val="right"/>
      <w:textAlignment w:val="center"/>
    </w:pPr>
    <w:rPr>
      <w:sz w:val="18"/>
      <w:szCs w:val="18"/>
    </w:rPr>
  </w:style>
  <w:style w:type="paragraph" w:customStyle="1" w:styleId="xl83">
    <w:name w:val="xl83"/>
    <w:basedOn w:val="Normal"/>
    <w:rsid w:val="00AC43B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84">
    <w:name w:val="xl84"/>
    <w:basedOn w:val="Normal"/>
    <w:rsid w:val="00AC43BF"/>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85">
    <w:name w:val="xl85"/>
    <w:basedOn w:val="Normal"/>
    <w:rsid w:val="00AC43B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86">
    <w:name w:val="xl86"/>
    <w:basedOn w:val="Normal"/>
    <w:rsid w:val="00AC43BF"/>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87">
    <w:name w:val="xl87"/>
    <w:basedOn w:val="Normal"/>
    <w:rsid w:val="00AC43BF"/>
    <w:pPr>
      <w:pBdr>
        <w:top w:val="single" w:sz="8" w:space="0" w:color="auto"/>
        <w:left w:val="single" w:sz="12"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88">
    <w:name w:val="xl88"/>
    <w:basedOn w:val="Normal"/>
    <w:rsid w:val="00AC43BF"/>
    <w:pPr>
      <w:pBdr>
        <w:left w:val="single" w:sz="12"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89">
    <w:name w:val="xl89"/>
    <w:basedOn w:val="Normal"/>
    <w:rsid w:val="00AC43BF"/>
    <w:pPr>
      <w:pBdr>
        <w:bottom w:val="single" w:sz="8" w:space="0" w:color="auto"/>
        <w:right w:val="single" w:sz="8" w:space="0" w:color="auto"/>
      </w:pBdr>
      <w:spacing w:before="100" w:beforeAutospacing="1" w:after="100" w:afterAutospacing="1"/>
      <w:jc w:val="right"/>
      <w:textAlignment w:val="center"/>
    </w:pPr>
    <w:rPr>
      <w:color w:val="000000"/>
      <w:sz w:val="18"/>
      <w:szCs w:val="18"/>
    </w:rPr>
  </w:style>
  <w:style w:type="paragraph" w:customStyle="1" w:styleId="xl90">
    <w:name w:val="xl90"/>
    <w:basedOn w:val="Normal"/>
    <w:rsid w:val="00AC43BF"/>
    <w:pPr>
      <w:pBdr>
        <w:top w:val="single" w:sz="8" w:space="0" w:color="auto"/>
        <w:left w:val="single" w:sz="8" w:space="0" w:color="auto"/>
        <w:bottom w:val="single" w:sz="8" w:space="0" w:color="auto"/>
      </w:pBdr>
      <w:shd w:val="clear" w:color="000000" w:fill="D9D9D9"/>
      <w:spacing w:before="100" w:beforeAutospacing="1" w:after="100" w:afterAutospacing="1"/>
    </w:pPr>
    <w:rPr>
      <w:rFonts w:ascii="Arial Bold" w:hAnsi="Arial Bold"/>
      <w:sz w:val="18"/>
      <w:szCs w:val="18"/>
    </w:rPr>
  </w:style>
  <w:style w:type="paragraph" w:customStyle="1" w:styleId="xl91">
    <w:name w:val="xl91"/>
    <w:basedOn w:val="Normal"/>
    <w:rsid w:val="00AC43BF"/>
    <w:pPr>
      <w:pBdr>
        <w:top w:val="single" w:sz="8" w:space="0" w:color="auto"/>
        <w:bottom w:val="single" w:sz="8" w:space="0" w:color="auto"/>
      </w:pBdr>
      <w:shd w:val="clear" w:color="000000" w:fill="D9D9D9"/>
      <w:spacing w:before="100" w:beforeAutospacing="1" w:after="100" w:afterAutospacing="1"/>
    </w:pPr>
    <w:rPr>
      <w:rFonts w:ascii="Arial Bold" w:hAnsi="Arial Bold"/>
      <w:sz w:val="18"/>
      <w:szCs w:val="18"/>
    </w:rPr>
  </w:style>
  <w:style w:type="paragraph" w:customStyle="1" w:styleId="xl92">
    <w:name w:val="xl92"/>
    <w:basedOn w:val="Normal"/>
    <w:rsid w:val="00AC43BF"/>
    <w:pPr>
      <w:pBdr>
        <w:top w:val="single" w:sz="8" w:space="0" w:color="auto"/>
        <w:bottom w:val="single" w:sz="8" w:space="0" w:color="auto"/>
        <w:right w:val="single" w:sz="8" w:space="0" w:color="auto"/>
      </w:pBdr>
      <w:shd w:val="clear" w:color="000000" w:fill="D9D9D9"/>
      <w:spacing w:before="100" w:beforeAutospacing="1" w:after="100" w:afterAutospacing="1"/>
    </w:pPr>
    <w:rPr>
      <w:rFonts w:ascii="Arial Bold" w:hAnsi="Arial Bold"/>
      <w:sz w:val="18"/>
      <w:szCs w:val="18"/>
    </w:rPr>
  </w:style>
  <w:style w:type="paragraph" w:customStyle="1" w:styleId="xl93">
    <w:name w:val="xl93"/>
    <w:basedOn w:val="Normal"/>
    <w:rsid w:val="00AC43BF"/>
    <w:pPr>
      <w:pBdr>
        <w:left w:val="single" w:sz="8" w:space="0" w:color="auto"/>
        <w:bottom w:val="single" w:sz="8" w:space="0" w:color="auto"/>
        <w:right w:val="single" w:sz="8" w:space="0" w:color="auto"/>
      </w:pBdr>
      <w:spacing w:before="100" w:beforeAutospacing="1" w:after="100" w:afterAutospacing="1"/>
      <w:jc w:val="right"/>
      <w:textAlignment w:val="center"/>
    </w:pPr>
    <w:rPr>
      <w:sz w:val="18"/>
      <w:szCs w:val="18"/>
    </w:rPr>
  </w:style>
  <w:style w:type="paragraph" w:customStyle="1" w:styleId="xl94">
    <w:name w:val="xl94"/>
    <w:basedOn w:val="Normal"/>
    <w:rsid w:val="00AC43BF"/>
    <w:pPr>
      <w:pBdr>
        <w:bottom w:val="single" w:sz="8" w:space="0" w:color="auto"/>
        <w:right w:val="single" w:sz="12" w:space="0" w:color="auto"/>
      </w:pBdr>
      <w:spacing w:before="100" w:beforeAutospacing="1" w:after="100" w:afterAutospacing="1"/>
      <w:jc w:val="right"/>
      <w:textAlignment w:val="center"/>
    </w:pPr>
    <w:rPr>
      <w:color w:val="000000"/>
      <w:sz w:val="18"/>
      <w:szCs w:val="18"/>
    </w:rPr>
  </w:style>
  <w:style w:type="paragraph" w:customStyle="1" w:styleId="xl95">
    <w:name w:val="xl95"/>
    <w:basedOn w:val="Normal"/>
    <w:rsid w:val="00AC43BF"/>
    <w:pPr>
      <w:pBdr>
        <w:left w:val="single" w:sz="8"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numbering" w:styleId="111111">
    <w:name w:val="Outline List 2"/>
    <w:basedOn w:val="NoList"/>
    <w:unhideWhenUsed/>
    <w:rsid w:val="00AC43BF"/>
    <w:pPr>
      <w:numPr>
        <w:numId w:val="8"/>
      </w:numPr>
    </w:pPr>
  </w:style>
  <w:style w:type="numbering" w:styleId="1ai">
    <w:name w:val="Outline List 1"/>
    <w:basedOn w:val="NoList"/>
    <w:unhideWhenUsed/>
    <w:rsid w:val="00AC43BF"/>
    <w:pPr>
      <w:numPr>
        <w:numId w:val="5"/>
      </w:numPr>
    </w:pPr>
  </w:style>
  <w:style w:type="paragraph" w:customStyle="1" w:styleId="Headnig3">
    <w:name w:val="Headnig 3"/>
    <w:basedOn w:val="BodyText"/>
    <w:uiPriority w:val="99"/>
    <w:rsid w:val="00AC43BF"/>
    <w:pPr>
      <w:tabs>
        <w:tab w:val="left" w:pos="720"/>
        <w:tab w:val="left" w:pos="1080"/>
        <w:tab w:val="left" w:pos="1440"/>
        <w:tab w:val="left" w:pos="1800"/>
      </w:tabs>
      <w:spacing w:after="200" w:line="276" w:lineRule="auto"/>
      <w:ind w:firstLine="720"/>
    </w:pPr>
    <w:rPr>
      <w:rFonts w:asciiTheme="minorHAnsi" w:hAnsiTheme="minorHAnsi" w:cstheme="minorBidi"/>
    </w:rPr>
  </w:style>
  <w:style w:type="paragraph" w:styleId="BodyTextFirstIndent">
    <w:name w:val="Body Text First Indent"/>
    <w:basedOn w:val="BodyText"/>
    <w:link w:val="BodyTextFirstIndentChar"/>
    <w:uiPriority w:val="99"/>
    <w:rsid w:val="00AC43BF"/>
    <w:pPr>
      <w:tabs>
        <w:tab w:val="left" w:pos="720"/>
        <w:tab w:val="left" w:pos="1080"/>
        <w:tab w:val="left" w:pos="1440"/>
        <w:tab w:val="left" w:pos="1800"/>
      </w:tabs>
      <w:spacing w:after="200"/>
      <w:ind w:firstLine="210"/>
    </w:pPr>
    <w:rPr>
      <w:rFonts w:asciiTheme="minorHAnsi" w:hAnsiTheme="minorHAnsi" w:cstheme="minorBidi"/>
    </w:rPr>
  </w:style>
  <w:style w:type="character" w:customStyle="1" w:styleId="BodyTextFirstIndentChar">
    <w:name w:val="Body Text First Indent Char"/>
    <w:basedOn w:val="BodyTextChar"/>
    <w:link w:val="BodyTextFirstIndent"/>
    <w:uiPriority w:val="99"/>
    <w:rsid w:val="00AC43BF"/>
    <w:rPr>
      <w:rFonts w:asciiTheme="minorHAnsi" w:hAnsiTheme="minorHAnsi" w:cstheme="minorBidi"/>
      <w:sz w:val="22"/>
      <w:szCs w:val="22"/>
      <w:lang w:val="en"/>
    </w:rPr>
  </w:style>
  <w:style w:type="paragraph" w:styleId="BodyTextFirstIndent2">
    <w:name w:val="Body Text First Indent 2"/>
    <w:basedOn w:val="BodyTextIndent"/>
    <w:link w:val="BodyTextFirstIndent2Char"/>
    <w:uiPriority w:val="99"/>
    <w:rsid w:val="00AC43BF"/>
    <w:pPr>
      <w:autoSpaceDE/>
      <w:autoSpaceDN/>
      <w:adjustRightInd/>
      <w:spacing w:line="276" w:lineRule="auto"/>
      <w:ind w:firstLine="210"/>
    </w:pPr>
    <w:rPr>
      <w:rFonts w:asciiTheme="minorHAnsi" w:eastAsiaTheme="minorHAnsi" w:hAnsiTheme="minorHAnsi" w:cstheme="minorBidi"/>
      <w:sz w:val="22"/>
      <w:szCs w:val="22"/>
    </w:rPr>
  </w:style>
  <w:style w:type="character" w:customStyle="1" w:styleId="BodyTextFirstIndent2Char">
    <w:name w:val="Body Text First Indent 2 Char"/>
    <w:basedOn w:val="BodyTextIndentChar"/>
    <w:link w:val="BodyTextFirstIndent2"/>
    <w:uiPriority w:val="99"/>
    <w:rsid w:val="00AC43BF"/>
    <w:rPr>
      <w:rFonts w:asciiTheme="minorHAnsi" w:eastAsiaTheme="minorHAnsi" w:hAnsiTheme="minorHAnsi" w:cstheme="minorBidi"/>
      <w:sz w:val="22"/>
      <w:szCs w:val="22"/>
    </w:rPr>
  </w:style>
  <w:style w:type="paragraph" w:customStyle="1" w:styleId="RRTableText">
    <w:name w:val="R&amp;R Table Text"/>
    <w:basedOn w:val="RRBodyText"/>
    <w:uiPriority w:val="99"/>
    <w:rsid w:val="00AC43BF"/>
    <w:pPr>
      <w:autoSpaceDE/>
      <w:autoSpaceDN/>
      <w:adjustRightInd/>
      <w:spacing w:after="200" w:line="276" w:lineRule="auto"/>
    </w:pPr>
    <w:rPr>
      <w:rFonts w:asciiTheme="minorHAnsi" w:eastAsiaTheme="minorHAnsi" w:hAnsiTheme="minorHAnsi" w:cstheme="minorBidi"/>
      <w:sz w:val="20"/>
      <w:szCs w:val="22"/>
    </w:rPr>
  </w:style>
  <w:style w:type="paragraph" w:customStyle="1" w:styleId="RRSubheading3">
    <w:name w:val="R&amp;R Subheading 3"/>
    <w:basedOn w:val="Heading3"/>
    <w:uiPriority w:val="99"/>
    <w:rsid w:val="00AC43BF"/>
    <w:pPr>
      <w:keepLines/>
      <w:widowControl w:val="0"/>
      <w:numPr>
        <w:ilvl w:val="0"/>
        <w:numId w:val="0"/>
      </w:numPr>
      <w:tabs>
        <w:tab w:val="num" w:pos="720"/>
        <w:tab w:val="num" w:pos="1440"/>
        <w:tab w:val="num" w:pos="2160"/>
      </w:tabs>
      <w:autoSpaceDE w:val="0"/>
      <w:autoSpaceDN w:val="0"/>
      <w:adjustRightInd w:val="0"/>
      <w:spacing w:before="180" w:line="276" w:lineRule="auto"/>
      <w:ind w:left="720" w:hanging="360"/>
    </w:pPr>
    <w:rPr>
      <w:rFonts w:cs="Arial"/>
      <w:bCs/>
      <w:i/>
      <w:iCs/>
      <w:szCs w:val="16"/>
    </w:rPr>
  </w:style>
  <w:style w:type="paragraph" w:customStyle="1" w:styleId="RRBulletLevel1">
    <w:name w:val="R&amp;R Bullet Level 1"/>
    <w:basedOn w:val="RRBodyText"/>
    <w:uiPriority w:val="99"/>
    <w:rsid w:val="00AC43BF"/>
    <w:pPr>
      <w:numPr>
        <w:numId w:val="6"/>
      </w:numPr>
      <w:tabs>
        <w:tab w:val="num" w:pos="432"/>
      </w:tabs>
      <w:autoSpaceDE/>
      <w:autoSpaceDN/>
      <w:adjustRightInd/>
      <w:spacing w:after="200" w:line="276" w:lineRule="auto"/>
    </w:pPr>
    <w:rPr>
      <w:rFonts w:asciiTheme="minorHAnsi" w:eastAsiaTheme="minorHAnsi" w:hAnsiTheme="minorHAnsi" w:cstheme="minorBidi"/>
      <w:szCs w:val="22"/>
    </w:rPr>
  </w:style>
  <w:style w:type="paragraph" w:customStyle="1" w:styleId="RRBodyTex">
    <w:name w:val="R&amp;R Body Tex"/>
    <w:link w:val="RRBodyTexChar"/>
    <w:uiPriority w:val="99"/>
    <w:rsid w:val="0065055C"/>
    <w:pPr>
      <w:tabs>
        <w:tab w:val="left" w:pos="0"/>
        <w:tab w:val="left" w:pos="720"/>
        <w:tab w:val="left" w:pos="1080"/>
        <w:tab w:val="left" w:pos="1440"/>
        <w:tab w:val="left" w:pos="1800"/>
        <w:tab w:val="left" w:pos="8983"/>
        <w:tab w:val="right" w:pos="9360"/>
      </w:tabs>
      <w:autoSpaceDE w:val="0"/>
      <w:autoSpaceDN w:val="0"/>
      <w:adjustRightInd w:val="0"/>
      <w:spacing w:line="264" w:lineRule="auto"/>
    </w:pPr>
    <w:rPr>
      <w:rFonts w:eastAsiaTheme="minorHAnsi"/>
      <w:sz w:val="22"/>
      <w:szCs w:val="22"/>
    </w:rPr>
  </w:style>
  <w:style w:type="character" w:customStyle="1" w:styleId="RRBodyTexChar">
    <w:name w:val="R&amp;R Body Tex Char"/>
    <w:link w:val="RRBodyTex"/>
    <w:uiPriority w:val="99"/>
    <w:locked/>
    <w:rsid w:val="00AC43BF"/>
    <w:rPr>
      <w:rFonts w:eastAsiaTheme="minorHAnsi"/>
      <w:sz w:val="22"/>
      <w:szCs w:val="22"/>
    </w:rPr>
  </w:style>
  <w:style w:type="paragraph" w:customStyle="1" w:styleId="TableSubtitle2">
    <w:name w:val="TableSubtitle'"/>
    <w:basedOn w:val="BodyText"/>
    <w:uiPriority w:val="99"/>
    <w:rsid w:val="00AC43BF"/>
    <w:pPr>
      <w:tabs>
        <w:tab w:val="left" w:pos="720"/>
        <w:tab w:val="left" w:pos="1080"/>
        <w:tab w:val="left" w:pos="1440"/>
        <w:tab w:val="left" w:pos="1800"/>
      </w:tabs>
      <w:spacing w:after="200" w:line="276" w:lineRule="auto"/>
      <w:ind w:firstLine="720"/>
    </w:pPr>
    <w:rPr>
      <w:rFonts w:asciiTheme="minorHAnsi" w:hAnsiTheme="minorHAnsi" w:cstheme="minorBidi"/>
    </w:rPr>
  </w:style>
  <w:style w:type="paragraph" w:customStyle="1" w:styleId="Style2">
    <w:name w:val="Style2"/>
    <w:basedOn w:val="Heading2"/>
    <w:link w:val="Style2Char"/>
    <w:uiPriority w:val="99"/>
    <w:rsid w:val="00AC43BF"/>
    <w:pPr>
      <w:keepLines/>
      <w:numPr>
        <w:ilvl w:val="0"/>
        <w:numId w:val="0"/>
      </w:numPr>
      <w:tabs>
        <w:tab w:val="num" w:pos="720"/>
        <w:tab w:val="num" w:pos="1440"/>
      </w:tabs>
      <w:spacing w:after="200" w:line="276" w:lineRule="auto"/>
      <w:ind w:left="720" w:hanging="360"/>
    </w:pPr>
    <w:rPr>
      <w:rFonts w:ascii="Arial Bold" w:hAnsi="Arial Bold"/>
      <w:b w:val="0"/>
      <w:iCs w:val="0"/>
      <w:color w:val="auto"/>
      <w:kern w:val="28"/>
      <w:szCs w:val="22"/>
    </w:rPr>
  </w:style>
  <w:style w:type="character" w:customStyle="1" w:styleId="Style2Char">
    <w:name w:val="Style2 Char"/>
    <w:link w:val="Style2"/>
    <w:uiPriority w:val="99"/>
    <w:rsid w:val="00AC43BF"/>
    <w:rPr>
      <w:rFonts w:ascii="Arial Bold" w:hAnsi="Arial Bold" w:cs="Arial"/>
      <w:bCs/>
      <w:i/>
      <w:kern w:val="28"/>
      <w:sz w:val="24"/>
      <w:szCs w:val="22"/>
    </w:rPr>
  </w:style>
  <w:style w:type="paragraph" w:customStyle="1" w:styleId="GPOAGENCY">
    <w:name w:val="GPO AGENCY"/>
    <w:basedOn w:val="Normal"/>
    <w:link w:val="GPOAGENCYChar"/>
    <w:uiPriority w:val="99"/>
    <w:rsid w:val="00AC43BF"/>
    <w:pPr>
      <w:widowControl w:val="0"/>
      <w:autoSpaceDE w:val="0"/>
      <w:autoSpaceDN w:val="0"/>
      <w:adjustRightInd w:val="0"/>
      <w:spacing w:after="200" w:line="276" w:lineRule="auto"/>
    </w:pPr>
    <w:rPr>
      <w:rFonts w:asciiTheme="minorHAnsi" w:hAnsiTheme="minorHAnsi" w:cstheme="minorBidi"/>
      <w:b/>
      <w:bCs/>
      <w:szCs w:val="22"/>
    </w:rPr>
  </w:style>
  <w:style w:type="character" w:customStyle="1" w:styleId="GPOAGENCYChar">
    <w:name w:val="GPO AGENCY Char"/>
    <w:basedOn w:val="DefaultParagraphFont"/>
    <w:link w:val="GPOAGENCY"/>
    <w:uiPriority w:val="99"/>
    <w:locked/>
    <w:rsid w:val="00AC43BF"/>
    <w:rPr>
      <w:rFonts w:asciiTheme="minorHAnsi" w:hAnsiTheme="minorHAnsi" w:cstheme="minorBidi"/>
      <w:b/>
      <w:bCs/>
      <w:sz w:val="22"/>
      <w:szCs w:val="22"/>
    </w:rPr>
  </w:style>
  <w:style w:type="character" w:customStyle="1" w:styleId="blackten">
    <w:name w:val="blackten"/>
    <w:basedOn w:val="DefaultParagraphFont"/>
    <w:uiPriority w:val="99"/>
    <w:rsid w:val="00AC43BF"/>
  </w:style>
  <w:style w:type="paragraph" w:customStyle="1" w:styleId="xl198">
    <w:name w:val="xl198"/>
    <w:basedOn w:val="Normal"/>
    <w:uiPriority w:val="99"/>
    <w:rsid w:val="00AC43BF"/>
    <w:pPr>
      <w:pBdr>
        <w:top w:val="single" w:sz="4" w:space="0" w:color="auto"/>
        <w:bottom w:val="single" w:sz="4" w:space="0" w:color="auto"/>
      </w:pBdr>
      <w:shd w:val="clear" w:color="000000" w:fill="BFBFBF"/>
      <w:spacing w:before="100" w:beforeAutospacing="1" w:after="100" w:afterAutospacing="1"/>
    </w:pPr>
    <w:rPr>
      <w:sz w:val="24"/>
      <w:szCs w:val="24"/>
    </w:rPr>
  </w:style>
  <w:style w:type="paragraph" w:customStyle="1" w:styleId="xl199">
    <w:name w:val="xl199"/>
    <w:basedOn w:val="Normal"/>
    <w:uiPriority w:val="99"/>
    <w:rsid w:val="00AC43BF"/>
    <w:pPr>
      <w:pBdr>
        <w:top w:val="single" w:sz="4" w:space="0" w:color="auto"/>
        <w:bottom w:val="single" w:sz="4" w:space="0" w:color="auto"/>
        <w:right w:val="single" w:sz="4" w:space="0" w:color="auto"/>
      </w:pBdr>
      <w:shd w:val="clear" w:color="000000" w:fill="BFBFBF"/>
      <w:spacing w:before="100" w:beforeAutospacing="1" w:after="100" w:afterAutospacing="1"/>
    </w:pPr>
    <w:rPr>
      <w:sz w:val="24"/>
      <w:szCs w:val="24"/>
    </w:rPr>
  </w:style>
  <w:style w:type="paragraph" w:customStyle="1" w:styleId="xl200">
    <w:name w:val="xl200"/>
    <w:basedOn w:val="Normal"/>
    <w:uiPriority w:val="99"/>
    <w:rsid w:val="00AC43BF"/>
    <w:pPr>
      <w:pBdr>
        <w:top w:val="single" w:sz="4" w:space="0" w:color="auto"/>
        <w:left w:val="single" w:sz="4" w:space="0" w:color="auto"/>
        <w:bottom w:val="single" w:sz="4" w:space="0" w:color="auto"/>
      </w:pBdr>
      <w:shd w:val="clear" w:color="000000" w:fill="DA291C"/>
      <w:spacing w:before="100" w:beforeAutospacing="1" w:after="100" w:afterAutospacing="1"/>
      <w:textAlignment w:val="center"/>
    </w:pPr>
    <w:rPr>
      <w:rFonts w:ascii="Arial" w:hAnsi="Arial" w:cs="Arial"/>
      <w:b/>
      <w:bCs/>
      <w:color w:val="FFFFFF"/>
      <w:sz w:val="20"/>
    </w:rPr>
  </w:style>
  <w:style w:type="paragraph" w:customStyle="1" w:styleId="xl201">
    <w:name w:val="xl201"/>
    <w:basedOn w:val="Normal"/>
    <w:uiPriority w:val="99"/>
    <w:rsid w:val="00AC43BF"/>
    <w:pPr>
      <w:pBdr>
        <w:top w:val="single" w:sz="4" w:space="0" w:color="auto"/>
        <w:bottom w:val="single" w:sz="4" w:space="0" w:color="auto"/>
      </w:pBdr>
      <w:shd w:val="clear" w:color="000000" w:fill="DA291C"/>
      <w:spacing w:before="100" w:beforeAutospacing="1" w:after="100" w:afterAutospacing="1"/>
      <w:textAlignment w:val="center"/>
    </w:pPr>
    <w:rPr>
      <w:rFonts w:ascii="Arial" w:hAnsi="Arial" w:cs="Arial"/>
      <w:b/>
      <w:bCs/>
      <w:color w:val="FFFFFF"/>
      <w:sz w:val="20"/>
    </w:rPr>
  </w:style>
  <w:style w:type="paragraph" w:customStyle="1" w:styleId="xl202">
    <w:name w:val="xl202"/>
    <w:basedOn w:val="Normal"/>
    <w:uiPriority w:val="99"/>
    <w:rsid w:val="00AC43BF"/>
    <w:pPr>
      <w:pBdr>
        <w:top w:val="single" w:sz="4" w:space="0" w:color="auto"/>
        <w:bottom w:val="single" w:sz="4" w:space="0" w:color="auto"/>
        <w:right w:val="single" w:sz="4" w:space="0" w:color="auto"/>
      </w:pBdr>
      <w:shd w:val="clear" w:color="000000" w:fill="DA291C"/>
      <w:spacing w:before="100" w:beforeAutospacing="1" w:after="100" w:afterAutospacing="1"/>
      <w:textAlignment w:val="center"/>
    </w:pPr>
    <w:rPr>
      <w:rFonts w:ascii="Arial" w:hAnsi="Arial" w:cs="Arial"/>
      <w:b/>
      <w:bCs/>
      <w:color w:val="FFFFFF"/>
      <w:sz w:val="20"/>
    </w:rPr>
  </w:style>
  <w:style w:type="paragraph" w:customStyle="1" w:styleId="xl203">
    <w:name w:val="xl203"/>
    <w:basedOn w:val="Normal"/>
    <w:uiPriority w:val="99"/>
    <w:rsid w:val="00AC43BF"/>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4">
    <w:name w:val="xl204"/>
    <w:basedOn w:val="Normal"/>
    <w:uiPriority w:val="99"/>
    <w:rsid w:val="00AC43B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5">
    <w:name w:val="xl205"/>
    <w:basedOn w:val="Normal"/>
    <w:uiPriority w:val="99"/>
    <w:rsid w:val="00AC43BF"/>
    <w:pPr>
      <w:pBdr>
        <w:top w:val="single" w:sz="4" w:space="0" w:color="auto"/>
        <w:bottom w:val="single" w:sz="4" w:space="0" w:color="auto"/>
        <w:right w:val="single" w:sz="4" w:space="0" w:color="auto"/>
      </w:pBdr>
      <w:shd w:val="clear" w:color="000000" w:fill="BFBFBF"/>
      <w:spacing w:before="100" w:beforeAutospacing="1" w:after="100" w:afterAutospacing="1"/>
    </w:pPr>
    <w:rPr>
      <w:sz w:val="24"/>
      <w:szCs w:val="24"/>
    </w:rPr>
  </w:style>
  <w:style w:type="paragraph" w:customStyle="1" w:styleId="5AutoList4">
    <w:name w:val="5AutoList4"/>
    <w:semiHidden/>
    <w:rsid w:val="0065055C"/>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xl222">
    <w:name w:val="xl222"/>
    <w:basedOn w:val="Normal"/>
    <w:rsid w:val="00AC43BF"/>
    <w:pPr>
      <w:pBdr>
        <w:left w:val="single" w:sz="8" w:space="0" w:color="auto"/>
        <w:bottom w:val="single" w:sz="8" w:space="0" w:color="auto"/>
        <w:right w:val="single" w:sz="8" w:space="0" w:color="auto"/>
      </w:pBdr>
      <w:spacing w:before="100" w:beforeAutospacing="1" w:after="100" w:afterAutospacing="1"/>
      <w:textAlignment w:val="center"/>
    </w:pPr>
    <w:rPr>
      <w:color w:val="000000"/>
      <w:sz w:val="24"/>
      <w:szCs w:val="24"/>
    </w:rPr>
  </w:style>
  <w:style w:type="paragraph" w:customStyle="1" w:styleId="xl223">
    <w:name w:val="xl223"/>
    <w:basedOn w:val="Normal"/>
    <w:rsid w:val="00AC43BF"/>
    <w:pPr>
      <w:spacing w:before="100" w:beforeAutospacing="1" w:after="100" w:afterAutospacing="1"/>
      <w:jc w:val="right"/>
    </w:pPr>
    <w:rPr>
      <w:sz w:val="24"/>
      <w:szCs w:val="24"/>
    </w:rPr>
  </w:style>
  <w:style w:type="paragraph" w:customStyle="1" w:styleId="xl224">
    <w:name w:val="xl224"/>
    <w:basedOn w:val="Normal"/>
    <w:rsid w:val="00AC43BF"/>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25">
    <w:name w:val="xl225"/>
    <w:basedOn w:val="Normal"/>
    <w:rsid w:val="00AC43BF"/>
    <w:pPr>
      <w:spacing w:before="100" w:beforeAutospacing="1" w:after="100" w:afterAutospacing="1"/>
      <w:textAlignment w:val="center"/>
    </w:pPr>
    <w:rPr>
      <w:color w:val="000000"/>
      <w:sz w:val="24"/>
      <w:szCs w:val="24"/>
    </w:rPr>
  </w:style>
  <w:style w:type="paragraph" w:customStyle="1" w:styleId="xl227">
    <w:name w:val="xl227"/>
    <w:basedOn w:val="Normal"/>
    <w:rsid w:val="00AC43BF"/>
    <w:pPr>
      <w:spacing w:before="100" w:beforeAutospacing="1" w:after="100" w:afterAutospacing="1"/>
      <w:jc w:val="center"/>
    </w:pPr>
    <w:rPr>
      <w:sz w:val="24"/>
      <w:szCs w:val="24"/>
    </w:rPr>
  </w:style>
  <w:style w:type="paragraph" w:customStyle="1" w:styleId="xl228">
    <w:name w:val="xl228"/>
    <w:basedOn w:val="Normal"/>
    <w:rsid w:val="00AC43BF"/>
    <w:pPr>
      <w:spacing w:before="100" w:beforeAutospacing="1" w:after="100" w:afterAutospacing="1"/>
      <w:jc w:val="right"/>
    </w:pPr>
    <w:rPr>
      <w:sz w:val="24"/>
      <w:szCs w:val="24"/>
    </w:rPr>
  </w:style>
  <w:style w:type="paragraph" w:customStyle="1" w:styleId="xl229">
    <w:name w:val="xl229"/>
    <w:basedOn w:val="Normal"/>
    <w:rsid w:val="00AC43BF"/>
    <w:pPr>
      <w:pBdr>
        <w:top w:val="single" w:sz="4" w:space="0" w:color="auto"/>
        <w:left w:val="single" w:sz="4" w:space="0" w:color="auto"/>
        <w:bottom w:val="single" w:sz="4" w:space="0" w:color="auto"/>
        <w:right w:val="single" w:sz="4" w:space="0" w:color="auto"/>
      </w:pBdr>
      <w:shd w:val="clear" w:color="000000" w:fill="C3C6A8"/>
      <w:spacing w:before="100" w:beforeAutospacing="1" w:after="100" w:afterAutospacing="1"/>
      <w:jc w:val="center"/>
      <w:textAlignment w:val="center"/>
    </w:pPr>
    <w:rPr>
      <w:sz w:val="20"/>
    </w:rPr>
  </w:style>
  <w:style w:type="paragraph" w:customStyle="1" w:styleId="xl230">
    <w:name w:val="xl230"/>
    <w:basedOn w:val="Normal"/>
    <w:rsid w:val="00AC43BF"/>
    <w:pPr>
      <w:pBdr>
        <w:top w:val="single" w:sz="4" w:space="0" w:color="auto"/>
        <w:left w:val="single" w:sz="4" w:space="0" w:color="auto"/>
        <w:bottom w:val="single" w:sz="4" w:space="0" w:color="auto"/>
        <w:right w:val="single" w:sz="4" w:space="0" w:color="auto"/>
      </w:pBdr>
      <w:shd w:val="clear" w:color="000000" w:fill="C3C6A8"/>
      <w:spacing w:before="100" w:beforeAutospacing="1" w:after="100" w:afterAutospacing="1"/>
      <w:jc w:val="center"/>
      <w:textAlignment w:val="center"/>
    </w:pPr>
    <w:rPr>
      <w:sz w:val="20"/>
    </w:rPr>
  </w:style>
  <w:style w:type="paragraph" w:customStyle="1" w:styleId="xl231">
    <w:name w:val="xl231"/>
    <w:basedOn w:val="Normal"/>
    <w:rsid w:val="00AC43BF"/>
    <w:pPr>
      <w:pBdr>
        <w:top w:val="single" w:sz="4" w:space="0" w:color="auto"/>
        <w:left w:val="single" w:sz="4" w:space="0" w:color="auto"/>
        <w:bottom w:val="single" w:sz="4" w:space="0" w:color="auto"/>
      </w:pBdr>
      <w:shd w:val="clear" w:color="000000" w:fill="C3C6A8"/>
      <w:spacing w:before="100" w:beforeAutospacing="1" w:after="100" w:afterAutospacing="1"/>
      <w:jc w:val="center"/>
      <w:textAlignment w:val="center"/>
    </w:pPr>
    <w:rPr>
      <w:sz w:val="20"/>
    </w:rPr>
  </w:style>
  <w:style w:type="paragraph" w:customStyle="1" w:styleId="xl232">
    <w:name w:val="xl232"/>
    <w:basedOn w:val="Normal"/>
    <w:rsid w:val="00AC43BF"/>
    <w:pPr>
      <w:pBdr>
        <w:left w:val="single" w:sz="4" w:space="0" w:color="auto"/>
        <w:bottom w:val="single" w:sz="4" w:space="0" w:color="auto"/>
        <w:right w:val="single" w:sz="4" w:space="0" w:color="auto"/>
      </w:pBdr>
      <w:shd w:val="clear" w:color="000000" w:fill="C3C6A8"/>
      <w:spacing w:before="100" w:beforeAutospacing="1" w:after="100" w:afterAutospacing="1"/>
      <w:jc w:val="center"/>
      <w:textAlignment w:val="center"/>
    </w:pPr>
    <w:rPr>
      <w:sz w:val="20"/>
    </w:rPr>
  </w:style>
  <w:style w:type="paragraph" w:customStyle="1" w:styleId="xl233">
    <w:name w:val="xl233"/>
    <w:basedOn w:val="Normal"/>
    <w:rsid w:val="00AC43BF"/>
    <w:pPr>
      <w:pBdr>
        <w:top w:val="single" w:sz="4" w:space="0" w:color="auto"/>
        <w:left w:val="single" w:sz="4" w:space="0" w:color="auto"/>
      </w:pBdr>
      <w:shd w:val="clear" w:color="000000" w:fill="C3C6A8"/>
      <w:spacing w:before="100" w:beforeAutospacing="1" w:after="100" w:afterAutospacing="1"/>
      <w:jc w:val="center"/>
      <w:textAlignment w:val="center"/>
    </w:pPr>
    <w:rPr>
      <w:sz w:val="20"/>
    </w:rPr>
  </w:style>
  <w:style w:type="paragraph" w:customStyle="1" w:styleId="xl234">
    <w:name w:val="xl234"/>
    <w:basedOn w:val="Normal"/>
    <w:rsid w:val="00AC43BF"/>
    <w:pPr>
      <w:pBdr>
        <w:top w:val="single" w:sz="4" w:space="0" w:color="auto"/>
      </w:pBdr>
      <w:shd w:val="clear" w:color="000000" w:fill="C3C6A8"/>
      <w:spacing w:before="100" w:beforeAutospacing="1" w:after="100" w:afterAutospacing="1"/>
      <w:jc w:val="center"/>
      <w:textAlignment w:val="center"/>
    </w:pPr>
    <w:rPr>
      <w:sz w:val="20"/>
    </w:rPr>
  </w:style>
  <w:style w:type="paragraph" w:customStyle="1" w:styleId="xl235">
    <w:name w:val="xl235"/>
    <w:basedOn w:val="Normal"/>
    <w:rsid w:val="00AC43BF"/>
    <w:pPr>
      <w:pBdr>
        <w:left w:val="single" w:sz="4" w:space="0" w:color="auto"/>
        <w:bottom w:val="single" w:sz="4" w:space="0" w:color="auto"/>
      </w:pBdr>
      <w:shd w:val="clear" w:color="000000" w:fill="C3C6A8"/>
      <w:spacing w:before="100" w:beforeAutospacing="1" w:after="100" w:afterAutospacing="1"/>
      <w:jc w:val="center"/>
      <w:textAlignment w:val="center"/>
    </w:pPr>
    <w:rPr>
      <w:sz w:val="20"/>
    </w:rPr>
  </w:style>
  <w:style w:type="paragraph" w:customStyle="1" w:styleId="xl236">
    <w:name w:val="xl236"/>
    <w:basedOn w:val="Normal"/>
    <w:rsid w:val="00AC43BF"/>
    <w:pPr>
      <w:pBdr>
        <w:bottom w:val="single" w:sz="4" w:space="0" w:color="auto"/>
      </w:pBdr>
      <w:shd w:val="clear" w:color="000000" w:fill="C3C6A8"/>
      <w:spacing w:before="100" w:beforeAutospacing="1" w:after="100" w:afterAutospacing="1"/>
      <w:jc w:val="center"/>
      <w:textAlignment w:val="center"/>
    </w:pPr>
    <w:rPr>
      <w:sz w:val="20"/>
    </w:rPr>
  </w:style>
  <w:style w:type="paragraph" w:customStyle="1" w:styleId="xl237">
    <w:name w:val="xl237"/>
    <w:basedOn w:val="Normal"/>
    <w:rsid w:val="00AC43BF"/>
    <w:pPr>
      <w:pBdr>
        <w:left w:val="single" w:sz="4" w:space="0" w:color="auto"/>
        <w:bottom w:val="single" w:sz="4" w:space="0" w:color="auto"/>
        <w:right w:val="single" w:sz="4" w:space="0" w:color="auto"/>
      </w:pBdr>
      <w:shd w:val="clear" w:color="000000" w:fill="C3C6A8"/>
      <w:spacing w:before="100" w:beforeAutospacing="1" w:after="100" w:afterAutospacing="1"/>
      <w:jc w:val="center"/>
      <w:textAlignment w:val="center"/>
    </w:pPr>
    <w:rPr>
      <w:sz w:val="20"/>
    </w:rPr>
  </w:style>
  <w:style w:type="paragraph" w:customStyle="1" w:styleId="xl238">
    <w:name w:val="xl238"/>
    <w:basedOn w:val="Normal"/>
    <w:rsid w:val="00AC43BF"/>
    <w:pPr>
      <w:pBdr>
        <w:top w:val="single" w:sz="4" w:space="0" w:color="auto"/>
        <w:left w:val="single" w:sz="4" w:space="0" w:color="auto"/>
      </w:pBdr>
      <w:shd w:val="clear" w:color="000000" w:fill="C3C6A8"/>
      <w:spacing w:before="100" w:beforeAutospacing="1" w:after="100" w:afterAutospacing="1"/>
      <w:jc w:val="center"/>
      <w:textAlignment w:val="center"/>
    </w:pPr>
    <w:rPr>
      <w:sz w:val="20"/>
    </w:rPr>
  </w:style>
  <w:style w:type="paragraph" w:customStyle="1" w:styleId="xl239">
    <w:name w:val="xl239"/>
    <w:basedOn w:val="Normal"/>
    <w:rsid w:val="00AC43BF"/>
    <w:pPr>
      <w:pBdr>
        <w:top w:val="single" w:sz="4" w:space="0" w:color="auto"/>
      </w:pBdr>
      <w:shd w:val="clear" w:color="000000" w:fill="C3C6A8"/>
      <w:spacing w:before="100" w:beforeAutospacing="1" w:after="100" w:afterAutospacing="1"/>
      <w:jc w:val="center"/>
      <w:textAlignment w:val="center"/>
    </w:pPr>
    <w:rPr>
      <w:sz w:val="20"/>
    </w:rPr>
  </w:style>
  <w:style w:type="paragraph" w:customStyle="1" w:styleId="xl240">
    <w:name w:val="xl240"/>
    <w:basedOn w:val="Normal"/>
    <w:rsid w:val="00AC43BF"/>
    <w:pPr>
      <w:pBdr>
        <w:top w:val="single" w:sz="4" w:space="0" w:color="auto"/>
        <w:right w:val="single" w:sz="4" w:space="0" w:color="auto"/>
      </w:pBdr>
      <w:shd w:val="clear" w:color="000000" w:fill="C3C6A8"/>
      <w:spacing w:before="100" w:beforeAutospacing="1" w:after="100" w:afterAutospacing="1"/>
      <w:jc w:val="center"/>
      <w:textAlignment w:val="center"/>
    </w:pPr>
    <w:rPr>
      <w:sz w:val="20"/>
    </w:rPr>
  </w:style>
  <w:style w:type="paragraph" w:customStyle="1" w:styleId="xl242">
    <w:name w:val="xl242"/>
    <w:basedOn w:val="Normal"/>
    <w:rsid w:val="00AC43BF"/>
    <w:pPr>
      <w:pBdr>
        <w:bottom w:val="single" w:sz="4" w:space="0" w:color="auto"/>
      </w:pBdr>
      <w:shd w:val="clear" w:color="000000" w:fill="C3C6A8"/>
      <w:spacing w:before="100" w:beforeAutospacing="1" w:after="100" w:afterAutospacing="1"/>
      <w:jc w:val="center"/>
      <w:textAlignment w:val="center"/>
    </w:pPr>
    <w:rPr>
      <w:sz w:val="20"/>
    </w:rPr>
  </w:style>
  <w:style w:type="paragraph" w:customStyle="1" w:styleId="xl243">
    <w:name w:val="xl243"/>
    <w:basedOn w:val="Normal"/>
    <w:rsid w:val="00AC43BF"/>
    <w:pPr>
      <w:pBdr>
        <w:bottom w:val="single" w:sz="4" w:space="0" w:color="auto"/>
        <w:right w:val="single" w:sz="4" w:space="0" w:color="auto"/>
      </w:pBdr>
      <w:shd w:val="clear" w:color="000000" w:fill="C3C6A8"/>
      <w:spacing w:before="100" w:beforeAutospacing="1" w:after="100" w:afterAutospacing="1"/>
      <w:jc w:val="center"/>
      <w:textAlignment w:val="center"/>
    </w:pPr>
    <w:rPr>
      <w:sz w:val="20"/>
    </w:rPr>
  </w:style>
  <w:style w:type="paragraph" w:customStyle="1" w:styleId="xl244">
    <w:name w:val="xl244"/>
    <w:basedOn w:val="Normal"/>
    <w:rsid w:val="00AC43BF"/>
    <w:pPr>
      <w:pBdr>
        <w:left w:val="single" w:sz="8" w:space="0" w:color="auto"/>
        <w:bottom w:val="single" w:sz="4" w:space="0" w:color="auto"/>
      </w:pBdr>
      <w:shd w:val="clear" w:color="000000" w:fill="DA291C"/>
      <w:spacing w:before="100" w:beforeAutospacing="1" w:after="100" w:afterAutospacing="1"/>
      <w:textAlignment w:val="center"/>
    </w:pPr>
    <w:rPr>
      <w:color w:val="FFFFFF"/>
      <w:sz w:val="20"/>
    </w:rPr>
  </w:style>
  <w:style w:type="paragraph" w:customStyle="1" w:styleId="xl245">
    <w:name w:val="xl245"/>
    <w:basedOn w:val="Normal"/>
    <w:rsid w:val="00AC43BF"/>
    <w:pPr>
      <w:pBdr>
        <w:bottom w:val="single" w:sz="4" w:space="0" w:color="auto"/>
      </w:pBdr>
      <w:shd w:val="clear" w:color="000000" w:fill="DA291C"/>
      <w:spacing w:before="100" w:beforeAutospacing="1" w:after="100" w:afterAutospacing="1"/>
      <w:textAlignment w:val="center"/>
    </w:pPr>
    <w:rPr>
      <w:color w:val="FFFFFF"/>
      <w:sz w:val="20"/>
    </w:rPr>
  </w:style>
  <w:style w:type="paragraph" w:customStyle="1" w:styleId="Style1">
    <w:name w:val="Style1"/>
    <w:basedOn w:val="TableTitleAbt"/>
    <w:uiPriority w:val="33"/>
    <w:rsid w:val="00AC43BF"/>
    <w:pPr>
      <w:shd w:val="clear" w:color="DA291C" w:fill="DA291C"/>
    </w:pPr>
  </w:style>
  <w:style w:type="paragraph" w:customStyle="1" w:styleId="font7">
    <w:name w:val="font7"/>
    <w:basedOn w:val="Normal"/>
    <w:rsid w:val="00AC43BF"/>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AC43BF"/>
    <w:pPr>
      <w:spacing w:before="100" w:beforeAutospacing="1" w:after="100" w:afterAutospacing="1"/>
    </w:pPr>
    <w:rPr>
      <w:rFonts w:ascii="Tahoma" w:hAnsi="Tahoma" w:cs="Tahoma"/>
      <w:b/>
      <w:bCs/>
      <w:color w:val="000000"/>
      <w:sz w:val="18"/>
      <w:szCs w:val="18"/>
    </w:rPr>
  </w:style>
  <w:style w:type="paragraph" w:customStyle="1" w:styleId="font9">
    <w:name w:val="font9"/>
    <w:basedOn w:val="Normal"/>
    <w:rsid w:val="00AC43BF"/>
    <w:pPr>
      <w:spacing w:before="100" w:beforeAutospacing="1" w:after="100" w:afterAutospacing="1"/>
    </w:pPr>
    <w:rPr>
      <w:color w:val="FFFFFF"/>
      <w:sz w:val="20"/>
    </w:rPr>
  </w:style>
  <w:style w:type="paragraph" w:customStyle="1" w:styleId="font10">
    <w:name w:val="font10"/>
    <w:basedOn w:val="Normal"/>
    <w:rsid w:val="00AC43BF"/>
    <w:pPr>
      <w:spacing w:before="100" w:beforeAutospacing="1" w:after="100" w:afterAutospacing="1"/>
    </w:pPr>
    <w:rPr>
      <w:color w:val="FFFFFF"/>
      <w:szCs w:val="22"/>
    </w:rPr>
  </w:style>
  <w:style w:type="paragraph" w:customStyle="1" w:styleId="TableNotes">
    <w:name w:val="Table Notes"/>
    <w:basedOn w:val="TableTitle"/>
    <w:rsid w:val="00AC43BF"/>
    <w:pPr>
      <w:spacing w:before="80" w:after="40"/>
      <w:ind w:left="86" w:hanging="86"/>
    </w:pPr>
    <w:rPr>
      <w:rFonts w:ascii="Arial" w:hAnsi="Arial"/>
      <w:sz w:val="16"/>
    </w:rPr>
  </w:style>
  <w:style w:type="paragraph" w:customStyle="1" w:styleId="RTableText">
    <w:name w:val="(R) Table Text"/>
    <w:basedOn w:val="LTableText"/>
    <w:link w:val="RTableTextChar"/>
    <w:rsid w:val="00AC43BF"/>
    <w:pPr>
      <w:jc w:val="right"/>
    </w:pPr>
  </w:style>
  <w:style w:type="character" w:customStyle="1" w:styleId="RTableTextChar">
    <w:name w:val="(R) Table Text Char"/>
    <w:basedOn w:val="LTableTextChar"/>
    <w:link w:val="RTableText"/>
    <w:rsid w:val="00AC43BF"/>
    <w:rPr>
      <w:rFonts w:eastAsiaTheme="minorHAnsi"/>
      <w:bCs/>
      <w:color w:val="000000"/>
    </w:rPr>
  </w:style>
  <w:style w:type="paragraph" w:customStyle="1" w:styleId="xl116">
    <w:name w:val="xl116"/>
    <w:basedOn w:val="Normal"/>
    <w:rsid w:val="00AC43BF"/>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table" w:styleId="MediumGrid3Accent2">
    <w:name w:val="Medium Grid 3 Accent 2"/>
    <w:basedOn w:val="TableNormal"/>
    <w:uiPriority w:val="69"/>
    <w:rsid w:val="00AC43BF"/>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D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72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72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72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72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A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A90" w:themeFill="accent2" w:themeFillTint="7F"/>
      </w:tcPr>
    </w:tblStylePr>
  </w:style>
  <w:style w:type="paragraph" w:customStyle="1" w:styleId="TOCHeading0">
    <w:name w:val="TOC (Heading)"/>
    <w:basedOn w:val="Heading1"/>
    <w:rsid w:val="00AC43BF"/>
    <w:pPr>
      <w:keepNext/>
      <w:keepLines/>
      <w:pBdr>
        <w:bottom w:val="single" w:sz="18" w:space="1" w:color="48A9C5" w:themeColor="accent1"/>
      </w:pBdr>
      <w:spacing w:before="480" w:after="0"/>
    </w:pPr>
    <w:rPr>
      <w:rFonts w:asciiTheme="majorHAnsi" w:eastAsiaTheme="majorEastAsia" w:hAnsiTheme="majorHAnsi" w:cstheme="majorBidi"/>
      <w:bCs/>
      <w:color w:val="000000" w:themeColor="text1"/>
      <w:szCs w:val="28"/>
    </w:rPr>
  </w:style>
  <w:style w:type="numbering" w:customStyle="1" w:styleId="Headings">
    <w:name w:val="Headings"/>
    <w:uiPriority w:val="99"/>
    <w:rsid w:val="00AC43BF"/>
    <w:pPr>
      <w:numPr>
        <w:numId w:val="9"/>
      </w:numPr>
    </w:pPr>
  </w:style>
  <w:style w:type="paragraph" w:customStyle="1" w:styleId="CM3">
    <w:name w:val="CM3"/>
    <w:basedOn w:val="Default"/>
    <w:next w:val="Default"/>
    <w:uiPriority w:val="99"/>
    <w:rsid w:val="00AC43BF"/>
    <w:pPr>
      <w:spacing w:line="380" w:lineRule="atLeast"/>
    </w:pPr>
    <w:rPr>
      <w:rFonts w:eastAsiaTheme="minorHAnsi"/>
      <w:color w:val="auto"/>
    </w:rPr>
  </w:style>
  <w:style w:type="table" w:customStyle="1" w:styleId="GridTable1Light1">
    <w:name w:val="Grid Table 1 Light1"/>
    <w:basedOn w:val="TableNormal"/>
    <w:uiPriority w:val="46"/>
    <w:rsid w:val="00AC43BF"/>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AC43BF"/>
    <w:rPr>
      <w:rFonts w:asciiTheme="minorHAnsi" w:eastAsiaTheme="minorHAnsi" w:hAnsiTheme="minorHAnsi" w:cstheme="minorBidi"/>
      <w:sz w:val="22"/>
      <w:szCs w:val="22"/>
    </w:rPr>
    <w:tblPr>
      <w:tblStyleRowBandSize w:val="1"/>
      <w:tblStyleColBandSize w:val="1"/>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AC43BF"/>
    <w:rPr>
      <w:sz w:val="24"/>
      <w:szCs w:val="24"/>
    </w:rPr>
  </w:style>
  <w:style w:type="character" w:customStyle="1" w:styleId="normaltextrun">
    <w:name w:val="normaltextrun"/>
    <w:basedOn w:val="DefaultParagraphFont"/>
    <w:rsid w:val="00AC43BF"/>
  </w:style>
  <w:style w:type="character" w:customStyle="1" w:styleId="eop">
    <w:name w:val="eop"/>
    <w:basedOn w:val="DefaultParagraphFont"/>
    <w:rsid w:val="00AC43BF"/>
  </w:style>
  <w:style w:type="character" w:customStyle="1" w:styleId="spellingerror">
    <w:name w:val="spellingerror"/>
    <w:basedOn w:val="DefaultParagraphFont"/>
    <w:rsid w:val="00AC43BF"/>
  </w:style>
  <w:style w:type="paragraph" w:customStyle="1" w:styleId="EquationList">
    <w:name w:val="Equation List"/>
    <w:basedOn w:val="Normal"/>
    <w:rsid w:val="00AC43BF"/>
    <w:pPr>
      <w:tabs>
        <w:tab w:val="left" w:pos="720"/>
        <w:tab w:val="left" w:pos="1440"/>
      </w:tabs>
      <w:ind w:left="2160" w:hanging="1440"/>
    </w:pPr>
    <w:rPr>
      <w:rFonts w:ascii="Cambria" w:hAnsi="Cambria"/>
    </w:rPr>
  </w:style>
  <w:style w:type="paragraph" w:styleId="ListBullet4">
    <w:name w:val="List Bullet 4"/>
    <w:basedOn w:val="Normal"/>
    <w:semiHidden/>
    <w:rsid w:val="00AC43BF"/>
    <w:pPr>
      <w:tabs>
        <w:tab w:val="num" w:pos="1800"/>
      </w:tabs>
      <w:ind w:left="1800" w:hanging="360"/>
    </w:pPr>
    <w:rPr>
      <w:rFonts w:asciiTheme="minorHAnsi" w:hAnsiTheme="minorHAnsi"/>
    </w:rPr>
  </w:style>
  <w:style w:type="table" w:customStyle="1" w:styleId="GridTable4-Accent11">
    <w:name w:val="Grid Table 4 - Accent 11"/>
    <w:basedOn w:val="TableNormal"/>
    <w:uiPriority w:val="49"/>
    <w:rsid w:val="00AC43BF"/>
    <w:rPr>
      <w:rFonts w:asciiTheme="minorHAnsi" w:eastAsiaTheme="minorHAnsi" w:hAnsiTheme="minorHAnsi" w:cstheme="minorBidi"/>
      <w:sz w:val="22"/>
      <w:szCs w:val="22"/>
    </w:rPr>
    <w:tblPr>
      <w:tblStyleRowBandSize w:val="1"/>
      <w:tblStyleColBandSize w:val="1"/>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paragraph" w:customStyle="1" w:styleId="Memorandum">
    <w:name w:val="Memorandum"/>
    <w:basedOn w:val="Normal"/>
    <w:qFormat/>
    <w:rsid w:val="00D45E63"/>
    <w:pPr>
      <w:spacing w:after="0" w:line="264" w:lineRule="auto"/>
    </w:pPr>
    <w:rPr>
      <w:i/>
      <w:sz w:val="100"/>
    </w:rPr>
  </w:style>
  <w:style w:type="paragraph" w:customStyle="1" w:styleId="Department">
    <w:name w:val="Department"/>
    <w:basedOn w:val="Normal"/>
    <w:rsid w:val="00D45E63"/>
    <w:pPr>
      <w:spacing w:after="0" w:line="264" w:lineRule="auto"/>
    </w:pPr>
    <w:rPr>
      <w:b/>
      <w:sz w:val="30"/>
    </w:rPr>
  </w:style>
  <w:style w:type="paragraph" w:customStyle="1" w:styleId="MemoDateToFromSubject">
    <w:name w:val="Memo Date To From Subject"/>
    <w:basedOn w:val="Normal"/>
    <w:qFormat/>
    <w:rsid w:val="00D45E63"/>
    <w:pPr>
      <w:spacing w:after="0" w:line="264" w:lineRule="auto"/>
    </w:pPr>
    <w:rPr>
      <w:rFonts w:ascii="Arial" w:hAnsi="Arial"/>
      <w:b/>
    </w:rPr>
  </w:style>
  <w:style w:type="paragraph" w:customStyle="1" w:styleId="Bullets2">
    <w:name w:val="Bullets2"/>
    <w:basedOn w:val="Normal"/>
    <w:rsid w:val="00581A08"/>
    <w:pPr>
      <w:numPr>
        <w:numId w:val="20"/>
      </w:numPr>
      <w:spacing w:after="120"/>
    </w:pPr>
  </w:style>
  <w:style w:type="character" w:customStyle="1" w:styleId="BulletsLastChar">
    <w:name w:val="BulletsLast Char"/>
    <w:basedOn w:val="bulletsChar"/>
    <w:link w:val="BulletsLast"/>
    <w:rsid w:val="000343C9"/>
    <w:rPr>
      <w:rFonts w:eastAsia="PMingLiU"/>
      <w:sz w:val="24"/>
      <w:szCs w:val="24"/>
      <w:lang w:val="en"/>
    </w:rPr>
  </w:style>
  <w:style w:type="character" w:styleId="UnresolvedMention">
    <w:name w:val="Unresolved Mention"/>
    <w:basedOn w:val="DefaultParagraphFont"/>
    <w:uiPriority w:val="99"/>
    <w:unhideWhenUsed/>
    <w:rsid w:val="00ED15A6"/>
    <w:rPr>
      <w:color w:val="605E5C"/>
      <w:shd w:val="clear" w:color="auto" w:fill="E1DFDD"/>
    </w:rPr>
  </w:style>
  <w:style w:type="character" w:styleId="Mention">
    <w:name w:val="Mention"/>
    <w:basedOn w:val="DefaultParagraphFont"/>
    <w:uiPriority w:val="99"/>
    <w:unhideWhenUsed/>
    <w:rsid w:val="00E24489"/>
    <w:rPr>
      <w:color w:val="2B579A"/>
      <w:shd w:val="clear" w:color="auto" w:fill="E1DFDD"/>
    </w:rPr>
  </w:style>
  <w:style w:type="character" w:customStyle="1" w:styleId="cf01">
    <w:name w:val="cf01"/>
    <w:basedOn w:val="DefaultParagraphFont"/>
    <w:rsid w:val="003A7669"/>
    <w:rPr>
      <w:rFonts w:ascii="Segoe UI" w:hAnsi="Segoe UI" w:cs="Segoe UI" w:hint="default"/>
      <w:sz w:val="18"/>
      <w:szCs w:val="18"/>
    </w:rPr>
  </w:style>
  <w:style w:type="paragraph" w:customStyle="1" w:styleId="TableHeader">
    <w:name w:val="Table Header"/>
    <w:basedOn w:val="BodyText"/>
    <w:qFormat/>
    <w:rsid w:val="003A7669"/>
    <w:pPr>
      <w:spacing w:after="0"/>
      <w:jc w:val="center"/>
    </w:pPr>
    <w:rPr>
      <w:rFonts w:ascii="Arial Narrow" w:hAnsi="Arial Narrow"/>
      <w:color w:val="FFFFFF" w:themeColor="background1"/>
      <w:sz w:val="20"/>
    </w:rPr>
  </w:style>
  <w:style w:type="paragraph" w:customStyle="1" w:styleId="TableBody">
    <w:name w:val="Table Body"/>
    <w:basedOn w:val="BodyText"/>
    <w:qFormat/>
    <w:rsid w:val="003A7669"/>
    <w:pPr>
      <w:spacing w:after="0"/>
    </w:pPr>
    <w:rPr>
      <w:rFonts w:ascii="Arial Narrow" w:hAnsi="Arial Narrow"/>
      <w:sz w:val="20"/>
    </w:rPr>
  </w:style>
  <w:style w:type="character" w:customStyle="1" w:styleId="findhit">
    <w:name w:val="findhit"/>
    <w:basedOn w:val="DefaultParagraphFont"/>
    <w:rsid w:val="003A7669"/>
  </w:style>
  <w:style w:type="paragraph" w:customStyle="1" w:styleId="BTBodyTextRAD">
    <w:name w:val="BT Body Text RAD"/>
    <w:basedOn w:val="Normal"/>
    <w:link w:val="BTBodyTextRADChar"/>
    <w:rsid w:val="003A7669"/>
    <w:pPr>
      <w:spacing w:after="120"/>
    </w:pPr>
  </w:style>
  <w:style w:type="character" w:customStyle="1" w:styleId="BTBodyTextRADChar">
    <w:name w:val="BT Body Text RAD Char"/>
    <w:basedOn w:val="DefaultParagraphFont"/>
    <w:link w:val="BTBodyTextRAD"/>
    <w:rsid w:val="003A7669"/>
    <w:rPr>
      <w:rFonts w:asciiTheme="minorHAnsi" w:eastAsiaTheme="minorHAnsi" w:hAnsiTheme="minorHAnsi" w:cstheme="minorBidi"/>
      <w:sz w:val="22"/>
      <w:szCs w:val="22"/>
    </w:rPr>
  </w:style>
  <w:style w:type="paragraph" w:customStyle="1" w:styleId="xl96">
    <w:name w:val="xl96"/>
    <w:basedOn w:val="Normal"/>
    <w:rsid w:val="00AC43B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97">
    <w:name w:val="xl97"/>
    <w:basedOn w:val="Normal"/>
    <w:rsid w:val="00AC43BF"/>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98">
    <w:name w:val="xl98"/>
    <w:basedOn w:val="Normal"/>
    <w:rsid w:val="00AC43B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99">
    <w:name w:val="xl99"/>
    <w:basedOn w:val="Normal"/>
    <w:rsid w:val="00AC43BF"/>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w:hAnsi="Times"/>
      <w:color w:val="000000"/>
      <w:sz w:val="18"/>
      <w:szCs w:val="18"/>
    </w:rPr>
  </w:style>
  <w:style w:type="paragraph" w:customStyle="1" w:styleId="xl100">
    <w:name w:val="xl100"/>
    <w:basedOn w:val="Normal"/>
    <w:rsid w:val="00AC43BF"/>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w:hAnsi="Times"/>
      <w:color w:val="000000"/>
      <w:sz w:val="18"/>
      <w:szCs w:val="18"/>
    </w:rPr>
  </w:style>
  <w:style w:type="paragraph" w:customStyle="1" w:styleId="xl101">
    <w:name w:val="xl101"/>
    <w:basedOn w:val="Normal"/>
    <w:rsid w:val="00AC43BF"/>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w:hAnsi="Times"/>
      <w:sz w:val="18"/>
      <w:szCs w:val="18"/>
    </w:rPr>
  </w:style>
  <w:style w:type="paragraph" w:customStyle="1" w:styleId="xl102">
    <w:name w:val="xl102"/>
    <w:basedOn w:val="Normal"/>
    <w:rsid w:val="00AC43BF"/>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w:hAnsi="Times"/>
      <w:color w:val="000000"/>
      <w:sz w:val="18"/>
      <w:szCs w:val="18"/>
    </w:rPr>
  </w:style>
  <w:style w:type="paragraph" w:customStyle="1" w:styleId="xl103">
    <w:name w:val="xl103"/>
    <w:basedOn w:val="Normal"/>
    <w:rsid w:val="00AC43BF"/>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w:hAnsi="Times"/>
      <w:sz w:val="18"/>
      <w:szCs w:val="18"/>
    </w:rPr>
  </w:style>
  <w:style w:type="paragraph" w:customStyle="1" w:styleId="xl104">
    <w:name w:val="xl104"/>
    <w:basedOn w:val="Normal"/>
    <w:rsid w:val="00AC43BF"/>
    <w:pPr>
      <w:pBdr>
        <w:top w:val="single" w:sz="4" w:space="0" w:color="auto"/>
        <w:left w:val="single" w:sz="4"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05">
    <w:name w:val="xl105"/>
    <w:basedOn w:val="Normal"/>
    <w:rsid w:val="00AC43BF"/>
    <w:pPr>
      <w:pBdr>
        <w:left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06">
    <w:name w:val="xl106"/>
    <w:basedOn w:val="Normal"/>
    <w:rsid w:val="00AC43BF"/>
    <w:pPr>
      <w:pBdr>
        <w:left w:val="single" w:sz="8"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FooterAbt">
    <w:name w:val="Footer Abt"/>
    <w:link w:val="FooterAbtChar"/>
    <w:uiPriority w:val="33"/>
    <w:rsid w:val="0065055C"/>
    <w:rPr>
      <w:rFonts w:ascii="Arial" w:eastAsia="Arial" w:hAnsi="Arial"/>
      <w:color w:val="595959" w:themeColor="text1" w:themeTint="A6"/>
      <w:sz w:val="18"/>
    </w:rPr>
  </w:style>
  <w:style w:type="paragraph" w:customStyle="1" w:styleId="HeaderAbt">
    <w:name w:val="Header Abt"/>
    <w:link w:val="HeaderAbtChar"/>
    <w:uiPriority w:val="33"/>
    <w:rsid w:val="0065055C"/>
    <w:rPr>
      <w:rFonts w:ascii="Arial" w:hAnsi="Arial"/>
      <w:b/>
      <w:color w:val="595959" w:themeColor="text1" w:themeTint="A6"/>
      <w:sz w:val="18"/>
    </w:rPr>
  </w:style>
  <w:style w:type="character" w:customStyle="1" w:styleId="FooterAbtChar">
    <w:name w:val="Footer Abt Char"/>
    <w:basedOn w:val="FooterChar"/>
    <w:link w:val="FooterAbt"/>
    <w:uiPriority w:val="33"/>
    <w:rsid w:val="00AC43BF"/>
    <w:rPr>
      <w:rFonts w:ascii="Arial" w:eastAsia="Arial" w:hAnsi="Arial" w:cs="Arial"/>
      <w:b w:val="0"/>
      <w:color w:val="595959" w:themeColor="text1" w:themeTint="A6"/>
      <w:sz w:val="18"/>
    </w:rPr>
  </w:style>
  <w:style w:type="character" w:customStyle="1" w:styleId="HeaderAbtChar">
    <w:name w:val="Header Abt Char"/>
    <w:basedOn w:val="FooterChar"/>
    <w:link w:val="HeaderAbt"/>
    <w:uiPriority w:val="33"/>
    <w:rsid w:val="00AC43BF"/>
    <w:rPr>
      <w:rFonts w:ascii="Arial" w:hAnsi="Arial" w:cs="Arial"/>
      <w:b/>
      <w:color w:val="595959" w:themeColor="text1" w:themeTint="A6"/>
      <w:sz w:val="18"/>
    </w:rPr>
  </w:style>
  <w:style w:type="paragraph" w:customStyle="1" w:styleId="FootnoteAbt">
    <w:name w:val="Footnote Abt"/>
    <w:link w:val="FootnoteAbtChar"/>
    <w:uiPriority w:val="33"/>
    <w:qFormat/>
    <w:rsid w:val="0065055C"/>
    <w:pPr>
      <w:tabs>
        <w:tab w:val="left" w:pos="144"/>
      </w:tabs>
      <w:spacing w:after="80"/>
      <w:ind w:left="115" w:hanging="115"/>
    </w:pPr>
    <w:rPr>
      <w:sz w:val="18"/>
    </w:rPr>
  </w:style>
  <w:style w:type="character" w:customStyle="1" w:styleId="FootnoteAbtChar">
    <w:name w:val="Footnote Abt Char"/>
    <w:basedOn w:val="DefaultParagraphFont"/>
    <w:link w:val="FootnoteAbt"/>
    <w:uiPriority w:val="33"/>
    <w:rsid w:val="00AC43BF"/>
    <w:rPr>
      <w:sz w:val="18"/>
    </w:rPr>
  </w:style>
  <w:style w:type="paragraph" w:customStyle="1" w:styleId="AppenHead1">
    <w:name w:val="Appen. Head. 1"/>
    <w:basedOn w:val="Heading2"/>
    <w:next w:val="BodyText"/>
    <w:link w:val="AppenHead1Char"/>
    <w:uiPriority w:val="33"/>
    <w:qFormat/>
    <w:rsid w:val="0065055C"/>
    <w:pPr>
      <w:numPr>
        <w:numId w:val="10"/>
      </w:numPr>
    </w:pPr>
    <w:rPr>
      <w:rFonts w:ascii="minorBidi" w:eastAsia="MS Mincho" w:hAnsi="minorBidi" w:cs="minorBidi"/>
      <w:noProof/>
      <w:spacing w:val="20"/>
      <w:kern w:val="28"/>
    </w:rPr>
  </w:style>
  <w:style w:type="character" w:customStyle="1" w:styleId="AppenHead1Char">
    <w:name w:val="Appen. Head. 1 Char"/>
    <w:basedOn w:val="Heading1Char"/>
    <w:link w:val="AppenHead1"/>
    <w:uiPriority w:val="33"/>
    <w:rsid w:val="00AC43BF"/>
    <w:rPr>
      <w:rFonts w:ascii="minorBidi" w:eastAsia="MS Mincho" w:hAnsi="minorBidi" w:cs="minorBidi"/>
      <w:b/>
      <w:bCs/>
      <w:i/>
      <w:iCs/>
      <w:noProof/>
      <w:color w:val="4A1222"/>
      <w:spacing w:val="20"/>
      <w:kern w:val="28"/>
      <w:sz w:val="24"/>
      <w:szCs w:val="28"/>
    </w:rPr>
  </w:style>
  <w:style w:type="character" w:customStyle="1" w:styleId="font131">
    <w:name w:val="font131"/>
    <w:basedOn w:val="DefaultParagraphFont"/>
    <w:rsid w:val="00831305"/>
    <w:rPr>
      <w:rFonts w:ascii="Times New Roman" w:hAnsi="Times New Roman" w:cs="Times New Roman" w:hint="default"/>
      <w:b w:val="0"/>
      <w:bCs w:val="0"/>
      <w:i w:val="0"/>
      <w:iCs w:val="0"/>
      <w:strike w:val="0"/>
      <w:dstrike w:val="0"/>
      <w:color w:val="000000"/>
      <w:sz w:val="16"/>
      <w:szCs w:val="16"/>
      <w:u w:val="none"/>
      <w:effect w:val="none"/>
    </w:rPr>
  </w:style>
  <w:style w:type="paragraph" w:customStyle="1" w:styleId="msonormal">
    <w:name w:val="msonormal"/>
    <w:basedOn w:val="Normal"/>
    <w:rsid w:val="001311DE"/>
    <w:pPr>
      <w:spacing w:before="100" w:beforeAutospacing="1" w:after="100" w:afterAutospacing="1"/>
    </w:pPr>
    <w:rPr>
      <w:sz w:val="24"/>
      <w:szCs w:val="24"/>
    </w:rPr>
  </w:style>
  <w:style w:type="paragraph" w:customStyle="1" w:styleId="font13">
    <w:name w:val="font13"/>
    <w:basedOn w:val="Normal"/>
    <w:rsid w:val="001311DE"/>
    <w:pPr>
      <w:spacing w:before="100" w:beforeAutospacing="1" w:after="100" w:afterAutospacing="1"/>
    </w:pPr>
    <w:rPr>
      <w:color w:val="000000"/>
      <w:sz w:val="16"/>
      <w:szCs w:val="16"/>
    </w:rPr>
  </w:style>
  <w:style w:type="character" w:customStyle="1" w:styleId="font371">
    <w:name w:val="font371"/>
    <w:basedOn w:val="DefaultParagraphFont"/>
    <w:rsid w:val="002D53E5"/>
    <w:rPr>
      <w:rFonts w:ascii="Arial Narrow" w:hAnsi="Arial Narrow" w:hint="default"/>
      <w:b w:val="0"/>
      <w:bCs w:val="0"/>
      <w:i w:val="0"/>
      <w:iCs w:val="0"/>
      <w:strike w:val="0"/>
      <w:dstrike w:val="0"/>
      <w:color w:val="000000"/>
      <w:sz w:val="20"/>
      <w:szCs w:val="20"/>
      <w:u w:val="none"/>
      <w:effect w:val="none"/>
    </w:rPr>
  </w:style>
  <w:style w:type="character" w:customStyle="1" w:styleId="base">
    <w:name w:val="base"/>
    <w:basedOn w:val="DefaultParagraphFont"/>
    <w:rsid w:val="00F42DD2"/>
  </w:style>
  <w:style w:type="table" w:styleId="GridTable4Accent1">
    <w:name w:val="Grid Table 4 Accent 1"/>
    <w:basedOn w:val="TableNormal"/>
    <w:uiPriority w:val="49"/>
    <w:rsid w:val="00F42DD2"/>
    <w:tblPr>
      <w:tblStyleRowBandSize w:val="1"/>
      <w:tblStyleColBandSize w:val="1"/>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character" w:customStyle="1" w:styleId="UnresolvedMention1">
    <w:name w:val="Unresolved Mention1"/>
    <w:basedOn w:val="DefaultParagraphFont"/>
    <w:uiPriority w:val="99"/>
    <w:semiHidden/>
    <w:unhideWhenUsed/>
    <w:rsid w:val="00F42DD2"/>
    <w:rPr>
      <w:color w:val="605E5C"/>
      <w:shd w:val="clear" w:color="auto" w:fill="E1DFDD"/>
    </w:rPr>
  </w:style>
  <w:style w:type="character" w:customStyle="1" w:styleId="xn-location">
    <w:name w:val="xn-location"/>
    <w:basedOn w:val="DefaultParagraphFont"/>
    <w:rsid w:val="00F42DD2"/>
  </w:style>
  <w:style w:type="character" w:customStyle="1" w:styleId="keyword">
    <w:name w:val="keyword"/>
    <w:basedOn w:val="DefaultParagraphFont"/>
    <w:rsid w:val="00F42DD2"/>
  </w:style>
  <w:style w:type="character" w:customStyle="1" w:styleId="UnresolvedMention2">
    <w:name w:val="Unresolved Mention2"/>
    <w:basedOn w:val="DefaultParagraphFont"/>
    <w:uiPriority w:val="99"/>
    <w:semiHidden/>
    <w:unhideWhenUsed/>
    <w:rsid w:val="00F42DD2"/>
    <w:rPr>
      <w:color w:val="605E5C"/>
      <w:shd w:val="clear" w:color="auto" w:fill="E1DFDD"/>
    </w:rPr>
  </w:style>
  <w:style w:type="character" w:customStyle="1" w:styleId="UnresolvedMention20">
    <w:name w:val="Unresolved Mention20"/>
    <w:basedOn w:val="DefaultParagraphFont"/>
    <w:uiPriority w:val="99"/>
    <w:semiHidden/>
    <w:unhideWhenUsed/>
    <w:rsid w:val="00F42DD2"/>
    <w:rPr>
      <w:color w:val="605E5C"/>
      <w:shd w:val="clear" w:color="auto" w:fill="E1DFDD"/>
    </w:rPr>
  </w:style>
  <w:style w:type="character" w:customStyle="1" w:styleId="UnresolvedMention3">
    <w:name w:val="Unresolved Mention3"/>
    <w:basedOn w:val="DefaultParagraphFont"/>
    <w:uiPriority w:val="99"/>
    <w:semiHidden/>
    <w:unhideWhenUsed/>
    <w:rsid w:val="00F42DD2"/>
    <w:rPr>
      <w:color w:val="605E5C"/>
      <w:shd w:val="clear" w:color="auto" w:fill="E1DFDD"/>
    </w:rPr>
  </w:style>
  <w:style w:type="character" w:customStyle="1" w:styleId="UnresolvedMention4">
    <w:name w:val="Unresolved Mention4"/>
    <w:basedOn w:val="DefaultParagraphFont"/>
    <w:uiPriority w:val="99"/>
    <w:semiHidden/>
    <w:unhideWhenUsed/>
    <w:rsid w:val="00F42DD2"/>
    <w:rPr>
      <w:color w:val="605E5C"/>
      <w:shd w:val="clear" w:color="auto" w:fill="E1DFDD"/>
    </w:rPr>
  </w:style>
  <w:style w:type="character" w:customStyle="1" w:styleId="IEcNormalTextChar">
    <w:name w:val="IEc Normal Text Char"/>
    <w:basedOn w:val="DefaultParagraphFont"/>
    <w:link w:val="IEcNormalText"/>
    <w:locked/>
    <w:rsid w:val="00B35BDD"/>
    <w:rPr>
      <w:rFonts w:asciiTheme="minorHAnsi" w:eastAsiaTheme="minorHAnsi" w:hAnsiTheme="minorHAnsi" w:cstheme="minorBidi"/>
      <w:kern w:val="2"/>
      <w:sz w:val="22"/>
      <w:szCs w:val="22"/>
      <w14:ligatures w14:val="standardContextual"/>
    </w:rPr>
  </w:style>
  <w:style w:type="paragraph" w:customStyle="1" w:styleId="IEcNormalText">
    <w:name w:val="IEc Normal Text"/>
    <w:basedOn w:val="Normal"/>
    <w:link w:val="IEcNormalTextChar"/>
    <w:rsid w:val="0065055C"/>
    <w:pPr>
      <w:spacing w:after="120" w:line="290" w:lineRule="exact"/>
    </w:pPr>
    <w:rPr>
      <w:rFonts w:asciiTheme="minorHAnsi" w:eastAsiaTheme="minorHAnsi" w:hAnsiTheme="minorHAnsi" w:cstheme="minorBidi"/>
      <w:kern w:val="2"/>
      <w:szCs w:val="22"/>
      <w14:ligatures w14:val="standardContextual"/>
    </w:rPr>
  </w:style>
  <w:style w:type="character" w:customStyle="1" w:styleId="TableTextCenteredChar">
    <w:name w:val="Table Text Centered Char"/>
    <w:basedOn w:val="TableTextChar"/>
    <w:link w:val="TableTextCentered"/>
    <w:rsid w:val="00E24B75"/>
    <w:rPr>
      <w:rFonts w:ascii="Arial Narrow" w:hAnsi="Arial Narrow"/>
    </w:rPr>
  </w:style>
  <w:style w:type="paragraph" w:customStyle="1" w:styleId="SNURHeadingLevel1">
    <w:name w:val="SNUR Heading Level 1"/>
    <w:basedOn w:val="Normal"/>
    <w:qFormat/>
    <w:rsid w:val="00E24B75"/>
    <w:pPr>
      <w:numPr>
        <w:numId w:val="14"/>
      </w:numPr>
      <w:spacing w:before="540" w:after="200" w:line="276" w:lineRule="auto"/>
      <w:jc w:val="center"/>
    </w:pPr>
    <w:rPr>
      <w:rFonts w:ascii="Arial" w:hAnsi="Arial" w:eastAsiaTheme="minorHAnsi" w:cs="Arial"/>
      <w:b/>
      <w:color w:val="1F497D"/>
      <w:sz w:val="28"/>
      <w:szCs w:val="28"/>
    </w:rPr>
  </w:style>
  <w:style w:type="paragraph" w:customStyle="1" w:styleId="SNURHeadingLevel2">
    <w:name w:val="SNUR Heading Level 2"/>
    <w:basedOn w:val="SNURHeadingLevel1"/>
    <w:autoRedefine/>
    <w:qFormat/>
    <w:rsid w:val="00E24B75"/>
    <w:pPr>
      <w:numPr>
        <w:ilvl w:val="1"/>
      </w:numPr>
      <w:spacing w:before="240" w:after="240"/>
      <w:jc w:val="left"/>
    </w:pPr>
    <w:rPr>
      <w:sz w:val="24"/>
      <w:szCs w:val="24"/>
    </w:rPr>
  </w:style>
  <w:style w:type="paragraph" w:customStyle="1" w:styleId="SNURHeadingLevel30">
    <w:name w:val="SNUR Heading Level 3.0"/>
    <w:basedOn w:val="SNURHeadingLevel1"/>
    <w:qFormat/>
    <w:rsid w:val="00E24B75"/>
    <w:pPr>
      <w:numPr>
        <w:ilvl w:val="2"/>
      </w:numPr>
      <w:spacing w:before="0" w:after="240"/>
      <w:jc w:val="left"/>
    </w:pPr>
    <w:rPr>
      <w:sz w:val="20"/>
      <w:szCs w:val="20"/>
    </w:rPr>
  </w:style>
  <w:style w:type="paragraph" w:customStyle="1" w:styleId="TableNote0">
    <w:name w:val="Table Note"/>
    <w:basedOn w:val="ExhibitText"/>
    <w:link w:val="TableNoteChar"/>
    <w:qFormat/>
    <w:rsid w:val="00276436"/>
    <w:pPr>
      <w:keepLines w:val="0"/>
      <w:spacing w:before="0" w:after="0"/>
    </w:pPr>
    <w:rPr>
      <w:szCs w:val="18"/>
    </w:rPr>
  </w:style>
  <w:style w:type="character" w:customStyle="1" w:styleId="ExhibitTextChar">
    <w:name w:val="Exhibit Text Char"/>
    <w:basedOn w:val="TableTextChar"/>
    <w:link w:val="ExhibitText"/>
    <w:rsid w:val="00E24B75"/>
    <w:rPr>
      <w:rFonts w:ascii="Arial Narrow" w:hAnsi="Arial Narrow"/>
      <w:bCs/>
      <w:color w:val="000000"/>
      <w:sz w:val="18"/>
    </w:rPr>
  </w:style>
  <w:style w:type="character" w:customStyle="1" w:styleId="TableNoteChar">
    <w:name w:val="Table Note Char"/>
    <w:basedOn w:val="ExhibitTextChar"/>
    <w:link w:val="TableNote0"/>
    <w:rsid w:val="00276436"/>
    <w:rPr>
      <w:rFonts w:ascii="Arial Narrow" w:hAnsi="Arial Narrow" w:eastAsiaTheme="minorHAnsi"/>
      <w:bCs/>
      <w:color w:val="000000"/>
      <w:sz w:val="18"/>
      <w:szCs w:val="18"/>
    </w:rPr>
  </w:style>
  <w:style w:type="paragraph" w:customStyle="1" w:styleId="TableTitleA">
    <w:name w:val="TableTitleA"/>
    <w:basedOn w:val="TableTitle"/>
    <w:link w:val="TableTitleAChar"/>
    <w:qFormat/>
    <w:rsid w:val="00026204"/>
    <w:pPr>
      <w:keepLines w:val="0"/>
      <w:spacing w:after="20"/>
    </w:pPr>
    <w:rPr>
      <w:sz w:val="22"/>
      <w:szCs w:val="22"/>
    </w:rPr>
  </w:style>
  <w:style w:type="character" w:customStyle="1" w:styleId="TableTitleAChar">
    <w:name w:val="TableTitleA Char"/>
    <w:basedOn w:val="TableTitleChar"/>
    <w:link w:val="TableTitleA"/>
    <w:rsid w:val="00026204"/>
    <w:rPr>
      <w:rFonts w:ascii="Arial Bold" w:hAnsi="Arial Bold"/>
      <w:sz w:val="22"/>
      <w:szCs w:val="22"/>
    </w:rPr>
  </w:style>
  <w:style w:type="paragraph" w:customStyle="1" w:styleId="check">
    <w:name w:val="check"/>
    <w:rsid w:val="0065055C"/>
    <w:pPr>
      <w:keepNext/>
      <w:keepLines/>
      <w:jc w:val="center"/>
    </w:pPr>
    <w:rPr>
      <w:rFonts w:ascii="Wingdings 2" w:eastAsia="Wingdings 2" w:hAnsi="Wingdings 2" w:cs="Wingdings 2"/>
      <w:sz w:val="22"/>
    </w:rPr>
  </w:style>
  <w:style w:type="paragraph" w:customStyle="1" w:styleId="AbtReportTitle">
    <w:name w:val="AbtReportTitle"/>
    <w:basedOn w:val="Normal"/>
    <w:link w:val="AbtReportTitleChar"/>
    <w:rsid w:val="00503B52"/>
    <w:pPr>
      <w:jc w:val="center"/>
    </w:pPr>
    <w:rPr>
      <w:rFonts w:ascii="Arial" w:hAnsi="Arial" w:cs="Arial"/>
      <w:b/>
      <w:bCs/>
      <w:color w:val="FFFFFF" w:themeColor="background1"/>
      <w:sz w:val="56"/>
      <w:szCs w:val="56"/>
    </w:rPr>
  </w:style>
  <w:style w:type="character" w:customStyle="1" w:styleId="AbtReportTitleChar">
    <w:name w:val="AbtReportTitle Char"/>
    <w:basedOn w:val="DefaultParagraphFont"/>
    <w:link w:val="AbtReportTitle"/>
    <w:rsid w:val="00503B52"/>
    <w:rPr>
      <w:rFonts w:ascii="Arial" w:hAnsi="Arial" w:cs="Arial"/>
      <w:b/>
      <w:bCs/>
      <w:color w:val="FFFFFF" w:themeColor="background1"/>
      <w:sz w:val="56"/>
      <w:szCs w:val="56"/>
    </w:rPr>
  </w:style>
  <w:style w:type="paragraph" w:customStyle="1" w:styleId="pf0">
    <w:name w:val="pf0"/>
    <w:basedOn w:val="Normal"/>
    <w:rsid w:val="00503B52"/>
    <w:pPr>
      <w:spacing w:before="100" w:beforeAutospacing="1" w:after="100" w:afterAutospacing="1"/>
    </w:pPr>
    <w:rPr>
      <w:sz w:val="24"/>
      <w:szCs w:val="24"/>
    </w:rPr>
  </w:style>
  <w:style w:type="character" w:customStyle="1" w:styleId="caps">
    <w:name w:val="caps"/>
    <w:basedOn w:val="DefaultParagraphFont"/>
    <w:rsid w:val="00503B52"/>
  </w:style>
  <w:style w:type="paragraph" w:customStyle="1" w:styleId="Body">
    <w:name w:val="Body"/>
    <w:rsid w:val="0065055C"/>
    <w:pPr>
      <w:widowControl w:val="0"/>
    </w:pPr>
    <w:rPr>
      <w:rFonts w:eastAsia="Arial Unicode MS" w:cs="Arial Unicode MS"/>
      <w:color w:val="000000"/>
      <w:sz w:val="24"/>
      <w:szCs w:val="24"/>
      <w:u w:color="000000"/>
      <w:lang w:val="de-DE"/>
    </w:rPr>
  </w:style>
  <w:style w:type="character" w:customStyle="1" w:styleId="markedcontent">
    <w:name w:val="markedcontent"/>
    <w:basedOn w:val="DefaultParagraphFont"/>
    <w:rsid w:val="00DA4E7F"/>
  </w:style>
  <w:style w:type="character" w:customStyle="1" w:styleId="ui-provider">
    <w:name w:val="ui-provider"/>
    <w:basedOn w:val="DefaultParagraphFont"/>
    <w:rsid w:val="00276687"/>
  </w:style>
  <w:style w:type="character" w:customStyle="1" w:styleId="contentpasted0">
    <w:name w:val="contentpasted0"/>
    <w:basedOn w:val="DefaultParagraphFont"/>
    <w:rsid w:val="004934DE"/>
  </w:style>
  <w:style w:type="paragraph" w:customStyle="1" w:styleId="contentpasted4">
    <w:name w:val="contentpasted4"/>
    <w:basedOn w:val="Normal"/>
    <w:rsid w:val="004934DE"/>
    <w:pPr>
      <w:spacing w:before="100" w:beforeAutospacing="1" w:after="100" w:afterAutospacing="1"/>
    </w:pPr>
    <w:rPr>
      <w:rFonts w:ascii="Calibri" w:hAnsi="Calibri" w:eastAsiaTheme="minorHAnsi" w:cs="Calibri"/>
      <w:szCs w:val="22"/>
    </w:rPr>
  </w:style>
  <w:style w:type="paragraph" w:customStyle="1" w:styleId="Acronym">
    <w:name w:val="Acronym"/>
    <w:basedOn w:val="Normal"/>
    <w:rsid w:val="004934DE"/>
    <w:pPr>
      <w:spacing w:after="40"/>
      <w:ind w:left="1440" w:hanging="1440"/>
    </w:pPr>
    <w:rPr>
      <w:rFonts w:eastAsiaTheme="minorEastAsia"/>
      <w:noProof/>
    </w:rPr>
  </w:style>
  <w:style w:type="paragraph" w:customStyle="1" w:styleId="H1NEW">
    <w:name w:val="H1NEW"/>
    <w:basedOn w:val="Heading1"/>
    <w:next w:val="BodyText"/>
    <w:rsid w:val="004934DE"/>
    <w:pPr>
      <w:numPr>
        <w:numId w:val="0"/>
      </w:numPr>
      <w:tabs>
        <w:tab w:val="num" w:pos="432"/>
      </w:tabs>
      <w:ind w:left="864" w:hanging="864"/>
    </w:pPr>
    <w:rPr>
      <w:rFonts w:ascii="Arial Bold" w:hAnsi="Arial Bold"/>
      <w:color w:val="DA291C"/>
      <w:kern w:val="2"/>
      <w14:ligatures w14:val="standardContextual"/>
    </w:rPr>
  </w:style>
  <w:style w:type="paragraph" w:customStyle="1" w:styleId="H2NEW">
    <w:name w:val="H2NEW"/>
    <w:basedOn w:val="Heading2"/>
    <w:next w:val="BodyText"/>
    <w:rsid w:val="004934DE"/>
    <w:pPr>
      <w:numPr>
        <w:numId w:val="18"/>
      </w:numPr>
      <w:tabs>
        <w:tab w:val="num" w:pos="2160"/>
      </w:tabs>
    </w:pPr>
    <w:rPr>
      <w:kern w:val="2"/>
      <w14:ligatures w14:val="standardContextual"/>
    </w:rPr>
  </w:style>
  <w:style w:type="paragraph" w:customStyle="1" w:styleId="H3NEW">
    <w:name w:val="H3NEW"/>
    <w:basedOn w:val="Heading3"/>
    <w:next w:val="BodyText"/>
    <w:rsid w:val="004934DE"/>
    <w:pPr>
      <w:numPr>
        <w:ilvl w:val="0"/>
        <w:numId w:val="0"/>
      </w:numPr>
      <w:tabs>
        <w:tab w:val="num" w:pos="720"/>
      </w:tabs>
      <w:ind w:left="810"/>
    </w:pPr>
    <w:rPr>
      <w:rFonts w:ascii="Arial Bold" w:hAnsi="Arial Bold"/>
      <w:color w:val="000000" w:themeColor="text1"/>
      <w:sz w:val="20"/>
      <w:szCs w:val="20"/>
      <w14:scene3d>
        <w14:camera w14:prst="orthographicFront"/>
        <w14:lightRig w14:rig="threePt" w14:dir="t">
          <w14:rot w14:lat="0" w14:lon="0" w14:rev="0"/>
        </w14:lightRig>
      </w14:scene3d>
    </w:rPr>
  </w:style>
  <w:style w:type="paragraph" w:customStyle="1" w:styleId="H4NEW">
    <w:name w:val="H4NEW"/>
    <w:basedOn w:val="Heading4"/>
    <w:next w:val="BodyText"/>
    <w:rsid w:val="004934DE"/>
    <w:pPr>
      <w:keepLines/>
      <w:numPr>
        <w:ilvl w:val="0"/>
        <w:numId w:val="0"/>
      </w:numPr>
      <w:tabs>
        <w:tab w:val="num" w:pos="936"/>
      </w:tabs>
      <w:ind w:left="936" w:hanging="936"/>
    </w:pPr>
    <w:rPr>
      <w:iCs/>
      <w:color w:val="DA291C"/>
      <w:kern w:val="2"/>
      <w:sz w:val="18"/>
      <w14:ligatures w14:val="standardContextual"/>
    </w:rPr>
  </w:style>
  <w:style w:type="paragraph" w:customStyle="1" w:styleId="H7APPENDIX">
    <w:name w:val="H7APPENDIX"/>
    <w:basedOn w:val="Heading7"/>
    <w:rsid w:val="004934DE"/>
    <w:rPr>
      <w:kern w:val="2"/>
      <w14:ligatures w14:val="standardContextual"/>
    </w:rPr>
  </w:style>
  <w:style w:type="paragraph" w:customStyle="1" w:styleId="List12Bullet">
    <w:name w:val="List 12 Bullet"/>
    <w:basedOn w:val="Normal"/>
    <w:rsid w:val="004934DE"/>
    <w:pPr>
      <w:spacing w:after="240" w:line="276" w:lineRule="auto"/>
    </w:pPr>
    <w:rPr>
      <w:sz w:val="24"/>
      <w:szCs w:val="24"/>
    </w:rPr>
  </w:style>
  <w:style w:type="character" w:customStyle="1" w:styleId="TableNumber">
    <w:name w:val="Table Number"/>
    <w:basedOn w:val="DefaultParagraphFont"/>
    <w:uiPriority w:val="1"/>
    <w:rsid w:val="004934DE"/>
    <w:rPr>
      <w:rFonts w:ascii="Arial Narrow" w:hAnsi="Arial Narrow"/>
      <w:b/>
      <w:color w:val="005293"/>
      <w:sz w:val="22"/>
      <w:szCs w:val="22"/>
    </w:rPr>
  </w:style>
  <w:style w:type="paragraph" w:customStyle="1" w:styleId="TableColumnHeadings">
    <w:name w:val="Table Column Headings"/>
    <w:basedOn w:val="Normal"/>
    <w:rsid w:val="004934DE"/>
    <w:pPr>
      <w:spacing w:after="0"/>
      <w:jc w:val="center"/>
    </w:pPr>
    <w:rPr>
      <w:rFonts w:ascii="Arial Narrow" w:hAnsi="Arial Narrow" w:cs="Arial"/>
      <w:b/>
      <w:color w:val="006B65"/>
      <w:sz w:val="20"/>
      <w:szCs w:val="24"/>
    </w:rPr>
  </w:style>
  <w:style w:type="paragraph" w:customStyle="1" w:styleId="Tabletext0">
    <w:name w:val="Table text"/>
    <w:basedOn w:val="Normal"/>
    <w:rsid w:val="004934DE"/>
    <w:pPr>
      <w:spacing w:after="0"/>
    </w:pPr>
    <w:rPr>
      <w:rFonts w:ascii="Arial Narrow" w:hAnsi="Arial Narrow" w:cs="Arial"/>
      <w:sz w:val="20"/>
      <w:szCs w:val="24"/>
    </w:rPr>
  </w:style>
  <w:style w:type="paragraph" w:customStyle="1" w:styleId="Tablenotescell">
    <w:name w:val="Table notes cell"/>
    <w:basedOn w:val="Normal"/>
    <w:qFormat/>
    <w:rsid w:val="004934DE"/>
    <w:pPr>
      <w:spacing w:after="0"/>
      <w:ind w:left="32"/>
    </w:pPr>
    <w:rPr>
      <w:rFonts w:ascii="Arial Narrow" w:hAnsi="Arial Narrow" w:cs="Arial"/>
      <w:color w:val="000000"/>
      <w:sz w:val="18"/>
      <w:szCs w:val="18"/>
    </w:rPr>
  </w:style>
  <w:style w:type="paragraph" w:customStyle="1" w:styleId="BodyTextTimesNewRoman">
    <w:name w:val="Body Text Times New Roman"/>
    <w:basedOn w:val="Normal"/>
    <w:link w:val="BodyTextTimesNewRomanChar"/>
    <w:rsid w:val="00DA16D7"/>
    <w:pPr>
      <w:tabs>
        <w:tab w:val="left" w:pos="5040"/>
      </w:tabs>
      <w:spacing w:after="0" w:line="276" w:lineRule="auto"/>
    </w:pPr>
    <w:rPr>
      <w:sz w:val="24"/>
      <w:szCs w:val="22"/>
    </w:rPr>
  </w:style>
  <w:style w:type="paragraph" w:customStyle="1" w:styleId="List6Bullet">
    <w:name w:val="List 6 Bullet"/>
    <w:basedOn w:val="ListBullet"/>
    <w:rsid w:val="00DA16D7"/>
    <w:pPr>
      <w:tabs>
        <w:tab w:val="clear" w:pos="360"/>
      </w:tabs>
      <w:spacing w:after="120" w:line="276" w:lineRule="auto"/>
      <w:contextualSpacing w:val="0"/>
    </w:pPr>
    <w:rPr>
      <w:sz w:val="24"/>
      <w:szCs w:val="24"/>
    </w:rPr>
  </w:style>
  <w:style w:type="character" w:customStyle="1" w:styleId="BodyTextTimesNewRomanChar">
    <w:name w:val="Body Text Times New Roman Char"/>
    <w:basedOn w:val="DefaultParagraphFont"/>
    <w:link w:val="BodyTextTimesNewRoman"/>
    <w:rsid w:val="00DA16D7"/>
    <w:rPr>
      <w:sz w:val="24"/>
      <w:szCs w:val="22"/>
    </w:rPr>
  </w:style>
  <w:style w:type="paragraph" w:customStyle="1" w:styleId="CoverText">
    <w:name w:val="Cover Text"/>
    <w:basedOn w:val="BodyText"/>
    <w:qFormat/>
    <w:rsid w:val="00581A08"/>
    <w:pPr>
      <w:spacing w:after="0" w:line="264" w:lineRule="auto"/>
      <w:ind w:left="4680"/>
    </w:pPr>
    <w:rPr>
      <w:rFonts w:ascii="Arial" w:hAnsi="Arial"/>
      <w:szCs w:val="24"/>
    </w:rPr>
  </w:style>
  <w:style w:type="paragraph" w:customStyle="1" w:styleId="Bullets1Last">
    <w:name w:val="Bullets1Last"/>
    <w:basedOn w:val="Bullets1"/>
    <w:qFormat/>
    <w:rsid w:val="00581A08"/>
    <w:pPr>
      <w:spacing w:after="240"/>
    </w:pPr>
  </w:style>
  <w:style w:type="paragraph" w:customStyle="1" w:styleId="CaptionFigure">
    <w:name w:val="Caption Figure"/>
    <w:basedOn w:val="Caption"/>
    <w:rsid w:val="00581A08"/>
  </w:style>
  <w:style w:type="paragraph" w:customStyle="1" w:styleId="Bullets2Last">
    <w:name w:val="Bullets2Last"/>
    <w:basedOn w:val="Bullets2"/>
    <w:qFormat/>
    <w:rsid w:val="00581A08"/>
    <w:pPr>
      <w:spacing w:after="240"/>
    </w:pPr>
  </w:style>
  <w:style w:type="paragraph" w:customStyle="1" w:styleId="TableColumnHeaderLeft">
    <w:name w:val="Table Column Header Left"/>
    <w:basedOn w:val="TableText"/>
    <w:rsid w:val="00581A08"/>
    <w:rPr>
      <w:b/>
    </w:rPr>
  </w:style>
  <w:style w:type="paragraph" w:customStyle="1" w:styleId="ApprovedandEffective">
    <w:name w:val="Approved and Effective"/>
    <w:basedOn w:val="Normal"/>
    <w:rsid w:val="00581A08"/>
    <w:pPr>
      <w:spacing w:after="120"/>
      <w:ind w:left="4680"/>
    </w:pPr>
    <w:rPr>
      <w:rFonts w:ascii="Sofia Sans" w:hAnsi="Sofia Sans"/>
      <w:b/>
      <w:color w:val="B7C9D3" w:themeColor="accent6"/>
      <w:sz w:val="28"/>
      <w:szCs w:val="24"/>
    </w:rPr>
  </w:style>
  <w:style w:type="paragraph" w:customStyle="1" w:styleId="CoverTitle">
    <w:name w:val="Cover Title"/>
    <w:basedOn w:val="Normal"/>
    <w:qFormat/>
    <w:rsid w:val="00581A08"/>
    <w:pPr>
      <w:spacing w:before="360" w:after="120" w:line="264" w:lineRule="auto"/>
      <w:ind w:left="4680"/>
    </w:pPr>
    <w:rPr>
      <w:rFonts w:ascii="Arial" w:hAnsi="Arial" w:cs="Arial"/>
      <w:b/>
      <w:bCs/>
      <w:color w:val="898D8D" w:themeColor="background2"/>
      <w:sz w:val="72"/>
      <w:szCs w:val="72"/>
    </w:rPr>
  </w:style>
  <w:style w:type="paragraph" w:customStyle="1" w:styleId="CoverSubtitle">
    <w:name w:val="Cover Subtitle"/>
    <w:basedOn w:val="Normal"/>
    <w:rsid w:val="00581A08"/>
    <w:pPr>
      <w:spacing w:after="240"/>
      <w:ind w:left="4680"/>
    </w:pPr>
    <w:rPr>
      <w:rFonts w:ascii="Arial" w:hAnsi="Arial" w:cs="Arial"/>
      <w:b/>
      <w:bCs/>
      <w:sz w:val="48"/>
      <w:szCs w:val="48"/>
    </w:rPr>
  </w:style>
  <w:style w:type="character" w:customStyle="1" w:styleId="TOC4Char">
    <w:name w:val="TOC 4 Char"/>
    <w:basedOn w:val="DefaultParagraphFont"/>
    <w:link w:val="TOC4"/>
    <w:uiPriority w:val="39"/>
    <w:locked/>
    <w:rsid w:val="007B6745"/>
    <w:rPr>
      <w:noProof/>
      <w:sz w:val="24"/>
      <w:lang w:val="en"/>
    </w:rPr>
  </w:style>
  <w:style w:type="paragraph" w:styleId="Bibliography">
    <w:name w:val="Bibliography"/>
    <w:basedOn w:val="Normal"/>
    <w:next w:val="Normal"/>
    <w:uiPriority w:val="37"/>
    <w:unhideWhenUsed/>
    <w:rsid w:val="007B6745"/>
    <w:pPr>
      <w:suppressAutoHyphens/>
      <w:spacing w:after="120"/>
      <w:ind w:left="288" w:hanging="288"/>
    </w:pPr>
    <w:rPr>
      <w:rFonts w:ascii="Constantia" w:hAnsi="Constantia"/>
      <w:sz w:val="20"/>
    </w:rPr>
  </w:style>
  <w:style w:type="character" w:customStyle="1" w:styleId="TbTLTableTextLeftRADChar">
    <w:name w:val="TbTL Table Text Left RAD Char"/>
    <w:basedOn w:val="DefaultParagraphFont"/>
    <w:link w:val="TbTLTableTextLeftRAD"/>
    <w:locked/>
    <w:rsid w:val="007B6745"/>
    <w:rPr>
      <w:rFonts w:eastAsiaTheme="minorEastAsia"/>
      <w:kern w:val="2"/>
      <w14:ligatures w14:val="standardContextual"/>
    </w:rPr>
  </w:style>
  <w:style w:type="paragraph" w:customStyle="1" w:styleId="TbTLTableTextLeftRAD">
    <w:name w:val="TbTL Table Text Left RAD"/>
    <w:basedOn w:val="Normal"/>
    <w:link w:val="TbTLTableTextLeftRADChar"/>
    <w:qFormat/>
    <w:rsid w:val="007B6745"/>
    <w:pPr>
      <w:suppressAutoHyphens/>
      <w:jc w:val="both"/>
    </w:pPr>
    <w:rPr>
      <w:rFonts w:eastAsiaTheme="minorEastAsia"/>
      <w:kern w:val="2"/>
      <w:sz w:val="20"/>
      <w14:ligatures w14:val="standardContextual"/>
    </w:rPr>
  </w:style>
  <w:style w:type="character" w:customStyle="1" w:styleId="TableParagraphChar">
    <w:name w:val="Table Paragraph Char"/>
    <w:basedOn w:val="DefaultParagraphFont"/>
    <w:link w:val="TableParagraph"/>
    <w:uiPriority w:val="1"/>
    <w:locked/>
    <w:rsid w:val="007B6745"/>
  </w:style>
  <w:style w:type="paragraph" w:customStyle="1" w:styleId="TableParagraph">
    <w:name w:val="Table Paragraph"/>
    <w:basedOn w:val="Normal"/>
    <w:link w:val="TableParagraphChar"/>
    <w:uiPriority w:val="1"/>
    <w:qFormat/>
    <w:rsid w:val="007B6745"/>
    <w:pPr>
      <w:widowControl w:val="0"/>
      <w:suppressAutoHyphens/>
      <w:spacing w:after="240"/>
      <w:jc w:val="both"/>
    </w:pPr>
    <w:rPr>
      <w:sz w:val="20"/>
    </w:rPr>
  </w:style>
  <w:style w:type="character" w:customStyle="1" w:styleId="AppendixHeading2Char">
    <w:name w:val="Appendix Heading 2 Char"/>
    <w:basedOn w:val="Heading3Char"/>
    <w:link w:val="AppendixHeading2"/>
    <w:locked/>
    <w:rsid w:val="007B6745"/>
    <w:rPr>
      <w:rFonts w:ascii="Constantia" w:hAnsi="Constantia" w:eastAsiaTheme="majorEastAsia" w:cstheme="majorBidi"/>
      <w:b w:val="0"/>
      <w:color w:val="A31E15" w:themeColor="text2" w:themeShade="BF"/>
      <w:sz w:val="32"/>
      <w:szCs w:val="32"/>
    </w:rPr>
  </w:style>
  <w:style w:type="paragraph" w:customStyle="1" w:styleId="AppendixHeading2">
    <w:name w:val="Appendix Heading 2"/>
    <w:basedOn w:val="Heading2"/>
    <w:next w:val="BodyText"/>
    <w:link w:val="AppendixHeading2Char"/>
    <w:qFormat/>
    <w:rsid w:val="007B6745"/>
    <w:pPr>
      <w:keepLines/>
      <w:numPr>
        <w:numId w:val="26"/>
      </w:numPr>
      <w:suppressAutoHyphens/>
      <w:spacing w:before="120"/>
    </w:pPr>
    <w:rPr>
      <w:rFonts w:ascii="Constantia" w:hAnsi="Constantia" w:eastAsiaTheme="majorEastAsia" w:cstheme="majorBidi"/>
      <w:b w:val="0"/>
      <w:bCs w:val="0"/>
      <w:i w:val="0"/>
      <w:iCs w:val="0"/>
      <w:color w:val="A31E15" w:themeColor="text2" w:themeShade="BF"/>
      <w:sz w:val="32"/>
      <w:szCs w:val="32"/>
    </w:rPr>
  </w:style>
  <w:style w:type="paragraph" w:customStyle="1" w:styleId="AppendixHeading3">
    <w:name w:val="Appendix Heading 3"/>
    <w:basedOn w:val="Heading3"/>
    <w:next w:val="BodyText"/>
    <w:qFormat/>
    <w:rsid w:val="007B6745"/>
    <w:pPr>
      <w:keepLines/>
      <w:numPr>
        <w:numId w:val="26"/>
      </w:numPr>
      <w:suppressAutoHyphens/>
      <w:spacing w:before="120" w:after="120"/>
      <w:jc w:val="both"/>
    </w:pPr>
    <w:rPr>
      <w:rFonts w:ascii="Constantia" w:hAnsi="Constantia" w:eastAsiaTheme="majorEastAsia" w:cstheme="majorBidi"/>
      <w:color w:val="308198" w:themeColor="accent1" w:themeShade="BF"/>
      <w:sz w:val="28"/>
      <w:szCs w:val="21"/>
    </w:rPr>
  </w:style>
  <w:style w:type="paragraph" w:customStyle="1" w:styleId="Tablenumber0">
    <w:name w:val="Table number"/>
    <w:basedOn w:val="TableText"/>
    <w:qFormat/>
    <w:rsid w:val="007B6745"/>
    <w:pPr>
      <w:suppressAutoHyphens/>
      <w:spacing w:before="40" w:after="40"/>
      <w:jc w:val="right"/>
    </w:pPr>
    <w:rPr>
      <w:rFonts w:ascii="Aptos" w:hAnsi="Aptos" w:eastAsiaTheme="minorEastAsia"/>
      <w:kern w:val="2"/>
      <w:sz w:val="18"/>
      <w:lang w:val="en-GB"/>
      <w14:ligatures w14:val="standardContextual"/>
    </w:rPr>
  </w:style>
  <w:style w:type="paragraph" w:customStyle="1" w:styleId="AppendixHeading1">
    <w:name w:val="Appendix Heading 1"/>
    <w:basedOn w:val="Heading1"/>
    <w:qFormat/>
    <w:rsid w:val="007B6745"/>
    <w:pPr>
      <w:keepNext/>
      <w:keepLines/>
      <w:numPr>
        <w:numId w:val="26"/>
      </w:numPr>
      <w:shd w:val="clear" w:color="auto" w:fill="205666" w:themeFill="accent1" w:themeFillShade="80"/>
      <w:suppressAutoHyphens/>
      <w:spacing w:after="240"/>
      <w:jc w:val="center"/>
    </w:pPr>
    <w:rPr>
      <w:rFonts w:ascii="Constantia" w:hAnsi="Constantia" w:eastAsiaTheme="majorEastAsia" w:cstheme="majorBidi"/>
      <w:color w:val="FFFFFF" w:themeColor="background1"/>
      <w:spacing w:val="0"/>
      <w:sz w:val="40"/>
      <w:szCs w:val="36"/>
    </w:rPr>
  </w:style>
  <w:style w:type="paragraph" w:customStyle="1" w:styleId="TableTextleft">
    <w:name w:val="Table Text (left)"/>
    <w:basedOn w:val="Normal"/>
    <w:qFormat/>
    <w:rsid w:val="007B6745"/>
    <w:pPr>
      <w:suppressAutoHyphens/>
      <w:spacing w:after="60"/>
      <w:jc w:val="both"/>
    </w:pPr>
    <w:rPr>
      <w:rFonts w:ascii="Constantia" w:hAnsi="Constantia" w:cstheme="minorBidi"/>
      <w:sz w:val="20"/>
      <w:szCs w:val="22"/>
      <w:lang w:val="en-GB"/>
    </w:rPr>
  </w:style>
  <w:style w:type="character" w:customStyle="1" w:styleId="PiedeCuadroCar">
    <w:name w:val="Pie de Cuadro Car"/>
    <w:basedOn w:val="DefaultParagraphFont"/>
    <w:link w:val="PiedeCuadro"/>
    <w:qFormat/>
    <w:locked/>
    <w:rsid w:val="007B6745"/>
    <w:rPr>
      <w:rFonts w:ascii="Georgia Pro Light" w:hAnsi="Georgia Pro Light" w:cs="EucrosiaUPC"/>
      <w:i/>
      <w:iCs/>
      <w:sz w:val="18"/>
      <w:szCs w:val="18"/>
    </w:rPr>
  </w:style>
  <w:style w:type="paragraph" w:customStyle="1" w:styleId="PiedeCuadro">
    <w:name w:val="Pie de Cuadro"/>
    <w:basedOn w:val="Normal"/>
    <w:link w:val="PiedeCuadroCar"/>
    <w:qFormat/>
    <w:rsid w:val="007B6745"/>
    <w:pPr>
      <w:spacing w:after="0" w:line="240" w:lineRule="atLeast"/>
      <w:jc w:val="both"/>
    </w:pPr>
    <w:rPr>
      <w:rFonts w:ascii="Georgia Pro Light" w:hAnsi="Georgia Pro Light" w:cs="EucrosiaUPC"/>
      <w:i/>
      <w:iCs/>
      <w:sz w:val="18"/>
      <w:szCs w:val="18"/>
    </w:rPr>
  </w:style>
  <w:style w:type="paragraph" w:customStyle="1" w:styleId="Observation">
    <w:name w:val="Observation"/>
    <w:basedOn w:val="BodyText"/>
    <w:qFormat/>
    <w:rsid w:val="007B6745"/>
    <w:pPr>
      <w:keepNext/>
      <w:numPr>
        <w:numId w:val="27"/>
      </w:numPr>
      <w:suppressAutoHyphens/>
      <w:spacing w:before="180" w:after="0"/>
      <w:jc w:val="both"/>
    </w:pPr>
    <w:rPr>
      <w:b/>
      <w:color w:val="308198" w:themeColor="accent1" w:themeShade="BF"/>
      <w:lang w:val="en-US"/>
    </w:rPr>
  </w:style>
  <w:style w:type="paragraph" w:customStyle="1" w:styleId="Takeaway">
    <w:name w:val="Takeaway"/>
    <w:basedOn w:val="BodyText"/>
    <w:qFormat/>
    <w:rsid w:val="007B6745"/>
    <w:pPr>
      <w:keepNext/>
      <w:suppressAutoHyphens/>
      <w:spacing w:after="120"/>
    </w:pPr>
    <w:rPr>
      <w:b/>
      <w:color w:val="308198" w:themeColor="accent1" w:themeShade="BF"/>
      <w:u w:val="single"/>
      <w:lang w:val="en-US"/>
    </w:rPr>
  </w:style>
  <w:style w:type="paragraph" w:customStyle="1" w:styleId="TableTextcentered0">
    <w:name w:val="Table Text (centered)"/>
    <w:basedOn w:val="Normal"/>
    <w:rsid w:val="007B6745"/>
    <w:pPr>
      <w:suppressAutoHyphens/>
      <w:spacing w:after="200" w:line="180" w:lineRule="atLeast"/>
      <w:jc w:val="center"/>
    </w:pPr>
    <w:rPr>
      <w:rFonts w:ascii="Arial" w:hAnsi="Arial" w:cstheme="minorBidi"/>
      <w:sz w:val="14"/>
      <w:szCs w:val="22"/>
      <w:lang w:val="en-GB"/>
    </w:rPr>
  </w:style>
  <w:style w:type="paragraph" w:customStyle="1" w:styleId="MarginCaptionText">
    <w:name w:val="Margin Caption Text"/>
    <w:basedOn w:val="Normal"/>
    <w:qFormat/>
    <w:rsid w:val="007B6745"/>
    <w:pPr>
      <w:framePr w:w="2835" w:wrap="around" w:vAnchor="text" w:hAnchor="page" w:x="852" w:y="1"/>
      <w:suppressAutoHyphens/>
      <w:spacing w:after="200" w:line="276" w:lineRule="auto"/>
      <w:jc w:val="both"/>
    </w:pPr>
    <w:rPr>
      <w:rFonts w:ascii="Arial" w:hAnsi="Arial" w:cstheme="minorBidi"/>
      <w:sz w:val="16"/>
      <w:szCs w:val="22"/>
      <w:lang w:val="en-GB"/>
    </w:rPr>
  </w:style>
  <w:style w:type="paragraph" w:customStyle="1" w:styleId="TableTextright">
    <w:name w:val="Table Text (right)"/>
    <w:basedOn w:val="Normal"/>
    <w:rsid w:val="007B6745"/>
    <w:pPr>
      <w:suppressAutoHyphens/>
      <w:spacing w:after="200" w:line="160" w:lineRule="atLeast"/>
      <w:jc w:val="right"/>
    </w:pPr>
    <w:rPr>
      <w:rFonts w:ascii="Arial" w:hAnsi="Arial" w:cstheme="minorBidi"/>
      <w:sz w:val="14"/>
      <w:szCs w:val="22"/>
      <w:lang w:val="en-GB"/>
    </w:rPr>
  </w:style>
  <w:style w:type="character" w:customStyle="1" w:styleId="RefsChar">
    <w:name w:val="Refs Char"/>
    <w:basedOn w:val="DefaultParagraphFont"/>
    <w:link w:val="Refs"/>
    <w:locked/>
    <w:rsid w:val="007B6745"/>
    <w:rPr>
      <w:rFonts w:ascii="Arial" w:hAnsi="Arial" w:eastAsiaTheme="minorEastAsia" w:cs="Arial"/>
      <w:lang w:val="en-GB"/>
    </w:rPr>
  </w:style>
  <w:style w:type="paragraph" w:customStyle="1" w:styleId="Refs">
    <w:name w:val="Refs"/>
    <w:basedOn w:val="Normal"/>
    <w:link w:val="RefsChar"/>
    <w:rsid w:val="007B6745"/>
    <w:pPr>
      <w:suppressAutoHyphens/>
      <w:autoSpaceDE w:val="0"/>
      <w:autoSpaceDN w:val="0"/>
      <w:adjustRightInd w:val="0"/>
      <w:spacing w:after="200" w:line="276" w:lineRule="auto"/>
      <w:jc w:val="both"/>
    </w:pPr>
    <w:rPr>
      <w:rFonts w:ascii="Arial" w:hAnsi="Arial" w:eastAsiaTheme="minorEastAsia" w:cs="Arial"/>
      <w:sz w:val="20"/>
      <w:lang w:val="en-GB"/>
    </w:rPr>
  </w:style>
  <w:style w:type="paragraph" w:customStyle="1" w:styleId="BodyBold">
    <w:name w:val="Body Bold"/>
    <w:basedOn w:val="BodyText"/>
    <w:qFormat/>
    <w:rsid w:val="007B6745"/>
    <w:pPr>
      <w:suppressAutoHyphens/>
      <w:jc w:val="both"/>
    </w:pPr>
    <w:rPr>
      <w:b/>
      <w:color w:val="18335E"/>
      <w:sz w:val="20"/>
      <w:lang w:val="en-US"/>
    </w:rPr>
  </w:style>
  <w:style w:type="paragraph" w:customStyle="1" w:styleId="Spacer">
    <w:name w:val="Spacer"/>
    <w:basedOn w:val="Normal"/>
    <w:next w:val="BodyText"/>
    <w:qFormat/>
    <w:rsid w:val="007B6745"/>
    <w:pPr>
      <w:suppressAutoHyphens/>
      <w:spacing w:after="0"/>
      <w:ind w:left="86"/>
      <w:jc w:val="both"/>
    </w:pPr>
    <w:rPr>
      <w:rFonts w:ascii="Constantia" w:hAnsi="Constantia" w:cs="Arial"/>
      <w:sz w:val="16"/>
      <w:szCs w:val="22"/>
    </w:rPr>
  </w:style>
  <w:style w:type="paragraph" w:customStyle="1" w:styleId="Lettersignature">
    <w:name w:val="Letter signature"/>
    <w:basedOn w:val="Normal"/>
    <w:qFormat/>
    <w:rsid w:val="007B6745"/>
    <w:pPr>
      <w:suppressAutoHyphens/>
      <w:jc w:val="both"/>
    </w:pPr>
    <w:rPr>
      <w:rFonts w:ascii="Constantia" w:hAnsi="Constantia"/>
      <w:sz w:val="20"/>
    </w:rPr>
  </w:style>
  <w:style w:type="paragraph" w:customStyle="1" w:styleId="tempnotes">
    <w:name w:val="temp notes"/>
    <w:basedOn w:val="BodyText"/>
    <w:qFormat/>
    <w:rsid w:val="007B6745"/>
    <w:pPr>
      <w:shd w:val="clear" w:color="auto" w:fill="898D8D" w:themeFill="background2"/>
      <w:suppressAutoHyphens/>
      <w:jc w:val="both"/>
    </w:pPr>
    <w:rPr>
      <w:sz w:val="21"/>
      <w:lang w:val="en-US"/>
    </w:rPr>
  </w:style>
  <w:style w:type="paragraph" w:customStyle="1" w:styleId="Figure">
    <w:name w:val="Figure"/>
    <w:basedOn w:val="Normal"/>
    <w:qFormat/>
    <w:rsid w:val="007B6745"/>
    <w:pPr>
      <w:keepNext/>
      <w:suppressAutoHyphens/>
      <w:spacing w:before="20" w:after="20"/>
      <w:jc w:val="center"/>
    </w:pPr>
    <w:rPr>
      <w:rFonts w:ascii="Constantia" w:hAnsi="Constantia"/>
      <w:noProof/>
      <w:sz w:val="20"/>
    </w:rPr>
  </w:style>
  <w:style w:type="paragraph" w:customStyle="1" w:styleId="Para">
    <w:name w:val="Para"/>
    <w:basedOn w:val="Normal"/>
    <w:next w:val="Normal"/>
    <w:rsid w:val="007B6745"/>
    <w:pPr>
      <w:suppressAutoHyphens/>
      <w:spacing w:after="160" w:line="256" w:lineRule="auto"/>
      <w:jc w:val="both"/>
    </w:pPr>
    <w:rPr>
      <w:rFonts w:asciiTheme="minorHAnsi" w:hAnsiTheme="minorHAnsi" w:cstheme="minorBidi"/>
      <w:szCs w:val="22"/>
      <w:lang w:val="en-ZA"/>
    </w:rPr>
  </w:style>
  <w:style w:type="paragraph" w:customStyle="1" w:styleId="Equationnotes">
    <w:name w:val="Equation notes"/>
    <w:basedOn w:val="BodyText"/>
    <w:qFormat/>
    <w:rsid w:val="007B6745"/>
    <w:pPr>
      <w:tabs>
        <w:tab w:val="left" w:pos="1296"/>
        <w:tab w:val="left" w:pos="1584"/>
      </w:tabs>
      <w:suppressAutoHyphens/>
      <w:spacing w:before="180"/>
      <w:ind w:left="576"/>
      <w:contextualSpacing/>
      <w:jc w:val="both"/>
    </w:pPr>
    <w:rPr>
      <w:sz w:val="20"/>
      <w:lang w:val="en-US"/>
    </w:rPr>
  </w:style>
  <w:style w:type="paragraph" w:customStyle="1" w:styleId="Sectionheading">
    <w:name w:val="Section heading"/>
    <w:basedOn w:val="Normal"/>
    <w:next w:val="BodyText"/>
    <w:qFormat/>
    <w:rsid w:val="007B6745"/>
    <w:pPr>
      <w:keepNext/>
      <w:suppressAutoHyphens/>
      <w:snapToGrid w:val="0"/>
      <w:spacing w:before="240" w:after="240"/>
      <w:jc w:val="center"/>
      <w:outlineLvl w:val="0"/>
    </w:pPr>
    <w:rPr>
      <w:rFonts w:ascii="Book Antiqua" w:hAnsi="Book Antiqua"/>
      <w:b/>
      <w:caps/>
      <w:color w:val="FFFFFF" w:themeColor="background1"/>
      <w:sz w:val="48"/>
      <w:szCs w:val="48"/>
      <w:lang w:val="en-GB"/>
    </w:rPr>
  </w:style>
  <w:style w:type="paragraph" w:customStyle="1" w:styleId="Title1">
    <w:name w:val="Title1"/>
    <w:basedOn w:val="Normal"/>
    <w:qFormat/>
    <w:rsid w:val="007B6745"/>
    <w:pPr>
      <w:suppressAutoHyphens/>
      <w:spacing w:after="0"/>
    </w:pPr>
    <w:rPr>
      <w:rFonts w:ascii="Perpetua" w:hAnsi="Perpetua" w:eastAsiaTheme="minorHAnsi"/>
      <w:b/>
      <w:color w:val="FFFFFF" w:themeColor="background1"/>
      <w:sz w:val="56"/>
    </w:rPr>
  </w:style>
  <w:style w:type="paragraph" w:customStyle="1" w:styleId="Memoheading">
    <w:name w:val="Memo heading"/>
    <w:basedOn w:val="Normal"/>
    <w:qFormat/>
    <w:rsid w:val="007B6745"/>
    <w:pPr>
      <w:keepNext/>
      <w:suppressAutoHyphens/>
      <w:spacing w:before="120" w:after="120"/>
      <w:jc w:val="both"/>
    </w:pPr>
    <w:rPr>
      <w:rFonts w:ascii="Constantia" w:hAnsi="Constantia" w:eastAsiaTheme="minorHAnsi" w:cstheme="minorBidi"/>
      <w:sz w:val="24"/>
      <w:szCs w:val="22"/>
    </w:rPr>
  </w:style>
  <w:style w:type="paragraph" w:customStyle="1" w:styleId="Referencebox">
    <w:name w:val="Reference box"/>
    <w:basedOn w:val="Normal"/>
    <w:qFormat/>
    <w:rsid w:val="007B6745"/>
    <w:pPr>
      <w:suppressAutoHyphens/>
      <w:spacing w:before="120" w:after="120"/>
      <w:jc w:val="center"/>
    </w:pPr>
    <w:rPr>
      <w:rFonts w:ascii="Constantia" w:hAnsi="Constantia"/>
      <w:i/>
      <w:iCs/>
      <w:color w:val="000000" w:themeColor="text1"/>
      <w:sz w:val="20"/>
    </w:rPr>
  </w:style>
  <w:style w:type="paragraph" w:customStyle="1" w:styleId="Glossary0">
    <w:name w:val="Glossary"/>
    <w:basedOn w:val="BodyText"/>
    <w:qFormat/>
    <w:rsid w:val="007B6745"/>
    <w:pPr>
      <w:suppressAutoHyphens/>
    </w:pPr>
    <w:rPr>
      <w:sz w:val="20"/>
      <w:lang w:val="en-US"/>
    </w:rPr>
  </w:style>
  <w:style w:type="paragraph" w:customStyle="1" w:styleId="Partintro">
    <w:name w:val="Part intro"/>
    <w:basedOn w:val="Normal"/>
    <w:qFormat/>
    <w:rsid w:val="007B6745"/>
    <w:pPr>
      <w:suppressAutoHyphens/>
      <w:jc w:val="both"/>
    </w:pPr>
    <w:rPr>
      <w:rFonts w:ascii="Constantia" w:hAnsi="Constantia"/>
      <w:i/>
      <w:iCs/>
      <w:color w:val="FFFFFF" w:themeColor="background1"/>
      <w:sz w:val="24"/>
      <w:szCs w:val="24"/>
      <w:lang w:val="en-GB"/>
    </w:rPr>
  </w:style>
  <w:style w:type="character" w:customStyle="1" w:styleId="textChar">
    <w:name w:val="*text Char"/>
    <w:link w:val="text"/>
    <w:locked/>
    <w:rsid w:val="007B6745"/>
    <w:rPr>
      <w:rFonts w:ascii="Palatino" w:eastAsia="Cambria" w:hAnsi="Palatino"/>
      <w:sz w:val="21"/>
      <w:lang w:val="en-GB"/>
    </w:rPr>
  </w:style>
  <w:style w:type="paragraph" w:customStyle="1" w:styleId="text">
    <w:name w:val="*text"/>
    <w:basedOn w:val="Normal"/>
    <w:link w:val="textChar"/>
    <w:rsid w:val="007B6745"/>
    <w:pPr>
      <w:suppressAutoHyphens/>
      <w:spacing w:line="300" w:lineRule="exact"/>
      <w:jc w:val="both"/>
    </w:pPr>
    <w:rPr>
      <w:rFonts w:ascii="Palatino" w:eastAsia="Cambria" w:hAnsi="Palatino"/>
      <w:sz w:val="21"/>
      <w:lang w:val="en-GB"/>
    </w:rPr>
  </w:style>
  <w:style w:type="paragraph" w:customStyle="1" w:styleId="Bulletedlist">
    <w:name w:val="Bulleted list"/>
    <w:basedOn w:val="Normal"/>
    <w:qFormat/>
    <w:rsid w:val="007B6745"/>
    <w:pPr>
      <w:numPr>
        <w:numId w:val="28"/>
      </w:numPr>
      <w:suppressAutoHyphens/>
      <w:spacing w:before="60" w:after="200" w:line="280" w:lineRule="atLeast"/>
      <w:jc w:val="both"/>
    </w:pPr>
    <w:rPr>
      <w:rFonts w:ascii="Arial" w:hAnsi="Arial" w:cstheme="minorBidi"/>
      <w:sz w:val="20"/>
      <w:szCs w:val="22"/>
      <w:lang w:val="en-GB"/>
    </w:rPr>
  </w:style>
  <w:style w:type="paragraph" w:customStyle="1" w:styleId="BoxHeading">
    <w:name w:val="Box Heading"/>
    <w:basedOn w:val="Normal"/>
    <w:rsid w:val="007B6745"/>
    <w:pPr>
      <w:numPr>
        <w:numId w:val="29"/>
      </w:numPr>
      <w:pBdr>
        <w:top w:val="single" w:sz="4" w:space="8" w:color="CBC4BC"/>
        <w:left w:val="single" w:sz="4" w:space="12" w:color="CBC4BC"/>
        <w:bottom w:val="single" w:sz="4" w:space="8" w:color="CBC4BC"/>
        <w:right w:val="single" w:sz="4" w:space="12" w:color="CBC4BC"/>
      </w:pBdr>
      <w:shd w:val="clear" w:color="auto" w:fill="CBC4BC"/>
      <w:suppressAutoHyphens/>
      <w:spacing w:after="80"/>
      <w:ind w:left="1134" w:right="227" w:hanging="907"/>
      <w:jc w:val="both"/>
    </w:pPr>
    <w:rPr>
      <w:rFonts w:ascii="Arial" w:hAnsi="Arial" w:cstheme="minorBidi"/>
      <w:b/>
      <w:sz w:val="24"/>
      <w:szCs w:val="22"/>
      <w:lang w:val="en-GB"/>
    </w:rPr>
  </w:style>
  <w:style w:type="paragraph" w:customStyle="1" w:styleId="BulletHeading">
    <w:name w:val="Bullet Heading"/>
    <w:basedOn w:val="BodyText"/>
    <w:qFormat/>
    <w:rsid w:val="007B6745"/>
    <w:pPr>
      <w:keepNext/>
      <w:numPr>
        <w:numId w:val="30"/>
      </w:numPr>
      <w:tabs>
        <w:tab w:val="left" w:pos="360"/>
      </w:tabs>
      <w:suppressAutoHyphens/>
      <w:ind w:left="360"/>
    </w:pPr>
    <w:rPr>
      <w:b/>
      <w:color w:val="19335E"/>
      <w:sz w:val="20"/>
      <w:szCs w:val="28"/>
      <w:lang w:val="en-US"/>
    </w:rPr>
  </w:style>
  <w:style w:type="character" w:customStyle="1" w:styleId="superscript">
    <w:name w:val="superscript"/>
    <w:basedOn w:val="DefaultParagraphFont"/>
    <w:rsid w:val="007B6745"/>
  </w:style>
  <w:style w:type="character" w:customStyle="1" w:styleId="author-name">
    <w:name w:val="author-name"/>
    <w:basedOn w:val="DefaultParagraphFont"/>
    <w:rsid w:val="007B6745"/>
  </w:style>
  <w:style w:type="character" w:customStyle="1" w:styleId="mw-headline">
    <w:name w:val="mw-headline"/>
    <w:basedOn w:val="DefaultParagraphFont"/>
    <w:rsid w:val="007B6745"/>
  </w:style>
  <w:style w:type="character" w:customStyle="1" w:styleId="texto1">
    <w:name w:val="texto1"/>
    <w:basedOn w:val="DefaultParagraphFont"/>
    <w:rsid w:val="007B6745"/>
  </w:style>
  <w:style w:type="character" w:customStyle="1" w:styleId="Mention1">
    <w:name w:val="Mention1"/>
    <w:basedOn w:val="DefaultParagraphFont"/>
    <w:uiPriority w:val="99"/>
    <w:semiHidden/>
    <w:rsid w:val="007B6745"/>
    <w:rPr>
      <w:color w:val="2B579A"/>
      <w:shd w:val="clear" w:color="auto" w:fill="E6E6E6"/>
    </w:rPr>
  </w:style>
  <w:style w:type="character" w:customStyle="1" w:styleId="Mention2">
    <w:name w:val="Mention2"/>
    <w:basedOn w:val="DefaultParagraphFont"/>
    <w:uiPriority w:val="99"/>
    <w:semiHidden/>
    <w:rsid w:val="007B6745"/>
    <w:rPr>
      <w:color w:val="2B579A"/>
      <w:shd w:val="clear" w:color="auto" w:fill="E6E6E6"/>
    </w:rPr>
  </w:style>
  <w:style w:type="character" w:customStyle="1" w:styleId="Mimi">
    <w:name w:val="Mimi"/>
    <w:basedOn w:val="DefaultParagraphFont"/>
    <w:uiPriority w:val="1"/>
    <w:qFormat/>
    <w:rsid w:val="007B6745"/>
    <w:rPr>
      <w:bdr w:val="none" w:sz="0" w:space="0" w:color="auto" w:frame="1"/>
      <w:shd w:val="clear" w:color="auto" w:fill="EFE0DF"/>
    </w:rPr>
  </w:style>
  <w:style w:type="character" w:customStyle="1" w:styleId="Adam">
    <w:name w:val="Adam"/>
    <w:basedOn w:val="DefaultParagraphFont"/>
    <w:uiPriority w:val="1"/>
    <w:qFormat/>
    <w:rsid w:val="007B6745"/>
    <w:rPr>
      <w:bdr w:val="none" w:sz="0" w:space="0" w:color="auto" w:frame="1"/>
      <w:shd w:val="clear" w:color="auto" w:fill="D0F1F7"/>
    </w:rPr>
  </w:style>
  <w:style w:type="paragraph" w:customStyle="1" w:styleId="Tablenotes0">
    <w:name w:val="Table notes"/>
    <w:basedOn w:val="TableTextleft"/>
    <w:qFormat/>
    <w:rsid w:val="007B6745"/>
    <w:pPr>
      <w:spacing w:after="40"/>
      <w:jc w:val="left"/>
    </w:pPr>
    <w:rPr>
      <w:sz w:val="16"/>
    </w:rPr>
  </w:style>
  <w:style w:type="numbering" w:customStyle="1" w:styleId="Numberlist">
    <w:name w:val="Number list"/>
    <w:uiPriority w:val="99"/>
    <w:rsid w:val="007B6745"/>
    <w:pPr>
      <w:numPr>
        <w:numId w:val="34"/>
      </w:numPr>
    </w:pPr>
  </w:style>
  <w:style w:type="table" w:styleId="GridTableLight">
    <w:name w:val="Grid Table Light"/>
    <w:basedOn w:val="TableNormal"/>
    <w:uiPriority w:val="40"/>
    <w:rsid w:val="004945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TableSubTitle">
    <w:name w:val="BTableSubTitle"/>
    <w:basedOn w:val="TableSubtitle"/>
    <w:link w:val="BTableSubTitleChar"/>
    <w:rsid w:val="008E6F87"/>
    <w:pPr>
      <w:framePr w:hSpace="187" w:wrap="around" w:vAnchor="text" w:hAnchor="margin" w:xAlign="center" w:y="1"/>
    </w:pPr>
    <w:rPr>
      <w:color w:val="000000" w:themeColor="text1"/>
    </w:rPr>
  </w:style>
  <w:style w:type="character" w:customStyle="1" w:styleId="TableSubtitleChar">
    <w:name w:val="TableSubtitle Char"/>
    <w:basedOn w:val="DefaultParagraphFont"/>
    <w:link w:val="TableSubtitle"/>
    <w:rsid w:val="00455EFA"/>
    <w:rPr>
      <w:rFonts w:ascii="Arial" w:hAnsi="Arial" w:cs="Arial"/>
      <w:b/>
      <w:bCs/>
      <w:color w:val="FFFFFF" w:themeColor="background1"/>
      <w:sz w:val="18"/>
      <w:szCs w:val="18"/>
    </w:rPr>
  </w:style>
  <w:style w:type="character" w:customStyle="1" w:styleId="BTableSubTitleChar">
    <w:name w:val="BTableSubTitle Char"/>
    <w:basedOn w:val="TableSubtitleChar"/>
    <w:link w:val="BTableSubTitle"/>
    <w:rsid w:val="008E6F87"/>
    <w:rPr>
      <w:rFonts w:ascii="Arial" w:hAnsi="Arial" w:cs="Arial"/>
      <w:b/>
      <w:bCs/>
      <w:color w:val="000000" w:themeColor="text1"/>
      <w:sz w:val="18"/>
      <w:szCs w:val="18"/>
    </w:rPr>
  </w:style>
  <w:style w:type="paragraph" w:customStyle="1" w:styleId="BSUBT">
    <w:name w:val="BSUBT"/>
    <w:basedOn w:val="TableSubtitle"/>
    <w:link w:val="BSUBTChar"/>
    <w:qFormat/>
    <w:rsid w:val="00BB18B6"/>
    <w:rPr>
      <w:color w:val="000000" w:themeColor="text1"/>
    </w:rPr>
  </w:style>
  <w:style w:type="character" w:customStyle="1" w:styleId="BSUBTChar">
    <w:name w:val="BSUBT Char"/>
    <w:basedOn w:val="TableSubtitleChar"/>
    <w:link w:val="BSUBT"/>
    <w:rsid w:val="00BB18B6"/>
    <w:rPr>
      <w:rFonts w:ascii="Arial" w:hAnsi="Arial" w:cs="Arial"/>
      <w:b/>
      <w:bC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image" Target="media/image2.emf" /><Relationship Id="rId14" Type="http://schemas.openxmlformats.org/officeDocument/2006/relationships/image" Target="media/image3.png" /><Relationship Id="rId15" Type="http://schemas.openxmlformats.org/officeDocument/2006/relationships/image" Target="media/image4.wmf" /><Relationship Id="rId16" Type="http://schemas.openxmlformats.org/officeDocument/2006/relationships/header" Target="header2.xml" /><Relationship Id="rId17" Type="http://schemas.openxmlformats.org/officeDocument/2006/relationships/footer" Target="footer2.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image" Target="media/image5.png" /><Relationship Id="rId22" Type="http://schemas.openxmlformats.org/officeDocument/2006/relationships/image" Target="media/image6.svg" /><Relationship Id="rId23" Type="http://schemas.openxmlformats.org/officeDocument/2006/relationships/footer" Target="footer6.xml" /><Relationship Id="rId24" Type="http://schemas.openxmlformats.org/officeDocument/2006/relationships/footer" Target="footer7.xml" /><Relationship Id="rId25" Type="http://schemas.openxmlformats.org/officeDocument/2006/relationships/hyperlink" Target="https://www.osha.gov/pls/oshaweb/owadisp.show_document?p_table=standards&amp;p_id=12716" TargetMode="External" /><Relationship Id="rId26" Type="http://schemas.openxmlformats.org/officeDocument/2006/relationships/header" Target="header3.xml" /><Relationship Id="rId27" Type="http://schemas.openxmlformats.org/officeDocument/2006/relationships/footer" Target="footer8.xml" /><Relationship Id="rId28" Type="http://schemas.openxmlformats.org/officeDocument/2006/relationships/image" Target="media/image7.png" /><Relationship Id="rId29" Type="http://schemas.openxmlformats.org/officeDocument/2006/relationships/image" Target="media/image8.png" /><Relationship Id="rId3" Type="http://schemas.openxmlformats.org/officeDocument/2006/relationships/webSettings" Target="webSettings.xml" /><Relationship Id="rId30" Type="http://schemas.openxmlformats.org/officeDocument/2006/relationships/image" Target="media/image9.png" /><Relationship Id="rId31" Type="http://schemas.openxmlformats.org/officeDocument/2006/relationships/image" Target="media/image10.png" /><Relationship Id="rId32" Type="http://schemas.openxmlformats.org/officeDocument/2006/relationships/image" Target="media/image11.png" /><Relationship Id="rId33" Type="http://schemas.openxmlformats.org/officeDocument/2006/relationships/image" Target="media/image12.png" /><Relationship Id="rId34" Type="http://schemas.openxmlformats.org/officeDocument/2006/relationships/image" Target="media/image13.png" /><Relationship Id="rId35" Type="http://schemas.openxmlformats.org/officeDocument/2006/relationships/hyperlink" Target="https://www.officesupply.com/cleaning-breakroom/first-safety-security/safety/safety-masks/particulate-respirator-cool-flow-exhalation-valve-standard-size/p22382.html" TargetMode="External" /><Relationship Id="rId36" Type="http://schemas.openxmlformats.org/officeDocument/2006/relationships/hyperlink" Target="https://www.pigments.org/news-resources/pigment-faqs/" TargetMode="External" /><Relationship Id="rId37" Type="http://schemas.openxmlformats.org/officeDocument/2006/relationships/hyperlink" Target="https://www.zefon.com/filter-pvc-50m-37mm-100pk" TargetMode="External" /><Relationship Id="rId38" Type="http://schemas.openxmlformats.org/officeDocument/2006/relationships/hyperlink" Target="https://www.gtmidwest.com/2314468/Product/3mtrade-7000002056" TargetMode="External" /><Relationship Id="rId39" Type="http://schemas.openxmlformats.org/officeDocument/2006/relationships/hyperlink" Target="https://www.hillas.com/Categories/3M-Class-95-Particulate-Respirators/3M-Particulate-Respirator-8511-N95-80-EA-Case.html?srsltid=AfmBOoruYmEUjsdmsykEmpcOLYokC_qTyHkPDUk-Ruc6smrWJjNamK6L" TargetMode="External" /><Relationship Id="rId4" Type="http://schemas.openxmlformats.org/officeDocument/2006/relationships/fontTable" Target="fontTable.xml" /><Relationship Id="rId40" Type="http://schemas.openxmlformats.org/officeDocument/2006/relationships/hyperlink" Target="https://www.industrialsafetyproducts.com/3m-8511-particulate-respirator-n95-80-ea-case/" TargetMode="External" /><Relationship Id="rId41" Type="http://schemas.openxmlformats.org/officeDocument/2006/relationships/hyperlink" Target="https://www.sgsgalson.com/sag-detail/std/Respirable+Dust/NA/" TargetMode="External" /><Relationship Id="rId42" Type="http://schemas.openxmlformats.org/officeDocument/2006/relationships/hyperlink" Target="https://www.skcinc.com/products/filter-cassette-clear-styrene-37-mm" TargetMode="External" /><Relationship Id="rId43" Type="http://schemas.openxmlformats.org/officeDocument/2006/relationships/hyperlink" Target="https://www.stauffersafety.com/Product/3m-8511-n95-particulate-respirator-mask-cool-flow-exhalation-valve-558144" TargetMode="External" /><Relationship Id="rId44" Type="http://schemas.openxmlformats.org/officeDocument/2006/relationships/hyperlink" Target="https://www.sterlitech.com/static-eliminator-static.html" TargetMode="External" /><Relationship Id="rId45" Type="http://schemas.openxmlformats.org/officeDocument/2006/relationships/hyperlink" Target="https://www.strobelssupply.com/3m-particulate-respirator-8511-n95-80-ea-case/?gad_source=1&amp;gclid=Cj0KCQjw1Yy5BhD-ARIsAI0RbXZ1GIqwS2FS2nuptQqVQDU9_bqlXnZ2YbmtD0_G3T0LSN5zrkHnccoaAh4NEALw_wcB" TargetMode="External" /><Relationship Id="rId46" Type="http://schemas.openxmlformats.org/officeDocument/2006/relationships/hyperlink" Target="https://paintspot.ca/art-supplies/uncategorized/ds057-perylene-violet/" TargetMode="External" /><Relationship Id="rId47" Type="http://schemas.openxmlformats.org/officeDocument/2006/relationships/hyperlink" Target="https://fred.stlouisfed.org/series/GDPC1" TargetMode="External" /><Relationship Id="rId48" Type="http://schemas.openxmlformats.org/officeDocument/2006/relationships/hyperlink" Target="https://chemview.epa.gov/chemview" TargetMode="External" /><Relationship Id="rId49" Type="http://schemas.openxmlformats.org/officeDocument/2006/relationships/hyperlink" Target="https://carpetrecovery.org/cri-statement-on-vps-program/" TargetMode="External" /><Relationship Id="rId5" Type="http://schemas.openxmlformats.org/officeDocument/2006/relationships/customXml" Target="../customXml/item1.xml" /><Relationship Id="rId50" Type="http://schemas.openxmlformats.org/officeDocument/2006/relationships/theme" Target="theme/theme1.xml" /><Relationship Id="rId51" Type="http://schemas.openxmlformats.org/officeDocument/2006/relationships/numbering" Target="numbering.xml" /><Relationship Id="rId52" Type="http://schemas.openxmlformats.org/officeDocument/2006/relationships/styles" Target="styles.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epa.gov/sites/default/files/2016-06/documents/ejtg_5_6_16_v5.1.pdf" TargetMode="External" /><Relationship Id="rId2" Type="http://schemas.openxmlformats.org/officeDocument/2006/relationships/hyperlink" Target="https://web.a-r-a.org/search" TargetMode="External" /><Relationship Id="rId3" Type="http://schemas.openxmlformats.org/officeDocument/2006/relationships/hyperlink" Target="https://carpetrecovery.org/recovery-effort/collector-finder-map/" TargetMode="External" /></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b:Source>
    <b:Tag>USC23</b:Tag>
    <b:SourceType>Misc</b:SourceType>
    <b:Guid>{7ECB3EAE-B13A-264B-9581-13279034E6E0}</b:Guid>
    <b:Author>
      <b:Author>
        <b:Corporate>U.S. Census Bureau</b:Corporate>
      </b:Author>
    </b:Author>
    <b:Title>The Number of Firms and Establishments, Employment, and Annual Payroll by State, Industry, and Enterprise Employment Size: 2021</b:Title>
    <b:Year>2023</b:Year>
    <b:PublicationTitle>Statistics on U.S. Businesses County Business Patterns</b:PublicationTitle>
    <b:RefOrder>1</b:RefOrder>
  </b:Source>
</b:Sourc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ategoryDescription xmlns="http://schemas.microsoft.com/sharepoint.v3" xsi:nil="true"/>
    <TaxCatchAll xmlns="4ffa91fb-a0ff-4ac5-b2db-65c790d184a4" xsi:nil="true"/>
    <FRN_x0020_List_x0020_Item_x0020_ID xmlns="118f882f-1e32-4cf2-ad69-9de43d57f4c6">5070</FRN_x0020_List_x0020_Item_x0020_I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AC878-5148-47D7-B4E6-2B0923215911}">
  <ds:schemaRefs>
    <ds:schemaRef ds:uri="http://schemas.openxmlformats.org/officeDocument/2006/bibliography"/>
  </ds:schemaRefs>
</ds:datastoreItem>
</file>

<file path=customXml/itemProps2.xml><?xml version="1.0" encoding="utf-8"?>
<ds:datastoreItem xmlns:ds="http://schemas.openxmlformats.org/officeDocument/2006/customXml" ds:itemID="{0F05E525-CBEA-4DD3-A6C0-2B59DD7B4E2C}">
  <ds:schemaRefs>
    <ds:schemaRef ds:uri="Microsoft.SharePoint.Taxonomy.ContentTypeSync"/>
  </ds:schemaRefs>
</ds:datastoreItem>
</file>

<file path=customXml/itemProps3.xml><?xml version="1.0" encoding="utf-8"?>
<ds:datastoreItem xmlns:ds="http://schemas.openxmlformats.org/officeDocument/2006/customXml" ds:itemID="{A2B12DFC-95BC-4B6D-A7E2-274C1E4ADA88}">
  <ds:schemaRefs>
    <ds:schemaRef ds:uri="http://schemas.microsoft.com/sharepoint/v3/contenttype/forms"/>
  </ds:schemaRefs>
</ds:datastoreItem>
</file>

<file path=customXml/itemProps4.xml><?xml version="1.0" encoding="utf-8"?>
<ds:datastoreItem xmlns:ds="http://schemas.openxmlformats.org/officeDocument/2006/customXml" ds:itemID="{E737E78A-02BC-47D0-A7A8-E20EC6AD4BA0}">
  <ds:schemaRefs>
    <ds:schemaRef ds:uri="http://schemas.microsoft.com/office/infopath/2007/PartnerControls"/>
    <ds:schemaRef ds:uri="http://schemas.microsoft.com/sharepoint/v3"/>
    <ds:schemaRef ds:uri="http://www.w3.org/XML/1998/namespace"/>
    <ds:schemaRef ds:uri="http://schemas.microsoft.com/office/2006/documentManagement/types"/>
    <ds:schemaRef ds:uri="118f882f-1e32-4cf2-ad69-9de43d57f4c6"/>
    <ds:schemaRef ds:uri="http://schemas.microsoft.com/sharepoint.v3"/>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a5d1ca4e-0a3f-4119-b619-e20b93ebd1aa"/>
    <ds:schemaRef ds:uri="4ffa91fb-a0ff-4ac5-b2db-65c790d184a4"/>
  </ds:schemaRefs>
</ds:datastoreItem>
</file>

<file path=customXml/itemProps5.xml><?xml version="1.0" encoding="utf-8"?>
<ds:datastoreItem xmlns:ds="http://schemas.openxmlformats.org/officeDocument/2006/customXml" ds:itemID="{BE3E4C53-AB77-4EFA-94D6-E8FE6B34B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53825</Words>
  <Characters>306809</Characters>
  <Application>Microsoft Office Word</Application>
  <DocSecurity>0</DocSecurity>
  <Lines>2556</Lines>
  <Paragraphs>719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Blake-Hedges, Lynne</dc:creator>
  <cp:lastModifiedBy>Katherine Sleasman</cp:lastModifiedBy>
  <cp:revision>2</cp:revision>
  <cp:lastPrinted>2024-12-05T19:18:00Z</cp:lastPrinted>
  <dcterms:created xsi:type="dcterms:W3CDTF">2024-12-13T17:09:00Z</dcterms:created>
  <dcterms:modified xsi:type="dcterms:W3CDTF">2024-12-13T17:09:00Z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MediaServiceImageTags">
    <vt:lpwstr/>
  </property>
  <property fmtid="{D5CDD505-2E9C-101B-9397-08002B2CF9AE}" pid="9" name="TaxKeyword">
    <vt:lpwstr/>
  </property>
</Properties>
</file>