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4E0C" w:rsidRPr="00552F18" w:rsidP="00552F18" w14:paraId="7CC00BBE" w14:textId="742FDD9D">
      <w:pPr>
        <w:pStyle w:val="Title"/>
        <w:jc w:val="center"/>
        <w:rPr>
          <w:rFonts w:eastAsia="Calibri" w:asciiTheme="minorHAnsi" w:hAnsiTheme="minorHAnsi" w:cstheme="minorHAnsi"/>
          <w:sz w:val="24"/>
          <w:szCs w:val="24"/>
        </w:rPr>
      </w:pPr>
      <w:bookmarkStart w:id="0" w:name="_Toc49148152"/>
      <w:r w:rsidRPr="00552F18">
        <w:rPr>
          <w:rFonts w:eastAsia="Calibri" w:asciiTheme="minorHAnsi" w:hAnsiTheme="minorHAnsi" w:cstheme="minorHAnsi"/>
          <w:b/>
          <w:bCs/>
          <w:color w:val="auto"/>
          <w:sz w:val="24"/>
          <w:szCs w:val="24"/>
        </w:rPr>
        <w:t>Supporting Statement for an Information Collection Request (ICR)</w:t>
      </w:r>
      <w:r w:rsidRPr="00552F18">
        <w:rPr>
          <w:rFonts w:asciiTheme="minorHAnsi" w:hAnsiTheme="minorHAnsi" w:cstheme="minorHAnsi"/>
          <w:color w:val="auto"/>
          <w:sz w:val="24"/>
          <w:szCs w:val="24"/>
        </w:rPr>
        <w:br/>
      </w:r>
      <w:r w:rsidRPr="00552F18">
        <w:rPr>
          <w:rFonts w:eastAsia="Calibri" w:asciiTheme="minorHAnsi" w:hAnsiTheme="minorHAnsi" w:cstheme="minorHAnsi"/>
          <w:b/>
          <w:bCs/>
          <w:color w:val="auto"/>
          <w:sz w:val="24"/>
          <w:szCs w:val="24"/>
        </w:rPr>
        <w:t>Under the Paperwork Reduction Act (PRA)</w:t>
      </w:r>
    </w:p>
    <w:p w:rsidR="00EA0D20" w:rsidRPr="00552F18" w:rsidP="00552F18" w14:paraId="6338AAE9" w14:textId="7E74448B">
      <w:pPr>
        <w:pStyle w:val="Heading1"/>
      </w:pPr>
      <w:r w:rsidRPr="00552F18">
        <w:t>EXECUTIVE</w:t>
      </w:r>
      <w:r w:rsidRPr="6EC315A9">
        <w:t xml:space="preserve"> SUMMARY</w:t>
      </w:r>
    </w:p>
    <w:p w:rsidR="00EA0D20" w:rsidP="0021463B" w14:paraId="77D1C27C" w14:textId="29BE2FFE">
      <w:pPr>
        <w:pStyle w:val="Heading2"/>
      </w:pPr>
      <w:r w:rsidRPr="6EC315A9">
        <w:t>Identification of the Information Collection – Title and Numbers</w:t>
      </w:r>
    </w:p>
    <w:tbl>
      <w:tblPr>
        <w:tblStyle w:val="TableGrid"/>
        <w:tblW w:w="9270" w:type="dxa"/>
        <w:tblInd w:w="90" w:type="dxa"/>
        <w:tblBorders>
          <w:top w:val="single" w:sz="6" w:space="0" w:color="auto"/>
          <w:left w:val="single" w:sz="6" w:space="0" w:color="auto"/>
          <w:bottom w:val="single" w:sz="6" w:space="0" w:color="auto"/>
          <w:right w:val="single" w:sz="6" w:space="0" w:color="auto"/>
        </w:tblBorders>
        <w:tblLayout w:type="fixed"/>
        <w:tblLook w:val="04A0"/>
      </w:tblPr>
      <w:tblGrid>
        <w:gridCol w:w="1890"/>
        <w:gridCol w:w="7380"/>
      </w:tblGrid>
      <w:tr w14:paraId="10F27EF2" w14:textId="77777777" w:rsidTr="0021463B">
        <w:tblPrEx>
          <w:tblW w:w="9270" w:type="dxa"/>
          <w:tblInd w:w="90" w:type="dxa"/>
          <w:tblBorders>
            <w:top w:val="single" w:sz="6" w:space="0" w:color="auto"/>
            <w:left w:val="single" w:sz="6" w:space="0" w:color="auto"/>
            <w:bottom w:val="single" w:sz="6" w:space="0" w:color="auto"/>
            <w:right w:val="single" w:sz="6" w:space="0" w:color="auto"/>
          </w:tblBorders>
          <w:tblLayout w:type="fixed"/>
          <w:tblLook w:val="04A0"/>
        </w:tblPrEx>
        <w:trPr>
          <w:trHeight w:val="615"/>
        </w:trPr>
        <w:tc>
          <w:tcPr>
            <w:tcW w:w="1890" w:type="dxa"/>
            <w:tcBorders>
              <w:top w:val="nil"/>
              <w:left w:val="nil"/>
              <w:bottom w:val="nil"/>
              <w:right w:val="nil"/>
            </w:tcBorders>
            <w:tcMar>
              <w:left w:w="105" w:type="dxa"/>
              <w:right w:w="105" w:type="dxa"/>
            </w:tcMar>
          </w:tcPr>
          <w:p w:rsidR="6EC315A9" w14:paraId="099C03CF" w14:textId="7FB538F2">
            <w:pPr>
              <w:rPr>
                <w:rFonts w:ascii="Calibri" w:eastAsia="Calibri" w:hAnsi="Calibri" w:cs="Calibri"/>
                <w:color w:val="000000" w:themeColor="text1"/>
              </w:rPr>
            </w:pPr>
            <w:r w:rsidRPr="6EC315A9">
              <w:rPr>
                <w:rFonts w:ascii="Calibri" w:eastAsia="Calibri" w:hAnsi="Calibri" w:cs="Calibri"/>
                <w:b/>
                <w:bCs/>
                <w:color w:val="000000" w:themeColor="text1"/>
              </w:rPr>
              <w:t>Title:</w:t>
            </w:r>
          </w:p>
        </w:tc>
        <w:tc>
          <w:tcPr>
            <w:tcW w:w="7380" w:type="dxa"/>
            <w:tcBorders>
              <w:top w:val="nil"/>
              <w:left w:val="nil"/>
              <w:bottom w:val="nil"/>
              <w:right w:val="nil"/>
            </w:tcBorders>
            <w:tcMar>
              <w:left w:w="105" w:type="dxa"/>
              <w:right w:w="105" w:type="dxa"/>
            </w:tcMar>
          </w:tcPr>
          <w:p w:rsidR="6EC315A9" w14:paraId="40D8CC3D" w14:textId="2E6A3532">
            <w:pPr>
              <w:rPr>
                <w:rFonts w:ascii="Calibri" w:eastAsia="Calibri" w:hAnsi="Calibri" w:cs="Calibri"/>
                <w:color w:val="000000" w:themeColor="text1"/>
              </w:rPr>
            </w:pPr>
            <w:r w:rsidRPr="6EC315A9">
              <w:rPr>
                <w:rFonts w:ascii="Calibri" w:eastAsia="Calibri" w:hAnsi="Calibri" w:cs="Calibri"/>
                <w:color w:val="000000" w:themeColor="text1"/>
              </w:rPr>
              <w:t>C.I. Pigment Violet 29 (PV29); Regulation under the Toxic Substances Control Act (TSCA)</w:t>
            </w:r>
          </w:p>
        </w:tc>
      </w:tr>
      <w:tr w14:paraId="1CECA709" w14:textId="77777777" w:rsidTr="0021463B">
        <w:tblPrEx>
          <w:tblW w:w="9270" w:type="dxa"/>
          <w:tblInd w:w="90" w:type="dxa"/>
          <w:tblLayout w:type="fixed"/>
          <w:tblLook w:val="04A0"/>
        </w:tblPrEx>
        <w:trPr>
          <w:trHeight w:val="510"/>
        </w:trPr>
        <w:tc>
          <w:tcPr>
            <w:tcW w:w="1890" w:type="dxa"/>
            <w:tcBorders>
              <w:top w:val="nil"/>
              <w:left w:val="nil"/>
              <w:bottom w:val="nil"/>
              <w:right w:val="nil"/>
            </w:tcBorders>
            <w:tcMar>
              <w:left w:w="105" w:type="dxa"/>
              <w:right w:w="105" w:type="dxa"/>
            </w:tcMar>
          </w:tcPr>
          <w:p w:rsidR="6EC315A9" w14:paraId="4AF82E55" w14:textId="342BF82E">
            <w:pPr>
              <w:rPr>
                <w:rFonts w:ascii="Calibri" w:eastAsia="Calibri" w:hAnsi="Calibri" w:cs="Calibri"/>
                <w:color w:val="000000" w:themeColor="text1"/>
              </w:rPr>
            </w:pPr>
            <w:r w:rsidRPr="6EC315A9">
              <w:rPr>
                <w:rFonts w:ascii="Calibri" w:eastAsia="Calibri" w:hAnsi="Calibri" w:cs="Calibri"/>
                <w:b/>
                <w:bCs/>
                <w:color w:val="000000" w:themeColor="text1"/>
              </w:rPr>
              <w:t>EPA ICR No.:</w:t>
            </w:r>
          </w:p>
        </w:tc>
        <w:tc>
          <w:tcPr>
            <w:tcW w:w="7380" w:type="dxa"/>
            <w:tcBorders>
              <w:top w:val="nil"/>
              <w:left w:val="nil"/>
              <w:bottom w:val="nil"/>
              <w:right w:val="nil"/>
            </w:tcBorders>
            <w:tcMar>
              <w:left w:w="105" w:type="dxa"/>
              <w:right w:w="105" w:type="dxa"/>
            </w:tcMar>
          </w:tcPr>
          <w:p w:rsidR="6EC315A9" w:rsidRPr="0021463B" w14:paraId="07A8A9C3" w14:textId="1E3FBB4D">
            <w:pPr>
              <w:rPr>
                <w:rFonts w:ascii="Calibri" w:eastAsia="Calibri" w:hAnsi="Calibri" w:cs="Calibri"/>
              </w:rPr>
            </w:pPr>
            <w:r w:rsidRPr="0021463B">
              <w:rPr>
                <w:rFonts w:ascii="Calibri" w:eastAsia="Calibri" w:hAnsi="Calibri" w:cs="Calibri"/>
              </w:rPr>
              <w:t>7797.01</w:t>
            </w:r>
          </w:p>
        </w:tc>
      </w:tr>
      <w:tr w14:paraId="03929A20" w14:textId="77777777" w:rsidTr="0021463B">
        <w:tblPrEx>
          <w:tblW w:w="9270" w:type="dxa"/>
          <w:tblInd w:w="90" w:type="dxa"/>
          <w:tblLayout w:type="fixed"/>
          <w:tblLook w:val="04A0"/>
        </w:tblPrEx>
        <w:trPr>
          <w:trHeight w:val="510"/>
        </w:trPr>
        <w:tc>
          <w:tcPr>
            <w:tcW w:w="1890" w:type="dxa"/>
            <w:tcBorders>
              <w:top w:val="nil"/>
              <w:left w:val="nil"/>
              <w:bottom w:val="nil"/>
              <w:right w:val="nil"/>
            </w:tcBorders>
            <w:tcMar>
              <w:left w:w="105" w:type="dxa"/>
              <w:right w:w="105" w:type="dxa"/>
            </w:tcMar>
          </w:tcPr>
          <w:p w:rsidR="6EC315A9" w14:paraId="72B1717E" w14:textId="7EE0FEA8">
            <w:pPr>
              <w:rPr>
                <w:rFonts w:ascii="Calibri" w:eastAsia="Calibri" w:hAnsi="Calibri" w:cs="Calibri"/>
                <w:color w:val="000000" w:themeColor="text1"/>
              </w:rPr>
            </w:pPr>
            <w:r w:rsidRPr="6EC315A9">
              <w:rPr>
                <w:rFonts w:ascii="Calibri" w:eastAsia="Calibri" w:hAnsi="Calibri" w:cs="Calibri"/>
                <w:b/>
                <w:bCs/>
                <w:color w:val="000000" w:themeColor="text1"/>
              </w:rPr>
              <w:t>OMB Control No.:</w:t>
            </w:r>
          </w:p>
        </w:tc>
        <w:tc>
          <w:tcPr>
            <w:tcW w:w="7380" w:type="dxa"/>
            <w:tcBorders>
              <w:top w:val="nil"/>
              <w:left w:val="nil"/>
              <w:bottom w:val="nil"/>
              <w:right w:val="nil"/>
            </w:tcBorders>
            <w:tcMar>
              <w:left w:w="105" w:type="dxa"/>
              <w:right w:w="105" w:type="dxa"/>
            </w:tcMar>
          </w:tcPr>
          <w:p w:rsidR="6EC315A9" w14:paraId="3C648560" w14:textId="6C5E1936">
            <w:pPr>
              <w:rPr>
                <w:rFonts w:ascii="Calibri" w:eastAsia="Calibri" w:hAnsi="Calibri" w:cs="Calibri"/>
                <w:color w:val="000000" w:themeColor="text1"/>
              </w:rPr>
            </w:pPr>
            <w:r w:rsidRPr="6EC315A9">
              <w:rPr>
                <w:rFonts w:ascii="Calibri" w:eastAsia="Calibri" w:hAnsi="Calibri" w:cs="Calibri"/>
                <w:color w:val="000000" w:themeColor="text1"/>
              </w:rPr>
              <w:t>2070-NEW</w:t>
            </w:r>
          </w:p>
        </w:tc>
      </w:tr>
      <w:tr w14:paraId="25BD4476" w14:textId="77777777" w:rsidTr="0021463B">
        <w:tblPrEx>
          <w:tblW w:w="9270" w:type="dxa"/>
          <w:tblInd w:w="90" w:type="dxa"/>
          <w:tblLayout w:type="fixed"/>
          <w:tblLook w:val="04A0"/>
        </w:tblPrEx>
        <w:trPr>
          <w:trHeight w:val="600"/>
        </w:trPr>
        <w:tc>
          <w:tcPr>
            <w:tcW w:w="1890" w:type="dxa"/>
            <w:tcBorders>
              <w:top w:val="nil"/>
              <w:left w:val="nil"/>
              <w:bottom w:val="nil"/>
              <w:right w:val="nil"/>
            </w:tcBorders>
            <w:tcMar>
              <w:left w:w="105" w:type="dxa"/>
              <w:right w:w="105" w:type="dxa"/>
            </w:tcMar>
          </w:tcPr>
          <w:p w:rsidR="6EC315A9" w14:paraId="2FFE8D63" w14:textId="15FBCAB6">
            <w:pPr>
              <w:rPr>
                <w:rFonts w:ascii="Calibri" w:eastAsia="Calibri" w:hAnsi="Calibri" w:cs="Calibri"/>
                <w:color w:val="000000" w:themeColor="text1"/>
              </w:rPr>
            </w:pPr>
            <w:r w:rsidRPr="6EC315A9">
              <w:rPr>
                <w:rFonts w:ascii="Calibri" w:eastAsia="Calibri" w:hAnsi="Calibri" w:cs="Calibri"/>
                <w:b/>
                <w:bCs/>
                <w:color w:val="000000" w:themeColor="text1"/>
              </w:rPr>
              <w:t>Docket ID No.:</w:t>
            </w:r>
          </w:p>
        </w:tc>
        <w:tc>
          <w:tcPr>
            <w:tcW w:w="7380" w:type="dxa"/>
            <w:tcBorders>
              <w:top w:val="nil"/>
              <w:left w:val="nil"/>
              <w:bottom w:val="nil"/>
              <w:right w:val="nil"/>
            </w:tcBorders>
            <w:tcMar>
              <w:left w:w="105" w:type="dxa"/>
              <w:right w:w="105" w:type="dxa"/>
            </w:tcMar>
          </w:tcPr>
          <w:p w:rsidR="400D0F2D" w:rsidP="6EC315A9" w14:paraId="02AD04B4" w14:textId="3308FDCF">
            <w:pPr>
              <w:rPr>
                <w:rFonts w:ascii="Calibri" w:eastAsia="Calibri" w:hAnsi="Calibri" w:cs="Calibri"/>
                <w:color w:val="000000" w:themeColor="text1"/>
              </w:rPr>
            </w:pPr>
            <w:r w:rsidRPr="6EC315A9">
              <w:rPr>
                <w:color w:val="000000" w:themeColor="text1"/>
              </w:rPr>
              <w:t>EPA-HQ-OPPT-2021-0277</w:t>
            </w:r>
            <w:r w:rsidRPr="6EC315A9" w:rsidR="6EC315A9">
              <w:rPr>
                <w:rFonts w:ascii="Calibri" w:eastAsia="Calibri" w:hAnsi="Calibri" w:cs="Calibri"/>
                <w:color w:val="0000FF"/>
              </w:rPr>
              <w:t xml:space="preserve"> </w:t>
            </w:r>
          </w:p>
        </w:tc>
      </w:tr>
    </w:tbl>
    <w:p w:rsidR="00A801EB" w:rsidRPr="00552F18" w:rsidP="00552F18" w14:paraId="6CEAA72F" w14:textId="0A5729B6">
      <w:pPr>
        <w:pStyle w:val="Heading2"/>
      </w:pPr>
      <w:r w:rsidRPr="009D7153">
        <w:t>Abstract:</w:t>
      </w:r>
    </w:p>
    <w:p w:rsidR="00A801EB" w:rsidP="009D7153" w14:paraId="3C9AA62A" w14:textId="38C177BF">
      <w:pPr>
        <w:spacing w:after="0"/>
        <w:rPr>
          <w:color w:val="000000" w:themeColor="text1"/>
        </w:rPr>
      </w:pPr>
      <w:r w:rsidRPr="6EC315A9">
        <w:rPr>
          <w:color w:val="000000" w:themeColor="text1"/>
        </w:rPr>
        <w:t xml:space="preserve">The Environmental Protection Agency (EPA) proposed a rule under section 6 of the Toxic Substances Control Act (TSCA) to address the unreasonable risk to human health presented by </w:t>
      </w:r>
      <w:r w:rsidRPr="6EC315A9" w:rsidR="003C3003">
        <w:rPr>
          <w:color w:val="000000" w:themeColor="text1"/>
        </w:rPr>
        <w:t>C.I. Pigment Violet 29 (PV29)</w:t>
      </w:r>
      <w:r w:rsidRPr="6EC315A9">
        <w:rPr>
          <w:color w:val="000000" w:themeColor="text1"/>
        </w:rPr>
        <w:t xml:space="preserve"> under its conditions of use. The proposed rule would: </w:t>
      </w:r>
    </w:p>
    <w:p w:rsidR="009D7153" w:rsidRPr="00A801EB" w:rsidP="00552F18" w14:paraId="01AC061A" w14:textId="77777777">
      <w:pPr>
        <w:spacing w:after="0"/>
        <w:rPr>
          <w:color w:val="000000"/>
        </w:rPr>
      </w:pPr>
    </w:p>
    <w:p w:rsidR="00A41B82" w:rsidP="00552F18" w14:paraId="51996C5F" w14:textId="77777777">
      <w:pPr>
        <w:pStyle w:val="ListParagraph"/>
        <w:numPr>
          <w:ilvl w:val="0"/>
          <w:numId w:val="39"/>
        </w:numPr>
        <w:spacing w:after="0"/>
        <w:rPr>
          <w:color w:val="000000"/>
        </w:rPr>
      </w:pPr>
      <w:r w:rsidRPr="00A41B82">
        <w:rPr>
          <w:color w:val="000000"/>
        </w:rPr>
        <w:t>R</w:t>
      </w:r>
      <w:r w:rsidRPr="00A41B82" w:rsidR="00A801EB">
        <w:rPr>
          <w:color w:val="000000"/>
        </w:rPr>
        <w:t xml:space="preserve">equire prescriptive controls for certain occupational conditions of use of </w:t>
      </w:r>
      <w:r w:rsidRPr="00A41B82">
        <w:rPr>
          <w:color w:val="000000"/>
        </w:rPr>
        <w:t>PV29</w:t>
      </w:r>
      <w:r w:rsidRPr="00A41B82" w:rsidR="00A801EB">
        <w:rPr>
          <w:color w:val="000000"/>
        </w:rPr>
        <w:t>;</w:t>
      </w:r>
      <w:r w:rsidRPr="00A41B82">
        <w:rPr>
          <w:color w:val="000000"/>
        </w:rPr>
        <w:t xml:space="preserve"> and</w:t>
      </w:r>
      <w:r w:rsidRPr="00A41B82" w:rsidR="00A801EB">
        <w:rPr>
          <w:color w:val="000000"/>
        </w:rPr>
        <w:t xml:space="preserve"> </w:t>
      </w:r>
    </w:p>
    <w:p w:rsidR="00A801EB" w:rsidRPr="00A41B82" w:rsidP="00552F18" w14:paraId="5CD7BEE3" w14:textId="731D194E">
      <w:pPr>
        <w:pStyle w:val="ListParagraph"/>
        <w:numPr>
          <w:ilvl w:val="0"/>
          <w:numId w:val="39"/>
        </w:numPr>
        <w:spacing w:after="0"/>
        <w:rPr>
          <w:color w:val="000000"/>
        </w:rPr>
      </w:pPr>
      <w:r w:rsidRPr="4B57A279">
        <w:rPr>
          <w:color w:val="000000" w:themeColor="text1"/>
        </w:rPr>
        <w:t>E</w:t>
      </w:r>
      <w:r w:rsidRPr="4B57A279">
        <w:rPr>
          <w:color w:val="000000" w:themeColor="text1"/>
        </w:rPr>
        <w:t xml:space="preserve">stablish recordkeeping and downstream notification requirements. </w:t>
      </w:r>
    </w:p>
    <w:p w:rsidR="009D7153" w:rsidP="009D7153" w14:paraId="169B70D3" w14:textId="77777777">
      <w:pPr>
        <w:spacing w:after="0"/>
        <w:rPr>
          <w:color w:val="000000" w:themeColor="text1"/>
        </w:rPr>
      </w:pPr>
    </w:p>
    <w:p w:rsidR="00A801EB" w:rsidP="009D7153" w14:paraId="5ED734D8" w14:textId="74CDCF6D">
      <w:pPr>
        <w:spacing w:after="0"/>
        <w:rPr>
          <w:color w:val="000000" w:themeColor="text1"/>
        </w:rPr>
      </w:pPr>
      <w:r w:rsidRPr="3254C678">
        <w:rPr>
          <w:color w:val="000000" w:themeColor="text1"/>
        </w:rPr>
        <w:t xml:space="preserve">The information collection activities contained in the proposed rule are: </w:t>
      </w:r>
    </w:p>
    <w:p w:rsidR="009D7153" w:rsidRPr="00A801EB" w:rsidP="00552F18" w14:paraId="7B0EBD06" w14:textId="77777777">
      <w:pPr>
        <w:spacing w:after="0"/>
        <w:rPr>
          <w:color w:val="000000"/>
        </w:rPr>
      </w:pPr>
    </w:p>
    <w:p w:rsidR="006F5FC2" w:rsidP="00552F18" w14:paraId="6D1EAA5C" w14:textId="77777777">
      <w:pPr>
        <w:pStyle w:val="ListParagraph"/>
        <w:numPr>
          <w:ilvl w:val="0"/>
          <w:numId w:val="39"/>
        </w:numPr>
        <w:spacing w:after="0"/>
        <w:rPr>
          <w:color w:val="000000"/>
        </w:rPr>
      </w:pPr>
      <w:r w:rsidRPr="00A41B82">
        <w:rPr>
          <w:color w:val="000000"/>
        </w:rPr>
        <w:t>Downstream notification requirements through Safety Data Sheets (SDS)</w:t>
      </w:r>
      <w:r w:rsidR="00A41B82">
        <w:rPr>
          <w:color w:val="000000"/>
        </w:rPr>
        <w:t xml:space="preserve"> and labels</w:t>
      </w:r>
      <w:r w:rsidRPr="00A41B82">
        <w:rPr>
          <w:color w:val="000000"/>
        </w:rPr>
        <w:t xml:space="preserve">, </w:t>
      </w:r>
    </w:p>
    <w:p w:rsidR="006F5FC2" w:rsidP="00552F18" w14:paraId="644FC087" w14:textId="77777777">
      <w:pPr>
        <w:pStyle w:val="ListParagraph"/>
        <w:numPr>
          <w:ilvl w:val="0"/>
          <w:numId w:val="39"/>
        </w:numPr>
        <w:spacing w:after="0"/>
        <w:rPr>
          <w:color w:val="000000"/>
        </w:rPr>
      </w:pPr>
      <w:r w:rsidRPr="006F5FC2">
        <w:rPr>
          <w:color w:val="000000"/>
        </w:rPr>
        <w:t>Prescriptive controls information</w:t>
      </w:r>
      <w:r w:rsidRPr="006F5FC2" w:rsidR="00A801EB">
        <w:rPr>
          <w:color w:val="000000"/>
        </w:rPr>
        <w:t xml:space="preserve"> generation, recordkeeping, and notification requirements, including: </w:t>
      </w:r>
    </w:p>
    <w:p w:rsidR="006F5FC2" w:rsidP="00552F18" w14:paraId="242913FD" w14:textId="3E60C101">
      <w:pPr>
        <w:pStyle w:val="ListParagraph"/>
        <w:numPr>
          <w:ilvl w:val="1"/>
          <w:numId w:val="39"/>
        </w:numPr>
        <w:spacing w:after="0"/>
        <w:rPr>
          <w:color w:val="000000"/>
        </w:rPr>
      </w:pPr>
      <w:r w:rsidRPr="4B57A279">
        <w:rPr>
          <w:color w:val="000000" w:themeColor="text1"/>
        </w:rPr>
        <w:t xml:space="preserve">Development of </w:t>
      </w:r>
      <w:r w:rsidRPr="4B57A279" w:rsidR="79D52003">
        <w:rPr>
          <w:color w:val="000000" w:themeColor="text1"/>
        </w:rPr>
        <w:t>documentation for appropriate respiratory protection and related recordkeeping</w:t>
      </w:r>
      <w:r w:rsidRPr="4B57A279">
        <w:rPr>
          <w:color w:val="000000" w:themeColor="text1"/>
        </w:rPr>
        <w:t>;</w:t>
      </w:r>
    </w:p>
    <w:p w:rsidR="006F5FC2" w:rsidP="00552F18" w14:paraId="7CB32CA1" w14:textId="34646A1B">
      <w:pPr>
        <w:pStyle w:val="ListParagraph"/>
        <w:numPr>
          <w:ilvl w:val="1"/>
          <w:numId w:val="39"/>
        </w:numPr>
        <w:spacing w:after="0"/>
        <w:rPr>
          <w:color w:val="000000"/>
        </w:rPr>
      </w:pPr>
      <w:r w:rsidRPr="4B57A279">
        <w:rPr>
          <w:color w:val="000000" w:themeColor="text1"/>
        </w:rPr>
        <w:t>Development and notification to potentially exposed persons (employees and others in the workplace) about appropriate respiratory protection and usage and related recordkeeping;</w:t>
      </w:r>
      <w:r w:rsidRPr="4B57A279" w:rsidR="0DE80FCB">
        <w:rPr>
          <w:color w:val="000000" w:themeColor="text1"/>
        </w:rPr>
        <w:t xml:space="preserve"> and</w:t>
      </w:r>
    </w:p>
    <w:p w:rsidR="00A801EB" w:rsidRPr="006F5FC2" w:rsidP="00552F18" w14:paraId="555172F3" w14:textId="7CB8B3FB">
      <w:pPr>
        <w:pStyle w:val="ListParagraph"/>
        <w:numPr>
          <w:ilvl w:val="1"/>
          <w:numId w:val="39"/>
        </w:numPr>
        <w:spacing w:after="0"/>
        <w:rPr>
          <w:color w:val="000000"/>
        </w:rPr>
      </w:pPr>
      <w:r>
        <w:rPr>
          <w:color w:val="000000"/>
        </w:rPr>
        <w:t xml:space="preserve">Development </w:t>
      </w:r>
      <w:r w:rsidR="00C8337A">
        <w:rPr>
          <w:color w:val="000000"/>
        </w:rPr>
        <w:t xml:space="preserve">and notification to potential exposed persons (employees and other in the workplace) about </w:t>
      </w:r>
      <w:r>
        <w:rPr>
          <w:color w:val="000000"/>
        </w:rPr>
        <w:t>an equipment and area cleaning plan</w:t>
      </w:r>
      <w:r w:rsidR="00C8337A">
        <w:rPr>
          <w:color w:val="000000"/>
        </w:rPr>
        <w:t xml:space="preserve">, and related recordkeeping, including but not limited to implementation records and documentation.  </w:t>
      </w:r>
      <w:r w:rsidRPr="006F5FC2">
        <w:rPr>
          <w:color w:val="000000"/>
        </w:rPr>
        <w:t xml:space="preserve"> </w:t>
      </w:r>
    </w:p>
    <w:p w:rsidR="009D7153" w:rsidP="009D7153" w14:paraId="4FB66FF5" w14:textId="77777777">
      <w:pPr>
        <w:spacing w:after="0"/>
      </w:pPr>
    </w:p>
    <w:p w:rsidR="00A801EB" w:rsidRPr="00A801EB" w:rsidP="00552F18" w14:paraId="15534178" w14:textId="26FCEA54">
      <w:pPr>
        <w:spacing w:after="0"/>
        <w:rPr>
          <w:color w:val="000000"/>
        </w:rPr>
      </w:pPr>
      <w:r w:rsidRPr="3254C678">
        <w:t>The proposed rule would require that records be retained for 5 years from the date of generation.</w:t>
      </w:r>
    </w:p>
    <w:p w:rsidR="00A801EB" w:rsidRPr="00BB3410" w:rsidP="00552F18" w14:paraId="48AF18D3" w14:textId="776C2E29">
      <w:pPr>
        <w:spacing w:after="0"/>
        <w:rPr>
          <w:color w:val="000000" w:themeColor="text1"/>
          <w:highlight w:val="yellow"/>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161"/>
        <w:gridCol w:w="1161"/>
        <w:gridCol w:w="1161"/>
        <w:gridCol w:w="1161"/>
        <w:gridCol w:w="1161"/>
        <w:gridCol w:w="1161"/>
        <w:gridCol w:w="1161"/>
        <w:gridCol w:w="1161"/>
      </w:tblGrid>
      <w:tr w14:paraId="0DDBD825" w14:textId="77777777" w:rsidTr="3254C678">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9288" w:type="dxa"/>
            <w:gridSpan w:val="8"/>
            <w:tcBorders>
              <w:top w:val="nil"/>
              <w:left w:val="nil"/>
              <w:bottom w:val="single" w:sz="6" w:space="0" w:color="auto"/>
              <w:right w:val="nil"/>
            </w:tcBorders>
            <w:tcMar>
              <w:left w:w="105" w:type="dxa"/>
              <w:right w:w="105" w:type="dxa"/>
            </w:tcMar>
          </w:tcPr>
          <w:p w:rsidR="009D7153" w:rsidRPr="00500014" w:rsidP="00552F18" w14:paraId="2198B4AC" w14:textId="6A7472DE">
            <w:pPr>
              <w:pStyle w:val="TableTitleA"/>
              <w:spacing w:after="0"/>
              <w:rPr>
                <w:rFonts w:eastAsia="Segoe UI" w:asciiTheme="minorHAnsi" w:hAnsiTheme="minorHAnsi" w:cstheme="minorHAnsi"/>
                <w:color w:val="000000" w:themeColor="text1"/>
              </w:rPr>
            </w:pPr>
            <w:r w:rsidRPr="00500014">
              <w:rPr>
                <w:rFonts w:eastAsia="Segoe UI" w:asciiTheme="minorHAnsi" w:hAnsiTheme="minorHAnsi" w:cstheme="minorHAnsi"/>
                <w:color w:val="000000" w:themeColor="text1"/>
              </w:rPr>
              <w:t xml:space="preserve"> </w:t>
            </w:r>
            <w:r w:rsidRPr="00500014">
              <w:rPr>
                <w:rFonts w:eastAsia="Segoe UI" w:asciiTheme="minorHAnsi" w:hAnsiTheme="minorHAnsi" w:cstheme="minorHAnsi"/>
                <w:b/>
                <w:bCs/>
                <w:color w:val="000000" w:themeColor="text1"/>
              </w:rPr>
              <w:t xml:space="preserve">Summary of Three-Year Average Incremental Burden Hours and </w:t>
            </w:r>
            <w:r w:rsidRPr="00500014" w:rsidR="00552F18">
              <w:rPr>
                <w:rFonts w:eastAsia="Segoe UI" w:asciiTheme="minorHAnsi" w:hAnsiTheme="minorHAnsi" w:cstheme="minorHAnsi"/>
                <w:b/>
                <w:bCs/>
                <w:color w:val="000000" w:themeColor="text1"/>
              </w:rPr>
              <w:t>Costs (</w:t>
            </w:r>
            <w:r w:rsidRPr="00500014">
              <w:rPr>
                <w:rFonts w:eastAsia="Segoe UI" w:asciiTheme="minorHAnsi" w:hAnsiTheme="minorHAnsi" w:cstheme="minorHAnsi"/>
                <w:b/>
                <w:bCs/>
                <w:color w:val="000000" w:themeColor="text1"/>
              </w:rPr>
              <w:t>2023$)</w:t>
            </w:r>
          </w:p>
        </w:tc>
      </w:tr>
      <w:tr w14:paraId="261F28A1" w14:textId="77777777" w:rsidTr="3254C678">
        <w:tblPrEx>
          <w:tblW w:w="0" w:type="auto"/>
          <w:tblLayout w:type="fixed"/>
          <w:tblLook w:val="04A0"/>
        </w:tblPrEx>
        <w:trPr>
          <w:trHeight w:val="300"/>
        </w:trPr>
        <w:tc>
          <w:tcPr>
            <w:tcW w:w="1161" w:type="dxa"/>
            <w:tcBorders>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00014" w:rsidP="00513BCF" w14:paraId="2F6AA6C6" w14:textId="7C7EA5B1">
            <w:pPr>
              <w:pStyle w:val="TableSubtitle"/>
              <w:rPr>
                <w:rFonts w:eastAsia="Arial" w:asciiTheme="minorHAnsi" w:hAnsiTheme="minorHAnsi" w:cstheme="minorHAnsi"/>
                <w:b w:val="0"/>
                <w:bCs w:val="0"/>
              </w:rPr>
            </w:pPr>
            <w:r w:rsidRPr="00500014">
              <w:rPr>
                <w:rFonts w:eastAsia="Arial" w:asciiTheme="minorHAnsi" w:hAnsiTheme="minorHAnsi" w:cstheme="minorHAnsi"/>
              </w:rPr>
              <w:t>Activity</w:t>
            </w:r>
          </w:p>
        </w:tc>
        <w:tc>
          <w:tcPr>
            <w:tcW w:w="1161" w:type="dxa"/>
            <w:tcBorders>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00014" w:rsidP="00513BCF" w14:paraId="23EB1844" w14:textId="6EBFC2F5">
            <w:pPr>
              <w:pStyle w:val="TableSubtitle"/>
              <w:rPr>
                <w:rFonts w:eastAsia="Arial" w:asciiTheme="minorHAnsi" w:hAnsiTheme="minorHAnsi" w:cstheme="minorHAnsi"/>
                <w:b w:val="0"/>
                <w:bCs w:val="0"/>
              </w:rPr>
            </w:pPr>
            <w:r w:rsidRPr="00500014">
              <w:rPr>
                <w:rFonts w:eastAsia="Arial" w:asciiTheme="minorHAnsi" w:hAnsiTheme="minorHAnsi" w:cstheme="minorHAnsi"/>
              </w:rPr>
              <w:t>Number of Respondents</w:t>
            </w:r>
          </w:p>
        </w:tc>
        <w:tc>
          <w:tcPr>
            <w:tcW w:w="1161" w:type="dxa"/>
            <w:tcBorders>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00014" w:rsidP="00513BCF" w14:paraId="62C93964" w14:textId="1AB2308E">
            <w:pPr>
              <w:pStyle w:val="TableSubtitle"/>
              <w:rPr>
                <w:rFonts w:eastAsia="Arial" w:asciiTheme="minorHAnsi" w:hAnsiTheme="minorHAnsi" w:cstheme="minorHAnsi"/>
                <w:b w:val="0"/>
                <w:bCs w:val="0"/>
              </w:rPr>
            </w:pPr>
            <w:r w:rsidRPr="00500014">
              <w:rPr>
                <w:rFonts w:eastAsia="Arial" w:asciiTheme="minorHAnsi" w:hAnsiTheme="minorHAnsi" w:cstheme="minorHAnsi"/>
              </w:rPr>
              <w:t>Average Annual Responses Per Respondent</w:t>
            </w:r>
          </w:p>
        </w:tc>
        <w:tc>
          <w:tcPr>
            <w:tcW w:w="1161" w:type="dxa"/>
            <w:tcBorders>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00014" w:rsidP="00513BCF" w14:paraId="3E8AC482" w14:textId="76B3C80C">
            <w:pPr>
              <w:pStyle w:val="TableSubtitle"/>
              <w:rPr>
                <w:rFonts w:eastAsia="Arial" w:asciiTheme="minorHAnsi" w:hAnsiTheme="minorHAnsi" w:cstheme="minorHAnsi"/>
                <w:b w:val="0"/>
                <w:bCs w:val="0"/>
              </w:rPr>
            </w:pPr>
            <w:r w:rsidRPr="00500014">
              <w:rPr>
                <w:rFonts w:eastAsia="Arial" w:asciiTheme="minorHAnsi" w:hAnsiTheme="minorHAnsi" w:cstheme="minorHAnsi"/>
              </w:rPr>
              <w:t>Average Annual Burden Per Respondent</w:t>
            </w:r>
          </w:p>
        </w:tc>
        <w:tc>
          <w:tcPr>
            <w:tcW w:w="1161" w:type="dxa"/>
            <w:tcBorders>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00014" w:rsidP="00513BCF" w14:paraId="0B570263" w14:textId="752B107C">
            <w:pPr>
              <w:pStyle w:val="TableSubtitle"/>
              <w:rPr>
                <w:rFonts w:eastAsia="Arial" w:asciiTheme="minorHAnsi" w:hAnsiTheme="minorHAnsi" w:cstheme="minorHAnsi"/>
                <w:b w:val="0"/>
                <w:bCs w:val="0"/>
              </w:rPr>
            </w:pPr>
            <w:r w:rsidRPr="00500014">
              <w:rPr>
                <w:rFonts w:eastAsia="Arial" w:asciiTheme="minorHAnsi" w:hAnsiTheme="minorHAnsi" w:cstheme="minorHAnsi"/>
              </w:rPr>
              <w:t>Average Annual Total Labor Burden</w:t>
            </w:r>
          </w:p>
        </w:tc>
        <w:tc>
          <w:tcPr>
            <w:tcW w:w="1161" w:type="dxa"/>
            <w:tcBorders>
              <w:top w:val="single" w:sz="6" w:space="0" w:color="auto"/>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00014" w:rsidP="00513BCF" w14:paraId="04C3D750" w14:textId="05C93A76">
            <w:pPr>
              <w:pStyle w:val="TableSubtitle"/>
              <w:rPr>
                <w:rFonts w:eastAsia="Arial" w:asciiTheme="minorHAnsi" w:hAnsiTheme="minorHAnsi" w:cstheme="minorHAnsi"/>
                <w:b w:val="0"/>
                <w:bCs w:val="0"/>
              </w:rPr>
            </w:pPr>
            <w:r w:rsidRPr="00500014">
              <w:rPr>
                <w:rFonts w:eastAsia="Arial" w:asciiTheme="minorHAnsi" w:hAnsiTheme="minorHAnsi" w:cstheme="minorHAnsi"/>
              </w:rPr>
              <w:t>Average Annual Total Labor Costs</w:t>
            </w:r>
          </w:p>
        </w:tc>
        <w:tc>
          <w:tcPr>
            <w:tcW w:w="1161" w:type="dxa"/>
            <w:tcBorders>
              <w:top w:val="single" w:sz="6" w:space="0" w:color="auto"/>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00014" w:rsidP="00513BCF" w14:paraId="62EB5EF5" w14:textId="0A7A06B5">
            <w:pPr>
              <w:pStyle w:val="TableSubtitle"/>
              <w:rPr>
                <w:rFonts w:eastAsia="Arial" w:asciiTheme="minorHAnsi" w:hAnsiTheme="minorHAnsi" w:cstheme="minorHAnsi"/>
                <w:b w:val="0"/>
                <w:bCs w:val="0"/>
              </w:rPr>
            </w:pPr>
            <w:r w:rsidRPr="00500014">
              <w:rPr>
                <w:rFonts w:eastAsia="Arial" w:asciiTheme="minorHAnsi" w:hAnsiTheme="minorHAnsi" w:cstheme="minorHAnsi"/>
              </w:rPr>
              <w:t>Average Annual Total Non-Labor Costs</w:t>
            </w:r>
          </w:p>
        </w:tc>
        <w:tc>
          <w:tcPr>
            <w:tcW w:w="1161" w:type="dxa"/>
            <w:tcBorders>
              <w:top w:val="single" w:sz="6" w:space="0" w:color="auto"/>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00014" w:rsidP="00513BCF" w14:paraId="083A84BA" w14:textId="6AD959D7">
            <w:pPr>
              <w:pStyle w:val="TableSubtitle"/>
              <w:rPr>
                <w:rFonts w:eastAsia="Arial" w:asciiTheme="minorHAnsi" w:hAnsiTheme="minorHAnsi" w:cstheme="minorHAnsi"/>
                <w:b w:val="0"/>
                <w:bCs w:val="0"/>
              </w:rPr>
            </w:pPr>
            <w:r w:rsidRPr="00500014">
              <w:rPr>
                <w:rFonts w:eastAsia="Arial" w:asciiTheme="minorHAnsi" w:hAnsiTheme="minorHAnsi" w:cstheme="minorHAnsi"/>
              </w:rPr>
              <w:t>Average Annual Total Costs</w:t>
            </w:r>
          </w:p>
        </w:tc>
      </w:tr>
      <w:tr w14:paraId="2C118610" w14:textId="77777777" w:rsidTr="3254C678">
        <w:tblPrEx>
          <w:tblW w:w="0" w:type="auto"/>
          <w:tblLayout w:type="fixed"/>
          <w:tblLook w:val="04A0"/>
        </w:tblPrEx>
        <w:trPr>
          <w:trHeight w:val="300"/>
        </w:trPr>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7D2AAC7D" w14:textId="4DF2F05D">
            <w:pPr>
              <w:pStyle w:val="LTableTextAbt"/>
              <w:spacing w:after="0"/>
              <w:rPr>
                <w:rFonts w:eastAsia="Times New Roman" w:asciiTheme="minorHAnsi" w:hAnsiTheme="minorHAnsi" w:cstheme="minorHAnsi"/>
              </w:rPr>
            </w:pPr>
            <w:r w:rsidRPr="00500014">
              <w:rPr>
                <w:rFonts w:eastAsia="Times New Roman" w:asciiTheme="minorHAnsi" w:hAnsiTheme="minorHAnsi" w:cstheme="minorHAnsi"/>
              </w:rPr>
              <w:t>Agency Burden</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4C67484B" w14:textId="296C1DEF">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rPr>
              <w:t>-</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0B2FE62A" w14:textId="0739E391">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rPr>
              <w:t>-</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0B4C67F8" w14:textId="09BBEBEF">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79038DE7" w14:textId="14F008F3">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5C255D67" w14:textId="446AFC37">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57A2AE80" w14:textId="0972C5D2">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6664EA30" w14:textId="0F283979">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w:t>
            </w:r>
          </w:p>
        </w:tc>
      </w:tr>
      <w:tr w14:paraId="6752B9DA" w14:textId="77777777" w:rsidTr="3254C678">
        <w:tblPrEx>
          <w:tblW w:w="0" w:type="auto"/>
          <w:tblLayout w:type="fixed"/>
          <w:tblLook w:val="04A0"/>
        </w:tblPrEx>
        <w:trPr>
          <w:trHeight w:val="300"/>
        </w:trPr>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23A0D0BD" w14:textId="7E6B25E8">
            <w:pPr>
              <w:pStyle w:val="LTableTextAbt"/>
              <w:spacing w:after="0"/>
              <w:rPr>
                <w:rFonts w:eastAsia="Times New Roman" w:asciiTheme="minorHAnsi" w:hAnsiTheme="minorHAnsi" w:cstheme="minorHAnsi"/>
              </w:rPr>
            </w:pPr>
            <w:r w:rsidRPr="00500014">
              <w:rPr>
                <w:rFonts w:eastAsia="Times New Roman" w:asciiTheme="minorHAnsi" w:hAnsiTheme="minorHAnsi" w:cstheme="minorHAnsi"/>
              </w:rPr>
              <w:t>Rule Familiarization</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31C5BB77" w14:textId="53518C7B">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rPr>
              <w:t>49,670</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35C54276" w14:textId="7BA8E4E9">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rPr>
              <w:t>0.33</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3DBB1EA7" w14:textId="46948294">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0.33</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1ACE1E2D" w14:textId="300EAE88">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16,557</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51A86B8F" w14:textId="6C6BADDB">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xml:space="preserve">$1,619,063 </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414B56F0" w14:textId="739018CF">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60843CDC" w14:textId="2478BADB">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xml:space="preserve">$1,619,063 </w:t>
            </w:r>
          </w:p>
        </w:tc>
      </w:tr>
      <w:tr w14:paraId="45E4A71D" w14:textId="77777777" w:rsidTr="3254C678">
        <w:tblPrEx>
          <w:tblW w:w="0" w:type="auto"/>
          <w:tblLayout w:type="fixed"/>
          <w:tblLook w:val="04A0"/>
        </w:tblPrEx>
        <w:trPr>
          <w:trHeight w:val="300"/>
        </w:trPr>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130709D8" w14:textId="09B646CF">
            <w:pPr>
              <w:pStyle w:val="LTableTextAbt"/>
              <w:spacing w:after="0"/>
              <w:rPr>
                <w:rFonts w:eastAsia="Times New Roman" w:asciiTheme="minorHAnsi" w:hAnsiTheme="minorHAnsi" w:cstheme="minorHAnsi"/>
              </w:rPr>
            </w:pPr>
            <w:r w:rsidRPr="00500014">
              <w:rPr>
                <w:rFonts w:eastAsia="Times New Roman" w:asciiTheme="minorHAnsi" w:hAnsiTheme="minorHAnsi" w:cstheme="minorHAnsi"/>
              </w:rPr>
              <w:t>Downstream Notification</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188714EA" w14:textId="1DE54D82">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rPr>
              <w:t>1</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0049DE48" w14:textId="6159602A">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rPr>
              <w:t>0.33</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07D828ED" w14:textId="18A84836">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0.67</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301D7EA7" w14:textId="12920CBC">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1</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0357B6E9" w14:textId="3ADB58B8">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xml:space="preserve">$62 </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21CE75C4" w14:textId="111F2C74">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61005670" w14:textId="05792B0A">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xml:space="preserve">$62 </w:t>
            </w:r>
          </w:p>
        </w:tc>
      </w:tr>
      <w:tr w14:paraId="20649706" w14:textId="77777777" w:rsidTr="3254C678">
        <w:tblPrEx>
          <w:tblW w:w="0" w:type="auto"/>
          <w:tblLayout w:type="fixed"/>
          <w:tblLook w:val="04A0"/>
        </w:tblPrEx>
        <w:trPr>
          <w:trHeight w:val="300"/>
        </w:trPr>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1FBD1C63" w14:textId="7A5FC58C">
            <w:pPr>
              <w:pStyle w:val="LTableTextAbt"/>
              <w:spacing w:after="0"/>
              <w:rPr>
                <w:rFonts w:eastAsia="Times New Roman" w:asciiTheme="minorHAnsi" w:hAnsiTheme="minorHAnsi" w:cstheme="minorHAnsi"/>
              </w:rPr>
            </w:pPr>
            <w:r w:rsidRPr="00500014">
              <w:rPr>
                <w:rFonts w:eastAsia="Times New Roman" w:asciiTheme="minorHAnsi" w:hAnsiTheme="minorHAnsi" w:cstheme="minorHAnsi"/>
              </w:rPr>
              <w:t>Labeling</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00A5A204" w14:textId="27CF9FF7">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rPr>
              <w:t>1</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32106353" w14:textId="5A0832AD">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rPr>
              <w:t>0.33</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4BBBBFFC" w14:textId="0FC52F21">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0.54</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1EA13D39" w14:textId="5D06C857">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1</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0941895D" w14:textId="2070E549">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xml:space="preserve">$50 </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7CD24D02" w14:textId="1462920D">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xml:space="preserve">$200 </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13AE7C63" w14:textId="71A98F1E">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xml:space="preserve">$250 </w:t>
            </w:r>
          </w:p>
        </w:tc>
      </w:tr>
      <w:tr w14:paraId="1FF7C1F5" w14:textId="77777777" w:rsidTr="3254C678">
        <w:tblPrEx>
          <w:tblW w:w="0" w:type="auto"/>
          <w:tblLayout w:type="fixed"/>
          <w:tblLook w:val="04A0"/>
        </w:tblPrEx>
        <w:trPr>
          <w:trHeight w:val="300"/>
        </w:trPr>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57654EE9" w14:textId="7E5CEE00">
            <w:pPr>
              <w:pStyle w:val="LTableTextAbt"/>
              <w:spacing w:after="0"/>
              <w:rPr>
                <w:rFonts w:eastAsia="Times New Roman" w:asciiTheme="minorHAnsi" w:hAnsiTheme="minorHAnsi" w:cstheme="minorHAnsi"/>
              </w:rPr>
            </w:pPr>
            <w:r w:rsidRPr="00500014">
              <w:rPr>
                <w:rFonts w:eastAsia="Times New Roman" w:asciiTheme="minorHAnsi" w:hAnsiTheme="minorHAnsi" w:cstheme="minorHAnsi"/>
              </w:rPr>
              <w:t>PPE Program</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074681D9" w14:textId="0051FFA7">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rPr>
              <w:t>22</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2373D54F" w14:textId="280850A2">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rPr>
              <w:t>1.00</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75797CB8" w14:textId="7EC687F8">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4.67</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6746C162" w14:textId="7E598D54">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103</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11C9396A" w14:textId="57B8E68A">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xml:space="preserve">$7,610 </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70BEC4BE" w14:textId="596D60A4">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1EF04940" w14:textId="6F1DC816">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xml:space="preserve">$7,610 </w:t>
            </w:r>
          </w:p>
        </w:tc>
      </w:tr>
      <w:tr w14:paraId="0B37C56A" w14:textId="77777777" w:rsidTr="3254C678">
        <w:tblPrEx>
          <w:tblW w:w="0" w:type="auto"/>
          <w:tblLayout w:type="fixed"/>
          <w:tblLook w:val="04A0"/>
        </w:tblPrEx>
        <w:trPr>
          <w:trHeight w:val="300"/>
        </w:trPr>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41D273FC" w14:textId="5C53DC3C">
            <w:pPr>
              <w:pStyle w:val="LTableTextAbt"/>
              <w:spacing w:after="0"/>
              <w:rPr>
                <w:rFonts w:eastAsia="Times New Roman" w:asciiTheme="minorHAnsi" w:hAnsiTheme="minorHAnsi" w:cstheme="minorHAnsi"/>
              </w:rPr>
            </w:pPr>
            <w:r w:rsidRPr="00500014">
              <w:rPr>
                <w:rFonts w:eastAsia="Times New Roman" w:asciiTheme="minorHAnsi" w:hAnsiTheme="minorHAnsi" w:cstheme="minorHAnsi"/>
              </w:rPr>
              <w:t>Equipment and Area Cleaning Recordkeeping</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31F16F36" w14:textId="69C677D2">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rPr>
              <w:t>22</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23BB005D" w14:textId="1F670F56">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rPr>
              <w:t>1.00</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09C1AABC" w14:textId="4FF2654A">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14.33</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3573A757" w14:textId="40F0F76F">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315</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49E7F210" w14:textId="2893A120">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xml:space="preserve">$19,600 </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019B8FED" w14:textId="1F91D50A">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3B20F3FA" w14:textId="4E669BE7">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rPr>
              <w:t xml:space="preserve">$19,600 </w:t>
            </w:r>
          </w:p>
        </w:tc>
      </w:tr>
      <w:tr w14:paraId="694326FB" w14:textId="77777777" w:rsidTr="001B575F">
        <w:tblPrEx>
          <w:tblW w:w="0" w:type="auto"/>
          <w:tblLayout w:type="fixed"/>
          <w:tblLook w:val="04A0"/>
        </w:tblPrEx>
        <w:trPr>
          <w:trHeight w:val="300"/>
        </w:trPr>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18389646" w14:textId="6C3F9D24">
            <w:pPr>
              <w:pStyle w:val="LTableTextAbt"/>
              <w:spacing w:after="0"/>
              <w:rPr>
                <w:rFonts w:eastAsia="Times New Roman" w:asciiTheme="minorHAnsi" w:hAnsiTheme="minorHAnsi" w:cstheme="minorHAnsi"/>
              </w:rPr>
            </w:pPr>
            <w:r w:rsidRPr="00500014">
              <w:rPr>
                <w:rFonts w:eastAsia="Times New Roman" w:asciiTheme="minorHAnsi" w:hAnsiTheme="minorHAnsi" w:cstheme="minorHAnsi"/>
                <w:b/>
                <w:bCs/>
              </w:rPr>
              <w:t>Total</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18918387" w14:textId="7C478990">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b/>
                <w:bCs/>
              </w:rPr>
              <w:t>49,670</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40DECCAA" w14:textId="2A1C6B84">
            <w:pPr>
              <w:pStyle w:val="LTableTextAbt"/>
              <w:spacing w:after="0"/>
              <w:jc w:val="right"/>
              <w:rPr>
                <w:rFonts w:eastAsia="Times New Roman" w:asciiTheme="minorHAnsi" w:hAnsiTheme="minorHAnsi" w:cstheme="minorHAnsi"/>
              </w:rPr>
            </w:pPr>
            <w:r w:rsidRPr="00500014">
              <w:rPr>
                <w:rFonts w:eastAsia="Times New Roman" w:asciiTheme="minorHAnsi" w:hAnsiTheme="minorHAnsi" w:cstheme="minorHAnsi"/>
                <w:b/>
                <w:bCs/>
              </w:rPr>
              <w:t>0.33</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2BC550A3" w14:textId="5CA1272E">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b/>
                <w:bCs/>
              </w:rPr>
              <w:t>0.34</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405C3A44" w14:textId="7ECF9DBF">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b/>
                <w:bCs/>
              </w:rPr>
              <w:t>16,97</w:t>
            </w:r>
            <w:r w:rsidR="001275BC">
              <w:rPr>
                <w:rFonts w:eastAsia="Times New Roman" w:asciiTheme="minorHAnsi" w:hAnsiTheme="minorHAnsi" w:cstheme="minorHAnsi"/>
                <w:b/>
                <w:bCs/>
              </w:rPr>
              <w:t>7</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65DE469E" w14:textId="75A3C1F8">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b/>
                <w:bCs/>
              </w:rPr>
              <w:t xml:space="preserve">$1,646,384 </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6E6890A7" w14:textId="49C4FB4F">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b/>
                <w:bCs/>
              </w:rPr>
              <w:t xml:space="preserve">$200 </w:t>
            </w:r>
          </w:p>
        </w:tc>
        <w:tc>
          <w:tcPr>
            <w:tcW w:w="116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00014" w:rsidP="001B575F" w14:paraId="477C3B9C" w14:textId="5B5A2F0F">
            <w:pPr>
              <w:pStyle w:val="RTableTextAbt"/>
              <w:spacing w:after="0"/>
              <w:rPr>
                <w:rFonts w:eastAsia="Times New Roman" w:asciiTheme="minorHAnsi" w:hAnsiTheme="minorHAnsi" w:cstheme="minorHAnsi"/>
              </w:rPr>
            </w:pPr>
            <w:r w:rsidRPr="00500014">
              <w:rPr>
                <w:rFonts w:eastAsia="Times New Roman" w:asciiTheme="minorHAnsi" w:hAnsiTheme="minorHAnsi" w:cstheme="minorHAnsi"/>
                <w:b/>
                <w:bCs/>
              </w:rPr>
              <w:t>$1,646,584</w:t>
            </w:r>
          </w:p>
        </w:tc>
      </w:tr>
    </w:tbl>
    <w:bookmarkEnd w:id="0"/>
    <w:p w:rsidR="00816010" w:rsidRPr="00051E85" w:rsidP="00552F18" w14:paraId="2075FABA" w14:textId="0A58B5EF">
      <w:pPr>
        <w:pStyle w:val="Heading1"/>
        <w:rPr>
          <w:rFonts w:eastAsia="Calibri" w:cs="Calibri"/>
        </w:rPr>
      </w:pPr>
      <w:r w:rsidRPr="00051E85">
        <w:rPr>
          <w:rFonts w:eastAsia="Calibri" w:cs="Calibri"/>
          <w:bCs/>
          <w:szCs w:val="24"/>
        </w:rPr>
        <w:t xml:space="preserve">SUPPORTING STATEMENT </w:t>
      </w:r>
      <w:r w:rsidRPr="00552F18">
        <w:rPr>
          <w:rFonts w:eastAsia="Calibri" w:cs="Calibri"/>
          <w:sz w:val="22"/>
          <w:szCs w:val="22"/>
        </w:rPr>
        <w:t xml:space="preserve"> </w:t>
      </w:r>
    </w:p>
    <w:p w:rsidR="00EA1FC6" w:rsidRPr="00051E85" w:rsidP="00552F18" w14:paraId="3C8A3BD5" w14:textId="2D8A7838">
      <w:pPr>
        <w:pStyle w:val="Heading2"/>
      </w:pPr>
      <w:r w:rsidRPr="00552F18">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051E85">
        <w:t xml:space="preserve"> </w:t>
      </w:r>
    </w:p>
    <w:p w:rsidR="00EA1FC6" w:rsidP="6EC315A9" w14:paraId="603DFBF3" w14:textId="5B8CA0D9">
      <w:pPr>
        <w:pStyle w:val="Default"/>
        <w:rPr>
          <w:rFonts w:asciiTheme="minorHAnsi" w:hAnsiTheme="minorHAnsi" w:cstheme="minorBidi"/>
          <w:sz w:val="22"/>
          <w:szCs w:val="22"/>
        </w:rPr>
      </w:pPr>
      <w:bookmarkStart w:id="1" w:name="_Toc156593369"/>
      <w:r w:rsidRPr="6EC315A9">
        <w:rPr>
          <w:rFonts w:asciiTheme="minorHAnsi" w:hAnsiTheme="minorHAnsi" w:cstheme="minorBidi"/>
          <w:sz w:val="22"/>
          <w:szCs w:val="22"/>
        </w:rPr>
        <w:t>Under section 6(a) of TSCA (15 U.S.C. § 2605(a)) (</w:t>
      </w:r>
      <w:r w:rsidR="00707C2E">
        <w:rPr>
          <w:rFonts w:asciiTheme="minorHAnsi" w:hAnsiTheme="minorHAnsi" w:cstheme="minorBidi"/>
          <w:b/>
          <w:bCs/>
          <w:sz w:val="22"/>
          <w:szCs w:val="22"/>
        </w:rPr>
        <w:t>Ref.</w:t>
      </w:r>
      <w:r w:rsidRPr="6EC315A9">
        <w:rPr>
          <w:rFonts w:asciiTheme="minorHAnsi" w:hAnsiTheme="minorHAnsi" w:cstheme="minorBidi"/>
          <w:b/>
          <w:bCs/>
          <w:sz w:val="22"/>
          <w:szCs w:val="22"/>
        </w:rPr>
        <w:t xml:space="preserve"> 1</w:t>
      </w:r>
      <w:r w:rsidRPr="6EC315A9">
        <w:rPr>
          <w:rFonts w:asciiTheme="minorHAnsi" w:hAnsiTheme="minorHAnsi" w:cstheme="minorBidi"/>
          <w:sz w:val="22"/>
          <w:szCs w:val="22"/>
        </w:rPr>
        <w:t xml:space="preserve">),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 more requirements to the extent necessary so that the chemical substance or mixture no longer presents such risk. Section 6(a) authorizes EPA to: </w:t>
      </w:r>
    </w:p>
    <w:p w:rsidR="000E6E07" w:rsidRPr="00EC136F" w:rsidP="3254C678" w14:paraId="6408BA4E" w14:textId="77777777">
      <w:pPr>
        <w:pStyle w:val="Default"/>
        <w:rPr>
          <w:rFonts w:asciiTheme="minorHAnsi" w:hAnsiTheme="minorHAnsi" w:cstheme="minorBidi"/>
          <w:sz w:val="22"/>
          <w:szCs w:val="22"/>
        </w:rPr>
      </w:pPr>
    </w:p>
    <w:p w:rsidR="00EA1FC6" w:rsidRPr="00EC136F" w:rsidP="3254C678" w14:paraId="44F77C1C" w14:textId="71F3D38C">
      <w:pPr>
        <w:pStyle w:val="Default"/>
        <w:ind w:firstLine="720"/>
        <w:rPr>
          <w:rFonts w:asciiTheme="minorHAnsi" w:hAnsiTheme="minorHAnsi" w:cstheme="minorBidi"/>
          <w:sz w:val="22"/>
          <w:szCs w:val="22"/>
        </w:rPr>
      </w:pPr>
      <w:r w:rsidRPr="3254C678">
        <w:rPr>
          <w:rFonts w:asciiTheme="minorHAnsi" w:hAnsiTheme="minorHAnsi" w:cstheme="minorBidi"/>
          <w:sz w:val="22"/>
          <w:szCs w:val="22"/>
        </w:rPr>
        <w:t xml:space="preserve">1) Prohibit or restrict manufacture, processing, or distribution in commerce, </w:t>
      </w:r>
    </w:p>
    <w:p w:rsidR="00EA1FC6" w:rsidRPr="00EC136F" w:rsidP="3254C678" w14:paraId="6561080D" w14:textId="51BA44F2">
      <w:pPr>
        <w:pStyle w:val="Default"/>
        <w:ind w:left="720"/>
        <w:rPr>
          <w:rFonts w:asciiTheme="minorHAnsi" w:hAnsiTheme="minorHAnsi" w:cstheme="minorBidi"/>
          <w:sz w:val="22"/>
          <w:szCs w:val="22"/>
        </w:rPr>
      </w:pPr>
      <w:r w:rsidRPr="3254C678">
        <w:rPr>
          <w:rFonts w:asciiTheme="minorHAnsi" w:hAnsiTheme="minorHAnsi" w:cstheme="minorBidi"/>
          <w:sz w:val="22"/>
          <w:szCs w:val="22"/>
        </w:rPr>
        <w:t xml:space="preserve">2) Prohibit or restrict the manufacture, processing, or distribution in commerce of the chemical substance above a specified concentration, </w:t>
      </w:r>
    </w:p>
    <w:p w:rsidR="00EA1FC6" w:rsidRPr="00EC136F" w:rsidP="3254C678" w14:paraId="567EB84F" w14:textId="603BCEA1">
      <w:pPr>
        <w:pStyle w:val="Default"/>
        <w:ind w:left="720"/>
        <w:rPr>
          <w:rFonts w:asciiTheme="minorHAnsi" w:hAnsiTheme="minorHAnsi" w:cstheme="minorBidi"/>
          <w:sz w:val="22"/>
          <w:szCs w:val="22"/>
        </w:rPr>
      </w:pPr>
      <w:r w:rsidRPr="3254C678">
        <w:rPr>
          <w:rFonts w:asciiTheme="minorHAnsi" w:hAnsiTheme="minorHAnsi" w:cstheme="minorBidi"/>
          <w:sz w:val="22"/>
          <w:szCs w:val="22"/>
        </w:rPr>
        <w:t xml:space="preserve">3) Require minimum warnings or instructions with respect to use, distribution, or disposal, </w:t>
      </w:r>
    </w:p>
    <w:p w:rsidR="00EA1FC6" w:rsidRPr="00EC136F" w:rsidP="3254C678" w14:paraId="56718384" w14:textId="012AC107">
      <w:pPr>
        <w:pStyle w:val="Default"/>
        <w:ind w:firstLine="720"/>
        <w:rPr>
          <w:rFonts w:asciiTheme="minorHAnsi" w:hAnsiTheme="minorHAnsi" w:cstheme="minorBidi"/>
          <w:sz w:val="22"/>
          <w:szCs w:val="22"/>
        </w:rPr>
      </w:pPr>
      <w:r w:rsidRPr="3254C678">
        <w:rPr>
          <w:rFonts w:asciiTheme="minorHAnsi" w:hAnsiTheme="minorHAnsi" w:cstheme="minorBidi"/>
          <w:sz w:val="22"/>
          <w:szCs w:val="22"/>
        </w:rPr>
        <w:t xml:space="preserve">4) Require manufacturers or processors to make and retain records, </w:t>
      </w:r>
    </w:p>
    <w:p w:rsidR="00EA1FC6" w:rsidRPr="00EC136F" w:rsidP="3254C678" w14:paraId="5BCF5078" w14:textId="6EBDC490">
      <w:pPr>
        <w:pStyle w:val="Default"/>
        <w:ind w:firstLine="720"/>
        <w:rPr>
          <w:rFonts w:asciiTheme="minorHAnsi" w:hAnsiTheme="minorHAnsi" w:cstheme="minorBidi"/>
          <w:sz w:val="22"/>
          <w:szCs w:val="22"/>
        </w:rPr>
      </w:pPr>
      <w:r w:rsidRPr="3254C678">
        <w:rPr>
          <w:rFonts w:asciiTheme="minorHAnsi" w:hAnsiTheme="minorHAnsi" w:cstheme="minorBidi"/>
          <w:sz w:val="22"/>
          <w:szCs w:val="22"/>
        </w:rPr>
        <w:t xml:space="preserve">5) Prohibit or regulate any manner of commercial use, </w:t>
      </w:r>
    </w:p>
    <w:p w:rsidR="00EA1FC6" w:rsidRPr="00EC136F" w:rsidP="3254C678" w14:paraId="3B4EEC8D" w14:textId="2AE6AE69">
      <w:pPr>
        <w:pStyle w:val="Default"/>
        <w:ind w:firstLine="720"/>
        <w:rPr>
          <w:rFonts w:asciiTheme="minorHAnsi" w:hAnsiTheme="minorHAnsi" w:cstheme="minorBidi"/>
          <w:sz w:val="22"/>
          <w:szCs w:val="22"/>
        </w:rPr>
      </w:pPr>
      <w:r w:rsidRPr="3254C678">
        <w:rPr>
          <w:rFonts w:asciiTheme="minorHAnsi" w:hAnsiTheme="minorHAnsi" w:cstheme="minorBidi"/>
          <w:sz w:val="22"/>
          <w:szCs w:val="22"/>
        </w:rPr>
        <w:t xml:space="preserve">6) Prohibit or regulate any manner of disposal, and/or </w:t>
      </w:r>
    </w:p>
    <w:p w:rsidR="00EA1FC6" w:rsidRPr="00EC136F" w:rsidP="3254C678" w14:paraId="5DD5B8B5" w14:textId="41EFE310">
      <w:pPr>
        <w:pStyle w:val="Default"/>
        <w:ind w:left="720"/>
        <w:rPr>
          <w:rFonts w:asciiTheme="minorHAnsi" w:hAnsiTheme="minorHAnsi" w:cstheme="minorBidi"/>
          <w:sz w:val="22"/>
          <w:szCs w:val="22"/>
        </w:rPr>
      </w:pPr>
      <w:r w:rsidRPr="3254C678">
        <w:rPr>
          <w:rFonts w:asciiTheme="minorHAnsi" w:hAnsiTheme="minorHAnsi" w:cstheme="minorBidi"/>
          <w:sz w:val="22"/>
          <w:szCs w:val="22"/>
        </w:rPr>
        <w:t xml:space="preserve">7) Require manufacturers or processors to give notice of the unreasonable risk of injury, and to recall products if required. </w:t>
      </w:r>
    </w:p>
    <w:p w:rsidR="00EA1FC6" w:rsidRPr="00EC136F" w:rsidP="3254C678" w14:paraId="6B1BEFA3" w14:textId="77777777">
      <w:pPr>
        <w:pStyle w:val="Default"/>
        <w:rPr>
          <w:rFonts w:asciiTheme="minorHAnsi" w:hAnsiTheme="minorHAnsi" w:cstheme="minorBidi"/>
          <w:sz w:val="22"/>
          <w:szCs w:val="22"/>
        </w:rPr>
      </w:pPr>
    </w:p>
    <w:p w:rsidR="00EA1FC6" w:rsidRPr="00EC136F" w:rsidP="3254C678" w14:paraId="29C53208" w14:textId="77777777">
      <w:pPr>
        <w:pStyle w:val="Default"/>
        <w:rPr>
          <w:rFonts w:asciiTheme="minorHAnsi" w:hAnsiTheme="minorHAnsi" w:cstheme="minorBidi"/>
          <w:sz w:val="22"/>
          <w:szCs w:val="22"/>
        </w:rPr>
      </w:pPr>
      <w:r w:rsidRPr="3254C678">
        <w:rPr>
          <w:rFonts w:asciiTheme="minorHAnsi" w:hAnsiTheme="minorHAnsi" w:cstheme="minorBidi"/>
          <w:sz w:val="22"/>
          <w:szCs w:val="22"/>
        </w:rPr>
        <w:t xml:space="preserve">EPA proposes to: </w:t>
      </w:r>
    </w:p>
    <w:p w:rsidR="00EA1FC6" w:rsidRPr="00EC136F" w:rsidP="3254C678" w14:paraId="7555F2C1" w14:textId="77777777">
      <w:pPr>
        <w:pStyle w:val="Default"/>
        <w:rPr>
          <w:rFonts w:asciiTheme="minorHAnsi" w:hAnsiTheme="minorHAnsi" w:cstheme="minorBidi"/>
          <w:sz w:val="22"/>
          <w:szCs w:val="22"/>
        </w:rPr>
      </w:pPr>
    </w:p>
    <w:p w:rsidR="00EA1FC6" w:rsidRPr="00EC136F" w:rsidP="3254C678" w14:paraId="529658A6" w14:textId="6FBA11DC">
      <w:pPr>
        <w:pStyle w:val="Default"/>
        <w:ind w:left="720"/>
        <w:rPr>
          <w:rFonts w:asciiTheme="minorHAnsi" w:hAnsiTheme="minorHAnsi" w:cstheme="minorBidi"/>
          <w:sz w:val="22"/>
          <w:szCs w:val="22"/>
        </w:rPr>
      </w:pPr>
      <w:r w:rsidRPr="3254C678">
        <w:rPr>
          <w:rFonts w:asciiTheme="minorHAnsi" w:hAnsiTheme="minorHAnsi" w:cstheme="minorBidi"/>
          <w:sz w:val="22"/>
          <w:szCs w:val="22"/>
        </w:rPr>
        <w:t>1</w:t>
      </w:r>
      <w:r w:rsidRPr="3254C678" w:rsidR="5BB86A3C">
        <w:rPr>
          <w:rFonts w:asciiTheme="minorHAnsi" w:hAnsiTheme="minorHAnsi" w:cstheme="minorBidi"/>
          <w:sz w:val="22"/>
          <w:szCs w:val="22"/>
        </w:rPr>
        <w:t>) Require the use of prescriptive workplace controls for certain occupational conditions of use of PV29, including (as applicable) APF</w:t>
      </w:r>
      <w:r w:rsidRPr="3254C678" w:rsidR="44677BCA">
        <w:rPr>
          <w:rFonts w:asciiTheme="minorHAnsi" w:hAnsiTheme="minorHAnsi" w:cstheme="minorBidi"/>
          <w:sz w:val="22"/>
          <w:szCs w:val="22"/>
        </w:rPr>
        <w:t xml:space="preserve"> </w:t>
      </w:r>
      <w:r w:rsidRPr="3254C678" w:rsidR="5BB86A3C">
        <w:rPr>
          <w:rFonts w:asciiTheme="minorHAnsi" w:hAnsiTheme="minorHAnsi" w:cstheme="minorBidi"/>
          <w:sz w:val="22"/>
          <w:szCs w:val="22"/>
        </w:rPr>
        <w:t xml:space="preserve">50 respirators, and area and equipment cleaning. </w:t>
      </w:r>
    </w:p>
    <w:p w:rsidR="00EA1FC6" w:rsidP="3254C678" w14:paraId="38DA6805" w14:textId="54B784A9">
      <w:pPr>
        <w:pStyle w:val="Default"/>
        <w:rPr>
          <w:rFonts w:asciiTheme="minorHAnsi" w:hAnsiTheme="minorHAnsi" w:cstheme="minorBidi"/>
          <w:sz w:val="22"/>
          <w:szCs w:val="22"/>
        </w:rPr>
      </w:pPr>
      <w:r w:rsidRPr="00EC136F">
        <w:rPr>
          <w:rFonts w:asciiTheme="minorHAnsi" w:hAnsiTheme="minorHAnsi" w:cstheme="minorHAnsi"/>
          <w:sz w:val="23"/>
          <w:szCs w:val="23"/>
        </w:rPr>
        <w:tab/>
      </w:r>
      <w:r w:rsidRPr="3254C678" w:rsidR="370F5F1B">
        <w:rPr>
          <w:rFonts w:asciiTheme="minorHAnsi" w:hAnsiTheme="minorHAnsi" w:cstheme="minorBidi"/>
          <w:sz w:val="22"/>
          <w:szCs w:val="22"/>
        </w:rPr>
        <w:t>2</w:t>
      </w:r>
      <w:r w:rsidRPr="3254C678" w:rsidR="5BB86A3C">
        <w:rPr>
          <w:rFonts w:asciiTheme="minorHAnsi" w:hAnsiTheme="minorHAnsi" w:cstheme="minorBidi"/>
          <w:sz w:val="22"/>
          <w:szCs w:val="22"/>
        </w:rPr>
        <w:t>) Establish recordkeeping and downstream notification requirements.</w:t>
      </w:r>
    </w:p>
    <w:p w:rsidR="009D7153" w:rsidRPr="00EC136F" w:rsidP="3254C678" w14:paraId="0556782E" w14:textId="77777777">
      <w:pPr>
        <w:pStyle w:val="Default"/>
        <w:rPr>
          <w:rFonts w:asciiTheme="minorHAnsi" w:hAnsiTheme="minorHAnsi" w:cstheme="minorBidi"/>
          <w:sz w:val="22"/>
          <w:szCs w:val="22"/>
        </w:rPr>
      </w:pPr>
    </w:p>
    <w:bookmarkEnd w:id="1"/>
    <w:p w:rsidR="009D7153" w:rsidRPr="00552F18" w:rsidP="00552F18" w14:paraId="1F9414B5" w14:textId="360FBE3D">
      <w:pPr>
        <w:pStyle w:val="Heading2"/>
      </w:pPr>
      <w:r w:rsidRPr="00552F18">
        <w:t>2. Indicate how, by whom, and for what purpose the information is to be used. Except for a new collection, indicate the actual use the agency has made of the information received from the current collection.</w:t>
      </w:r>
    </w:p>
    <w:p w:rsidR="003C0204" w:rsidRPr="00653D2A" w:rsidP="003C0204" w14:paraId="75F8A7BD" w14:textId="1E280AFF">
      <w:pPr>
        <w:pStyle w:val="Default"/>
        <w:rPr>
          <w:rFonts w:asciiTheme="minorHAnsi" w:hAnsiTheme="minorHAnsi" w:cstheme="minorHAnsi"/>
          <w:sz w:val="23"/>
          <w:szCs w:val="23"/>
        </w:rPr>
      </w:pPr>
      <w:r w:rsidRPr="00653D2A">
        <w:rPr>
          <w:rFonts w:asciiTheme="minorHAnsi" w:hAnsiTheme="minorHAnsi" w:cstheme="minorHAnsi"/>
          <w:sz w:val="23"/>
          <w:szCs w:val="23"/>
        </w:rPr>
        <w:t xml:space="preserve">The information collection activities covered by this ICR are necessary to mitigate the unreasonable risk from PV29 under the conditions of use. </w:t>
      </w:r>
    </w:p>
    <w:p w:rsidR="003C0204" w:rsidRPr="00EC136F" w:rsidP="003C0204" w14:paraId="6079C387" w14:textId="77777777">
      <w:pPr>
        <w:pStyle w:val="Default"/>
        <w:rPr>
          <w:rFonts w:asciiTheme="minorHAnsi" w:hAnsiTheme="minorHAnsi" w:cstheme="minorHAnsi"/>
          <w:sz w:val="23"/>
          <w:szCs w:val="23"/>
          <w:highlight w:val="yellow"/>
        </w:rPr>
      </w:pPr>
    </w:p>
    <w:p w:rsidR="003C0204" w:rsidRPr="00653D2A" w:rsidP="003C0204" w14:paraId="5F47EB81" w14:textId="393D1114">
      <w:pPr>
        <w:pStyle w:val="Default"/>
        <w:rPr>
          <w:rFonts w:asciiTheme="minorHAnsi" w:hAnsiTheme="minorHAnsi" w:cstheme="minorHAnsi"/>
          <w:sz w:val="23"/>
          <w:szCs w:val="23"/>
        </w:rPr>
      </w:pPr>
      <w:r w:rsidRPr="00653D2A">
        <w:rPr>
          <w:rFonts w:asciiTheme="minorHAnsi" w:hAnsiTheme="minorHAnsi" w:cstheme="minorHAnsi"/>
          <w:sz w:val="23"/>
          <w:szCs w:val="23"/>
          <w:u w:val="single"/>
        </w:rPr>
        <w:t>Downstream Notification</w:t>
      </w:r>
      <w:r w:rsidRPr="00653D2A">
        <w:rPr>
          <w:rFonts w:asciiTheme="minorHAnsi" w:hAnsiTheme="minorHAnsi" w:cstheme="minorHAnsi"/>
          <w:sz w:val="23"/>
          <w:szCs w:val="23"/>
        </w:rPr>
        <w:t xml:space="preserve">. Without the downstream notification requirement, there is a greater likelihood that users would buy or use materials that they do not realize are subject to the restrictions in the final rule. This would result in continuation of the risk that EPA has determined to be unreasonable. Downstream notification would be carried out by updates to the SDS and labels and is necessary for effective implementation and enforcement of the rule as it provides a record of notification on use restrictions throughout the supply chain. Downstream notification would be required for manufacturers, processors, and distributors in commerce of </w:t>
      </w:r>
      <w:r w:rsidRPr="00653D2A" w:rsidR="00653D2A">
        <w:rPr>
          <w:rFonts w:asciiTheme="minorHAnsi" w:hAnsiTheme="minorHAnsi" w:cstheme="minorHAnsi"/>
          <w:sz w:val="23"/>
          <w:szCs w:val="23"/>
        </w:rPr>
        <w:t>PV29</w:t>
      </w:r>
      <w:r w:rsidRPr="00653D2A">
        <w:rPr>
          <w:rFonts w:asciiTheme="minorHAnsi" w:hAnsiTheme="minorHAnsi" w:cstheme="minorHAnsi"/>
          <w:sz w:val="23"/>
          <w:szCs w:val="23"/>
        </w:rPr>
        <w:t xml:space="preserve">, who would provide notice to companies downstream upon shipment of </w:t>
      </w:r>
      <w:r w:rsidRPr="00653D2A" w:rsidR="00653D2A">
        <w:rPr>
          <w:rFonts w:asciiTheme="minorHAnsi" w:hAnsiTheme="minorHAnsi" w:cstheme="minorHAnsi"/>
          <w:sz w:val="23"/>
          <w:szCs w:val="23"/>
        </w:rPr>
        <w:t>PV29</w:t>
      </w:r>
      <w:r w:rsidRPr="00653D2A">
        <w:rPr>
          <w:rFonts w:asciiTheme="minorHAnsi" w:hAnsiTheme="minorHAnsi" w:cstheme="minorHAnsi"/>
          <w:sz w:val="23"/>
          <w:szCs w:val="23"/>
        </w:rPr>
        <w:t xml:space="preserve"> about the </w:t>
      </w:r>
      <w:r w:rsidRPr="00653D2A" w:rsidR="00653D2A">
        <w:rPr>
          <w:rFonts w:asciiTheme="minorHAnsi" w:hAnsiTheme="minorHAnsi" w:cstheme="minorHAnsi"/>
          <w:sz w:val="23"/>
          <w:szCs w:val="23"/>
        </w:rPr>
        <w:t>restrictions</w:t>
      </w:r>
      <w:r w:rsidRPr="00653D2A">
        <w:rPr>
          <w:rFonts w:asciiTheme="minorHAnsi" w:hAnsiTheme="minorHAnsi" w:cstheme="minorHAnsi"/>
          <w:sz w:val="23"/>
          <w:szCs w:val="23"/>
        </w:rPr>
        <w:t>. The information submitted to downstream companies through the SDS</w:t>
      </w:r>
      <w:r w:rsidRPr="00653D2A" w:rsidR="00653D2A">
        <w:rPr>
          <w:rFonts w:asciiTheme="minorHAnsi" w:hAnsiTheme="minorHAnsi" w:cstheme="minorHAnsi"/>
          <w:sz w:val="23"/>
          <w:szCs w:val="23"/>
        </w:rPr>
        <w:t xml:space="preserve"> and labels</w:t>
      </w:r>
      <w:r w:rsidRPr="00653D2A">
        <w:rPr>
          <w:rFonts w:asciiTheme="minorHAnsi" w:hAnsiTheme="minorHAnsi" w:cstheme="minorHAnsi"/>
          <w:sz w:val="23"/>
          <w:szCs w:val="23"/>
        </w:rPr>
        <w:t xml:space="preserve"> would provide knowledge and awareness of the restrictions to these companies. </w:t>
      </w:r>
    </w:p>
    <w:p w:rsidR="003C0204" w:rsidRPr="00EC136F" w:rsidP="003C0204" w14:paraId="14373B4D" w14:textId="77777777">
      <w:pPr>
        <w:pStyle w:val="Default"/>
        <w:rPr>
          <w:rFonts w:asciiTheme="minorHAnsi" w:hAnsiTheme="minorHAnsi" w:cstheme="minorHAnsi"/>
          <w:sz w:val="23"/>
          <w:szCs w:val="23"/>
          <w:highlight w:val="yellow"/>
        </w:rPr>
      </w:pPr>
    </w:p>
    <w:p w:rsidR="009D7153" w:rsidP="00F30898" w14:paraId="6553C699" w14:textId="7AEF495B">
      <w:pPr>
        <w:pStyle w:val="Default"/>
        <w:rPr>
          <w:rFonts w:asciiTheme="minorHAnsi" w:hAnsiTheme="minorHAnsi" w:cstheme="minorBidi"/>
          <w:sz w:val="23"/>
          <w:szCs w:val="23"/>
        </w:rPr>
      </w:pPr>
      <w:r w:rsidRPr="3254C678">
        <w:rPr>
          <w:rFonts w:asciiTheme="minorHAnsi" w:hAnsiTheme="minorHAnsi" w:cstheme="minorBidi"/>
          <w:sz w:val="23"/>
          <w:szCs w:val="23"/>
          <w:u w:val="single"/>
        </w:rPr>
        <w:t>Prescriptive controls information generation, r</w:t>
      </w:r>
      <w:r w:rsidRPr="3254C678" w:rsidR="5A9398E5">
        <w:rPr>
          <w:rFonts w:asciiTheme="minorHAnsi" w:hAnsiTheme="minorHAnsi" w:cstheme="minorBidi"/>
          <w:sz w:val="23"/>
          <w:szCs w:val="23"/>
          <w:u w:val="single"/>
        </w:rPr>
        <w:t>ecordkeeping</w:t>
      </w:r>
      <w:r w:rsidRPr="3254C678">
        <w:rPr>
          <w:rFonts w:asciiTheme="minorHAnsi" w:hAnsiTheme="minorHAnsi" w:cstheme="minorBidi"/>
          <w:sz w:val="23"/>
          <w:szCs w:val="23"/>
          <w:u w:val="single"/>
        </w:rPr>
        <w:t>,</w:t>
      </w:r>
      <w:r w:rsidRPr="3254C678" w:rsidR="5A9398E5">
        <w:rPr>
          <w:rFonts w:asciiTheme="minorHAnsi" w:hAnsiTheme="minorHAnsi" w:cstheme="minorBidi"/>
          <w:sz w:val="23"/>
          <w:szCs w:val="23"/>
          <w:u w:val="single"/>
        </w:rPr>
        <w:t xml:space="preserve"> and notification requirements</w:t>
      </w:r>
      <w:r w:rsidRPr="3254C678" w:rsidR="7704D7CF">
        <w:rPr>
          <w:rFonts w:asciiTheme="minorHAnsi" w:hAnsiTheme="minorHAnsi" w:cstheme="minorBidi"/>
          <w:sz w:val="23"/>
          <w:szCs w:val="23"/>
          <w:u w:val="single"/>
        </w:rPr>
        <w:t>.</w:t>
      </w:r>
      <w:r w:rsidRPr="3254C678" w:rsidR="5A9398E5">
        <w:rPr>
          <w:rFonts w:asciiTheme="minorHAnsi" w:hAnsiTheme="minorHAnsi" w:cstheme="minorBidi"/>
          <w:sz w:val="23"/>
          <w:szCs w:val="23"/>
        </w:rPr>
        <w:t xml:space="preserve"> EPA has authority under section 6 of TSCA to require recordkeeping related to the regulatory requirements imposed by EPA. This is especially important where, as here, such records are needed for effective implementation and enforcement of the TSCA section 6 rule to eliminate unreasonable risk. Information collection activities for such records required for use of prescriptive controls would provide potentially exposed persons in a workplace with clear and necessary information and would provide EPA with a necessary evidence mechanism for effective enforcement. The regulated entities would develop, compile, and retain records that are necessary for implementing use of prescriptive controls, providing workplace notification to potentially exposed persons, and serve as a reference for EPA or authorized entities. These records include general business records such as</w:t>
      </w:r>
      <w:r w:rsidRPr="3254C678" w:rsidR="79180253">
        <w:rPr>
          <w:rFonts w:asciiTheme="minorHAnsi" w:hAnsiTheme="minorHAnsi" w:cstheme="minorBidi"/>
          <w:sz w:val="23"/>
          <w:szCs w:val="23"/>
        </w:rPr>
        <w:t xml:space="preserve"> area and equipment cleaning </w:t>
      </w:r>
      <w:r w:rsidRPr="3254C678" w:rsidR="59E7D59C">
        <w:rPr>
          <w:rFonts w:asciiTheme="minorHAnsi" w:hAnsiTheme="minorHAnsi" w:cstheme="minorBidi"/>
          <w:sz w:val="23"/>
          <w:szCs w:val="23"/>
        </w:rPr>
        <w:t xml:space="preserve">related </w:t>
      </w:r>
      <w:r w:rsidRPr="3254C678" w:rsidR="79180253">
        <w:rPr>
          <w:rFonts w:asciiTheme="minorHAnsi" w:hAnsiTheme="minorHAnsi" w:cstheme="minorBidi"/>
          <w:sz w:val="23"/>
          <w:szCs w:val="23"/>
        </w:rPr>
        <w:t>records and respiratory protection related records</w:t>
      </w:r>
      <w:r w:rsidRPr="3254C678">
        <w:rPr>
          <w:rFonts w:asciiTheme="minorHAnsi" w:hAnsiTheme="minorHAnsi" w:cstheme="minorBidi"/>
          <w:sz w:val="23"/>
          <w:szCs w:val="23"/>
        </w:rPr>
        <w:t>.</w:t>
      </w:r>
      <w:r w:rsidRPr="3254C678" w:rsidR="5A9398E5">
        <w:rPr>
          <w:rFonts w:asciiTheme="minorHAnsi" w:hAnsiTheme="minorHAnsi" w:cstheme="minorBidi"/>
          <w:sz w:val="23"/>
          <w:szCs w:val="23"/>
        </w:rPr>
        <w:t xml:space="preserve"> These recordkeeping requirements are also necessary to permit the EPA to conduct its enforcement activities to ensure compliance within the regulated community. </w:t>
      </w:r>
    </w:p>
    <w:p w:rsidR="00F30898" w:rsidP="00F30898" w14:paraId="0E5C5CD9" w14:textId="77777777">
      <w:pPr>
        <w:pStyle w:val="Default"/>
      </w:pPr>
    </w:p>
    <w:p w:rsidR="009D7153" w:rsidRPr="00552F18" w:rsidP="00051E85" w14:paraId="492BD0C4" w14:textId="753680F8">
      <w:pPr>
        <w:pStyle w:val="Heading2"/>
      </w:pPr>
      <w:r w:rsidRPr="00552F18">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RPr="00BB3410" w:rsidP="3254C678" w14:paraId="7B30150C" w14:textId="5A4224B7">
      <w:pPr>
        <w:pBdr>
          <w:top w:val="single" w:sz="6" w:space="0" w:color="FFFFFF"/>
          <w:left w:val="single" w:sz="6" w:space="0" w:color="FFFFFF"/>
          <w:bottom w:val="single" w:sz="6" w:space="0" w:color="FFFFFF"/>
          <w:right w:val="single" w:sz="6" w:space="0" w:color="FFFFFF"/>
        </w:pBdr>
      </w:pPr>
      <w:r w:rsidRPr="3254C678">
        <w:t>The proposed rule would not establish reporting requirements, so no information would be submitted to EPA. Therefore, there is no need for any technology facilitation under the proposed rule related to the information collection activities. The recordkeeping requirement does not specify a particular technology or method of retaining the required information</w:t>
      </w:r>
      <w:r w:rsidRPr="3254C678" w:rsidR="7D6A20BF">
        <w:rPr>
          <w:bdr w:val="none" w:sz="0" w:space="0" w:color="auto" w:frame="1"/>
          <w:shd w:val="clear" w:color="auto" w:fill="FFFFFF"/>
        </w:rPr>
        <w:t xml:space="preserve">. </w:t>
      </w:r>
    </w:p>
    <w:p w:rsidR="00A35579" w:rsidRPr="00552F18" w:rsidP="00051E85" w14:paraId="00816391" w14:textId="77777777">
      <w:pPr>
        <w:pStyle w:val="Heading2"/>
      </w:pPr>
      <w:bookmarkStart w:id="2" w:name="_Toc156593371"/>
      <w:r w:rsidRPr="00552F18">
        <w:t>4. Describe efforts to identify duplication. Show specifically why any similar information already available cannot be used or modified for use for the purposes described in Item 2 above.</w:t>
      </w:r>
    </w:p>
    <w:bookmarkEnd w:id="2"/>
    <w:p w:rsidR="00A35579" w:rsidRPr="00BB3410" w:rsidP="00A35579" w14:paraId="72E9F4A2" w14:textId="77777777">
      <w:pPr>
        <w:rPr>
          <w:shd w:val="clear" w:color="auto" w:fill="FFFFFF"/>
        </w:rPr>
      </w:pPr>
      <w:r>
        <w:t>EPA’s collection pursuant to the TSCA section 6(a) regulations for this rulemaking do not duplicate any other information collection activity. EPA is requiring information to ensure the elimination of unreasonable risk that was identified in, and unique to, the January 2021 PV29 Risk Evaluation and risk determination revised in September 2022. Because there are no existing statutes that have established precedence in the regulation of PV29 with criteria similar to the authorities granted under TSCA, the information collection activity is not a duplication. Lastly, while this collection activity required by EPA is similar to those of other Federal agencies such as OSHA, OSHA has not established area and equipment cleaning requirements for PV29; in this way, some entities who were not previously required to maintain certain records under the OSHA standard may be subject to recordkeeping requirements in order to demonstrate they have addressed unreasonable risk under TSCA. The requirements of this rulemaking also include regulated entities where OSHA requirements are not applicable (e.g., public sector workers not covered by an OSHA State plan, and self-employed workers). Thus, these are unprecedented and EPA-specific collection activity guidelines for the regulation of PV29 under TSCA and therefore has no duplicative requirements.</w:t>
      </w:r>
    </w:p>
    <w:p w:rsidR="00A35579" w:rsidRPr="00552F18" w:rsidP="00051E85" w14:paraId="4C0F613F" w14:textId="77777777">
      <w:pPr>
        <w:pStyle w:val="Heading2"/>
      </w:pPr>
      <w:bookmarkStart w:id="3" w:name="_Toc156593372"/>
      <w:r w:rsidRPr="00552F18">
        <w:t>5. If the collection of information impacts small businesses or other small entities, describe any methods used to minimize burden.</w:t>
      </w:r>
    </w:p>
    <w:bookmarkEnd w:id="3"/>
    <w:p w:rsidR="00ED57A4" w:rsidRPr="00BB3410" w:rsidP="4B57A279" w14:paraId="518B46AB" w14:textId="6AD8E49B">
      <w:r w:rsidRPr="4B57A279">
        <w:rPr>
          <w:rFonts w:cs="Times New Roman"/>
        </w:rPr>
        <w:t xml:space="preserve">EPA requests comment regarding the number of small businesses subject to the rule and the potential impacts of the rule on these small businesses. </w:t>
      </w:r>
      <w:r w:rsidRPr="4B57A279">
        <w:rPr>
          <w:rFonts w:eastAsia="Times New Roman" w:cs="Times New Roman"/>
        </w:rPr>
        <w:t>EPA is soliciting comment on whether six months is a reasonable timeframe to implement respiratory protection requirements or if a different timeframe is needed. E</w:t>
      </w:r>
      <w:r w:rsidRPr="4B57A279">
        <w:rPr>
          <w:rFonts w:eastAsia="Times New Roman" w:cs="Times New Roman"/>
          <w:color w:val="000000" w:themeColor="text1"/>
        </w:rPr>
        <w:t xml:space="preserve">PA will consider compliance timeframes that may be substantially longer or shorter than the proposed timeframes for owners or operators for procedural adjustments needed to comply with the proposed requirements outlined Unit IV of the proposed rule and is requesting comment on the feasibility of the proposed compliance timeframes, as well as longer or shorter timeframes. Per the Small Business Advocacy Review (SBAR) Panel’s recommendation, EPA is requesting comment on this approach, specifically how to mitigate the exposure to dry powder PV29, by entities that could, based on demonstrated ability through recordkeeping and utilization of a combination of controls (including engineering controls, administrative controls, and PPE requirements), eliminate inhalation exposure to PV29 to address the unreasonable risk. Per the SBAR Panel’s recommendation, </w:t>
      </w:r>
      <w:r>
        <w:t>EPA requests comment on reasonable compliance timeframes for small businesses, with emphasis on comment about how to provide longer compliance timeframes for transitioning to uses requiring reformulation. Per the SBAR Panel’s recommendation, EPA requests comment on a regulatory approach for those conditions of use where the EPA has confidence that exposures to PV29 can be effectively controlled, and what flexibility could be provided to regulated entities to incorporate the hierarchy of controls to reduce exposures so that the unreasonable risk is no longer present. Per the SBAR Panel’s recommendation, EPA requests comment on state-of-the-art equipment, engineering and administrative controls, and monitoring for inhalation exposures.</w:t>
      </w:r>
    </w:p>
    <w:p w:rsidR="00A35579" w:rsidRPr="00552F18" w:rsidP="00051E85" w14:paraId="2CB8EE1C" w14:textId="77777777">
      <w:pPr>
        <w:pStyle w:val="Heading2"/>
      </w:pPr>
      <w:bookmarkStart w:id="4" w:name="_Toc156593373"/>
      <w:r w:rsidRPr="00552F18">
        <w:t>6. Describe the consequence to Federal program or policy activities if the collection is not conducted or is conducted less frequently, as well as any technical or legal obstacles to reducing burden.</w:t>
      </w:r>
    </w:p>
    <w:bookmarkEnd w:id="4"/>
    <w:p w:rsidR="0089482A" w:rsidRPr="0089482A" w:rsidP="0089482A" w14:paraId="3BC9B732" w14:textId="77777777">
      <w:pPr>
        <w:pBdr>
          <w:top w:val="single" w:sz="6" w:space="0" w:color="FFFFFF"/>
          <w:left w:val="single" w:sz="6" w:space="0" w:color="FFFFFF"/>
          <w:bottom w:val="single" w:sz="6" w:space="0" w:color="FFFFFF"/>
          <w:right w:val="single" w:sz="6" w:space="0" w:color="FFFFFF"/>
        </w:pBdr>
        <w:rPr>
          <w:rFonts w:cstheme="minorHAnsi"/>
        </w:rPr>
      </w:pPr>
      <w:r w:rsidRPr="0089482A">
        <w:rPr>
          <w:rFonts w:cstheme="minorHAnsi"/>
        </w:rPr>
        <w:t>Under section 6(a) of TSCA (15 U.S.C. § 2605(a)),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 more requirements, (see #1 above) to the extent necessary so that the chemical substance or mixture no longer presents such risk. EPA has authority under section 6 of TSCA to require recordkeeping related to the regulatory requirements imposed by EPA. This is important where, as here, such records and reports are necessary for effective implementation and enforcement of the section 6 rule.</w:t>
      </w:r>
    </w:p>
    <w:p w:rsidR="00552F18" w:rsidRPr="00552F18" w:rsidP="0089482A" w14:paraId="27D7B5A9" w14:textId="638B87CC">
      <w:pPr>
        <w:pBdr>
          <w:top w:val="single" w:sz="6" w:space="0" w:color="FFFFFF"/>
          <w:left w:val="single" w:sz="6" w:space="0" w:color="FFFFFF"/>
          <w:bottom w:val="single" w:sz="6" w:space="0" w:color="FFFFFF"/>
          <w:right w:val="single" w:sz="6" w:space="0" w:color="FFFFFF"/>
        </w:pBdr>
        <w:rPr>
          <w:rFonts w:cstheme="minorHAnsi"/>
        </w:rPr>
      </w:pPr>
      <w:r w:rsidRPr="0089482A">
        <w:rPr>
          <w:rFonts w:cstheme="minorHAnsi"/>
        </w:rPr>
        <w:t xml:space="preserve">Due to the nature of the triggering events that initiate information collection activities under the proposed rule (i.e., the exposure of potentially exposed persons, consumers, and bystanders to unreasonable risk) a shorter timeframe for record retention is not feasible. The information collection activities covered by this ICR are necessary in order to ensure the effective mitigation of unreasonable risk from </w:t>
      </w:r>
      <w:r>
        <w:rPr>
          <w:rFonts w:cstheme="minorHAnsi"/>
        </w:rPr>
        <w:t>PV29</w:t>
      </w:r>
      <w:r w:rsidRPr="0089482A">
        <w:rPr>
          <w:rFonts w:cstheme="minorHAnsi"/>
        </w:rPr>
        <w:t xml:space="preserve">. Due to EPA’s determination that </w:t>
      </w:r>
      <w:r>
        <w:rPr>
          <w:rFonts w:cstheme="minorHAnsi"/>
        </w:rPr>
        <w:t>PV29</w:t>
      </w:r>
      <w:r w:rsidRPr="0089482A">
        <w:rPr>
          <w:rFonts w:cstheme="minorHAnsi"/>
        </w:rPr>
        <w:t xml:space="preserve"> presents an unreasonable risk, the proposed risk management rule involves information collection activities that are intended to ensure that </w:t>
      </w:r>
      <w:r>
        <w:rPr>
          <w:rFonts w:cstheme="minorHAnsi"/>
        </w:rPr>
        <w:t>PV29</w:t>
      </w:r>
      <w:r w:rsidRPr="0089482A">
        <w:rPr>
          <w:rFonts w:cstheme="minorHAnsi"/>
        </w:rPr>
        <w:t xml:space="preserve"> does not present an unreasonable risk, thus any associated burdens to the regulated entities are necessary for the implementation of a TSCA section 6(a) rulemaking. Should the records in this information collection activity not be maintained nor be made accessible in accordance with the proposed rulemaking, effective implementation of </w:t>
      </w:r>
      <w:r>
        <w:rPr>
          <w:rFonts w:cstheme="minorHAnsi"/>
        </w:rPr>
        <w:t>respiratory protection equipment usage, area cleaning, and equipment cleaning</w:t>
      </w:r>
      <w:r w:rsidRPr="0089482A">
        <w:rPr>
          <w:rFonts w:cstheme="minorHAnsi"/>
        </w:rPr>
        <w:t xml:space="preserve"> would be compromised. EPA would not be able to determine if unreasonable risk is mitigated, leading to the possibility of injury and hinderance of investigative efforts by the regulated entity and by EPA.</w:t>
      </w:r>
    </w:p>
    <w:p w:rsidR="00A35579" w:rsidRPr="00966032" w:rsidP="00552F18" w14:paraId="291FEF3E" w14:textId="77777777">
      <w:pPr>
        <w:pStyle w:val="Heading2"/>
        <w:keepNext w:val="0"/>
        <w:keepLines w:val="0"/>
        <w:widowControl w:val="0"/>
      </w:pPr>
      <w:bookmarkStart w:id="5" w:name="_Toc156593374"/>
      <w:r w:rsidRPr="00966032">
        <w:t xml:space="preserve">7. Explain any special circumstances that require the collection to be conducted in a manner inconsistent with OMB guidelines. </w:t>
      </w:r>
    </w:p>
    <w:p w:rsidR="00A35579" w:rsidRPr="00051E85" w:rsidP="00552F18" w14:paraId="4929E561" w14:textId="6F70971C">
      <w:pPr>
        <w:pStyle w:val="Heading3"/>
        <w:keepNext w:val="0"/>
        <w:keepLines w:val="0"/>
        <w:widowControl w:val="0"/>
      </w:pPr>
      <w:r w:rsidRPr="00051E85">
        <w:t>a) requiring respondents to report information to the agency more often than quarterly;</w:t>
      </w:r>
    </w:p>
    <w:p w:rsidR="00A35579" w:rsidRPr="00051E85" w:rsidP="00552F18" w14:paraId="67519B7E" w14:textId="7215811C">
      <w:pPr>
        <w:pStyle w:val="Heading3"/>
        <w:keepNext w:val="0"/>
        <w:keepLines w:val="0"/>
        <w:widowControl w:val="0"/>
      </w:pPr>
      <w:r w:rsidRPr="00051E85">
        <w:t>b) requiring respondents to prepare a written response to a collection of information in fewer than 30 days after receipt of it;</w:t>
      </w:r>
    </w:p>
    <w:p w:rsidR="00A35579" w:rsidRPr="00051E85" w:rsidP="00552F18" w14:paraId="40C72822" w14:textId="71E83F2A">
      <w:pPr>
        <w:pStyle w:val="Heading3"/>
        <w:keepNext w:val="0"/>
        <w:keepLines w:val="0"/>
        <w:widowControl w:val="0"/>
      </w:pPr>
      <w:r w:rsidRPr="00051E85">
        <w:t>c) requiring respondents to submit more than an original and two copies of any document;</w:t>
      </w:r>
    </w:p>
    <w:p w:rsidR="00A35579" w:rsidRPr="00051E85" w:rsidP="00552F18" w14:paraId="335B87C1" w14:textId="504DA798">
      <w:pPr>
        <w:pStyle w:val="Heading3"/>
        <w:keepNext w:val="0"/>
        <w:keepLines w:val="0"/>
        <w:widowControl w:val="0"/>
      </w:pPr>
      <w:r w:rsidRPr="00051E85">
        <w:t>d) requiring respondents to retain records, other than health, medical, government contract, grant-in-aid, or tax records, for more than three years;</w:t>
      </w:r>
    </w:p>
    <w:p w:rsidR="00A35579" w:rsidRPr="00051E85" w:rsidP="00552F18" w14:paraId="5973C410" w14:textId="1D7FEF63">
      <w:pPr>
        <w:pStyle w:val="Heading3"/>
        <w:keepNext w:val="0"/>
        <w:keepLines w:val="0"/>
        <w:widowControl w:val="0"/>
      </w:pPr>
      <w:r w:rsidRPr="00051E85">
        <w:t>e) in connection with a statistical survey, that is not designed to produce valid and reliable results that can be generalized to the universe of study;</w:t>
      </w:r>
    </w:p>
    <w:p w:rsidR="00A35579" w:rsidRPr="00051E85" w:rsidP="00552F18" w14:paraId="4935888E" w14:textId="39A880A1">
      <w:pPr>
        <w:pStyle w:val="Heading3"/>
        <w:keepNext w:val="0"/>
        <w:keepLines w:val="0"/>
        <w:widowControl w:val="0"/>
      </w:pPr>
      <w:r w:rsidRPr="00051E85">
        <w:t>f) requiring the use of a statistical data classification that has not been reviewed and approved by OMB;</w:t>
      </w:r>
    </w:p>
    <w:p w:rsidR="00A35579" w:rsidRPr="00051E85" w:rsidP="00552F18" w14:paraId="25C49B43" w14:textId="38446D4C">
      <w:pPr>
        <w:pStyle w:val="Heading3"/>
        <w:keepNext w:val="0"/>
        <w:keepLines w:val="0"/>
        <w:widowControl w:val="0"/>
      </w:pPr>
      <w:r w:rsidRPr="00051E85">
        <w:t xml:space="preserve">g) that includes a pledge of confidentiality that is not supported by authority </w:t>
      </w:r>
      <w:r w:rsidRPr="00051E85">
        <w:t>established in statute or regulation, that is not supported by disclosure and data security policies that are consistent with the pledge, or which unnecessarily impedes sharing of data with other agencies for compatible confidential use; or</w:t>
      </w:r>
    </w:p>
    <w:p w:rsidR="00A35579" w:rsidRPr="00051E85" w:rsidP="00552F18" w14:paraId="02850D7E" w14:textId="2A867162">
      <w:pPr>
        <w:pStyle w:val="Heading3"/>
        <w:keepNext w:val="0"/>
        <w:keepLines w:val="0"/>
        <w:widowControl w:val="0"/>
        <w:spacing w:after="0"/>
      </w:pPr>
      <w:r w:rsidRPr="00051E85">
        <w:t>h) requiring respondents to submit proprietary trade secrets, or other confidential information unless the agency can demonstrate that it has instituted procedures to protect the information's confidentiality to the extent permitted by law.</w:t>
      </w:r>
    </w:p>
    <w:p w:rsidR="00A35579" w:rsidRPr="00A233E0" w:rsidP="00A35579" w14:paraId="17F1DD07" w14:textId="77777777">
      <w:pPr>
        <w:pBdr>
          <w:bottom w:val="single" w:sz="4" w:space="1" w:color="auto"/>
        </w:pBdr>
        <w:spacing w:before="60"/>
        <w:rPr>
          <w:rFonts w:cstheme="minorHAnsi"/>
        </w:rPr>
      </w:pPr>
    </w:p>
    <w:bookmarkEnd w:id="5"/>
    <w:p w:rsidR="00111663" w:rsidRPr="00BB3410" w:rsidP="3254C678" w14:paraId="775EDF16" w14:textId="04E896E5">
      <w:pPr>
        <w:pBdr>
          <w:top w:val="single" w:sz="6" w:space="0" w:color="FFFFFF"/>
          <w:left w:val="single" w:sz="6" w:space="0" w:color="FFFFFF"/>
          <w:bottom w:val="single" w:sz="6" w:space="0" w:color="FFFFFF"/>
          <w:right w:val="single" w:sz="6" w:space="0" w:color="FFFFFF"/>
        </w:pBdr>
        <w:rPr>
          <w:color w:val="000000"/>
        </w:rPr>
      </w:pPr>
      <w:r w:rsidRPr="3254C678">
        <w:t xml:space="preserve">This proposed rulemaking and information collection activity would require that regulated entities retain records for a duration of </w:t>
      </w:r>
      <w:r w:rsidRPr="3254C678" w:rsidR="781C2606">
        <w:t>five</w:t>
      </w:r>
      <w:r w:rsidRPr="3254C678">
        <w:t xml:space="preserve"> years from the date of its inception such as downstream notification. EPA has tailored this timeframe to coincide with the statute of limitations for civil penalty enforcement (28 U.S.C. 2842). EPA expects that 5-year retention of records for respiratory protection usage, area cleaning, and equipment cleaning is necessary for effective implementation and enforcement of this rulemaking. </w:t>
      </w:r>
    </w:p>
    <w:p w:rsidR="00E87291" w:rsidRPr="00552F18" w:rsidP="00051E85" w14:paraId="29B814C4" w14:textId="77777777">
      <w:pPr>
        <w:pStyle w:val="Heading2"/>
      </w:pPr>
      <w:bookmarkStart w:id="6" w:name="_Toc156593375"/>
      <w:r w:rsidRPr="00051E85">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87291" w:rsidRPr="00E87291" w:rsidP="00051E85" w14:paraId="16017CAC" w14:textId="77777777">
      <w:pPr>
        <w:rPr>
          <w:b/>
          <w:bCs/>
          <w:i/>
          <w:iCs/>
          <w:sz w:val="24"/>
          <w:szCs w:val="24"/>
        </w:rPr>
      </w:pPr>
      <w:r w:rsidRPr="00E87291">
        <w:rPr>
          <w:b/>
          <w:bCs/>
          <w:i/>
          <w:i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87291" w:rsidRPr="00E87291" w:rsidP="00051E85" w14:paraId="52188150" w14:textId="77777777">
      <w:pPr>
        <w:rPr>
          <w:b/>
          <w:bCs/>
          <w:i/>
          <w:iCs/>
          <w:sz w:val="24"/>
          <w:szCs w:val="24"/>
        </w:rPr>
      </w:pPr>
      <w:r w:rsidRPr="00E87291">
        <w:rPr>
          <w:b/>
          <w:bCs/>
          <w:i/>
          <w:iCs/>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D57A4" w:rsidP="00854AAE" w14:paraId="102C4D0F" w14:textId="624389F9">
      <w:pPr>
        <w:pBdr>
          <w:top w:val="single" w:sz="6" w:space="0" w:color="FFFFFF"/>
          <w:left w:val="single" w:sz="6" w:space="0" w:color="FFFFFF"/>
          <w:bottom w:val="single" w:sz="6" w:space="0" w:color="FFFFFF"/>
          <w:right w:val="single" w:sz="6" w:space="0" w:color="FFFFFF"/>
        </w:pBdr>
        <w:rPr>
          <w:rFonts w:cstheme="minorHAnsi"/>
          <w:color w:val="000000"/>
        </w:rPr>
      </w:pPr>
      <w:bookmarkStart w:id="7" w:name="_Toc156593377"/>
      <w:bookmarkEnd w:id="6"/>
      <w:r w:rsidRPr="009D5DFA">
        <w:rPr>
          <w:rFonts w:cstheme="minorHAnsi"/>
          <w:color w:val="000000"/>
        </w:rPr>
        <w:t>The proposed rulemaking serves as the public notice for this ICR. Interested parties should submit comments referencing Docket ID No. EPA-HQ-OPPT-2021-0277</w:t>
      </w:r>
      <w:r>
        <w:rPr>
          <w:rFonts w:cstheme="minorHAnsi"/>
          <w:color w:val="000000"/>
        </w:rPr>
        <w:t xml:space="preserve"> </w:t>
      </w:r>
      <w:r w:rsidRPr="009D5DFA">
        <w:rPr>
          <w:rFonts w:cstheme="minorHAnsi"/>
          <w:color w:val="000000"/>
        </w:rPr>
        <w:t>to the</w:t>
      </w:r>
      <w:r>
        <w:rPr>
          <w:rFonts w:cstheme="minorHAnsi"/>
          <w:color w:val="000000"/>
        </w:rPr>
        <w:t xml:space="preserve"> </w:t>
      </w:r>
      <w:r>
        <w:rPr>
          <w:sz w:val="23"/>
          <w:szCs w:val="23"/>
        </w:rPr>
        <w:t xml:space="preserve">address listed at the end of this document. EPA will address any comments received from OMB or the public concerning the information collection activities contained in the rule, and the agency’s response, when developing the final rule. </w:t>
      </w:r>
    </w:p>
    <w:bookmarkEnd w:id="7"/>
    <w:p w:rsidR="00111663" w:rsidRPr="00BB3410" w:rsidP="3254C678" w14:paraId="5E198479" w14:textId="0EC098AA">
      <w:r w:rsidRPr="3254C678">
        <w:t>EPA has engaged in significant consultation and outreach with the regulated community and other affected entities during development of the proposed rulemaking. Key opportunities to obtain public input on the availability and type of data that should be required, frequency of monitoring, and methods for carrying out downstream notification include the outreach meetings with small entity representatives held as part of the Small Business Advocacy Review (SBAR) Panel</w:t>
      </w:r>
      <w:r w:rsidRPr="3254C678" w:rsidR="78BEB141">
        <w:t xml:space="preserve"> in September 2023</w:t>
      </w:r>
      <w:r w:rsidRPr="3254C678">
        <w:t xml:space="preserve">; presentations to small business stakeholders and the general public in February 2021; and discussions with representatives from different industries, non-governmental organizations, technical experts and users of PV29. A list of external meetings held during the development of this proposed rule is in the </w:t>
      </w:r>
      <w:r w:rsidRPr="3254C678">
        <w:t xml:space="preserve">docket. The purpose of these discussions was to create awareness and educate stakeholders and regulated entities on the provisions for risk management required under section 6(a) of TSCA; obtain input from manufacturers, processors, distributors, </w:t>
      </w:r>
      <w:r w:rsidRPr="3254C678" w:rsidR="02657AA5">
        <w:t xml:space="preserve">and </w:t>
      </w:r>
      <w:r w:rsidRPr="3254C678">
        <w:t>users</w:t>
      </w:r>
      <w:r w:rsidRPr="3254C678" w:rsidR="02657AA5">
        <w:t xml:space="preserve"> </w:t>
      </w:r>
      <w:r w:rsidRPr="3254C678">
        <w:t xml:space="preserve">about uses of </w:t>
      </w:r>
      <w:r w:rsidRPr="3254C678" w:rsidR="02657AA5">
        <w:t>PV29</w:t>
      </w:r>
      <w:r w:rsidRPr="3254C678">
        <w:t xml:space="preserve">; identify workplace practices, engineering controls, administrative controls, PPE, and industrial hygiene plans currently in use or feasibly adoptable to reduce exposure to </w:t>
      </w:r>
      <w:r w:rsidRPr="3254C678" w:rsidR="02657AA5">
        <w:t>PV29</w:t>
      </w:r>
      <w:r w:rsidRPr="3254C678">
        <w:t xml:space="preserve"> under the conditions of use; generate potential risk reduction strategies; and understand the type of recordkeeping, notifications, and reporting already ongoing (</w:t>
      </w:r>
      <w:r w:rsidRPr="3254C678">
        <w:rPr>
          <w:b/>
          <w:bCs/>
        </w:rPr>
        <w:t xml:space="preserve">Attachment </w:t>
      </w:r>
      <w:r w:rsidR="00707C2E">
        <w:rPr>
          <w:b/>
          <w:bCs/>
        </w:rPr>
        <w:t>3</w:t>
      </w:r>
      <w:r w:rsidRPr="3254C678">
        <w:t xml:space="preserve">). </w:t>
      </w:r>
    </w:p>
    <w:p w:rsidR="00E87291" w:rsidRPr="00552F18" w:rsidP="00051E85" w14:paraId="3EB256DC" w14:textId="77777777">
      <w:pPr>
        <w:pStyle w:val="Heading2"/>
      </w:pPr>
      <w:r w:rsidRPr="00051E85">
        <w:t>9. Explain any decisions to provide payments or gifts to respondents, other than remuneration of contractors or grantees.</w:t>
      </w:r>
    </w:p>
    <w:p w:rsidR="00ED57A4" w:rsidRPr="00BB3410" w:rsidP="00854AAE" w14:paraId="0D75D3D3" w14:textId="7A031864">
      <w:pPr>
        <w:rPr>
          <w:rFonts w:cstheme="minorHAnsi"/>
        </w:rPr>
      </w:pPr>
      <w:r>
        <w:rPr>
          <w:rStyle w:val="normaltextrun"/>
          <w:color w:val="000000"/>
          <w:bdr w:val="none" w:sz="0" w:space="0" w:color="auto" w:frame="1"/>
        </w:rPr>
        <w:t>This collection does not provide any payment or gift to respondents.</w:t>
      </w:r>
    </w:p>
    <w:p w:rsidR="00E87291" w:rsidRPr="00552F18" w:rsidP="00051E85" w14:paraId="05643C0F" w14:textId="77777777">
      <w:pPr>
        <w:pStyle w:val="Heading2"/>
      </w:pPr>
      <w:r w:rsidRPr="00051E85">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3F06F306">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EPA will not be collecting any information. Therefore, confidential information will not be submitted to EPA.</w:t>
      </w:r>
    </w:p>
    <w:p w:rsidR="00E87291" w:rsidRPr="00552F18" w:rsidP="00051E85" w14:paraId="12DE3D60" w14:textId="77777777">
      <w:pPr>
        <w:pStyle w:val="Heading2"/>
      </w:pPr>
      <w:r w:rsidRPr="00051E85">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475B828C">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The information collection activities do not include questions of a sensitive nature.</w:t>
      </w:r>
    </w:p>
    <w:p w:rsidR="00051E85" w:rsidRPr="00552F18" w:rsidP="00051E85" w14:paraId="199D6004" w14:textId="77777777">
      <w:pPr>
        <w:pStyle w:val="Heading2"/>
      </w:pPr>
      <w:bookmarkStart w:id="8" w:name="_Toc156593381"/>
      <w:r w:rsidRPr="00051E85">
        <w:t>12. Provide estimates of the hour burden of the collection of information. The statement should:</w:t>
      </w:r>
    </w:p>
    <w:p w:rsidR="00051E85" w:rsidRPr="00966032" w:rsidP="00051E85" w14:paraId="457944C2" w14:textId="77777777">
      <w:pPr>
        <w:pStyle w:val="Heading3"/>
      </w:pPr>
      <w:r>
        <w:t xml:space="preserve">a) </w:t>
      </w:r>
      <w:r w:rsidRPr="00966032">
        <w:t>Indicate the number of respondents, frequency of response, annual hour burden, and an explanation of how the burden was estimated. Generally, estimates should not include burden hours for customary and usual business practices.</w:t>
      </w:r>
    </w:p>
    <w:p w:rsidR="00051E85" w:rsidRPr="00966032" w:rsidP="00051E85" w14:paraId="584F8F02" w14:textId="77777777">
      <w:pPr>
        <w:pStyle w:val="Heading3"/>
      </w:pPr>
      <w:r>
        <w:t xml:space="preserve">b) </w:t>
      </w:r>
      <w:r w:rsidRPr="00966032">
        <w:t>If this request for approval covers more than one form, provide separate hour burden estimates for each form and the aggregate the hour burdens.</w:t>
      </w:r>
    </w:p>
    <w:p w:rsidR="00051E85" w:rsidRPr="00966032" w:rsidP="00051E85" w14:paraId="7F2E12F8" w14:textId="77777777">
      <w:pPr>
        <w:pStyle w:val="Heading3"/>
      </w:pPr>
      <w:r>
        <w:t xml:space="preserve">c) </w:t>
      </w:r>
      <w:r w:rsidRPr="00966032">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p>
    <w:p w:rsidR="00D92ED6" w:rsidRPr="00163C69" w:rsidP="00854AAE" w14:paraId="0B6BE1C2" w14:textId="390A6A1F">
      <w:pPr>
        <w:spacing w:before="120" w:after="0"/>
        <w:rPr>
          <w:rFonts w:cstheme="minorHAnsi"/>
          <w:b/>
          <w:bCs/>
        </w:rPr>
      </w:pPr>
      <w:bookmarkStart w:id="9" w:name="_Toc156593385"/>
      <w:bookmarkEnd w:id="8"/>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9"/>
      <w:r w:rsidRPr="00163C69" w:rsidR="00BB2B15">
        <w:rPr>
          <w:rFonts w:cstheme="minorHAnsi"/>
          <w:b/>
          <w:bCs/>
        </w:rPr>
        <w:t>Costs</w:t>
      </w:r>
    </w:p>
    <w:p w:rsidR="3B59A281" w:rsidRPr="00C60984" w:rsidP="00513BCF" w14:paraId="11B196C1" w14:textId="63F41668">
      <w:pPr>
        <w:spacing w:after="240"/>
        <w:rPr>
          <w:rFonts w:eastAsia="Times New Roman" w:cstheme="minorHAnsi"/>
        </w:rPr>
      </w:pPr>
      <w:r w:rsidRPr="00C60984">
        <w:rPr>
          <w:rFonts w:eastAsia="Times New Roman" w:cstheme="minorHAnsi"/>
        </w:rPr>
        <w:t xml:space="preserve">EPA’s </w:t>
      </w:r>
      <w:r w:rsidRPr="00C60984">
        <w:rPr>
          <w:rFonts w:eastAsia="Times New Roman" w:cstheme="minorHAnsi"/>
          <w:i/>
          <w:iCs/>
        </w:rPr>
        <w:t xml:space="preserve">Economic Analysis of the </w:t>
      </w:r>
      <w:r w:rsidRPr="00C60984" w:rsidR="4A85D959">
        <w:rPr>
          <w:rFonts w:eastAsia="Times New Roman" w:cstheme="minorHAnsi"/>
          <w:i/>
          <w:iCs/>
        </w:rPr>
        <w:t>Proposed R</w:t>
      </w:r>
      <w:r w:rsidRPr="00C60984" w:rsidR="17AEC90A">
        <w:rPr>
          <w:rFonts w:eastAsia="Times New Roman" w:cstheme="minorHAnsi"/>
          <w:i/>
          <w:iCs/>
        </w:rPr>
        <w:t>egulation</w:t>
      </w:r>
      <w:r w:rsidRPr="00C60984">
        <w:rPr>
          <w:rFonts w:eastAsia="Times New Roman" w:cstheme="minorHAnsi"/>
          <w:i/>
          <w:iCs/>
        </w:rPr>
        <w:t xml:space="preserve"> of </w:t>
      </w:r>
      <w:r w:rsidRPr="00C60984" w:rsidR="07477699">
        <w:rPr>
          <w:rFonts w:eastAsia="Times New Roman" w:cstheme="minorHAnsi"/>
          <w:i/>
          <w:iCs/>
        </w:rPr>
        <w:t>PV29</w:t>
      </w:r>
      <w:r w:rsidRPr="00C60984">
        <w:rPr>
          <w:rFonts w:eastAsia="Times New Roman" w:cstheme="minorHAnsi"/>
          <w:i/>
          <w:iCs/>
        </w:rPr>
        <w:t xml:space="preserve"> Under TSCA </w:t>
      </w:r>
      <w:r w:rsidRPr="002E159C">
        <w:rPr>
          <w:rFonts w:eastAsia="Times New Roman" w:cstheme="minorHAnsi"/>
        </w:rPr>
        <w:t>(U.S. EPA, 2024)</w:t>
      </w:r>
      <w:r w:rsidRPr="00C60984">
        <w:rPr>
          <w:rFonts w:eastAsia="Times New Roman" w:cstheme="minorHAnsi"/>
        </w:rPr>
        <w:t xml:space="preserve"> provides the detailed methodology for estimating the number of respondents.</w:t>
      </w:r>
    </w:p>
    <w:p w:rsidR="6DEAE177" w:rsidP="00513BCF" w14:paraId="58AA1A0B" w14:textId="5A666758">
      <w:pPr>
        <w:spacing w:after="240"/>
        <w:rPr>
          <w:rFonts w:eastAsia="Times New Roman" w:cstheme="minorHAnsi"/>
          <w:color w:val="000000" w:themeColor="text1"/>
        </w:rPr>
      </w:pPr>
      <w:r w:rsidRPr="00C60984">
        <w:rPr>
          <w:rFonts w:eastAsia="Times New Roman" w:cstheme="minorHAnsi"/>
          <w:color w:val="000000" w:themeColor="text1"/>
        </w:rPr>
        <w:t xml:space="preserve">The paperwork burden and associated costs include the activity types listed below. </w:t>
      </w:r>
    </w:p>
    <w:p w:rsidR="6DEAE177" w:rsidRPr="00513BCF" w:rsidP="00B72CC1" w14:paraId="73BF4995" w14:textId="20B65161">
      <w:pPr>
        <w:pStyle w:val="BulletListAbt"/>
        <w:keepNext w:val="0"/>
        <w:widowControl w:val="0"/>
        <w:numPr>
          <w:ilvl w:val="0"/>
          <w:numId w:val="0"/>
        </w:numPr>
        <w:rPr>
          <w:rFonts w:asciiTheme="minorHAnsi" w:hAnsiTheme="minorHAnsi" w:cstheme="minorHAnsi"/>
          <w:color w:val="000000" w:themeColor="text1"/>
        </w:rPr>
      </w:pPr>
      <w:r>
        <w:rPr>
          <w:rFonts w:asciiTheme="minorHAnsi" w:hAnsiTheme="minorHAnsi" w:cstheme="minorHAnsi"/>
          <w:color w:val="000000" w:themeColor="text1"/>
        </w:rPr>
        <w:t xml:space="preserve">1. </w:t>
      </w:r>
      <w:r w:rsidRPr="00513BCF">
        <w:rPr>
          <w:rFonts w:asciiTheme="minorHAnsi" w:hAnsiTheme="minorHAnsi" w:cstheme="minorHAnsi"/>
          <w:color w:val="000000" w:themeColor="text1"/>
        </w:rPr>
        <w:t>Rule Familiarization</w:t>
      </w:r>
    </w:p>
    <w:p w:rsidR="6DEAE177" w:rsidRPr="00513BCF" w:rsidP="00B72CC1" w14:paraId="12E08DA1" w14:textId="62AB002E">
      <w:pPr>
        <w:pStyle w:val="BulletListAbt"/>
        <w:keepNext w:val="0"/>
        <w:widowControl w:val="0"/>
        <w:numPr>
          <w:ilvl w:val="0"/>
          <w:numId w:val="0"/>
        </w:numPr>
        <w:ind w:left="778"/>
        <w:rPr>
          <w:rFonts w:asciiTheme="minorHAnsi" w:hAnsiTheme="minorHAnsi" w:cstheme="minorHAnsi"/>
          <w:color w:val="000000" w:themeColor="text1"/>
        </w:rPr>
      </w:pPr>
      <w:r w:rsidRPr="00513BCF">
        <w:rPr>
          <w:rFonts w:asciiTheme="minorHAnsi" w:hAnsiTheme="minorHAnsi" w:cstheme="minorHAnsi"/>
          <w:color w:val="000000" w:themeColor="text1"/>
        </w:rPr>
        <w:t xml:space="preserve">49,670 entities are assumed to have rule familiarization costs. Note that this includes entities that only have a rule familiarization burden associated with determining that they need not take action to comply with any of the rule’s requirements (they do not manufacture, process or use regulated PV29). These entities are estimated to have a one-time labor burden of </w:t>
      </w:r>
      <w:r w:rsidR="00DA10E7">
        <w:rPr>
          <w:rFonts w:asciiTheme="minorHAnsi" w:hAnsiTheme="minorHAnsi" w:cstheme="minorHAnsi"/>
          <w:color w:val="000000" w:themeColor="text1"/>
        </w:rPr>
        <w:t>one</w:t>
      </w:r>
      <w:r w:rsidRPr="00513BCF">
        <w:rPr>
          <w:rFonts w:asciiTheme="minorHAnsi" w:hAnsiTheme="minorHAnsi" w:cstheme="minorHAnsi"/>
          <w:color w:val="000000" w:themeColor="text1"/>
        </w:rPr>
        <w:t xml:space="preserve"> hour, with a weighted average wage rate of $97.79 (reflecting a mix of managerial wage rates for the manufacturing sector ($93.07), the trade, transportation and utilities sector ($94.70), and service sector ($99.58).</w:t>
      </w:r>
    </w:p>
    <w:p w:rsidR="6DEAE177" w:rsidRPr="00513BCF" w:rsidP="00513BCF" w14:paraId="43CE6D63" w14:textId="72BBC1F0">
      <w:pPr>
        <w:pStyle w:val="BulletListAbt"/>
        <w:numPr>
          <w:ilvl w:val="0"/>
          <w:numId w:val="0"/>
        </w:numPr>
        <w:rPr>
          <w:rFonts w:asciiTheme="minorHAnsi" w:hAnsiTheme="minorHAnsi" w:cstheme="minorHAnsi"/>
          <w:color w:val="000000" w:themeColor="text1"/>
        </w:rPr>
      </w:pPr>
      <w:r>
        <w:rPr>
          <w:rFonts w:asciiTheme="minorHAnsi" w:hAnsiTheme="minorHAnsi" w:cstheme="minorHAnsi"/>
          <w:color w:val="000000" w:themeColor="text1"/>
        </w:rPr>
        <w:t xml:space="preserve">2. </w:t>
      </w:r>
      <w:r w:rsidRPr="00513BCF">
        <w:rPr>
          <w:rFonts w:asciiTheme="minorHAnsi" w:hAnsiTheme="minorHAnsi" w:cstheme="minorHAnsi"/>
          <w:color w:val="000000" w:themeColor="text1"/>
        </w:rPr>
        <w:t>Downstream Notification</w:t>
      </w:r>
    </w:p>
    <w:p w:rsidR="6DEAE177" w:rsidRPr="00513BCF" w:rsidP="00513BCF" w14:paraId="3A39573B" w14:textId="326E7EE3">
      <w:pPr>
        <w:pStyle w:val="BulletListAbt"/>
        <w:numPr>
          <w:ilvl w:val="0"/>
          <w:numId w:val="0"/>
        </w:numPr>
        <w:ind w:left="778"/>
        <w:rPr>
          <w:rFonts w:asciiTheme="minorHAnsi" w:hAnsiTheme="minorHAnsi" w:cstheme="minorHAnsi"/>
          <w:color w:val="000000" w:themeColor="text1"/>
        </w:rPr>
      </w:pPr>
      <w:r w:rsidRPr="00513BCF">
        <w:rPr>
          <w:rFonts w:asciiTheme="minorHAnsi" w:hAnsiTheme="minorHAnsi" w:cstheme="minorHAnsi"/>
          <w:color w:val="000000" w:themeColor="text1"/>
        </w:rPr>
        <w:t>One entity is estimated to have downstream notification costs associated with a one-time one-hour labor burden at the manufacturing managerial wage rate of $93.07.</w:t>
      </w:r>
    </w:p>
    <w:p w:rsidR="6DEAE177" w:rsidRPr="00513BCF" w:rsidP="00513BCF" w14:paraId="371D16CE" w14:textId="57489711">
      <w:pPr>
        <w:pStyle w:val="BulletListAbt"/>
        <w:numPr>
          <w:ilvl w:val="0"/>
          <w:numId w:val="0"/>
        </w:numPr>
        <w:rPr>
          <w:rFonts w:asciiTheme="minorHAnsi" w:hAnsiTheme="minorHAnsi" w:cstheme="minorHAnsi"/>
          <w:color w:val="000000" w:themeColor="text1"/>
        </w:rPr>
      </w:pPr>
      <w:r>
        <w:rPr>
          <w:rFonts w:asciiTheme="minorHAnsi" w:hAnsiTheme="minorHAnsi" w:cstheme="minorHAnsi"/>
          <w:color w:val="000000" w:themeColor="text1"/>
        </w:rPr>
        <w:t xml:space="preserve">3. </w:t>
      </w:r>
      <w:r w:rsidRPr="00513BCF">
        <w:rPr>
          <w:rFonts w:asciiTheme="minorHAnsi" w:hAnsiTheme="minorHAnsi" w:cstheme="minorHAnsi"/>
          <w:color w:val="000000" w:themeColor="text1"/>
        </w:rPr>
        <w:t>Labeling</w:t>
      </w:r>
    </w:p>
    <w:p w:rsidR="6DEAE177" w:rsidRPr="00513BCF" w:rsidP="00513BCF" w14:paraId="20A74153" w14:textId="4537CC6B">
      <w:pPr>
        <w:pStyle w:val="BulletListAbt"/>
        <w:numPr>
          <w:ilvl w:val="0"/>
          <w:numId w:val="0"/>
        </w:numPr>
        <w:ind w:left="778"/>
        <w:rPr>
          <w:rFonts w:asciiTheme="minorHAnsi" w:hAnsiTheme="minorHAnsi" w:cstheme="minorHAnsi"/>
          <w:color w:val="000000" w:themeColor="text1"/>
        </w:rPr>
      </w:pPr>
      <w:r w:rsidRPr="00513BCF">
        <w:rPr>
          <w:rFonts w:asciiTheme="minorHAnsi" w:hAnsiTheme="minorHAnsi" w:cstheme="minorHAnsi"/>
          <w:color w:val="000000" w:themeColor="text1"/>
        </w:rPr>
        <w:t>The economic analysis includes an estimated a one-time labor cost of $100 to $200 for one entity for labeling. For the paperwork reduction act analysis, it is assumed that this reflects a labor burden of 1.61 hours at the manufacturing managerial wage rate of $93.07 (i.e., a one-time labor cost of $150). There is also a one-time materials cost of $600.</w:t>
      </w:r>
    </w:p>
    <w:p w:rsidR="6DEAE177" w:rsidRPr="00513BCF" w:rsidP="00513BCF" w14:paraId="3F822579" w14:textId="6785B6D6">
      <w:pPr>
        <w:pStyle w:val="BulletListAbt"/>
        <w:numPr>
          <w:ilvl w:val="0"/>
          <w:numId w:val="0"/>
        </w:numPr>
        <w:rPr>
          <w:rFonts w:asciiTheme="minorHAnsi" w:hAnsiTheme="minorHAnsi" w:cstheme="minorHAnsi"/>
          <w:color w:val="000000" w:themeColor="text1"/>
        </w:rPr>
      </w:pPr>
      <w:r>
        <w:rPr>
          <w:rFonts w:asciiTheme="minorHAnsi" w:hAnsiTheme="minorHAnsi" w:cstheme="minorHAnsi"/>
          <w:color w:val="000000" w:themeColor="text1"/>
        </w:rPr>
        <w:t xml:space="preserve">4. </w:t>
      </w:r>
      <w:r w:rsidRPr="00513BCF">
        <w:rPr>
          <w:rFonts w:asciiTheme="minorHAnsi" w:hAnsiTheme="minorHAnsi" w:cstheme="minorHAnsi"/>
          <w:color w:val="000000" w:themeColor="text1"/>
        </w:rPr>
        <w:t>PPE Program</w:t>
      </w:r>
    </w:p>
    <w:p w:rsidR="6DEAE177" w:rsidRPr="00513BCF" w:rsidP="00513BCF" w14:paraId="1D7B3623" w14:textId="53CD7202">
      <w:pPr>
        <w:pStyle w:val="BulletListAbt"/>
        <w:numPr>
          <w:ilvl w:val="0"/>
          <w:numId w:val="0"/>
        </w:numPr>
        <w:ind w:left="778"/>
        <w:rPr>
          <w:rFonts w:asciiTheme="minorHAnsi" w:hAnsiTheme="minorHAnsi" w:cstheme="minorHAnsi"/>
          <w:color w:val="000000" w:themeColor="text1"/>
        </w:rPr>
      </w:pPr>
      <w:r w:rsidRPr="00513BCF">
        <w:rPr>
          <w:rFonts w:asciiTheme="minorHAnsi" w:hAnsiTheme="minorHAnsi" w:cstheme="minorHAnsi"/>
          <w:color w:val="000000" w:themeColor="text1"/>
        </w:rPr>
        <w:t xml:space="preserve">There are </w:t>
      </w:r>
      <w:r w:rsidR="00DA10E7">
        <w:rPr>
          <w:rFonts w:asciiTheme="minorHAnsi" w:hAnsiTheme="minorHAnsi" w:cstheme="minorHAnsi"/>
          <w:color w:val="000000" w:themeColor="text1"/>
        </w:rPr>
        <w:t>eight</w:t>
      </w:r>
      <w:r w:rsidRPr="00513BCF">
        <w:rPr>
          <w:rFonts w:asciiTheme="minorHAnsi" w:hAnsiTheme="minorHAnsi" w:cstheme="minorHAnsi"/>
          <w:color w:val="000000" w:themeColor="text1"/>
        </w:rPr>
        <w:t xml:space="preserve"> respondents with an 8-hour initial labor burden for establishing a PPE program and a 2-hour annually recurring labor burden. The labor cost is estimated using the industrial hygienist wage rate of $74.12 (Abt Global 2024).</w:t>
      </w:r>
    </w:p>
    <w:p w:rsidR="6DEAE177" w:rsidRPr="00513BCF" w:rsidP="00513BCF" w14:paraId="19C25969" w14:textId="164737E3">
      <w:pPr>
        <w:pStyle w:val="BulletListAbt"/>
        <w:numPr>
          <w:ilvl w:val="0"/>
          <w:numId w:val="0"/>
        </w:numPr>
        <w:rPr>
          <w:rFonts w:asciiTheme="minorHAnsi" w:hAnsiTheme="minorHAnsi" w:cstheme="minorHAnsi"/>
          <w:color w:val="000000" w:themeColor="text1"/>
        </w:rPr>
      </w:pPr>
      <w:r>
        <w:rPr>
          <w:rFonts w:asciiTheme="minorHAnsi" w:hAnsiTheme="minorHAnsi" w:cstheme="minorHAnsi"/>
          <w:color w:val="000000" w:themeColor="text1"/>
        </w:rPr>
        <w:t xml:space="preserve">5. </w:t>
      </w:r>
      <w:r w:rsidRPr="00513BCF">
        <w:rPr>
          <w:rFonts w:asciiTheme="minorHAnsi" w:hAnsiTheme="minorHAnsi" w:cstheme="minorHAnsi"/>
          <w:color w:val="000000" w:themeColor="text1"/>
        </w:rPr>
        <w:t>Equipment and Area Cleaning Recordkeeping</w:t>
      </w:r>
    </w:p>
    <w:p w:rsidR="6DEAE177" w:rsidRPr="00513BCF" w:rsidP="00513BCF" w14:paraId="763929D8" w14:textId="0BACE8D1">
      <w:pPr>
        <w:pStyle w:val="BulletListAbt"/>
        <w:numPr>
          <w:ilvl w:val="0"/>
          <w:numId w:val="0"/>
        </w:numPr>
        <w:ind w:left="778"/>
        <w:rPr>
          <w:rFonts w:asciiTheme="minorHAnsi" w:hAnsiTheme="minorHAnsi" w:cstheme="minorHAnsi"/>
          <w:color w:val="000000" w:themeColor="text1"/>
        </w:rPr>
      </w:pPr>
      <w:r w:rsidRPr="00513BCF">
        <w:rPr>
          <w:rFonts w:asciiTheme="minorHAnsi" w:hAnsiTheme="minorHAnsi" w:cstheme="minorHAnsi"/>
          <w:color w:val="000000" w:themeColor="text1"/>
        </w:rPr>
        <w:t xml:space="preserve">There are 22 respondents with an initial managerial labor burden of </w:t>
      </w:r>
      <w:r w:rsidR="00DA10E7">
        <w:rPr>
          <w:rFonts w:asciiTheme="minorHAnsi" w:hAnsiTheme="minorHAnsi" w:cstheme="minorHAnsi"/>
          <w:color w:val="000000" w:themeColor="text1"/>
        </w:rPr>
        <w:t>four</w:t>
      </w:r>
      <w:r w:rsidRPr="00513BCF">
        <w:rPr>
          <w:rFonts w:asciiTheme="minorHAnsi" w:hAnsiTheme="minorHAnsi" w:cstheme="minorHAnsi"/>
          <w:color w:val="000000" w:themeColor="text1"/>
        </w:rPr>
        <w:t xml:space="preserve"> hours and a production worker annual labor burden of 15 minutes per week (or 13 hours per year). The weighted average wage reflecting a mix of manufacturing managerial and production worker labor is $62.16.</w:t>
      </w:r>
    </w:p>
    <w:p w:rsidR="3EE1543C" w:rsidP="00513BCF" w14:paraId="4522B1E2" w14:textId="73E08B9F">
      <w:pPr>
        <w:spacing w:after="240"/>
        <w:rPr>
          <w:rFonts w:eastAsia="Times New Roman" w:cstheme="minorHAnsi"/>
          <w:lang w:val="en"/>
        </w:rPr>
      </w:pPr>
      <w:r w:rsidRPr="00513BCF">
        <w:rPr>
          <w:rFonts w:eastAsia="Times New Roman" w:cstheme="minorHAnsi"/>
          <w:lang w:val="en"/>
        </w:rPr>
        <w:t>The table below presents the labor rates used to estimate the costs of the labor burdens under the ICR.</w:t>
      </w:r>
    </w:p>
    <w:p w:rsidR="00552F18" w:rsidP="00513BCF" w14:paraId="2A74EDEC" w14:textId="77777777">
      <w:pPr>
        <w:spacing w:after="240"/>
        <w:rPr>
          <w:rFonts w:eastAsia="Times New Roman" w:cstheme="minorHAnsi"/>
          <w:lang w:val="en"/>
        </w:rPr>
      </w:pPr>
    </w:p>
    <w:p w:rsidR="00552F18" w:rsidP="00513BCF" w14:paraId="1FF9A4AE" w14:textId="77777777">
      <w:pPr>
        <w:spacing w:after="240"/>
        <w:rPr>
          <w:rFonts w:eastAsia="Times New Roman" w:cstheme="minorHAnsi"/>
          <w:lang w:val="en"/>
        </w:rPr>
      </w:pPr>
    </w:p>
    <w:p w:rsidR="00552F18" w:rsidP="00513BCF" w14:paraId="00A54D5F" w14:textId="77777777">
      <w:pPr>
        <w:spacing w:after="240"/>
        <w:rPr>
          <w:rFonts w:eastAsia="Times New Roman" w:cstheme="minorHAnsi"/>
          <w:lang w:val="en"/>
        </w:rPr>
      </w:pPr>
    </w:p>
    <w:p w:rsidR="00552F18" w:rsidP="00513BCF" w14:paraId="6F4963E9" w14:textId="77777777">
      <w:pPr>
        <w:spacing w:after="240"/>
        <w:rPr>
          <w:rFonts w:eastAsia="Times New Roman" w:cstheme="minorHAnsi"/>
          <w:lang w:val="en"/>
        </w:rPr>
      </w:pPr>
    </w:p>
    <w:p w:rsidR="00552F18" w:rsidP="00513BCF" w14:paraId="04D8EA11" w14:textId="77777777">
      <w:pPr>
        <w:spacing w:after="240"/>
        <w:rPr>
          <w:rFonts w:eastAsia="Times New Roman" w:cstheme="minorHAnsi"/>
          <w:lang w:val="en"/>
        </w:rPr>
      </w:pPr>
    </w:p>
    <w:p w:rsidR="00552F18" w:rsidP="00513BCF" w14:paraId="3CF5EB83" w14:textId="77777777">
      <w:pPr>
        <w:spacing w:after="240"/>
        <w:rPr>
          <w:rFonts w:eastAsia="Times New Roman" w:cstheme="minorHAnsi"/>
          <w:lang w:val="en"/>
        </w:rPr>
      </w:pPr>
    </w:p>
    <w:p w:rsidR="00552F18" w:rsidP="00513BCF" w14:paraId="07BDCB47" w14:textId="77777777">
      <w:pPr>
        <w:spacing w:after="240"/>
        <w:rPr>
          <w:rFonts w:eastAsia="Times New Roman" w:cstheme="minorHAnsi"/>
          <w:lang w:val="en"/>
        </w:rPr>
      </w:pPr>
    </w:p>
    <w:p w:rsidR="00513BCF" w:rsidRPr="00552F18" w:rsidP="00513BCF" w14:paraId="753F5CE7" w14:textId="1ADBFB83">
      <w:pPr>
        <w:spacing w:after="0"/>
        <w:rPr>
          <w:rFonts w:eastAsia="Times New Roman" w:cstheme="minorHAnsi"/>
          <w:b/>
          <w:bCs/>
          <w:lang w:val="en"/>
        </w:rPr>
      </w:pPr>
      <w:r w:rsidRPr="00552F18">
        <w:rPr>
          <w:rFonts w:cstheme="minorHAnsi"/>
          <w:b/>
          <w:bCs/>
          <w:sz w:val="20"/>
          <w:szCs w:val="20"/>
        </w:rPr>
        <w:t>Fully Loaded Hourly Labor Rates for Relevant Occupations (2023$)</w:t>
      </w:r>
    </w:p>
    <w:tbl>
      <w:tblPr>
        <w:tblW w:w="0" w:type="auto"/>
        <w:tblLayout w:type="fixed"/>
        <w:tblLook w:val="04A0"/>
      </w:tblPr>
      <w:tblGrid>
        <w:gridCol w:w="1475"/>
        <w:gridCol w:w="2051"/>
        <w:gridCol w:w="2282"/>
        <w:gridCol w:w="1434"/>
        <w:gridCol w:w="1058"/>
        <w:gridCol w:w="1060"/>
      </w:tblGrid>
      <w:tr w14:paraId="2859BC90" w14:textId="77777777" w:rsidTr="00513BCF">
        <w:tblPrEx>
          <w:tblW w:w="0" w:type="auto"/>
          <w:tblLayout w:type="fixed"/>
          <w:tblLook w:val="04A0"/>
        </w:tblPrEx>
        <w:trPr>
          <w:trHeight w:val="15"/>
          <w:tblHeader/>
        </w:trPr>
        <w:tc>
          <w:tcPr>
            <w:tcW w:w="1475" w:type="dxa"/>
            <w:tcBorders>
              <w:top w:val="single" w:sz="8" w:space="0" w:color="auto"/>
              <w:left w:val="single" w:sz="8" w:space="0" w:color="auto"/>
              <w:bottom w:val="single" w:sz="8" w:space="0" w:color="auto"/>
              <w:right w:val="single" w:sz="8" w:space="0" w:color="auto"/>
            </w:tcBorders>
            <w:shd w:val="clear" w:color="auto" w:fill="013E5B"/>
            <w:tcMar>
              <w:left w:w="58" w:type="dxa"/>
              <w:right w:w="58" w:type="dxa"/>
            </w:tcMar>
            <w:vAlign w:val="center"/>
          </w:tcPr>
          <w:p w:rsidR="3254C678" w:rsidRPr="00513BCF" w:rsidP="00513BCF" w14:paraId="2F746CDD" w14:textId="60FFBE21">
            <w:pPr>
              <w:spacing w:after="180"/>
              <w:jc w:val="center"/>
              <w:rPr>
                <w:rFonts w:eastAsia="Arial Narrow" w:cstheme="minorHAnsi"/>
                <w:b/>
                <w:bCs/>
                <w:color w:val="FFFFFF" w:themeColor="background1"/>
                <w:sz w:val="20"/>
                <w:szCs w:val="20"/>
              </w:rPr>
            </w:pPr>
            <w:r w:rsidRPr="00513BCF">
              <w:rPr>
                <w:rFonts w:eastAsia="Arial Narrow" w:cstheme="minorHAnsi"/>
                <w:b/>
                <w:bCs/>
                <w:color w:val="FFFFFF" w:themeColor="background1"/>
                <w:sz w:val="20"/>
                <w:szCs w:val="20"/>
              </w:rPr>
              <w:t>Industry</w:t>
            </w:r>
          </w:p>
        </w:tc>
        <w:tc>
          <w:tcPr>
            <w:tcW w:w="2051" w:type="dxa"/>
            <w:tcBorders>
              <w:top w:val="nil"/>
              <w:left w:val="single" w:sz="8" w:space="0" w:color="auto"/>
              <w:bottom w:val="single" w:sz="8" w:space="0" w:color="auto"/>
              <w:right w:val="single" w:sz="8" w:space="0" w:color="auto"/>
            </w:tcBorders>
            <w:shd w:val="clear" w:color="auto" w:fill="013E5B"/>
            <w:tcMar>
              <w:left w:w="58" w:type="dxa"/>
              <w:right w:w="58" w:type="dxa"/>
            </w:tcMar>
            <w:vAlign w:val="center"/>
          </w:tcPr>
          <w:p w:rsidR="3254C678" w:rsidRPr="00513BCF" w:rsidP="00513BCF" w14:paraId="53BAC5D8" w14:textId="4A52CF31">
            <w:pPr>
              <w:spacing w:after="180"/>
              <w:jc w:val="center"/>
              <w:rPr>
                <w:rFonts w:eastAsia="Arial Narrow" w:cstheme="minorHAnsi"/>
                <w:b/>
                <w:bCs/>
                <w:color w:val="FFFFFF" w:themeColor="background1"/>
                <w:sz w:val="20"/>
                <w:szCs w:val="20"/>
              </w:rPr>
            </w:pPr>
            <w:r w:rsidRPr="00513BCF">
              <w:rPr>
                <w:rFonts w:eastAsia="Arial Narrow" w:cstheme="minorHAnsi"/>
                <w:b/>
                <w:bCs/>
                <w:color w:val="FFFFFF" w:themeColor="background1"/>
                <w:sz w:val="20"/>
                <w:szCs w:val="20"/>
              </w:rPr>
              <w:t>Use Categories</w:t>
            </w:r>
          </w:p>
        </w:tc>
        <w:tc>
          <w:tcPr>
            <w:tcW w:w="2282" w:type="dxa"/>
            <w:tcBorders>
              <w:top w:val="nil"/>
              <w:left w:val="single" w:sz="8" w:space="0" w:color="auto"/>
              <w:bottom w:val="single" w:sz="8" w:space="0" w:color="auto"/>
              <w:right w:val="single" w:sz="8" w:space="0" w:color="auto"/>
            </w:tcBorders>
            <w:shd w:val="clear" w:color="auto" w:fill="013E5B"/>
            <w:tcMar>
              <w:left w:w="58" w:type="dxa"/>
              <w:right w:w="58" w:type="dxa"/>
            </w:tcMar>
            <w:vAlign w:val="center"/>
          </w:tcPr>
          <w:p w:rsidR="3254C678" w:rsidRPr="00513BCF" w:rsidP="00513BCF" w14:paraId="1E62BEA8" w14:textId="41BFC864">
            <w:pPr>
              <w:spacing w:after="180"/>
              <w:jc w:val="center"/>
              <w:rPr>
                <w:rFonts w:eastAsia="Arial Narrow" w:cstheme="minorHAnsi"/>
                <w:b/>
                <w:bCs/>
                <w:color w:val="FFFFFF" w:themeColor="background1"/>
                <w:sz w:val="20"/>
                <w:szCs w:val="20"/>
              </w:rPr>
            </w:pPr>
            <w:r w:rsidRPr="00513BCF">
              <w:rPr>
                <w:rFonts w:eastAsia="Arial Narrow" w:cstheme="minorHAnsi"/>
                <w:b/>
                <w:bCs/>
                <w:color w:val="FFFFFF" w:themeColor="background1"/>
                <w:sz w:val="20"/>
                <w:szCs w:val="20"/>
              </w:rPr>
              <w:t>Occupation</w:t>
            </w:r>
          </w:p>
        </w:tc>
        <w:tc>
          <w:tcPr>
            <w:tcW w:w="1434" w:type="dxa"/>
            <w:tcBorders>
              <w:top w:val="nil"/>
              <w:left w:val="single" w:sz="8" w:space="0" w:color="auto"/>
              <w:bottom w:val="single" w:sz="8" w:space="0" w:color="auto"/>
              <w:right w:val="single" w:sz="8" w:space="0" w:color="auto"/>
            </w:tcBorders>
            <w:shd w:val="clear" w:color="auto" w:fill="013E5B"/>
            <w:tcMar>
              <w:left w:w="58" w:type="dxa"/>
              <w:right w:w="58" w:type="dxa"/>
            </w:tcMar>
            <w:vAlign w:val="center"/>
          </w:tcPr>
          <w:p w:rsidR="3254C678" w:rsidRPr="00513BCF" w:rsidP="00513BCF" w14:paraId="4767BC95" w14:textId="219E6F46">
            <w:pPr>
              <w:spacing w:after="180"/>
              <w:jc w:val="center"/>
              <w:rPr>
                <w:rFonts w:eastAsia="Arial Narrow" w:cstheme="minorHAnsi"/>
                <w:b/>
                <w:bCs/>
                <w:color w:val="FFFFFF" w:themeColor="background1"/>
                <w:sz w:val="20"/>
                <w:szCs w:val="20"/>
                <w:vertAlign w:val="superscript"/>
              </w:rPr>
            </w:pPr>
            <w:r w:rsidRPr="00513BCF">
              <w:rPr>
                <w:rFonts w:eastAsia="Arial Narrow" w:cstheme="minorHAnsi"/>
                <w:b/>
                <w:bCs/>
                <w:color w:val="FFFFFF" w:themeColor="background1"/>
                <w:sz w:val="20"/>
                <w:szCs w:val="20"/>
              </w:rPr>
              <w:t>Total Compensation</w:t>
            </w:r>
            <w:r w:rsidRPr="00513BCF">
              <w:rPr>
                <w:rFonts w:eastAsia="Arial Narrow" w:cstheme="minorHAnsi"/>
                <w:b/>
                <w:bCs/>
                <w:color w:val="FFFFFF" w:themeColor="background1"/>
                <w:sz w:val="20"/>
                <w:szCs w:val="20"/>
                <w:vertAlign w:val="superscript"/>
              </w:rPr>
              <w:t>a</w:t>
            </w:r>
          </w:p>
        </w:tc>
        <w:tc>
          <w:tcPr>
            <w:tcW w:w="1058" w:type="dxa"/>
            <w:tcBorders>
              <w:top w:val="nil"/>
              <w:left w:val="single" w:sz="8" w:space="0" w:color="auto"/>
              <w:bottom w:val="single" w:sz="8" w:space="0" w:color="auto"/>
              <w:right w:val="single" w:sz="8" w:space="0" w:color="auto"/>
            </w:tcBorders>
            <w:shd w:val="clear" w:color="auto" w:fill="013E5B"/>
            <w:tcMar>
              <w:left w:w="58" w:type="dxa"/>
              <w:right w:w="58" w:type="dxa"/>
            </w:tcMar>
            <w:vAlign w:val="center"/>
          </w:tcPr>
          <w:p w:rsidR="3254C678" w:rsidRPr="00513BCF" w:rsidP="00513BCF" w14:paraId="73330C21" w14:textId="4BB6EF4A">
            <w:pPr>
              <w:spacing w:after="180"/>
              <w:jc w:val="center"/>
              <w:rPr>
                <w:rFonts w:eastAsia="Arial Narrow" w:cstheme="minorHAnsi"/>
                <w:b/>
                <w:bCs/>
                <w:color w:val="FFFFFF" w:themeColor="background1"/>
                <w:sz w:val="20"/>
                <w:szCs w:val="20"/>
                <w:vertAlign w:val="superscript"/>
              </w:rPr>
            </w:pPr>
            <w:r w:rsidRPr="00513BCF">
              <w:rPr>
                <w:rFonts w:eastAsia="Arial Narrow" w:cstheme="minorHAnsi"/>
                <w:b/>
                <w:bCs/>
                <w:color w:val="FFFFFF" w:themeColor="background1"/>
                <w:sz w:val="20"/>
                <w:szCs w:val="20"/>
              </w:rPr>
              <w:t>Overhead</w:t>
            </w:r>
            <w:r w:rsidRPr="00513BCF">
              <w:rPr>
                <w:rFonts w:eastAsia="Arial Narrow" w:cstheme="minorHAnsi"/>
                <w:b/>
                <w:bCs/>
                <w:color w:val="FFFFFF" w:themeColor="background1"/>
                <w:sz w:val="20"/>
                <w:szCs w:val="20"/>
                <w:vertAlign w:val="superscript"/>
              </w:rPr>
              <w:t>b</w:t>
            </w:r>
          </w:p>
        </w:tc>
        <w:tc>
          <w:tcPr>
            <w:tcW w:w="1060" w:type="dxa"/>
            <w:tcBorders>
              <w:top w:val="nil"/>
              <w:left w:val="single" w:sz="8" w:space="0" w:color="auto"/>
              <w:bottom w:val="single" w:sz="8" w:space="0" w:color="auto"/>
              <w:right w:val="single" w:sz="8" w:space="0" w:color="auto"/>
            </w:tcBorders>
            <w:shd w:val="clear" w:color="auto" w:fill="013E5B"/>
            <w:tcMar>
              <w:left w:w="58" w:type="dxa"/>
              <w:right w:w="58" w:type="dxa"/>
            </w:tcMar>
            <w:vAlign w:val="center"/>
          </w:tcPr>
          <w:p w:rsidR="3254C678" w:rsidRPr="00513BCF" w:rsidP="00513BCF" w14:paraId="7BC21CB8" w14:textId="6A94443C">
            <w:pPr>
              <w:spacing w:after="180"/>
              <w:jc w:val="center"/>
              <w:rPr>
                <w:rFonts w:eastAsia="Arial Narrow" w:cstheme="minorHAnsi"/>
                <w:b/>
                <w:bCs/>
                <w:color w:val="FFFFFF" w:themeColor="background1"/>
                <w:sz w:val="20"/>
                <w:szCs w:val="20"/>
                <w:vertAlign w:val="superscript"/>
              </w:rPr>
            </w:pPr>
            <w:r w:rsidRPr="00513BCF">
              <w:rPr>
                <w:rFonts w:eastAsia="Arial Narrow" w:cstheme="minorHAnsi"/>
                <w:b/>
                <w:bCs/>
                <w:color w:val="FFFFFF" w:themeColor="background1"/>
                <w:sz w:val="20"/>
                <w:szCs w:val="20"/>
              </w:rPr>
              <w:t>Loaded hourly rate</w:t>
            </w:r>
            <w:r w:rsidRPr="00513BCF">
              <w:rPr>
                <w:rFonts w:eastAsia="Arial Narrow" w:cstheme="minorHAnsi"/>
                <w:b/>
                <w:bCs/>
                <w:color w:val="FFFFFF" w:themeColor="background1"/>
                <w:sz w:val="20"/>
                <w:szCs w:val="20"/>
                <w:vertAlign w:val="superscript"/>
              </w:rPr>
              <w:t>c</w:t>
            </w:r>
          </w:p>
        </w:tc>
      </w:tr>
      <w:tr w14:paraId="3A958ECE" w14:textId="77777777" w:rsidTr="3254C678">
        <w:tblPrEx>
          <w:tblW w:w="0" w:type="auto"/>
          <w:tblLayout w:type="fixed"/>
          <w:tblLook w:val="04A0"/>
        </w:tblPrEx>
        <w:trPr>
          <w:trHeight w:val="750"/>
        </w:trPr>
        <w:tc>
          <w:tcPr>
            <w:tcW w:w="1475" w:type="dxa"/>
            <w:vMerge w:val="restart"/>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2470A56E" w14:textId="3EE18DEA">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Manufacturing</w:t>
            </w:r>
          </w:p>
        </w:tc>
        <w:tc>
          <w:tcPr>
            <w:tcW w:w="2051" w:type="dxa"/>
            <w:vMerge w:val="restart"/>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4D35299B" w14:textId="7FD2A6C5">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PV29 manufacturing and intermediate processing</w:t>
            </w:r>
          </w:p>
          <w:p w:rsidR="3254C678" w:rsidRPr="00513BCF" w:rsidP="00513BCF" w14:paraId="770AF830" w14:textId="36A1A40F">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PV29 importing</w:t>
            </w:r>
          </w:p>
          <w:p w:rsidR="3254C678" w:rsidRPr="00513BCF" w:rsidP="00513BCF" w14:paraId="4786C5D2" w14:textId="71BDFAFE">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Processing into automotive paints and coatings</w:t>
            </w:r>
          </w:p>
          <w:p w:rsidR="3254C678" w:rsidRPr="00513BCF" w:rsidP="00513BCF" w14:paraId="789C0192" w14:textId="526DF745">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Processing into plastics and rubber products</w:t>
            </w:r>
          </w:p>
          <w:p w:rsidR="3254C678" w:rsidRPr="00513BCF" w:rsidP="00513BCF" w14:paraId="4768A7CE" w14:textId="0A37BF46">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Automotive painting (new vehicles)</w:t>
            </w:r>
          </w:p>
        </w:tc>
        <w:tc>
          <w:tcPr>
            <w:tcW w:w="2282"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55B950AB" w14:textId="5E76E23F">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 xml:space="preserve">Management, business, and financial </w:t>
            </w:r>
          </w:p>
        </w:tc>
        <w:tc>
          <w:tcPr>
            <w:tcW w:w="1434"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2D16AA99" w14:textId="4C9B61FA">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$77.56</w:t>
            </w:r>
          </w:p>
        </w:tc>
        <w:tc>
          <w:tcPr>
            <w:tcW w:w="105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31D77C6E" w14:textId="78D1F853">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$15.51</w:t>
            </w:r>
          </w:p>
        </w:tc>
        <w:tc>
          <w:tcPr>
            <w:tcW w:w="106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1B07C86E" w14:textId="6E7578C4">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$93.07</w:t>
            </w:r>
          </w:p>
        </w:tc>
      </w:tr>
      <w:tr w14:paraId="5E646A99" w14:textId="77777777" w:rsidTr="3254C678">
        <w:tblPrEx>
          <w:tblW w:w="0" w:type="auto"/>
          <w:tblLayout w:type="fixed"/>
          <w:tblLook w:val="04A0"/>
        </w:tblPrEx>
        <w:trPr>
          <w:trHeight w:val="750"/>
        </w:trPr>
        <w:tc>
          <w:tcPr>
            <w:tcW w:w="1475" w:type="dxa"/>
            <w:vMerge/>
            <w:tcBorders>
              <w:left w:val="single" w:sz="0" w:space="0" w:color="auto"/>
              <w:right w:val="single" w:sz="0" w:space="0" w:color="auto"/>
            </w:tcBorders>
            <w:vAlign w:val="center"/>
          </w:tcPr>
          <w:p w:rsidR="00312B1E" w:rsidRPr="00A9320B" w14:paraId="49642097" w14:textId="77777777">
            <w:pPr>
              <w:rPr>
                <w:rFonts w:cstheme="minorHAnsi"/>
              </w:rPr>
            </w:pPr>
          </w:p>
        </w:tc>
        <w:tc>
          <w:tcPr>
            <w:tcW w:w="2051" w:type="dxa"/>
            <w:vMerge/>
            <w:tcBorders>
              <w:left w:val="single" w:sz="0" w:space="0" w:color="auto"/>
              <w:right w:val="single" w:sz="0" w:space="0" w:color="auto"/>
            </w:tcBorders>
            <w:vAlign w:val="center"/>
          </w:tcPr>
          <w:p w:rsidR="00312B1E" w:rsidRPr="00A9320B" w14:paraId="6E899552" w14:textId="77777777">
            <w:pPr>
              <w:rPr>
                <w:rFonts w:cstheme="minorHAnsi"/>
              </w:rPr>
            </w:pPr>
          </w:p>
        </w:tc>
        <w:tc>
          <w:tcPr>
            <w:tcW w:w="2282" w:type="dxa"/>
            <w:tcBorders>
              <w:top w:val="single" w:sz="8" w:space="0" w:color="auto"/>
              <w:left w:val="nil"/>
              <w:bottom w:val="single" w:sz="8" w:space="0" w:color="auto"/>
              <w:right w:val="single" w:sz="8" w:space="0" w:color="auto"/>
            </w:tcBorders>
            <w:tcMar>
              <w:left w:w="58" w:type="dxa"/>
              <w:right w:w="58" w:type="dxa"/>
            </w:tcMar>
            <w:vAlign w:val="center"/>
          </w:tcPr>
          <w:p w:rsidR="3254C678" w:rsidRPr="00513BCF" w:rsidP="00513BCF" w14:paraId="50715F73" w14:textId="6F7B4CD1">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 xml:space="preserve">Installation, maintenance, and repair </w:t>
            </w:r>
          </w:p>
        </w:tc>
        <w:tc>
          <w:tcPr>
            <w:tcW w:w="1434"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5E9CB966" w14:textId="4F36702B">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$49.17</w:t>
            </w:r>
          </w:p>
        </w:tc>
        <w:tc>
          <w:tcPr>
            <w:tcW w:w="105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68097C0A" w14:textId="3D431F7E">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$9.83</w:t>
            </w:r>
          </w:p>
        </w:tc>
        <w:tc>
          <w:tcPr>
            <w:tcW w:w="106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35F10B01" w14:textId="19F41EDA">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$59.00</w:t>
            </w:r>
          </w:p>
        </w:tc>
      </w:tr>
      <w:tr w14:paraId="0BDCB6DF" w14:textId="77777777" w:rsidTr="3254C678">
        <w:tblPrEx>
          <w:tblW w:w="0" w:type="auto"/>
          <w:tblLayout w:type="fixed"/>
          <w:tblLook w:val="04A0"/>
        </w:tblPrEx>
        <w:trPr>
          <w:trHeight w:val="435"/>
        </w:trPr>
        <w:tc>
          <w:tcPr>
            <w:tcW w:w="1475" w:type="dxa"/>
            <w:vMerge/>
            <w:tcBorders>
              <w:left w:val="single" w:sz="0" w:space="0" w:color="auto"/>
              <w:right w:val="single" w:sz="0" w:space="0" w:color="auto"/>
            </w:tcBorders>
            <w:vAlign w:val="center"/>
          </w:tcPr>
          <w:p w:rsidR="00312B1E" w:rsidRPr="00A9320B" w14:paraId="20B52D68" w14:textId="77777777">
            <w:pPr>
              <w:rPr>
                <w:rFonts w:cstheme="minorHAnsi"/>
              </w:rPr>
            </w:pPr>
          </w:p>
        </w:tc>
        <w:tc>
          <w:tcPr>
            <w:tcW w:w="2051" w:type="dxa"/>
            <w:vMerge/>
            <w:tcBorders>
              <w:left w:val="single" w:sz="0" w:space="0" w:color="auto"/>
              <w:right w:val="single" w:sz="0" w:space="0" w:color="auto"/>
            </w:tcBorders>
            <w:vAlign w:val="center"/>
          </w:tcPr>
          <w:p w:rsidR="00312B1E" w:rsidRPr="00A9320B" w14:paraId="77C7A69F" w14:textId="77777777">
            <w:pPr>
              <w:rPr>
                <w:rFonts w:cstheme="minorHAnsi"/>
              </w:rPr>
            </w:pPr>
          </w:p>
        </w:tc>
        <w:tc>
          <w:tcPr>
            <w:tcW w:w="2282" w:type="dxa"/>
            <w:tcBorders>
              <w:top w:val="single" w:sz="8" w:space="0" w:color="auto"/>
              <w:left w:val="nil"/>
              <w:bottom w:val="single" w:sz="8" w:space="0" w:color="auto"/>
              <w:right w:val="single" w:sz="8" w:space="0" w:color="auto"/>
            </w:tcBorders>
            <w:tcMar>
              <w:left w:w="58" w:type="dxa"/>
              <w:right w:w="58" w:type="dxa"/>
            </w:tcMar>
            <w:vAlign w:val="center"/>
          </w:tcPr>
          <w:p w:rsidR="3254C678" w:rsidRPr="00513BCF" w:rsidP="00513BCF" w14:paraId="35C554F9" w14:textId="764420D0">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 xml:space="preserve">Production </w:t>
            </w:r>
          </w:p>
        </w:tc>
        <w:tc>
          <w:tcPr>
            <w:tcW w:w="1434"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457C8C77" w14:textId="6E588E0B">
            <w:pPr>
              <w:spacing w:after="0"/>
              <w:ind w:right="305"/>
              <w:jc w:val="right"/>
              <w:rPr>
                <w:rFonts w:eastAsia="Times New Roman" w:cstheme="minorHAnsi"/>
                <w:color w:val="000000" w:themeColor="text1"/>
                <w:sz w:val="18"/>
                <w:szCs w:val="18"/>
                <w:lang w:val="en-GB"/>
              </w:rPr>
            </w:pPr>
            <w:r w:rsidRPr="00513BCF">
              <w:rPr>
                <w:rFonts w:eastAsia="Times New Roman" w:cstheme="minorHAnsi"/>
                <w:color w:val="000000" w:themeColor="text1"/>
                <w:sz w:val="18"/>
                <w:szCs w:val="18"/>
                <w:lang w:val="en-GB"/>
              </w:rPr>
              <w:t>$35.15</w:t>
            </w:r>
          </w:p>
        </w:tc>
        <w:tc>
          <w:tcPr>
            <w:tcW w:w="105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0C212411" w14:textId="6249AE76">
            <w:pPr>
              <w:spacing w:after="0"/>
              <w:ind w:right="305"/>
              <w:jc w:val="right"/>
              <w:rPr>
                <w:rFonts w:eastAsia="Times New Roman" w:cstheme="minorHAnsi"/>
                <w:color w:val="000000" w:themeColor="text1"/>
                <w:sz w:val="18"/>
                <w:szCs w:val="18"/>
                <w:lang w:val="en-GB"/>
              </w:rPr>
            </w:pPr>
            <w:r w:rsidRPr="00513BCF">
              <w:rPr>
                <w:rFonts w:eastAsia="Times New Roman" w:cstheme="minorHAnsi"/>
                <w:color w:val="000000" w:themeColor="text1"/>
                <w:sz w:val="18"/>
                <w:szCs w:val="18"/>
                <w:lang w:val="en-GB"/>
              </w:rPr>
              <w:t>$7.03</w:t>
            </w:r>
          </w:p>
        </w:tc>
        <w:tc>
          <w:tcPr>
            <w:tcW w:w="106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5A63F519" w14:textId="12C94DD6">
            <w:pPr>
              <w:spacing w:after="0"/>
              <w:ind w:right="305"/>
              <w:jc w:val="right"/>
              <w:rPr>
                <w:rFonts w:eastAsia="Times New Roman" w:cstheme="minorHAnsi"/>
                <w:color w:val="000000" w:themeColor="text1"/>
                <w:sz w:val="18"/>
                <w:szCs w:val="18"/>
                <w:lang w:val="en-GB"/>
              </w:rPr>
            </w:pPr>
            <w:r w:rsidRPr="00513BCF">
              <w:rPr>
                <w:rFonts w:eastAsia="Times New Roman" w:cstheme="minorHAnsi"/>
                <w:color w:val="000000" w:themeColor="text1"/>
                <w:sz w:val="18"/>
                <w:szCs w:val="18"/>
                <w:lang w:val="en-GB"/>
              </w:rPr>
              <w:t>$42.18</w:t>
            </w:r>
          </w:p>
        </w:tc>
      </w:tr>
      <w:tr w14:paraId="609F376A" w14:textId="77777777" w:rsidTr="3254C678">
        <w:tblPrEx>
          <w:tblW w:w="0" w:type="auto"/>
          <w:tblLayout w:type="fixed"/>
          <w:tblLook w:val="04A0"/>
        </w:tblPrEx>
        <w:trPr>
          <w:trHeight w:val="435"/>
        </w:trPr>
        <w:tc>
          <w:tcPr>
            <w:tcW w:w="1475" w:type="dxa"/>
            <w:vMerge/>
            <w:tcBorders>
              <w:left w:val="single" w:sz="0" w:space="0" w:color="auto"/>
              <w:bottom w:val="single" w:sz="0" w:space="0" w:color="auto"/>
              <w:right w:val="single" w:sz="0" w:space="0" w:color="auto"/>
            </w:tcBorders>
            <w:vAlign w:val="center"/>
          </w:tcPr>
          <w:p w:rsidR="00312B1E" w:rsidRPr="00A9320B" w14:paraId="370D2F2E" w14:textId="77777777">
            <w:pPr>
              <w:rPr>
                <w:rFonts w:cstheme="minorHAnsi"/>
              </w:rPr>
            </w:pPr>
          </w:p>
        </w:tc>
        <w:tc>
          <w:tcPr>
            <w:tcW w:w="2051" w:type="dxa"/>
            <w:vMerge/>
            <w:tcBorders>
              <w:left w:val="single" w:sz="0" w:space="0" w:color="auto"/>
              <w:bottom w:val="single" w:sz="0" w:space="0" w:color="auto"/>
              <w:right w:val="single" w:sz="0" w:space="0" w:color="auto"/>
            </w:tcBorders>
            <w:vAlign w:val="center"/>
          </w:tcPr>
          <w:p w:rsidR="00312B1E" w:rsidRPr="00A9320B" w14:paraId="3F8D3E7F" w14:textId="77777777">
            <w:pPr>
              <w:rPr>
                <w:rFonts w:cstheme="minorHAnsi"/>
              </w:rPr>
            </w:pPr>
          </w:p>
        </w:tc>
        <w:tc>
          <w:tcPr>
            <w:tcW w:w="2282" w:type="dxa"/>
            <w:tcBorders>
              <w:top w:val="single" w:sz="8" w:space="0" w:color="auto"/>
              <w:left w:val="nil"/>
              <w:bottom w:val="single" w:sz="8" w:space="0" w:color="auto"/>
              <w:right w:val="single" w:sz="8" w:space="0" w:color="auto"/>
            </w:tcBorders>
            <w:tcMar>
              <w:left w:w="58" w:type="dxa"/>
              <w:right w:w="58" w:type="dxa"/>
            </w:tcMar>
            <w:vAlign w:val="center"/>
          </w:tcPr>
          <w:p w:rsidR="3254C678" w:rsidRPr="00513BCF" w:rsidP="00513BCF" w14:paraId="6799AB4E" w14:textId="4CA9E504">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Certified Industrial Hygienist</w:t>
            </w:r>
          </w:p>
        </w:tc>
        <w:tc>
          <w:tcPr>
            <w:tcW w:w="1434"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799CE0EE" w14:textId="27D2852E">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$61.76</w:t>
            </w:r>
          </w:p>
        </w:tc>
        <w:tc>
          <w:tcPr>
            <w:tcW w:w="105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4C3EB012" w14:textId="39D97025">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 xml:space="preserve">$12.35 </w:t>
            </w:r>
          </w:p>
        </w:tc>
        <w:tc>
          <w:tcPr>
            <w:tcW w:w="106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38977922" w14:textId="1447C297">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 xml:space="preserve">$74.12 </w:t>
            </w:r>
          </w:p>
        </w:tc>
      </w:tr>
      <w:tr w14:paraId="2CCE108F" w14:textId="77777777" w:rsidTr="3254C678">
        <w:tblPrEx>
          <w:tblW w:w="0" w:type="auto"/>
          <w:tblLayout w:type="fixed"/>
          <w:tblLook w:val="04A0"/>
        </w:tblPrEx>
        <w:trPr>
          <w:trHeight w:val="435"/>
        </w:trPr>
        <w:tc>
          <w:tcPr>
            <w:tcW w:w="1475" w:type="dxa"/>
            <w:vMerge w:val="restart"/>
            <w:tcBorders>
              <w:top w:val="nil"/>
              <w:left w:val="single" w:sz="8" w:space="0" w:color="auto"/>
              <w:bottom w:val="single" w:sz="8" w:space="0" w:color="auto"/>
              <w:right w:val="single" w:sz="8" w:space="0" w:color="auto"/>
            </w:tcBorders>
            <w:tcMar>
              <w:left w:w="58" w:type="dxa"/>
              <w:right w:w="58" w:type="dxa"/>
            </w:tcMar>
            <w:vAlign w:val="center"/>
          </w:tcPr>
          <w:p w:rsidR="3254C678" w:rsidRPr="00513BCF" w:rsidP="00513BCF" w14:paraId="48347F0E" w14:textId="4B8F395C">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Trade, transportation, and utilities</w:t>
            </w:r>
          </w:p>
        </w:tc>
        <w:tc>
          <w:tcPr>
            <w:tcW w:w="2051" w:type="dxa"/>
            <w:vMerge w:val="restart"/>
            <w:tcBorders>
              <w:top w:val="nil"/>
              <w:left w:val="single" w:sz="8" w:space="0" w:color="auto"/>
              <w:bottom w:val="single" w:sz="8" w:space="0" w:color="auto"/>
              <w:right w:val="single" w:sz="8" w:space="0" w:color="auto"/>
            </w:tcBorders>
            <w:tcMar>
              <w:left w:w="58" w:type="dxa"/>
              <w:right w:w="58" w:type="dxa"/>
            </w:tcMar>
            <w:vAlign w:val="center"/>
          </w:tcPr>
          <w:p w:rsidR="3254C678" w:rsidRPr="00513BCF" w:rsidP="00513BCF" w14:paraId="7F4B9617" w14:textId="36A8D811">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Recycling</w:t>
            </w:r>
          </w:p>
          <w:p w:rsidR="3254C678" w:rsidRPr="00513BCF" w:rsidP="00513BCF" w14:paraId="5343B9E4" w14:textId="65A121D8">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Disposal</w:t>
            </w:r>
          </w:p>
        </w:tc>
        <w:tc>
          <w:tcPr>
            <w:tcW w:w="2282"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1510C16B" w14:textId="153FE244">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 xml:space="preserve">Management, business, and financial </w:t>
            </w:r>
          </w:p>
        </w:tc>
        <w:tc>
          <w:tcPr>
            <w:tcW w:w="1434"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0880EF74" w14:textId="0960053A">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$78.92</w:t>
            </w:r>
          </w:p>
        </w:tc>
        <w:tc>
          <w:tcPr>
            <w:tcW w:w="105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24806540" w14:textId="6C498939">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$15.78</w:t>
            </w:r>
          </w:p>
        </w:tc>
        <w:tc>
          <w:tcPr>
            <w:tcW w:w="106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769C625B" w14:textId="1FF32AA1">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$94.70</w:t>
            </w:r>
          </w:p>
        </w:tc>
      </w:tr>
      <w:tr w14:paraId="43BBF720" w14:textId="77777777" w:rsidTr="3254C678">
        <w:tblPrEx>
          <w:tblW w:w="0" w:type="auto"/>
          <w:tblLayout w:type="fixed"/>
          <w:tblLook w:val="04A0"/>
        </w:tblPrEx>
        <w:trPr>
          <w:trHeight w:val="435"/>
        </w:trPr>
        <w:tc>
          <w:tcPr>
            <w:tcW w:w="1475" w:type="dxa"/>
            <w:vMerge/>
            <w:tcBorders>
              <w:left w:val="single" w:sz="0" w:space="0" w:color="auto"/>
              <w:bottom w:val="single" w:sz="0" w:space="0" w:color="auto"/>
              <w:right w:val="single" w:sz="0" w:space="0" w:color="auto"/>
            </w:tcBorders>
            <w:vAlign w:val="center"/>
          </w:tcPr>
          <w:p w:rsidR="00312B1E" w:rsidRPr="00A9320B" w14:paraId="34517954" w14:textId="77777777">
            <w:pPr>
              <w:rPr>
                <w:rFonts w:cstheme="minorHAnsi"/>
              </w:rPr>
            </w:pPr>
          </w:p>
        </w:tc>
        <w:tc>
          <w:tcPr>
            <w:tcW w:w="2051" w:type="dxa"/>
            <w:vMerge/>
            <w:tcBorders>
              <w:left w:val="single" w:sz="0" w:space="0" w:color="auto"/>
              <w:bottom w:val="single" w:sz="0" w:space="0" w:color="auto"/>
              <w:right w:val="single" w:sz="0" w:space="0" w:color="auto"/>
            </w:tcBorders>
            <w:vAlign w:val="center"/>
          </w:tcPr>
          <w:p w:rsidR="00312B1E" w:rsidRPr="00A9320B" w14:paraId="39E6C96A" w14:textId="77777777">
            <w:pPr>
              <w:rPr>
                <w:rFonts w:cstheme="minorHAnsi"/>
              </w:rPr>
            </w:pPr>
          </w:p>
        </w:tc>
        <w:tc>
          <w:tcPr>
            <w:tcW w:w="2282" w:type="dxa"/>
            <w:tcBorders>
              <w:top w:val="single" w:sz="8" w:space="0" w:color="auto"/>
              <w:left w:val="nil"/>
              <w:bottom w:val="single" w:sz="8" w:space="0" w:color="auto"/>
              <w:right w:val="single" w:sz="8" w:space="0" w:color="auto"/>
            </w:tcBorders>
            <w:tcMar>
              <w:left w:w="58" w:type="dxa"/>
              <w:right w:w="58" w:type="dxa"/>
            </w:tcMar>
            <w:vAlign w:val="center"/>
          </w:tcPr>
          <w:p w:rsidR="3254C678" w:rsidRPr="00513BCF" w:rsidP="00513BCF" w14:paraId="47D94763" w14:textId="6AA3E9E2">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 xml:space="preserve">Production, transportation, and material moving </w:t>
            </w:r>
          </w:p>
        </w:tc>
        <w:tc>
          <w:tcPr>
            <w:tcW w:w="1434"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2D3D4307" w14:textId="25B6241A">
            <w:pPr>
              <w:spacing w:after="0"/>
              <w:ind w:right="305"/>
              <w:jc w:val="right"/>
              <w:rPr>
                <w:rFonts w:eastAsia="Times New Roman" w:cstheme="minorHAnsi"/>
                <w:color w:val="000000" w:themeColor="text1"/>
                <w:sz w:val="18"/>
                <w:szCs w:val="18"/>
                <w:lang w:val="en-GB"/>
              </w:rPr>
            </w:pPr>
            <w:r w:rsidRPr="00513BCF">
              <w:rPr>
                <w:rFonts w:eastAsia="Times New Roman" w:cstheme="minorHAnsi"/>
                <w:color w:val="000000" w:themeColor="text1"/>
                <w:sz w:val="18"/>
                <w:szCs w:val="18"/>
                <w:lang w:val="en-GB"/>
              </w:rPr>
              <w:t>$36.60</w:t>
            </w:r>
          </w:p>
        </w:tc>
        <w:tc>
          <w:tcPr>
            <w:tcW w:w="105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49B2968B" w14:textId="01F3BFDB">
            <w:pPr>
              <w:spacing w:after="0"/>
              <w:ind w:right="305"/>
              <w:jc w:val="right"/>
              <w:rPr>
                <w:rFonts w:eastAsia="Times New Roman" w:cstheme="minorHAnsi"/>
                <w:color w:val="000000" w:themeColor="text1"/>
                <w:sz w:val="18"/>
                <w:szCs w:val="18"/>
                <w:lang w:val="en-GB"/>
              </w:rPr>
            </w:pPr>
            <w:r w:rsidRPr="00513BCF">
              <w:rPr>
                <w:rFonts w:eastAsia="Times New Roman" w:cstheme="minorHAnsi"/>
                <w:color w:val="000000" w:themeColor="text1"/>
                <w:sz w:val="18"/>
                <w:szCs w:val="18"/>
                <w:lang w:val="en-GB"/>
              </w:rPr>
              <w:t>$7.32</w:t>
            </w:r>
          </w:p>
        </w:tc>
        <w:tc>
          <w:tcPr>
            <w:tcW w:w="106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0E80A744" w14:textId="377F9687">
            <w:pPr>
              <w:spacing w:after="0"/>
              <w:ind w:right="305"/>
              <w:jc w:val="right"/>
              <w:rPr>
                <w:rFonts w:eastAsia="Times New Roman" w:cstheme="minorHAnsi"/>
                <w:color w:val="000000" w:themeColor="text1"/>
                <w:sz w:val="18"/>
                <w:szCs w:val="18"/>
                <w:lang w:val="en-GB"/>
              </w:rPr>
            </w:pPr>
            <w:r w:rsidRPr="00513BCF">
              <w:rPr>
                <w:rFonts w:eastAsia="Times New Roman" w:cstheme="minorHAnsi"/>
                <w:color w:val="000000" w:themeColor="text1"/>
                <w:sz w:val="18"/>
                <w:szCs w:val="18"/>
                <w:lang w:val="en-GB"/>
              </w:rPr>
              <w:t>$43.92</w:t>
            </w:r>
          </w:p>
        </w:tc>
      </w:tr>
      <w:tr w14:paraId="7704F230" w14:textId="77777777" w:rsidTr="3254C678">
        <w:tblPrEx>
          <w:tblW w:w="0" w:type="auto"/>
          <w:tblLayout w:type="fixed"/>
          <w:tblLook w:val="04A0"/>
        </w:tblPrEx>
        <w:trPr>
          <w:trHeight w:val="15"/>
        </w:trPr>
        <w:tc>
          <w:tcPr>
            <w:tcW w:w="1475" w:type="dxa"/>
            <w:vMerge w:val="restart"/>
            <w:tcBorders>
              <w:top w:val="nil"/>
              <w:left w:val="single" w:sz="8" w:space="0" w:color="auto"/>
              <w:bottom w:val="single" w:sz="8" w:space="0" w:color="auto"/>
              <w:right w:val="single" w:sz="8" w:space="0" w:color="auto"/>
            </w:tcBorders>
            <w:tcMar>
              <w:left w:w="58" w:type="dxa"/>
              <w:right w:w="58" w:type="dxa"/>
            </w:tcMar>
            <w:vAlign w:val="center"/>
          </w:tcPr>
          <w:p w:rsidR="3254C678" w:rsidRPr="00513BCF" w:rsidP="00513BCF" w14:paraId="79938187" w14:textId="38B3776E">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Service providing</w:t>
            </w:r>
          </w:p>
        </w:tc>
        <w:tc>
          <w:tcPr>
            <w:tcW w:w="2051" w:type="dxa"/>
            <w:vMerge w:val="restart"/>
            <w:tcBorders>
              <w:top w:val="nil"/>
              <w:left w:val="single" w:sz="8" w:space="0" w:color="auto"/>
              <w:bottom w:val="single" w:sz="8" w:space="0" w:color="auto"/>
              <w:right w:val="single" w:sz="8" w:space="0" w:color="auto"/>
            </w:tcBorders>
            <w:tcMar>
              <w:left w:w="58" w:type="dxa"/>
              <w:right w:w="58" w:type="dxa"/>
            </w:tcMar>
            <w:vAlign w:val="center"/>
          </w:tcPr>
          <w:p w:rsidR="3254C678" w:rsidRPr="00513BCF" w:rsidP="00513BCF" w14:paraId="2C015DFE" w14:textId="3F0485A5">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Automotive refinishing</w:t>
            </w:r>
          </w:p>
        </w:tc>
        <w:tc>
          <w:tcPr>
            <w:tcW w:w="2282"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5C207E28" w14:textId="0CDB5DDE">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 xml:space="preserve">Management, business, and financial </w:t>
            </w:r>
          </w:p>
        </w:tc>
        <w:tc>
          <w:tcPr>
            <w:tcW w:w="1434"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1617BD16" w14:textId="1756A701">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$82.98</w:t>
            </w:r>
          </w:p>
        </w:tc>
        <w:tc>
          <w:tcPr>
            <w:tcW w:w="105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18BF83A8" w14:textId="72DEFA74">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$16.60</w:t>
            </w:r>
          </w:p>
        </w:tc>
        <w:tc>
          <w:tcPr>
            <w:tcW w:w="106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4893AC1C" w14:textId="75076EBD">
            <w:pPr>
              <w:spacing w:after="0"/>
              <w:ind w:right="305"/>
              <w:jc w:val="right"/>
              <w:rPr>
                <w:rFonts w:eastAsia="Times New Roman" w:cstheme="minorHAnsi"/>
                <w:color w:val="000000" w:themeColor="text1"/>
                <w:sz w:val="18"/>
                <w:szCs w:val="18"/>
              </w:rPr>
            </w:pPr>
            <w:r w:rsidRPr="00513BCF">
              <w:rPr>
                <w:rFonts w:eastAsia="Times New Roman" w:cstheme="minorHAnsi"/>
                <w:color w:val="000000" w:themeColor="text1"/>
                <w:sz w:val="18"/>
                <w:szCs w:val="18"/>
              </w:rPr>
              <w:t>$99.58</w:t>
            </w:r>
          </w:p>
        </w:tc>
      </w:tr>
      <w:tr w14:paraId="67A5EEA6" w14:textId="77777777" w:rsidTr="3254C678">
        <w:tblPrEx>
          <w:tblW w:w="0" w:type="auto"/>
          <w:tblLayout w:type="fixed"/>
          <w:tblLook w:val="04A0"/>
        </w:tblPrEx>
        <w:trPr>
          <w:trHeight w:val="435"/>
        </w:trPr>
        <w:tc>
          <w:tcPr>
            <w:tcW w:w="1475" w:type="dxa"/>
            <w:vMerge/>
            <w:tcBorders>
              <w:left w:val="single" w:sz="0" w:space="0" w:color="auto"/>
              <w:bottom w:val="single" w:sz="0" w:space="0" w:color="auto"/>
              <w:right w:val="single" w:sz="0" w:space="0" w:color="auto"/>
            </w:tcBorders>
            <w:vAlign w:val="center"/>
          </w:tcPr>
          <w:p w:rsidR="00312B1E" w:rsidRPr="00A9320B" w14:paraId="30989A86" w14:textId="77777777">
            <w:pPr>
              <w:rPr>
                <w:rFonts w:cstheme="minorHAnsi"/>
              </w:rPr>
            </w:pPr>
          </w:p>
        </w:tc>
        <w:tc>
          <w:tcPr>
            <w:tcW w:w="2051" w:type="dxa"/>
            <w:vMerge/>
            <w:tcBorders>
              <w:left w:val="single" w:sz="0" w:space="0" w:color="auto"/>
              <w:bottom w:val="single" w:sz="0" w:space="0" w:color="auto"/>
              <w:right w:val="single" w:sz="0" w:space="0" w:color="auto"/>
            </w:tcBorders>
            <w:vAlign w:val="center"/>
          </w:tcPr>
          <w:p w:rsidR="00312B1E" w:rsidRPr="00A9320B" w14:paraId="3960CF65" w14:textId="77777777">
            <w:pPr>
              <w:rPr>
                <w:rFonts w:cstheme="minorHAnsi"/>
              </w:rPr>
            </w:pPr>
          </w:p>
        </w:tc>
        <w:tc>
          <w:tcPr>
            <w:tcW w:w="2282" w:type="dxa"/>
            <w:tcBorders>
              <w:top w:val="single" w:sz="8" w:space="0" w:color="auto"/>
              <w:left w:val="nil"/>
              <w:bottom w:val="single" w:sz="8" w:space="0" w:color="auto"/>
              <w:right w:val="single" w:sz="8" w:space="0" w:color="auto"/>
            </w:tcBorders>
            <w:tcMar>
              <w:left w:w="58" w:type="dxa"/>
              <w:right w:w="58" w:type="dxa"/>
            </w:tcMar>
            <w:vAlign w:val="center"/>
          </w:tcPr>
          <w:p w:rsidR="3254C678" w:rsidRPr="00513BCF" w:rsidP="00513BCF" w14:paraId="516A6D32" w14:textId="1BB26072">
            <w:pPr>
              <w:spacing w:before="20" w:after="20"/>
              <w:ind w:right="150"/>
              <w:rPr>
                <w:rFonts w:eastAsia="Times New Roman" w:cstheme="minorHAnsi"/>
                <w:color w:val="000000" w:themeColor="text1"/>
                <w:sz w:val="18"/>
                <w:szCs w:val="18"/>
              </w:rPr>
            </w:pPr>
            <w:r w:rsidRPr="00513BCF">
              <w:rPr>
                <w:rFonts w:eastAsia="Times New Roman" w:cstheme="minorHAnsi"/>
                <w:color w:val="000000" w:themeColor="text1"/>
                <w:sz w:val="18"/>
                <w:szCs w:val="18"/>
              </w:rPr>
              <w:t xml:space="preserve">Production </w:t>
            </w:r>
          </w:p>
        </w:tc>
        <w:tc>
          <w:tcPr>
            <w:tcW w:w="1434"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6E6C7AC0" w14:textId="6888E783">
            <w:pPr>
              <w:spacing w:after="0"/>
              <w:ind w:right="305"/>
              <w:jc w:val="right"/>
              <w:rPr>
                <w:rFonts w:eastAsia="Times New Roman" w:cstheme="minorHAnsi"/>
                <w:color w:val="000000" w:themeColor="text1"/>
                <w:sz w:val="18"/>
                <w:szCs w:val="18"/>
                <w:lang w:val="en-GB"/>
              </w:rPr>
            </w:pPr>
            <w:r w:rsidRPr="00513BCF">
              <w:rPr>
                <w:rFonts w:eastAsia="Times New Roman" w:cstheme="minorHAnsi"/>
                <w:color w:val="000000" w:themeColor="text1"/>
                <w:sz w:val="18"/>
                <w:szCs w:val="18"/>
                <w:lang w:val="en-GB"/>
              </w:rPr>
              <w:t>$29.88</w:t>
            </w:r>
          </w:p>
        </w:tc>
        <w:tc>
          <w:tcPr>
            <w:tcW w:w="1058"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6D10F9FA" w14:textId="09B78A63">
            <w:pPr>
              <w:spacing w:after="0"/>
              <w:ind w:right="305"/>
              <w:jc w:val="right"/>
              <w:rPr>
                <w:rFonts w:eastAsia="Times New Roman" w:cstheme="minorHAnsi"/>
                <w:color w:val="000000" w:themeColor="text1"/>
                <w:sz w:val="18"/>
                <w:szCs w:val="18"/>
                <w:lang w:val="en-GB"/>
              </w:rPr>
            </w:pPr>
            <w:r w:rsidRPr="00513BCF">
              <w:rPr>
                <w:rFonts w:eastAsia="Times New Roman" w:cstheme="minorHAnsi"/>
                <w:color w:val="000000" w:themeColor="text1"/>
                <w:sz w:val="18"/>
                <w:szCs w:val="18"/>
                <w:lang w:val="en-GB"/>
              </w:rPr>
              <w:t>$5.98</w:t>
            </w:r>
          </w:p>
        </w:tc>
        <w:tc>
          <w:tcPr>
            <w:tcW w:w="106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3254C678" w:rsidRPr="00513BCF" w:rsidP="00513BCF" w14:paraId="6F98FB8F" w14:textId="63C6AC1A">
            <w:pPr>
              <w:spacing w:after="0"/>
              <w:ind w:right="305"/>
              <w:jc w:val="right"/>
              <w:rPr>
                <w:rFonts w:eastAsia="Times New Roman" w:cstheme="minorHAnsi"/>
                <w:color w:val="000000" w:themeColor="text1"/>
                <w:sz w:val="18"/>
                <w:szCs w:val="18"/>
                <w:lang w:val="en-GB"/>
              </w:rPr>
            </w:pPr>
            <w:r w:rsidRPr="00513BCF">
              <w:rPr>
                <w:rFonts w:eastAsia="Times New Roman" w:cstheme="minorHAnsi"/>
                <w:color w:val="000000" w:themeColor="text1"/>
                <w:sz w:val="18"/>
                <w:szCs w:val="18"/>
                <w:lang w:val="en-GB"/>
              </w:rPr>
              <w:t>$35.86</w:t>
            </w:r>
          </w:p>
        </w:tc>
      </w:tr>
      <w:tr w14:paraId="033D0D28" w14:textId="77777777" w:rsidTr="3254C678">
        <w:tblPrEx>
          <w:tblW w:w="0" w:type="auto"/>
          <w:tblLayout w:type="fixed"/>
          <w:tblLook w:val="04A0"/>
        </w:tblPrEx>
        <w:trPr>
          <w:trHeight w:val="15"/>
        </w:trPr>
        <w:tc>
          <w:tcPr>
            <w:tcW w:w="9360" w:type="dxa"/>
            <w:gridSpan w:val="6"/>
            <w:tcBorders>
              <w:top w:val="nil"/>
              <w:left w:val="single" w:sz="8" w:space="0" w:color="auto"/>
              <w:bottom w:val="single" w:sz="8" w:space="0" w:color="auto"/>
              <w:right w:val="single" w:sz="8" w:space="0" w:color="auto"/>
            </w:tcBorders>
            <w:tcMar>
              <w:left w:w="58" w:type="dxa"/>
              <w:right w:w="58" w:type="dxa"/>
            </w:tcMar>
          </w:tcPr>
          <w:p w:rsidR="3254C678" w:rsidRPr="00513BCF" w:rsidP="00513BCF" w14:paraId="7E0C7900" w14:textId="692EBE45">
            <w:pPr>
              <w:spacing w:after="0"/>
              <w:ind w:right="150"/>
              <w:rPr>
                <w:rStyle w:val="Hyperlink"/>
                <w:rFonts w:eastAsia="Arial Narrow" w:cstheme="minorHAnsi"/>
                <w:sz w:val="18"/>
                <w:szCs w:val="18"/>
              </w:rPr>
            </w:pPr>
            <w:r w:rsidRPr="00513BCF">
              <w:rPr>
                <w:rFonts w:eastAsia="Arial Narrow" w:cstheme="minorHAnsi"/>
                <w:color w:val="000000" w:themeColor="text1"/>
                <w:sz w:val="18"/>
                <w:szCs w:val="18"/>
              </w:rPr>
              <w:t xml:space="preserve">a. Source: </w:t>
            </w:r>
            <w:hyperlink r:id="rId9" w:anchor="_ENREF_9" w:history="1">
              <w:r w:rsidRPr="00513BCF">
                <w:rPr>
                  <w:rStyle w:val="Hyperlink"/>
                  <w:rFonts w:eastAsia="Arial Narrow" w:cstheme="minorHAnsi"/>
                  <w:sz w:val="18"/>
                  <w:szCs w:val="18"/>
                </w:rPr>
                <w:t>Bureau of Labor Statistics 2024b</w:t>
              </w:r>
            </w:hyperlink>
          </w:p>
          <w:p w:rsidR="3254C678" w:rsidRPr="00513BCF" w:rsidP="00513BCF" w14:paraId="34424FE6" w14:textId="629F788D">
            <w:pPr>
              <w:spacing w:after="0"/>
              <w:ind w:right="150"/>
              <w:rPr>
                <w:rFonts w:eastAsia="Arial Narrow" w:cstheme="minorHAnsi"/>
                <w:color w:val="000000" w:themeColor="text1"/>
                <w:sz w:val="18"/>
                <w:szCs w:val="18"/>
              </w:rPr>
            </w:pPr>
            <w:r w:rsidRPr="00513BCF">
              <w:rPr>
                <w:rFonts w:eastAsia="Arial Narrow" w:cstheme="minorHAnsi"/>
                <w:color w:val="000000" w:themeColor="text1"/>
                <w:sz w:val="18"/>
                <w:szCs w:val="18"/>
              </w:rPr>
              <w:t>b. Total compensation times assumed overhead rate of 20%.</w:t>
            </w:r>
          </w:p>
          <w:p w:rsidR="3254C678" w:rsidRPr="00513BCF" w:rsidP="00513BCF" w14:paraId="2874F6B9" w14:textId="01F9D6C3">
            <w:pPr>
              <w:spacing w:after="0"/>
              <w:ind w:right="150"/>
              <w:rPr>
                <w:rFonts w:eastAsia="Arial Narrow" w:cstheme="minorHAnsi"/>
                <w:color w:val="000000" w:themeColor="text1"/>
                <w:sz w:val="18"/>
                <w:szCs w:val="18"/>
              </w:rPr>
            </w:pPr>
            <w:r w:rsidRPr="00513BCF">
              <w:rPr>
                <w:rFonts w:eastAsia="Arial Narrow" w:cstheme="minorHAnsi"/>
                <w:color w:val="000000" w:themeColor="text1"/>
                <w:sz w:val="18"/>
                <w:szCs w:val="18"/>
              </w:rPr>
              <w:t>c. Sum of total compensation and overhead</w:t>
            </w:r>
          </w:p>
        </w:tc>
      </w:tr>
    </w:tbl>
    <w:p w:rsidR="00552F18" w:rsidP="00513BCF" w14:paraId="0CAE0168" w14:textId="77777777">
      <w:pPr>
        <w:spacing w:after="180"/>
        <w:rPr>
          <w:rFonts w:eastAsia="Times New Roman" w:cstheme="minorHAnsi"/>
          <w:color w:val="000000" w:themeColor="text1"/>
          <w:lang w:val="en"/>
        </w:rPr>
      </w:pPr>
    </w:p>
    <w:p w:rsidR="65BBA81A" w:rsidP="00513BCF" w14:paraId="04C78B8F" w14:textId="70266999">
      <w:pPr>
        <w:spacing w:after="180"/>
        <w:rPr>
          <w:rFonts w:eastAsia="Times New Roman" w:cstheme="minorHAnsi"/>
          <w:color w:val="000000" w:themeColor="text1"/>
        </w:rPr>
      </w:pPr>
      <w:r w:rsidRPr="00513BCF">
        <w:rPr>
          <w:rFonts w:eastAsia="Times New Roman" w:cstheme="minorHAnsi"/>
          <w:color w:val="000000" w:themeColor="text1"/>
          <w:lang w:val="en"/>
        </w:rPr>
        <w:t>The table below</w:t>
      </w:r>
      <w:r w:rsidRPr="00513BCF" w:rsidR="6DEAE177">
        <w:rPr>
          <w:rFonts w:eastAsia="Times New Roman" w:cstheme="minorHAnsi"/>
          <w:color w:val="000000" w:themeColor="text1"/>
          <w:lang w:val="en"/>
        </w:rPr>
        <w:t xml:space="preserve"> </w:t>
      </w:r>
      <w:r w:rsidRPr="00513BCF" w:rsidR="6DEAE177">
        <w:rPr>
          <w:rFonts w:eastAsia="Times New Roman" w:cstheme="minorHAnsi"/>
          <w:color w:val="000000" w:themeColor="text1"/>
        </w:rPr>
        <w:t xml:space="preserve">presents the summary of the average annual burden hours and costs per facility over the first three years, as well as the three-year total burden hours and costs associated with the primary option. See Chapter 4 </w:t>
      </w:r>
      <w:r w:rsidRPr="00513BCF" w:rsidR="641175AF">
        <w:rPr>
          <w:rFonts w:eastAsia="Times New Roman" w:cstheme="minorHAnsi"/>
          <w:color w:val="000000" w:themeColor="text1"/>
        </w:rPr>
        <w:t xml:space="preserve">of the Economic Analysis </w:t>
      </w:r>
      <w:r w:rsidRPr="00513BCF" w:rsidR="6DEAE177">
        <w:rPr>
          <w:rFonts w:eastAsia="Times New Roman" w:cstheme="minorHAnsi"/>
          <w:color w:val="000000" w:themeColor="text1"/>
        </w:rPr>
        <w:t xml:space="preserve">for a more detailed description of how the time burden and wage rates were estimated. </w:t>
      </w:r>
    </w:p>
    <w:p w:rsidR="00513BCF" w:rsidRPr="00552F18" w:rsidP="00513BCF" w14:paraId="44A4C7EE" w14:textId="0096DC7E">
      <w:pPr>
        <w:spacing w:after="0"/>
        <w:rPr>
          <w:rFonts w:eastAsia="Times New Roman" w:cstheme="minorHAnsi"/>
          <w:b/>
          <w:bCs/>
          <w:color w:val="000000" w:themeColor="text1"/>
        </w:rPr>
      </w:pPr>
      <w:r w:rsidRPr="00552F18">
        <w:rPr>
          <w:rFonts w:eastAsia="Arial_MSFontService" w:cstheme="minorHAnsi"/>
          <w:b/>
          <w:bCs/>
          <w:color w:val="000000" w:themeColor="text1"/>
        </w:rPr>
        <w:t>Summary of Three Year Average Incremental Burden Hours and Costs for Primary Option (2023$)</w:t>
      </w:r>
    </w:p>
    <w:tbl>
      <w:tblPr>
        <w:tblW w:w="9465" w:type="dxa"/>
        <w:tblInd w:w="-75" w:type="dxa"/>
        <w:tblBorders>
          <w:top w:val="single" w:sz="6" w:space="0" w:color="auto"/>
          <w:left w:val="single" w:sz="6" w:space="0" w:color="auto"/>
          <w:bottom w:val="single" w:sz="6" w:space="0" w:color="auto"/>
          <w:right w:val="single" w:sz="6" w:space="0" w:color="auto"/>
        </w:tblBorders>
        <w:tblLayout w:type="fixed"/>
        <w:tblLook w:val="04A0"/>
      </w:tblPr>
      <w:tblGrid>
        <w:gridCol w:w="1725"/>
        <w:gridCol w:w="1080"/>
        <w:gridCol w:w="1170"/>
        <w:gridCol w:w="1080"/>
        <w:gridCol w:w="1080"/>
        <w:gridCol w:w="1170"/>
        <w:gridCol w:w="1080"/>
        <w:gridCol w:w="1080"/>
      </w:tblGrid>
      <w:tr w14:paraId="2FA4B254" w14:textId="77777777" w:rsidTr="00051E85">
        <w:tblPrEx>
          <w:tblW w:w="9465" w:type="dxa"/>
          <w:tblInd w:w="-75" w:type="dxa"/>
          <w:tblBorders>
            <w:top w:val="single" w:sz="6" w:space="0" w:color="auto"/>
            <w:left w:val="single" w:sz="6" w:space="0" w:color="auto"/>
            <w:bottom w:val="single" w:sz="6" w:space="0" w:color="auto"/>
            <w:right w:val="single" w:sz="6" w:space="0" w:color="auto"/>
          </w:tblBorders>
          <w:tblLayout w:type="fixed"/>
          <w:tblLook w:val="04A0"/>
        </w:tblPrEx>
        <w:trPr>
          <w:trHeight w:val="300"/>
          <w:tblHeader/>
        </w:trPr>
        <w:tc>
          <w:tcPr>
            <w:tcW w:w="1725" w:type="dxa"/>
            <w:tcBorders>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13BCF" w:rsidP="00513BCF" w14:paraId="75EA23FF" w14:textId="4DBEA238">
            <w:pPr>
              <w:pStyle w:val="TableSubtitle"/>
              <w:rPr>
                <w:rFonts w:eastAsia="Arial" w:asciiTheme="minorHAnsi" w:hAnsiTheme="minorHAnsi" w:cstheme="minorHAnsi"/>
                <w:b w:val="0"/>
                <w:bCs w:val="0"/>
              </w:rPr>
            </w:pPr>
            <w:r w:rsidRPr="00513BCF">
              <w:rPr>
                <w:rFonts w:eastAsia="Arial" w:asciiTheme="minorHAnsi" w:hAnsiTheme="minorHAnsi" w:cstheme="minorHAnsi"/>
              </w:rPr>
              <w:t>Activity</w:t>
            </w:r>
          </w:p>
        </w:tc>
        <w:tc>
          <w:tcPr>
            <w:tcW w:w="1080" w:type="dxa"/>
            <w:tcBorders>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13BCF" w:rsidP="00513BCF" w14:paraId="77172F8A" w14:textId="265F9C89">
            <w:pPr>
              <w:pStyle w:val="TableSubtitle"/>
              <w:rPr>
                <w:rFonts w:eastAsia="Arial" w:asciiTheme="minorHAnsi" w:hAnsiTheme="minorHAnsi" w:cstheme="minorHAnsi"/>
                <w:b w:val="0"/>
                <w:bCs w:val="0"/>
              </w:rPr>
            </w:pPr>
            <w:r w:rsidRPr="00513BCF">
              <w:rPr>
                <w:rFonts w:eastAsia="Arial" w:asciiTheme="minorHAnsi" w:hAnsiTheme="minorHAnsi" w:cstheme="minorHAnsi"/>
              </w:rPr>
              <w:t>N</w:t>
            </w:r>
            <w:r>
              <w:rPr>
                <w:rFonts w:eastAsia="Arial" w:asciiTheme="minorHAnsi" w:hAnsiTheme="minorHAnsi" w:cstheme="minorHAnsi"/>
              </w:rPr>
              <w:t>o.</w:t>
            </w:r>
            <w:r w:rsidRPr="00513BCF">
              <w:rPr>
                <w:rFonts w:eastAsia="Arial" w:asciiTheme="minorHAnsi" w:hAnsiTheme="minorHAnsi" w:cstheme="minorHAnsi"/>
              </w:rPr>
              <w:t xml:space="preserve"> </w:t>
            </w:r>
            <w:r w:rsidRPr="00513BCF">
              <w:rPr>
                <w:rFonts w:eastAsia="Arial" w:asciiTheme="minorHAnsi" w:hAnsiTheme="minorHAnsi" w:cstheme="minorHAnsi"/>
              </w:rPr>
              <w:t>of Respondents</w:t>
            </w:r>
          </w:p>
        </w:tc>
        <w:tc>
          <w:tcPr>
            <w:tcW w:w="1170" w:type="dxa"/>
            <w:tcBorders>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13BCF" w:rsidP="00513BCF" w14:paraId="19747AA4" w14:textId="3D04F63B">
            <w:pPr>
              <w:pStyle w:val="TableSubtitle"/>
              <w:rPr>
                <w:rFonts w:eastAsia="Arial" w:asciiTheme="minorHAnsi" w:hAnsiTheme="minorHAnsi" w:cstheme="minorHAnsi"/>
                <w:b w:val="0"/>
                <w:bCs w:val="0"/>
              </w:rPr>
            </w:pPr>
            <w:r>
              <w:rPr>
                <w:rFonts w:eastAsia="Arial" w:asciiTheme="minorHAnsi" w:hAnsiTheme="minorHAnsi" w:cstheme="minorHAnsi"/>
              </w:rPr>
              <w:t>Avg</w:t>
            </w:r>
            <w:r w:rsidRPr="00513BCF">
              <w:rPr>
                <w:rFonts w:eastAsia="Arial" w:asciiTheme="minorHAnsi" w:hAnsiTheme="minorHAnsi" w:cstheme="minorHAnsi"/>
              </w:rPr>
              <w:t xml:space="preserve"> </w:t>
            </w:r>
            <w:r w:rsidRPr="00513BCF">
              <w:rPr>
                <w:rFonts w:eastAsia="Arial" w:asciiTheme="minorHAnsi" w:hAnsiTheme="minorHAnsi" w:cstheme="minorHAnsi"/>
              </w:rPr>
              <w:t>Annual Responses Per Respondent</w:t>
            </w:r>
          </w:p>
        </w:tc>
        <w:tc>
          <w:tcPr>
            <w:tcW w:w="1080" w:type="dxa"/>
            <w:tcBorders>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13BCF" w:rsidP="00513BCF" w14:paraId="265CD8CE" w14:textId="334110A9">
            <w:pPr>
              <w:pStyle w:val="TableSubtitle"/>
              <w:rPr>
                <w:rFonts w:eastAsia="Arial" w:asciiTheme="minorHAnsi" w:hAnsiTheme="minorHAnsi" w:cstheme="minorHAnsi"/>
                <w:b w:val="0"/>
                <w:bCs w:val="0"/>
              </w:rPr>
            </w:pPr>
            <w:r>
              <w:rPr>
                <w:rFonts w:eastAsia="Arial" w:asciiTheme="minorHAnsi" w:hAnsiTheme="minorHAnsi" w:cstheme="minorHAnsi"/>
              </w:rPr>
              <w:t>Avg</w:t>
            </w:r>
            <w:r w:rsidRPr="00513BCF">
              <w:rPr>
                <w:rFonts w:eastAsia="Arial" w:asciiTheme="minorHAnsi" w:hAnsiTheme="minorHAnsi" w:cstheme="minorHAnsi"/>
              </w:rPr>
              <w:t xml:space="preserve"> </w:t>
            </w:r>
            <w:r w:rsidRPr="00513BCF">
              <w:rPr>
                <w:rFonts w:eastAsia="Arial" w:asciiTheme="minorHAnsi" w:hAnsiTheme="minorHAnsi" w:cstheme="minorHAnsi"/>
              </w:rPr>
              <w:t>Annual Burden Per Respondent</w:t>
            </w:r>
          </w:p>
        </w:tc>
        <w:tc>
          <w:tcPr>
            <w:tcW w:w="1080" w:type="dxa"/>
            <w:tcBorders>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13BCF" w:rsidP="00513BCF" w14:paraId="5D6131D6" w14:textId="29D9B76A">
            <w:pPr>
              <w:pStyle w:val="TableSubtitle"/>
              <w:rPr>
                <w:rFonts w:eastAsia="Arial" w:asciiTheme="minorHAnsi" w:hAnsiTheme="minorHAnsi" w:cstheme="minorHAnsi"/>
                <w:b w:val="0"/>
                <w:bCs w:val="0"/>
              </w:rPr>
            </w:pPr>
            <w:r>
              <w:rPr>
                <w:rFonts w:eastAsia="Arial" w:asciiTheme="minorHAnsi" w:hAnsiTheme="minorHAnsi" w:cstheme="minorHAnsi"/>
              </w:rPr>
              <w:t>Avg</w:t>
            </w:r>
            <w:r w:rsidRPr="00513BCF">
              <w:rPr>
                <w:rFonts w:eastAsia="Arial" w:asciiTheme="minorHAnsi" w:hAnsiTheme="minorHAnsi" w:cstheme="minorHAnsi"/>
              </w:rPr>
              <w:t xml:space="preserve"> </w:t>
            </w:r>
            <w:r w:rsidRPr="00513BCF">
              <w:rPr>
                <w:rFonts w:eastAsia="Arial" w:asciiTheme="minorHAnsi" w:hAnsiTheme="minorHAnsi" w:cstheme="minorHAnsi"/>
              </w:rPr>
              <w:t>Annual Total Labor Burden</w:t>
            </w:r>
          </w:p>
        </w:tc>
        <w:tc>
          <w:tcPr>
            <w:tcW w:w="1170" w:type="dxa"/>
            <w:tcBorders>
              <w:top w:val="single" w:sz="6" w:space="0" w:color="auto"/>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13BCF" w:rsidP="00513BCF" w14:paraId="06394D4B" w14:textId="205E176E">
            <w:pPr>
              <w:pStyle w:val="TableSubtitle"/>
              <w:rPr>
                <w:rFonts w:eastAsia="Arial" w:asciiTheme="minorHAnsi" w:hAnsiTheme="minorHAnsi" w:cstheme="minorHAnsi"/>
                <w:b w:val="0"/>
                <w:bCs w:val="0"/>
              </w:rPr>
            </w:pPr>
            <w:r>
              <w:rPr>
                <w:rFonts w:eastAsia="Arial" w:asciiTheme="minorHAnsi" w:hAnsiTheme="minorHAnsi" w:cstheme="minorHAnsi"/>
              </w:rPr>
              <w:t>Avg</w:t>
            </w:r>
            <w:r w:rsidRPr="00513BCF">
              <w:rPr>
                <w:rFonts w:eastAsia="Arial" w:asciiTheme="minorHAnsi" w:hAnsiTheme="minorHAnsi" w:cstheme="minorHAnsi"/>
              </w:rPr>
              <w:t xml:space="preserve"> </w:t>
            </w:r>
            <w:r w:rsidRPr="00513BCF">
              <w:rPr>
                <w:rFonts w:eastAsia="Arial" w:asciiTheme="minorHAnsi" w:hAnsiTheme="minorHAnsi" w:cstheme="minorHAnsi"/>
              </w:rPr>
              <w:t>Annual Total Labor Costs</w:t>
            </w:r>
          </w:p>
        </w:tc>
        <w:tc>
          <w:tcPr>
            <w:tcW w:w="1080" w:type="dxa"/>
            <w:tcBorders>
              <w:top w:val="single" w:sz="6" w:space="0" w:color="auto"/>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13BCF" w:rsidP="00513BCF" w14:paraId="58E8B206" w14:textId="54B59A19">
            <w:pPr>
              <w:pStyle w:val="TableSubtitle"/>
              <w:rPr>
                <w:rFonts w:eastAsia="Arial" w:asciiTheme="minorHAnsi" w:hAnsiTheme="minorHAnsi" w:cstheme="minorHAnsi"/>
                <w:b w:val="0"/>
                <w:bCs w:val="0"/>
              </w:rPr>
            </w:pPr>
            <w:r>
              <w:rPr>
                <w:rFonts w:eastAsia="Arial" w:asciiTheme="minorHAnsi" w:hAnsiTheme="minorHAnsi" w:cstheme="minorHAnsi"/>
              </w:rPr>
              <w:t>Avg</w:t>
            </w:r>
            <w:r w:rsidRPr="00513BCF">
              <w:rPr>
                <w:rFonts w:eastAsia="Arial" w:asciiTheme="minorHAnsi" w:hAnsiTheme="minorHAnsi" w:cstheme="minorHAnsi"/>
              </w:rPr>
              <w:t xml:space="preserve"> </w:t>
            </w:r>
            <w:r w:rsidRPr="00513BCF">
              <w:rPr>
                <w:rFonts w:eastAsia="Arial" w:asciiTheme="minorHAnsi" w:hAnsiTheme="minorHAnsi" w:cstheme="minorHAnsi"/>
              </w:rPr>
              <w:t>Annual Total Non-Labor Costs</w:t>
            </w:r>
          </w:p>
        </w:tc>
        <w:tc>
          <w:tcPr>
            <w:tcW w:w="1080" w:type="dxa"/>
            <w:tcBorders>
              <w:top w:val="single" w:sz="6" w:space="0" w:color="auto"/>
              <w:left w:val="single" w:sz="6" w:space="0" w:color="auto"/>
              <w:bottom w:val="single" w:sz="6" w:space="0" w:color="auto"/>
              <w:right w:val="single" w:sz="6" w:space="0" w:color="auto"/>
            </w:tcBorders>
            <w:shd w:val="clear" w:color="auto" w:fill="013E5B"/>
            <w:tcMar>
              <w:left w:w="30" w:type="dxa"/>
              <w:right w:w="30" w:type="dxa"/>
            </w:tcMar>
            <w:vAlign w:val="center"/>
          </w:tcPr>
          <w:p w:rsidR="3254C678" w:rsidRPr="00513BCF" w:rsidP="00513BCF" w14:paraId="45901F76" w14:textId="55E58154">
            <w:pPr>
              <w:pStyle w:val="TableSubtitle"/>
              <w:rPr>
                <w:rFonts w:eastAsia="Arial" w:asciiTheme="minorHAnsi" w:hAnsiTheme="minorHAnsi" w:cstheme="minorHAnsi"/>
                <w:b w:val="0"/>
                <w:bCs w:val="0"/>
              </w:rPr>
            </w:pPr>
            <w:r>
              <w:rPr>
                <w:rFonts w:eastAsia="Arial" w:asciiTheme="minorHAnsi" w:hAnsiTheme="minorHAnsi" w:cstheme="minorHAnsi"/>
              </w:rPr>
              <w:t>Avg</w:t>
            </w:r>
            <w:r w:rsidRPr="00513BCF">
              <w:rPr>
                <w:rFonts w:eastAsia="Arial" w:asciiTheme="minorHAnsi" w:hAnsiTheme="minorHAnsi" w:cstheme="minorHAnsi"/>
              </w:rPr>
              <w:t xml:space="preserve"> </w:t>
            </w:r>
            <w:r w:rsidRPr="00513BCF">
              <w:rPr>
                <w:rFonts w:eastAsia="Arial" w:asciiTheme="minorHAnsi" w:hAnsiTheme="minorHAnsi" w:cstheme="minorHAnsi"/>
              </w:rPr>
              <w:t>Annual Total Costs</w:t>
            </w:r>
          </w:p>
        </w:tc>
      </w:tr>
      <w:tr w14:paraId="0102F846" w14:textId="77777777" w:rsidTr="00552F18">
        <w:tblPrEx>
          <w:tblW w:w="9465" w:type="dxa"/>
          <w:tblInd w:w="-75" w:type="dxa"/>
          <w:tblLayout w:type="fixed"/>
          <w:tblLook w:val="04A0"/>
        </w:tblPrEx>
        <w:trPr>
          <w:trHeight w:val="300"/>
        </w:trPr>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513BCF" w14:paraId="6092D72F" w14:textId="03C03F48">
            <w:pPr>
              <w:pStyle w:val="LTableTextAbt"/>
              <w:rPr>
                <w:rFonts w:eastAsia="Times New Roman" w:asciiTheme="minorHAnsi" w:hAnsiTheme="minorHAnsi" w:cstheme="minorHAnsi"/>
              </w:rPr>
            </w:pPr>
            <w:r w:rsidRPr="00513BCF">
              <w:rPr>
                <w:rFonts w:eastAsia="Times New Roman" w:asciiTheme="minorHAnsi" w:hAnsiTheme="minorHAnsi" w:cstheme="minorHAnsi"/>
              </w:rPr>
              <w:t>Agency Burden</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513BCF" w14:paraId="0D89A8BF" w14:textId="239B82DD">
            <w:pPr>
              <w:pStyle w:val="LTableTextAbt"/>
              <w:jc w:val="right"/>
              <w:rPr>
                <w:rFonts w:eastAsia="Times New Roman" w:asciiTheme="minorHAnsi" w:hAnsiTheme="minorHAnsi" w:cstheme="minorHAnsi"/>
              </w:rPr>
            </w:pPr>
            <w:r w:rsidRPr="00513BCF">
              <w:rPr>
                <w:rFonts w:eastAsia="Times New Roman" w:asciiTheme="minorHAnsi" w:hAnsiTheme="minorHAnsi" w:cstheme="minorHAnsi"/>
              </w:rPr>
              <w:t>-</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513BCF" w14:paraId="418A92E3" w14:textId="7249B443">
            <w:pPr>
              <w:pStyle w:val="LTableTextAbt"/>
              <w:jc w:val="right"/>
              <w:rPr>
                <w:rFonts w:eastAsia="Times New Roman" w:asciiTheme="minorHAnsi" w:hAnsiTheme="minorHAnsi" w:cstheme="minorHAnsi"/>
              </w:rPr>
            </w:pPr>
            <w:r w:rsidRPr="00513BCF">
              <w:rPr>
                <w:rFonts w:eastAsia="Times New Roman" w:asciiTheme="minorHAnsi" w:hAnsiTheme="minorHAnsi" w:cstheme="minorHAnsi"/>
              </w:rPr>
              <w:t>-</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513BCF" w14:paraId="2F7A023F" w14:textId="4AD3C2E4">
            <w:pPr>
              <w:pStyle w:val="RTableTextAbt"/>
              <w:rPr>
                <w:rFonts w:eastAsia="Times New Roman" w:asciiTheme="minorHAnsi" w:hAnsiTheme="minorHAnsi" w:cstheme="minorHAnsi"/>
              </w:rPr>
            </w:pPr>
            <w:r w:rsidRPr="00513BCF">
              <w:rPr>
                <w:rFonts w:eastAsia="Times New Roman" w:asciiTheme="minorHAnsi" w:hAnsiTheme="minorHAnsi" w:cstheme="minorHAnsi"/>
              </w:rPr>
              <w:t>-</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513BCF" w14:paraId="727E3D40" w14:textId="13920F9F">
            <w:pPr>
              <w:pStyle w:val="RTableTextAbt"/>
              <w:rPr>
                <w:rFonts w:eastAsia="Times New Roman" w:asciiTheme="minorHAnsi" w:hAnsiTheme="minorHAnsi" w:cstheme="minorHAnsi"/>
              </w:rPr>
            </w:pPr>
            <w:r w:rsidRPr="00513BCF">
              <w:rPr>
                <w:rFonts w:eastAsia="Times New Roman" w:asciiTheme="minorHAnsi" w:hAnsiTheme="minorHAnsi" w:cstheme="minorHAnsi"/>
              </w:rPr>
              <w:t>-</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513BCF" w14:paraId="7A5A5345" w14:textId="16257FD6">
            <w:pPr>
              <w:pStyle w:val="RTableTextAbt"/>
              <w:rPr>
                <w:rFonts w:eastAsia="Times New Roman" w:asciiTheme="minorHAnsi" w:hAnsiTheme="minorHAnsi" w:cstheme="minorHAnsi"/>
              </w:rPr>
            </w:pPr>
            <w:r w:rsidRPr="00513BCF">
              <w:rPr>
                <w:rFonts w:eastAsia="Times New Roman" w:asciiTheme="minorHAnsi" w:hAnsiTheme="minorHAnsi" w:cstheme="minorHAnsi"/>
              </w:rPr>
              <w:t>-</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513BCF" w14:paraId="0433B6A4" w14:textId="5053904B">
            <w:pPr>
              <w:pStyle w:val="RTableTextAbt"/>
              <w:rPr>
                <w:rFonts w:eastAsia="Times New Roman" w:asciiTheme="minorHAnsi" w:hAnsiTheme="minorHAnsi" w:cstheme="minorHAnsi"/>
              </w:rPr>
            </w:pPr>
            <w:r w:rsidRPr="00513BCF">
              <w:rPr>
                <w:rFonts w:eastAsia="Times New Roman" w:asciiTheme="minorHAnsi" w:hAnsiTheme="minorHAnsi" w:cstheme="minorHAnsi"/>
              </w:rPr>
              <w:t>-</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513BCF" w14:paraId="771A0E8E" w14:textId="19DCB803">
            <w:pPr>
              <w:pStyle w:val="RTableTextAbt"/>
              <w:rPr>
                <w:rFonts w:eastAsia="Times New Roman" w:asciiTheme="minorHAnsi" w:hAnsiTheme="minorHAnsi" w:cstheme="minorHAnsi"/>
              </w:rPr>
            </w:pPr>
            <w:r w:rsidRPr="00513BCF">
              <w:rPr>
                <w:rFonts w:eastAsia="Times New Roman" w:asciiTheme="minorHAnsi" w:hAnsiTheme="minorHAnsi" w:cstheme="minorHAnsi"/>
              </w:rPr>
              <w:t>-</w:t>
            </w:r>
          </w:p>
        </w:tc>
      </w:tr>
      <w:tr w14:paraId="02F57559" w14:textId="77777777" w:rsidTr="00552F18">
        <w:tblPrEx>
          <w:tblW w:w="9465" w:type="dxa"/>
          <w:tblInd w:w="-75" w:type="dxa"/>
          <w:tblLayout w:type="fixed"/>
          <w:tblLook w:val="04A0"/>
        </w:tblPrEx>
        <w:trPr>
          <w:trHeight w:val="300"/>
        </w:trPr>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4FAA9D23" w14:textId="4B82BC66">
            <w:pPr>
              <w:pStyle w:val="LTableTextAbt"/>
              <w:spacing w:after="0"/>
              <w:rPr>
                <w:rFonts w:eastAsia="Times New Roman" w:asciiTheme="minorHAnsi" w:hAnsiTheme="minorHAnsi" w:cstheme="minorHAnsi"/>
              </w:rPr>
            </w:pPr>
            <w:r w:rsidRPr="00513BCF">
              <w:rPr>
                <w:rFonts w:eastAsia="Times New Roman" w:asciiTheme="minorHAnsi" w:hAnsiTheme="minorHAnsi" w:cstheme="minorHAnsi"/>
              </w:rPr>
              <w:t>Rule Familiarization</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1DD31C50" w14:textId="238A63A0">
            <w:pPr>
              <w:pStyle w:val="LTableTextAbt"/>
              <w:spacing w:after="0"/>
              <w:jc w:val="right"/>
              <w:rPr>
                <w:rFonts w:eastAsia="Times New Roman" w:asciiTheme="minorHAnsi" w:hAnsiTheme="minorHAnsi" w:cstheme="minorHAnsi"/>
              </w:rPr>
            </w:pPr>
            <w:r w:rsidRPr="00513BCF">
              <w:rPr>
                <w:rFonts w:eastAsia="Times New Roman" w:asciiTheme="minorHAnsi" w:hAnsiTheme="minorHAnsi" w:cstheme="minorHAnsi"/>
              </w:rPr>
              <w:t>49,670</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782CE12A" w14:textId="7A67D81D">
            <w:pPr>
              <w:pStyle w:val="LTableTextAbt"/>
              <w:spacing w:after="0"/>
              <w:jc w:val="right"/>
              <w:rPr>
                <w:rFonts w:eastAsia="Times New Roman" w:asciiTheme="minorHAnsi" w:hAnsiTheme="minorHAnsi" w:cstheme="minorHAnsi"/>
              </w:rPr>
            </w:pPr>
            <w:r w:rsidRPr="00513BCF">
              <w:rPr>
                <w:rFonts w:eastAsia="Times New Roman" w:asciiTheme="minorHAnsi" w:hAnsiTheme="minorHAnsi" w:cstheme="minorHAnsi"/>
              </w:rPr>
              <w:t>0.33</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54645442" w14:textId="3EB7866E">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0.33</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7A60E0C5" w14:textId="298D5B4E">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16,557</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7FD667B6" w14:textId="4948E040">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xml:space="preserve">$1,619,063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25AF07D2" w14:textId="6A6D6CBF">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79E0267B" w14:textId="17BB6EFD">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xml:space="preserve">$1,619,063 </w:t>
            </w:r>
          </w:p>
        </w:tc>
      </w:tr>
      <w:tr w14:paraId="23D7CD40" w14:textId="77777777" w:rsidTr="00552F18">
        <w:tblPrEx>
          <w:tblW w:w="9465" w:type="dxa"/>
          <w:tblInd w:w="-75" w:type="dxa"/>
          <w:tblLayout w:type="fixed"/>
          <w:tblLook w:val="04A0"/>
        </w:tblPrEx>
        <w:trPr>
          <w:trHeight w:val="300"/>
        </w:trPr>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7E5F53B1" w14:textId="43A5853B">
            <w:pPr>
              <w:pStyle w:val="LTableTextAbt"/>
              <w:spacing w:after="0"/>
              <w:rPr>
                <w:rFonts w:eastAsia="Times New Roman" w:asciiTheme="minorHAnsi" w:hAnsiTheme="minorHAnsi" w:cstheme="minorHAnsi"/>
              </w:rPr>
            </w:pPr>
            <w:r w:rsidRPr="00513BCF">
              <w:rPr>
                <w:rFonts w:eastAsia="Times New Roman" w:asciiTheme="minorHAnsi" w:hAnsiTheme="minorHAnsi" w:cstheme="minorHAnsi"/>
              </w:rPr>
              <w:t>Downstream Notification</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79CE2C18" w14:textId="23C10918">
            <w:pPr>
              <w:pStyle w:val="LTableTextAbt"/>
              <w:spacing w:after="0"/>
              <w:jc w:val="right"/>
              <w:rPr>
                <w:rFonts w:eastAsia="Times New Roman" w:asciiTheme="minorHAnsi" w:hAnsiTheme="minorHAnsi" w:cstheme="minorHAnsi"/>
              </w:rPr>
            </w:pPr>
            <w:r w:rsidRPr="00513BCF">
              <w:rPr>
                <w:rFonts w:eastAsia="Times New Roman" w:asciiTheme="minorHAnsi" w:hAnsiTheme="minorHAnsi" w:cstheme="minorHAnsi"/>
              </w:rPr>
              <w:t>1</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11DF8CEB" w14:textId="63B1BCD5">
            <w:pPr>
              <w:pStyle w:val="LTableTextAbt"/>
              <w:spacing w:after="0"/>
              <w:jc w:val="right"/>
              <w:rPr>
                <w:rFonts w:eastAsia="Times New Roman" w:asciiTheme="minorHAnsi" w:hAnsiTheme="minorHAnsi" w:cstheme="minorHAnsi"/>
              </w:rPr>
            </w:pPr>
            <w:r w:rsidRPr="00513BCF">
              <w:rPr>
                <w:rFonts w:eastAsia="Times New Roman" w:asciiTheme="minorHAnsi" w:hAnsiTheme="minorHAnsi" w:cstheme="minorHAnsi"/>
              </w:rPr>
              <w:t>0.33</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2F33C71A" w14:textId="16F924E4">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0.67</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35D9DDCA" w14:textId="0AEE9B8E">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1</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0716E130" w14:textId="73B6A985">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xml:space="preserve">$62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75612B94" w14:textId="7250E48D">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049EB8F3" w14:textId="2B47E101">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xml:space="preserve">$62 </w:t>
            </w:r>
          </w:p>
        </w:tc>
      </w:tr>
      <w:tr w14:paraId="40B618C3" w14:textId="77777777" w:rsidTr="00552F18">
        <w:tblPrEx>
          <w:tblW w:w="9465" w:type="dxa"/>
          <w:tblInd w:w="-75" w:type="dxa"/>
          <w:tblLayout w:type="fixed"/>
          <w:tblLook w:val="04A0"/>
        </w:tblPrEx>
        <w:trPr>
          <w:trHeight w:val="300"/>
        </w:trPr>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4DBB354A" w14:textId="41F10E30">
            <w:pPr>
              <w:pStyle w:val="LTableTextAbt"/>
              <w:spacing w:after="0"/>
              <w:rPr>
                <w:rFonts w:eastAsia="Times New Roman" w:asciiTheme="minorHAnsi" w:hAnsiTheme="minorHAnsi" w:cstheme="minorHAnsi"/>
              </w:rPr>
            </w:pPr>
            <w:r w:rsidRPr="00513BCF">
              <w:rPr>
                <w:rFonts w:eastAsia="Times New Roman" w:asciiTheme="minorHAnsi" w:hAnsiTheme="minorHAnsi" w:cstheme="minorHAnsi"/>
              </w:rPr>
              <w:t>Labeling</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3C28485D" w14:textId="492EA8C3">
            <w:pPr>
              <w:pStyle w:val="LTableTextAbt"/>
              <w:spacing w:after="0"/>
              <w:jc w:val="right"/>
              <w:rPr>
                <w:rFonts w:eastAsia="Times New Roman" w:asciiTheme="minorHAnsi" w:hAnsiTheme="minorHAnsi" w:cstheme="minorHAnsi"/>
              </w:rPr>
            </w:pPr>
            <w:r w:rsidRPr="00513BCF">
              <w:rPr>
                <w:rFonts w:eastAsia="Times New Roman" w:asciiTheme="minorHAnsi" w:hAnsiTheme="minorHAnsi" w:cstheme="minorHAnsi"/>
              </w:rPr>
              <w:t>1</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5744B79C" w14:textId="7DC5DC36">
            <w:pPr>
              <w:pStyle w:val="LTableTextAbt"/>
              <w:spacing w:after="0"/>
              <w:jc w:val="right"/>
              <w:rPr>
                <w:rFonts w:eastAsia="Times New Roman" w:asciiTheme="minorHAnsi" w:hAnsiTheme="minorHAnsi" w:cstheme="minorHAnsi"/>
              </w:rPr>
            </w:pPr>
            <w:r w:rsidRPr="00513BCF">
              <w:rPr>
                <w:rFonts w:eastAsia="Times New Roman" w:asciiTheme="minorHAnsi" w:hAnsiTheme="minorHAnsi" w:cstheme="minorHAnsi"/>
              </w:rPr>
              <w:t>0.33</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20272533" w14:textId="375C6851">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0.54</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33C464C7" w14:textId="3A563138">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1</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42D7332E" w14:textId="0FF984E8">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xml:space="preserve">$50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73A4F594" w14:textId="3CCA8F53">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xml:space="preserve">$200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1DEC37E4" w14:textId="28E08187">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xml:space="preserve">$250 </w:t>
            </w:r>
          </w:p>
        </w:tc>
      </w:tr>
      <w:tr w14:paraId="7A527E32" w14:textId="77777777" w:rsidTr="00552F18">
        <w:tblPrEx>
          <w:tblW w:w="9465" w:type="dxa"/>
          <w:tblInd w:w="-75" w:type="dxa"/>
          <w:tblLayout w:type="fixed"/>
          <w:tblLook w:val="04A0"/>
        </w:tblPrEx>
        <w:trPr>
          <w:trHeight w:val="300"/>
        </w:trPr>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4A25332A" w14:textId="3DC85B42">
            <w:pPr>
              <w:pStyle w:val="LTableTextAbt"/>
              <w:spacing w:after="0"/>
              <w:rPr>
                <w:rFonts w:eastAsia="Times New Roman" w:asciiTheme="minorHAnsi" w:hAnsiTheme="minorHAnsi" w:cstheme="minorHAnsi"/>
              </w:rPr>
            </w:pPr>
            <w:r w:rsidRPr="00513BCF">
              <w:rPr>
                <w:rFonts w:eastAsia="Times New Roman" w:asciiTheme="minorHAnsi" w:hAnsiTheme="minorHAnsi" w:cstheme="minorHAnsi"/>
              </w:rPr>
              <w:t>PPE Program</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41E0EA29" w14:textId="3559A9F3">
            <w:pPr>
              <w:pStyle w:val="LTableTextAbt"/>
              <w:spacing w:after="0"/>
              <w:jc w:val="right"/>
              <w:rPr>
                <w:rFonts w:eastAsia="Times New Roman" w:asciiTheme="minorHAnsi" w:hAnsiTheme="minorHAnsi" w:cstheme="minorHAnsi"/>
              </w:rPr>
            </w:pPr>
            <w:r w:rsidRPr="00513BCF">
              <w:rPr>
                <w:rFonts w:eastAsia="Times New Roman" w:asciiTheme="minorHAnsi" w:hAnsiTheme="minorHAnsi" w:cstheme="minorHAnsi"/>
              </w:rPr>
              <w:t>22</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1D167967" w14:textId="6542A9CD">
            <w:pPr>
              <w:pStyle w:val="LTableTextAbt"/>
              <w:spacing w:after="0"/>
              <w:jc w:val="right"/>
              <w:rPr>
                <w:rFonts w:eastAsia="Times New Roman" w:asciiTheme="minorHAnsi" w:hAnsiTheme="minorHAnsi" w:cstheme="minorHAnsi"/>
              </w:rPr>
            </w:pPr>
            <w:r w:rsidRPr="00513BCF">
              <w:rPr>
                <w:rFonts w:eastAsia="Times New Roman" w:asciiTheme="minorHAnsi" w:hAnsiTheme="minorHAnsi" w:cstheme="minorHAnsi"/>
              </w:rPr>
              <w:t>1.00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20E8EB94" w14:textId="5B08E0B5">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4.67</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2C8E6307" w14:textId="2FDD2134">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103</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5EFC5370" w14:textId="39C90B57">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xml:space="preserve">$7,610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7780D6F0" w14:textId="1562D434">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30336C1E" w14:textId="385B15DA">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xml:space="preserve">$7,610 </w:t>
            </w:r>
          </w:p>
        </w:tc>
      </w:tr>
      <w:tr w14:paraId="020E9972" w14:textId="77777777" w:rsidTr="00552F18">
        <w:tblPrEx>
          <w:tblW w:w="9465" w:type="dxa"/>
          <w:tblInd w:w="-75" w:type="dxa"/>
          <w:tblLayout w:type="fixed"/>
          <w:tblLook w:val="04A0"/>
        </w:tblPrEx>
        <w:trPr>
          <w:trHeight w:val="300"/>
        </w:trPr>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42FFC39F" w14:textId="54DF2A0E">
            <w:pPr>
              <w:pStyle w:val="LTableTextAbt"/>
              <w:spacing w:after="0"/>
              <w:rPr>
                <w:rFonts w:eastAsia="Times New Roman" w:asciiTheme="minorHAnsi" w:hAnsiTheme="minorHAnsi" w:cstheme="minorHAnsi"/>
              </w:rPr>
            </w:pPr>
            <w:r w:rsidRPr="00513BCF">
              <w:rPr>
                <w:rFonts w:eastAsia="Times New Roman" w:asciiTheme="minorHAnsi" w:hAnsiTheme="minorHAnsi" w:cstheme="minorHAnsi"/>
              </w:rPr>
              <w:t>Equipment and Area Cleaning Recordkeeping</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4069D5CA" w14:textId="22777DC0">
            <w:pPr>
              <w:pStyle w:val="LTableTextAbt"/>
              <w:spacing w:after="0"/>
              <w:jc w:val="right"/>
              <w:rPr>
                <w:rFonts w:eastAsia="Times New Roman" w:asciiTheme="minorHAnsi" w:hAnsiTheme="minorHAnsi" w:cstheme="minorHAnsi"/>
              </w:rPr>
            </w:pPr>
            <w:r w:rsidRPr="00513BCF">
              <w:rPr>
                <w:rFonts w:eastAsia="Times New Roman" w:asciiTheme="minorHAnsi" w:hAnsiTheme="minorHAnsi" w:cstheme="minorHAnsi"/>
              </w:rPr>
              <w:t>22</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7B0E6D2C" w14:textId="7057F03B">
            <w:pPr>
              <w:pStyle w:val="LTableTextAbt"/>
              <w:spacing w:after="0"/>
              <w:jc w:val="right"/>
              <w:rPr>
                <w:rFonts w:eastAsia="Times New Roman" w:asciiTheme="minorHAnsi" w:hAnsiTheme="minorHAnsi" w:cstheme="minorHAnsi"/>
              </w:rPr>
            </w:pPr>
            <w:r w:rsidRPr="00513BCF">
              <w:rPr>
                <w:rFonts w:eastAsia="Times New Roman" w:asciiTheme="minorHAnsi" w:hAnsiTheme="minorHAnsi" w:cstheme="minorHAnsi"/>
              </w:rPr>
              <w:t>1.00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18BCFC87" w14:textId="27A36E04">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14.33</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2411DA7E" w14:textId="1210B258">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315</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3A583141" w14:textId="5F8D872B">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xml:space="preserve">$19,600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46066626" w14:textId="52D4BB22">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1DD1C9EF" w14:textId="79BD0EB5">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rPr>
              <w:t xml:space="preserve">$19,600 </w:t>
            </w:r>
          </w:p>
        </w:tc>
      </w:tr>
      <w:tr w14:paraId="0C820BEA" w14:textId="77777777" w:rsidTr="00552F18">
        <w:tblPrEx>
          <w:tblW w:w="9465" w:type="dxa"/>
          <w:tblInd w:w="-75" w:type="dxa"/>
          <w:tblLayout w:type="fixed"/>
          <w:tblLook w:val="04A0"/>
        </w:tblPrEx>
        <w:trPr>
          <w:trHeight w:val="300"/>
        </w:trPr>
        <w:tc>
          <w:tcPr>
            <w:tcW w:w="17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7D73B072" w14:textId="480D249C">
            <w:pPr>
              <w:pStyle w:val="LTableTextAbt"/>
              <w:spacing w:after="0"/>
              <w:rPr>
                <w:rFonts w:eastAsia="Times New Roman" w:asciiTheme="minorHAnsi" w:hAnsiTheme="minorHAnsi" w:cstheme="minorHAnsi"/>
              </w:rPr>
            </w:pPr>
            <w:r w:rsidRPr="00513BCF">
              <w:rPr>
                <w:rFonts w:eastAsia="Times New Roman" w:asciiTheme="minorHAnsi" w:hAnsiTheme="minorHAnsi" w:cstheme="minorHAnsi"/>
                <w:b/>
                <w:bCs/>
              </w:rPr>
              <w:t>Total</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620D1AEC" w14:textId="3079D290">
            <w:pPr>
              <w:pStyle w:val="LTableTextAbt"/>
              <w:spacing w:after="0"/>
              <w:jc w:val="right"/>
              <w:rPr>
                <w:rFonts w:eastAsia="Times New Roman" w:asciiTheme="minorHAnsi" w:hAnsiTheme="minorHAnsi" w:cstheme="minorHAnsi"/>
              </w:rPr>
            </w:pPr>
            <w:r w:rsidRPr="00513BCF">
              <w:rPr>
                <w:rFonts w:eastAsia="Times New Roman" w:asciiTheme="minorHAnsi" w:hAnsiTheme="minorHAnsi" w:cstheme="minorHAnsi"/>
                <w:b/>
                <w:bCs/>
              </w:rPr>
              <w:t>49,670</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69DB8B4C" w14:textId="069C527C">
            <w:pPr>
              <w:pStyle w:val="LTableTextAbt"/>
              <w:spacing w:after="0"/>
              <w:jc w:val="right"/>
              <w:rPr>
                <w:rFonts w:eastAsia="Times New Roman" w:asciiTheme="minorHAnsi" w:hAnsiTheme="minorHAnsi" w:cstheme="minorHAnsi"/>
              </w:rPr>
            </w:pPr>
            <w:r w:rsidRPr="00513BCF">
              <w:rPr>
                <w:rFonts w:eastAsia="Times New Roman" w:asciiTheme="minorHAnsi" w:hAnsiTheme="minorHAnsi" w:cstheme="minorHAnsi"/>
                <w:b/>
                <w:bCs/>
              </w:rPr>
              <w:t>0.33</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425B4E5D" w14:textId="7F024FB3">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b/>
                <w:bCs/>
              </w:rPr>
              <w:t>0.34</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385CA448" w14:textId="4FC4C1A6">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b/>
                <w:bCs/>
              </w:rPr>
              <w:t>16,976</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1E6DFF01" w14:textId="68478421">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b/>
                <w:bCs/>
              </w:rPr>
              <w:t xml:space="preserve">$1,646,384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0AA4DEE6" w14:textId="7C02AB85">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b/>
                <w:bCs/>
              </w:rPr>
              <w:t xml:space="preserve">$200 </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3254C678" w:rsidRPr="00513BCF" w:rsidP="003D1DDE" w14:paraId="27BAACB3" w14:textId="62BDA305">
            <w:pPr>
              <w:pStyle w:val="RTableTextAbt"/>
              <w:spacing w:after="0"/>
              <w:rPr>
                <w:rFonts w:eastAsia="Times New Roman" w:asciiTheme="minorHAnsi" w:hAnsiTheme="minorHAnsi" w:cstheme="minorHAnsi"/>
              </w:rPr>
            </w:pPr>
            <w:r w:rsidRPr="00513BCF">
              <w:rPr>
                <w:rFonts w:eastAsia="Times New Roman" w:asciiTheme="minorHAnsi" w:hAnsiTheme="minorHAnsi" w:cstheme="minorHAnsi"/>
                <w:b/>
                <w:bCs/>
              </w:rPr>
              <w:t>$1,646,584</w:t>
            </w:r>
          </w:p>
        </w:tc>
      </w:tr>
    </w:tbl>
    <w:p w:rsidR="00051E85" w:rsidP="5878F9C8" w14:paraId="480797E6" w14:textId="50B58374">
      <w:pPr>
        <w:pBdr>
          <w:top w:val="single" w:sz="6" w:space="0" w:color="FFFFFF"/>
          <w:left w:val="single" w:sz="6" w:space="0" w:color="FFFFFF"/>
          <w:bottom w:val="single" w:sz="6" w:space="0" w:color="FFFFFF"/>
          <w:right w:val="single" w:sz="6" w:space="0" w:color="FFFFFF"/>
        </w:pBdr>
        <w:rPr>
          <w:color w:val="000000" w:themeColor="text1"/>
        </w:rPr>
      </w:pPr>
    </w:p>
    <w:p w:rsidR="00051E85" w:rsidRPr="00552F18" w:rsidP="00051E85" w14:paraId="63CEF3B7" w14:textId="77777777">
      <w:pPr>
        <w:pStyle w:val="Heading2"/>
      </w:pPr>
      <w:r w:rsidRPr="00966032">
        <w:t>13. Provide an estimate for the total annual cost burden to respondents or record keepers resulting from the collection of information. (Do not include the cost of any hour burden already reflected on the burden worksheet).</w:t>
      </w:r>
    </w:p>
    <w:p w:rsidR="00051E85" w:rsidRPr="00966032" w:rsidP="00051E85" w14:paraId="15689E55" w14:textId="485DC32F">
      <w:pPr>
        <w:pStyle w:val="Heading3"/>
      </w:pPr>
      <w:r w:rsidRPr="00966032">
        <w:t>a) The cost estimate should be split into two components: (a) a total capital and start-up cost</w:t>
      </w:r>
      <w:r>
        <w:t xml:space="preserve"> </w:t>
      </w:r>
      <w:r w:rsidRPr="00966032">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051E85" w:rsidRPr="00966032" w:rsidP="00051E85" w14:paraId="698ED71A" w14:textId="47F3AAC3">
      <w:pPr>
        <w:pStyle w:val="Heading3"/>
      </w:pPr>
      <w:r w:rsidRPr="00966032">
        <w:t xml:space="preserve">b) If cost estimates are expected to vary widely, agencies should present ranges of cost burdens and explain the reasons for the variance. The cost of purchasing or contracting out information collections services should be a part of this cost burden estimate. </w:t>
      </w:r>
    </w:p>
    <w:p w:rsidR="00051E85" w:rsidP="00051E85" w14:paraId="27DEF170" w14:textId="2EB7CAD4">
      <w:pPr>
        <w:pStyle w:val="Heading3"/>
      </w:pPr>
      <w:r w:rsidRPr="00966032">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51E85" w:rsidRPr="00051E85" w:rsidP="00051E85" w14:paraId="6253BE9C" w14:textId="77777777">
      <w:pPr>
        <w:spacing w:after="0"/>
      </w:pPr>
    </w:p>
    <w:p w:rsidR="00552F18" w:rsidRPr="00552F18" w:rsidP="5878F9C8" w14:paraId="1B9E6C31" w14:textId="39F52D4B">
      <w:pPr>
        <w:pBdr>
          <w:top w:val="single" w:sz="6" w:space="0" w:color="FFFFFF"/>
          <w:left w:val="single" w:sz="6" w:space="0" w:color="FFFFFF"/>
          <w:bottom w:val="single" w:sz="6" w:space="0" w:color="FFFFFF"/>
          <w:right w:val="single" w:sz="6" w:space="0" w:color="FFFFFF"/>
        </w:pBdr>
        <w:rPr>
          <w:color w:val="000000" w:themeColor="text1"/>
        </w:rPr>
      </w:pPr>
      <w:r w:rsidRPr="5878F9C8">
        <w:rPr>
          <w:color w:val="000000" w:themeColor="text1"/>
        </w:rPr>
        <w:t xml:space="preserve">EPA estimates that there is a one-time cost to </w:t>
      </w:r>
      <w:r w:rsidRPr="5878F9C8" w:rsidR="2D79C00D">
        <w:rPr>
          <w:color w:val="000000" w:themeColor="text1"/>
        </w:rPr>
        <w:t xml:space="preserve">engrave and change labeling plates to design new labels under the proposed rule. This </w:t>
      </w:r>
      <w:r w:rsidRPr="5878F9C8" w:rsidR="0DF673FF">
        <w:rPr>
          <w:color w:val="000000" w:themeColor="text1"/>
        </w:rPr>
        <w:t xml:space="preserve">non-labor </w:t>
      </w:r>
      <w:r w:rsidRPr="5878F9C8" w:rsidR="2D79C00D">
        <w:rPr>
          <w:color w:val="000000" w:themeColor="text1"/>
        </w:rPr>
        <w:t>cost is presented in the following table.</w:t>
      </w:r>
    </w:p>
    <w:tbl>
      <w:tblPr>
        <w:tblpPr w:leftFromText="180" w:rightFromText="180" w:vertAnchor="text" w:tblpY="1"/>
        <w:tblOverlap w:val="never"/>
        <w:tblW w:w="0" w:type="auto"/>
        <w:tblLayout w:type="fixed"/>
        <w:tblLook w:val="04A0"/>
      </w:tblPr>
      <w:tblGrid>
        <w:gridCol w:w="2340"/>
        <w:gridCol w:w="2340"/>
        <w:gridCol w:w="2340"/>
        <w:gridCol w:w="2340"/>
      </w:tblGrid>
      <w:tr w14:paraId="283224F1" w14:textId="77777777" w:rsidTr="00552F18">
        <w:tblPrEx>
          <w:tblW w:w="0" w:type="auto"/>
          <w:tblLayout w:type="fixed"/>
          <w:tblLook w:val="04A0"/>
        </w:tblPrEx>
        <w:trPr>
          <w:trHeight w:val="15"/>
        </w:trPr>
        <w:tc>
          <w:tcPr>
            <w:tcW w:w="9360" w:type="dxa"/>
            <w:gridSpan w:val="4"/>
            <w:tcBorders>
              <w:top w:val="nil"/>
              <w:left w:val="nil"/>
              <w:bottom w:val="single" w:sz="8" w:space="0" w:color="auto"/>
              <w:right w:val="nil"/>
            </w:tcBorders>
            <w:tcMar>
              <w:left w:w="58" w:type="dxa"/>
              <w:right w:w="58" w:type="dxa"/>
            </w:tcMar>
            <w:vAlign w:val="center"/>
          </w:tcPr>
          <w:p w:rsidR="5878F9C8" w:rsidRPr="00552F18" w14:paraId="5DE65EE6" w14:textId="63CFA0E9">
            <w:pPr>
              <w:spacing w:after="20"/>
              <w:rPr>
                <w:b/>
                <w:bCs/>
                <w:sz w:val="20"/>
                <w:szCs w:val="20"/>
              </w:rPr>
            </w:pPr>
            <w:r w:rsidRPr="00552F18">
              <w:rPr>
                <w:b/>
                <w:bCs/>
                <w:sz w:val="20"/>
                <w:szCs w:val="20"/>
              </w:rPr>
              <w:t>Table 4‑1: Paperwork Non-Labor Cost Associated with Labeling</w:t>
            </w:r>
          </w:p>
        </w:tc>
      </w:tr>
      <w:tr w14:paraId="31D7408B" w14:textId="77777777" w:rsidTr="00552F18">
        <w:tblPrEx>
          <w:tblW w:w="0" w:type="auto"/>
          <w:tblLayout w:type="fixed"/>
          <w:tblLook w:val="04A0"/>
        </w:tblPrEx>
        <w:trPr>
          <w:trHeight w:val="15"/>
        </w:trPr>
        <w:tc>
          <w:tcPr>
            <w:tcW w:w="2340" w:type="dxa"/>
            <w:tcBorders>
              <w:top w:val="single" w:sz="8" w:space="0" w:color="auto"/>
              <w:left w:val="single" w:sz="8" w:space="0" w:color="auto"/>
              <w:bottom w:val="single" w:sz="8" w:space="0" w:color="auto"/>
              <w:right w:val="single" w:sz="8" w:space="0" w:color="auto"/>
            </w:tcBorders>
            <w:shd w:val="clear" w:color="auto" w:fill="013E5B"/>
            <w:tcMar>
              <w:left w:w="58" w:type="dxa"/>
              <w:right w:w="58" w:type="dxa"/>
            </w:tcMar>
            <w:vAlign w:val="center"/>
          </w:tcPr>
          <w:p w:rsidR="5878F9C8" w14:paraId="7F46F60F" w14:textId="2282476F">
            <w:pPr>
              <w:spacing w:after="180"/>
              <w:jc w:val="center"/>
              <w:rPr>
                <w:rFonts w:ascii="Arial Narrow" w:eastAsia="Arial Narrow" w:hAnsi="Arial Narrow" w:cs="Arial Narrow"/>
                <w:b/>
                <w:bCs/>
                <w:color w:val="FFFFFF" w:themeColor="background1"/>
                <w:sz w:val="20"/>
                <w:szCs w:val="20"/>
              </w:rPr>
            </w:pPr>
            <w:r w:rsidRPr="5878F9C8">
              <w:rPr>
                <w:rFonts w:ascii="Arial Narrow" w:eastAsia="Arial Narrow" w:hAnsi="Arial Narrow" w:cs="Arial Narrow"/>
                <w:b/>
                <w:bCs/>
                <w:color w:val="FFFFFF" w:themeColor="background1"/>
                <w:sz w:val="20"/>
                <w:szCs w:val="20"/>
              </w:rPr>
              <w:t>Number of Respondents</w:t>
            </w:r>
          </w:p>
        </w:tc>
        <w:tc>
          <w:tcPr>
            <w:tcW w:w="2340" w:type="dxa"/>
            <w:tcBorders>
              <w:top w:val="nil"/>
              <w:left w:val="single" w:sz="8" w:space="0" w:color="auto"/>
              <w:bottom w:val="single" w:sz="8" w:space="0" w:color="auto"/>
              <w:right w:val="single" w:sz="8" w:space="0" w:color="auto"/>
            </w:tcBorders>
            <w:shd w:val="clear" w:color="auto" w:fill="013E5B"/>
            <w:tcMar>
              <w:left w:w="58" w:type="dxa"/>
              <w:right w:w="58" w:type="dxa"/>
            </w:tcMar>
            <w:vAlign w:val="center"/>
          </w:tcPr>
          <w:p w:rsidR="5878F9C8" w14:paraId="4E61A8B9" w14:textId="0CB7E980">
            <w:pPr>
              <w:spacing w:after="180"/>
              <w:jc w:val="center"/>
              <w:rPr>
                <w:rFonts w:ascii="Arial Narrow" w:eastAsia="Arial Narrow" w:hAnsi="Arial Narrow" w:cs="Arial Narrow"/>
                <w:b/>
                <w:bCs/>
                <w:color w:val="FFFFFF" w:themeColor="background1"/>
                <w:sz w:val="20"/>
                <w:szCs w:val="20"/>
              </w:rPr>
            </w:pPr>
            <w:r w:rsidRPr="5878F9C8">
              <w:rPr>
                <w:rFonts w:ascii="Arial Narrow" w:eastAsia="Arial Narrow" w:hAnsi="Arial Narrow" w:cs="Arial Narrow"/>
                <w:b/>
                <w:bCs/>
                <w:color w:val="FFFFFF" w:themeColor="background1"/>
                <w:sz w:val="20"/>
                <w:szCs w:val="20"/>
              </w:rPr>
              <w:t>One-Time Cost Per Respondent for a Labeling Plate Change</w:t>
            </w:r>
          </w:p>
        </w:tc>
        <w:tc>
          <w:tcPr>
            <w:tcW w:w="2340" w:type="dxa"/>
            <w:tcBorders>
              <w:top w:val="nil"/>
              <w:left w:val="single" w:sz="8" w:space="0" w:color="auto"/>
              <w:bottom w:val="single" w:sz="8" w:space="0" w:color="auto"/>
              <w:right w:val="single" w:sz="8" w:space="0" w:color="auto"/>
            </w:tcBorders>
            <w:shd w:val="clear" w:color="auto" w:fill="013E5B"/>
            <w:tcMar>
              <w:left w:w="58" w:type="dxa"/>
              <w:right w:w="58" w:type="dxa"/>
            </w:tcMar>
            <w:vAlign w:val="center"/>
          </w:tcPr>
          <w:p w:rsidR="5878F9C8" w14:paraId="1BA93A12" w14:textId="7E648C57">
            <w:pPr>
              <w:spacing w:after="180"/>
              <w:jc w:val="center"/>
              <w:rPr>
                <w:rFonts w:ascii="Arial Narrow" w:eastAsia="Arial Narrow" w:hAnsi="Arial Narrow" w:cs="Arial Narrow"/>
                <w:b/>
                <w:bCs/>
                <w:color w:val="FFFFFF" w:themeColor="background1"/>
                <w:sz w:val="20"/>
                <w:szCs w:val="20"/>
              </w:rPr>
            </w:pPr>
            <w:r w:rsidRPr="5878F9C8">
              <w:rPr>
                <w:rFonts w:ascii="Arial Narrow" w:eastAsia="Arial Narrow" w:hAnsi="Arial Narrow" w:cs="Arial Narrow"/>
                <w:b/>
                <w:bCs/>
                <w:color w:val="FFFFFF" w:themeColor="background1"/>
                <w:sz w:val="20"/>
                <w:szCs w:val="20"/>
              </w:rPr>
              <w:t>One-Time Cost Per Respondent for a Labeling Plate Change</w:t>
            </w:r>
          </w:p>
        </w:tc>
        <w:tc>
          <w:tcPr>
            <w:tcW w:w="2340" w:type="dxa"/>
            <w:tcBorders>
              <w:top w:val="nil"/>
              <w:left w:val="single" w:sz="8" w:space="0" w:color="auto"/>
              <w:bottom w:val="single" w:sz="8" w:space="0" w:color="auto"/>
              <w:right w:val="single" w:sz="8" w:space="0" w:color="auto"/>
            </w:tcBorders>
            <w:shd w:val="clear" w:color="auto" w:fill="013E5B"/>
            <w:tcMar>
              <w:left w:w="58" w:type="dxa"/>
              <w:right w:w="58" w:type="dxa"/>
            </w:tcMar>
            <w:vAlign w:val="center"/>
          </w:tcPr>
          <w:p w:rsidR="5878F9C8" w14:paraId="212043E6" w14:textId="521F0CBD">
            <w:pPr>
              <w:spacing w:after="180"/>
              <w:jc w:val="center"/>
              <w:rPr>
                <w:rFonts w:ascii="Arial" w:eastAsia="Arial" w:hAnsi="Arial" w:cs="Arial"/>
                <w:color w:val="FFFFFF" w:themeColor="background1"/>
                <w:sz w:val="18"/>
                <w:szCs w:val="18"/>
              </w:rPr>
            </w:pPr>
            <w:r w:rsidRPr="5878F9C8">
              <w:rPr>
                <w:rFonts w:ascii="Arial" w:eastAsia="Arial" w:hAnsi="Arial" w:cs="Arial"/>
                <w:color w:val="FFFFFF" w:themeColor="background1"/>
                <w:sz w:val="18"/>
                <w:szCs w:val="18"/>
              </w:rPr>
              <w:t>Average Annual Total Cost</w:t>
            </w:r>
          </w:p>
        </w:tc>
      </w:tr>
      <w:tr w14:paraId="48ACF3A3" w14:textId="77777777" w:rsidTr="00552F18">
        <w:tblPrEx>
          <w:tblW w:w="0" w:type="auto"/>
          <w:tblLayout w:type="fixed"/>
          <w:tblLook w:val="04A0"/>
        </w:tblPrEx>
        <w:trPr>
          <w:trHeight w:val="750"/>
        </w:trPr>
        <w:tc>
          <w:tcPr>
            <w:tcW w:w="234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5878F9C8" w14:paraId="3EFA3F18" w14:textId="1D8B3D0D">
            <w:pPr>
              <w:spacing w:before="20" w:after="20"/>
              <w:ind w:right="150"/>
              <w:jc w:val="right"/>
              <w:rPr>
                <w:rFonts w:ascii="Times New Roman" w:eastAsia="Times New Roman" w:hAnsi="Times New Roman" w:cs="Times New Roman"/>
                <w:color w:val="000000" w:themeColor="text1"/>
                <w:sz w:val="18"/>
                <w:szCs w:val="18"/>
              </w:rPr>
            </w:pPr>
            <w:r w:rsidRPr="5878F9C8">
              <w:rPr>
                <w:rFonts w:ascii="Times New Roman" w:eastAsia="Times New Roman" w:hAnsi="Times New Roman" w:cs="Times New Roman"/>
                <w:color w:val="000000" w:themeColor="text1"/>
                <w:sz w:val="18"/>
                <w:szCs w:val="18"/>
              </w:rPr>
              <w:t>1</w:t>
            </w:r>
          </w:p>
        </w:tc>
        <w:tc>
          <w:tcPr>
            <w:tcW w:w="234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5878F9C8" w14:paraId="1D48349C" w14:textId="5A8215FE">
            <w:pPr>
              <w:spacing w:before="20" w:after="20"/>
              <w:ind w:right="150"/>
              <w:jc w:val="right"/>
              <w:rPr>
                <w:rFonts w:ascii="Times New Roman" w:eastAsia="Times New Roman" w:hAnsi="Times New Roman" w:cs="Times New Roman"/>
                <w:color w:val="000000" w:themeColor="text1"/>
                <w:sz w:val="18"/>
                <w:szCs w:val="18"/>
              </w:rPr>
            </w:pPr>
            <w:r w:rsidRPr="5878F9C8">
              <w:rPr>
                <w:rFonts w:ascii="Times New Roman" w:eastAsia="Times New Roman" w:hAnsi="Times New Roman" w:cs="Times New Roman"/>
                <w:color w:val="000000" w:themeColor="text1"/>
                <w:sz w:val="18"/>
                <w:szCs w:val="18"/>
              </w:rPr>
              <w:t>$600</w:t>
            </w:r>
          </w:p>
        </w:tc>
        <w:tc>
          <w:tcPr>
            <w:tcW w:w="234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5878F9C8" w14:paraId="7B131344" w14:textId="739C57D3">
            <w:pPr>
              <w:spacing w:before="20" w:after="20"/>
              <w:ind w:right="150"/>
              <w:jc w:val="right"/>
              <w:rPr>
                <w:rFonts w:ascii="Times New Roman" w:eastAsia="Times New Roman" w:hAnsi="Times New Roman" w:cs="Times New Roman"/>
                <w:color w:val="000000" w:themeColor="text1"/>
                <w:sz w:val="18"/>
                <w:szCs w:val="18"/>
              </w:rPr>
            </w:pPr>
            <w:r w:rsidRPr="5878F9C8">
              <w:rPr>
                <w:rFonts w:ascii="Times New Roman" w:eastAsia="Times New Roman" w:hAnsi="Times New Roman" w:cs="Times New Roman"/>
                <w:color w:val="000000" w:themeColor="text1"/>
                <w:sz w:val="18"/>
                <w:szCs w:val="18"/>
              </w:rPr>
              <w:t>$200</w:t>
            </w:r>
          </w:p>
        </w:tc>
        <w:tc>
          <w:tcPr>
            <w:tcW w:w="234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rsidR="5878F9C8" w14:paraId="0F589ACF" w14:textId="645E09DE">
            <w:pPr>
              <w:spacing w:after="0"/>
              <w:ind w:right="305"/>
              <w:jc w:val="right"/>
              <w:rPr>
                <w:rFonts w:ascii="Times New Roman" w:eastAsia="Times New Roman" w:hAnsi="Times New Roman" w:cs="Times New Roman"/>
                <w:color w:val="000000" w:themeColor="text1"/>
                <w:sz w:val="18"/>
                <w:szCs w:val="18"/>
              </w:rPr>
            </w:pPr>
            <w:r w:rsidRPr="5878F9C8">
              <w:rPr>
                <w:rFonts w:ascii="Times New Roman" w:eastAsia="Times New Roman" w:hAnsi="Times New Roman" w:cs="Times New Roman"/>
                <w:color w:val="000000" w:themeColor="text1"/>
                <w:sz w:val="18"/>
                <w:szCs w:val="18"/>
              </w:rPr>
              <w:t>$200</w:t>
            </w:r>
          </w:p>
        </w:tc>
      </w:tr>
    </w:tbl>
    <w:p w:rsidR="00552F18" w:rsidRPr="00707C2E" w:rsidP="00500014" w14:paraId="1CD42F17" w14:textId="77777777"/>
    <w:p w:rsidR="00051E85" w:rsidRPr="00552F18" w:rsidP="00051E85" w14:paraId="17F712C3" w14:textId="0DD76F44">
      <w:pPr>
        <w:pStyle w:val="Heading2"/>
      </w:pPr>
      <w:r w:rsidRPr="00966032">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B3410" w:rsidRPr="00C60984" w:rsidP="3254C678" w14:paraId="7FCA1ABF" w14:textId="2AE63F21">
      <w:pPr>
        <w:spacing w:before="60"/>
        <w:rPr>
          <w:rFonts w:cstheme="minorHAnsi"/>
        </w:rPr>
      </w:pPr>
      <w:bookmarkStart w:id="10" w:name="_Toc156593388"/>
      <w:r w:rsidRPr="00C60984">
        <w:rPr>
          <w:rFonts w:eastAsia="Times New Roman" w:cstheme="minorHAnsi"/>
        </w:rPr>
        <w:t>There will be no agency collection activities under the proposed rule. There will only be third-party notification and recordkeeping requirements.</w:t>
      </w:r>
    </w:p>
    <w:bookmarkEnd w:id="10"/>
    <w:p w:rsidR="00356BD6" w:rsidP="00356BD6" w14:paraId="36975FBD" w14:textId="77777777">
      <w:pPr>
        <w:pStyle w:val="Heading2"/>
        <w:rPr>
          <w:b w:val="0"/>
          <w:bCs w:val="0"/>
          <w:i w:val="0"/>
          <w:iCs w:val="0"/>
        </w:rPr>
      </w:pPr>
      <w:r w:rsidRPr="00966032">
        <w:t>15. Explain the reasons for any program changes or adjustments reported in the burden or capital/O&amp;M cost estimates.</w:t>
      </w:r>
    </w:p>
    <w:p w:rsidR="00ED57A4" w:rsidRPr="00BB3410" w:rsidP="00854AAE" w14:paraId="18F76AB6" w14:textId="16B0425D">
      <w:pPr>
        <w:pBdr>
          <w:top w:val="single" w:sz="6" w:space="0" w:color="FFFFFF"/>
          <w:left w:val="single" w:sz="6" w:space="0" w:color="FFFFFF"/>
          <w:bottom w:val="single" w:sz="6" w:space="0" w:color="FFFFFF"/>
          <w:right w:val="single" w:sz="6" w:space="0" w:color="FFFFFF"/>
        </w:pBdr>
        <w:rPr>
          <w:rFonts w:cstheme="minorHAnsi"/>
          <w:color w:val="FF0000"/>
        </w:rPr>
      </w:pPr>
      <w:r>
        <w:rPr>
          <w:rFonts w:cstheme="minorHAnsi"/>
        </w:rPr>
        <w:t>This is a new, rule-related information collection. Therefore, the reported burden reflects a program change.</w:t>
      </w:r>
    </w:p>
    <w:p w:rsidR="00356BD6" w:rsidP="00356BD6" w14:paraId="4AF2F75D" w14:textId="77777777">
      <w:pPr>
        <w:pStyle w:val="Heading2"/>
        <w:rPr>
          <w:b w:val="0"/>
          <w:bCs w:val="0"/>
          <w:i w:val="0"/>
          <w:iCs w:val="0"/>
        </w:rPr>
      </w:pPr>
      <w:bookmarkStart w:id="11" w:name="_Toc156593389"/>
      <w:r w:rsidRPr="00966032">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1474BFB1">
      <w:pPr>
        <w:pBdr>
          <w:top w:val="single" w:sz="6" w:space="0" w:color="FFFFFF"/>
          <w:left w:val="single" w:sz="6" w:space="0" w:color="FFFFFF"/>
          <w:bottom w:val="single" w:sz="6" w:space="0" w:color="FFFFFF"/>
          <w:right w:val="single" w:sz="6" w:space="0" w:color="FFFFFF"/>
        </w:pBdr>
      </w:pPr>
      <w:bookmarkStart w:id="12" w:name="_Toc156593390"/>
      <w:bookmarkEnd w:id="11"/>
      <w:r>
        <w:t>Not applicable.</w:t>
      </w:r>
    </w:p>
    <w:bookmarkEnd w:id="12"/>
    <w:p w:rsidR="00356BD6" w:rsidP="00356BD6" w14:paraId="34F30D66" w14:textId="77777777">
      <w:pPr>
        <w:pStyle w:val="Heading2"/>
        <w:rPr>
          <w:b w:val="0"/>
          <w:bCs w:val="0"/>
          <w:i w:val="0"/>
          <w:iCs w:val="0"/>
        </w:rPr>
      </w:pPr>
      <w:r w:rsidRPr="00966032">
        <w:t>17. If seeking approval to not display the expiration date for OMB approval of the information collection, explain the reasons that display would be inappropriate.</w:t>
      </w:r>
    </w:p>
    <w:p w:rsidR="00ED57A4" w:rsidRPr="0073767D" w:rsidP="00854AAE" w14:paraId="38543EA2" w14:textId="4AFB2559">
      <w:pPr>
        <w:pBdr>
          <w:top w:val="single" w:sz="6" w:space="0" w:color="FFFFFF"/>
          <w:left w:val="single" w:sz="6" w:space="0" w:color="FFFFFF"/>
          <w:bottom w:val="single" w:sz="6" w:space="0" w:color="FFFFFF"/>
          <w:right w:val="single" w:sz="6" w:space="0" w:color="FFFFFF"/>
        </w:pBdr>
      </w:pPr>
      <w:r>
        <w:t>Not applicable.</w:t>
      </w:r>
    </w:p>
    <w:p w:rsidR="00356BD6" w:rsidP="00356BD6" w14:paraId="5D4148A6" w14:textId="77777777">
      <w:pPr>
        <w:pStyle w:val="Heading2"/>
        <w:rPr>
          <w:b w:val="0"/>
          <w:bCs w:val="0"/>
          <w:i w:val="0"/>
          <w:iCs w:val="0"/>
        </w:rPr>
      </w:pPr>
      <w:r w:rsidRPr="00966032">
        <w:t>18. Explain each exception to the topics of the certification statement identified in “Certification for Paperwork Reduction Act Submissions.”</w:t>
      </w:r>
    </w:p>
    <w:p w:rsidR="00ED57A4" w:rsidRPr="0073767D" w:rsidP="00854AAE" w14:paraId="2765D073" w14:textId="1A559814">
      <w:pPr>
        <w:pBdr>
          <w:top w:val="single" w:sz="6" w:space="0" w:color="FFFFFF"/>
          <w:left w:val="single" w:sz="6" w:space="0" w:color="FFFFFF"/>
          <w:bottom w:val="single" w:sz="6" w:space="0" w:color="FFFFFF"/>
          <w:right w:val="single" w:sz="6" w:space="0" w:color="FFFFFF"/>
        </w:pBdr>
      </w:pPr>
      <w:r>
        <w:t>EPA does not request an exception to the certification of this information collection.</w:t>
      </w:r>
    </w:p>
    <w:p w:rsidR="00FD1195" w:rsidRPr="00FD1195" w:rsidP="00552F18" w14:paraId="37E8E956" w14:textId="77777777">
      <w:pPr>
        <w:pStyle w:val="Heading1"/>
        <w:rPr>
          <w:shd w:val="clear" w:color="auto" w:fill="FFFFFF"/>
        </w:rPr>
      </w:pPr>
      <w:r w:rsidRPr="00FD1195">
        <w:rPr>
          <w:shd w:val="clear" w:color="auto" w:fill="FFFFFF"/>
        </w:rPr>
        <w:t xml:space="preserve">SUPPLEMENTAL INFORMATION </w:t>
      </w:r>
    </w:p>
    <w:p w:rsidR="00FD1195" w:rsidRPr="00FD1195" w:rsidP="00552F18" w14:paraId="7D4C4B00" w14:textId="77777777">
      <w:pPr>
        <w:pStyle w:val="Heading2"/>
        <w:rPr>
          <w:shd w:val="clear" w:color="auto" w:fill="FFFFFF"/>
        </w:rPr>
      </w:pPr>
      <w:r w:rsidRPr="00FD1195">
        <w:rPr>
          <w:shd w:val="clear" w:color="auto" w:fill="FFFFFF"/>
        </w:rPr>
        <w:t xml:space="preserve">PRA Burden Statement </w:t>
      </w:r>
    </w:p>
    <w:p w:rsidR="00FD1195" w:rsidRPr="00FD1195" w:rsidP="3254C678" w14:paraId="72E63921" w14:textId="20C65BBD">
      <w:pPr>
        <w:rPr>
          <w:color w:val="000000"/>
          <w:shd w:val="clear" w:color="auto" w:fill="FFFFFF"/>
        </w:rPr>
      </w:pPr>
      <w:r w:rsidRPr="0021463B">
        <w:rPr>
          <w:color w:val="000000"/>
          <w:shd w:val="clear" w:color="auto" w:fill="FFFFFF"/>
        </w:rPr>
        <w:t xml:space="preserve">This collection of information is approved by OMB under the Paperwork Reduction Act, 44 U.S.C. 3501 et seq. (OMB Control No. 2070-NEW). Responses to this collection of information are mandatory for certain persons, as specified at 40 CFR Part(s) 751.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021463B" w:rsidR="00216D93">
        <w:rPr>
          <w:color w:val="000000"/>
          <w:shd w:val="clear" w:color="auto" w:fill="FFFFFF"/>
        </w:rPr>
        <w:t>0</w:t>
      </w:r>
      <w:r w:rsidRPr="0021463B" w:rsidR="1FEDD7BC">
        <w:rPr>
          <w:color w:val="000000"/>
          <w:shd w:val="clear" w:color="auto" w:fill="FFFFFF"/>
        </w:rPr>
        <w:t>.33</w:t>
      </w:r>
      <w:r w:rsidRPr="0021463B">
        <w:rPr>
          <w:color w:val="000000"/>
          <w:shd w:val="clear" w:color="auto" w:fill="FFFFFF"/>
        </w:rPr>
        <w:t xml:space="preserve"> hours per response</w:t>
      </w:r>
      <w:r w:rsidRPr="0021463B" w:rsidR="108BECC7">
        <w:rPr>
          <w:color w:val="000000"/>
          <w:shd w:val="clear" w:color="auto" w:fill="FFFFFF"/>
        </w:rPr>
        <w:t>.</w:t>
      </w:r>
      <w:r w:rsidRPr="0021463B">
        <w:rPr>
          <w:color w:val="000000"/>
          <w:shd w:val="clear" w:color="auto" w:fill="FFFFFF"/>
        </w:rPr>
        <w:t xml:space="preserve"> Send comments on the Agency’s need for this information, the accuracy of the provided burden estimates and any suggested methods for minimizing respondent burden to the Information Engagement Divis</w:t>
      </w:r>
      <w:r w:rsidRPr="0021463B" w:rsidR="24352BB8">
        <w:rPr>
          <w:color w:val="000000"/>
          <w:shd w:val="clear" w:color="auto" w:fill="FFFFFF"/>
        </w:rPr>
        <w:t>i</w:t>
      </w:r>
      <w:r w:rsidRPr="0021463B">
        <w:rPr>
          <w:color w:val="000000"/>
          <w:shd w:val="clear" w:color="auto" w:fill="FFFFFF"/>
        </w:rPr>
        <w:t>on Director, U.S. Environmental Protection Agency (2821T), 1200 Pennsylvania Ave., NW, Washington, D.C. 20460. Include the OMB control number in any correspondence.</w:t>
      </w:r>
      <w:r w:rsidRPr="3254C678">
        <w:rPr>
          <w:color w:val="000000"/>
          <w:shd w:val="clear" w:color="auto" w:fill="FFFFFF"/>
        </w:rPr>
        <w:t xml:space="preserve"> </w:t>
      </w:r>
    </w:p>
    <w:p w:rsidR="00707C2E" w:rsidP="00707C2E" w14:paraId="00796F90" w14:textId="76F45D54">
      <w:pPr>
        <w:rPr>
          <w:rFonts w:ascii="Calibri" w:hAnsi="Calibri" w:cs="Calibri"/>
        </w:rPr>
      </w:pPr>
      <w:r w:rsidRPr="00F93A42">
        <w:rPr>
          <w:rFonts w:ascii="Calibri" w:hAnsi="Calibri" w:cs="Calibr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F93A42">
        <w:rPr>
          <w:rFonts w:ascii="Calibri" w:hAnsi="Calibri" w:cs="Calibri"/>
          <w:szCs w:val="24"/>
        </w:rPr>
        <w:t>Number EPA-HQ</w:t>
      </w:r>
      <w:r w:rsidRPr="00F93A42">
        <w:rPr>
          <w:rFonts w:ascii="Calibri" w:hAnsi="Calibri" w:cs="Calibri"/>
        </w:rPr>
        <w:t>-</w:t>
      </w:r>
      <w:r w:rsidR="00500014">
        <w:rPr>
          <w:rFonts w:ascii="Calibri" w:hAnsi="Calibri" w:cs="Calibri"/>
        </w:rPr>
        <w:t>OPPT-2021-0277</w:t>
      </w:r>
      <w:r w:rsidRPr="00F93A42">
        <w:rPr>
          <w:rFonts w:ascii="Calibri" w:hAnsi="Calibri" w:cs="Calibri"/>
          <w:szCs w:val="24"/>
        </w:rPr>
        <w:t xml:space="preserve">, which </w:t>
      </w:r>
      <w:r w:rsidRPr="00F93A42">
        <w:rPr>
          <w:rFonts w:ascii="Calibri" w:hAnsi="Calibri" w:cs="Calibri"/>
        </w:rPr>
        <w:t xml:space="preserve">is available at </w:t>
      </w:r>
      <w:r w:rsidRPr="00F93A42">
        <w:rPr>
          <w:rStyle w:val="Hyperlink"/>
          <w:rFonts w:ascii="Calibri" w:hAnsi="Calibri" w:cs="Calibri"/>
        </w:rPr>
        <w:t>http</w:t>
      </w:r>
      <w:r>
        <w:rPr>
          <w:rStyle w:val="Hyperlink"/>
          <w:rFonts w:ascii="Calibri" w:hAnsi="Calibri" w:cs="Calibri"/>
        </w:rPr>
        <w:t>s</w:t>
      </w:r>
      <w:r w:rsidRPr="00F93A42">
        <w:rPr>
          <w:rStyle w:val="Hyperlink"/>
          <w:rFonts w:ascii="Calibri" w:hAnsi="Calibri" w:cs="Calibri"/>
        </w:rPr>
        <w:t>://www.regulations.gov</w:t>
      </w:r>
      <w:r w:rsidRPr="00F93A42">
        <w:rPr>
          <w:rFonts w:ascii="Calibri" w:hAnsi="Calibri" w:cs="Calibri"/>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00500014" w:rsidRPr="00F93A42" w:rsidP="00707C2E" w14:paraId="7A906240" w14:textId="77777777">
      <w:pPr>
        <w:rPr>
          <w:rFonts w:ascii="Calibri" w:hAnsi="Calibri" w:cs="Calibri"/>
        </w:rPr>
      </w:pPr>
    </w:p>
    <w:p w:rsidR="00FD1195" w:rsidP="00500014" w14:paraId="052AAA31" w14:textId="582F4059">
      <w:pPr>
        <w:pStyle w:val="Heading1"/>
        <w:rPr>
          <w:shd w:val="clear" w:color="auto" w:fill="FFFFFF"/>
        </w:rPr>
      </w:pPr>
      <w:r w:rsidRPr="00FD1195">
        <w:rPr>
          <w:shd w:val="clear" w:color="auto" w:fill="FFFFFF"/>
        </w:rPr>
        <w:t xml:space="preserve">List </w:t>
      </w:r>
      <w:r>
        <w:rPr>
          <w:shd w:val="clear" w:color="auto" w:fill="FFFFFF"/>
        </w:rPr>
        <w:t>o</w:t>
      </w:r>
      <w:r w:rsidRPr="00FD1195">
        <w:rPr>
          <w:shd w:val="clear" w:color="auto" w:fill="FFFFFF"/>
        </w:rPr>
        <w:t xml:space="preserve">f Attachments </w:t>
      </w:r>
    </w:p>
    <w:p w:rsidR="00FD1195" w:rsidRPr="00FD1195" w:rsidP="3254C678" w14:paraId="75F4CB2A" w14:textId="0DAD59D9">
      <w:pPr>
        <w:rPr>
          <w:color w:val="000000"/>
          <w:shd w:val="clear" w:color="auto" w:fill="FFFFFF"/>
        </w:rPr>
      </w:pPr>
      <w:r w:rsidRPr="3254C678">
        <w:rPr>
          <w:color w:val="000000"/>
          <w:shd w:val="clear" w:color="auto" w:fill="FFFFFF"/>
        </w:rPr>
        <w:t xml:space="preserve">The attachments listed below can be found in the docket for this ICR. The docket for this ICR is accessible electronically through regulations.gov using Docket ID Number: </w:t>
      </w:r>
      <w:r w:rsidRPr="3254C678" w:rsidR="57EDE347">
        <w:rPr>
          <w:color w:val="000000" w:themeColor="text1"/>
        </w:rPr>
        <w:t xml:space="preserve"> EPA-HQ-OPPT-2021-0277</w:t>
      </w:r>
      <w:r w:rsidRPr="3254C678">
        <w:rPr>
          <w:color w:val="000000"/>
          <w:shd w:val="clear" w:color="auto" w:fill="FFFFFF"/>
        </w:rPr>
        <w:t>.</w:t>
      </w:r>
    </w:p>
    <w:tbl>
      <w:tblPr>
        <w:tblW w:w="0" w:type="auto"/>
        <w:tblBorders>
          <w:top w:val="none" w:sz="6" w:space="0" w:color="auto"/>
          <w:left w:val="none" w:sz="6" w:space="0" w:color="auto"/>
          <w:bottom w:val="none" w:sz="6" w:space="0" w:color="auto"/>
          <w:right w:val="none" w:sz="6" w:space="0" w:color="auto"/>
        </w:tblBorders>
        <w:tblLayout w:type="fixed"/>
        <w:tblLook w:val="0000"/>
      </w:tblPr>
      <w:tblGrid>
        <w:gridCol w:w="918"/>
        <w:gridCol w:w="3912"/>
      </w:tblGrid>
      <w:tr w14:paraId="4E36B98F" w14:textId="77777777" w:rsidTr="00FD1195">
        <w:tblPrEx>
          <w:tblW w:w="0" w:type="auto"/>
          <w:tblBorders>
            <w:top w:val="none" w:sz="6" w:space="0" w:color="auto"/>
            <w:left w:val="none" w:sz="6" w:space="0" w:color="auto"/>
            <w:bottom w:val="none" w:sz="6" w:space="0" w:color="auto"/>
            <w:right w:val="none" w:sz="6" w:space="0" w:color="auto"/>
          </w:tblBorders>
          <w:tblLayout w:type="fixed"/>
          <w:tblLook w:val="0000"/>
        </w:tblPrEx>
        <w:trPr>
          <w:trHeight w:val="171"/>
        </w:trPr>
        <w:tc>
          <w:tcPr>
            <w:tcW w:w="918" w:type="dxa"/>
            <w:tcBorders>
              <w:top w:val="none" w:sz="6" w:space="0" w:color="auto"/>
              <w:bottom w:val="none" w:sz="6" w:space="0" w:color="auto"/>
              <w:right w:val="none" w:sz="6" w:space="0" w:color="auto"/>
            </w:tcBorders>
          </w:tcPr>
          <w:p w:rsidR="00FD1195" w:rsidRPr="00FD1195" w:rsidP="00F30898" w14:paraId="50CFCF60" w14:textId="4E5C9420">
            <w:pPr>
              <w:spacing w:after="0" w:line="240" w:lineRule="auto"/>
              <w:rPr>
                <w:rFonts w:cstheme="minorHAnsi"/>
                <w:color w:val="000000"/>
                <w:shd w:val="clear" w:color="auto" w:fill="FFFFFF"/>
              </w:rPr>
            </w:pPr>
            <w:r w:rsidRPr="00FD1195">
              <w:rPr>
                <w:rFonts w:cstheme="minorHAnsi"/>
                <w:b/>
                <w:bCs/>
                <w:color w:val="000000"/>
                <w:shd w:val="clear" w:color="auto" w:fill="FFFFFF"/>
              </w:rPr>
              <w:t xml:space="preserve"> </w:t>
            </w:r>
          </w:p>
        </w:tc>
        <w:tc>
          <w:tcPr>
            <w:tcW w:w="3912" w:type="dxa"/>
            <w:tcBorders>
              <w:top w:val="none" w:sz="6" w:space="0" w:color="auto"/>
              <w:left w:val="none" w:sz="6" w:space="0" w:color="auto"/>
              <w:bottom w:val="none" w:sz="6" w:space="0" w:color="auto"/>
            </w:tcBorders>
          </w:tcPr>
          <w:p w:rsidR="00FD1195" w:rsidRPr="00FD1195" w:rsidP="00F30898" w14:paraId="4F536AD8" w14:textId="50AB759A">
            <w:pPr>
              <w:spacing w:after="0" w:line="240" w:lineRule="auto"/>
              <w:rPr>
                <w:rFonts w:cstheme="minorHAnsi"/>
                <w:color w:val="000000"/>
                <w:shd w:val="clear" w:color="auto" w:fill="FFFFFF"/>
              </w:rPr>
            </w:pPr>
            <w:r w:rsidRPr="00FD1195">
              <w:rPr>
                <w:rFonts w:cstheme="minorHAnsi"/>
                <w:b/>
                <w:bCs/>
                <w:color w:val="000000"/>
                <w:shd w:val="clear" w:color="auto" w:fill="FFFFFF"/>
              </w:rPr>
              <w:t xml:space="preserve">Title  </w:t>
            </w:r>
          </w:p>
        </w:tc>
      </w:tr>
      <w:tr w14:paraId="36C6E86B" w14:textId="77777777" w:rsidTr="00FD1195">
        <w:tblPrEx>
          <w:tblW w:w="0" w:type="auto"/>
          <w:tblLayout w:type="fixed"/>
          <w:tblLook w:val="0000"/>
        </w:tblPrEx>
        <w:trPr>
          <w:trHeight w:val="163"/>
        </w:trPr>
        <w:tc>
          <w:tcPr>
            <w:tcW w:w="918" w:type="dxa"/>
            <w:tcBorders>
              <w:top w:val="none" w:sz="6" w:space="0" w:color="auto"/>
              <w:bottom w:val="none" w:sz="6" w:space="0" w:color="auto"/>
              <w:right w:val="none" w:sz="6" w:space="0" w:color="auto"/>
            </w:tcBorders>
          </w:tcPr>
          <w:p w:rsidR="00FD1195" w:rsidRPr="00FD1195" w:rsidP="00F30898" w14:paraId="170FC882" w14:textId="6B4B03C5">
            <w:pPr>
              <w:spacing w:after="0" w:line="240" w:lineRule="auto"/>
              <w:rPr>
                <w:rFonts w:cstheme="minorHAnsi"/>
                <w:color w:val="000000"/>
                <w:shd w:val="clear" w:color="auto" w:fill="FFFFFF"/>
              </w:rPr>
            </w:pPr>
            <w:r>
              <w:rPr>
                <w:rFonts w:cstheme="minorHAnsi"/>
                <w:color w:val="000000"/>
                <w:shd w:val="clear" w:color="auto" w:fill="FFFFFF"/>
              </w:rPr>
              <w:t>1</w:t>
            </w:r>
            <w:r w:rsidRPr="00FD1195">
              <w:rPr>
                <w:rFonts w:cstheme="minorHAnsi"/>
                <w:color w:val="000000"/>
                <w:shd w:val="clear" w:color="auto" w:fill="FFFFFF"/>
              </w:rPr>
              <w:t xml:space="preserve">. </w:t>
            </w:r>
          </w:p>
        </w:tc>
        <w:tc>
          <w:tcPr>
            <w:tcW w:w="3912" w:type="dxa"/>
            <w:tcBorders>
              <w:top w:val="none" w:sz="6" w:space="0" w:color="auto"/>
              <w:left w:val="none" w:sz="6" w:space="0" w:color="auto"/>
              <w:bottom w:val="none" w:sz="6" w:space="0" w:color="auto"/>
            </w:tcBorders>
          </w:tcPr>
          <w:p w:rsidR="00FD1195" w:rsidRPr="00FD1195" w:rsidP="00F30898" w14:paraId="538BD713" w14:textId="77777777">
            <w:pPr>
              <w:spacing w:after="0" w:line="240" w:lineRule="auto"/>
              <w:rPr>
                <w:rFonts w:cstheme="minorHAnsi"/>
                <w:color w:val="000000"/>
                <w:shd w:val="clear" w:color="auto" w:fill="FFFFFF"/>
              </w:rPr>
            </w:pPr>
            <w:r w:rsidRPr="00FD1195">
              <w:rPr>
                <w:rFonts w:cstheme="minorHAnsi"/>
                <w:color w:val="000000"/>
                <w:shd w:val="clear" w:color="auto" w:fill="FFFFFF"/>
              </w:rPr>
              <w:t xml:space="preserve">Proposed Rule </w:t>
            </w:r>
          </w:p>
        </w:tc>
      </w:tr>
      <w:tr w14:paraId="4A85387F" w14:textId="77777777" w:rsidTr="00FD1195">
        <w:tblPrEx>
          <w:tblW w:w="0" w:type="auto"/>
          <w:tblLayout w:type="fixed"/>
          <w:tblLook w:val="0000"/>
        </w:tblPrEx>
        <w:trPr>
          <w:trHeight w:val="163"/>
        </w:trPr>
        <w:tc>
          <w:tcPr>
            <w:tcW w:w="918" w:type="dxa"/>
            <w:tcBorders>
              <w:top w:val="none" w:sz="6" w:space="0" w:color="auto"/>
              <w:bottom w:val="none" w:sz="6" w:space="0" w:color="auto"/>
              <w:right w:val="none" w:sz="6" w:space="0" w:color="auto"/>
            </w:tcBorders>
          </w:tcPr>
          <w:p w:rsidR="00FD1195" w:rsidRPr="00FD1195" w:rsidP="00F30898" w14:paraId="07CF15A9" w14:textId="37DC93A1">
            <w:pPr>
              <w:spacing w:after="0" w:line="240" w:lineRule="auto"/>
              <w:rPr>
                <w:rFonts w:cstheme="minorHAnsi"/>
                <w:color w:val="000000"/>
                <w:shd w:val="clear" w:color="auto" w:fill="FFFFFF"/>
              </w:rPr>
            </w:pPr>
            <w:r>
              <w:rPr>
                <w:rFonts w:cstheme="minorHAnsi"/>
                <w:color w:val="000000"/>
                <w:shd w:val="clear" w:color="auto" w:fill="FFFFFF"/>
              </w:rPr>
              <w:t>2</w:t>
            </w:r>
            <w:r w:rsidRPr="00FD1195">
              <w:rPr>
                <w:rFonts w:cstheme="minorHAnsi"/>
                <w:color w:val="000000"/>
                <w:shd w:val="clear" w:color="auto" w:fill="FFFFFF"/>
              </w:rPr>
              <w:t xml:space="preserve">. </w:t>
            </w:r>
          </w:p>
        </w:tc>
        <w:tc>
          <w:tcPr>
            <w:tcW w:w="3912" w:type="dxa"/>
            <w:tcBorders>
              <w:top w:val="none" w:sz="6" w:space="0" w:color="auto"/>
              <w:left w:val="none" w:sz="6" w:space="0" w:color="auto"/>
              <w:bottom w:val="none" w:sz="6" w:space="0" w:color="auto"/>
            </w:tcBorders>
          </w:tcPr>
          <w:p w:rsidR="00FD1195" w:rsidRPr="00FD1195" w:rsidP="00F30898" w14:paraId="2E7E9E22" w14:textId="77777777">
            <w:pPr>
              <w:spacing w:after="0" w:line="240" w:lineRule="auto"/>
              <w:rPr>
                <w:rFonts w:cstheme="minorHAnsi"/>
                <w:color w:val="000000"/>
                <w:shd w:val="clear" w:color="auto" w:fill="FFFFFF"/>
              </w:rPr>
            </w:pPr>
            <w:r w:rsidRPr="00FD1195">
              <w:rPr>
                <w:rFonts w:cstheme="minorHAnsi"/>
                <w:color w:val="000000"/>
                <w:shd w:val="clear" w:color="auto" w:fill="FFFFFF"/>
              </w:rPr>
              <w:t xml:space="preserve">Economic Analysis </w:t>
            </w:r>
          </w:p>
        </w:tc>
      </w:tr>
      <w:tr w14:paraId="00F8B6F1" w14:textId="77777777" w:rsidTr="00FD1195">
        <w:tblPrEx>
          <w:tblW w:w="0" w:type="auto"/>
          <w:tblLayout w:type="fixed"/>
          <w:tblLook w:val="0000"/>
        </w:tblPrEx>
        <w:trPr>
          <w:trHeight w:val="163"/>
        </w:trPr>
        <w:tc>
          <w:tcPr>
            <w:tcW w:w="918" w:type="dxa"/>
            <w:tcBorders>
              <w:top w:val="none" w:sz="6" w:space="0" w:color="auto"/>
              <w:bottom w:val="none" w:sz="6" w:space="0" w:color="auto"/>
              <w:right w:val="none" w:sz="6" w:space="0" w:color="auto"/>
            </w:tcBorders>
          </w:tcPr>
          <w:p w:rsidR="00FD1195" w:rsidRPr="00FD1195" w:rsidP="00F30898" w14:paraId="73D5382D" w14:textId="24185318">
            <w:pPr>
              <w:spacing w:after="0" w:line="240" w:lineRule="auto"/>
              <w:rPr>
                <w:rFonts w:cstheme="minorHAnsi"/>
                <w:color w:val="000000"/>
                <w:shd w:val="clear" w:color="auto" w:fill="FFFFFF"/>
              </w:rPr>
            </w:pPr>
            <w:r>
              <w:rPr>
                <w:rFonts w:cstheme="minorHAnsi"/>
                <w:color w:val="000000"/>
                <w:shd w:val="clear" w:color="auto" w:fill="FFFFFF"/>
              </w:rPr>
              <w:t>3</w:t>
            </w:r>
            <w:r w:rsidRPr="00FD1195">
              <w:rPr>
                <w:rFonts w:cstheme="minorHAnsi"/>
                <w:color w:val="000000"/>
                <w:shd w:val="clear" w:color="auto" w:fill="FFFFFF"/>
              </w:rPr>
              <w:t xml:space="preserve">. </w:t>
            </w:r>
          </w:p>
        </w:tc>
        <w:tc>
          <w:tcPr>
            <w:tcW w:w="3912" w:type="dxa"/>
            <w:tcBorders>
              <w:top w:val="none" w:sz="6" w:space="0" w:color="auto"/>
              <w:left w:val="none" w:sz="6" w:space="0" w:color="auto"/>
              <w:bottom w:val="none" w:sz="6" w:space="0" w:color="auto"/>
            </w:tcBorders>
          </w:tcPr>
          <w:p w:rsidR="00FD1195" w:rsidRPr="00FD1195" w:rsidP="00F30898" w14:paraId="55D90098" w14:textId="77777777">
            <w:pPr>
              <w:spacing w:after="0" w:line="240" w:lineRule="auto"/>
              <w:rPr>
                <w:rFonts w:cstheme="minorHAnsi"/>
                <w:color w:val="000000"/>
                <w:highlight w:val="yellow"/>
                <w:shd w:val="clear" w:color="auto" w:fill="FFFFFF"/>
              </w:rPr>
            </w:pPr>
            <w:r w:rsidRPr="0021463B">
              <w:rPr>
                <w:rFonts w:cstheme="minorHAnsi"/>
                <w:color w:val="000000"/>
                <w:shd w:val="clear" w:color="auto" w:fill="FFFFFF"/>
              </w:rPr>
              <w:t xml:space="preserve">Stakeholder Meeting Index </w:t>
            </w:r>
          </w:p>
        </w:tc>
      </w:tr>
    </w:tbl>
    <w:p w:rsidR="00707C2E" w:rsidP="00500014" w14:paraId="752239B3" w14:textId="7D8F23DD">
      <w:pPr>
        <w:pStyle w:val="Heading1"/>
      </w:pPr>
      <w:r>
        <w:t xml:space="preserve">References </w:t>
      </w:r>
    </w:p>
    <w:p w:rsidR="00707C2E" w:rsidRPr="00BB3410" w:rsidP="00552F18" w14:paraId="609B22A3" w14:textId="16E69F90">
      <w:pPr>
        <w:rPr>
          <w:rFonts w:cstheme="minorHAnsi"/>
          <w:sz w:val="24"/>
          <w:szCs w:val="24"/>
        </w:rPr>
      </w:pPr>
      <w:hyperlink r:id="rId10" w:history="1">
        <w:r w:rsidR="00500014">
          <w:rPr>
            <w:rStyle w:val="Hyperlink"/>
            <w:rFonts w:cstheme="minorHAnsi"/>
            <w:shd w:val="clear" w:color="auto" w:fill="FFFFFF"/>
          </w:rPr>
          <w:t>TSCA section 6 (15 U.S.C. 2605)</w:t>
        </w:r>
      </w:hyperlink>
      <w:r>
        <w:rPr>
          <w:rFonts w:cstheme="minorHAnsi"/>
          <w:color w:val="000000"/>
          <w:shd w:val="clear" w:color="auto" w:fill="FFFFFF"/>
        </w:rPr>
        <w:t xml:space="preserve"> </w:t>
      </w:r>
    </w:p>
    <w:sectPr w:rsidSect="00552F18">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_MSFontService">
    <w:altName w:val="Arial"/>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08EC" w:rsidRPr="00552F18" w:rsidP="00552F18" w14:paraId="58FA80C0" w14:textId="54387DC2">
    <w:pPr>
      <w:pStyle w:val="Header"/>
      <w:jc w:val="center"/>
      <w:rPr>
        <w:i/>
        <w:i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A758E4"/>
    <w:multiLevelType w:val="hybridMultilevel"/>
    <w:tmpl w:val="F13041D8"/>
    <w:lvl w:ilvl="0">
      <w:start w:val="3"/>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D5EDCE"/>
    <w:multiLevelType w:val="hybridMultilevel"/>
    <w:tmpl w:val="C4742DBA"/>
    <w:lvl w:ilvl="0">
      <w:start w:val="1"/>
      <w:numFmt w:val="bullet"/>
      <w:lvlText w:val=""/>
      <w:lvlJc w:val="left"/>
      <w:pPr>
        <w:ind w:left="113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09B914A"/>
    <w:multiLevelType w:val="hybridMultilevel"/>
    <w:tmpl w:val="04EC4C30"/>
    <w:lvl w:ilvl="0">
      <w:start w:val="1"/>
      <w:numFmt w:val="bullet"/>
      <w:lvlText w:val=""/>
      <w:lvlJc w:val="left"/>
      <w:pPr>
        <w:ind w:left="720" w:hanging="360"/>
      </w:pPr>
      <w:rPr>
        <w:rFonts w:ascii="Symbol" w:hAnsi="Symbol" w:hint="default"/>
      </w:rPr>
    </w:lvl>
    <w:lvl w:ilvl="1">
      <w:start w:val="1"/>
      <w:numFmt w:val="bullet"/>
      <w:lvlText w:val="o"/>
      <w:lvlJc w:val="left"/>
      <w:pPr>
        <w:ind w:left="1858"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1A87C86"/>
    <w:multiLevelType w:val="hybridMultilevel"/>
    <w:tmpl w:val="385EC03A"/>
    <w:lvl w:ilvl="0">
      <w:start w:val="3"/>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62EDF"/>
    <w:multiLevelType w:val="hybridMultilevel"/>
    <w:tmpl w:val="5A805716"/>
    <w:lvl w:ilvl="0">
      <w:start w:val="1"/>
      <w:numFmt w:val="bullet"/>
      <w:lvlText w:val=""/>
      <w:lvlJc w:val="left"/>
      <w:pPr>
        <w:ind w:left="113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2D7FD1"/>
    <w:multiLevelType w:val="hybridMultilevel"/>
    <w:tmpl w:val="970AEE64"/>
    <w:lvl w:ilvl="0">
      <w:start w:val="1"/>
      <w:numFmt w:val="bullet"/>
      <w:lvlText w:val=""/>
      <w:lvlJc w:val="left"/>
      <w:pPr>
        <w:ind w:left="113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A837AB5"/>
    <w:multiLevelType w:val="hybridMultilevel"/>
    <w:tmpl w:val="A434E0F8"/>
    <w:lvl w:ilvl="0">
      <w:start w:val="1"/>
      <w:numFmt w:val="bullet"/>
      <w:lvlText w:val=""/>
      <w:lvlJc w:val="left"/>
      <w:pPr>
        <w:ind w:left="720" w:hanging="360"/>
      </w:pPr>
      <w:rPr>
        <w:rFonts w:ascii="Symbol" w:hAnsi="Symbol" w:hint="default"/>
      </w:rPr>
    </w:lvl>
    <w:lvl w:ilvl="1">
      <w:start w:val="1"/>
      <w:numFmt w:val="bullet"/>
      <w:lvlText w:val="o"/>
      <w:lvlJc w:val="left"/>
      <w:pPr>
        <w:ind w:left="1858"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AFE3844"/>
    <w:multiLevelType w:val="hybridMultilevel"/>
    <w:tmpl w:val="98428FD0"/>
    <w:lvl w:ilvl="0">
      <w:start w:val="17"/>
      <w:numFmt w:val="decimal"/>
      <w:pStyle w:val="BulletListAbt"/>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E910378"/>
    <w:multiLevelType w:val="hybridMultilevel"/>
    <w:tmpl w:val="708C2AB2"/>
    <w:lvl w:ilvl="0">
      <w:start w:val="1"/>
      <w:numFmt w:val="bullet"/>
      <w:lvlText w:val=""/>
      <w:lvlJc w:val="left"/>
      <w:pPr>
        <w:ind w:left="720" w:hanging="360"/>
      </w:pPr>
      <w:rPr>
        <w:rFonts w:ascii="Symbol" w:hAnsi="Symbol" w:hint="default"/>
      </w:rPr>
    </w:lvl>
    <w:lvl w:ilvl="1">
      <w:start w:val="1"/>
      <w:numFmt w:val="bullet"/>
      <w:lvlText w:val="o"/>
      <w:lvlJc w:val="left"/>
      <w:pPr>
        <w:ind w:left="1858"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A58517"/>
    <w:multiLevelType w:val="hybridMultilevel"/>
    <w:tmpl w:val="ED8002A4"/>
    <w:lvl w:ilvl="0">
      <w:start w:val="1"/>
      <w:numFmt w:val="bullet"/>
      <w:lvlText w:val=""/>
      <w:lvlJc w:val="left"/>
      <w:pPr>
        <w:ind w:left="113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BF0DED"/>
    <w:multiLevelType w:val="hybridMultilevel"/>
    <w:tmpl w:val="BE905512"/>
    <w:lvl w:ilvl="0">
      <w:start w:val="1"/>
      <w:numFmt w:val="bullet"/>
      <w:lvlText w:val=""/>
      <w:lvlJc w:val="left"/>
      <w:pPr>
        <w:ind w:left="720" w:hanging="360"/>
      </w:pPr>
      <w:rPr>
        <w:rFonts w:ascii="Symbol" w:hAnsi="Symbol" w:hint="default"/>
      </w:rPr>
    </w:lvl>
    <w:lvl w:ilvl="1">
      <w:start w:val="1"/>
      <w:numFmt w:val="bullet"/>
      <w:lvlText w:val="o"/>
      <w:lvlJc w:val="left"/>
      <w:pPr>
        <w:ind w:left="1858"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03BC8C6"/>
    <w:multiLevelType w:val="hybridMultilevel"/>
    <w:tmpl w:val="3B742646"/>
    <w:lvl w:ilvl="0">
      <w:start w:val="1"/>
      <w:numFmt w:val="bullet"/>
      <w:lvlText w:val=""/>
      <w:lvlJc w:val="left"/>
      <w:pPr>
        <w:ind w:left="113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CBAA987"/>
    <w:multiLevelType w:val="hybridMultilevel"/>
    <w:tmpl w:val="9B360768"/>
    <w:lvl w:ilvl="0">
      <w:start w:val="1"/>
      <w:numFmt w:val="bullet"/>
      <w:lvlText w:val=""/>
      <w:lvlJc w:val="left"/>
      <w:pPr>
        <w:ind w:left="1138"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8064516">
    <w:abstractNumId w:val="25"/>
  </w:num>
  <w:num w:numId="2" w16cid:durableId="1458989411">
    <w:abstractNumId w:val="4"/>
  </w:num>
  <w:num w:numId="3" w16cid:durableId="121730613">
    <w:abstractNumId w:val="20"/>
  </w:num>
  <w:num w:numId="4" w16cid:durableId="679163011">
    <w:abstractNumId w:val="36"/>
  </w:num>
  <w:num w:numId="5" w16cid:durableId="1689209815">
    <w:abstractNumId w:val="23"/>
  </w:num>
  <w:num w:numId="6" w16cid:durableId="600145678">
    <w:abstractNumId w:val="12"/>
  </w:num>
  <w:num w:numId="7" w16cid:durableId="1755320821">
    <w:abstractNumId w:val="5"/>
  </w:num>
  <w:num w:numId="8" w16cid:durableId="844244929">
    <w:abstractNumId w:val="8"/>
  </w:num>
  <w:num w:numId="9" w16cid:durableId="412047879">
    <w:abstractNumId w:val="29"/>
  </w:num>
  <w:num w:numId="10" w16cid:durableId="503057961">
    <w:abstractNumId w:val="33"/>
  </w:num>
  <w:num w:numId="11" w16cid:durableId="1992127513">
    <w:abstractNumId w:val="17"/>
  </w:num>
  <w:num w:numId="12" w16cid:durableId="1032609060">
    <w:abstractNumId w:val="9"/>
  </w:num>
  <w:num w:numId="13" w16cid:durableId="1158494831">
    <w:abstractNumId w:val="2"/>
  </w:num>
  <w:num w:numId="14" w16cid:durableId="493573829">
    <w:abstractNumId w:val="37"/>
  </w:num>
  <w:num w:numId="15" w16cid:durableId="2055687918">
    <w:abstractNumId w:val="24"/>
  </w:num>
  <w:num w:numId="16" w16cid:durableId="1603025219">
    <w:abstractNumId w:val="34"/>
  </w:num>
  <w:num w:numId="17" w16cid:durableId="423957196">
    <w:abstractNumId w:val="21"/>
  </w:num>
  <w:num w:numId="18" w16cid:durableId="2031829208">
    <w:abstractNumId w:val="28"/>
  </w:num>
  <w:num w:numId="19" w16cid:durableId="218439549">
    <w:abstractNumId w:val="13"/>
  </w:num>
  <w:num w:numId="20" w16cid:durableId="1285231924">
    <w:abstractNumId w:val="7"/>
  </w:num>
  <w:num w:numId="21" w16cid:durableId="327370686">
    <w:abstractNumId w:val="11"/>
  </w:num>
  <w:num w:numId="22" w16cid:durableId="1802993385">
    <w:abstractNumId w:val="15"/>
  </w:num>
  <w:num w:numId="23" w16cid:durableId="1792938267">
    <w:abstractNumId w:val="38"/>
  </w:num>
  <w:num w:numId="24" w16cid:durableId="239490726">
    <w:abstractNumId w:val="10"/>
  </w:num>
  <w:num w:numId="25" w16cid:durableId="1395350314">
    <w:abstractNumId w:val="14"/>
  </w:num>
  <w:num w:numId="26" w16cid:durableId="441535906">
    <w:abstractNumId w:val="18"/>
  </w:num>
  <w:num w:numId="27" w16cid:durableId="2008243381">
    <w:abstractNumId w:val="30"/>
  </w:num>
  <w:num w:numId="28" w16cid:durableId="840463183">
    <w:abstractNumId w:val="27"/>
  </w:num>
  <w:num w:numId="29" w16cid:durableId="469980091">
    <w:abstractNumId w:val="32"/>
  </w:num>
  <w:num w:numId="30" w16cid:durableId="2126730031">
    <w:abstractNumId w:val="16"/>
  </w:num>
  <w:num w:numId="31" w16cid:durableId="106124704">
    <w:abstractNumId w:val="1"/>
  </w:num>
  <w:num w:numId="32" w16cid:durableId="1552418013">
    <w:abstractNumId w:val="19"/>
  </w:num>
  <w:num w:numId="33" w16cid:durableId="1598828334">
    <w:abstractNumId w:val="35"/>
  </w:num>
  <w:num w:numId="34" w16cid:durableId="2051031068">
    <w:abstractNumId w:val="0"/>
  </w:num>
  <w:num w:numId="35" w16cid:durableId="258569098">
    <w:abstractNumId w:val="22"/>
  </w:num>
  <w:num w:numId="36" w16cid:durableId="331181582">
    <w:abstractNumId w:val="26"/>
  </w:num>
  <w:num w:numId="37" w16cid:durableId="1015961391">
    <w:abstractNumId w:val="31"/>
  </w:num>
  <w:num w:numId="38" w16cid:durableId="628896887">
    <w:abstractNumId w:val="3"/>
  </w:num>
  <w:num w:numId="39" w16cid:durableId="98378148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0CAA"/>
    <w:rsid w:val="0003166C"/>
    <w:rsid w:val="00032552"/>
    <w:rsid w:val="00033219"/>
    <w:rsid w:val="00036CF2"/>
    <w:rsid w:val="00037107"/>
    <w:rsid w:val="00042F77"/>
    <w:rsid w:val="0004467E"/>
    <w:rsid w:val="000452DC"/>
    <w:rsid w:val="000461BA"/>
    <w:rsid w:val="00047160"/>
    <w:rsid w:val="00050BB4"/>
    <w:rsid w:val="00051045"/>
    <w:rsid w:val="00051E85"/>
    <w:rsid w:val="00053570"/>
    <w:rsid w:val="000544D0"/>
    <w:rsid w:val="0005572E"/>
    <w:rsid w:val="0005629D"/>
    <w:rsid w:val="0005783D"/>
    <w:rsid w:val="00060163"/>
    <w:rsid w:val="0006085E"/>
    <w:rsid w:val="0006128A"/>
    <w:rsid w:val="0006187C"/>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31B"/>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0FCF"/>
    <w:rsid w:val="000B3576"/>
    <w:rsid w:val="000B461B"/>
    <w:rsid w:val="000B7BBA"/>
    <w:rsid w:val="000C41A7"/>
    <w:rsid w:val="000C422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6E07"/>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275BC"/>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730"/>
    <w:rsid w:val="001A7DEF"/>
    <w:rsid w:val="001B1773"/>
    <w:rsid w:val="001B1962"/>
    <w:rsid w:val="001B2D25"/>
    <w:rsid w:val="001B4565"/>
    <w:rsid w:val="001B46D7"/>
    <w:rsid w:val="001B4BEC"/>
    <w:rsid w:val="001B575F"/>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463B"/>
    <w:rsid w:val="00216C6A"/>
    <w:rsid w:val="00216D93"/>
    <w:rsid w:val="00220258"/>
    <w:rsid w:val="00222530"/>
    <w:rsid w:val="0022259D"/>
    <w:rsid w:val="00222BAA"/>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1113"/>
    <w:rsid w:val="0028340E"/>
    <w:rsid w:val="00283764"/>
    <w:rsid w:val="00283AE9"/>
    <w:rsid w:val="00283C66"/>
    <w:rsid w:val="002847BB"/>
    <w:rsid w:val="00285782"/>
    <w:rsid w:val="00285A68"/>
    <w:rsid w:val="00286FA0"/>
    <w:rsid w:val="00287F94"/>
    <w:rsid w:val="0029051E"/>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5284"/>
    <w:rsid w:val="002C7DDE"/>
    <w:rsid w:val="002D3E1A"/>
    <w:rsid w:val="002E0316"/>
    <w:rsid w:val="002E0999"/>
    <w:rsid w:val="002E159C"/>
    <w:rsid w:val="002E2569"/>
    <w:rsid w:val="002E5BAD"/>
    <w:rsid w:val="002E6047"/>
    <w:rsid w:val="002E6D1D"/>
    <w:rsid w:val="002F0614"/>
    <w:rsid w:val="002F077A"/>
    <w:rsid w:val="002F10BE"/>
    <w:rsid w:val="002F13DA"/>
    <w:rsid w:val="002F15EB"/>
    <w:rsid w:val="002F3CE0"/>
    <w:rsid w:val="002F6A76"/>
    <w:rsid w:val="003005BB"/>
    <w:rsid w:val="00302A08"/>
    <w:rsid w:val="00303DE5"/>
    <w:rsid w:val="00304842"/>
    <w:rsid w:val="00307411"/>
    <w:rsid w:val="00310FDB"/>
    <w:rsid w:val="00312370"/>
    <w:rsid w:val="00312B1E"/>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2EE"/>
    <w:rsid w:val="00344CB0"/>
    <w:rsid w:val="003467C8"/>
    <w:rsid w:val="00347C3C"/>
    <w:rsid w:val="0035079F"/>
    <w:rsid w:val="003527C1"/>
    <w:rsid w:val="00352C25"/>
    <w:rsid w:val="003565B6"/>
    <w:rsid w:val="00356A66"/>
    <w:rsid w:val="00356BD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204"/>
    <w:rsid w:val="003C0DBC"/>
    <w:rsid w:val="003C2B04"/>
    <w:rsid w:val="003C3003"/>
    <w:rsid w:val="003C321D"/>
    <w:rsid w:val="003C5631"/>
    <w:rsid w:val="003C68C2"/>
    <w:rsid w:val="003C6CE9"/>
    <w:rsid w:val="003D06CD"/>
    <w:rsid w:val="003D0C03"/>
    <w:rsid w:val="003D1457"/>
    <w:rsid w:val="003D1DDE"/>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227C"/>
    <w:rsid w:val="00463285"/>
    <w:rsid w:val="00465846"/>
    <w:rsid w:val="00466349"/>
    <w:rsid w:val="00466B43"/>
    <w:rsid w:val="00467761"/>
    <w:rsid w:val="00470E22"/>
    <w:rsid w:val="00470FE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2224"/>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014"/>
    <w:rsid w:val="0050085E"/>
    <w:rsid w:val="005008EC"/>
    <w:rsid w:val="005016D0"/>
    <w:rsid w:val="00501DE1"/>
    <w:rsid w:val="005024CE"/>
    <w:rsid w:val="00502BAA"/>
    <w:rsid w:val="00504949"/>
    <w:rsid w:val="00506171"/>
    <w:rsid w:val="005062F5"/>
    <w:rsid w:val="00510C48"/>
    <w:rsid w:val="005119F4"/>
    <w:rsid w:val="00511DDD"/>
    <w:rsid w:val="00512F2D"/>
    <w:rsid w:val="00513479"/>
    <w:rsid w:val="00513BCF"/>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2F18"/>
    <w:rsid w:val="005544CE"/>
    <w:rsid w:val="00554865"/>
    <w:rsid w:val="0055616B"/>
    <w:rsid w:val="00556D62"/>
    <w:rsid w:val="00557E8F"/>
    <w:rsid w:val="005609B4"/>
    <w:rsid w:val="00560A26"/>
    <w:rsid w:val="005636FA"/>
    <w:rsid w:val="0056373A"/>
    <w:rsid w:val="00564A1B"/>
    <w:rsid w:val="00564BF4"/>
    <w:rsid w:val="00565A5E"/>
    <w:rsid w:val="00565F29"/>
    <w:rsid w:val="00566F71"/>
    <w:rsid w:val="00571C92"/>
    <w:rsid w:val="00571D24"/>
    <w:rsid w:val="005723B9"/>
    <w:rsid w:val="005726BA"/>
    <w:rsid w:val="0057299B"/>
    <w:rsid w:val="00574C83"/>
    <w:rsid w:val="005810DF"/>
    <w:rsid w:val="00583101"/>
    <w:rsid w:val="005836B3"/>
    <w:rsid w:val="00584D72"/>
    <w:rsid w:val="0058662D"/>
    <w:rsid w:val="00587D53"/>
    <w:rsid w:val="005900C3"/>
    <w:rsid w:val="00590A21"/>
    <w:rsid w:val="005932EC"/>
    <w:rsid w:val="005966D8"/>
    <w:rsid w:val="0059769C"/>
    <w:rsid w:val="005A0F75"/>
    <w:rsid w:val="005A129A"/>
    <w:rsid w:val="005A35B4"/>
    <w:rsid w:val="005A422E"/>
    <w:rsid w:val="005A7235"/>
    <w:rsid w:val="005A7BA6"/>
    <w:rsid w:val="005B0561"/>
    <w:rsid w:val="005B499E"/>
    <w:rsid w:val="005B6A8D"/>
    <w:rsid w:val="005C195D"/>
    <w:rsid w:val="005C2031"/>
    <w:rsid w:val="005C4913"/>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07F9B"/>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3D2A"/>
    <w:rsid w:val="0065454C"/>
    <w:rsid w:val="00660027"/>
    <w:rsid w:val="00660B98"/>
    <w:rsid w:val="00665EAF"/>
    <w:rsid w:val="00666566"/>
    <w:rsid w:val="00666D5A"/>
    <w:rsid w:val="00670897"/>
    <w:rsid w:val="006724D8"/>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25C"/>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6F5FC2"/>
    <w:rsid w:val="00700983"/>
    <w:rsid w:val="007020F8"/>
    <w:rsid w:val="007029CB"/>
    <w:rsid w:val="00702E91"/>
    <w:rsid w:val="00702F36"/>
    <w:rsid w:val="00703FEF"/>
    <w:rsid w:val="00704459"/>
    <w:rsid w:val="007045C4"/>
    <w:rsid w:val="00704CBA"/>
    <w:rsid w:val="00706B15"/>
    <w:rsid w:val="00706F41"/>
    <w:rsid w:val="00707C2E"/>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01D7"/>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4ED6"/>
    <w:rsid w:val="007853D4"/>
    <w:rsid w:val="007860F8"/>
    <w:rsid w:val="00786880"/>
    <w:rsid w:val="00791DFE"/>
    <w:rsid w:val="00792038"/>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563"/>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3A5B"/>
    <w:rsid w:val="008240E3"/>
    <w:rsid w:val="00824837"/>
    <w:rsid w:val="00827596"/>
    <w:rsid w:val="0082798D"/>
    <w:rsid w:val="00830F44"/>
    <w:rsid w:val="008310D5"/>
    <w:rsid w:val="008316D7"/>
    <w:rsid w:val="00831944"/>
    <w:rsid w:val="00831B47"/>
    <w:rsid w:val="008343F1"/>
    <w:rsid w:val="008366EC"/>
    <w:rsid w:val="00840AE4"/>
    <w:rsid w:val="00840E64"/>
    <w:rsid w:val="008416DF"/>
    <w:rsid w:val="008443B3"/>
    <w:rsid w:val="00846433"/>
    <w:rsid w:val="0084668A"/>
    <w:rsid w:val="008479D9"/>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482A"/>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82B"/>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66032"/>
    <w:rsid w:val="00971A41"/>
    <w:rsid w:val="0097423E"/>
    <w:rsid w:val="00975BE8"/>
    <w:rsid w:val="00976A58"/>
    <w:rsid w:val="00977AA1"/>
    <w:rsid w:val="00980058"/>
    <w:rsid w:val="00981BFA"/>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4759"/>
    <w:rsid w:val="009A5C07"/>
    <w:rsid w:val="009A6AF8"/>
    <w:rsid w:val="009A7EF0"/>
    <w:rsid w:val="009B2A92"/>
    <w:rsid w:val="009B3C05"/>
    <w:rsid w:val="009B46F6"/>
    <w:rsid w:val="009B5CB4"/>
    <w:rsid w:val="009B5E96"/>
    <w:rsid w:val="009B76F3"/>
    <w:rsid w:val="009B7753"/>
    <w:rsid w:val="009BDA66"/>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5DFA"/>
    <w:rsid w:val="009D607F"/>
    <w:rsid w:val="009D6EDD"/>
    <w:rsid w:val="009D7153"/>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579"/>
    <w:rsid w:val="00A358CC"/>
    <w:rsid w:val="00A35BC3"/>
    <w:rsid w:val="00A35F5B"/>
    <w:rsid w:val="00A361CE"/>
    <w:rsid w:val="00A41B82"/>
    <w:rsid w:val="00A45770"/>
    <w:rsid w:val="00A45865"/>
    <w:rsid w:val="00A5226D"/>
    <w:rsid w:val="00A53BD4"/>
    <w:rsid w:val="00A53C9A"/>
    <w:rsid w:val="00A55764"/>
    <w:rsid w:val="00A56C84"/>
    <w:rsid w:val="00A574B6"/>
    <w:rsid w:val="00A60384"/>
    <w:rsid w:val="00A6282F"/>
    <w:rsid w:val="00A62AFA"/>
    <w:rsid w:val="00A64B54"/>
    <w:rsid w:val="00A67FC6"/>
    <w:rsid w:val="00A68791"/>
    <w:rsid w:val="00A71397"/>
    <w:rsid w:val="00A71F84"/>
    <w:rsid w:val="00A72623"/>
    <w:rsid w:val="00A768D2"/>
    <w:rsid w:val="00A801EB"/>
    <w:rsid w:val="00A80A27"/>
    <w:rsid w:val="00A816BC"/>
    <w:rsid w:val="00A82647"/>
    <w:rsid w:val="00A8542E"/>
    <w:rsid w:val="00A8593A"/>
    <w:rsid w:val="00A87CC8"/>
    <w:rsid w:val="00A9188B"/>
    <w:rsid w:val="00A91EFC"/>
    <w:rsid w:val="00A9320B"/>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15D"/>
    <w:rsid w:val="00AD15AC"/>
    <w:rsid w:val="00AD1B66"/>
    <w:rsid w:val="00AD1CFF"/>
    <w:rsid w:val="00AD2447"/>
    <w:rsid w:val="00AD3B4D"/>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1704"/>
    <w:rsid w:val="00B027C5"/>
    <w:rsid w:val="00B02874"/>
    <w:rsid w:val="00B04655"/>
    <w:rsid w:val="00B06750"/>
    <w:rsid w:val="00B07337"/>
    <w:rsid w:val="00B11B2A"/>
    <w:rsid w:val="00B13545"/>
    <w:rsid w:val="00B13DEC"/>
    <w:rsid w:val="00B15AEE"/>
    <w:rsid w:val="00B15B9E"/>
    <w:rsid w:val="00B2192B"/>
    <w:rsid w:val="00B222EC"/>
    <w:rsid w:val="00B22810"/>
    <w:rsid w:val="00B22F84"/>
    <w:rsid w:val="00B2326A"/>
    <w:rsid w:val="00B23E0D"/>
    <w:rsid w:val="00B24852"/>
    <w:rsid w:val="00B26757"/>
    <w:rsid w:val="00B31C31"/>
    <w:rsid w:val="00B37C28"/>
    <w:rsid w:val="00B400AE"/>
    <w:rsid w:val="00B41581"/>
    <w:rsid w:val="00B434D7"/>
    <w:rsid w:val="00B45BEF"/>
    <w:rsid w:val="00B47058"/>
    <w:rsid w:val="00B5068E"/>
    <w:rsid w:val="00B51024"/>
    <w:rsid w:val="00B52450"/>
    <w:rsid w:val="00B524A9"/>
    <w:rsid w:val="00B53A06"/>
    <w:rsid w:val="00B603E4"/>
    <w:rsid w:val="00B62988"/>
    <w:rsid w:val="00B63B97"/>
    <w:rsid w:val="00B65237"/>
    <w:rsid w:val="00B666CD"/>
    <w:rsid w:val="00B67894"/>
    <w:rsid w:val="00B72371"/>
    <w:rsid w:val="00B72CC1"/>
    <w:rsid w:val="00B737EF"/>
    <w:rsid w:val="00B74D25"/>
    <w:rsid w:val="00B7519D"/>
    <w:rsid w:val="00B77C81"/>
    <w:rsid w:val="00B80F76"/>
    <w:rsid w:val="00B818B8"/>
    <w:rsid w:val="00B81A2E"/>
    <w:rsid w:val="00B8268D"/>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361"/>
    <w:rsid w:val="00BB0D04"/>
    <w:rsid w:val="00BB29FA"/>
    <w:rsid w:val="00BB2B15"/>
    <w:rsid w:val="00BB3410"/>
    <w:rsid w:val="00BB432F"/>
    <w:rsid w:val="00BB49A7"/>
    <w:rsid w:val="00BB49C0"/>
    <w:rsid w:val="00BB67F9"/>
    <w:rsid w:val="00BB6F4C"/>
    <w:rsid w:val="00BB6FB5"/>
    <w:rsid w:val="00BB753F"/>
    <w:rsid w:val="00BB7DA0"/>
    <w:rsid w:val="00BB7FF2"/>
    <w:rsid w:val="00BC0B1A"/>
    <w:rsid w:val="00BC1522"/>
    <w:rsid w:val="00BC1BF0"/>
    <w:rsid w:val="00BC3541"/>
    <w:rsid w:val="00BC3DD2"/>
    <w:rsid w:val="00BD0C67"/>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984"/>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37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746"/>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1D8F"/>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10E7"/>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1EC6"/>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1E69"/>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59D"/>
    <w:rsid w:val="00E71E8B"/>
    <w:rsid w:val="00E72DB0"/>
    <w:rsid w:val="00E73765"/>
    <w:rsid w:val="00E73E81"/>
    <w:rsid w:val="00E74511"/>
    <w:rsid w:val="00E75438"/>
    <w:rsid w:val="00E75DBD"/>
    <w:rsid w:val="00E777B0"/>
    <w:rsid w:val="00E77E40"/>
    <w:rsid w:val="00E815E1"/>
    <w:rsid w:val="00E833F8"/>
    <w:rsid w:val="00E83D5C"/>
    <w:rsid w:val="00E85622"/>
    <w:rsid w:val="00E87291"/>
    <w:rsid w:val="00E87F99"/>
    <w:rsid w:val="00E87FCD"/>
    <w:rsid w:val="00E91C6A"/>
    <w:rsid w:val="00E94E34"/>
    <w:rsid w:val="00E957A4"/>
    <w:rsid w:val="00E97093"/>
    <w:rsid w:val="00EA0CF2"/>
    <w:rsid w:val="00EA0D20"/>
    <w:rsid w:val="00EA1FC6"/>
    <w:rsid w:val="00EA3AE4"/>
    <w:rsid w:val="00EA4A33"/>
    <w:rsid w:val="00EA58E6"/>
    <w:rsid w:val="00EA5D83"/>
    <w:rsid w:val="00EA6184"/>
    <w:rsid w:val="00EA6BDC"/>
    <w:rsid w:val="00EB0C83"/>
    <w:rsid w:val="00EB1912"/>
    <w:rsid w:val="00EB1C08"/>
    <w:rsid w:val="00EB2A3A"/>
    <w:rsid w:val="00EB34A6"/>
    <w:rsid w:val="00EB4C2F"/>
    <w:rsid w:val="00EC049A"/>
    <w:rsid w:val="00EC04E3"/>
    <w:rsid w:val="00EC0D68"/>
    <w:rsid w:val="00EC1141"/>
    <w:rsid w:val="00EC11F9"/>
    <w:rsid w:val="00EC122D"/>
    <w:rsid w:val="00EC136F"/>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0898"/>
    <w:rsid w:val="00F31DEE"/>
    <w:rsid w:val="00F32BF6"/>
    <w:rsid w:val="00F33388"/>
    <w:rsid w:val="00F33E4D"/>
    <w:rsid w:val="00F34178"/>
    <w:rsid w:val="00F34BCA"/>
    <w:rsid w:val="00F36723"/>
    <w:rsid w:val="00F37D13"/>
    <w:rsid w:val="00F405E9"/>
    <w:rsid w:val="00F43533"/>
    <w:rsid w:val="00F440BC"/>
    <w:rsid w:val="00F462DB"/>
    <w:rsid w:val="00F47804"/>
    <w:rsid w:val="00F47EAC"/>
    <w:rsid w:val="00F5019F"/>
    <w:rsid w:val="00F50C29"/>
    <w:rsid w:val="00F51F05"/>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7DB81"/>
    <w:rsid w:val="00F823FF"/>
    <w:rsid w:val="00F84AF9"/>
    <w:rsid w:val="00F85BB1"/>
    <w:rsid w:val="00F8697C"/>
    <w:rsid w:val="00F904F9"/>
    <w:rsid w:val="00F90ACE"/>
    <w:rsid w:val="00F9157A"/>
    <w:rsid w:val="00F916E8"/>
    <w:rsid w:val="00F91707"/>
    <w:rsid w:val="00F919C9"/>
    <w:rsid w:val="00F91EF0"/>
    <w:rsid w:val="00F92596"/>
    <w:rsid w:val="00F93A42"/>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1195"/>
    <w:rsid w:val="00FD2547"/>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657AA5"/>
    <w:rsid w:val="0298C623"/>
    <w:rsid w:val="02AC709B"/>
    <w:rsid w:val="02D22C48"/>
    <w:rsid w:val="02FFC142"/>
    <w:rsid w:val="03324726"/>
    <w:rsid w:val="0340C7B5"/>
    <w:rsid w:val="03563071"/>
    <w:rsid w:val="0358D710"/>
    <w:rsid w:val="0359EF17"/>
    <w:rsid w:val="0365DAEE"/>
    <w:rsid w:val="0372BE5B"/>
    <w:rsid w:val="0389EECB"/>
    <w:rsid w:val="038B508C"/>
    <w:rsid w:val="03E4746D"/>
    <w:rsid w:val="040CAEFB"/>
    <w:rsid w:val="043A4EAC"/>
    <w:rsid w:val="0478847D"/>
    <w:rsid w:val="05031D9C"/>
    <w:rsid w:val="056DDD49"/>
    <w:rsid w:val="0589CF88"/>
    <w:rsid w:val="06070A83"/>
    <w:rsid w:val="0613B2CE"/>
    <w:rsid w:val="0641BEEF"/>
    <w:rsid w:val="065BDB83"/>
    <w:rsid w:val="065EDDB5"/>
    <w:rsid w:val="067503E0"/>
    <w:rsid w:val="0688745E"/>
    <w:rsid w:val="06AAB682"/>
    <w:rsid w:val="06D233E7"/>
    <w:rsid w:val="07477699"/>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B7E5A45"/>
    <w:rsid w:val="0B89B5C4"/>
    <w:rsid w:val="0BCFD4D1"/>
    <w:rsid w:val="0C14FBF0"/>
    <w:rsid w:val="0C550549"/>
    <w:rsid w:val="0C9D8B4A"/>
    <w:rsid w:val="0CAA651B"/>
    <w:rsid w:val="0D05FC5C"/>
    <w:rsid w:val="0D36C0D2"/>
    <w:rsid w:val="0D9C6C8E"/>
    <w:rsid w:val="0DE80FCB"/>
    <w:rsid w:val="0DF673FF"/>
    <w:rsid w:val="0E24BC54"/>
    <w:rsid w:val="0E27C4FB"/>
    <w:rsid w:val="0E379206"/>
    <w:rsid w:val="0E421184"/>
    <w:rsid w:val="0E7B3485"/>
    <w:rsid w:val="0F24E44C"/>
    <w:rsid w:val="0F26F43C"/>
    <w:rsid w:val="0F415865"/>
    <w:rsid w:val="0F43C128"/>
    <w:rsid w:val="0FE6717B"/>
    <w:rsid w:val="104196CA"/>
    <w:rsid w:val="104361D7"/>
    <w:rsid w:val="105625C4"/>
    <w:rsid w:val="106176CF"/>
    <w:rsid w:val="108BECC7"/>
    <w:rsid w:val="10BBB88C"/>
    <w:rsid w:val="10CC20C5"/>
    <w:rsid w:val="112D3373"/>
    <w:rsid w:val="11410993"/>
    <w:rsid w:val="11535488"/>
    <w:rsid w:val="11AB4B38"/>
    <w:rsid w:val="12029740"/>
    <w:rsid w:val="1220A1D4"/>
    <w:rsid w:val="129B6C98"/>
    <w:rsid w:val="12B76F5C"/>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AEC90A"/>
    <w:rsid w:val="17D03F3F"/>
    <w:rsid w:val="17E67368"/>
    <w:rsid w:val="17F3CDB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04A17"/>
    <w:rsid w:val="1C8F0082"/>
    <w:rsid w:val="1D24AEC1"/>
    <w:rsid w:val="1D88378A"/>
    <w:rsid w:val="1D92A723"/>
    <w:rsid w:val="1DC75DB1"/>
    <w:rsid w:val="1DE31029"/>
    <w:rsid w:val="1E257290"/>
    <w:rsid w:val="1E453E56"/>
    <w:rsid w:val="1E8143C8"/>
    <w:rsid w:val="1EAB86FA"/>
    <w:rsid w:val="1ED51596"/>
    <w:rsid w:val="1F1C394A"/>
    <w:rsid w:val="1F5487D7"/>
    <w:rsid w:val="1F7C4270"/>
    <w:rsid w:val="1FA29A87"/>
    <w:rsid w:val="1FA62F62"/>
    <w:rsid w:val="1FEDD7BC"/>
    <w:rsid w:val="203D5B12"/>
    <w:rsid w:val="206D1735"/>
    <w:rsid w:val="20968CC8"/>
    <w:rsid w:val="20DF4F37"/>
    <w:rsid w:val="20FB9EC2"/>
    <w:rsid w:val="211AF725"/>
    <w:rsid w:val="213A3980"/>
    <w:rsid w:val="218D4418"/>
    <w:rsid w:val="21AE98AB"/>
    <w:rsid w:val="221F5CE0"/>
    <w:rsid w:val="222512CE"/>
    <w:rsid w:val="22325D29"/>
    <w:rsid w:val="22773A0F"/>
    <w:rsid w:val="22826A13"/>
    <w:rsid w:val="23B29CB5"/>
    <w:rsid w:val="23BF7BEF"/>
    <w:rsid w:val="240E6710"/>
    <w:rsid w:val="24352BB8"/>
    <w:rsid w:val="245D65F1"/>
    <w:rsid w:val="2465FC40"/>
    <w:rsid w:val="24CA7F1E"/>
    <w:rsid w:val="25373DF2"/>
    <w:rsid w:val="25421F69"/>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D0B1C9"/>
    <w:rsid w:val="2BE32438"/>
    <w:rsid w:val="2C0DB51F"/>
    <w:rsid w:val="2C4E5B0E"/>
    <w:rsid w:val="2CB91B5D"/>
    <w:rsid w:val="2CF2D928"/>
    <w:rsid w:val="2D40FCE6"/>
    <w:rsid w:val="2D79C00D"/>
    <w:rsid w:val="2D9223AC"/>
    <w:rsid w:val="2E4B5F0D"/>
    <w:rsid w:val="2E5E4AEF"/>
    <w:rsid w:val="2ED600DC"/>
    <w:rsid w:val="2EE5F300"/>
    <w:rsid w:val="2F01D88F"/>
    <w:rsid w:val="2F21E837"/>
    <w:rsid w:val="2F3FE089"/>
    <w:rsid w:val="2F8584EE"/>
    <w:rsid w:val="2F89C750"/>
    <w:rsid w:val="2F97CE1F"/>
    <w:rsid w:val="2FD90668"/>
    <w:rsid w:val="3022F585"/>
    <w:rsid w:val="30313B04"/>
    <w:rsid w:val="309F3366"/>
    <w:rsid w:val="31099FF3"/>
    <w:rsid w:val="3121CC31"/>
    <w:rsid w:val="31312133"/>
    <w:rsid w:val="320B6F4B"/>
    <w:rsid w:val="3254C678"/>
    <w:rsid w:val="326B2CC6"/>
    <w:rsid w:val="329F570B"/>
    <w:rsid w:val="32E3142D"/>
    <w:rsid w:val="331FED17"/>
    <w:rsid w:val="3343CE0C"/>
    <w:rsid w:val="33446247"/>
    <w:rsid w:val="337291F6"/>
    <w:rsid w:val="3390D11A"/>
    <w:rsid w:val="3432FB36"/>
    <w:rsid w:val="34573AA0"/>
    <w:rsid w:val="350E51C5"/>
    <w:rsid w:val="35871221"/>
    <w:rsid w:val="35FD5EF2"/>
    <w:rsid w:val="366A66C8"/>
    <w:rsid w:val="36AD647E"/>
    <w:rsid w:val="370F5F1B"/>
    <w:rsid w:val="374D12E5"/>
    <w:rsid w:val="37708A51"/>
    <w:rsid w:val="377611E2"/>
    <w:rsid w:val="37BE751F"/>
    <w:rsid w:val="37DBF8F1"/>
    <w:rsid w:val="37F1FC62"/>
    <w:rsid w:val="3810C2BE"/>
    <w:rsid w:val="384D55EA"/>
    <w:rsid w:val="38547927"/>
    <w:rsid w:val="38AB8210"/>
    <w:rsid w:val="38BE1427"/>
    <w:rsid w:val="38CF9107"/>
    <w:rsid w:val="3902DC2E"/>
    <w:rsid w:val="3963E91D"/>
    <w:rsid w:val="3A1B83DF"/>
    <w:rsid w:val="3A5210FE"/>
    <w:rsid w:val="3A57C0BD"/>
    <w:rsid w:val="3A815CE5"/>
    <w:rsid w:val="3AAD53C7"/>
    <w:rsid w:val="3AB552BC"/>
    <w:rsid w:val="3AFFB97E"/>
    <w:rsid w:val="3B0BE252"/>
    <w:rsid w:val="3B0E920A"/>
    <w:rsid w:val="3B59A281"/>
    <w:rsid w:val="3BAB6869"/>
    <w:rsid w:val="3BEB04C5"/>
    <w:rsid w:val="3C9B89DF"/>
    <w:rsid w:val="3CB852BE"/>
    <w:rsid w:val="3D15E52A"/>
    <w:rsid w:val="3DDAA3C4"/>
    <w:rsid w:val="3E102B8C"/>
    <w:rsid w:val="3E256BBE"/>
    <w:rsid w:val="3E2DE675"/>
    <w:rsid w:val="3E65CE30"/>
    <w:rsid w:val="3E9CD3A0"/>
    <w:rsid w:val="3EB7B85F"/>
    <w:rsid w:val="3EE1543C"/>
    <w:rsid w:val="3EE3A51C"/>
    <w:rsid w:val="3EE6D5A6"/>
    <w:rsid w:val="3F2B31E0"/>
    <w:rsid w:val="3F62E1B1"/>
    <w:rsid w:val="3FA31006"/>
    <w:rsid w:val="400D0F2D"/>
    <w:rsid w:val="402AD2D5"/>
    <w:rsid w:val="40797F11"/>
    <w:rsid w:val="407CE14E"/>
    <w:rsid w:val="417ABBDB"/>
    <w:rsid w:val="419D6EF2"/>
    <w:rsid w:val="41B1DDC0"/>
    <w:rsid w:val="41BFBFA4"/>
    <w:rsid w:val="4261741E"/>
    <w:rsid w:val="4289B650"/>
    <w:rsid w:val="437E5AB7"/>
    <w:rsid w:val="439D51F1"/>
    <w:rsid w:val="43EE9002"/>
    <w:rsid w:val="4404FF8D"/>
    <w:rsid w:val="4421770F"/>
    <w:rsid w:val="44677BCA"/>
    <w:rsid w:val="448F848A"/>
    <w:rsid w:val="4493AFE3"/>
    <w:rsid w:val="44D2B511"/>
    <w:rsid w:val="451ABEE3"/>
    <w:rsid w:val="4520F70F"/>
    <w:rsid w:val="45583A0C"/>
    <w:rsid w:val="4590F584"/>
    <w:rsid w:val="459FC8F5"/>
    <w:rsid w:val="45D22335"/>
    <w:rsid w:val="45D5AEC4"/>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9C81F96"/>
    <w:rsid w:val="4A018F5E"/>
    <w:rsid w:val="4A2B536C"/>
    <w:rsid w:val="4A85D959"/>
    <w:rsid w:val="4A9C43CA"/>
    <w:rsid w:val="4AD72224"/>
    <w:rsid w:val="4B57A279"/>
    <w:rsid w:val="4B8C1788"/>
    <w:rsid w:val="4BC30670"/>
    <w:rsid w:val="4BDBF0A0"/>
    <w:rsid w:val="4BE53EA6"/>
    <w:rsid w:val="4C04BBF2"/>
    <w:rsid w:val="4C270B2A"/>
    <w:rsid w:val="4C5807F8"/>
    <w:rsid w:val="4C584442"/>
    <w:rsid w:val="4C929F63"/>
    <w:rsid w:val="4CA5DD10"/>
    <w:rsid w:val="4CD146E4"/>
    <w:rsid w:val="4D24F240"/>
    <w:rsid w:val="4D857A98"/>
    <w:rsid w:val="4DA32AA6"/>
    <w:rsid w:val="4E17C4DD"/>
    <w:rsid w:val="4E1EA890"/>
    <w:rsid w:val="4E28B7CE"/>
    <w:rsid w:val="4E684EAB"/>
    <w:rsid w:val="4E7F41AC"/>
    <w:rsid w:val="4EA0E14A"/>
    <w:rsid w:val="4EAE4F8E"/>
    <w:rsid w:val="4EB83457"/>
    <w:rsid w:val="4EC8A5E0"/>
    <w:rsid w:val="4ECED983"/>
    <w:rsid w:val="4F344174"/>
    <w:rsid w:val="4F580799"/>
    <w:rsid w:val="4F90C958"/>
    <w:rsid w:val="4FDD3E62"/>
    <w:rsid w:val="4FDF4D6F"/>
    <w:rsid w:val="4FE7D2BE"/>
    <w:rsid w:val="4FEC12C4"/>
    <w:rsid w:val="5035202F"/>
    <w:rsid w:val="5050A6CE"/>
    <w:rsid w:val="50D011D5"/>
    <w:rsid w:val="50DAAFDA"/>
    <w:rsid w:val="514CAFD0"/>
    <w:rsid w:val="51A0E2AC"/>
    <w:rsid w:val="51CD8467"/>
    <w:rsid w:val="521911B3"/>
    <w:rsid w:val="5286A8AB"/>
    <w:rsid w:val="528A0761"/>
    <w:rsid w:val="52A0F47C"/>
    <w:rsid w:val="52C9A661"/>
    <w:rsid w:val="52DA71F9"/>
    <w:rsid w:val="534A0648"/>
    <w:rsid w:val="53B8BDE3"/>
    <w:rsid w:val="53BC4006"/>
    <w:rsid w:val="54032E60"/>
    <w:rsid w:val="542209E4"/>
    <w:rsid w:val="54C8E03D"/>
    <w:rsid w:val="54EBB54E"/>
    <w:rsid w:val="54EF6163"/>
    <w:rsid w:val="54F09390"/>
    <w:rsid w:val="5504ED35"/>
    <w:rsid w:val="55C46F90"/>
    <w:rsid w:val="5627BDC1"/>
    <w:rsid w:val="562AFBC0"/>
    <w:rsid w:val="57AB9424"/>
    <w:rsid w:val="57AC274C"/>
    <w:rsid w:val="57EDE347"/>
    <w:rsid w:val="5806B8EF"/>
    <w:rsid w:val="5835B083"/>
    <w:rsid w:val="5878F9C8"/>
    <w:rsid w:val="58B028F7"/>
    <w:rsid w:val="58B54621"/>
    <w:rsid w:val="58E8061A"/>
    <w:rsid w:val="5907D66A"/>
    <w:rsid w:val="59397F5D"/>
    <w:rsid w:val="59C5FCF1"/>
    <w:rsid w:val="59E7D59C"/>
    <w:rsid w:val="5A0E3882"/>
    <w:rsid w:val="5A199BC4"/>
    <w:rsid w:val="5A2AA4C5"/>
    <w:rsid w:val="5A5B07D4"/>
    <w:rsid w:val="5A83D67B"/>
    <w:rsid w:val="5A9398E5"/>
    <w:rsid w:val="5B00145C"/>
    <w:rsid w:val="5B2DA956"/>
    <w:rsid w:val="5B3D24DA"/>
    <w:rsid w:val="5B56F2EA"/>
    <w:rsid w:val="5B62618D"/>
    <w:rsid w:val="5BB14082"/>
    <w:rsid w:val="5BB86A3C"/>
    <w:rsid w:val="5BBB9343"/>
    <w:rsid w:val="5C20C024"/>
    <w:rsid w:val="5C37D93F"/>
    <w:rsid w:val="5C7C89F5"/>
    <w:rsid w:val="5CD42710"/>
    <w:rsid w:val="5D05D99B"/>
    <w:rsid w:val="5D661202"/>
    <w:rsid w:val="5DAE2CE2"/>
    <w:rsid w:val="5DD1D3A6"/>
    <w:rsid w:val="5E0A2024"/>
    <w:rsid w:val="5EB44CFC"/>
    <w:rsid w:val="5F0A01BF"/>
    <w:rsid w:val="5F264E0D"/>
    <w:rsid w:val="5FA42750"/>
    <w:rsid w:val="600A041E"/>
    <w:rsid w:val="602069F4"/>
    <w:rsid w:val="605B484E"/>
    <w:rsid w:val="6076D958"/>
    <w:rsid w:val="60BF5BE7"/>
    <w:rsid w:val="61144901"/>
    <w:rsid w:val="6144C413"/>
    <w:rsid w:val="618E1A5E"/>
    <w:rsid w:val="618FD68D"/>
    <w:rsid w:val="619F41A8"/>
    <w:rsid w:val="61B46294"/>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3F295DA"/>
    <w:rsid w:val="641175AF"/>
    <w:rsid w:val="6438E886"/>
    <w:rsid w:val="643A07D3"/>
    <w:rsid w:val="64625D75"/>
    <w:rsid w:val="648F9301"/>
    <w:rsid w:val="6497165D"/>
    <w:rsid w:val="64A95F1A"/>
    <w:rsid w:val="64D3BA6C"/>
    <w:rsid w:val="6502FD70"/>
    <w:rsid w:val="652A4E96"/>
    <w:rsid w:val="65BBA81A"/>
    <w:rsid w:val="66B2A1E8"/>
    <w:rsid w:val="66FC4F7A"/>
    <w:rsid w:val="6712AB3E"/>
    <w:rsid w:val="67A12CA8"/>
    <w:rsid w:val="67B0064B"/>
    <w:rsid w:val="67EAAB8B"/>
    <w:rsid w:val="6840832B"/>
    <w:rsid w:val="68E15B10"/>
    <w:rsid w:val="6919E450"/>
    <w:rsid w:val="693BCAC5"/>
    <w:rsid w:val="69734583"/>
    <w:rsid w:val="69C0983C"/>
    <w:rsid w:val="69C65CF5"/>
    <w:rsid w:val="69C774B2"/>
    <w:rsid w:val="6A27ADA6"/>
    <w:rsid w:val="6A3C75AE"/>
    <w:rsid w:val="6A72FDEA"/>
    <w:rsid w:val="6A797A9F"/>
    <w:rsid w:val="6A84908E"/>
    <w:rsid w:val="6AA64786"/>
    <w:rsid w:val="6AA89EEA"/>
    <w:rsid w:val="6AA91BA3"/>
    <w:rsid w:val="6AD20ED4"/>
    <w:rsid w:val="6BAE07D7"/>
    <w:rsid w:val="6BD47994"/>
    <w:rsid w:val="6C06BB6F"/>
    <w:rsid w:val="6C1A47A6"/>
    <w:rsid w:val="6C62BF2D"/>
    <w:rsid w:val="6C662F01"/>
    <w:rsid w:val="6CA54040"/>
    <w:rsid w:val="6CAD4DC2"/>
    <w:rsid w:val="6CD068BD"/>
    <w:rsid w:val="6D31ABFA"/>
    <w:rsid w:val="6D72E780"/>
    <w:rsid w:val="6DAEF4CA"/>
    <w:rsid w:val="6DE0BC65"/>
    <w:rsid w:val="6DEAE177"/>
    <w:rsid w:val="6E6D5E88"/>
    <w:rsid w:val="6EBC1B3C"/>
    <w:rsid w:val="6EC315A9"/>
    <w:rsid w:val="6ECF072B"/>
    <w:rsid w:val="6EFA4A49"/>
    <w:rsid w:val="6F4FE255"/>
    <w:rsid w:val="6F6C6E4E"/>
    <w:rsid w:val="6F7C8CC6"/>
    <w:rsid w:val="6F800330"/>
    <w:rsid w:val="70B9CADB"/>
    <w:rsid w:val="70C1EA7D"/>
    <w:rsid w:val="71016B6C"/>
    <w:rsid w:val="71083EAF"/>
    <w:rsid w:val="71217F98"/>
    <w:rsid w:val="71B73D84"/>
    <w:rsid w:val="71C942A4"/>
    <w:rsid w:val="720B3049"/>
    <w:rsid w:val="72100CD5"/>
    <w:rsid w:val="721A1AE9"/>
    <w:rsid w:val="723B9BBC"/>
    <w:rsid w:val="729599FD"/>
    <w:rsid w:val="72A7D184"/>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04D7CF"/>
    <w:rsid w:val="771357ED"/>
    <w:rsid w:val="7758C1E7"/>
    <w:rsid w:val="778EDDEE"/>
    <w:rsid w:val="77CE5746"/>
    <w:rsid w:val="77F83150"/>
    <w:rsid w:val="781AECF9"/>
    <w:rsid w:val="781C2606"/>
    <w:rsid w:val="78674B66"/>
    <w:rsid w:val="78AA9F27"/>
    <w:rsid w:val="78BEB141"/>
    <w:rsid w:val="78BF49DD"/>
    <w:rsid w:val="790B3138"/>
    <w:rsid w:val="79180253"/>
    <w:rsid w:val="7950EB03"/>
    <w:rsid w:val="799DA319"/>
    <w:rsid w:val="79A48D3C"/>
    <w:rsid w:val="79B20E76"/>
    <w:rsid w:val="79C64322"/>
    <w:rsid w:val="79D52003"/>
    <w:rsid w:val="79D5BFE7"/>
    <w:rsid w:val="7A980678"/>
    <w:rsid w:val="7B85C3CB"/>
    <w:rsid w:val="7BAF746A"/>
    <w:rsid w:val="7BD2E15A"/>
    <w:rsid w:val="7C02D676"/>
    <w:rsid w:val="7C55E10E"/>
    <w:rsid w:val="7C6523A7"/>
    <w:rsid w:val="7D0C0225"/>
    <w:rsid w:val="7D4D62A7"/>
    <w:rsid w:val="7D4DE6BD"/>
    <w:rsid w:val="7D6A20BF"/>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CF91CD5A-470A-48B8-A273-3A1396C9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051E85"/>
    <w:pPr>
      <w:keepNext/>
      <w:keepLines/>
      <w:spacing w:before="320" w:after="0" w:line="240" w:lineRule="auto"/>
      <w:outlineLvl w:val="0"/>
    </w:pPr>
    <w:rPr>
      <w:rFonts w:ascii="Calibri" w:hAnsi="Calibri" w:eastAsiaTheme="majorEastAsia" w:cstheme="majorBidi"/>
      <w:b/>
      <w:sz w:val="24"/>
      <w:szCs w:val="30"/>
    </w:rPr>
  </w:style>
  <w:style w:type="paragraph" w:styleId="Heading2">
    <w:name w:val="heading 2"/>
    <w:basedOn w:val="Normal"/>
    <w:next w:val="Normal"/>
    <w:link w:val="Heading2Char"/>
    <w:uiPriority w:val="9"/>
    <w:unhideWhenUsed/>
    <w:qFormat/>
    <w:rsid w:val="00051E85"/>
    <w:pPr>
      <w:keepNext/>
      <w:keepLines/>
      <w:spacing w:before="40" w:after="120" w:line="240" w:lineRule="auto"/>
      <w:outlineLvl w:val="1"/>
    </w:pPr>
    <w:rPr>
      <w:rFonts w:eastAsiaTheme="majorEastAsia" w:cstheme="minorHAnsi"/>
      <w:b/>
      <w:bCs/>
      <w:i/>
      <w:iCs/>
      <w:sz w:val="24"/>
      <w:szCs w:val="24"/>
    </w:rPr>
  </w:style>
  <w:style w:type="paragraph" w:styleId="Heading3">
    <w:name w:val="heading 3"/>
    <w:basedOn w:val="Heading2"/>
    <w:next w:val="Normal"/>
    <w:link w:val="Heading3Char"/>
    <w:uiPriority w:val="9"/>
    <w:unhideWhenUsed/>
    <w:qFormat/>
    <w:rsid w:val="00051E85"/>
    <w:pPr>
      <w:ind w:left="720"/>
      <w:outlineLvl w:val="2"/>
    </w:p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051E85"/>
    <w:rPr>
      <w:rFonts w:ascii="Calibri" w:hAnsi="Calibri" w:eastAsiaTheme="majorEastAsia" w:cstheme="majorBidi"/>
      <w:b/>
      <w:sz w:val="24"/>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051E85"/>
    <w:rPr>
      <w:rFonts w:eastAsiaTheme="majorEastAsia" w:cstheme="minorHAnsi"/>
      <w:b/>
      <w:bCs/>
      <w:i/>
      <w:iCs/>
      <w:sz w:val="24"/>
      <w:szCs w:val="24"/>
    </w:rPr>
  </w:style>
  <w:style w:type="character" w:customStyle="1" w:styleId="Heading3Char">
    <w:name w:val="Heading 3 Char"/>
    <w:basedOn w:val="DefaultParagraphFont"/>
    <w:link w:val="Heading3"/>
    <w:uiPriority w:val="9"/>
    <w:rsid w:val="00051E85"/>
    <w:rPr>
      <w:rFonts w:eastAsiaTheme="majorEastAsia" w:cstheme="minorHAnsi"/>
      <w:b/>
      <w:bCs/>
      <w:i/>
      <w:iCs/>
      <w:sz w:val="24"/>
      <w:szCs w:val="24"/>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Default">
    <w:name w:val="Default"/>
    <w:rsid w:val="00EA1FC6"/>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0C4227"/>
    <w:rPr>
      <w:color w:val="2B579A"/>
      <w:shd w:val="clear" w:color="auto" w:fill="E1DFDD"/>
    </w:rPr>
  </w:style>
  <w:style w:type="paragraph" w:customStyle="1" w:styleId="LTableTextAbt">
    <w:name w:val="(L)Table Text Abt"/>
    <w:basedOn w:val="Normal"/>
    <w:link w:val="LTableTextAbtChar"/>
    <w:uiPriority w:val="12"/>
    <w:qFormat/>
    <w:rsid w:val="3254C678"/>
    <w:pPr>
      <w:keepNext/>
      <w:keepLines/>
      <w:spacing w:before="20" w:after="20"/>
    </w:pPr>
    <w:rPr>
      <w:rFonts w:ascii="Times New Roman" w:hAnsi="Times New Roman" w:cs="Times New Roman"/>
      <w:color w:val="000000" w:themeColor="text1"/>
      <w:sz w:val="18"/>
      <w:szCs w:val="18"/>
    </w:rPr>
  </w:style>
  <w:style w:type="paragraph" w:customStyle="1" w:styleId="RTableTextAbt">
    <w:name w:val="(R) Table Text Abt"/>
    <w:basedOn w:val="Normal"/>
    <w:link w:val="RTableTextAbtChar"/>
    <w:uiPriority w:val="14"/>
    <w:qFormat/>
    <w:rsid w:val="3254C678"/>
    <w:pPr>
      <w:jc w:val="right"/>
    </w:pPr>
    <w:rPr>
      <w:rFonts w:ascii="Times New Roman" w:hAnsi="Times New Roman" w:cs="Times New Roman"/>
      <w:color w:val="000000" w:themeColor="text1"/>
      <w:sz w:val="18"/>
      <w:szCs w:val="18"/>
    </w:rPr>
  </w:style>
  <w:style w:type="paragraph" w:customStyle="1" w:styleId="BulletListAbt">
    <w:name w:val="Bullet List Abt"/>
    <w:basedOn w:val="Normal"/>
    <w:link w:val="BulletListAbtChar"/>
    <w:uiPriority w:val="32"/>
    <w:qFormat/>
    <w:rsid w:val="3254C678"/>
    <w:pPr>
      <w:keepNext/>
      <w:numPr>
        <w:numId w:val="17"/>
      </w:numPr>
      <w:tabs>
        <w:tab w:val="num" w:pos="1800"/>
      </w:tabs>
      <w:spacing w:after="120"/>
      <w:ind w:left="1138"/>
    </w:pPr>
    <w:rPr>
      <w:rFonts w:ascii="Times New Roman" w:eastAsia="Times New Roman" w:hAnsi="Times New Roman" w:cs="Times New Roman"/>
    </w:rPr>
  </w:style>
  <w:style w:type="paragraph" w:customStyle="1" w:styleId="TableNote">
    <w:name w:val="Table Note"/>
    <w:basedOn w:val="Normal"/>
    <w:link w:val="TableNoteChar"/>
    <w:uiPriority w:val="1"/>
    <w:qFormat/>
    <w:rsid w:val="3254C678"/>
    <w:pPr>
      <w:keepNext/>
      <w:spacing w:after="0"/>
    </w:pPr>
    <w:rPr>
      <w:rFonts w:ascii="Times New Roman" w:hAnsi="Times New Roman" w:cs="Times New Roman"/>
      <w:color w:val="000000" w:themeColor="text1"/>
      <w:sz w:val="18"/>
      <w:szCs w:val="18"/>
    </w:rPr>
  </w:style>
  <w:style w:type="paragraph" w:customStyle="1" w:styleId="TableSubtitle">
    <w:name w:val="TableSubtitle"/>
    <w:basedOn w:val="Normal"/>
    <w:link w:val="TableSubtitleChar"/>
    <w:uiPriority w:val="1"/>
    <w:qFormat/>
    <w:rsid w:val="3254C678"/>
    <w:pPr>
      <w:keepNext/>
      <w:keepLines/>
      <w:spacing w:after="0"/>
      <w:jc w:val="center"/>
    </w:pPr>
    <w:rPr>
      <w:rFonts w:ascii="Arial" w:eastAsia="Times New Roman" w:hAnsi="Arial" w:cs="Arial"/>
      <w:b/>
      <w:bCs/>
      <w:color w:val="FFFFFF" w:themeColor="background1"/>
      <w:sz w:val="18"/>
      <w:szCs w:val="18"/>
    </w:rPr>
  </w:style>
  <w:style w:type="paragraph" w:customStyle="1" w:styleId="TableTitleA">
    <w:name w:val="TableTitleA"/>
    <w:basedOn w:val="Normal"/>
    <w:link w:val="TableTitleAChar"/>
    <w:uiPriority w:val="1"/>
    <w:qFormat/>
    <w:rsid w:val="3254C678"/>
    <w:pPr>
      <w:keepNext/>
      <w:spacing w:after="20"/>
    </w:pPr>
    <w:rPr>
      <w:rFonts w:ascii="Arial Bold" w:eastAsia="Times New Roman" w:hAnsi="Arial Bold" w:cs="Times New Roman"/>
    </w:rPr>
  </w:style>
  <w:style w:type="character" w:customStyle="1" w:styleId="TableTitleAChar">
    <w:name w:val="TableTitleA Char"/>
    <w:basedOn w:val="DefaultParagraphFont"/>
    <w:link w:val="TableTitleA"/>
    <w:uiPriority w:val="1"/>
    <w:rsid w:val="3254C678"/>
    <w:rPr>
      <w:rFonts w:ascii="Arial Bold" w:eastAsia="Times New Roman" w:hAnsi="Arial Bold" w:cs="Times New Roman"/>
      <w:sz w:val="22"/>
      <w:szCs w:val="22"/>
    </w:rPr>
  </w:style>
  <w:style w:type="character" w:customStyle="1" w:styleId="TableSubtitleChar">
    <w:name w:val="TableSubtitle Char"/>
    <w:basedOn w:val="DefaultParagraphFont"/>
    <w:link w:val="TableSubtitle"/>
    <w:uiPriority w:val="1"/>
    <w:rsid w:val="3254C678"/>
    <w:rPr>
      <w:rFonts w:ascii="Arial" w:eastAsia="Times New Roman" w:hAnsi="Arial" w:cs="Arial"/>
      <w:b/>
      <w:bCs/>
      <w:color w:val="FFFFFF" w:themeColor="background1"/>
      <w:sz w:val="18"/>
      <w:szCs w:val="18"/>
    </w:rPr>
  </w:style>
  <w:style w:type="character" w:customStyle="1" w:styleId="LTableTextAbtChar">
    <w:name w:val="(L)Table Text Abt Char"/>
    <w:basedOn w:val="DefaultParagraphFont"/>
    <w:link w:val="LTableTextAbt"/>
    <w:uiPriority w:val="12"/>
    <w:rsid w:val="3254C678"/>
    <w:rPr>
      <w:rFonts w:ascii="Times New Roman" w:hAnsi="Times New Roman" w:eastAsiaTheme="minorEastAsia" w:cs="Times New Roman"/>
      <w:color w:val="000000" w:themeColor="text1"/>
      <w:sz w:val="18"/>
      <w:szCs w:val="18"/>
    </w:rPr>
  </w:style>
  <w:style w:type="character" w:customStyle="1" w:styleId="RTableTextAbtChar">
    <w:name w:val="(R) Table Text Abt Char"/>
    <w:basedOn w:val="DefaultParagraphFont"/>
    <w:link w:val="RTableTextAbt"/>
    <w:uiPriority w:val="14"/>
    <w:rsid w:val="3254C678"/>
    <w:rPr>
      <w:rFonts w:ascii="Times New Roman" w:hAnsi="Times New Roman" w:eastAsiaTheme="minorEastAsia" w:cs="Times New Roman"/>
      <w:color w:val="000000" w:themeColor="text1"/>
      <w:sz w:val="18"/>
      <w:szCs w:val="18"/>
    </w:rPr>
  </w:style>
  <w:style w:type="character" w:customStyle="1" w:styleId="BulletListAbtChar">
    <w:name w:val="Bullet List Abt Char"/>
    <w:basedOn w:val="DefaultParagraphFont"/>
    <w:link w:val="BulletListAbt"/>
    <w:uiPriority w:val="32"/>
    <w:rsid w:val="3254C678"/>
    <w:rPr>
      <w:rFonts w:ascii="Times New Roman" w:eastAsia="Times New Roman" w:hAnsi="Times New Roman" w:cs="Times New Roman"/>
      <w:sz w:val="22"/>
      <w:szCs w:val="22"/>
    </w:rPr>
  </w:style>
  <w:style w:type="character" w:customStyle="1" w:styleId="TableNoteChar">
    <w:name w:val="Table Note Char"/>
    <w:basedOn w:val="DefaultParagraphFont"/>
    <w:link w:val="TableNote"/>
    <w:uiPriority w:val="1"/>
    <w:rsid w:val="3254C678"/>
    <w:rPr>
      <w:rFonts w:ascii="Arial Narrow" w:hAnsi="Arial Narrow" w:eastAsiaTheme="minorEastAsia" w:cs="Times New Roman"/>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code.house.gov/view.xhtml?path=/prelim@title15/chapter53&amp;edition=prelim"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bc-word-edit.officeapps.live.com/we/wordeditorframe.aspx?ui=en-US&amp;rs=en-US&amp;actnavid=eyJjIjozMTUxNjI2NzF9&amp;wopisrc=https%3A%2F%2Fusepa.sharepoint.com%2Fsites%2FECRMDRMB3workingfiles%2F_vti_bin%2Fwopi.ashx%2Ffiles%2Fd2d96296d5ec4229ba1e6526216b50e6&amp;wdenableroaming=1&amp;mscc=1&amp;hid=EBF260A1-202A-6000-F8B1-51794B126CA7.0&amp;uih=sharepointcom&amp;wdlcid=en-US&amp;jsapi=1&amp;jsapiver=v2&amp;corrid=45c8a0e9-28be-a79d-346f-b1f72e4098ab&amp;usid=45c8a0e9-28be-a79d-346f-b1f72e4098ab&amp;newsession=1&amp;sftc=1&amp;uihit=docaspx&amp;muv=1&amp;cac=1&amp;sams=1&amp;mtf=1&amp;sfp=1&amp;sdp=1&amp;hch=1&amp;hwfh=1&amp;dchat=1&amp;sc=%7B%22pmo%22%3A%22https%3A%2F%2Fusepa.sharepoint.com%22%2C%22pmshare%22%3Atrue%7D&amp;ctp=LeastProtected&amp;rct=Normal&amp;wdorigin=Outlook-Body.Sharing.DirectLink&amp;wdhostclicktime=1730821609682&amp;instantedit=1&amp;wopicomplete=1&amp;wdredirectionreason=Unified_SingleFlus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5070</FRN_x0020_List_x0020_Item_x0020_ID>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3098-BF7F-4D78-8529-0AFBF5D8899C}">
  <ds:schemaRefs>
    <ds:schemaRef ds:uri="4ffa91fb-a0ff-4ac5-b2db-65c790d184a4"/>
    <ds:schemaRef ds:uri="http://www.w3.org/XML/1998/namespace"/>
    <ds:schemaRef ds:uri="http://schemas.microsoft.com/office/2006/metadata/properties"/>
    <ds:schemaRef ds:uri="http://schemas.microsoft.com/office/2006/documentManagement/types"/>
    <ds:schemaRef ds:uri="http://schemas.microsoft.com/sharepoint.v3"/>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a5d1ca4e-0a3f-4119-b619-e20b93ebd1aa"/>
    <ds:schemaRef ds:uri="118f882f-1e32-4cf2-ad69-9de43d57f4c6"/>
    <ds:schemaRef ds:uri="http://schemas.microsoft.com/sharepoint/v3"/>
  </ds:schemaRefs>
</ds:datastoreItem>
</file>

<file path=customXml/itemProps2.xml><?xml version="1.0" encoding="utf-8"?>
<ds:datastoreItem xmlns:ds="http://schemas.openxmlformats.org/officeDocument/2006/customXml" ds:itemID="{F585A939-A8DA-40AE-BD20-CD369C454ED9}">
  <ds:schemaRefs>
    <ds:schemaRef ds:uri="Microsoft.SharePoint.Taxonomy.ContentTypeSync"/>
  </ds:schemaRefs>
</ds:datastoreItem>
</file>

<file path=customXml/itemProps3.xml><?xml version="1.0" encoding="utf-8"?>
<ds:datastoreItem xmlns:ds="http://schemas.openxmlformats.org/officeDocument/2006/customXml" ds:itemID="{D9AE6BC7-0DDA-4C4D-A8C7-8A03767E9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4410</Words>
  <Characters>26473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2</cp:revision>
  <dcterms:created xsi:type="dcterms:W3CDTF">2025-01-14T20:55:00Z</dcterms:created>
  <dcterms:modified xsi:type="dcterms:W3CDTF">2025-01-14T20:55:00Z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MediaServiceImageTags">
    <vt:lpwstr/>
  </property>
  <property fmtid="{D5CDD505-2E9C-101B-9397-08002B2CF9AE}" pid="10" name="TaxKeyword">
    <vt:lpwstr/>
  </property>
  <property fmtid="{D5CDD505-2E9C-101B-9397-08002B2CF9AE}" pid="11" name="_ExtendedDescription">
    <vt:lpwstr/>
  </property>
</Properties>
</file>