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00E739B7"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00E739B7" w14:paraId="1A3CA841" w14:textId="4B14E2EE">
      <w:pPr>
        <w:jc w:val="center"/>
        <w:rPr>
          <w:sz w:val="32"/>
          <w:szCs w:val="32"/>
        </w:rPr>
      </w:pPr>
      <w:r w:rsidRPr="11AB4B38">
        <w:rPr>
          <w:sz w:val="32"/>
          <w:szCs w:val="32"/>
        </w:rPr>
        <w:t>Information Collection Request</w:t>
      </w:r>
    </w:p>
    <w:p w:rsidR="00EA0D20" w:rsidP="00961C50" w14:paraId="77D1C27C" w14:textId="77777777">
      <w:pPr>
        <w:rPr>
          <w:rFonts w:cstheme="minorHAnsi"/>
          <w:b/>
          <w:bCs/>
        </w:rPr>
      </w:pPr>
    </w:p>
    <w:p w:rsidR="00BB432F" w:rsidRPr="00BB3410" w:rsidP="00961C50" w14:paraId="7B82FD92" w14:textId="71A41B8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00E2335B">
        <w:t>Environmental</w:t>
      </w:r>
      <w:r w:rsidR="00E2335B">
        <w:rPr>
          <w:spacing w:val="-4"/>
        </w:rPr>
        <w:t xml:space="preserve"> </w:t>
      </w:r>
      <w:r w:rsidR="00E2335B">
        <w:t>Justice</w:t>
      </w:r>
      <w:r w:rsidR="00E2335B">
        <w:rPr>
          <w:spacing w:val="-4"/>
        </w:rPr>
        <w:t xml:space="preserve"> </w:t>
      </w:r>
      <w:r w:rsidR="00E2335B">
        <w:t>CPS</w:t>
      </w:r>
      <w:r w:rsidR="00E2335B">
        <w:rPr>
          <w:spacing w:val="-4"/>
        </w:rPr>
        <w:t xml:space="preserve"> </w:t>
      </w:r>
      <w:r w:rsidR="00E2335B">
        <w:t>and</w:t>
      </w:r>
      <w:r w:rsidR="00E2335B">
        <w:rPr>
          <w:spacing w:val="-4"/>
        </w:rPr>
        <w:t xml:space="preserve"> </w:t>
      </w:r>
      <w:r w:rsidR="00E2335B">
        <w:t>G2G</w:t>
      </w:r>
      <w:r w:rsidR="00E2335B">
        <w:rPr>
          <w:spacing w:val="-5"/>
        </w:rPr>
        <w:t xml:space="preserve"> </w:t>
      </w:r>
      <w:r w:rsidR="00E2335B">
        <w:t>Programs:</w:t>
      </w:r>
      <w:r w:rsidR="00E2335B">
        <w:rPr>
          <w:spacing w:val="-4"/>
        </w:rPr>
        <w:t xml:space="preserve"> </w:t>
      </w:r>
      <w:r w:rsidR="00915781">
        <w:rPr>
          <w:spacing w:val="-4"/>
        </w:rPr>
        <w:t xml:space="preserve">Progress and Final Reporting </w:t>
      </w:r>
      <w:r w:rsidR="00E2335B">
        <w:t>Information Collections</w:t>
      </w:r>
    </w:p>
    <w:p w:rsidR="00EE2403" w:rsidRPr="00BB3410" w:rsidP="00961C50" w14:paraId="71D5121E" w14:textId="15E1A6C8">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316EAD">
        <w:rPr>
          <w:rFonts w:cstheme="minorHAnsi"/>
        </w:rPr>
        <w:t>2035-NEW</w:t>
      </w:r>
    </w:p>
    <w:p w:rsidR="00EE2403" w:rsidRPr="00BB3410" w:rsidP="00961C50" w14:paraId="4FB77BCA" w14:textId="2729157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316EAD">
        <w:rPr>
          <w:rFonts w:cstheme="minorHAnsi"/>
        </w:rPr>
        <w:t>2807.01</w:t>
      </w:r>
    </w:p>
    <w:p w:rsidR="004C078A" w:rsidP="00961C50" w14:paraId="51AA9386" w14:textId="0C52A81D">
      <w:pPr>
        <w:pStyle w:val="Header"/>
        <w:contextualSpacing/>
        <w:rPr>
          <w:b/>
          <w:bCs/>
        </w:rPr>
      </w:pPr>
      <w:r w:rsidRPr="4BDBF0A0">
        <w:rPr>
          <w:b/>
          <w:bCs/>
        </w:rPr>
        <w:t>Abstract</w:t>
      </w:r>
    </w:p>
    <w:p w:rsidR="00B80126" w:rsidP="00961C50" w14:paraId="3BC85B39" w14:textId="77777777">
      <w:pPr>
        <w:pStyle w:val="Header"/>
        <w:contextualSpacing/>
      </w:pPr>
    </w:p>
    <w:p w:rsidR="00B80126" w:rsidP="00961C50" w14:paraId="69EC3C31" w14:textId="77777777">
      <w:pPr>
        <w:pStyle w:val="Header"/>
        <w:contextualSpacing/>
      </w:pPr>
      <w:bookmarkStart w:id="1" w:name="_Hlk186802498"/>
      <w:r>
        <w:t>The U.S. Environmental Protection Agency (EPA) makes competitive financial assistance awards to support projects that tackle environmental, public health, and energy challenges across the country. This is accomplished by working directly with community-based organizations (CBOs) and state, local, territorial, and tribal governments that have strong ties to the communities in which they are working. EPA fosters a collaborative approach to tackling some of the most critical challenges in the most overburdened communities by encouraging projects that involve multiple stakeholders including States, local governments, and tribal governments. To help get resources and funding to underserved and overburdened communities EPA offers Environmental Justice Collaborative Problem Solving (EJCPS) and Environmental Justice Government to Government (EJG2G) cooperative agreement programs. With this Information Collection Request (ICR), EPA seeks authorization to collect post-award information in the form of semi-annual progress reports and final reports from each grantee to track their progress, with respect to effectiveness (e.g., the extent to which projects achieved their objectives, goals, and targets), efficiency (e.g., the extent to which projects delivered activities and outputs on schedule and within budget), and equity (e.g., the extent to which investments and benefits flowed to disadvantaged communities that are marginalized, underserved, and overburdened by pollution). Collection of this information enables EPA to assess and manage the EJCPS and EJG2G programs, which ensures responsible stewardship of public funds; rigorous evidence-based learning and improvement; and transparent accountability to the American public.</w:t>
      </w:r>
    </w:p>
    <w:bookmarkEnd w:id="1"/>
    <w:p w:rsidR="004C078A" w:rsidP="00961C50" w14:paraId="13BD228B" w14:textId="77777777">
      <w:pPr>
        <w:pStyle w:val="Header"/>
        <w:contextualSpacing/>
      </w:pPr>
    </w:p>
    <w:p w:rsidR="00AD7358" w:rsidP="00961C50" w14:paraId="744CA70B" w14:textId="77777777">
      <w:pPr>
        <w:pStyle w:val="Header"/>
        <w:contextualSpacing/>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8"/>
        <w:gridCol w:w="1720"/>
        <w:gridCol w:w="1585"/>
        <w:gridCol w:w="1852"/>
        <w:gridCol w:w="1710"/>
      </w:tblGrid>
      <w:tr w14:paraId="2DFBD427" w14:textId="77777777" w:rsidTr="00316EAD">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33"/>
        </w:trPr>
        <w:tc>
          <w:tcPr>
            <w:tcW w:w="9275" w:type="dxa"/>
            <w:gridSpan w:val="5"/>
            <w:tcBorders>
              <w:bottom w:val="single" w:sz="4" w:space="0" w:color="auto"/>
            </w:tcBorders>
            <w:shd w:val="clear" w:color="auto" w:fill="auto"/>
            <w:vAlign w:val="center"/>
          </w:tcPr>
          <w:p w:rsidR="00AD7358" w:rsidRPr="00C1059A" w:rsidP="00961C50" w14:paraId="183B175C" w14:textId="77D9D0AB">
            <w:pPr>
              <w:keepNext/>
              <w:tabs>
                <w:tab w:val="left" w:pos="1152"/>
              </w:tabs>
              <w:ind w:left="-107"/>
              <w:outlineLvl w:val="0"/>
              <w:rPr>
                <w:rFonts w:ascii="Calibri" w:eastAsia="Times New Roman" w:hAnsi="Calibri" w:cs="Calibri"/>
                <w:b/>
              </w:rPr>
            </w:pPr>
            <w:r w:rsidRPr="00C1059A">
              <w:rPr>
                <w:rFonts w:ascii="Calibri" w:eastAsia="Times New Roman" w:hAnsi="Calibri" w:cs="Calibri"/>
                <w:b/>
              </w:rPr>
              <w:t>Total (3-Year) Respondent Burden &amp; Costs</w:t>
            </w:r>
          </w:p>
        </w:tc>
      </w:tr>
      <w:tr w14:paraId="314675FC" w14:textId="77777777" w:rsidTr="00316EAD">
        <w:tblPrEx>
          <w:tblW w:w="0" w:type="auto"/>
          <w:tblInd w:w="108" w:type="dxa"/>
          <w:tblLayout w:type="fixed"/>
          <w:tblLook w:val="04A0"/>
        </w:tblPrEx>
        <w:trPr>
          <w:trHeight w:val="665"/>
        </w:trPr>
        <w:tc>
          <w:tcPr>
            <w:tcW w:w="24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1059A" w:rsidP="00961C50" w14:paraId="3106AAB2" w14:textId="40CB954E">
            <w:pPr>
              <w:rPr>
                <w:b/>
                <w:bCs/>
                <w:color w:val="000000"/>
              </w:rPr>
            </w:pPr>
            <w:r w:rsidRPr="00C1059A">
              <w:rPr>
                <w:b/>
                <w:bCs/>
                <w:color w:val="000000"/>
              </w:rPr>
              <w:t>Respondents</w:t>
            </w:r>
          </w:p>
        </w:tc>
        <w:tc>
          <w:tcPr>
            <w:tcW w:w="1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1059A" w:rsidP="00961C50" w14:paraId="67CF2FED" w14:textId="77777777">
            <w:pPr>
              <w:rPr>
                <w:b/>
                <w:bCs/>
                <w:color w:val="000000"/>
              </w:rPr>
            </w:pPr>
            <w:r w:rsidRPr="00C1059A">
              <w:rPr>
                <w:b/>
                <w:bCs/>
                <w:color w:val="000000"/>
              </w:rPr>
              <w:t>Burden Hours</w:t>
            </w:r>
          </w:p>
        </w:tc>
        <w:tc>
          <w:tcPr>
            <w:tcW w:w="15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1059A" w:rsidP="00961C50" w14:paraId="126E78F5" w14:textId="77777777">
            <w:pPr>
              <w:rPr>
                <w:b/>
                <w:bCs/>
                <w:color w:val="000000"/>
              </w:rPr>
            </w:pPr>
            <w:r w:rsidRPr="00C1059A">
              <w:rPr>
                <w:b/>
                <w:bCs/>
                <w:color w:val="000000"/>
              </w:rPr>
              <w:t>Labor Costs</w:t>
            </w:r>
          </w:p>
        </w:tc>
        <w:tc>
          <w:tcPr>
            <w:tcW w:w="18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1059A" w:rsidP="00961C50" w14:paraId="33230B06" w14:textId="77777777">
            <w:pPr>
              <w:rPr>
                <w:b/>
                <w:bCs/>
                <w:color w:val="000000"/>
              </w:rPr>
            </w:pPr>
            <w:r w:rsidRPr="00C1059A">
              <w:rPr>
                <w:b/>
                <w:bCs/>
                <w:color w:val="000000"/>
              </w:rPr>
              <w:t>Non-Labor Costs</w:t>
            </w:r>
          </w:p>
        </w:tc>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1059A" w:rsidP="00961C50" w14:paraId="626AAB9C" w14:textId="77777777">
            <w:pPr>
              <w:rPr>
                <w:b/>
                <w:bCs/>
                <w:color w:val="000000"/>
              </w:rPr>
            </w:pPr>
            <w:r w:rsidRPr="00C1059A">
              <w:rPr>
                <w:b/>
                <w:bCs/>
                <w:color w:val="000000"/>
              </w:rPr>
              <w:t>Total Costs</w:t>
            </w:r>
          </w:p>
        </w:tc>
      </w:tr>
      <w:tr w14:paraId="2DDB2AD4" w14:textId="77777777" w:rsidTr="00316EAD">
        <w:tblPrEx>
          <w:tblW w:w="0" w:type="auto"/>
          <w:tblInd w:w="108" w:type="dxa"/>
          <w:tblLayout w:type="fixed"/>
          <w:tblLook w:val="04A0"/>
        </w:tblPrEx>
        <w:trPr>
          <w:trHeight w:val="602"/>
        </w:trPr>
        <w:tc>
          <w:tcPr>
            <w:tcW w:w="2408" w:type="dxa"/>
            <w:tcBorders>
              <w:top w:val="single" w:sz="4" w:space="0" w:color="auto"/>
              <w:left w:val="single" w:sz="4" w:space="0" w:color="auto"/>
              <w:bottom w:val="single" w:sz="4" w:space="0" w:color="auto"/>
              <w:right w:val="single" w:sz="4" w:space="0" w:color="auto"/>
            </w:tcBorders>
            <w:vAlign w:val="center"/>
          </w:tcPr>
          <w:p w:rsidR="00CF30A1" w:rsidRPr="00AD743C" w:rsidP="00961C50" w14:paraId="7729171D" w14:textId="763482E4">
            <w:pPr>
              <w:rPr>
                <w:color w:val="000000"/>
              </w:rPr>
            </w:pPr>
            <w:r w:rsidRPr="00AD743C">
              <w:rPr>
                <w:rFonts w:ascii="Calibri" w:hAnsi="Calibri" w:cs="Calibri"/>
                <w:color w:val="000000"/>
              </w:rPr>
              <w:t>217</w:t>
            </w:r>
          </w:p>
        </w:tc>
        <w:tc>
          <w:tcPr>
            <w:tcW w:w="1720" w:type="dxa"/>
            <w:tcBorders>
              <w:top w:val="single" w:sz="4" w:space="0" w:color="auto"/>
              <w:left w:val="single" w:sz="4" w:space="0" w:color="auto"/>
              <w:bottom w:val="single" w:sz="4" w:space="0" w:color="auto"/>
              <w:right w:val="single" w:sz="4" w:space="0" w:color="auto"/>
            </w:tcBorders>
            <w:vAlign w:val="center"/>
          </w:tcPr>
          <w:p w:rsidR="00CF30A1" w:rsidRPr="00AD743C" w:rsidP="00961C50" w14:paraId="7E68BA2E" w14:textId="1D8A4534">
            <w:pPr>
              <w:rPr>
                <w:color w:val="000000"/>
              </w:rPr>
            </w:pPr>
            <w:r>
              <w:rPr>
                <w:rFonts w:ascii="Calibri" w:hAnsi="Calibri" w:cs="Calibri"/>
                <w:color w:val="000000"/>
              </w:rPr>
              <w:t>52,080</w:t>
            </w:r>
          </w:p>
        </w:tc>
        <w:tc>
          <w:tcPr>
            <w:tcW w:w="1585" w:type="dxa"/>
            <w:tcBorders>
              <w:top w:val="single" w:sz="4" w:space="0" w:color="auto"/>
              <w:left w:val="single" w:sz="4" w:space="0" w:color="auto"/>
              <w:bottom w:val="single" w:sz="4" w:space="0" w:color="auto"/>
              <w:right w:val="single" w:sz="4" w:space="0" w:color="auto"/>
            </w:tcBorders>
            <w:vAlign w:val="center"/>
          </w:tcPr>
          <w:p w:rsidR="00CF30A1" w:rsidRPr="00AD743C" w:rsidP="00961C50" w14:paraId="12BB604A" w14:textId="2652AA35">
            <w:pPr>
              <w:rPr>
                <w:color w:val="000000"/>
              </w:rPr>
            </w:pPr>
            <w:r w:rsidRPr="00AD743C">
              <w:rPr>
                <w:rFonts w:ascii="Calibri" w:hAnsi="Calibri" w:cs="Calibri"/>
                <w:color w:val="000000"/>
              </w:rPr>
              <w:t>$</w:t>
            </w:r>
            <w:r w:rsidR="0088578B">
              <w:rPr>
                <w:rFonts w:ascii="Calibri" w:hAnsi="Calibri" w:cs="Calibri"/>
                <w:color w:val="000000"/>
              </w:rPr>
              <w:t>2,983,663</w:t>
            </w:r>
            <w:r w:rsidRPr="00AD743C">
              <w:rPr>
                <w:rFonts w:ascii="Calibri" w:hAnsi="Calibri" w:cs="Calibri"/>
                <w:color w:val="000000"/>
              </w:rPr>
              <w:t xml:space="preserve"> </w:t>
            </w:r>
          </w:p>
        </w:tc>
        <w:tc>
          <w:tcPr>
            <w:tcW w:w="1852" w:type="dxa"/>
            <w:tcBorders>
              <w:top w:val="single" w:sz="4" w:space="0" w:color="auto"/>
              <w:left w:val="single" w:sz="4" w:space="0" w:color="auto"/>
              <w:bottom w:val="single" w:sz="4" w:space="0" w:color="auto"/>
              <w:right w:val="single" w:sz="4" w:space="0" w:color="auto"/>
            </w:tcBorders>
            <w:vAlign w:val="center"/>
          </w:tcPr>
          <w:p w:rsidR="00CF30A1" w:rsidRPr="00AD743C" w:rsidP="00961C50" w14:paraId="3969A7D0" w14:textId="47E3F31E">
            <w:pPr>
              <w:rPr>
                <w:color w:val="000000"/>
              </w:rPr>
            </w:pPr>
            <w:r w:rsidRPr="00AD743C">
              <w:rPr>
                <w:rFonts w:ascii="Calibri" w:hAnsi="Calibri" w:cs="Calibri"/>
                <w:color w:val="000000"/>
              </w:rPr>
              <w:t xml:space="preserve">$0 </w:t>
            </w:r>
          </w:p>
        </w:tc>
        <w:tc>
          <w:tcPr>
            <w:tcW w:w="1710" w:type="dxa"/>
            <w:tcBorders>
              <w:top w:val="single" w:sz="4" w:space="0" w:color="auto"/>
              <w:left w:val="single" w:sz="4" w:space="0" w:color="auto"/>
              <w:bottom w:val="single" w:sz="4" w:space="0" w:color="auto"/>
              <w:right w:val="single" w:sz="4" w:space="0" w:color="auto"/>
            </w:tcBorders>
            <w:vAlign w:val="center"/>
          </w:tcPr>
          <w:p w:rsidR="00CF30A1" w:rsidRPr="0088578B" w:rsidP="00961C50" w14:paraId="2557A17E" w14:textId="47895870">
            <w:pPr>
              <w:rPr>
                <w:b/>
                <w:bCs/>
                <w:color w:val="000000"/>
              </w:rPr>
            </w:pPr>
            <w:r w:rsidRPr="0088578B">
              <w:rPr>
                <w:rFonts w:ascii="Calibri" w:hAnsi="Calibri" w:cs="Calibri"/>
                <w:b/>
                <w:bCs/>
                <w:color w:val="000000"/>
              </w:rPr>
              <w:t>$2,983,663</w:t>
            </w:r>
          </w:p>
        </w:tc>
      </w:tr>
    </w:tbl>
    <w:p w:rsidR="00860B8A" w:rsidP="00961C50" w14:paraId="0E29DE54" w14:textId="77777777">
      <w:pPr>
        <w:rPr>
          <w:b/>
          <w:bCs/>
          <w:u w:val="single"/>
        </w:rPr>
      </w:pPr>
    </w:p>
    <w:p w:rsidR="00A3600F" w:rsidRPr="00BB3410" w:rsidP="00E739B7" w14:paraId="755F809C" w14:textId="3BF0EEB1">
      <w:pPr>
        <w:jc w:val="center"/>
        <w:rPr>
          <w:b/>
          <w:bCs/>
          <w:u w:val="single"/>
        </w:rPr>
      </w:pPr>
      <w:r>
        <w:rPr>
          <w:b/>
          <w:bCs/>
          <w:u w:val="single"/>
        </w:rPr>
        <w:br w:type="page"/>
      </w:r>
      <w:r w:rsidRPr="00FB17D1" w:rsidR="00816010">
        <w:rPr>
          <w:b/>
          <w:bCs/>
        </w:rPr>
        <w:t>Supporting Statement A</w:t>
      </w:r>
      <w:bookmarkEnd w:id="0"/>
    </w:p>
    <w:p w:rsidR="00D47CB3" w:rsidRPr="00E3122D" w:rsidP="00961C50" w14:paraId="73FF37C3" w14:textId="272FC286">
      <w:pPr>
        <w:pStyle w:val="Heading1"/>
        <w:numPr>
          <w:ilvl w:val="0"/>
          <w:numId w:val="36"/>
        </w:numPr>
        <w:tabs>
          <w:tab w:val="left" w:pos="360"/>
        </w:tabs>
        <w:ind w:left="270" w:hanging="270"/>
      </w:pPr>
      <w:bookmarkStart w:id="2" w:name="_Toc156593368"/>
      <w:r w:rsidRPr="00E3122D">
        <w:t>NEED AND AUTHORITY FOR THE COLLECTION</w:t>
      </w:r>
      <w:bookmarkEnd w:id="2"/>
    </w:p>
    <w:p w:rsidR="00A27E5C" w:rsidRPr="00D47CB3" w:rsidP="00961C50"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840B12" w:rsidP="00961C50" w14:paraId="54C65232" w14:textId="77777777">
      <w:pPr>
        <w:spacing w:after="0"/>
        <w:contextualSpacing/>
        <w:rPr>
          <w:rFonts w:cstheme="minorHAnsi"/>
          <w:u w:val="single"/>
        </w:rPr>
      </w:pPr>
    </w:p>
    <w:p w:rsidR="00840B12" w:rsidP="00961C50" w14:paraId="08F03EB2" w14:textId="7B6E6284">
      <w:pPr>
        <w:spacing w:after="0"/>
        <w:contextualSpacing/>
        <w:rPr>
          <w:rFonts w:cstheme="minorHAnsi"/>
          <w:u w:val="single"/>
        </w:rPr>
      </w:pPr>
      <w:r w:rsidRPr="00BD0079">
        <w:rPr>
          <w:rFonts w:cstheme="minorHAnsi"/>
          <w:u w:val="single"/>
        </w:rPr>
        <w:t>Overview</w:t>
      </w:r>
    </w:p>
    <w:p w:rsidR="00840B12" w:rsidRPr="00840B12" w:rsidP="00961C50" w14:paraId="5B2092DB" w14:textId="77777777">
      <w:pPr>
        <w:spacing w:after="0"/>
        <w:contextualSpacing/>
        <w:rPr>
          <w:rFonts w:cstheme="minorHAnsi"/>
          <w:u w:val="single"/>
        </w:rPr>
      </w:pPr>
    </w:p>
    <w:p w:rsidR="009A7C9D" w:rsidRPr="009A7C9D" w:rsidP="00961C50" w14:paraId="6EB4694B" w14:textId="77777777">
      <w:pPr>
        <w:pStyle w:val="Header"/>
        <w:contextualSpacing/>
        <w:rPr>
          <w:rFonts w:cstheme="minorHAnsi"/>
        </w:rPr>
      </w:pPr>
      <w:r w:rsidRPr="009A7C9D">
        <w:rPr>
          <w:rFonts w:cstheme="minorHAnsi"/>
        </w:rPr>
        <w:t>The U.S. Environmental Protection Agency (EPA) makes competitive financial assistance awards to support projects that tackle environmental, public health, and energy challenges across the country. This is accomplished by working directly with community-based organizations (CBOs) and state, local, territorial, and tribal governments that have strong ties to the communities in which they are working. EPA fosters a collaborative approach to tackling some of the most critical challenges in the most overburdened communities by encouraging projects that involve multiple stakeholders including States, local governments, and tribal governments.</w:t>
      </w:r>
    </w:p>
    <w:p w:rsidR="009A7C9D" w:rsidRPr="009A7C9D" w:rsidP="00961C50" w14:paraId="1A384AC6" w14:textId="77777777">
      <w:pPr>
        <w:pStyle w:val="Header"/>
        <w:contextualSpacing/>
        <w:rPr>
          <w:rFonts w:cstheme="minorHAnsi"/>
        </w:rPr>
      </w:pPr>
    </w:p>
    <w:p w:rsidR="00840B12" w:rsidP="00961C50" w14:paraId="75E13AEB" w14:textId="105609C7">
      <w:pPr>
        <w:pStyle w:val="Header"/>
        <w:contextualSpacing/>
        <w:rPr>
          <w:rFonts w:cstheme="minorHAnsi"/>
        </w:rPr>
      </w:pPr>
      <w:r w:rsidRPr="009A7C9D">
        <w:rPr>
          <w:rFonts w:cstheme="minorHAnsi"/>
        </w:rPr>
        <w:t xml:space="preserve">To help get resources and funding to underserved and overburdened communities EPA </w:t>
      </w:r>
      <w:r w:rsidRPr="009A7C9D">
        <w:rPr>
          <w:rFonts w:cstheme="minorHAnsi"/>
        </w:rPr>
        <w:t>offers  Environmental</w:t>
      </w:r>
      <w:r w:rsidRPr="009A7C9D">
        <w:rPr>
          <w:rFonts w:cstheme="minorHAnsi"/>
        </w:rPr>
        <w:t xml:space="preserve"> Justice Collaborative Problem Solving (EJCPS) and Environmental Justice Government to Government (EJG2G) cooperative agreement programs.</w:t>
      </w:r>
    </w:p>
    <w:p w:rsidR="009A7C9D" w:rsidP="00961C50" w14:paraId="231DDD34" w14:textId="77777777">
      <w:pPr>
        <w:pStyle w:val="Header"/>
        <w:contextualSpacing/>
        <w:rPr>
          <w:rFonts w:cstheme="minorHAnsi"/>
        </w:rPr>
      </w:pPr>
    </w:p>
    <w:p w:rsidR="00B13F75" w:rsidP="00961C50" w14:paraId="4E14FB08" w14:textId="3423E736">
      <w:pPr>
        <w:pStyle w:val="Header"/>
        <w:contextualSpacing/>
      </w:pPr>
      <w:r w:rsidRPr="00B13F75">
        <w:rPr>
          <w:rFonts w:cstheme="minorHAnsi"/>
        </w:rPr>
        <w:t xml:space="preserve">The 2022 </w:t>
      </w:r>
      <w:hyperlink r:id="rId10">
        <w:r w:rsidRPr="00737482" w:rsidR="00E739B7">
          <w:rPr>
            <w:rStyle w:val="Hyperlink"/>
          </w:rPr>
          <w:t>Inflation Reduction Act (IRA)</w:t>
        </w:r>
      </w:hyperlink>
      <w:r>
        <w:rPr>
          <w:rStyle w:val="FootnoteReference"/>
        </w:rPr>
        <w:footnoteReference w:id="3"/>
      </w:r>
      <w:r w:rsidRPr="00737482" w:rsidR="00E739B7">
        <w:t xml:space="preserve"> </w:t>
      </w:r>
      <w:r w:rsidRPr="00B13F75">
        <w:rPr>
          <w:rFonts w:cstheme="minorHAnsi"/>
        </w:rPr>
        <w:t xml:space="preserve">created the Environmental and Climate Justice block grant program in section 138 of the </w:t>
      </w:r>
      <w:hyperlink r:id="rId11" w:history="1">
        <w:r w:rsidRPr="00737482" w:rsidR="00E739B7">
          <w:rPr>
            <w:rStyle w:val="Hyperlink"/>
            <w:rFonts w:cstheme="minorHAnsi"/>
          </w:rPr>
          <w:t>Clean Air Act</w:t>
        </w:r>
      </w:hyperlink>
      <w:r>
        <w:rPr>
          <w:rStyle w:val="FootnoteReference"/>
        </w:rPr>
        <w:footnoteReference w:id="4"/>
      </w:r>
      <w:r w:rsidRPr="00737482" w:rsidR="00E739B7">
        <w:rPr>
          <w:rFonts w:cstheme="minorHAnsi"/>
        </w:rPr>
        <w:t xml:space="preserve"> </w:t>
      </w:r>
      <w:r w:rsidRPr="00B13F75">
        <w:rPr>
          <w:rFonts w:cstheme="minorHAnsi"/>
        </w:rPr>
        <w:t>and provided EPA with grant funding for projects to benefit disadvantaged communities. The EJCPS and EJG2G programs are funded through the IRA. Additionally, Congress provided EPA with both funding and expanded authority to further environmental justice through financial assistance programs in the Consolidated Appropriations Act, 2022 (</w:t>
      </w:r>
      <w:hyperlink r:id="rId12" w:history="1">
        <w:r w:rsidRPr="00E739B7">
          <w:rPr>
            <w:rStyle w:val="Hyperlink"/>
            <w:rFonts w:cstheme="minorHAnsi"/>
          </w:rPr>
          <w:t>Public Law 117-103</w:t>
        </w:r>
      </w:hyperlink>
      <w:r>
        <w:rPr>
          <w:rStyle w:val="FootnoteReference"/>
          <w:rFonts w:cstheme="minorHAnsi"/>
        </w:rPr>
        <w:footnoteReference w:id="5"/>
      </w:r>
      <w:r w:rsidRPr="00B13F75">
        <w:rPr>
          <w:rFonts w:cstheme="minorHAnsi"/>
        </w:rPr>
        <w:t>), which provided funding for environmental justice implementation and training grants. These programs are designed to meet the goals and objectives of two Executive Orders</w:t>
      </w:r>
      <w:r w:rsidR="00E739B7">
        <w:rPr>
          <w:rFonts w:cstheme="minorHAnsi"/>
        </w:rPr>
        <w:t xml:space="preserve"> </w:t>
      </w:r>
      <w:r w:rsidRPr="00B13F75" w:rsidR="00E739B7">
        <w:rPr>
          <w:rFonts w:cstheme="minorHAnsi"/>
        </w:rPr>
        <w:t>issued by the Biden Administration that demonstrate the EPA’s and Administration’s commitment to achieving environmental justice and embedding environmental justice into Agency programs</w:t>
      </w:r>
      <w:r w:rsidR="00E739B7">
        <w:rPr>
          <w:rFonts w:cstheme="minorHAnsi"/>
        </w:rPr>
        <w:t xml:space="preserve">: </w:t>
      </w:r>
      <w:hyperlink r:id="rId13">
        <w:r w:rsidRPr="00737482" w:rsidR="00E739B7">
          <w:rPr>
            <w:rStyle w:val="Hyperlink"/>
          </w:rPr>
          <w:t>Executive Order 13985</w:t>
        </w:r>
      </w:hyperlink>
      <w:r>
        <w:rPr>
          <w:rStyle w:val="FootnoteReference"/>
        </w:rPr>
        <w:footnoteReference w:id="6"/>
      </w:r>
      <w:r w:rsidRPr="00737482" w:rsidR="00E739B7">
        <w:t xml:space="preserve"> (</w:t>
      </w:r>
      <w:r w:rsidRPr="00737482" w:rsidR="00E739B7">
        <w:rPr>
          <w:i/>
        </w:rPr>
        <w:t>Advancing Racial Equity and Support for Underserved Communities Through the Federal Government</w:t>
      </w:r>
      <w:r w:rsidRPr="00737482" w:rsidR="00E739B7">
        <w:t xml:space="preserve">) and </w:t>
      </w:r>
      <w:hyperlink r:id="rId14">
        <w:r w:rsidRPr="00737482" w:rsidR="00E739B7">
          <w:rPr>
            <w:rStyle w:val="Hyperlink"/>
          </w:rPr>
          <w:t>Executive Order 14008</w:t>
        </w:r>
      </w:hyperlink>
      <w:r>
        <w:rPr>
          <w:rStyle w:val="FootnoteReference"/>
        </w:rPr>
        <w:footnoteReference w:id="7"/>
      </w:r>
      <w:r w:rsidRPr="00737482" w:rsidR="00E739B7">
        <w:t xml:space="preserve"> (</w:t>
      </w:r>
      <w:r w:rsidRPr="00737482" w:rsidR="00E739B7">
        <w:rPr>
          <w:i/>
        </w:rPr>
        <w:t>Tackling the Climate Crisis at Home and Abroad</w:t>
      </w:r>
      <w:r w:rsidRPr="00737482" w:rsidR="00E739B7">
        <w:t>).</w:t>
      </w:r>
    </w:p>
    <w:p w:rsidR="00E739B7" w:rsidRPr="00B13F75" w:rsidP="00961C50" w14:paraId="7EB00E4D" w14:textId="77777777">
      <w:pPr>
        <w:pStyle w:val="Header"/>
        <w:contextualSpacing/>
        <w:rPr>
          <w:rFonts w:cstheme="minorHAnsi"/>
        </w:rPr>
      </w:pPr>
    </w:p>
    <w:p w:rsidR="00B13F75" w:rsidRPr="00B13F75" w:rsidP="00961C50" w14:paraId="15EF5107" w14:textId="77777777">
      <w:pPr>
        <w:pStyle w:val="Header"/>
        <w:contextualSpacing/>
        <w:rPr>
          <w:rFonts w:cstheme="minorHAnsi"/>
        </w:rPr>
      </w:pPr>
      <w:r w:rsidRPr="00B13F75">
        <w:rPr>
          <w:rFonts w:cstheme="minorHAnsi"/>
        </w:rPr>
        <w:t>The EJCPS and EJG2G programs are designed to address multi-statute environmental and/or public health issues. The EJCPS and EJG2G grantees will operate in cooperative agreements with EPA in their efforts to collaborate and partner with other stakeholders to develop solutions that will significantly address environmental and/or public health issue(s) in communities disproportionately burdened by environmental harms and risks. These projects will help transform disadvantaged and underserved communities into healthy, thriving communities capable of addressing the environmental and public health challenges they have historically faced, as well as current and future challenges.</w:t>
      </w:r>
    </w:p>
    <w:p w:rsidR="00B13F75" w:rsidP="00961C50" w14:paraId="020E38E4" w14:textId="77777777">
      <w:pPr>
        <w:pStyle w:val="Header"/>
        <w:contextualSpacing/>
        <w:rPr>
          <w:rFonts w:cstheme="minorHAnsi"/>
        </w:rPr>
      </w:pPr>
    </w:p>
    <w:p w:rsidR="007654E0" w:rsidP="00961C50" w14:paraId="6F6E9010" w14:textId="394104F2">
      <w:pPr>
        <w:pStyle w:val="Header"/>
        <w:contextualSpacing/>
        <w:rPr>
          <w:rFonts w:cstheme="minorHAnsi"/>
        </w:rPr>
      </w:pPr>
      <w:r w:rsidRPr="007654E0">
        <w:rPr>
          <w:rFonts w:cstheme="minorHAnsi"/>
        </w:rPr>
        <w:t xml:space="preserve">With this Information Collection Request (ICR), EPA seeks authorization to collect  information </w:t>
      </w:r>
      <w:r w:rsidR="00DF45F8">
        <w:rPr>
          <w:rFonts w:cstheme="minorHAnsi"/>
        </w:rPr>
        <w:t xml:space="preserve">in progress reports and </w:t>
      </w:r>
      <w:r w:rsidR="00401C23">
        <w:rPr>
          <w:rFonts w:cstheme="minorHAnsi"/>
        </w:rPr>
        <w:t xml:space="preserve">a </w:t>
      </w:r>
      <w:r w:rsidR="00DF45F8">
        <w:rPr>
          <w:rFonts w:cstheme="minorHAnsi"/>
        </w:rPr>
        <w:t xml:space="preserve">final report </w:t>
      </w:r>
      <w:r w:rsidRPr="007654E0">
        <w:rPr>
          <w:rFonts w:cstheme="minorHAnsi"/>
        </w:rPr>
        <w:t xml:space="preserve">from each grantee to track their progress, with respect to </w:t>
      </w:r>
      <w:r w:rsidRPr="007654E0">
        <w:rPr>
          <w:rFonts w:cstheme="minorHAnsi"/>
          <w:i/>
        </w:rPr>
        <w:t xml:space="preserve">effectiveness </w:t>
      </w:r>
      <w:r w:rsidRPr="007654E0">
        <w:rPr>
          <w:rFonts w:cstheme="minorHAnsi"/>
        </w:rPr>
        <w:t xml:space="preserve">(e.g., the </w:t>
      </w:r>
      <w:r w:rsidRPr="007654E0">
        <w:rPr>
          <w:rFonts w:cstheme="minorHAnsi"/>
        </w:rPr>
        <w:t>extent to</w:t>
      </w:r>
      <w:r w:rsidR="00B40C34">
        <w:rPr>
          <w:rFonts w:cstheme="minorHAnsi"/>
        </w:rPr>
        <w:t xml:space="preserve"> </w:t>
      </w:r>
      <w:r w:rsidRPr="007654E0">
        <w:rPr>
          <w:rFonts w:cstheme="minorHAnsi"/>
        </w:rPr>
        <w:t xml:space="preserve">which projects achieved their objectives, goals, and targets), </w:t>
      </w:r>
      <w:r w:rsidRPr="007654E0">
        <w:rPr>
          <w:rFonts w:cstheme="minorHAnsi"/>
          <w:i/>
        </w:rPr>
        <w:t xml:space="preserve">efficiency </w:t>
      </w:r>
      <w:r w:rsidRPr="007654E0">
        <w:rPr>
          <w:rFonts w:cstheme="minorHAnsi"/>
        </w:rPr>
        <w:t xml:space="preserve">(e.g., the extent to which projects delivered activities and outputs on schedule and within budget), and </w:t>
      </w:r>
      <w:r w:rsidRPr="007654E0">
        <w:rPr>
          <w:rFonts w:cstheme="minorHAnsi"/>
          <w:i/>
        </w:rPr>
        <w:t xml:space="preserve">equity </w:t>
      </w:r>
      <w:r w:rsidRPr="007654E0">
        <w:rPr>
          <w:rFonts w:cstheme="minorHAnsi"/>
        </w:rPr>
        <w:t>(e.g., the extent to which investments and benefits flowed to disadvantaged communities that are marginalized, underserved, and overburdened by pollution). Collection of this information enables EPA to assess and manage the EJCPS and EJG2G programs, which ensures responsible stewardship of public funds; rigorous evidence-based learning and improvement; and transparent accountability to the American public.</w:t>
      </w:r>
    </w:p>
    <w:p w:rsidR="007654E0" w:rsidRPr="007654E0" w:rsidP="00961C50" w14:paraId="4342534E" w14:textId="77777777">
      <w:pPr>
        <w:pStyle w:val="Header"/>
        <w:contextualSpacing/>
        <w:rPr>
          <w:rFonts w:cstheme="minorHAnsi"/>
        </w:rPr>
      </w:pPr>
    </w:p>
    <w:p w:rsidR="007654E0" w:rsidRPr="007654E0" w:rsidP="00961C50" w14:paraId="6282BB5D" w14:textId="5C345499">
      <w:pPr>
        <w:pStyle w:val="Header"/>
        <w:contextualSpacing/>
        <w:rPr>
          <w:rFonts w:cstheme="minorHAnsi"/>
        </w:rPr>
      </w:pPr>
      <w:r w:rsidRPr="007654E0">
        <w:rPr>
          <w:rFonts w:cstheme="minorHAnsi"/>
        </w:rPr>
        <w:t xml:space="preserve">The information requested under this ICR will be collected via two </w:t>
      </w:r>
      <w:r w:rsidR="0015001F">
        <w:rPr>
          <w:rFonts w:cstheme="minorHAnsi"/>
        </w:rPr>
        <w:t>instruments</w:t>
      </w:r>
      <w:r w:rsidRPr="007654E0">
        <w:rPr>
          <w:rFonts w:cstheme="minorHAnsi"/>
        </w:rPr>
        <w:t>:</w:t>
      </w:r>
    </w:p>
    <w:p w:rsidR="00921E6B" w:rsidRPr="007654E0" w:rsidP="00961C50" w14:paraId="6EDDFCF7" w14:textId="45CCA17F">
      <w:pPr>
        <w:pStyle w:val="Header"/>
        <w:numPr>
          <w:ilvl w:val="1"/>
          <w:numId w:val="37"/>
        </w:numPr>
        <w:contextualSpacing/>
        <w:rPr>
          <w:rFonts w:cstheme="minorHAnsi"/>
        </w:rPr>
      </w:pPr>
      <w:r>
        <w:rPr>
          <w:rFonts w:cstheme="minorHAnsi"/>
          <w:i/>
        </w:rPr>
        <w:t>Progress</w:t>
      </w:r>
      <w:r w:rsidRPr="007654E0" w:rsidR="007654E0">
        <w:rPr>
          <w:rFonts w:cstheme="minorHAnsi"/>
          <w:i/>
        </w:rPr>
        <w:t xml:space="preserve"> reports submitted by grantees</w:t>
      </w:r>
      <w:r w:rsidRPr="00260432" w:rsidR="00260432">
        <w:rPr>
          <w:rFonts w:cstheme="minorHAnsi"/>
          <w:i/>
        </w:rPr>
        <w:t xml:space="preserve"> </w:t>
      </w:r>
      <w:r w:rsidR="00360CB7">
        <w:rPr>
          <w:rFonts w:cstheme="minorHAnsi"/>
          <w:i/>
        </w:rPr>
        <w:t>semi</w:t>
      </w:r>
      <w:r w:rsidR="00F61F73">
        <w:rPr>
          <w:rFonts w:cstheme="minorHAnsi"/>
          <w:i/>
        </w:rPr>
        <w:t>-annually</w:t>
      </w:r>
      <w:r w:rsidRPr="007654E0" w:rsidR="007654E0">
        <w:rPr>
          <w:rFonts w:cstheme="minorHAnsi"/>
          <w:i/>
        </w:rPr>
        <w:t xml:space="preserve">, </w:t>
      </w:r>
      <w:r w:rsidRPr="007654E0" w:rsidR="007654E0">
        <w:rPr>
          <w:rFonts w:cstheme="minorHAnsi"/>
        </w:rPr>
        <w:t xml:space="preserve">which document their planned and actual milestones, activities, target audiences, </w:t>
      </w:r>
      <w:r w:rsidR="00314F53">
        <w:rPr>
          <w:rFonts w:cstheme="minorHAnsi"/>
        </w:rPr>
        <w:t xml:space="preserve">partners, </w:t>
      </w:r>
      <w:r w:rsidRPr="007654E0" w:rsidR="007654E0">
        <w:rPr>
          <w:rFonts w:cstheme="minorHAnsi"/>
        </w:rPr>
        <w:t xml:space="preserve">outputs, outcomes, timelines, and locations of activities or </w:t>
      </w:r>
      <w:r w:rsidRPr="007654E0" w:rsidR="007654E0">
        <w:rPr>
          <w:rFonts w:cstheme="minorHAnsi"/>
        </w:rPr>
        <w:t>benefits;</w:t>
      </w:r>
    </w:p>
    <w:p w:rsidR="00B13F75" w:rsidP="00961C50" w14:paraId="369A329D" w14:textId="77635E3A">
      <w:pPr>
        <w:pStyle w:val="Header"/>
        <w:numPr>
          <w:ilvl w:val="1"/>
          <w:numId w:val="37"/>
        </w:numPr>
        <w:contextualSpacing/>
      </w:pPr>
      <w:r w:rsidRPr="3FCF2EA8">
        <w:rPr>
          <w:i/>
          <w:iCs/>
        </w:rPr>
        <w:t>Final reports</w:t>
      </w:r>
      <w:r w:rsidRPr="3FCF2EA8" w:rsidR="007654E0">
        <w:rPr>
          <w:i/>
          <w:iCs/>
        </w:rPr>
        <w:t xml:space="preserve">, </w:t>
      </w:r>
      <w:r w:rsidR="00461E74">
        <w:t xml:space="preserve">submitted </w:t>
      </w:r>
      <w:r w:rsidR="00741E2A">
        <w:t>by grantee</w:t>
      </w:r>
      <w:r w:rsidR="006309C2">
        <w:t>s</w:t>
      </w:r>
      <w:r w:rsidR="00741E2A">
        <w:t xml:space="preserve"> </w:t>
      </w:r>
      <w:r w:rsidR="5783DF36">
        <w:t>120</w:t>
      </w:r>
      <w:r w:rsidR="00741E2A">
        <w:t xml:space="preserve"> days after the listed end date on the EPA award documentation </w:t>
      </w:r>
      <w:r w:rsidR="007A4376">
        <w:t>(</w:t>
      </w:r>
      <w:r w:rsidR="00741E2A">
        <w:t>60 days after the last progress report</w:t>
      </w:r>
      <w:r w:rsidR="007A4376">
        <w:t>),</w:t>
      </w:r>
      <w:r w:rsidR="00741E2A">
        <w:t xml:space="preserve"> </w:t>
      </w:r>
      <w:r w:rsidR="006B1E96">
        <w:t>documenting progress towards m</w:t>
      </w:r>
      <w:r w:rsidR="008E5118">
        <w:t>edium</w:t>
      </w:r>
      <w:r w:rsidR="645EA007">
        <w:t>-</w:t>
      </w:r>
      <w:r w:rsidR="008E5118">
        <w:t xml:space="preserve"> and long</w:t>
      </w:r>
      <w:r w:rsidR="74D187E1">
        <w:t>-</w:t>
      </w:r>
      <w:r w:rsidR="008E5118">
        <w:t>term outcomes over the life of the grant.</w:t>
      </w:r>
    </w:p>
    <w:p w:rsidR="00921E6B" w:rsidP="00961C50" w14:paraId="1BC4648B" w14:textId="77777777">
      <w:pPr>
        <w:pStyle w:val="BodyText"/>
        <w:spacing w:before="1"/>
        <w:ind w:left="120"/>
        <w:rPr>
          <w:u w:val="single"/>
        </w:rPr>
      </w:pPr>
    </w:p>
    <w:p w:rsidR="006B1911" w:rsidP="00961C50" w14:paraId="52A5BD92" w14:textId="3839C842">
      <w:pPr>
        <w:pStyle w:val="BodyText"/>
        <w:spacing w:before="1"/>
        <w:ind w:left="120"/>
      </w:pPr>
      <w:r>
        <w:rPr>
          <w:u w:val="single"/>
        </w:rPr>
        <w:t>Legal</w:t>
      </w:r>
      <w:r>
        <w:rPr>
          <w:spacing w:val="-3"/>
          <w:u w:val="single"/>
        </w:rPr>
        <w:t xml:space="preserve"> </w:t>
      </w:r>
      <w:r>
        <w:rPr>
          <w:u w:val="single"/>
        </w:rPr>
        <w:t>and</w:t>
      </w:r>
      <w:r>
        <w:rPr>
          <w:spacing w:val="-3"/>
          <w:u w:val="single"/>
        </w:rPr>
        <w:t xml:space="preserve"> </w:t>
      </w:r>
      <w:r>
        <w:rPr>
          <w:u w:val="single"/>
        </w:rPr>
        <w:t>Administrative</w:t>
      </w:r>
      <w:r>
        <w:rPr>
          <w:spacing w:val="-4"/>
          <w:u w:val="single"/>
        </w:rPr>
        <w:t xml:space="preserve"> </w:t>
      </w:r>
      <w:r>
        <w:rPr>
          <w:spacing w:val="-2"/>
          <w:u w:val="single"/>
        </w:rPr>
        <w:t>Requirements</w:t>
      </w:r>
    </w:p>
    <w:p w:rsidR="006B1911" w:rsidP="00961C50" w14:paraId="3B666B99" w14:textId="77777777">
      <w:pPr>
        <w:pStyle w:val="BodyText"/>
        <w:spacing w:before="266"/>
        <w:ind w:left="120" w:right="172"/>
      </w:pPr>
      <w:r>
        <w:t>The</w:t>
      </w:r>
      <w:r>
        <w:rPr>
          <w:spacing w:val="-2"/>
        </w:rPr>
        <w:t xml:space="preserve"> </w:t>
      </w:r>
      <w:r>
        <w:t>collection</w:t>
      </w:r>
      <w:r>
        <w:rPr>
          <w:spacing w:val="-6"/>
        </w:rPr>
        <w:t xml:space="preserve"> </w:t>
      </w:r>
      <w:r>
        <w:t>of</w:t>
      </w:r>
      <w:r>
        <w:rPr>
          <w:spacing w:val="-3"/>
        </w:rPr>
        <w:t xml:space="preserve"> </w:t>
      </w:r>
      <w:r>
        <w:t>information</w:t>
      </w:r>
      <w:r>
        <w:rPr>
          <w:spacing w:val="-3"/>
        </w:rPr>
        <w:t xml:space="preserve"> </w:t>
      </w:r>
      <w:r>
        <w:t>to</w:t>
      </w:r>
      <w:r>
        <w:rPr>
          <w:spacing w:val="-3"/>
        </w:rPr>
        <w:t xml:space="preserve"> </w:t>
      </w:r>
      <w:r>
        <w:t>assess</w:t>
      </w:r>
      <w:r>
        <w:rPr>
          <w:spacing w:val="-3"/>
        </w:rPr>
        <w:t xml:space="preserve"> </w:t>
      </w:r>
      <w:r>
        <w:t>and</w:t>
      </w:r>
      <w:r>
        <w:rPr>
          <w:spacing w:val="-6"/>
        </w:rPr>
        <w:t xml:space="preserve"> </w:t>
      </w:r>
      <w:r>
        <w:t>manage</w:t>
      </w:r>
      <w:r>
        <w:rPr>
          <w:spacing w:val="-5"/>
        </w:rPr>
        <w:t xml:space="preserve"> </w:t>
      </w:r>
      <w:r>
        <w:t>financial</w:t>
      </w:r>
      <w:r>
        <w:rPr>
          <w:spacing w:val="-3"/>
        </w:rPr>
        <w:t xml:space="preserve"> </w:t>
      </w:r>
      <w:r>
        <w:t>assistance</w:t>
      </w:r>
      <w:r>
        <w:rPr>
          <w:spacing w:val="-5"/>
        </w:rPr>
        <w:t xml:space="preserve"> </w:t>
      </w:r>
      <w:r>
        <w:t>programs</w:t>
      </w:r>
      <w:r>
        <w:rPr>
          <w:spacing w:val="-5"/>
        </w:rPr>
        <w:t xml:space="preserve"> </w:t>
      </w:r>
      <w:r>
        <w:t>fulfills</w:t>
      </w:r>
      <w:r>
        <w:rPr>
          <w:spacing w:val="-3"/>
        </w:rPr>
        <w:t xml:space="preserve"> </w:t>
      </w:r>
      <w:r>
        <w:t>various</w:t>
      </w:r>
      <w:r>
        <w:rPr>
          <w:spacing w:val="-3"/>
        </w:rPr>
        <w:t xml:space="preserve"> </w:t>
      </w:r>
      <w:r>
        <w:t>legal and administrative requirements:</w:t>
      </w:r>
    </w:p>
    <w:p w:rsidR="006B1911" w:rsidP="00961C50" w14:paraId="633A9316" w14:textId="77777777">
      <w:pPr>
        <w:pStyle w:val="BodyText"/>
        <w:spacing w:before="1"/>
      </w:pPr>
    </w:p>
    <w:p w:rsidR="006B1911" w:rsidP="00961C50" w14:paraId="5929B045" w14:textId="44969C5A">
      <w:pPr>
        <w:pStyle w:val="ListParagraph"/>
        <w:widowControl w:val="0"/>
        <w:numPr>
          <w:ilvl w:val="0"/>
          <w:numId w:val="38"/>
        </w:numPr>
        <w:tabs>
          <w:tab w:val="left" w:pos="840"/>
        </w:tabs>
        <w:autoSpaceDE w:val="0"/>
        <w:autoSpaceDN w:val="0"/>
        <w:spacing w:after="0" w:line="240" w:lineRule="auto"/>
        <w:ind w:right="468"/>
      </w:pPr>
      <w:r w:rsidRPr="3561C910">
        <w:rPr>
          <w:i/>
          <w:iCs/>
        </w:rPr>
        <w:t xml:space="preserve">EPA’s general regulation for financial assistance programs </w:t>
      </w:r>
      <w:r>
        <w:t>establishes the minimum management</w:t>
      </w:r>
      <w:r>
        <w:rPr>
          <w:spacing w:val="-4"/>
        </w:rPr>
        <w:t xml:space="preserve"> </w:t>
      </w:r>
      <w:r>
        <w:t>requirements</w:t>
      </w:r>
      <w:r>
        <w:rPr>
          <w:spacing w:val="-5"/>
        </w:rPr>
        <w:t xml:space="preserve"> </w:t>
      </w:r>
      <w:r>
        <w:t>for</w:t>
      </w:r>
      <w:r>
        <w:rPr>
          <w:spacing w:val="-5"/>
        </w:rPr>
        <w:t xml:space="preserve"> </w:t>
      </w:r>
      <w:r>
        <w:t>recipients</w:t>
      </w:r>
      <w:r>
        <w:rPr>
          <w:spacing w:val="-5"/>
        </w:rPr>
        <w:t xml:space="preserve"> </w:t>
      </w:r>
      <w:r>
        <w:t>of</w:t>
      </w:r>
      <w:r>
        <w:rPr>
          <w:spacing w:val="-7"/>
        </w:rPr>
        <w:t xml:space="preserve"> </w:t>
      </w:r>
      <w:r>
        <w:t>EPA’s</w:t>
      </w:r>
      <w:r>
        <w:rPr>
          <w:spacing w:val="-3"/>
        </w:rPr>
        <w:t xml:space="preserve"> </w:t>
      </w:r>
      <w:r>
        <w:t>financial</w:t>
      </w:r>
      <w:r>
        <w:rPr>
          <w:spacing w:val="-3"/>
        </w:rPr>
        <w:t xml:space="preserve"> </w:t>
      </w:r>
      <w:r>
        <w:t>assistance</w:t>
      </w:r>
      <w:r>
        <w:rPr>
          <w:spacing w:val="-5"/>
        </w:rPr>
        <w:t xml:space="preserve"> </w:t>
      </w:r>
      <w:r>
        <w:t>programs.</w:t>
      </w:r>
      <w:r>
        <w:rPr>
          <w:spacing w:val="-10"/>
        </w:rPr>
        <w:t xml:space="preserve"> </w:t>
      </w:r>
      <w:r>
        <w:t>The</w:t>
      </w:r>
      <w:r>
        <w:rPr>
          <w:spacing w:val="-3"/>
        </w:rPr>
        <w:t xml:space="preserve"> </w:t>
      </w:r>
      <w:r>
        <w:t xml:space="preserve">reports submitted by the grantees under this ICR fulfill the information collection and reporting requirements included in EPA regulations </w:t>
      </w:r>
      <w:r w:rsidRPr="008D2793" w:rsidR="00E739B7">
        <w:t xml:space="preserve">2 CFR Parts </w:t>
      </w:r>
      <w:hyperlink r:id="rId15">
        <w:r w:rsidRPr="008D2793" w:rsidR="00E739B7">
          <w:rPr>
            <w:rStyle w:val="Hyperlink"/>
          </w:rPr>
          <w:t>200</w:t>
        </w:r>
      </w:hyperlink>
      <w:r>
        <w:rPr>
          <w:rStyle w:val="FootnoteReference"/>
        </w:rPr>
        <w:footnoteReference w:id="8"/>
      </w:r>
      <w:r w:rsidRPr="008D2793" w:rsidR="00E739B7">
        <w:t xml:space="preserve"> and </w:t>
      </w:r>
      <w:hyperlink r:id="rId16">
        <w:r w:rsidRPr="008D2793" w:rsidR="00E739B7">
          <w:rPr>
            <w:rStyle w:val="Hyperlink"/>
          </w:rPr>
          <w:t>1500</w:t>
        </w:r>
      </w:hyperlink>
      <w:r w:rsidRPr="008D2793" w:rsidR="00E739B7">
        <w:t>.</w:t>
      </w:r>
      <w:r>
        <w:rPr>
          <w:rStyle w:val="FootnoteReference"/>
        </w:rPr>
        <w:footnoteReference w:id="9"/>
      </w:r>
    </w:p>
    <w:p w:rsidR="006B1911" w:rsidP="00961C50" w14:paraId="2F5C3BE2" w14:textId="77777777">
      <w:pPr>
        <w:pStyle w:val="BodyText"/>
        <w:spacing w:before="1"/>
      </w:pPr>
    </w:p>
    <w:p w:rsidR="006B1911" w:rsidP="00961C50" w14:paraId="00720766" w14:textId="44FAAAA1">
      <w:pPr>
        <w:pStyle w:val="ListParagraph"/>
        <w:widowControl w:val="0"/>
        <w:numPr>
          <w:ilvl w:val="0"/>
          <w:numId w:val="38"/>
        </w:numPr>
        <w:tabs>
          <w:tab w:val="left" w:pos="840"/>
        </w:tabs>
        <w:autoSpaceDE w:val="0"/>
        <w:autoSpaceDN w:val="0"/>
        <w:spacing w:after="0" w:line="240" w:lineRule="auto"/>
        <w:ind w:right="135"/>
        <w:contextualSpacing w:val="0"/>
      </w:pPr>
      <w:r>
        <w:t xml:space="preserve">The </w:t>
      </w:r>
      <w:r>
        <w:rPr>
          <w:i/>
        </w:rPr>
        <w:t xml:space="preserve">Government Performance and Results Modernization Act of 2010 </w:t>
      </w:r>
      <w:r w:rsidRPr="00F719A2" w:rsidR="00E739B7">
        <w:rPr>
          <w:i/>
          <w:iCs/>
          <w:color w:val="0000FF"/>
        </w:rPr>
        <w:t>(</w:t>
      </w:r>
      <w:hyperlink r:id="rId17">
        <w:r w:rsidRPr="00F719A2" w:rsidR="00E739B7">
          <w:rPr>
            <w:rStyle w:val="Hyperlink"/>
            <w:i/>
            <w:iCs/>
          </w:rPr>
          <w:t>GPRA-Mod</w:t>
        </w:r>
      </w:hyperlink>
      <w:r>
        <w:rPr>
          <w:rStyle w:val="FootnoteReference"/>
        </w:rPr>
        <w:footnoteReference w:id="10"/>
      </w:r>
      <w:r w:rsidRPr="00F719A2" w:rsidR="00E739B7">
        <w:rPr>
          <w:i/>
          <w:iCs/>
          <w:color w:val="0000FF"/>
        </w:rPr>
        <w:t>)</w:t>
      </w:r>
      <w:r w:rsidRPr="00F719A2" w:rsidR="00E739B7">
        <w:rPr>
          <w:color w:val="0000FF"/>
        </w:rPr>
        <w:t xml:space="preserve"> </w:t>
      </w:r>
      <w:r>
        <w:t>requires agencies</w:t>
      </w:r>
      <w:r>
        <w:rPr>
          <w:spacing w:val="-3"/>
        </w:rPr>
        <w:t xml:space="preserve"> </w:t>
      </w:r>
      <w:r>
        <w:t>to</w:t>
      </w:r>
      <w:r>
        <w:rPr>
          <w:spacing w:val="-3"/>
        </w:rPr>
        <w:t xml:space="preserve"> </w:t>
      </w:r>
      <w:r>
        <w:t>set</w:t>
      </w:r>
      <w:r>
        <w:rPr>
          <w:spacing w:val="-1"/>
        </w:rPr>
        <w:t xml:space="preserve"> </w:t>
      </w:r>
      <w:r>
        <w:t>goals,</w:t>
      </w:r>
      <w:r>
        <w:rPr>
          <w:spacing w:val="-5"/>
        </w:rPr>
        <w:t xml:space="preserve"> </w:t>
      </w:r>
      <w:r>
        <w:t>measure</w:t>
      </w:r>
      <w:r>
        <w:rPr>
          <w:spacing w:val="-1"/>
        </w:rPr>
        <w:t xml:space="preserve"> </w:t>
      </w:r>
      <w:r>
        <w:t>performance</w:t>
      </w:r>
      <w:r>
        <w:rPr>
          <w:spacing w:val="-1"/>
        </w:rPr>
        <w:t xml:space="preserve"> </w:t>
      </w:r>
      <w:r>
        <w:t>against</w:t>
      </w:r>
      <w:r>
        <w:rPr>
          <w:spacing w:val="-4"/>
        </w:rPr>
        <w:t xml:space="preserve"> </w:t>
      </w:r>
      <w:r>
        <w:t>those</w:t>
      </w:r>
      <w:r>
        <w:rPr>
          <w:spacing w:val="-1"/>
        </w:rPr>
        <w:t xml:space="preserve"> </w:t>
      </w:r>
      <w:r>
        <w:t>goals</w:t>
      </w:r>
      <w:r>
        <w:rPr>
          <w:spacing w:val="-3"/>
        </w:rPr>
        <w:t xml:space="preserve"> </w:t>
      </w:r>
      <w:r>
        <w:t>and</w:t>
      </w:r>
      <w:r>
        <w:rPr>
          <w:spacing w:val="-3"/>
        </w:rPr>
        <w:t xml:space="preserve"> </w:t>
      </w:r>
      <w:r>
        <w:t>report</w:t>
      </w:r>
      <w:r>
        <w:rPr>
          <w:spacing w:val="-1"/>
        </w:rPr>
        <w:t xml:space="preserve"> </w:t>
      </w:r>
      <w:r>
        <w:t>publicly on</w:t>
      </w:r>
      <w:r>
        <w:rPr>
          <w:spacing w:val="-3"/>
        </w:rPr>
        <w:t xml:space="preserve"> </w:t>
      </w:r>
      <w:r>
        <w:t>progress. As a mechanism to achieve this goal, agencies must build and publish an Annual Performance Report</w:t>
      </w:r>
      <w:r>
        <w:rPr>
          <w:spacing w:val="-4"/>
        </w:rPr>
        <w:t xml:space="preserve"> </w:t>
      </w:r>
      <w:r>
        <w:t>(APR),</w:t>
      </w:r>
      <w:r>
        <w:rPr>
          <w:spacing w:val="-5"/>
        </w:rPr>
        <w:t xml:space="preserve"> </w:t>
      </w:r>
      <w:r>
        <w:t>which</w:t>
      </w:r>
      <w:r>
        <w:rPr>
          <w:spacing w:val="-5"/>
        </w:rPr>
        <w:t xml:space="preserve"> </w:t>
      </w:r>
      <w:r>
        <w:t>includes</w:t>
      </w:r>
      <w:r>
        <w:rPr>
          <w:spacing w:val="-5"/>
        </w:rPr>
        <w:t xml:space="preserve"> </w:t>
      </w:r>
      <w:r>
        <w:t>measurable</w:t>
      </w:r>
      <w:r>
        <w:rPr>
          <w:spacing w:val="-5"/>
        </w:rPr>
        <w:t xml:space="preserve"> </w:t>
      </w:r>
      <w:r>
        <w:t>goals,</w:t>
      </w:r>
      <w:r>
        <w:rPr>
          <w:spacing w:val="-5"/>
        </w:rPr>
        <w:t xml:space="preserve"> </w:t>
      </w:r>
      <w:r>
        <w:t>targets,</w:t>
      </w:r>
      <w:r>
        <w:rPr>
          <w:spacing w:val="-3"/>
        </w:rPr>
        <w:t xml:space="preserve"> </w:t>
      </w:r>
      <w:r>
        <w:t>and</w:t>
      </w:r>
      <w:r>
        <w:rPr>
          <w:spacing w:val="-3"/>
        </w:rPr>
        <w:t xml:space="preserve"> </w:t>
      </w:r>
      <w:r>
        <w:t>actuals</w:t>
      </w:r>
      <w:r>
        <w:rPr>
          <w:spacing w:val="-6"/>
        </w:rPr>
        <w:t xml:space="preserve"> </w:t>
      </w:r>
      <w:r>
        <w:t>from</w:t>
      </w:r>
      <w:r>
        <w:rPr>
          <w:spacing w:val="-2"/>
        </w:rPr>
        <w:t xml:space="preserve"> </w:t>
      </w:r>
      <w:r>
        <w:t>the</w:t>
      </w:r>
      <w:r>
        <w:rPr>
          <w:spacing w:val="-3"/>
        </w:rPr>
        <w:t xml:space="preserve"> </w:t>
      </w:r>
      <w:r>
        <w:t>prior</w:t>
      </w:r>
      <w:r>
        <w:rPr>
          <w:spacing w:val="-3"/>
        </w:rPr>
        <w:t xml:space="preserve"> </w:t>
      </w:r>
      <w:r>
        <w:t>fiscal</w:t>
      </w:r>
      <w:r>
        <w:rPr>
          <w:spacing w:val="-5"/>
        </w:rPr>
        <w:t xml:space="preserve"> </w:t>
      </w:r>
      <w:r>
        <w:t>year</w:t>
      </w:r>
      <w:r>
        <w:rPr>
          <w:spacing w:val="-3"/>
        </w:rPr>
        <w:t xml:space="preserve"> </w:t>
      </w:r>
      <w:r>
        <w:t>for all EPA programs. EPA publishes the APR each year alongside the Congressional Justification submitted to the Office of Management and Budget (OMB). Information collected for the EJCPS and EJG2G programs via the methodologies covered by this ICR—including reports from the grantees and input from communities and stakeholders—will be included in the APR.</w:t>
      </w:r>
    </w:p>
    <w:p w:rsidR="006B1911" w:rsidP="00961C50" w14:paraId="319293AC" w14:textId="77777777">
      <w:pPr>
        <w:pStyle w:val="BodyText"/>
      </w:pPr>
    </w:p>
    <w:p w:rsidR="006B1911" w:rsidP="00961C50" w14:paraId="5F37E920" w14:textId="1EAFD9F0">
      <w:pPr>
        <w:pStyle w:val="ListParagraph"/>
        <w:widowControl w:val="0"/>
        <w:numPr>
          <w:ilvl w:val="0"/>
          <w:numId w:val="38"/>
        </w:numPr>
        <w:tabs>
          <w:tab w:val="left" w:pos="840"/>
        </w:tabs>
        <w:autoSpaceDE w:val="0"/>
        <w:autoSpaceDN w:val="0"/>
        <w:spacing w:after="0" w:line="240" w:lineRule="auto"/>
        <w:ind w:right="145"/>
        <w:contextualSpacing w:val="0"/>
      </w:pPr>
      <w:r>
        <w:t xml:space="preserve">The </w:t>
      </w:r>
      <w:r>
        <w:rPr>
          <w:i/>
        </w:rPr>
        <w:t xml:space="preserve">Digital Accountability and Transparency Act of 2014 </w:t>
      </w:r>
      <w:r w:rsidRPr="005D2E8E" w:rsidR="00E739B7">
        <w:rPr>
          <w:i/>
          <w:iCs/>
        </w:rPr>
        <w:t>(</w:t>
      </w:r>
      <w:hyperlink r:id="rId18">
        <w:r w:rsidRPr="005D2E8E" w:rsidR="00E739B7">
          <w:rPr>
            <w:rStyle w:val="Hyperlink"/>
            <w:i/>
            <w:iCs/>
          </w:rPr>
          <w:t>DATA Act</w:t>
        </w:r>
      </w:hyperlink>
      <w:r>
        <w:rPr>
          <w:rStyle w:val="FootnoteReference"/>
        </w:rPr>
        <w:footnoteReference w:id="11"/>
      </w:r>
      <w:r w:rsidRPr="005D2E8E" w:rsidR="00E739B7">
        <w:rPr>
          <w:i/>
          <w:iCs/>
        </w:rPr>
        <w:t>)</w:t>
      </w:r>
      <w:r w:rsidRPr="005D2E8E" w:rsidR="00E739B7">
        <w:t xml:space="preserve"> </w:t>
      </w:r>
      <w:r>
        <w:t>requires the federal government to transform its spending information into open data, and link federal contract, loan, and grant spending information to federal programs to enable more transparent public examination</w:t>
      </w:r>
      <w:r>
        <w:rPr>
          <w:spacing w:val="-6"/>
        </w:rPr>
        <w:t xml:space="preserve"> </w:t>
      </w:r>
      <w:r>
        <w:t>of</w:t>
      </w:r>
      <w:r>
        <w:rPr>
          <w:spacing w:val="-3"/>
        </w:rPr>
        <w:t xml:space="preserve"> </w:t>
      </w:r>
      <w:r>
        <w:t>federal</w:t>
      </w:r>
      <w:r>
        <w:rPr>
          <w:spacing w:val="-5"/>
        </w:rPr>
        <w:t xml:space="preserve"> </w:t>
      </w:r>
      <w:r>
        <w:t>spending.</w:t>
      </w:r>
      <w:r>
        <w:rPr>
          <w:spacing w:val="-3"/>
        </w:rPr>
        <w:t xml:space="preserve"> </w:t>
      </w:r>
      <w:r>
        <w:t>To</w:t>
      </w:r>
      <w:r>
        <w:rPr>
          <w:spacing w:val="-2"/>
        </w:rPr>
        <w:t xml:space="preserve"> </w:t>
      </w:r>
      <w:r>
        <w:t>enable</w:t>
      </w:r>
      <w:r>
        <w:rPr>
          <w:spacing w:val="-3"/>
        </w:rPr>
        <w:t xml:space="preserve"> </w:t>
      </w:r>
      <w:r>
        <w:t>public</w:t>
      </w:r>
      <w:r>
        <w:rPr>
          <w:spacing w:val="-5"/>
        </w:rPr>
        <w:t xml:space="preserve"> </w:t>
      </w:r>
      <w:r>
        <w:t>scrutiny</w:t>
      </w:r>
      <w:r>
        <w:rPr>
          <w:spacing w:val="-2"/>
        </w:rPr>
        <w:t xml:space="preserve"> </w:t>
      </w:r>
      <w:r>
        <w:t>of</w:t>
      </w:r>
      <w:r>
        <w:rPr>
          <w:spacing w:val="-7"/>
        </w:rPr>
        <w:t xml:space="preserve"> </w:t>
      </w:r>
      <w:r>
        <w:t>federal</w:t>
      </w:r>
      <w:r>
        <w:rPr>
          <w:spacing w:val="-5"/>
        </w:rPr>
        <w:t xml:space="preserve"> </w:t>
      </w:r>
      <w:r>
        <w:t>investments,</w:t>
      </w:r>
      <w:r>
        <w:rPr>
          <w:spacing w:val="-3"/>
        </w:rPr>
        <w:t xml:space="preserve"> </w:t>
      </w:r>
      <w:r>
        <w:t>EPA</w:t>
      </w:r>
      <w:r>
        <w:rPr>
          <w:spacing w:val="-5"/>
        </w:rPr>
        <w:t xml:space="preserve"> </w:t>
      </w:r>
      <w:r>
        <w:t>will</w:t>
      </w:r>
      <w:r>
        <w:rPr>
          <w:spacing w:val="-3"/>
        </w:rPr>
        <w:t xml:space="preserve"> </w:t>
      </w:r>
      <w:r>
        <w:t>need to collect information from the grantees about the location of each funded activity and its associated place of performance.</w:t>
      </w:r>
    </w:p>
    <w:p w:rsidR="006B1911" w:rsidP="00961C50" w14:paraId="7EF76C71" w14:textId="77777777">
      <w:pPr>
        <w:sectPr w:rsidSect="006B1911">
          <w:pgSz w:w="12240" w:h="15840"/>
          <w:pgMar w:top="1380" w:right="1340" w:bottom="280" w:left="1320" w:header="722" w:footer="0" w:gutter="0"/>
          <w:cols w:space="720"/>
        </w:sectPr>
      </w:pPr>
    </w:p>
    <w:p w:rsidR="006B1911" w:rsidP="00961C50" w14:paraId="75081E4A" w14:textId="7BA766C0">
      <w:pPr>
        <w:pStyle w:val="ListParagraph"/>
        <w:widowControl w:val="0"/>
        <w:numPr>
          <w:ilvl w:val="0"/>
          <w:numId w:val="38"/>
        </w:numPr>
        <w:tabs>
          <w:tab w:val="left" w:pos="840"/>
        </w:tabs>
        <w:autoSpaceDE w:val="0"/>
        <w:autoSpaceDN w:val="0"/>
        <w:spacing w:before="46" w:after="0" w:line="240" w:lineRule="auto"/>
        <w:ind w:right="230"/>
        <w:contextualSpacing w:val="0"/>
      </w:pPr>
      <w:hyperlink r:id="rId19">
        <w:r w:rsidRPr="00B25638" w:rsidR="00E739B7">
          <w:rPr>
            <w:rStyle w:val="Hyperlink"/>
            <w:i/>
            <w:iCs/>
          </w:rPr>
          <w:t>Justice40</w:t>
        </w:r>
      </w:hyperlink>
      <w:r>
        <w:rPr>
          <w:rStyle w:val="FootnoteReference"/>
        </w:rPr>
        <w:footnoteReference w:id="12"/>
      </w:r>
      <w:r>
        <w:rPr>
          <w:i/>
          <w:color w:val="0000FF"/>
        </w:rPr>
        <w:t xml:space="preserve"> </w:t>
      </w:r>
      <w:r>
        <w:t xml:space="preserve">is a whole-of-government initiative launched by the Biden-Harris Administration in 2021, which represents a commitment to direct 40% of the overall benefits of certain Federal investments to disadvantaged communities that are marginalized, underserved, and overburdened by pollution. As per </w:t>
      </w:r>
      <w:hyperlink r:id="rId20">
        <w:r w:rsidRPr="00B25638" w:rsidR="00E739B7">
          <w:rPr>
            <w:rStyle w:val="Hyperlink"/>
          </w:rPr>
          <w:t>OMB Guidance M-21-28</w:t>
        </w:r>
      </w:hyperlink>
      <w:r>
        <w:rPr>
          <w:rStyle w:val="FootnoteReference"/>
        </w:rPr>
        <w:footnoteReference w:id="13"/>
      </w:r>
      <w:r>
        <w:t>, EPA programs that are covered by this</w:t>
      </w:r>
      <w:r>
        <w:rPr>
          <w:spacing w:val="-3"/>
        </w:rPr>
        <w:t xml:space="preserve"> </w:t>
      </w:r>
      <w:r>
        <w:t>initiative</w:t>
      </w:r>
      <w:r>
        <w:rPr>
          <w:spacing w:val="-5"/>
        </w:rPr>
        <w:t xml:space="preserve"> </w:t>
      </w:r>
      <w:r>
        <w:t>are</w:t>
      </w:r>
      <w:r>
        <w:rPr>
          <w:spacing w:val="-3"/>
        </w:rPr>
        <w:t xml:space="preserve"> </w:t>
      </w:r>
      <w:r>
        <w:t>required</w:t>
      </w:r>
      <w:r>
        <w:rPr>
          <w:spacing w:val="-6"/>
        </w:rPr>
        <w:t xml:space="preserve"> </w:t>
      </w:r>
      <w:r>
        <w:t>to</w:t>
      </w:r>
      <w:r>
        <w:rPr>
          <w:spacing w:val="-2"/>
        </w:rPr>
        <w:t xml:space="preserve"> </w:t>
      </w:r>
      <w:r>
        <w:t>report:</w:t>
      </w:r>
      <w:r>
        <w:rPr>
          <w:spacing w:val="-3"/>
        </w:rPr>
        <w:t xml:space="preserve"> </w:t>
      </w:r>
      <w:r>
        <w:t>(1)</w:t>
      </w:r>
      <w:r>
        <w:rPr>
          <w:spacing w:val="-3"/>
        </w:rPr>
        <w:t xml:space="preserve"> </w:t>
      </w:r>
      <w:r>
        <w:t>investments</w:t>
      </w:r>
      <w:r>
        <w:rPr>
          <w:spacing w:val="-3"/>
        </w:rPr>
        <w:t xml:space="preserve"> </w:t>
      </w:r>
      <w:r>
        <w:t>that</w:t>
      </w:r>
      <w:r>
        <w:rPr>
          <w:spacing w:val="-3"/>
        </w:rPr>
        <w:t xml:space="preserve"> </w:t>
      </w:r>
      <w:r>
        <w:t>go</w:t>
      </w:r>
      <w:r>
        <w:rPr>
          <w:spacing w:val="-4"/>
        </w:rPr>
        <w:t xml:space="preserve"> </w:t>
      </w:r>
      <w:r>
        <w:t>to</w:t>
      </w:r>
      <w:r>
        <w:rPr>
          <w:spacing w:val="-1"/>
        </w:rPr>
        <w:t xml:space="preserve"> </w:t>
      </w:r>
      <w:r>
        <w:t>disadvantaged</w:t>
      </w:r>
      <w:r>
        <w:rPr>
          <w:spacing w:val="-7"/>
        </w:rPr>
        <w:t xml:space="preserve"> </w:t>
      </w:r>
      <w:r>
        <w:t>communities;</w:t>
      </w:r>
      <w:r>
        <w:rPr>
          <w:spacing w:val="-5"/>
        </w:rPr>
        <w:t xml:space="preserve"> </w:t>
      </w:r>
      <w:r>
        <w:t>(2) program outcomes and benefits for disadvantaged communities; and (3) community engagement</w:t>
      </w:r>
      <w:r>
        <w:rPr>
          <w:spacing w:val="-4"/>
        </w:rPr>
        <w:t xml:space="preserve"> </w:t>
      </w:r>
      <w:r>
        <w:t>and</w:t>
      </w:r>
      <w:r>
        <w:rPr>
          <w:spacing w:val="-6"/>
        </w:rPr>
        <w:t xml:space="preserve"> </w:t>
      </w:r>
      <w:r>
        <w:t>stakeholder</w:t>
      </w:r>
      <w:r>
        <w:rPr>
          <w:spacing w:val="-4"/>
        </w:rPr>
        <w:t xml:space="preserve"> </w:t>
      </w:r>
      <w:r>
        <w:t>consultation</w:t>
      </w:r>
      <w:r>
        <w:rPr>
          <w:spacing w:val="-6"/>
        </w:rPr>
        <w:t xml:space="preserve"> </w:t>
      </w:r>
      <w:r>
        <w:t>with</w:t>
      </w:r>
      <w:r>
        <w:rPr>
          <w:spacing w:val="-7"/>
        </w:rPr>
        <w:t xml:space="preserve"> </w:t>
      </w:r>
      <w:r>
        <w:t>disadvantaged</w:t>
      </w:r>
      <w:r>
        <w:rPr>
          <w:spacing w:val="-6"/>
        </w:rPr>
        <w:t xml:space="preserve"> </w:t>
      </w:r>
      <w:r>
        <w:t>communities</w:t>
      </w:r>
      <w:r>
        <w:rPr>
          <w:spacing w:val="-7"/>
        </w:rPr>
        <w:t xml:space="preserve"> </w:t>
      </w:r>
      <w:r>
        <w:t>and</w:t>
      </w:r>
      <w:r>
        <w:rPr>
          <w:spacing w:val="-6"/>
        </w:rPr>
        <w:t xml:space="preserve"> </w:t>
      </w:r>
      <w:r>
        <w:t>their</w:t>
      </w:r>
      <w:r>
        <w:rPr>
          <w:spacing w:val="-4"/>
        </w:rPr>
        <w:t xml:space="preserve"> </w:t>
      </w:r>
      <w:r>
        <w:t>partners. To fulfill the reporting requirements regarding the location of investments and benefits, EPA must collect information from each grantee about the location of each funded activity and its area of impact, at the appropriate and feasible level of specificity.</w:t>
      </w:r>
    </w:p>
    <w:p w:rsidR="006B1911" w:rsidP="00961C50" w14:paraId="537EE4CF" w14:textId="77777777">
      <w:pPr>
        <w:pStyle w:val="BodyText"/>
      </w:pPr>
    </w:p>
    <w:p w:rsidR="00B13F75" w:rsidRPr="000B1741" w:rsidP="00961C50" w14:paraId="62137FDF" w14:textId="755012AD">
      <w:pPr>
        <w:pStyle w:val="ListParagraph"/>
        <w:widowControl w:val="0"/>
        <w:numPr>
          <w:ilvl w:val="0"/>
          <w:numId w:val="38"/>
        </w:numPr>
        <w:tabs>
          <w:tab w:val="left" w:pos="840"/>
        </w:tabs>
        <w:autoSpaceDE w:val="0"/>
        <w:autoSpaceDN w:val="0"/>
        <w:spacing w:after="0" w:line="240" w:lineRule="auto"/>
        <w:ind w:right="171"/>
        <w:contextualSpacing w:val="0"/>
      </w:pPr>
      <w:r>
        <w:t xml:space="preserve">The </w:t>
      </w:r>
      <w:r>
        <w:rPr>
          <w:i/>
        </w:rPr>
        <w:t xml:space="preserve">Foundations for Evidence-Based Policymaking Act of 2018 </w:t>
      </w:r>
      <w:r w:rsidRPr="00B25638" w:rsidR="00AC1F88">
        <w:rPr>
          <w:i/>
          <w:iCs/>
        </w:rPr>
        <w:t>(</w:t>
      </w:r>
      <w:hyperlink r:id="rId21" w:history="1">
        <w:r w:rsidRPr="00761BDB" w:rsidR="00AC1F88">
          <w:rPr>
            <w:rStyle w:val="Hyperlink"/>
            <w:i/>
            <w:iCs/>
          </w:rPr>
          <w:t>Evidence Act</w:t>
        </w:r>
      </w:hyperlink>
      <w:r>
        <w:rPr>
          <w:rStyle w:val="FootnoteReference"/>
          <w:i/>
          <w:iCs/>
        </w:rPr>
        <w:footnoteReference w:id="14"/>
      </w:r>
      <w:r w:rsidRPr="00B25638" w:rsidR="00AC1F88">
        <w:rPr>
          <w:i/>
          <w:iCs/>
        </w:rPr>
        <w:t>)</w:t>
      </w:r>
      <w:r w:rsidRPr="00B25638" w:rsidR="00AC1F88">
        <w:t xml:space="preserve"> </w:t>
      </w:r>
      <w:r>
        <w:t>provides a federal framework for agencies to work with</w:t>
      </w:r>
      <w:r>
        <w:rPr>
          <w:spacing w:val="-3"/>
        </w:rPr>
        <w:t xml:space="preserve"> </w:t>
      </w:r>
      <w:r>
        <w:t>stakeholders to</w:t>
      </w:r>
      <w:r>
        <w:rPr>
          <w:spacing w:val="-1"/>
        </w:rPr>
        <w:t xml:space="preserve"> </w:t>
      </w:r>
      <w:r>
        <w:t>promote a</w:t>
      </w:r>
      <w:r>
        <w:rPr>
          <w:spacing w:val="-1"/>
        </w:rPr>
        <w:t xml:space="preserve"> </w:t>
      </w:r>
      <w:r>
        <w:t>culture</w:t>
      </w:r>
      <w:r>
        <w:rPr>
          <w:spacing w:val="-1"/>
        </w:rPr>
        <w:t xml:space="preserve"> </w:t>
      </w:r>
      <w:r>
        <w:t>of</w:t>
      </w:r>
      <w:r>
        <w:rPr>
          <w:spacing w:val="-1"/>
        </w:rPr>
        <w:t xml:space="preserve"> </w:t>
      </w:r>
      <w:r>
        <w:t>continuous learning, and decision-making using the best available evidence. This legislation asks agencies to (1) produce measures and indicators; (2) use data to improve day-to-day operations; (3) advance the rigorous use of evidence as a routine part of planning and budget development; and (4) incorporate evidence in decision-making</w:t>
      </w:r>
      <w:r>
        <w:rPr>
          <w:spacing w:val="-2"/>
        </w:rPr>
        <w:t xml:space="preserve"> </w:t>
      </w:r>
      <w:r>
        <w:t>and</w:t>
      </w:r>
      <w:r>
        <w:rPr>
          <w:spacing w:val="-2"/>
        </w:rPr>
        <w:t xml:space="preserve"> </w:t>
      </w:r>
      <w:r>
        <w:t>reporting. Information</w:t>
      </w:r>
      <w:r>
        <w:rPr>
          <w:spacing w:val="-2"/>
        </w:rPr>
        <w:t xml:space="preserve"> </w:t>
      </w:r>
      <w:r>
        <w:t>collected</w:t>
      </w:r>
      <w:r>
        <w:rPr>
          <w:spacing w:val="-2"/>
        </w:rPr>
        <w:t xml:space="preserve"> </w:t>
      </w:r>
      <w:r>
        <w:t>for</w:t>
      </w:r>
      <w:r>
        <w:rPr>
          <w:spacing w:val="-5"/>
        </w:rPr>
        <w:t xml:space="preserve"> </w:t>
      </w:r>
      <w:r>
        <w:t>the EJCPS</w:t>
      </w:r>
      <w:r>
        <w:rPr>
          <w:spacing w:val="-2"/>
        </w:rPr>
        <w:t xml:space="preserve"> </w:t>
      </w:r>
      <w:r>
        <w:t>and EJG2G programs via the post-award reports submitted by the grantees will help develop an evidence base to address the effectiveness, efficiency, and equity of the EJCPS and EJG2G programs’ activities. This evidence base, in turn, will address needs related to organizational learning, ongoing program management, performance management, strategic management, interagency</w:t>
      </w:r>
      <w:r>
        <w:rPr>
          <w:spacing w:val="-5"/>
        </w:rPr>
        <w:t xml:space="preserve"> </w:t>
      </w:r>
      <w:r>
        <w:t>and</w:t>
      </w:r>
      <w:r>
        <w:rPr>
          <w:spacing w:val="-3"/>
        </w:rPr>
        <w:t xml:space="preserve"> </w:t>
      </w:r>
      <w:r>
        <w:t>private</w:t>
      </w:r>
      <w:r>
        <w:rPr>
          <w:spacing w:val="-3"/>
        </w:rPr>
        <w:t xml:space="preserve"> </w:t>
      </w:r>
      <w:r>
        <w:t>sector</w:t>
      </w:r>
      <w:r>
        <w:rPr>
          <w:spacing w:val="-5"/>
        </w:rPr>
        <w:t xml:space="preserve"> </w:t>
      </w:r>
      <w:r>
        <w:t>coordination,</w:t>
      </w:r>
      <w:r>
        <w:rPr>
          <w:spacing w:val="-3"/>
        </w:rPr>
        <w:t xml:space="preserve"> </w:t>
      </w:r>
      <w:r>
        <w:t>internal</w:t>
      </w:r>
      <w:r>
        <w:rPr>
          <w:spacing w:val="-9"/>
        </w:rPr>
        <w:t xml:space="preserve"> </w:t>
      </w:r>
      <w:r>
        <w:t>and</w:t>
      </w:r>
      <w:r>
        <w:rPr>
          <w:spacing w:val="-5"/>
        </w:rPr>
        <w:t xml:space="preserve"> </w:t>
      </w:r>
      <w:r>
        <w:t>external</w:t>
      </w:r>
      <w:r>
        <w:rPr>
          <w:spacing w:val="-5"/>
        </w:rPr>
        <w:t xml:space="preserve"> </w:t>
      </w:r>
      <w:r>
        <w:t>oversight,</w:t>
      </w:r>
      <w:r>
        <w:rPr>
          <w:spacing w:val="-5"/>
        </w:rPr>
        <w:t xml:space="preserve"> </w:t>
      </w:r>
      <w:r>
        <w:t>and</w:t>
      </w:r>
      <w:r>
        <w:rPr>
          <w:spacing w:val="-7"/>
        </w:rPr>
        <w:t xml:space="preserve"> </w:t>
      </w:r>
      <w:r>
        <w:t>accountability.</w:t>
      </w:r>
    </w:p>
    <w:p w:rsidR="00D47CB3" w:rsidRPr="00E3122D" w:rsidP="00961C50" w14:paraId="24F38A28" w14:textId="22639E1D">
      <w:pPr>
        <w:pStyle w:val="Heading1"/>
      </w:pPr>
      <w:r>
        <w:t xml:space="preserve">2. </w:t>
      </w:r>
      <w:bookmarkStart w:id="3" w:name="_Toc156593369"/>
      <w:r w:rsidRPr="00E3122D" w:rsidR="00BD12E4">
        <w:t>PRACTICAL UTILITY/USERS OF THE DATA</w:t>
      </w:r>
      <w:bookmarkEnd w:id="3"/>
    </w:p>
    <w:p w:rsidR="004252C1" w:rsidRPr="00D47CB3" w:rsidP="00961C50"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A3FBC" w:rsidP="00961C50" w14:paraId="3960A2D9" w14:textId="77777777">
      <w:pPr>
        <w:spacing w:after="0"/>
        <w:contextualSpacing/>
        <w:rPr>
          <w:rFonts w:cstheme="minorHAnsi"/>
          <w:u w:val="single"/>
        </w:rPr>
      </w:pPr>
    </w:p>
    <w:p w:rsidR="005B5BA4" w:rsidP="00961C50" w14:paraId="171B8F2E" w14:textId="64289CA9">
      <w:pPr>
        <w:pStyle w:val="BodyText"/>
      </w:pPr>
      <w:r>
        <w:t>EPA</w:t>
      </w:r>
      <w:r>
        <w:rPr>
          <w:spacing w:val="-6"/>
        </w:rPr>
        <w:t xml:space="preserve"> </w:t>
      </w:r>
      <w:r>
        <w:t>will</w:t>
      </w:r>
      <w:r>
        <w:rPr>
          <w:spacing w:val="-2"/>
        </w:rPr>
        <w:t xml:space="preserve"> </w:t>
      </w:r>
      <w:r>
        <w:t>collect</w:t>
      </w:r>
      <w:r>
        <w:rPr>
          <w:spacing w:val="-5"/>
        </w:rPr>
        <w:t xml:space="preserve"> </w:t>
      </w:r>
      <w:r>
        <w:t>information</w:t>
      </w:r>
      <w:r>
        <w:rPr>
          <w:spacing w:val="-4"/>
        </w:rPr>
        <w:t xml:space="preserve"> </w:t>
      </w:r>
      <w:r>
        <w:t>from</w:t>
      </w:r>
      <w:r>
        <w:rPr>
          <w:spacing w:val="-2"/>
        </w:rPr>
        <w:t xml:space="preserve"> </w:t>
      </w:r>
      <w:r>
        <w:t>each</w:t>
      </w:r>
      <w:r>
        <w:rPr>
          <w:spacing w:val="-4"/>
        </w:rPr>
        <w:t xml:space="preserve"> </w:t>
      </w:r>
      <w:r>
        <w:t>grantee</w:t>
      </w:r>
      <w:r>
        <w:rPr>
          <w:spacing w:val="-2"/>
        </w:rPr>
        <w:t xml:space="preserve"> </w:t>
      </w:r>
      <w:r>
        <w:t>across</w:t>
      </w:r>
      <w:r>
        <w:rPr>
          <w:spacing w:val="-5"/>
        </w:rPr>
        <w:t xml:space="preserve"> </w:t>
      </w:r>
      <w:r w:rsidR="002C67B9">
        <w:t>two</w:t>
      </w:r>
      <w:r w:rsidR="002C67B9">
        <w:rPr>
          <w:spacing w:val="-2"/>
        </w:rPr>
        <w:t xml:space="preserve"> </w:t>
      </w:r>
      <w:r>
        <w:t>post-award</w:t>
      </w:r>
      <w:r>
        <w:rPr>
          <w:spacing w:val="-6"/>
        </w:rPr>
        <w:t xml:space="preserve"> </w:t>
      </w:r>
      <w:r>
        <w:t>instruments:</w:t>
      </w:r>
      <w:r>
        <w:rPr>
          <w:spacing w:val="-2"/>
        </w:rPr>
        <w:t xml:space="preserve"> </w:t>
      </w:r>
      <w:r>
        <w:t>(1)</w:t>
      </w:r>
      <w:r>
        <w:rPr>
          <w:spacing w:val="-3"/>
        </w:rPr>
        <w:t xml:space="preserve"> </w:t>
      </w:r>
      <w:r>
        <w:t>progress</w:t>
      </w:r>
      <w:r>
        <w:rPr>
          <w:spacing w:val="-5"/>
        </w:rPr>
        <w:t xml:space="preserve"> </w:t>
      </w:r>
      <w:r>
        <w:t>reports</w:t>
      </w:r>
      <w:r>
        <w:rPr>
          <w:spacing w:val="-5"/>
        </w:rPr>
        <w:t xml:space="preserve"> </w:t>
      </w:r>
      <w:r>
        <w:t>and</w:t>
      </w:r>
      <w:r>
        <w:rPr>
          <w:spacing w:val="-5"/>
        </w:rPr>
        <w:t xml:space="preserve"> </w:t>
      </w:r>
      <w:r>
        <w:t>(</w:t>
      </w:r>
      <w:r w:rsidR="002C67B9">
        <w:t>2</w:t>
      </w:r>
      <w:r>
        <w:t>)</w:t>
      </w:r>
      <w:r>
        <w:rPr>
          <w:spacing w:val="-3"/>
        </w:rPr>
        <w:t xml:space="preserve"> </w:t>
      </w:r>
      <w:r>
        <w:t>final</w:t>
      </w:r>
      <w:r>
        <w:rPr>
          <w:spacing w:val="-3"/>
        </w:rPr>
        <w:t xml:space="preserve"> </w:t>
      </w:r>
      <w:r>
        <w:t>reports.</w:t>
      </w:r>
      <w:r>
        <w:rPr>
          <w:spacing w:val="-3"/>
        </w:rPr>
        <w:t xml:space="preserve"> </w:t>
      </w:r>
      <w:r>
        <w:t>EPA</w:t>
      </w:r>
      <w:r>
        <w:rPr>
          <w:spacing w:val="-5"/>
        </w:rPr>
        <w:t xml:space="preserve"> </w:t>
      </w:r>
      <w:r>
        <w:t>will</w:t>
      </w:r>
      <w:r>
        <w:rPr>
          <w:spacing w:val="-3"/>
        </w:rPr>
        <w:t xml:space="preserve"> </w:t>
      </w:r>
      <w:r>
        <w:t>use</w:t>
      </w:r>
      <w:r>
        <w:rPr>
          <w:spacing w:val="-5"/>
        </w:rPr>
        <w:t xml:space="preserve"> </w:t>
      </w:r>
      <w:r>
        <w:t>this</w:t>
      </w:r>
      <w:r>
        <w:rPr>
          <w:spacing w:val="-3"/>
        </w:rPr>
        <w:t xml:space="preserve"> </w:t>
      </w:r>
      <w:r>
        <w:t>information</w:t>
      </w:r>
      <w:r>
        <w:rPr>
          <w:spacing w:val="-3"/>
        </w:rPr>
        <w:t xml:space="preserve"> </w:t>
      </w:r>
      <w:r>
        <w:t>to</w:t>
      </w:r>
      <w:r>
        <w:rPr>
          <w:spacing w:val="-5"/>
        </w:rPr>
        <w:t xml:space="preserve"> </w:t>
      </w:r>
      <w:r>
        <w:t>verify</w:t>
      </w:r>
      <w:r>
        <w:rPr>
          <w:spacing w:val="-2"/>
        </w:rPr>
        <w:t xml:space="preserve"> </w:t>
      </w:r>
      <w:r>
        <w:t>that</w:t>
      </w:r>
      <w:r>
        <w:rPr>
          <w:spacing w:val="-3"/>
        </w:rPr>
        <w:t xml:space="preserve"> </w:t>
      </w:r>
      <w:r>
        <w:t>recipients</w:t>
      </w:r>
      <w:r>
        <w:rPr>
          <w:spacing w:val="-3"/>
        </w:rPr>
        <w:t xml:space="preserve"> </w:t>
      </w:r>
      <w:r>
        <w:t>are</w:t>
      </w:r>
      <w:r>
        <w:rPr>
          <w:spacing w:val="-5"/>
        </w:rPr>
        <w:t xml:space="preserve"> </w:t>
      </w:r>
      <w:r>
        <w:t>using Federal</w:t>
      </w:r>
      <w:r>
        <w:rPr>
          <w:spacing w:val="-3"/>
        </w:rPr>
        <w:t xml:space="preserve"> </w:t>
      </w:r>
      <w:r>
        <w:t>funds</w:t>
      </w:r>
      <w:r>
        <w:rPr>
          <w:spacing w:val="-3"/>
        </w:rPr>
        <w:t xml:space="preserve"> </w:t>
      </w:r>
      <w:r>
        <w:t>appropriately</w:t>
      </w:r>
      <w:r>
        <w:rPr>
          <w:spacing w:val="-2"/>
        </w:rPr>
        <w:t xml:space="preserve"> </w:t>
      </w:r>
      <w:r>
        <w:t>to</w:t>
      </w:r>
      <w:r>
        <w:rPr>
          <w:spacing w:val="-3"/>
        </w:rPr>
        <w:t xml:space="preserve"> </w:t>
      </w:r>
      <w:r>
        <w:t>comply</w:t>
      </w:r>
      <w:r>
        <w:rPr>
          <w:spacing w:val="-4"/>
        </w:rPr>
        <w:t xml:space="preserve"> </w:t>
      </w:r>
      <w:r>
        <w:t>with</w:t>
      </w:r>
      <w:r>
        <w:rPr>
          <w:spacing w:val="-4"/>
        </w:rPr>
        <w:t xml:space="preserve"> </w:t>
      </w:r>
      <w:r>
        <w:t>Federal</w:t>
      </w:r>
      <w:r>
        <w:rPr>
          <w:spacing w:val="-3"/>
        </w:rPr>
        <w:t xml:space="preserve"> </w:t>
      </w:r>
      <w:r>
        <w:t>requirements;</w:t>
      </w:r>
      <w:r>
        <w:rPr>
          <w:spacing w:val="-2"/>
        </w:rPr>
        <w:t xml:space="preserve"> </w:t>
      </w:r>
      <w:r>
        <w:t>assess</w:t>
      </w:r>
      <w:r>
        <w:rPr>
          <w:spacing w:val="-5"/>
        </w:rPr>
        <w:t xml:space="preserve"> </w:t>
      </w:r>
      <w:r>
        <w:t>the</w:t>
      </w:r>
      <w:r>
        <w:rPr>
          <w:spacing w:val="-3"/>
        </w:rPr>
        <w:t xml:space="preserve"> </w:t>
      </w:r>
      <w:r>
        <w:t>status</w:t>
      </w:r>
      <w:r>
        <w:rPr>
          <w:spacing w:val="-3"/>
        </w:rPr>
        <w:t xml:space="preserve"> </w:t>
      </w:r>
      <w:r>
        <w:t>of</w:t>
      </w:r>
      <w:r>
        <w:rPr>
          <w:spacing w:val="-4"/>
        </w:rPr>
        <w:t xml:space="preserve"> </w:t>
      </w:r>
      <w:r>
        <w:t>grant</w:t>
      </w:r>
      <w:r>
        <w:rPr>
          <w:spacing w:val="-4"/>
        </w:rPr>
        <w:t xml:space="preserve"> </w:t>
      </w:r>
      <w:r>
        <w:t>efforts;</w:t>
      </w:r>
      <w:r>
        <w:rPr>
          <w:spacing w:val="-2"/>
        </w:rPr>
        <w:t xml:space="preserve"> </w:t>
      </w:r>
      <w:r>
        <w:t>and track outcomes required for Federal reporting.</w:t>
      </w:r>
    </w:p>
    <w:p w:rsidR="00B713C0" w:rsidP="00961C50" w14:paraId="3531F384" w14:textId="77777777">
      <w:pPr>
        <w:pStyle w:val="BodyText"/>
      </w:pPr>
    </w:p>
    <w:p w:rsidR="003F2EF3" w:rsidRPr="000B1741" w:rsidP="00961C50" w14:paraId="37767A16" w14:textId="0259F1E4">
      <w:pPr>
        <w:pStyle w:val="BodyText"/>
        <w:spacing w:before="46" w:line="480" w:lineRule="auto"/>
        <w:ind w:right="3793"/>
        <w:rPr>
          <w:b/>
          <w:bCs/>
        </w:rPr>
      </w:pPr>
      <w:r w:rsidRPr="000B1741">
        <w:rPr>
          <w:b/>
          <w:bCs/>
        </w:rPr>
        <w:t>Progress Reports</w:t>
      </w:r>
    </w:p>
    <w:p w:rsidR="003F2EF3" w:rsidP="00961C50" w14:paraId="57365FB4" w14:textId="77777777">
      <w:pPr>
        <w:pStyle w:val="BodyText"/>
        <w:ind w:right="219"/>
      </w:pPr>
      <w:r>
        <w:t>EPA will collect semi-annual progress reports from each grantee for the duration of the funding period.</w:t>
      </w:r>
      <w:r>
        <w:rPr>
          <w:spacing w:val="-3"/>
        </w:rPr>
        <w:t xml:space="preserve"> </w:t>
      </w:r>
      <w:r>
        <w:t>This</w:t>
      </w:r>
      <w:r>
        <w:rPr>
          <w:spacing w:val="-5"/>
        </w:rPr>
        <w:t xml:space="preserve"> </w:t>
      </w:r>
      <w:r>
        <w:t>timeline</w:t>
      </w:r>
      <w:r>
        <w:rPr>
          <w:spacing w:val="-5"/>
        </w:rPr>
        <w:t xml:space="preserve"> </w:t>
      </w:r>
      <w:r>
        <w:t>was</w:t>
      </w:r>
      <w:r>
        <w:rPr>
          <w:spacing w:val="-3"/>
        </w:rPr>
        <w:t xml:space="preserve"> </w:t>
      </w:r>
      <w:r>
        <w:t>chosen</w:t>
      </w:r>
      <w:r>
        <w:rPr>
          <w:spacing w:val="-3"/>
        </w:rPr>
        <w:t xml:space="preserve"> </w:t>
      </w:r>
      <w:r>
        <w:t>based</w:t>
      </w:r>
      <w:r>
        <w:rPr>
          <w:spacing w:val="-5"/>
        </w:rPr>
        <w:t xml:space="preserve"> </w:t>
      </w:r>
      <w:r>
        <w:t>on</w:t>
      </w:r>
      <w:r>
        <w:rPr>
          <w:spacing w:val="-5"/>
        </w:rPr>
        <w:t xml:space="preserve"> </w:t>
      </w:r>
      <w:r>
        <w:t>the</w:t>
      </w:r>
      <w:r>
        <w:rPr>
          <w:spacing w:val="-3"/>
        </w:rPr>
        <w:t xml:space="preserve"> </w:t>
      </w:r>
      <w:r>
        <w:t>schedule</w:t>
      </w:r>
      <w:r>
        <w:rPr>
          <w:spacing w:val="-3"/>
        </w:rPr>
        <w:t xml:space="preserve"> </w:t>
      </w:r>
      <w:r>
        <w:t>along</w:t>
      </w:r>
      <w:r>
        <w:rPr>
          <w:spacing w:val="-5"/>
        </w:rPr>
        <w:t xml:space="preserve"> </w:t>
      </w:r>
      <w:r>
        <w:t>which</w:t>
      </w:r>
      <w:r>
        <w:rPr>
          <w:spacing w:val="-5"/>
        </w:rPr>
        <w:t xml:space="preserve"> </w:t>
      </w:r>
      <w:r>
        <w:t>progress</w:t>
      </w:r>
      <w:r>
        <w:rPr>
          <w:spacing w:val="-5"/>
        </w:rPr>
        <w:t xml:space="preserve"> </w:t>
      </w:r>
      <w:r>
        <w:t>on</w:t>
      </w:r>
      <w:r>
        <w:rPr>
          <w:spacing w:val="-5"/>
        </w:rPr>
        <w:t xml:space="preserve"> </w:t>
      </w:r>
      <w:r>
        <w:t>project</w:t>
      </w:r>
      <w:r>
        <w:rPr>
          <w:spacing w:val="-3"/>
        </w:rPr>
        <w:t xml:space="preserve"> </w:t>
      </w:r>
      <w:r>
        <w:t>activities can be documented and reported.</w:t>
      </w:r>
    </w:p>
    <w:p w:rsidR="003F2EF3" w:rsidP="00961C50" w14:paraId="5C0261B1" w14:textId="3CFBEFDD">
      <w:pPr>
        <w:pStyle w:val="BodyText"/>
        <w:spacing w:before="268"/>
        <w:ind w:right="254"/>
      </w:pPr>
      <w:r>
        <w:t>In</w:t>
      </w:r>
      <w:r>
        <w:rPr>
          <w:spacing w:val="-5"/>
        </w:rPr>
        <w:t xml:space="preserve"> </w:t>
      </w:r>
      <w:r>
        <w:t>line</w:t>
      </w:r>
      <w:r>
        <w:rPr>
          <w:spacing w:val="-3"/>
        </w:rPr>
        <w:t xml:space="preserve"> </w:t>
      </w:r>
      <w:r>
        <w:t>with</w:t>
      </w:r>
      <w:r>
        <w:rPr>
          <w:spacing w:val="-3"/>
        </w:rPr>
        <w:t xml:space="preserve"> </w:t>
      </w:r>
      <w:r>
        <w:t>Agency</w:t>
      </w:r>
      <w:r>
        <w:rPr>
          <w:spacing w:val="-2"/>
        </w:rPr>
        <w:t xml:space="preserve"> </w:t>
      </w:r>
      <w:r>
        <w:t>strategic</w:t>
      </w:r>
      <w:r>
        <w:rPr>
          <w:spacing w:val="-3"/>
        </w:rPr>
        <w:t xml:space="preserve"> </w:t>
      </w:r>
      <w:r>
        <w:t>goals,</w:t>
      </w:r>
      <w:r>
        <w:rPr>
          <w:spacing w:val="-5"/>
        </w:rPr>
        <w:t xml:space="preserve"> </w:t>
      </w:r>
      <w:r>
        <w:t>EJCPS</w:t>
      </w:r>
      <w:r>
        <w:rPr>
          <w:spacing w:val="-5"/>
        </w:rPr>
        <w:t xml:space="preserve"> </w:t>
      </w:r>
      <w:r>
        <w:t>and</w:t>
      </w:r>
      <w:r>
        <w:rPr>
          <w:spacing w:val="-3"/>
        </w:rPr>
        <w:t xml:space="preserve"> </w:t>
      </w:r>
      <w:r>
        <w:t>EJG2G</w:t>
      </w:r>
      <w:r>
        <w:rPr>
          <w:spacing w:val="-6"/>
        </w:rPr>
        <w:t xml:space="preserve"> </w:t>
      </w:r>
      <w:r>
        <w:t>program</w:t>
      </w:r>
      <w:r>
        <w:rPr>
          <w:spacing w:val="-5"/>
        </w:rPr>
        <w:t xml:space="preserve"> </w:t>
      </w:r>
      <w:r>
        <w:t>objectives,</w:t>
      </w:r>
      <w:r>
        <w:rPr>
          <w:spacing w:val="-7"/>
        </w:rPr>
        <w:t xml:space="preserve"> </w:t>
      </w:r>
      <w:r>
        <w:t>and</w:t>
      </w:r>
      <w:r>
        <w:rPr>
          <w:spacing w:val="-5"/>
        </w:rPr>
        <w:t xml:space="preserve"> </w:t>
      </w:r>
      <w:r>
        <w:t>submitted</w:t>
      </w:r>
      <w:r>
        <w:rPr>
          <w:spacing w:val="-3"/>
        </w:rPr>
        <w:t xml:space="preserve"> </w:t>
      </w:r>
      <w:r>
        <w:t>workplans, each</w:t>
      </w:r>
      <w:r>
        <w:rPr>
          <w:spacing w:val="-1"/>
        </w:rPr>
        <w:t xml:space="preserve"> </w:t>
      </w:r>
      <w:r>
        <w:t>grantee will</w:t>
      </w:r>
      <w:r>
        <w:rPr>
          <w:spacing w:val="-4"/>
        </w:rPr>
        <w:t xml:space="preserve"> </w:t>
      </w:r>
      <w:r>
        <w:t>be asked</w:t>
      </w:r>
      <w:r>
        <w:rPr>
          <w:spacing w:val="-2"/>
        </w:rPr>
        <w:t xml:space="preserve"> </w:t>
      </w:r>
      <w:r>
        <w:t xml:space="preserve">to provide </w:t>
      </w:r>
      <w:r w:rsidR="00992A84">
        <w:rPr>
          <w:b/>
        </w:rPr>
        <w:t>six</w:t>
      </w:r>
      <w:r w:rsidR="00992A84">
        <w:rPr>
          <w:b/>
          <w:spacing w:val="-1"/>
        </w:rPr>
        <w:t xml:space="preserve"> </w:t>
      </w:r>
      <w:r>
        <w:rPr>
          <w:b/>
        </w:rPr>
        <w:t>categories of</w:t>
      </w:r>
      <w:r>
        <w:rPr>
          <w:b/>
          <w:spacing w:val="-1"/>
        </w:rPr>
        <w:t xml:space="preserve"> </w:t>
      </w:r>
      <w:r>
        <w:rPr>
          <w:b/>
        </w:rPr>
        <w:t xml:space="preserve">information </w:t>
      </w:r>
      <w:r>
        <w:t>in</w:t>
      </w:r>
      <w:r>
        <w:rPr>
          <w:spacing w:val="-1"/>
        </w:rPr>
        <w:t xml:space="preserve"> </w:t>
      </w:r>
      <w:r>
        <w:t>the</w:t>
      </w:r>
      <w:r>
        <w:rPr>
          <w:spacing w:val="-1"/>
        </w:rPr>
        <w:t xml:space="preserve"> </w:t>
      </w:r>
      <w:r>
        <w:t>progress</w:t>
      </w:r>
      <w:r>
        <w:rPr>
          <w:spacing w:val="-1"/>
        </w:rPr>
        <w:t xml:space="preserve"> </w:t>
      </w:r>
      <w:r>
        <w:t>reports</w:t>
      </w:r>
      <w:r>
        <w:rPr>
          <w:spacing w:val="-1"/>
        </w:rPr>
        <w:t xml:space="preserve"> </w:t>
      </w:r>
      <w:r>
        <w:t>that cover the specified six-month reporting period:</w:t>
      </w:r>
    </w:p>
    <w:p w:rsidR="004025E6" w:rsidP="00961C50" w14:paraId="56286E1C" w14:textId="7949BADB">
      <w:pPr>
        <w:pStyle w:val="ListParagraph"/>
        <w:widowControl w:val="0"/>
        <w:numPr>
          <w:ilvl w:val="0"/>
          <w:numId w:val="42"/>
        </w:numPr>
        <w:tabs>
          <w:tab w:val="left" w:pos="1379"/>
        </w:tabs>
        <w:autoSpaceDE w:val="0"/>
        <w:autoSpaceDN w:val="0"/>
        <w:spacing w:after="0" w:line="240" w:lineRule="auto"/>
        <w:ind w:left="810" w:hanging="359"/>
        <w:contextualSpacing w:val="0"/>
      </w:pPr>
      <w:r w:rsidRPr="00FD37B6">
        <w:t>Project Activities, Milestones, and Special Considerations</w:t>
      </w:r>
      <w:r w:rsidRPr="00FD37B6">
        <w:t xml:space="preserve"> </w:t>
      </w:r>
    </w:p>
    <w:p w:rsidR="004025E6" w:rsidP="00961C50" w14:paraId="0AED72ED" w14:textId="5D5AB692">
      <w:pPr>
        <w:pStyle w:val="ListParagraph"/>
        <w:widowControl w:val="0"/>
        <w:numPr>
          <w:ilvl w:val="0"/>
          <w:numId w:val="42"/>
        </w:numPr>
        <w:tabs>
          <w:tab w:val="left" w:pos="1379"/>
        </w:tabs>
        <w:autoSpaceDE w:val="0"/>
        <w:autoSpaceDN w:val="0"/>
        <w:spacing w:before="1" w:after="0" w:line="240" w:lineRule="auto"/>
        <w:ind w:left="810" w:hanging="359"/>
        <w:contextualSpacing w:val="0"/>
      </w:pPr>
      <w:r w:rsidRPr="002C2004">
        <w:t>Progress to Date</w:t>
      </w:r>
      <w:r>
        <w:t xml:space="preserve"> </w:t>
      </w:r>
    </w:p>
    <w:p w:rsidR="004025E6" w:rsidP="00961C50" w14:paraId="1CC3A82C" w14:textId="2B74CA75">
      <w:pPr>
        <w:pStyle w:val="ListParagraph"/>
        <w:widowControl w:val="0"/>
        <w:numPr>
          <w:ilvl w:val="0"/>
          <w:numId w:val="42"/>
        </w:numPr>
        <w:tabs>
          <w:tab w:val="left" w:pos="1379"/>
        </w:tabs>
        <w:autoSpaceDE w:val="0"/>
        <w:autoSpaceDN w:val="0"/>
        <w:spacing w:after="0" w:line="267" w:lineRule="exact"/>
        <w:ind w:left="810" w:hanging="359"/>
        <w:contextualSpacing w:val="0"/>
      </w:pPr>
      <w:r w:rsidRPr="00C07F58">
        <w:t>Program Management Updates</w:t>
      </w:r>
      <w:r w:rsidRPr="00C07F58">
        <w:t xml:space="preserve"> </w:t>
      </w:r>
    </w:p>
    <w:p w:rsidR="004025E6" w:rsidP="00961C50" w14:paraId="28F502E5" w14:textId="18F1B27D">
      <w:pPr>
        <w:pStyle w:val="ListParagraph"/>
        <w:widowControl w:val="0"/>
        <w:numPr>
          <w:ilvl w:val="0"/>
          <w:numId w:val="42"/>
        </w:numPr>
        <w:tabs>
          <w:tab w:val="left" w:pos="1379"/>
        </w:tabs>
        <w:autoSpaceDE w:val="0"/>
        <w:autoSpaceDN w:val="0"/>
        <w:spacing w:after="0" w:line="267" w:lineRule="exact"/>
        <w:ind w:left="810" w:hanging="359"/>
        <w:contextualSpacing w:val="0"/>
      </w:pPr>
      <w:r w:rsidRPr="000422BD">
        <w:t>Look Ahead</w:t>
      </w:r>
      <w:r w:rsidRPr="000422BD">
        <w:t xml:space="preserve"> </w:t>
      </w:r>
    </w:p>
    <w:p w:rsidR="004025E6" w:rsidP="00961C50" w14:paraId="1D26DC66" w14:textId="77777777">
      <w:pPr>
        <w:pStyle w:val="ListParagraph"/>
        <w:widowControl w:val="0"/>
        <w:numPr>
          <w:ilvl w:val="0"/>
          <w:numId w:val="42"/>
        </w:numPr>
        <w:tabs>
          <w:tab w:val="left" w:pos="1379"/>
        </w:tabs>
        <w:autoSpaceDE w:val="0"/>
        <w:autoSpaceDN w:val="0"/>
        <w:spacing w:before="1" w:after="0" w:line="240" w:lineRule="auto"/>
        <w:ind w:left="810" w:hanging="359"/>
        <w:contextualSpacing w:val="0"/>
      </w:pPr>
      <w:r w:rsidRPr="00BC386A">
        <w:t>Feedback</w:t>
      </w:r>
    </w:p>
    <w:p w:rsidR="003F2EF3" w:rsidP="00961C50" w14:paraId="0B9BCE7C" w14:textId="77777777">
      <w:pPr>
        <w:pStyle w:val="ListParagraph"/>
        <w:widowControl w:val="0"/>
        <w:numPr>
          <w:ilvl w:val="0"/>
          <w:numId w:val="42"/>
        </w:numPr>
        <w:tabs>
          <w:tab w:val="left" w:pos="1379"/>
        </w:tabs>
        <w:autoSpaceDE w:val="0"/>
        <w:autoSpaceDN w:val="0"/>
        <w:spacing w:before="1" w:after="0" w:line="240" w:lineRule="auto"/>
        <w:ind w:left="810" w:hanging="359"/>
        <w:contextualSpacing w:val="0"/>
      </w:pPr>
      <w:r>
        <w:t>Optional:</w:t>
      </w:r>
      <w:r>
        <w:rPr>
          <w:spacing w:val="-4"/>
        </w:rPr>
        <w:t xml:space="preserve"> </w:t>
      </w:r>
      <w:r>
        <w:t>Images</w:t>
      </w:r>
      <w:r>
        <w:rPr>
          <w:spacing w:val="-2"/>
        </w:rPr>
        <w:t xml:space="preserve"> </w:t>
      </w:r>
      <w:r>
        <w:t>of</w:t>
      </w:r>
      <w:r>
        <w:rPr>
          <w:spacing w:val="-1"/>
        </w:rPr>
        <w:t xml:space="preserve"> </w:t>
      </w:r>
      <w:r>
        <w:t>key</w:t>
      </w:r>
      <w:r>
        <w:rPr>
          <w:spacing w:val="-4"/>
        </w:rPr>
        <w:t xml:space="preserve"> </w:t>
      </w:r>
      <w:r>
        <w:t>activities</w:t>
      </w:r>
      <w:r>
        <w:rPr>
          <w:spacing w:val="-4"/>
        </w:rPr>
        <w:t xml:space="preserve"> </w:t>
      </w:r>
      <w:r>
        <w:t>and</w:t>
      </w:r>
      <w:r>
        <w:rPr>
          <w:spacing w:val="-3"/>
        </w:rPr>
        <w:t xml:space="preserve"> </w:t>
      </w:r>
      <w:r>
        <w:rPr>
          <w:spacing w:val="-2"/>
        </w:rPr>
        <w:t>events</w:t>
      </w:r>
    </w:p>
    <w:p w:rsidR="003F2EF3" w:rsidP="00961C50" w14:paraId="734D1EAB" w14:textId="77777777">
      <w:pPr>
        <w:pStyle w:val="BodyText"/>
      </w:pPr>
    </w:p>
    <w:p w:rsidR="003F2EF3" w:rsidP="00961C50" w14:paraId="709E8C17" w14:textId="77777777">
      <w:pPr>
        <w:pStyle w:val="BodyText"/>
        <w:ind w:right="172"/>
      </w:pPr>
      <w:r>
        <w:t>EPA will use these reports to determine progress in relation to the approved schedule and milestones during the project. Tracking progress at regular intervals</w:t>
      </w:r>
      <w:r>
        <w:rPr>
          <w:spacing w:val="-1"/>
        </w:rPr>
        <w:t xml:space="preserve"> </w:t>
      </w:r>
      <w:r>
        <w:t>will enable EPA to identify and address issues in a timely manner, thus ensuring responsible stewardship of public funds and transparent accountability to the American public. Collection of the information will also facilitate the</w:t>
      </w:r>
      <w:r>
        <w:rPr>
          <w:spacing w:val="-2"/>
        </w:rPr>
        <w:t xml:space="preserve"> </w:t>
      </w:r>
      <w:r>
        <w:t>collection</w:t>
      </w:r>
      <w:r>
        <w:rPr>
          <w:spacing w:val="-4"/>
        </w:rPr>
        <w:t xml:space="preserve"> </w:t>
      </w:r>
      <w:r>
        <w:t>and</w:t>
      </w:r>
      <w:r>
        <w:rPr>
          <w:spacing w:val="-3"/>
        </w:rPr>
        <w:t xml:space="preserve"> </w:t>
      </w:r>
      <w:r>
        <w:t>dissemination</w:t>
      </w:r>
      <w:r>
        <w:rPr>
          <w:spacing w:val="-4"/>
        </w:rPr>
        <w:t xml:space="preserve"> </w:t>
      </w:r>
      <w:r>
        <w:t>of</w:t>
      </w:r>
      <w:r>
        <w:rPr>
          <w:spacing w:val="-3"/>
        </w:rPr>
        <w:t xml:space="preserve"> </w:t>
      </w:r>
      <w:r>
        <w:t>success</w:t>
      </w:r>
      <w:r>
        <w:rPr>
          <w:spacing w:val="-6"/>
        </w:rPr>
        <w:t xml:space="preserve"> </w:t>
      </w:r>
      <w:r>
        <w:t>stories</w:t>
      </w:r>
      <w:r>
        <w:rPr>
          <w:spacing w:val="-1"/>
        </w:rPr>
        <w:t xml:space="preserve"> </w:t>
      </w:r>
      <w:r>
        <w:t>and</w:t>
      </w:r>
      <w:r>
        <w:rPr>
          <w:spacing w:val="-6"/>
        </w:rPr>
        <w:t xml:space="preserve"> </w:t>
      </w:r>
      <w:r>
        <w:t>best</w:t>
      </w:r>
      <w:r>
        <w:rPr>
          <w:spacing w:val="-3"/>
        </w:rPr>
        <w:t xml:space="preserve"> </w:t>
      </w:r>
      <w:r>
        <w:t>practices</w:t>
      </w:r>
      <w:r>
        <w:rPr>
          <w:spacing w:val="-5"/>
        </w:rPr>
        <w:t xml:space="preserve"> </w:t>
      </w:r>
      <w:r>
        <w:t>in</w:t>
      </w:r>
      <w:r>
        <w:rPr>
          <w:spacing w:val="-3"/>
        </w:rPr>
        <w:t xml:space="preserve"> </w:t>
      </w:r>
      <w:r>
        <w:t>real</w:t>
      </w:r>
      <w:r>
        <w:rPr>
          <w:spacing w:val="-4"/>
        </w:rPr>
        <w:t xml:space="preserve"> </w:t>
      </w:r>
      <w:r>
        <w:t>time,</w:t>
      </w:r>
      <w:r>
        <w:rPr>
          <w:spacing w:val="-4"/>
        </w:rPr>
        <w:t xml:space="preserve"> </w:t>
      </w:r>
      <w:r>
        <w:t>thus</w:t>
      </w:r>
      <w:r>
        <w:rPr>
          <w:spacing w:val="-3"/>
        </w:rPr>
        <w:t xml:space="preserve"> </w:t>
      </w:r>
      <w:r>
        <w:t>contributing to learning and improvement across the grantees within the EJCPS and EJG2G programs.</w:t>
      </w:r>
    </w:p>
    <w:p w:rsidR="003F2EF3" w:rsidRPr="000B1741" w:rsidP="00961C50" w14:paraId="0D7145DF" w14:textId="77777777">
      <w:pPr>
        <w:pStyle w:val="BodyText"/>
        <w:spacing w:before="268"/>
        <w:rPr>
          <w:b/>
          <w:bCs/>
        </w:rPr>
      </w:pPr>
      <w:r w:rsidRPr="000B1741">
        <w:rPr>
          <w:b/>
          <w:bCs/>
        </w:rPr>
        <w:t>Final</w:t>
      </w:r>
      <w:r w:rsidRPr="000B1741">
        <w:rPr>
          <w:b/>
          <w:bCs/>
          <w:spacing w:val="-4"/>
        </w:rPr>
        <w:t xml:space="preserve"> </w:t>
      </w:r>
      <w:r w:rsidRPr="000B1741">
        <w:rPr>
          <w:b/>
          <w:bCs/>
          <w:spacing w:val="-2"/>
        </w:rPr>
        <w:t>Reports</w:t>
      </w:r>
    </w:p>
    <w:p w:rsidR="003F2EF3" w:rsidP="00961C50" w14:paraId="4D9224B3" w14:textId="77777777">
      <w:pPr>
        <w:pStyle w:val="BodyText"/>
      </w:pPr>
    </w:p>
    <w:p w:rsidR="003F2EF3" w:rsidP="00961C50" w14:paraId="7A96B2B4" w14:textId="77777777">
      <w:pPr>
        <w:pStyle w:val="BodyText"/>
      </w:pPr>
      <w:r>
        <w:t>The</w:t>
      </w:r>
      <w:r>
        <w:rPr>
          <w:spacing w:val="-2"/>
        </w:rPr>
        <w:t xml:space="preserve"> </w:t>
      </w:r>
      <w:r>
        <w:t>final</w:t>
      </w:r>
      <w:r>
        <w:rPr>
          <w:spacing w:val="-3"/>
        </w:rPr>
        <w:t xml:space="preserve"> </w:t>
      </w:r>
      <w:r>
        <w:t>report</w:t>
      </w:r>
      <w:r>
        <w:rPr>
          <w:spacing w:val="-5"/>
        </w:rPr>
        <w:t xml:space="preserve"> </w:t>
      </w:r>
      <w:r>
        <w:t>will</w:t>
      </w:r>
      <w:r>
        <w:rPr>
          <w:spacing w:val="-3"/>
        </w:rPr>
        <w:t xml:space="preserve"> </w:t>
      </w:r>
      <w:r>
        <w:t>summarize</w:t>
      </w:r>
      <w:r>
        <w:rPr>
          <w:spacing w:val="-3"/>
        </w:rPr>
        <w:t xml:space="preserve"> </w:t>
      </w:r>
      <w:r>
        <w:t>each</w:t>
      </w:r>
      <w:r>
        <w:rPr>
          <w:spacing w:val="-5"/>
        </w:rPr>
        <w:t xml:space="preserve"> </w:t>
      </w:r>
      <w:r>
        <w:t>grantee’s</w:t>
      </w:r>
      <w:r>
        <w:rPr>
          <w:spacing w:val="-6"/>
        </w:rPr>
        <w:t xml:space="preserve"> </w:t>
      </w:r>
      <w:r>
        <w:t>work</w:t>
      </w:r>
      <w:r>
        <w:rPr>
          <w:spacing w:val="-5"/>
        </w:rPr>
        <w:t xml:space="preserve"> </w:t>
      </w:r>
      <w:r>
        <w:t>on</w:t>
      </w:r>
      <w:r>
        <w:rPr>
          <w:spacing w:val="-5"/>
        </w:rPr>
        <w:t xml:space="preserve"> </w:t>
      </w:r>
      <w:r>
        <w:t>the</w:t>
      </w:r>
      <w:r>
        <w:rPr>
          <w:spacing w:val="-3"/>
        </w:rPr>
        <w:t xml:space="preserve"> </w:t>
      </w:r>
      <w:r>
        <w:t>project</w:t>
      </w:r>
      <w:r>
        <w:rPr>
          <w:spacing w:val="-6"/>
        </w:rPr>
        <w:t xml:space="preserve"> </w:t>
      </w:r>
      <w:r>
        <w:t>during</w:t>
      </w:r>
      <w:r>
        <w:rPr>
          <w:spacing w:val="-3"/>
        </w:rPr>
        <w:t xml:space="preserve"> </w:t>
      </w:r>
      <w:r>
        <w:t>the</w:t>
      </w:r>
      <w:r>
        <w:rPr>
          <w:spacing w:val="-3"/>
        </w:rPr>
        <w:t xml:space="preserve"> </w:t>
      </w:r>
      <w:r>
        <w:t>entire</w:t>
      </w:r>
      <w:r>
        <w:rPr>
          <w:spacing w:val="-3"/>
        </w:rPr>
        <w:t xml:space="preserve"> </w:t>
      </w:r>
      <w:r>
        <w:t>period</w:t>
      </w:r>
      <w:r>
        <w:rPr>
          <w:spacing w:val="-5"/>
        </w:rPr>
        <w:t xml:space="preserve"> </w:t>
      </w:r>
      <w:r>
        <w:t>of performance, and the extent to which the work has met the project’s objectives.</w:t>
      </w:r>
    </w:p>
    <w:p w:rsidR="003F2EF3" w:rsidP="00961C50" w14:paraId="02528EC4" w14:textId="77777777">
      <w:pPr>
        <w:pStyle w:val="BodyText"/>
        <w:spacing w:before="1"/>
      </w:pPr>
    </w:p>
    <w:p w:rsidR="003F2EF3" w:rsidP="00961C50" w14:paraId="343BB3EB" w14:textId="2DB11734">
      <w:pPr>
        <w:pStyle w:val="BodyText"/>
      </w:pPr>
      <w:r>
        <w:t>In line with Agency strategic goals, the EJCPS and EJG2G program objectives, and submitted workplans,</w:t>
      </w:r>
      <w:r>
        <w:rPr>
          <w:spacing w:val="-6"/>
        </w:rPr>
        <w:t xml:space="preserve"> </w:t>
      </w:r>
      <w:r>
        <w:t>each</w:t>
      </w:r>
      <w:r>
        <w:rPr>
          <w:spacing w:val="-6"/>
        </w:rPr>
        <w:t xml:space="preserve"> </w:t>
      </w:r>
      <w:r>
        <w:t>grantee</w:t>
      </w:r>
      <w:r>
        <w:rPr>
          <w:spacing w:val="-4"/>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report</w:t>
      </w:r>
      <w:r>
        <w:rPr>
          <w:spacing w:val="-3"/>
        </w:rPr>
        <w:t xml:space="preserve"> </w:t>
      </w:r>
      <w:r>
        <w:t>on</w:t>
      </w:r>
      <w:r>
        <w:rPr>
          <w:spacing w:val="-4"/>
        </w:rPr>
        <w:t xml:space="preserve"> </w:t>
      </w:r>
      <w:r w:rsidR="004E190F">
        <w:t>four</w:t>
      </w:r>
      <w:r w:rsidR="004E190F">
        <w:rPr>
          <w:spacing w:val="-4"/>
        </w:rPr>
        <w:t xml:space="preserve"> </w:t>
      </w:r>
      <w:r>
        <w:t>categories</w:t>
      </w:r>
      <w:r>
        <w:rPr>
          <w:spacing w:val="-6"/>
        </w:rPr>
        <w:t xml:space="preserve"> </w:t>
      </w:r>
      <w:r>
        <w:t>of</w:t>
      </w:r>
      <w:r>
        <w:rPr>
          <w:spacing w:val="-4"/>
        </w:rPr>
        <w:t xml:space="preserve"> </w:t>
      </w:r>
      <w:r>
        <w:t>information</w:t>
      </w:r>
      <w:r>
        <w:rPr>
          <w:spacing w:val="-2"/>
        </w:rPr>
        <w:t xml:space="preserve"> </w:t>
      </w:r>
      <w:r>
        <w:t>in</w:t>
      </w:r>
      <w:r>
        <w:rPr>
          <w:spacing w:val="-4"/>
        </w:rPr>
        <w:t xml:space="preserve"> </w:t>
      </w:r>
      <w:r>
        <w:t>the</w:t>
      </w:r>
      <w:r>
        <w:rPr>
          <w:spacing w:val="-1"/>
        </w:rPr>
        <w:t xml:space="preserve"> </w:t>
      </w:r>
      <w:r>
        <w:t>final</w:t>
      </w:r>
      <w:r>
        <w:rPr>
          <w:spacing w:val="-2"/>
        </w:rPr>
        <w:t xml:space="preserve"> </w:t>
      </w:r>
      <w:r>
        <w:t>reports:</w:t>
      </w:r>
    </w:p>
    <w:p w:rsidR="00A20196" w:rsidP="00961C50" w14:paraId="5343ACA5" w14:textId="2C36FCDA">
      <w:pPr>
        <w:pStyle w:val="ListParagraph"/>
        <w:widowControl w:val="0"/>
        <w:numPr>
          <w:ilvl w:val="0"/>
          <w:numId w:val="41"/>
        </w:numPr>
        <w:tabs>
          <w:tab w:val="left" w:pos="1020"/>
          <w:tab w:val="left" w:pos="1080"/>
        </w:tabs>
        <w:autoSpaceDE w:val="0"/>
        <w:autoSpaceDN w:val="0"/>
        <w:spacing w:before="1" w:after="0" w:line="267" w:lineRule="exact"/>
        <w:ind w:left="810" w:hanging="359"/>
        <w:contextualSpacing w:val="0"/>
      </w:pPr>
      <w:r w:rsidRPr="00A20196">
        <w:t>Project Summary and Overview</w:t>
      </w:r>
      <w:r w:rsidRPr="00A20196">
        <w:t xml:space="preserve"> </w:t>
      </w:r>
    </w:p>
    <w:p w:rsidR="00C723AC" w:rsidP="00961C50" w14:paraId="2CA67C93" w14:textId="7469B9D5">
      <w:pPr>
        <w:pStyle w:val="ListParagraph"/>
        <w:widowControl w:val="0"/>
        <w:numPr>
          <w:ilvl w:val="0"/>
          <w:numId w:val="41"/>
        </w:numPr>
        <w:tabs>
          <w:tab w:val="left" w:pos="1020"/>
          <w:tab w:val="left" w:pos="1080"/>
        </w:tabs>
        <w:autoSpaceDE w:val="0"/>
        <w:autoSpaceDN w:val="0"/>
        <w:spacing w:after="0" w:line="267" w:lineRule="exact"/>
        <w:ind w:left="810" w:hanging="359"/>
        <w:contextualSpacing w:val="0"/>
      </w:pPr>
      <w:r w:rsidRPr="00C723AC">
        <w:t>Project Accomplishments by Work Area</w:t>
      </w:r>
      <w:r w:rsidRPr="00C723AC">
        <w:t xml:space="preserve"> </w:t>
      </w:r>
    </w:p>
    <w:p w:rsidR="00B1537E" w:rsidP="00961C50" w14:paraId="2F426FE1" w14:textId="62A6E6ED">
      <w:pPr>
        <w:pStyle w:val="ListParagraph"/>
        <w:widowControl w:val="0"/>
        <w:numPr>
          <w:ilvl w:val="0"/>
          <w:numId w:val="41"/>
        </w:numPr>
        <w:tabs>
          <w:tab w:val="left" w:pos="1020"/>
          <w:tab w:val="left" w:pos="1080"/>
        </w:tabs>
        <w:autoSpaceDE w:val="0"/>
        <w:autoSpaceDN w:val="0"/>
        <w:spacing w:after="0" w:line="240" w:lineRule="auto"/>
        <w:ind w:left="810" w:hanging="359"/>
        <w:contextualSpacing w:val="0"/>
      </w:pPr>
      <w:r w:rsidRPr="00B1537E">
        <w:t>Feedback</w:t>
      </w:r>
      <w:r w:rsidRPr="00B1537E">
        <w:t xml:space="preserve"> </w:t>
      </w:r>
    </w:p>
    <w:p w:rsidR="004E190F" w:rsidP="00961C50" w14:paraId="3BC5C30E" w14:textId="45606B7E">
      <w:pPr>
        <w:pStyle w:val="ListParagraph"/>
        <w:widowControl w:val="0"/>
        <w:numPr>
          <w:ilvl w:val="0"/>
          <w:numId w:val="41"/>
        </w:numPr>
        <w:tabs>
          <w:tab w:val="left" w:pos="1020"/>
          <w:tab w:val="left" w:pos="1080"/>
        </w:tabs>
        <w:autoSpaceDE w:val="0"/>
        <w:autoSpaceDN w:val="0"/>
        <w:spacing w:after="0" w:line="240" w:lineRule="auto"/>
        <w:ind w:left="810" w:hanging="359"/>
        <w:contextualSpacing w:val="0"/>
      </w:pPr>
      <w:r w:rsidRPr="004E190F">
        <w:t>Optional Project Photos (not required)</w:t>
      </w:r>
    </w:p>
    <w:p w:rsidR="005B5BA4" w:rsidP="00961C50" w14:paraId="7D6891D0" w14:textId="77777777">
      <w:pPr>
        <w:pStyle w:val="BodyText"/>
      </w:pPr>
    </w:p>
    <w:p w:rsidR="002E6F96" w:rsidRPr="00BB3410" w:rsidP="00961C50" w14:paraId="17F1869F" w14:textId="20019B9C">
      <w:pPr>
        <w:pStyle w:val="BodyText"/>
      </w:pPr>
      <w:r>
        <w:t>EPA</w:t>
      </w:r>
      <w:r>
        <w:rPr>
          <w:spacing w:val="-5"/>
        </w:rPr>
        <w:t xml:space="preserve"> </w:t>
      </w:r>
      <w:r>
        <w:t>will</w:t>
      </w:r>
      <w:r>
        <w:rPr>
          <w:spacing w:val="-3"/>
        </w:rPr>
        <w:t xml:space="preserve"> </w:t>
      </w:r>
      <w:r>
        <w:t>use</w:t>
      </w:r>
      <w:r>
        <w:rPr>
          <w:spacing w:val="-5"/>
        </w:rPr>
        <w:t xml:space="preserve"> </w:t>
      </w:r>
      <w:r>
        <w:t>the</w:t>
      </w:r>
      <w:r>
        <w:rPr>
          <w:spacing w:val="-3"/>
        </w:rPr>
        <w:t xml:space="preserve"> </w:t>
      </w:r>
      <w:r>
        <w:t>final</w:t>
      </w:r>
      <w:r>
        <w:rPr>
          <w:spacing w:val="-3"/>
        </w:rPr>
        <w:t xml:space="preserve"> </w:t>
      </w:r>
      <w:r>
        <w:t>reports</w:t>
      </w:r>
      <w:r>
        <w:rPr>
          <w:spacing w:val="-1"/>
        </w:rPr>
        <w:t xml:space="preserve"> </w:t>
      </w:r>
      <w:r>
        <w:t>to</w:t>
      </w:r>
      <w:r>
        <w:rPr>
          <w:spacing w:val="-3"/>
        </w:rPr>
        <w:t xml:space="preserve"> </w:t>
      </w:r>
      <w:r>
        <w:t>assess</w:t>
      </w:r>
      <w:r>
        <w:rPr>
          <w:spacing w:val="-5"/>
        </w:rPr>
        <w:t xml:space="preserve"> </w:t>
      </w:r>
      <w:r>
        <w:t>and</w:t>
      </w:r>
      <w:r>
        <w:rPr>
          <w:spacing w:val="-5"/>
        </w:rPr>
        <w:t xml:space="preserve"> </w:t>
      </w:r>
      <w:r>
        <w:t>report</w:t>
      </w:r>
      <w:r>
        <w:rPr>
          <w:spacing w:val="-3"/>
        </w:rPr>
        <w:t xml:space="preserve"> </w:t>
      </w:r>
      <w:r>
        <w:t>the</w:t>
      </w:r>
      <w:r>
        <w:rPr>
          <w:spacing w:val="-6"/>
        </w:rPr>
        <w:t xml:space="preserve"> </w:t>
      </w:r>
      <w:r>
        <w:t>grantees’</w:t>
      </w:r>
      <w:r>
        <w:rPr>
          <w:spacing w:val="-3"/>
        </w:rPr>
        <w:t xml:space="preserve"> </w:t>
      </w:r>
      <w:r>
        <w:t>performance</w:t>
      </w:r>
      <w:r>
        <w:rPr>
          <w:spacing w:val="-5"/>
        </w:rPr>
        <w:t xml:space="preserve"> </w:t>
      </w:r>
      <w:r>
        <w:t>relative</w:t>
      </w:r>
      <w:r>
        <w:rPr>
          <w:spacing w:val="-5"/>
        </w:rPr>
        <w:t xml:space="preserve"> </w:t>
      </w:r>
      <w:r>
        <w:t>to</w:t>
      </w:r>
      <w:r>
        <w:rPr>
          <w:spacing w:val="-3"/>
        </w:rPr>
        <w:t xml:space="preserve"> </w:t>
      </w:r>
      <w:r>
        <w:t xml:space="preserve">program </w:t>
      </w:r>
      <w:r>
        <w:rPr>
          <w:spacing w:val="-2"/>
        </w:rPr>
        <w:t>objectives.</w:t>
      </w:r>
    </w:p>
    <w:p w:rsidR="00074917" w:rsidRPr="00E3122D" w:rsidP="00961C50" w14:paraId="1522D565" w14:textId="7D0662F2">
      <w:pPr>
        <w:pStyle w:val="Heading1"/>
      </w:pPr>
      <w:r>
        <w:t>3</w:t>
      </w:r>
      <w:r w:rsidR="006227A8">
        <w:t xml:space="preserve">. </w:t>
      </w:r>
      <w:bookmarkStart w:id="4" w:name="_Toc156593370"/>
      <w:r w:rsidRPr="00E3122D" w:rsidR="00313941">
        <w:t>USE OF TECHNOLOGY</w:t>
      </w:r>
      <w:bookmarkEnd w:id="4"/>
    </w:p>
    <w:p w:rsidR="00D47CB3" w:rsidRPr="001F0834" w:rsidP="00961C50" w14:paraId="50A4BA09" w14:textId="59E05A1D">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w:t>
      </w:r>
      <w:r w:rsidR="00961C50">
        <w:rPr>
          <w:rFonts w:ascii="Calibri" w:hAnsi="Calibri" w:cs="Calibri"/>
          <w:i/>
          <w:iCs/>
          <w:color w:val="000000"/>
          <w:shd w:val="clear" w:color="auto" w:fill="FFFFFF"/>
        </w:rPr>
        <w:t>a</w:t>
      </w:r>
      <w:r w:rsidRPr="001F0834">
        <w:rPr>
          <w:rFonts w:ascii="Calibri" w:hAnsi="Calibri" w:cs="Calibri"/>
          <w:i/>
          <w:iCs/>
          <w:color w:val="000000"/>
          <w:shd w:val="clear" w:color="auto" w:fill="FFFFFF"/>
        </w:rPr>
        <w:t>pting this means of collection. Also describe any consideration of using information technology to reduce burden.</w:t>
      </w:r>
    </w:p>
    <w:p w:rsidR="00FE5680" w:rsidP="00961C50" w14:paraId="12278ACB" w14:textId="77777777">
      <w:pPr>
        <w:pStyle w:val="BodyText"/>
      </w:pPr>
    </w:p>
    <w:p w:rsidR="00FE5680" w:rsidP="00961C50" w14:paraId="120457DA" w14:textId="7A93CA4C">
      <w:pPr>
        <w:pStyle w:val="BodyText"/>
        <w:ind w:right="123"/>
      </w:pPr>
      <w:r>
        <w:t xml:space="preserve">With this ICR, EPA is seeking approval to require funding recipients to submit information via specified </w:t>
      </w:r>
      <w:r w:rsidR="00C557F2">
        <w:t>progress and final</w:t>
      </w:r>
      <w:r>
        <w:rPr>
          <w:spacing w:val="-3"/>
        </w:rPr>
        <w:t xml:space="preserve"> </w:t>
      </w:r>
      <w:r>
        <w:t>reporting</w:t>
      </w:r>
      <w:r>
        <w:rPr>
          <w:spacing w:val="-1"/>
        </w:rPr>
        <w:t xml:space="preserve"> </w:t>
      </w:r>
      <w:r>
        <w:t>forms,</w:t>
      </w:r>
      <w:r>
        <w:rPr>
          <w:spacing w:val="-1"/>
        </w:rPr>
        <w:t xml:space="preserve"> </w:t>
      </w:r>
      <w:r>
        <w:t>which</w:t>
      </w:r>
      <w:r>
        <w:rPr>
          <w:spacing w:val="-4"/>
        </w:rPr>
        <w:t xml:space="preserve"> </w:t>
      </w:r>
      <w:r>
        <w:t>will</w:t>
      </w:r>
      <w:r>
        <w:rPr>
          <w:spacing w:val="-1"/>
        </w:rPr>
        <w:t xml:space="preserve"> </w:t>
      </w:r>
      <w:r>
        <w:t>substantially reduce</w:t>
      </w:r>
      <w:r>
        <w:rPr>
          <w:spacing w:val="-1"/>
        </w:rPr>
        <w:t xml:space="preserve"> </w:t>
      </w:r>
      <w:r>
        <w:t>the</w:t>
      </w:r>
      <w:r>
        <w:rPr>
          <w:spacing w:val="-3"/>
        </w:rPr>
        <w:t xml:space="preserve"> </w:t>
      </w:r>
      <w:r>
        <w:t>burden</w:t>
      </w:r>
      <w:r>
        <w:rPr>
          <w:spacing w:val="-3"/>
        </w:rPr>
        <w:t xml:space="preserve"> </w:t>
      </w:r>
      <w:r>
        <w:t>on</w:t>
      </w:r>
      <w:r>
        <w:rPr>
          <w:spacing w:val="-5"/>
        </w:rPr>
        <w:t xml:space="preserve"> </w:t>
      </w:r>
      <w:r>
        <w:t>respondents</w:t>
      </w:r>
      <w:r>
        <w:rPr>
          <w:spacing w:val="-1"/>
        </w:rPr>
        <w:t xml:space="preserve"> </w:t>
      </w:r>
      <w:r>
        <w:t>and</w:t>
      </w:r>
      <w:r>
        <w:rPr>
          <w:spacing w:val="-3"/>
        </w:rPr>
        <w:t xml:space="preserve"> </w:t>
      </w:r>
      <w:r>
        <w:t>EPA</w:t>
      </w:r>
      <w:r>
        <w:rPr>
          <w:spacing w:val="-3"/>
        </w:rPr>
        <w:t xml:space="preserve"> </w:t>
      </w:r>
      <w:r>
        <w:t>staff</w:t>
      </w:r>
      <w:r>
        <w:rPr>
          <w:spacing w:val="-3"/>
        </w:rPr>
        <w:t xml:space="preserve"> </w:t>
      </w:r>
      <w:r>
        <w:t>by collapsing</w:t>
      </w:r>
      <w:r>
        <w:rPr>
          <w:spacing w:val="-3"/>
        </w:rPr>
        <w:t xml:space="preserve"> </w:t>
      </w:r>
      <w:r>
        <w:t>what</w:t>
      </w:r>
      <w:r>
        <w:rPr>
          <w:spacing w:val="-6"/>
        </w:rPr>
        <w:t xml:space="preserve"> </w:t>
      </w:r>
      <w:r>
        <w:t>could</w:t>
      </w:r>
      <w:r>
        <w:rPr>
          <w:spacing w:val="-5"/>
        </w:rPr>
        <w:t xml:space="preserve"> </w:t>
      </w:r>
      <w:r>
        <w:t>be</w:t>
      </w:r>
      <w:r>
        <w:rPr>
          <w:spacing w:val="-3"/>
        </w:rPr>
        <w:t xml:space="preserve"> </w:t>
      </w:r>
      <w:r>
        <w:t>extensive</w:t>
      </w:r>
      <w:r>
        <w:rPr>
          <w:spacing w:val="-5"/>
        </w:rPr>
        <w:t xml:space="preserve"> </w:t>
      </w:r>
      <w:r>
        <w:t>written</w:t>
      </w:r>
      <w:r>
        <w:rPr>
          <w:spacing w:val="-3"/>
        </w:rPr>
        <w:t xml:space="preserve"> </w:t>
      </w:r>
      <w:r>
        <w:t>narratives</w:t>
      </w:r>
      <w:r>
        <w:rPr>
          <w:spacing w:val="-5"/>
        </w:rPr>
        <w:t xml:space="preserve"> </w:t>
      </w:r>
      <w:r>
        <w:t>into</w:t>
      </w:r>
      <w:r>
        <w:rPr>
          <w:spacing w:val="-2"/>
        </w:rPr>
        <w:t xml:space="preserve"> </w:t>
      </w:r>
      <w:r>
        <w:t>concise,</w:t>
      </w:r>
      <w:r>
        <w:rPr>
          <w:spacing w:val="-3"/>
        </w:rPr>
        <w:t xml:space="preserve"> </w:t>
      </w:r>
      <w:r>
        <w:t>specific</w:t>
      </w:r>
      <w:r>
        <w:rPr>
          <w:spacing w:val="-3"/>
        </w:rPr>
        <w:t xml:space="preserve"> </w:t>
      </w:r>
      <w:r>
        <w:t>data</w:t>
      </w:r>
      <w:r>
        <w:rPr>
          <w:spacing w:val="-5"/>
        </w:rPr>
        <w:t xml:space="preserve"> </w:t>
      </w:r>
      <w:r>
        <w:t>fields.</w:t>
      </w:r>
      <w:r>
        <w:rPr>
          <w:spacing w:val="-5"/>
        </w:rPr>
        <w:t xml:space="preserve"> </w:t>
      </w:r>
      <w:r>
        <w:t>This</w:t>
      </w:r>
      <w:r>
        <w:rPr>
          <w:spacing w:val="-3"/>
        </w:rPr>
        <w:t xml:space="preserve"> </w:t>
      </w:r>
      <w:r>
        <w:t>approach</w:t>
      </w:r>
      <w:r>
        <w:rPr>
          <w:spacing w:val="-5"/>
        </w:rPr>
        <w:t xml:space="preserve"> </w:t>
      </w:r>
      <w:r>
        <w:t>will also</w:t>
      </w:r>
      <w:r>
        <w:rPr>
          <w:spacing w:val="-2"/>
        </w:rPr>
        <w:t xml:space="preserve"> </w:t>
      </w:r>
      <w:r>
        <w:t>improve</w:t>
      </w:r>
      <w:r>
        <w:rPr>
          <w:spacing w:val="-4"/>
        </w:rPr>
        <w:t xml:space="preserve"> </w:t>
      </w:r>
      <w:r>
        <w:t>the</w:t>
      </w:r>
      <w:r>
        <w:rPr>
          <w:spacing w:val="-4"/>
        </w:rPr>
        <w:t xml:space="preserve"> </w:t>
      </w:r>
      <w:r>
        <w:t>accuracy</w:t>
      </w:r>
      <w:r>
        <w:rPr>
          <w:spacing w:val="-2"/>
        </w:rPr>
        <w:t xml:space="preserve"> </w:t>
      </w:r>
      <w:r>
        <w:t>of</w:t>
      </w:r>
      <w:r>
        <w:rPr>
          <w:spacing w:val="-2"/>
        </w:rPr>
        <w:t xml:space="preserve"> </w:t>
      </w:r>
      <w:r>
        <w:t>data</w:t>
      </w:r>
      <w:r>
        <w:rPr>
          <w:spacing w:val="-4"/>
        </w:rPr>
        <w:t xml:space="preserve"> </w:t>
      </w:r>
      <w:r>
        <w:t>collected</w:t>
      </w:r>
      <w:r>
        <w:rPr>
          <w:spacing w:val="-2"/>
        </w:rPr>
        <w:t xml:space="preserve"> </w:t>
      </w:r>
      <w:r>
        <w:t>by</w:t>
      </w:r>
      <w:r>
        <w:rPr>
          <w:spacing w:val="-2"/>
        </w:rPr>
        <w:t xml:space="preserve"> </w:t>
      </w:r>
      <w:r>
        <w:t>each</w:t>
      </w:r>
      <w:r>
        <w:rPr>
          <w:spacing w:val="-4"/>
        </w:rPr>
        <w:t xml:space="preserve"> </w:t>
      </w:r>
      <w:r>
        <w:t>grantee and</w:t>
      </w:r>
      <w:r>
        <w:rPr>
          <w:spacing w:val="-5"/>
        </w:rPr>
        <w:t xml:space="preserve"> </w:t>
      </w:r>
      <w:r>
        <w:t>the</w:t>
      </w:r>
      <w:r>
        <w:rPr>
          <w:spacing w:val="-2"/>
        </w:rPr>
        <w:t xml:space="preserve"> </w:t>
      </w:r>
      <w:r>
        <w:t>consistency</w:t>
      </w:r>
      <w:r>
        <w:rPr>
          <w:spacing w:val="-5"/>
        </w:rPr>
        <w:t xml:space="preserve"> </w:t>
      </w:r>
      <w:r>
        <w:t>of</w:t>
      </w:r>
      <w:r>
        <w:rPr>
          <w:spacing w:val="-2"/>
        </w:rPr>
        <w:t xml:space="preserve"> </w:t>
      </w:r>
      <w:r>
        <w:t>data</w:t>
      </w:r>
      <w:r>
        <w:rPr>
          <w:spacing w:val="-2"/>
        </w:rPr>
        <w:t xml:space="preserve"> </w:t>
      </w:r>
      <w:r>
        <w:t>collected</w:t>
      </w:r>
      <w:r>
        <w:rPr>
          <w:spacing w:val="-2"/>
        </w:rPr>
        <w:t xml:space="preserve"> </w:t>
      </w:r>
      <w:r>
        <w:t xml:space="preserve">across grantees. All forms will be completed and submitted electronically, via systems that are currently in </w:t>
      </w:r>
      <w:r>
        <w:rPr>
          <w:spacing w:val="-2"/>
        </w:rPr>
        <w:t>development.</w:t>
      </w:r>
    </w:p>
    <w:p w:rsidR="005263EC" w:rsidRPr="00E3122D" w:rsidP="00961C50" w14:paraId="2CB3B868" w14:textId="49C8F257">
      <w:pPr>
        <w:pStyle w:val="Heading1"/>
      </w:pPr>
      <w:r>
        <w:t>4</w:t>
      </w:r>
      <w:r w:rsidR="006227A8">
        <w:t xml:space="preserve">. </w:t>
      </w:r>
      <w:bookmarkStart w:id="5" w:name="_Toc156593371"/>
      <w:r w:rsidRPr="00E3122D" w:rsidR="000E1FE8">
        <w:t>EFFORTS TO IDENTIFY DUPLICATION</w:t>
      </w:r>
      <w:bookmarkEnd w:id="5"/>
    </w:p>
    <w:p w:rsidR="00D47CB3" w:rsidRPr="001F0834" w:rsidP="00961C50" w14:paraId="15DFF081" w14:textId="57054C58">
      <w:pPr>
        <w:pBdr>
          <w:bottom w:val="single" w:sz="4" w:space="1" w:color="auto"/>
        </w:pBdr>
        <w:spacing w:after="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AD0AC1" w:rsidP="00961C50" w14:paraId="1E4047D3" w14:textId="77777777">
      <w:pPr>
        <w:tabs>
          <w:tab w:val="left" w:pos="2250"/>
        </w:tabs>
        <w:spacing w:after="0"/>
        <w:contextualSpacing/>
        <w:rPr>
          <w:rFonts w:cstheme="minorHAnsi"/>
        </w:rPr>
      </w:pPr>
    </w:p>
    <w:p w:rsidR="009A7194" w:rsidP="00961C50" w14:paraId="329552FC" w14:textId="1BE97E52">
      <w:pPr>
        <w:tabs>
          <w:tab w:val="left" w:pos="2250"/>
        </w:tabs>
        <w:spacing w:after="0"/>
        <w:contextualSpacing/>
        <w:rPr>
          <w:rFonts w:cstheme="minorHAnsi"/>
        </w:rPr>
      </w:pPr>
      <w:r w:rsidRPr="009A7194">
        <w:rPr>
          <w:rFonts w:cstheme="minorHAnsi"/>
        </w:rPr>
        <w:t>This ICR requests authorization for the collection of information that is not currently collected and otherwise would not be collected. There is currently no mechanism for systematic post-award reporting for the EJCPS and EJG2G programs, with respect to the set of instruments and methodologies outlined in this ICR and the uses outlined in this ICR. EPA has determined that this information is not currently held by EPA or any other federal agency.</w:t>
      </w:r>
    </w:p>
    <w:p w:rsidR="009A7194" w:rsidP="00961C50" w14:paraId="1F5052FE" w14:textId="77777777">
      <w:pPr>
        <w:tabs>
          <w:tab w:val="left" w:pos="2250"/>
        </w:tabs>
        <w:spacing w:after="0"/>
        <w:contextualSpacing/>
        <w:rPr>
          <w:rFonts w:cstheme="minorHAnsi"/>
        </w:rPr>
      </w:pPr>
    </w:p>
    <w:p w:rsidR="00AD0AC1" w:rsidRPr="00BD0079" w:rsidP="00961C50" w14:paraId="7204BDCD" w14:textId="77777777">
      <w:pPr>
        <w:tabs>
          <w:tab w:val="left" w:pos="2250"/>
        </w:tabs>
        <w:spacing w:after="0"/>
        <w:contextualSpacing/>
        <w:rPr>
          <w:rFonts w:cstheme="minorHAnsi"/>
        </w:rPr>
      </w:pPr>
      <w:r w:rsidRPr="00BD0079">
        <w:rPr>
          <w:rFonts w:cstheme="minorHAnsi"/>
        </w:rPr>
        <w:t>This ICR includes information collection instruments, methodologies, and uses of information that are not currently authorized by existing general and generic ICRs at EPA, as summarized below.</w:t>
      </w:r>
      <w:r w:rsidRPr="00BD0079">
        <w:rPr>
          <w:rFonts w:cstheme="minorHAnsi"/>
        </w:rPr>
        <w:br/>
      </w:r>
    </w:p>
    <w:p w:rsidR="00AD0AC1" w:rsidRPr="00BD0079" w:rsidP="00961C50" w14:paraId="3AF260ED" w14:textId="1DD99041">
      <w:pPr>
        <w:pStyle w:val="ListParagraph"/>
        <w:numPr>
          <w:ilvl w:val="0"/>
          <w:numId w:val="23"/>
        </w:numPr>
        <w:spacing w:after="0" w:line="240" w:lineRule="auto"/>
        <w:rPr>
          <w:rFonts w:cstheme="minorHAnsi"/>
        </w:rPr>
      </w:pPr>
      <w:r w:rsidRPr="00842193">
        <w:rPr>
          <w:rFonts w:cstheme="minorHAnsi"/>
          <w:i/>
          <w:iCs/>
        </w:rPr>
        <w:t>General Administrative Requirements for Assistance Programs</w:t>
      </w:r>
      <w:r w:rsidRPr="00BD0079">
        <w:rPr>
          <w:rFonts w:cstheme="minorHAnsi"/>
        </w:rPr>
        <w:br/>
        <w:t xml:space="preserve">(OMB Control Number </w:t>
      </w:r>
      <w:hyperlink r:id="rId22">
        <w:r w:rsidRPr="00BD0079">
          <w:rPr>
            <w:rStyle w:val="Hyperlink"/>
            <w:rFonts w:cstheme="minorHAnsi"/>
          </w:rPr>
          <w:t>2030-0020</w:t>
        </w:r>
      </w:hyperlink>
      <w:r w:rsidRPr="00BD0079">
        <w:rPr>
          <w:rFonts w:cstheme="minorHAnsi"/>
        </w:rPr>
        <w:t>)</w:t>
      </w:r>
      <w:r w:rsidRPr="00BD0079">
        <w:rPr>
          <w:rFonts w:cstheme="minorHAnsi"/>
        </w:rPr>
        <w:br/>
        <w:t xml:space="preserve">The </w:t>
      </w:r>
      <w:r w:rsidR="00B438E9">
        <w:rPr>
          <w:rFonts w:cstheme="minorHAnsi"/>
        </w:rPr>
        <w:t>progress and final</w:t>
      </w:r>
      <w:r w:rsidRPr="00BD0079">
        <w:rPr>
          <w:rFonts w:cstheme="minorHAnsi"/>
        </w:rPr>
        <w:t xml:space="preserve"> reports authorized by this ICR will differ from those covered by EPA’s General Administrative Requirements ICR in the following ways:</w:t>
      </w:r>
    </w:p>
    <w:p w:rsidR="00AD0AC1" w:rsidRPr="00BD0079" w:rsidP="00961C50" w14:paraId="7F7D3CE2" w14:textId="220D78EC">
      <w:pPr>
        <w:pStyle w:val="ListParagraph"/>
        <w:numPr>
          <w:ilvl w:val="1"/>
          <w:numId w:val="23"/>
        </w:numPr>
        <w:spacing w:after="0" w:line="240" w:lineRule="auto"/>
        <w:rPr>
          <w:rFonts w:cstheme="minorHAnsi"/>
        </w:rPr>
      </w:pPr>
      <w:r w:rsidRPr="00BD0079">
        <w:rPr>
          <w:rFonts w:cstheme="minorHAnsi"/>
        </w:rPr>
        <w:t xml:space="preserve">A specified set of reporting forms will be authorized for </w:t>
      </w:r>
      <w:r w:rsidRPr="00BD0079">
        <w:rPr>
          <w:rFonts w:cstheme="minorHAnsi"/>
        </w:rPr>
        <w:t>use;</w:t>
      </w:r>
    </w:p>
    <w:p w:rsidR="00AD0AC1" w:rsidRPr="00BD0079" w:rsidP="00961C50" w14:paraId="0295B3AD" w14:textId="44DDE21C">
      <w:pPr>
        <w:pStyle w:val="ListParagraph"/>
        <w:numPr>
          <w:ilvl w:val="1"/>
          <w:numId w:val="23"/>
        </w:numPr>
        <w:spacing w:after="0" w:line="240" w:lineRule="auto"/>
        <w:rPr>
          <w:rFonts w:cstheme="minorHAnsi"/>
        </w:rPr>
      </w:pPr>
      <w:r w:rsidRPr="00BD0079">
        <w:rPr>
          <w:rFonts w:cstheme="minorHAnsi"/>
        </w:rPr>
        <w:t xml:space="preserve">A comprehensive set of information (activities, target audiences, </w:t>
      </w:r>
      <w:r w:rsidR="001D0D09">
        <w:rPr>
          <w:rFonts w:cstheme="minorHAnsi"/>
        </w:rPr>
        <w:t xml:space="preserve">partners, </w:t>
      </w:r>
      <w:r w:rsidRPr="00BD0079">
        <w:rPr>
          <w:rFonts w:cstheme="minorHAnsi"/>
        </w:rPr>
        <w:t>outputs, outcomes, timelines, location data) will be authorized for collection; and</w:t>
      </w:r>
    </w:p>
    <w:p w:rsidR="00AD0AC1" w:rsidRPr="00BD0079" w:rsidP="00961C50" w14:paraId="441A93D8" w14:textId="79E4C77B">
      <w:pPr>
        <w:pStyle w:val="ListParagraph"/>
        <w:numPr>
          <w:ilvl w:val="1"/>
          <w:numId w:val="23"/>
        </w:numPr>
        <w:spacing w:after="0" w:line="240" w:lineRule="auto"/>
        <w:rPr>
          <w:rFonts w:cstheme="minorHAnsi"/>
        </w:rPr>
      </w:pPr>
      <w:r w:rsidRPr="00BD0079">
        <w:rPr>
          <w:rFonts w:cstheme="minorHAnsi"/>
        </w:rPr>
        <w:t xml:space="preserve">A specific electronic submission methodology (i.e., information </w:t>
      </w:r>
      <w:r w:rsidRPr="00BD0079">
        <w:rPr>
          <w:rFonts w:cstheme="minorHAnsi"/>
        </w:rPr>
        <w:t>entered into</w:t>
      </w:r>
      <w:r w:rsidRPr="00BD0079">
        <w:rPr>
          <w:rFonts w:cstheme="minorHAnsi"/>
        </w:rPr>
        <w:t xml:space="preserve"> an online database) will be authorized for use.</w:t>
      </w:r>
    </w:p>
    <w:p w:rsidR="00251151" w:rsidRPr="00E3122D" w:rsidP="00961C50" w14:paraId="79D36B3F" w14:textId="4A59BD2B">
      <w:pPr>
        <w:pStyle w:val="Heading1"/>
      </w:pPr>
      <w:r>
        <w:t>5</w:t>
      </w:r>
      <w:r w:rsidR="006227A8">
        <w:t xml:space="preserve">. </w:t>
      </w:r>
      <w:bookmarkStart w:id="6" w:name="_Toc156593372"/>
      <w:r w:rsidRPr="4BDBF0A0">
        <w:t xml:space="preserve">MINIMIZING BURDEN ON SMALL </w:t>
      </w:r>
      <w:r w:rsidRPr="4BDBF0A0" w:rsidR="0F43C128">
        <w:t xml:space="preserve">BUSINESSES AND SMALL </w:t>
      </w:r>
      <w:r w:rsidRPr="4BDBF0A0">
        <w:t>ENTITIES</w:t>
      </w:r>
      <w:bookmarkEnd w:id="6"/>
    </w:p>
    <w:p w:rsidR="00D47CB3" w:rsidRPr="001F0834" w:rsidP="00961C50"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2515AE" w:rsidP="00961C50" w14:paraId="76CF7C49" w14:textId="77777777">
      <w:pPr>
        <w:pStyle w:val="BodyText"/>
        <w:spacing w:before="1"/>
        <w:ind w:right="346"/>
      </w:pPr>
      <w:r>
        <w:t>EPA</w:t>
      </w:r>
      <w:r>
        <w:rPr>
          <w:spacing w:val="-4"/>
        </w:rPr>
        <w:t xml:space="preserve"> </w:t>
      </w:r>
      <w:r>
        <w:t>has</w:t>
      </w:r>
      <w:r>
        <w:rPr>
          <w:spacing w:val="-5"/>
        </w:rPr>
        <w:t xml:space="preserve"> </w:t>
      </w:r>
      <w:r>
        <w:t>considered</w:t>
      </w:r>
      <w:r>
        <w:rPr>
          <w:spacing w:val="-6"/>
        </w:rPr>
        <w:t xml:space="preserve"> </w:t>
      </w:r>
      <w:r>
        <w:t>whether</w:t>
      </w:r>
      <w:r>
        <w:rPr>
          <w:spacing w:val="-4"/>
        </w:rPr>
        <w:t xml:space="preserve"> </w:t>
      </w:r>
      <w:r>
        <w:t>to</w:t>
      </w:r>
      <w:r>
        <w:rPr>
          <w:spacing w:val="-4"/>
        </w:rPr>
        <w:t xml:space="preserve"> </w:t>
      </w:r>
      <w:r>
        <w:t>establish</w:t>
      </w:r>
      <w:r>
        <w:rPr>
          <w:spacing w:val="-5"/>
        </w:rPr>
        <w:t xml:space="preserve"> </w:t>
      </w:r>
      <w:r>
        <w:t>different</w:t>
      </w:r>
      <w:r>
        <w:rPr>
          <w:spacing w:val="-4"/>
        </w:rPr>
        <w:t xml:space="preserve"> </w:t>
      </w:r>
      <w:r>
        <w:t>reporting</w:t>
      </w:r>
      <w:r>
        <w:rPr>
          <w:spacing w:val="-5"/>
        </w:rPr>
        <w:t xml:space="preserve"> </w:t>
      </w:r>
      <w:r>
        <w:t>requirements</w:t>
      </w:r>
      <w:r>
        <w:rPr>
          <w:spacing w:val="-4"/>
        </w:rPr>
        <w:t xml:space="preserve"> </w:t>
      </w:r>
      <w:r>
        <w:t>for</w:t>
      </w:r>
      <w:r>
        <w:rPr>
          <w:spacing w:val="-4"/>
        </w:rPr>
        <w:t xml:space="preserve"> </w:t>
      </w:r>
      <w:r>
        <w:t>small</w:t>
      </w:r>
      <w:r>
        <w:rPr>
          <w:spacing w:val="-4"/>
        </w:rPr>
        <w:t xml:space="preserve"> </w:t>
      </w:r>
      <w:r>
        <w:t>businesses</w:t>
      </w:r>
      <w:r>
        <w:rPr>
          <w:spacing w:val="-4"/>
        </w:rPr>
        <w:t xml:space="preserve"> </w:t>
      </w:r>
      <w:r>
        <w:t>and other small entities and has determined that:</w:t>
      </w:r>
    </w:p>
    <w:p w:rsidR="002515AE" w:rsidP="00961C50" w14:paraId="10DFFDB3" w14:textId="77777777">
      <w:pPr>
        <w:pStyle w:val="ListParagraph"/>
        <w:widowControl w:val="0"/>
        <w:numPr>
          <w:ilvl w:val="0"/>
          <w:numId w:val="44"/>
        </w:numPr>
        <w:tabs>
          <w:tab w:val="left" w:pos="840"/>
        </w:tabs>
        <w:autoSpaceDE w:val="0"/>
        <w:autoSpaceDN w:val="0"/>
        <w:spacing w:after="0" w:line="240" w:lineRule="auto"/>
        <w:ind w:right="340"/>
        <w:contextualSpacing w:val="0"/>
      </w:pPr>
      <w:r>
        <w:t>Different reporting requirements among recipients will result in inconsistent data that may reduce</w:t>
      </w:r>
      <w:r>
        <w:rPr>
          <w:spacing w:val="-3"/>
        </w:rPr>
        <w:t xml:space="preserve"> </w:t>
      </w:r>
      <w:r>
        <w:t>the Agency’s</w:t>
      </w:r>
      <w:r>
        <w:rPr>
          <w:spacing w:val="-3"/>
        </w:rPr>
        <w:t xml:space="preserve"> </w:t>
      </w:r>
      <w:r>
        <w:t>ability</w:t>
      </w:r>
      <w:r>
        <w:rPr>
          <w:spacing w:val="-5"/>
        </w:rPr>
        <w:t xml:space="preserve"> </w:t>
      </w:r>
      <w:r>
        <w:t>to</w:t>
      </w:r>
      <w:r>
        <w:rPr>
          <w:spacing w:val="-5"/>
        </w:rPr>
        <w:t xml:space="preserve"> </w:t>
      </w:r>
      <w:r>
        <w:t>oversee</w:t>
      </w:r>
      <w:r>
        <w:rPr>
          <w:spacing w:val="-3"/>
        </w:rPr>
        <w:t xml:space="preserve"> </w:t>
      </w:r>
      <w:r>
        <w:t>and</w:t>
      </w:r>
      <w:r>
        <w:rPr>
          <w:spacing w:val="-3"/>
        </w:rPr>
        <w:t xml:space="preserve"> </w:t>
      </w:r>
      <w:r>
        <w:t>report</w:t>
      </w:r>
      <w:r>
        <w:rPr>
          <w:spacing w:val="-7"/>
        </w:rPr>
        <w:t xml:space="preserve"> </w:t>
      </w:r>
      <w:r>
        <w:t>on</w:t>
      </w:r>
      <w:r>
        <w:rPr>
          <w:spacing w:val="-5"/>
        </w:rPr>
        <w:t xml:space="preserve"> </w:t>
      </w:r>
      <w:r>
        <w:t>program</w:t>
      </w:r>
      <w:r>
        <w:rPr>
          <w:spacing w:val="-5"/>
        </w:rPr>
        <w:t xml:space="preserve"> </w:t>
      </w:r>
      <w:r>
        <w:t>activities</w:t>
      </w:r>
      <w:r>
        <w:rPr>
          <w:spacing w:val="-3"/>
        </w:rPr>
        <w:t xml:space="preserve"> </w:t>
      </w:r>
      <w:r>
        <w:t>and</w:t>
      </w:r>
      <w:r>
        <w:rPr>
          <w:spacing w:val="-3"/>
        </w:rPr>
        <w:t xml:space="preserve"> </w:t>
      </w:r>
      <w:r>
        <w:t>accomplishments;</w:t>
      </w:r>
    </w:p>
    <w:p w:rsidR="002515AE" w:rsidP="00961C50" w14:paraId="7C147532" w14:textId="77777777">
      <w:pPr>
        <w:pStyle w:val="ListParagraph"/>
        <w:widowControl w:val="0"/>
        <w:numPr>
          <w:ilvl w:val="0"/>
          <w:numId w:val="44"/>
        </w:numPr>
        <w:tabs>
          <w:tab w:val="left" w:pos="840"/>
        </w:tabs>
        <w:autoSpaceDE w:val="0"/>
        <w:autoSpaceDN w:val="0"/>
        <w:spacing w:before="1" w:after="0" w:line="240" w:lineRule="auto"/>
        <w:ind w:right="372"/>
        <w:contextualSpacing w:val="0"/>
      </w:pPr>
      <w:r>
        <w:t>The</w:t>
      </w:r>
      <w:r>
        <w:rPr>
          <w:spacing w:val="-2"/>
        </w:rPr>
        <w:t xml:space="preserve"> </w:t>
      </w:r>
      <w:r>
        <w:t>burden</w:t>
      </w:r>
      <w:r>
        <w:rPr>
          <w:spacing w:val="-5"/>
        </w:rPr>
        <w:t xml:space="preserve"> </w:t>
      </w:r>
      <w:r>
        <w:t>imposed</w:t>
      </w:r>
      <w:r>
        <w:rPr>
          <w:spacing w:val="-5"/>
        </w:rPr>
        <w:t xml:space="preserve"> </w:t>
      </w:r>
      <w:r>
        <w:t>by</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is</w:t>
      </w:r>
      <w:r>
        <w:rPr>
          <w:spacing w:val="-6"/>
        </w:rPr>
        <w:t xml:space="preserve"> </w:t>
      </w:r>
      <w:r>
        <w:t>relatively</w:t>
      </w:r>
      <w:r>
        <w:rPr>
          <w:spacing w:val="-3"/>
        </w:rPr>
        <w:t xml:space="preserve"> </w:t>
      </w:r>
      <w:r>
        <w:t>small</w:t>
      </w:r>
      <w:r>
        <w:rPr>
          <w:spacing w:val="-5"/>
        </w:rPr>
        <w:t xml:space="preserve"> </w:t>
      </w:r>
      <w:r>
        <w:t>and</w:t>
      </w:r>
      <w:r>
        <w:rPr>
          <w:spacing w:val="-5"/>
        </w:rPr>
        <w:t xml:space="preserve"> </w:t>
      </w:r>
      <w:r>
        <w:t>small</w:t>
      </w:r>
      <w:r>
        <w:rPr>
          <w:spacing w:val="-3"/>
        </w:rPr>
        <w:t xml:space="preserve"> </w:t>
      </w:r>
      <w:r>
        <w:t>entities</w:t>
      </w:r>
      <w:r>
        <w:rPr>
          <w:spacing w:val="-3"/>
        </w:rPr>
        <w:t xml:space="preserve"> </w:t>
      </w:r>
      <w:r>
        <w:t>should not be unduly burdened by the reporting requirement; and</w:t>
      </w:r>
    </w:p>
    <w:p w:rsidR="002515AE" w:rsidP="00961C50" w14:paraId="37E0EFB5" w14:textId="77777777">
      <w:pPr>
        <w:pStyle w:val="ListParagraph"/>
        <w:widowControl w:val="0"/>
        <w:numPr>
          <w:ilvl w:val="0"/>
          <w:numId w:val="44"/>
        </w:numPr>
        <w:tabs>
          <w:tab w:val="left" w:pos="840"/>
        </w:tabs>
        <w:autoSpaceDE w:val="0"/>
        <w:autoSpaceDN w:val="0"/>
        <w:spacing w:after="0" w:line="240" w:lineRule="auto"/>
        <w:ind w:right="298"/>
        <w:contextualSpacing w:val="0"/>
      </w:pPr>
      <w:r>
        <w:t>The EJCPS and EJG2G programs are voluntary and grantees who elected to enter into the cooperative</w:t>
      </w:r>
      <w:r>
        <w:rPr>
          <w:spacing w:val="-3"/>
        </w:rPr>
        <w:t xml:space="preserve"> </w:t>
      </w:r>
      <w:r>
        <w:t>agreements</w:t>
      </w:r>
      <w:r>
        <w:rPr>
          <w:spacing w:val="-1"/>
        </w:rPr>
        <w:t xml:space="preserve"> </w:t>
      </w:r>
      <w:r>
        <w:t>with</w:t>
      </w:r>
      <w:r>
        <w:rPr>
          <w:spacing w:val="-5"/>
        </w:rPr>
        <w:t xml:space="preserve"> </w:t>
      </w:r>
      <w:r>
        <w:t>EPA</w:t>
      </w:r>
      <w:r>
        <w:rPr>
          <w:spacing w:val="-5"/>
        </w:rPr>
        <w:t xml:space="preserve"> </w:t>
      </w:r>
      <w:r>
        <w:t>have</w:t>
      </w:r>
      <w:r>
        <w:rPr>
          <w:spacing w:val="-5"/>
        </w:rPr>
        <w:t xml:space="preserve"> </w:t>
      </w:r>
      <w:r>
        <w:t>determined</w:t>
      </w:r>
      <w:r>
        <w:rPr>
          <w:spacing w:val="-3"/>
        </w:rPr>
        <w:t xml:space="preserve"> </w:t>
      </w:r>
      <w:r>
        <w:t>that</w:t>
      </w:r>
      <w:r>
        <w:rPr>
          <w:spacing w:val="-3"/>
        </w:rPr>
        <w:t xml:space="preserve"> </w:t>
      </w:r>
      <w:r>
        <w:t>the</w:t>
      </w:r>
      <w:r>
        <w:rPr>
          <w:spacing w:val="-5"/>
        </w:rPr>
        <w:t xml:space="preserve"> </w:t>
      </w:r>
      <w:r>
        <w:t>expected</w:t>
      </w:r>
      <w:r>
        <w:rPr>
          <w:spacing w:val="-3"/>
        </w:rPr>
        <w:t xml:space="preserve"> </w:t>
      </w:r>
      <w:r>
        <w:t>benefits</w:t>
      </w:r>
      <w:r>
        <w:rPr>
          <w:spacing w:val="-6"/>
        </w:rPr>
        <w:t xml:space="preserve"> </w:t>
      </w:r>
      <w:r>
        <w:t>of</w:t>
      </w:r>
      <w:r>
        <w:rPr>
          <w:spacing w:val="-7"/>
        </w:rPr>
        <w:t xml:space="preserve"> </w:t>
      </w:r>
      <w:r>
        <w:t>participation outweigh any burden associated with preparing the responses.</w:t>
      </w:r>
    </w:p>
    <w:p w:rsidR="002515AE" w:rsidP="00961C50" w14:paraId="4B58C600" w14:textId="77777777">
      <w:pPr>
        <w:pStyle w:val="BodyText"/>
        <w:spacing w:before="267"/>
      </w:pPr>
      <w:r>
        <w:t>EPA will assist grantees with compliance against financial and program performance reporting requirements.</w:t>
      </w:r>
      <w:r>
        <w:rPr>
          <w:spacing w:val="-3"/>
        </w:rPr>
        <w:t xml:space="preserve"> </w:t>
      </w:r>
      <w:r>
        <w:t>EPA</w:t>
      </w:r>
      <w:r>
        <w:rPr>
          <w:spacing w:val="-5"/>
        </w:rPr>
        <w:t xml:space="preserve"> </w:t>
      </w:r>
      <w:r>
        <w:t>Project</w:t>
      </w:r>
      <w:r>
        <w:rPr>
          <w:spacing w:val="-7"/>
        </w:rPr>
        <w:t xml:space="preserve"> </w:t>
      </w:r>
      <w:r>
        <w:t>Officers</w:t>
      </w:r>
      <w:r>
        <w:rPr>
          <w:spacing w:val="-5"/>
        </w:rPr>
        <w:t xml:space="preserve"> </w:t>
      </w:r>
      <w:r>
        <w:t>will</w:t>
      </w:r>
      <w:r>
        <w:rPr>
          <w:spacing w:val="-6"/>
        </w:rPr>
        <w:t xml:space="preserve"> </w:t>
      </w:r>
      <w:r>
        <w:t>meet</w:t>
      </w:r>
      <w:r>
        <w:rPr>
          <w:spacing w:val="-3"/>
        </w:rPr>
        <w:t xml:space="preserve"> </w:t>
      </w:r>
      <w:r>
        <w:t>regularly</w:t>
      </w:r>
      <w:r>
        <w:rPr>
          <w:spacing w:val="-5"/>
        </w:rPr>
        <w:t xml:space="preserve"> </w:t>
      </w:r>
      <w:r>
        <w:t>with</w:t>
      </w:r>
      <w:r>
        <w:rPr>
          <w:spacing w:val="-3"/>
        </w:rPr>
        <w:t xml:space="preserve"> </w:t>
      </w:r>
      <w:r>
        <w:t>their</w:t>
      </w:r>
      <w:r>
        <w:rPr>
          <w:spacing w:val="-3"/>
        </w:rPr>
        <w:t xml:space="preserve"> </w:t>
      </w:r>
      <w:r>
        <w:t>designated</w:t>
      </w:r>
      <w:r>
        <w:rPr>
          <w:spacing w:val="-3"/>
        </w:rPr>
        <w:t xml:space="preserve"> </w:t>
      </w:r>
      <w:r>
        <w:t>grantees</w:t>
      </w:r>
      <w:r>
        <w:rPr>
          <w:spacing w:val="-5"/>
        </w:rPr>
        <w:t xml:space="preserve"> </w:t>
      </w:r>
      <w:r>
        <w:t>and</w:t>
      </w:r>
      <w:r>
        <w:rPr>
          <w:spacing w:val="-5"/>
        </w:rPr>
        <w:t xml:space="preserve"> </w:t>
      </w:r>
      <w:r>
        <w:t>will</w:t>
      </w:r>
      <w:r>
        <w:rPr>
          <w:spacing w:val="-5"/>
        </w:rPr>
        <w:t xml:space="preserve"> </w:t>
      </w:r>
      <w:r>
        <w:t>document their questions and concerns; EPA staff will then determine the appropriate resources and support to address each issue.</w:t>
      </w:r>
    </w:p>
    <w:p w:rsidR="004252C1" w:rsidRPr="00E3122D" w:rsidP="00961C50" w14:paraId="1FF5A778" w14:textId="44B0EB38">
      <w:pPr>
        <w:pStyle w:val="Heading1"/>
      </w:pPr>
      <w:r>
        <w:t>6</w:t>
      </w:r>
      <w:r w:rsidR="006227A8">
        <w:t xml:space="preserve">. </w:t>
      </w:r>
      <w:bookmarkStart w:id="7" w:name="_Toc156593373"/>
      <w:r w:rsidRPr="4BDBF0A0" w:rsidR="4EA0E14A">
        <w:t>CONSEQUENCES</w:t>
      </w:r>
      <w:r w:rsidRPr="4BDBF0A0" w:rsidR="00061A77">
        <w:t xml:space="preserve"> OF LESS FREQUENT COLLECTION</w:t>
      </w:r>
      <w:bookmarkEnd w:id="7"/>
    </w:p>
    <w:p w:rsidR="00D47CB3" w:rsidRPr="001F0834" w:rsidP="00961C50" w14:paraId="00E27992" w14:textId="51FE3814">
      <w:pPr>
        <w:pBdr>
          <w:bottom w:val="single" w:sz="4" w:space="1" w:color="auto"/>
        </w:pBdr>
        <w:tabs>
          <w:tab w:val="left" w:pos="921"/>
        </w:tabs>
        <w:spacing w:after="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BC3B95" w:rsidP="00961C50" w14:paraId="7E60782F"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B43AB5" w:rsidP="00961C50" w14:paraId="64966BBE" w14:textId="77777777">
      <w:pPr>
        <w:contextualSpacing/>
      </w:pPr>
      <w:r>
        <w:t xml:space="preserve">EPA recognizes the importance of balancing the need for data collection efforts against respondent burden and costs. The semi-annual progress reporting schedule set out in this ICR is consistent with the </w:t>
      </w:r>
      <w:r>
        <w:t>Agency’s reporting schedule for financial assistance programs. As noted in 2 CFR Part 200, Uniform Administrative Requirements, Cost Principles, and Audit Requirements for Federal Awards, grantees are required to report updates on their respective projects quarterly or semi-annually throughout the project’s period of performance, followed by a final report at the completion of the project.</w:t>
      </w:r>
    </w:p>
    <w:p w:rsidR="002C0159" w:rsidP="00961C50" w14:paraId="1A12A63E" w14:textId="77777777">
      <w:pPr>
        <w:contextualSpacing/>
      </w:pPr>
    </w:p>
    <w:p w:rsidR="00B43AB5" w:rsidP="00961C50" w14:paraId="79B0457E" w14:textId="77777777">
      <w:pPr>
        <w:contextualSpacing/>
      </w:pPr>
      <w:r>
        <w:t>EPA has determined that the semi-annual reporting schedule is necessary to adequately track awardee progress in completing the proposed activities, and to measure project outcomes. Less frequent collection would weaken EPA’s ability to oversee and manage the EJCPS and EJG2G programs and to report up-to-date and accurate information on program activities and accomplishments.</w:t>
      </w:r>
    </w:p>
    <w:p w:rsidR="002C0159" w:rsidP="00961C50" w14:paraId="4FB19524" w14:textId="77777777">
      <w:pPr>
        <w:contextualSpacing/>
      </w:pPr>
    </w:p>
    <w:p w:rsidR="00BC3B95" w:rsidRPr="00BD0079" w:rsidP="00961C50" w14:paraId="1ED668CA" w14:textId="7272151B">
      <w:pPr>
        <w:contextualSpacing/>
        <w:rPr>
          <w:rFonts w:cstheme="minorHAnsi"/>
          <w:b/>
          <w:u w:val="single"/>
        </w:rPr>
      </w:pPr>
      <w:r>
        <w:t>If this information were not collected, EPA would have no mechanism for tracking and assessing the extent to which the programs are operating effectively, efficiently, and equitably. This situation would leave EPA unable to fulfill its legal and administrative requirements to ensure responsible stewardship of public funds; rigorous evidence-based learning and improvement; and transparent accountability to the American public.</w:t>
      </w:r>
    </w:p>
    <w:p w:rsidR="00A233E0" w:rsidRPr="00E3122D" w:rsidP="00961C50" w14:paraId="27596CC0" w14:textId="5F4D415C">
      <w:pPr>
        <w:pStyle w:val="Heading1"/>
      </w:pPr>
      <w:r>
        <w:t>7</w:t>
      </w:r>
      <w:r w:rsidR="006227A8">
        <w:t xml:space="preserve">. </w:t>
      </w:r>
      <w:bookmarkStart w:id="8" w:name="_Toc156593374"/>
      <w:r w:rsidRPr="00E3122D" w:rsidR="002D3E1A">
        <w:t>GENERAL GUIDELINES</w:t>
      </w:r>
      <w:bookmarkEnd w:id="8"/>
    </w:p>
    <w:p w:rsidR="00A233E0" w:rsidRPr="00A233E0" w:rsidP="00961C50"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0B1F77" w:rsidP="00961C50" w14:paraId="39FEB71D" w14:textId="438041E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0B1F77">
        <w:rPr>
          <w:rFonts w:cstheme="minorHAnsi"/>
          <w:color w:val="000000"/>
        </w:rPr>
        <w:t xml:space="preserve">Information collections for the EJCPS and EJG2G programs will be conducted in accordance with the Paperwork Reduction Act [Title 5 of the </w:t>
      </w:r>
      <w:r w:rsidRPr="000B1F77">
        <w:rPr>
          <w:rFonts w:cstheme="minorHAnsi"/>
          <w:i/>
          <w:color w:val="000000"/>
        </w:rPr>
        <w:t xml:space="preserve">Code of Federal Regulations </w:t>
      </w:r>
      <w:r w:rsidRPr="000B1F77">
        <w:rPr>
          <w:rFonts w:cstheme="minorHAnsi"/>
          <w:color w:val="000000"/>
        </w:rPr>
        <w:t xml:space="preserve">(CFR) section 1320.5(d)(2)] and will adhere to OMB’s general guidelines for information collections. </w:t>
      </w:r>
    </w:p>
    <w:p w:rsidR="000B1F77" w:rsidRPr="000B1F77" w:rsidP="00961C50" w14:paraId="31169338"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0B1F77" w:rsidP="00961C50" w14:paraId="7BC3A893" w14:textId="51E6CBD1">
      <w:pPr>
        <w:pBdr>
          <w:top w:val="single" w:sz="6" w:space="0" w:color="FFFFFF"/>
          <w:left w:val="single" w:sz="6" w:space="0" w:color="FFFFFF"/>
          <w:bottom w:val="single" w:sz="6" w:space="0" w:color="FFFFFF"/>
          <w:right w:val="single" w:sz="6" w:space="0" w:color="FFFFFF"/>
        </w:pBdr>
        <w:spacing w:after="0"/>
        <w:rPr>
          <w:color w:val="000000"/>
        </w:rPr>
      </w:pPr>
      <w:r w:rsidRPr="000B1F77">
        <w:rPr>
          <w:color w:val="000000" w:themeColor="text1"/>
        </w:rPr>
        <w:t xml:space="preserve">The grantees will not be required to report information to EPA more often than semi-annually and will be provided the relevant forms and instructions at least 30 days in advance. The grantees will not be required to submit more than </w:t>
      </w:r>
      <w:r w:rsidRPr="3561C910" w:rsidR="5DB75212">
        <w:rPr>
          <w:color w:val="000000" w:themeColor="text1"/>
        </w:rPr>
        <w:t>one</w:t>
      </w:r>
      <w:r w:rsidRPr="000B1F77">
        <w:rPr>
          <w:color w:val="000000" w:themeColor="text1"/>
        </w:rPr>
        <w:t xml:space="preserve"> original and two copies of any document.</w:t>
      </w:r>
    </w:p>
    <w:p w:rsidR="000B1F77" w:rsidRPr="000B1F77" w:rsidP="00961C50" w14:paraId="2A716F0A"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0B1F77" w:rsidRPr="000B1F77" w:rsidP="00961C50" w14:paraId="1C2715D4"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0B1F77">
        <w:rPr>
          <w:rFonts w:cstheme="minorHAnsi"/>
          <w:color w:val="000000"/>
        </w:rPr>
        <w:t>In conjunction with OMB’s general guidelines, grant recipients must retain all financial records, supporting documents, accounting books and other evidence of program activities for three years after submission of the final report. If any litigation, claim, or audit is started before the expiration of the three-year period, the recipient must maintain all appropriate records until these actions are completed and all issues resolved.</w:t>
      </w:r>
    </w:p>
    <w:p w:rsidR="000B1F77" w:rsidRPr="000B1F77" w:rsidP="00961C50" w14:paraId="227D1466"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0B1F77" w:rsidRPr="000B1F77" w:rsidP="00961C50" w14:paraId="3384513E"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0B1F77">
        <w:rPr>
          <w:rFonts w:cstheme="minorHAnsi"/>
          <w:color w:val="000000"/>
        </w:rPr>
        <w:t xml:space="preserve">The grantees will not be required to submit Confidential Business Information (CBI). If a participant feels that any information requested would be CBI, the participant may request that such information be treated as confidential. All confidential data will be handled in accordance with 40 CFR 122.7, 40 CFR Part 2, and EPA’s </w:t>
      </w:r>
      <w:r w:rsidRPr="000B1F77">
        <w:rPr>
          <w:rFonts w:cstheme="minorHAnsi"/>
          <w:i/>
          <w:color w:val="000000"/>
        </w:rPr>
        <w:t xml:space="preserve">Security Manual </w:t>
      </w:r>
      <w:r w:rsidRPr="000B1F77">
        <w:rPr>
          <w:rFonts w:cstheme="minorHAnsi"/>
          <w:color w:val="000000"/>
        </w:rPr>
        <w:t>Part III, Chapter 9, dated August 9, 1976. Any claim of confidentiality must be asserted at the time of submission.</w:t>
      </w:r>
    </w:p>
    <w:p w:rsidR="006036CD" w:rsidRPr="00E3122D" w:rsidP="00961C50" w14:paraId="02EE9B8D" w14:textId="0F25F724">
      <w:pPr>
        <w:pStyle w:val="Heading1"/>
      </w:pPr>
      <w:r>
        <w:t xml:space="preserve">8. </w:t>
      </w:r>
      <w:bookmarkStart w:id="9" w:name="_Toc156593375"/>
      <w:r w:rsidRPr="00E3122D" w:rsidR="001C260A">
        <w:t>PUBLIC COMMENT AND CONSULTATIONS</w:t>
      </w:r>
      <w:bookmarkStart w:id="10" w:name="_Toc156593376"/>
      <w:bookmarkEnd w:id="9"/>
    </w:p>
    <w:p w:rsidR="00DD2682" w:rsidRPr="00E3122D" w:rsidP="00961C50" w14:paraId="4922639E" w14:textId="5A74305B">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P="00961C50" w14:paraId="4D2D25D5" w14:textId="77777777">
      <w:pPr>
        <w:spacing w:after="0"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w:t>
      </w:r>
      <w:r w:rsidRPr="00A233E0">
        <w:rPr>
          <w:rFonts w:cstheme="minorHAnsi"/>
          <w:i/>
          <w:iCs/>
        </w:rPr>
        <w:t>prior to submission to OMB. Summarize public comments received in response to that notice and describe actions taken by the Agency in response to these comments. Specifically address comments received on cost and hour burden.</w:t>
      </w:r>
    </w:p>
    <w:p w:rsidR="00F11AD1" w:rsidRPr="00A233E0" w:rsidP="00961C50" w14:paraId="4B11EBD4" w14:textId="77777777">
      <w:pPr>
        <w:spacing w:after="0" w:line="240" w:lineRule="auto"/>
        <w:rPr>
          <w:rFonts w:cstheme="minorHAnsi"/>
          <w:i/>
          <w:iCs/>
        </w:rPr>
      </w:pPr>
    </w:p>
    <w:p w:rsidR="00E843EB" w:rsidP="00961C50" w14:paraId="1AD5F12F" w14:textId="42A7402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0C2F44">
        <w:rPr>
          <w:rFonts w:cstheme="minorHAnsi"/>
          <w:color w:val="000000"/>
        </w:rPr>
        <w:t xml:space="preserve">EPA published a notice in </w:t>
      </w:r>
      <w:r w:rsidRPr="00CB08F1">
        <w:rPr>
          <w:rFonts w:cstheme="minorHAnsi"/>
          <w:color w:val="000000"/>
        </w:rPr>
        <w:t>the Federal Register (</w:t>
      </w:r>
      <w:r w:rsidRPr="00CB08F1" w:rsidR="00CB08F1">
        <w:rPr>
          <w:rFonts w:ascii="Calibri" w:hAnsi="Calibri" w:cs="Calibri"/>
          <w:color w:val="000000" w:themeColor="text1"/>
          <w:shd w:val="clear" w:color="auto" w:fill="FFFFFF"/>
        </w:rPr>
        <w:t>FRL-11749-01-OEJECR</w:t>
      </w:r>
      <w:r w:rsidRPr="00CB08F1">
        <w:rPr>
          <w:rFonts w:cstheme="minorHAnsi"/>
          <w:color w:val="000000"/>
        </w:rPr>
        <w:t>) announcing</w:t>
      </w:r>
      <w:r w:rsidRPr="000C2F44">
        <w:rPr>
          <w:rFonts w:cstheme="minorHAnsi"/>
          <w:color w:val="000000"/>
        </w:rPr>
        <w:t xml:space="preserve"> the Agency’s intention to request an OMB review of this information collection activity. This notice was published on </w:t>
      </w:r>
      <w:r w:rsidR="002B69DF">
        <w:rPr>
          <w:rFonts w:cstheme="minorHAnsi"/>
          <w:color w:val="000000"/>
        </w:rPr>
        <w:t>February 21,</w:t>
      </w:r>
      <w:r w:rsidRPr="000C2F44">
        <w:rPr>
          <w:rFonts w:cstheme="minorHAnsi"/>
          <w:color w:val="000000"/>
        </w:rPr>
        <w:t xml:space="preserve"> </w:t>
      </w:r>
      <w:r w:rsidRPr="000C2F44">
        <w:rPr>
          <w:rFonts w:cstheme="minorHAnsi"/>
          <w:color w:val="000000"/>
        </w:rPr>
        <w:t>202</w:t>
      </w:r>
      <w:r w:rsidR="002B69DF">
        <w:rPr>
          <w:rFonts w:cstheme="minorHAnsi"/>
          <w:color w:val="000000"/>
        </w:rPr>
        <w:t>4</w:t>
      </w:r>
      <w:r w:rsidRPr="000C2F44">
        <w:rPr>
          <w:rFonts w:cstheme="minorHAnsi"/>
          <w:color w:val="000000"/>
        </w:rPr>
        <w:t xml:space="preserve"> in Volume 8</w:t>
      </w:r>
      <w:r w:rsidR="002D566A">
        <w:rPr>
          <w:rFonts w:cstheme="minorHAnsi"/>
          <w:color w:val="000000"/>
        </w:rPr>
        <w:t>9</w:t>
      </w:r>
      <w:r w:rsidRPr="000C2F44">
        <w:rPr>
          <w:rFonts w:cstheme="minorHAnsi"/>
          <w:color w:val="000000"/>
        </w:rPr>
        <w:t xml:space="preserve">, Number </w:t>
      </w:r>
      <w:r w:rsidR="002D566A">
        <w:rPr>
          <w:rFonts w:cstheme="minorHAnsi"/>
          <w:color w:val="000000"/>
        </w:rPr>
        <w:t>35</w:t>
      </w:r>
      <w:r w:rsidRPr="000C2F44">
        <w:rPr>
          <w:rFonts w:cstheme="minorHAnsi"/>
          <w:color w:val="000000"/>
        </w:rPr>
        <w:t xml:space="preserve">, Page </w:t>
      </w:r>
      <w:r w:rsidR="002D566A">
        <w:rPr>
          <w:rFonts w:cstheme="minorHAnsi"/>
          <w:color w:val="000000"/>
        </w:rPr>
        <w:t>13079</w:t>
      </w:r>
      <w:r w:rsidRPr="000C2F44">
        <w:rPr>
          <w:rFonts w:cstheme="minorHAnsi"/>
          <w:color w:val="000000"/>
        </w:rPr>
        <w:t xml:space="preserve">, and provided a 60-day period for public comment (Docket ID </w:t>
      </w:r>
      <w:r w:rsidRPr="00BE6CFD" w:rsidR="00BE6CFD">
        <w:rPr>
          <w:rFonts w:cstheme="minorHAnsi"/>
          <w:color w:val="000000"/>
        </w:rPr>
        <w:t>EPA-HQ-OEJECR-2024-0072</w:t>
      </w:r>
      <w:r w:rsidRPr="000C2F44">
        <w:rPr>
          <w:rFonts w:cstheme="minorHAnsi"/>
          <w:color w:val="000000"/>
        </w:rPr>
        <w:t>).</w:t>
      </w:r>
      <w:r>
        <w:rPr>
          <w:rFonts w:cstheme="minorHAnsi"/>
          <w:color w:val="000000"/>
        </w:rPr>
        <w:t xml:space="preserve"> EPA received one public comment, which was not substantively related to the ICR. </w:t>
      </w:r>
    </w:p>
    <w:p w:rsidR="00E843EB" w:rsidRPr="00D17A73" w:rsidP="00961C50" w14:paraId="6C74DDFF"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DB7775" w:rsidRPr="00E3122D" w:rsidP="00961C50" w14:paraId="71A9B3CC" w14:textId="77087A05">
      <w:pPr>
        <w:spacing w:before="120" w:after="0"/>
        <w:rPr>
          <w:b/>
          <w:bCs/>
        </w:rPr>
      </w:pPr>
      <w:r w:rsidRPr="3FCF2EA8">
        <w:rPr>
          <w:b/>
          <w:bCs/>
        </w:rPr>
        <w:t xml:space="preserve">8b. </w:t>
      </w:r>
      <w:r w:rsidRPr="3FCF2EA8" w:rsidR="0061689C">
        <w:rPr>
          <w:b/>
          <w:bCs/>
        </w:rPr>
        <w:t>C</w:t>
      </w:r>
      <w:bookmarkEnd w:id="11"/>
      <w:r w:rsidRPr="3FCF2EA8" w:rsidR="005D140B">
        <w:rPr>
          <w:b/>
          <w:bCs/>
        </w:rPr>
        <w:t>onsultations</w:t>
      </w:r>
    </w:p>
    <w:p w:rsidR="00A233E0" w:rsidP="00961C50"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D3316" w:rsidRPr="00331936" w:rsidP="00961C50" w14:paraId="5016C814" w14:textId="1FCE0A67">
      <w:pPr>
        <w:pStyle w:val="BodyText"/>
        <w:ind w:right="172"/>
        <w:rPr>
          <w:rFonts w:asciiTheme="minorHAnsi" w:eastAsiaTheme="minorEastAsia" w:hAnsiTheme="minorHAnsi" w:cstheme="minorHAnsi"/>
          <w:color w:val="000000"/>
        </w:rPr>
      </w:pPr>
      <w:r w:rsidRPr="00331936">
        <w:rPr>
          <w:rFonts w:asciiTheme="minorHAnsi" w:eastAsiaTheme="minorEastAsia" w:hAnsiTheme="minorHAnsi" w:cstheme="minorHAnsi"/>
          <w:color w:val="000000"/>
        </w:rPr>
        <w:t xml:space="preserve">Consultation with </w:t>
      </w:r>
      <w:r w:rsidR="00AC1F88">
        <w:rPr>
          <w:rFonts w:asciiTheme="minorHAnsi" w:eastAsiaTheme="minorEastAsia" w:hAnsiTheme="minorHAnsi" w:cstheme="minorHAnsi"/>
          <w:color w:val="000000"/>
        </w:rPr>
        <w:t>eight</w:t>
      </w:r>
      <w:r w:rsidR="00151753">
        <w:rPr>
          <w:rFonts w:asciiTheme="minorHAnsi" w:eastAsiaTheme="minorEastAsia" w:hAnsiTheme="minorHAnsi" w:cstheme="minorHAnsi"/>
          <w:color w:val="000000"/>
        </w:rPr>
        <w:t xml:space="preserve"> </w:t>
      </w:r>
      <w:r w:rsidR="00AC1F88">
        <w:rPr>
          <w:rFonts w:asciiTheme="minorHAnsi" w:eastAsiaTheme="minorEastAsia" w:hAnsiTheme="minorHAnsi" w:cstheme="minorHAnsi"/>
          <w:color w:val="000000"/>
        </w:rPr>
        <w:t>selectees</w:t>
      </w:r>
      <w:r w:rsidRPr="00331936">
        <w:rPr>
          <w:rFonts w:asciiTheme="minorHAnsi" w:eastAsiaTheme="minorEastAsia" w:hAnsiTheme="minorHAnsi" w:cstheme="minorHAnsi"/>
          <w:color w:val="000000"/>
        </w:rPr>
        <w:t xml:space="preserve"> </w:t>
      </w:r>
      <w:r w:rsidR="00151753">
        <w:rPr>
          <w:rFonts w:asciiTheme="minorHAnsi" w:eastAsiaTheme="minorEastAsia" w:hAnsiTheme="minorHAnsi" w:cstheme="minorHAnsi"/>
          <w:color w:val="000000"/>
        </w:rPr>
        <w:t>were</w:t>
      </w:r>
      <w:r w:rsidRPr="00331936">
        <w:rPr>
          <w:rFonts w:asciiTheme="minorHAnsi" w:eastAsiaTheme="minorEastAsia" w:hAnsiTheme="minorHAnsi" w:cstheme="minorHAnsi"/>
          <w:color w:val="000000"/>
        </w:rPr>
        <w:t xml:space="preserve"> undertaken</w:t>
      </w:r>
      <w:r w:rsidR="00151753">
        <w:rPr>
          <w:rFonts w:asciiTheme="minorHAnsi" w:eastAsiaTheme="minorEastAsia" w:hAnsiTheme="minorHAnsi" w:cstheme="minorHAnsi"/>
          <w:color w:val="000000"/>
        </w:rPr>
        <w:t xml:space="preserve"> so that EPA could understand </w:t>
      </w:r>
      <w:r w:rsidRPr="00331936">
        <w:rPr>
          <w:rFonts w:asciiTheme="minorHAnsi" w:eastAsiaTheme="minorEastAsia" w:hAnsiTheme="minorHAnsi" w:cstheme="minorHAnsi"/>
          <w:color w:val="000000"/>
        </w:rPr>
        <w:t>the burden associated with completing the data collection covered in this ICR. These consultations include</w:t>
      </w:r>
      <w:r w:rsidR="00151753">
        <w:rPr>
          <w:rFonts w:asciiTheme="minorHAnsi" w:eastAsiaTheme="minorEastAsia" w:hAnsiTheme="minorHAnsi" w:cstheme="minorHAnsi"/>
          <w:color w:val="000000"/>
        </w:rPr>
        <w:t>d</w:t>
      </w:r>
      <w:r w:rsidRPr="00331936">
        <w:rPr>
          <w:rFonts w:asciiTheme="minorHAnsi" w:eastAsiaTheme="minorEastAsia" w:hAnsiTheme="minorHAnsi" w:cstheme="minorHAnsi"/>
          <w:color w:val="000000"/>
        </w:rPr>
        <w:t xml:space="preserve"> discussions concerning potential response problems, clarity of questions and instructions, and other aspects of respondent burden. </w:t>
      </w:r>
    </w:p>
    <w:p w:rsidR="001A7B0D" w:rsidRPr="00BD0079" w:rsidP="00961C50" w14:paraId="3B8F7EAB" w14:textId="77777777">
      <w:pPr>
        <w:contextualSpacing/>
        <w:rPr>
          <w:rFonts w:cstheme="minorHAnsi"/>
        </w:rPr>
      </w:pPr>
    </w:p>
    <w:p w:rsidR="00A233E0" w:rsidRPr="00E3122D" w:rsidP="00961C50" w14:paraId="191560B2" w14:textId="40288CC4">
      <w:pPr>
        <w:pStyle w:val="Heading1"/>
      </w:pPr>
      <w:r>
        <w:t xml:space="preserve">9. </w:t>
      </w:r>
      <w:bookmarkStart w:id="12" w:name="_Toc156593378"/>
      <w:r w:rsidRPr="00E3122D" w:rsidR="00F573CC">
        <w:t>PAYMENTS OR GIFTS TO RESPONDENTS</w:t>
      </w:r>
      <w:bookmarkEnd w:id="12"/>
    </w:p>
    <w:p w:rsidR="00D47CB3" w:rsidRPr="00D47CB3" w:rsidP="00961C50"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16490F" w:rsidRPr="00BD0079" w:rsidP="00961C50" w14:paraId="08D3CE4E" w14:textId="77777777">
      <w:pPr>
        <w:contextualSpacing/>
        <w:rPr>
          <w:rFonts w:cstheme="minorHAnsi"/>
        </w:rPr>
      </w:pPr>
    </w:p>
    <w:p w:rsidR="0016490F" w:rsidRPr="00BD0079" w:rsidP="00961C50" w14:paraId="409E3ADC" w14:textId="3F29107E">
      <w:pPr>
        <w:contextualSpacing/>
        <w:rPr>
          <w:rFonts w:cstheme="minorHAnsi"/>
        </w:rPr>
      </w:pPr>
      <w:r w:rsidRPr="00BD0079">
        <w:rPr>
          <w:rFonts w:cstheme="minorHAnsi"/>
        </w:rPr>
        <w:t xml:space="preserve">Per OMB guidance, incentives are generally not appropriate for recipients of assistance agreements because they already have a preexisting relationship with the Agency. Incentives will not be provided for post-award reports submitted by </w:t>
      </w:r>
      <w:r w:rsidR="00BE5E35">
        <w:rPr>
          <w:rFonts w:cstheme="minorHAnsi"/>
        </w:rPr>
        <w:t>Grantees</w:t>
      </w:r>
      <w:r w:rsidRPr="00BD0079">
        <w:rPr>
          <w:rFonts w:cstheme="minorHAnsi"/>
        </w:rPr>
        <w:t>.</w:t>
      </w:r>
    </w:p>
    <w:p w:rsidR="4C04BBF2" w:rsidP="00961C50" w14:paraId="333FE36D" w14:textId="26B0ADC5">
      <w:pPr>
        <w:pStyle w:val="Heading1"/>
      </w:pPr>
      <w:r>
        <w:t xml:space="preserve">10. </w:t>
      </w:r>
      <w:r w:rsidRPr="4BDBF0A0">
        <w:t>ASSURANCE OF CONFIDENTIALITY</w:t>
      </w:r>
    </w:p>
    <w:p w:rsidR="00A233E0" w:rsidRPr="00A233E0" w:rsidP="00961C50"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375075" w:rsidP="00961C50" w14:paraId="30E725FB" w14:textId="77777777">
      <w:pPr>
        <w:contextualSpacing/>
        <w:rPr>
          <w:rFonts w:cstheme="minorHAnsi"/>
          <w:u w:val="single"/>
        </w:rPr>
      </w:pPr>
    </w:p>
    <w:p w:rsidR="00982867" w:rsidP="00961C50" w14:paraId="1AF5334A"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pPr>
      <w:r>
        <w:t>EPA asks grantees to refrain from including any confidential business information (CBI) in their reporting. All confidential data will be handled in accordance with 40 CFR 122.7, 40 CFR Part 2, and EPA’s Security Manual Part III, Chapter 9, dated August 9, 1976. Any claim of confidentiality must be asserted at the time of submission. Any personal information included in a survey would be treated in accordance with the Privacy Act, section 14 of TSCA, and the Freedom of Information Act.</w:t>
      </w:r>
    </w:p>
    <w:p w:rsidR="00877339" w:rsidRPr="00BD0079" w:rsidP="00961C50" w14:paraId="45F42C34" w14:textId="77777777">
      <w:pPr>
        <w:contextualSpacing/>
      </w:pPr>
    </w:p>
    <w:p w:rsidR="00877339" w:rsidRPr="00BD0079" w:rsidP="00961C50" w14:paraId="43509471" w14:textId="4708889E">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rPr>
          <w:rStyle w:val="eop"/>
          <w:color w:val="000000" w:themeColor="text1"/>
        </w:rPr>
      </w:pPr>
      <w:r w:rsidRPr="3FCF2EA8">
        <w:rPr>
          <w:rStyle w:val="eop"/>
          <w:color w:val="000000" w:themeColor="text1"/>
        </w:rPr>
        <w:t xml:space="preserve">Progress reports and final reports submitted by grantees will be stored in an EPA IT system that meets the Agency’s current policies and guidelines regarding security and privacy. A Privacy Threshold Analysis was conducted on this system, and a Privacy Impact Assessment Form was completed as part of the SORN process to safeguard sensitive information such as personally identifiable information (see </w:t>
      </w:r>
      <w:hyperlink r:id="rId23" w:history="1">
        <w:r w:rsidRPr="3FCF2EA8">
          <w:rPr>
            <w:rStyle w:val="Hyperlink"/>
          </w:rPr>
          <w:t>https://www.govinfo.gov/content/pkg/FR-2022-09-06.pdf/2022-19183.pdf</w:t>
        </w:r>
      </w:hyperlink>
      <w:r w:rsidRPr="3FCF2EA8">
        <w:rPr>
          <w:rStyle w:val="eop"/>
          <w:color w:val="000000" w:themeColor="text1"/>
        </w:rPr>
        <w:t xml:space="preserve">). Personal identifiers will not be used to retrieve specific information in this system. </w:t>
      </w:r>
    </w:p>
    <w:p w:rsidR="000655B3" w:rsidP="00961C50" w14:paraId="74079611"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pPr>
    </w:p>
    <w:p w:rsidR="00A233E0" w:rsidRPr="00E3122D" w:rsidP="00961C50" w14:paraId="36FBAEFB" w14:textId="5A00B1ED">
      <w:pPr>
        <w:pStyle w:val="Heading1"/>
        <w:rPr>
          <w:rFonts w:cstheme="minorHAnsi"/>
        </w:rPr>
      </w:pPr>
      <w:r>
        <w:t xml:space="preserve">11. </w:t>
      </w:r>
      <w:bookmarkStart w:id="13" w:name="_Toc156593380"/>
      <w:r w:rsidRPr="4BDBF0A0" w:rsidR="002420F2">
        <w:t>JUSTIFICATION FOR SENSITIVE QUESTIONS</w:t>
      </w:r>
      <w:bookmarkEnd w:id="13"/>
    </w:p>
    <w:p w:rsidR="00A233E0" w:rsidRPr="00A233E0" w:rsidP="00961C50"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0E88" w:rsidP="00961C50" w14:paraId="1C6E824E" w14:textId="77777777">
      <w:pPr>
        <w:contextualSpacing/>
        <w:rPr>
          <w:rFonts w:cstheme="minorHAnsi"/>
        </w:rPr>
      </w:pPr>
      <w:r>
        <w:rPr>
          <w:rFonts w:cstheme="minorHAnsi"/>
        </w:rPr>
        <w:t>The information collection activities covered by this ICR will not include q</w:t>
      </w:r>
      <w:r w:rsidRPr="00BD0079">
        <w:rPr>
          <w:rFonts w:cstheme="minorHAnsi"/>
        </w:rPr>
        <w:t>uestions about sensitive issues</w:t>
      </w:r>
      <w:r>
        <w:rPr>
          <w:rFonts w:cstheme="minorHAnsi"/>
        </w:rPr>
        <w:t xml:space="preserve"> (e.g., religious beliefs, sexual </w:t>
      </w:r>
      <w:r>
        <w:rPr>
          <w:rFonts w:cstheme="minorHAnsi"/>
        </w:rPr>
        <w:t>attitudes</w:t>
      </w:r>
      <w:r>
        <w:rPr>
          <w:rFonts w:cstheme="minorHAnsi"/>
        </w:rPr>
        <w:t xml:space="preserve"> and behavior). </w:t>
      </w:r>
    </w:p>
    <w:p w:rsidR="001172FE" w:rsidRPr="00E3122D" w:rsidP="00961C50" w14:paraId="637A8E82" w14:textId="40919B93">
      <w:pPr>
        <w:pStyle w:val="Heading1"/>
        <w:rPr>
          <w:rFonts w:cstheme="minorHAnsi"/>
        </w:rPr>
      </w:pPr>
      <w:r>
        <w:t xml:space="preserve">12. </w:t>
      </w:r>
      <w:bookmarkStart w:id="14" w:name="_Toc156593381"/>
      <w:bookmarkStart w:id="15" w:name="_Hlk162363270"/>
      <w:r w:rsidRPr="4BDBF0A0" w:rsidR="00331168">
        <w:t>RESPONDENT BURDEN HOURS</w:t>
      </w:r>
      <w:r w:rsidRPr="4BDBF0A0" w:rsidR="00DB799B">
        <w:t xml:space="preserve"> &amp; LABOR COSTS</w:t>
      </w:r>
      <w:bookmarkStart w:id="16" w:name="_Toc156593382"/>
      <w:bookmarkEnd w:id="14"/>
    </w:p>
    <w:p w:rsidR="00A233E0" w:rsidRPr="00F532D6" w:rsidP="00961C50"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961C50" w14:paraId="11BD2D70" w14:textId="77777777">
      <w:pPr>
        <w:pStyle w:val="ListParagraph"/>
        <w:numPr>
          <w:ilvl w:val="0"/>
          <w:numId w:val="1"/>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961C50" w14:paraId="2184CE92" w14:textId="77777777">
      <w:pPr>
        <w:pStyle w:val="ListParagraph"/>
        <w:numPr>
          <w:ilvl w:val="0"/>
          <w:numId w:val="1"/>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961C50" w14:paraId="7EF5894F" w14:textId="5EEBA470">
      <w:pPr>
        <w:pStyle w:val="ListParagraph"/>
        <w:numPr>
          <w:ilvl w:val="0"/>
          <w:numId w:val="1"/>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07770F" w:rsidP="00961C50" w14:paraId="2B3F4290" w14:textId="77777777">
      <w:pPr>
        <w:pStyle w:val="NormalWeb"/>
        <w:contextualSpacing/>
        <w:rPr>
          <w:rFonts w:asciiTheme="minorHAnsi" w:hAnsiTheme="minorHAnsi" w:cstheme="minorHAnsi"/>
          <w:color w:val="000000" w:themeColor="text1"/>
          <w:u w:val="single"/>
        </w:rPr>
      </w:pPr>
      <w:bookmarkStart w:id="17" w:name="_Hlk148418591"/>
      <w:bookmarkEnd w:id="15"/>
    </w:p>
    <w:p w:rsidR="00773D6D" w:rsidRPr="00773D6D" w:rsidP="00961C50" w14:paraId="6BEC3273" w14:textId="51D68F37">
      <w:pPr>
        <w:spacing w:after="0"/>
        <w:rPr>
          <w:b/>
          <w:bCs/>
        </w:rPr>
      </w:pPr>
      <w:r w:rsidRPr="00773D6D">
        <w:rPr>
          <w:b/>
          <w:bCs/>
        </w:rPr>
        <w:t>Total Number of Respondents = 217</w:t>
      </w:r>
    </w:p>
    <w:p w:rsidR="00321ED3" w:rsidRPr="00773D6D" w:rsidP="00961C50" w14:paraId="632DBDAA" w14:textId="6A878452">
      <w:pPr>
        <w:spacing w:after="0"/>
        <w:rPr>
          <w:b/>
          <w:bCs/>
        </w:rPr>
      </w:pPr>
      <w:r w:rsidRPr="00773D6D">
        <w:rPr>
          <w:b/>
          <w:bCs/>
        </w:rPr>
        <w:t xml:space="preserve">Total Annual Hour Burden (across all instruments and respondents) = </w:t>
      </w:r>
      <w:r w:rsidRPr="00773D6D" w:rsidR="00773D6D">
        <w:rPr>
          <w:b/>
          <w:bCs/>
        </w:rPr>
        <w:t>17,360</w:t>
      </w:r>
      <w:r w:rsidRPr="00773D6D">
        <w:rPr>
          <w:b/>
          <w:bCs/>
        </w:rPr>
        <w:t xml:space="preserve"> hours</w:t>
      </w:r>
    </w:p>
    <w:p w:rsidR="00321ED3" w:rsidRPr="00B87A65" w:rsidP="00961C50" w14:paraId="6CD200B7" w14:textId="522EDAAA">
      <w:pPr>
        <w:spacing w:after="0"/>
        <w:rPr>
          <w:b/>
          <w:bCs/>
        </w:rPr>
      </w:pPr>
      <w:r w:rsidRPr="00773D6D">
        <w:rPr>
          <w:b/>
          <w:bCs/>
        </w:rPr>
        <w:t xml:space="preserve">Total Annual Cost (across all instruments and respondents) </w:t>
      </w:r>
      <w:r w:rsidRPr="00773D6D" w:rsidR="00F6380F">
        <w:rPr>
          <w:b/>
          <w:bCs/>
        </w:rPr>
        <w:t>= $</w:t>
      </w:r>
      <w:r w:rsidRPr="00773D6D" w:rsidR="00773D6D">
        <w:rPr>
          <w:b/>
          <w:bCs/>
        </w:rPr>
        <w:t>994,554</w:t>
      </w:r>
    </w:p>
    <w:p w:rsidR="00321ED3" w:rsidP="00961C50" w14:paraId="093C6955" w14:textId="77777777">
      <w:pPr>
        <w:spacing w:after="0"/>
        <w:rPr>
          <w:rFonts w:cstheme="minorHAnsi"/>
          <w:u w:val="single"/>
        </w:rPr>
      </w:pPr>
    </w:p>
    <w:p w:rsidR="0015001F" w:rsidRPr="00737482" w:rsidP="0015001F" w14:paraId="3EDE1164" w14:textId="77777777">
      <w:pPr>
        <w:spacing w:before="120"/>
        <w:rPr>
          <w:rFonts w:cstheme="minorHAnsi"/>
          <w:b/>
          <w:bCs/>
        </w:rPr>
      </w:pPr>
      <w:r w:rsidRPr="00737482">
        <w:rPr>
          <w:rFonts w:cstheme="minorHAnsi"/>
          <w:b/>
          <w:bCs/>
        </w:rPr>
        <w:t>12a. Respondents/NAICS Codes</w:t>
      </w:r>
    </w:p>
    <w:p w:rsidR="0015001F" w:rsidRPr="004F7BAB" w:rsidP="0015001F" w14:paraId="684DFC92" w14:textId="7F3AF32E">
      <w:pPr>
        <w:pBdr>
          <w:top w:val="single" w:sz="6" w:space="0" w:color="FFFFFF"/>
          <w:left w:val="single" w:sz="6" w:space="0" w:color="FFFFFF"/>
          <w:bottom w:val="single" w:sz="6" w:space="0" w:color="FFFFFF"/>
          <w:right w:val="single" w:sz="6" w:space="0" w:color="FFFFFF"/>
        </w:pBdr>
        <w:spacing w:before="120"/>
        <w:rPr>
          <w:rStyle w:val="cf01"/>
          <w:rFonts w:asciiTheme="minorHAnsi" w:hAnsiTheme="minorHAnsi" w:cstheme="minorHAnsi"/>
          <w:sz w:val="22"/>
          <w:szCs w:val="22"/>
        </w:rPr>
      </w:pPr>
      <w:r w:rsidRPr="004F7BAB">
        <w:rPr>
          <w:rFonts w:cstheme="minorHAnsi"/>
          <w:color w:val="000000"/>
        </w:rPr>
        <w:t xml:space="preserve">Respondents will include entities who are eligible to receive </w:t>
      </w:r>
      <w:r w:rsidRPr="004F7BAB" w:rsidR="004F7BAB">
        <w:rPr>
          <w:rFonts w:cstheme="minorHAnsi"/>
          <w:color w:val="000000"/>
        </w:rPr>
        <w:t>awards</w:t>
      </w:r>
      <w:r w:rsidRPr="004F7BAB">
        <w:rPr>
          <w:rFonts w:cstheme="minorHAnsi"/>
          <w:color w:val="000000"/>
        </w:rPr>
        <w:t>, who are covered by the following NAICS codes</w:t>
      </w:r>
      <w:r w:rsidRPr="004F7BAB">
        <w:rPr>
          <w:rFonts w:cstheme="minorHAnsi"/>
        </w:rPr>
        <w:t>: 813410 (Civic and Social Organizations)</w:t>
      </w:r>
      <w:r w:rsidRPr="004F7BAB" w:rsidR="004F7BAB">
        <w:rPr>
          <w:rFonts w:cstheme="minorHAnsi"/>
        </w:rPr>
        <w:t xml:space="preserve"> and </w:t>
      </w:r>
      <w:r w:rsidRPr="004F7BAB">
        <w:rPr>
          <w:rFonts w:cstheme="minorHAnsi"/>
        </w:rPr>
        <w:t>921120 (Local Governments)</w:t>
      </w:r>
      <w:r w:rsidRPr="004F7BAB" w:rsidR="004F7BAB">
        <w:rPr>
          <w:rFonts w:cstheme="minorHAnsi"/>
        </w:rPr>
        <w:t>.</w:t>
      </w:r>
    </w:p>
    <w:p w:rsidR="0015001F" w:rsidRPr="004F7BAB" w:rsidP="0015001F" w14:paraId="12DF65AD" w14:textId="746EA82E">
      <w:pPr>
        <w:pStyle w:val="ListParagraph"/>
        <w:pBdr>
          <w:top w:val="single" w:sz="6" w:space="0" w:color="FFFFFF"/>
          <w:left w:val="single" w:sz="6" w:space="0" w:color="FFFFFF"/>
          <w:bottom w:val="single" w:sz="6" w:space="0" w:color="FFFFFF"/>
          <w:right w:val="single" w:sz="6" w:space="0" w:color="FFFFFF"/>
        </w:pBdr>
        <w:spacing w:before="120"/>
        <w:ind w:left="0"/>
        <w:rPr>
          <w:rFonts w:cstheme="minorHAnsi"/>
        </w:rPr>
      </w:pPr>
      <w:r w:rsidRPr="004F7BAB">
        <w:rPr>
          <w:rStyle w:val="cf01"/>
          <w:rFonts w:asciiTheme="minorHAnsi" w:hAnsiTheme="minorHAnsi" w:cstheme="minorHAnsi"/>
          <w:sz w:val="22"/>
          <w:szCs w:val="22"/>
        </w:rPr>
        <w:t>EPA estimates labor costs using information from the Bureau of Labor Statistics (BLS) that, in the Agency’s professional judgement, seem</w:t>
      </w:r>
      <w:r w:rsidR="004F7BAB">
        <w:rPr>
          <w:rStyle w:val="cf01"/>
          <w:rFonts w:asciiTheme="minorHAnsi" w:hAnsiTheme="minorHAnsi" w:cstheme="minorHAnsi"/>
          <w:sz w:val="22"/>
          <w:szCs w:val="22"/>
        </w:rPr>
        <w:t>s</w:t>
      </w:r>
      <w:r w:rsidRPr="004F7BAB">
        <w:rPr>
          <w:rStyle w:val="cf01"/>
          <w:rFonts w:asciiTheme="minorHAnsi" w:hAnsiTheme="minorHAnsi" w:cstheme="minorHAnsi"/>
          <w:sz w:val="22"/>
          <w:szCs w:val="22"/>
        </w:rPr>
        <w:t xml:space="preserve"> to best represent the pool of respondents. In this </w:t>
      </w:r>
      <w:r w:rsidRPr="004F7BAB">
        <w:rPr>
          <w:rStyle w:val="cf01"/>
          <w:rFonts w:asciiTheme="minorHAnsi" w:hAnsiTheme="minorHAnsi" w:cstheme="minorHAnsi"/>
          <w:sz w:val="22"/>
          <w:szCs w:val="22"/>
        </w:rPr>
        <w:t>particular ICR</w:t>
      </w:r>
      <w:r w:rsidRPr="004F7BAB">
        <w:rPr>
          <w:rStyle w:val="cf01"/>
          <w:rFonts w:asciiTheme="minorHAnsi" w:hAnsiTheme="minorHAnsi" w:cstheme="minorHAnsi"/>
          <w:sz w:val="22"/>
          <w:szCs w:val="22"/>
        </w:rPr>
        <w:t xml:space="preserve">, </w:t>
      </w:r>
      <w:r w:rsidR="004F7BAB">
        <w:rPr>
          <w:rStyle w:val="cf01"/>
          <w:rFonts w:asciiTheme="minorHAnsi" w:hAnsiTheme="minorHAnsi" w:cstheme="minorHAnsi"/>
          <w:sz w:val="22"/>
          <w:szCs w:val="22"/>
        </w:rPr>
        <w:t>EPA</w:t>
      </w:r>
      <w:r w:rsidRPr="004F7BAB">
        <w:rPr>
          <w:rStyle w:val="cf01"/>
          <w:rFonts w:asciiTheme="minorHAnsi" w:hAnsiTheme="minorHAnsi" w:cstheme="minorHAnsi"/>
          <w:sz w:val="22"/>
          <w:szCs w:val="22"/>
        </w:rPr>
        <w:t xml:space="preserve"> uses </w:t>
      </w:r>
      <w:r w:rsidR="004F7BAB">
        <w:rPr>
          <w:rStyle w:val="cf01"/>
          <w:rFonts w:asciiTheme="minorHAnsi" w:hAnsiTheme="minorHAnsi" w:cstheme="minorHAnsi"/>
          <w:sz w:val="22"/>
          <w:szCs w:val="22"/>
        </w:rPr>
        <w:t xml:space="preserve">the </w:t>
      </w:r>
      <w:r w:rsidRPr="004F7BAB">
        <w:rPr>
          <w:rStyle w:val="cf01"/>
          <w:rFonts w:asciiTheme="minorHAnsi" w:hAnsiTheme="minorHAnsi" w:cstheme="minorHAnsi"/>
          <w:sz w:val="22"/>
          <w:szCs w:val="22"/>
        </w:rPr>
        <w:t xml:space="preserve">BLS “civic and social organizations” category. </w:t>
      </w:r>
    </w:p>
    <w:p w:rsidR="0015001F" w:rsidRPr="00737482" w:rsidP="0015001F" w14:paraId="1F4C6242" w14:textId="77777777">
      <w:pPr>
        <w:contextualSpacing/>
        <w:rPr>
          <w:u w:val="single"/>
        </w:rPr>
      </w:pPr>
    </w:p>
    <w:p w:rsidR="0015001F" w:rsidRPr="00737482" w:rsidP="0015001F" w14:paraId="50625199" w14:textId="77777777">
      <w:pPr>
        <w:spacing w:before="120"/>
        <w:rPr>
          <w:rFonts w:cstheme="minorHAnsi"/>
          <w:b/>
          <w:bCs/>
        </w:rPr>
      </w:pPr>
      <w:r w:rsidRPr="00737482">
        <w:rPr>
          <w:rFonts w:cstheme="minorHAnsi"/>
          <w:b/>
          <w:bCs/>
        </w:rPr>
        <w:t>12b. Information Requested</w:t>
      </w:r>
      <w:bookmarkStart w:id="18" w:name="_Toc156593384"/>
      <w:r w:rsidRPr="00737482">
        <w:rPr>
          <w:rFonts w:cstheme="minorHAnsi"/>
          <w:b/>
          <w:bCs/>
        </w:rPr>
        <w:br/>
        <w:t>12c. Respondent Activities</w:t>
      </w:r>
      <w:bookmarkStart w:id="19" w:name="_Toc156593385"/>
      <w:bookmarkEnd w:id="18"/>
      <w:r w:rsidRPr="00737482">
        <w:rPr>
          <w:rFonts w:cstheme="minorHAnsi"/>
          <w:b/>
          <w:bCs/>
        </w:rPr>
        <w:br/>
        <w:t xml:space="preserve">12d. Respondent Burden Hours and Labor </w:t>
      </w:r>
      <w:bookmarkEnd w:id="19"/>
      <w:r w:rsidRPr="00737482">
        <w:rPr>
          <w:rFonts w:cstheme="minorHAnsi"/>
          <w:b/>
          <w:bCs/>
        </w:rPr>
        <w:t>Costs</w:t>
      </w:r>
    </w:p>
    <w:p w:rsidR="0015001F" w:rsidRPr="002D6189" w:rsidP="00961C50" w14:paraId="508CA68B" w14:textId="77777777">
      <w:pPr>
        <w:spacing w:after="0"/>
        <w:rPr>
          <w:rFonts w:cstheme="minorHAnsi"/>
          <w:u w:val="single"/>
        </w:rPr>
      </w:pPr>
    </w:p>
    <w:p w:rsidR="0047749E" w:rsidRPr="007654E0" w:rsidP="0047749E" w14:paraId="7DA51B42" w14:textId="404DF31A">
      <w:pPr>
        <w:pStyle w:val="Header"/>
        <w:ind w:left="360"/>
        <w:contextualSpacing/>
        <w:rPr>
          <w:rFonts w:cstheme="minorHAnsi"/>
        </w:rPr>
      </w:pPr>
      <w:r>
        <w:rPr>
          <w:rFonts w:cstheme="minorHAnsi"/>
          <w:b/>
          <w:bCs/>
        </w:rPr>
        <w:t xml:space="preserve">Information Requested: </w:t>
      </w:r>
    </w:p>
    <w:p w:rsidR="0047749E" w:rsidRPr="007654E0" w:rsidP="00EA30A4" w14:paraId="4213A757" w14:textId="77777777">
      <w:pPr>
        <w:pStyle w:val="Header"/>
        <w:numPr>
          <w:ilvl w:val="0"/>
          <w:numId w:val="46"/>
        </w:numPr>
        <w:ind w:left="1080"/>
        <w:contextualSpacing/>
        <w:rPr>
          <w:rFonts w:cstheme="minorHAnsi"/>
        </w:rPr>
      </w:pPr>
      <w:r>
        <w:rPr>
          <w:rFonts w:cstheme="minorHAnsi"/>
          <w:i/>
        </w:rPr>
        <w:t>Progress</w:t>
      </w:r>
      <w:r w:rsidRPr="007654E0">
        <w:rPr>
          <w:rFonts w:cstheme="minorHAnsi"/>
          <w:i/>
        </w:rPr>
        <w:t xml:space="preserve"> reports submitted by grantees</w:t>
      </w:r>
      <w:r w:rsidRPr="00260432">
        <w:rPr>
          <w:rFonts w:cstheme="minorHAnsi"/>
          <w:i/>
        </w:rPr>
        <w:t xml:space="preserve"> </w:t>
      </w:r>
      <w:r>
        <w:rPr>
          <w:rFonts w:cstheme="minorHAnsi"/>
          <w:i/>
        </w:rPr>
        <w:t>semi-annually</w:t>
      </w:r>
      <w:r w:rsidRPr="007654E0">
        <w:rPr>
          <w:rFonts w:cstheme="minorHAnsi"/>
          <w:i/>
        </w:rPr>
        <w:t xml:space="preserve">, </w:t>
      </w:r>
      <w:r w:rsidRPr="007654E0">
        <w:rPr>
          <w:rFonts w:cstheme="minorHAnsi"/>
        </w:rPr>
        <w:t xml:space="preserve">which document their planned and actual milestones, activities, target audiences, </w:t>
      </w:r>
      <w:r>
        <w:rPr>
          <w:rFonts w:cstheme="minorHAnsi"/>
        </w:rPr>
        <w:t xml:space="preserve">partners, </w:t>
      </w:r>
      <w:r w:rsidRPr="007654E0">
        <w:rPr>
          <w:rFonts w:cstheme="minorHAnsi"/>
        </w:rPr>
        <w:t xml:space="preserve">outputs, outcomes, timelines, and locations of activities or </w:t>
      </w:r>
      <w:r w:rsidRPr="007654E0">
        <w:rPr>
          <w:rFonts w:cstheme="minorHAnsi"/>
        </w:rPr>
        <w:t>benefits;</w:t>
      </w:r>
    </w:p>
    <w:p w:rsidR="0047749E" w:rsidP="00EA30A4" w14:paraId="71EBC9AE" w14:textId="73E4DC0A">
      <w:pPr>
        <w:pStyle w:val="Header"/>
        <w:numPr>
          <w:ilvl w:val="0"/>
          <w:numId w:val="46"/>
        </w:numPr>
        <w:ind w:left="1080"/>
        <w:contextualSpacing/>
      </w:pPr>
      <w:r w:rsidRPr="3FCF2EA8">
        <w:rPr>
          <w:i/>
          <w:iCs/>
        </w:rPr>
        <w:t xml:space="preserve">Final reports, </w:t>
      </w:r>
      <w:r>
        <w:t>submitted by grantees 120 days after the listed end date on the EPA award documentation (60 days after the last progress report), documenting progress towards medium- and long-term outcomes over the life of the grant.</w:t>
      </w:r>
    </w:p>
    <w:p w:rsidR="00EA30A4" w:rsidRPr="0047749E" w:rsidP="00EA30A4" w14:paraId="6C455F58" w14:textId="77777777">
      <w:pPr>
        <w:pStyle w:val="Header"/>
        <w:ind w:left="840"/>
        <w:contextualSpacing/>
      </w:pPr>
    </w:p>
    <w:p w:rsidR="0007770F" w:rsidRPr="0007770F" w:rsidP="00961C50" w14:paraId="2D8C3F0D" w14:textId="58D46B57">
      <w:pPr>
        <w:ind w:left="360"/>
        <w:rPr>
          <w:rFonts w:cstheme="minorHAnsi"/>
        </w:rPr>
      </w:pPr>
      <w:r w:rsidRPr="00B87A65">
        <w:rPr>
          <w:rFonts w:cstheme="minorHAnsi"/>
          <w:b/>
          <w:bCs/>
        </w:rPr>
        <w:t xml:space="preserve">Respondent </w:t>
      </w:r>
      <w:r w:rsidR="0015001F">
        <w:rPr>
          <w:rFonts w:cstheme="minorHAnsi"/>
          <w:b/>
          <w:bCs/>
        </w:rPr>
        <w:t>activities</w:t>
      </w:r>
      <w:r w:rsidRPr="00B87A65">
        <w:rPr>
          <w:rFonts w:cstheme="minorHAnsi"/>
          <w:b/>
          <w:bCs/>
        </w:rPr>
        <w:t>:</w:t>
      </w:r>
      <w:r w:rsidRPr="002D6189">
        <w:rPr>
          <w:rFonts w:cstheme="minorHAnsi"/>
        </w:rPr>
        <w:t xml:space="preserve"> The </w:t>
      </w:r>
      <w:r w:rsidRPr="002D6189" w:rsidR="008C0A91">
        <w:rPr>
          <w:rFonts w:cstheme="minorHAnsi"/>
        </w:rPr>
        <w:t xml:space="preserve">Grantees </w:t>
      </w:r>
      <w:r w:rsidRPr="002D6189">
        <w:rPr>
          <w:rFonts w:cstheme="minorHAnsi"/>
        </w:rPr>
        <w:t>incur a burden in the process</w:t>
      </w:r>
      <w:r w:rsidRPr="00BD0079">
        <w:rPr>
          <w:rFonts w:cstheme="minorHAnsi"/>
        </w:rPr>
        <w:t xml:space="preserve"> of preparing, completing, and submitting the </w:t>
      </w:r>
      <w:r w:rsidR="00B84294">
        <w:rPr>
          <w:rFonts w:cstheme="minorHAnsi"/>
        </w:rPr>
        <w:t xml:space="preserve">requested </w:t>
      </w:r>
      <w:r w:rsidRPr="00BD0079">
        <w:rPr>
          <w:rFonts w:cstheme="minorHAnsi"/>
        </w:rPr>
        <w:t xml:space="preserve">information </w:t>
      </w:r>
      <w:r w:rsidR="00B84294">
        <w:rPr>
          <w:rFonts w:cstheme="minorHAnsi"/>
        </w:rPr>
        <w:t xml:space="preserve">via </w:t>
      </w:r>
      <w:r w:rsidRPr="00BD0079">
        <w:rPr>
          <w:rFonts w:cstheme="minorHAnsi"/>
        </w:rPr>
        <w:t>progress reports</w:t>
      </w:r>
      <w:r w:rsidR="008C0A91">
        <w:rPr>
          <w:rFonts w:cstheme="minorHAnsi"/>
        </w:rPr>
        <w:t xml:space="preserve"> and</w:t>
      </w:r>
      <w:r w:rsidRPr="00BD0079">
        <w:rPr>
          <w:rFonts w:cstheme="minorHAnsi"/>
        </w:rPr>
        <w:t xml:space="preserve"> final reports.</w:t>
      </w:r>
    </w:p>
    <w:p w:rsidR="0007770F" w:rsidRPr="00BD0079" w:rsidP="00961C50" w14:paraId="785BA8D1" w14:textId="77777777">
      <w:pPr>
        <w:ind w:left="360"/>
      </w:pPr>
      <w:r w:rsidRPr="00B87A65">
        <w:rPr>
          <w:b/>
          <w:bCs/>
        </w:rPr>
        <w:t>Methodology:</w:t>
      </w:r>
      <w:r w:rsidRPr="00BD0079">
        <w:t xml:space="preserve"> The burden for respondents was estimated using a seven-step process for each information collection instrument:</w:t>
      </w:r>
    </w:p>
    <w:p w:rsidR="0007770F" w:rsidRPr="00BD0079" w:rsidP="00961C50" w14:paraId="6F68449F" w14:textId="1DB09201">
      <w:pPr>
        <w:pStyle w:val="ListParagraph"/>
        <w:numPr>
          <w:ilvl w:val="0"/>
          <w:numId w:val="31"/>
        </w:numPr>
        <w:spacing w:after="0" w:line="240" w:lineRule="auto"/>
        <w:ind w:left="1080"/>
      </w:pPr>
      <w:r w:rsidRPr="00BD0079">
        <w:t xml:space="preserve">Calculate the number of hours to prepare, complete, and submit each response, across all staff roles at relevant levels of seniority: management, technical, clerical/support (based on consultations with </w:t>
      </w:r>
      <w:r w:rsidR="008C0A91">
        <w:t>Grantees</w:t>
      </w:r>
      <w:r w:rsidRPr="00BD0079">
        <w:t xml:space="preserve">). </w:t>
      </w:r>
    </w:p>
    <w:p w:rsidR="0007770F" w:rsidRPr="00BD0079" w:rsidP="00961C50" w14:paraId="0E1D7AC8" w14:textId="77777777">
      <w:pPr>
        <w:pStyle w:val="ListParagraph"/>
        <w:numPr>
          <w:ilvl w:val="0"/>
          <w:numId w:val="31"/>
        </w:numPr>
        <w:spacing w:after="0" w:line="240" w:lineRule="auto"/>
        <w:ind w:left="1080"/>
      </w:pPr>
      <w:r w:rsidRPr="00BD0079">
        <w:t>Calculate the weighted labor cost to prepare, complete, and submit each response, across all staff roles involved (based on salaries identified in the Bureau of Labor Statistics).</w:t>
      </w:r>
    </w:p>
    <w:p w:rsidR="0007770F" w:rsidRPr="00BD0079" w:rsidP="00961C50" w14:paraId="1BFBF73E" w14:textId="19DDE737">
      <w:pPr>
        <w:pStyle w:val="ListParagraph"/>
        <w:numPr>
          <w:ilvl w:val="0"/>
          <w:numId w:val="31"/>
        </w:numPr>
        <w:spacing w:after="0" w:line="240" w:lineRule="auto"/>
        <w:ind w:left="1080"/>
      </w:pPr>
      <w:r w:rsidRPr="00BD0079">
        <w:t xml:space="preserve">Determine the number of responses for the three years (based on signed Terms and Conditions agreements with each </w:t>
      </w:r>
      <w:r w:rsidR="00AF7EAC">
        <w:t>Grantees</w:t>
      </w:r>
      <w:r w:rsidRPr="00BD0079">
        <w:t xml:space="preserve">). </w:t>
      </w:r>
    </w:p>
    <w:p w:rsidR="0007770F" w:rsidRPr="00BD0079" w:rsidP="00961C50" w14:paraId="2C48BBEC" w14:textId="77777777">
      <w:pPr>
        <w:pStyle w:val="ListParagraph"/>
        <w:numPr>
          <w:ilvl w:val="0"/>
          <w:numId w:val="31"/>
        </w:numPr>
        <w:spacing w:after="0" w:line="240" w:lineRule="auto"/>
        <w:ind w:left="1080"/>
      </w:pPr>
      <w:r w:rsidRPr="00BD0079">
        <w:t>Calculate the total burden hours per instrument (number of hours per response x number of responses).</w:t>
      </w:r>
    </w:p>
    <w:p w:rsidR="0007770F" w:rsidRPr="00BD0079" w:rsidP="00961C50" w14:paraId="7D5E21A0" w14:textId="77777777">
      <w:pPr>
        <w:pStyle w:val="ListParagraph"/>
        <w:numPr>
          <w:ilvl w:val="0"/>
          <w:numId w:val="31"/>
        </w:numPr>
        <w:spacing w:after="0" w:line="240" w:lineRule="auto"/>
        <w:ind w:left="1080"/>
      </w:pPr>
      <w:r w:rsidRPr="00BD0079">
        <w:t>Calculate the total cost per instrument (labor cost per response x number of responses).</w:t>
      </w:r>
    </w:p>
    <w:p w:rsidR="0007770F" w:rsidRPr="00BD0079" w:rsidP="00961C50" w14:paraId="1F3CEF9D" w14:textId="77777777">
      <w:pPr>
        <w:pStyle w:val="ListParagraph"/>
        <w:numPr>
          <w:ilvl w:val="0"/>
          <w:numId w:val="31"/>
        </w:numPr>
        <w:spacing w:after="0" w:line="240" w:lineRule="auto"/>
        <w:ind w:left="1080"/>
      </w:pPr>
      <w:r w:rsidRPr="00BD0079">
        <w:t>Calculate the total burden hours and costs across all instruments for the three years.</w:t>
      </w:r>
    </w:p>
    <w:p w:rsidR="0007770F" w:rsidRPr="00BD0079" w:rsidP="00961C50" w14:paraId="7FC11081" w14:textId="77777777">
      <w:pPr>
        <w:pStyle w:val="ListParagraph"/>
        <w:numPr>
          <w:ilvl w:val="0"/>
          <w:numId w:val="31"/>
        </w:numPr>
        <w:spacing w:after="0" w:line="240" w:lineRule="auto"/>
        <w:ind w:left="1080"/>
      </w:pPr>
      <w:r w:rsidRPr="00BD0079">
        <w:t>Calculate the annualized burden hours and costs across all instruments for each year.</w:t>
      </w:r>
    </w:p>
    <w:p w:rsidR="0007770F" w:rsidRPr="00BD0079" w:rsidP="00961C50" w14:paraId="2CA32717" w14:textId="77777777"/>
    <w:p w:rsidR="00877339" w:rsidRPr="00834E5B" w:rsidP="00834E5B" w14:paraId="1930F7F7" w14:textId="5827306A">
      <w:pPr>
        <w:ind w:left="360"/>
      </w:pPr>
      <w:r w:rsidRPr="00BD0079">
        <w:rPr>
          <w:b/>
          <w:bCs/>
        </w:rPr>
        <w:t>Table 1 (below)</w:t>
      </w:r>
      <w:r w:rsidRPr="00BD0079">
        <w:t xml:space="preserve"> includes the information calculated in each step of the methodology, with the total burden hours and costs and annualized burden hours and costs presented in the bottom two rows. </w:t>
      </w:r>
      <w:r w:rsidR="00D2429D">
        <w:rPr>
          <w:b/>
          <w:bCs/>
        </w:rPr>
        <w:t>A</w:t>
      </w:r>
      <w:r w:rsidRPr="00BD0079">
        <w:rPr>
          <w:b/>
          <w:bCs/>
        </w:rPr>
        <w:t>ppendix</w:t>
      </w:r>
      <w:r w:rsidRPr="00C52C16">
        <w:rPr>
          <w:b/>
          <w:bCs/>
        </w:rPr>
        <w:t xml:space="preserve"> </w:t>
      </w:r>
      <w:r w:rsidRPr="00C52C16" w:rsidR="001D203E">
        <w:rPr>
          <w:b/>
          <w:bCs/>
        </w:rPr>
        <w:t>1</w:t>
      </w:r>
      <w:r w:rsidR="00476B5E">
        <w:t xml:space="preserve"> </w:t>
      </w:r>
      <w:r w:rsidRPr="00BD0079">
        <w:t xml:space="preserve">includes the calculations </w:t>
      </w:r>
      <w:r w:rsidR="0026096A">
        <w:t xml:space="preserve">and reference sources </w:t>
      </w:r>
      <w:r w:rsidRPr="00BD0079">
        <w:t xml:space="preserve">for Steps 1 and 2 of the methodology. </w:t>
      </w:r>
    </w:p>
    <w:p w:rsidR="00CB08F1" w14:paraId="3E8463CC" w14:textId="316A7493">
      <w:pPr>
        <w:rPr>
          <w:u w:val="single"/>
        </w:rPr>
      </w:pPr>
      <w:r>
        <w:rPr>
          <w:u w:val="single"/>
        </w:rPr>
        <w:br w:type="page"/>
      </w:r>
    </w:p>
    <w:p w:rsidR="00877339" w:rsidRPr="00BD0079" w:rsidP="00961C50" w14:paraId="5C0704A4" w14:textId="77777777">
      <w:pPr>
        <w:ind w:left="360"/>
        <w:rPr>
          <w:u w:val="single"/>
        </w:rPr>
      </w:pPr>
    </w:p>
    <w:tbl>
      <w:tblPr>
        <w:tblStyle w:val="TableGrid"/>
        <w:tblW w:w="0" w:type="auto"/>
        <w:tblInd w:w="355" w:type="dxa"/>
        <w:tblLayout w:type="fixed"/>
        <w:tblLook w:val="04A0"/>
      </w:tblPr>
      <w:tblGrid>
        <w:gridCol w:w="1823"/>
        <w:gridCol w:w="1246"/>
        <w:gridCol w:w="1396"/>
        <w:gridCol w:w="1406"/>
        <w:gridCol w:w="1445"/>
        <w:gridCol w:w="1504"/>
      </w:tblGrid>
      <w:tr w14:paraId="2B061F9E" w14:textId="77777777" w:rsidTr="3FCF2EA8">
        <w:tblPrEx>
          <w:tblW w:w="0" w:type="auto"/>
          <w:tblInd w:w="355" w:type="dxa"/>
          <w:tblLayout w:type="fixed"/>
          <w:tblLook w:val="04A0"/>
        </w:tblPrEx>
        <w:trPr>
          <w:trHeight w:val="395"/>
        </w:trPr>
        <w:tc>
          <w:tcPr>
            <w:tcW w:w="8820" w:type="dxa"/>
            <w:gridSpan w:val="6"/>
            <w:shd w:val="clear" w:color="auto" w:fill="D9D9D9" w:themeFill="background1" w:themeFillShade="D9"/>
            <w:vAlign w:val="center"/>
          </w:tcPr>
          <w:p w:rsidR="0007770F" w:rsidRPr="00BD0079" w:rsidP="00961C50" w14:paraId="5C61B268" w14:textId="3BCA4981">
            <w:pPr>
              <w:rPr>
                <w:b/>
                <w:bCs/>
              </w:rPr>
            </w:pPr>
            <w:r w:rsidRPr="00BD0079">
              <w:rPr>
                <w:b/>
                <w:bCs/>
              </w:rPr>
              <w:t>Table 1: Estimated burdens and costs – Respondents</w:t>
            </w:r>
          </w:p>
        </w:tc>
      </w:tr>
      <w:tr w14:paraId="6BEC6A69" w14:textId="77777777" w:rsidTr="3FCF2EA8">
        <w:tblPrEx>
          <w:tblW w:w="0" w:type="auto"/>
          <w:tblInd w:w="355" w:type="dxa"/>
          <w:tblLayout w:type="fixed"/>
          <w:tblLook w:val="04A0"/>
        </w:tblPrEx>
        <w:trPr>
          <w:trHeight w:val="1160"/>
        </w:trPr>
        <w:tc>
          <w:tcPr>
            <w:tcW w:w="1823" w:type="dxa"/>
            <w:shd w:val="clear" w:color="auto" w:fill="F2F2F2" w:themeFill="background1" w:themeFillShade="F2"/>
            <w:vAlign w:val="center"/>
          </w:tcPr>
          <w:p w:rsidR="0007770F" w:rsidRPr="00BD0079" w:rsidP="00961C50" w14:paraId="24F7B017" w14:textId="77777777">
            <w:pPr>
              <w:rPr>
                <w:b/>
                <w:bCs/>
              </w:rPr>
            </w:pPr>
            <w:r w:rsidRPr="00BD0079">
              <w:rPr>
                <w:b/>
                <w:bCs/>
              </w:rPr>
              <w:t>Activity</w:t>
            </w:r>
          </w:p>
        </w:tc>
        <w:tc>
          <w:tcPr>
            <w:tcW w:w="1246" w:type="dxa"/>
            <w:shd w:val="clear" w:color="auto" w:fill="F2F2F2" w:themeFill="background1" w:themeFillShade="F2"/>
            <w:vAlign w:val="center"/>
          </w:tcPr>
          <w:p w:rsidR="0007770F" w:rsidRPr="00BD0079" w:rsidP="00961C50" w14:paraId="4D2B24F7" w14:textId="77777777">
            <w:pPr>
              <w:rPr>
                <w:b/>
                <w:bCs/>
              </w:rPr>
            </w:pPr>
            <w:r w:rsidRPr="3FCF2EA8">
              <w:rPr>
                <w:b/>
                <w:bCs/>
              </w:rPr>
              <w:t>1. Burden per Response</w:t>
            </w:r>
          </w:p>
          <w:p w:rsidR="0007770F" w:rsidRPr="00BD0079" w:rsidP="00961C50" w14:paraId="0B3603EE" w14:textId="77777777">
            <w:pPr>
              <w:rPr>
                <w:b/>
                <w:bCs/>
              </w:rPr>
            </w:pPr>
            <w:r w:rsidRPr="00BD0079">
              <w:rPr>
                <w:b/>
                <w:bCs/>
              </w:rPr>
              <w:t>(Hours)</w:t>
            </w:r>
            <w:r w:rsidRPr="00BD0079">
              <w:rPr>
                <w:rFonts w:cs="Times New Roman (Body CS)"/>
                <w:b/>
                <w:bCs/>
                <w:vertAlign w:val="superscript"/>
              </w:rPr>
              <w:t>1</w:t>
            </w:r>
          </w:p>
        </w:tc>
        <w:tc>
          <w:tcPr>
            <w:tcW w:w="1396" w:type="dxa"/>
            <w:shd w:val="clear" w:color="auto" w:fill="F2F2F2" w:themeFill="background1" w:themeFillShade="F2"/>
            <w:vAlign w:val="center"/>
          </w:tcPr>
          <w:p w:rsidR="0007770F" w:rsidRPr="00BD0079" w:rsidP="00961C50" w14:paraId="32418007" w14:textId="39366D32">
            <w:pPr>
              <w:rPr>
                <w:b/>
                <w:bCs/>
              </w:rPr>
            </w:pPr>
            <w:r w:rsidRPr="00BD0079">
              <w:rPr>
                <w:b/>
                <w:bCs/>
              </w:rPr>
              <w:t xml:space="preserve">2. </w:t>
            </w:r>
            <w:r w:rsidR="009D11EC">
              <w:rPr>
                <w:b/>
                <w:bCs/>
              </w:rPr>
              <w:t xml:space="preserve">Weighted </w:t>
            </w:r>
            <w:r w:rsidRPr="00BD0079">
              <w:rPr>
                <w:b/>
                <w:bCs/>
              </w:rPr>
              <w:t xml:space="preserve">Labor </w:t>
            </w:r>
            <w:r w:rsidRPr="00BD0079">
              <w:rPr>
                <w:b/>
                <w:bCs/>
              </w:rPr>
              <w:br/>
              <w:t>Cost per Response (Dollars)</w:t>
            </w:r>
            <w:r w:rsidRPr="00BD0079">
              <w:rPr>
                <w:rFonts w:cs="Times New Roman (Body CS)"/>
                <w:b/>
                <w:bCs/>
                <w:vertAlign w:val="superscript"/>
              </w:rPr>
              <w:t>2</w:t>
            </w:r>
          </w:p>
        </w:tc>
        <w:tc>
          <w:tcPr>
            <w:tcW w:w="1406" w:type="dxa"/>
            <w:shd w:val="clear" w:color="auto" w:fill="F2F2F2" w:themeFill="background1" w:themeFillShade="F2"/>
            <w:vAlign w:val="center"/>
          </w:tcPr>
          <w:p w:rsidR="0007770F" w:rsidRPr="00BD0079" w:rsidP="00961C50" w14:paraId="15D959B9" w14:textId="77777777">
            <w:pPr>
              <w:rPr>
                <w:b/>
                <w:bCs/>
              </w:rPr>
            </w:pPr>
            <w:r w:rsidRPr="3FCF2EA8">
              <w:rPr>
                <w:b/>
                <w:bCs/>
              </w:rPr>
              <w:t>3. Number of Responses</w:t>
            </w:r>
            <w:r>
              <w:br/>
            </w:r>
            <w:r w:rsidRPr="3FCF2EA8">
              <w:rPr>
                <w:b/>
                <w:bCs/>
              </w:rPr>
              <w:t>(3 years)</w:t>
            </w:r>
            <w:r w:rsidRPr="3FCF2EA8">
              <w:rPr>
                <w:rFonts w:cs="Times New Roman (Body CS)"/>
                <w:b/>
                <w:bCs/>
                <w:vertAlign w:val="superscript"/>
              </w:rPr>
              <w:t>3</w:t>
            </w:r>
          </w:p>
        </w:tc>
        <w:tc>
          <w:tcPr>
            <w:tcW w:w="1445" w:type="dxa"/>
            <w:shd w:val="clear" w:color="auto" w:fill="F2F2F2" w:themeFill="background1" w:themeFillShade="F2"/>
            <w:vAlign w:val="center"/>
          </w:tcPr>
          <w:p w:rsidR="0007770F" w:rsidRPr="00BD0079" w:rsidP="00961C50" w14:paraId="4E53C521" w14:textId="77777777">
            <w:pPr>
              <w:rPr>
                <w:b/>
                <w:bCs/>
              </w:rPr>
            </w:pPr>
            <w:r w:rsidRPr="00BD0079">
              <w:rPr>
                <w:b/>
                <w:bCs/>
              </w:rPr>
              <w:t>4. Total Burden Hours</w:t>
            </w:r>
          </w:p>
          <w:p w:rsidR="0007770F" w:rsidRPr="00BD0079" w:rsidP="00961C50" w14:paraId="7EBE624B" w14:textId="77777777">
            <w:pPr>
              <w:rPr>
                <w:b/>
                <w:bCs/>
              </w:rPr>
            </w:pPr>
            <w:r w:rsidRPr="00BD0079">
              <w:rPr>
                <w:b/>
                <w:bCs/>
              </w:rPr>
              <w:t>(3 years)</w:t>
            </w:r>
            <w:r w:rsidRPr="00BD0079">
              <w:rPr>
                <w:rFonts w:cs="Times New Roman (Body CS)"/>
                <w:b/>
                <w:bCs/>
                <w:vertAlign w:val="superscript"/>
              </w:rPr>
              <w:t>4</w:t>
            </w:r>
          </w:p>
        </w:tc>
        <w:tc>
          <w:tcPr>
            <w:tcW w:w="1504" w:type="dxa"/>
            <w:shd w:val="clear" w:color="auto" w:fill="F2F2F2" w:themeFill="background1" w:themeFillShade="F2"/>
            <w:vAlign w:val="center"/>
          </w:tcPr>
          <w:p w:rsidR="0007770F" w:rsidRPr="00BD0079" w:rsidP="00961C50" w14:paraId="68CDD93F" w14:textId="77777777">
            <w:pPr>
              <w:rPr>
                <w:b/>
                <w:bCs/>
              </w:rPr>
            </w:pPr>
            <w:r w:rsidRPr="00BD0079">
              <w:rPr>
                <w:b/>
                <w:bCs/>
              </w:rPr>
              <w:t>5. Total Labor Cost</w:t>
            </w:r>
          </w:p>
          <w:p w:rsidR="0007770F" w:rsidRPr="00BD0079" w:rsidP="00961C50" w14:paraId="3C14256C" w14:textId="77777777">
            <w:pPr>
              <w:rPr>
                <w:b/>
                <w:bCs/>
              </w:rPr>
            </w:pPr>
            <w:r w:rsidRPr="00BD0079">
              <w:rPr>
                <w:b/>
                <w:bCs/>
              </w:rPr>
              <w:t>(3 years)</w:t>
            </w:r>
            <w:r w:rsidRPr="00BD0079">
              <w:rPr>
                <w:rFonts w:cs="Times New Roman (Body CS)"/>
                <w:b/>
                <w:bCs/>
                <w:vertAlign w:val="superscript"/>
              </w:rPr>
              <w:t>5</w:t>
            </w:r>
          </w:p>
        </w:tc>
      </w:tr>
      <w:tr w14:paraId="44D6D007" w14:textId="77777777" w:rsidTr="3FCF2EA8">
        <w:tblPrEx>
          <w:tblW w:w="0" w:type="auto"/>
          <w:tblInd w:w="355" w:type="dxa"/>
          <w:tblLayout w:type="fixed"/>
          <w:tblLook w:val="04A0"/>
        </w:tblPrEx>
        <w:trPr>
          <w:trHeight w:val="1061"/>
        </w:trPr>
        <w:tc>
          <w:tcPr>
            <w:tcW w:w="1823" w:type="dxa"/>
            <w:vAlign w:val="center"/>
          </w:tcPr>
          <w:p w:rsidR="00802A2C" w:rsidRPr="007804EC" w:rsidP="00961C50" w14:paraId="67BB379A" w14:textId="2BBBAE6F">
            <w:r w:rsidRPr="007804EC">
              <w:t>Prepare, Complete, and Submit Progress Reports</w:t>
            </w:r>
          </w:p>
        </w:tc>
        <w:tc>
          <w:tcPr>
            <w:tcW w:w="1246" w:type="dxa"/>
            <w:shd w:val="clear" w:color="auto" w:fill="auto"/>
            <w:vAlign w:val="center"/>
          </w:tcPr>
          <w:p w:rsidR="00802A2C" w:rsidRPr="007804EC" w:rsidP="00961C50" w14:paraId="1450F9B9" w14:textId="4D548C12">
            <w:r w:rsidRPr="007804EC">
              <w:t>40</w:t>
            </w:r>
          </w:p>
        </w:tc>
        <w:tc>
          <w:tcPr>
            <w:tcW w:w="1396" w:type="dxa"/>
            <w:shd w:val="clear" w:color="auto" w:fill="auto"/>
            <w:vAlign w:val="center"/>
          </w:tcPr>
          <w:p w:rsidR="00802A2C" w:rsidRPr="007804EC" w:rsidP="00961C50" w14:paraId="267805A5" w14:textId="6748712C">
            <w:r w:rsidRPr="007804EC">
              <w:t>$2,29</w:t>
            </w:r>
            <w:r w:rsidR="007804EC">
              <w:t>1.60</w:t>
            </w:r>
          </w:p>
          <w:p w:rsidR="00802A2C" w:rsidRPr="007804EC" w:rsidP="00961C50" w14:paraId="0188DB78" w14:textId="0EA87C85">
            <w:r w:rsidRPr="007804EC">
              <w:rPr>
                <w:sz w:val="18"/>
                <w:szCs w:val="18"/>
              </w:rPr>
              <w:t>(hourly = $57.29)</w:t>
            </w:r>
          </w:p>
        </w:tc>
        <w:tc>
          <w:tcPr>
            <w:tcW w:w="1406" w:type="dxa"/>
            <w:vAlign w:val="center"/>
          </w:tcPr>
          <w:p w:rsidR="00802A2C" w:rsidRPr="007804EC" w:rsidP="00961C50" w14:paraId="7A5832FA" w14:textId="35EE3125">
            <w:r w:rsidRPr="007804EC">
              <w:t>1,085</w:t>
            </w:r>
            <w:r w:rsidRPr="007804EC" w:rsidR="00053BF5">
              <w:t xml:space="preserve"> </w:t>
            </w:r>
            <w:r w:rsidRPr="007804EC">
              <w:br/>
            </w:r>
            <w:r w:rsidRPr="007804EC">
              <w:rPr>
                <w:sz w:val="18"/>
                <w:szCs w:val="18"/>
              </w:rPr>
              <w:t>(</w:t>
            </w:r>
            <w:r w:rsidRPr="007804EC" w:rsidR="003C1F2A">
              <w:rPr>
                <w:sz w:val="18"/>
                <w:szCs w:val="18"/>
              </w:rPr>
              <w:t>5</w:t>
            </w:r>
            <w:r w:rsidRPr="007804EC">
              <w:rPr>
                <w:sz w:val="18"/>
                <w:szCs w:val="18"/>
              </w:rPr>
              <w:t xml:space="preserve"> report</w:t>
            </w:r>
            <w:r>
              <w:rPr>
                <w:sz w:val="18"/>
                <w:szCs w:val="18"/>
              </w:rPr>
              <w:t>s</w:t>
            </w:r>
            <w:r w:rsidRPr="007804EC">
              <w:rPr>
                <w:sz w:val="18"/>
                <w:szCs w:val="18"/>
              </w:rPr>
              <w:t xml:space="preserve"> </w:t>
            </w:r>
            <w:r w:rsidRPr="007804EC" w:rsidR="003C1F2A">
              <w:rPr>
                <w:sz w:val="18"/>
                <w:szCs w:val="18"/>
              </w:rPr>
              <w:t xml:space="preserve">over 3 years </w:t>
            </w:r>
            <w:r w:rsidRPr="007804EC">
              <w:rPr>
                <w:sz w:val="18"/>
                <w:szCs w:val="18"/>
              </w:rPr>
              <w:t xml:space="preserve">x </w:t>
            </w:r>
            <w:r w:rsidRPr="007804EC" w:rsidR="00053BF5">
              <w:rPr>
                <w:sz w:val="18"/>
                <w:szCs w:val="18"/>
              </w:rPr>
              <w:t xml:space="preserve">217 </w:t>
            </w:r>
            <w:r w:rsidRPr="007804EC">
              <w:rPr>
                <w:sz w:val="18"/>
                <w:szCs w:val="18"/>
              </w:rPr>
              <w:t>Grantees)</w:t>
            </w:r>
          </w:p>
        </w:tc>
        <w:tc>
          <w:tcPr>
            <w:tcW w:w="1445" w:type="dxa"/>
            <w:shd w:val="clear" w:color="auto" w:fill="auto"/>
            <w:vAlign w:val="center"/>
          </w:tcPr>
          <w:p w:rsidR="00802A2C" w:rsidRPr="007804EC" w:rsidP="00961C50" w14:paraId="24A89D5B" w14:textId="71D967AF">
            <w:r w:rsidRPr="007804EC">
              <w:t>43,400</w:t>
            </w:r>
            <w:r w:rsidRPr="007804EC">
              <w:t xml:space="preserve"> hours</w:t>
            </w:r>
          </w:p>
        </w:tc>
        <w:tc>
          <w:tcPr>
            <w:tcW w:w="1504" w:type="dxa"/>
            <w:shd w:val="clear" w:color="auto" w:fill="auto"/>
            <w:vAlign w:val="center"/>
          </w:tcPr>
          <w:p w:rsidR="00802A2C" w:rsidRPr="007804EC" w:rsidP="00961C50" w14:paraId="73A966BA" w14:textId="47D126D3">
            <w:r w:rsidRPr="007804EC">
              <w:rPr>
                <w:rFonts w:ascii="Calibri" w:hAnsi="Calibri" w:cs="Calibri"/>
                <w:color w:val="000000"/>
              </w:rPr>
              <w:t>$</w:t>
            </w:r>
            <w:r w:rsidRPr="007804EC" w:rsidR="007804EC">
              <w:rPr>
                <w:rFonts w:ascii="Calibri" w:hAnsi="Calibri" w:cs="Calibri"/>
                <w:color w:val="000000"/>
              </w:rPr>
              <w:t>2,486,</w:t>
            </w:r>
            <w:r w:rsidR="00F520D9">
              <w:rPr>
                <w:rFonts w:ascii="Calibri" w:hAnsi="Calibri" w:cs="Calibri"/>
                <w:color w:val="000000"/>
              </w:rPr>
              <w:t>386</w:t>
            </w:r>
            <w:r w:rsidRPr="007804EC">
              <w:rPr>
                <w:rFonts w:ascii="Calibri" w:hAnsi="Calibri" w:cs="Calibri"/>
                <w:color w:val="000000"/>
              </w:rPr>
              <w:t xml:space="preserve"> </w:t>
            </w:r>
          </w:p>
        </w:tc>
      </w:tr>
      <w:tr w14:paraId="33BBE8D7" w14:textId="77777777" w:rsidTr="3FCF2EA8">
        <w:tblPrEx>
          <w:tblW w:w="0" w:type="auto"/>
          <w:tblInd w:w="355" w:type="dxa"/>
          <w:tblLayout w:type="fixed"/>
          <w:tblLook w:val="04A0"/>
        </w:tblPrEx>
        <w:trPr>
          <w:trHeight w:val="980"/>
        </w:trPr>
        <w:tc>
          <w:tcPr>
            <w:tcW w:w="1823" w:type="dxa"/>
            <w:vAlign w:val="center"/>
          </w:tcPr>
          <w:p w:rsidR="00802A2C" w:rsidRPr="007804EC" w:rsidP="00961C50" w14:paraId="6E66C57C" w14:textId="77777777">
            <w:r w:rsidRPr="007804EC">
              <w:t>Prepare, Complete, and Submit</w:t>
            </w:r>
            <w:r w:rsidRPr="007804EC">
              <w:br/>
              <w:t>Final Report</w:t>
            </w:r>
          </w:p>
        </w:tc>
        <w:tc>
          <w:tcPr>
            <w:tcW w:w="1246" w:type="dxa"/>
            <w:shd w:val="clear" w:color="auto" w:fill="auto"/>
            <w:vAlign w:val="center"/>
          </w:tcPr>
          <w:p w:rsidR="00802A2C" w:rsidRPr="007804EC" w:rsidP="00961C50" w14:paraId="77B3257F" w14:textId="4FFFF1E6">
            <w:r w:rsidRPr="007804EC">
              <w:t>40</w:t>
            </w:r>
          </w:p>
        </w:tc>
        <w:tc>
          <w:tcPr>
            <w:tcW w:w="1396" w:type="dxa"/>
            <w:shd w:val="clear" w:color="auto" w:fill="auto"/>
            <w:vAlign w:val="center"/>
          </w:tcPr>
          <w:p w:rsidR="00802A2C" w:rsidRPr="007804EC" w:rsidP="00961C50" w14:paraId="2F6B1084" w14:textId="47E761F7">
            <w:r w:rsidRPr="007804EC">
              <w:t>$2,29</w:t>
            </w:r>
            <w:r w:rsidR="007804EC">
              <w:t>1.60</w:t>
            </w:r>
          </w:p>
          <w:p w:rsidR="00802A2C" w:rsidRPr="007804EC" w:rsidP="00961C50" w14:paraId="2EB2784B" w14:textId="789A1058">
            <w:r w:rsidRPr="007804EC">
              <w:rPr>
                <w:sz w:val="18"/>
                <w:szCs w:val="18"/>
              </w:rPr>
              <w:t>(hourly = $57.29)</w:t>
            </w:r>
          </w:p>
        </w:tc>
        <w:tc>
          <w:tcPr>
            <w:tcW w:w="1406" w:type="dxa"/>
            <w:vAlign w:val="center"/>
          </w:tcPr>
          <w:p w:rsidR="00802A2C" w:rsidRPr="007804EC" w:rsidP="00961C50" w14:paraId="0FBD922B" w14:textId="0A03F97E">
            <w:r w:rsidRPr="007804EC">
              <w:t>217</w:t>
            </w:r>
            <w:r w:rsidRPr="007804EC">
              <w:br/>
            </w:r>
            <w:r w:rsidRPr="007804EC">
              <w:rPr>
                <w:sz w:val="18"/>
                <w:szCs w:val="18"/>
              </w:rPr>
              <w:t xml:space="preserve">(1 final report x </w:t>
            </w:r>
            <w:r w:rsidRPr="007804EC">
              <w:rPr>
                <w:sz w:val="18"/>
                <w:szCs w:val="18"/>
              </w:rPr>
              <w:t xml:space="preserve">217 </w:t>
            </w:r>
            <w:r w:rsidRPr="007804EC">
              <w:rPr>
                <w:sz w:val="18"/>
                <w:szCs w:val="18"/>
              </w:rPr>
              <w:t>Grantees)</w:t>
            </w:r>
          </w:p>
        </w:tc>
        <w:tc>
          <w:tcPr>
            <w:tcW w:w="1445" w:type="dxa"/>
            <w:shd w:val="clear" w:color="auto" w:fill="auto"/>
            <w:vAlign w:val="center"/>
          </w:tcPr>
          <w:p w:rsidR="00802A2C" w:rsidRPr="007804EC" w:rsidP="00961C50" w14:paraId="769D2295" w14:textId="16AFE3A5">
            <w:r w:rsidRPr="007804EC">
              <w:t>8,68</w:t>
            </w:r>
            <w:r w:rsidRPr="007804EC">
              <w:t>0 hours</w:t>
            </w:r>
          </w:p>
        </w:tc>
        <w:tc>
          <w:tcPr>
            <w:tcW w:w="1504" w:type="dxa"/>
            <w:shd w:val="clear" w:color="auto" w:fill="auto"/>
            <w:vAlign w:val="center"/>
          </w:tcPr>
          <w:p w:rsidR="00802A2C" w:rsidRPr="007804EC" w:rsidP="00961C50" w14:paraId="0544995B" w14:textId="2A62AD01">
            <w:r w:rsidRPr="007804EC">
              <w:rPr>
                <w:rFonts w:ascii="Calibri" w:hAnsi="Calibri" w:cs="Calibri"/>
                <w:color w:val="000000"/>
              </w:rPr>
              <w:t>$</w:t>
            </w:r>
            <w:r w:rsidRPr="007804EC" w:rsidR="00E13AD3">
              <w:rPr>
                <w:rFonts w:ascii="Calibri" w:hAnsi="Calibri" w:cs="Calibri"/>
                <w:color w:val="000000"/>
              </w:rPr>
              <w:t>497</w:t>
            </w:r>
            <w:r w:rsidRPr="007804EC">
              <w:rPr>
                <w:rFonts w:ascii="Calibri" w:hAnsi="Calibri" w:cs="Calibri"/>
                <w:color w:val="000000"/>
              </w:rPr>
              <w:t>,</w:t>
            </w:r>
            <w:r w:rsidR="00F520D9">
              <w:rPr>
                <w:rFonts w:ascii="Calibri" w:hAnsi="Calibri" w:cs="Calibri"/>
                <w:color w:val="000000"/>
              </w:rPr>
              <w:t>277</w:t>
            </w:r>
          </w:p>
        </w:tc>
      </w:tr>
      <w:tr w14:paraId="08686117" w14:textId="77777777" w:rsidTr="3FCF2EA8">
        <w:tblPrEx>
          <w:tblW w:w="0" w:type="auto"/>
          <w:tblInd w:w="355" w:type="dxa"/>
          <w:tblLayout w:type="fixed"/>
          <w:tblLook w:val="04A0"/>
        </w:tblPrEx>
        <w:trPr>
          <w:trHeight w:val="440"/>
        </w:trPr>
        <w:tc>
          <w:tcPr>
            <w:tcW w:w="5871" w:type="dxa"/>
            <w:gridSpan w:val="4"/>
            <w:shd w:val="clear" w:color="auto" w:fill="F2F2F2" w:themeFill="background1" w:themeFillShade="F2"/>
            <w:vAlign w:val="center"/>
          </w:tcPr>
          <w:p w:rsidR="00802A2C" w:rsidRPr="007804EC" w:rsidP="00961C50" w14:paraId="2EBA5759" w14:textId="77777777">
            <w:pPr>
              <w:rPr>
                <w:b/>
                <w:bCs/>
              </w:rPr>
            </w:pPr>
            <w:r w:rsidRPr="007804EC">
              <w:rPr>
                <w:b/>
                <w:bCs/>
              </w:rPr>
              <w:t>6. TOTALS for all three years</w:t>
            </w:r>
            <w:r w:rsidRPr="007804EC">
              <w:rPr>
                <w:rFonts w:cs="Times New Roman (Body CS)"/>
                <w:b/>
                <w:bCs/>
                <w:vertAlign w:val="superscript"/>
              </w:rPr>
              <w:t>6</w:t>
            </w:r>
          </w:p>
        </w:tc>
        <w:tc>
          <w:tcPr>
            <w:tcW w:w="1445" w:type="dxa"/>
            <w:shd w:val="clear" w:color="auto" w:fill="F2F2F2" w:themeFill="background1" w:themeFillShade="F2"/>
            <w:vAlign w:val="center"/>
          </w:tcPr>
          <w:p w:rsidR="00802A2C" w:rsidRPr="007804EC" w:rsidP="00961C50" w14:paraId="3DB5BD03" w14:textId="64AF5664">
            <w:r w:rsidRPr="007804EC">
              <w:t>52,080</w:t>
            </w:r>
            <w:r w:rsidRPr="007804EC" w:rsidR="00673544">
              <w:t xml:space="preserve"> </w:t>
            </w:r>
            <w:r w:rsidRPr="007804EC">
              <w:t>hours</w:t>
            </w:r>
          </w:p>
        </w:tc>
        <w:tc>
          <w:tcPr>
            <w:tcW w:w="1504" w:type="dxa"/>
            <w:shd w:val="clear" w:color="auto" w:fill="F2F2F2" w:themeFill="background1" w:themeFillShade="F2"/>
            <w:vAlign w:val="center"/>
          </w:tcPr>
          <w:p w:rsidR="00802A2C" w:rsidRPr="007804EC" w:rsidP="00961C50" w14:paraId="0020E11A" w14:textId="2C417B49">
            <w:r w:rsidRPr="007804EC">
              <w:rPr>
                <w:rFonts w:ascii="Calibri" w:hAnsi="Calibri" w:cs="Calibri"/>
                <w:color w:val="000000"/>
              </w:rPr>
              <w:t>$</w:t>
            </w:r>
            <w:r w:rsidRPr="007804EC" w:rsidR="007804EC">
              <w:rPr>
                <w:rFonts w:ascii="Calibri" w:hAnsi="Calibri" w:cs="Calibri"/>
                <w:color w:val="000000"/>
              </w:rPr>
              <w:t>2,</w:t>
            </w:r>
            <w:r w:rsidR="00F520D9">
              <w:rPr>
                <w:rFonts w:ascii="Calibri" w:hAnsi="Calibri" w:cs="Calibri"/>
                <w:color w:val="000000"/>
              </w:rPr>
              <w:t>983,663</w:t>
            </w:r>
          </w:p>
        </w:tc>
      </w:tr>
      <w:tr w14:paraId="4E38BC24" w14:textId="77777777" w:rsidTr="3FCF2EA8">
        <w:tblPrEx>
          <w:tblW w:w="0" w:type="auto"/>
          <w:tblInd w:w="355" w:type="dxa"/>
          <w:tblLayout w:type="fixed"/>
          <w:tblLook w:val="04A0"/>
        </w:tblPrEx>
        <w:trPr>
          <w:trHeight w:val="440"/>
        </w:trPr>
        <w:tc>
          <w:tcPr>
            <w:tcW w:w="5871" w:type="dxa"/>
            <w:gridSpan w:val="4"/>
            <w:shd w:val="clear" w:color="auto" w:fill="D9D9D9" w:themeFill="background1" w:themeFillShade="D9"/>
            <w:vAlign w:val="center"/>
          </w:tcPr>
          <w:p w:rsidR="00802A2C" w:rsidRPr="007804EC" w:rsidP="00961C50" w14:paraId="27615D24" w14:textId="77283746">
            <w:pPr>
              <w:rPr>
                <w:b/>
                <w:bCs/>
              </w:rPr>
            </w:pPr>
            <w:r w:rsidRPr="007804EC">
              <w:rPr>
                <w:b/>
                <w:bCs/>
              </w:rPr>
              <w:t>7. ANNUAL TOTALS per year</w:t>
            </w:r>
            <w:r w:rsidRPr="007804EC">
              <w:rPr>
                <w:rFonts w:cs="Times New Roman (Body CS)"/>
                <w:b/>
                <w:bCs/>
                <w:vertAlign w:val="superscript"/>
              </w:rPr>
              <w:t>7</w:t>
            </w:r>
          </w:p>
        </w:tc>
        <w:tc>
          <w:tcPr>
            <w:tcW w:w="1445" w:type="dxa"/>
            <w:shd w:val="clear" w:color="auto" w:fill="D9D9D9" w:themeFill="background1" w:themeFillShade="D9"/>
            <w:vAlign w:val="center"/>
          </w:tcPr>
          <w:p w:rsidR="00802A2C" w:rsidRPr="007804EC" w:rsidP="00961C50" w14:paraId="5D3EEF41" w14:textId="29BD261F">
            <w:pPr>
              <w:rPr>
                <w:b/>
                <w:bCs/>
              </w:rPr>
            </w:pPr>
            <w:r w:rsidRPr="007804EC">
              <w:rPr>
                <w:b/>
                <w:bCs/>
              </w:rPr>
              <w:t>17,360</w:t>
            </w:r>
            <w:r w:rsidRPr="007804EC" w:rsidR="005557C6">
              <w:rPr>
                <w:b/>
                <w:bCs/>
              </w:rPr>
              <w:t xml:space="preserve"> </w:t>
            </w:r>
            <w:r w:rsidRPr="007804EC">
              <w:rPr>
                <w:b/>
                <w:bCs/>
              </w:rPr>
              <w:t>hours</w:t>
            </w:r>
          </w:p>
        </w:tc>
        <w:tc>
          <w:tcPr>
            <w:tcW w:w="1504" w:type="dxa"/>
            <w:shd w:val="clear" w:color="auto" w:fill="D9D9D9" w:themeFill="background1" w:themeFillShade="D9"/>
            <w:vAlign w:val="center"/>
          </w:tcPr>
          <w:p w:rsidR="00802A2C" w:rsidRPr="007804EC" w:rsidP="00961C50" w14:paraId="526D829E" w14:textId="713C0F2C">
            <w:pPr>
              <w:rPr>
                <w:b/>
                <w:bCs/>
              </w:rPr>
            </w:pPr>
            <w:r w:rsidRPr="007804EC">
              <w:rPr>
                <w:rFonts w:ascii="Calibri" w:hAnsi="Calibri" w:cs="Calibri"/>
                <w:b/>
                <w:bCs/>
                <w:color w:val="000000"/>
              </w:rPr>
              <w:t>$</w:t>
            </w:r>
            <w:r w:rsidRPr="007804EC" w:rsidR="007804EC">
              <w:rPr>
                <w:rFonts w:ascii="Calibri" w:hAnsi="Calibri" w:cs="Calibri"/>
                <w:b/>
                <w:bCs/>
                <w:color w:val="000000"/>
              </w:rPr>
              <w:t>994,</w:t>
            </w:r>
            <w:r w:rsidR="00F520D9">
              <w:rPr>
                <w:rFonts w:ascii="Calibri" w:hAnsi="Calibri" w:cs="Calibri"/>
                <w:b/>
                <w:bCs/>
                <w:color w:val="000000"/>
              </w:rPr>
              <w:t>554</w:t>
            </w:r>
          </w:p>
        </w:tc>
      </w:tr>
    </w:tbl>
    <w:p w:rsidR="0007770F" w:rsidRPr="00BD0079" w:rsidP="00961C50" w14:paraId="71969BA0" w14:textId="77777777"/>
    <w:p w:rsidR="0007770F" w:rsidRPr="00B51FCC" w:rsidP="00961C50" w14:paraId="39DD2E34" w14:textId="77777777">
      <w:pPr>
        <w:ind w:left="360"/>
      </w:pPr>
      <w:r w:rsidRPr="00B51FCC">
        <w:t>Notes:</w:t>
      </w:r>
    </w:p>
    <w:p w:rsidR="0007770F" w:rsidRPr="00BD0079" w:rsidP="00961C50" w14:paraId="75425C13" w14:textId="1500D48E">
      <w:pPr>
        <w:pStyle w:val="ListParagraph"/>
        <w:numPr>
          <w:ilvl w:val="0"/>
          <w:numId w:val="32"/>
        </w:numPr>
        <w:spacing w:after="0" w:line="240" w:lineRule="auto"/>
        <w:ind w:left="810" w:hanging="270"/>
      </w:pPr>
      <w:r w:rsidRPr="00BD0079">
        <w:rPr>
          <w:b/>
          <w:bCs/>
        </w:rPr>
        <w:t>Column 1 =</w:t>
      </w:r>
      <w:r w:rsidRPr="00BD0079">
        <w:t xml:space="preserve"> Number of burden hours spent on each response across all staff roles at relevant levels of seniority. For full calculations, </w:t>
      </w:r>
      <w:r w:rsidR="004F5E18">
        <w:t xml:space="preserve">please </w:t>
      </w:r>
      <w:r w:rsidRPr="00BD0079">
        <w:t xml:space="preserve">see </w:t>
      </w:r>
      <w:r w:rsidRPr="00BD0079">
        <w:rPr>
          <w:b/>
          <w:bCs/>
        </w:rPr>
        <w:t>Table 12.1 in Appendix</w:t>
      </w:r>
      <w:r w:rsidR="00C531AB">
        <w:rPr>
          <w:b/>
          <w:bCs/>
        </w:rPr>
        <w:t xml:space="preserve"> 1</w:t>
      </w:r>
      <w:r w:rsidRPr="00BD0079">
        <w:rPr>
          <w:b/>
          <w:bCs/>
        </w:rPr>
        <w:t>.</w:t>
      </w:r>
    </w:p>
    <w:p w:rsidR="0007770F" w:rsidRPr="00BD0079" w:rsidP="00961C50" w14:paraId="0DD34748" w14:textId="2E00F98C">
      <w:pPr>
        <w:pStyle w:val="ListParagraph"/>
        <w:numPr>
          <w:ilvl w:val="0"/>
          <w:numId w:val="32"/>
        </w:numPr>
        <w:spacing w:after="0" w:line="240" w:lineRule="auto"/>
        <w:ind w:left="810" w:hanging="270"/>
      </w:pPr>
      <w:r w:rsidRPr="00BD0079">
        <w:rPr>
          <w:b/>
          <w:bCs/>
        </w:rPr>
        <w:t>Column 2 =</w:t>
      </w:r>
      <w:r w:rsidRPr="00BD0079">
        <w:t xml:space="preserve"> Weighted labor cost for each response based upon percentage of staff labor at different levels of seniority. For full calculations</w:t>
      </w:r>
      <w:r w:rsidR="002C4ACE">
        <w:t xml:space="preserve"> and reference sources for wage ra</w:t>
      </w:r>
      <w:r w:rsidR="00ED07E7">
        <w:t>tes</w:t>
      </w:r>
      <w:r w:rsidRPr="00BD0079">
        <w:t xml:space="preserve">, </w:t>
      </w:r>
      <w:r w:rsidR="00ED07E7">
        <w:t xml:space="preserve">please </w:t>
      </w:r>
      <w:r w:rsidRPr="00BD0079">
        <w:t xml:space="preserve">see </w:t>
      </w:r>
      <w:r w:rsidRPr="00BD0079">
        <w:rPr>
          <w:b/>
          <w:bCs/>
        </w:rPr>
        <w:t xml:space="preserve">Tables 12.2 </w:t>
      </w:r>
      <w:r w:rsidR="00E65B33">
        <w:rPr>
          <w:b/>
          <w:bCs/>
        </w:rPr>
        <w:t>and 12.3</w:t>
      </w:r>
      <w:r w:rsidRPr="00BD0079">
        <w:rPr>
          <w:b/>
          <w:bCs/>
        </w:rPr>
        <w:t xml:space="preserve"> in Appendix</w:t>
      </w:r>
      <w:r w:rsidR="00C531AB">
        <w:rPr>
          <w:b/>
          <w:bCs/>
        </w:rPr>
        <w:t xml:space="preserve"> 1</w:t>
      </w:r>
      <w:r w:rsidRPr="00BD0079">
        <w:rPr>
          <w:b/>
          <w:bCs/>
        </w:rPr>
        <w:t>.</w:t>
      </w:r>
    </w:p>
    <w:p w:rsidR="0007770F" w:rsidRPr="00BD0079" w:rsidP="00961C50" w14:paraId="7D624ABA" w14:textId="11E4D7A7">
      <w:pPr>
        <w:pStyle w:val="ListParagraph"/>
        <w:numPr>
          <w:ilvl w:val="0"/>
          <w:numId w:val="32"/>
        </w:numPr>
        <w:spacing w:after="0" w:line="240" w:lineRule="auto"/>
        <w:ind w:left="810" w:hanging="270"/>
      </w:pPr>
      <w:r w:rsidRPr="00BD0079">
        <w:rPr>
          <w:b/>
          <w:bCs/>
        </w:rPr>
        <w:t>Column 3 =</w:t>
      </w:r>
      <w:r w:rsidRPr="00BD0079">
        <w:t xml:space="preserve"> Expected number of responses for the three years, based on reporting framework outlined in each </w:t>
      </w:r>
      <w:r w:rsidR="00031B82">
        <w:t>Grantee’s</w:t>
      </w:r>
      <w:r w:rsidRPr="00BD0079" w:rsidR="00031B82">
        <w:t xml:space="preserve"> </w:t>
      </w:r>
      <w:r w:rsidRPr="00BD0079">
        <w:t>signed Terms and Conditions.</w:t>
      </w:r>
    </w:p>
    <w:p w:rsidR="0007770F" w:rsidRPr="00BD0079" w:rsidP="00961C50" w14:paraId="3ED9BCE7" w14:textId="77777777">
      <w:pPr>
        <w:pStyle w:val="ListParagraph"/>
        <w:numPr>
          <w:ilvl w:val="0"/>
          <w:numId w:val="32"/>
        </w:numPr>
        <w:spacing w:after="0" w:line="240" w:lineRule="auto"/>
        <w:ind w:left="810" w:hanging="270"/>
      </w:pPr>
      <w:r w:rsidRPr="00BD0079">
        <w:rPr>
          <w:b/>
          <w:bCs/>
        </w:rPr>
        <w:t>Column 4 =</w:t>
      </w:r>
      <w:r w:rsidRPr="00BD0079">
        <w:t xml:space="preserve"> Total burden hours, calculated by multiplying the burden hours per response (Column 1) by the number of responses (Column 3).</w:t>
      </w:r>
    </w:p>
    <w:p w:rsidR="0007770F" w:rsidRPr="00BD0079" w:rsidP="00961C50" w14:paraId="4230C302" w14:textId="77777777">
      <w:pPr>
        <w:pStyle w:val="ListParagraph"/>
        <w:numPr>
          <w:ilvl w:val="0"/>
          <w:numId w:val="32"/>
        </w:numPr>
        <w:spacing w:after="0" w:line="240" w:lineRule="auto"/>
        <w:ind w:left="810" w:hanging="270"/>
      </w:pPr>
      <w:r w:rsidRPr="00BD0079">
        <w:rPr>
          <w:b/>
          <w:bCs/>
        </w:rPr>
        <w:t>Column 5 =</w:t>
      </w:r>
      <w:r w:rsidRPr="00BD0079">
        <w:t xml:space="preserve"> Total labor cost, calculated by multiplying the weighted labor cost per response (Column 2) by the number of responses (Column 3).</w:t>
      </w:r>
    </w:p>
    <w:p w:rsidR="0007770F" w:rsidRPr="00BD0079" w:rsidP="00961C50" w14:paraId="63B5FC71" w14:textId="77777777">
      <w:pPr>
        <w:pStyle w:val="ListParagraph"/>
        <w:numPr>
          <w:ilvl w:val="0"/>
          <w:numId w:val="32"/>
        </w:numPr>
        <w:spacing w:after="0" w:line="240" w:lineRule="auto"/>
        <w:ind w:left="810" w:hanging="270"/>
      </w:pPr>
      <w:r w:rsidRPr="00BD0079">
        <w:rPr>
          <w:b/>
          <w:bCs/>
        </w:rPr>
        <w:t xml:space="preserve">Row 6 = Totals for all three years = </w:t>
      </w:r>
      <w:r w:rsidRPr="00BD0079">
        <w:t>Sum of total hours and costs, for all instruments.</w:t>
      </w:r>
    </w:p>
    <w:p w:rsidR="0007770F" w:rsidP="00961C50" w14:paraId="57A25749" w14:textId="1331E987">
      <w:pPr>
        <w:pStyle w:val="ListParagraph"/>
        <w:numPr>
          <w:ilvl w:val="0"/>
          <w:numId w:val="32"/>
        </w:numPr>
        <w:spacing w:after="0" w:line="240" w:lineRule="auto"/>
        <w:ind w:left="810" w:hanging="270"/>
      </w:pPr>
      <w:r w:rsidRPr="00BD0079">
        <w:rPr>
          <w:b/>
          <w:bCs/>
        </w:rPr>
        <w:t xml:space="preserve">Row 7 = Annual totals per year = </w:t>
      </w:r>
      <w:r w:rsidRPr="00BD0079">
        <w:t>Average number of hours and costs per year</w:t>
      </w:r>
      <w:r w:rsidR="002339E9">
        <w:t xml:space="preserve"> over the three-year period</w:t>
      </w:r>
      <w:r w:rsidRPr="00BD0079">
        <w:t>, for all instruments.</w:t>
      </w:r>
    </w:p>
    <w:bookmarkEnd w:id="16"/>
    <w:bookmarkEnd w:id="17"/>
    <w:p w:rsidR="00F63881" w:rsidP="00961C50" w14:paraId="5818FDA3" w14:textId="72793E8D">
      <w:pPr>
        <w:rPr>
          <w:rFonts w:eastAsiaTheme="majorEastAsia" w:cstheme="majorBidi"/>
          <w:b/>
          <w:color w:val="000000" w:themeColor="text1"/>
          <w:szCs w:val="30"/>
        </w:rPr>
      </w:pPr>
    </w:p>
    <w:p w:rsidR="00BB2B15" w:rsidRPr="00163C69" w:rsidP="00961C50" w14:paraId="5D1B71A2" w14:textId="005F0394">
      <w:pPr>
        <w:pStyle w:val="Heading1"/>
        <w:rPr>
          <w:rFonts w:cstheme="minorBidi"/>
        </w:rPr>
      </w:pPr>
      <w:r>
        <w:t xml:space="preserve">13. </w:t>
      </w:r>
      <w:bookmarkStart w:id="20" w:name="_Toc156593386"/>
      <w:r w:rsidRPr="4BDBF0A0" w:rsidR="4F580799">
        <w:t>Respondent</w:t>
      </w:r>
      <w:r w:rsidRPr="4BDBF0A0" w:rsidR="009A09EC">
        <w:t xml:space="preserve"> </w:t>
      </w:r>
      <w:r w:rsidR="00D17BB9">
        <w:t>C</w:t>
      </w:r>
      <w:r w:rsidR="14579AA4">
        <w:t>apital</w:t>
      </w:r>
      <w:r w:rsidR="02A37C0E">
        <w:t xml:space="preserve"> and</w:t>
      </w:r>
      <w:r w:rsidRPr="4BDBF0A0" w:rsidR="00D17BB9">
        <w:t xml:space="preserve"> O&amp;</w:t>
      </w:r>
      <w:r w:rsidR="008C420C">
        <w:t>M</w:t>
      </w:r>
      <w:r w:rsidRPr="4BDBF0A0" w:rsidR="00D17BB9">
        <w:t xml:space="preserve"> </w:t>
      </w:r>
      <w:r w:rsidRPr="4BDBF0A0" w:rsidR="004E3CB0">
        <w:t>Cost</w:t>
      </w:r>
      <w:r w:rsidR="008C420C">
        <w:t>s</w:t>
      </w:r>
      <w:bookmarkEnd w:id="20"/>
      <w:r w:rsidRPr="4BDBF0A0" w:rsidR="004E3CB0">
        <w:t xml:space="preserve"> </w:t>
      </w:r>
    </w:p>
    <w:p w:rsidR="00F92596" w:rsidRPr="00F92596" w:rsidP="00961C50"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961C50"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961C50" w14:paraId="7ED5E3E9" w14:textId="77777777">
      <w:pPr>
        <w:spacing w:after="0" w:line="240" w:lineRule="auto"/>
        <w:rPr>
          <w:rFonts w:cstheme="minorHAnsi"/>
          <w:i/>
          <w:iCs/>
        </w:rPr>
      </w:pPr>
      <w:r w:rsidRPr="00F92596">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w:t>
      </w:r>
      <w:r w:rsidRPr="00F92596">
        <w:rPr>
          <w:rFonts w:cstheme="minorHAnsi"/>
          <w:i/>
          <w:iCs/>
        </w:rPr>
        <w:t>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961C50"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961C50"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3524" w:rsidRPr="0015001F" w:rsidP="00961C50" w14:paraId="156A1808" w14:textId="77777777">
      <w:pPr>
        <w:pStyle w:val="BodyText"/>
        <w:spacing w:before="267"/>
        <w:ind w:left="120"/>
        <w:rPr>
          <w:b/>
          <w:bCs/>
        </w:rPr>
      </w:pPr>
      <w:r w:rsidRPr="0015001F">
        <w:rPr>
          <w:b/>
          <w:bCs/>
        </w:rPr>
        <w:t>Capital</w:t>
      </w:r>
      <w:r w:rsidRPr="0015001F">
        <w:rPr>
          <w:b/>
          <w:bCs/>
          <w:spacing w:val="-2"/>
        </w:rPr>
        <w:t xml:space="preserve"> </w:t>
      </w:r>
      <w:r w:rsidRPr="0015001F">
        <w:rPr>
          <w:b/>
          <w:bCs/>
        </w:rPr>
        <w:t>and</w:t>
      </w:r>
      <w:r w:rsidRPr="0015001F">
        <w:rPr>
          <w:b/>
          <w:bCs/>
          <w:spacing w:val="-1"/>
        </w:rPr>
        <w:t xml:space="preserve"> </w:t>
      </w:r>
      <w:r w:rsidRPr="0015001F">
        <w:rPr>
          <w:b/>
          <w:bCs/>
        </w:rPr>
        <w:t>Start-Up</w:t>
      </w:r>
      <w:r w:rsidRPr="0015001F">
        <w:rPr>
          <w:b/>
          <w:bCs/>
          <w:spacing w:val="-4"/>
        </w:rPr>
        <w:t xml:space="preserve"> Costs</w:t>
      </w:r>
    </w:p>
    <w:p w:rsidR="00743524" w:rsidP="00961C50" w14:paraId="2228A115" w14:textId="77777777">
      <w:pPr>
        <w:pStyle w:val="BodyText"/>
      </w:pPr>
    </w:p>
    <w:p w:rsidR="00743524" w:rsidP="00961C50" w14:paraId="0BB8629F" w14:textId="1DF85687">
      <w:pPr>
        <w:pStyle w:val="BodyText"/>
        <w:ind w:left="90" w:right="346"/>
      </w:pPr>
      <w:r>
        <w:t>There are no specified capital or start-up costs for grantees</w:t>
      </w:r>
      <w:r>
        <w:rPr>
          <w:spacing w:val="-5"/>
        </w:rPr>
        <w:t xml:space="preserve"> </w:t>
      </w:r>
      <w:r>
        <w:t>to</w:t>
      </w:r>
      <w:r>
        <w:rPr>
          <w:spacing w:val="-3"/>
        </w:rPr>
        <w:t xml:space="preserve"> </w:t>
      </w:r>
      <w:r>
        <w:t>meet</w:t>
      </w:r>
      <w:r>
        <w:rPr>
          <w:spacing w:val="-4"/>
        </w:rPr>
        <w:t xml:space="preserve"> </w:t>
      </w:r>
      <w:r>
        <w:t>the</w:t>
      </w:r>
      <w:r>
        <w:rPr>
          <w:spacing w:val="-5"/>
        </w:rPr>
        <w:t xml:space="preserve"> </w:t>
      </w:r>
      <w:r>
        <w:t>EJCPS</w:t>
      </w:r>
      <w:r>
        <w:rPr>
          <w:spacing w:val="-5"/>
        </w:rPr>
        <w:t xml:space="preserve"> </w:t>
      </w:r>
      <w:r>
        <w:t>and</w:t>
      </w:r>
      <w:r>
        <w:rPr>
          <w:spacing w:val="-3"/>
        </w:rPr>
        <w:t xml:space="preserve"> </w:t>
      </w:r>
      <w:r>
        <w:t>EJG2G</w:t>
      </w:r>
      <w:r>
        <w:rPr>
          <w:spacing w:val="-3"/>
        </w:rPr>
        <w:t xml:space="preserve"> </w:t>
      </w:r>
      <w:r>
        <w:t>program’s</w:t>
      </w:r>
      <w:r>
        <w:rPr>
          <w:spacing w:val="-3"/>
        </w:rPr>
        <w:t xml:space="preserve"> </w:t>
      </w:r>
      <w:r>
        <w:t>post-award</w:t>
      </w:r>
      <w:r>
        <w:rPr>
          <w:spacing w:val="-3"/>
        </w:rPr>
        <w:t xml:space="preserve"> </w:t>
      </w:r>
      <w:r>
        <w:t>reporting</w:t>
      </w:r>
      <w:r>
        <w:rPr>
          <w:spacing w:val="-3"/>
        </w:rPr>
        <w:t xml:space="preserve"> </w:t>
      </w:r>
      <w:r>
        <w:t>requirements,</w:t>
      </w:r>
      <w:r>
        <w:rPr>
          <w:spacing w:val="-3"/>
        </w:rPr>
        <w:t xml:space="preserve"> </w:t>
      </w:r>
      <w:r>
        <w:t>as</w:t>
      </w:r>
      <w:r>
        <w:rPr>
          <w:spacing w:val="-5"/>
        </w:rPr>
        <w:t xml:space="preserve"> </w:t>
      </w:r>
      <w:r>
        <w:t xml:space="preserve">each grantee should already have the standard equipment (e.g., computer, relevant software packages) and infrastructure (e.g., </w:t>
      </w:r>
      <w:r>
        <w:t>work space</w:t>
      </w:r>
      <w:r>
        <w:t>, access</w:t>
      </w:r>
      <w:r>
        <w:rPr>
          <w:spacing w:val="-1"/>
        </w:rPr>
        <w:t xml:space="preserve"> </w:t>
      </w:r>
      <w:r>
        <w:t>to internet services) that is required to collate, store, and report the required information for the progress reports, and final report. No specialist</w:t>
      </w:r>
      <w:r>
        <w:rPr>
          <w:spacing w:val="-1"/>
        </w:rPr>
        <w:t xml:space="preserve"> </w:t>
      </w:r>
      <w:r>
        <w:t>equipment</w:t>
      </w:r>
      <w:r>
        <w:rPr>
          <w:spacing w:val="-2"/>
        </w:rPr>
        <w:t xml:space="preserve"> </w:t>
      </w:r>
      <w:r>
        <w:t>or infrastructure is</w:t>
      </w:r>
      <w:r>
        <w:rPr>
          <w:spacing w:val="-1"/>
        </w:rPr>
        <w:t xml:space="preserve"> </w:t>
      </w:r>
      <w:r>
        <w:t>needed to complete the post-award reports.</w:t>
      </w:r>
    </w:p>
    <w:p w:rsidR="00743524" w:rsidP="00961C50" w14:paraId="3BAC25E2" w14:textId="77777777">
      <w:pPr>
        <w:pStyle w:val="BodyText"/>
      </w:pPr>
    </w:p>
    <w:p w:rsidR="00743524" w:rsidP="00961C50" w14:paraId="771553FD" w14:textId="77777777">
      <w:pPr>
        <w:pStyle w:val="BodyText"/>
        <w:spacing w:before="1"/>
      </w:pPr>
    </w:p>
    <w:p w:rsidR="00743524" w:rsidRPr="0015001F" w:rsidP="00961C50" w14:paraId="0843F65E" w14:textId="77777777">
      <w:pPr>
        <w:pStyle w:val="BodyText"/>
        <w:spacing w:before="1"/>
        <w:ind w:left="120"/>
        <w:rPr>
          <w:b/>
          <w:bCs/>
        </w:rPr>
      </w:pPr>
      <w:r w:rsidRPr="0015001F">
        <w:rPr>
          <w:b/>
          <w:bCs/>
        </w:rPr>
        <w:t>Operation</w:t>
      </w:r>
      <w:r w:rsidRPr="0015001F">
        <w:rPr>
          <w:b/>
          <w:bCs/>
          <w:spacing w:val="-5"/>
        </w:rPr>
        <w:t xml:space="preserve"> </w:t>
      </w:r>
      <w:r w:rsidRPr="0015001F">
        <w:rPr>
          <w:b/>
          <w:bCs/>
        </w:rPr>
        <w:t>and</w:t>
      </w:r>
      <w:r w:rsidRPr="0015001F">
        <w:rPr>
          <w:b/>
          <w:bCs/>
          <w:spacing w:val="-3"/>
        </w:rPr>
        <w:t xml:space="preserve"> </w:t>
      </w:r>
      <w:r w:rsidRPr="0015001F">
        <w:rPr>
          <w:b/>
          <w:bCs/>
        </w:rPr>
        <w:t>Maintenance</w:t>
      </w:r>
      <w:r w:rsidRPr="0015001F">
        <w:rPr>
          <w:b/>
          <w:bCs/>
          <w:spacing w:val="-1"/>
        </w:rPr>
        <w:t xml:space="preserve"> </w:t>
      </w:r>
      <w:r w:rsidRPr="0015001F">
        <w:rPr>
          <w:b/>
          <w:bCs/>
        </w:rPr>
        <w:t>and</w:t>
      </w:r>
      <w:r w:rsidRPr="0015001F">
        <w:rPr>
          <w:b/>
          <w:bCs/>
          <w:spacing w:val="-5"/>
        </w:rPr>
        <w:t xml:space="preserve"> </w:t>
      </w:r>
      <w:r w:rsidRPr="0015001F">
        <w:rPr>
          <w:b/>
          <w:bCs/>
        </w:rPr>
        <w:t>Purchase</w:t>
      </w:r>
      <w:r w:rsidRPr="0015001F">
        <w:rPr>
          <w:b/>
          <w:bCs/>
          <w:spacing w:val="-5"/>
        </w:rPr>
        <w:t xml:space="preserve"> </w:t>
      </w:r>
      <w:r w:rsidRPr="0015001F">
        <w:rPr>
          <w:b/>
          <w:bCs/>
        </w:rPr>
        <w:t>of</w:t>
      </w:r>
      <w:r w:rsidRPr="0015001F">
        <w:rPr>
          <w:b/>
          <w:bCs/>
          <w:spacing w:val="-4"/>
        </w:rPr>
        <w:t xml:space="preserve"> </w:t>
      </w:r>
      <w:r w:rsidRPr="0015001F">
        <w:rPr>
          <w:b/>
          <w:bCs/>
          <w:spacing w:val="-2"/>
        </w:rPr>
        <w:t>Services</w:t>
      </w:r>
    </w:p>
    <w:p w:rsidR="00743524" w:rsidP="00961C50" w14:paraId="324F2587" w14:textId="0D5D3D6C">
      <w:pPr>
        <w:pStyle w:val="BodyText"/>
        <w:spacing w:before="266"/>
        <w:ind w:left="90" w:right="123"/>
      </w:pPr>
      <w:r>
        <w:t xml:space="preserve">Grantees are not expected to incur any specified operation or maintenance costs </w:t>
      </w:r>
      <w:r>
        <w:t>in order to</w:t>
      </w:r>
      <w:r>
        <w:t xml:space="preserve"> meet the programs’ post-award reporting requirements.</w:t>
      </w:r>
      <w:r>
        <w:rPr>
          <w:spacing w:val="-3"/>
        </w:rPr>
        <w:t xml:space="preserve"> </w:t>
      </w:r>
      <w:r>
        <w:t>This</w:t>
      </w:r>
      <w:r>
        <w:rPr>
          <w:spacing w:val="-5"/>
        </w:rPr>
        <w:t xml:space="preserve"> </w:t>
      </w:r>
      <w:r>
        <w:t>is</w:t>
      </w:r>
      <w:r>
        <w:rPr>
          <w:spacing w:val="-3"/>
        </w:rPr>
        <w:t xml:space="preserve"> </w:t>
      </w:r>
      <w:r>
        <w:t>because</w:t>
      </w:r>
      <w:r>
        <w:rPr>
          <w:spacing w:val="-3"/>
        </w:rPr>
        <w:t xml:space="preserve"> </w:t>
      </w:r>
      <w:r>
        <w:t>they</w:t>
      </w:r>
      <w:r>
        <w:rPr>
          <w:spacing w:val="-2"/>
        </w:rPr>
        <w:t xml:space="preserve"> </w:t>
      </w:r>
      <w:r>
        <w:t>can</w:t>
      </w:r>
      <w:r>
        <w:rPr>
          <w:spacing w:val="-6"/>
        </w:rPr>
        <w:t xml:space="preserve"> </w:t>
      </w:r>
      <w:r>
        <w:t>use</w:t>
      </w:r>
      <w:r>
        <w:rPr>
          <w:spacing w:val="-3"/>
        </w:rPr>
        <w:t xml:space="preserve"> </w:t>
      </w:r>
      <w:r>
        <w:t>the</w:t>
      </w:r>
      <w:r>
        <w:rPr>
          <w:spacing w:val="-3"/>
        </w:rPr>
        <w:t xml:space="preserve"> </w:t>
      </w:r>
      <w:r>
        <w:t>standard</w:t>
      </w:r>
      <w:r>
        <w:rPr>
          <w:spacing w:val="-4"/>
        </w:rPr>
        <w:t xml:space="preserve"> </w:t>
      </w:r>
      <w:r>
        <w:t>equipment</w:t>
      </w:r>
      <w:r>
        <w:rPr>
          <w:spacing w:val="-5"/>
        </w:rPr>
        <w:t xml:space="preserve"> </w:t>
      </w:r>
      <w:r>
        <w:t>and</w:t>
      </w:r>
      <w:r>
        <w:rPr>
          <w:spacing w:val="-4"/>
        </w:rPr>
        <w:t xml:space="preserve"> </w:t>
      </w:r>
      <w:r>
        <w:t>infrastructure</w:t>
      </w:r>
      <w:r>
        <w:rPr>
          <w:spacing w:val="-3"/>
        </w:rPr>
        <w:t xml:space="preserve"> </w:t>
      </w:r>
      <w:r>
        <w:t>that</w:t>
      </w:r>
      <w:r>
        <w:rPr>
          <w:spacing w:val="-4"/>
        </w:rPr>
        <w:t xml:space="preserve"> </w:t>
      </w:r>
      <w:r>
        <w:t>they use</w:t>
      </w:r>
      <w:r>
        <w:rPr>
          <w:spacing w:val="-3"/>
        </w:rPr>
        <w:t xml:space="preserve"> </w:t>
      </w:r>
      <w:r>
        <w:t>for</w:t>
      </w:r>
      <w:r>
        <w:rPr>
          <w:spacing w:val="-5"/>
        </w:rPr>
        <w:t xml:space="preserve"> </w:t>
      </w:r>
      <w:r>
        <w:t>other</w:t>
      </w:r>
      <w:r>
        <w:rPr>
          <w:spacing w:val="-3"/>
        </w:rPr>
        <w:t xml:space="preserve"> </w:t>
      </w:r>
      <w:r>
        <w:t>aspects</w:t>
      </w:r>
      <w:r>
        <w:rPr>
          <w:spacing w:val="-6"/>
        </w:rPr>
        <w:t xml:space="preserve"> </w:t>
      </w:r>
      <w:r>
        <w:t>of</w:t>
      </w:r>
      <w:r>
        <w:rPr>
          <w:spacing w:val="-6"/>
        </w:rPr>
        <w:t xml:space="preserve"> </w:t>
      </w:r>
      <w:r>
        <w:t>their</w:t>
      </w:r>
      <w:r>
        <w:rPr>
          <w:spacing w:val="-3"/>
        </w:rPr>
        <w:t xml:space="preserve"> </w:t>
      </w:r>
      <w:r>
        <w:t>work</w:t>
      </w:r>
      <w:r>
        <w:rPr>
          <w:spacing w:val="-3"/>
        </w:rPr>
        <w:t xml:space="preserve"> </w:t>
      </w:r>
      <w:r>
        <w:t>in</w:t>
      </w:r>
      <w:r>
        <w:rPr>
          <w:spacing w:val="-5"/>
        </w:rPr>
        <w:t xml:space="preserve"> </w:t>
      </w:r>
      <w:r>
        <w:t>the</w:t>
      </w:r>
      <w:r>
        <w:rPr>
          <w:spacing w:val="-5"/>
        </w:rPr>
        <w:t xml:space="preserve"> </w:t>
      </w:r>
      <w:r>
        <w:t>organization;</w:t>
      </w:r>
      <w:r>
        <w:rPr>
          <w:spacing w:val="-3"/>
        </w:rPr>
        <w:t xml:space="preserve"> </w:t>
      </w:r>
      <w:r>
        <w:t>thus,</w:t>
      </w:r>
      <w:r>
        <w:rPr>
          <w:spacing w:val="-3"/>
        </w:rPr>
        <w:t xml:space="preserve"> </w:t>
      </w:r>
      <w:r>
        <w:t>the</w:t>
      </w:r>
      <w:r>
        <w:rPr>
          <w:spacing w:val="-3"/>
        </w:rPr>
        <w:t xml:space="preserve"> </w:t>
      </w:r>
      <w:r>
        <w:t>costs</w:t>
      </w:r>
      <w:r>
        <w:rPr>
          <w:spacing w:val="-5"/>
        </w:rPr>
        <w:t xml:space="preserve"> </w:t>
      </w:r>
      <w:r>
        <w:t>associated</w:t>
      </w:r>
      <w:r>
        <w:rPr>
          <w:spacing w:val="-3"/>
        </w:rPr>
        <w:t xml:space="preserve"> </w:t>
      </w:r>
      <w:r>
        <w:t>with</w:t>
      </w:r>
      <w:r>
        <w:rPr>
          <w:spacing w:val="-5"/>
        </w:rPr>
        <w:t xml:space="preserve"> </w:t>
      </w:r>
      <w:r>
        <w:t>operation and maintenance should already be included as standard items in their annual budgets.</w:t>
      </w:r>
    </w:p>
    <w:p w:rsidR="00F63881" w:rsidP="00961C50" w14:paraId="340B0B2F" w14:textId="6A43D21F">
      <w:pPr>
        <w:rPr>
          <w:rFonts w:eastAsiaTheme="majorEastAsia" w:cstheme="majorBidi"/>
          <w:b/>
          <w:color w:val="000000" w:themeColor="text1"/>
          <w:szCs w:val="30"/>
        </w:rPr>
      </w:pPr>
      <w:bookmarkStart w:id="21" w:name="_Toc156593387"/>
    </w:p>
    <w:p w:rsidR="00023EFE" w:rsidRPr="00163C69" w:rsidP="00961C50" w14:paraId="7D2BF7DE" w14:textId="3C6CC695">
      <w:pPr>
        <w:pStyle w:val="Heading1"/>
        <w:rPr>
          <w:rFonts w:cstheme="minorHAnsi"/>
        </w:rPr>
      </w:pPr>
      <w:r>
        <w:t xml:space="preserve">14. </w:t>
      </w:r>
      <w:r w:rsidRPr="4BDBF0A0" w:rsidR="001D01BB">
        <w:t xml:space="preserve">AGENCY </w:t>
      </w:r>
      <w:bookmarkStart w:id="22" w:name="_Toc156593388"/>
      <w:bookmarkEnd w:id="21"/>
      <w:r w:rsidRPr="4BDBF0A0" w:rsidR="00BB2B15">
        <w:t>COSTS</w:t>
      </w:r>
    </w:p>
    <w:p w:rsidR="001F0834" w:rsidRPr="001F0834" w:rsidP="00961C50"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457B3" w:rsidP="00961C50" w14:paraId="500B13B3" w14:textId="77777777">
      <w:pPr>
        <w:spacing w:before="120" w:after="0"/>
        <w:rPr>
          <w:rFonts w:eastAsiaTheme="majorEastAsia" w:cstheme="minorHAnsi"/>
          <w:b/>
          <w:bCs/>
        </w:rPr>
      </w:pPr>
    </w:p>
    <w:p w:rsidR="00023EFE" w:rsidRPr="00163C69" w:rsidP="00961C50" w14:paraId="1D8BBDEC" w14:textId="59453B91">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F457B3" w:rsidRPr="00AE534A" w:rsidP="00AE534A" w14:paraId="0F0BF867" w14:textId="6880CF46">
      <w:pPr>
        <w:rPr>
          <w:rFonts w:cstheme="minorHAnsi"/>
        </w:rPr>
      </w:pPr>
      <w:r w:rsidRPr="00BD0079">
        <w:rPr>
          <w:rFonts w:cstheme="minorHAnsi"/>
        </w:rPr>
        <w:t xml:space="preserve">EPA incurs a burden in the process of reviewing and processing the information collected via </w:t>
      </w:r>
      <w:r w:rsidR="008C420C">
        <w:rPr>
          <w:rFonts w:cstheme="minorHAnsi"/>
        </w:rPr>
        <w:t>two</w:t>
      </w:r>
      <w:r w:rsidRPr="00BD0079">
        <w:rPr>
          <w:rFonts w:cstheme="minorHAnsi"/>
        </w:rPr>
        <w:t xml:space="preserve"> post-award reports from </w:t>
      </w:r>
      <w:r w:rsidR="008C420C">
        <w:rPr>
          <w:rFonts w:cstheme="minorHAnsi"/>
        </w:rPr>
        <w:t>Grantees</w:t>
      </w:r>
      <w:r w:rsidRPr="00BD0079">
        <w:rPr>
          <w:rFonts w:cstheme="minorHAnsi"/>
        </w:rPr>
        <w:t xml:space="preserve">: </w:t>
      </w:r>
      <w:r w:rsidR="008C420C">
        <w:rPr>
          <w:rFonts w:cstheme="minorHAnsi"/>
        </w:rPr>
        <w:t>semi-annual</w:t>
      </w:r>
      <w:r w:rsidRPr="00BD0079">
        <w:rPr>
          <w:rFonts w:cstheme="minorHAnsi"/>
        </w:rPr>
        <w:t xml:space="preserve"> progress reports, final reports.</w:t>
      </w:r>
    </w:p>
    <w:p w:rsidR="00023EFE" w:rsidRPr="00163C69" w:rsidP="00961C50" w14:paraId="30F74537" w14:textId="2E8DC003">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7E02ED" w:rsidP="00961C50" w14:paraId="26526F07"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7E02ED" w:rsidRPr="00121F5A" w:rsidP="00961C50" w14:paraId="76C98298" w14:textId="74FCAB98">
      <w:pPr>
        <w:spacing w:after="0"/>
        <w:rPr>
          <w:b/>
          <w:bCs/>
        </w:rPr>
      </w:pPr>
      <w:r w:rsidRPr="00121F5A">
        <w:rPr>
          <w:b/>
          <w:bCs/>
        </w:rPr>
        <w:t xml:space="preserve">Total Annual Hour Burden to the Agency (across all instruments) = </w:t>
      </w:r>
      <w:r w:rsidRPr="00121F5A" w:rsidR="00121F5A">
        <w:rPr>
          <w:b/>
          <w:bCs/>
        </w:rPr>
        <w:t>2,893</w:t>
      </w:r>
      <w:r w:rsidRPr="00121F5A" w:rsidR="00E02D53">
        <w:rPr>
          <w:b/>
          <w:bCs/>
        </w:rPr>
        <w:t xml:space="preserve"> </w:t>
      </w:r>
      <w:r w:rsidRPr="00121F5A">
        <w:rPr>
          <w:b/>
          <w:bCs/>
        </w:rPr>
        <w:t>hours</w:t>
      </w:r>
    </w:p>
    <w:p w:rsidR="007E02ED" w:rsidRPr="00B51FCC" w:rsidP="00961C50" w14:paraId="2BA3EF5D" w14:textId="58C0D83C">
      <w:pPr>
        <w:spacing w:after="0"/>
        <w:rPr>
          <w:b/>
          <w:bCs/>
        </w:rPr>
      </w:pPr>
      <w:r w:rsidRPr="00121F5A">
        <w:rPr>
          <w:b/>
          <w:bCs/>
        </w:rPr>
        <w:t>Total Annual Cost to the Agency (across all instruments) = $</w:t>
      </w:r>
      <w:r w:rsidRPr="00121F5A" w:rsidR="00121F5A">
        <w:rPr>
          <w:b/>
          <w:bCs/>
        </w:rPr>
        <w:t>278,715</w:t>
      </w:r>
    </w:p>
    <w:p w:rsidR="00860B8A" w:rsidP="00961C50" w14:paraId="7879BC1C"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7E02ED" w:rsidRPr="00BD0079" w:rsidP="00961C50" w14:paraId="271C200D" w14:textId="77777777">
      <w:r w:rsidRPr="00B51FCC">
        <w:rPr>
          <w:b/>
          <w:bCs/>
        </w:rPr>
        <w:t xml:space="preserve">Methodology: </w:t>
      </w:r>
      <w:r w:rsidRPr="00BD0079">
        <w:t>The burden imposed upon EPA was estimated using a seven-step process for each information collection instrument:</w:t>
      </w:r>
    </w:p>
    <w:p w:rsidR="007E02ED" w:rsidRPr="00BD0079" w:rsidP="00961C50" w14:paraId="7D066391" w14:textId="77777777">
      <w:pPr>
        <w:pStyle w:val="ListParagraph"/>
        <w:numPr>
          <w:ilvl w:val="0"/>
          <w:numId w:val="29"/>
        </w:numPr>
        <w:spacing w:after="0" w:line="240" w:lineRule="auto"/>
      </w:pPr>
      <w:r w:rsidRPr="00BD0079">
        <w:t>Calculate the number of hours to review and process each response, across all staff roles at relevant levels of seniority: management, technical, clerical/support (based on consultations with EPA staff).</w:t>
      </w:r>
    </w:p>
    <w:p w:rsidR="007E02ED" w:rsidRPr="00F31C0B" w:rsidP="00961C50" w14:paraId="7926B180" w14:textId="01F6F6D0">
      <w:pPr>
        <w:pStyle w:val="ListParagraph"/>
        <w:numPr>
          <w:ilvl w:val="0"/>
          <w:numId w:val="29"/>
        </w:numPr>
        <w:spacing w:after="0" w:line="240" w:lineRule="auto"/>
      </w:pPr>
      <w:r w:rsidRPr="00F31C0B">
        <w:t xml:space="preserve">Calculated the </w:t>
      </w:r>
      <w:r w:rsidR="00D4673A">
        <w:t xml:space="preserve">loaded </w:t>
      </w:r>
      <w:r w:rsidRPr="00F31C0B">
        <w:t>weighted labor cost to review and process each response, across all staff levels involved (based on salaries for relevant GS levels</w:t>
      </w:r>
      <w:r w:rsidRPr="00F31C0B" w:rsidR="00654C61">
        <w:t xml:space="preserve"> and </w:t>
      </w:r>
      <w:r w:rsidRPr="00F31C0B" w:rsidR="002B33E0">
        <w:t xml:space="preserve">a </w:t>
      </w:r>
      <w:r w:rsidR="00015236">
        <w:t>6</w:t>
      </w:r>
      <w:r w:rsidRPr="00F31C0B" w:rsidR="00654C61">
        <w:t xml:space="preserve">4% loading </w:t>
      </w:r>
      <w:r w:rsidRPr="00F31C0B" w:rsidR="00EE1139">
        <w:t>to account for the additional costs of employee benefits incurred by the Agency as part of its overall labor costs).</w:t>
      </w:r>
      <w:r w:rsidRPr="00F31C0B">
        <w:t xml:space="preserve"> </w:t>
      </w:r>
    </w:p>
    <w:p w:rsidR="007E02ED" w:rsidRPr="00BD0079" w:rsidP="00961C50" w14:paraId="5C74770E" w14:textId="7A672BF4">
      <w:pPr>
        <w:pStyle w:val="ListParagraph"/>
        <w:numPr>
          <w:ilvl w:val="0"/>
          <w:numId w:val="29"/>
        </w:numPr>
        <w:spacing w:after="0" w:line="240" w:lineRule="auto"/>
      </w:pPr>
      <w:r w:rsidRPr="00BD0079">
        <w:t xml:space="preserve">Determine the number of responses for the three years (based on signed Terms and Conditions agreements with each </w:t>
      </w:r>
      <w:r w:rsidR="00031B82">
        <w:t>Grantee</w:t>
      </w:r>
      <w:r w:rsidRPr="00BD0079">
        <w:t>).</w:t>
      </w:r>
    </w:p>
    <w:p w:rsidR="007E02ED" w:rsidRPr="00BD0079" w:rsidP="00961C50" w14:paraId="7B084227" w14:textId="77777777">
      <w:pPr>
        <w:pStyle w:val="ListParagraph"/>
        <w:numPr>
          <w:ilvl w:val="0"/>
          <w:numId w:val="29"/>
        </w:numPr>
        <w:spacing w:after="0" w:line="240" w:lineRule="auto"/>
      </w:pPr>
      <w:r w:rsidRPr="00BD0079">
        <w:t>Calculate the total burden hours per instrument (number of hours per response x number of responses).</w:t>
      </w:r>
    </w:p>
    <w:p w:rsidR="007E02ED" w:rsidRPr="00BD0079" w:rsidP="00961C50" w14:paraId="06DECBDB" w14:textId="77777777">
      <w:pPr>
        <w:pStyle w:val="ListParagraph"/>
        <w:numPr>
          <w:ilvl w:val="0"/>
          <w:numId w:val="29"/>
        </w:numPr>
        <w:spacing w:after="0" w:line="240" w:lineRule="auto"/>
      </w:pPr>
      <w:r w:rsidRPr="00BD0079">
        <w:t>Calculate the total cost per instrument (labor cost per response x number of responses).</w:t>
      </w:r>
    </w:p>
    <w:p w:rsidR="007E02ED" w:rsidRPr="00BD0079" w:rsidP="00961C50" w14:paraId="2C3F4370" w14:textId="77777777">
      <w:pPr>
        <w:pStyle w:val="ListParagraph"/>
        <w:numPr>
          <w:ilvl w:val="0"/>
          <w:numId w:val="29"/>
        </w:numPr>
        <w:spacing w:after="0" w:line="240" w:lineRule="auto"/>
      </w:pPr>
      <w:r w:rsidRPr="00BD0079">
        <w:t>Calculate the total burden hours and costs across all instruments for the three years.</w:t>
      </w:r>
    </w:p>
    <w:p w:rsidR="007E02ED" w:rsidRPr="00BD0079" w:rsidP="00961C50" w14:paraId="120ADFFB" w14:textId="77777777">
      <w:pPr>
        <w:pStyle w:val="ListParagraph"/>
        <w:numPr>
          <w:ilvl w:val="0"/>
          <w:numId w:val="29"/>
        </w:numPr>
        <w:spacing w:after="0" w:line="240" w:lineRule="auto"/>
      </w:pPr>
      <w:r w:rsidRPr="00BD0079">
        <w:t>Calculate the annualized burden hours and costs across all instruments for each year.</w:t>
      </w:r>
    </w:p>
    <w:p w:rsidR="007E02ED" w:rsidRPr="00BD0079" w:rsidP="00961C50" w14:paraId="463F4DD1" w14:textId="77777777"/>
    <w:p w:rsidR="00B07068" w:rsidRPr="00BD0079" w:rsidP="00961C50" w14:paraId="599B3C0E" w14:textId="0C3C0F23">
      <w:pPr>
        <w:rPr>
          <w:u w:val="single"/>
        </w:rPr>
      </w:pPr>
      <w:r w:rsidRPr="00BD0079">
        <w:rPr>
          <w:b/>
          <w:bCs/>
        </w:rPr>
        <w:t xml:space="preserve">Table </w:t>
      </w:r>
      <w:r w:rsidR="00F63881">
        <w:rPr>
          <w:b/>
          <w:bCs/>
        </w:rPr>
        <w:t>2</w:t>
      </w:r>
      <w:r w:rsidRPr="00BD0079">
        <w:rPr>
          <w:b/>
          <w:bCs/>
        </w:rPr>
        <w:t xml:space="preserve"> (below)</w:t>
      </w:r>
      <w:r w:rsidRPr="00BD0079">
        <w:t xml:space="preserve"> includes the information calculated in each step of the methodology, with the total burden hours and costs and annualized burden hours and costs presented in the bottom two rows. </w:t>
      </w:r>
      <w:r w:rsidR="00A661AA">
        <w:rPr>
          <w:b/>
          <w:bCs/>
        </w:rPr>
        <w:t>A</w:t>
      </w:r>
      <w:r w:rsidRPr="00BD0079" w:rsidR="00A661AA">
        <w:rPr>
          <w:b/>
          <w:bCs/>
        </w:rPr>
        <w:t>ppendix</w:t>
      </w:r>
      <w:r w:rsidRPr="00C52C16" w:rsidR="00A661AA">
        <w:rPr>
          <w:b/>
          <w:bCs/>
        </w:rPr>
        <w:t xml:space="preserve"> </w:t>
      </w:r>
      <w:r w:rsidR="00A661AA">
        <w:rPr>
          <w:b/>
          <w:bCs/>
        </w:rPr>
        <w:t>2</w:t>
      </w:r>
      <w:r w:rsidR="00A661AA">
        <w:t xml:space="preserve"> </w:t>
      </w:r>
      <w:r w:rsidRPr="00BD0079" w:rsidR="00A661AA">
        <w:t xml:space="preserve">includes the calculations </w:t>
      </w:r>
      <w:r w:rsidR="00A661AA">
        <w:t xml:space="preserve">and reference sources </w:t>
      </w:r>
      <w:r w:rsidRPr="00BD0079" w:rsidR="00A661AA">
        <w:t>for Steps 1 and 2 of the methodology.</w:t>
      </w:r>
    </w:p>
    <w:tbl>
      <w:tblPr>
        <w:tblStyle w:val="TableGrid"/>
        <w:tblW w:w="0" w:type="auto"/>
        <w:tblInd w:w="355" w:type="dxa"/>
        <w:tblLayout w:type="fixed"/>
        <w:tblLook w:val="04A0"/>
      </w:tblPr>
      <w:tblGrid>
        <w:gridCol w:w="1407"/>
        <w:gridCol w:w="1407"/>
        <w:gridCol w:w="1621"/>
        <w:gridCol w:w="1415"/>
        <w:gridCol w:w="1469"/>
        <w:gridCol w:w="1501"/>
      </w:tblGrid>
      <w:tr w14:paraId="44E2070E" w14:textId="77777777" w:rsidTr="00F63881">
        <w:tblPrEx>
          <w:tblW w:w="0" w:type="auto"/>
          <w:tblInd w:w="355" w:type="dxa"/>
          <w:tblLayout w:type="fixed"/>
          <w:tblLook w:val="04A0"/>
        </w:tblPrEx>
        <w:trPr>
          <w:trHeight w:val="575"/>
        </w:trPr>
        <w:tc>
          <w:tcPr>
            <w:tcW w:w="8820" w:type="dxa"/>
            <w:gridSpan w:val="6"/>
            <w:shd w:val="clear" w:color="auto" w:fill="D9D9D9" w:themeFill="background1" w:themeFillShade="D9"/>
            <w:vAlign w:val="center"/>
          </w:tcPr>
          <w:p w:rsidR="00B07068" w:rsidRPr="00BD0079" w:rsidP="00961C50" w14:paraId="40C446EF" w14:textId="334E4456">
            <w:pPr>
              <w:keepNext/>
              <w:keepLines/>
              <w:rPr>
                <w:b/>
                <w:bCs/>
              </w:rPr>
            </w:pPr>
            <w:bookmarkStart w:id="23" w:name="_Hlk186799180"/>
            <w:r w:rsidRPr="00BD0079">
              <w:rPr>
                <w:b/>
                <w:bCs/>
              </w:rPr>
              <w:t xml:space="preserve">Table </w:t>
            </w:r>
            <w:r w:rsidR="000F0041">
              <w:rPr>
                <w:b/>
                <w:bCs/>
              </w:rPr>
              <w:t>2</w:t>
            </w:r>
            <w:r w:rsidRPr="00BD0079">
              <w:rPr>
                <w:b/>
                <w:bCs/>
              </w:rPr>
              <w:t>: Estimated burdens and costs associated with post-award reports – EPA Staff</w:t>
            </w:r>
          </w:p>
        </w:tc>
      </w:tr>
      <w:tr w14:paraId="6996121E" w14:textId="77777777" w:rsidTr="00F63881">
        <w:tblPrEx>
          <w:tblW w:w="0" w:type="auto"/>
          <w:tblInd w:w="355" w:type="dxa"/>
          <w:tblLayout w:type="fixed"/>
          <w:tblLook w:val="04A0"/>
        </w:tblPrEx>
        <w:trPr>
          <w:trHeight w:val="1718"/>
        </w:trPr>
        <w:tc>
          <w:tcPr>
            <w:tcW w:w="1407" w:type="dxa"/>
            <w:shd w:val="clear" w:color="auto" w:fill="F2F2F2" w:themeFill="background1" w:themeFillShade="F2"/>
            <w:vAlign w:val="center"/>
          </w:tcPr>
          <w:p w:rsidR="00B07068" w:rsidRPr="00BD0079" w:rsidP="00961C50" w14:paraId="2E3581D3" w14:textId="77777777">
            <w:pPr>
              <w:keepNext/>
              <w:keepLines/>
              <w:rPr>
                <w:b/>
                <w:bCs/>
              </w:rPr>
            </w:pPr>
            <w:r w:rsidRPr="00BD0079">
              <w:rPr>
                <w:b/>
                <w:bCs/>
              </w:rPr>
              <w:t>Activity</w:t>
            </w:r>
          </w:p>
        </w:tc>
        <w:tc>
          <w:tcPr>
            <w:tcW w:w="1407" w:type="dxa"/>
            <w:shd w:val="clear" w:color="auto" w:fill="F2F2F2" w:themeFill="background1" w:themeFillShade="F2"/>
            <w:vAlign w:val="center"/>
          </w:tcPr>
          <w:p w:rsidR="00B07068" w:rsidRPr="00BD0079" w:rsidP="00961C50" w14:paraId="55C2380B" w14:textId="77777777">
            <w:pPr>
              <w:keepNext/>
              <w:keepLines/>
              <w:rPr>
                <w:b/>
                <w:bCs/>
              </w:rPr>
            </w:pPr>
            <w:r w:rsidRPr="00BD0079">
              <w:rPr>
                <w:b/>
                <w:bCs/>
              </w:rPr>
              <w:t>1. Burden per Response</w:t>
            </w:r>
          </w:p>
          <w:p w:rsidR="00B07068" w:rsidRPr="00BD0079" w:rsidP="00961C50" w14:paraId="16ECE746" w14:textId="77777777">
            <w:pPr>
              <w:keepNext/>
              <w:keepLines/>
              <w:rPr>
                <w:b/>
                <w:bCs/>
              </w:rPr>
            </w:pPr>
            <w:r w:rsidRPr="00BD0079">
              <w:rPr>
                <w:b/>
                <w:bCs/>
              </w:rPr>
              <w:t>(Hours)</w:t>
            </w:r>
            <w:r w:rsidRPr="00BD0079">
              <w:rPr>
                <w:rFonts w:cs="Times New Roman (Body CS)"/>
                <w:b/>
                <w:bCs/>
                <w:vertAlign w:val="superscript"/>
              </w:rPr>
              <w:t>1</w:t>
            </w:r>
          </w:p>
        </w:tc>
        <w:tc>
          <w:tcPr>
            <w:tcW w:w="1621" w:type="dxa"/>
            <w:shd w:val="clear" w:color="auto" w:fill="F2F2F2" w:themeFill="background1" w:themeFillShade="F2"/>
            <w:vAlign w:val="center"/>
          </w:tcPr>
          <w:p w:rsidR="00B07068" w:rsidRPr="00BD0079" w:rsidP="00961C50" w14:paraId="197123C7" w14:textId="05AF7903">
            <w:pPr>
              <w:keepNext/>
              <w:keepLines/>
              <w:rPr>
                <w:b/>
                <w:bCs/>
              </w:rPr>
            </w:pPr>
            <w:r w:rsidRPr="00BD0079">
              <w:rPr>
                <w:b/>
                <w:bCs/>
              </w:rPr>
              <w:t xml:space="preserve">2. </w:t>
            </w:r>
            <w:r w:rsidR="00007895">
              <w:rPr>
                <w:b/>
                <w:bCs/>
              </w:rPr>
              <w:t xml:space="preserve">Weighted </w:t>
            </w:r>
            <w:r w:rsidR="00BB22C8">
              <w:rPr>
                <w:b/>
                <w:bCs/>
              </w:rPr>
              <w:t xml:space="preserve">Loaded </w:t>
            </w:r>
            <w:r w:rsidRPr="00BD0079">
              <w:rPr>
                <w:b/>
                <w:bCs/>
              </w:rPr>
              <w:t xml:space="preserve">Labor </w:t>
            </w:r>
            <w:r w:rsidRPr="00BD0079">
              <w:rPr>
                <w:b/>
                <w:bCs/>
              </w:rPr>
              <w:br/>
              <w:t>Cost per Response (Dollars)</w:t>
            </w:r>
            <w:r w:rsidRPr="00BD0079">
              <w:rPr>
                <w:rFonts w:cs="Times New Roman (Body CS)"/>
                <w:b/>
                <w:bCs/>
                <w:vertAlign w:val="superscript"/>
              </w:rPr>
              <w:t>2</w:t>
            </w:r>
          </w:p>
        </w:tc>
        <w:tc>
          <w:tcPr>
            <w:tcW w:w="1415" w:type="dxa"/>
            <w:shd w:val="clear" w:color="auto" w:fill="F2F2F2" w:themeFill="background1" w:themeFillShade="F2"/>
            <w:vAlign w:val="center"/>
          </w:tcPr>
          <w:p w:rsidR="00B07068" w:rsidRPr="00BD0079" w:rsidP="00961C50" w14:paraId="24763760" w14:textId="77777777">
            <w:pPr>
              <w:keepNext/>
              <w:keepLines/>
              <w:rPr>
                <w:b/>
                <w:bCs/>
              </w:rPr>
            </w:pPr>
            <w:r w:rsidRPr="00BD0079">
              <w:rPr>
                <w:b/>
                <w:bCs/>
              </w:rPr>
              <w:t>3. Number of Responses</w:t>
            </w:r>
            <w:r w:rsidRPr="00BD0079">
              <w:rPr>
                <w:b/>
                <w:bCs/>
              </w:rPr>
              <w:br/>
              <w:t>(3 years)</w:t>
            </w:r>
            <w:r w:rsidRPr="00BD0079">
              <w:rPr>
                <w:rFonts w:cs="Times New Roman (Body CS)"/>
                <w:b/>
                <w:bCs/>
                <w:vertAlign w:val="superscript"/>
              </w:rPr>
              <w:t>3</w:t>
            </w:r>
          </w:p>
        </w:tc>
        <w:tc>
          <w:tcPr>
            <w:tcW w:w="1469" w:type="dxa"/>
            <w:shd w:val="clear" w:color="auto" w:fill="F2F2F2" w:themeFill="background1" w:themeFillShade="F2"/>
            <w:vAlign w:val="center"/>
          </w:tcPr>
          <w:p w:rsidR="00B07068" w:rsidRPr="00BD0079" w:rsidP="00961C50" w14:paraId="66372C8C" w14:textId="77777777">
            <w:pPr>
              <w:keepNext/>
              <w:keepLines/>
              <w:rPr>
                <w:b/>
                <w:bCs/>
              </w:rPr>
            </w:pPr>
            <w:r w:rsidRPr="00BD0079">
              <w:rPr>
                <w:b/>
                <w:bCs/>
              </w:rPr>
              <w:t>4. Total Burden Hours</w:t>
            </w:r>
          </w:p>
          <w:p w:rsidR="00B07068" w:rsidRPr="00BD0079" w:rsidP="00961C50" w14:paraId="6DB4EC6B" w14:textId="77777777">
            <w:pPr>
              <w:keepNext/>
              <w:keepLines/>
              <w:rPr>
                <w:b/>
                <w:bCs/>
              </w:rPr>
            </w:pPr>
            <w:r w:rsidRPr="00BD0079">
              <w:rPr>
                <w:b/>
                <w:bCs/>
              </w:rPr>
              <w:t>(3 years)</w:t>
            </w:r>
            <w:r w:rsidRPr="00BD0079">
              <w:rPr>
                <w:rFonts w:cs="Times New Roman (Body CS)"/>
                <w:b/>
                <w:bCs/>
                <w:vertAlign w:val="superscript"/>
              </w:rPr>
              <w:t>4</w:t>
            </w:r>
          </w:p>
        </w:tc>
        <w:tc>
          <w:tcPr>
            <w:tcW w:w="1501" w:type="dxa"/>
            <w:shd w:val="clear" w:color="auto" w:fill="F2F2F2" w:themeFill="background1" w:themeFillShade="F2"/>
            <w:vAlign w:val="center"/>
          </w:tcPr>
          <w:p w:rsidR="00B07068" w:rsidRPr="00BD0079" w:rsidP="00961C50" w14:paraId="50DEC4D9" w14:textId="77777777">
            <w:pPr>
              <w:keepNext/>
              <w:keepLines/>
              <w:rPr>
                <w:b/>
                <w:bCs/>
              </w:rPr>
            </w:pPr>
            <w:r w:rsidRPr="00BD0079">
              <w:rPr>
                <w:b/>
                <w:bCs/>
              </w:rPr>
              <w:t>5. Total Labor Cost</w:t>
            </w:r>
          </w:p>
          <w:p w:rsidR="00B07068" w:rsidRPr="00BD0079" w:rsidP="00961C50" w14:paraId="0D329BF7" w14:textId="77777777">
            <w:pPr>
              <w:keepNext/>
              <w:keepLines/>
              <w:rPr>
                <w:b/>
                <w:bCs/>
              </w:rPr>
            </w:pPr>
            <w:r w:rsidRPr="00BD0079">
              <w:rPr>
                <w:b/>
                <w:bCs/>
              </w:rPr>
              <w:t>(3 years)</w:t>
            </w:r>
            <w:r w:rsidRPr="00BD0079">
              <w:rPr>
                <w:rFonts w:cs="Times New Roman (Body CS)"/>
                <w:b/>
                <w:bCs/>
                <w:vertAlign w:val="superscript"/>
              </w:rPr>
              <w:t>5</w:t>
            </w:r>
          </w:p>
        </w:tc>
      </w:tr>
      <w:tr w14:paraId="7E0B8287" w14:textId="77777777" w:rsidTr="00D25DF2">
        <w:tblPrEx>
          <w:tblW w:w="0" w:type="auto"/>
          <w:tblInd w:w="355" w:type="dxa"/>
          <w:tblLayout w:type="fixed"/>
          <w:tblLook w:val="04A0"/>
        </w:tblPrEx>
        <w:trPr>
          <w:trHeight w:val="1547"/>
        </w:trPr>
        <w:tc>
          <w:tcPr>
            <w:tcW w:w="1407" w:type="dxa"/>
            <w:vAlign w:val="center"/>
          </w:tcPr>
          <w:p w:rsidR="00476CE3" w:rsidRPr="0093699A" w:rsidP="00961C50" w14:paraId="1FC11D9D" w14:textId="1DA5FFF5">
            <w:pPr>
              <w:keepNext/>
              <w:keepLines/>
            </w:pPr>
            <w:r w:rsidRPr="0093699A">
              <w:t>Review and Process Progress Report</w:t>
            </w:r>
            <w:r w:rsidRPr="0093699A" w:rsidR="00D25DF2">
              <w:t>s</w:t>
            </w:r>
            <w:r w:rsidRPr="0093699A">
              <w:t xml:space="preserve"> </w:t>
            </w:r>
          </w:p>
        </w:tc>
        <w:tc>
          <w:tcPr>
            <w:tcW w:w="1407" w:type="dxa"/>
            <w:shd w:val="clear" w:color="auto" w:fill="auto"/>
            <w:vAlign w:val="center"/>
          </w:tcPr>
          <w:p w:rsidR="00476CE3" w:rsidRPr="0093699A" w:rsidP="00961C50" w14:paraId="4E99D425" w14:textId="77777777">
            <w:pPr>
              <w:keepNext/>
              <w:keepLines/>
            </w:pPr>
            <w:r w:rsidRPr="0093699A">
              <w:t>5</w:t>
            </w:r>
          </w:p>
        </w:tc>
        <w:tc>
          <w:tcPr>
            <w:tcW w:w="1621" w:type="dxa"/>
            <w:shd w:val="clear" w:color="auto" w:fill="auto"/>
            <w:vAlign w:val="center"/>
          </w:tcPr>
          <w:p w:rsidR="00476CE3" w:rsidRPr="00121F5A" w:rsidP="00961C50" w14:paraId="7E6C6D8C" w14:textId="3E4AC175">
            <w:pPr>
              <w:keepNext/>
              <w:keepLines/>
            </w:pPr>
            <w:r w:rsidRPr="00121F5A">
              <w:t>$48</w:t>
            </w:r>
            <w:r w:rsidRPr="00121F5A" w:rsidR="0093699A">
              <w:t>1.65</w:t>
            </w:r>
            <w:r w:rsidRPr="00121F5A">
              <w:br/>
            </w:r>
            <w:r w:rsidRPr="00121F5A">
              <w:rPr>
                <w:sz w:val="18"/>
                <w:szCs w:val="18"/>
              </w:rPr>
              <w:t>(hourly = $9</w:t>
            </w:r>
            <w:r w:rsidRPr="00121F5A" w:rsidR="009042A9">
              <w:rPr>
                <w:sz w:val="18"/>
                <w:szCs w:val="18"/>
              </w:rPr>
              <w:t>6.33</w:t>
            </w:r>
            <w:r w:rsidRPr="00121F5A">
              <w:rPr>
                <w:sz w:val="18"/>
                <w:szCs w:val="18"/>
              </w:rPr>
              <w:t>)</w:t>
            </w:r>
          </w:p>
        </w:tc>
        <w:tc>
          <w:tcPr>
            <w:tcW w:w="1415" w:type="dxa"/>
            <w:vAlign w:val="center"/>
          </w:tcPr>
          <w:p w:rsidR="00476CE3" w:rsidRPr="00121F5A" w:rsidP="00961C50" w14:paraId="20B39975" w14:textId="6C280813">
            <w:pPr>
              <w:keepNext/>
              <w:keepLines/>
            </w:pPr>
            <w:r w:rsidRPr="00121F5A">
              <w:t>1,085</w:t>
            </w:r>
          </w:p>
          <w:p w:rsidR="00476CE3" w:rsidRPr="00121F5A" w:rsidP="00961C50" w14:paraId="2512F240" w14:textId="745B9461">
            <w:pPr>
              <w:keepNext/>
              <w:keepLines/>
              <w:rPr>
                <w:sz w:val="20"/>
                <w:szCs w:val="20"/>
              </w:rPr>
            </w:pPr>
            <w:r w:rsidRPr="00121F5A">
              <w:rPr>
                <w:sz w:val="18"/>
                <w:szCs w:val="18"/>
              </w:rPr>
              <w:t>(5</w:t>
            </w:r>
            <w:r w:rsidRPr="00121F5A">
              <w:rPr>
                <w:sz w:val="18"/>
                <w:szCs w:val="18"/>
              </w:rPr>
              <w:t xml:space="preserve"> reports </w:t>
            </w:r>
            <w:r w:rsidRPr="00121F5A">
              <w:rPr>
                <w:sz w:val="18"/>
                <w:szCs w:val="18"/>
              </w:rPr>
              <w:t>over</w:t>
            </w:r>
            <w:r w:rsidRPr="00121F5A">
              <w:rPr>
                <w:sz w:val="18"/>
                <w:szCs w:val="18"/>
              </w:rPr>
              <w:t xml:space="preserve"> 3 years x </w:t>
            </w:r>
            <w:r w:rsidRPr="00121F5A" w:rsidR="00F63881">
              <w:rPr>
                <w:sz w:val="18"/>
                <w:szCs w:val="18"/>
              </w:rPr>
              <w:t xml:space="preserve">217 </w:t>
            </w:r>
            <w:r w:rsidRPr="00121F5A" w:rsidR="00C40A16">
              <w:rPr>
                <w:sz w:val="18"/>
                <w:szCs w:val="18"/>
              </w:rPr>
              <w:t>Grantees</w:t>
            </w:r>
            <w:r w:rsidRPr="00121F5A">
              <w:rPr>
                <w:sz w:val="20"/>
                <w:szCs w:val="20"/>
              </w:rPr>
              <w:t>)</w:t>
            </w:r>
          </w:p>
        </w:tc>
        <w:tc>
          <w:tcPr>
            <w:tcW w:w="1469" w:type="dxa"/>
            <w:shd w:val="clear" w:color="auto" w:fill="auto"/>
            <w:vAlign w:val="center"/>
          </w:tcPr>
          <w:p w:rsidR="00476CE3" w:rsidRPr="003C1F2A" w:rsidP="00961C50" w14:paraId="62E4456F" w14:textId="272C2177">
            <w:pPr>
              <w:keepNext/>
              <w:keepLines/>
              <w:rPr>
                <w:highlight w:val="yellow"/>
              </w:rPr>
            </w:pPr>
            <w:r w:rsidRPr="00121F5A">
              <w:rPr>
                <w:rFonts w:ascii="Calibri" w:hAnsi="Calibri" w:cs="Calibri"/>
                <w:color w:val="000000"/>
              </w:rPr>
              <w:t>5,425</w:t>
            </w:r>
          </w:p>
        </w:tc>
        <w:tc>
          <w:tcPr>
            <w:tcW w:w="1501" w:type="dxa"/>
            <w:shd w:val="clear" w:color="auto" w:fill="auto"/>
            <w:vAlign w:val="center"/>
          </w:tcPr>
          <w:p w:rsidR="00476CE3" w:rsidRPr="003C1F2A" w:rsidP="00961C50" w14:paraId="6A489866" w14:textId="67797F36">
            <w:pPr>
              <w:keepNext/>
              <w:keepLines/>
              <w:rPr>
                <w:highlight w:val="yellow"/>
              </w:rPr>
            </w:pPr>
            <w:r w:rsidRPr="00121F5A">
              <w:rPr>
                <w:rFonts w:ascii="Calibri" w:hAnsi="Calibri" w:cs="Calibri"/>
                <w:color w:val="000000"/>
              </w:rPr>
              <w:t>$</w:t>
            </w:r>
            <w:r w:rsidRPr="00121F5A" w:rsidR="00121F5A">
              <w:rPr>
                <w:rFonts w:ascii="Calibri" w:hAnsi="Calibri" w:cs="Calibri"/>
                <w:color w:val="000000"/>
              </w:rPr>
              <w:t>522,590.25</w:t>
            </w:r>
            <w:r w:rsidRPr="00121F5A" w:rsidR="00766E2D">
              <w:rPr>
                <w:rFonts w:ascii="Calibri" w:hAnsi="Calibri" w:cs="Calibri"/>
                <w:color w:val="000000"/>
              </w:rPr>
              <w:t xml:space="preserve"> </w:t>
            </w:r>
          </w:p>
        </w:tc>
      </w:tr>
      <w:tr w14:paraId="3535EFE2" w14:textId="77777777" w:rsidTr="00F63881">
        <w:tblPrEx>
          <w:tblW w:w="0" w:type="auto"/>
          <w:tblInd w:w="355" w:type="dxa"/>
          <w:tblLayout w:type="fixed"/>
          <w:tblLook w:val="04A0"/>
        </w:tblPrEx>
        <w:trPr>
          <w:trHeight w:val="1097"/>
        </w:trPr>
        <w:tc>
          <w:tcPr>
            <w:tcW w:w="1407" w:type="dxa"/>
            <w:vAlign w:val="center"/>
          </w:tcPr>
          <w:p w:rsidR="00476CE3" w:rsidRPr="0093699A" w:rsidP="00961C50" w14:paraId="1A9B7074" w14:textId="77777777">
            <w:pPr>
              <w:keepNext/>
              <w:keepLines/>
            </w:pPr>
            <w:r w:rsidRPr="0093699A">
              <w:t xml:space="preserve">Review and Process </w:t>
            </w:r>
            <w:r w:rsidRPr="0093699A">
              <w:br/>
              <w:t>Final Report</w:t>
            </w:r>
          </w:p>
        </w:tc>
        <w:tc>
          <w:tcPr>
            <w:tcW w:w="1407" w:type="dxa"/>
            <w:shd w:val="clear" w:color="auto" w:fill="auto"/>
            <w:vAlign w:val="center"/>
          </w:tcPr>
          <w:p w:rsidR="00476CE3" w:rsidRPr="0093699A" w:rsidP="00961C50" w14:paraId="5835CBE9" w14:textId="1A5D5EF5">
            <w:pPr>
              <w:keepNext/>
              <w:keepLines/>
            </w:pPr>
            <w:r w:rsidRPr="0093699A">
              <w:t>15</w:t>
            </w:r>
          </w:p>
        </w:tc>
        <w:tc>
          <w:tcPr>
            <w:tcW w:w="1621" w:type="dxa"/>
            <w:shd w:val="clear" w:color="auto" w:fill="auto"/>
            <w:vAlign w:val="center"/>
          </w:tcPr>
          <w:p w:rsidR="00476CE3" w:rsidRPr="0093699A" w:rsidP="00961C50" w14:paraId="22DC8536" w14:textId="3FF054CC">
            <w:pPr>
              <w:keepNext/>
              <w:keepLines/>
            </w:pPr>
            <w:r w:rsidRPr="0093699A">
              <w:t>$1,44</w:t>
            </w:r>
            <w:r w:rsidRPr="0093699A" w:rsidR="0093699A">
              <w:t>4.95</w:t>
            </w:r>
            <w:r w:rsidRPr="0093699A">
              <w:br/>
            </w:r>
            <w:r w:rsidRPr="0093699A">
              <w:rPr>
                <w:sz w:val="18"/>
                <w:szCs w:val="18"/>
              </w:rPr>
              <w:t>(hourly = $9</w:t>
            </w:r>
            <w:r w:rsidRPr="0093699A" w:rsidR="009042A9">
              <w:rPr>
                <w:sz w:val="18"/>
                <w:szCs w:val="18"/>
              </w:rPr>
              <w:t>6.33</w:t>
            </w:r>
            <w:r w:rsidRPr="0093699A">
              <w:rPr>
                <w:sz w:val="18"/>
                <w:szCs w:val="18"/>
              </w:rPr>
              <w:t>)</w:t>
            </w:r>
          </w:p>
        </w:tc>
        <w:tc>
          <w:tcPr>
            <w:tcW w:w="1415" w:type="dxa"/>
            <w:vAlign w:val="center"/>
          </w:tcPr>
          <w:p w:rsidR="00476CE3" w:rsidRPr="003C1F2A" w:rsidP="00961C50" w14:paraId="00EF1AC0" w14:textId="5CAB4D9C">
            <w:pPr>
              <w:keepNext/>
              <w:keepLines/>
              <w:rPr>
                <w:highlight w:val="yellow"/>
              </w:rPr>
            </w:pPr>
            <w:r w:rsidRPr="00121F5A">
              <w:t>217</w:t>
            </w:r>
            <w:r w:rsidRPr="00121F5A">
              <w:br/>
            </w:r>
            <w:r w:rsidRPr="00121F5A">
              <w:rPr>
                <w:sz w:val="18"/>
                <w:szCs w:val="18"/>
              </w:rPr>
              <w:t xml:space="preserve">(1 report x </w:t>
            </w:r>
            <w:r w:rsidRPr="00121F5A">
              <w:rPr>
                <w:sz w:val="18"/>
                <w:szCs w:val="18"/>
              </w:rPr>
              <w:t xml:space="preserve">217 </w:t>
            </w:r>
            <w:r w:rsidRPr="00121F5A" w:rsidR="00C40A16">
              <w:rPr>
                <w:sz w:val="18"/>
                <w:szCs w:val="18"/>
              </w:rPr>
              <w:t>Grantees</w:t>
            </w:r>
            <w:r w:rsidRPr="00121F5A">
              <w:rPr>
                <w:sz w:val="18"/>
                <w:szCs w:val="18"/>
              </w:rPr>
              <w:t>)</w:t>
            </w:r>
          </w:p>
        </w:tc>
        <w:tc>
          <w:tcPr>
            <w:tcW w:w="1469" w:type="dxa"/>
            <w:shd w:val="clear" w:color="auto" w:fill="auto"/>
            <w:vAlign w:val="center"/>
          </w:tcPr>
          <w:p w:rsidR="00476CE3" w:rsidRPr="00121F5A" w:rsidP="00961C50" w14:paraId="6FE1D8B7" w14:textId="5D89F1CF">
            <w:pPr>
              <w:keepNext/>
              <w:keepLines/>
            </w:pPr>
            <w:r w:rsidRPr="00121F5A">
              <w:rPr>
                <w:rFonts w:ascii="Calibri" w:hAnsi="Calibri" w:cs="Calibri"/>
                <w:color w:val="000000"/>
              </w:rPr>
              <w:t>3,255</w:t>
            </w:r>
          </w:p>
        </w:tc>
        <w:tc>
          <w:tcPr>
            <w:tcW w:w="1501" w:type="dxa"/>
            <w:shd w:val="clear" w:color="auto" w:fill="auto"/>
            <w:vAlign w:val="center"/>
          </w:tcPr>
          <w:p w:rsidR="00476CE3" w:rsidRPr="00121F5A" w:rsidP="00961C50" w14:paraId="4643E1B0" w14:textId="72058784">
            <w:pPr>
              <w:keepNext/>
              <w:keepLines/>
            </w:pPr>
            <w:r w:rsidRPr="00121F5A">
              <w:rPr>
                <w:rFonts w:ascii="Calibri" w:hAnsi="Calibri" w:cs="Calibri"/>
                <w:color w:val="000000"/>
              </w:rPr>
              <w:t>$</w:t>
            </w:r>
            <w:r w:rsidRPr="00121F5A" w:rsidR="00121F5A">
              <w:rPr>
                <w:rFonts w:ascii="Calibri" w:hAnsi="Calibri" w:cs="Calibri"/>
                <w:color w:val="000000"/>
              </w:rPr>
              <w:t>313,554.15</w:t>
            </w:r>
            <w:r w:rsidRPr="00121F5A" w:rsidR="00766E2D">
              <w:rPr>
                <w:rFonts w:ascii="Calibri" w:hAnsi="Calibri" w:cs="Calibri"/>
                <w:color w:val="000000"/>
              </w:rPr>
              <w:t xml:space="preserve"> </w:t>
            </w:r>
          </w:p>
        </w:tc>
      </w:tr>
      <w:tr w14:paraId="4A425216" w14:textId="77777777" w:rsidTr="00F63881">
        <w:tblPrEx>
          <w:tblW w:w="0" w:type="auto"/>
          <w:tblInd w:w="355" w:type="dxa"/>
          <w:tblLayout w:type="fixed"/>
          <w:tblLook w:val="04A0"/>
        </w:tblPrEx>
        <w:trPr>
          <w:trHeight w:val="521"/>
        </w:trPr>
        <w:tc>
          <w:tcPr>
            <w:tcW w:w="5850" w:type="dxa"/>
            <w:gridSpan w:val="4"/>
            <w:shd w:val="clear" w:color="auto" w:fill="F2F2F2" w:themeFill="background1" w:themeFillShade="F2"/>
            <w:vAlign w:val="center"/>
          </w:tcPr>
          <w:p w:rsidR="00476CE3" w:rsidRPr="00121F5A" w:rsidP="00961C50" w14:paraId="71408DDC" w14:textId="77777777">
            <w:pPr>
              <w:keepNext/>
              <w:keepLines/>
              <w:rPr>
                <w:b/>
                <w:bCs/>
              </w:rPr>
            </w:pPr>
            <w:r w:rsidRPr="00121F5A">
              <w:rPr>
                <w:b/>
                <w:bCs/>
              </w:rPr>
              <w:t>6. TOTALS for all three years</w:t>
            </w:r>
            <w:r w:rsidRPr="00121F5A">
              <w:rPr>
                <w:rFonts w:cs="Times New Roman (Body CS)"/>
                <w:b/>
                <w:bCs/>
                <w:vertAlign w:val="superscript"/>
              </w:rPr>
              <w:t>6</w:t>
            </w:r>
          </w:p>
        </w:tc>
        <w:tc>
          <w:tcPr>
            <w:tcW w:w="1469" w:type="dxa"/>
            <w:shd w:val="clear" w:color="auto" w:fill="F2F2F2" w:themeFill="background1" w:themeFillShade="F2"/>
            <w:vAlign w:val="center"/>
          </w:tcPr>
          <w:p w:rsidR="00476CE3" w:rsidRPr="00121F5A" w:rsidP="00961C50" w14:paraId="548F2C2E" w14:textId="646B974A">
            <w:pPr>
              <w:keepNext/>
              <w:keepLines/>
              <w:rPr>
                <w:b/>
                <w:bCs/>
              </w:rPr>
            </w:pPr>
            <w:r w:rsidRPr="00121F5A">
              <w:rPr>
                <w:rFonts w:ascii="Calibri" w:hAnsi="Calibri" w:cs="Calibri"/>
                <w:b/>
                <w:bCs/>
                <w:color w:val="000000"/>
              </w:rPr>
              <w:t>8,680</w:t>
            </w:r>
            <w:r w:rsidRPr="00121F5A">
              <w:rPr>
                <w:rFonts w:ascii="Calibri" w:hAnsi="Calibri" w:cs="Calibri"/>
                <w:b/>
                <w:bCs/>
                <w:color w:val="000000"/>
              </w:rPr>
              <w:t xml:space="preserve"> hours</w:t>
            </w:r>
          </w:p>
        </w:tc>
        <w:tc>
          <w:tcPr>
            <w:tcW w:w="1501" w:type="dxa"/>
            <w:shd w:val="clear" w:color="auto" w:fill="F2F2F2" w:themeFill="background1" w:themeFillShade="F2"/>
            <w:vAlign w:val="center"/>
          </w:tcPr>
          <w:p w:rsidR="00476CE3" w:rsidRPr="00121F5A" w:rsidP="00961C50" w14:paraId="139EB2E9" w14:textId="153F4B13">
            <w:pPr>
              <w:keepNext/>
              <w:keepLines/>
              <w:rPr>
                <w:b/>
                <w:bCs/>
              </w:rPr>
            </w:pPr>
            <w:r w:rsidRPr="00121F5A">
              <w:rPr>
                <w:rFonts w:ascii="Calibri" w:hAnsi="Calibri" w:cs="Calibri"/>
                <w:b/>
                <w:bCs/>
                <w:color w:val="000000"/>
              </w:rPr>
              <w:t>$</w:t>
            </w:r>
            <w:r w:rsidRPr="00121F5A" w:rsidR="00121F5A">
              <w:rPr>
                <w:rFonts w:ascii="Calibri" w:hAnsi="Calibri" w:cs="Calibri"/>
                <w:b/>
                <w:bCs/>
                <w:color w:val="000000"/>
              </w:rPr>
              <w:t>836,144</w:t>
            </w:r>
          </w:p>
        </w:tc>
      </w:tr>
      <w:tr w14:paraId="58658D15" w14:textId="77777777" w:rsidTr="00F63881">
        <w:tblPrEx>
          <w:tblW w:w="0" w:type="auto"/>
          <w:tblInd w:w="355" w:type="dxa"/>
          <w:tblLayout w:type="fixed"/>
          <w:tblLook w:val="04A0"/>
        </w:tblPrEx>
        <w:trPr>
          <w:trHeight w:val="521"/>
        </w:trPr>
        <w:tc>
          <w:tcPr>
            <w:tcW w:w="5850" w:type="dxa"/>
            <w:gridSpan w:val="4"/>
            <w:shd w:val="clear" w:color="auto" w:fill="D9D9D9" w:themeFill="background1" w:themeFillShade="D9"/>
            <w:vAlign w:val="center"/>
          </w:tcPr>
          <w:p w:rsidR="00476CE3" w:rsidRPr="00121F5A" w:rsidP="00961C50" w14:paraId="6D53EDBB" w14:textId="07B82C9E">
            <w:pPr>
              <w:keepNext/>
              <w:keepLines/>
              <w:rPr>
                <w:b/>
                <w:bCs/>
              </w:rPr>
            </w:pPr>
            <w:r w:rsidRPr="00121F5A">
              <w:rPr>
                <w:b/>
                <w:bCs/>
              </w:rPr>
              <w:t>7. ANNUAL TOTALS per year</w:t>
            </w:r>
            <w:r w:rsidRPr="00121F5A">
              <w:rPr>
                <w:rFonts w:cs="Times New Roman (Body CS)"/>
                <w:b/>
                <w:bCs/>
                <w:vertAlign w:val="superscript"/>
              </w:rPr>
              <w:t>7</w:t>
            </w:r>
          </w:p>
        </w:tc>
        <w:tc>
          <w:tcPr>
            <w:tcW w:w="1469" w:type="dxa"/>
            <w:shd w:val="clear" w:color="auto" w:fill="D9D9D9" w:themeFill="background1" w:themeFillShade="D9"/>
            <w:vAlign w:val="center"/>
          </w:tcPr>
          <w:p w:rsidR="00476CE3" w:rsidRPr="00121F5A" w:rsidP="00961C50" w14:paraId="47D413AC" w14:textId="71163DA9">
            <w:pPr>
              <w:keepNext/>
              <w:keepLines/>
              <w:rPr>
                <w:b/>
                <w:bCs/>
              </w:rPr>
            </w:pPr>
            <w:r w:rsidRPr="00121F5A">
              <w:rPr>
                <w:rFonts w:ascii="Calibri" w:hAnsi="Calibri" w:cs="Calibri"/>
                <w:b/>
                <w:bCs/>
                <w:color w:val="000000"/>
              </w:rPr>
              <w:t>2,893</w:t>
            </w:r>
            <w:r w:rsidRPr="00121F5A">
              <w:rPr>
                <w:rFonts w:ascii="Calibri" w:hAnsi="Calibri" w:cs="Calibri"/>
                <w:b/>
                <w:bCs/>
                <w:color w:val="000000"/>
              </w:rPr>
              <w:t xml:space="preserve"> hours</w:t>
            </w:r>
          </w:p>
        </w:tc>
        <w:tc>
          <w:tcPr>
            <w:tcW w:w="1501" w:type="dxa"/>
            <w:shd w:val="clear" w:color="auto" w:fill="D9D9D9" w:themeFill="background1" w:themeFillShade="D9"/>
            <w:vAlign w:val="center"/>
          </w:tcPr>
          <w:p w:rsidR="00476CE3" w:rsidRPr="00121F5A" w:rsidP="00961C50" w14:paraId="2E03872D" w14:textId="21945E95">
            <w:pPr>
              <w:keepNext/>
              <w:keepLines/>
              <w:rPr>
                <w:b/>
                <w:bCs/>
              </w:rPr>
            </w:pPr>
            <w:r w:rsidRPr="00121F5A">
              <w:rPr>
                <w:rFonts w:ascii="Calibri" w:hAnsi="Calibri" w:cs="Calibri"/>
                <w:b/>
                <w:bCs/>
                <w:color w:val="000000"/>
              </w:rPr>
              <w:t>$</w:t>
            </w:r>
            <w:r w:rsidRPr="00121F5A" w:rsidR="00121F5A">
              <w:rPr>
                <w:rFonts w:ascii="Calibri" w:hAnsi="Calibri" w:cs="Calibri"/>
                <w:b/>
                <w:bCs/>
                <w:color w:val="000000"/>
              </w:rPr>
              <w:t>278,715</w:t>
            </w:r>
          </w:p>
        </w:tc>
      </w:tr>
      <w:bookmarkEnd w:id="23"/>
    </w:tbl>
    <w:p w:rsidR="00E32416" w:rsidP="00961C50" w14:paraId="7E7D0FD1" w14:textId="77777777">
      <w:pPr>
        <w:ind w:left="270"/>
        <w:rPr>
          <w:u w:val="single"/>
        </w:rPr>
      </w:pPr>
    </w:p>
    <w:p w:rsidR="00B07068" w:rsidRPr="000F0041" w:rsidP="00961C50" w14:paraId="64C817D0" w14:textId="1E971630">
      <w:pPr>
        <w:ind w:left="270"/>
      </w:pPr>
      <w:r w:rsidRPr="000F0041">
        <w:t>Notes</w:t>
      </w:r>
      <w:r w:rsidR="000F0041">
        <w:t>:</w:t>
      </w:r>
    </w:p>
    <w:p w:rsidR="00912D01" w:rsidRPr="00BD0079" w:rsidP="00961C50" w14:paraId="5D42A408" w14:textId="5A73DC14">
      <w:pPr>
        <w:pStyle w:val="ListParagraph"/>
        <w:numPr>
          <w:ilvl w:val="0"/>
          <w:numId w:val="30"/>
        </w:numPr>
        <w:spacing w:after="0" w:line="240" w:lineRule="auto"/>
      </w:pPr>
      <w:r w:rsidRPr="00BD0079">
        <w:rPr>
          <w:b/>
          <w:bCs/>
        </w:rPr>
        <w:t>Column 1 =</w:t>
      </w:r>
      <w:r w:rsidRPr="00BD0079">
        <w:t xml:space="preserve"> Number of burden hours spent on each response across all staff roles at relevant levels of seniority. For full calculations, </w:t>
      </w:r>
      <w:r w:rsidR="00F76675">
        <w:t xml:space="preserve">please </w:t>
      </w:r>
      <w:r w:rsidRPr="00BD0079">
        <w:t xml:space="preserve">see </w:t>
      </w:r>
      <w:r w:rsidRPr="00BD0079">
        <w:rPr>
          <w:b/>
          <w:bCs/>
        </w:rPr>
        <w:t xml:space="preserve">Table </w:t>
      </w:r>
      <w:r w:rsidR="00B62A55">
        <w:rPr>
          <w:b/>
          <w:bCs/>
        </w:rPr>
        <w:t>14</w:t>
      </w:r>
      <w:r w:rsidRPr="00BD0079">
        <w:rPr>
          <w:b/>
          <w:bCs/>
        </w:rPr>
        <w:t>.1 in</w:t>
      </w:r>
      <w:r w:rsidR="00567755">
        <w:rPr>
          <w:b/>
          <w:bCs/>
        </w:rPr>
        <w:t xml:space="preserve"> </w:t>
      </w:r>
      <w:r w:rsidRPr="00BD0079">
        <w:rPr>
          <w:b/>
          <w:bCs/>
        </w:rPr>
        <w:t>Appendix</w:t>
      </w:r>
      <w:r w:rsidR="004D042A">
        <w:rPr>
          <w:b/>
          <w:bCs/>
        </w:rPr>
        <w:t xml:space="preserve"> 2</w:t>
      </w:r>
      <w:r w:rsidRPr="00BD0079">
        <w:rPr>
          <w:b/>
          <w:bCs/>
        </w:rPr>
        <w:t>.</w:t>
      </w:r>
    </w:p>
    <w:p w:rsidR="00912D01" w:rsidRPr="002B33E0" w:rsidP="00961C50" w14:paraId="0EDA06C6" w14:textId="2500AD25">
      <w:pPr>
        <w:pStyle w:val="ListParagraph"/>
        <w:numPr>
          <w:ilvl w:val="0"/>
          <w:numId w:val="30"/>
        </w:numPr>
        <w:spacing w:after="0" w:line="240" w:lineRule="auto"/>
      </w:pPr>
      <w:r w:rsidRPr="002B33E0">
        <w:rPr>
          <w:b/>
          <w:bCs/>
        </w:rPr>
        <w:t>Column 2 =</w:t>
      </w:r>
      <w:r w:rsidRPr="002B33E0">
        <w:t xml:space="preserve"> </w:t>
      </w:r>
      <w:r w:rsidR="00CF5E32">
        <w:t>Weighted loaded</w:t>
      </w:r>
      <w:r w:rsidRPr="002B33E0">
        <w:t xml:space="preserve"> labor cost for each response based upon percentage of staff labor at different levels of seniority. For full calculations</w:t>
      </w:r>
      <w:r w:rsidRPr="002B33E0" w:rsidR="00654C61">
        <w:t xml:space="preserve"> and reference sources for wage rates</w:t>
      </w:r>
      <w:r w:rsidRPr="002B33E0">
        <w:t>,</w:t>
      </w:r>
      <w:r w:rsidRPr="002B33E0" w:rsidR="00F76675">
        <w:t xml:space="preserve"> please</w:t>
      </w:r>
      <w:r w:rsidRPr="002B33E0">
        <w:t xml:space="preserve"> see </w:t>
      </w:r>
      <w:r w:rsidRPr="002B33E0">
        <w:rPr>
          <w:b/>
          <w:bCs/>
        </w:rPr>
        <w:t xml:space="preserve">Tables </w:t>
      </w:r>
      <w:r w:rsidRPr="002B33E0" w:rsidR="00B62A55">
        <w:rPr>
          <w:b/>
          <w:bCs/>
        </w:rPr>
        <w:t>14</w:t>
      </w:r>
      <w:r w:rsidRPr="002B33E0">
        <w:rPr>
          <w:b/>
          <w:bCs/>
        </w:rPr>
        <w:t xml:space="preserve">.2 and </w:t>
      </w:r>
      <w:r w:rsidRPr="002B33E0" w:rsidR="00B62A55">
        <w:rPr>
          <w:b/>
          <w:bCs/>
        </w:rPr>
        <w:t>14</w:t>
      </w:r>
      <w:r w:rsidRPr="002B33E0">
        <w:rPr>
          <w:b/>
          <w:bCs/>
        </w:rPr>
        <w:t>.3 in Appendix</w:t>
      </w:r>
      <w:r w:rsidRPr="002B33E0" w:rsidR="004D042A">
        <w:rPr>
          <w:b/>
          <w:bCs/>
        </w:rPr>
        <w:t xml:space="preserve"> 2</w:t>
      </w:r>
      <w:r w:rsidRPr="002B33E0">
        <w:rPr>
          <w:b/>
          <w:bCs/>
        </w:rPr>
        <w:t>.</w:t>
      </w:r>
    </w:p>
    <w:p w:rsidR="00B07068" w:rsidRPr="00BD0079" w:rsidP="00961C50" w14:paraId="04142F0C" w14:textId="49EDF95C">
      <w:pPr>
        <w:pStyle w:val="ListParagraph"/>
        <w:numPr>
          <w:ilvl w:val="0"/>
          <w:numId w:val="30"/>
        </w:numPr>
        <w:spacing w:after="0" w:line="240" w:lineRule="auto"/>
      </w:pPr>
      <w:r w:rsidRPr="00AA7466">
        <w:rPr>
          <w:b/>
          <w:bCs/>
        </w:rPr>
        <w:t>Column 3 =</w:t>
      </w:r>
      <w:r w:rsidRPr="00BD0079">
        <w:t xml:space="preserve"> Expected number of responses for the three years, based on reporting framework outlined in each </w:t>
      </w:r>
      <w:r w:rsidR="00031B82">
        <w:t>Grantee’s</w:t>
      </w:r>
      <w:r w:rsidRPr="00BD0079" w:rsidR="00031B82">
        <w:t xml:space="preserve"> </w:t>
      </w:r>
      <w:r w:rsidRPr="00BD0079">
        <w:t>signed Terms and Conditions.</w:t>
      </w:r>
    </w:p>
    <w:p w:rsidR="00B07068" w:rsidRPr="00BD0079" w:rsidP="00961C50" w14:paraId="155D8A5F" w14:textId="77777777">
      <w:pPr>
        <w:pStyle w:val="ListParagraph"/>
        <w:numPr>
          <w:ilvl w:val="0"/>
          <w:numId w:val="30"/>
        </w:numPr>
        <w:spacing w:after="0" w:line="240" w:lineRule="auto"/>
      </w:pPr>
      <w:r w:rsidRPr="00BD0079">
        <w:rPr>
          <w:b/>
          <w:bCs/>
        </w:rPr>
        <w:t>Column 4 =</w:t>
      </w:r>
      <w:r w:rsidRPr="00BD0079">
        <w:t xml:space="preserve"> Total burden hours, calculated by multiplying the burden hours per response (Column 1) by the number of responses (Column 3).</w:t>
      </w:r>
    </w:p>
    <w:p w:rsidR="00B07068" w:rsidRPr="00BD0079" w:rsidP="00961C50" w14:paraId="40921C07" w14:textId="36E2BE29">
      <w:pPr>
        <w:pStyle w:val="ListParagraph"/>
        <w:numPr>
          <w:ilvl w:val="0"/>
          <w:numId w:val="30"/>
        </w:numPr>
        <w:spacing w:after="0" w:line="240" w:lineRule="auto"/>
      </w:pPr>
      <w:r w:rsidRPr="00BD0079">
        <w:rPr>
          <w:b/>
          <w:bCs/>
        </w:rPr>
        <w:t>Column 5 =</w:t>
      </w:r>
      <w:r w:rsidRPr="00BD0079">
        <w:t xml:space="preserve"> Total labor cost, calculated by multiplying the </w:t>
      </w:r>
      <w:r w:rsidR="00810DBC">
        <w:t xml:space="preserve">loaded </w:t>
      </w:r>
      <w:r w:rsidRPr="00BD0079">
        <w:t>weighted labor cost per response (Column 2) by the number of responses (Column 3).</w:t>
      </w:r>
    </w:p>
    <w:p w:rsidR="00B07068" w:rsidRPr="00BD0079" w:rsidP="00961C50" w14:paraId="404A1741" w14:textId="77777777">
      <w:pPr>
        <w:pStyle w:val="ListParagraph"/>
        <w:numPr>
          <w:ilvl w:val="0"/>
          <w:numId w:val="30"/>
        </w:numPr>
        <w:spacing w:after="0" w:line="240" w:lineRule="auto"/>
      </w:pPr>
      <w:r w:rsidRPr="00BD0079">
        <w:rPr>
          <w:b/>
          <w:bCs/>
        </w:rPr>
        <w:t xml:space="preserve">Row 6 = Totals for all three years = </w:t>
      </w:r>
      <w:r w:rsidRPr="00BD0079">
        <w:t>Sum of total hours and costs, for all instruments.</w:t>
      </w:r>
    </w:p>
    <w:p w:rsidR="00CE597C" w:rsidRPr="00AE534A" w:rsidP="00AE534A" w14:paraId="0E5CC589" w14:textId="17C31015">
      <w:pPr>
        <w:pStyle w:val="ListParagraph"/>
        <w:numPr>
          <w:ilvl w:val="0"/>
          <w:numId w:val="30"/>
        </w:numPr>
        <w:spacing w:after="0" w:line="240" w:lineRule="auto"/>
        <w:rPr>
          <w:rFonts w:cstheme="minorHAnsi"/>
          <w:color w:val="000000"/>
        </w:rPr>
      </w:pPr>
      <w:r w:rsidRPr="00BD0079">
        <w:rPr>
          <w:b/>
          <w:bCs/>
        </w:rPr>
        <w:t xml:space="preserve">Row 7 = Annualized totals per year = </w:t>
      </w:r>
      <w:r w:rsidRPr="00BD0079">
        <w:t>Average number of hours and costs per year, for all instruments.</w:t>
      </w:r>
    </w:p>
    <w:p w:rsidR="00D3686A" w:rsidRPr="00D3686A" w:rsidP="00961C50" w14:paraId="1CD646FE" w14:textId="5142E51F">
      <w:pPr>
        <w:spacing w:before="120" w:after="0"/>
        <w:rPr>
          <w:rFonts w:eastAsiaTheme="majorEastAsia" w:cstheme="minorHAnsi"/>
          <w:b/>
          <w:bCs/>
        </w:rPr>
      </w:pPr>
      <w:r w:rsidRPr="00163C69">
        <w:rPr>
          <w:rFonts w:eastAsiaTheme="majorEastAsia" w:cstheme="minorHAnsi"/>
          <w:b/>
          <w:bCs/>
        </w:rPr>
        <w:t xml:space="preserve">14c. </w:t>
      </w:r>
      <w:r w:rsidRPr="00163C69" w:rsidR="00D17BB9">
        <w:rPr>
          <w:rFonts w:eastAsiaTheme="majorEastAsia" w:cstheme="minorHAnsi"/>
          <w:b/>
          <w:bCs/>
        </w:rPr>
        <w:t>Agency Non-Labor Costs</w:t>
      </w:r>
    </w:p>
    <w:p w:rsidR="00860B8A" w:rsidRPr="00AE534A" w:rsidP="00AE534A" w14:paraId="3604FEA1" w14:textId="13470CE2">
      <w:r w:rsidRPr="00DB66D7">
        <w:t>There are no expected operational costs unique to this information collection, as EPA Project Officers are reviewing the collected information as part of their work in supporting the grantees.</w:t>
      </w:r>
    </w:p>
    <w:p w:rsidR="004620CA" w:rsidRPr="00163C69" w:rsidP="00961C50" w14:paraId="3144CC9D" w14:textId="7FA006D7">
      <w:pPr>
        <w:pStyle w:val="Heading1"/>
      </w:pPr>
      <w:r>
        <w:t xml:space="preserve">15. </w:t>
      </w:r>
      <w:r w:rsidRPr="4BDBF0A0" w:rsidR="5EB44CFC">
        <w:t xml:space="preserve">REASONS FOR </w:t>
      </w:r>
      <w:r w:rsidRPr="4BDBF0A0" w:rsidR="00AD46F7">
        <w:t>CHANGE IN BURDEN</w:t>
      </w:r>
      <w:bookmarkEnd w:id="22"/>
    </w:p>
    <w:p w:rsidR="001F0834" w:rsidRPr="001F0834" w:rsidP="00961C50"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60B8A" w:rsidP="00961C50" w14:paraId="0FDC2AC7" w14:textId="7919166C">
      <w:pPr>
        <w:numPr>
          <w:ilvl w:val="12"/>
          <w:numId w:val="0"/>
        </w:numPr>
        <w:spacing w:after="0"/>
        <w:contextualSpacing/>
        <w:rPr>
          <w:rFonts w:cstheme="minorHAnsi"/>
          <w:color w:val="FF0000"/>
        </w:rPr>
      </w:pPr>
      <w:r w:rsidRPr="00C02852">
        <w:rPr>
          <w:rFonts w:cstheme="minorHAnsi"/>
          <w:bCs/>
        </w:rPr>
        <w:t>Not applicable: This is a new collection, and so does not involve any program changes or burden adjustments.</w:t>
      </w:r>
    </w:p>
    <w:p w:rsidR="00C02852" w:rsidRPr="00BB3410" w:rsidP="00961C50" w14:paraId="2F19BB08" w14:textId="77777777">
      <w:pPr>
        <w:pBdr>
          <w:top w:val="single" w:sz="6" w:space="0" w:color="FFFFFF"/>
          <w:left w:val="single" w:sz="6" w:space="0" w:color="FFFFFF"/>
          <w:bottom w:val="single" w:sz="6" w:space="0" w:color="FFFFFF"/>
          <w:right w:val="single" w:sz="6" w:space="0" w:color="FFFFFF"/>
        </w:pBdr>
        <w:spacing w:after="0"/>
        <w:rPr>
          <w:rFonts w:cstheme="minorHAnsi"/>
          <w:color w:val="FF0000"/>
        </w:rPr>
      </w:pPr>
    </w:p>
    <w:p w:rsidR="005D140B" w:rsidRPr="00163C69" w:rsidP="00961C50" w14:paraId="3604F417" w14:textId="37AFA8A6">
      <w:pPr>
        <w:pStyle w:val="Heading1"/>
      </w:pPr>
      <w:r>
        <w:t xml:space="preserve">16. </w:t>
      </w:r>
      <w:bookmarkStart w:id="24" w:name="_Toc156593389"/>
      <w:r w:rsidRPr="4BDBF0A0" w:rsidR="00AD46F7">
        <w:t xml:space="preserve">PUBLICATION OF </w:t>
      </w:r>
      <w:bookmarkStart w:id="25" w:name="_Toc156593390"/>
      <w:bookmarkEnd w:id="24"/>
      <w:r w:rsidR="00E73E81">
        <w:t>DATA</w:t>
      </w:r>
    </w:p>
    <w:p w:rsidR="001F0834" w:rsidRPr="001F0834" w:rsidP="00961C50"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10CE" w:rsidP="00961C50" w14:paraId="2C40DD44" w14:textId="77777777">
      <w:pPr>
        <w:numPr>
          <w:ilvl w:val="12"/>
          <w:numId w:val="0"/>
        </w:numPr>
        <w:spacing w:after="0"/>
        <w:contextualSpacing/>
        <w:rPr>
          <w:rFonts w:cstheme="minorHAnsi"/>
          <w:bCs/>
          <w:u w:val="single"/>
        </w:rPr>
      </w:pPr>
    </w:p>
    <w:p w:rsidR="006610CE" w:rsidRPr="00676898" w:rsidP="00961C50" w14:paraId="781F0C28" w14:textId="1F94D876">
      <w:pPr>
        <w:numPr>
          <w:ilvl w:val="12"/>
          <w:numId w:val="0"/>
        </w:numPr>
        <w:spacing w:after="0"/>
        <w:contextualSpacing/>
        <w:rPr>
          <w:rFonts w:cstheme="minorHAnsi"/>
          <w:b/>
        </w:rPr>
      </w:pPr>
      <w:r w:rsidRPr="00676898">
        <w:rPr>
          <w:rFonts w:cstheme="minorHAnsi"/>
          <w:b/>
        </w:rPr>
        <w:t xml:space="preserve">Use and Publication of Information </w:t>
      </w:r>
    </w:p>
    <w:p w:rsidR="006610CE" w:rsidRPr="00BD0079" w:rsidP="00961C50" w14:paraId="5A22471A" w14:textId="77777777">
      <w:pPr>
        <w:spacing w:after="0"/>
        <w:contextualSpacing/>
        <w:rPr>
          <w:rFonts w:cstheme="minorHAnsi"/>
        </w:rPr>
      </w:pPr>
    </w:p>
    <w:p w:rsidR="0049471C" w:rsidP="00961C50" w14:paraId="78C6A5BD" w14:textId="77777777">
      <w:pPr>
        <w:spacing w:after="0"/>
        <w:contextualSpacing/>
        <w:rPr>
          <w:rFonts w:cstheme="minorHAnsi"/>
        </w:rPr>
      </w:pPr>
      <w:bookmarkStart w:id="26" w:name="_Hlk156226923"/>
      <w:r>
        <w:rPr>
          <w:rFonts w:cstheme="minorHAnsi"/>
        </w:rPr>
        <w:t>This ICR seeks authorization for the collection of information to support performance measurement. The administrative data collected under this ICR may be used as part of other analytical studies as appropriate.</w:t>
      </w:r>
      <w:r>
        <w:rPr>
          <w:rFonts w:cstheme="minorHAnsi"/>
        </w:rPr>
        <w:t xml:space="preserve"> EPA will submit additional ICR packages to seek authorization for program evaluation studies that involve additional collections of information beyond those outlined in this ICR.</w:t>
      </w:r>
    </w:p>
    <w:bookmarkEnd w:id="26"/>
    <w:p w:rsidR="006610CE" w:rsidP="00961C50" w14:paraId="7A0116FF" w14:textId="77777777">
      <w:pPr>
        <w:spacing w:after="0"/>
        <w:contextualSpacing/>
        <w:rPr>
          <w:rFonts w:cstheme="minorHAnsi"/>
        </w:rPr>
      </w:pPr>
    </w:p>
    <w:p w:rsidR="006610CE" w:rsidP="00961C50" w14:paraId="1911EBC9" w14:textId="4F754E99">
      <w:pPr>
        <w:keepNext/>
        <w:widowControl w:val="0"/>
        <w:spacing w:after="0"/>
        <w:contextualSpacing/>
        <w:rPr>
          <w:rFonts w:cstheme="minorHAnsi"/>
        </w:rPr>
      </w:pPr>
      <w:r w:rsidRPr="00BD0079">
        <w:rPr>
          <w:rFonts w:cstheme="minorHAnsi"/>
        </w:rPr>
        <w:t>Information collected under this ICR will be used to support Program and Agency activities in two ways.</w:t>
      </w:r>
    </w:p>
    <w:p w:rsidR="009F0ECB" w:rsidRPr="00BD0079" w:rsidP="00961C50" w14:paraId="2B6B1161" w14:textId="77777777">
      <w:pPr>
        <w:keepNext/>
        <w:widowControl w:val="0"/>
        <w:spacing w:after="0"/>
        <w:contextualSpacing/>
        <w:rPr>
          <w:rFonts w:cstheme="minorHAnsi"/>
        </w:rPr>
      </w:pPr>
    </w:p>
    <w:p w:rsidR="006610CE" w:rsidRPr="00676898" w:rsidP="00961C50" w14:paraId="5F8F42CD" w14:textId="77777777">
      <w:pPr>
        <w:pStyle w:val="ListParagraph"/>
        <w:keepNext/>
        <w:widowControl w:val="0"/>
        <w:numPr>
          <w:ilvl w:val="1"/>
          <w:numId w:val="20"/>
        </w:numPr>
        <w:tabs>
          <w:tab w:val="num" w:pos="4680"/>
          <w:tab w:val="clear" w:pos="5040"/>
        </w:tabs>
        <w:spacing w:after="0" w:line="240" w:lineRule="auto"/>
        <w:ind w:left="720"/>
        <w:rPr>
          <w:rFonts w:cstheme="minorHAnsi"/>
          <w:i/>
          <w:iCs/>
        </w:rPr>
      </w:pPr>
      <w:r w:rsidRPr="00676898">
        <w:rPr>
          <w:rFonts w:cstheme="minorHAnsi"/>
          <w:i/>
          <w:iCs/>
        </w:rPr>
        <w:t>Internal Decision-Making: Continuous Improvement and Evidence Building </w:t>
      </w:r>
    </w:p>
    <w:p w:rsidR="006610CE" w:rsidP="00961C50" w14:paraId="1602A8F0" w14:textId="77777777">
      <w:pPr>
        <w:spacing w:after="0"/>
        <w:contextualSpacing/>
        <w:rPr>
          <w:rFonts w:cstheme="minorHAnsi"/>
        </w:rPr>
      </w:pPr>
    </w:p>
    <w:p w:rsidR="006610CE" w:rsidRPr="00BD0079" w:rsidP="00961C50" w14:paraId="7F17B954" w14:textId="77777777">
      <w:pPr>
        <w:spacing w:after="0"/>
        <w:ind w:left="720"/>
        <w:contextualSpacing/>
        <w:rPr>
          <w:rFonts w:cstheme="minorHAnsi"/>
        </w:rPr>
      </w:pPr>
      <w:r w:rsidRPr="00BD0079">
        <w:rPr>
          <w:rFonts w:cstheme="minorHAnsi"/>
        </w:rPr>
        <w:t xml:space="preserve">EPA can use the collected information about project outputs and outcomes to track progress against program objectives. Results will help EPA identify success stories as well as areas for improvement, which will inform internal discussions to develop evidence-based recommendations for best practices and improvement strategies within the program. In line with the </w:t>
      </w:r>
      <w:hyperlink r:id="rId24">
        <w:r w:rsidRPr="00BD0079">
          <w:rPr>
            <w:rStyle w:val="Hyperlink"/>
            <w:rFonts w:cstheme="minorHAnsi"/>
          </w:rPr>
          <w:t>2018 Evidence Act</w:t>
        </w:r>
      </w:hyperlink>
      <w:r w:rsidRPr="00BD0079">
        <w:rPr>
          <w:rFonts w:cstheme="minorHAnsi"/>
        </w:rPr>
        <w:t>, this evidence base will be used to inform and improve day-to-day operations and decision-making. The Agency’s Office of the Chief Financial Officer provides resources and support to develop staff capacity to use information and data in this way.  </w:t>
      </w:r>
    </w:p>
    <w:p w:rsidR="006610CE" w:rsidRPr="00BD0079" w:rsidP="00961C50" w14:paraId="4C2DC9EB" w14:textId="77777777">
      <w:pPr>
        <w:spacing w:after="0"/>
        <w:contextualSpacing/>
        <w:rPr>
          <w:rFonts w:cstheme="minorHAnsi"/>
        </w:rPr>
      </w:pPr>
      <w:r w:rsidRPr="00BD0079">
        <w:rPr>
          <w:rFonts w:cstheme="minorHAnsi"/>
        </w:rPr>
        <w:t> </w:t>
      </w:r>
    </w:p>
    <w:p w:rsidR="006610CE" w:rsidRPr="00676898" w:rsidP="00961C50" w14:paraId="13A826B3" w14:textId="77777777">
      <w:pPr>
        <w:pStyle w:val="ListParagraph"/>
        <w:numPr>
          <w:ilvl w:val="1"/>
          <w:numId w:val="20"/>
        </w:numPr>
        <w:tabs>
          <w:tab w:val="clear" w:pos="5040"/>
        </w:tabs>
        <w:spacing w:after="0" w:line="240" w:lineRule="auto"/>
        <w:ind w:left="720"/>
        <w:rPr>
          <w:rFonts w:cstheme="minorHAnsi"/>
          <w:i/>
          <w:iCs/>
        </w:rPr>
      </w:pPr>
      <w:r w:rsidRPr="00676898">
        <w:rPr>
          <w:rFonts w:cstheme="minorHAnsi"/>
          <w:i/>
          <w:iCs/>
        </w:rPr>
        <w:t>Public Reporting: Accountability </w:t>
      </w:r>
      <w:r w:rsidRPr="00676898">
        <w:rPr>
          <w:rFonts w:cstheme="minorHAnsi"/>
          <w:i/>
          <w:iCs/>
        </w:rPr>
        <w:br/>
      </w:r>
    </w:p>
    <w:p w:rsidR="006610CE" w:rsidRPr="00BD0079" w:rsidP="00961C50" w14:paraId="34E14AD7" w14:textId="7AED25F1">
      <w:pPr>
        <w:spacing w:after="0"/>
        <w:ind w:left="720"/>
        <w:contextualSpacing/>
        <w:rPr>
          <w:rFonts w:cstheme="minorHAnsi"/>
        </w:rPr>
      </w:pPr>
      <w:r w:rsidRPr="00BD0079">
        <w:rPr>
          <w:rFonts w:cstheme="minorHAnsi"/>
        </w:rPr>
        <w:t>To enable more transparent public examination of federally funded activities, the information collected under this ICR</w:t>
      </w:r>
      <w:r>
        <w:rPr>
          <w:rFonts w:cstheme="minorHAnsi"/>
        </w:rPr>
        <w:t xml:space="preserve">—including quantitative metrics, success stories, and photographs submitted by </w:t>
      </w:r>
      <w:r w:rsidR="00031B82">
        <w:rPr>
          <w:rFonts w:cstheme="minorHAnsi"/>
        </w:rPr>
        <w:t>Grantees</w:t>
      </w:r>
      <w:r>
        <w:rPr>
          <w:rFonts w:cstheme="minorHAnsi"/>
        </w:rPr>
        <w:t>—</w:t>
      </w:r>
      <w:r w:rsidRPr="00BD0079">
        <w:rPr>
          <w:rFonts w:cstheme="minorHAnsi"/>
        </w:rPr>
        <w:t xml:space="preserve">will be </w:t>
      </w:r>
      <w:r>
        <w:rPr>
          <w:rFonts w:cstheme="minorHAnsi"/>
        </w:rPr>
        <w:t>publicly reported</w:t>
      </w:r>
      <w:r w:rsidRPr="00BD0079">
        <w:rPr>
          <w:rFonts w:cstheme="minorHAnsi"/>
        </w:rPr>
        <w:t xml:space="preserve"> in four ways:</w:t>
      </w:r>
    </w:p>
    <w:p w:rsidR="006610CE" w:rsidRPr="00BD0079" w:rsidP="00961C50" w14:paraId="4200DB38" w14:textId="76D57BCB">
      <w:pPr>
        <w:pStyle w:val="ListParagraph"/>
        <w:numPr>
          <w:ilvl w:val="0"/>
          <w:numId w:val="21"/>
        </w:numPr>
        <w:spacing w:after="0" w:line="240" w:lineRule="auto"/>
        <w:rPr>
          <w:rFonts w:cstheme="minorHAnsi"/>
        </w:rPr>
      </w:pPr>
      <w:r w:rsidRPr="00BD0079">
        <w:rPr>
          <w:rFonts w:cstheme="minorHAnsi"/>
        </w:rPr>
        <w:t xml:space="preserve">EPA will post aggregated summaries of the </w:t>
      </w:r>
      <w:r w:rsidR="00A34C1C">
        <w:rPr>
          <w:rFonts w:cstheme="minorHAnsi"/>
        </w:rPr>
        <w:t>Grantees</w:t>
      </w:r>
      <w:r w:rsidRPr="00BD0079" w:rsidR="00A34C1C">
        <w:rPr>
          <w:rFonts w:cstheme="minorHAnsi"/>
        </w:rPr>
        <w:t xml:space="preserve">’ </w:t>
      </w:r>
      <w:r w:rsidRPr="00BD0079">
        <w:rPr>
          <w:rFonts w:cstheme="minorHAnsi"/>
        </w:rPr>
        <w:t xml:space="preserve">performance (e.g., activities, outputs, outcomes) on its public websites. </w:t>
      </w:r>
    </w:p>
    <w:p w:rsidR="006610CE" w:rsidRPr="00BD0079" w:rsidP="00961C50" w14:paraId="35E6C744" w14:textId="77777777">
      <w:pPr>
        <w:pStyle w:val="ListParagraph"/>
        <w:numPr>
          <w:ilvl w:val="0"/>
          <w:numId w:val="21"/>
        </w:numPr>
        <w:spacing w:after="0" w:line="240" w:lineRule="auto"/>
        <w:rPr>
          <w:rFonts w:cstheme="minorHAnsi"/>
        </w:rPr>
      </w:pPr>
      <w:r w:rsidRPr="00BD0079">
        <w:rPr>
          <w:rFonts w:cstheme="minorHAnsi"/>
        </w:rPr>
        <w:t xml:space="preserve">EPA will collate program-level information for inclusion in public reports, such as the Annual Performance Report mandated by the Government Performance and Results Act (GPRA) and annual reports on activities supported by supplemental funds (e.g., Bipartisan Infrastructure Law, Inflation Reduction Act). </w:t>
      </w:r>
    </w:p>
    <w:p w:rsidR="006610CE" w:rsidRPr="00BD0079" w:rsidP="00961C50" w14:paraId="71773FF6" w14:textId="77777777">
      <w:pPr>
        <w:pStyle w:val="ListParagraph"/>
        <w:numPr>
          <w:ilvl w:val="0"/>
          <w:numId w:val="21"/>
        </w:numPr>
        <w:spacing w:after="0" w:line="240" w:lineRule="auto"/>
        <w:rPr>
          <w:rFonts w:cstheme="minorHAnsi"/>
        </w:rPr>
      </w:pPr>
      <w:r w:rsidRPr="00BD0079">
        <w:rPr>
          <w:rFonts w:cstheme="minorHAnsi"/>
        </w:rPr>
        <w:t>EPA will use the collected information to respond to requests for data and information from the Executive and Legislative branches.</w:t>
      </w:r>
    </w:p>
    <w:p w:rsidR="006610CE" w:rsidRPr="00BD0079" w:rsidP="00961C50" w14:paraId="012C3581" w14:textId="77777777">
      <w:pPr>
        <w:spacing w:after="0"/>
        <w:ind w:left="720"/>
        <w:contextualSpacing/>
        <w:rPr>
          <w:rFonts w:cstheme="minorHAnsi"/>
        </w:rPr>
      </w:pPr>
      <w:r w:rsidRPr="00BD0079">
        <w:rPr>
          <w:rFonts w:cstheme="minorHAnsi"/>
        </w:rPr>
        <w:t> </w:t>
      </w:r>
    </w:p>
    <w:p w:rsidR="006610CE" w:rsidRPr="00BD0079" w:rsidP="00961C50" w14:paraId="180D44EC" w14:textId="77777777">
      <w:pPr>
        <w:spacing w:after="0"/>
        <w:ind w:left="720"/>
        <w:contextualSpacing/>
        <w:rPr>
          <w:rFonts w:cstheme="minorHAnsi"/>
        </w:rPr>
      </w:pPr>
      <w:r w:rsidRPr="00BD0079">
        <w:rPr>
          <w:rFonts w:cstheme="minorHAnsi"/>
        </w:rPr>
        <w:t>Information will be reported in anonymous and aggregated form where necessary to protect Confidential Business Information (CBI) and Personally Identifiable Information (PII). Location identifiers will be used to fulfill federal reporting requirements (e.g., DATA Act, Justice40 Initiative) to document results in different communities. EPA will follow best practices in stating the source of the data (e.g., progress reports) and the methodology used to collect the information (e.g., self-report).  </w:t>
      </w:r>
    </w:p>
    <w:p w:rsidR="006610CE" w:rsidRPr="00BD0079" w:rsidP="00961C50" w14:paraId="75936285" w14:textId="77777777">
      <w:pPr>
        <w:numPr>
          <w:ilvl w:val="12"/>
          <w:numId w:val="0"/>
        </w:numPr>
        <w:spacing w:after="0"/>
        <w:contextualSpacing/>
        <w:rPr>
          <w:rFonts w:cstheme="minorHAnsi"/>
          <w:bCs/>
          <w:u w:val="single"/>
        </w:rPr>
      </w:pPr>
    </w:p>
    <w:p w:rsidR="006610CE" w:rsidRPr="00ED67C7" w:rsidP="00ED67C7" w14:paraId="272DB9E8" w14:textId="7F291FDF">
      <w:pPr>
        <w:numPr>
          <w:ilvl w:val="12"/>
          <w:numId w:val="0"/>
        </w:numPr>
        <w:spacing w:after="0"/>
        <w:contextualSpacing/>
        <w:rPr>
          <w:rFonts w:cstheme="minorHAnsi"/>
          <w:bCs/>
          <w:u w:val="single"/>
        </w:rPr>
      </w:pPr>
      <w:r w:rsidRPr="00BD0079">
        <w:rPr>
          <w:rFonts w:cstheme="minorHAnsi"/>
          <w:bCs/>
          <w:u w:val="single"/>
        </w:rPr>
        <w:t>Collection, Tabulation, and Public Reporting of Information</w:t>
      </w:r>
      <w:r w:rsidRPr="00ED67C7">
        <w:rPr>
          <w:rFonts w:cstheme="minorHAnsi"/>
          <w:bCs/>
        </w:rPr>
        <w:br/>
      </w:r>
    </w:p>
    <w:p w:rsidR="00A34C1C" w:rsidP="00961C50" w14:paraId="1BF1DEDB" w14:textId="5E4F3320">
      <w:pPr>
        <w:spacing w:after="0"/>
        <w:ind w:firstLine="720"/>
        <w:contextualSpacing/>
        <w:rPr>
          <w:rFonts w:cstheme="minorHAnsi"/>
          <w:bCs/>
        </w:rPr>
      </w:pPr>
      <w:r w:rsidRPr="00BD0079">
        <w:rPr>
          <w:rFonts w:cstheme="minorHAnsi"/>
          <w:bCs/>
        </w:rPr>
        <w:t>Semi-annually:</w:t>
      </w:r>
      <w:r w:rsidRPr="00BD0079">
        <w:rPr>
          <w:rFonts w:cstheme="minorHAnsi"/>
          <w:bCs/>
        </w:rPr>
        <w:tab/>
      </w:r>
      <w:r>
        <w:rPr>
          <w:rFonts w:cstheme="minorHAnsi"/>
          <w:bCs/>
        </w:rPr>
        <w:t>Grantees</w:t>
      </w:r>
      <w:r w:rsidRPr="00BD0079">
        <w:rPr>
          <w:rFonts w:cstheme="minorHAnsi"/>
          <w:bCs/>
        </w:rPr>
        <w:t xml:space="preserve"> submit progress reports to EPA.</w:t>
      </w:r>
    </w:p>
    <w:p w:rsidR="006610CE" w:rsidRPr="00BD0079" w:rsidP="00961C50" w14:paraId="2F298215" w14:textId="0A5C8F4B">
      <w:pPr>
        <w:spacing w:after="0"/>
        <w:ind w:left="1440" w:firstLine="720"/>
        <w:contextualSpacing/>
        <w:rPr>
          <w:rFonts w:cstheme="minorHAnsi"/>
          <w:bCs/>
        </w:rPr>
      </w:pPr>
      <w:r w:rsidRPr="00BD0079">
        <w:rPr>
          <w:rFonts w:cstheme="minorHAnsi"/>
          <w:bCs/>
        </w:rPr>
        <w:t>EPA publishes information and images on EPA public website.</w:t>
      </w:r>
      <w:r w:rsidRPr="00BD0079">
        <w:rPr>
          <w:rFonts w:cstheme="minorHAnsi"/>
          <w:bCs/>
        </w:rPr>
        <w:br/>
      </w:r>
    </w:p>
    <w:p w:rsidR="006610CE" w:rsidRPr="00BD0079" w:rsidP="00961C50" w14:paraId="66702A41" w14:textId="77777777">
      <w:pPr>
        <w:spacing w:after="0"/>
        <w:ind w:left="2160" w:hanging="1440"/>
        <w:contextualSpacing/>
        <w:rPr>
          <w:rFonts w:cstheme="minorHAnsi"/>
          <w:bCs/>
        </w:rPr>
      </w:pPr>
      <w:r w:rsidRPr="00BD0079">
        <w:rPr>
          <w:rFonts w:cstheme="minorHAnsi"/>
          <w:bCs/>
        </w:rPr>
        <w:t>Annually:</w:t>
      </w:r>
      <w:r w:rsidRPr="00BD0079">
        <w:rPr>
          <w:rFonts w:cstheme="minorHAnsi"/>
          <w:bCs/>
        </w:rPr>
        <w:tab/>
        <w:t xml:space="preserve">EPA summarizes aggregated information in reports to OMB </w:t>
      </w:r>
      <w:r w:rsidRPr="00BD0079">
        <w:rPr>
          <w:rFonts w:cstheme="minorHAnsi"/>
          <w:bCs/>
        </w:rPr>
        <w:br/>
        <w:t>(e.g., budget data requests, Annual Performance Reports).</w:t>
      </w:r>
      <w:r w:rsidRPr="00BD0079">
        <w:rPr>
          <w:rFonts w:cstheme="minorHAnsi"/>
          <w:bCs/>
        </w:rPr>
        <w:br/>
      </w:r>
    </w:p>
    <w:p w:rsidR="006610CE" w:rsidRPr="00BD0079" w:rsidP="00961C50" w14:paraId="7811FC84" w14:textId="77777777">
      <w:pPr>
        <w:spacing w:after="0"/>
        <w:ind w:left="2160" w:hanging="1440"/>
        <w:contextualSpacing/>
        <w:rPr>
          <w:rFonts w:cstheme="minorHAnsi"/>
          <w:bCs/>
        </w:rPr>
      </w:pPr>
      <w:r w:rsidRPr="00BD0079">
        <w:rPr>
          <w:rFonts w:cstheme="minorHAnsi"/>
          <w:bCs/>
        </w:rPr>
        <w:t>Periodically:</w:t>
      </w:r>
      <w:r w:rsidRPr="00BD0079">
        <w:rPr>
          <w:rFonts w:cstheme="minorHAnsi"/>
          <w:bCs/>
        </w:rPr>
        <w:tab/>
        <w:t xml:space="preserve">EPA summarizes aggregated information to respond to requests for data </w:t>
      </w:r>
      <w:r w:rsidRPr="00BD0079">
        <w:rPr>
          <w:rFonts w:cstheme="minorHAnsi"/>
          <w:bCs/>
        </w:rPr>
        <w:br/>
        <w:t>and information from the Congressional and/or Executive Branch.</w:t>
      </w:r>
    </w:p>
    <w:p w:rsidR="006610CE" w:rsidRPr="00BD0079" w:rsidP="00961C50" w14:paraId="65114C49" w14:textId="77777777">
      <w:pPr>
        <w:spacing w:after="0"/>
        <w:ind w:firstLine="720"/>
        <w:contextualSpacing/>
        <w:rPr>
          <w:rFonts w:cstheme="minorHAnsi"/>
          <w:bCs/>
        </w:rPr>
      </w:pPr>
    </w:p>
    <w:p w:rsidR="006610CE" w:rsidRPr="00BD0079" w:rsidP="00961C50" w14:paraId="63A881C8" w14:textId="346163A7">
      <w:pPr>
        <w:spacing w:after="0"/>
        <w:ind w:firstLine="720"/>
        <w:contextualSpacing/>
        <w:rPr>
          <w:rFonts w:cstheme="minorHAnsi"/>
          <w:bCs/>
        </w:rPr>
      </w:pPr>
      <w:r w:rsidRPr="00BD0079">
        <w:rPr>
          <w:rFonts w:cstheme="minorHAnsi"/>
          <w:bCs/>
        </w:rPr>
        <w:t>End of Award:</w:t>
      </w:r>
      <w:r w:rsidRPr="00BD0079">
        <w:rPr>
          <w:rFonts w:cstheme="minorHAnsi"/>
          <w:bCs/>
        </w:rPr>
        <w:tab/>
      </w:r>
      <w:r w:rsidR="00350CF3">
        <w:rPr>
          <w:rFonts w:cstheme="minorHAnsi"/>
          <w:bCs/>
        </w:rPr>
        <w:t>Grantees</w:t>
      </w:r>
      <w:r w:rsidRPr="00BD0079">
        <w:rPr>
          <w:rFonts w:cstheme="minorHAnsi"/>
          <w:bCs/>
        </w:rPr>
        <w:t xml:space="preserve"> submit final reports to EPA.</w:t>
      </w:r>
    </w:p>
    <w:p w:rsidR="006610CE" w:rsidRPr="00BD0079" w:rsidP="00961C50" w14:paraId="5287B9C2" w14:textId="1738D1F7">
      <w:pPr>
        <w:pStyle w:val="ListParagraph"/>
        <w:spacing w:after="0"/>
        <w:ind w:left="1440" w:firstLine="720"/>
        <w:rPr>
          <w:rFonts w:cstheme="minorHAnsi"/>
          <w:bCs/>
        </w:rPr>
      </w:pPr>
      <w:r w:rsidRPr="00BD0079">
        <w:rPr>
          <w:rFonts w:cstheme="minorHAnsi"/>
          <w:bCs/>
        </w:rPr>
        <w:t xml:space="preserve">EPA reviews information for each </w:t>
      </w:r>
      <w:r w:rsidR="00350CF3">
        <w:rPr>
          <w:rFonts w:cstheme="minorHAnsi"/>
          <w:bCs/>
        </w:rPr>
        <w:t xml:space="preserve">grantee </w:t>
      </w:r>
      <w:r w:rsidRPr="00BD0079">
        <w:rPr>
          <w:rFonts w:cstheme="minorHAnsi"/>
          <w:bCs/>
        </w:rPr>
        <w:t>to assess individual progress.</w:t>
      </w:r>
    </w:p>
    <w:p w:rsidR="00AE534A" w:rsidP="00961C50" w14:paraId="3BEE3B17" w14:textId="52165CD6">
      <w:pPr>
        <w:spacing w:after="0"/>
        <w:ind w:left="1440" w:firstLine="720"/>
        <w:contextualSpacing/>
        <w:rPr>
          <w:rFonts w:cstheme="minorHAnsi"/>
          <w:bCs/>
        </w:rPr>
      </w:pPr>
      <w:r w:rsidRPr="00BD0079">
        <w:rPr>
          <w:rFonts w:cstheme="minorHAnsi"/>
          <w:bCs/>
        </w:rPr>
        <w:t xml:space="preserve">EPA aggregates and reviews information across </w:t>
      </w:r>
      <w:r w:rsidR="00C54F77">
        <w:rPr>
          <w:rFonts w:cstheme="minorHAnsi"/>
          <w:bCs/>
        </w:rPr>
        <w:t>grantees</w:t>
      </w:r>
      <w:r w:rsidRPr="00BD0079" w:rsidR="00C54F77">
        <w:rPr>
          <w:rFonts w:cstheme="minorHAnsi"/>
          <w:bCs/>
        </w:rPr>
        <w:t xml:space="preserve"> </w:t>
      </w:r>
      <w:r w:rsidRPr="00BD0079">
        <w:rPr>
          <w:rFonts w:cstheme="minorHAnsi"/>
          <w:bCs/>
        </w:rPr>
        <w:t>to identify themes.</w:t>
      </w:r>
      <w:r w:rsidRPr="00BD0079">
        <w:rPr>
          <w:rFonts w:cstheme="minorHAnsi"/>
          <w:bCs/>
        </w:rPr>
        <w:br/>
      </w:r>
    </w:p>
    <w:p w:rsidR="00AE534A" w14:paraId="3EF46FB5" w14:textId="77777777">
      <w:pPr>
        <w:rPr>
          <w:rFonts w:cstheme="minorHAnsi"/>
          <w:bCs/>
        </w:rPr>
      </w:pPr>
      <w:r>
        <w:rPr>
          <w:rFonts w:cstheme="minorHAnsi"/>
          <w:bCs/>
        </w:rPr>
        <w:br w:type="page"/>
      </w:r>
    </w:p>
    <w:p w:rsidR="006610CE" w:rsidRPr="00BD0079" w:rsidP="00961C50" w14:paraId="64EC2362" w14:textId="77777777">
      <w:pPr>
        <w:spacing w:after="0"/>
        <w:ind w:left="1440" w:firstLine="720"/>
        <w:contextualSpacing/>
        <w:rPr>
          <w:rFonts w:cstheme="minorHAnsi"/>
          <w:bCs/>
        </w:rPr>
      </w:pPr>
    </w:p>
    <w:p w:rsidR="00627768" w:rsidRPr="00AC0ED5" w:rsidP="00961C50" w14:paraId="54E9D2D0" w14:textId="01E3F777">
      <w:pPr>
        <w:pStyle w:val="Heading1"/>
      </w:pPr>
      <w:r>
        <w:t xml:space="preserve">17. </w:t>
      </w:r>
      <w:r w:rsidRPr="00AC0ED5" w:rsidR="002648CF">
        <w:t xml:space="preserve">DISPLAY </w:t>
      </w:r>
      <w:r w:rsidRPr="00AC0ED5" w:rsidR="00644EBE">
        <w:t xml:space="preserve">OF </w:t>
      </w:r>
      <w:r w:rsidRPr="00AC0ED5" w:rsidR="000D5863">
        <w:t>EXPIRATION DATE</w:t>
      </w:r>
      <w:bookmarkEnd w:id="25"/>
      <w:r w:rsidRPr="00AC0ED5" w:rsidR="00644EBE">
        <w:t xml:space="preserve"> </w:t>
      </w:r>
    </w:p>
    <w:p w:rsidR="001F0834" w:rsidRPr="00F532D6" w:rsidP="00961C50"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4427FB" w:rsidRPr="00BD0079" w:rsidP="00961C50" w14:paraId="610EA96E" w14:textId="038DCE01">
      <w:pPr>
        <w:contextualSpacing/>
        <w:rPr>
          <w:rFonts w:cstheme="minorHAnsi"/>
          <w:bCs/>
        </w:rPr>
      </w:pPr>
      <w:r w:rsidRPr="00862470">
        <w:rPr>
          <w:rFonts w:cstheme="minorHAnsi"/>
          <w:bCs/>
        </w:rPr>
        <w:t>Not applicable</w:t>
      </w:r>
      <w:r w:rsidR="00862470">
        <w:rPr>
          <w:rFonts w:cstheme="minorHAnsi"/>
          <w:bCs/>
        </w:rPr>
        <w:t xml:space="preserve">: </w:t>
      </w:r>
      <w:r w:rsidRPr="00BD0079">
        <w:rPr>
          <w:rFonts w:cstheme="minorHAnsi"/>
          <w:bCs/>
        </w:rPr>
        <w:t>All instruments will display the expiration date for OMB approval of the information collection.</w:t>
      </w:r>
    </w:p>
    <w:p w:rsidR="007250B7" w:rsidRPr="0073767D" w:rsidP="00961C50" w14:paraId="14DC4372" w14:textId="77777777">
      <w:pPr>
        <w:pBdr>
          <w:top w:val="single" w:sz="6" w:space="0" w:color="FFFFFF"/>
          <w:left w:val="single" w:sz="6" w:space="0" w:color="FFFFFF"/>
          <w:bottom w:val="single" w:sz="6" w:space="0" w:color="FFFFFF"/>
          <w:right w:val="single" w:sz="6" w:space="0" w:color="FFFFFF"/>
        </w:pBdr>
        <w:spacing w:after="0"/>
      </w:pPr>
    </w:p>
    <w:p w:rsidR="00691828" w:rsidRPr="00163C69" w:rsidP="00961C50" w14:paraId="7CCB26DD" w14:textId="3276B202">
      <w:pPr>
        <w:pStyle w:val="Heading1"/>
      </w:pPr>
      <w:bookmarkStart w:id="27" w:name="_Toc156593391"/>
      <w:r>
        <w:t xml:space="preserve">18. </w:t>
      </w:r>
      <w:r w:rsidRPr="00163C69" w:rsidR="00F2554C">
        <w:t>CERTIFICATION STATEMENT</w:t>
      </w:r>
      <w:bookmarkEnd w:id="27"/>
    </w:p>
    <w:p w:rsidR="001F0834" w:rsidRPr="001F0834" w:rsidP="00961C50"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142425" w:rsidP="00961C50" w14:paraId="7C974CB5" w14:textId="50E09D71">
      <w:pPr>
        <w:contextualSpacing/>
        <w:rPr>
          <w:rFonts w:cstheme="minorHAnsi"/>
        </w:rPr>
      </w:pPr>
      <w:r w:rsidRPr="00862470">
        <w:rPr>
          <w:rFonts w:cstheme="minorHAnsi"/>
          <w:bCs/>
        </w:rPr>
        <w:t>Not applicable</w:t>
      </w:r>
      <w:r w:rsidR="00862470">
        <w:rPr>
          <w:rFonts w:cstheme="minorHAnsi"/>
          <w:bCs/>
        </w:rPr>
        <w:t xml:space="preserve">: </w:t>
      </w:r>
      <w:r w:rsidRPr="00BD0079">
        <w:rPr>
          <w:rFonts w:cstheme="minorHAnsi"/>
        </w:rPr>
        <w:t>EPA does not seek any exceptions to the topics for the certification statement identified in the “Certification for Paperwork Reduction Act Submissions.”</w:t>
      </w:r>
    </w:p>
    <w:p w:rsidR="00822B54" w:rsidP="00961C50" w14:paraId="73D46AA9" w14:textId="77777777">
      <w:pPr>
        <w:contextualSpacing/>
        <w:rPr>
          <w:rFonts w:cstheme="minorHAnsi"/>
        </w:rPr>
      </w:pPr>
    </w:p>
    <w:p w:rsidR="00C04A8F" w:rsidP="00961C50" w14:paraId="1FD66962" w14:textId="07D2B260">
      <w:pPr>
        <w:rPr>
          <w:rFonts w:cstheme="minorHAnsi"/>
        </w:rPr>
        <w:sectPr w:rsidSect="00F91C8E">
          <w:headerReference w:type="default" r:id="rId25"/>
          <w:footerReference w:type="default" r:id="rId26"/>
          <w:pgSz w:w="12240" w:h="15840"/>
          <w:pgMar w:top="1440" w:right="1440" w:bottom="1440" w:left="1440" w:header="720" w:footer="720" w:gutter="0"/>
          <w:cols w:space="720"/>
          <w:docGrid w:linePitch="360"/>
        </w:sectPr>
      </w:pPr>
    </w:p>
    <w:p w:rsidR="00822B54" w:rsidRPr="00F36ECE" w:rsidP="00961C50" w14:paraId="14E33BCE" w14:textId="029C0D66">
      <w:pPr>
        <w:spacing w:after="0" w:line="240" w:lineRule="auto"/>
        <w:ind w:left="-90"/>
        <w:rPr>
          <w:rFonts w:ascii="Calibri" w:hAnsi="Calibri" w:cs="Calibri"/>
          <w:b/>
          <w:bCs/>
          <w:sz w:val="32"/>
          <w:szCs w:val="32"/>
        </w:rPr>
      </w:pPr>
      <w:r w:rsidRPr="00F36ECE">
        <w:rPr>
          <w:rFonts w:ascii="Calibri" w:hAnsi="Calibri" w:cs="Calibri"/>
          <w:b/>
          <w:bCs/>
          <w:sz w:val="32"/>
          <w:szCs w:val="32"/>
        </w:rPr>
        <w:t>Appendix</w:t>
      </w:r>
      <w:r w:rsidR="00FF3639">
        <w:rPr>
          <w:rFonts w:ascii="Calibri" w:hAnsi="Calibri" w:cs="Calibri"/>
          <w:b/>
          <w:bCs/>
          <w:sz w:val="32"/>
          <w:szCs w:val="32"/>
        </w:rPr>
        <w:t xml:space="preserve"> 1</w:t>
      </w:r>
    </w:p>
    <w:p w:rsidR="00822B54" w:rsidP="00961C50" w14:paraId="6C7A0A3A" w14:textId="77777777">
      <w:pPr>
        <w:spacing w:after="0" w:line="240" w:lineRule="auto"/>
        <w:ind w:left="-90"/>
        <w:rPr>
          <w:rFonts w:ascii="Calibri" w:hAnsi="Calibri" w:cs="Calibri"/>
        </w:rPr>
      </w:pPr>
    </w:p>
    <w:p w:rsidR="009E268B" w:rsidRPr="00D456A4" w:rsidP="00961C50" w14:paraId="226F22DB" w14:textId="77777777">
      <w:pPr>
        <w:spacing w:after="0" w:line="240" w:lineRule="auto"/>
        <w:ind w:left="-90"/>
        <w:rPr>
          <w:rFonts w:ascii="Calibri" w:hAnsi="Calibri" w:cs="Calibri"/>
        </w:rPr>
      </w:pPr>
    </w:p>
    <w:p w:rsidR="00822B54" w:rsidRPr="00F36ECE" w:rsidP="00961C50" w14:paraId="20E73C59" w14:textId="77777777">
      <w:pPr>
        <w:spacing w:after="0" w:line="240" w:lineRule="auto"/>
        <w:ind w:left="-90"/>
        <w:rPr>
          <w:rFonts w:ascii="Calibri" w:hAnsi="Calibri" w:cs="Calibri"/>
          <w:b/>
          <w:bCs/>
          <w:sz w:val="28"/>
          <w:szCs w:val="28"/>
        </w:rPr>
      </w:pPr>
      <w:r w:rsidRPr="00F36ECE">
        <w:rPr>
          <w:rFonts w:ascii="Calibri" w:hAnsi="Calibri" w:cs="Calibri"/>
          <w:b/>
          <w:bCs/>
          <w:sz w:val="28"/>
          <w:szCs w:val="28"/>
        </w:rPr>
        <w:t>Calculations for Section 12: Respondent Burden Hours &amp; Costs</w:t>
      </w:r>
    </w:p>
    <w:p w:rsidR="00822B54" w:rsidRPr="00D456A4" w:rsidP="00961C50" w14:paraId="2301EA2A" w14:textId="77777777">
      <w:pPr>
        <w:spacing w:after="0" w:line="240" w:lineRule="auto"/>
        <w:ind w:left="-90"/>
        <w:rPr>
          <w:rFonts w:ascii="Calibri" w:hAnsi="Calibri" w:cs="Calibri"/>
        </w:rPr>
      </w:pPr>
      <w:r w:rsidRPr="00D456A4">
        <w:rPr>
          <w:rFonts w:ascii="Calibri" w:hAnsi="Calibri" w:cs="Calibri"/>
        </w:rPr>
        <w:br/>
      </w:r>
    </w:p>
    <w:p w:rsidR="00822B54" w:rsidP="00961C50" w14:paraId="1B8117D0" w14:textId="77777777">
      <w:pPr>
        <w:tabs>
          <w:tab w:val="left" w:pos="6300"/>
          <w:tab w:val="left" w:pos="7110"/>
        </w:tabs>
        <w:spacing w:after="0" w:line="240" w:lineRule="auto"/>
        <w:ind w:left="-90" w:right="-270"/>
        <w:rPr>
          <w:rFonts w:ascii="Calibri" w:hAnsi="Calibri" w:cs="Calibri"/>
          <w:i/>
          <w:iCs/>
        </w:rPr>
      </w:pPr>
      <w:r w:rsidRPr="00D456A4">
        <w:rPr>
          <w:rFonts w:ascii="Calibri" w:hAnsi="Calibri" w:cs="Calibri"/>
          <w:i/>
          <w:iCs/>
        </w:rPr>
        <w:t xml:space="preserve">Step 1: Calculate </w:t>
      </w:r>
      <w:r>
        <w:rPr>
          <w:rFonts w:ascii="Calibri" w:hAnsi="Calibri" w:cs="Calibri"/>
          <w:i/>
          <w:iCs/>
        </w:rPr>
        <w:t xml:space="preserve">proportion of </w:t>
      </w:r>
      <w:r w:rsidRPr="00D456A4">
        <w:rPr>
          <w:rFonts w:ascii="Calibri" w:hAnsi="Calibri" w:cs="Calibri"/>
          <w:i/>
          <w:iCs/>
        </w:rPr>
        <w:t>respondent burden hours across all staff roles at relevant levels of seniority.</w:t>
      </w:r>
    </w:p>
    <w:p w:rsidR="00870849" w:rsidRPr="00D456A4" w:rsidP="00961C50" w14:paraId="2F55B57A" w14:textId="77777777">
      <w:pPr>
        <w:tabs>
          <w:tab w:val="left" w:pos="6300"/>
          <w:tab w:val="left" w:pos="7110"/>
        </w:tabs>
        <w:spacing w:after="0" w:line="240" w:lineRule="auto"/>
        <w:ind w:left="-90" w:right="-270"/>
        <w:rPr>
          <w:rFonts w:ascii="Calibri" w:hAnsi="Calibri" w:cs="Calibri"/>
          <w:i/>
          <w:iCs/>
        </w:rPr>
      </w:pPr>
    </w:p>
    <w:tbl>
      <w:tblPr>
        <w:tblW w:w="9080" w:type="dxa"/>
        <w:tblLayout w:type="fixed"/>
        <w:tblLook w:val="04A0"/>
      </w:tblPr>
      <w:tblGrid>
        <w:gridCol w:w="2270"/>
        <w:gridCol w:w="2270"/>
        <w:gridCol w:w="2270"/>
        <w:gridCol w:w="2270"/>
      </w:tblGrid>
      <w:tr w14:paraId="10A452D0" w14:textId="77777777" w:rsidTr="000E24B6">
        <w:tblPrEx>
          <w:tblW w:w="9080" w:type="dxa"/>
          <w:tblLayout w:type="fixed"/>
          <w:tblLook w:val="04A0"/>
        </w:tblPrEx>
        <w:trPr>
          <w:trHeight w:val="450"/>
        </w:trPr>
        <w:tc>
          <w:tcPr>
            <w:tcW w:w="9080" w:type="dxa"/>
            <w:gridSpan w:val="4"/>
            <w:tcBorders>
              <w:top w:val="single" w:sz="8" w:space="0" w:color="auto"/>
              <w:left w:val="single" w:sz="8" w:space="0" w:color="auto"/>
              <w:bottom w:val="single" w:sz="4" w:space="0" w:color="auto"/>
              <w:right w:val="single" w:sz="8" w:space="0" w:color="000000"/>
            </w:tcBorders>
            <w:shd w:val="clear" w:color="000000" w:fill="D9D9D9"/>
            <w:vAlign w:val="center"/>
          </w:tcPr>
          <w:p w:rsidR="00822B54" w:rsidRPr="00D456A4" w:rsidP="00961C50" w14:paraId="427B5623" w14:textId="77777777">
            <w:pPr>
              <w:spacing w:after="0" w:line="240" w:lineRule="auto"/>
              <w:rPr>
                <w:rFonts w:ascii="Calibri" w:eastAsia="Times New Roman" w:hAnsi="Calibri" w:cs="Calibri"/>
                <w:b/>
                <w:bCs/>
                <w:color w:val="000000"/>
              </w:rPr>
            </w:pPr>
            <w:r w:rsidRPr="00D456A4">
              <w:rPr>
                <w:rFonts w:ascii="Calibri" w:eastAsia="Times New Roman" w:hAnsi="Calibri" w:cs="Calibri"/>
                <w:b/>
                <w:bCs/>
                <w:color w:val="000000"/>
              </w:rPr>
              <w:t xml:space="preserve">TABLE 12.1: </w:t>
            </w:r>
            <w:r>
              <w:rPr>
                <w:rFonts w:ascii="Calibri" w:eastAsia="Times New Roman" w:hAnsi="Calibri" w:cs="Calibri"/>
                <w:b/>
                <w:bCs/>
                <w:color w:val="000000"/>
              </w:rPr>
              <w:t>PROPORTION of</w:t>
            </w:r>
            <w:r w:rsidRPr="00D456A4">
              <w:rPr>
                <w:rFonts w:ascii="Calibri" w:eastAsia="Times New Roman" w:hAnsi="Calibri" w:cs="Calibri"/>
                <w:b/>
                <w:bCs/>
                <w:color w:val="000000"/>
              </w:rPr>
              <w:t xml:space="preserve"> Respondent Hours</w:t>
            </w:r>
          </w:p>
        </w:tc>
      </w:tr>
      <w:tr w14:paraId="339B4D25" w14:textId="77777777" w:rsidTr="000E24B6">
        <w:tblPrEx>
          <w:tblW w:w="9080" w:type="dxa"/>
          <w:tblLayout w:type="fixed"/>
          <w:tblLook w:val="04A0"/>
        </w:tblPrEx>
        <w:trPr>
          <w:trHeight w:val="665"/>
        </w:trPr>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D456A4" w:rsidP="00961C50" w14:paraId="0B099DBA"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Number of Hours: Management</w:t>
            </w:r>
          </w:p>
        </w:tc>
        <w:tc>
          <w:tcPr>
            <w:tcW w:w="2270" w:type="dxa"/>
            <w:tcBorders>
              <w:top w:val="single" w:sz="4" w:space="0" w:color="auto"/>
              <w:left w:val="nil"/>
              <w:bottom w:val="single" w:sz="4" w:space="0" w:color="auto"/>
              <w:right w:val="single" w:sz="4" w:space="0" w:color="auto"/>
            </w:tcBorders>
            <w:shd w:val="clear" w:color="000000" w:fill="F2F2F2"/>
            <w:vAlign w:val="center"/>
            <w:hideMark/>
          </w:tcPr>
          <w:p w:rsidR="00822B54" w:rsidRPr="00D456A4" w:rsidP="00961C50" w14:paraId="0AF4A9D6"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Number of Hours: Technical</w:t>
            </w:r>
          </w:p>
        </w:tc>
        <w:tc>
          <w:tcPr>
            <w:tcW w:w="2270" w:type="dxa"/>
            <w:tcBorders>
              <w:top w:val="single" w:sz="4" w:space="0" w:color="auto"/>
              <w:left w:val="nil"/>
              <w:bottom w:val="single" w:sz="4" w:space="0" w:color="auto"/>
              <w:right w:val="nil"/>
            </w:tcBorders>
            <w:shd w:val="clear" w:color="000000" w:fill="F2F2F2"/>
            <w:vAlign w:val="center"/>
            <w:hideMark/>
          </w:tcPr>
          <w:p w:rsidR="00822B54" w:rsidRPr="00D456A4" w:rsidP="00961C50" w14:paraId="6724323C"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Number of Hours: Clerical/Support</w:t>
            </w:r>
          </w:p>
        </w:tc>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D456A4" w:rsidP="00961C50" w14:paraId="72A80A2D"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 xml:space="preserve">Total </w:t>
            </w:r>
            <w:r>
              <w:rPr>
                <w:rFonts w:ascii="Calibri" w:eastAsia="Times New Roman" w:hAnsi="Calibri" w:cs="Calibri"/>
                <w:color w:val="000000"/>
              </w:rPr>
              <w:t>Proportion</w:t>
            </w:r>
          </w:p>
        </w:tc>
      </w:tr>
      <w:tr w14:paraId="6C7C32C5" w14:textId="77777777" w:rsidTr="000E24B6">
        <w:tblPrEx>
          <w:tblW w:w="9080" w:type="dxa"/>
          <w:tblLayout w:type="fixed"/>
          <w:tblLook w:val="04A0"/>
        </w:tblPrEx>
        <w:trPr>
          <w:trHeight w:val="44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D456A4" w:rsidP="00961C50" w14:paraId="67EB5463" w14:textId="77777777">
            <w:pPr>
              <w:spacing w:after="0" w:line="240" w:lineRule="auto"/>
              <w:rPr>
                <w:rFonts w:ascii="Calibri" w:eastAsia="Times New Roman" w:hAnsi="Calibri" w:cs="Calibri"/>
                <w:color w:val="000000"/>
              </w:rPr>
            </w:pPr>
            <w:r>
              <w:rPr>
                <w:rFonts w:ascii="Calibri" w:eastAsia="Times New Roman" w:hAnsi="Calibri" w:cs="Calibri"/>
                <w:color w:val="000000"/>
              </w:rPr>
              <w:t>0.15</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822B54" w:rsidRPr="00D456A4" w:rsidP="00961C50" w14:paraId="4A1152E6" w14:textId="77777777">
            <w:pPr>
              <w:spacing w:after="0" w:line="240" w:lineRule="auto"/>
              <w:rPr>
                <w:rFonts w:ascii="Calibri" w:eastAsia="Times New Roman" w:hAnsi="Calibri" w:cs="Calibri"/>
                <w:color w:val="000000"/>
              </w:rPr>
            </w:pPr>
            <w:r>
              <w:rPr>
                <w:rFonts w:ascii="Calibri" w:eastAsia="Times New Roman" w:hAnsi="Calibri" w:cs="Calibri"/>
                <w:color w:val="000000"/>
              </w:rPr>
              <w:t>0.7</w:t>
            </w:r>
          </w:p>
        </w:tc>
        <w:tc>
          <w:tcPr>
            <w:tcW w:w="2270" w:type="dxa"/>
            <w:tcBorders>
              <w:top w:val="single" w:sz="4" w:space="0" w:color="auto"/>
              <w:left w:val="nil"/>
              <w:bottom w:val="single" w:sz="4" w:space="0" w:color="auto"/>
              <w:right w:val="nil"/>
            </w:tcBorders>
            <w:shd w:val="clear" w:color="auto" w:fill="auto"/>
            <w:noWrap/>
            <w:vAlign w:val="center"/>
            <w:hideMark/>
          </w:tcPr>
          <w:p w:rsidR="00822B54" w:rsidRPr="00D456A4" w:rsidP="00961C50" w14:paraId="15A621D7" w14:textId="77777777">
            <w:pPr>
              <w:spacing w:after="0" w:line="240" w:lineRule="auto"/>
              <w:rPr>
                <w:rFonts w:ascii="Calibri" w:eastAsia="Times New Roman" w:hAnsi="Calibri" w:cs="Calibri"/>
                <w:color w:val="000000"/>
              </w:rPr>
            </w:pPr>
            <w:r>
              <w:rPr>
                <w:rFonts w:ascii="Calibri" w:eastAsia="Times New Roman" w:hAnsi="Calibri" w:cs="Calibri"/>
                <w:color w:val="000000"/>
              </w:rPr>
              <w:t>0.15</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D456A4" w:rsidP="00961C50" w14:paraId="216CF83E" w14:textId="77777777">
            <w:pPr>
              <w:spacing w:after="0" w:line="240" w:lineRule="auto"/>
              <w:rPr>
                <w:rFonts w:ascii="Calibri" w:eastAsia="Times New Roman" w:hAnsi="Calibri" w:cs="Calibri"/>
                <w:color w:val="000000"/>
              </w:rPr>
            </w:pPr>
            <w:r>
              <w:rPr>
                <w:rFonts w:ascii="Calibri" w:eastAsia="Times New Roman" w:hAnsi="Calibri" w:cs="Calibri"/>
                <w:color w:val="000000"/>
              </w:rPr>
              <w:t>1</w:t>
            </w:r>
          </w:p>
        </w:tc>
      </w:tr>
    </w:tbl>
    <w:p w:rsidR="00822B54" w:rsidRPr="00D456A4" w:rsidP="00961C50" w14:paraId="73B49E02" w14:textId="77777777">
      <w:pPr>
        <w:spacing w:after="0" w:line="240" w:lineRule="auto"/>
        <w:rPr>
          <w:rFonts w:ascii="Calibri" w:hAnsi="Calibri" w:cs="Calibri"/>
        </w:rPr>
      </w:pPr>
    </w:p>
    <w:p w:rsidR="004E3F68" w:rsidP="00961C50" w14:paraId="3C844F1C" w14:textId="77777777">
      <w:pPr>
        <w:spacing w:after="0" w:line="240" w:lineRule="auto"/>
        <w:rPr>
          <w:rFonts w:ascii="Calibri" w:hAnsi="Calibri" w:cs="Calibri"/>
        </w:rPr>
      </w:pPr>
    </w:p>
    <w:p w:rsidR="00822B54" w:rsidP="00961C50" w14:paraId="7A41F789" w14:textId="4EFC34D9">
      <w:pPr>
        <w:spacing w:after="0" w:line="240" w:lineRule="auto"/>
        <w:ind w:left="-90"/>
        <w:rPr>
          <w:rFonts w:ascii="Calibri" w:hAnsi="Calibri" w:cs="Calibri"/>
          <w:i/>
          <w:iCs/>
        </w:rPr>
      </w:pPr>
      <w:r w:rsidRPr="00870849">
        <w:rPr>
          <w:rFonts w:ascii="Calibri" w:hAnsi="Calibri" w:cs="Calibri"/>
          <w:i/>
          <w:iCs/>
        </w:rPr>
        <w:t>Step 2: Calculate weighted labor cost across all staff roles involved.</w:t>
      </w:r>
    </w:p>
    <w:p w:rsidR="00C04A8F" w:rsidP="00961C50" w14:paraId="47554457" w14:textId="77777777">
      <w:pPr>
        <w:spacing w:after="0" w:line="240" w:lineRule="auto"/>
        <w:ind w:left="-90"/>
        <w:rPr>
          <w:rFonts w:ascii="Calibri" w:hAnsi="Calibri" w:cs="Calibri"/>
          <w:i/>
          <w:iCs/>
        </w:rPr>
      </w:pPr>
    </w:p>
    <w:tbl>
      <w:tblPr>
        <w:tblW w:w="0" w:type="auto"/>
        <w:tblInd w:w="113" w:type="dxa"/>
        <w:tblLayout w:type="fixed"/>
        <w:tblLook w:val="04A0"/>
      </w:tblPr>
      <w:tblGrid>
        <w:gridCol w:w="1345"/>
        <w:gridCol w:w="2700"/>
        <w:gridCol w:w="1080"/>
        <w:gridCol w:w="1170"/>
        <w:gridCol w:w="1018"/>
        <w:gridCol w:w="1232"/>
        <w:gridCol w:w="1620"/>
        <w:gridCol w:w="1170"/>
        <w:gridCol w:w="1440"/>
      </w:tblGrid>
      <w:tr w14:paraId="4E19F59C" w14:textId="77777777" w:rsidTr="009042A9">
        <w:tblPrEx>
          <w:tblW w:w="0" w:type="auto"/>
          <w:tblInd w:w="113" w:type="dxa"/>
          <w:tblLayout w:type="fixed"/>
          <w:tblLook w:val="04A0"/>
        </w:tblPrEx>
        <w:trPr>
          <w:trHeight w:val="315"/>
          <w:tblHeader/>
        </w:trPr>
        <w:tc>
          <w:tcPr>
            <w:tcW w:w="12775"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60654C" w:rsidRPr="0060654C" w:rsidP="00961C50" w14:paraId="61B7F96D" w14:textId="304F9E7F">
            <w:pPr>
              <w:spacing w:after="0" w:line="240" w:lineRule="auto"/>
              <w:rPr>
                <w:rFonts w:ascii="Calibri" w:eastAsia="Times New Roman" w:hAnsi="Calibri" w:cs="Calibri"/>
                <w:b/>
                <w:bCs/>
                <w:color w:val="000000"/>
              </w:rPr>
            </w:pPr>
            <w:bookmarkStart w:id="28" w:name="RANGE!B8"/>
            <w:r w:rsidRPr="00D456A4">
              <w:rPr>
                <w:rFonts w:ascii="Calibri" w:eastAsia="Times New Roman" w:hAnsi="Calibri" w:cs="Calibri"/>
                <w:b/>
                <w:bCs/>
                <w:color w:val="000000"/>
              </w:rPr>
              <w:t>TABLE 12.</w:t>
            </w:r>
            <w:r>
              <w:rPr>
                <w:rFonts w:ascii="Calibri" w:eastAsia="Times New Roman" w:hAnsi="Calibri" w:cs="Calibri"/>
                <w:b/>
                <w:bCs/>
                <w:color w:val="000000"/>
              </w:rPr>
              <w:t>2</w:t>
            </w:r>
            <w:r w:rsidRPr="00D456A4">
              <w:rPr>
                <w:rFonts w:ascii="Calibri" w:eastAsia="Times New Roman" w:hAnsi="Calibri" w:cs="Calibri"/>
                <w:b/>
                <w:bCs/>
                <w:color w:val="000000"/>
              </w:rPr>
              <w:t xml:space="preserve">: WAGE RATES for Respondents </w:t>
            </w:r>
            <w:r w:rsidRPr="0060654C">
              <w:rPr>
                <w:rFonts w:ascii="Calibri" w:eastAsia="Times New Roman" w:hAnsi="Calibri" w:cs="Calibri"/>
                <w:b/>
                <w:bCs/>
                <w:color w:val="000000"/>
              </w:rPr>
              <w:t>(202</w:t>
            </w:r>
            <w:r>
              <w:rPr>
                <w:rFonts w:ascii="Calibri" w:eastAsia="Times New Roman" w:hAnsi="Calibri" w:cs="Calibri"/>
                <w:b/>
                <w:bCs/>
                <w:color w:val="000000"/>
              </w:rPr>
              <w:t>3</w:t>
            </w:r>
            <w:r w:rsidRPr="0060654C">
              <w:rPr>
                <w:rFonts w:ascii="Calibri" w:eastAsia="Times New Roman" w:hAnsi="Calibri" w:cs="Calibri"/>
                <w:b/>
                <w:bCs/>
                <w:color w:val="000000"/>
              </w:rPr>
              <w:t>$)</w:t>
            </w:r>
            <w:bookmarkEnd w:id="28"/>
          </w:p>
        </w:tc>
      </w:tr>
      <w:tr w14:paraId="190E0EDE" w14:textId="77777777" w:rsidTr="00F105FD">
        <w:tblPrEx>
          <w:tblW w:w="0" w:type="auto"/>
          <w:tblInd w:w="113" w:type="dxa"/>
          <w:tblLayout w:type="fixed"/>
          <w:tblLook w:val="04A0"/>
        </w:tblPrEx>
        <w:trPr>
          <w:trHeight w:val="315"/>
          <w:tblHeader/>
        </w:trPr>
        <w:tc>
          <w:tcPr>
            <w:tcW w:w="1345"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9042A9" w:rsidP="00961C50" w14:paraId="1D5AE9F7" w14:textId="77777777">
            <w:pPr>
              <w:spacing w:after="0" w:line="240" w:lineRule="auto"/>
              <w:rPr>
                <w:rFonts w:eastAsia="Times New Roman" w:cstheme="minorHAnsi"/>
                <w:b/>
                <w:bCs/>
              </w:rPr>
            </w:pPr>
            <w:r w:rsidRPr="009042A9">
              <w:rPr>
                <w:rFonts w:eastAsia="Times New Roman" w:cstheme="minorHAnsi"/>
                <w:b/>
                <w:bCs/>
              </w:rPr>
              <w:t>Labor Category</w:t>
            </w:r>
          </w:p>
        </w:tc>
        <w:tc>
          <w:tcPr>
            <w:tcW w:w="2700"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9042A9" w:rsidP="00961C50" w14:paraId="43CE6918" w14:textId="77777777">
            <w:pPr>
              <w:spacing w:after="0" w:line="240" w:lineRule="auto"/>
              <w:rPr>
                <w:rFonts w:eastAsia="Times New Roman" w:cstheme="minorHAnsi"/>
                <w:b/>
                <w:bCs/>
              </w:rPr>
            </w:pPr>
            <w:r w:rsidRPr="009042A9">
              <w:rPr>
                <w:rFonts w:eastAsia="Times New Roman" w:cstheme="minorHAnsi"/>
                <w:b/>
                <w:bCs/>
              </w:rPr>
              <w:t>Data Series</w:t>
            </w:r>
            <w:r w:rsidRPr="009042A9">
              <w:rPr>
                <w:rFonts w:eastAsia="Times New Roman" w:cstheme="minorHAnsi"/>
                <w:b/>
                <w:bCs/>
                <w:vertAlign w:val="superscript"/>
              </w:rPr>
              <w:t xml:space="preserve"> a</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9042A9" w:rsidP="00961C50" w14:paraId="60A298AE" w14:textId="77777777">
            <w:pPr>
              <w:spacing w:after="0" w:line="240" w:lineRule="auto"/>
              <w:rPr>
                <w:rFonts w:eastAsia="Times New Roman" w:cstheme="minorHAnsi"/>
                <w:b/>
                <w:bCs/>
              </w:rPr>
            </w:pPr>
            <w:r w:rsidRPr="009042A9">
              <w:rPr>
                <w:rFonts w:eastAsia="Times New Roman" w:cstheme="minorHAnsi"/>
                <w:b/>
                <w:bCs/>
              </w:rPr>
              <w:t>Period</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9042A9" w:rsidP="00961C50" w14:paraId="58C838AE" w14:textId="3DEFF6DF">
            <w:pPr>
              <w:spacing w:after="0" w:line="240" w:lineRule="auto"/>
              <w:rPr>
                <w:rFonts w:eastAsia="Times New Roman" w:cstheme="minorHAnsi"/>
                <w:b/>
                <w:bCs/>
                <w:vertAlign w:val="superscript"/>
              </w:rPr>
            </w:pPr>
            <w:r w:rsidRPr="009042A9">
              <w:rPr>
                <w:rFonts w:eastAsia="Times New Roman" w:cstheme="minorHAnsi"/>
                <w:b/>
                <w:bCs/>
              </w:rPr>
              <w:t>Wage ($/hour)</w:t>
            </w:r>
          </w:p>
        </w:tc>
        <w:tc>
          <w:tcPr>
            <w:tcW w:w="1018" w:type="dxa"/>
            <w:tcBorders>
              <w:top w:val="nil"/>
              <w:left w:val="nil"/>
              <w:bottom w:val="single" w:sz="4" w:space="0" w:color="auto"/>
              <w:right w:val="single" w:sz="4" w:space="0" w:color="auto"/>
            </w:tcBorders>
            <w:shd w:val="clear" w:color="000000" w:fill="D9D9D9"/>
            <w:vAlign w:val="center"/>
            <w:hideMark/>
          </w:tcPr>
          <w:p w:rsidR="0060654C" w:rsidRPr="009042A9" w:rsidP="00961C50" w14:paraId="14335384" w14:textId="288AC201">
            <w:pPr>
              <w:spacing w:after="0" w:line="240" w:lineRule="auto"/>
              <w:rPr>
                <w:rFonts w:eastAsia="Times New Roman" w:cstheme="minorHAnsi"/>
                <w:b/>
                <w:bCs/>
                <w:vertAlign w:val="superscript"/>
              </w:rPr>
            </w:pPr>
            <w:r w:rsidRPr="009042A9">
              <w:rPr>
                <w:rFonts w:eastAsia="Times New Roman" w:cstheme="minorHAnsi"/>
                <w:b/>
                <w:bCs/>
              </w:rPr>
              <w:t xml:space="preserve">Fringe </w:t>
            </w:r>
            <w:r w:rsidRPr="009042A9">
              <w:rPr>
                <w:rFonts w:eastAsia="Times New Roman" w:cstheme="minorHAnsi"/>
                <w:b/>
                <w:bCs/>
              </w:rPr>
              <w:t>Benefit</w:t>
            </w:r>
            <w:r w:rsidR="00F105FD">
              <w:rPr>
                <w:rFonts w:eastAsia="Times New Roman" w:cstheme="minorHAnsi"/>
                <w:b/>
                <w:bCs/>
                <w:vertAlign w:val="superscript"/>
              </w:rPr>
              <w:t>b</w:t>
            </w:r>
          </w:p>
        </w:tc>
        <w:tc>
          <w:tcPr>
            <w:tcW w:w="1232" w:type="dxa"/>
            <w:tcBorders>
              <w:top w:val="nil"/>
              <w:left w:val="nil"/>
              <w:bottom w:val="single" w:sz="4" w:space="0" w:color="auto"/>
              <w:right w:val="single" w:sz="4" w:space="0" w:color="auto"/>
            </w:tcBorders>
            <w:shd w:val="clear" w:color="000000" w:fill="D9D9D9"/>
            <w:vAlign w:val="center"/>
            <w:hideMark/>
          </w:tcPr>
          <w:p w:rsidR="0060654C" w:rsidRPr="009042A9" w:rsidP="00961C50" w14:paraId="10179C70" w14:textId="7AB88856">
            <w:pPr>
              <w:spacing w:after="0" w:line="240" w:lineRule="auto"/>
              <w:rPr>
                <w:rFonts w:eastAsia="Times New Roman" w:cstheme="minorHAnsi"/>
                <w:b/>
                <w:bCs/>
              </w:rPr>
            </w:pPr>
            <w:r w:rsidRPr="009042A9">
              <w:rPr>
                <w:rFonts w:eastAsia="Times New Roman" w:cstheme="minorHAnsi"/>
                <w:b/>
                <w:bCs/>
              </w:rPr>
              <w:t xml:space="preserve">Total </w:t>
            </w:r>
            <w:r w:rsidRPr="009042A9">
              <w:rPr>
                <w:rFonts w:eastAsia="Times New Roman" w:cstheme="minorHAnsi"/>
                <w:b/>
                <w:bCs/>
              </w:rPr>
              <w:t>Compen</w:t>
            </w:r>
            <w:r w:rsidR="001E7111">
              <w:rPr>
                <w:rFonts w:eastAsia="Times New Roman" w:cstheme="minorHAnsi"/>
                <w:b/>
                <w:bCs/>
              </w:rPr>
              <w:t>-</w:t>
            </w:r>
            <w:r w:rsidRPr="009042A9">
              <w:rPr>
                <w:rFonts w:eastAsia="Times New Roman" w:cstheme="minorHAnsi"/>
                <w:b/>
                <w:bCs/>
              </w:rPr>
              <w:t>sation</w:t>
            </w:r>
          </w:p>
        </w:tc>
        <w:tc>
          <w:tcPr>
            <w:tcW w:w="1620" w:type="dxa"/>
            <w:tcBorders>
              <w:top w:val="nil"/>
              <w:left w:val="nil"/>
              <w:bottom w:val="single" w:sz="4" w:space="0" w:color="auto"/>
              <w:right w:val="single" w:sz="4" w:space="0" w:color="auto"/>
            </w:tcBorders>
            <w:shd w:val="clear" w:color="000000" w:fill="D9D9D9"/>
            <w:vAlign w:val="center"/>
            <w:hideMark/>
          </w:tcPr>
          <w:p w:rsidR="0060654C" w:rsidRPr="009042A9" w:rsidP="00961C50" w14:paraId="74D931FA" w14:textId="1829C815">
            <w:pPr>
              <w:spacing w:after="0" w:line="240" w:lineRule="auto"/>
              <w:rPr>
                <w:rFonts w:eastAsia="Times New Roman" w:cstheme="minorHAnsi"/>
                <w:b/>
                <w:bCs/>
              </w:rPr>
            </w:pPr>
            <w:r w:rsidRPr="009042A9">
              <w:rPr>
                <w:rFonts w:eastAsia="Times New Roman" w:cstheme="minorHAnsi"/>
                <w:b/>
                <w:bCs/>
              </w:rPr>
              <w:t xml:space="preserve">Overhead as % of Total </w:t>
            </w:r>
            <w:r w:rsidRPr="009042A9">
              <w:rPr>
                <w:rFonts w:eastAsia="Times New Roman" w:cstheme="minorHAnsi"/>
                <w:b/>
                <w:bCs/>
              </w:rPr>
              <w:t>Compensation</w:t>
            </w:r>
            <w:r w:rsidR="004E0E1C">
              <w:rPr>
                <w:rFonts w:eastAsia="Times New Roman" w:cstheme="minorHAnsi"/>
                <w:b/>
                <w:bCs/>
                <w:vertAlign w:val="superscript"/>
              </w:rPr>
              <w:t>c</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9042A9" w:rsidP="00961C50" w14:paraId="4B5F33FD" w14:textId="77777777">
            <w:pPr>
              <w:spacing w:after="0" w:line="240" w:lineRule="auto"/>
              <w:rPr>
                <w:rFonts w:eastAsia="Times New Roman" w:cstheme="minorHAnsi"/>
                <w:b/>
                <w:bCs/>
              </w:rPr>
            </w:pPr>
            <w:r w:rsidRPr="009042A9">
              <w:rPr>
                <w:rFonts w:eastAsia="Times New Roman" w:cstheme="minorHAnsi"/>
                <w:b/>
                <w:bCs/>
              </w:rPr>
              <w:t>Overhead</w:t>
            </w:r>
          </w:p>
        </w:tc>
        <w:tc>
          <w:tcPr>
            <w:tcW w:w="1440" w:type="dxa"/>
            <w:tcBorders>
              <w:top w:val="nil"/>
              <w:left w:val="nil"/>
              <w:bottom w:val="single" w:sz="4" w:space="0" w:color="auto"/>
              <w:right w:val="single" w:sz="4" w:space="0" w:color="auto"/>
            </w:tcBorders>
            <w:shd w:val="clear" w:color="000000" w:fill="D9D9D9"/>
            <w:vAlign w:val="center"/>
            <w:hideMark/>
          </w:tcPr>
          <w:p w:rsidR="0060654C" w:rsidRPr="009042A9" w:rsidP="00961C50" w14:paraId="1E5A479B" w14:textId="389C40D0">
            <w:pPr>
              <w:spacing w:after="0" w:line="240" w:lineRule="auto"/>
              <w:rPr>
                <w:rFonts w:eastAsia="Times New Roman" w:cstheme="minorHAnsi"/>
                <w:b/>
                <w:bCs/>
              </w:rPr>
            </w:pPr>
            <w:r w:rsidRPr="009042A9">
              <w:rPr>
                <w:rFonts w:eastAsia="Times New Roman" w:cstheme="minorHAnsi"/>
                <w:b/>
                <w:bCs/>
              </w:rPr>
              <w:t>Hourly Loaded Wages</w:t>
            </w:r>
          </w:p>
        </w:tc>
      </w:tr>
      <w:tr w14:paraId="4F37FE42" w14:textId="77777777" w:rsidTr="00F105FD">
        <w:tblPrEx>
          <w:tblW w:w="0" w:type="auto"/>
          <w:tblInd w:w="113" w:type="dxa"/>
          <w:tblLayout w:type="fixed"/>
          <w:tblLook w:val="04A0"/>
        </w:tblPrEx>
        <w:trPr>
          <w:trHeight w:val="300"/>
          <w:tblHeader/>
        </w:trPr>
        <w:tc>
          <w:tcPr>
            <w:tcW w:w="1345" w:type="dxa"/>
            <w:vMerge/>
            <w:tcBorders>
              <w:top w:val="nil"/>
              <w:left w:val="single" w:sz="4" w:space="0" w:color="auto"/>
              <w:bottom w:val="single" w:sz="4" w:space="0" w:color="auto"/>
              <w:right w:val="single" w:sz="4" w:space="0" w:color="auto"/>
            </w:tcBorders>
            <w:vAlign w:val="center"/>
            <w:hideMark/>
          </w:tcPr>
          <w:p w:rsidR="0060654C" w:rsidRPr="009042A9" w:rsidP="00961C50" w14:paraId="419B9E37" w14:textId="77777777">
            <w:pPr>
              <w:spacing w:after="0" w:line="240" w:lineRule="auto"/>
              <w:rPr>
                <w:rFonts w:eastAsia="Times New Roman" w:cstheme="minorHAnsi"/>
                <w:b/>
                <w:bCs/>
              </w:rPr>
            </w:pPr>
          </w:p>
        </w:tc>
        <w:tc>
          <w:tcPr>
            <w:tcW w:w="2700" w:type="dxa"/>
            <w:vMerge/>
            <w:tcBorders>
              <w:top w:val="nil"/>
              <w:left w:val="single" w:sz="4" w:space="0" w:color="auto"/>
              <w:bottom w:val="single" w:sz="4" w:space="0" w:color="auto"/>
              <w:right w:val="single" w:sz="4" w:space="0" w:color="auto"/>
            </w:tcBorders>
            <w:vAlign w:val="center"/>
            <w:hideMark/>
          </w:tcPr>
          <w:p w:rsidR="0060654C" w:rsidRPr="009042A9" w:rsidP="00961C50" w14:paraId="0A1188D6" w14:textId="77777777">
            <w:pPr>
              <w:spacing w:after="0" w:line="240" w:lineRule="auto"/>
              <w:rPr>
                <w:rFonts w:eastAsia="Times New Roman" w:cstheme="minorHAnsi"/>
                <w:b/>
                <w:bCs/>
              </w:rPr>
            </w:pPr>
          </w:p>
        </w:tc>
        <w:tc>
          <w:tcPr>
            <w:tcW w:w="1080" w:type="dxa"/>
            <w:vMerge/>
            <w:tcBorders>
              <w:top w:val="nil"/>
              <w:left w:val="single" w:sz="4" w:space="0" w:color="auto"/>
              <w:bottom w:val="single" w:sz="4" w:space="0" w:color="auto"/>
              <w:right w:val="single" w:sz="4" w:space="0" w:color="auto"/>
            </w:tcBorders>
            <w:vAlign w:val="center"/>
            <w:hideMark/>
          </w:tcPr>
          <w:p w:rsidR="0060654C" w:rsidRPr="009042A9" w:rsidP="00961C50" w14:paraId="5DBB3FF3" w14:textId="77777777">
            <w:pPr>
              <w:spacing w:after="0" w:line="240" w:lineRule="auto"/>
              <w:rPr>
                <w:rFonts w:eastAsia="Times New Roman" w:cstheme="minorHAnsi"/>
                <w:b/>
                <w:bCs/>
              </w:rPr>
            </w:pPr>
          </w:p>
        </w:tc>
        <w:tc>
          <w:tcPr>
            <w:tcW w:w="1170" w:type="dxa"/>
            <w:tcBorders>
              <w:top w:val="nil"/>
              <w:left w:val="nil"/>
              <w:bottom w:val="single" w:sz="4" w:space="0" w:color="auto"/>
              <w:right w:val="single" w:sz="4" w:space="0" w:color="auto"/>
            </w:tcBorders>
            <w:shd w:val="clear" w:color="000000" w:fill="D9D9D9"/>
            <w:vAlign w:val="center"/>
            <w:hideMark/>
          </w:tcPr>
          <w:p w:rsidR="0060654C" w:rsidRPr="009042A9" w:rsidP="00961C50" w14:paraId="73912EAE" w14:textId="77777777">
            <w:pPr>
              <w:spacing w:after="0" w:line="240" w:lineRule="auto"/>
              <w:rPr>
                <w:rFonts w:eastAsia="Times New Roman" w:cstheme="minorHAnsi"/>
                <w:b/>
                <w:bCs/>
                <w:i/>
                <w:iCs/>
              </w:rPr>
            </w:pPr>
            <w:r w:rsidRPr="009042A9">
              <w:rPr>
                <w:rFonts w:eastAsia="Times New Roman" w:cstheme="minorHAnsi"/>
                <w:b/>
                <w:bCs/>
                <w:i/>
                <w:iCs/>
              </w:rPr>
              <w:t>(a)</w:t>
            </w:r>
          </w:p>
        </w:tc>
        <w:tc>
          <w:tcPr>
            <w:tcW w:w="1018" w:type="dxa"/>
            <w:tcBorders>
              <w:top w:val="nil"/>
              <w:left w:val="nil"/>
              <w:bottom w:val="single" w:sz="4" w:space="0" w:color="auto"/>
              <w:right w:val="single" w:sz="4" w:space="0" w:color="auto"/>
            </w:tcBorders>
            <w:shd w:val="clear" w:color="000000" w:fill="D9D9D9"/>
            <w:vAlign w:val="center"/>
            <w:hideMark/>
          </w:tcPr>
          <w:p w:rsidR="0060654C" w:rsidRPr="009042A9" w:rsidP="00961C50" w14:paraId="23B8CE83" w14:textId="77777777">
            <w:pPr>
              <w:spacing w:after="0" w:line="240" w:lineRule="auto"/>
              <w:rPr>
                <w:rFonts w:eastAsia="Times New Roman" w:cstheme="minorHAnsi"/>
                <w:b/>
                <w:bCs/>
                <w:i/>
                <w:iCs/>
              </w:rPr>
            </w:pPr>
            <w:r w:rsidRPr="009042A9">
              <w:rPr>
                <w:rFonts w:eastAsia="Times New Roman" w:cstheme="minorHAnsi"/>
                <w:b/>
                <w:bCs/>
                <w:i/>
                <w:iCs/>
              </w:rPr>
              <w:t>(b)</w:t>
            </w:r>
          </w:p>
        </w:tc>
        <w:tc>
          <w:tcPr>
            <w:tcW w:w="1232" w:type="dxa"/>
            <w:tcBorders>
              <w:top w:val="nil"/>
              <w:left w:val="nil"/>
              <w:bottom w:val="single" w:sz="4" w:space="0" w:color="auto"/>
              <w:right w:val="single" w:sz="4" w:space="0" w:color="auto"/>
            </w:tcBorders>
            <w:shd w:val="clear" w:color="000000" w:fill="D9D9D9"/>
            <w:vAlign w:val="center"/>
            <w:hideMark/>
          </w:tcPr>
          <w:p w:rsidR="0060654C" w:rsidRPr="009042A9" w:rsidP="00961C50" w14:paraId="03D73077" w14:textId="77777777">
            <w:pPr>
              <w:spacing w:after="0" w:line="240" w:lineRule="auto"/>
              <w:rPr>
                <w:rFonts w:eastAsia="Times New Roman" w:cstheme="minorHAnsi"/>
                <w:b/>
                <w:bCs/>
                <w:i/>
                <w:iCs/>
              </w:rPr>
            </w:pPr>
            <w:r w:rsidRPr="009042A9">
              <w:rPr>
                <w:rFonts w:eastAsia="Times New Roman" w:cstheme="minorHAnsi"/>
                <w:b/>
                <w:bCs/>
                <w:i/>
                <w:iCs/>
              </w:rPr>
              <w:t>(c) =(b)+(a)</w:t>
            </w:r>
          </w:p>
        </w:tc>
        <w:tc>
          <w:tcPr>
            <w:tcW w:w="1620" w:type="dxa"/>
            <w:tcBorders>
              <w:top w:val="nil"/>
              <w:left w:val="nil"/>
              <w:bottom w:val="single" w:sz="4" w:space="0" w:color="auto"/>
              <w:right w:val="single" w:sz="4" w:space="0" w:color="auto"/>
            </w:tcBorders>
            <w:shd w:val="clear" w:color="000000" w:fill="D9D9D9"/>
            <w:vAlign w:val="center"/>
            <w:hideMark/>
          </w:tcPr>
          <w:p w:rsidR="0060654C" w:rsidRPr="009042A9" w:rsidP="00961C50" w14:paraId="716AF389" w14:textId="77777777">
            <w:pPr>
              <w:spacing w:after="0" w:line="240" w:lineRule="auto"/>
              <w:rPr>
                <w:rFonts w:eastAsia="Times New Roman" w:cstheme="minorHAnsi"/>
                <w:b/>
                <w:bCs/>
                <w:i/>
                <w:iCs/>
              </w:rPr>
            </w:pPr>
            <w:r w:rsidRPr="009042A9">
              <w:rPr>
                <w:rFonts w:eastAsia="Times New Roman" w:cstheme="minorHAnsi"/>
                <w:b/>
                <w:bCs/>
                <w:i/>
                <w:iCs/>
              </w:rPr>
              <w:t>(d)</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9042A9" w:rsidP="00961C50" w14:paraId="2F0DB25A" w14:textId="77777777">
            <w:pPr>
              <w:spacing w:after="0" w:line="240" w:lineRule="auto"/>
              <w:rPr>
                <w:rFonts w:eastAsia="Times New Roman" w:cstheme="minorHAnsi"/>
                <w:b/>
                <w:bCs/>
                <w:i/>
                <w:iCs/>
              </w:rPr>
            </w:pPr>
            <w:r w:rsidRPr="009042A9">
              <w:rPr>
                <w:rFonts w:eastAsia="Times New Roman" w:cstheme="minorHAnsi"/>
                <w:b/>
                <w:bCs/>
                <w:i/>
                <w:iCs/>
              </w:rPr>
              <w:t>(e)=(c)*(d)</w:t>
            </w:r>
          </w:p>
        </w:tc>
        <w:tc>
          <w:tcPr>
            <w:tcW w:w="1440" w:type="dxa"/>
            <w:tcBorders>
              <w:top w:val="nil"/>
              <w:left w:val="nil"/>
              <w:bottom w:val="single" w:sz="4" w:space="0" w:color="auto"/>
              <w:right w:val="single" w:sz="4" w:space="0" w:color="auto"/>
            </w:tcBorders>
            <w:shd w:val="clear" w:color="000000" w:fill="D9D9D9"/>
            <w:vAlign w:val="center"/>
            <w:hideMark/>
          </w:tcPr>
          <w:p w:rsidR="0060654C" w:rsidRPr="009042A9" w:rsidP="00961C50" w14:paraId="3B7FE99B" w14:textId="77777777">
            <w:pPr>
              <w:spacing w:after="0" w:line="240" w:lineRule="auto"/>
              <w:rPr>
                <w:rFonts w:eastAsia="Times New Roman" w:cstheme="minorHAnsi"/>
                <w:b/>
                <w:bCs/>
                <w:i/>
                <w:iCs/>
              </w:rPr>
            </w:pPr>
            <w:r w:rsidRPr="009042A9">
              <w:rPr>
                <w:rFonts w:eastAsia="Times New Roman" w:cstheme="minorHAnsi"/>
                <w:b/>
                <w:bCs/>
                <w:i/>
                <w:iCs/>
              </w:rPr>
              <w:t>(f)=(c)+(e)</w:t>
            </w:r>
          </w:p>
        </w:tc>
      </w:tr>
      <w:tr w14:paraId="50049D84"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0654C" w:rsidRPr="009042A9" w:rsidP="00961C50" w14:paraId="50C68AE6" w14:textId="77777777">
            <w:pPr>
              <w:spacing w:after="0" w:line="240" w:lineRule="auto"/>
              <w:rPr>
                <w:rFonts w:eastAsia="Times New Roman" w:cstheme="minorHAnsi"/>
              </w:rPr>
            </w:pPr>
            <w:r w:rsidRPr="009042A9">
              <w:rPr>
                <w:rFonts w:eastAsia="Times New Roman" w:cstheme="minorHAnsi"/>
              </w:rPr>
              <w:t>Managerial</w:t>
            </w:r>
          </w:p>
        </w:tc>
        <w:tc>
          <w:tcPr>
            <w:tcW w:w="2700" w:type="dxa"/>
            <w:tcBorders>
              <w:top w:val="nil"/>
              <w:left w:val="nil"/>
              <w:bottom w:val="single" w:sz="4" w:space="0" w:color="auto"/>
              <w:right w:val="single" w:sz="4" w:space="0" w:color="auto"/>
            </w:tcBorders>
            <w:shd w:val="clear" w:color="auto" w:fill="auto"/>
            <w:vAlign w:val="center"/>
            <w:hideMark/>
          </w:tcPr>
          <w:p w:rsidR="0060654C" w:rsidRPr="009042A9" w:rsidP="00961C50" w14:paraId="6BCB683A" w14:textId="77777777">
            <w:pPr>
              <w:spacing w:after="0" w:line="240" w:lineRule="auto"/>
              <w:rPr>
                <w:rFonts w:eastAsia="Times New Roman" w:cstheme="minorHAnsi"/>
              </w:rPr>
            </w:pPr>
            <w:r w:rsidRPr="009042A9">
              <w:rPr>
                <w:rFonts w:eastAsia="Times New Roman" w:cstheme="minorHAnsi"/>
              </w:rPr>
              <w:t>BLS OEWS, National Industry-Specific Estimates, 813400, General and Operations Managers</w:t>
            </w:r>
          </w:p>
        </w:tc>
        <w:tc>
          <w:tcPr>
            <w:tcW w:w="1080" w:type="dxa"/>
            <w:tcBorders>
              <w:top w:val="nil"/>
              <w:left w:val="nil"/>
              <w:bottom w:val="single" w:sz="4" w:space="0" w:color="auto"/>
              <w:right w:val="single" w:sz="4" w:space="0" w:color="auto"/>
            </w:tcBorders>
            <w:shd w:val="clear" w:color="auto" w:fill="auto"/>
            <w:vAlign w:val="center"/>
            <w:hideMark/>
          </w:tcPr>
          <w:p w:rsidR="00C47249" w:rsidP="0087252A" w14:paraId="59F1D6A5"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May</w:t>
            </w:r>
            <w:r>
              <w:rPr>
                <w:rFonts w:ascii="Calibri" w:eastAsia="Times New Roman" w:hAnsi="Calibri" w:cs="Calibri"/>
                <w:color w:val="000000"/>
              </w:rPr>
              <w:t xml:space="preserve">/June </w:t>
            </w:r>
          </w:p>
          <w:p w:rsidR="0060654C" w:rsidRPr="009042A9" w:rsidP="0087252A" w14:paraId="756A6EA1" w14:textId="1BCE6E84">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2</w:t>
            </w:r>
            <w:r w:rsidR="00C47249">
              <w:rPr>
                <w:rFonts w:ascii="Calibri" w:eastAsia="Times New Roman" w:hAnsi="Calibri" w:cs="Calibri"/>
                <w:color w:val="000000"/>
              </w:rPr>
              <w:t>02</w:t>
            </w:r>
            <w:r w:rsidRPr="009042A9">
              <w:rPr>
                <w:rFonts w:ascii="Calibri" w:eastAsia="Times New Roman" w:hAnsi="Calibri" w:cs="Calibri"/>
                <w:color w:val="000000"/>
              </w:rPr>
              <w:t>3</w:t>
            </w:r>
          </w:p>
        </w:tc>
        <w:tc>
          <w:tcPr>
            <w:tcW w:w="1170" w:type="dxa"/>
            <w:tcBorders>
              <w:top w:val="nil"/>
              <w:left w:val="nil"/>
              <w:bottom w:val="single" w:sz="4" w:space="0" w:color="auto"/>
              <w:right w:val="single" w:sz="4" w:space="0" w:color="auto"/>
            </w:tcBorders>
            <w:shd w:val="clear" w:color="auto" w:fill="auto"/>
            <w:noWrap/>
            <w:vAlign w:val="center"/>
            <w:hideMark/>
          </w:tcPr>
          <w:p w:rsidR="0060654C" w:rsidRPr="009042A9" w:rsidP="0087252A" w14:paraId="0F23168B"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 xml:space="preserve">$48.77 </w:t>
            </w:r>
          </w:p>
        </w:tc>
        <w:tc>
          <w:tcPr>
            <w:tcW w:w="1018" w:type="dxa"/>
            <w:tcBorders>
              <w:top w:val="nil"/>
              <w:left w:val="nil"/>
              <w:bottom w:val="single" w:sz="4" w:space="0" w:color="auto"/>
              <w:right w:val="single" w:sz="4" w:space="0" w:color="auto"/>
            </w:tcBorders>
            <w:shd w:val="clear" w:color="auto" w:fill="auto"/>
            <w:noWrap/>
            <w:vAlign w:val="center"/>
            <w:hideMark/>
          </w:tcPr>
          <w:p w:rsidR="0060654C" w:rsidRPr="009042A9" w:rsidP="00ED67C7" w14:paraId="5024964E" w14:textId="502C89EC">
            <w:pPr>
              <w:spacing w:after="0" w:line="240" w:lineRule="auto"/>
              <w:ind w:left="-16" w:right="-195"/>
              <w:rPr>
                <w:rFonts w:ascii="Calibri" w:eastAsia="Times New Roman" w:hAnsi="Calibri" w:cs="Calibri"/>
                <w:color w:val="000000"/>
              </w:rPr>
            </w:pPr>
            <w:r>
              <w:rPr>
                <w:rFonts w:ascii="Calibri" w:eastAsia="Times New Roman" w:hAnsi="Calibri" w:cs="Calibri"/>
                <w:color w:val="000000"/>
              </w:rPr>
              <w:t>33.8%</w:t>
            </w:r>
            <w:r w:rsidRPr="009042A9">
              <w:rPr>
                <w:rFonts w:ascii="Calibri" w:eastAsia="Times New Roman" w:hAnsi="Calibri" w:cs="Calibri"/>
                <w:color w:val="000000"/>
              </w:rPr>
              <w:t xml:space="preserve"> </w:t>
            </w:r>
          </w:p>
        </w:tc>
        <w:tc>
          <w:tcPr>
            <w:tcW w:w="1232" w:type="dxa"/>
            <w:tcBorders>
              <w:top w:val="nil"/>
              <w:left w:val="nil"/>
              <w:bottom w:val="single" w:sz="4" w:space="0" w:color="auto"/>
              <w:right w:val="single" w:sz="4" w:space="0" w:color="auto"/>
            </w:tcBorders>
            <w:shd w:val="clear" w:color="auto" w:fill="auto"/>
            <w:vAlign w:val="center"/>
            <w:hideMark/>
          </w:tcPr>
          <w:p w:rsidR="0060654C" w:rsidRPr="009042A9" w:rsidP="00ED67C7" w14:paraId="26A716F0" w14:textId="77777777">
            <w:pPr>
              <w:spacing w:after="0" w:line="240" w:lineRule="auto"/>
              <w:ind w:left="-51" w:right="-195"/>
              <w:rPr>
                <w:rFonts w:ascii="Calibri" w:eastAsia="Times New Roman" w:hAnsi="Calibri" w:cs="Calibri"/>
                <w:color w:val="000000"/>
              </w:rPr>
            </w:pPr>
            <w:r w:rsidRPr="009042A9">
              <w:rPr>
                <w:rFonts w:ascii="Calibri" w:eastAsia="Times New Roman" w:hAnsi="Calibri" w:cs="Calibri"/>
                <w:color w:val="000000"/>
              </w:rPr>
              <w:t xml:space="preserve">$65.27 </w:t>
            </w:r>
          </w:p>
        </w:tc>
        <w:tc>
          <w:tcPr>
            <w:tcW w:w="1620" w:type="dxa"/>
            <w:tcBorders>
              <w:top w:val="nil"/>
              <w:left w:val="nil"/>
              <w:bottom w:val="single" w:sz="4" w:space="0" w:color="auto"/>
              <w:right w:val="single" w:sz="4" w:space="0" w:color="auto"/>
            </w:tcBorders>
            <w:shd w:val="clear" w:color="auto" w:fill="auto"/>
            <w:vAlign w:val="center"/>
            <w:hideMark/>
          </w:tcPr>
          <w:p w:rsidR="0060654C" w:rsidRPr="009042A9" w:rsidP="00ED67C7" w14:paraId="7327BE8A" w14:textId="77777777">
            <w:pPr>
              <w:spacing w:after="0" w:line="240" w:lineRule="auto"/>
              <w:ind w:left="-23" w:right="-195"/>
              <w:rPr>
                <w:rFonts w:ascii="Calibri" w:eastAsia="Times New Roman" w:hAnsi="Calibri" w:cs="Calibri"/>
                <w:color w:val="000000"/>
              </w:rPr>
            </w:pPr>
            <w:r w:rsidRPr="009042A9">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60654C" w:rsidRPr="009042A9" w:rsidP="00ED67C7" w14:paraId="56C5ADAA" w14:textId="77777777">
            <w:pPr>
              <w:spacing w:after="0" w:line="240" w:lineRule="auto"/>
              <w:ind w:left="-17" w:right="-195"/>
              <w:rPr>
                <w:rFonts w:ascii="Calibri" w:eastAsia="Times New Roman" w:hAnsi="Calibri" w:cs="Calibri"/>
                <w:color w:val="000000"/>
              </w:rPr>
            </w:pPr>
            <w:r w:rsidRPr="009042A9">
              <w:rPr>
                <w:rFonts w:ascii="Calibri" w:eastAsia="Times New Roman" w:hAnsi="Calibri" w:cs="Calibri"/>
                <w:color w:val="000000"/>
              </w:rPr>
              <w:t xml:space="preserve">$13.05 </w:t>
            </w:r>
          </w:p>
        </w:tc>
        <w:tc>
          <w:tcPr>
            <w:tcW w:w="1440" w:type="dxa"/>
            <w:tcBorders>
              <w:top w:val="nil"/>
              <w:left w:val="nil"/>
              <w:bottom w:val="single" w:sz="4" w:space="0" w:color="auto"/>
              <w:right w:val="single" w:sz="4" w:space="0" w:color="auto"/>
            </w:tcBorders>
            <w:shd w:val="clear" w:color="auto" w:fill="auto"/>
            <w:vAlign w:val="center"/>
            <w:hideMark/>
          </w:tcPr>
          <w:p w:rsidR="0060654C" w:rsidRPr="009042A9" w:rsidP="00ED67C7" w14:paraId="78A44492" w14:textId="77777777">
            <w:pPr>
              <w:spacing w:after="0" w:line="240" w:lineRule="auto"/>
              <w:ind w:left="-21" w:right="-195"/>
              <w:rPr>
                <w:rFonts w:ascii="Calibri" w:eastAsia="Times New Roman" w:hAnsi="Calibri" w:cs="Calibri"/>
                <w:color w:val="000000"/>
              </w:rPr>
            </w:pPr>
            <w:r w:rsidRPr="009042A9">
              <w:rPr>
                <w:rFonts w:ascii="Calibri" w:eastAsia="Times New Roman" w:hAnsi="Calibri" w:cs="Calibri"/>
                <w:color w:val="000000"/>
              </w:rPr>
              <w:t xml:space="preserve">$78.33 </w:t>
            </w:r>
          </w:p>
        </w:tc>
      </w:tr>
      <w:tr w14:paraId="27D8487B"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C47249" w:rsidRPr="009042A9" w:rsidP="00961C50" w14:paraId="5ED3E32A" w14:textId="77777777">
            <w:pPr>
              <w:spacing w:after="0" w:line="240" w:lineRule="auto"/>
              <w:rPr>
                <w:rFonts w:eastAsia="Times New Roman" w:cstheme="minorHAnsi"/>
              </w:rPr>
            </w:pPr>
            <w:r w:rsidRPr="009042A9">
              <w:rPr>
                <w:rFonts w:eastAsia="Times New Roman" w:cstheme="minorHAnsi"/>
              </w:rPr>
              <w:t>Professional / Technical</w:t>
            </w:r>
          </w:p>
        </w:tc>
        <w:tc>
          <w:tcPr>
            <w:tcW w:w="2700" w:type="dxa"/>
            <w:tcBorders>
              <w:top w:val="nil"/>
              <w:left w:val="nil"/>
              <w:bottom w:val="single" w:sz="4" w:space="0" w:color="auto"/>
              <w:right w:val="single" w:sz="4" w:space="0" w:color="auto"/>
            </w:tcBorders>
            <w:shd w:val="clear" w:color="auto" w:fill="auto"/>
            <w:vAlign w:val="center"/>
            <w:hideMark/>
          </w:tcPr>
          <w:p w:rsidR="00C47249" w:rsidRPr="009042A9" w:rsidP="00961C50" w14:paraId="01BEA338" w14:textId="77777777">
            <w:pPr>
              <w:spacing w:after="0" w:line="240" w:lineRule="auto"/>
              <w:rPr>
                <w:rFonts w:eastAsia="Times New Roman" w:cstheme="minorHAnsi"/>
              </w:rPr>
            </w:pPr>
            <w:r w:rsidRPr="009042A9">
              <w:rPr>
                <w:rFonts w:eastAsia="Times New Roman" w:cstheme="minorHAnsi"/>
              </w:rPr>
              <w:t>BLS OEWS, National Industry-Specific Estimates, 813400, Social Scientists and Related Workers</w:t>
            </w:r>
          </w:p>
        </w:tc>
        <w:tc>
          <w:tcPr>
            <w:tcW w:w="1080" w:type="dxa"/>
            <w:tcBorders>
              <w:top w:val="nil"/>
              <w:left w:val="nil"/>
              <w:bottom w:val="single" w:sz="4" w:space="0" w:color="auto"/>
              <w:right w:val="single" w:sz="4" w:space="0" w:color="auto"/>
            </w:tcBorders>
            <w:shd w:val="clear" w:color="auto" w:fill="auto"/>
            <w:vAlign w:val="center"/>
            <w:hideMark/>
          </w:tcPr>
          <w:p w:rsidR="00C47249" w:rsidP="0087252A" w14:paraId="196AABBB" w14:textId="77777777">
            <w:pPr>
              <w:spacing w:after="0" w:line="240" w:lineRule="auto"/>
              <w:ind w:right="-195"/>
              <w:rPr>
                <w:rFonts w:ascii="Calibri" w:eastAsia="Times New Roman" w:hAnsi="Calibri" w:cs="Calibri"/>
                <w:color w:val="000000"/>
              </w:rPr>
            </w:pPr>
            <w:r w:rsidRPr="00D17A73">
              <w:rPr>
                <w:rFonts w:ascii="Calibri" w:eastAsia="Times New Roman" w:hAnsi="Calibri" w:cs="Calibri"/>
                <w:color w:val="000000"/>
              </w:rPr>
              <w:t>May</w:t>
            </w:r>
            <w:r>
              <w:rPr>
                <w:rFonts w:ascii="Calibri" w:eastAsia="Times New Roman" w:hAnsi="Calibri" w:cs="Calibri"/>
                <w:color w:val="000000"/>
              </w:rPr>
              <w:t xml:space="preserve">/June </w:t>
            </w:r>
          </w:p>
          <w:p w:rsidR="00C47249" w:rsidRPr="009042A9" w:rsidP="0087252A" w14:paraId="09885079" w14:textId="2C4ADDF5">
            <w:pPr>
              <w:spacing w:after="0" w:line="240" w:lineRule="auto"/>
              <w:ind w:right="-195"/>
              <w:rPr>
                <w:rFonts w:ascii="Calibri" w:eastAsia="Times New Roman" w:hAnsi="Calibri" w:cs="Calibri"/>
                <w:color w:val="000000"/>
              </w:rPr>
            </w:pPr>
            <w:r w:rsidRPr="00D17A73">
              <w:rPr>
                <w:rFonts w:ascii="Calibri" w:eastAsia="Times New Roman" w:hAnsi="Calibri" w:cs="Calibri"/>
                <w:color w:val="000000"/>
              </w:rPr>
              <w:t>2</w:t>
            </w:r>
            <w:r>
              <w:rPr>
                <w:rFonts w:ascii="Calibri" w:eastAsia="Times New Roman" w:hAnsi="Calibri" w:cs="Calibri"/>
                <w:color w:val="000000"/>
              </w:rPr>
              <w:t>02</w:t>
            </w:r>
            <w:r w:rsidRPr="00D17A73">
              <w:rPr>
                <w:rFonts w:ascii="Calibri" w:eastAsia="Times New Roman" w:hAnsi="Calibri" w:cs="Calibri"/>
                <w:color w:val="000000"/>
              </w:rPr>
              <w:t>3</w:t>
            </w:r>
          </w:p>
        </w:tc>
        <w:tc>
          <w:tcPr>
            <w:tcW w:w="1170" w:type="dxa"/>
            <w:tcBorders>
              <w:top w:val="nil"/>
              <w:left w:val="nil"/>
              <w:bottom w:val="single" w:sz="4" w:space="0" w:color="auto"/>
              <w:right w:val="single" w:sz="4" w:space="0" w:color="auto"/>
            </w:tcBorders>
            <w:shd w:val="clear" w:color="auto" w:fill="auto"/>
            <w:vAlign w:val="center"/>
            <w:hideMark/>
          </w:tcPr>
          <w:p w:rsidR="00C47249" w:rsidRPr="009042A9" w:rsidP="0087252A" w14:paraId="4D83DD1E"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 xml:space="preserve">$36.00 </w:t>
            </w:r>
          </w:p>
        </w:tc>
        <w:tc>
          <w:tcPr>
            <w:tcW w:w="1018" w:type="dxa"/>
            <w:tcBorders>
              <w:top w:val="nil"/>
              <w:left w:val="nil"/>
              <w:bottom w:val="single" w:sz="4" w:space="0" w:color="auto"/>
              <w:right w:val="single" w:sz="4" w:space="0" w:color="auto"/>
            </w:tcBorders>
            <w:shd w:val="clear" w:color="auto" w:fill="auto"/>
            <w:noWrap/>
            <w:vAlign w:val="center"/>
            <w:hideMark/>
          </w:tcPr>
          <w:p w:rsidR="00C47249" w:rsidRPr="009042A9" w:rsidP="0087252A" w14:paraId="56C6AA58"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 xml:space="preserve">$12.18 </w:t>
            </w:r>
          </w:p>
        </w:tc>
        <w:tc>
          <w:tcPr>
            <w:tcW w:w="1232" w:type="dxa"/>
            <w:tcBorders>
              <w:top w:val="nil"/>
              <w:left w:val="nil"/>
              <w:bottom w:val="single" w:sz="4" w:space="0" w:color="auto"/>
              <w:right w:val="single" w:sz="4" w:space="0" w:color="auto"/>
            </w:tcBorders>
            <w:shd w:val="clear" w:color="auto" w:fill="auto"/>
            <w:vAlign w:val="center"/>
            <w:hideMark/>
          </w:tcPr>
          <w:p w:rsidR="00C47249" w:rsidRPr="009042A9" w:rsidP="00ED67C7" w14:paraId="1E81D673" w14:textId="77777777">
            <w:pPr>
              <w:spacing w:after="0" w:line="240" w:lineRule="auto"/>
              <w:ind w:left="-51" w:right="-195"/>
              <w:rPr>
                <w:rFonts w:ascii="Calibri" w:eastAsia="Times New Roman" w:hAnsi="Calibri" w:cs="Calibri"/>
                <w:color w:val="000000"/>
              </w:rPr>
            </w:pPr>
            <w:r w:rsidRPr="009042A9">
              <w:rPr>
                <w:rFonts w:ascii="Calibri" w:eastAsia="Times New Roman" w:hAnsi="Calibri" w:cs="Calibri"/>
                <w:color w:val="000000"/>
              </w:rPr>
              <w:t xml:space="preserve">$48.18 </w:t>
            </w:r>
          </w:p>
        </w:tc>
        <w:tc>
          <w:tcPr>
            <w:tcW w:w="1620" w:type="dxa"/>
            <w:tcBorders>
              <w:top w:val="nil"/>
              <w:left w:val="nil"/>
              <w:bottom w:val="single" w:sz="4" w:space="0" w:color="auto"/>
              <w:right w:val="single" w:sz="4" w:space="0" w:color="auto"/>
            </w:tcBorders>
            <w:shd w:val="clear" w:color="auto" w:fill="auto"/>
            <w:vAlign w:val="center"/>
            <w:hideMark/>
          </w:tcPr>
          <w:p w:rsidR="00C47249" w:rsidRPr="009042A9" w:rsidP="00ED67C7" w14:paraId="760CC381"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C47249" w:rsidRPr="009042A9" w:rsidP="00ED67C7" w14:paraId="62B521E0" w14:textId="77777777">
            <w:pPr>
              <w:spacing w:after="0" w:line="240" w:lineRule="auto"/>
              <w:ind w:left="-17" w:right="-195"/>
              <w:rPr>
                <w:rFonts w:ascii="Calibri" w:eastAsia="Times New Roman" w:hAnsi="Calibri" w:cs="Calibri"/>
                <w:color w:val="000000"/>
              </w:rPr>
            </w:pPr>
            <w:r w:rsidRPr="009042A9">
              <w:rPr>
                <w:rFonts w:ascii="Calibri" w:eastAsia="Times New Roman" w:hAnsi="Calibri" w:cs="Calibri"/>
                <w:color w:val="000000"/>
              </w:rPr>
              <w:t xml:space="preserve">$9.64 </w:t>
            </w:r>
          </w:p>
        </w:tc>
        <w:tc>
          <w:tcPr>
            <w:tcW w:w="1440" w:type="dxa"/>
            <w:tcBorders>
              <w:top w:val="nil"/>
              <w:left w:val="nil"/>
              <w:bottom w:val="single" w:sz="4" w:space="0" w:color="auto"/>
              <w:right w:val="single" w:sz="4" w:space="0" w:color="auto"/>
            </w:tcBorders>
            <w:shd w:val="clear" w:color="auto" w:fill="auto"/>
            <w:vAlign w:val="center"/>
            <w:hideMark/>
          </w:tcPr>
          <w:p w:rsidR="00C47249" w:rsidRPr="009042A9" w:rsidP="00ED67C7" w14:paraId="59E16B82" w14:textId="77777777">
            <w:pPr>
              <w:spacing w:after="0" w:line="240" w:lineRule="auto"/>
              <w:ind w:left="-21" w:right="-195"/>
              <w:rPr>
                <w:rFonts w:ascii="Calibri" w:eastAsia="Times New Roman" w:hAnsi="Calibri" w:cs="Calibri"/>
                <w:color w:val="000000"/>
              </w:rPr>
            </w:pPr>
            <w:r w:rsidRPr="009042A9">
              <w:rPr>
                <w:rFonts w:ascii="Calibri" w:eastAsia="Times New Roman" w:hAnsi="Calibri" w:cs="Calibri"/>
                <w:color w:val="000000"/>
              </w:rPr>
              <w:t xml:space="preserve">$57.82 </w:t>
            </w:r>
          </w:p>
        </w:tc>
      </w:tr>
      <w:tr w14:paraId="1185B94E"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C47249" w:rsidRPr="009042A9" w:rsidP="00961C50" w14:paraId="19E32E40" w14:textId="77777777">
            <w:pPr>
              <w:spacing w:after="0" w:line="240" w:lineRule="auto"/>
              <w:rPr>
                <w:rFonts w:eastAsia="Times New Roman" w:cstheme="minorHAnsi"/>
              </w:rPr>
            </w:pPr>
            <w:r w:rsidRPr="009042A9">
              <w:rPr>
                <w:rFonts w:eastAsia="Times New Roman" w:cstheme="minorHAnsi"/>
              </w:rPr>
              <w:t>Production Worker / Clerical</w:t>
            </w:r>
          </w:p>
        </w:tc>
        <w:tc>
          <w:tcPr>
            <w:tcW w:w="2700" w:type="dxa"/>
            <w:tcBorders>
              <w:top w:val="nil"/>
              <w:left w:val="nil"/>
              <w:bottom w:val="single" w:sz="4" w:space="0" w:color="auto"/>
              <w:right w:val="single" w:sz="4" w:space="0" w:color="auto"/>
            </w:tcBorders>
            <w:shd w:val="clear" w:color="auto" w:fill="auto"/>
            <w:vAlign w:val="center"/>
            <w:hideMark/>
          </w:tcPr>
          <w:p w:rsidR="00C47249" w:rsidRPr="009042A9" w:rsidP="00961C50" w14:paraId="3B720599" w14:textId="77777777">
            <w:pPr>
              <w:spacing w:after="0" w:line="240" w:lineRule="auto"/>
              <w:rPr>
                <w:rFonts w:eastAsia="Times New Roman" w:cstheme="minorHAnsi"/>
              </w:rPr>
            </w:pPr>
            <w:r w:rsidRPr="009042A9">
              <w:rPr>
                <w:rFonts w:eastAsia="Times New Roman" w:cstheme="minorHAnsi"/>
              </w:rPr>
              <w:t>BLS OEWS, National Industry-Specific Estimates, 813400, Secretaries and Administrative Assistants</w:t>
            </w:r>
          </w:p>
        </w:tc>
        <w:tc>
          <w:tcPr>
            <w:tcW w:w="1080" w:type="dxa"/>
            <w:tcBorders>
              <w:top w:val="nil"/>
              <w:left w:val="nil"/>
              <w:bottom w:val="single" w:sz="4" w:space="0" w:color="auto"/>
              <w:right w:val="single" w:sz="4" w:space="0" w:color="auto"/>
            </w:tcBorders>
            <w:shd w:val="clear" w:color="auto" w:fill="auto"/>
            <w:vAlign w:val="center"/>
            <w:hideMark/>
          </w:tcPr>
          <w:p w:rsidR="00C47249" w:rsidP="00ED67C7" w14:paraId="420F9839" w14:textId="77777777">
            <w:pPr>
              <w:spacing w:after="0" w:line="240" w:lineRule="auto"/>
              <w:ind w:left="-20" w:right="-195"/>
              <w:rPr>
                <w:rFonts w:ascii="Calibri" w:eastAsia="Times New Roman" w:hAnsi="Calibri" w:cs="Calibri"/>
                <w:color w:val="000000"/>
              </w:rPr>
            </w:pPr>
            <w:r w:rsidRPr="00D17A73">
              <w:rPr>
                <w:rFonts w:ascii="Calibri" w:eastAsia="Times New Roman" w:hAnsi="Calibri" w:cs="Calibri"/>
                <w:color w:val="000000"/>
              </w:rPr>
              <w:t>May</w:t>
            </w:r>
            <w:r>
              <w:rPr>
                <w:rFonts w:ascii="Calibri" w:eastAsia="Times New Roman" w:hAnsi="Calibri" w:cs="Calibri"/>
                <w:color w:val="000000"/>
              </w:rPr>
              <w:t xml:space="preserve">/June </w:t>
            </w:r>
          </w:p>
          <w:p w:rsidR="00C47249" w:rsidRPr="009042A9" w:rsidP="00ED67C7" w14:paraId="204D88D7" w14:textId="6B4FACA7">
            <w:pPr>
              <w:spacing w:after="0" w:line="240" w:lineRule="auto"/>
              <w:ind w:left="-20" w:right="-195"/>
              <w:rPr>
                <w:rFonts w:ascii="Calibri" w:eastAsia="Times New Roman" w:hAnsi="Calibri" w:cs="Calibri"/>
                <w:color w:val="000000"/>
              </w:rPr>
            </w:pPr>
            <w:r w:rsidRPr="00D17A73">
              <w:rPr>
                <w:rFonts w:ascii="Calibri" w:eastAsia="Times New Roman" w:hAnsi="Calibri" w:cs="Calibri"/>
                <w:color w:val="000000"/>
              </w:rPr>
              <w:t>2</w:t>
            </w:r>
            <w:r>
              <w:rPr>
                <w:rFonts w:ascii="Calibri" w:eastAsia="Times New Roman" w:hAnsi="Calibri" w:cs="Calibri"/>
                <w:color w:val="000000"/>
              </w:rPr>
              <w:t>02</w:t>
            </w:r>
            <w:r w:rsidRPr="00D17A73">
              <w:rPr>
                <w:rFonts w:ascii="Calibri" w:eastAsia="Times New Roman" w:hAnsi="Calibri" w:cs="Calibri"/>
                <w:color w:val="000000"/>
              </w:rPr>
              <w:t>3</w:t>
            </w:r>
          </w:p>
        </w:tc>
        <w:tc>
          <w:tcPr>
            <w:tcW w:w="1170" w:type="dxa"/>
            <w:tcBorders>
              <w:top w:val="nil"/>
              <w:left w:val="nil"/>
              <w:bottom w:val="single" w:sz="4" w:space="0" w:color="auto"/>
              <w:right w:val="single" w:sz="4" w:space="0" w:color="auto"/>
            </w:tcBorders>
            <w:shd w:val="clear" w:color="auto" w:fill="auto"/>
            <w:vAlign w:val="center"/>
            <w:hideMark/>
          </w:tcPr>
          <w:p w:rsidR="00C47249" w:rsidRPr="009042A9" w:rsidP="00ED67C7" w14:paraId="598753CE" w14:textId="77777777">
            <w:pPr>
              <w:spacing w:after="0" w:line="240" w:lineRule="auto"/>
              <w:ind w:left="-22" w:right="-195"/>
              <w:rPr>
                <w:rFonts w:ascii="Calibri" w:eastAsia="Times New Roman" w:hAnsi="Calibri" w:cs="Calibri"/>
                <w:color w:val="000000"/>
              </w:rPr>
            </w:pPr>
            <w:r w:rsidRPr="009042A9">
              <w:rPr>
                <w:rFonts w:ascii="Calibri" w:eastAsia="Times New Roman" w:hAnsi="Calibri" w:cs="Calibri"/>
                <w:color w:val="000000"/>
              </w:rPr>
              <w:t xml:space="preserve">$21.05 </w:t>
            </w:r>
          </w:p>
        </w:tc>
        <w:tc>
          <w:tcPr>
            <w:tcW w:w="1018" w:type="dxa"/>
            <w:tcBorders>
              <w:top w:val="nil"/>
              <w:left w:val="nil"/>
              <w:bottom w:val="single" w:sz="4" w:space="0" w:color="auto"/>
              <w:right w:val="single" w:sz="4" w:space="0" w:color="auto"/>
            </w:tcBorders>
            <w:shd w:val="clear" w:color="auto" w:fill="auto"/>
            <w:noWrap/>
            <w:vAlign w:val="center"/>
            <w:hideMark/>
          </w:tcPr>
          <w:p w:rsidR="00C47249" w:rsidRPr="009042A9" w:rsidP="00ED67C7" w14:paraId="37A6EC6A"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 xml:space="preserve">$7.12 </w:t>
            </w:r>
          </w:p>
        </w:tc>
        <w:tc>
          <w:tcPr>
            <w:tcW w:w="1232" w:type="dxa"/>
            <w:tcBorders>
              <w:top w:val="nil"/>
              <w:left w:val="nil"/>
              <w:bottom w:val="single" w:sz="4" w:space="0" w:color="auto"/>
              <w:right w:val="single" w:sz="4" w:space="0" w:color="auto"/>
            </w:tcBorders>
            <w:shd w:val="clear" w:color="auto" w:fill="auto"/>
            <w:vAlign w:val="center"/>
            <w:hideMark/>
          </w:tcPr>
          <w:p w:rsidR="00C47249" w:rsidRPr="009042A9" w:rsidP="00ED67C7" w14:paraId="19C86B89" w14:textId="77777777">
            <w:pPr>
              <w:spacing w:after="0" w:line="240" w:lineRule="auto"/>
              <w:ind w:left="39" w:right="-195"/>
              <w:rPr>
                <w:rFonts w:ascii="Calibri" w:eastAsia="Times New Roman" w:hAnsi="Calibri" w:cs="Calibri"/>
                <w:color w:val="000000"/>
              </w:rPr>
            </w:pPr>
            <w:r w:rsidRPr="009042A9">
              <w:rPr>
                <w:rFonts w:ascii="Calibri" w:eastAsia="Times New Roman" w:hAnsi="Calibri" w:cs="Calibri"/>
                <w:color w:val="000000"/>
              </w:rPr>
              <w:t xml:space="preserve">$28.17 </w:t>
            </w:r>
          </w:p>
        </w:tc>
        <w:tc>
          <w:tcPr>
            <w:tcW w:w="1620" w:type="dxa"/>
            <w:tcBorders>
              <w:top w:val="nil"/>
              <w:left w:val="nil"/>
              <w:bottom w:val="single" w:sz="4" w:space="0" w:color="auto"/>
              <w:right w:val="single" w:sz="4" w:space="0" w:color="auto"/>
            </w:tcBorders>
            <w:shd w:val="clear" w:color="auto" w:fill="auto"/>
            <w:vAlign w:val="center"/>
            <w:hideMark/>
          </w:tcPr>
          <w:p w:rsidR="00C47249" w:rsidRPr="009042A9" w:rsidP="00ED67C7" w14:paraId="38D2361F" w14:textId="77777777">
            <w:pPr>
              <w:spacing w:after="0" w:line="240" w:lineRule="auto"/>
              <w:ind w:right="-195"/>
              <w:rPr>
                <w:rFonts w:ascii="Calibri" w:eastAsia="Times New Roman" w:hAnsi="Calibri" w:cs="Calibri"/>
                <w:color w:val="000000"/>
              </w:rPr>
            </w:pPr>
            <w:r w:rsidRPr="009042A9">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C47249" w:rsidRPr="009042A9" w:rsidP="00ED67C7" w14:paraId="73730472" w14:textId="77777777">
            <w:pPr>
              <w:spacing w:after="0" w:line="240" w:lineRule="auto"/>
              <w:ind w:left="-17" w:right="-195"/>
              <w:rPr>
                <w:rFonts w:ascii="Calibri" w:eastAsia="Times New Roman" w:hAnsi="Calibri" w:cs="Calibri"/>
                <w:color w:val="000000"/>
              </w:rPr>
            </w:pPr>
            <w:r w:rsidRPr="009042A9">
              <w:rPr>
                <w:rFonts w:ascii="Calibri" w:eastAsia="Times New Roman" w:hAnsi="Calibri" w:cs="Calibri"/>
                <w:color w:val="000000"/>
              </w:rPr>
              <w:t xml:space="preserve">$5.63 </w:t>
            </w:r>
          </w:p>
        </w:tc>
        <w:tc>
          <w:tcPr>
            <w:tcW w:w="1440" w:type="dxa"/>
            <w:tcBorders>
              <w:top w:val="nil"/>
              <w:left w:val="nil"/>
              <w:bottom w:val="single" w:sz="4" w:space="0" w:color="auto"/>
              <w:right w:val="single" w:sz="4" w:space="0" w:color="auto"/>
            </w:tcBorders>
            <w:shd w:val="clear" w:color="auto" w:fill="auto"/>
            <w:vAlign w:val="center"/>
            <w:hideMark/>
          </w:tcPr>
          <w:p w:rsidR="00C47249" w:rsidRPr="009042A9" w:rsidP="00ED67C7" w14:paraId="1E7E8AAB" w14:textId="77777777">
            <w:pPr>
              <w:spacing w:after="0" w:line="240" w:lineRule="auto"/>
              <w:ind w:left="-21" w:right="-195"/>
              <w:rPr>
                <w:rFonts w:ascii="Calibri" w:eastAsia="Times New Roman" w:hAnsi="Calibri" w:cs="Calibri"/>
                <w:color w:val="000000"/>
              </w:rPr>
            </w:pPr>
            <w:r w:rsidRPr="009042A9">
              <w:rPr>
                <w:rFonts w:ascii="Calibri" w:eastAsia="Times New Roman" w:hAnsi="Calibri" w:cs="Calibri"/>
                <w:color w:val="000000"/>
              </w:rPr>
              <w:t xml:space="preserve">$33.81 </w:t>
            </w:r>
          </w:p>
        </w:tc>
      </w:tr>
      <w:tr w14:paraId="477815FB" w14:textId="77777777" w:rsidTr="00D83BC3">
        <w:tblPrEx>
          <w:tblW w:w="0" w:type="auto"/>
          <w:tblInd w:w="113" w:type="dxa"/>
          <w:tblLayout w:type="fixed"/>
          <w:tblLook w:val="04A0"/>
        </w:tblPrEx>
        <w:trPr>
          <w:trHeight w:val="300"/>
        </w:trPr>
        <w:tc>
          <w:tcPr>
            <w:tcW w:w="127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0654C" w:rsidP="00961C50" w14:paraId="238C7B82" w14:textId="77777777">
            <w:pPr>
              <w:spacing w:after="0" w:line="240" w:lineRule="auto"/>
              <w:rPr>
                <w:rFonts w:eastAsia="Times New Roman" w:cstheme="minorHAnsi"/>
                <w:b/>
                <w:bCs/>
                <w:color w:val="000000"/>
                <w:sz w:val="18"/>
                <w:szCs w:val="18"/>
              </w:rPr>
            </w:pPr>
            <w:r w:rsidRPr="009042A9">
              <w:rPr>
                <w:rFonts w:eastAsia="Times New Roman" w:cstheme="minorHAnsi"/>
                <w:b/>
                <w:bCs/>
                <w:color w:val="000000"/>
                <w:sz w:val="18"/>
                <w:szCs w:val="18"/>
              </w:rPr>
              <w:t>Footnotes</w:t>
            </w:r>
          </w:p>
          <w:p w:rsidR="007E4991" w:rsidRPr="009042A9" w:rsidP="00961C50" w14:paraId="66893DE3" w14:textId="735130E3">
            <w:pPr>
              <w:spacing w:after="0" w:line="240" w:lineRule="auto"/>
              <w:rPr>
                <w:rFonts w:eastAsia="Times New Roman" w:cstheme="minorHAnsi"/>
                <w:color w:val="000000"/>
                <w:sz w:val="18"/>
                <w:szCs w:val="18"/>
              </w:rPr>
            </w:pPr>
            <w:r w:rsidRPr="009042A9">
              <w:rPr>
                <w:rFonts w:eastAsia="Times New Roman" w:cstheme="minorHAnsi"/>
                <w:color w:val="000000"/>
                <w:sz w:val="18"/>
                <w:szCs w:val="18"/>
                <w:vertAlign w:val="superscript"/>
              </w:rPr>
              <w:t>a</w:t>
            </w:r>
            <w:r w:rsidRPr="009042A9">
              <w:rPr>
                <w:rFonts w:eastAsia="Times New Roman" w:cstheme="minorHAnsi"/>
                <w:color w:val="000000"/>
                <w:sz w:val="18"/>
                <w:szCs w:val="18"/>
              </w:rPr>
              <w:t xml:space="preserve"> Source</w:t>
            </w:r>
            <w:r w:rsidRPr="009042A9" w:rsidR="00A225E6">
              <w:rPr>
                <w:rFonts w:eastAsia="Times New Roman" w:cstheme="minorHAnsi"/>
                <w:color w:val="000000"/>
                <w:sz w:val="18"/>
                <w:szCs w:val="18"/>
              </w:rPr>
              <w:t xml:space="preserve"> of wage: </w:t>
            </w:r>
            <w:r w:rsidRPr="009042A9" w:rsidR="002C65DF">
              <w:rPr>
                <w:rFonts w:eastAsia="Times New Roman" w:cstheme="minorHAnsi"/>
                <w:color w:val="000000"/>
                <w:sz w:val="18"/>
                <w:szCs w:val="18"/>
              </w:rPr>
              <w:t xml:space="preserve">U.S. Bureau of Labor Statistics. </w:t>
            </w:r>
            <w:r w:rsidRPr="009042A9" w:rsidR="00123749">
              <w:rPr>
                <w:rFonts w:eastAsia="Times New Roman" w:cstheme="minorHAnsi"/>
                <w:color w:val="000000"/>
                <w:sz w:val="18"/>
                <w:szCs w:val="18"/>
              </w:rPr>
              <w:t>Occupational Employment and Wage Statistics</w:t>
            </w:r>
            <w:r w:rsidRPr="009042A9">
              <w:rPr>
                <w:rFonts w:eastAsia="Times New Roman" w:cstheme="minorHAnsi"/>
                <w:color w:val="000000"/>
                <w:sz w:val="18"/>
                <w:szCs w:val="18"/>
              </w:rPr>
              <w:t xml:space="preserve">. </w:t>
            </w:r>
            <w:r w:rsidRPr="009042A9" w:rsidR="002C65DF">
              <w:rPr>
                <w:rFonts w:eastAsia="Times New Roman" w:cstheme="minorHAnsi"/>
                <w:color w:val="000000"/>
                <w:sz w:val="18"/>
                <w:szCs w:val="18"/>
              </w:rPr>
              <w:t>May 2023 National Industry-Specific Occupational Employment and Wage Estimates NAICS 813400 - Civic and Social Organizations.</w:t>
            </w:r>
            <w:r w:rsidRPr="009042A9">
              <w:rPr>
                <w:rFonts w:eastAsia="Times New Roman" w:cstheme="minorHAnsi"/>
                <w:color w:val="000000"/>
                <w:sz w:val="18"/>
                <w:szCs w:val="18"/>
              </w:rPr>
              <w:t xml:space="preserve"> </w:t>
            </w:r>
            <w:r w:rsidRPr="009042A9" w:rsidR="001C13CA">
              <w:rPr>
                <w:rFonts w:eastAsia="Times New Roman" w:cstheme="minorHAnsi"/>
                <w:color w:val="000000"/>
                <w:sz w:val="18"/>
                <w:szCs w:val="18"/>
              </w:rPr>
              <w:t>(</w:t>
            </w:r>
            <w:hyperlink r:id="rId27" w:anchor="21-0000" w:history="1">
              <w:r w:rsidRPr="009042A9" w:rsidR="00F105FD">
                <w:rPr>
                  <w:rStyle w:val="Hyperlink"/>
                  <w:rFonts w:eastAsia="Times New Roman" w:cstheme="minorHAnsi"/>
                  <w:sz w:val="18"/>
                  <w:szCs w:val="18"/>
                </w:rPr>
                <w:t>https://www.bls.gov/oes/current/naics4_813400.htm#21-0000</w:t>
              </w:r>
            </w:hyperlink>
            <w:r w:rsidRPr="009042A9" w:rsidR="001C13CA">
              <w:rPr>
                <w:rFonts w:eastAsia="Times New Roman" w:cstheme="minorHAnsi"/>
                <w:color w:val="000000"/>
                <w:sz w:val="18"/>
                <w:szCs w:val="18"/>
              </w:rPr>
              <w:t>)</w:t>
            </w:r>
          </w:p>
          <w:p w:rsidR="00025A13" w:rsidRPr="009042A9" w:rsidP="00961C50" w14:paraId="593F3E2B" w14:textId="4096FA31">
            <w:pPr>
              <w:spacing w:after="0" w:line="240" w:lineRule="auto"/>
              <w:rPr>
                <w:rFonts w:eastAsia="Times New Roman" w:cstheme="minorHAnsi"/>
                <w:color w:val="000000"/>
                <w:sz w:val="18"/>
                <w:szCs w:val="18"/>
              </w:rPr>
            </w:pPr>
            <w:r w:rsidRPr="009042A9">
              <w:rPr>
                <w:rFonts w:eastAsia="Times New Roman" w:cstheme="minorHAnsi"/>
                <w:color w:val="000000"/>
                <w:sz w:val="18"/>
                <w:szCs w:val="18"/>
                <w:vertAlign w:val="superscript"/>
              </w:rPr>
              <w:t>b</w:t>
            </w:r>
            <w:r w:rsidRPr="009042A9">
              <w:rPr>
                <w:rFonts w:eastAsia="Times New Roman" w:cstheme="minorHAnsi"/>
                <w:color w:val="000000"/>
                <w:sz w:val="18"/>
                <w:szCs w:val="18"/>
              </w:rPr>
              <w:t xml:space="preserve"> Fringe is calculated </w:t>
            </w:r>
            <w:r w:rsidRPr="009042A9" w:rsidR="00180C9F">
              <w:rPr>
                <w:rFonts w:eastAsia="Times New Roman" w:cstheme="minorHAnsi"/>
                <w:color w:val="000000"/>
                <w:sz w:val="18"/>
                <w:szCs w:val="18"/>
              </w:rPr>
              <w:t>using</w:t>
            </w:r>
            <w:r w:rsidRPr="009042A9" w:rsidR="00942E5D">
              <w:rPr>
                <w:rFonts w:eastAsia="Times New Roman" w:cstheme="minorHAnsi"/>
                <w:color w:val="000000"/>
                <w:sz w:val="18"/>
                <w:szCs w:val="18"/>
              </w:rPr>
              <w:t xml:space="preserve"> total benefits as a percent of wage</w:t>
            </w:r>
            <w:r w:rsidRPr="009042A9" w:rsidR="00C47249">
              <w:rPr>
                <w:rFonts w:eastAsia="Times New Roman" w:cstheme="minorHAnsi"/>
                <w:color w:val="000000"/>
                <w:sz w:val="18"/>
                <w:szCs w:val="18"/>
              </w:rPr>
              <w:t>. Source:</w:t>
            </w:r>
            <w:r w:rsidRPr="009042A9">
              <w:rPr>
                <w:rFonts w:eastAsia="Times New Roman" w:cstheme="minorHAnsi"/>
                <w:color w:val="000000"/>
                <w:sz w:val="18"/>
                <w:szCs w:val="18"/>
              </w:rPr>
              <w:t xml:space="preserve"> </w:t>
            </w:r>
            <w:r w:rsidRPr="009042A9" w:rsidR="002C65DF">
              <w:rPr>
                <w:rFonts w:eastAsia="Times New Roman" w:cstheme="minorHAnsi"/>
                <w:color w:val="000000"/>
                <w:sz w:val="18"/>
                <w:szCs w:val="18"/>
              </w:rPr>
              <w:t xml:space="preserve">U.S. Bureau of Labor Statistics. </w:t>
            </w:r>
            <w:r w:rsidRPr="009042A9">
              <w:rPr>
                <w:rFonts w:eastAsia="Times New Roman" w:cstheme="minorHAnsi"/>
                <w:color w:val="000000"/>
                <w:sz w:val="18"/>
                <w:szCs w:val="18"/>
              </w:rPr>
              <w:t xml:space="preserve">Employer Costs for Employee Compensation. Table 4. Private industry workers by occupational and industry group. </w:t>
            </w:r>
            <w:r w:rsidRPr="009042A9" w:rsidR="00C47249">
              <w:rPr>
                <w:rFonts w:eastAsia="Times New Roman" w:cstheme="minorHAnsi"/>
                <w:color w:val="000000"/>
                <w:sz w:val="18"/>
                <w:szCs w:val="18"/>
              </w:rPr>
              <w:t>June</w:t>
            </w:r>
            <w:r w:rsidRPr="009042A9">
              <w:rPr>
                <w:rFonts w:eastAsia="Times New Roman" w:cstheme="minorHAnsi"/>
                <w:color w:val="000000"/>
                <w:sz w:val="18"/>
                <w:szCs w:val="18"/>
              </w:rPr>
              <w:t xml:space="preserve"> 202</w:t>
            </w:r>
            <w:r w:rsidRPr="009042A9" w:rsidR="00C47249">
              <w:rPr>
                <w:rFonts w:eastAsia="Times New Roman" w:cstheme="minorHAnsi"/>
                <w:color w:val="000000"/>
                <w:sz w:val="18"/>
                <w:szCs w:val="18"/>
              </w:rPr>
              <w:t>3</w:t>
            </w:r>
            <w:r w:rsidRPr="009042A9">
              <w:rPr>
                <w:rFonts w:eastAsia="Times New Roman" w:cstheme="minorHAnsi"/>
                <w:color w:val="000000"/>
                <w:sz w:val="18"/>
                <w:szCs w:val="18"/>
              </w:rPr>
              <w:t xml:space="preserve">. </w:t>
            </w:r>
            <w:r w:rsidRPr="009042A9" w:rsidR="0040784F">
              <w:rPr>
                <w:rFonts w:eastAsia="Times New Roman" w:cstheme="minorHAnsi"/>
                <w:color w:val="000000"/>
                <w:sz w:val="18"/>
                <w:szCs w:val="18"/>
              </w:rPr>
              <w:t>Other Services Industr</w:t>
            </w:r>
            <w:r w:rsidRPr="009042A9" w:rsidR="00D3084F">
              <w:rPr>
                <w:rFonts w:eastAsia="Times New Roman" w:cstheme="minorHAnsi"/>
                <w:color w:val="000000"/>
                <w:sz w:val="18"/>
                <w:szCs w:val="18"/>
              </w:rPr>
              <w:t xml:space="preserve">y. </w:t>
            </w:r>
            <w:r w:rsidRPr="009042A9" w:rsidR="00CF5FCE">
              <w:rPr>
                <w:rFonts w:eastAsia="Times New Roman" w:cstheme="minorHAnsi"/>
                <w:color w:val="000000"/>
                <w:sz w:val="18"/>
                <w:szCs w:val="18"/>
              </w:rPr>
              <w:t>(</w:t>
            </w:r>
            <w:hyperlink r:id="rId28" w:history="1">
              <w:r w:rsidRPr="009042A9" w:rsidR="00B200D7">
                <w:rPr>
                  <w:rStyle w:val="Hyperlink"/>
                  <w:rFonts w:eastAsia="Times New Roman" w:cstheme="minorHAnsi"/>
                  <w:sz w:val="18"/>
                  <w:szCs w:val="18"/>
                </w:rPr>
                <w:t>https://www.bls.gov/news.release/archives/ecec_09122023.pdf</w:t>
              </w:r>
            </w:hyperlink>
            <w:r w:rsidRPr="009042A9" w:rsidR="00CF5FCE">
              <w:rPr>
                <w:rFonts w:eastAsia="Times New Roman" w:cstheme="minorHAnsi"/>
                <w:color w:val="000000"/>
                <w:sz w:val="18"/>
                <w:szCs w:val="18"/>
              </w:rPr>
              <w:t>)</w:t>
            </w:r>
          </w:p>
          <w:p w:rsidR="00A225E6" w:rsidRPr="009042A9" w:rsidP="00961C50" w14:paraId="2930C436" w14:textId="5764957E">
            <w:pPr>
              <w:spacing w:after="0" w:line="240" w:lineRule="auto"/>
              <w:rPr>
                <w:rFonts w:eastAsia="Times New Roman" w:cstheme="minorHAnsi"/>
                <w:color w:val="000000"/>
                <w:sz w:val="18"/>
                <w:szCs w:val="18"/>
              </w:rPr>
            </w:pPr>
            <w:r w:rsidRPr="009042A9">
              <w:rPr>
                <w:rFonts w:eastAsia="Times New Roman" w:cstheme="minorHAnsi"/>
                <w:color w:val="000000"/>
                <w:sz w:val="18"/>
                <w:szCs w:val="18"/>
                <w:vertAlign w:val="superscript"/>
              </w:rPr>
              <w:t>c</w:t>
            </w:r>
            <w:r w:rsidRPr="009042A9">
              <w:rPr>
                <w:rFonts w:eastAsia="Times New Roman" w:cstheme="minorHAnsi"/>
                <w:color w:val="000000"/>
                <w:sz w:val="18"/>
                <w:szCs w:val="18"/>
              </w:rPr>
              <w:t xml:space="preserve"> </w:t>
            </w:r>
            <w:r w:rsidRPr="009042A9">
              <w:rPr>
                <w:rFonts w:eastAsia="Times New Roman" w:cstheme="minorHAnsi"/>
                <w:color w:val="000000"/>
                <w:sz w:val="18"/>
                <w:szCs w:val="18"/>
              </w:rPr>
              <w:t>An</w:t>
            </w:r>
            <w:r w:rsidRPr="009042A9">
              <w:rPr>
                <w:rFonts w:eastAsia="Times New Roman" w:cstheme="minorHAnsi"/>
                <w:color w:val="000000"/>
                <w:sz w:val="18"/>
                <w:szCs w:val="18"/>
              </w:rPr>
              <w:t xml:space="preserve"> overhead rate of 20% is used based on assumptions in </w:t>
            </w:r>
            <w:r w:rsidR="00C57AA9">
              <w:rPr>
                <w:rFonts w:eastAsia="Times New Roman" w:cstheme="minorHAnsi"/>
                <w:color w:val="000000"/>
                <w:sz w:val="18"/>
                <w:szCs w:val="18"/>
              </w:rPr>
              <w:t>EPA’s</w:t>
            </w:r>
            <w:r w:rsidRPr="00C57AA9" w:rsidR="00C57AA9">
              <w:rPr>
                <w:rFonts w:eastAsia="Times New Roman" w:cstheme="minorHAnsi"/>
                <w:color w:val="000000"/>
                <w:sz w:val="18"/>
                <w:szCs w:val="18"/>
              </w:rPr>
              <w:t xml:space="preserve"> </w:t>
            </w:r>
            <w:r w:rsidRPr="009042A9">
              <w:rPr>
                <w:rFonts w:eastAsia="Times New Roman" w:cstheme="minorHAnsi"/>
                <w:color w:val="000000"/>
                <w:sz w:val="18"/>
                <w:szCs w:val="18"/>
              </w:rPr>
              <w:t>Handbook on Valuing Changes in Time Use Induced by Regulatory Requirements and Other U.S. EPA Actions</w:t>
            </w:r>
          </w:p>
        </w:tc>
      </w:tr>
    </w:tbl>
    <w:p w:rsidR="00C04A8F" w:rsidRPr="00870849" w:rsidP="00961C50" w14:paraId="7F32217E" w14:textId="77777777">
      <w:pPr>
        <w:spacing w:after="0" w:line="240" w:lineRule="auto"/>
        <w:ind w:left="-90"/>
        <w:rPr>
          <w:rFonts w:ascii="Calibri" w:hAnsi="Calibri" w:cs="Calibri"/>
          <w:i/>
          <w:iCs/>
        </w:rPr>
      </w:pPr>
    </w:p>
    <w:p w:rsidR="00822B54" w:rsidRPr="00D456A4" w:rsidP="00961C50" w14:paraId="4FC23256" w14:textId="77777777">
      <w:pPr>
        <w:spacing w:after="0" w:line="240" w:lineRule="auto"/>
        <w:rPr>
          <w:rFonts w:ascii="Calibri" w:hAnsi="Calibri" w:cs="Calibri"/>
        </w:rPr>
      </w:pPr>
      <w:r w:rsidRPr="00D456A4">
        <w:rPr>
          <w:rFonts w:ascii="Calibri" w:hAnsi="Calibri" w:cs="Calibri"/>
        </w:rPr>
        <w:t xml:space="preserve"> </w:t>
      </w:r>
    </w:p>
    <w:p w:rsidR="00822B54" w:rsidRPr="00D456A4" w:rsidP="00961C50" w14:paraId="2903740E" w14:textId="77777777">
      <w:pPr>
        <w:spacing w:after="0" w:line="240" w:lineRule="auto"/>
        <w:rPr>
          <w:rFonts w:ascii="Calibri" w:hAnsi="Calibri" w:cs="Calibri"/>
        </w:rPr>
      </w:pPr>
    </w:p>
    <w:tbl>
      <w:tblPr>
        <w:tblStyle w:val="TableGrid"/>
        <w:tblW w:w="0" w:type="auto"/>
        <w:tblLook w:val="04A0"/>
      </w:tblPr>
      <w:tblGrid>
        <w:gridCol w:w="2245"/>
        <w:gridCol w:w="6840"/>
      </w:tblGrid>
      <w:tr w14:paraId="737438CF" w14:textId="77777777" w:rsidTr="000E24B6">
        <w:tblPrEx>
          <w:tblW w:w="0" w:type="auto"/>
          <w:tblLook w:val="04A0"/>
        </w:tblPrEx>
        <w:trPr>
          <w:trHeight w:val="512"/>
        </w:trPr>
        <w:tc>
          <w:tcPr>
            <w:tcW w:w="9085" w:type="dxa"/>
            <w:gridSpan w:val="2"/>
            <w:shd w:val="clear" w:color="auto" w:fill="D9D9D9" w:themeFill="background1" w:themeFillShade="D9"/>
            <w:vAlign w:val="center"/>
          </w:tcPr>
          <w:p w:rsidR="00822B54" w:rsidRPr="00D456A4" w:rsidP="00961C50" w14:paraId="04881402" w14:textId="77777777">
            <w:pPr>
              <w:rPr>
                <w:rFonts w:ascii="Calibri" w:hAnsi="Calibri" w:cs="Calibri"/>
                <w:b/>
                <w:bCs/>
              </w:rPr>
            </w:pPr>
            <w:r w:rsidRPr="00D456A4">
              <w:rPr>
                <w:rFonts w:ascii="Calibri" w:eastAsia="Times New Roman" w:hAnsi="Calibri" w:cs="Calibri"/>
                <w:b/>
                <w:bCs/>
                <w:color w:val="000000"/>
              </w:rPr>
              <w:t>TABLE 12.3: WEIGHTED LABOR COSTS for Respondents</w:t>
            </w:r>
          </w:p>
        </w:tc>
      </w:tr>
      <w:tr w14:paraId="1E4791CC" w14:textId="77777777" w:rsidTr="000E24B6">
        <w:tblPrEx>
          <w:tblW w:w="0" w:type="auto"/>
          <w:tblLook w:val="04A0"/>
        </w:tblPrEx>
        <w:trPr>
          <w:trHeight w:val="710"/>
        </w:trPr>
        <w:tc>
          <w:tcPr>
            <w:tcW w:w="2245" w:type="dxa"/>
            <w:shd w:val="clear" w:color="auto" w:fill="F2F2F2" w:themeFill="background1" w:themeFillShade="F2"/>
            <w:vAlign w:val="center"/>
          </w:tcPr>
          <w:p w:rsidR="00822B54" w:rsidRPr="00D456A4" w:rsidP="00961C50" w14:paraId="4CB46438" w14:textId="77777777">
            <w:pPr>
              <w:rPr>
                <w:rFonts w:ascii="Calibri" w:hAnsi="Calibri" w:cs="Calibri"/>
              </w:rPr>
            </w:pPr>
            <w:r w:rsidRPr="00D456A4">
              <w:rPr>
                <w:rFonts w:ascii="Calibri" w:hAnsi="Calibri" w:cs="Calibri"/>
              </w:rPr>
              <w:t>Weighted Hourly Labor Cost</w:t>
            </w:r>
          </w:p>
        </w:tc>
        <w:tc>
          <w:tcPr>
            <w:tcW w:w="6840" w:type="dxa"/>
            <w:shd w:val="clear" w:color="auto" w:fill="F2F2F2" w:themeFill="background1" w:themeFillShade="F2"/>
            <w:vAlign w:val="center"/>
          </w:tcPr>
          <w:p w:rsidR="00822B54" w:rsidRPr="00D456A4" w:rsidP="00961C50" w14:paraId="3F759E52" w14:textId="77777777">
            <w:pPr>
              <w:rPr>
                <w:rFonts w:ascii="Calibri" w:hAnsi="Calibri" w:cs="Calibri"/>
              </w:rPr>
            </w:pPr>
            <w:r w:rsidRPr="00D456A4">
              <w:rPr>
                <w:rFonts w:ascii="Calibri" w:hAnsi="Calibri" w:cs="Calibri"/>
              </w:rPr>
              <w:t>Explanation of Calculations</w:t>
            </w:r>
          </w:p>
        </w:tc>
      </w:tr>
      <w:tr w14:paraId="3449D9D9" w14:textId="77777777" w:rsidTr="00ED67C7">
        <w:tblPrEx>
          <w:tblW w:w="0" w:type="auto"/>
          <w:tblLook w:val="04A0"/>
        </w:tblPrEx>
        <w:trPr>
          <w:trHeight w:val="1232"/>
        </w:trPr>
        <w:tc>
          <w:tcPr>
            <w:tcW w:w="2245" w:type="dxa"/>
            <w:shd w:val="clear" w:color="auto" w:fill="auto"/>
            <w:vAlign w:val="center"/>
          </w:tcPr>
          <w:p w:rsidR="00822B54" w:rsidRPr="00D456A4" w:rsidP="00961C50" w14:paraId="3AB10910" w14:textId="15B45DAF">
            <w:pPr>
              <w:rPr>
                <w:rFonts w:ascii="Calibri" w:hAnsi="Calibri" w:cs="Calibri"/>
              </w:rPr>
            </w:pPr>
            <w:r w:rsidRPr="00D456A4">
              <w:rPr>
                <w:rFonts w:ascii="Calibri" w:hAnsi="Calibri" w:cs="Calibri"/>
              </w:rPr>
              <w:t>$</w:t>
            </w:r>
            <w:r w:rsidR="004710FD">
              <w:rPr>
                <w:rFonts w:ascii="Calibri" w:hAnsi="Calibri" w:cs="Calibri"/>
              </w:rPr>
              <w:t>57.29</w:t>
            </w:r>
          </w:p>
        </w:tc>
        <w:tc>
          <w:tcPr>
            <w:tcW w:w="6840" w:type="dxa"/>
            <w:shd w:val="clear" w:color="auto" w:fill="auto"/>
            <w:vAlign w:val="center"/>
          </w:tcPr>
          <w:p w:rsidR="00822B54" w:rsidRPr="00D456A4" w:rsidP="00961C50" w14:paraId="34B58F5E" w14:textId="3F9D6D86">
            <w:pPr>
              <w:rPr>
                <w:rFonts w:ascii="Calibri" w:eastAsia="Times New Roman" w:hAnsi="Calibri" w:cs="Calibri"/>
                <w:color w:val="000000"/>
              </w:rPr>
            </w:pPr>
            <w:r w:rsidRPr="00D456A4">
              <w:rPr>
                <w:rFonts w:ascii="Calibri" w:eastAsia="Times New Roman" w:hAnsi="Calibri" w:cs="Calibri"/>
                <w:color w:val="000000"/>
              </w:rPr>
              <w:t>Weighted Hourly Labor Cost =</w:t>
            </w:r>
            <w:r w:rsidRPr="00D456A4">
              <w:rPr>
                <w:rFonts w:ascii="Calibri" w:eastAsia="Times New Roman" w:hAnsi="Calibri" w:cs="Calibri"/>
                <w:color w:val="000000"/>
              </w:rPr>
              <w:br/>
              <w:t>(Wage rate * proportion of hours) calculated for each respondent group (management, technical, clerical/support) and summed.</w:t>
            </w:r>
            <w:r w:rsidR="00B97B87">
              <w:rPr>
                <w:rFonts w:ascii="Calibri" w:eastAsia="Times New Roman" w:hAnsi="Calibri" w:cs="Calibri"/>
                <w:color w:val="000000"/>
              </w:rPr>
              <w:t xml:space="preserve"> Wages are rounded to nearest cent in analysis.</w:t>
            </w:r>
          </w:p>
        </w:tc>
      </w:tr>
    </w:tbl>
    <w:p w:rsidR="00822B54" w:rsidRPr="00D456A4" w:rsidP="00961C50" w14:paraId="1037255D" w14:textId="77777777">
      <w:pPr>
        <w:spacing w:after="0" w:line="240" w:lineRule="auto"/>
        <w:contextualSpacing/>
        <w:rPr>
          <w:rFonts w:ascii="Calibri" w:hAnsi="Calibri" w:cs="Calibri"/>
        </w:rPr>
      </w:pPr>
    </w:p>
    <w:p w:rsidR="004E3F68" w:rsidP="00961C50" w14:paraId="6430054D" w14:textId="77777777">
      <w:pPr>
        <w:spacing w:after="0" w:line="240" w:lineRule="auto"/>
        <w:ind w:left="-90"/>
        <w:contextualSpacing/>
        <w:rPr>
          <w:rFonts w:ascii="Calibri" w:hAnsi="Calibri" w:cs="Calibri"/>
        </w:rPr>
      </w:pPr>
    </w:p>
    <w:p w:rsidR="00822B54" w:rsidRPr="004E3F68" w:rsidP="00961C50" w14:paraId="2EA117DC" w14:textId="48140C46">
      <w:pPr>
        <w:spacing w:after="0" w:line="240" w:lineRule="auto"/>
        <w:ind w:left="-90"/>
        <w:contextualSpacing/>
        <w:rPr>
          <w:rFonts w:ascii="Calibri" w:hAnsi="Calibri" w:cs="Calibri"/>
          <w:i/>
          <w:iCs/>
        </w:rPr>
      </w:pPr>
      <w:r>
        <w:rPr>
          <w:rFonts w:ascii="Calibri" w:hAnsi="Calibri" w:cs="Calibri"/>
          <w:i/>
          <w:iCs/>
        </w:rPr>
        <w:t>Total</w:t>
      </w:r>
      <w:r w:rsidRPr="004E3F68">
        <w:rPr>
          <w:rFonts w:ascii="Calibri" w:hAnsi="Calibri" w:cs="Calibri"/>
          <w:i/>
          <w:iCs/>
        </w:rPr>
        <w:t xml:space="preserve"> </w:t>
      </w:r>
      <w:r w:rsidRPr="004E3F68">
        <w:rPr>
          <w:rFonts w:ascii="Calibri" w:hAnsi="Calibri" w:cs="Calibri"/>
          <w:i/>
          <w:iCs/>
        </w:rPr>
        <w:t>burden calculations (hours and costs) are shown in Section 12.</w:t>
      </w:r>
    </w:p>
    <w:p w:rsidR="00822B54" w:rsidP="00961C50" w14:paraId="751D19CD" w14:textId="77777777">
      <w:pPr>
        <w:spacing w:after="0" w:line="240" w:lineRule="auto"/>
        <w:contextualSpacing/>
        <w:rPr>
          <w:rFonts w:ascii="Calibri" w:hAnsi="Calibri" w:cs="Calibri"/>
        </w:rPr>
      </w:pPr>
    </w:p>
    <w:p w:rsidR="00FF3639" w:rsidRPr="00F36ECE" w:rsidP="00961C50" w14:paraId="1CBF9283" w14:textId="0C99BF28">
      <w:pPr>
        <w:spacing w:after="0" w:line="240" w:lineRule="auto"/>
        <w:rPr>
          <w:rFonts w:ascii="Calibri" w:hAnsi="Calibri" w:cs="Calibri"/>
          <w:b/>
          <w:bCs/>
          <w:sz w:val="32"/>
          <w:szCs w:val="32"/>
        </w:rPr>
      </w:pPr>
      <w:r>
        <w:rPr>
          <w:rFonts w:ascii="Calibri" w:hAnsi="Calibri" w:cs="Calibri"/>
        </w:rPr>
        <w:br w:type="page"/>
      </w:r>
      <w:r w:rsidRPr="00F36ECE">
        <w:rPr>
          <w:rFonts w:ascii="Calibri" w:hAnsi="Calibri" w:cs="Calibri"/>
          <w:b/>
          <w:bCs/>
          <w:sz w:val="32"/>
          <w:szCs w:val="32"/>
        </w:rPr>
        <w:t>Appendix</w:t>
      </w:r>
      <w:r>
        <w:rPr>
          <w:rFonts w:ascii="Calibri" w:hAnsi="Calibri" w:cs="Calibri"/>
          <w:b/>
          <w:bCs/>
          <w:sz w:val="32"/>
          <w:szCs w:val="32"/>
        </w:rPr>
        <w:t xml:space="preserve"> 2</w:t>
      </w:r>
    </w:p>
    <w:p w:rsidR="00FF3639" w:rsidP="00961C50" w14:paraId="474E2A75" w14:textId="47CB4048">
      <w:pPr>
        <w:spacing w:after="0" w:line="240" w:lineRule="auto"/>
        <w:rPr>
          <w:rFonts w:ascii="Calibri" w:hAnsi="Calibri" w:cs="Calibri"/>
          <w:b/>
          <w:bCs/>
          <w:sz w:val="28"/>
          <w:szCs w:val="28"/>
        </w:rPr>
      </w:pPr>
    </w:p>
    <w:p w:rsidR="00822B54" w:rsidRPr="00F36ECE" w:rsidP="00961C50" w14:paraId="0CAF02B8" w14:textId="19D624CA">
      <w:pPr>
        <w:spacing w:after="0" w:line="240" w:lineRule="auto"/>
        <w:ind w:left="-90"/>
        <w:rPr>
          <w:rFonts w:ascii="Calibri" w:hAnsi="Calibri" w:cs="Calibri"/>
          <w:b/>
          <w:bCs/>
          <w:sz w:val="28"/>
          <w:szCs w:val="28"/>
        </w:rPr>
      </w:pPr>
      <w:r w:rsidRPr="00F36ECE">
        <w:rPr>
          <w:rFonts w:ascii="Calibri" w:hAnsi="Calibri" w:cs="Calibri"/>
          <w:b/>
          <w:bCs/>
          <w:sz w:val="28"/>
          <w:szCs w:val="28"/>
        </w:rPr>
        <w:t>Calculations for Section 14: Agency Hours &amp; Costs</w:t>
      </w:r>
    </w:p>
    <w:p w:rsidR="00822B54" w:rsidRPr="00D456A4" w:rsidP="00961C50" w14:paraId="1D5CC04E" w14:textId="01CC2FBA">
      <w:pPr>
        <w:spacing w:after="0" w:line="240" w:lineRule="auto"/>
        <w:ind w:left="-90"/>
        <w:rPr>
          <w:rFonts w:ascii="Calibri" w:hAnsi="Calibri" w:cs="Calibri"/>
        </w:rPr>
      </w:pPr>
    </w:p>
    <w:p w:rsidR="00822B54" w:rsidP="00961C50" w14:paraId="0A4A344D" w14:textId="77777777">
      <w:pPr>
        <w:tabs>
          <w:tab w:val="left" w:pos="6300"/>
          <w:tab w:val="left" w:pos="7110"/>
        </w:tabs>
        <w:spacing w:after="0" w:line="240" w:lineRule="auto"/>
        <w:ind w:left="-90" w:right="-270"/>
        <w:rPr>
          <w:rFonts w:ascii="Calibri" w:hAnsi="Calibri" w:cs="Calibri"/>
          <w:i/>
          <w:iCs/>
        </w:rPr>
      </w:pPr>
      <w:r w:rsidRPr="00D456A4">
        <w:rPr>
          <w:rFonts w:ascii="Calibri" w:hAnsi="Calibri" w:cs="Calibri"/>
          <w:i/>
          <w:iCs/>
        </w:rPr>
        <w:t xml:space="preserve">Step 1: Calculate </w:t>
      </w:r>
      <w:r>
        <w:rPr>
          <w:rFonts w:ascii="Calibri" w:hAnsi="Calibri" w:cs="Calibri"/>
          <w:i/>
          <w:iCs/>
        </w:rPr>
        <w:t xml:space="preserve">proportion of </w:t>
      </w:r>
      <w:r w:rsidRPr="00D456A4">
        <w:rPr>
          <w:rFonts w:ascii="Calibri" w:hAnsi="Calibri" w:cs="Calibri"/>
          <w:i/>
          <w:iCs/>
        </w:rPr>
        <w:t>respondent burden hours across all staff roles at relevant levels of seniority.</w:t>
      </w:r>
    </w:p>
    <w:p w:rsidR="00822B54" w:rsidRPr="00D456A4" w:rsidP="00961C50" w14:paraId="43435DBB" w14:textId="77777777">
      <w:pPr>
        <w:tabs>
          <w:tab w:val="left" w:pos="6300"/>
          <w:tab w:val="left" w:pos="7110"/>
        </w:tabs>
        <w:spacing w:after="0" w:line="240" w:lineRule="auto"/>
        <w:ind w:left="-90" w:right="-270"/>
        <w:rPr>
          <w:rFonts w:ascii="Calibri" w:hAnsi="Calibri" w:cs="Calibri"/>
          <w:i/>
          <w:iCs/>
        </w:rPr>
      </w:pPr>
    </w:p>
    <w:tbl>
      <w:tblPr>
        <w:tblW w:w="9080" w:type="dxa"/>
        <w:tblLayout w:type="fixed"/>
        <w:tblLook w:val="04A0"/>
      </w:tblPr>
      <w:tblGrid>
        <w:gridCol w:w="2270"/>
        <w:gridCol w:w="2270"/>
        <w:gridCol w:w="2270"/>
        <w:gridCol w:w="2270"/>
      </w:tblGrid>
      <w:tr w14:paraId="332E3B22" w14:textId="77777777" w:rsidTr="000E24B6">
        <w:tblPrEx>
          <w:tblW w:w="9080" w:type="dxa"/>
          <w:tblLayout w:type="fixed"/>
          <w:tblLook w:val="04A0"/>
        </w:tblPrEx>
        <w:trPr>
          <w:trHeight w:val="450"/>
        </w:trPr>
        <w:tc>
          <w:tcPr>
            <w:tcW w:w="9080" w:type="dxa"/>
            <w:gridSpan w:val="4"/>
            <w:tcBorders>
              <w:top w:val="single" w:sz="8" w:space="0" w:color="auto"/>
              <w:left w:val="single" w:sz="8" w:space="0" w:color="auto"/>
              <w:bottom w:val="single" w:sz="4" w:space="0" w:color="auto"/>
              <w:right w:val="single" w:sz="8" w:space="0" w:color="000000"/>
            </w:tcBorders>
            <w:shd w:val="clear" w:color="000000" w:fill="D9D9D9"/>
            <w:vAlign w:val="center"/>
          </w:tcPr>
          <w:p w:rsidR="00822B54" w:rsidRPr="00D456A4" w:rsidP="00961C50" w14:paraId="5BC517C8" w14:textId="1DBD247F">
            <w:pPr>
              <w:spacing w:after="0" w:line="240" w:lineRule="auto"/>
              <w:rPr>
                <w:rFonts w:ascii="Calibri" w:eastAsia="Times New Roman" w:hAnsi="Calibri" w:cs="Calibri"/>
                <w:b/>
                <w:bCs/>
                <w:color w:val="000000"/>
              </w:rPr>
            </w:pPr>
            <w:r w:rsidRPr="00D456A4">
              <w:rPr>
                <w:rFonts w:ascii="Calibri" w:eastAsia="Times New Roman" w:hAnsi="Calibri" w:cs="Calibri"/>
                <w:b/>
                <w:bCs/>
                <w:color w:val="000000"/>
              </w:rPr>
              <w:t>TABLE 1</w:t>
            </w:r>
            <w:r w:rsidR="009A308D">
              <w:rPr>
                <w:rFonts w:ascii="Calibri" w:eastAsia="Times New Roman" w:hAnsi="Calibri" w:cs="Calibri"/>
                <w:b/>
                <w:bCs/>
                <w:color w:val="000000"/>
              </w:rPr>
              <w:t>4</w:t>
            </w:r>
            <w:r w:rsidRPr="00D456A4">
              <w:rPr>
                <w:rFonts w:ascii="Calibri" w:eastAsia="Times New Roman" w:hAnsi="Calibri" w:cs="Calibri"/>
                <w:b/>
                <w:bCs/>
                <w:color w:val="000000"/>
              </w:rPr>
              <w:t xml:space="preserve">.1: </w:t>
            </w:r>
            <w:r>
              <w:rPr>
                <w:rFonts w:ascii="Calibri" w:eastAsia="Times New Roman" w:hAnsi="Calibri" w:cs="Calibri"/>
                <w:b/>
                <w:bCs/>
                <w:color w:val="000000"/>
              </w:rPr>
              <w:t xml:space="preserve">PROPORTION OF Agency </w:t>
            </w:r>
            <w:r w:rsidRPr="00D456A4">
              <w:rPr>
                <w:rFonts w:ascii="Calibri" w:eastAsia="Times New Roman" w:hAnsi="Calibri" w:cs="Calibri"/>
                <w:b/>
                <w:bCs/>
                <w:color w:val="000000"/>
              </w:rPr>
              <w:t>Hours</w:t>
            </w:r>
          </w:p>
        </w:tc>
      </w:tr>
      <w:tr w14:paraId="4C8AE88D" w14:textId="77777777" w:rsidTr="000E24B6">
        <w:tblPrEx>
          <w:tblW w:w="9080" w:type="dxa"/>
          <w:tblLayout w:type="fixed"/>
          <w:tblLook w:val="04A0"/>
        </w:tblPrEx>
        <w:trPr>
          <w:trHeight w:val="989"/>
        </w:trPr>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D456A4" w:rsidP="00961C50" w14:paraId="0F9F5B46"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Number of Hours: Management</w:t>
            </w:r>
            <w:r>
              <w:rPr>
                <w:rFonts w:ascii="Calibri" w:eastAsia="Times New Roman" w:hAnsi="Calibri" w:cs="Calibri"/>
                <w:color w:val="000000"/>
              </w:rPr>
              <w:t xml:space="preserve"> </w:t>
            </w:r>
            <w:r>
              <w:rPr>
                <w:rFonts w:ascii="Calibri" w:eastAsia="Times New Roman" w:hAnsi="Calibri" w:cs="Calibri"/>
                <w:color w:val="000000"/>
              </w:rPr>
              <w:br/>
              <w:t>(GS-15, Step 1)</w:t>
            </w:r>
          </w:p>
        </w:tc>
        <w:tc>
          <w:tcPr>
            <w:tcW w:w="2270" w:type="dxa"/>
            <w:tcBorders>
              <w:top w:val="single" w:sz="4" w:space="0" w:color="auto"/>
              <w:left w:val="nil"/>
              <w:bottom w:val="single" w:sz="4" w:space="0" w:color="auto"/>
              <w:right w:val="single" w:sz="4" w:space="0" w:color="auto"/>
            </w:tcBorders>
            <w:shd w:val="clear" w:color="000000" w:fill="F2F2F2"/>
            <w:vAlign w:val="center"/>
            <w:hideMark/>
          </w:tcPr>
          <w:p w:rsidR="00822B54" w:rsidRPr="00D456A4" w:rsidP="00961C50" w14:paraId="6F7D50B0"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 xml:space="preserve">Number of Hours: </w:t>
            </w:r>
            <w:r>
              <w:rPr>
                <w:rFonts w:ascii="Calibri" w:eastAsia="Times New Roman" w:hAnsi="Calibri" w:cs="Calibri"/>
                <w:color w:val="000000"/>
              </w:rPr>
              <w:t>Program Lead</w:t>
            </w:r>
            <w:r>
              <w:rPr>
                <w:rFonts w:ascii="Calibri" w:eastAsia="Times New Roman" w:hAnsi="Calibri" w:cs="Calibri"/>
                <w:color w:val="000000"/>
              </w:rPr>
              <w:br/>
              <w:t>(GS-14, Step 1)</w:t>
            </w:r>
          </w:p>
        </w:tc>
        <w:tc>
          <w:tcPr>
            <w:tcW w:w="2270" w:type="dxa"/>
            <w:tcBorders>
              <w:top w:val="single" w:sz="4" w:space="0" w:color="auto"/>
              <w:left w:val="nil"/>
              <w:bottom w:val="single" w:sz="4" w:space="0" w:color="auto"/>
              <w:right w:val="nil"/>
            </w:tcBorders>
            <w:shd w:val="clear" w:color="000000" w:fill="F2F2F2"/>
            <w:vAlign w:val="center"/>
            <w:hideMark/>
          </w:tcPr>
          <w:p w:rsidR="00822B54" w:rsidRPr="00D456A4" w:rsidP="00961C50" w14:paraId="358D5BFC"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 xml:space="preserve">Number of Hours: </w:t>
            </w:r>
            <w:r>
              <w:rPr>
                <w:rFonts w:ascii="Calibri" w:eastAsia="Times New Roman" w:hAnsi="Calibri" w:cs="Calibri"/>
                <w:color w:val="000000"/>
              </w:rPr>
              <w:t>Project Officer</w:t>
            </w:r>
            <w:r>
              <w:rPr>
                <w:rFonts w:ascii="Calibri" w:eastAsia="Times New Roman" w:hAnsi="Calibri" w:cs="Calibri"/>
                <w:color w:val="000000"/>
              </w:rPr>
              <w:br/>
              <w:t>(GS-11, Step 1)</w:t>
            </w:r>
          </w:p>
        </w:tc>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D456A4" w:rsidP="00961C50" w14:paraId="0B0EA98B" w14:textId="77777777">
            <w:pPr>
              <w:spacing w:after="0" w:line="240" w:lineRule="auto"/>
              <w:rPr>
                <w:rFonts w:ascii="Calibri" w:eastAsia="Times New Roman" w:hAnsi="Calibri" w:cs="Calibri"/>
                <w:color w:val="000000"/>
              </w:rPr>
            </w:pPr>
            <w:r w:rsidRPr="00D456A4">
              <w:rPr>
                <w:rFonts w:ascii="Calibri" w:eastAsia="Times New Roman" w:hAnsi="Calibri" w:cs="Calibri"/>
                <w:color w:val="000000"/>
              </w:rPr>
              <w:t xml:space="preserve">Total </w:t>
            </w:r>
            <w:r>
              <w:rPr>
                <w:rFonts w:ascii="Calibri" w:eastAsia="Times New Roman" w:hAnsi="Calibri" w:cs="Calibri"/>
                <w:color w:val="000000"/>
              </w:rPr>
              <w:t>Proportion</w:t>
            </w:r>
          </w:p>
        </w:tc>
      </w:tr>
      <w:tr w14:paraId="5AACC80B" w14:textId="77777777" w:rsidTr="000E24B6">
        <w:tblPrEx>
          <w:tblW w:w="9080" w:type="dxa"/>
          <w:tblLayout w:type="fixed"/>
          <w:tblLook w:val="04A0"/>
        </w:tblPrEx>
        <w:trPr>
          <w:trHeight w:val="44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D456A4" w:rsidP="00961C50" w14:paraId="080845C3" w14:textId="77777777">
            <w:pPr>
              <w:spacing w:after="0" w:line="240" w:lineRule="auto"/>
              <w:rPr>
                <w:rFonts w:ascii="Calibri" w:eastAsia="Times New Roman" w:hAnsi="Calibri" w:cs="Calibri"/>
                <w:color w:val="000000"/>
              </w:rPr>
            </w:pPr>
            <w:r>
              <w:rPr>
                <w:rFonts w:ascii="Calibri" w:eastAsia="Times New Roman" w:hAnsi="Calibri" w:cs="Calibri"/>
                <w:color w:val="000000"/>
              </w:rPr>
              <w:t>0.10</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822B54" w:rsidRPr="00D456A4" w:rsidP="00961C50" w14:paraId="406909D4" w14:textId="77777777">
            <w:pPr>
              <w:spacing w:after="0" w:line="240" w:lineRule="auto"/>
              <w:rPr>
                <w:rFonts w:ascii="Calibri" w:eastAsia="Times New Roman" w:hAnsi="Calibri" w:cs="Calibri"/>
                <w:color w:val="000000"/>
              </w:rPr>
            </w:pPr>
            <w:r>
              <w:rPr>
                <w:rFonts w:ascii="Calibri" w:eastAsia="Times New Roman" w:hAnsi="Calibri" w:cs="Calibri"/>
                <w:color w:val="000000"/>
              </w:rPr>
              <w:t>0.20</w:t>
            </w:r>
          </w:p>
        </w:tc>
        <w:tc>
          <w:tcPr>
            <w:tcW w:w="2270" w:type="dxa"/>
            <w:tcBorders>
              <w:top w:val="single" w:sz="4" w:space="0" w:color="auto"/>
              <w:left w:val="nil"/>
              <w:bottom w:val="single" w:sz="4" w:space="0" w:color="auto"/>
              <w:right w:val="nil"/>
            </w:tcBorders>
            <w:shd w:val="clear" w:color="auto" w:fill="auto"/>
            <w:noWrap/>
            <w:vAlign w:val="center"/>
            <w:hideMark/>
          </w:tcPr>
          <w:p w:rsidR="00822B54" w:rsidRPr="00D456A4" w:rsidP="00961C50" w14:paraId="18AAE881" w14:textId="77777777">
            <w:pPr>
              <w:spacing w:after="0" w:line="240" w:lineRule="auto"/>
              <w:rPr>
                <w:rFonts w:ascii="Calibri" w:eastAsia="Times New Roman" w:hAnsi="Calibri" w:cs="Calibri"/>
                <w:color w:val="000000"/>
              </w:rPr>
            </w:pPr>
            <w:r>
              <w:rPr>
                <w:rFonts w:ascii="Calibri" w:eastAsia="Times New Roman" w:hAnsi="Calibri" w:cs="Calibri"/>
                <w:color w:val="000000"/>
              </w:rPr>
              <w:t>0.70</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D456A4" w:rsidP="00961C50" w14:paraId="6FA65236" w14:textId="77777777">
            <w:pPr>
              <w:spacing w:after="0" w:line="240" w:lineRule="auto"/>
              <w:rPr>
                <w:rFonts w:ascii="Calibri" w:eastAsia="Times New Roman" w:hAnsi="Calibri" w:cs="Calibri"/>
                <w:color w:val="000000"/>
              </w:rPr>
            </w:pPr>
            <w:r>
              <w:rPr>
                <w:rFonts w:ascii="Calibri" w:eastAsia="Times New Roman" w:hAnsi="Calibri" w:cs="Calibri"/>
                <w:color w:val="000000"/>
              </w:rPr>
              <w:t>1</w:t>
            </w:r>
          </w:p>
        </w:tc>
      </w:tr>
    </w:tbl>
    <w:p w:rsidR="00822B54" w:rsidRPr="00D456A4" w:rsidP="00961C50" w14:paraId="31833386" w14:textId="77777777">
      <w:pPr>
        <w:spacing w:after="0" w:line="240" w:lineRule="auto"/>
        <w:rPr>
          <w:rFonts w:ascii="Calibri" w:hAnsi="Calibri" w:cs="Calibri"/>
        </w:rPr>
      </w:pPr>
    </w:p>
    <w:p w:rsidR="00822B54" w:rsidP="00961C50" w14:paraId="0B5A41AE" w14:textId="77777777">
      <w:pPr>
        <w:spacing w:after="0" w:line="240" w:lineRule="auto"/>
        <w:rPr>
          <w:rFonts w:ascii="Calibri" w:hAnsi="Calibri" w:cs="Calibri"/>
        </w:rPr>
      </w:pPr>
    </w:p>
    <w:p w:rsidR="00822B54" w:rsidP="00961C50" w14:paraId="23CA58D8" w14:textId="6667C290">
      <w:pPr>
        <w:spacing w:after="0" w:line="240" w:lineRule="auto"/>
        <w:ind w:left="-90"/>
        <w:rPr>
          <w:rFonts w:ascii="Calibri" w:hAnsi="Calibri" w:cs="Calibri"/>
          <w:i/>
          <w:iCs/>
        </w:rPr>
      </w:pPr>
      <w:r w:rsidRPr="00822B54">
        <w:rPr>
          <w:rFonts w:ascii="Calibri" w:hAnsi="Calibri" w:cs="Calibri"/>
          <w:i/>
          <w:iCs/>
        </w:rPr>
        <w:t xml:space="preserve">Step 2: Calculate weighted </w:t>
      </w:r>
      <w:r w:rsidR="00296B99">
        <w:rPr>
          <w:rFonts w:ascii="Calibri" w:hAnsi="Calibri" w:cs="Calibri"/>
          <w:i/>
          <w:iCs/>
        </w:rPr>
        <w:t>loaded l</w:t>
      </w:r>
      <w:r w:rsidRPr="00822B54">
        <w:rPr>
          <w:rFonts w:ascii="Calibri" w:hAnsi="Calibri" w:cs="Calibri"/>
          <w:i/>
          <w:iCs/>
        </w:rPr>
        <w:t>abor cost across all staff roles involved.</w:t>
      </w:r>
    </w:p>
    <w:p w:rsidR="00B97B87" w:rsidP="00961C50" w14:paraId="55A8EB56" w14:textId="77777777">
      <w:pPr>
        <w:spacing w:after="0" w:line="240" w:lineRule="auto"/>
        <w:ind w:left="-90"/>
        <w:rPr>
          <w:rFonts w:ascii="Calibri" w:hAnsi="Calibri" w:cs="Calibri"/>
          <w:i/>
          <w:iCs/>
        </w:rPr>
      </w:pPr>
    </w:p>
    <w:tbl>
      <w:tblPr>
        <w:tblW w:w="0" w:type="auto"/>
        <w:tblInd w:w="113" w:type="dxa"/>
        <w:tblLayout w:type="fixed"/>
        <w:tblLook w:val="04A0"/>
      </w:tblPr>
      <w:tblGrid>
        <w:gridCol w:w="1435"/>
        <w:gridCol w:w="2610"/>
        <w:gridCol w:w="1080"/>
        <w:gridCol w:w="1170"/>
        <w:gridCol w:w="1018"/>
        <w:gridCol w:w="1232"/>
        <w:gridCol w:w="1620"/>
        <w:gridCol w:w="1170"/>
        <w:gridCol w:w="1440"/>
      </w:tblGrid>
      <w:tr w14:paraId="5CBFD780" w14:textId="77777777" w:rsidTr="00D17A73">
        <w:tblPrEx>
          <w:tblW w:w="0" w:type="auto"/>
          <w:tblInd w:w="113" w:type="dxa"/>
          <w:tblLayout w:type="fixed"/>
          <w:tblLook w:val="04A0"/>
        </w:tblPrEx>
        <w:trPr>
          <w:trHeight w:val="315"/>
          <w:tblHeader/>
        </w:trPr>
        <w:tc>
          <w:tcPr>
            <w:tcW w:w="12775"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B97B87" w:rsidRPr="0060654C" w:rsidP="00961C50" w14:paraId="0B1FC471" w14:textId="527C3A37">
            <w:pPr>
              <w:spacing w:after="0" w:line="240" w:lineRule="auto"/>
              <w:rPr>
                <w:rFonts w:ascii="Calibri" w:eastAsia="Times New Roman" w:hAnsi="Calibri" w:cs="Calibri"/>
                <w:b/>
                <w:bCs/>
                <w:color w:val="000000"/>
              </w:rPr>
            </w:pPr>
            <w:r w:rsidRPr="008237FF">
              <w:rPr>
                <w:rFonts w:ascii="Calibri" w:eastAsia="Times New Roman" w:hAnsi="Calibri" w:cs="Calibri"/>
                <w:b/>
                <w:bCs/>
                <w:color w:val="000000"/>
              </w:rPr>
              <w:t xml:space="preserve">TABLE 14.2: LOADED WAGE RATES for Agency Staff </w:t>
            </w:r>
            <w:r w:rsidRPr="0060654C">
              <w:rPr>
                <w:rFonts w:ascii="Calibri" w:eastAsia="Times New Roman" w:hAnsi="Calibri" w:cs="Calibri"/>
                <w:b/>
                <w:bCs/>
                <w:color w:val="000000"/>
              </w:rPr>
              <w:t>(202</w:t>
            </w:r>
            <w:r>
              <w:rPr>
                <w:rFonts w:ascii="Calibri" w:eastAsia="Times New Roman" w:hAnsi="Calibri" w:cs="Calibri"/>
                <w:b/>
                <w:bCs/>
                <w:color w:val="000000"/>
              </w:rPr>
              <w:t>3</w:t>
            </w:r>
            <w:r w:rsidRPr="0060654C">
              <w:rPr>
                <w:rFonts w:ascii="Calibri" w:eastAsia="Times New Roman" w:hAnsi="Calibri" w:cs="Calibri"/>
                <w:b/>
                <w:bCs/>
                <w:color w:val="000000"/>
              </w:rPr>
              <w:t>$)</w:t>
            </w:r>
          </w:p>
        </w:tc>
      </w:tr>
      <w:tr w14:paraId="5EB7F249" w14:textId="77777777" w:rsidTr="00426367">
        <w:tblPrEx>
          <w:tblW w:w="0" w:type="auto"/>
          <w:tblInd w:w="113" w:type="dxa"/>
          <w:tblLayout w:type="fixed"/>
          <w:tblLook w:val="04A0"/>
        </w:tblPrEx>
        <w:trPr>
          <w:trHeight w:val="315"/>
          <w:tblHeader/>
        </w:trPr>
        <w:tc>
          <w:tcPr>
            <w:tcW w:w="1435"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D17A73" w:rsidP="00961C50" w14:paraId="46BB2909" w14:textId="77777777">
            <w:pPr>
              <w:spacing w:after="0" w:line="240" w:lineRule="auto"/>
              <w:rPr>
                <w:rFonts w:eastAsia="Times New Roman" w:cstheme="minorHAnsi"/>
                <w:b/>
                <w:bCs/>
              </w:rPr>
            </w:pPr>
            <w:r w:rsidRPr="00D17A73">
              <w:rPr>
                <w:rFonts w:eastAsia="Times New Roman" w:cstheme="minorHAnsi"/>
                <w:b/>
                <w:bCs/>
              </w:rPr>
              <w:t>Labor Category</w:t>
            </w:r>
          </w:p>
        </w:tc>
        <w:tc>
          <w:tcPr>
            <w:tcW w:w="2610"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D17A73" w:rsidP="00961C50" w14:paraId="15220874" w14:textId="77777777">
            <w:pPr>
              <w:spacing w:after="0" w:line="240" w:lineRule="auto"/>
              <w:rPr>
                <w:rFonts w:eastAsia="Times New Roman" w:cstheme="minorHAnsi"/>
                <w:b/>
                <w:bCs/>
              </w:rPr>
            </w:pPr>
            <w:r w:rsidRPr="00D17A73">
              <w:rPr>
                <w:rFonts w:eastAsia="Times New Roman" w:cstheme="minorHAnsi"/>
                <w:b/>
                <w:bCs/>
              </w:rPr>
              <w:t>Data Series</w:t>
            </w:r>
            <w:r w:rsidRPr="00D17A73">
              <w:rPr>
                <w:rFonts w:eastAsia="Times New Roman" w:cstheme="minorHAnsi"/>
                <w:b/>
                <w:bCs/>
                <w:vertAlign w:val="superscript"/>
              </w:rPr>
              <w:t xml:space="preserve"> a</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D17A73" w:rsidP="00961C50" w14:paraId="55AAF6DF" w14:textId="77777777">
            <w:pPr>
              <w:spacing w:after="0" w:line="240" w:lineRule="auto"/>
              <w:rPr>
                <w:rFonts w:eastAsia="Times New Roman" w:cstheme="minorHAnsi"/>
                <w:b/>
                <w:bCs/>
              </w:rPr>
            </w:pPr>
            <w:r w:rsidRPr="00D17A73">
              <w:rPr>
                <w:rFonts w:eastAsia="Times New Roman" w:cstheme="minorHAnsi"/>
                <w:b/>
                <w:bCs/>
              </w:rPr>
              <w:t>Period</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D17A73" w:rsidP="00961C50" w14:paraId="1ACDB3B6" w14:textId="77777777">
            <w:pPr>
              <w:spacing w:after="0" w:line="240" w:lineRule="auto"/>
              <w:rPr>
                <w:rFonts w:eastAsia="Times New Roman" w:cstheme="minorHAnsi"/>
                <w:b/>
                <w:bCs/>
                <w:vertAlign w:val="superscript"/>
              </w:rPr>
            </w:pPr>
            <w:r w:rsidRPr="00D17A73">
              <w:rPr>
                <w:rFonts w:eastAsia="Times New Roman" w:cstheme="minorHAnsi"/>
                <w:b/>
                <w:bCs/>
              </w:rPr>
              <w:t>Wage ($/hour)</w:t>
            </w:r>
          </w:p>
        </w:tc>
        <w:tc>
          <w:tcPr>
            <w:tcW w:w="1018" w:type="dxa"/>
            <w:tcBorders>
              <w:top w:val="nil"/>
              <w:left w:val="nil"/>
              <w:bottom w:val="single" w:sz="4" w:space="0" w:color="auto"/>
              <w:right w:val="single" w:sz="4" w:space="0" w:color="auto"/>
            </w:tcBorders>
            <w:shd w:val="clear" w:color="000000" w:fill="D9D9D9"/>
            <w:vAlign w:val="center"/>
            <w:hideMark/>
          </w:tcPr>
          <w:p w:rsidR="00B97B87" w:rsidRPr="00D17A73" w:rsidP="00961C50" w14:paraId="607419C4" w14:textId="77777777">
            <w:pPr>
              <w:spacing w:after="0" w:line="240" w:lineRule="auto"/>
              <w:rPr>
                <w:rFonts w:eastAsia="Times New Roman" w:cstheme="minorHAnsi"/>
                <w:b/>
                <w:bCs/>
                <w:vertAlign w:val="superscript"/>
              </w:rPr>
            </w:pPr>
            <w:r w:rsidRPr="00D17A73">
              <w:rPr>
                <w:rFonts w:eastAsia="Times New Roman" w:cstheme="minorHAnsi"/>
                <w:b/>
                <w:bCs/>
              </w:rPr>
              <w:t xml:space="preserve">Fringe </w:t>
            </w:r>
            <w:r w:rsidRPr="00D17A73">
              <w:rPr>
                <w:rFonts w:eastAsia="Times New Roman" w:cstheme="minorHAnsi"/>
                <w:b/>
                <w:bCs/>
              </w:rPr>
              <w:t>Benefit</w:t>
            </w:r>
            <w:r>
              <w:rPr>
                <w:rFonts w:eastAsia="Times New Roman" w:cstheme="minorHAnsi"/>
                <w:b/>
                <w:bCs/>
                <w:vertAlign w:val="superscript"/>
              </w:rPr>
              <w:t>b</w:t>
            </w:r>
          </w:p>
        </w:tc>
        <w:tc>
          <w:tcPr>
            <w:tcW w:w="1232" w:type="dxa"/>
            <w:tcBorders>
              <w:top w:val="nil"/>
              <w:left w:val="nil"/>
              <w:bottom w:val="single" w:sz="4" w:space="0" w:color="auto"/>
              <w:right w:val="single" w:sz="4" w:space="0" w:color="auto"/>
            </w:tcBorders>
            <w:shd w:val="clear" w:color="000000" w:fill="D9D9D9"/>
            <w:vAlign w:val="center"/>
            <w:hideMark/>
          </w:tcPr>
          <w:p w:rsidR="00B97B87" w:rsidRPr="00D17A73" w:rsidP="00961C50" w14:paraId="610D6D6F" w14:textId="77777777">
            <w:pPr>
              <w:spacing w:after="0" w:line="240" w:lineRule="auto"/>
              <w:rPr>
                <w:rFonts w:eastAsia="Times New Roman" w:cstheme="minorHAnsi"/>
                <w:b/>
                <w:bCs/>
              </w:rPr>
            </w:pPr>
            <w:r w:rsidRPr="00D17A73">
              <w:rPr>
                <w:rFonts w:eastAsia="Times New Roman" w:cstheme="minorHAnsi"/>
                <w:b/>
                <w:bCs/>
              </w:rPr>
              <w:t xml:space="preserve">Total </w:t>
            </w:r>
            <w:r w:rsidRPr="00D17A73">
              <w:rPr>
                <w:rFonts w:eastAsia="Times New Roman" w:cstheme="minorHAnsi"/>
                <w:b/>
                <w:bCs/>
              </w:rPr>
              <w:t>Compen</w:t>
            </w:r>
            <w:r>
              <w:rPr>
                <w:rFonts w:eastAsia="Times New Roman" w:cstheme="minorHAnsi"/>
                <w:b/>
                <w:bCs/>
              </w:rPr>
              <w:t>-</w:t>
            </w:r>
            <w:r w:rsidRPr="00D17A73">
              <w:rPr>
                <w:rFonts w:eastAsia="Times New Roman" w:cstheme="minorHAnsi"/>
                <w:b/>
                <w:bCs/>
              </w:rPr>
              <w:t>sation</w:t>
            </w:r>
          </w:p>
        </w:tc>
        <w:tc>
          <w:tcPr>
            <w:tcW w:w="1620" w:type="dxa"/>
            <w:tcBorders>
              <w:top w:val="nil"/>
              <w:left w:val="nil"/>
              <w:bottom w:val="single" w:sz="4" w:space="0" w:color="auto"/>
              <w:right w:val="single" w:sz="4" w:space="0" w:color="auto"/>
            </w:tcBorders>
            <w:shd w:val="clear" w:color="000000" w:fill="D9D9D9"/>
            <w:vAlign w:val="center"/>
            <w:hideMark/>
          </w:tcPr>
          <w:p w:rsidR="00B97B87" w:rsidRPr="00D17A73" w:rsidP="00961C50" w14:paraId="5B2C377B" w14:textId="77777777">
            <w:pPr>
              <w:spacing w:after="0" w:line="240" w:lineRule="auto"/>
              <w:rPr>
                <w:rFonts w:eastAsia="Times New Roman" w:cstheme="minorHAnsi"/>
                <w:b/>
                <w:bCs/>
              </w:rPr>
            </w:pPr>
            <w:r w:rsidRPr="00D17A73">
              <w:rPr>
                <w:rFonts w:eastAsia="Times New Roman" w:cstheme="minorHAnsi"/>
                <w:b/>
                <w:bCs/>
              </w:rPr>
              <w:t xml:space="preserve">Overhead as % of Total </w:t>
            </w:r>
            <w:r w:rsidRPr="00D17A73">
              <w:rPr>
                <w:rFonts w:eastAsia="Times New Roman" w:cstheme="minorHAnsi"/>
                <w:b/>
                <w:bCs/>
              </w:rPr>
              <w:t>Compensation</w:t>
            </w:r>
            <w:r>
              <w:rPr>
                <w:rFonts w:eastAsia="Times New Roman" w:cstheme="minorHAnsi"/>
                <w:b/>
                <w:bCs/>
                <w:vertAlign w:val="superscript"/>
              </w:rPr>
              <w:t>c</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D17A73" w:rsidP="00961C50" w14:paraId="4A5942B3" w14:textId="77777777">
            <w:pPr>
              <w:spacing w:after="0" w:line="240" w:lineRule="auto"/>
              <w:rPr>
                <w:rFonts w:eastAsia="Times New Roman" w:cstheme="minorHAnsi"/>
                <w:b/>
                <w:bCs/>
              </w:rPr>
            </w:pPr>
            <w:r w:rsidRPr="00D17A73">
              <w:rPr>
                <w:rFonts w:eastAsia="Times New Roman" w:cstheme="minorHAnsi"/>
                <w:b/>
                <w:bCs/>
              </w:rPr>
              <w:t>Overhead</w:t>
            </w:r>
          </w:p>
        </w:tc>
        <w:tc>
          <w:tcPr>
            <w:tcW w:w="1440" w:type="dxa"/>
            <w:tcBorders>
              <w:top w:val="nil"/>
              <w:left w:val="nil"/>
              <w:bottom w:val="single" w:sz="4" w:space="0" w:color="auto"/>
              <w:right w:val="single" w:sz="4" w:space="0" w:color="auto"/>
            </w:tcBorders>
            <w:shd w:val="clear" w:color="000000" w:fill="D9D9D9"/>
            <w:vAlign w:val="center"/>
            <w:hideMark/>
          </w:tcPr>
          <w:p w:rsidR="00B97B87" w:rsidRPr="00D17A73" w:rsidP="00961C50" w14:paraId="5D609EC6" w14:textId="77777777">
            <w:pPr>
              <w:spacing w:after="0" w:line="240" w:lineRule="auto"/>
              <w:rPr>
                <w:rFonts w:eastAsia="Times New Roman" w:cstheme="minorHAnsi"/>
                <w:b/>
                <w:bCs/>
              </w:rPr>
            </w:pPr>
            <w:r w:rsidRPr="00D17A73">
              <w:rPr>
                <w:rFonts w:eastAsia="Times New Roman" w:cstheme="minorHAnsi"/>
                <w:b/>
                <w:bCs/>
              </w:rPr>
              <w:t>Hourly Loaded Wages</w:t>
            </w:r>
          </w:p>
        </w:tc>
      </w:tr>
      <w:tr w14:paraId="6D4A3D2B" w14:textId="77777777" w:rsidTr="00426367">
        <w:tblPrEx>
          <w:tblW w:w="0" w:type="auto"/>
          <w:tblInd w:w="113" w:type="dxa"/>
          <w:tblLayout w:type="fixed"/>
          <w:tblLook w:val="04A0"/>
        </w:tblPrEx>
        <w:trPr>
          <w:trHeight w:val="300"/>
          <w:tblHeader/>
        </w:trPr>
        <w:tc>
          <w:tcPr>
            <w:tcW w:w="1435" w:type="dxa"/>
            <w:vMerge/>
            <w:tcBorders>
              <w:top w:val="nil"/>
              <w:left w:val="single" w:sz="4" w:space="0" w:color="auto"/>
              <w:bottom w:val="single" w:sz="4" w:space="0" w:color="auto"/>
              <w:right w:val="single" w:sz="4" w:space="0" w:color="auto"/>
            </w:tcBorders>
            <w:vAlign w:val="center"/>
            <w:hideMark/>
          </w:tcPr>
          <w:p w:rsidR="00B97B87" w:rsidRPr="00D17A73" w:rsidP="00961C50" w14:paraId="51D6CAFC" w14:textId="77777777">
            <w:pPr>
              <w:spacing w:after="0" w:line="240" w:lineRule="auto"/>
              <w:rPr>
                <w:rFonts w:eastAsia="Times New Roman" w:cstheme="minorHAnsi"/>
                <w:b/>
                <w:bCs/>
              </w:rPr>
            </w:pPr>
          </w:p>
        </w:tc>
        <w:tc>
          <w:tcPr>
            <w:tcW w:w="2610" w:type="dxa"/>
            <w:vMerge/>
            <w:tcBorders>
              <w:top w:val="nil"/>
              <w:left w:val="single" w:sz="4" w:space="0" w:color="auto"/>
              <w:bottom w:val="single" w:sz="4" w:space="0" w:color="auto"/>
              <w:right w:val="single" w:sz="4" w:space="0" w:color="auto"/>
            </w:tcBorders>
            <w:vAlign w:val="center"/>
            <w:hideMark/>
          </w:tcPr>
          <w:p w:rsidR="00B97B87" w:rsidRPr="00D17A73" w:rsidP="00961C50" w14:paraId="3836180A" w14:textId="77777777">
            <w:pPr>
              <w:spacing w:after="0" w:line="240" w:lineRule="auto"/>
              <w:rPr>
                <w:rFonts w:eastAsia="Times New Roman" w:cstheme="minorHAnsi"/>
                <w:b/>
                <w:bCs/>
              </w:rPr>
            </w:pPr>
          </w:p>
        </w:tc>
        <w:tc>
          <w:tcPr>
            <w:tcW w:w="1080" w:type="dxa"/>
            <w:vMerge/>
            <w:tcBorders>
              <w:top w:val="nil"/>
              <w:left w:val="single" w:sz="4" w:space="0" w:color="auto"/>
              <w:bottom w:val="single" w:sz="4" w:space="0" w:color="auto"/>
              <w:right w:val="single" w:sz="4" w:space="0" w:color="auto"/>
            </w:tcBorders>
            <w:vAlign w:val="center"/>
            <w:hideMark/>
          </w:tcPr>
          <w:p w:rsidR="00B97B87" w:rsidRPr="00D17A73" w:rsidP="00961C50" w14:paraId="0E450018" w14:textId="77777777">
            <w:pPr>
              <w:spacing w:after="0" w:line="240" w:lineRule="auto"/>
              <w:rPr>
                <w:rFonts w:eastAsia="Times New Roman" w:cstheme="minorHAnsi"/>
                <w:b/>
                <w:bCs/>
              </w:rPr>
            </w:pPr>
          </w:p>
        </w:tc>
        <w:tc>
          <w:tcPr>
            <w:tcW w:w="1170" w:type="dxa"/>
            <w:tcBorders>
              <w:top w:val="nil"/>
              <w:left w:val="nil"/>
              <w:bottom w:val="single" w:sz="4" w:space="0" w:color="auto"/>
              <w:right w:val="single" w:sz="4" w:space="0" w:color="auto"/>
            </w:tcBorders>
            <w:shd w:val="clear" w:color="000000" w:fill="D9D9D9"/>
            <w:vAlign w:val="center"/>
            <w:hideMark/>
          </w:tcPr>
          <w:p w:rsidR="00B97B87" w:rsidRPr="00D17A73" w:rsidP="00961C50" w14:paraId="08213EA3" w14:textId="77777777">
            <w:pPr>
              <w:spacing w:after="0" w:line="240" w:lineRule="auto"/>
              <w:rPr>
                <w:rFonts w:eastAsia="Times New Roman" w:cstheme="minorHAnsi"/>
                <w:b/>
                <w:bCs/>
                <w:i/>
                <w:iCs/>
              </w:rPr>
            </w:pPr>
            <w:r w:rsidRPr="00D17A73">
              <w:rPr>
                <w:rFonts w:eastAsia="Times New Roman" w:cstheme="minorHAnsi"/>
                <w:b/>
                <w:bCs/>
                <w:i/>
                <w:iCs/>
              </w:rPr>
              <w:t>(a)</w:t>
            </w:r>
          </w:p>
        </w:tc>
        <w:tc>
          <w:tcPr>
            <w:tcW w:w="1018" w:type="dxa"/>
            <w:tcBorders>
              <w:top w:val="nil"/>
              <w:left w:val="nil"/>
              <w:bottom w:val="single" w:sz="4" w:space="0" w:color="auto"/>
              <w:right w:val="single" w:sz="4" w:space="0" w:color="auto"/>
            </w:tcBorders>
            <w:shd w:val="clear" w:color="000000" w:fill="D9D9D9"/>
            <w:vAlign w:val="center"/>
            <w:hideMark/>
          </w:tcPr>
          <w:p w:rsidR="00B97B87" w:rsidRPr="00D17A73" w:rsidP="00961C50" w14:paraId="7E6CA33E" w14:textId="77777777">
            <w:pPr>
              <w:spacing w:after="0" w:line="240" w:lineRule="auto"/>
              <w:rPr>
                <w:rFonts w:eastAsia="Times New Roman" w:cstheme="minorHAnsi"/>
                <w:b/>
                <w:bCs/>
                <w:i/>
                <w:iCs/>
              </w:rPr>
            </w:pPr>
            <w:r w:rsidRPr="00D17A73">
              <w:rPr>
                <w:rFonts w:eastAsia="Times New Roman" w:cstheme="minorHAnsi"/>
                <w:b/>
                <w:bCs/>
                <w:i/>
                <w:iCs/>
              </w:rPr>
              <w:t>(b)</w:t>
            </w:r>
          </w:p>
        </w:tc>
        <w:tc>
          <w:tcPr>
            <w:tcW w:w="1232" w:type="dxa"/>
            <w:tcBorders>
              <w:top w:val="nil"/>
              <w:left w:val="nil"/>
              <w:bottom w:val="single" w:sz="4" w:space="0" w:color="auto"/>
              <w:right w:val="single" w:sz="4" w:space="0" w:color="auto"/>
            </w:tcBorders>
            <w:shd w:val="clear" w:color="000000" w:fill="D9D9D9"/>
            <w:vAlign w:val="center"/>
            <w:hideMark/>
          </w:tcPr>
          <w:p w:rsidR="00B97B87" w:rsidRPr="00D17A73" w:rsidP="00961C50" w14:paraId="28BF6BEC" w14:textId="77777777">
            <w:pPr>
              <w:spacing w:after="0" w:line="240" w:lineRule="auto"/>
              <w:rPr>
                <w:rFonts w:eastAsia="Times New Roman" w:cstheme="minorHAnsi"/>
                <w:b/>
                <w:bCs/>
                <w:i/>
                <w:iCs/>
              </w:rPr>
            </w:pPr>
            <w:r w:rsidRPr="00D17A73">
              <w:rPr>
                <w:rFonts w:eastAsia="Times New Roman" w:cstheme="minorHAnsi"/>
                <w:b/>
                <w:bCs/>
                <w:i/>
                <w:iCs/>
              </w:rPr>
              <w:t>(c) =(b)+(a)</w:t>
            </w:r>
          </w:p>
        </w:tc>
        <w:tc>
          <w:tcPr>
            <w:tcW w:w="1620" w:type="dxa"/>
            <w:tcBorders>
              <w:top w:val="nil"/>
              <w:left w:val="nil"/>
              <w:bottom w:val="single" w:sz="4" w:space="0" w:color="auto"/>
              <w:right w:val="single" w:sz="4" w:space="0" w:color="auto"/>
            </w:tcBorders>
            <w:shd w:val="clear" w:color="000000" w:fill="D9D9D9"/>
            <w:vAlign w:val="center"/>
            <w:hideMark/>
          </w:tcPr>
          <w:p w:rsidR="00B97B87" w:rsidRPr="00D17A73" w:rsidP="00961C50" w14:paraId="529C13E0" w14:textId="77777777">
            <w:pPr>
              <w:spacing w:after="0" w:line="240" w:lineRule="auto"/>
              <w:rPr>
                <w:rFonts w:eastAsia="Times New Roman" w:cstheme="minorHAnsi"/>
                <w:b/>
                <w:bCs/>
                <w:i/>
                <w:iCs/>
              </w:rPr>
            </w:pPr>
            <w:r w:rsidRPr="00D17A73">
              <w:rPr>
                <w:rFonts w:eastAsia="Times New Roman" w:cstheme="minorHAnsi"/>
                <w:b/>
                <w:bCs/>
                <w:i/>
                <w:iCs/>
              </w:rPr>
              <w:t>(d)</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D17A73" w:rsidP="00961C50" w14:paraId="48B35BBB" w14:textId="77777777">
            <w:pPr>
              <w:spacing w:after="0" w:line="240" w:lineRule="auto"/>
              <w:rPr>
                <w:rFonts w:eastAsia="Times New Roman" w:cstheme="minorHAnsi"/>
                <w:b/>
                <w:bCs/>
                <w:i/>
                <w:iCs/>
              </w:rPr>
            </w:pPr>
            <w:r w:rsidRPr="00D17A73">
              <w:rPr>
                <w:rFonts w:eastAsia="Times New Roman" w:cstheme="minorHAnsi"/>
                <w:b/>
                <w:bCs/>
                <w:i/>
                <w:iCs/>
              </w:rPr>
              <w:t>(e)=(c)*(d)</w:t>
            </w:r>
          </w:p>
        </w:tc>
        <w:tc>
          <w:tcPr>
            <w:tcW w:w="1440" w:type="dxa"/>
            <w:tcBorders>
              <w:top w:val="nil"/>
              <w:left w:val="nil"/>
              <w:bottom w:val="single" w:sz="4" w:space="0" w:color="auto"/>
              <w:right w:val="single" w:sz="4" w:space="0" w:color="auto"/>
            </w:tcBorders>
            <w:shd w:val="clear" w:color="000000" w:fill="D9D9D9"/>
            <w:vAlign w:val="center"/>
            <w:hideMark/>
          </w:tcPr>
          <w:p w:rsidR="00B97B87" w:rsidRPr="00D17A73" w:rsidP="00961C50" w14:paraId="23D2E93B" w14:textId="77777777">
            <w:pPr>
              <w:spacing w:after="0" w:line="240" w:lineRule="auto"/>
              <w:rPr>
                <w:rFonts w:eastAsia="Times New Roman" w:cstheme="minorHAnsi"/>
                <w:b/>
                <w:bCs/>
                <w:i/>
                <w:iCs/>
              </w:rPr>
            </w:pPr>
            <w:r w:rsidRPr="00D17A73">
              <w:rPr>
                <w:rFonts w:eastAsia="Times New Roman" w:cstheme="minorHAnsi"/>
                <w:b/>
                <w:bCs/>
                <w:i/>
                <w:iCs/>
              </w:rPr>
              <w:t>(f)=(c)+(e)</w:t>
            </w:r>
          </w:p>
        </w:tc>
      </w:tr>
      <w:tr w14:paraId="3793A15A"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426367" w:rsidP="00961C50" w14:paraId="5419986D" w14:textId="7AC3CF94">
            <w:pPr>
              <w:spacing w:after="0" w:line="240" w:lineRule="auto"/>
              <w:rPr>
                <w:rFonts w:eastAsia="Times New Roman" w:cstheme="minorHAnsi"/>
              </w:rPr>
            </w:pPr>
            <w:r w:rsidRPr="009042A9">
              <w:rPr>
                <w:rFonts w:cs="Calibri"/>
                <w:color w:val="000000"/>
              </w:rPr>
              <w:t>EPA staff - Management</w:t>
            </w:r>
          </w:p>
        </w:tc>
        <w:tc>
          <w:tcPr>
            <w:tcW w:w="2610" w:type="dxa"/>
            <w:tcBorders>
              <w:top w:val="nil"/>
              <w:left w:val="nil"/>
              <w:bottom w:val="single" w:sz="4" w:space="0" w:color="auto"/>
              <w:right w:val="single" w:sz="4" w:space="0" w:color="auto"/>
            </w:tcBorders>
            <w:shd w:val="clear" w:color="auto" w:fill="auto"/>
            <w:vAlign w:val="center"/>
            <w:hideMark/>
          </w:tcPr>
          <w:p w:rsidR="00A54517" w:rsidRPr="00426367" w:rsidP="00961C50" w14:paraId="74F96689" w14:textId="11637C6F">
            <w:pPr>
              <w:spacing w:after="0" w:line="240" w:lineRule="auto"/>
              <w:rPr>
                <w:rFonts w:eastAsia="Times New Roman" w:cstheme="minorHAnsi"/>
              </w:rPr>
            </w:pPr>
            <w:r w:rsidRPr="009042A9">
              <w:rPr>
                <w:rFonts w:cs="Calibri"/>
                <w:color w:val="000000"/>
              </w:rPr>
              <w:t>Annual federal staff cost: OPM Washington-Baltimore-Northern Virginia, DC-MD-PA-VA-WV area,</w:t>
            </w:r>
            <w:r w:rsidRPr="009042A9">
              <w:rPr>
                <w:color w:val="000000"/>
                <w:u w:val="single"/>
              </w:rPr>
              <w:t xml:space="preserve"> </w:t>
            </w:r>
            <w:r w:rsidRPr="009042A9">
              <w:rPr>
                <w:color w:val="000000"/>
              </w:rPr>
              <w:t xml:space="preserve">GS-15 Step 1 pay rates </w:t>
            </w:r>
            <w:r w:rsidRPr="009042A9">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426367" w:rsidP="00961C50" w14:paraId="00477D47" w14:textId="77777777">
            <w:pPr>
              <w:spacing w:after="0" w:line="240" w:lineRule="auto"/>
              <w:ind w:left="-194" w:right="-195"/>
              <w:rPr>
                <w:rFonts w:ascii="Calibri" w:eastAsia="Times New Roman" w:hAnsi="Calibri" w:cs="Calibri"/>
                <w:color w:val="000000"/>
              </w:rPr>
            </w:pPr>
            <w:r w:rsidRPr="00426367">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noWrap/>
            <w:vAlign w:val="center"/>
            <w:hideMark/>
          </w:tcPr>
          <w:p w:rsidR="00A54517" w:rsidRPr="00426367" w:rsidP="00961C50" w14:paraId="519DBE18" w14:textId="7326CEC6">
            <w:pPr>
              <w:spacing w:after="0" w:line="240" w:lineRule="auto"/>
              <w:ind w:left="-194" w:right="-195"/>
              <w:rPr>
                <w:rFonts w:ascii="Calibri" w:eastAsia="Times New Roman" w:hAnsi="Calibri" w:cs="Calibri"/>
                <w:color w:val="000000"/>
              </w:rPr>
            </w:pPr>
            <w:r w:rsidRPr="009042A9">
              <w:rPr>
                <w:rFonts w:cs="Calibri"/>
                <w:color w:val="000000"/>
              </w:rPr>
              <w:t>$78.56</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9042A9" w:rsidP="00961C50" w14:paraId="2B928C7E" w14:textId="38049891">
            <w:pPr>
              <w:spacing w:after="0" w:line="240" w:lineRule="auto"/>
              <w:ind w:left="-194" w:right="-195"/>
              <w:rPr>
                <w:rFonts w:cs="Calibri"/>
                <w:color w:val="000000"/>
              </w:rPr>
            </w:pPr>
            <w:r w:rsidRPr="009042A9">
              <w:rPr>
                <w:rFonts w:cs="Calibri"/>
                <w:color w:val="000000"/>
              </w:rPr>
              <w:t>$50.20</w:t>
            </w:r>
          </w:p>
        </w:tc>
        <w:tc>
          <w:tcPr>
            <w:tcW w:w="1232" w:type="dxa"/>
            <w:tcBorders>
              <w:top w:val="nil"/>
              <w:left w:val="nil"/>
              <w:bottom w:val="single" w:sz="4" w:space="0" w:color="auto"/>
              <w:right w:val="single" w:sz="4" w:space="0" w:color="auto"/>
            </w:tcBorders>
            <w:shd w:val="clear" w:color="auto" w:fill="auto"/>
            <w:vAlign w:val="center"/>
            <w:hideMark/>
          </w:tcPr>
          <w:p w:rsidR="00A54517" w:rsidRPr="00426367" w:rsidP="00961C50" w14:paraId="3024839C" w14:textId="4A66F246">
            <w:pPr>
              <w:spacing w:after="0" w:line="240" w:lineRule="auto"/>
              <w:ind w:left="-194" w:right="-195"/>
              <w:rPr>
                <w:rFonts w:ascii="Calibri" w:eastAsia="Times New Roman" w:hAnsi="Calibri" w:cs="Calibri"/>
                <w:color w:val="000000"/>
              </w:rPr>
            </w:pPr>
            <w:r w:rsidRPr="009042A9">
              <w:rPr>
                <w:rFonts w:cs="Calibri"/>
                <w:color w:val="000000"/>
              </w:rPr>
              <w:t>$128.76</w:t>
            </w:r>
          </w:p>
        </w:tc>
        <w:tc>
          <w:tcPr>
            <w:tcW w:w="1620" w:type="dxa"/>
            <w:tcBorders>
              <w:top w:val="nil"/>
              <w:left w:val="nil"/>
              <w:bottom w:val="single" w:sz="4" w:space="0" w:color="auto"/>
              <w:right w:val="single" w:sz="4" w:space="0" w:color="auto"/>
            </w:tcBorders>
            <w:shd w:val="clear" w:color="auto" w:fill="auto"/>
            <w:vAlign w:val="center"/>
            <w:hideMark/>
          </w:tcPr>
          <w:p w:rsidR="00A54517" w:rsidRPr="00426367" w:rsidP="00961C50" w14:paraId="03D9B63E" w14:textId="60FFDC7F">
            <w:pPr>
              <w:spacing w:after="0" w:line="240" w:lineRule="auto"/>
              <w:ind w:left="-194" w:right="-195"/>
              <w:rPr>
                <w:rFonts w:ascii="Calibri" w:eastAsia="Times New Roman" w:hAnsi="Calibri" w:cs="Calibri"/>
                <w:color w:val="000000"/>
              </w:rPr>
            </w:pPr>
            <w:r w:rsidRPr="009042A9">
              <w:rPr>
                <w:rFonts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426367" w:rsidP="00961C50" w14:paraId="52310F56" w14:textId="68A14642">
            <w:pPr>
              <w:spacing w:after="0" w:line="240" w:lineRule="auto"/>
              <w:ind w:left="-194" w:right="-195"/>
              <w:rPr>
                <w:rFonts w:ascii="Calibri" w:eastAsia="Times New Roman" w:hAnsi="Calibri" w:cs="Calibri"/>
                <w:color w:val="000000"/>
              </w:rPr>
            </w:pPr>
            <w:r w:rsidRPr="009042A9">
              <w:rPr>
                <w:rFonts w:cs="Calibri"/>
                <w:color w:val="000000"/>
              </w:rPr>
              <w:t>$25.75</w:t>
            </w:r>
          </w:p>
        </w:tc>
        <w:tc>
          <w:tcPr>
            <w:tcW w:w="1440" w:type="dxa"/>
            <w:tcBorders>
              <w:top w:val="nil"/>
              <w:left w:val="nil"/>
              <w:bottom w:val="single" w:sz="4" w:space="0" w:color="auto"/>
              <w:right w:val="single" w:sz="4" w:space="0" w:color="auto"/>
            </w:tcBorders>
            <w:shd w:val="clear" w:color="auto" w:fill="auto"/>
            <w:vAlign w:val="center"/>
            <w:hideMark/>
          </w:tcPr>
          <w:p w:rsidR="00A54517" w:rsidRPr="00426367" w:rsidP="00961C50" w14:paraId="3F263387" w14:textId="48540E5A">
            <w:pPr>
              <w:spacing w:after="0" w:line="240" w:lineRule="auto"/>
              <w:ind w:left="-194" w:right="-195"/>
              <w:rPr>
                <w:rFonts w:ascii="Calibri" w:eastAsia="Times New Roman" w:hAnsi="Calibri" w:cs="Calibri"/>
                <w:color w:val="000000"/>
              </w:rPr>
            </w:pPr>
            <w:r w:rsidRPr="009042A9">
              <w:rPr>
                <w:rFonts w:cs="Calibri"/>
                <w:color w:val="000000"/>
              </w:rPr>
              <w:t>$154.51</w:t>
            </w:r>
          </w:p>
        </w:tc>
      </w:tr>
      <w:tr w14:paraId="2EB3FD22"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426367" w:rsidP="00961C50" w14:paraId="35A1D555" w14:textId="0CCE9063">
            <w:pPr>
              <w:spacing w:after="0" w:line="240" w:lineRule="auto"/>
              <w:rPr>
                <w:rFonts w:eastAsia="Times New Roman" w:cstheme="minorHAnsi"/>
              </w:rPr>
            </w:pPr>
            <w:r w:rsidRPr="009042A9">
              <w:rPr>
                <w:color w:val="000000"/>
              </w:rPr>
              <w:t>EPA staff - Program Lead</w:t>
            </w:r>
          </w:p>
        </w:tc>
        <w:tc>
          <w:tcPr>
            <w:tcW w:w="2610" w:type="dxa"/>
            <w:tcBorders>
              <w:top w:val="nil"/>
              <w:left w:val="nil"/>
              <w:bottom w:val="single" w:sz="4" w:space="0" w:color="auto"/>
              <w:right w:val="single" w:sz="4" w:space="0" w:color="auto"/>
            </w:tcBorders>
            <w:shd w:val="clear" w:color="auto" w:fill="auto"/>
            <w:vAlign w:val="center"/>
            <w:hideMark/>
          </w:tcPr>
          <w:p w:rsidR="00A54517" w:rsidRPr="00426367" w:rsidP="00961C50" w14:paraId="1C81FD57" w14:textId="085E1C74">
            <w:pPr>
              <w:spacing w:after="0" w:line="240" w:lineRule="auto"/>
              <w:rPr>
                <w:rFonts w:eastAsia="Times New Roman" w:cstheme="minorHAnsi"/>
              </w:rPr>
            </w:pPr>
            <w:r w:rsidRPr="009042A9">
              <w:rPr>
                <w:color w:val="000000"/>
              </w:rPr>
              <w:t>Annual federal staff cost: OPM Washington-Baltimore-Northern Virginia, DC-MD-PA-VA-WV area,</w:t>
            </w:r>
            <w:r w:rsidRPr="009042A9">
              <w:rPr>
                <w:color w:val="000000"/>
                <w:u w:val="single"/>
              </w:rPr>
              <w:t xml:space="preserve"> </w:t>
            </w:r>
            <w:r w:rsidRPr="009042A9">
              <w:rPr>
                <w:color w:val="000000"/>
              </w:rPr>
              <w:t xml:space="preserve">GS-14 Step 1 pay </w:t>
            </w:r>
            <w:r w:rsidRPr="009042A9">
              <w:rPr>
                <w:color w:val="000000"/>
              </w:rPr>
              <w:t xml:space="preserve">rates </w:t>
            </w:r>
            <w:r w:rsidRPr="009042A9">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426367" w:rsidP="00961C50" w14:paraId="64ABEA24" w14:textId="77777777">
            <w:pPr>
              <w:spacing w:after="0" w:line="240" w:lineRule="auto"/>
              <w:ind w:left="-194" w:right="-195"/>
              <w:rPr>
                <w:rFonts w:ascii="Calibri" w:eastAsia="Times New Roman" w:hAnsi="Calibri" w:cs="Calibri"/>
                <w:color w:val="000000"/>
              </w:rPr>
            </w:pPr>
            <w:r w:rsidRPr="00426367">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A54517" w:rsidRPr="00426367" w:rsidP="00961C50" w14:paraId="32425167" w14:textId="0DF33557">
            <w:pPr>
              <w:spacing w:after="0" w:line="240" w:lineRule="auto"/>
              <w:ind w:left="-194" w:right="-195"/>
              <w:rPr>
                <w:rFonts w:ascii="Calibri" w:eastAsia="Times New Roman" w:hAnsi="Calibri" w:cs="Calibri"/>
                <w:color w:val="000000"/>
              </w:rPr>
            </w:pPr>
            <w:r w:rsidRPr="009042A9">
              <w:rPr>
                <w:color w:val="000000"/>
              </w:rPr>
              <w:t>$66.79</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9042A9" w:rsidP="00961C50" w14:paraId="3539AC98" w14:textId="61870999">
            <w:pPr>
              <w:spacing w:after="0" w:line="240" w:lineRule="auto"/>
              <w:ind w:left="-194" w:right="-195"/>
              <w:rPr>
                <w:rFonts w:cs="Calibri"/>
                <w:color w:val="000000"/>
              </w:rPr>
            </w:pPr>
            <w:r w:rsidRPr="009042A9">
              <w:rPr>
                <w:rFonts w:cs="Calibri"/>
                <w:color w:val="000000"/>
              </w:rPr>
              <w:t>$42.68</w:t>
            </w:r>
          </w:p>
        </w:tc>
        <w:tc>
          <w:tcPr>
            <w:tcW w:w="1232" w:type="dxa"/>
            <w:tcBorders>
              <w:top w:val="nil"/>
              <w:left w:val="nil"/>
              <w:bottom w:val="single" w:sz="4" w:space="0" w:color="auto"/>
              <w:right w:val="single" w:sz="4" w:space="0" w:color="auto"/>
            </w:tcBorders>
            <w:shd w:val="clear" w:color="auto" w:fill="auto"/>
            <w:vAlign w:val="center"/>
            <w:hideMark/>
          </w:tcPr>
          <w:p w:rsidR="00A54517" w:rsidRPr="00426367" w:rsidP="00961C50" w14:paraId="009F0456" w14:textId="246FF09A">
            <w:pPr>
              <w:spacing w:after="0" w:line="240" w:lineRule="auto"/>
              <w:ind w:left="-194" w:right="-195"/>
              <w:rPr>
                <w:rFonts w:ascii="Calibri" w:eastAsia="Times New Roman" w:hAnsi="Calibri" w:cs="Calibri"/>
                <w:color w:val="000000"/>
              </w:rPr>
            </w:pPr>
            <w:r w:rsidRPr="009042A9">
              <w:rPr>
                <w:color w:val="000000"/>
              </w:rPr>
              <w:t>$109.47</w:t>
            </w:r>
          </w:p>
        </w:tc>
        <w:tc>
          <w:tcPr>
            <w:tcW w:w="1620" w:type="dxa"/>
            <w:tcBorders>
              <w:top w:val="nil"/>
              <w:left w:val="nil"/>
              <w:bottom w:val="single" w:sz="4" w:space="0" w:color="auto"/>
              <w:right w:val="single" w:sz="4" w:space="0" w:color="auto"/>
            </w:tcBorders>
            <w:shd w:val="clear" w:color="auto" w:fill="auto"/>
            <w:vAlign w:val="center"/>
            <w:hideMark/>
          </w:tcPr>
          <w:p w:rsidR="00A54517" w:rsidRPr="00426367" w:rsidP="00961C50" w14:paraId="6F7604CC" w14:textId="19DE97B3">
            <w:pPr>
              <w:spacing w:after="0" w:line="240" w:lineRule="auto"/>
              <w:ind w:left="-194" w:right="-195"/>
              <w:rPr>
                <w:rFonts w:ascii="Calibri" w:eastAsia="Times New Roman" w:hAnsi="Calibri" w:cs="Calibri"/>
                <w:color w:val="000000"/>
              </w:rPr>
            </w:pPr>
            <w:r w:rsidRPr="009042A9">
              <w:rPr>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426367" w:rsidP="00961C50" w14:paraId="1DA2F0BC" w14:textId="2420E93A">
            <w:pPr>
              <w:spacing w:after="0" w:line="240" w:lineRule="auto"/>
              <w:ind w:left="-194" w:right="-195"/>
              <w:rPr>
                <w:rFonts w:ascii="Calibri" w:eastAsia="Times New Roman" w:hAnsi="Calibri" w:cs="Calibri"/>
                <w:color w:val="000000"/>
              </w:rPr>
            </w:pPr>
            <w:r w:rsidRPr="009042A9">
              <w:rPr>
                <w:color w:val="000000"/>
              </w:rPr>
              <w:t>$21.89</w:t>
            </w:r>
          </w:p>
        </w:tc>
        <w:tc>
          <w:tcPr>
            <w:tcW w:w="1440" w:type="dxa"/>
            <w:tcBorders>
              <w:top w:val="nil"/>
              <w:left w:val="nil"/>
              <w:bottom w:val="single" w:sz="4" w:space="0" w:color="auto"/>
              <w:right w:val="single" w:sz="4" w:space="0" w:color="auto"/>
            </w:tcBorders>
            <w:shd w:val="clear" w:color="auto" w:fill="auto"/>
            <w:vAlign w:val="center"/>
            <w:hideMark/>
          </w:tcPr>
          <w:p w:rsidR="00A54517" w:rsidRPr="00426367" w:rsidP="00961C50" w14:paraId="0EFA2D99" w14:textId="23B72233">
            <w:pPr>
              <w:spacing w:after="0" w:line="240" w:lineRule="auto"/>
              <w:ind w:left="-194" w:right="-195"/>
              <w:rPr>
                <w:rFonts w:ascii="Calibri" w:eastAsia="Times New Roman" w:hAnsi="Calibri" w:cs="Calibri"/>
                <w:color w:val="000000"/>
              </w:rPr>
            </w:pPr>
            <w:r w:rsidRPr="009042A9">
              <w:rPr>
                <w:rFonts w:cs="Calibri"/>
                <w:color w:val="000000"/>
              </w:rPr>
              <w:t>$131.36</w:t>
            </w:r>
          </w:p>
        </w:tc>
      </w:tr>
      <w:tr w14:paraId="5BBCAD6F"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426367" w:rsidP="00961C50" w14:paraId="4A02BDD2" w14:textId="5A533801">
            <w:pPr>
              <w:spacing w:after="0" w:line="240" w:lineRule="auto"/>
              <w:rPr>
                <w:rFonts w:eastAsia="Times New Roman" w:cstheme="minorHAnsi"/>
              </w:rPr>
            </w:pPr>
            <w:r w:rsidRPr="009042A9">
              <w:rPr>
                <w:rFonts w:cs="Calibri"/>
                <w:color w:val="000000"/>
              </w:rPr>
              <w:t>EPA staff - Project Officer</w:t>
            </w:r>
          </w:p>
        </w:tc>
        <w:tc>
          <w:tcPr>
            <w:tcW w:w="2610" w:type="dxa"/>
            <w:tcBorders>
              <w:top w:val="nil"/>
              <w:left w:val="nil"/>
              <w:bottom w:val="single" w:sz="4" w:space="0" w:color="auto"/>
              <w:right w:val="single" w:sz="4" w:space="0" w:color="auto"/>
            </w:tcBorders>
            <w:shd w:val="clear" w:color="auto" w:fill="auto"/>
            <w:vAlign w:val="center"/>
            <w:hideMark/>
          </w:tcPr>
          <w:p w:rsidR="00A54517" w:rsidRPr="00426367" w:rsidP="00961C50" w14:paraId="6638EB2B" w14:textId="7D50BAFC">
            <w:pPr>
              <w:spacing w:after="0" w:line="240" w:lineRule="auto"/>
              <w:rPr>
                <w:rFonts w:eastAsia="Times New Roman" w:cstheme="minorHAnsi"/>
              </w:rPr>
            </w:pPr>
            <w:r w:rsidRPr="009042A9">
              <w:rPr>
                <w:rFonts w:cs="Calibri"/>
                <w:color w:val="000000"/>
              </w:rPr>
              <w:t>Annual federal staff cost: OPM Washington-Baltimore-Northern Virginia, DC-MD-PA-VA-WV area,</w:t>
            </w:r>
            <w:r w:rsidRPr="009042A9">
              <w:rPr>
                <w:color w:val="000000"/>
                <w:u w:val="single"/>
              </w:rPr>
              <w:t xml:space="preserve"> </w:t>
            </w:r>
            <w:r w:rsidRPr="009042A9">
              <w:rPr>
                <w:color w:val="000000"/>
              </w:rPr>
              <w:t xml:space="preserve">GS-11 Step 1 pay rates </w:t>
            </w:r>
            <w:r w:rsidRPr="009042A9">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426367" w:rsidP="00961C50" w14:paraId="6C01FC12" w14:textId="77777777">
            <w:pPr>
              <w:spacing w:after="0" w:line="240" w:lineRule="auto"/>
              <w:ind w:left="-194" w:right="-195"/>
              <w:rPr>
                <w:rFonts w:ascii="Calibri" w:eastAsia="Times New Roman" w:hAnsi="Calibri" w:cs="Calibri"/>
                <w:color w:val="000000"/>
              </w:rPr>
            </w:pPr>
            <w:r w:rsidRPr="00426367">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A54517" w:rsidRPr="00426367" w:rsidP="00961C50" w14:paraId="2330300F" w14:textId="50E6B050">
            <w:pPr>
              <w:spacing w:after="0" w:line="240" w:lineRule="auto"/>
              <w:ind w:left="-194" w:right="-195"/>
              <w:rPr>
                <w:rFonts w:ascii="Calibri" w:eastAsia="Times New Roman" w:hAnsi="Calibri" w:cs="Calibri"/>
                <w:color w:val="000000"/>
              </w:rPr>
            </w:pPr>
            <w:r w:rsidRPr="009042A9">
              <w:rPr>
                <w:rFonts w:cs="Calibri"/>
                <w:color w:val="000000"/>
              </w:rPr>
              <w:t>$39.66</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9042A9" w:rsidP="00961C50" w14:paraId="0AB06A1F" w14:textId="424E7D09">
            <w:pPr>
              <w:spacing w:after="0" w:line="240" w:lineRule="auto"/>
              <w:ind w:left="-194" w:right="-195"/>
              <w:rPr>
                <w:rFonts w:cs="Calibri"/>
                <w:color w:val="000000"/>
              </w:rPr>
            </w:pPr>
            <w:r w:rsidRPr="009042A9">
              <w:rPr>
                <w:rFonts w:cs="Calibri"/>
                <w:color w:val="000000"/>
              </w:rPr>
              <w:t>$25.34</w:t>
            </w:r>
          </w:p>
        </w:tc>
        <w:tc>
          <w:tcPr>
            <w:tcW w:w="1232" w:type="dxa"/>
            <w:tcBorders>
              <w:top w:val="nil"/>
              <w:left w:val="nil"/>
              <w:bottom w:val="single" w:sz="4" w:space="0" w:color="auto"/>
              <w:right w:val="single" w:sz="4" w:space="0" w:color="auto"/>
            </w:tcBorders>
            <w:shd w:val="clear" w:color="auto" w:fill="auto"/>
            <w:vAlign w:val="center"/>
            <w:hideMark/>
          </w:tcPr>
          <w:p w:rsidR="00A54517" w:rsidRPr="00426367" w:rsidP="00961C50" w14:paraId="2CE3E35B" w14:textId="1741758D">
            <w:pPr>
              <w:spacing w:after="0" w:line="240" w:lineRule="auto"/>
              <w:ind w:left="-194" w:right="-195"/>
              <w:rPr>
                <w:rFonts w:ascii="Calibri" w:eastAsia="Times New Roman" w:hAnsi="Calibri" w:cs="Calibri"/>
                <w:color w:val="000000"/>
              </w:rPr>
            </w:pPr>
            <w:r w:rsidRPr="009042A9">
              <w:rPr>
                <w:rFonts w:cs="Calibri"/>
                <w:color w:val="000000"/>
              </w:rPr>
              <w:t>$65.00</w:t>
            </w:r>
          </w:p>
        </w:tc>
        <w:tc>
          <w:tcPr>
            <w:tcW w:w="1620" w:type="dxa"/>
            <w:tcBorders>
              <w:top w:val="nil"/>
              <w:left w:val="nil"/>
              <w:bottom w:val="single" w:sz="4" w:space="0" w:color="auto"/>
              <w:right w:val="single" w:sz="4" w:space="0" w:color="auto"/>
            </w:tcBorders>
            <w:shd w:val="clear" w:color="auto" w:fill="auto"/>
            <w:vAlign w:val="center"/>
            <w:hideMark/>
          </w:tcPr>
          <w:p w:rsidR="00A54517" w:rsidRPr="00426367" w:rsidP="00961C50" w14:paraId="3D95E776" w14:textId="5CE3435F">
            <w:pPr>
              <w:spacing w:after="0" w:line="240" w:lineRule="auto"/>
              <w:ind w:left="-194" w:right="-195"/>
              <w:rPr>
                <w:rFonts w:ascii="Calibri" w:eastAsia="Times New Roman" w:hAnsi="Calibri" w:cs="Calibri"/>
                <w:color w:val="000000"/>
              </w:rPr>
            </w:pPr>
            <w:r w:rsidRPr="009042A9">
              <w:rPr>
                <w:rFonts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426367" w:rsidP="00961C50" w14:paraId="3ADD65B2" w14:textId="2D6C63BF">
            <w:pPr>
              <w:spacing w:after="0" w:line="240" w:lineRule="auto"/>
              <w:ind w:left="-194" w:right="-195"/>
              <w:rPr>
                <w:rFonts w:ascii="Calibri" w:eastAsia="Times New Roman" w:hAnsi="Calibri" w:cs="Calibri"/>
                <w:color w:val="000000"/>
              </w:rPr>
            </w:pPr>
            <w:r w:rsidRPr="009042A9">
              <w:rPr>
                <w:rFonts w:cs="Calibri"/>
                <w:color w:val="000000"/>
              </w:rPr>
              <w:t>$13.00</w:t>
            </w:r>
          </w:p>
        </w:tc>
        <w:tc>
          <w:tcPr>
            <w:tcW w:w="1440" w:type="dxa"/>
            <w:tcBorders>
              <w:top w:val="nil"/>
              <w:left w:val="nil"/>
              <w:bottom w:val="single" w:sz="4" w:space="0" w:color="auto"/>
              <w:right w:val="single" w:sz="4" w:space="0" w:color="auto"/>
            </w:tcBorders>
            <w:shd w:val="clear" w:color="auto" w:fill="auto"/>
            <w:vAlign w:val="center"/>
            <w:hideMark/>
          </w:tcPr>
          <w:p w:rsidR="00A54517" w:rsidRPr="00426367" w:rsidP="00961C50" w14:paraId="5A93309C" w14:textId="2D307409">
            <w:pPr>
              <w:spacing w:after="0" w:line="240" w:lineRule="auto"/>
              <w:ind w:left="-194" w:right="-195"/>
              <w:rPr>
                <w:rFonts w:ascii="Calibri" w:eastAsia="Times New Roman" w:hAnsi="Calibri" w:cs="Calibri"/>
                <w:color w:val="000000"/>
              </w:rPr>
            </w:pPr>
            <w:r w:rsidRPr="009042A9">
              <w:rPr>
                <w:rFonts w:cs="Calibri"/>
                <w:color w:val="000000"/>
              </w:rPr>
              <w:t>$78.00</w:t>
            </w:r>
          </w:p>
        </w:tc>
      </w:tr>
      <w:tr w14:paraId="07DC35A3" w14:textId="77777777" w:rsidTr="00D17A73">
        <w:tblPrEx>
          <w:tblW w:w="0" w:type="auto"/>
          <w:tblInd w:w="113" w:type="dxa"/>
          <w:tblLayout w:type="fixed"/>
          <w:tblLook w:val="04A0"/>
        </w:tblPrEx>
        <w:trPr>
          <w:trHeight w:val="300"/>
        </w:trPr>
        <w:tc>
          <w:tcPr>
            <w:tcW w:w="127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97B87" w:rsidP="00961C50" w14:paraId="70565037" w14:textId="77777777">
            <w:pPr>
              <w:spacing w:after="0" w:line="240" w:lineRule="auto"/>
              <w:rPr>
                <w:rFonts w:eastAsia="Times New Roman" w:cstheme="minorHAnsi"/>
                <w:b/>
                <w:bCs/>
                <w:color w:val="000000"/>
                <w:sz w:val="18"/>
                <w:szCs w:val="18"/>
              </w:rPr>
            </w:pPr>
            <w:r w:rsidRPr="00D17A73">
              <w:rPr>
                <w:rFonts w:eastAsia="Times New Roman" w:cstheme="minorHAnsi"/>
                <w:b/>
                <w:bCs/>
                <w:color w:val="000000"/>
                <w:sz w:val="18"/>
                <w:szCs w:val="18"/>
              </w:rPr>
              <w:t>Footnotes</w:t>
            </w:r>
          </w:p>
          <w:p w:rsidR="00B97B87" w:rsidRPr="00D17A73" w:rsidP="00961C50" w14:paraId="3A504677" w14:textId="3C26BE33">
            <w:pPr>
              <w:spacing w:after="0" w:line="240" w:lineRule="auto"/>
              <w:rPr>
                <w:rFonts w:eastAsia="Times New Roman" w:cstheme="minorHAnsi"/>
                <w:color w:val="000000"/>
                <w:sz w:val="18"/>
                <w:szCs w:val="18"/>
              </w:rPr>
            </w:pPr>
            <w:r w:rsidRPr="00D17A73">
              <w:rPr>
                <w:rFonts w:eastAsia="Times New Roman" w:cstheme="minorHAnsi"/>
                <w:color w:val="000000"/>
                <w:sz w:val="18"/>
                <w:szCs w:val="18"/>
                <w:vertAlign w:val="superscript"/>
              </w:rPr>
              <w:t>a</w:t>
            </w:r>
            <w:r w:rsidRPr="00D17A73">
              <w:rPr>
                <w:rFonts w:eastAsia="Times New Roman" w:cstheme="minorHAnsi"/>
                <w:color w:val="000000"/>
                <w:sz w:val="18"/>
                <w:szCs w:val="18"/>
              </w:rPr>
              <w:t xml:space="preserve"> Source of wage: </w:t>
            </w:r>
            <w:r w:rsidRPr="00A00FC3" w:rsidR="00A00FC3">
              <w:rPr>
                <w:rFonts w:eastAsia="Times New Roman" w:cstheme="minorHAnsi"/>
                <w:color w:val="000000"/>
                <w:sz w:val="18"/>
                <w:szCs w:val="18"/>
              </w:rPr>
              <w:t>Source: U.S. Office of Personnel Management. (2023). Salary Table 2023-DCB.</w:t>
            </w:r>
            <w:r w:rsidR="00A00FC3">
              <w:rPr>
                <w:rFonts w:eastAsia="Times New Roman" w:cstheme="minorHAnsi"/>
                <w:color w:val="000000"/>
                <w:sz w:val="18"/>
                <w:szCs w:val="18"/>
              </w:rPr>
              <w:t xml:space="preserve"> (</w:t>
            </w:r>
            <w:hyperlink r:id="rId29" w:history="1">
              <w:r w:rsidRPr="00D34C4B" w:rsidR="00A00FC3">
                <w:rPr>
                  <w:rStyle w:val="Hyperlink"/>
                  <w:rFonts w:eastAsia="Times New Roman" w:cstheme="minorHAnsi"/>
                  <w:sz w:val="18"/>
                  <w:szCs w:val="18"/>
                </w:rPr>
                <w:t>https://www.opm.gov/policy-data-oversight/pay-leave/salaries-wages/salary-tables/pdf/2023/DCB_h.pdf</w:t>
              </w:r>
            </w:hyperlink>
            <w:r w:rsidR="00A00FC3">
              <w:rPr>
                <w:rFonts w:eastAsia="Times New Roman" w:cstheme="minorHAnsi"/>
                <w:color w:val="000000"/>
                <w:sz w:val="18"/>
                <w:szCs w:val="18"/>
              </w:rPr>
              <w:t xml:space="preserve">).  </w:t>
            </w:r>
          </w:p>
          <w:p w:rsidR="007110B8" w:rsidP="00961C50" w14:paraId="46B95E7D" w14:textId="77777777">
            <w:pPr>
              <w:spacing w:after="0" w:line="240" w:lineRule="auto"/>
              <w:rPr>
                <w:rFonts w:eastAsia="Times New Roman" w:cstheme="minorHAnsi"/>
                <w:color w:val="000000"/>
                <w:sz w:val="18"/>
                <w:szCs w:val="18"/>
              </w:rPr>
            </w:pPr>
            <w:r w:rsidRPr="00D17A73">
              <w:rPr>
                <w:rFonts w:eastAsia="Times New Roman" w:cstheme="minorHAnsi"/>
                <w:color w:val="000000"/>
                <w:sz w:val="18"/>
                <w:szCs w:val="18"/>
                <w:vertAlign w:val="superscript"/>
              </w:rPr>
              <w:t>b</w:t>
            </w:r>
            <w:r w:rsidRPr="00D17A73">
              <w:rPr>
                <w:rFonts w:eastAsia="Times New Roman" w:cstheme="minorHAnsi"/>
                <w:color w:val="000000"/>
                <w:sz w:val="18"/>
                <w:szCs w:val="18"/>
              </w:rPr>
              <w:t xml:space="preserve"> Fringe is calculated using total benefits as a percent of wage.</w:t>
            </w:r>
            <w:r w:rsidR="004E7601">
              <w:rPr>
                <w:rFonts w:eastAsia="Times New Roman" w:cstheme="minorHAnsi"/>
                <w:color w:val="000000"/>
                <w:sz w:val="18"/>
                <w:szCs w:val="18"/>
              </w:rPr>
              <w:t xml:space="preserve"> A </w:t>
            </w:r>
            <w:r>
              <w:rPr>
                <w:rFonts w:eastAsia="Times New Roman" w:cstheme="minorHAnsi"/>
                <w:color w:val="000000"/>
                <w:sz w:val="18"/>
                <w:szCs w:val="18"/>
              </w:rPr>
              <w:t>percentage</w:t>
            </w:r>
            <w:r w:rsidR="00190390">
              <w:rPr>
                <w:rFonts w:eastAsia="Times New Roman" w:cstheme="minorHAnsi"/>
                <w:color w:val="000000"/>
                <w:sz w:val="18"/>
                <w:szCs w:val="18"/>
              </w:rPr>
              <w:t xml:space="preserve"> of 63.9% is used</w:t>
            </w:r>
            <w:r>
              <w:rPr>
                <w:rFonts w:eastAsia="Times New Roman" w:cstheme="minorHAnsi"/>
                <w:color w:val="000000"/>
                <w:sz w:val="18"/>
                <w:szCs w:val="18"/>
              </w:rPr>
              <w:t xml:space="preserve"> based on:</w:t>
            </w:r>
            <w:r w:rsidRPr="00D17A73">
              <w:rPr>
                <w:rFonts w:eastAsia="Times New Roman" w:cstheme="minorHAnsi"/>
                <w:color w:val="000000"/>
                <w:sz w:val="18"/>
                <w:szCs w:val="18"/>
              </w:rPr>
              <w:t xml:space="preserve"> </w:t>
            </w:r>
            <w:r w:rsidRPr="004E7601" w:rsidR="004E7601">
              <w:rPr>
                <w:rFonts w:eastAsia="Times New Roman" w:cstheme="minorHAnsi"/>
                <w:color w:val="000000"/>
                <w:sz w:val="18"/>
                <w:szCs w:val="18"/>
              </w:rPr>
              <w:t>Falk, J. 2012. “Comparing Benefits and Total Compensation in the Federal Government and the Private Sector.” Congressional Budget Office Working Paper Series.</w:t>
            </w:r>
          </w:p>
          <w:p w:rsidR="00B97B87" w:rsidRPr="00D17A73" w:rsidP="00961C50" w14:paraId="4A57080A" w14:textId="45E48DF1">
            <w:pPr>
              <w:spacing w:after="0" w:line="240" w:lineRule="auto"/>
              <w:rPr>
                <w:rFonts w:eastAsia="Times New Roman" w:cstheme="minorHAnsi"/>
                <w:color w:val="000000"/>
                <w:sz w:val="18"/>
                <w:szCs w:val="18"/>
              </w:rPr>
            </w:pPr>
            <w:r w:rsidRPr="00D17A73">
              <w:rPr>
                <w:rFonts w:eastAsia="Times New Roman" w:cstheme="minorHAnsi"/>
                <w:color w:val="000000"/>
                <w:sz w:val="18"/>
                <w:szCs w:val="18"/>
                <w:vertAlign w:val="superscript"/>
              </w:rPr>
              <w:t>c</w:t>
            </w:r>
            <w:r w:rsidRPr="00D17A73">
              <w:rPr>
                <w:rFonts w:eastAsia="Times New Roman" w:cstheme="minorHAnsi"/>
                <w:color w:val="000000"/>
                <w:sz w:val="18"/>
                <w:szCs w:val="18"/>
              </w:rPr>
              <w:t xml:space="preserve"> </w:t>
            </w:r>
            <w:r w:rsidRPr="00D17A73">
              <w:rPr>
                <w:rFonts w:eastAsia="Times New Roman" w:cstheme="minorHAnsi"/>
                <w:color w:val="000000"/>
                <w:sz w:val="18"/>
                <w:szCs w:val="18"/>
              </w:rPr>
              <w:t>An</w:t>
            </w:r>
            <w:r w:rsidRPr="00D17A73">
              <w:rPr>
                <w:rFonts w:eastAsia="Times New Roman" w:cstheme="minorHAnsi"/>
                <w:color w:val="000000"/>
                <w:sz w:val="18"/>
                <w:szCs w:val="18"/>
              </w:rPr>
              <w:t xml:space="preserve"> overhead rate of 20% is used based on assumptions in </w:t>
            </w:r>
            <w:r w:rsidR="00C57AA9">
              <w:rPr>
                <w:rFonts w:eastAsia="Times New Roman" w:cstheme="minorHAnsi"/>
                <w:color w:val="000000"/>
                <w:sz w:val="18"/>
                <w:szCs w:val="18"/>
              </w:rPr>
              <w:t xml:space="preserve">EPA’s </w:t>
            </w:r>
            <w:r w:rsidRPr="00D17A73">
              <w:rPr>
                <w:rFonts w:eastAsia="Times New Roman" w:cstheme="minorHAnsi"/>
                <w:color w:val="000000"/>
                <w:sz w:val="18"/>
                <w:szCs w:val="18"/>
              </w:rPr>
              <w:t>Handbook on Valuing Changes in Time Use Induced by Regulatory Requirements and Other U.S. EPA Actions</w:t>
            </w:r>
            <w:r w:rsidR="00C57AA9">
              <w:rPr>
                <w:rFonts w:eastAsia="Times New Roman" w:cstheme="minorHAnsi"/>
                <w:color w:val="000000"/>
                <w:sz w:val="18"/>
                <w:szCs w:val="18"/>
              </w:rPr>
              <w:t>.</w:t>
            </w:r>
            <w:r w:rsidRPr="00D17A73">
              <w:rPr>
                <w:rFonts w:eastAsia="Times New Roman" w:cstheme="minorHAnsi"/>
                <w:color w:val="000000"/>
                <w:sz w:val="18"/>
                <w:szCs w:val="18"/>
              </w:rPr>
              <w:t xml:space="preserve"> </w:t>
            </w:r>
          </w:p>
        </w:tc>
      </w:tr>
    </w:tbl>
    <w:p w:rsidR="00B97B87" w:rsidRPr="00822B54" w:rsidP="00961C50" w14:paraId="4AA1BCF1" w14:textId="77777777">
      <w:pPr>
        <w:spacing w:after="0" w:line="240" w:lineRule="auto"/>
        <w:ind w:left="-90"/>
        <w:rPr>
          <w:rFonts w:ascii="Calibri" w:hAnsi="Calibri" w:cs="Calibri"/>
          <w:i/>
          <w:iCs/>
        </w:rPr>
      </w:pPr>
    </w:p>
    <w:p w:rsidR="00822B54" w:rsidRPr="00D456A4" w:rsidP="00961C50" w14:paraId="24BF126A" w14:textId="29EFED2F">
      <w:pPr>
        <w:spacing w:after="0" w:line="240" w:lineRule="auto"/>
        <w:rPr>
          <w:rFonts w:ascii="Calibri" w:hAnsi="Calibri" w:cs="Calibri"/>
        </w:rPr>
      </w:pPr>
    </w:p>
    <w:tbl>
      <w:tblPr>
        <w:tblStyle w:val="TableGrid"/>
        <w:tblW w:w="0" w:type="auto"/>
        <w:tblLook w:val="04A0"/>
      </w:tblPr>
      <w:tblGrid>
        <w:gridCol w:w="2245"/>
        <w:gridCol w:w="6840"/>
      </w:tblGrid>
      <w:tr w14:paraId="084AF77C" w14:textId="77777777" w:rsidTr="000E24B6">
        <w:tblPrEx>
          <w:tblW w:w="0" w:type="auto"/>
          <w:tblLook w:val="04A0"/>
        </w:tblPrEx>
        <w:trPr>
          <w:trHeight w:val="512"/>
        </w:trPr>
        <w:tc>
          <w:tcPr>
            <w:tcW w:w="9085" w:type="dxa"/>
            <w:gridSpan w:val="2"/>
            <w:shd w:val="clear" w:color="auto" w:fill="D9D9D9" w:themeFill="background1" w:themeFillShade="D9"/>
            <w:vAlign w:val="center"/>
          </w:tcPr>
          <w:p w:rsidR="00822B54" w:rsidRPr="00D456A4" w:rsidP="00961C50" w14:paraId="0C67E1B8" w14:textId="0556362A">
            <w:pPr>
              <w:rPr>
                <w:rFonts w:ascii="Calibri" w:hAnsi="Calibri" w:cs="Calibri"/>
                <w:b/>
                <w:bCs/>
              </w:rPr>
            </w:pPr>
            <w:r w:rsidRPr="00D456A4">
              <w:rPr>
                <w:rFonts w:ascii="Calibri" w:eastAsia="Times New Roman" w:hAnsi="Calibri" w:cs="Calibri"/>
                <w:b/>
                <w:bCs/>
                <w:color w:val="000000"/>
              </w:rPr>
              <w:t>TABLE 1</w:t>
            </w:r>
            <w:r w:rsidR="009A308D">
              <w:rPr>
                <w:rFonts w:ascii="Calibri" w:eastAsia="Times New Roman" w:hAnsi="Calibri" w:cs="Calibri"/>
                <w:b/>
                <w:bCs/>
                <w:color w:val="000000"/>
              </w:rPr>
              <w:t>4</w:t>
            </w:r>
            <w:r w:rsidRPr="00D456A4">
              <w:rPr>
                <w:rFonts w:ascii="Calibri" w:eastAsia="Times New Roman" w:hAnsi="Calibri" w:cs="Calibri"/>
                <w:b/>
                <w:bCs/>
                <w:color w:val="000000"/>
              </w:rPr>
              <w:t xml:space="preserve">.3: WEIGHTED </w:t>
            </w:r>
            <w:r w:rsidR="00CA20AB">
              <w:rPr>
                <w:rFonts w:ascii="Calibri" w:eastAsia="Times New Roman" w:hAnsi="Calibri" w:cs="Calibri"/>
                <w:b/>
                <w:bCs/>
                <w:color w:val="000000"/>
              </w:rPr>
              <w:t xml:space="preserve">LOADED </w:t>
            </w:r>
            <w:r w:rsidRPr="00D456A4">
              <w:rPr>
                <w:rFonts w:ascii="Calibri" w:eastAsia="Times New Roman" w:hAnsi="Calibri" w:cs="Calibri"/>
                <w:b/>
                <w:bCs/>
                <w:color w:val="000000"/>
              </w:rPr>
              <w:t xml:space="preserve">LABOR COSTS for </w:t>
            </w:r>
            <w:r>
              <w:rPr>
                <w:rFonts w:ascii="Calibri" w:eastAsia="Times New Roman" w:hAnsi="Calibri" w:cs="Calibri"/>
                <w:b/>
                <w:bCs/>
                <w:color w:val="000000"/>
              </w:rPr>
              <w:t>Agency Staff</w:t>
            </w:r>
          </w:p>
        </w:tc>
      </w:tr>
      <w:tr w14:paraId="25B8DC2B" w14:textId="77777777" w:rsidTr="000E24B6">
        <w:tblPrEx>
          <w:tblW w:w="0" w:type="auto"/>
          <w:tblLook w:val="04A0"/>
        </w:tblPrEx>
        <w:trPr>
          <w:trHeight w:val="710"/>
        </w:trPr>
        <w:tc>
          <w:tcPr>
            <w:tcW w:w="2245" w:type="dxa"/>
            <w:shd w:val="clear" w:color="auto" w:fill="F2F2F2" w:themeFill="background1" w:themeFillShade="F2"/>
            <w:vAlign w:val="center"/>
          </w:tcPr>
          <w:p w:rsidR="00822B54" w:rsidRPr="00D456A4" w:rsidP="00961C50" w14:paraId="3F0506E5" w14:textId="13A1B566">
            <w:pPr>
              <w:rPr>
                <w:rFonts w:ascii="Calibri" w:hAnsi="Calibri" w:cs="Calibri"/>
              </w:rPr>
            </w:pPr>
            <w:r w:rsidRPr="00D456A4">
              <w:rPr>
                <w:rFonts w:ascii="Calibri" w:hAnsi="Calibri" w:cs="Calibri"/>
              </w:rPr>
              <w:t xml:space="preserve">Weighted </w:t>
            </w:r>
            <w:r w:rsidR="00CA20AB">
              <w:rPr>
                <w:rFonts w:ascii="Calibri" w:hAnsi="Calibri" w:cs="Calibri"/>
              </w:rPr>
              <w:t xml:space="preserve">Loaded </w:t>
            </w:r>
            <w:r w:rsidRPr="00D456A4">
              <w:rPr>
                <w:rFonts w:ascii="Calibri" w:hAnsi="Calibri" w:cs="Calibri"/>
              </w:rPr>
              <w:t>Hourly Labor Cost</w:t>
            </w:r>
          </w:p>
        </w:tc>
        <w:tc>
          <w:tcPr>
            <w:tcW w:w="6840" w:type="dxa"/>
            <w:shd w:val="clear" w:color="auto" w:fill="F2F2F2" w:themeFill="background1" w:themeFillShade="F2"/>
            <w:vAlign w:val="center"/>
          </w:tcPr>
          <w:p w:rsidR="00822B54" w:rsidRPr="00D456A4" w:rsidP="00961C50" w14:paraId="3EE65788" w14:textId="77777777">
            <w:pPr>
              <w:rPr>
                <w:rFonts w:ascii="Calibri" w:hAnsi="Calibri" w:cs="Calibri"/>
              </w:rPr>
            </w:pPr>
            <w:r w:rsidRPr="00D456A4">
              <w:rPr>
                <w:rFonts w:ascii="Calibri" w:hAnsi="Calibri" w:cs="Calibri"/>
              </w:rPr>
              <w:t>Explanation of Calculations</w:t>
            </w:r>
          </w:p>
        </w:tc>
      </w:tr>
      <w:tr w14:paraId="08A462DA" w14:textId="77777777" w:rsidTr="000E24B6">
        <w:tblPrEx>
          <w:tblW w:w="0" w:type="auto"/>
          <w:tblLook w:val="04A0"/>
        </w:tblPrEx>
        <w:trPr>
          <w:trHeight w:val="1079"/>
        </w:trPr>
        <w:tc>
          <w:tcPr>
            <w:tcW w:w="2245" w:type="dxa"/>
            <w:shd w:val="clear" w:color="auto" w:fill="auto"/>
            <w:vAlign w:val="center"/>
          </w:tcPr>
          <w:p w:rsidR="00822B54" w:rsidRPr="00D456A4" w:rsidP="00961C50" w14:paraId="3FE31658" w14:textId="52EDA489">
            <w:pPr>
              <w:rPr>
                <w:rFonts w:ascii="Calibri" w:hAnsi="Calibri" w:cs="Calibri"/>
              </w:rPr>
            </w:pPr>
            <w:r w:rsidRPr="00D456A4">
              <w:rPr>
                <w:rFonts w:ascii="Calibri" w:hAnsi="Calibri" w:cs="Calibri"/>
              </w:rPr>
              <w:t>$</w:t>
            </w:r>
            <w:r w:rsidR="004D006D">
              <w:rPr>
                <w:rFonts w:ascii="Calibri" w:hAnsi="Calibri" w:cs="Calibri"/>
              </w:rPr>
              <w:t>96.33</w:t>
            </w:r>
          </w:p>
        </w:tc>
        <w:tc>
          <w:tcPr>
            <w:tcW w:w="6840" w:type="dxa"/>
            <w:shd w:val="clear" w:color="auto" w:fill="auto"/>
            <w:vAlign w:val="center"/>
          </w:tcPr>
          <w:p w:rsidR="00822B54" w:rsidRPr="00D456A4" w:rsidP="00961C50" w14:paraId="05DCF4B4" w14:textId="3978F9A9">
            <w:pPr>
              <w:rPr>
                <w:rFonts w:ascii="Calibri" w:eastAsia="Times New Roman" w:hAnsi="Calibri" w:cs="Calibri"/>
                <w:color w:val="000000"/>
              </w:rPr>
            </w:pPr>
            <w:r w:rsidRPr="00D456A4">
              <w:rPr>
                <w:rFonts w:ascii="Calibri" w:eastAsia="Times New Roman" w:hAnsi="Calibri" w:cs="Calibri"/>
                <w:color w:val="000000"/>
              </w:rPr>
              <w:t>Weighted Hourly Labor Cost =</w:t>
            </w:r>
            <w:r w:rsidRPr="00D456A4">
              <w:rPr>
                <w:rFonts w:ascii="Calibri" w:eastAsia="Times New Roman" w:hAnsi="Calibri" w:cs="Calibri"/>
                <w:color w:val="000000"/>
              </w:rPr>
              <w:br/>
              <w:t>(Wage rate * proportion of hours) calculated for each respondent group (</w:t>
            </w:r>
            <w:r>
              <w:rPr>
                <w:rFonts w:ascii="Calibri" w:eastAsia="Times New Roman" w:hAnsi="Calibri" w:cs="Calibri"/>
                <w:color w:val="000000"/>
              </w:rPr>
              <w:t>M</w:t>
            </w:r>
            <w:r w:rsidRPr="00D456A4">
              <w:rPr>
                <w:rFonts w:ascii="Calibri" w:eastAsia="Times New Roman" w:hAnsi="Calibri" w:cs="Calibri"/>
                <w:color w:val="000000"/>
              </w:rPr>
              <w:t xml:space="preserve">anagement, </w:t>
            </w:r>
            <w:r>
              <w:rPr>
                <w:rFonts w:ascii="Calibri" w:eastAsia="Times New Roman" w:hAnsi="Calibri" w:cs="Calibri"/>
                <w:color w:val="000000"/>
              </w:rPr>
              <w:t>Program Lead</w:t>
            </w:r>
            <w:r w:rsidRPr="00D456A4">
              <w:rPr>
                <w:rFonts w:ascii="Calibri" w:eastAsia="Times New Roman" w:hAnsi="Calibri" w:cs="Calibri"/>
                <w:color w:val="000000"/>
              </w:rPr>
              <w:t xml:space="preserve">, </w:t>
            </w:r>
            <w:r>
              <w:rPr>
                <w:rFonts w:ascii="Calibri" w:eastAsia="Times New Roman" w:hAnsi="Calibri" w:cs="Calibri"/>
                <w:color w:val="000000"/>
              </w:rPr>
              <w:t>Project Officer</w:t>
            </w:r>
            <w:r w:rsidRPr="00D456A4">
              <w:rPr>
                <w:rFonts w:ascii="Calibri" w:eastAsia="Times New Roman" w:hAnsi="Calibri" w:cs="Calibri"/>
                <w:color w:val="000000"/>
              </w:rPr>
              <w:t>) and summed.</w:t>
            </w:r>
            <w:r w:rsidR="004D006D">
              <w:rPr>
                <w:rFonts w:ascii="Calibri" w:eastAsia="Times New Roman" w:hAnsi="Calibri" w:cs="Calibri"/>
                <w:color w:val="000000"/>
              </w:rPr>
              <w:t xml:space="preserve"> Wages are rounded to nearest cent in analysis. </w:t>
            </w:r>
          </w:p>
        </w:tc>
      </w:tr>
    </w:tbl>
    <w:p w:rsidR="00822B54" w:rsidRPr="00D456A4" w:rsidP="00961C50" w14:paraId="25710749" w14:textId="77777777">
      <w:pPr>
        <w:spacing w:after="0" w:line="240" w:lineRule="auto"/>
        <w:contextualSpacing/>
        <w:rPr>
          <w:rFonts w:ascii="Calibri" w:hAnsi="Calibri" w:cs="Calibri"/>
        </w:rPr>
      </w:pPr>
    </w:p>
    <w:p w:rsidR="00822B54" w:rsidRPr="00822B54" w:rsidP="00961C50" w14:paraId="2095B6F8" w14:textId="77777777">
      <w:pPr>
        <w:spacing w:after="0" w:line="240" w:lineRule="auto"/>
        <w:ind w:left="-90"/>
        <w:contextualSpacing/>
        <w:rPr>
          <w:rFonts w:ascii="Calibri" w:hAnsi="Calibri" w:cs="Calibri"/>
          <w:i/>
          <w:iCs/>
        </w:rPr>
      </w:pPr>
    </w:p>
    <w:p w:rsidR="00860B8A" w:rsidRPr="00DE7D97" w:rsidP="00961C50" w14:paraId="7F424829" w14:textId="4827EDB9">
      <w:pPr>
        <w:spacing w:after="0" w:line="240" w:lineRule="auto"/>
        <w:ind w:left="-90"/>
        <w:contextualSpacing/>
      </w:pPr>
      <w:r>
        <w:rPr>
          <w:rFonts w:ascii="Calibri" w:hAnsi="Calibri" w:cs="Calibri"/>
          <w:i/>
          <w:iCs/>
        </w:rPr>
        <w:t>Total</w:t>
      </w:r>
      <w:r w:rsidRPr="00822B54">
        <w:rPr>
          <w:rFonts w:ascii="Calibri" w:hAnsi="Calibri" w:cs="Calibri"/>
          <w:i/>
          <w:iCs/>
        </w:rPr>
        <w:t xml:space="preserve"> </w:t>
      </w:r>
      <w:r w:rsidRPr="00822B54" w:rsidR="00822B54">
        <w:rPr>
          <w:rFonts w:ascii="Calibri" w:hAnsi="Calibri" w:cs="Calibri"/>
          <w:i/>
          <w:iCs/>
        </w:rPr>
        <w:t>burden calculations (hours and costs) are shown in Section 14.</w:t>
      </w:r>
    </w:p>
    <w:sectPr w:rsidSect="009042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15B8" w:rsidP="002335AB" w14:paraId="73E9A8CC" w14:textId="77777777">
      <w:pPr>
        <w:spacing w:after="0" w:line="240" w:lineRule="auto"/>
      </w:pPr>
      <w:r>
        <w:separator/>
      </w:r>
    </w:p>
  </w:footnote>
  <w:footnote w:type="continuationSeparator" w:id="1">
    <w:p w:rsidR="002D15B8" w:rsidP="002335AB" w14:paraId="4BC29012" w14:textId="77777777">
      <w:pPr>
        <w:spacing w:after="0" w:line="240" w:lineRule="auto"/>
      </w:pPr>
      <w:r>
        <w:continuationSeparator/>
      </w:r>
    </w:p>
  </w:footnote>
  <w:footnote w:type="continuationNotice" w:id="2">
    <w:p w:rsidR="002D15B8" w14:paraId="4DB93120" w14:textId="77777777">
      <w:pPr>
        <w:spacing w:after="0" w:line="240" w:lineRule="auto"/>
      </w:pPr>
    </w:p>
  </w:footnote>
  <w:footnote w:id="3">
    <w:p w:rsidR="00E739B7" w:rsidP="00E739B7" w14:paraId="4E32C7DF" w14:textId="77777777">
      <w:pPr>
        <w:pStyle w:val="FootnoteText"/>
      </w:pPr>
      <w:r>
        <w:rPr>
          <w:rStyle w:val="FootnoteReference"/>
        </w:rPr>
        <w:footnoteRef/>
      </w:r>
      <w:r>
        <w:t xml:space="preserve"> URL: </w:t>
      </w:r>
      <w:r w:rsidRPr="00476B36">
        <w:t>https://www.congress.gov/bill/117th-congress/house-bill/5376/text</w:t>
      </w:r>
    </w:p>
  </w:footnote>
  <w:footnote w:id="4">
    <w:p w:rsidR="00E739B7" w:rsidP="00E739B7" w14:paraId="7FC1A841" w14:textId="77777777">
      <w:pPr>
        <w:pStyle w:val="FootnoteText"/>
      </w:pPr>
      <w:r>
        <w:rPr>
          <w:rStyle w:val="FootnoteReference"/>
        </w:rPr>
        <w:footnoteRef/>
      </w:r>
      <w:r>
        <w:t xml:space="preserve"> URL: </w:t>
      </w:r>
      <w:r w:rsidRPr="00F205C8">
        <w:t>https://www.congress.gov/bill/101st-congress/senate-bill/1630</w:t>
      </w:r>
    </w:p>
  </w:footnote>
  <w:footnote w:id="5">
    <w:p w:rsidR="00E739B7" w14:paraId="56C9C882" w14:textId="6AA7992D">
      <w:pPr>
        <w:pStyle w:val="FootnoteText"/>
      </w:pPr>
      <w:r>
        <w:rPr>
          <w:rStyle w:val="FootnoteReference"/>
        </w:rPr>
        <w:footnoteRef/>
      </w:r>
      <w:r>
        <w:t xml:space="preserve"> URL: </w:t>
      </w:r>
      <w:r w:rsidRPr="00E739B7">
        <w:t>https://www.congress.gov/117/plaws/publ103/PLAW-117publ103.pdf</w:t>
      </w:r>
    </w:p>
  </w:footnote>
  <w:footnote w:id="6">
    <w:p w:rsidR="00E739B7" w:rsidP="00E739B7" w14:paraId="32550CEA" w14:textId="77777777">
      <w:pPr>
        <w:pStyle w:val="FootnoteText"/>
      </w:pPr>
      <w:r>
        <w:rPr>
          <w:rStyle w:val="FootnoteReference"/>
        </w:rPr>
        <w:footnoteRef/>
      </w:r>
      <w:r>
        <w:t xml:space="preserve"> URL: </w:t>
      </w:r>
      <w:r w:rsidRPr="00C5132D">
        <w:t>https://www.whitehouse.gov/briefing-room/presidential-actions/2021/01/20/executive-order-advancing-racial-equity-and-support-for-underserved-communities-through-the-federal-government/</w:t>
      </w:r>
    </w:p>
  </w:footnote>
  <w:footnote w:id="7">
    <w:p w:rsidR="00E739B7" w:rsidP="00E739B7" w14:paraId="03DD4B92" w14:textId="77777777">
      <w:pPr>
        <w:pStyle w:val="FootnoteText"/>
      </w:pPr>
      <w:r>
        <w:rPr>
          <w:rStyle w:val="FootnoteReference"/>
        </w:rPr>
        <w:footnoteRef/>
      </w:r>
      <w:r>
        <w:t xml:space="preserve"> URL: </w:t>
      </w:r>
      <w:r w:rsidRPr="00F74A64">
        <w:t>https://www.whitehouse.gov/briefing-room/presidential-actions/2021/01/27/executive-order-on-tackling-the-climate-crisis-at-home-and-abroad/</w:t>
      </w:r>
    </w:p>
  </w:footnote>
  <w:footnote w:id="8">
    <w:p w:rsidR="00E739B7" w:rsidP="00E739B7" w14:paraId="60F8F50C" w14:textId="77777777">
      <w:pPr>
        <w:pStyle w:val="FootnoteText"/>
      </w:pPr>
      <w:r>
        <w:rPr>
          <w:rStyle w:val="FootnoteReference"/>
        </w:rPr>
        <w:footnoteRef/>
      </w:r>
      <w:r>
        <w:t xml:space="preserve"> URL: </w:t>
      </w:r>
      <w:r w:rsidRPr="00A659CE">
        <w:t>https://www.govinfo.gov/app/details/CFR-2014-title2-vol1/CFR-2014-title2-vol1-part200</w:t>
      </w:r>
    </w:p>
  </w:footnote>
  <w:footnote w:id="9">
    <w:p w:rsidR="00E739B7" w:rsidP="00E739B7" w14:paraId="49DDAAB8" w14:textId="77777777">
      <w:pPr>
        <w:pStyle w:val="FootnoteText"/>
      </w:pPr>
      <w:r>
        <w:rPr>
          <w:rStyle w:val="FootnoteReference"/>
        </w:rPr>
        <w:footnoteRef/>
      </w:r>
      <w:r>
        <w:t xml:space="preserve"> URL: </w:t>
      </w:r>
      <w:r w:rsidRPr="00A659CE">
        <w:t>https://www.govinfo.gov/app/details/CFR-2015-title2-vol1/CFR-2015-title2-vol1-part1500</w:t>
      </w:r>
    </w:p>
  </w:footnote>
  <w:footnote w:id="10">
    <w:p w:rsidR="00E739B7" w:rsidP="00E739B7" w14:paraId="5F70BAD4" w14:textId="77777777">
      <w:pPr>
        <w:pStyle w:val="FootnoteText"/>
      </w:pPr>
      <w:r>
        <w:rPr>
          <w:rStyle w:val="FootnoteReference"/>
        </w:rPr>
        <w:footnoteRef/>
      </w:r>
      <w:r>
        <w:t xml:space="preserve"> URL: </w:t>
      </w:r>
      <w:r w:rsidRPr="00BB3D43">
        <w:t>https://www.congress.gov/bill/111th-congress/house-bill/2142</w:t>
      </w:r>
    </w:p>
  </w:footnote>
  <w:footnote w:id="11">
    <w:p w:rsidR="00E739B7" w:rsidP="00E739B7" w14:paraId="5B487E50" w14:textId="77777777">
      <w:pPr>
        <w:pStyle w:val="FootnoteText"/>
      </w:pPr>
      <w:r>
        <w:rPr>
          <w:rStyle w:val="FootnoteReference"/>
        </w:rPr>
        <w:footnoteRef/>
      </w:r>
      <w:r>
        <w:t xml:space="preserve"> URL: </w:t>
      </w:r>
      <w:r w:rsidRPr="00BB3D43">
        <w:t>https://www.congress.gov/bill/113th-congress/senate-bill/994</w:t>
      </w:r>
    </w:p>
  </w:footnote>
  <w:footnote w:id="12">
    <w:p w:rsidR="00E739B7" w:rsidP="00E739B7" w14:paraId="293BB780" w14:textId="77777777">
      <w:pPr>
        <w:pStyle w:val="FootnoteText"/>
      </w:pPr>
      <w:r>
        <w:rPr>
          <w:rStyle w:val="FootnoteReference"/>
        </w:rPr>
        <w:footnoteRef/>
      </w:r>
      <w:r>
        <w:t xml:space="preserve"> URL: </w:t>
      </w:r>
      <w:r w:rsidRPr="00761BDB">
        <w:t>https://www.whitehouse.gov/environmentaljustice/justice40/</w:t>
      </w:r>
    </w:p>
  </w:footnote>
  <w:footnote w:id="13">
    <w:p w:rsidR="00E739B7" w:rsidP="00E739B7" w14:paraId="36C983FA" w14:textId="77777777">
      <w:pPr>
        <w:pStyle w:val="FootnoteText"/>
      </w:pPr>
      <w:r>
        <w:rPr>
          <w:rStyle w:val="FootnoteReference"/>
        </w:rPr>
        <w:footnoteRef/>
      </w:r>
      <w:r>
        <w:t xml:space="preserve"> URL: </w:t>
      </w:r>
      <w:r w:rsidRPr="00761BDB">
        <w:t>https://www.whitehouse.gov/wp-content/uploads/2021/07/M-21-28.pdf</w:t>
      </w:r>
    </w:p>
  </w:footnote>
  <w:footnote w:id="14">
    <w:p w:rsidR="00AC1F88" w:rsidP="00AC1F88" w14:paraId="397B0442" w14:textId="77777777">
      <w:pPr>
        <w:pStyle w:val="FootnoteText"/>
      </w:pPr>
      <w:r>
        <w:rPr>
          <w:rStyle w:val="FootnoteReference"/>
        </w:rPr>
        <w:footnoteRef/>
      </w:r>
      <w:r>
        <w:t xml:space="preserve"> URL: </w:t>
      </w:r>
      <w:r w:rsidRPr="00761BDB">
        <w:t>https://www.congress.gov/bill/115th-congress/house-bill/4174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B12" w:rsidRPr="006067A6" w:rsidP="00792C1E" w14:paraId="3F7FE6DE" w14:textId="7A9B8329">
    <w:pPr>
      <w:pStyle w:val="Header"/>
      <w:ind w:right="360"/>
      <w:jc w:val="center"/>
      <w:rPr>
        <w:b/>
        <w:bCs/>
        <w:sz w:val="20"/>
        <w:szCs w:val="20"/>
      </w:rPr>
    </w:pPr>
  </w:p>
  <w:p w:rsidR="00840B12" w14:paraId="56149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055"/>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701542"/>
    <w:multiLevelType w:val="hybridMultilevel"/>
    <w:tmpl w:val="991669C6"/>
    <w:lvl w:ilvl="0">
      <w:start w:val="1"/>
      <w:numFmt w:val="lowerLetter"/>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2">
    <w:nsid w:val="07F031F9"/>
    <w:multiLevelType w:val="hybridMultilevel"/>
    <w:tmpl w:val="902EAA60"/>
    <w:lvl w:ilvl="0">
      <w:start w:val="1"/>
      <w:numFmt w:val="decimal"/>
      <w:lvlText w:val="%1."/>
      <w:lvlJc w:val="left"/>
      <w:pPr>
        <w:ind w:left="480" w:hanging="360"/>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2">
      <w:start w:val="0"/>
      <w:numFmt w:val="bullet"/>
      <w:lvlText w:val="•"/>
      <w:lvlJc w:val="left"/>
      <w:pPr>
        <w:ind w:left="1811" w:hanging="360"/>
      </w:pPr>
      <w:rPr>
        <w:rFonts w:hint="default"/>
        <w:lang w:val="en-US" w:eastAsia="en-US" w:bidi="ar-SA"/>
      </w:rPr>
    </w:lvl>
    <w:lvl w:ilvl="3">
      <w:start w:val="0"/>
      <w:numFmt w:val="bullet"/>
      <w:lvlText w:val="•"/>
      <w:lvlJc w:val="left"/>
      <w:pPr>
        <w:ind w:left="2782" w:hanging="360"/>
      </w:pPr>
      <w:rPr>
        <w:rFonts w:hint="default"/>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724" w:hanging="360"/>
      </w:pPr>
      <w:rPr>
        <w:rFonts w:hint="default"/>
        <w:lang w:val="en-US" w:eastAsia="en-US" w:bidi="ar-SA"/>
      </w:rPr>
    </w:lvl>
    <w:lvl w:ilvl="6">
      <w:start w:val="0"/>
      <w:numFmt w:val="bullet"/>
      <w:lvlText w:val="•"/>
      <w:lvlJc w:val="left"/>
      <w:pPr>
        <w:ind w:left="5695" w:hanging="360"/>
      </w:pPr>
      <w:rPr>
        <w:rFonts w:hint="default"/>
        <w:lang w:val="en-US" w:eastAsia="en-US" w:bidi="ar-SA"/>
      </w:rPr>
    </w:lvl>
    <w:lvl w:ilvl="7">
      <w:start w:val="0"/>
      <w:numFmt w:val="bullet"/>
      <w:lvlText w:val="•"/>
      <w:lvlJc w:val="left"/>
      <w:pPr>
        <w:ind w:left="6666"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3">
    <w:nsid w:val="0BD80859"/>
    <w:multiLevelType w:val="hybridMultilevel"/>
    <w:tmpl w:val="CB54CB12"/>
    <w:lvl w:ilvl="0">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
    <w:nsid w:val="0BFD11A9"/>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C6643F"/>
    <w:multiLevelType w:val="hybridMultilevel"/>
    <w:tmpl w:val="1AB02BFE"/>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6">
    <w:nsid w:val="128B1601"/>
    <w:multiLevelType w:val="hybridMultilevel"/>
    <w:tmpl w:val="A6AA3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247C04"/>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73C6E"/>
    <w:multiLevelType w:val="hybridMultilevel"/>
    <w:tmpl w:val="E8440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043D21"/>
    <w:multiLevelType w:val="hybridMultilevel"/>
    <w:tmpl w:val="B90EE554"/>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C10C8F"/>
    <w:multiLevelType w:val="hybridMultilevel"/>
    <w:tmpl w:val="CA9A28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45151"/>
    <w:multiLevelType w:val="hybridMultilevel"/>
    <w:tmpl w:val="B3B8463E"/>
    <w:lvl w:ilvl="0">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2">
    <w:nsid w:val="228D328A"/>
    <w:multiLevelType w:val="hybridMultilevel"/>
    <w:tmpl w:val="AA88D8FE"/>
    <w:lvl w:ilvl="0">
      <w:start w:val="1"/>
      <w:numFmt w:val="decimal"/>
      <w:lvlText w:val="%1."/>
      <w:lvlJc w:val="left"/>
      <w:pPr>
        <w:ind w:left="840" w:hanging="360"/>
      </w:pPr>
      <w:rPr>
        <w:rFonts w:hint="default"/>
        <w:b w:val="0"/>
        <w:bCs w:val="0"/>
        <w:i w:val="0"/>
        <w:iCs w:val="0"/>
        <w:spacing w:val="0"/>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9D7675"/>
    <w:multiLevelType w:val="hybridMultilevel"/>
    <w:tmpl w:val="0C64DB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615A10"/>
    <w:multiLevelType w:val="hybridMultilevel"/>
    <w:tmpl w:val="D48694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82E156C"/>
    <w:multiLevelType w:val="multilevel"/>
    <w:tmpl w:val="23C21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0A1204"/>
    <w:multiLevelType w:val="hybridMultilevel"/>
    <w:tmpl w:val="ACB2AF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421B27"/>
    <w:multiLevelType w:val="hybridMultilevel"/>
    <w:tmpl w:val="DE6C6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863E95"/>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FE0056"/>
    <w:multiLevelType w:val="hybridMultilevel"/>
    <w:tmpl w:val="189EC614"/>
    <w:lvl w:ilvl="0">
      <w:start w:val="1"/>
      <w:numFmt w:val="decimal"/>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35B764E"/>
    <w:multiLevelType w:val="multilevel"/>
    <w:tmpl w:val="B97A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5C7911"/>
    <w:multiLevelType w:val="hybridMultilevel"/>
    <w:tmpl w:val="8BD612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546493"/>
    <w:multiLevelType w:val="hybridMultilevel"/>
    <w:tmpl w:val="56C8C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BBD8BD"/>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3DC61B3F"/>
    <w:multiLevelType w:val="hybridMultilevel"/>
    <w:tmpl w:val="EA4883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D144E5"/>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6CD5C90"/>
    <w:multiLevelType w:val="hybridMultilevel"/>
    <w:tmpl w:val="5D062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C12A67"/>
    <w:multiLevelType w:val="multilevel"/>
    <w:tmpl w:val="1A163FF8"/>
    <w:lvl w:ilvl="0">
      <w:start w:val="1"/>
      <w:numFmt w:val="lowerLetter"/>
      <w:lvlText w:val="%1."/>
      <w:lvlJc w:val="left"/>
      <w:pPr>
        <w:tabs>
          <w:tab w:val="num" w:pos="4320"/>
        </w:tabs>
        <w:ind w:left="4320" w:hanging="360"/>
      </w:pPr>
    </w:lvl>
    <w:lvl w:ilvl="1">
      <w:start w:val="1"/>
      <w:numFmt w:val="lowerLetter"/>
      <w:lvlText w:val="%2)"/>
      <w:lvlJc w:val="left"/>
      <w:pPr>
        <w:ind w:left="5040" w:hanging="360"/>
      </w:pPr>
      <w:rPr>
        <w:rFonts w:hint="default"/>
      </w:rPr>
    </w:lvl>
    <w:lvl w:ilvl="2">
      <w:start w:val="16"/>
      <w:numFmt w:val="decimal"/>
      <w:lvlText w:val="%3."/>
      <w:lvlJc w:val="left"/>
      <w:pPr>
        <w:ind w:left="5760" w:hanging="360"/>
      </w:pPr>
      <w:rPr>
        <w:rFonts w:hint="default"/>
      </w:rPr>
    </w:lvl>
    <w:lvl w:ilvl="3">
      <w:start w:val="3"/>
      <w:numFmt w:val="decimal"/>
      <w:lvlText w:val="%4."/>
      <w:lvlJc w:val="left"/>
      <w:pPr>
        <w:ind w:left="6480" w:hanging="360"/>
      </w:pPr>
      <w:rPr>
        <w:rFonts w:hint="default"/>
      </w:r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9">
    <w:nsid w:val="4BFA0529"/>
    <w:multiLevelType w:val="hybridMultilevel"/>
    <w:tmpl w:val="56E62BDE"/>
    <w:lvl w:ilvl="0">
      <w:start w:val="1"/>
      <w:numFmt w:val="decimal"/>
      <w:pStyle w:val="Style1"/>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0341E53"/>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0970A0B"/>
    <w:multiLevelType w:val="hybridMultilevel"/>
    <w:tmpl w:val="12942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B21572"/>
    <w:multiLevelType w:val="hybridMultilevel"/>
    <w:tmpl w:val="BC14F5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4D66F86"/>
    <w:multiLevelType w:val="hybridMultilevel"/>
    <w:tmpl w:val="6232892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F74CA9"/>
    <w:multiLevelType w:val="hybridMultilevel"/>
    <w:tmpl w:val="50426FD6"/>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35">
    <w:nsid w:val="5E7210CC"/>
    <w:multiLevelType w:val="hybridMultilevel"/>
    <w:tmpl w:val="2ADCA83E"/>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36">
    <w:nsid w:val="5E856975"/>
    <w:multiLevelType w:val="multilevel"/>
    <w:tmpl w:val="F3C0A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8A0281"/>
    <w:multiLevelType w:val="hybridMultilevel"/>
    <w:tmpl w:val="5C186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0E1736F"/>
    <w:multiLevelType w:val="hybridMultilevel"/>
    <w:tmpl w:val="6A162E6C"/>
    <w:lvl w:ilvl="0">
      <w:start w:val="1"/>
      <w:numFmt w:val="decimal"/>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39">
    <w:nsid w:val="64990CFF"/>
    <w:multiLevelType w:val="hybridMultilevel"/>
    <w:tmpl w:val="909C1FB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AF62FC4"/>
    <w:multiLevelType w:val="hybridMultilevel"/>
    <w:tmpl w:val="E778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3F1410E"/>
    <w:multiLevelType w:val="hybridMultilevel"/>
    <w:tmpl w:val="EDEC3D5A"/>
    <w:lvl w:ilvl="0">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F6500E"/>
    <w:multiLevelType w:val="hybridMultilevel"/>
    <w:tmpl w:val="92F43E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86227BB"/>
    <w:multiLevelType w:val="multilevel"/>
    <w:tmpl w:val="C07628CC"/>
    <w:lvl w:ilvl="0">
      <w:start w:val="1"/>
      <w:numFmt w:val="lowerLetter"/>
      <w:lvlText w:val="%1."/>
      <w:lvlJc w:val="left"/>
      <w:pPr>
        <w:tabs>
          <w:tab w:val="num" w:pos="4320"/>
        </w:tabs>
        <w:ind w:left="4320" w:hanging="360"/>
      </w:pPr>
      <w:rPr>
        <w:rFonts w:hint="default"/>
      </w:rPr>
    </w:lvl>
    <w:lvl w:ilvl="1">
      <w:start w:val="1"/>
      <w:numFmt w:val="decimal"/>
      <w:lvlText w:val="%2."/>
      <w:lvlJc w:val="left"/>
      <w:pPr>
        <w:tabs>
          <w:tab w:val="num" w:pos="5040"/>
        </w:tabs>
        <w:ind w:left="5040" w:hanging="360"/>
      </w:pPr>
      <w:rPr>
        <w:rFonts w:hint="default"/>
      </w:rPr>
    </w:lvl>
    <w:lvl w:ilvl="2">
      <w:start w:val="1"/>
      <w:numFmt w:val="decimal"/>
      <w:lvlText w:val="%3."/>
      <w:lvlJc w:val="left"/>
      <w:pPr>
        <w:tabs>
          <w:tab w:val="num" w:pos="5760"/>
        </w:tabs>
        <w:ind w:left="5760" w:hanging="360"/>
      </w:pPr>
      <w:rPr>
        <w:rFonts w:hint="default"/>
      </w:rPr>
    </w:lvl>
    <w:lvl w:ilvl="3">
      <w:start w:val="1"/>
      <w:numFmt w:val="decimal"/>
      <w:lvlText w:val="%4."/>
      <w:lvlJc w:val="left"/>
      <w:pPr>
        <w:tabs>
          <w:tab w:val="num" w:pos="6480"/>
        </w:tabs>
        <w:ind w:left="6480" w:hanging="360"/>
      </w:pPr>
      <w:rPr>
        <w:rFonts w:hint="default"/>
      </w:rPr>
    </w:lvl>
    <w:lvl w:ilvl="4">
      <w:start w:val="1"/>
      <w:numFmt w:val="decimal"/>
      <w:lvlText w:val="%5."/>
      <w:lvlJc w:val="left"/>
      <w:pPr>
        <w:tabs>
          <w:tab w:val="num" w:pos="7200"/>
        </w:tabs>
        <w:ind w:left="7200" w:hanging="360"/>
      </w:pPr>
      <w:rPr>
        <w:rFonts w:hint="default"/>
      </w:rPr>
    </w:lvl>
    <w:lvl w:ilvl="5">
      <w:start w:val="1"/>
      <w:numFmt w:val="decimal"/>
      <w:lvlText w:val="%6."/>
      <w:lvlJc w:val="left"/>
      <w:pPr>
        <w:tabs>
          <w:tab w:val="num" w:pos="7920"/>
        </w:tabs>
        <w:ind w:left="7920" w:hanging="360"/>
      </w:pPr>
      <w:rPr>
        <w:rFonts w:hint="default"/>
      </w:rPr>
    </w:lvl>
    <w:lvl w:ilvl="6">
      <w:start w:val="1"/>
      <w:numFmt w:val="decimal"/>
      <w:lvlText w:val="%7."/>
      <w:lvlJc w:val="left"/>
      <w:pPr>
        <w:tabs>
          <w:tab w:val="num" w:pos="8640"/>
        </w:tabs>
        <w:ind w:left="8640" w:hanging="360"/>
      </w:pPr>
      <w:rPr>
        <w:rFonts w:hint="default"/>
      </w:rPr>
    </w:lvl>
    <w:lvl w:ilvl="7">
      <w:start w:val="1"/>
      <w:numFmt w:val="decimal"/>
      <w:lvlText w:val="%8."/>
      <w:lvlJc w:val="left"/>
      <w:pPr>
        <w:tabs>
          <w:tab w:val="num" w:pos="9360"/>
        </w:tabs>
        <w:ind w:left="9360" w:hanging="360"/>
      </w:pPr>
      <w:rPr>
        <w:rFonts w:hint="default"/>
      </w:rPr>
    </w:lvl>
    <w:lvl w:ilvl="8">
      <w:start w:val="1"/>
      <w:numFmt w:val="decimal"/>
      <w:lvlText w:val="%9."/>
      <w:lvlJc w:val="left"/>
      <w:pPr>
        <w:tabs>
          <w:tab w:val="num" w:pos="10080"/>
        </w:tabs>
        <w:ind w:left="10080" w:hanging="360"/>
      </w:pPr>
      <w:rPr>
        <w:rFonts w:hint="default"/>
      </w:rPr>
    </w:lvl>
  </w:abstractNum>
  <w:abstractNum w:abstractNumId="45">
    <w:nsid w:val="7ED15C9D"/>
    <w:multiLevelType w:val="hybridMultilevel"/>
    <w:tmpl w:val="EA5ED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39490726">
    <w:abstractNumId w:val="20"/>
  </w:num>
  <w:num w:numId="2" w16cid:durableId="258569098">
    <w:abstractNumId w:val="29"/>
  </w:num>
  <w:num w:numId="3" w16cid:durableId="1015961391">
    <w:abstractNumId w:val="41"/>
  </w:num>
  <w:num w:numId="4" w16cid:durableId="1395395544">
    <w:abstractNumId w:val="13"/>
  </w:num>
  <w:num w:numId="5" w16cid:durableId="181093894">
    <w:abstractNumId w:val="19"/>
  </w:num>
  <w:num w:numId="6" w16cid:durableId="19402356">
    <w:abstractNumId w:val="21"/>
  </w:num>
  <w:num w:numId="7" w16cid:durableId="1272980071">
    <w:abstractNumId w:val="36"/>
  </w:num>
  <w:num w:numId="8" w16cid:durableId="280648134">
    <w:abstractNumId w:val="15"/>
  </w:num>
  <w:num w:numId="9" w16cid:durableId="1446078871">
    <w:abstractNumId w:val="4"/>
  </w:num>
  <w:num w:numId="10" w16cid:durableId="2137599802">
    <w:abstractNumId w:val="30"/>
  </w:num>
  <w:num w:numId="11" w16cid:durableId="1639846308">
    <w:abstractNumId w:val="0"/>
  </w:num>
  <w:num w:numId="12" w16cid:durableId="1463499766">
    <w:abstractNumId w:val="16"/>
  </w:num>
  <w:num w:numId="13" w16cid:durableId="749353879">
    <w:abstractNumId w:val="17"/>
  </w:num>
  <w:num w:numId="14" w16cid:durableId="640186784">
    <w:abstractNumId w:val="6"/>
  </w:num>
  <w:num w:numId="15" w16cid:durableId="1347713869">
    <w:abstractNumId w:val="18"/>
  </w:num>
  <w:num w:numId="16" w16cid:durableId="795489030">
    <w:abstractNumId w:val="7"/>
  </w:num>
  <w:num w:numId="17" w16cid:durableId="1442144369">
    <w:abstractNumId w:val="39"/>
  </w:num>
  <w:num w:numId="18" w16cid:durableId="1938177769">
    <w:abstractNumId w:val="27"/>
  </w:num>
  <w:num w:numId="19" w16cid:durableId="1434788601">
    <w:abstractNumId w:val="14"/>
  </w:num>
  <w:num w:numId="20" w16cid:durableId="365713606">
    <w:abstractNumId w:val="44"/>
  </w:num>
  <w:num w:numId="21" w16cid:durableId="776369949">
    <w:abstractNumId w:val="45"/>
  </w:num>
  <w:num w:numId="22" w16cid:durableId="708141843">
    <w:abstractNumId w:val="31"/>
  </w:num>
  <w:num w:numId="23" w16cid:durableId="68162414">
    <w:abstractNumId w:val="9"/>
  </w:num>
  <w:num w:numId="24" w16cid:durableId="826556202">
    <w:abstractNumId w:val="33"/>
  </w:num>
  <w:num w:numId="25" w16cid:durableId="1539508184">
    <w:abstractNumId w:val="28"/>
  </w:num>
  <w:num w:numId="26" w16cid:durableId="510025170">
    <w:abstractNumId w:val="43"/>
  </w:num>
  <w:num w:numId="27" w16cid:durableId="707024940">
    <w:abstractNumId w:val="37"/>
  </w:num>
  <w:num w:numId="28" w16cid:durableId="1474564094">
    <w:abstractNumId w:val="22"/>
  </w:num>
  <w:num w:numId="29" w16cid:durableId="846556741">
    <w:abstractNumId w:val="23"/>
  </w:num>
  <w:num w:numId="30" w16cid:durableId="287319668">
    <w:abstractNumId w:val="32"/>
  </w:num>
  <w:num w:numId="31" w16cid:durableId="1793742204">
    <w:abstractNumId w:val="25"/>
  </w:num>
  <w:num w:numId="32" w16cid:durableId="1377924430">
    <w:abstractNumId w:val="40"/>
  </w:num>
  <w:num w:numId="33" w16cid:durableId="443841435">
    <w:abstractNumId w:val="10"/>
  </w:num>
  <w:num w:numId="34" w16cid:durableId="1293634696">
    <w:abstractNumId w:val="26"/>
  </w:num>
  <w:num w:numId="35" w16cid:durableId="450588130">
    <w:abstractNumId w:val="24"/>
  </w:num>
  <w:num w:numId="36" w16cid:durableId="1894004970">
    <w:abstractNumId w:val="8"/>
  </w:num>
  <w:num w:numId="37" w16cid:durableId="263073498">
    <w:abstractNumId w:val="2"/>
  </w:num>
  <w:num w:numId="38" w16cid:durableId="1716546212">
    <w:abstractNumId w:val="3"/>
  </w:num>
  <w:num w:numId="39" w16cid:durableId="1252160117">
    <w:abstractNumId w:val="38"/>
  </w:num>
  <w:num w:numId="40" w16cid:durableId="18747983">
    <w:abstractNumId w:val="1"/>
  </w:num>
  <w:num w:numId="41" w16cid:durableId="1061947760">
    <w:abstractNumId w:val="34"/>
  </w:num>
  <w:num w:numId="42" w16cid:durableId="92164790">
    <w:abstractNumId w:val="5"/>
  </w:num>
  <w:num w:numId="43" w16cid:durableId="1824545296">
    <w:abstractNumId w:val="35"/>
  </w:num>
  <w:num w:numId="44" w16cid:durableId="1395310">
    <w:abstractNumId w:val="11"/>
  </w:num>
  <w:num w:numId="45" w16cid:durableId="1716155008">
    <w:abstractNumId w:val="42"/>
  </w:num>
  <w:num w:numId="46" w16cid:durableId="584344074">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ff Higgins">
    <w15:presenceInfo w15:providerId="AD" w15:userId="S::Jeff_Higgins@abtassoc.com::65e59bf4-aaa1-439d-a0e5-89033c65b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0A47"/>
    <w:rsid w:val="00000F2B"/>
    <w:rsid w:val="000023BE"/>
    <w:rsid w:val="0000329D"/>
    <w:rsid w:val="00003D64"/>
    <w:rsid w:val="00004678"/>
    <w:rsid w:val="0000552C"/>
    <w:rsid w:val="000069C3"/>
    <w:rsid w:val="00006C95"/>
    <w:rsid w:val="00007895"/>
    <w:rsid w:val="00007FB5"/>
    <w:rsid w:val="00010EEE"/>
    <w:rsid w:val="000129E1"/>
    <w:rsid w:val="00013852"/>
    <w:rsid w:val="00013CE8"/>
    <w:rsid w:val="00014B10"/>
    <w:rsid w:val="00015236"/>
    <w:rsid w:val="00015FF6"/>
    <w:rsid w:val="0001637F"/>
    <w:rsid w:val="000163F9"/>
    <w:rsid w:val="00016E10"/>
    <w:rsid w:val="00017B90"/>
    <w:rsid w:val="00020791"/>
    <w:rsid w:val="00022F93"/>
    <w:rsid w:val="00023EFE"/>
    <w:rsid w:val="00025A13"/>
    <w:rsid w:val="00025D99"/>
    <w:rsid w:val="000267E1"/>
    <w:rsid w:val="00030670"/>
    <w:rsid w:val="0003166C"/>
    <w:rsid w:val="00031B82"/>
    <w:rsid w:val="000320EA"/>
    <w:rsid w:val="00032552"/>
    <w:rsid w:val="00033219"/>
    <w:rsid w:val="00034574"/>
    <w:rsid w:val="0003486B"/>
    <w:rsid w:val="00036CF2"/>
    <w:rsid w:val="00037107"/>
    <w:rsid w:val="0004186C"/>
    <w:rsid w:val="000422BD"/>
    <w:rsid w:val="00042F77"/>
    <w:rsid w:val="00043A07"/>
    <w:rsid w:val="0004467E"/>
    <w:rsid w:val="000452DC"/>
    <w:rsid w:val="000461BA"/>
    <w:rsid w:val="00047160"/>
    <w:rsid w:val="00050BB4"/>
    <w:rsid w:val="00051045"/>
    <w:rsid w:val="00053570"/>
    <w:rsid w:val="00053BF5"/>
    <w:rsid w:val="0005448C"/>
    <w:rsid w:val="000544D0"/>
    <w:rsid w:val="0005572E"/>
    <w:rsid w:val="0005629D"/>
    <w:rsid w:val="000570F4"/>
    <w:rsid w:val="0005783D"/>
    <w:rsid w:val="00060163"/>
    <w:rsid w:val="0006085E"/>
    <w:rsid w:val="0006128A"/>
    <w:rsid w:val="00061A77"/>
    <w:rsid w:val="00061BCE"/>
    <w:rsid w:val="00063CA7"/>
    <w:rsid w:val="00065078"/>
    <w:rsid w:val="00065167"/>
    <w:rsid w:val="00065411"/>
    <w:rsid w:val="000655B3"/>
    <w:rsid w:val="00066059"/>
    <w:rsid w:val="000660F7"/>
    <w:rsid w:val="0006710E"/>
    <w:rsid w:val="00070074"/>
    <w:rsid w:val="000728E0"/>
    <w:rsid w:val="00073C3D"/>
    <w:rsid w:val="00074679"/>
    <w:rsid w:val="00074917"/>
    <w:rsid w:val="00074E51"/>
    <w:rsid w:val="00075C7A"/>
    <w:rsid w:val="000762A8"/>
    <w:rsid w:val="00076439"/>
    <w:rsid w:val="00076F0F"/>
    <w:rsid w:val="000775EE"/>
    <w:rsid w:val="0007770F"/>
    <w:rsid w:val="00077D8A"/>
    <w:rsid w:val="000825CF"/>
    <w:rsid w:val="00082A72"/>
    <w:rsid w:val="00083D4A"/>
    <w:rsid w:val="00084BF3"/>
    <w:rsid w:val="00090627"/>
    <w:rsid w:val="00090750"/>
    <w:rsid w:val="000911D6"/>
    <w:rsid w:val="00091EB4"/>
    <w:rsid w:val="0009219E"/>
    <w:rsid w:val="00092547"/>
    <w:rsid w:val="000925BD"/>
    <w:rsid w:val="00093C6D"/>
    <w:rsid w:val="00093DC2"/>
    <w:rsid w:val="00094023"/>
    <w:rsid w:val="0009492C"/>
    <w:rsid w:val="00095F01"/>
    <w:rsid w:val="000978FD"/>
    <w:rsid w:val="00097FEF"/>
    <w:rsid w:val="000A05F0"/>
    <w:rsid w:val="000A1198"/>
    <w:rsid w:val="000A11F1"/>
    <w:rsid w:val="000A170A"/>
    <w:rsid w:val="000A31BF"/>
    <w:rsid w:val="000A397C"/>
    <w:rsid w:val="000A4527"/>
    <w:rsid w:val="000B1741"/>
    <w:rsid w:val="000B1F77"/>
    <w:rsid w:val="000B2151"/>
    <w:rsid w:val="000B3576"/>
    <w:rsid w:val="000B461B"/>
    <w:rsid w:val="000B49D7"/>
    <w:rsid w:val="000B5E65"/>
    <w:rsid w:val="000B61A9"/>
    <w:rsid w:val="000B680F"/>
    <w:rsid w:val="000B7BBA"/>
    <w:rsid w:val="000C21C8"/>
    <w:rsid w:val="000C2F44"/>
    <w:rsid w:val="000C41A7"/>
    <w:rsid w:val="000C43C8"/>
    <w:rsid w:val="000C4E63"/>
    <w:rsid w:val="000C608D"/>
    <w:rsid w:val="000D1938"/>
    <w:rsid w:val="000D224E"/>
    <w:rsid w:val="000D251E"/>
    <w:rsid w:val="000D2D5D"/>
    <w:rsid w:val="000D38A8"/>
    <w:rsid w:val="000D3C22"/>
    <w:rsid w:val="000D45B2"/>
    <w:rsid w:val="000D516A"/>
    <w:rsid w:val="000D5863"/>
    <w:rsid w:val="000D6FA4"/>
    <w:rsid w:val="000E1158"/>
    <w:rsid w:val="000E184B"/>
    <w:rsid w:val="000E19CB"/>
    <w:rsid w:val="000E1FE8"/>
    <w:rsid w:val="000E3298"/>
    <w:rsid w:val="000E348B"/>
    <w:rsid w:val="000E503D"/>
    <w:rsid w:val="000E5609"/>
    <w:rsid w:val="000E66D2"/>
    <w:rsid w:val="000E7DC1"/>
    <w:rsid w:val="000F0041"/>
    <w:rsid w:val="000F0186"/>
    <w:rsid w:val="000F1BCE"/>
    <w:rsid w:val="000F29EE"/>
    <w:rsid w:val="000F338A"/>
    <w:rsid w:val="000F3AC3"/>
    <w:rsid w:val="000F3BB5"/>
    <w:rsid w:val="000F3F57"/>
    <w:rsid w:val="000F4DBB"/>
    <w:rsid w:val="000F6D04"/>
    <w:rsid w:val="000F741B"/>
    <w:rsid w:val="00100432"/>
    <w:rsid w:val="00100499"/>
    <w:rsid w:val="00100BF7"/>
    <w:rsid w:val="00100FA6"/>
    <w:rsid w:val="00101362"/>
    <w:rsid w:val="0010158E"/>
    <w:rsid w:val="0010237C"/>
    <w:rsid w:val="0010258D"/>
    <w:rsid w:val="00102EE5"/>
    <w:rsid w:val="00103DD8"/>
    <w:rsid w:val="00105F52"/>
    <w:rsid w:val="00106C2C"/>
    <w:rsid w:val="00107505"/>
    <w:rsid w:val="00111663"/>
    <w:rsid w:val="00111BDD"/>
    <w:rsid w:val="00112360"/>
    <w:rsid w:val="0011255E"/>
    <w:rsid w:val="00112675"/>
    <w:rsid w:val="001141DA"/>
    <w:rsid w:val="00116064"/>
    <w:rsid w:val="001172FE"/>
    <w:rsid w:val="00117FE1"/>
    <w:rsid w:val="00120893"/>
    <w:rsid w:val="00121F5A"/>
    <w:rsid w:val="00122027"/>
    <w:rsid w:val="00122EAB"/>
    <w:rsid w:val="00123749"/>
    <w:rsid w:val="0013006A"/>
    <w:rsid w:val="00130540"/>
    <w:rsid w:val="00130CF9"/>
    <w:rsid w:val="001310E0"/>
    <w:rsid w:val="00132921"/>
    <w:rsid w:val="001329B3"/>
    <w:rsid w:val="001331A7"/>
    <w:rsid w:val="00133F05"/>
    <w:rsid w:val="0013554F"/>
    <w:rsid w:val="00135EAD"/>
    <w:rsid w:val="00136237"/>
    <w:rsid w:val="00137EB8"/>
    <w:rsid w:val="00142425"/>
    <w:rsid w:val="00145DAE"/>
    <w:rsid w:val="00147B68"/>
    <w:rsid w:val="0015001F"/>
    <w:rsid w:val="0015084F"/>
    <w:rsid w:val="00151753"/>
    <w:rsid w:val="00151DC5"/>
    <w:rsid w:val="00152A80"/>
    <w:rsid w:val="001533F4"/>
    <w:rsid w:val="00160394"/>
    <w:rsid w:val="00160454"/>
    <w:rsid w:val="00160461"/>
    <w:rsid w:val="0016119C"/>
    <w:rsid w:val="00161846"/>
    <w:rsid w:val="00161FAC"/>
    <w:rsid w:val="0016265D"/>
    <w:rsid w:val="001636DA"/>
    <w:rsid w:val="00163C69"/>
    <w:rsid w:val="00164169"/>
    <w:rsid w:val="0016490F"/>
    <w:rsid w:val="00165316"/>
    <w:rsid w:val="0016636C"/>
    <w:rsid w:val="00166886"/>
    <w:rsid w:val="00166B27"/>
    <w:rsid w:val="00167379"/>
    <w:rsid w:val="00170329"/>
    <w:rsid w:val="00170689"/>
    <w:rsid w:val="00170EB8"/>
    <w:rsid w:val="00171DC0"/>
    <w:rsid w:val="00173422"/>
    <w:rsid w:val="00173E50"/>
    <w:rsid w:val="00174574"/>
    <w:rsid w:val="00175DF1"/>
    <w:rsid w:val="00175F8A"/>
    <w:rsid w:val="00175FCB"/>
    <w:rsid w:val="00176BA8"/>
    <w:rsid w:val="001775F3"/>
    <w:rsid w:val="0018008E"/>
    <w:rsid w:val="00180511"/>
    <w:rsid w:val="00180C9F"/>
    <w:rsid w:val="00181830"/>
    <w:rsid w:val="00182787"/>
    <w:rsid w:val="00184011"/>
    <w:rsid w:val="00185251"/>
    <w:rsid w:val="00190390"/>
    <w:rsid w:val="0019149E"/>
    <w:rsid w:val="0019182F"/>
    <w:rsid w:val="00191C72"/>
    <w:rsid w:val="001925B3"/>
    <w:rsid w:val="0019580A"/>
    <w:rsid w:val="00195BEB"/>
    <w:rsid w:val="00196335"/>
    <w:rsid w:val="00197478"/>
    <w:rsid w:val="00197965"/>
    <w:rsid w:val="00197A23"/>
    <w:rsid w:val="001A20B0"/>
    <w:rsid w:val="001A21A7"/>
    <w:rsid w:val="001A282C"/>
    <w:rsid w:val="001A3351"/>
    <w:rsid w:val="001A53A7"/>
    <w:rsid w:val="001A69CC"/>
    <w:rsid w:val="001A76B3"/>
    <w:rsid w:val="001A7B0D"/>
    <w:rsid w:val="001A7DEF"/>
    <w:rsid w:val="001B1773"/>
    <w:rsid w:val="001B1962"/>
    <w:rsid w:val="001B2D25"/>
    <w:rsid w:val="001B3B14"/>
    <w:rsid w:val="001B4565"/>
    <w:rsid w:val="001B46D7"/>
    <w:rsid w:val="001B4BEC"/>
    <w:rsid w:val="001B7B47"/>
    <w:rsid w:val="001B7C54"/>
    <w:rsid w:val="001C0151"/>
    <w:rsid w:val="001C13CA"/>
    <w:rsid w:val="001C1FD6"/>
    <w:rsid w:val="001C260A"/>
    <w:rsid w:val="001C2D48"/>
    <w:rsid w:val="001C3106"/>
    <w:rsid w:val="001C3D5A"/>
    <w:rsid w:val="001C4634"/>
    <w:rsid w:val="001C6741"/>
    <w:rsid w:val="001C7470"/>
    <w:rsid w:val="001C7D52"/>
    <w:rsid w:val="001D01BB"/>
    <w:rsid w:val="001D01E0"/>
    <w:rsid w:val="001D0D09"/>
    <w:rsid w:val="001D203E"/>
    <w:rsid w:val="001D294E"/>
    <w:rsid w:val="001D47F8"/>
    <w:rsid w:val="001D4CDC"/>
    <w:rsid w:val="001D4D40"/>
    <w:rsid w:val="001D4F2F"/>
    <w:rsid w:val="001D51D8"/>
    <w:rsid w:val="001D5CED"/>
    <w:rsid w:val="001D7BF6"/>
    <w:rsid w:val="001E044F"/>
    <w:rsid w:val="001E0924"/>
    <w:rsid w:val="001E211E"/>
    <w:rsid w:val="001E3A31"/>
    <w:rsid w:val="001E43D7"/>
    <w:rsid w:val="001E4CB5"/>
    <w:rsid w:val="001E534A"/>
    <w:rsid w:val="001E548A"/>
    <w:rsid w:val="001E5F77"/>
    <w:rsid w:val="001E601A"/>
    <w:rsid w:val="001E6E50"/>
    <w:rsid w:val="001E7111"/>
    <w:rsid w:val="001E7480"/>
    <w:rsid w:val="001E74A7"/>
    <w:rsid w:val="001E74E1"/>
    <w:rsid w:val="001E7D75"/>
    <w:rsid w:val="001F0834"/>
    <w:rsid w:val="001F0841"/>
    <w:rsid w:val="001F0D3B"/>
    <w:rsid w:val="001F1A52"/>
    <w:rsid w:val="001F1F14"/>
    <w:rsid w:val="001F21A1"/>
    <w:rsid w:val="001F34A5"/>
    <w:rsid w:val="001F370A"/>
    <w:rsid w:val="001F5541"/>
    <w:rsid w:val="001F75D9"/>
    <w:rsid w:val="001F7B1A"/>
    <w:rsid w:val="001F7DF2"/>
    <w:rsid w:val="0020142E"/>
    <w:rsid w:val="00201886"/>
    <w:rsid w:val="00205280"/>
    <w:rsid w:val="002064A4"/>
    <w:rsid w:val="00210F2E"/>
    <w:rsid w:val="00211627"/>
    <w:rsid w:val="0021264E"/>
    <w:rsid w:val="0021345A"/>
    <w:rsid w:val="00213AE6"/>
    <w:rsid w:val="00216C6A"/>
    <w:rsid w:val="00220258"/>
    <w:rsid w:val="00220DB9"/>
    <w:rsid w:val="00222530"/>
    <w:rsid w:val="0022259D"/>
    <w:rsid w:val="00222EE7"/>
    <w:rsid w:val="00223197"/>
    <w:rsid w:val="0022416D"/>
    <w:rsid w:val="00224BB3"/>
    <w:rsid w:val="00224D61"/>
    <w:rsid w:val="00224F14"/>
    <w:rsid w:val="00226D49"/>
    <w:rsid w:val="0022710C"/>
    <w:rsid w:val="002272EE"/>
    <w:rsid w:val="00227759"/>
    <w:rsid w:val="00230D60"/>
    <w:rsid w:val="00230F45"/>
    <w:rsid w:val="0023189E"/>
    <w:rsid w:val="00233342"/>
    <w:rsid w:val="002335AB"/>
    <w:rsid w:val="002339E9"/>
    <w:rsid w:val="002340BE"/>
    <w:rsid w:val="00234B8D"/>
    <w:rsid w:val="00235A84"/>
    <w:rsid w:val="00235E79"/>
    <w:rsid w:val="002360BC"/>
    <w:rsid w:val="00236C3E"/>
    <w:rsid w:val="00240F23"/>
    <w:rsid w:val="0024175E"/>
    <w:rsid w:val="002420F2"/>
    <w:rsid w:val="00243E59"/>
    <w:rsid w:val="002455F0"/>
    <w:rsid w:val="0024567F"/>
    <w:rsid w:val="0024594E"/>
    <w:rsid w:val="0024599B"/>
    <w:rsid w:val="002467FF"/>
    <w:rsid w:val="00246A7E"/>
    <w:rsid w:val="00247198"/>
    <w:rsid w:val="0025051F"/>
    <w:rsid w:val="00251151"/>
    <w:rsid w:val="002515AE"/>
    <w:rsid w:val="00252A4E"/>
    <w:rsid w:val="002530C4"/>
    <w:rsid w:val="0025319A"/>
    <w:rsid w:val="002536BE"/>
    <w:rsid w:val="00255063"/>
    <w:rsid w:val="0025617C"/>
    <w:rsid w:val="0025745A"/>
    <w:rsid w:val="00260432"/>
    <w:rsid w:val="0026050F"/>
    <w:rsid w:val="0026096A"/>
    <w:rsid w:val="00260DB4"/>
    <w:rsid w:val="00260FB7"/>
    <w:rsid w:val="002620CE"/>
    <w:rsid w:val="002648CF"/>
    <w:rsid w:val="00265FE7"/>
    <w:rsid w:val="00266955"/>
    <w:rsid w:val="00270428"/>
    <w:rsid w:val="00270940"/>
    <w:rsid w:val="00270E74"/>
    <w:rsid w:val="00274321"/>
    <w:rsid w:val="00277A03"/>
    <w:rsid w:val="0028340E"/>
    <w:rsid w:val="00283764"/>
    <w:rsid w:val="00283AE9"/>
    <w:rsid w:val="00283C66"/>
    <w:rsid w:val="002847BB"/>
    <w:rsid w:val="00285782"/>
    <w:rsid w:val="00285A68"/>
    <w:rsid w:val="00286FA0"/>
    <w:rsid w:val="002877AC"/>
    <w:rsid w:val="00287F94"/>
    <w:rsid w:val="00290BEB"/>
    <w:rsid w:val="00290E0E"/>
    <w:rsid w:val="00291493"/>
    <w:rsid w:val="00291589"/>
    <w:rsid w:val="0029434C"/>
    <w:rsid w:val="002947D7"/>
    <w:rsid w:val="00296B99"/>
    <w:rsid w:val="0029740F"/>
    <w:rsid w:val="0029755D"/>
    <w:rsid w:val="002A2530"/>
    <w:rsid w:val="002A271B"/>
    <w:rsid w:val="002A43D0"/>
    <w:rsid w:val="002A48AF"/>
    <w:rsid w:val="002A6075"/>
    <w:rsid w:val="002A607A"/>
    <w:rsid w:val="002A676B"/>
    <w:rsid w:val="002A6E4E"/>
    <w:rsid w:val="002A774D"/>
    <w:rsid w:val="002A7860"/>
    <w:rsid w:val="002A78D3"/>
    <w:rsid w:val="002B0036"/>
    <w:rsid w:val="002B0502"/>
    <w:rsid w:val="002B1B64"/>
    <w:rsid w:val="002B1B65"/>
    <w:rsid w:val="002B2327"/>
    <w:rsid w:val="002B2743"/>
    <w:rsid w:val="002B2CEE"/>
    <w:rsid w:val="002B2D7F"/>
    <w:rsid w:val="002B33E0"/>
    <w:rsid w:val="002B4615"/>
    <w:rsid w:val="002B69DF"/>
    <w:rsid w:val="002B7383"/>
    <w:rsid w:val="002B77A2"/>
    <w:rsid w:val="002B7BDB"/>
    <w:rsid w:val="002B7D1C"/>
    <w:rsid w:val="002C0159"/>
    <w:rsid w:val="002C0623"/>
    <w:rsid w:val="002C1434"/>
    <w:rsid w:val="002C1646"/>
    <w:rsid w:val="002C2004"/>
    <w:rsid w:val="002C4713"/>
    <w:rsid w:val="002C4ACE"/>
    <w:rsid w:val="002C5086"/>
    <w:rsid w:val="002C65DF"/>
    <w:rsid w:val="002C67B9"/>
    <w:rsid w:val="002C6F3B"/>
    <w:rsid w:val="002C7DDE"/>
    <w:rsid w:val="002D15B8"/>
    <w:rsid w:val="002D3E1A"/>
    <w:rsid w:val="002D566A"/>
    <w:rsid w:val="002D6189"/>
    <w:rsid w:val="002D6BD3"/>
    <w:rsid w:val="002E0316"/>
    <w:rsid w:val="002E0999"/>
    <w:rsid w:val="002E0EF0"/>
    <w:rsid w:val="002E1CBA"/>
    <w:rsid w:val="002E2569"/>
    <w:rsid w:val="002E263D"/>
    <w:rsid w:val="002E3636"/>
    <w:rsid w:val="002E51EA"/>
    <w:rsid w:val="002E5BAD"/>
    <w:rsid w:val="002E6047"/>
    <w:rsid w:val="002E6D1D"/>
    <w:rsid w:val="002E6F96"/>
    <w:rsid w:val="002F05AD"/>
    <w:rsid w:val="002F0614"/>
    <w:rsid w:val="002F077A"/>
    <w:rsid w:val="002F10BE"/>
    <w:rsid w:val="002F115B"/>
    <w:rsid w:val="002F13DA"/>
    <w:rsid w:val="002F15EB"/>
    <w:rsid w:val="002F3CE0"/>
    <w:rsid w:val="002F5133"/>
    <w:rsid w:val="002F5B49"/>
    <w:rsid w:val="002F6A76"/>
    <w:rsid w:val="003005BB"/>
    <w:rsid w:val="00302F7B"/>
    <w:rsid w:val="00303DE5"/>
    <w:rsid w:val="00304842"/>
    <w:rsid w:val="00305130"/>
    <w:rsid w:val="00307411"/>
    <w:rsid w:val="0030744D"/>
    <w:rsid w:val="00310FDB"/>
    <w:rsid w:val="00312370"/>
    <w:rsid w:val="00312F28"/>
    <w:rsid w:val="003132A5"/>
    <w:rsid w:val="00313894"/>
    <w:rsid w:val="00313941"/>
    <w:rsid w:val="00314410"/>
    <w:rsid w:val="00314F15"/>
    <w:rsid w:val="00314F53"/>
    <w:rsid w:val="00316194"/>
    <w:rsid w:val="003169B4"/>
    <w:rsid w:val="00316BE6"/>
    <w:rsid w:val="00316EAD"/>
    <w:rsid w:val="00317844"/>
    <w:rsid w:val="00317A6C"/>
    <w:rsid w:val="00317D89"/>
    <w:rsid w:val="00321ED3"/>
    <w:rsid w:val="003224B7"/>
    <w:rsid w:val="00322A16"/>
    <w:rsid w:val="0032350D"/>
    <w:rsid w:val="00323E74"/>
    <w:rsid w:val="00324F21"/>
    <w:rsid w:val="00324FB4"/>
    <w:rsid w:val="003256A4"/>
    <w:rsid w:val="00330B87"/>
    <w:rsid w:val="00331168"/>
    <w:rsid w:val="00331936"/>
    <w:rsid w:val="0033211D"/>
    <w:rsid w:val="003332EB"/>
    <w:rsid w:val="00333489"/>
    <w:rsid w:val="00334CDC"/>
    <w:rsid w:val="003401EC"/>
    <w:rsid w:val="00342DB5"/>
    <w:rsid w:val="00343CEF"/>
    <w:rsid w:val="00344CB0"/>
    <w:rsid w:val="003467C8"/>
    <w:rsid w:val="00347C3C"/>
    <w:rsid w:val="0035079F"/>
    <w:rsid w:val="00350CF3"/>
    <w:rsid w:val="003527C1"/>
    <w:rsid w:val="00352C25"/>
    <w:rsid w:val="003537C4"/>
    <w:rsid w:val="003565B6"/>
    <w:rsid w:val="00356A66"/>
    <w:rsid w:val="00357418"/>
    <w:rsid w:val="00360B75"/>
    <w:rsid w:val="00360CB7"/>
    <w:rsid w:val="00361737"/>
    <w:rsid w:val="00362287"/>
    <w:rsid w:val="00363F41"/>
    <w:rsid w:val="00364858"/>
    <w:rsid w:val="003651F9"/>
    <w:rsid w:val="00366D56"/>
    <w:rsid w:val="00367871"/>
    <w:rsid w:val="00367DAD"/>
    <w:rsid w:val="0037342A"/>
    <w:rsid w:val="00373CC8"/>
    <w:rsid w:val="00374E24"/>
    <w:rsid w:val="00375075"/>
    <w:rsid w:val="00375E2A"/>
    <w:rsid w:val="00376609"/>
    <w:rsid w:val="00376644"/>
    <w:rsid w:val="00380795"/>
    <w:rsid w:val="00382D42"/>
    <w:rsid w:val="0038330C"/>
    <w:rsid w:val="003856DC"/>
    <w:rsid w:val="003901B8"/>
    <w:rsid w:val="00394FCE"/>
    <w:rsid w:val="0039536A"/>
    <w:rsid w:val="003A1D0D"/>
    <w:rsid w:val="003A38FB"/>
    <w:rsid w:val="003A41A0"/>
    <w:rsid w:val="003A5EF9"/>
    <w:rsid w:val="003A6BEF"/>
    <w:rsid w:val="003A6F36"/>
    <w:rsid w:val="003A7A00"/>
    <w:rsid w:val="003B04B9"/>
    <w:rsid w:val="003B0A8F"/>
    <w:rsid w:val="003B153D"/>
    <w:rsid w:val="003B4D4F"/>
    <w:rsid w:val="003B5C6D"/>
    <w:rsid w:val="003B6480"/>
    <w:rsid w:val="003C0DBC"/>
    <w:rsid w:val="003C1D93"/>
    <w:rsid w:val="003C1F2A"/>
    <w:rsid w:val="003C1F3A"/>
    <w:rsid w:val="003C2B04"/>
    <w:rsid w:val="003C321D"/>
    <w:rsid w:val="003C36BF"/>
    <w:rsid w:val="003C5631"/>
    <w:rsid w:val="003C68C2"/>
    <w:rsid w:val="003C6CE9"/>
    <w:rsid w:val="003C7F26"/>
    <w:rsid w:val="003D06CD"/>
    <w:rsid w:val="003D0C03"/>
    <w:rsid w:val="003D1457"/>
    <w:rsid w:val="003D23D5"/>
    <w:rsid w:val="003D29E8"/>
    <w:rsid w:val="003D2F77"/>
    <w:rsid w:val="003D3498"/>
    <w:rsid w:val="003D4850"/>
    <w:rsid w:val="003D598C"/>
    <w:rsid w:val="003D7167"/>
    <w:rsid w:val="003D77D6"/>
    <w:rsid w:val="003D7919"/>
    <w:rsid w:val="003D7B2A"/>
    <w:rsid w:val="003E133B"/>
    <w:rsid w:val="003E40EC"/>
    <w:rsid w:val="003E4B7A"/>
    <w:rsid w:val="003E4FE6"/>
    <w:rsid w:val="003E5AAE"/>
    <w:rsid w:val="003E5B4C"/>
    <w:rsid w:val="003E5D61"/>
    <w:rsid w:val="003E7E56"/>
    <w:rsid w:val="003F0A11"/>
    <w:rsid w:val="003F2EF3"/>
    <w:rsid w:val="003F36DC"/>
    <w:rsid w:val="003F49ED"/>
    <w:rsid w:val="003F5429"/>
    <w:rsid w:val="003F628C"/>
    <w:rsid w:val="003F639F"/>
    <w:rsid w:val="003F6664"/>
    <w:rsid w:val="003F70A6"/>
    <w:rsid w:val="003F72BB"/>
    <w:rsid w:val="00401C23"/>
    <w:rsid w:val="00401C79"/>
    <w:rsid w:val="00402359"/>
    <w:rsid w:val="0040243E"/>
    <w:rsid w:val="004025E6"/>
    <w:rsid w:val="00402C51"/>
    <w:rsid w:val="00403FAB"/>
    <w:rsid w:val="00404886"/>
    <w:rsid w:val="00404B58"/>
    <w:rsid w:val="0040643E"/>
    <w:rsid w:val="004064AA"/>
    <w:rsid w:val="0040784F"/>
    <w:rsid w:val="004113CD"/>
    <w:rsid w:val="00412B2A"/>
    <w:rsid w:val="00414BB8"/>
    <w:rsid w:val="00415248"/>
    <w:rsid w:val="00415988"/>
    <w:rsid w:val="00417612"/>
    <w:rsid w:val="004225DB"/>
    <w:rsid w:val="00422D48"/>
    <w:rsid w:val="0042383B"/>
    <w:rsid w:val="0042409F"/>
    <w:rsid w:val="00424DDE"/>
    <w:rsid w:val="00424F93"/>
    <w:rsid w:val="004252C1"/>
    <w:rsid w:val="0042541E"/>
    <w:rsid w:val="00426367"/>
    <w:rsid w:val="00427079"/>
    <w:rsid w:val="004306A8"/>
    <w:rsid w:val="004308FB"/>
    <w:rsid w:val="00430EDC"/>
    <w:rsid w:val="00431D3F"/>
    <w:rsid w:val="004321D9"/>
    <w:rsid w:val="00432534"/>
    <w:rsid w:val="00432AC2"/>
    <w:rsid w:val="00433421"/>
    <w:rsid w:val="00433F87"/>
    <w:rsid w:val="0043515D"/>
    <w:rsid w:val="004369BC"/>
    <w:rsid w:val="00436FD0"/>
    <w:rsid w:val="00437C81"/>
    <w:rsid w:val="00441783"/>
    <w:rsid w:val="004420DA"/>
    <w:rsid w:val="004427FB"/>
    <w:rsid w:val="00444707"/>
    <w:rsid w:val="0044485B"/>
    <w:rsid w:val="00444CDA"/>
    <w:rsid w:val="004455F6"/>
    <w:rsid w:val="00445751"/>
    <w:rsid w:val="004468C2"/>
    <w:rsid w:val="00446B8D"/>
    <w:rsid w:val="0045049D"/>
    <w:rsid w:val="00450C44"/>
    <w:rsid w:val="004517FA"/>
    <w:rsid w:val="0045203A"/>
    <w:rsid w:val="00452855"/>
    <w:rsid w:val="00453F87"/>
    <w:rsid w:val="00456E33"/>
    <w:rsid w:val="004600ED"/>
    <w:rsid w:val="004601AA"/>
    <w:rsid w:val="00461E74"/>
    <w:rsid w:val="004620CA"/>
    <w:rsid w:val="004622F6"/>
    <w:rsid w:val="00463285"/>
    <w:rsid w:val="00465846"/>
    <w:rsid w:val="00466349"/>
    <w:rsid w:val="00466B43"/>
    <w:rsid w:val="00470D2C"/>
    <w:rsid w:val="00470E22"/>
    <w:rsid w:val="004710FD"/>
    <w:rsid w:val="00472C74"/>
    <w:rsid w:val="00472D33"/>
    <w:rsid w:val="00475946"/>
    <w:rsid w:val="00475BA6"/>
    <w:rsid w:val="00476B36"/>
    <w:rsid w:val="00476B5E"/>
    <w:rsid w:val="00476CE3"/>
    <w:rsid w:val="0047749E"/>
    <w:rsid w:val="00477D70"/>
    <w:rsid w:val="004808F5"/>
    <w:rsid w:val="004831CC"/>
    <w:rsid w:val="004835C9"/>
    <w:rsid w:val="00485567"/>
    <w:rsid w:val="004855BE"/>
    <w:rsid w:val="00486860"/>
    <w:rsid w:val="00491CC3"/>
    <w:rsid w:val="00491ED9"/>
    <w:rsid w:val="0049471C"/>
    <w:rsid w:val="00495623"/>
    <w:rsid w:val="00495C74"/>
    <w:rsid w:val="00496F19"/>
    <w:rsid w:val="0049718B"/>
    <w:rsid w:val="004A0C7A"/>
    <w:rsid w:val="004A2646"/>
    <w:rsid w:val="004A284B"/>
    <w:rsid w:val="004A2961"/>
    <w:rsid w:val="004A2CDE"/>
    <w:rsid w:val="004A3ABF"/>
    <w:rsid w:val="004A4B8D"/>
    <w:rsid w:val="004A5840"/>
    <w:rsid w:val="004A5B46"/>
    <w:rsid w:val="004A68CC"/>
    <w:rsid w:val="004A6B13"/>
    <w:rsid w:val="004B0167"/>
    <w:rsid w:val="004B1A2C"/>
    <w:rsid w:val="004B710E"/>
    <w:rsid w:val="004C078A"/>
    <w:rsid w:val="004C07A6"/>
    <w:rsid w:val="004C17A6"/>
    <w:rsid w:val="004C43EA"/>
    <w:rsid w:val="004C4445"/>
    <w:rsid w:val="004C4BE8"/>
    <w:rsid w:val="004C53AD"/>
    <w:rsid w:val="004C6291"/>
    <w:rsid w:val="004C65F0"/>
    <w:rsid w:val="004C680C"/>
    <w:rsid w:val="004C6EC4"/>
    <w:rsid w:val="004C7205"/>
    <w:rsid w:val="004D006D"/>
    <w:rsid w:val="004D0275"/>
    <w:rsid w:val="004D042A"/>
    <w:rsid w:val="004D2B30"/>
    <w:rsid w:val="004D59E6"/>
    <w:rsid w:val="004D5E8D"/>
    <w:rsid w:val="004D6404"/>
    <w:rsid w:val="004E01BF"/>
    <w:rsid w:val="004E0E1C"/>
    <w:rsid w:val="004E1414"/>
    <w:rsid w:val="004E190F"/>
    <w:rsid w:val="004E1EC6"/>
    <w:rsid w:val="004E336F"/>
    <w:rsid w:val="004E3CB0"/>
    <w:rsid w:val="004E3F68"/>
    <w:rsid w:val="004E5457"/>
    <w:rsid w:val="004E54A1"/>
    <w:rsid w:val="004E5A83"/>
    <w:rsid w:val="004E7601"/>
    <w:rsid w:val="004E7F0A"/>
    <w:rsid w:val="004F02DB"/>
    <w:rsid w:val="004F05F2"/>
    <w:rsid w:val="004F09B1"/>
    <w:rsid w:val="004F106A"/>
    <w:rsid w:val="004F1136"/>
    <w:rsid w:val="004F1426"/>
    <w:rsid w:val="004F2DE6"/>
    <w:rsid w:val="004F3C8A"/>
    <w:rsid w:val="004F4CDB"/>
    <w:rsid w:val="004F4FDD"/>
    <w:rsid w:val="004F5E18"/>
    <w:rsid w:val="004F6CF4"/>
    <w:rsid w:val="004F7BAB"/>
    <w:rsid w:val="00500591"/>
    <w:rsid w:val="0050085E"/>
    <w:rsid w:val="00500B5F"/>
    <w:rsid w:val="005016D0"/>
    <w:rsid w:val="00501DE1"/>
    <w:rsid w:val="005024CE"/>
    <w:rsid w:val="00502BAA"/>
    <w:rsid w:val="00504949"/>
    <w:rsid w:val="00506171"/>
    <w:rsid w:val="005062F5"/>
    <w:rsid w:val="005065F0"/>
    <w:rsid w:val="00510C48"/>
    <w:rsid w:val="005119F4"/>
    <w:rsid w:val="00511DDD"/>
    <w:rsid w:val="00512F2D"/>
    <w:rsid w:val="00513479"/>
    <w:rsid w:val="005136B6"/>
    <w:rsid w:val="005152B2"/>
    <w:rsid w:val="00515993"/>
    <w:rsid w:val="00517F46"/>
    <w:rsid w:val="00520209"/>
    <w:rsid w:val="0052076B"/>
    <w:rsid w:val="00524059"/>
    <w:rsid w:val="005251E9"/>
    <w:rsid w:val="005263EC"/>
    <w:rsid w:val="00526DFC"/>
    <w:rsid w:val="00527EB0"/>
    <w:rsid w:val="0053012D"/>
    <w:rsid w:val="005303CA"/>
    <w:rsid w:val="00530DF8"/>
    <w:rsid w:val="00531CA7"/>
    <w:rsid w:val="005324A6"/>
    <w:rsid w:val="005346D7"/>
    <w:rsid w:val="00535D3D"/>
    <w:rsid w:val="00536768"/>
    <w:rsid w:val="005372F7"/>
    <w:rsid w:val="00537322"/>
    <w:rsid w:val="00537F7A"/>
    <w:rsid w:val="00542227"/>
    <w:rsid w:val="005424B5"/>
    <w:rsid w:val="00542CEE"/>
    <w:rsid w:val="00545AC7"/>
    <w:rsid w:val="00546097"/>
    <w:rsid w:val="00546B16"/>
    <w:rsid w:val="00546B65"/>
    <w:rsid w:val="00546FB4"/>
    <w:rsid w:val="005519F6"/>
    <w:rsid w:val="005524DB"/>
    <w:rsid w:val="00552A7B"/>
    <w:rsid w:val="00552BE0"/>
    <w:rsid w:val="0055447D"/>
    <w:rsid w:val="005544CE"/>
    <w:rsid w:val="00554865"/>
    <w:rsid w:val="005557C6"/>
    <w:rsid w:val="0055616B"/>
    <w:rsid w:val="00556D62"/>
    <w:rsid w:val="00557E8F"/>
    <w:rsid w:val="005609B4"/>
    <w:rsid w:val="00560A07"/>
    <w:rsid w:val="00560A26"/>
    <w:rsid w:val="005625BD"/>
    <w:rsid w:val="005636FA"/>
    <w:rsid w:val="0056373A"/>
    <w:rsid w:val="00564A1B"/>
    <w:rsid w:val="00564BF4"/>
    <w:rsid w:val="00565A5E"/>
    <w:rsid w:val="00565CB9"/>
    <w:rsid w:val="00566F71"/>
    <w:rsid w:val="00567755"/>
    <w:rsid w:val="005716D4"/>
    <w:rsid w:val="00571C92"/>
    <w:rsid w:val="00571D24"/>
    <w:rsid w:val="005723B9"/>
    <w:rsid w:val="005726BA"/>
    <w:rsid w:val="0057299B"/>
    <w:rsid w:val="005730AC"/>
    <w:rsid w:val="00574C83"/>
    <w:rsid w:val="005810DF"/>
    <w:rsid w:val="00583101"/>
    <w:rsid w:val="005836B3"/>
    <w:rsid w:val="005838CD"/>
    <w:rsid w:val="00584D72"/>
    <w:rsid w:val="0058662D"/>
    <w:rsid w:val="005900C3"/>
    <w:rsid w:val="00590A21"/>
    <w:rsid w:val="0059200D"/>
    <w:rsid w:val="005932EC"/>
    <w:rsid w:val="005947B4"/>
    <w:rsid w:val="005956B1"/>
    <w:rsid w:val="005966D8"/>
    <w:rsid w:val="0059769C"/>
    <w:rsid w:val="00597951"/>
    <w:rsid w:val="005A01E5"/>
    <w:rsid w:val="005A0F75"/>
    <w:rsid w:val="005A129A"/>
    <w:rsid w:val="005A35B4"/>
    <w:rsid w:val="005A40CD"/>
    <w:rsid w:val="005A422E"/>
    <w:rsid w:val="005A4538"/>
    <w:rsid w:val="005A7235"/>
    <w:rsid w:val="005A7BA6"/>
    <w:rsid w:val="005B499E"/>
    <w:rsid w:val="005B4EDA"/>
    <w:rsid w:val="005B5BA4"/>
    <w:rsid w:val="005B6A8D"/>
    <w:rsid w:val="005C195D"/>
    <w:rsid w:val="005C2031"/>
    <w:rsid w:val="005C24FE"/>
    <w:rsid w:val="005C55D6"/>
    <w:rsid w:val="005D0ACB"/>
    <w:rsid w:val="005D1053"/>
    <w:rsid w:val="005D140B"/>
    <w:rsid w:val="005D1C36"/>
    <w:rsid w:val="005D1F2E"/>
    <w:rsid w:val="005D20BC"/>
    <w:rsid w:val="005D2654"/>
    <w:rsid w:val="005D2E6F"/>
    <w:rsid w:val="005D2E8E"/>
    <w:rsid w:val="005D5624"/>
    <w:rsid w:val="005D5865"/>
    <w:rsid w:val="005D5F1D"/>
    <w:rsid w:val="005D6FC6"/>
    <w:rsid w:val="005E03A2"/>
    <w:rsid w:val="005E35C4"/>
    <w:rsid w:val="005E4A7B"/>
    <w:rsid w:val="005E588F"/>
    <w:rsid w:val="005E5BEC"/>
    <w:rsid w:val="005E5D2D"/>
    <w:rsid w:val="005E6FAB"/>
    <w:rsid w:val="005F1234"/>
    <w:rsid w:val="005F13AA"/>
    <w:rsid w:val="005F451B"/>
    <w:rsid w:val="005F484B"/>
    <w:rsid w:val="00601B3B"/>
    <w:rsid w:val="006020A8"/>
    <w:rsid w:val="00602636"/>
    <w:rsid w:val="006031AF"/>
    <w:rsid w:val="006034B0"/>
    <w:rsid w:val="006036CD"/>
    <w:rsid w:val="00603CAA"/>
    <w:rsid w:val="00603CC1"/>
    <w:rsid w:val="006040EC"/>
    <w:rsid w:val="0060451D"/>
    <w:rsid w:val="00604681"/>
    <w:rsid w:val="00604D35"/>
    <w:rsid w:val="0060549C"/>
    <w:rsid w:val="0060654C"/>
    <w:rsid w:val="006067A6"/>
    <w:rsid w:val="006071E2"/>
    <w:rsid w:val="0060750F"/>
    <w:rsid w:val="00607547"/>
    <w:rsid w:val="006079C2"/>
    <w:rsid w:val="00611426"/>
    <w:rsid w:val="00613362"/>
    <w:rsid w:val="006150A3"/>
    <w:rsid w:val="006161DD"/>
    <w:rsid w:val="0061689C"/>
    <w:rsid w:val="00617F73"/>
    <w:rsid w:val="006210DF"/>
    <w:rsid w:val="0062163B"/>
    <w:rsid w:val="00622434"/>
    <w:rsid w:val="00622500"/>
    <w:rsid w:val="00622738"/>
    <w:rsid w:val="006227A8"/>
    <w:rsid w:val="0062357A"/>
    <w:rsid w:val="00623817"/>
    <w:rsid w:val="00624119"/>
    <w:rsid w:val="00624BE7"/>
    <w:rsid w:val="0062570F"/>
    <w:rsid w:val="006262C0"/>
    <w:rsid w:val="00626D8C"/>
    <w:rsid w:val="00627266"/>
    <w:rsid w:val="00627768"/>
    <w:rsid w:val="00627AB9"/>
    <w:rsid w:val="006309C2"/>
    <w:rsid w:val="00630F1E"/>
    <w:rsid w:val="006310C6"/>
    <w:rsid w:val="00635E63"/>
    <w:rsid w:val="006364B9"/>
    <w:rsid w:val="00637244"/>
    <w:rsid w:val="00640646"/>
    <w:rsid w:val="006406C5"/>
    <w:rsid w:val="00640DB6"/>
    <w:rsid w:val="00642467"/>
    <w:rsid w:val="006429F1"/>
    <w:rsid w:val="00642D76"/>
    <w:rsid w:val="00643D01"/>
    <w:rsid w:val="00643FF8"/>
    <w:rsid w:val="00644EBE"/>
    <w:rsid w:val="00645B0D"/>
    <w:rsid w:val="006464CA"/>
    <w:rsid w:val="006471A1"/>
    <w:rsid w:val="00650954"/>
    <w:rsid w:val="00651606"/>
    <w:rsid w:val="0065161C"/>
    <w:rsid w:val="00652B35"/>
    <w:rsid w:val="00652EE5"/>
    <w:rsid w:val="0065454C"/>
    <w:rsid w:val="00654C61"/>
    <w:rsid w:val="00656D6B"/>
    <w:rsid w:val="00660027"/>
    <w:rsid w:val="00660B98"/>
    <w:rsid w:val="006610CE"/>
    <w:rsid w:val="006648C0"/>
    <w:rsid w:val="00665EAF"/>
    <w:rsid w:val="00666566"/>
    <w:rsid w:val="00666D5A"/>
    <w:rsid w:val="00670897"/>
    <w:rsid w:val="00671E64"/>
    <w:rsid w:val="00672A20"/>
    <w:rsid w:val="00673544"/>
    <w:rsid w:val="006737EC"/>
    <w:rsid w:val="006739CE"/>
    <w:rsid w:val="00676898"/>
    <w:rsid w:val="00677A86"/>
    <w:rsid w:val="006824B3"/>
    <w:rsid w:val="00682AFB"/>
    <w:rsid w:val="0068304A"/>
    <w:rsid w:val="006830D4"/>
    <w:rsid w:val="00683207"/>
    <w:rsid w:val="00683A1A"/>
    <w:rsid w:val="00685112"/>
    <w:rsid w:val="00686D59"/>
    <w:rsid w:val="00687254"/>
    <w:rsid w:val="00687583"/>
    <w:rsid w:val="00687F40"/>
    <w:rsid w:val="0069070C"/>
    <w:rsid w:val="00690736"/>
    <w:rsid w:val="00691828"/>
    <w:rsid w:val="00691A07"/>
    <w:rsid w:val="006927E2"/>
    <w:rsid w:val="00692B88"/>
    <w:rsid w:val="00693D40"/>
    <w:rsid w:val="006959A1"/>
    <w:rsid w:val="00695EAB"/>
    <w:rsid w:val="006971C6"/>
    <w:rsid w:val="00697598"/>
    <w:rsid w:val="006A01ED"/>
    <w:rsid w:val="006A13AE"/>
    <w:rsid w:val="006A173F"/>
    <w:rsid w:val="006A1AC5"/>
    <w:rsid w:val="006A231D"/>
    <w:rsid w:val="006A29EB"/>
    <w:rsid w:val="006A4DCF"/>
    <w:rsid w:val="006A6D8F"/>
    <w:rsid w:val="006A6EDB"/>
    <w:rsid w:val="006B0753"/>
    <w:rsid w:val="006B102F"/>
    <w:rsid w:val="006B15F9"/>
    <w:rsid w:val="006B18D6"/>
    <w:rsid w:val="006B1911"/>
    <w:rsid w:val="006B1E96"/>
    <w:rsid w:val="006B20E9"/>
    <w:rsid w:val="006B2269"/>
    <w:rsid w:val="006B2749"/>
    <w:rsid w:val="006B2E0B"/>
    <w:rsid w:val="006B42B0"/>
    <w:rsid w:val="006B490F"/>
    <w:rsid w:val="006B57A3"/>
    <w:rsid w:val="006B58DB"/>
    <w:rsid w:val="006B6448"/>
    <w:rsid w:val="006B6B7D"/>
    <w:rsid w:val="006B738C"/>
    <w:rsid w:val="006B770D"/>
    <w:rsid w:val="006B7825"/>
    <w:rsid w:val="006C064C"/>
    <w:rsid w:val="006C1677"/>
    <w:rsid w:val="006C4CAA"/>
    <w:rsid w:val="006C68A7"/>
    <w:rsid w:val="006C780F"/>
    <w:rsid w:val="006C79DB"/>
    <w:rsid w:val="006D09D6"/>
    <w:rsid w:val="006D1400"/>
    <w:rsid w:val="006D419B"/>
    <w:rsid w:val="006D5FFF"/>
    <w:rsid w:val="006D7A1A"/>
    <w:rsid w:val="006E009D"/>
    <w:rsid w:val="006E0122"/>
    <w:rsid w:val="006E0960"/>
    <w:rsid w:val="006E116F"/>
    <w:rsid w:val="006E13FF"/>
    <w:rsid w:val="006E197A"/>
    <w:rsid w:val="006E1DC0"/>
    <w:rsid w:val="006E460D"/>
    <w:rsid w:val="006E4817"/>
    <w:rsid w:val="006E6819"/>
    <w:rsid w:val="006E6A2C"/>
    <w:rsid w:val="006E6C7E"/>
    <w:rsid w:val="006E7516"/>
    <w:rsid w:val="006E7D37"/>
    <w:rsid w:val="006F1F1D"/>
    <w:rsid w:val="006F27D4"/>
    <w:rsid w:val="006F4946"/>
    <w:rsid w:val="006F7698"/>
    <w:rsid w:val="00700983"/>
    <w:rsid w:val="007020F8"/>
    <w:rsid w:val="007029CB"/>
    <w:rsid w:val="00702E91"/>
    <w:rsid w:val="00702F36"/>
    <w:rsid w:val="00703FEF"/>
    <w:rsid w:val="00704459"/>
    <w:rsid w:val="007045C4"/>
    <w:rsid w:val="00704CBA"/>
    <w:rsid w:val="00706B15"/>
    <w:rsid w:val="00706F41"/>
    <w:rsid w:val="00706F4A"/>
    <w:rsid w:val="00710A21"/>
    <w:rsid w:val="007110B8"/>
    <w:rsid w:val="00712749"/>
    <w:rsid w:val="007128E1"/>
    <w:rsid w:val="00713761"/>
    <w:rsid w:val="007139DB"/>
    <w:rsid w:val="00714D14"/>
    <w:rsid w:val="00714E66"/>
    <w:rsid w:val="007167A3"/>
    <w:rsid w:val="00716971"/>
    <w:rsid w:val="00716CE1"/>
    <w:rsid w:val="00716D1D"/>
    <w:rsid w:val="00716F75"/>
    <w:rsid w:val="007213A9"/>
    <w:rsid w:val="00724442"/>
    <w:rsid w:val="00724815"/>
    <w:rsid w:val="007250B7"/>
    <w:rsid w:val="00726EFA"/>
    <w:rsid w:val="007279D9"/>
    <w:rsid w:val="00730C6B"/>
    <w:rsid w:val="00730DDD"/>
    <w:rsid w:val="00732359"/>
    <w:rsid w:val="00732759"/>
    <w:rsid w:val="00732856"/>
    <w:rsid w:val="00732A40"/>
    <w:rsid w:val="00732DB8"/>
    <w:rsid w:val="00734670"/>
    <w:rsid w:val="00735197"/>
    <w:rsid w:val="00735C37"/>
    <w:rsid w:val="00737482"/>
    <w:rsid w:val="0073767D"/>
    <w:rsid w:val="0074077E"/>
    <w:rsid w:val="00740F3C"/>
    <w:rsid w:val="00741CD7"/>
    <w:rsid w:val="00741E2A"/>
    <w:rsid w:val="0074222B"/>
    <w:rsid w:val="00742631"/>
    <w:rsid w:val="00742DE0"/>
    <w:rsid w:val="00743524"/>
    <w:rsid w:val="00743A10"/>
    <w:rsid w:val="00743BAD"/>
    <w:rsid w:val="0074502F"/>
    <w:rsid w:val="00745A5F"/>
    <w:rsid w:val="00746F8F"/>
    <w:rsid w:val="00747678"/>
    <w:rsid w:val="00747CB8"/>
    <w:rsid w:val="00750796"/>
    <w:rsid w:val="00752AF7"/>
    <w:rsid w:val="007534F8"/>
    <w:rsid w:val="0075404F"/>
    <w:rsid w:val="00754ABE"/>
    <w:rsid w:val="00754F12"/>
    <w:rsid w:val="00755556"/>
    <w:rsid w:val="007558ED"/>
    <w:rsid w:val="007560F1"/>
    <w:rsid w:val="00761BDB"/>
    <w:rsid w:val="00762228"/>
    <w:rsid w:val="00763E34"/>
    <w:rsid w:val="00764EF9"/>
    <w:rsid w:val="007654E0"/>
    <w:rsid w:val="00765D59"/>
    <w:rsid w:val="00766E2D"/>
    <w:rsid w:val="00770A34"/>
    <w:rsid w:val="00770FC4"/>
    <w:rsid w:val="007711BC"/>
    <w:rsid w:val="007713C7"/>
    <w:rsid w:val="00772C87"/>
    <w:rsid w:val="00772D61"/>
    <w:rsid w:val="007730A5"/>
    <w:rsid w:val="00773D6D"/>
    <w:rsid w:val="00775025"/>
    <w:rsid w:val="00776C0D"/>
    <w:rsid w:val="0077747C"/>
    <w:rsid w:val="00777F9F"/>
    <w:rsid w:val="007804EC"/>
    <w:rsid w:val="00780787"/>
    <w:rsid w:val="00780B25"/>
    <w:rsid w:val="00780BED"/>
    <w:rsid w:val="00781B44"/>
    <w:rsid w:val="007821B4"/>
    <w:rsid w:val="007837C6"/>
    <w:rsid w:val="007838DA"/>
    <w:rsid w:val="0078463B"/>
    <w:rsid w:val="007853D4"/>
    <w:rsid w:val="00785CD6"/>
    <w:rsid w:val="007860F8"/>
    <w:rsid w:val="00786880"/>
    <w:rsid w:val="00791DFE"/>
    <w:rsid w:val="00792703"/>
    <w:rsid w:val="007927B8"/>
    <w:rsid w:val="00792C1E"/>
    <w:rsid w:val="007937AD"/>
    <w:rsid w:val="00794978"/>
    <w:rsid w:val="00796ED4"/>
    <w:rsid w:val="007975D8"/>
    <w:rsid w:val="007A0115"/>
    <w:rsid w:val="007A1C4E"/>
    <w:rsid w:val="007A1C7D"/>
    <w:rsid w:val="007A1DFD"/>
    <w:rsid w:val="007A1F01"/>
    <w:rsid w:val="007A2883"/>
    <w:rsid w:val="007A3403"/>
    <w:rsid w:val="007A3539"/>
    <w:rsid w:val="007A3C78"/>
    <w:rsid w:val="007A4376"/>
    <w:rsid w:val="007A4ADE"/>
    <w:rsid w:val="007A4DCA"/>
    <w:rsid w:val="007A5180"/>
    <w:rsid w:val="007A5A6C"/>
    <w:rsid w:val="007A5EE5"/>
    <w:rsid w:val="007B00E3"/>
    <w:rsid w:val="007B14AA"/>
    <w:rsid w:val="007B22C1"/>
    <w:rsid w:val="007B2A30"/>
    <w:rsid w:val="007B2DCD"/>
    <w:rsid w:val="007B41DD"/>
    <w:rsid w:val="007B4D10"/>
    <w:rsid w:val="007B5199"/>
    <w:rsid w:val="007B69B1"/>
    <w:rsid w:val="007B74AA"/>
    <w:rsid w:val="007B78AA"/>
    <w:rsid w:val="007C285F"/>
    <w:rsid w:val="007C39B5"/>
    <w:rsid w:val="007C3A41"/>
    <w:rsid w:val="007C7191"/>
    <w:rsid w:val="007C7392"/>
    <w:rsid w:val="007D1451"/>
    <w:rsid w:val="007D1B8B"/>
    <w:rsid w:val="007D2824"/>
    <w:rsid w:val="007D3C4B"/>
    <w:rsid w:val="007D4381"/>
    <w:rsid w:val="007D47D8"/>
    <w:rsid w:val="007D58A8"/>
    <w:rsid w:val="007D5C7F"/>
    <w:rsid w:val="007E02ED"/>
    <w:rsid w:val="007E0597"/>
    <w:rsid w:val="007E0985"/>
    <w:rsid w:val="007E1BD7"/>
    <w:rsid w:val="007E1DEB"/>
    <w:rsid w:val="007E2E4D"/>
    <w:rsid w:val="007E403E"/>
    <w:rsid w:val="007E4991"/>
    <w:rsid w:val="007E4B86"/>
    <w:rsid w:val="007E6E0D"/>
    <w:rsid w:val="007E740C"/>
    <w:rsid w:val="007F0805"/>
    <w:rsid w:val="007F0C27"/>
    <w:rsid w:val="007F1FD4"/>
    <w:rsid w:val="007F246C"/>
    <w:rsid w:val="007F2A90"/>
    <w:rsid w:val="007F5265"/>
    <w:rsid w:val="007F60B7"/>
    <w:rsid w:val="007F7757"/>
    <w:rsid w:val="0080187D"/>
    <w:rsid w:val="00802495"/>
    <w:rsid w:val="0080293D"/>
    <w:rsid w:val="00802A2C"/>
    <w:rsid w:val="00803457"/>
    <w:rsid w:val="0080372A"/>
    <w:rsid w:val="008042DB"/>
    <w:rsid w:val="008050E3"/>
    <w:rsid w:val="00806D50"/>
    <w:rsid w:val="00807B4F"/>
    <w:rsid w:val="00810604"/>
    <w:rsid w:val="00810DBC"/>
    <w:rsid w:val="0081139A"/>
    <w:rsid w:val="00811D22"/>
    <w:rsid w:val="00811FC2"/>
    <w:rsid w:val="00813D7B"/>
    <w:rsid w:val="008144DD"/>
    <w:rsid w:val="0081485B"/>
    <w:rsid w:val="00815A4C"/>
    <w:rsid w:val="00816010"/>
    <w:rsid w:val="008201BE"/>
    <w:rsid w:val="008202C9"/>
    <w:rsid w:val="008208CD"/>
    <w:rsid w:val="008219AA"/>
    <w:rsid w:val="008219F0"/>
    <w:rsid w:val="00821C07"/>
    <w:rsid w:val="00822B54"/>
    <w:rsid w:val="008237FF"/>
    <w:rsid w:val="008240E3"/>
    <w:rsid w:val="00824837"/>
    <w:rsid w:val="00826FA1"/>
    <w:rsid w:val="00827471"/>
    <w:rsid w:val="00827596"/>
    <w:rsid w:val="0082798D"/>
    <w:rsid w:val="0083079B"/>
    <w:rsid w:val="00830F44"/>
    <w:rsid w:val="008310D5"/>
    <w:rsid w:val="008316D7"/>
    <w:rsid w:val="00831944"/>
    <w:rsid w:val="00831B47"/>
    <w:rsid w:val="00834291"/>
    <w:rsid w:val="008343F1"/>
    <w:rsid w:val="00834E5B"/>
    <w:rsid w:val="00835282"/>
    <w:rsid w:val="00835E60"/>
    <w:rsid w:val="008366EC"/>
    <w:rsid w:val="008370A6"/>
    <w:rsid w:val="00840AE4"/>
    <w:rsid w:val="00840B12"/>
    <w:rsid w:val="008416DF"/>
    <w:rsid w:val="00842193"/>
    <w:rsid w:val="008443B3"/>
    <w:rsid w:val="00846433"/>
    <w:rsid w:val="0084668A"/>
    <w:rsid w:val="00847A23"/>
    <w:rsid w:val="00850DF4"/>
    <w:rsid w:val="008510C7"/>
    <w:rsid w:val="0085150A"/>
    <w:rsid w:val="0085160F"/>
    <w:rsid w:val="0085327B"/>
    <w:rsid w:val="00853B1E"/>
    <w:rsid w:val="00854AAE"/>
    <w:rsid w:val="00856CDB"/>
    <w:rsid w:val="00857138"/>
    <w:rsid w:val="00860243"/>
    <w:rsid w:val="00860720"/>
    <w:rsid w:val="00860B8A"/>
    <w:rsid w:val="0086154F"/>
    <w:rsid w:val="00862470"/>
    <w:rsid w:val="00862ACA"/>
    <w:rsid w:val="00862D5A"/>
    <w:rsid w:val="00863B5C"/>
    <w:rsid w:val="00863E35"/>
    <w:rsid w:val="00864387"/>
    <w:rsid w:val="0086480C"/>
    <w:rsid w:val="00866104"/>
    <w:rsid w:val="0086680C"/>
    <w:rsid w:val="00866A4F"/>
    <w:rsid w:val="00866F44"/>
    <w:rsid w:val="0086783E"/>
    <w:rsid w:val="00870849"/>
    <w:rsid w:val="00870F86"/>
    <w:rsid w:val="0087252A"/>
    <w:rsid w:val="00873EFF"/>
    <w:rsid w:val="00874326"/>
    <w:rsid w:val="008749E8"/>
    <w:rsid w:val="00876774"/>
    <w:rsid w:val="00876C6F"/>
    <w:rsid w:val="00877339"/>
    <w:rsid w:val="008803DA"/>
    <w:rsid w:val="00881794"/>
    <w:rsid w:val="00881CAD"/>
    <w:rsid w:val="00883A58"/>
    <w:rsid w:val="0088578B"/>
    <w:rsid w:val="008875F2"/>
    <w:rsid w:val="0089326A"/>
    <w:rsid w:val="0089358E"/>
    <w:rsid w:val="00893F67"/>
    <w:rsid w:val="00893FCA"/>
    <w:rsid w:val="0089468E"/>
    <w:rsid w:val="008951E3"/>
    <w:rsid w:val="00895E6F"/>
    <w:rsid w:val="00895ED3"/>
    <w:rsid w:val="008A0297"/>
    <w:rsid w:val="008A034D"/>
    <w:rsid w:val="008A1004"/>
    <w:rsid w:val="008A15C2"/>
    <w:rsid w:val="008A2F96"/>
    <w:rsid w:val="008A34CB"/>
    <w:rsid w:val="008A4117"/>
    <w:rsid w:val="008A44DD"/>
    <w:rsid w:val="008A474D"/>
    <w:rsid w:val="008A6835"/>
    <w:rsid w:val="008B0300"/>
    <w:rsid w:val="008B170E"/>
    <w:rsid w:val="008B37A1"/>
    <w:rsid w:val="008B4625"/>
    <w:rsid w:val="008B467F"/>
    <w:rsid w:val="008B535A"/>
    <w:rsid w:val="008B57B0"/>
    <w:rsid w:val="008C06CB"/>
    <w:rsid w:val="008C0A91"/>
    <w:rsid w:val="008C0C83"/>
    <w:rsid w:val="008C420C"/>
    <w:rsid w:val="008C578C"/>
    <w:rsid w:val="008C582D"/>
    <w:rsid w:val="008C6A5F"/>
    <w:rsid w:val="008C7F35"/>
    <w:rsid w:val="008D2793"/>
    <w:rsid w:val="008D2A1E"/>
    <w:rsid w:val="008D2CA0"/>
    <w:rsid w:val="008D30FC"/>
    <w:rsid w:val="008D3316"/>
    <w:rsid w:val="008D3B33"/>
    <w:rsid w:val="008D3C81"/>
    <w:rsid w:val="008D4703"/>
    <w:rsid w:val="008D659E"/>
    <w:rsid w:val="008D6656"/>
    <w:rsid w:val="008D6A64"/>
    <w:rsid w:val="008D72AB"/>
    <w:rsid w:val="008E22C9"/>
    <w:rsid w:val="008E2B3A"/>
    <w:rsid w:val="008E3EBA"/>
    <w:rsid w:val="008E3EF5"/>
    <w:rsid w:val="008E4DC6"/>
    <w:rsid w:val="008E5118"/>
    <w:rsid w:val="008E5DFF"/>
    <w:rsid w:val="008E6B14"/>
    <w:rsid w:val="008E6FC3"/>
    <w:rsid w:val="008F0A00"/>
    <w:rsid w:val="008F0EEB"/>
    <w:rsid w:val="008F1F04"/>
    <w:rsid w:val="008F275E"/>
    <w:rsid w:val="008F2C24"/>
    <w:rsid w:val="008F328C"/>
    <w:rsid w:val="008F40ED"/>
    <w:rsid w:val="008F48A5"/>
    <w:rsid w:val="008F4B28"/>
    <w:rsid w:val="008F5FAF"/>
    <w:rsid w:val="008F74C2"/>
    <w:rsid w:val="008F7CEE"/>
    <w:rsid w:val="00900E6F"/>
    <w:rsid w:val="00901C53"/>
    <w:rsid w:val="00902767"/>
    <w:rsid w:val="00902BB7"/>
    <w:rsid w:val="009042A9"/>
    <w:rsid w:val="009044A6"/>
    <w:rsid w:val="009048BF"/>
    <w:rsid w:val="00910A9A"/>
    <w:rsid w:val="00911C68"/>
    <w:rsid w:val="00911E06"/>
    <w:rsid w:val="009124E7"/>
    <w:rsid w:val="00912D01"/>
    <w:rsid w:val="00912F15"/>
    <w:rsid w:val="00915781"/>
    <w:rsid w:val="00916658"/>
    <w:rsid w:val="00916674"/>
    <w:rsid w:val="009168B2"/>
    <w:rsid w:val="00916D23"/>
    <w:rsid w:val="0091768B"/>
    <w:rsid w:val="00921A9A"/>
    <w:rsid w:val="00921E6B"/>
    <w:rsid w:val="009221B2"/>
    <w:rsid w:val="00922AA7"/>
    <w:rsid w:val="00922C6F"/>
    <w:rsid w:val="00922D6B"/>
    <w:rsid w:val="00923155"/>
    <w:rsid w:val="0092497F"/>
    <w:rsid w:val="00925391"/>
    <w:rsid w:val="009254E0"/>
    <w:rsid w:val="00925CEA"/>
    <w:rsid w:val="00926CCD"/>
    <w:rsid w:val="00927A0F"/>
    <w:rsid w:val="00927A30"/>
    <w:rsid w:val="00927DC6"/>
    <w:rsid w:val="00931E9D"/>
    <w:rsid w:val="009328B3"/>
    <w:rsid w:val="0093699A"/>
    <w:rsid w:val="00936A54"/>
    <w:rsid w:val="00937543"/>
    <w:rsid w:val="00937AC9"/>
    <w:rsid w:val="00940B0E"/>
    <w:rsid w:val="00940F81"/>
    <w:rsid w:val="00941552"/>
    <w:rsid w:val="00942B82"/>
    <w:rsid w:val="00942E5D"/>
    <w:rsid w:val="00943C5A"/>
    <w:rsid w:val="00944273"/>
    <w:rsid w:val="00944C1D"/>
    <w:rsid w:val="00945D12"/>
    <w:rsid w:val="00950882"/>
    <w:rsid w:val="00951C9A"/>
    <w:rsid w:val="0095227C"/>
    <w:rsid w:val="009523A7"/>
    <w:rsid w:val="009523F2"/>
    <w:rsid w:val="00953FB7"/>
    <w:rsid w:val="009551C5"/>
    <w:rsid w:val="00956636"/>
    <w:rsid w:val="0096017C"/>
    <w:rsid w:val="00961C50"/>
    <w:rsid w:val="00961FE9"/>
    <w:rsid w:val="009620C0"/>
    <w:rsid w:val="009628DB"/>
    <w:rsid w:val="00963312"/>
    <w:rsid w:val="0096386A"/>
    <w:rsid w:val="0096508A"/>
    <w:rsid w:val="00965ABF"/>
    <w:rsid w:val="00971A41"/>
    <w:rsid w:val="009738B1"/>
    <w:rsid w:val="00974372"/>
    <w:rsid w:val="00974E1E"/>
    <w:rsid w:val="00975BE8"/>
    <w:rsid w:val="00976A58"/>
    <w:rsid w:val="009779DA"/>
    <w:rsid w:val="00977AA1"/>
    <w:rsid w:val="00980058"/>
    <w:rsid w:val="00982445"/>
    <w:rsid w:val="00982777"/>
    <w:rsid w:val="00982867"/>
    <w:rsid w:val="00982C40"/>
    <w:rsid w:val="0098375D"/>
    <w:rsid w:val="0098522B"/>
    <w:rsid w:val="00986137"/>
    <w:rsid w:val="00986389"/>
    <w:rsid w:val="009872CD"/>
    <w:rsid w:val="00987A8B"/>
    <w:rsid w:val="00990A46"/>
    <w:rsid w:val="00990AB9"/>
    <w:rsid w:val="009912BB"/>
    <w:rsid w:val="009920E2"/>
    <w:rsid w:val="00992A84"/>
    <w:rsid w:val="00994217"/>
    <w:rsid w:val="00994618"/>
    <w:rsid w:val="00994BA8"/>
    <w:rsid w:val="00996CD5"/>
    <w:rsid w:val="00997E71"/>
    <w:rsid w:val="009A09EC"/>
    <w:rsid w:val="009A0E02"/>
    <w:rsid w:val="009A151F"/>
    <w:rsid w:val="009A24BC"/>
    <w:rsid w:val="009A308D"/>
    <w:rsid w:val="009A442C"/>
    <w:rsid w:val="009A5C07"/>
    <w:rsid w:val="009A6AF8"/>
    <w:rsid w:val="009A6E01"/>
    <w:rsid w:val="009A7194"/>
    <w:rsid w:val="009A76D9"/>
    <w:rsid w:val="009A7C9D"/>
    <w:rsid w:val="009A7EF0"/>
    <w:rsid w:val="009B104B"/>
    <w:rsid w:val="009B2060"/>
    <w:rsid w:val="009B2A92"/>
    <w:rsid w:val="009B3C05"/>
    <w:rsid w:val="009B46F6"/>
    <w:rsid w:val="009B4AAE"/>
    <w:rsid w:val="009B5CB4"/>
    <w:rsid w:val="009B5E96"/>
    <w:rsid w:val="009B679C"/>
    <w:rsid w:val="009B76F3"/>
    <w:rsid w:val="009B7753"/>
    <w:rsid w:val="009B7AA5"/>
    <w:rsid w:val="009C2087"/>
    <w:rsid w:val="009C24FF"/>
    <w:rsid w:val="009C2DE1"/>
    <w:rsid w:val="009C3712"/>
    <w:rsid w:val="009C3901"/>
    <w:rsid w:val="009C3BA8"/>
    <w:rsid w:val="009C3C64"/>
    <w:rsid w:val="009C66BD"/>
    <w:rsid w:val="009D040F"/>
    <w:rsid w:val="009D043F"/>
    <w:rsid w:val="009D11EC"/>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268B"/>
    <w:rsid w:val="009E2873"/>
    <w:rsid w:val="009E2D3A"/>
    <w:rsid w:val="009E33E8"/>
    <w:rsid w:val="009E3400"/>
    <w:rsid w:val="009E39DB"/>
    <w:rsid w:val="009E3F6A"/>
    <w:rsid w:val="009E40F8"/>
    <w:rsid w:val="009E5EDB"/>
    <w:rsid w:val="009E607C"/>
    <w:rsid w:val="009F06DE"/>
    <w:rsid w:val="009F0ECB"/>
    <w:rsid w:val="009F1184"/>
    <w:rsid w:val="009F1E00"/>
    <w:rsid w:val="009F238A"/>
    <w:rsid w:val="009F3011"/>
    <w:rsid w:val="009F34D9"/>
    <w:rsid w:val="009F45ED"/>
    <w:rsid w:val="009F7E6F"/>
    <w:rsid w:val="00A00FC3"/>
    <w:rsid w:val="00A02D1A"/>
    <w:rsid w:val="00A03078"/>
    <w:rsid w:val="00A05F48"/>
    <w:rsid w:val="00A0627A"/>
    <w:rsid w:val="00A10781"/>
    <w:rsid w:val="00A10C30"/>
    <w:rsid w:val="00A11656"/>
    <w:rsid w:val="00A12A58"/>
    <w:rsid w:val="00A12BD8"/>
    <w:rsid w:val="00A15F64"/>
    <w:rsid w:val="00A20196"/>
    <w:rsid w:val="00A225E6"/>
    <w:rsid w:val="00A233E0"/>
    <w:rsid w:val="00A24F5B"/>
    <w:rsid w:val="00A26353"/>
    <w:rsid w:val="00A26E89"/>
    <w:rsid w:val="00A274B4"/>
    <w:rsid w:val="00A27E5C"/>
    <w:rsid w:val="00A306EB"/>
    <w:rsid w:val="00A31484"/>
    <w:rsid w:val="00A33300"/>
    <w:rsid w:val="00A34AB5"/>
    <w:rsid w:val="00A34C1C"/>
    <w:rsid w:val="00A352DB"/>
    <w:rsid w:val="00A358CC"/>
    <w:rsid w:val="00A35BC3"/>
    <w:rsid w:val="00A35F5B"/>
    <w:rsid w:val="00A3600F"/>
    <w:rsid w:val="00A361CE"/>
    <w:rsid w:val="00A3645D"/>
    <w:rsid w:val="00A36A7F"/>
    <w:rsid w:val="00A41B91"/>
    <w:rsid w:val="00A446B4"/>
    <w:rsid w:val="00A45279"/>
    <w:rsid w:val="00A45770"/>
    <w:rsid w:val="00A45865"/>
    <w:rsid w:val="00A464A8"/>
    <w:rsid w:val="00A4785E"/>
    <w:rsid w:val="00A520CB"/>
    <w:rsid w:val="00A5226D"/>
    <w:rsid w:val="00A53BD4"/>
    <w:rsid w:val="00A53C9A"/>
    <w:rsid w:val="00A54517"/>
    <w:rsid w:val="00A55764"/>
    <w:rsid w:val="00A56C84"/>
    <w:rsid w:val="00A57F0E"/>
    <w:rsid w:val="00A60384"/>
    <w:rsid w:val="00A6282F"/>
    <w:rsid w:val="00A62AFA"/>
    <w:rsid w:val="00A64B54"/>
    <w:rsid w:val="00A659CE"/>
    <w:rsid w:val="00A661AA"/>
    <w:rsid w:val="00A67FC6"/>
    <w:rsid w:val="00A68791"/>
    <w:rsid w:val="00A70797"/>
    <w:rsid w:val="00A71397"/>
    <w:rsid w:val="00A71914"/>
    <w:rsid w:val="00A71B9D"/>
    <w:rsid w:val="00A71F84"/>
    <w:rsid w:val="00A72054"/>
    <w:rsid w:val="00A72623"/>
    <w:rsid w:val="00A72677"/>
    <w:rsid w:val="00A74329"/>
    <w:rsid w:val="00A75FCB"/>
    <w:rsid w:val="00A7680A"/>
    <w:rsid w:val="00A768D2"/>
    <w:rsid w:val="00A77DA6"/>
    <w:rsid w:val="00A80A27"/>
    <w:rsid w:val="00A815CE"/>
    <w:rsid w:val="00A816BC"/>
    <w:rsid w:val="00A81EC0"/>
    <w:rsid w:val="00A82647"/>
    <w:rsid w:val="00A8542E"/>
    <w:rsid w:val="00A8593A"/>
    <w:rsid w:val="00A86761"/>
    <w:rsid w:val="00A9188B"/>
    <w:rsid w:val="00A91EFC"/>
    <w:rsid w:val="00A955EC"/>
    <w:rsid w:val="00A9734E"/>
    <w:rsid w:val="00A975AC"/>
    <w:rsid w:val="00A97767"/>
    <w:rsid w:val="00A97EE9"/>
    <w:rsid w:val="00AA220A"/>
    <w:rsid w:val="00AA26C8"/>
    <w:rsid w:val="00AA2AE3"/>
    <w:rsid w:val="00AA3857"/>
    <w:rsid w:val="00AA4A5E"/>
    <w:rsid w:val="00AA4F24"/>
    <w:rsid w:val="00AA5BD7"/>
    <w:rsid w:val="00AA6199"/>
    <w:rsid w:val="00AA67A0"/>
    <w:rsid w:val="00AA70F1"/>
    <w:rsid w:val="00AA7466"/>
    <w:rsid w:val="00AA74E9"/>
    <w:rsid w:val="00AB493A"/>
    <w:rsid w:val="00AB58D2"/>
    <w:rsid w:val="00AC0ED5"/>
    <w:rsid w:val="00AC105E"/>
    <w:rsid w:val="00AC1131"/>
    <w:rsid w:val="00AC1AC4"/>
    <w:rsid w:val="00AC1F88"/>
    <w:rsid w:val="00AC3EBB"/>
    <w:rsid w:val="00AC5472"/>
    <w:rsid w:val="00AD0AC1"/>
    <w:rsid w:val="00AD15AC"/>
    <w:rsid w:val="00AD1B66"/>
    <w:rsid w:val="00AD1C1B"/>
    <w:rsid w:val="00AD1CFF"/>
    <w:rsid w:val="00AD2447"/>
    <w:rsid w:val="00AD3F78"/>
    <w:rsid w:val="00AD46F7"/>
    <w:rsid w:val="00AD64B9"/>
    <w:rsid w:val="00AD6EE4"/>
    <w:rsid w:val="00AD7358"/>
    <w:rsid w:val="00AD743C"/>
    <w:rsid w:val="00AE026A"/>
    <w:rsid w:val="00AE0BB8"/>
    <w:rsid w:val="00AE0E88"/>
    <w:rsid w:val="00AE1346"/>
    <w:rsid w:val="00AE2594"/>
    <w:rsid w:val="00AE274D"/>
    <w:rsid w:val="00AE34D4"/>
    <w:rsid w:val="00AE3624"/>
    <w:rsid w:val="00AE3760"/>
    <w:rsid w:val="00AE3F7E"/>
    <w:rsid w:val="00AE534A"/>
    <w:rsid w:val="00AE63B1"/>
    <w:rsid w:val="00AE667E"/>
    <w:rsid w:val="00AE6807"/>
    <w:rsid w:val="00AE7BE7"/>
    <w:rsid w:val="00AE7C94"/>
    <w:rsid w:val="00AE7FC5"/>
    <w:rsid w:val="00AF2486"/>
    <w:rsid w:val="00AF27BE"/>
    <w:rsid w:val="00AF3D20"/>
    <w:rsid w:val="00AF4218"/>
    <w:rsid w:val="00AF55DA"/>
    <w:rsid w:val="00AF6F5C"/>
    <w:rsid w:val="00AF7EAC"/>
    <w:rsid w:val="00B017D5"/>
    <w:rsid w:val="00B0181A"/>
    <w:rsid w:val="00B027C5"/>
    <w:rsid w:val="00B02874"/>
    <w:rsid w:val="00B0424B"/>
    <w:rsid w:val="00B04655"/>
    <w:rsid w:val="00B061BD"/>
    <w:rsid w:val="00B06750"/>
    <w:rsid w:val="00B07068"/>
    <w:rsid w:val="00B07337"/>
    <w:rsid w:val="00B11452"/>
    <w:rsid w:val="00B11A05"/>
    <w:rsid w:val="00B11B2A"/>
    <w:rsid w:val="00B13545"/>
    <w:rsid w:val="00B13DEC"/>
    <w:rsid w:val="00B13F75"/>
    <w:rsid w:val="00B1537E"/>
    <w:rsid w:val="00B15AEE"/>
    <w:rsid w:val="00B15B9E"/>
    <w:rsid w:val="00B17DCA"/>
    <w:rsid w:val="00B200D7"/>
    <w:rsid w:val="00B205E9"/>
    <w:rsid w:val="00B222EC"/>
    <w:rsid w:val="00B22810"/>
    <w:rsid w:val="00B22F84"/>
    <w:rsid w:val="00B2326A"/>
    <w:rsid w:val="00B23E0D"/>
    <w:rsid w:val="00B24852"/>
    <w:rsid w:val="00B25638"/>
    <w:rsid w:val="00B26757"/>
    <w:rsid w:val="00B279A3"/>
    <w:rsid w:val="00B31C31"/>
    <w:rsid w:val="00B377DA"/>
    <w:rsid w:val="00B378B8"/>
    <w:rsid w:val="00B37C28"/>
    <w:rsid w:val="00B400AE"/>
    <w:rsid w:val="00B40C34"/>
    <w:rsid w:val="00B42778"/>
    <w:rsid w:val="00B434D7"/>
    <w:rsid w:val="00B438E9"/>
    <w:rsid w:val="00B43AB5"/>
    <w:rsid w:val="00B45BEF"/>
    <w:rsid w:val="00B47058"/>
    <w:rsid w:val="00B5068E"/>
    <w:rsid w:val="00B506A8"/>
    <w:rsid w:val="00B50FB6"/>
    <w:rsid w:val="00B51024"/>
    <w:rsid w:val="00B51FCC"/>
    <w:rsid w:val="00B524A9"/>
    <w:rsid w:val="00B555E9"/>
    <w:rsid w:val="00B603E4"/>
    <w:rsid w:val="00B60D4E"/>
    <w:rsid w:val="00B62988"/>
    <w:rsid w:val="00B62A55"/>
    <w:rsid w:val="00B63B97"/>
    <w:rsid w:val="00B65237"/>
    <w:rsid w:val="00B666CD"/>
    <w:rsid w:val="00B669B1"/>
    <w:rsid w:val="00B67894"/>
    <w:rsid w:val="00B713C0"/>
    <w:rsid w:val="00B72371"/>
    <w:rsid w:val="00B737EF"/>
    <w:rsid w:val="00B73E5B"/>
    <w:rsid w:val="00B744E7"/>
    <w:rsid w:val="00B74666"/>
    <w:rsid w:val="00B74D25"/>
    <w:rsid w:val="00B7519D"/>
    <w:rsid w:val="00B762CC"/>
    <w:rsid w:val="00B77C81"/>
    <w:rsid w:val="00B77EC5"/>
    <w:rsid w:val="00B80126"/>
    <w:rsid w:val="00B80F76"/>
    <w:rsid w:val="00B818B8"/>
    <w:rsid w:val="00B81A2E"/>
    <w:rsid w:val="00B83587"/>
    <w:rsid w:val="00B8407F"/>
    <w:rsid w:val="00B84294"/>
    <w:rsid w:val="00B8491D"/>
    <w:rsid w:val="00B85B34"/>
    <w:rsid w:val="00B8742C"/>
    <w:rsid w:val="00B87A65"/>
    <w:rsid w:val="00B90437"/>
    <w:rsid w:val="00B92284"/>
    <w:rsid w:val="00B9379D"/>
    <w:rsid w:val="00B93F50"/>
    <w:rsid w:val="00B9424F"/>
    <w:rsid w:val="00B9504D"/>
    <w:rsid w:val="00B952BE"/>
    <w:rsid w:val="00B957FA"/>
    <w:rsid w:val="00B95BD0"/>
    <w:rsid w:val="00B9602F"/>
    <w:rsid w:val="00B97B87"/>
    <w:rsid w:val="00BA1A18"/>
    <w:rsid w:val="00BA45E6"/>
    <w:rsid w:val="00BA5E6F"/>
    <w:rsid w:val="00BA685C"/>
    <w:rsid w:val="00BB0D04"/>
    <w:rsid w:val="00BB22C8"/>
    <w:rsid w:val="00BB2554"/>
    <w:rsid w:val="00BB29FA"/>
    <w:rsid w:val="00BB2B15"/>
    <w:rsid w:val="00BB3410"/>
    <w:rsid w:val="00BB3D43"/>
    <w:rsid w:val="00BB432F"/>
    <w:rsid w:val="00BB49A7"/>
    <w:rsid w:val="00BB49C0"/>
    <w:rsid w:val="00BB6F4C"/>
    <w:rsid w:val="00BB6FB5"/>
    <w:rsid w:val="00BB753F"/>
    <w:rsid w:val="00BB7DA0"/>
    <w:rsid w:val="00BB7FF2"/>
    <w:rsid w:val="00BC0B1A"/>
    <w:rsid w:val="00BC1522"/>
    <w:rsid w:val="00BC15F2"/>
    <w:rsid w:val="00BC19D9"/>
    <w:rsid w:val="00BC1BF0"/>
    <w:rsid w:val="00BC2D57"/>
    <w:rsid w:val="00BC3541"/>
    <w:rsid w:val="00BC3693"/>
    <w:rsid w:val="00BC386A"/>
    <w:rsid w:val="00BC3B95"/>
    <w:rsid w:val="00BC3DD2"/>
    <w:rsid w:val="00BC4CD6"/>
    <w:rsid w:val="00BD0079"/>
    <w:rsid w:val="00BD0AAE"/>
    <w:rsid w:val="00BD12E4"/>
    <w:rsid w:val="00BD2488"/>
    <w:rsid w:val="00BD31A8"/>
    <w:rsid w:val="00BD3B1D"/>
    <w:rsid w:val="00BD456D"/>
    <w:rsid w:val="00BD4A3B"/>
    <w:rsid w:val="00BD63A9"/>
    <w:rsid w:val="00BD6B16"/>
    <w:rsid w:val="00BE12E1"/>
    <w:rsid w:val="00BE1B26"/>
    <w:rsid w:val="00BE1B39"/>
    <w:rsid w:val="00BE1F44"/>
    <w:rsid w:val="00BE221D"/>
    <w:rsid w:val="00BE31D9"/>
    <w:rsid w:val="00BE3D6F"/>
    <w:rsid w:val="00BE4548"/>
    <w:rsid w:val="00BE53BF"/>
    <w:rsid w:val="00BE5E35"/>
    <w:rsid w:val="00BE63D7"/>
    <w:rsid w:val="00BE6CFD"/>
    <w:rsid w:val="00BF0CAD"/>
    <w:rsid w:val="00BF2700"/>
    <w:rsid w:val="00BF2A34"/>
    <w:rsid w:val="00BF2DF6"/>
    <w:rsid w:val="00BF5699"/>
    <w:rsid w:val="00BF5E9F"/>
    <w:rsid w:val="00BF6721"/>
    <w:rsid w:val="00C02852"/>
    <w:rsid w:val="00C02D9A"/>
    <w:rsid w:val="00C033E9"/>
    <w:rsid w:val="00C0389F"/>
    <w:rsid w:val="00C04326"/>
    <w:rsid w:val="00C046AD"/>
    <w:rsid w:val="00C048F5"/>
    <w:rsid w:val="00C04A8F"/>
    <w:rsid w:val="00C04BC9"/>
    <w:rsid w:val="00C054E3"/>
    <w:rsid w:val="00C066B7"/>
    <w:rsid w:val="00C07565"/>
    <w:rsid w:val="00C07AAE"/>
    <w:rsid w:val="00C07D74"/>
    <w:rsid w:val="00C07EDE"/>
    <w:rsid w:val="00C07F58"/>
    <w:rsid w:val="00C1059A"/>
    <w:rsid w:val="00C10E2B"/>
    <w:rsid w:val="00C11ED5"/>
    <w:rsid w:val="00C13120"/>
    <w:rsid w:val="00C13702"/>
    <w:rsid w:val="00C13762"/>
    <w:rsid w:val="00C13B84"/>
    <w:rsid w:val="00C14B7B"/>
    <w:rsid w:val="00C14D9D"/>
    <w:rsid w:val="00C1628D"/>
    <w:rsid w:val="00C20372"/>
    <w:rsid w:val="00C21E4B"/>
    <w:rsid w:val="00C2356F"/>
    <w:rsid w:val="00C23652"/>
    <w:rsid w:val="00C23997"/>
    <w:rsid w:val="00C24C6C"/>
    <w:rsid w:val="00C25A7A"/>
    <w:rsid w:val="00C2672E"/>
    <w:rsid w:val="00C27150"/>
    <w:rsid w:val="00C300BB"/>
    <w:rsid w:val="00C30469"/>
    <w:rsid w:val="00C3183C"/>
    <w:rsid w:val="00C32359"/>
    <w:rsid w:val="00C32ACA"/>
    <w:rsid w:val="00C32D5B"/>
    <w:rsid w:val="00C33E98"/>
    <w:rsid w:val="00C33F75"/>
    <w:rsid w:val="00C347F1"/>
    <w:rsid w:val="00C34842"/>
    <w:rsid w:val="00C36443"/>
    <w:rsid w:val="00C36932"/>
    <w:rsid w:val="00C36AEE"/>
    <w:rsid w:val="00C36E61"/>
    <w:rsid w:val="00C375CA"/>
    <w:rsid w:val="00C37E72"/>
    <w:rsid w:val="00C40A16"/>
    <w:rsid w:val="00C4298A"/>
    <w:rsid w:val="00C42F7B"/>
    <w:rsid w:val="00C441E0"/>
    <w:rsid w:val="00C44A9E"/>
    <w:rsid w:val="00C44E78"/>
    <w:rsid w:val="00C456F3"/>
    <w:rsid w:val="00C457F1"/>
    <w:rsid w:val="00C45979"/>
    <w:rsid w:val="00C4602D"/>
    <w:rsid w:val="00C47249"/>
    <w:rsid w:val="00C5132D"/>
    <w:rsid w:val="00C51D4B"/>
    <w:rsid w:val="00C52C16"/>
    <w:rsid w:val="00C531AB"/>
    <w:rsid w:val="00C538F7"/>
    <w:rsid w:val="00C541C4"/>
    <w:rsid w:val="00C54E17"/>
    <w:rsid w:val="00C54F77"/>
    <w:rsid w:val="00C54FDB"/>
    <w:rsid w:val="00C557F2"/>
    <w:rsid w:val="00C56404"/>
    <w:rsid w:val="00C573BC"/>
    <w:rsid w:val="00C57AA9"/>
    <w:rsid w:val="00C60DDA"/>
    <w:rsid w:val="00C6228D"/>
    <w:rsid w:val="00C63846"/>
    <w:rsid w:val="00C67D9C"/>
    <w:rsid w:val="00C706D7"/>
    <w:rsid w:val="00C723AC"/>
    <w:rsid w:val="00C72590"/>
    <w:rsid w:val="00C7268E"/>
    <w:rsid w:val="00C72CCD"/>
    <w:rsid w:val="00C733F7"/>
    <w:rsid w:val="00C73C00"/>
    <w:rsid w:val="00C74378"/>
    <w:rsid w:val="00C754FD"/>
    <w:rsid w:val="00C76FDB"/>
    <w:rsid w:val="00C80081"/>
    <w:rsid w:val="00C80E50"/>
    <w:rsid w:val="00C81909"/>
    <w:rsid w:val="00C81982"/>
    <w:rsid w:val="00C81E8A"/>
    <w:rsid w:val="00C82203"/>
    <w:rsid w:val="00C83ECD"/>
    <w:rsid w:val="00C8408B"/>
    <w:rsid w:val="00C85287"/>
    <w:rsid w:val="00C86ABE"/>
    <w:rsid w:val="00C86AC0"/>
    <w:rsid w:val="00C8720B"/>
    <w:rsid w:val="00C87C08"/>
    <w:rsid w:val="00C87E71"/>
    <w:rsid w:val="00C91270"/>
    <w:rsid w:val="00C9141A"/>
    <w:rsid w:val="00C916DE"/>
    <w:rsid w:val="00C93634"/>
    <w:rsid w:val="00C943C6"/>
    <w:rsid w:val="00C94D70"/>
    <w:rsid w:val="00C9517E"/>
    <w:rsid w:val="00C96032"/>
    <w:rsid w:val="00C96BDE"/>
    <w:rsid w:val="00CA20AB"/>
    <w:rsid w:val="00CA27B9"/>
    <w:rsid w:val="00CA32FE"/>
    <w:rsid w:val="00CA3977"/>
    <w:rsid w:val="00CA4137"/>
    <w:rsid w:val="00CA5AE4"/>
    <w:rsid w:val="00CA6D14"/>
    <w:rsid w:val="00CA7D74"/>
    <w:rsid w:val="00CB02A1"/>
    <w:rsid w:val="00CB038B"/>
    <w:rsid w:val="00CB08F1"/>
    <w:rsid w:val="00CB1227"/>
    <w:rsid w:val="00CB1797"/>
    <w:rsid w:val="00CB26AA"/>
    <w:rsid w:val="00CB4B04"/>
    <w:rsid w:val="00CB6119"/>
    <w:rsid w:val="00CB6AD7"/>
    <w:rsid w:val="00CB7612"/>
    <w:rsid w:val="00CC03C4"/>
    <w:rsid w:val="00CC0BED"/>
    <w:rsid w:val="00CC2643"/>
    <w:rsid w:val="00CC338D"/>
    <w:rsid w:val="00CC3C26"/>
    <w:rsid w:val="00CC3CEF"/>
    <w:rsid w:val="00CC43C3"/>
    <w:rsid w:val="00CC43C5"/>
    <w:rsid w:val="00CC43CD"/>
    <w:rsid w:val="00CC4618"/>
    <w:rsid w:val="00CC48FF"/>
    <w:rsid w:val="00CC6557"/>
    <w:rsid w:val="00CD0ABA"/>
    <w:rsid w:val="00CD1614"/>
    <w:rsid w:val="00CD1836"/>
    <w:rsid w:val="00CD275E"/>
    <w:rsid w:val="00CD2EF7"/>
    <w:rsid w:val="00CD38AB"/>
    <w:rsid w:val="00CD4100"/>
    <w:rsid w:val="00CD4338"/>
    <w:rsid w:val="00CD4809"/>
    <w:rsid w:val="00CD4EA0"/>
    <w:rsid w:val="00CD5A92"/>
    <w:rsid w:val="00CE0942"/>
    <w:rsid w:val="00CE1EF9"/>
    <w:rsid w:val="00CE2CB1"/>
    <w:rsid w:val="00CE2D1E"/>
    <w:rsid w:val="00CE3ACF"/>
    <w:rsid w:val="00CE4292"/>
    <w:rsid w:val="00CE4DEB"/>
    <w:rsid w:val="00CE4F47"/>
    <w:rsid w:val="00CE5752"/>
    <w:rsid w:val="00CE597C"/>
    <w:rsid w:val="00CE6F2D"/>
    <w:rsid w:val="00CF23B4"/>
    <w:rsid w:val="00CF242E"/>
    <w:rsid w:val="00CF24E5"/>
    <w:rsid w:val="00CF30A1"/>
    <w:rsid w:val="00CF413A"/>
    <w:rsid w:val="00CF4631"/>
    <w:rsid w:val="00CF5A3C"/>
    <w:rsid w:val="00CF5E32"/>
    <w:rsid w:val="00CF5EFF"/>
    <w:rsid w:val="00CF5FCE"/>
    <w:rsid w:val="00CF6749"/>
    <w:rsid w:val="00D00106"/>
    <w:rsid w:val="00D00D33"/>
    <w:rsid w:val="00D01A8F"/>
    <w:rsid w:val="00D027B8"/>
    <w:rsid w:val="00D04072"/>
    <w:rsid w:val="00D043F3"/>
    <w:rsid w:val="00D071D3"/>
    <w:rsid w:val="00D10B82"/>
    <w:rsid w:val="00D12D20"/>
    <w:rsid w:val="00D14A68"/>
    <w:rsid w:val="00D15525"/>
    <w:rsid w:val="00D1606B"/>
    <w:rsid w:val="00D163B0"/>
    <w:rsid w:val="00D170AF"/>
    <w:rsid w:val="00D17A73"/>
    <w:rsid w:val="00D17BB9"/>
    <w:rsid w:val="00D20DBF"/>
    <w:rsid w:val="00D210DB"/>
    <w:rsid w:val="00D225E2"/>
    <w:rsid w:val="00D234AD"/>
    <w:rsid w:val="00D2429D"/>
    <w:rsid w:val="00D24AC0"/>
    <w:rsid w:val="00D25DF2"/>
    <w:rsid w:val="00D25E8F"/>
    <w:rsid w:val="00D26124"/>
    <w:rsid w:val="00D26A27"/>
    <w:rsid w:val="00D26B00"/>
    <w:rsid w:val="00D27D61"/>
    <w:rsid w:val="00D3084F"/>
    <w:rsid w:val="00D31D34"/>
    <w:rsid w:val="00D31DCE"/>
    <w:rsid w:val="00D33817"/>
    <w:rsid w:val="00D34C4B"/>
    <w:rsid w:val="00D36464"/>
    <w:rsid w:val="00D3686A"/>
    <w:rsid w:val="00D3701E"/>
    <w:rsid w:val="00D37D03"/>
    <w:rsid w:val="00D37D3F"/>
    <w:rsid w:val="00D414EB"/>
    <w:rsid w:val="00D4260C"/>
    <w:rsid w:val="00D43278"/>
    <w:rsid w:val="00D432B7"/>
    <w:rsid w:val="00D437E5"/>
    <w:rsid w:val="00D4483E"/>
    <w:rsid w:val="00D456A4"/>
    <w:rsid w:val="00D4591C"/>
    <w:rsid w:val="00D45BD8"/>
    <w:rsid w:val="00D45C8A"/>
    <w:rsid w:val="00D4673A"/>
    <w:rsid w:val="00D4728E"/>
    <w:rsid w:val="00D47C16"/>
    <w:rsid w:val="00D47C2B"/>
    <w:rsid w:val="00D47CB3"/>
    <w:rsid w:val="00D50C3C"/>
    <w:rsid w:val="00D51094"/>
    <w:rsid w:val="00D51356"/>
    <w:rsid w:val="00D517F0"/>
    <w:rsid w:val="00D5260D"/>
    <w:rsid w:val="00D54334"/>
    <w:rsid w:val="00D544EC"/>
    <w:rsid w:val="00D55926"/>
    <w:rsid w:val="00D55EB1"/>
    <w:rsid w:val="00D57716"/>
    <w:rsid w:val="00D61EDC"/>
    <w:rsid w:val="00D6400E"/>
    <w:rsid w:val="00D64254"/>
    <w:rsid w:val="00D70D47"/>
    <w:rsid w:val="00D71FF5"/>
    <w:rsid w:val="00D73509"/>
    <w:rsid w:val="00D73DBE"/>
    <w:rsid w:val="00D73E09"/>
    <w:rsid w:val="00D74290"/>
    <w:rsid w:val="00D76DB3"/>
    <w:rsid w:val="00D775F6"/>
    <w:rsid w:val="00D77C8D"/>
    <w:rsid w:val="00D82CCC"/>
    <w:rsid w:val="00D83BC3"/>
    <w:rsid w:val="00D85438"/>
    <w:rsid w:val="00D86B87"/>
    <w:rsid w:val="00D871E0"/>
    <w:rsid w:val="00D87764"/>
    <w:rsid w:val="00D90653"/>
    <w:rsid w:val="00D92ED6"/>
    <w:rsid w:val="00D9464A"/>
    <w:rsid w:val="00D94F6B"/>
    <w:rsid w:val="00D9599C"/>
    <w:rsid w:val="00D95C5A"/>
    <w:rsid w:val="00D966B2"/>
    <w:rsid w:val="00DA27C5"/>
    <w:rsid w:val="00DA4019"/>
    <w:rsid w:val="00DA4E0C"/>
    <w:rsid w:val="00DA53F8"/>
    <w:rsid w:val="00DA7843"/>
    <w:rsid w:val="00DA7E80"/>
    <w:rsid w:val="00DA7FDF"/>
    <w:rsid w:val="00DB094C"/>
    <w:rsid w:val="00DB0E66"/>
    <w:rsid w:val="00DB13CB"/>
    <w:rsid w:val="00DB523F"/>
    <w:rsid w:val="00DB52E0"/>
    <w:rsid w:val="00DB5E95"/>
    <w:rsid w:val="00DB6062"/>
    <w:rsid w:val="00DB66D7"/>
    <w:rsid w:val="00DB7775"/>
    <w:rsid w:val="00DB799B"/>
    <w:rsid w:val="00DC1889"/>
    <w:rsid w:val="00DC1EEC"/>
    <w:rsid w:val="00DC2D99"/>
    <w:rsid w:val="00DC57CD"/>
    <w:rsid w:val="00DC6593"/>
    <w:rsid w:val="00DD144C"/>
    <w:rsid w:val="00DD2682"/>
    <w:rsid w:val="00DD35B0"/>
    <w:rsid w:val="00DD4E7A"/>
    <w:rsid w:val="00DD6533"/>
    <w:rsid w:val="00DD718B"/>
    <w:rsid w:val="00DE0648"/>
    <w:rsid w:val="00DE15D8"/>
    <w:rsid w:val="00DE26D9"/>
    <w:rsid w:val="00DE3DF8"/>
    <w:rsid w:val="00DE4785"/>
    <w:rsid w:val="00DE4E0C"/>
    <w:rsid w:val="00DE50FF"/>
    <w:rsid w:val="00DE5F63"/>
    <w:rsid w:val="00DE60DC"/>
    <w:rsid w:val="00DE68CB"/>
    <w:rsid w:val="00DE7D97"/>
    <w:rsid w:val="00DF0955"/>
    <w:rsid w:val="00DF21A5"/>
    <w:rsid w:val="00DF3AA1"/>
    <w:rsid w:val="00DF45F8"/>
    <w:rsid w:val="00DF4973"/>
    <w:rsid w:val="00DF6030"/>
    <w:rsid w:val="00DF7E5D"/>
    <w:rsid w:val="00E00589"/>
    <w:rsid w:val="00E00B3A"/>
    <w:rsid w:val="00E0220E"/>
    <w:rsid w:val="00E02615"/>
    <w:rsid w:val="00E02D53"/>
    <w:rsid w:val="00E034D9"/>
    <w:rsid w:val="00E03FC8"/>
    <w:rsid w:val="00E0409A"/>
    <w:rsid w:val="00E04947"/>
    <w:rsid w:val="00E076DF"/>
    <w:rsid w:val="00E10927"/>
    <w:rsid w:val="00E128B1"/>
    <w:rsid w:val="00E13AD3"/>
    <w:rsid w:val="00E14467"/>
    <w:rsid w:val="00E14BF3"/>
    <w:rsid w:val="00E16410"/>
    <w:rsid w:val="00E205A3"/>
    <w:rsid w:val="00E2335B"/>
    <w:rsid w:val="00E2389F"/>
    <w:rsid w:val="00E238FF"/>
    <w:rsid w:val="00E23AE8"/>
    <w:rsid w:val="00E25157"/>
    <w:rsid w:val="00E25603"/>
    <w:rsid w:val="00E25E27"/>
    <w:rsid w:val="00E26C4F"/>
    <w:rsid w:val="00E27F78"/>
    <w:rsid w:val="00E30F8E"/>
    <w:rsid w:val="00E3122D"/>
    <w:rsid w:val="00E3138E"/>
    <w:rsid w:val="00E32416"/>
    <w:rsid w:val="00E33FC1"/>
    <w:rsid w:val="00E3518D"/>
    <w:rsid w:val="00E35BF8"/>
    <w:rsid w:val="00E37A2B"/>
    <w:rsid w:val="00E37EBE"/>
    <w:rsid w:val="00E40D81"/>
    <w:rsid w:val="00E42EA6"/>
    <w:rsid w:val="00E439D8"/>
    <w:rsid w:val="00E4578A"/>
    <w:rsid w:val="00E45AA2"/>
    <w:rsid w:val="00E463E4"/>
    <w:rsid w:val="00E46C5C"/>
    <w:rsid w:val="00E47562"/>
    <w:rsid w:val="00E477A9"/>
    <w:rsid w:val="00E50CD6"/>
    <w:rsid w:val="00E5311D"/>
    <w:rsid w:val="00E54B97"/>
    <w:rsid w:val="00E55F68"/>
    <w:rsid w:val="00E57E79"/>
    <w:rsid w:val="00E604E8"/>
    <w:rsid w:val="00E61DD0"/>
    <w:rsid w:val="00E62103"/>
    <w:rsid w:val="00E63258"/>
    <w:rsid w:val="00E63B7C"/>
    <w:rsid w:val="00E64357"/>
    <w:rsid w:val="00E64935"/>
    <w:rsid w:val="00E64DEF"/>
    <w:rsid w:val="00E64F9E"/>
    <w:rsid w:val="00E65B33"/>
    <w:rsid w:val="00E663AF"/>
    <w:rsid w:val="00E6714A"/>
    <w:rsid w:val="00E671A5"/>
    <w:rsid w:val="00E67AA0"/>
    <w:rsid w:val="00E70167"/>
    <w:rsid w:val="00E705EC"/>
    <w:rsid w:val="00E71E8B"/>
    <w:rsid w:val="00E72DB0"/>
    <w:rsid w:val="00E73765"/>
    <w:rsid w:val="00E739B7"/>
    <w:rsid w:val="00E73E81"/>
    <w:rsid w:val="00E74511"/>
    <w:rsid w:val="00E75438"/>
    <w:rsid w:val="00E75DBD"/>
    <w:rsid w:val="00E777B0"/>
    <w:rsid w:val="00E77E40"/>
    <w:rsid w:val="00E815E1"/>
    <w:rsid w:val="00E81AB6"/>
    <w:rsid w:val="00E833F8"/>
    <w:rsid w:val="00E83D5C"/>
    <w:rsid w:val="00E843EB"/>
    <w:rsid w:val="00E85622"/>
    <w:rsid w:val="00E86D6D"/>
    <w:rsid w:val="00E87F99"/>
    <w:rsid w:val="00E87FCD"/>
    <w:rsid w:val="00E91C6A"/>
    <w:rsid w:val="00E941B2"/>
    <w:rsid w:val="00E94E34"/>
    <w:rsid w:val="00E957A4"/>
    <w:rsid w:val="00E97093"/>
    <w:rsid w:val="00EA0CF2"/>
    <w:rsid w:val="00EA0D20"/>
    <w:rsid w:val="00EA30A4"/>
    <w:rsid w:val="00EA3AE4"/>
    <w:rsid w:val="00EA3FBC"/>
    <w:rsid w:val="00EA4428"/>
    <w:rsid w:val="00EA4A33"/>
    <w:rsid w:val="00EA58E6"/>
    <w:rsid w:val="00EA5D83"/>
    <w:rsid w:val="00EA6184"/>
    <w:rsid w:val="00EA6BDC"/>
    <w:rsid w:val="00EB01B9"/>
    <w:rsid w:val="00EB0819"/>
    <w:rsid w:val="00EB0863"/>
    <w:rsid w:val="00EB0C83"/>
    <w:rsid w:val="00EB150D"/>
    <w:rsid w:val="00EB1912"/>
    <w:rsid w:val="00EB1C08"/>
    <w:rsid w:val="00EB2A3A"/>
    <w:rsid w:val="00EB2C1B"/>
    <w:rsid w:val="00EB2F3D"/>
    <w:rsid w:val="00EB34A6"/>
    <w:rsid w:val="00EB4C2F"/>
    <w:rsid w:val="00EB7542"/>
    <w:rsid w:val="00EC04E3"/>
    <w:rsid w:val="00EC0D68"/>
    <w:rsid w:val="00EC1141"/>
    <w:rsid w:val="00EC11F9"/>
    <w:rsid w:val="00EC122D"/>
    <w:rsid w:val="00EC1979"/>
    <w:rsid w:val="00EC230D"/>
    <w:rsid w:val="00EC3751"/>
    <w:rsid w:val="00EC6598"/>
    <w:rsid w:val="00EC67F8"/>
    <w:rsid w:val="00EC6B27"/>
    <w:rsid w:val="00EC700B"/>
    <w:rsid w:val="00EC7AEE"/>
    <w:rsid w:val="00ED0082"/>
    <w:rsid w:val="00ED009F"/>
    <w:rsid w:val="00ED07E7"/>
    <w:rsid w:val="00ED1489"/>
    <w:rsid w:val="00ED1842"/>
    <w:rsid w:val="00ED1C59"/>
    <w:rsid w:val="00ED1E44"/>
    <w:rsid w:val="00ED2C2E"/>
    <w:rsid w:val="00ED31BD"/>
    <w:rsid w:val="00ED3C90"/>
    <w:rsid w:val="00ED4385"/>
    <w:rsid w:val="00ED44A3"/>
    <w:rsid w:val="00ED57A4"/>
    <w:rsid w:val="00ED6496"/>
    <w:rsid w:val="00ED67C7"/>
    <w:rsid w:val="00ED771D"/>
    <w:rsid w:val="00EE038B"/>
    <w:rsid w:val="00EE1139"/>
    <w:rsid w:val="00EE2072"/>
    <w:rsid w:val="00EE2403"/>
    <w:rsid w:val="00EE2B2F"/>
    <w:rsid w:val="00EE3594"/>
    <w:rsid w:val="00EE5AC9"/>
    <w:rsid w:val="00EE68B7"/>
    <w:rsid w:val="00EE6D48"/>
    <w:rsid w:val="00EE7609"/>
    <w:rsid w:val="00EE782C"/>
    <w:rsid w:val="00EF2E9D"/>
    <w:rsid w:val="00EF3B34"/>
    <w:rsid w:val="00EF6B80"/>
    <w:rsid w:val="00EF71E8"/>
    <w:rsid w:val="00EF7A31"/>
    <w:rsid w:val="00EF7B2E"/>
    <w:rsid w:val="00F0015C"/>
    <w:rsid w:val="00F00736"/>
    <w:rsid w:val="00F02003"/>
    <w:rsid w:val="00F0705E"/>
    <w:rsid w:val="00F071BE"/>
    <w:rsid w:val="00F07A27"/>
    <w:rsid w:val="00F105FD"/>
    <w:rsid w:val="00F10CF0"/>
    <w:rsid w:val="00F11AD1"/>
    <w:rsid w:val="00F12781"/>
    <w:rsid w:val="00F13918"/>
    <w:rsid w:val="00F15CFE"/>
    <w:rsid w:val="00F171C6"/>
    <w:rsid w:val="00F1773A"/>
    <w:rsid w:val="00F17AD6"/>
    <w:rsid w:val="00F17E88"/>
    <w:rsid w:val="00F17F8C"/>
    <w:rsid w:val="00F205C8"/>
    <w:rsid w:val="00F215A5"/>
    <w:rsid w:val="00F229AC"/>
    <w:rsid w:val="00F252CD"/>
    <w:rsid w:val="00F2554C"/>
    <w:rsid w:val="00F27BD2"/>
    <w:rsid w:val="00F3030A"/>
    <w:rsid w:val="00F31C0B"/>
    <w:rsid w:val="00F31DEE"/>
    <w:rsid w:val="00F32BF6"/>
    <w:rsid w:val="00F3311E"/>
    <w:rsid w:val="00F33388"/>
    <w:rsid w:val="00F33E4D"/>
    <w:rsid w:val="00F34178"/>
    <w:rsid w:val="00F34A5B"/>
    <w:rsid w:val="00F34BCA"/>
    <w:rsid w:val="00F36723"/>
    <w:rsid w:val="00F36764"/>
    <w:rsid w:val="00F36ECE"/>
    <w:rsid w:val="00F37D13"/>
    <w:rsid w:val="00F405E9"/>
    <w:rsid w:val="00F43533"/>
    <w:rsid w:val="00F43699"/>
    <w:rsid w:val="00F43A5C"/>
    <w:rsid w:val="00F440BC"/>
    <w:rsid w:val="00F44C53"/>
    <w:rsid w:val="00F457B3"/>
    <w:rsid w:val="00F462DB"/>
    <w:rsid w:val="00F465FF"/>
    <w:rsid w:val="00F4690A"/>
    <w:rsid w:val="00F47EAC"/>
    <w:rsid w:val="00F5019F"/>
    <w:rsid w:val="00F50C29"/>
    <w:rsid w:val="00F51F05"/>
    <w:rsid w:val="00F51FFD"/>
    <w:rsid w:val="00F520D9"/>
    <w:rsid w:val="00F532D6"/>
    <w:rsid w:val="00F56114"/>
    <w:rsid w:val="00F573CC"/>
    <w:rsid w:val="00F57EAD"/>
    <w:rsid w:val="00F601B4"/>
    <w:rsid w:val="00F61F73"/>
    <w:rsid w:val="00F62C65"/>
    <w:rsid w:val="00F63290"/>
    <w:rsid w:val="00F6380F"/>
    <w:rsid w:val="00F63881"/>
    <w:rsid w:val="00F652A6"/>
    <w:rsid w:val="00F66728"/>
    <w:rsid w:val="00F67649"/>
    <w:rsid w:val="00F67C9A"/>
    <w:rsid w:val="00F7072E"/>
    <w:rsid w:val="00F719A2"/>
    <w:rsid w:val="00F71C27"/>
    <w:rsid w:val="00F722ED"/>
    <w:rsid w:val="00F7283C"/>
    <w:rsid w:val="00F7382B"/>
    <w:rsid w:val="00F741CB"/>
    <w:rsid w:val="00F74A64"/>
    <w:rsid w:val="00F74FF8"/>
    <w:rsid w:val="00F764FC"/>
    <w:rsid w:val="00F76675"/>
    <w:rsid w:val="00F7776D"/>
    <w:rsid w:val="00F80AEC"/>
    <w:rsid w:val="00F81C4C"/>
    <w:rsid w:val="00F823FF"/>
    <w:rsid w:val="00F8267A"/>
    <w:rsid w:val="00F84AF9"/>
    <w:rsid w:val="00F85BB1"/>
    <w:rsid w:val="00F8697C"/>
    <w:rsid w:val="00F904F9"/>
    <w:rsid w:val="00F90ACE"/>
    <w:rsid w:val="00F9157A"/>
    <w:rsid w:val="00F916E8"/>
    <w:rsid w:val="00F91707"/>
    <w:rsid w:val="00F919C9"/>
    <w:rsid w:val="00F91C8E"/>
    <w:rsid w:val="00F91EF0"/>
    <w:rsid w:val="00F92596"/>
    <w:rsid w:val="00F92C62"/>
    <w:rsid w:val="00F95973"/>
    <w:rsid w:val="00FA0247"/>
    <w:rsid w:val="00FA0F0D"/>
    <w:rsid w:val="00FA19CB"/>
    <w:rsid w:val="00FA1E65"/>
    <w:rsid w:val="00FA1FE9"/>
    <w:rsid w:val="00FA243A"/>
    <w:rsid w:val="00FA247C"/>
    <w:rsid w:val="00FA49B5"/>
    <w:rsid w:val="00FA4C93"/>
    <w:rsid w:val="00FA5FC1"/>
    <w:rsid w:val="00FA7931"/>
    <w:rsid w:val="00FB012C"/>
    <w:rsid w:val="00FB17D1"/>
    <w:rsid w:val="00FB2200"/>
    <w:rsid w:val="00FB27C1"/>
    <w:rsid w:val="00FB37E2"/>
    <w:rsid w:val="00FB38ED"/>
    <w:rsid w:val="00FB6E02"/>
    <w:rsid w:val="00FB72D9"/>
    <w:rsid w:val="00FB7E9F"/>
    <w:rsid w:val="00FC02BD"/>
    <w:rsid w:val="00FC0C15"/>
    <w:rsid w:val="00FC0F42"/>
    <w:rsid w:val="00FC2365"/>
    <w:rsid w:val="00FC4CC6"/>
    <w:rsid w:val="00FC4FBB"/>
    <w:rsid w:val="00FC53C7"/>
    <w:rsid w:val="00FC601F"/>
    <w:rsid w:val="00FC6545"/>
    <w:rsid w:val="00FC7E37"/>
    <w:rsid w:val="00FD0324"/>
    <w:rsid w:val="00FD043E"/>
    <w:rsid w:val="00FD071A"/>
    <w:rsid w:val="00FD2929"/>
    <w:rsid w:val="00FD37B6"/>
    <w:rsid w:val="00FD3EF8"/>
    <w:rsid w:val="00FD47B3"/>
    <w:rsid w:val="00FD54EB"/>
    <w:rsid w:val="00FD6D60"/>
    <w:rsid w:val="00FD7196"/>
    <w:rsid w:val="00FE0BEA"/>
    <w:rsid w:val="00FE0D6A"/>
    <w:rsid w:val="00FE2C1F"/>
    <w:rsid w:val="00FE45FC"/>
    <w:rsid w:val="00FE4665"/>
    <w:rsid w:val="00FE539F"/>
    <w:rsid w:val="00FE5680"/>
    <w:rsid w:val="00FE590E"/>
    <w:rsid w:val="00FE7D84"/>
    <w:rsid w:val="00FF04B1"/>
    <w:rsid w:val="00FF0CC3"/>
    <w:rsid w:val="00FF0DE8"/>
    <w:rsid w:val="00FF11A9"/>
    <w:rsid w:val="00FF165F"/>
    <w:rsid w:val="00FF16DB"/>
    <w:rsid w:val="00FF3639"/>
    <w:rsid w:val="00FF3DDF"/>
    <w:rsid w:val="00FF509C"/>
    <w:rsid w:val="00FF5265"/>
    <w:rsid w:val="00FF55F1"/>
    <w:rsid w:val="00FF69A7"/>
    <w:rsid w:val="012FA69F"/>
    <w:rsid w:val="01AFBD83"/>
    <w:rsid w:val="01DBE774"/>
    <w:rsid w:val="01EE46BA"/>
    <w:rsid w:val="01EF6AF3"/>
    <w:rsid w:val="02369EEC"/>
    <w:rsid w:val="0248A40C"/>
    <w:rsid w:val="025EBAC4"/>
    <w:rsid w:val="02A37C0E"/>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4A413"/>
    <w:rsid w:val="0A7BADC9"/>
    <w:rsid w:val="0A87B1B4"/>
    <w:rsid w:val="0A9A8022"/>
    <w:rsid w:val="0AA3A86F"/>
    <w:rsid w:val="0AFB87B1"/>
    <w:rsid w:val="0C14FBF0"/>
    <w:rsid w:val="0C550549"/>
    <w:rsid w:val="0C9D8B4A"/>
    <w:rsid w:val="0CAA651B"/>
    <w:rsid w:val="0D05FC5C"/>
    <w:rsid w:val="0D36C0D2"/>
    <w:rsid w:val="0D61F7F1"/>
    <w:rsid w:val="0D9C6C8E"/>
    <w:rsid w:val="0E24BC54"/>
    <w:rsid w:val="0E27C4FB"/>
    <w:rsid w:val="0E379206"/>
    <w:rsid w:val="0E421184"/>
    <w:rsid w:val="0E7B3485"/>
    <w:rsid w:val="0F0BCE31"/>
    <w:rsid w:val="0F24E44C"/>
    <w:rsid w:val="0F26F43C"/>
    <w:rsid w:val="0F43C128"/>
    <w:rsid w:val="0FE6717B"/>
    <w:rsid w:val="101700E3"/>
    <w:rsid w:val="104196CA"/>
    <w:rsid w:val="104361D7"/>
    <w:rsid w:val="105625C4"/>
    <w:rsid w:val="106176CF"/>
    <w:rsid w:val="10B9B17C"/>
    <w:rsid w:val="10BBB88C"/>
    <w:rsid w:val="10CC20C5"/>
    <w:rsid w:val="112D3373"/>
    <w:rsid w:val="11410993"/>
    <w:rsid w:val="11AB4B38"/>
    <w:rsid w:val="123DB6A3"/>
    <w:rsid w:val="129B6C98"/>
    <w:rsid w:val="12BD9676"/>
    <w:rsid w:val="131FD8A5"/>
    <w:rsid w:val="13CB0A04"/>
    <w:rsid w:val="13F72327"/>
    <w:rsid w:val="14579AA4"/>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6A6D6"/>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61C910"/>
    <w:rsid w:val="35871221"/>
    <w:rsid w:val="35FD5EF2"/>
    <w:rsid w:val="366A66C8"/>
    <w:rsid w:val="36AD647E"/>
    <w:rsid w:val="374D12E5"/>
    <w:rsid w:val="37708A51"/>
    <w:rsid w:val="37DBF8F1"/>
    <w:rsid w:val="37F1FC62"/>
    <w:rsid w:val="3810C2BE"/>
    <w:rsid w:val="3817A9E7"/>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CEB1B0A"/>
    <w:rsid w:val="3D15E52A"/>
    <w:rsid w:val="3D7EF944"/>
    <w:rsid w:val="3E102B8C"/>
    <w:rsid w:val="3E256BBE"/>
    <w:rsid w:val="3E2DE675"/>
    <w:rsid w:val="3E65CE30"/>
    <w:rsid w:val="3E9CD3A0"/>
    <w:rsid w:val="3EB7B85F"/>
    <w:rsid w:val="3EE3A51C"/>
    <w:rsid w:val="3EE6D5A6"/>
    <w:rsid w:val="3F2B31E0"/>
    <w:rsid w:val="3F62E1B1"/>
    <w:rsid w:val="3FA31006"/>
    <w:rsid w:val="3FCF2EA8"/>
    <w:rsid w:val="402AD2D5"/>
    <w:rsid w:val="40797F11"/>
    <w:rsid w:val="407CE14E"/>
    <w:rsid w:val="417ABBDB"/>
    <w:rsid w:val="419D6EF2"/>
    <w:rsid w:val="41BFBFA4"/>
    <w:rsid w:val="4261741E"/>
    <w:rsid w:val="433E95CF"/>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9D853C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99D54"/>
    <w:rsid w:val="528A0761"/>
    <w:rsid w:val="52A0F47C"/>
    <w:rsid w:val="52AF4A8D"/>
    <w:rsid w:val="52C9A661"/>
    <w:rsid w:val="52DA71F9"/>
    <w:rsid w:val="534A0648"/>
    <w:rsid w:val="53B8BDE3"/>
    <w:rsid w:val="53BC4006"/>
    <w:rsid w:val="542209E4"/>
    <w:rsid w:val="54C8E03D"/>
    <w:rsid w:val="54EBB54E"/>
    <w:rsid w:val="54EF6163"/>
    <w:rsid w:val="54F09390"/>
    <w:rsid w:val="55C46F90"/>
    <w:rsid w:val="562AFBC0"/>
    <w:rsid w:val="5783DF36"/>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B7521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5EA007"/>
    <w:rsid w:val="64625D75"/>
    <w:rsid w:val="648F9301"/>
    <w:rsid w:val="6497165D"/>
    <w:rsid w:val="64A95F1A"/>
    <w:rsid w:val="64D3BA6C"/>
    <w:rsid w:val="6502FD70"/>
    <w:rsid w:val="652A4E96"/>
    <w:rsid w:val="65EC5484"/>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BF5A58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4D187E1"/>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3DB7E2"/>
    <w:rsid w:val="799DA319"/>
    <w:rsid w:val="79A48D3C"/>
    <w:rsid w:val="79B20E76"/>
    <w:rsid w:val="79C64322"/>
    <w:rsid w:val="79D5BFE7"/>
    <w:rsid w:val="7B85C3CB"/>
    <w:rsid w:val="7BD2E15A"/>
    <w:rsid w:val="7C02D676"/>
    <w:rsid w:val="7C55E10E"/>
    <w:rsid w:val="7C6523A7"/>
    <w:rsid w:val="7D0C0225"/>
    <w:rsid w:val="7D4D62A7"/>
    <w:rsid w:val="7D4DE6BD"/>
    <w:rsid w:val="7D7D5244"/>
    <w:rsid w:val="7D8F09CF"/>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B11452"/>
    <w:pPr>
      <w:keepNext/>
      <w:keepLines/>
      <w:spacing w:before="320" w:after="0" w:line="240" w:lineRule="auto"/>
      <w:outlineLvl w:val="0"/>
    </w:pPr>
    <w:rPr>
      <w:rFonts w:eastAsiaTheme="majorEastAsia" w:cstheme="majorBidi"/>
      <w:b/>
      <w:color w:val="000000" w:themeColor="text1"/>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B11452"/>
    <w:rPr>
      <w:rFonts w:eastAsiaTheme="majorEastAsia" w:cstheme="majorBidi"/>
      <w:b/>
      <w:color w:val="000000" w:themeColor="text1"/>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840B12"/>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Bullet-last">
    <w:name w:val="Bullet-last"/>
    <w:basedOn w:val="Normal"/>
    <w:qFormat/>
    <w:rsid w:val="008D3C8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40" w:lineRule="auto"/>
    </w:pPr>
    <w:rPr>
      <w:rFonts w:ascii="Times New Roman" w:eastAsia="Times New Roman" w:hAnsi="Times New Roman" w:cs="Times New Roman"/>
      <w:sz w:val="24"/>
      <w:szCs w:val="24"/>
    </w:rPr>
  </w:style>
  <w:style w:type="character" w:customStyle="1" w:styleId="scxw174355711">
    <w:name w:val="scxw174355711"/>
    <w:basedOn w:val="DefaultParagraphFont"/>
    <w:rsid w:val="00375075"/>
  </w:style>
  <w:style w:type="character" w:customStyle="1" w:styleId="cf01">
    <w:name w:val="cf01"/>
    <w:basedOn w:val="DefaultParagraphFont"/>
    <w:rsid w:val="00AE0E88"/>
    <w:rPr>
      <w:rFonts w:ascii="Segoe UI" w:hAnsi="Segoe UI" w:cs="Segoe UI" w:hint="default"/>
      <w:sz w:val="18"/>
      <w:szCs w:val="18"/>
    </w:rPr>
  </w:style>
  <w:style w:type="paragraph" w:customStyle="1" w:styleId="pf0">
    <w:name w:val="pf0"/>
    <w:basedOn w:val="Normal"/>
    <w:rsid w:val="00AE0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ListParagraph"/>
    <w:next w:val="Heading1"/>
    <w:link w:val="Style1Char"/>
    <w:qFormat/>
    <w:rsid w:val="00B11452"/>
    <w:pPr>
      <w:numPr>
        <w:numId w:val="2"/>
      </w:numPr>
      <w:pBdr>
        <w:bottom w:val="single" w:sz="4" w:space="1" w:color="auto"/>
      </w:pBdr>
      <w:spacing w:before="240" w:after="0"/>
    </w:pPr>
    <w:rPr>
      <w:rFonts w:cstheme="minorHAnsi"/>
      <w:b/>
      <w:bCs/>
    </w:rPr>
  </w:style>
  <w:style w:type="character" w:customStyle="1" w:styleId="ListParagraphChar">
    <w:name w:val="List Paragraph Char"/>
    <w:basedOn w:val="DefaultParagraphFont"/>
    <w:link w:val="ListParagraph"/>
    <w:uiPriority w:val="34"/>
    <w:rsid w:val="00B11452"/>
  </w:style>
  <w:style w:type="character" w:customStyle="1" w:styleId="Style1Char">
    <w:name w:val="Style1 Char"/>
    <w:basedOn w:val="ListParagraphChar"/>
    <w:link w:val="Style1"/>
    <w:rsid w:val="00B11452"/>
    <w:rPr>
      <w:rFonts w:cstheme="minorHAnsi"/>
      <w:b/>
      <w:bCs/>
    </w:rPr>
  </w:style>
  <w:style w:type="paragraph" w:customStyle="1" w:styleId="Heading1TCTAC">
    <w:name w:val="Heading 1 TCTAC"/>
    <w:basedOn w:val="Style1"/>
    <w:link w:val="Heading1TCTACChar"/>
    <w:qFormat/>
    <w:rsid w:val="00B11452"/>
  </w:style>
  <w:style w:type="character" w:customStyle="1" w:styleId="Heading1TCTACChar">
    <w:name w:val="Heading 1 TCTAC Char"/>
    <w:basedOn w:val="Style1Char"/>
    <w:link w:val="Heading1TCTAC"/>
    <w:rsid w:val="00B11452"/>
    <w:rPr>
      <w:rFonts w:cstheme="minorHAnsi"/>
      <w:b/>
      <w:bCs/>
    </w:rPr>
  </w:style>
  <w:style w:type="paragraph" w:styleId="BodyText">
    <w:name w:val="Body Text"/>
    <w:basedOn w:val="Normal"/>
    <w:link w:val="BodyTextChar"/>
    <w:uiPriority w:val="1"/>
    <w:qFormat/>
    <w:rsid w:val="00AE34D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E34D4"/>
    <w:rPr>
      <w:rFonts w:ascii="Calibri" w:eastAsia="Calibri" w:hAnsi="Calibri" w:cs="Calibri"/>
    </w:rPr>
  </w:style>
  <w:style w:type="character" w:styleId="Mention">
    <w:name w:val="Mention"/>
    <w:basedOn w:val="DefaultParagraphFont"/>
    <w:uiPriority w:val="99"/>
    <w:unhideWhenUsed/>
    <w:rsid w:val="00A815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bill/117th-congress/house-bill/5376/text" TargetMode="External" /><Relationship Id="rId11" Type="http://schemas.openxmlformats.org/officeDocument/2006/relationships/hyperlink" Target="https://www.congress.gov/bill/101st-congress/senate-bill/1630" TargetMode="External" /><Relationship Id="rId12" Type="http://schemas.openxmlformats.org/officeDocument/2006/relationships/hyperlink" Target="https://www.congress.gov/117/plaws/publ103/PLAW-117publ103.pdf" TargetMode="External" /><Relationship Id="rId13" Type="http://schemas.openxmlformats.org/officeDocument/2006/relationships/hyperlink" Target="https://www.whitehouse.gov/briefing-room/presidential-actions/2021/01/20/executive-order-advancing-racial-equity-and-support-for-underserved-communities-through-the-federal-government/" TargetMode="External" /><Relationship Id="rId14" Type="http://schemas.openxmlformats.org/officeDocument/2006/relationships/hyperlink" Target="https://www.whitehouse.gov/briefing-room/presidential-actions/2021/01/27/executive-order-on-tackling-the-climate-crisis-at-home-and-abroad/" TargetMode="External" /><Relationship Id="rId15" Type="http://schemas.openxmlformats.org/officeDocument/2006/relationships/hyperlink" Target="https://www.govinfo.gov/app/details/CFR-2014-title2-vol1/CFR-2014-title2-vol1-part200" TargetMode="External" /><Relationship Id="rId16" Type="http://schemas.openxmlformats.org/officeDocument/2006/relationships/hyperlink" Target="https://www.govinfo.gov/app/details/CFR-2015-title2-vol1/CFR-2015-title2-vol1-part1500" TargetMode="External" /><Relationship Id="rId17" Type="http://schemas.openxmlformats.org/officeDocument/2006/relationships/hyperlink" Target="https://www.congress.gov/bill/111th-congress/house-bill/2142" TargetMode="External" /><Relationship Id="rId18" Type="http://schemas.openxmlformats.org/officeDocument/2006/relationships/hyperlink" Target="https://www.congress.gov/bill/113th-congress/senate-bill/994" TargetMode="External" /><Relationship Id="rId19" Type="http://schemas.openxmlformats.org/officeDocument/2006/relationships/hyperlink" Target="https://www.whitehouse.gov/environmentaljustice/justice40/" TargetMode="External" /><Relationship Id="rId2" Type="http://schemas.openxmlformats.org/officeDocument/2006/relationships/settings" Target="settings.xml" /><Relationship Id="rId20" Type="http://schemas.openxmlformats.org/officeDocument/2006/relationships/hyperlink" Target="https://gcc02.safelinks.protection.outlook.com/?url=https%3A%2F%2Fwww.whitehouse.gov%2Fwp-content%2Fuploads%2F2021%2F07%2FM-21-28.pdf&amp;data=05%7C01%7CIyer.Aarti%40epa.gov%7C3fb9cfe01ff743c8915208db313db37a%7C88b378b367484867acf976aacbeca6a7%7C0%7C0%7C638157913290113913%7CUnknown%7CTWFpbGZsb3d8eyJWIjoiMC4wLjAwMDAiLCJQIjoiV2luMzIiLCJBTiI6Ik1haWwiLCJXVCI6Mn0%3D%7C3000%7C%7C%7C&amp;sdata=2CPBQPm8AajqkQbz755XycItjpc4o5VTj2lP1MR785o%3D&amp;reserved=0" TargetMode="External" /><Relationship Id="rId21" Type="http://schemas.openxmlformats.org/officeDocument/2006/relationships/hyperlink" Target="https://www.congress.gov/bill/115th-congress/house-bill/4174" TargetMode="External" /><Relationship Id="rId22" Type="http://schemas.openxmlformats.org/officeDocument/2006/relationships/hyperlink" Target="https://www.reginfo.gov/public/do/PRAViewICR?ref_nbr=202103-2030-001" TargetMode="External" /><Relationship Id="rId23" Type="http://schemas.openxmlformats.org/officeDocument/2006/relationships/hyperlink" Target="https://www.govinfo.gov/content/pkg/FR-2022-09-06.pdf/2022-19183.pdf" TargetMode="External" /><Relationship Id="rId24" Type="http://schemas.openxmlformats.org/officeDocument/2006/relationships/hyperlink" Target="https://www.congress.gov/115/plaws/publ435/PLAW-115publ435.pdf"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hyperlink" Target="https://www.bls.gov/oes/current/naics4_813400.htm" TargetMode="External" /><Relationship Id="rId28" Type="http://schemas.openxmlformats.org/officeDocument/2006/relationships/hyperlink" Target="https://www.bls.gov/news.release/archives/ecec_09122023.pdf" TargetMode="External" /><Relationship Id="rId29" Type="http://schemas.openxmlformats.org/officeDocument/2006/relationships/hyperlink" Target="https://www.opm.gov/policy-data-oversight/pay-leave/salaries-wages/salary-tables/pdf/2023/DCB_h.pdf" TargetMode="Externa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33"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2024-09-12T12:39:17+00:00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f22cc4e-2e04-4a80-afc7-f33c4ac8c850">
      <UserInfo>
        <DisplayName/>
        <AccountId xsi:nil="true"/>
        <AccountType/>
      </UserInfo>
    </SharedWithUsers>
    <lcf76f155ced4ddcb4097134ff3c332f xmlns="ee434710-e10d-4d3b-be07-074d981ec8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f22cc4e-2e04-4a80-afc7-f33c4ac8c850"/>
    <ds:schemaRef ds:uri="ee434710-e10d-4d3b-be07-074d981ec8e4"/>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A9DED476-DC47-451E-8408-6671EE0E885A}">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90E59C5-B196-4B18-BB8F-76CF49A0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7023</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49</cp:revision>
  <dcterms:created xsi:type="dcterms:W3CDTF">2025-01-03T16:32:00Z</dcterms:created>
  <dcterms:modified xsi:type="dcterms:W3CDTF">2025-01-13T00:44:00Z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