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40C07" w:rsidP="00E739B7" w14:paraId="46692DEB" w14:textId="18E8CE09">
      <w:pPr>
        <w:spacing w:after="0"/>
        <w:jc w:val="center"/>
        <w:rPr>
          <w:sz w:val="32"/>
          <w:szCs w:val="32"/>
        </w:rPr>
      </w:pPr>
      <w:bookmarkStart w:id="0" w:name="_Toc49148152"/>
      <w:r w:rsidRPr="00C40C07">
        <w:rPr>
          <w:sz w:val="32"/>
          <w:szCs w:val="32"/>
        </w:rPr>
        <w:t>U.S. Environmental Protection Agency</w:t>
      </w:r>
    </w:p>
    <w:p w:rsidR="00DE4E0C" w:rsidRPr="00C40C07" w:rsidP="00E739B7" w14:paraId="1A3CA841" w14:textId="4B14E2EE">
      <w:pPr>
        <w:jc w:val="center"/>
        <w:rPr>
          <w:sz w:val="32"/>
          <w:szCs w:val="32"/>
        </w:rPr>
      </w:pPr>
      <w:r w:rsidRPr="00C40C07">
        <w:rPr>
          <w:sz w:val="32"/>
          <w:szCs w:val="32"/>
        </w:rPr>
        <w:t>Information Collection Request</w:t>
      </w:r>
    </w:p>
    <w:p w:rsidR="00EA0D20" w:rsidRPr="00C40C07" w:rsidP="00961C50" w14:paraId="77D1C27C" w14:textId="77777777">
      <w:pPr>
        <w:rPr>
          <w:rFonts w:cstheme="minorHAnsi"/>
          <w:b/>
          <w:bCs/>
        </w:rPr>
      </w:pPr>
    </w:p>
    <w:p w:rsidR="00BB432F" w:rsidRPr="00C40C07" w:rsidP="00961C50" w14:paraId="7B82FD92" w14:textId="3B866D15">
      <w:pPr>
        <w:rPr>
          <w:rFonts w:cstheme="minorHAnsi"/>
        </w:rPr>
      </w:pPr>
      <w:r w:rsidRPr="00C40C07">
        <w:rPr>
          <w:rFonts w:cstheme="minorHAnsi"/>
          <w:b/>
          <w:bCs/>
        </w:rPr>
        <w:t>Title:</w:t>
      </w:r>
      <w:r w:rsidRPr="00C40C07" w:rsidR="001F34A5">
        <w:rPr>
          <w:rFonts w:cstheme="minorHAnsi"/>
        </w:rPr>
        <w:t xml:space="preserve"> </w:t>
      </w:r>
      <w:r w:rsidRPr="00C40C07" w:rsidR="00C40C07">
        <w:rPr>
          <w:rFonts w:cstheme="minorHAnsi"/>
        </w:rPr>
        <w:t>Environmental and Climate Justice Community Change Grants Program: Post-Award Reporting</w:t>
      </w:r>
    </w:p>
    <w:p w:rsidR="00EE2403" w:rsidRPr="00C40C07" w:rsidP="00961C50" w14:paraId="71D5121E" w14:textId="15E1A6C8">
      <w:pPr>
        <w:spacing w:line="240" w:lineRule="auto"/>
        <w:rPr>
          <w:rFonts w:cstheme="minorHAnsi"/>
        </w:rPr>
      </w:pPr>
      <w:r w:rsidRPr="00C40C07">
        <w:rPr>
          <w:rFonts w:cstheme="minorHAnsi"/>
          <w:b/>
          <w:bCs/>
        </w:rPr>
        <w:t>OMB Control Number:</w:t>
      </w:r>
      <w:r w:rsidRPr="00C40C07" w:rsidR="00BB432F">
        <w:rPr>
          <w:rFonts w:cstheme="minorHAnsi"/>
        </w:rPr>
        <w:t xml:space="preserve"> </w:t>
      </w:r>
      <w:r w:rsidRPr="00C40C07" w:rsidR="00316EAD">
        <w:rPr>
          <w:rFonts w:cstheme="minorHAnsi"/>
        </w:rPr>
        <w:t>2035-NEW</w:t>
      </w:r>
    </w:p>
    <w:p w:rsidR="00EE2403" w:rsidRPr="00C40C07" w:rsidP="00961C50" w14:paraId="4FB77BCA" w14:textId="75835F16">
      <w:pPr>
        <w:spacing w:before="240" w:line="240" w:lineRule="auto"/>
        <w:rPr>
          <w:rFonts w:cstheme="minorHAnsi"/>
        </w:rPr>
      </w:pPr>
      <w:r w:rsidRPr="00C40C07">
        <w:rPr>
          <w:rFonts w:cstheme="minorHAnsi"/>
          <w:b/>
          <w:bCs/>
        </w:rPr>
        <w:t>EPA ICR Number:</w:t>
      </w:r>
      <w:r w:rsidRPr="00C40C07" w:rsidR="00BB432F">
        <w:rPr>
          <w:rFonts w:cstheme="minorHAnsi"/>
        </w:rPr>
        <w:t xml:space="preserve"> </w:t>
      </w:r>
      <w:r w:rsidRPr="00C40C07" w:rsidR="00C40C07">
        <w:rPr>
          <w:rFonts w:cstheme="minorHAnsi"/>
        </w:rPr>
        <w:t>7781.01</w:t>
      </w:r>
    </w:p>
    <w:p w:rsidR="00A45279" w:rsidRPr="00C40C07" w:rsidP="00961C50" w14:paraId="287B0E68" w14:textId="77777777">
      <w:pPr>
        <w:pStyle w:val="Header"/>
        <w:contextualSpacing/>
        <w:rPr>
          <w:b/>
          <w:bCs/>
        </w:rPr>
      </w:pPr>
    </w:p>
    <w:p w:rsidR="004C078A" w:rsidRPr="00C40C07" w:rsidP="00961C50" w14:paraId="51AA9386" w14:textId="0C52A81D">
      <w:pPr>
        <w:pStyle w:val="Header"/>
        <w:contextualSpacing/>
        <w:rPr>
          <w:b/>
          <w:bCs/>
        </w:rPr>
      </w:pPr>
      <w:r w:rsidRPr="00C40C07">
        <w:rPr>
          <w:b/>
          <w:bCs/>
        </w:rPr>
        <w:t>Abstract</w:t>
      </w:r>
    </w:p>
    <w:p w:rsidR="00B80126" w:rsidRPr="00C40C07" w:rsidP="00961C50" w14:paraId="3BC85B39" w14:textId="77777777">
      <w:pPr>
        <w:pStyle w:val="Header"/>
        <w:contextualSpacing/>
        <w:rPr>
          <w:highlight w:val="yellow"/>
        </w:rPr>
      </w:pPr>
    </w:p>
    <w:p w:rsidR="004C078A" w:rsidRPr="00C40C07" w:rsidP="00961C50" w14:paraId="13BD228B" w14:textId="007BAB27">
      <w:pPr>
        <w:pStyle w:val="Header"/>
        <w:contextualSpacing/>
        <w:rPr>
          <w:highlight w:val="yellow"/>
        </w:rPr>
      </w:pPr>
      <w:r w:rsidRPr="00077067">
        <w:rPr>
          <w:rFonts w:ascii="Calibri" w:eastAsia="Calibri" w:hAnsi="Calibri" w:cs="Calibri"/>
          <w:color w:val="000000" w:themeColor="text1"/>
        </w:rPr>
        <w:t xml:space="preserve">The U.S. Environmental Protection Agency (EPA) makes competitive financial assistance awards to support projects that tackle environmental, public health, and energy challenges across the country. Historically, these investments have not reached communities and groups who are overburdened by the effects of pollution, environmental hazards, and climate change. </w:t>
      </w:r>
      <w:r w:rsidRPr="580BC4FD">
        <w:rPr>
          <w:rFonts w:ascii="Calibri" w:eastAsia="Calibri" w:hAnsi="Calibri" w:cs="Calibri"/>
          <w:color w:val="000000" w:themeColor="text1"/>
        </w:rPr>
        <w:t>To help get resources and funding to underserved and overburdened communities,</w:t>
      </w:r>
      <w:r w:rsidRPr="00077067">
        <w:rPr>
          <w:rFonts w:ascii="Calibri" w:eastAsia="Calibri" w:hAnsi="Calibri" w:cs="Calibri"/>
          <w:color w:val="000000" w:themeColor="text1"/>
        </w:rPr>
        <w:t xml:space="preserve"> </w:t>
      </w:r>
      <w:r w:rsidRPr="00053B6B">
        <w:rPr>
          <w:rFonts w:ascii="Calibri" w:eastAsia="Calibri" w:hAnsi="Calibri" w:cs="Calibri"/>
        </w:rPr>
        <w:t xml:space="preserve">the Inflation Reduction Act (IRA) created the Environmental and Climate Justice Block Grant Program (ECJP)—the largest investment in environmental and climate justice in U.S. history—when it was signed into law by President Biden on August 16, 2022. </w:t>
      </w:r>
      <w:r w:rsidRPr="00077067">
        <w:rPr>
          <w:rFonts w:ascii="Calibri" w:eastAsia="Calibri" w:hAnsi="Calibri" w:cs="Calibri"/>
          <w:color w:val="000000" w:themeColor="text1"/>
        </w:rPr>
        <w:t>The Community Change Grants</w:t>
      </w:r>
      <w:r>
        <w:rPr>
          <w:rFonts w:ascii="Calibri" w:eastAsia="Calibri" w:hAnsi="Calibri" w:cs="Calibri"/>
          <w:color w:val="000000" w:themeColor="text1"/>
        </w:rPr>
        <w:t xml:space="preserve"> (CCG)</w:t>
      </w:r>
      <w:r w:rsidRPr="00077067">
        <w:rPr>
          <w:rFonts w:ascii="Calibri" w:eastAsia="Calibri" w:hAnsi="Calibri" w:cs="Calibri"/>
          <w:color w:val="000000" w:themeColor="text1"/>
        </w:rPr>
        <w:t xml:space="preserve"> are the final and most comprehensive piece of EPA’s implementation of ECJP IRA funding. Th</w:t>
      </w:r>
      <w:r w:rsidR="00550C34">
        <w:rPr>
          <w:rFonts w:ascii="Calibri" w:eastAsia="Calibri" w:hAnsi="Calibri" w:cs="Calibri"/>
          <w:color w:val="000000" w:themeColor="text1"/>
        </w:rPr>
        <w:t>e</w:t>
      </w:r>
      <w:r w:rsidRPr="00077067">
        <w:rPr>
          <w:rFonts w:ascii="Calibri" w:eastAsia="Calibri" w:hAnsi="Calibri" w:cs="Calibri"/>
          <w:color w:val="000000" w:themeColor="text1"/>
        </w:rPr>
        <w:t xml:space="preserve"> </w:t>
      </w:r>
      <w:r>
        <w:rPr>
          <w:rFonts w:ascii="Calibri" w:eastAsia="Calibri" w:hAnsi="Calibri" w:cs="Calibri"/>
          <w:color w:val="000000" w:themeColor="text1"/>
        </w:rPr>
        <w:t xml:space="preserve">CCG </w:t>
      </w:r>
      <w:r w:rsidRPr="00077067">
        <w:rPr>
          <w:rFonts w:ascii="Calibri" w:eastAsia="Calibri" w:hAnsi="Calibri" w:cs="Calibri"/>
          <w:color w:val="000000" w:themeColor="text1"/>
        </w:rPr>
        <w:t xml:space="preserve">program will </w:t>
      </w:r>
      <w:r>
        <w:rPr>
          <w:rFonts w:ascii="Calibri" w:eastAsia="Calibri" w:hAnsi="Calibri" w:cs="Calibri"/>
          <w:color w:val="000000" w:themeColor="text1"/>
        </w:rPr>
        <w:t>provide funding to</w:t>
      </w:r>
      <w:r w:rsidRPr="00077067">
        <w:rPr>
          <w:rFonts w:ascii="Calibri" w:eastAsia="Calibri" w:hAnsi="Calibri" w:cs="Calibri"/>
          <w:color w:val="000000" w:themeColor="text1"/>
        </w:rPr>
        <w:t xml:space="preserve"> communities and their partners to design, develop, and implement multi-faceted, community-driven projects to protect public health and the environment.</w:t>
      </w:r>
      <w:r>
        <w:rPr>
          <w:rFonts w:ascii="Calibri" w:eastAsia="Calibri" w:hAnsi="Calibri" w:cs="Calibri"/>
          <w:color w:val="000000" w:themeColor="text1"/>
        </w:rPr>
        <w:t xml:space="preserve"> </w:t>
      </w:r>
      <w:r w:rsidRPr="00B6340D">
        <w:rPr>
          <w:rFonts w:ascii="Calibri" w:hAnsi="Calibri" w:cs="Calibri"/>
          <w:color w:val="000000" w:themeColor="text1"/>
        </w:rPr>
        <w:t xml:space="preserve">With this Information Collection Request (ICR), EPA seeks </w:t>
      </w:r>
      <w:r w:rsidR="00CB3528">
        <w:rPr>
          <w:rFonts w:ascii="Calibri" w:hAnsi="Calibri" w:cs="Calibri"/>
          <w:color w:val="000000" w:themeColor="text1"/>
        </w:rPr>
        <w:t>approval</w:t>
      </w:r>
      <w:r w:rsidRPr="00B6340D">
        <w:rPr>
          <w:rFonts w:ascii="Calibri" w:hAnsi="Calibri" w:cs="Calibri"/>
          <w:color w:val="000000" w:themeColor="text1"/>
        </w:rPr>
        <w:t xml:space="preserve"> to collect</w:t>
      </w:r>
      <w:r w:rsidR="00CB3528">
        <w:rPr>
          <w:rFonts w:ascii="Calibri" w:hAnsi="Calibri" w:cs="Calibri"/>
          <w:color w:val="000000" w:themeColor="text1"/>
        </w:rPr>
        <w:t xml:space="preserve"> performance</w:t>
      </w:r>
      <w:r w:rsidRPr="00B6340D">
        <w:rPr>
          <w:rFonts w:ascii="Calibri" w:hAnsi="Calibri" w:cs="Calibri"/>
          <w:color w:val="000000" w:themeColor="text1"/>
        </w:rPr>
        <w:t xml:space="preserve"> information </w:t>
      </w:r>
      <w:r w:rsidR="00CB3528">
        <w:rPr>
          <w:rFonts w:ascii="Calibri" w:hAnsi="Calibri" w:cs="Calibri"/>
          <w:color w:val="000000" w:themeColor="text1"/>
        </w:rPr>
        <w:t>from</w:t>
      </w:r>
      <w:r w:rsidRPr="00B6340D">
        <w:rPr>
          <w:rFonts w:ascii="Calibri" w:hAnsi="Calibri" w:cs="Calibri"/>
          <w:color w:val="000000" w:themeColor="text1"/>
        </w:rPr>
        <w:t xml:space="preserve"> CCG grantees</w:t>
      </w:r>
      <w:r w:rsidR="00CB3528">
        <w:rPr>
          <w:rFonts w:ascii="Calibri" w:hAnsi="Calibri" w:cs="Calibri"/>
          <w:color w:val="000000" w:themeColor="text1"/>
        </w:rPr>
        <w:t xml:space="preserve"> via progress reports and final reports</w:t>
      </w:r>
      <w:r w:rsidRPr="00B6340D">
        <w:rPr>
          <w:rFonts w:ascii="Calibri" w:hAnsi="Calibri" w:cs="Calibri"/>
          <w:color w:val="000000" w:themeColor="text1"/>
        </w:rPr>
        <w:t xml:space="preserve">. Collection of this information enables EPA to assess and manage </w:t>
      </w:r>
      <w:r w:rsidR="00CB3528">
        <w:rPr>
          <w:rFonts w:ascii="Calibri" w:hAnsi="Calibri" w:cs="Calibri"/>
          <w:color w:val="000000" w:themeColor="text1"/>
        </w:rPr>
        <w:t>the CCG</w:t>
      </w:r>
      <w:r w:rsidRPr="00B6340D">
        <w:rPr>
          <w:rFonts w:ascii="Calibri" w:hAnsi="Calibri" w:cs="Calibri"/>
          <w:color w:val="000000" w:themeColor="text1"/>
        </w:rPr>
        <w:t xml:space="preserve"> program, which ensures responsible stewardship of public funds; rigorous evidence-based learning and improvement; and transparent accountability to the American public.</w:t>
      </w:r>
      <w:r w:rsidRPr="00D3715D">
        <w:rPr>
          <w:color w:val="000000" w:themeColor="text1"/>
        </w:rPr>
        <w:t xml:space="preserve"> </w:t>
      </w:r>
      <w:r>
        <w:br/>
      </w:r>
    </w:p>
    <w:p w:rsidR="00AD7358" w:rsidRPr="00C40C07" w:rsidP="00961C50" w14:paraId="744CA70B" w14:textId="77777777">
      <w:pPr>
        <w:pStyle w:val="Header"/>
        <w:contextualSpacing/>
        <w:rPr>
          <w:highlight w:val="yello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8"/>
        <w:gridCol w:w="1720"/>
        <w:gridCol w:w="1585"/>
        <w:gridCol w:w="1852"/>
        <w:gridCol w:w="1710"/>
      </w:tblGrid>
      <w:tr w14:paraId="2DFBD427" w14:textId="77777777" w:rsidTr="00316EAD">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33"/>
        </w:trPr>
        <w:tc>
          <w:tcPr>
            <w:tcW w:w="9275" w:type="dxa"/>
            <w:gridSpan w:val="5"/>
            <w:tcBorders>
              <w:bottom w:val="single" w:sz="4" w:space="0" w:color="auto"/>
            </w:tcBorders>
            <w:shd w:val="clear" w:color="auto" w:fill="auto"/>
            <w:vAlign w:val="center"/>
          </w:tcPr>
          <w:p w:rsidR="00AD7358" w:rsidRPr="00C40C07" w:rsidP="00961C50" w14:paraId="183B175C" w14:textId="77D9D0AB">
            <w:pPr>
              <w:keepNext/>
              <w:tabs>
                <w:tab w:val="left" w:pos="1152"/>
              </w:tabs>
              <w:ind w:left="-107"/>
              <w:outlineLvl w:val="0"/>
              <w:rPr>
                <w:rFonts w:ascii="Calibri" w:eastAsia="Times New Roman" w:hAnsi="Calibri" w:cs="Calibri"/>
                <w:b/>
                <w:highlight w:val="yellow"/>
              </w:rPr>
            </w:pPr>
            <w:r w:rsidRPr="00C40C07">
              <w:rPr>
                <w:rFonts w:ascii="Calibri" w:eastAsia="Times New Roman" w:hAnsi="Calibri" w:cs="Calibri"/>
                <w:b/>
              </w:rPr>
              <w:t>Total (3-Year) Respondent Burden &amp; Costs</w:t>
            </w:r>
          </w:p>
        </w:tc>
      </w:tr>
      <w:tr w14:paraId="314675FC" w14:textId="77777777" w:rsidTr="00316EAD">
        <w:tblPrEx>
          <w:tblW w:w="0" w:type="auto"/>
          <w:tblInd w:w="108" w:type="dxa"/>
          <w:tblLayout w:type="fixed"/>
          <w:tblLook w:val="04A0"/>
        </w:tblPrEx>
        <w:trPr>
          <w:trHeight w:val="665"/>
        </w:trPr>
        <w:tc>
          <w:tcPr>
            <w:tcW w:w="24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40C07" w:rsidP="00961C50" w14:paraId="3106AAB2" w14:textId="40CB954E">
            <w:pPr>
              <w:rPr>
                <w:b/>
                <w:bCs/>
                <w:color w:val="000000"/>
              </w:rPr>
            </w:pPr>
            <w:r w:rsidRPr="00C40C07">
              <w:rPr>
                <w:b/>
                <w:bCs/>
                <w:color w:val="000000"/>
              </w:rPr>
              <w:t>Respondents</w:t>
            </w:r>
          </w:p>
        </w:tc>
        <w:tc>
          <w:tcPr>
            <w:tcW w:w="1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40C07" w:rsidP="00961C50" w14:paraId="67CF2FED" w14:textId="77777777">
            <w:pPr>
              <w:rPr>
                <w:b/>
                <w:bCs/>
                <w:color w:val="000000"/>
              </w:rPr>
            </w:pPr>
            <w:r w:rsidRPr="00C40C07">
              <w:rPr>
                <w:b/>
                <w:bCs/>
                <w:color w:val="000000"/>
              </w:rPr>
              <w:t>Burden Hours</w:t>
            </w:r>
          </w:p>
        </w:tc>
        <w:tc>
          <w:tcPr>
            <w:tcW w:w="15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40C07" w:rsidP="00961C50" w14:paraId="126E78F5" w14:textId="77777777">
            <w:pPr>
              <w:rPr>
                <w:b/>
                <w:bCs/>
                <w:color w:val="000000"/>
              </w:rPr>
            </w:pPr>
            <w:r w:rsidRPr="00C40C07">
              <w:rPr>
                <w:b/>
                <w:bCs/>
                <w:color w:val="000000"/>
              </w:rPr>
              <w:t>Labor Costs</w:t>
            </w:r>
          </w:p>
        </w:tc>
        <w:tc>
          <w:tcPr>
            <w:tcW w:w="185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40C07" w:rsidP="00961C50" w14:paraId="33230B06" w14:textId="77777777">
            <w:pPr>
              <w:rPr>
                <w:b/>
                <w:bCs/>
                <w:color w:val="000000"/>
              </w:rPr>
            </w:pPr>
            <w:r w:rsidRPr="00C40C07">
              <w:rPr>
                <w:b/>
                <w:bCs/>
                <w:color w:val="000000"/>
              </w:rPr>
              <w:t>Non-Labor Costs</w:t>
            </w:r>
          </w:p>
        </w:tc>
        <w:tc>
          <w:tcPr>
            <w:tcW w:w="1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C40C07" w:rsidP="00961C50" w14:paraId="626AAB9C" w14:textId="77777777">
            <w:pPr>
              <w:rPr>
                <w:b/>
                <w:bCs/>
                <w:color w:val="000000"/>
              </w:rPr>
            </w:pPr>
            <w:r w:rsidRPr="00C40C07">
              <w:rPr>
                <w:b/>
                <w:bCs/>
                <w:color w:val="000000"/>
              </w:rPr>
              <w:t>Total Costs</w:t>
            </w:r>
          </w:p>
        </w:tc>
      </w:tr>
      <w:tr w14:paraId="2DDB2AD4" w14:textId="77777777" w:rsidTr="00316EAD">
        <w:tblPrEx>
          <w:tblW w:w="0" w:type="auto"/>
          <w:tblInd w:w="108" w:type="dxa"/>
          <w:tblLayout w:type="fixed"/>
          <w:tblLook w:val="04A0"/>
        </w:tblPrEx>
        <w:trPr>
          <w:trHeight w:val="602"/>
        </w:trPr>
        <w:tc>
          <w:tcPr>
            <w:tcW w:w="2408" w:type="dxa"/>
            <w:tcBorders>
              <w:top w:val="single" w:sz="4" w:space="0" w:color="auto"/>
              <w:left w:val="single" w:sz="4" w:space="0" w:color="auto"/>
              <w:bottom w:val="single" w:sz="4" w:space="0" w:color="auto"/>
              <w:right w:val="single" w:sz="4" w:space="0" w:color="auto"/>
            </w:tcBorders>
            <w:vAlign w:val="center"/>
          </w:tcPr>
          <w:p w:rsidR="00CF30A1" w:rsidRPr="00564E96" w:rsidP="00961C50" w14:paraId="7729171D" w14:textId="163D8270">
            <w:pPr>
              <w:rPr>
                <w:color w:val="000000"/>
              </w:rPr>
            </w:pPr>
            <w:r w:rsidRPr="00564E96">
              <w:rPr>
                <w:rFonts w:ascii="Calibri" w:hAnsi="Calibri" w:cs="Calibri"/>
                <w:color w:val="000000"/>
              </w:rPr>
              <w:t>105</w:t>
            </w:r>
          </w:p>
        </w:tc>
        <w:tc>
          <w:tcPr>
            <w:tcW w:w="1720" w:type="dxa"/>
            <w:tcBorders>
              <w:top w:val="single" w:sz="4" w:space="0" w:color="auto"/>
              <w:left w:val="single" w:sz="4" w:space="0" w:color="auto"/>
              <w:bottom w:val="single" w:sz="4" w:space="0" w:color="auto"/>
              <w:right w:val="single" w:sz="4" w:space="0" w:color="auto"/>
            </w:tcBorders>
            <w:vAlign w:val="center"/>
          </w:tcPr>
          <w:p w:rsidR="00CF30A1" w:rsidRPr="00564E96" w:rsidP="00961C50" w14:paraId="7E68BA2E" w14:textId="2EC6C61D">
            <w:pPr>
              <w:rPr>
                <w:color w:val="000000"/>
              </w:rPr>
            </w:pPr>
            <w:r w:rsidRPr="00564E96">
              <w:rPr>
                <w:rFonts w:ascii="Calibri" w:hAnsi="Calibri" w:cs="Calibri"/>
                <w:color w:val="000000"/>
              </w:rPr>
              <w:t>27,300</w:t>
            </w:r>
          </w:p>
        </w:tc>
        <w:tc>
          <w:tcPr>
            <w:tcW w:w="1585" w:type="dxa"/>
            <w:tcBorders>
              <w:top w:val="single" w:sz="4" w:space="0" w:color="auto"/>
              <w:left w:val="single" w:sz="4" w:space="0" w:color="auto"/>
              <w:bottom w:val="single" w:sz="4" w:space="0" w:color="auto"/>
              <w:right w:val="single" w:sz="4" w:space="0" w:color="auto"/>
            </w:tcBorders>
            <w:vAlign w:val="center"/>
          </w:tcPr>
          <w:p w:rsidR="00CF30A1" w:rsidRPr="00564E96" w:rsidP="00961C50" w14:paraId="12BB604A" w14:textId="130CA92F">
            <w:pPr>
              <w:rPr>
                <w:color w:val="000000"/>
              </w:rPr>
            </w:pPr>
            <w:r w:rsidRPr="00564E96">
              <w:rPr>
                <w:rFonts w:ascii="Calibri" w:hAnsi="Calibri" w:cs="Calibri"/>
                <w:color w:val="000000"/>
              </w:rPr>
              <w:t>$</w:t>
            </w:r>
            <w:r w:rsidRPr="00564E96" w:rsidR="00D919A1">
              <w:rPr>
                <w:rFonts w:ascii="Calibri" w:hAnsi="Calibri" w:cs="Calibri"/>
                <w:color w:val="000000"/>
              </w:rPr>
              <w:t>1,564,017</w:t>
            </w:r>
            <w:r w:rsidRPr="00564E96">
              <w:rPr>
                <w:rFonts w:ascii="Calibri" w:hAnsi="Calibri" w:cs="Calibri"/>
                <w:color w:val="000000"/>
              </w:rPr>
              <w:t xml:space="preserve"> </w:t>
            </w:r>
          </w:p>
        </w:tc>
        <w:tc>
          <w:tcPr>
            <w:tcW w:w="1852" w:type="dxa"/>
            <w:tcBorders>
              <w:top w:val="single" w:sz="4" w:space="0" w:color="auto"/>
              <w:left w:val="single" w:sz="4" w:space="0" w:color="auto"/>
              <w:bottom w:val="single" w:sz="4" w:space="0" w:color="auto"/>
              <w:right w:val="single" w:sz="4" w:space="0" w:color="auto"/>
            </w:tcBorders>
            <w:vAlign w:val="center"/>
          </w:tcPr>
          <w:p w:rsidR="00CF30A1" w:rsidRPr="00564E96" w:rsidP="00961C50" w14:paraId="3969A7D0" w14:textId="47E3F31E">
            <w:pPr>
              <w:rPr>
                <w:color w:val="000000"/>
              </w:rPr>
            </w:pPr>
            <w:r w:rsidRPr="00564E96">
              <w:rPr>
                <w:rFonts w:ascii="Calibri" w:hAnsi="Calibri" w:cs="Calibri"/>
                <w:color w:val="000000"/>
              </w:rPr>
              <w:t xml:space="preserve">$0 </w:t>
            </w:r>
          </w:p>
        </w:tc>
        <w:tc>
          <w:tcPr>
            <w:tcW w:w="1710" w:type="dxa"/>
            <w:tcBorders>
              <w:top w:val="single" w:sz="4" w:space="0" w:color="auto"/>
              <w:left w:val="single" w:sz="4" w:space="0" w:color="auto"/>
              <w:bottom w:val="single" w:sz="4" w:space="0" w:color="auto"/>
              <w:right w:val="single" w:sz="4" w:space="0" w:color="auto"/>
            </w:tcBorders>
            <w:vAlign w:val="center"/>
          </w:tcPr>
          <w:p w:rsidR="00CF30A1" w:rsidRPr="00564E96" w:rsidP="00961C50" w14:paraId="2557A17E" w14:textId="56179C53">
            <w:pPr>
              <w:rPr>
                <w:b/>
                <w:bCs/>
                <w:color w:val="000000"/>
              </w:rPr>
            </w:pPr>
            <w:r w:rsidRPr="00564E96">
              <w:rPr>
                <w:rFonts w:ascii="Calibri" w:hAnsi="Calibri" w:cs="Calibri"/>
                <w:b/>
                <w:bCs/>
                <w:color w:val="000000"/>
              </w:rPr>
              <w:t>$</w:t>
            </w:r>
            <w:r w:rsidRPr="00564E96" w:rsidR="00D919A1">
              <w:rPr>
                <w:rFonts w:ascii="Calibri" w:hAnsi="Calibri" w:cs="Calibri"/>
                <w:b/>
                <w:bCs/>
                <w:color w:val="000000"/>
              </w:rPr>
              <w:t>1,564,017</w:t>
            </w:r>
          </w:p>
        </w:tc>
      </w:tr>
    </w:tbl>
    <w:p w:rsidR="00860B8A" w:rsidRPr="00C40C07" w:rsidP="00961C50" w14:paraId="0E29DE54" w14:textId="77777777">
      <w:pPr>
        <w:rPr>
          <w:b/>
          <w:bCs/>
          <w:highlight w:val="yellow"/>
          <w:u w:val="single"/>
        </w:rPr>
      </w:pPr>
    </w:p>
    <w:p w:rsidR="00A3600F" w:rsidRPr="008C62F4" w:rsidP="00E739B7" w14:paraId="755F809C" w14:textId="3BF0EEB1">
      <w:pPr>
        <w:jc w:val="center"/>
        <w:rPr>
          <w:b/>
          <w:bCs/>
          <w:u w:val="single"/>
        </w:rPr>
      </w:pPr>
      <w:r w:rsidRPr="00C40C07">
        <w:rPr>
          <w:b/>
          <w:bCs/>
          <w:highlight w:val="yellow"/>
          <w:u w:val="single"/>
        </w:rPr>
        <w:br w:type="page"/>
      </w:r>
      <w:r w:rsidRPr="008C62F4" w:rsidR="00816010">
        <w:rPr>
          <w:b/>
          <w:bCs/>
        </w:rPr>
        <w:t>Supporting Statement A</w:t>
      </w:r>
      <w:bookmarkEnd w:id="0"/>
    </w:p>
    <w:p w:rsidR="00D47CB3" w:rsidRPr="008C62F4" w:rsidP="00961C50" w14:paraId="73FF37C3" w14:textId="272FC286">
      <w:pPr>
        <w:pStyle w:val="Heading1"/>
        <w:numPr>
          <w:ilvl w:val="0"/>
          <w:numId w:val="36"/>
        </w:numPr>
        <w:tabs>
          <w:tab w:val="left" w:pos="360"/>
        </w:tabs>
        <w:ind w:left="270" w:hanging="270"/>
      </w:pPr>
      <w:bookmarkStart w:id="1" w:name="_Toc156593368"/>
      <w:r w:rsidRPr="008C62F4">
        <w:t>NEED AND AUTHORITY FOR THE COLLECTION</w:t>
      </w:r>
      <w:bookmarkEnd w:id="1"/>
    </w:p>
    <w:p w:rsidR="00A27E5C" w:rsidRPr="008C62F4" w:rsidP="00961C50" w14:paraId="0D31D853" w14:textId="354D5D40">
      <w:pPr>
        <w:pBdr>
          <w:bottom w:val="single" w:sz="4" w:space="1" w:color="auto"/>
        </w:pBdr>
        <w:spacing w:before="60"/>
        <w:rPr>
          <w:rFonts w:cstheme="minorHAnsi"/>
          <w:i/>
          <w:iCs/>
        </w:rPr>
      </w:pPr>
      <w:r w:rsidRPr="008C62F4">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840B12" w:rsidRPr="008C62F4" w:rsidP="00961C50" w14:paraId="54C65232" w14:textId="77777777">
      <w:pPr>
        <w:spacing w:after="0"/>
        <w:contextualSpacing/>
        <w:rPr>
          <w:rFonts w:cstheme="minorHAnsi"/>
          <w:u w:val="single"/>
        </w:rPr>
      </w:pPr>
    </w:p>
    <w:p w:rsidR="00840B12" w:rsidRPr="008C62F4" w:rsidP="00961C50" w14:paraId="08F03EB2" w14:textId="7B6E6284">
      <w:pPr>
        <w:spacing w:after="0"/>
        <w:contextualSpacing/>
        <w:rPr>
          <w:rFonts w:cstheme="minorHAnsi"/>
          <w:u w:val="single"/>
        </w:rPr>
      </w:pPr>
      <w:r w:rsidRPr="008C62F4">
        <w:rPr>
          <w:rFonts w:cstheme="minorHAnsi"/>
          <w:u w:val="single"/>
        </w:rPr>
        <w:t>Overview</w:t>
      </w:r>
    </w:p>
    <w:p w:rsidR="00840B12" w:rsidRPr="00C40C07" w:rsidP="00961C50" w14:paraId="5B2092DB" w14:textId="77777777">
      <w:pPr>
        <w:spacing w:after="0"/>
        <w:contextualSpacing/>
        <w:rPr>
          <w:rFonts w:cstheme="minorHAnsi"/>
          <w:highlight w:val="yellow"/>
          <w:u w:val="single"/>
        </w:rPr>
      </w:pPr>
    </w:p>
    <w:p w:rsidR="008C62F4" w:rsidRPr="002C18DB" w:rsidP="008C62F4" w14:paraId="32B3D0B1" w14:textId="77777777">
      <w:pPr>
        <w:pStyle w:val="Header"/>
        <w:contextualSpacing/>
        <w:rPr>
          <w:rFonts w:cstheme="minorHAnsi"/>
        </w:rPr>
      </w:pPr>
      <w:r w:rsidRPr="00F03C63">
        <w:rPr>
          <w:rFonts w:cstheme="minorHAnsi"/>
        </w:rPr>
        <w:t xml:space="preserve">The U.S. Environmental Protection Agency (EPA) makes competitive financial assistance awards to support projects that tackle environmental, public health, and energy challenges across the country. Historically, these investments have not reached communities and groups who are overburdened by the effects of pollution, environmental hazards, and climate change. While these communities often have the vision and plans to overcome their local challenges, they can face systemic barriers that limit their </w:t>
      </w:r>
      <w:r w:rsidRPr="002C18DB">
        <w:rPr>
          <w:rFonts w:cstheme="minorHAnsi"/>
        </w:rPr>
        <w:t xml:space="preserve">access to resources that are needed to implement and deliver these solutions. </w:t>
      </w:r>
    </w:p>
    <w:p w:rsidR="009A7C9D" w:rsidRPr="002C18DB" w:rsidP="00961C50" w14:paraId="1A384AC6" w14:textId="77777777">
      <w:pPr>
        <w:pStyle w:val="Header"/>
        <w:contextualSpacing/>
        <w:rPr>
          <w:rFonts w:cstheme="minorHAnsi"/>
        </w:rPr>
      </w:pPr>
    </w:p>
    <w:p w:rsidR="0048467B" w:rsidP="008C62F4" w14:paraId="586F6D8B" w14:textId="15EA1F3B">
      <w:pPr>
        <w:rPr>
          <w:i/>
          <w:iCs/>
          <w:color w:val="000000" w:themeColor="text1"/>
        </w:rPr>
      </w:pPr>
      <w:r w:rsidRPr="002C18DB">
        <w:t xml:space="preserve">The </w:t>
      </w:r>
      <w:hyperlink r:id="rId10">
        <w:r w:rsidRPr="002C18DB" w:rsidR="00150D3D">
          <w:rPr>
            <w:rStyle w:val="Hyperlink"/>
          </w:rPr>
          <w:t>Inflation Reduction Act (IRA)</w:t>
        </w:r>
      </w:hyperlink>
      <w:r>
        <w:rPr>
          <w:rStyle w:val="FootnoteReference"/>
        </w:rPr>
        <w:footnoteReference w:id="3"/>
      </w:r>
      <w:r w:rsidRPr="002C18DB" w:rsidR="00150D3D">
        <w:t xml:space="preserve">  c</w:t>
      </w:r>
      <w:r w:rsidRPr="002C18DB">
        <w:t>reated the Environmental and Climate Justice Block Grant Program (ECJP)—the largest investment in environmental and climate justice in U.S. history—when it was signed into law by President Biden on August 16, 2022. The ECJP</w:t>
      </w:r>
      <w:r w:rsidRPr="002C18DB">
        <w:t xml:space="preserve"> </w:t>
      </w:r>
      <w:r w:rsidRPr="002C18DB">
        <w:t xml:space="preserve">is now contained in Section 138 of the </w:t>
      </w:r>
      <w:hyperlink r:id="rId11" w:history="1">
        <w:r w:rsidRPr="002C18DB" w:rsidR="00150D3D">
          <w:rPr>
            <w:rStyle w:val="Hyperlink"/>
            <w:rFonts w:cstheme="minorHAnsi"/>
          </w:rPr>
          <w:t>Clean Air Act</w:t>
        </w:r>
      </w:hyperlink>
      <w:r>
        <w:rPr>
          <w:rStyle w:val="FootnoteReference"/>
        </w:rPr>
        <w:footnoteReference w:id="4"/>
      </w:r>
      <w:r w:rsidRPr="002C18DB">
        <w:t xml:space="preserve">, 42 U.S.C. § 7438. Under this program, EPA was provided $2.8 billion to award grants to help disadvantaged communities address a wide range of environmental and climate justice issues, and $200 million for technical assistance related to these grants. This historic investment advances </w:t>
      </w:r>
      <w:hyperlink r:id="rId12">
        <w:r w:rsidRPr="002C18DB" w:rsidR="00150D3D">
          <w:rPr>
            <w:rStyle w:val="Hyperlink"/>
          </w:rPr>
          <w:t>Executive Order 13985</w:t>
        </w:r>
      </w:hyperlink>
      <w:r>
        <w:rPr>
          <w:rStyle w:val="FootnoteReference"/>
        </w:rPr>
        <w:footnoteReference w:id="5"/>
      </w:r>
      <w:r w:rsidRPr="002C18DB" w:rsidR="00150D3D">
        <w:t xml:space="preserve"> </w:t>
      </w:r>
      <w:r w:rsidRPr="002C18DB">
        <w:rPr>
          <w:color w:val="343F4E"/>
        </w:rPr>
        <w:t>(</w:t>
      </w:r>
      <w:r w:rsidRPr="002C18DB">
        <w:rPr>
          <w:i/>
          <w:iCs/>
        </w:rPr>
        <w:t>Advancing Racial Equity and Support for Underserved Communities Through the Federal Government</w:t>
      </w:r>
      <w:r w:rsidRPr="002C18DB">
        <w:rPr>
          <w:color w:val="343F4E"/>
        </w:rPr>
        <w:t xml:space="preserve">) </w:t>
      </w:r>
      <w:r w:rsidRPr="002C18DB">
        <w:t>that established a whole-of-government approach to advancing equity and opportunity, and</w:t>
      </w:r>
      <w:r w:rsidRPr="002C18DB">
        <w:rPr>
          <w:color w:val="343F4E"/>
        </w:rPr>
        <w:t xml:space="preserve"> </w:t>
      </w:r>
      <w:hyperlink r:id="rId13">
        <w:r w:rsidRPr="002C18DB" w:rsidR="00150D3D">
          <w:rPr>
            <w:rStyle w:val="Hyperlink"/>
          </w:rPr>
          <w:t>Executive Order 14008</w:t>
        </w:r>
      </w:hyperlink>
      <w:r>
        <w:rPr>
          <w:rStyle w:val="FootnoteReference"/>
        </w:rPr>
        <w:footnoteReference w:id="6"/>
      </w:r>
      <w:r w:rsidRPr="002C18DB" w:rsidR="00150D3D">
        <w:rPr>
          <w:i/>
          <w:iCs/>
        </w:rPr>
        <w:t xml:space="preserve"> </w:t>
      </w:r>
      <w:r w:rsidRPr="002C18DB">
        <w:rPr>
          <w:i/>
          <w:iCs/>
        </w:rPr>
        <w:t>(Tackling the Climate Crisis at Home and Abroad</w:t>
      </w:r>
      <w:r w:rsidRPr="002C18DB">
        <w:rPr>
          <w:color w:val="343F4E"/>
        </w:rPr>
        <w:t>)</w:t>
      </w:r>
      <w:r w:rsidRPr="002C18DB">
        <w:t xml:space="preserve"> which created the government-wide</w:t>
      </w:r>
      <w:r w:rsidRPr="002C18DB">
        <w:rPr>
          <w:color w:val="343F4E"/>
        </w:rPr>
        <w:t> </w:t>
      </w:r>
      <w:r w:rsidRPr="002C18DB">
        <w:t>Justice 40 Initiative</w:t>
      </w:r>
      <w:r w:rsidRPr="002C18DB">
        <w:rPr>
          <w:color w:val="343F4E"/>
        </w:rPr>
        <w:t> </w:t>
      </w:r>
      <w:r w:rsidRPr="002C18DB">
        <w:t xml:space="preserve">establishing the goal that 40 percent of the overall benefits of certain federal investments flow to disadvantaged communities. Awards under the ECJP also support core goals of </w:t>
      </w:r>
      <w:hyperlink r:id="rId14" w:history="1">
        <w:r w:rsidRPr="002C18DB">
          <w:rPr>
            <w:rStyle w:val="Hyperlink"/>
          </w:rPr>
          <w:t>Executive Order 14091</w:t>
        </w:r>
      </w:hyperlink>
      <w:r>
        <w:rPr>
          <w:rStyle w:val="FootnoteReference"/>
        </w:rPr>
        <w:footnoteReference w:id="7"/>
      </w:r>
      <w:r w:rsidRPr="002C18DB">
        <w:t xml:space="preserve"> (</w:t>
      </w:r>
      <w:r w:rsidRPr="002C18DB">
        <w:rPr>
          <w:i/>
          <w:iCs/>
          <w:color w:val="000000"/>
        </w:rPr>
        <w:t>Further Advancing Racial</w:t>
      </w:r>
      <w:r w:rsidRPr="002C18DB">
        <w:rPr>
          <w:i/>
          <w:iCs/>
          <w:color w:val="000000"/>
          <w:spacing w:val="40"/>
        </w:rPr>
        <w:t xml:space="preserve"> </w:t>
      </w:r>
      <w:r w:rsidRPr="002C18DB">
        <w:rPr>
          <w:i/>
          <w:iCs/>
          <w:color w:val="000000"/>
        </w:rPr>
        <w:t>Equity</w:t>
      </w:r>
      <w:r w:rsidRPr="002C18DB">
        <w:rPr>
          <w:i/>
          <w:iCs/>
          <w:color w:val="000000"/>
          <w:spacing w:val="-1"/>
        </w:rPr>
        <w:t xml:space="preserve"> </w:t>
      </w:r>
      <w:r w:rsidRPr="002C18DB">
        <w:rPr>
          <w:i/>
          <w:iCs/>
          <w:color w:val="000000"/>
        </w:rPr>
        <w:t>and</w:t>
      </w:r>
      <w:r w:rsidRPr="002C18DB">
        <w:rPr>
          <w:i/>
          <w:iCs/>
          <w:color w:val="000000"/>
          <w:spacing w:val="-1"/>
        </w:rPr>
        <w:t xml:space="preserve"> </w:t>
      </w:r>
      <w:r w:rsidRPr="002C18DB">
        <w:rPr>
          <w:i/>
          <w:iCs/>
          <w:color w:val="000000"/>
        </w:rPr>
        <w:t>Support</w:t>
      </w:r>
      <w:r w:rsidRPr="002C18DB">
        <w:rPr>
          <w:i/>
          <w:iCs/>
          <w:color w:val="000000"/>
          <w:spacing w:val="-1"/>
        </w:rPr>
        <w:t xml:space="preserve"> </w:t>
      </w:r>
      <w:r w:rsidRPr="002C18DB">
        <w:rPr>
          <w:i/>
          <w:iCs/>
          <w:color w:val="000000"/>
        </w:rPr>
        <w:t>for</w:t>
      </w:r>
      <w:r w:rsidRPr="002C18DB">
        <w:rPr>
          <w:i/>
          <w:iCs/>
          <w:color w:val="000000"/>
          <w:spacing w:val="-2"/>
        </w:rPr>
        <w:t xml:space="preserve"> </w:t>
      </w:r>
      <w:r w:rsidRPr="002C18DB">
        <w:rPr>
          <w:i/>
          <w:iCs/>
          <w:color w:val="000000"/>
        </w:rPr>
        <w:t>Underserved</w:t>
      </w:r>
      <w:r w:rsidRPr="002C18DB">
        <w:rPr>
          <w:i/>
          <w:iCs/>
          <w:color w:val="000000"/>
          <w:spacing w:val="-1"/>
        </w:rPr>
        <w:t xml:space="preserve"> </w:t>
      </w:r>
      <w:r w:rsidRPr="002C18DB">
        <w:rPr>
          <w:i/>
          <w:iCs/>
          <w:color w:val="000000"/>
        </w:rPr>
        <w:t>Communities Through</w:t>
      </w:r>
      <w:r w:rsidRPr="002C18DB">
        <w:rPr>
          <w:i/>
          <w:iCs/>
          <w:color w:val="000000"/>
          <w:spacing w:val="-1"/>
        </w:rPr>
        <w:t xml:space="preserve"> </w:t>
      </w:r>
      <w:r w:rsidRPr="002C18DB">
        <w:rPr>
          <w:i/>
          <w:iCs/>
          <w:color w:val="000000"/>
        </w:rPr>
        <w:t>the</w:t>
      </w:r>
      <w:r w:rsidRPr="002C18DB">
        <w:rPr>
          <w:i/>
          <w:iCs/>
          <w:color w:val="000000"/>
          <w:spacing w:val="-1"/>
        </w:rPr>
        <w:t xml:space="preserve"> </w:t>
      </w:r>
      <w:r w:rsidRPr="002C18DB">
        <w:rPr>
          <w:i/>
          <w:iCs/>
          <w:color w:val="000000"/>
        </w:rPr>
        <w:t>Federal</w:t>
      </w:r>
      <w:r w:rsidRPr="002C18DB">
        <w:rPr>
          <w:i/>
          <w:iCs/>
          <w:color w:val="000000"/>
          <w:spacing w:val="-1"/>
        </w:rPr>
        <w:t xml:space="preserve"> </w:t>
      </w:r>
      <w:r w:rsidRPr="002C18DB">
        <w:rPr>
          <w:i/>
          <w:iCs/>
          <w:color w:val="000000"/>
        </w:rPr>
        <w:t>Government</w:t>
      </w:r>
      <w:r w:rsidRPr="002C18DB">
        <w:rPr>
          <w:color w:val="000000"/>
        </w:rPr>
        <w:t>,</w:t>
      </w:r>
      <w:r w:rsidRPr="002C18DB">
        <w:rPr>
          <w:color w:val="000000"/>
          <w:spacing w:val="-1"/>
        </w:rPr>
        <w:t xml:space="preserve"> </w:t>
      </w:r>
      <w:r w:rsidRPr="002C18DB">
        <w:rPr>
          <w:color w:val="000000"/>
        </w:rPr>
        <w:t xml:space="preserve">and </w:t>
      </w:r>
      <w:hyperlink r:id="rId15" w:history="1">
        <w:r w:rsidRPr="002C18DB">
          <w:rPr>
            <w:rStyle w:val="Hyperlink"/>
          </w:rPr>
          <w:t>Executive Order 14096</w:t>
        </w:r>
      </w:hyperlink>
      <w:r>
        <w:rPr>
          <w:rStyle w:val="FootnoteReference"/>
          <w:color w:val="000000"/>
        </w:rPr>
        <w:footnoteReference w:id="8"/>
      </w:r>
      <w:r w:rsidRPr="002C18DB">
        <w:rPr>
          <w:color w:val="000000"/>
        </w:rPr>
        <w:t xml:space="preserve"> (</w:t>
      </w:r>
      <w:r w:rsidRPr="002C18DB">
        <w:rPr>
          <w:i/>
          <w:iCs/>
          <w:color w:val="000000"/>
        </w:rPr>
        <w:t>Revitalizing</w:t>
      </w:r>
      <w:r w:rsidRPr="002C18DB">
        <w:rPr>
          <w:i/>
          <w:iCs/>
          <w:color w:val="000000"/>
          <w:spacing w:val="-1"/>
        </w:rPr>
        <w:t xml:space="preserve"> </w:t>
      </w:r>
      <w:r w:rsidRPr="002C18DB">
        <w:rPr>
          <w:i/>
          <w:iCs/>
          <w:color w:val="000000"/>
        </w:rPr>
        <w:t>Our</w:t>
      </w:r>
      <w:r w:rsidRPr="002C18DB">
        <w:rPr>
          <w:i/>
          <w:iCs/>
          <w:color w:val="000000"/>
          <w:spacing w:val="-2"/>
        </w:rPr>
        <w:t xml:space="preserve"> </w:t>
      </w:r>
      <w:r w:rsidRPr="002C18DB">
        <w:rPr>
          <w:i/>
          <w:iCs/>
          <w:color w:val="000000"/>
        </w:rPr>
        <w:t>Nation’s</w:t>
      </w:r>
      <w:r w:rsidRPr="002C18DB">
        <w:rPr>
          <w:i/>
          <w:iCs/>
          <w:color w:val="000000"/>
          <w:spacing w:val="-1"/>
        </w:rPr>
        <w:t xml:space="preserve"> </w:t>
      </w:r>
      <w:r w:rsidRPr="002C18DB">
        <w:rPr>
          <w:i/>
          <w:iCs/>
          <w:color w:val="000000"/>
        </w:rPr>
        <w:t>Commitment</w:t>
      </w:r>
      <w:r w:rsidRPr="002C18DB">
        <w:rPr>
          <w:i/>
          <w:iCs/>
          <w:color w:val="000000"/>
          <w:spacing w:val="-1"/>
        </w:rPr>
        <w:t xml:space="preserve"> </w:t>
      </w:r>
      <w:r w:rsidRPr="002C18DB">
        <w:rPr>
          <w:i/>
          <w:iCs/>
          <w:color w:val="000000"/>
        </w:rPr>
        <w:t>to</w:t>
      </w:r>
      <w:r w:rsidRPr="002C18DB">
        <w:rPr>
          <w:i/>
          <w:iCs/>
          <w:color w:val="000000"/>
          <w:spacing w:val="-1"/>
        </w:rPr>
        <w:t xml:space="preserve"> </w:t>
      </w:r>
      <w:r w:rsidRPr="002C18DB">
        <w:rPr>
          <w:i/>
          <w:iCs/>
          <w:color w:val="000000"/>
        </w:rPr>
        <w:t>Environmental</w:t>
      </w:r>
      <w:r w:rsidRPr="002C18DB">
        <w:rPr>
          <w:i/>
          <w:iCs/>
          <w:color w:val="000000"/>
          <w:spacing w:val="-1"/>
        </w:rPr>
        <w:t xml:space="preserve"> </w:t>
      </w:r>
      <w:r w:rsidRPr="002C18DB">
        <w:rPr>
          <w:i/>
          <w:iCs/>
          <w:color w:val="000000"/>
        </w:rPr>
        <w:t>Justice for All).</w:t>
      </w:r>
      <w:r w:rsidRPr="00F03C63">
        <w:rPr>
          <w:i/>
          <w:iCs/>
          <w:color w:val="000000" w:themeColor="text1"/>
        </w:rPr>
        <w:t xml:space="preserve"> </w:t>
      </w:r>
    </w:p>
    <w:p w:rsidR="0048467B" w:rsidRPr="00F03C63" w:rsidP="0048467B" w14:paraId="630A9B4F" w14:textId="51BCE390">
      <w:pPr>
        <w:spacing w:after="0" w:line="240" w:lineRule="auto"/>
        <w:rPr>
          <w:rFonts w:cstheme="minorHAnsi"/>
          <w:bdr w:val="none" w:sz="0" w:space="0" w:color="auto" w:frame="1"/>
        </w:rPr>
      </w:pPr>
      <w:r w:rsidRPr="00F03C63">
        <w:rPr>
          <w:bdr w:val="none" w:sz="0" w:space="0" w:color="auto" w:frame="1"/>
        </w:rPr>
        <w:t xml:space="preserve">The Environmental and Climate Justice Community Change Grants Program (Community Change Grants) are the final and most comprehensive piece of EPA’s implementation of ECJP IRA funding. The Community Change Grants will complement grant programs that EPA launched in 2022 and 2023, including the Collaborative Problem-Solving Program, Government-to-Government Program, and </w:t>
      </w:r>
      <w:r w:rsidRPr="00F03C63">
        <w:rPr>
          <w:bdr w:val="none" w:sz="0" w:space="0" w:color="auto" w:frame="1"/>
        </w:rPr>
        <w:t>Thriving Communities Grantmaking Program.</w:t>
      </w:r>
      <w:r w:rsidRPr="00F03C63">
        <w:rPr>
          <w:bdr w:val="none" w:sz="0" w:space="0" w:color="auto" w:frame="1"/>
        </w:rPr>
        <w:t xml:space="preserve"> </w:t>
      </w:r>
      <w:r w:rsidRPr="00F03C63">
        <w:rPr>
          <w:bdr w:val="none" w:sz="0" w:space="0" w:color="auto" w:frame="1"/>
        </w:rPr>
        <w:t>Collectively, these programs will empower communities and their partners to design, develop, and implement multi-faceted</w:t>
      </w:r>
      <w:r w:rsidRPr="00F03C63">
        <w:t>,</w:t>
      </w:r>
      <w:r w:rsidRPr="00F03C63">
        <w:rPr>
          <w:bdr w:val="none" w:sz="0" w:space="0" w:color="auto" w:frame="1"/>
        </w:rPr>
        <w:t xml:space="preserve"> community-driven projects. These programs will address the diverse and unique needs of disadvantaged communities by, among other things: </w:t>
      </w:r>
    </w:p>
    <w:p w:rsidR="0048467B" w:rsidRPr="00F03C63" w:rsidP="0048467B" w14:paraId="28F51951" w14:textId="77777777">
      <w:pPr>
        <w:pStyle w:val="ListParagraph"/>
        <w:numPr>
          <w:ilvl w:val="0"/>
          <w:numId w:val="45"/>
        </w:numPr>
        <w:spacing w:after="0" w:line="240" w:lineRule="auto"/>
        <w:rPr>
          <w:bdr w:val="none" w:sz="0" w:space="0" w:color="auto" w:frame="1"/>
        </w:rPr>
      </w:pPr>
      <w:r w:rsidRPr="00F03C63">
        <w:rPr>
          <w:bdr w:val="none" w:sz="0" w:space="0" w:color="auto" w:frame="1"/>
        </w:rPr>
        <w:t>Monitoring, preventing, and remediating pollution across all environmental media;</w:t>
      </w:r>
    </w:p>
    <w:p w:rsidR="0048467B" w:rsidRPr="00F03C63" w:rsidP="0048467B" w14:paraId="5DD8F651" w14:textId="77777777">
      <w:pPr>
        <w:pStyle w:val="ListParagraph"/>
        <w:numPr>
          <w:ilvl w:val="0"/>
          <w:numId w:val="45"/>
        </w:numPr>
        <w:spacing w:after="0" w:line="240" w:lineRule="auto"/>
        <w:rPr>
          <w:rFonts w:cstheme="minorHAnsi"/>
          <w:bdr w:val="none" w:sz="0" w:space="0" w:color="auto" w:frame="1"/>
        </w:rPr>
      </w:pPr>
      <w:r w:rsidRPr="00F03C63">
        <w:rPr>
          <w:rFonts w:cstheme="minorHAnsi"/>
          <w:bdr w:val="none" w:sz="0" w:space="0" w:color="auto" w:frame="1"/>
        </w:rPr>
        <w:t>Building resilience to climate change and mitigating current and future climate risks;</w:t>
      </w:r>
    </w:p>
    <w:p w:rsidR="0048467B" w:rsidRPr="00F03C63" w:rsidP="0048467B" w14:paraId="676E5C9D" w14:textId="77777777">
      <w:pPr>
        <w:pStyle w:val="ListParagraph"/>
        <w:numPr>
          <w:ilvl w:val="0"/>
          <w:numId w:val="45"/>
        </w:numPr>
        <w:spacing w:after="0" w:line="240" w:lineRule="auto"/>
        <w:rPr>
          <w:rFonts w:cstheme="minorHAnsi"/>
          <w:bdr w:val="none" w:sz="0" w:space="0" w:color="auto" w:frame="1"/>
        </w:rPr>
      </w:pPr>
      <w:r w:rsidRPr="00F03C63">
        <w:rPr>
          <w:rFonts w:cstheme="minorHAnsi"/>
          <w:bdr w:val="none" w:sz="0" w:space="0" w:color="auto" w:frame="1"/>
        </w:rPr>
        <w:t xml:space="preserve">Enhancing meaningful involvement in government processes related to environmental and climate justice; </w:t>
      </w:r>
    </w:p>
    <w:p w:rsidR="0048467B" w:rsidRPr="00F03C63" w:rsidP="0048467B" w14:paraId="0FE3CF0D" w14:textId="77777777">
      <w:pPr>
        <w:pStyle w:val="ListParagraph"/>
        <w:numPr>
          <w:ilvl w:val="0"/>
          <w:numId w:val="45"/>
        </w:numPr>
        <w:spacing w:after="0" w:line="240" w:lineRule="auto"/>
      </w:pPr>
      <w:r w:rsidRPr="00F03C63">
        <w:t>Expanding access to high-quality jobs and economic opportunity through workforce development in occupations that help reduce greenhouse gas emissions and other air pollutants and;</w:t>
      </w:r>
    </w:p>
    <w:p w:rsidR="0048467B" w:rsidRPr="00F03C63" w:rsidP="0048467B" w14:paraId="318ADB4C" w14:textId="77777777">
      <w:pPr>
        <w:pStyle w:val="ListParagraph"/>
        <w:numPr>
          <w:ilvl w:val="0"/>
          <w:numId w:val="45"/>
        </w:numPr>
        <w:spacing w:after="0" w:line="240" w:lineRule="auto"/>
      </w:pPr>
      <w:r w:rsidRPr="00F03C63">
        <w:rPr>
          <w:bdr w:val="none" w:sz="0" w:space="0" w:color="auto" w:frame="1"/>
        </w:rPr>
        <w:t xml:space="preserve">Bolstering community strength by ensuring that </w:t>
      </w:r>
      <w:r w:rsidRPr="00F03C63">
        <w:rPr>
          <w:bdr w:val="none" w:sz="0" w:space="0" w:color="auto" w:frame="1"/>
        </w:rPr>
        <w:t>local residents</w:t>
      </w:r>
      <w:r w:rsidRPr="00F03C63">
        <w:rPr>
          <w:bdr w:val="none" w:sz="0" w:space="0" w:color="auto" w:frame="1"/>
        </w:rPr>
        <w:t xml:space="preserve"> receive the benefits of investments in low</w:t>
      </w:r>
      <w:r w:rsidRPr="00F03C63">
        <w:t>-</w:t>
      </w:r>
      <w:r w:rsidRPr="00F03C63">
        <w:rPr>
          <w:bdr w:val="none" w:sz="0" w:space="0" w:color="auto" w:frame="1"/>
        </w:rPr>
        <w:t xml:space="preserve"> and zero</w:t>
      </w:r>
      <w:r w:rsidRPr="00F03C63">
        <w:t>-</w:t>
      </w:r>
      <w:r w:rsidRPr="00F03C63">
        <w:rPr>
          <w:bdr w:val="none" w:sz="0" w:space="0" w:color="auto" w:frame="1"/>
        </w:rPr>
        <w:t>emissions technologies and related infrastructure and have the opportunity to build on them for current and future generations.</w:t>
      </w:r>
    </w:p>
    <w:p w:rsidR="0048467B" w:rsidRPr="00F03C63" w:rsidP="0048467B" w14:paraId="370BC794" w14:textId="77777777">
      <w:pPr>
        <w:pStyle w:val="Header"/>
        <w:contextualSpacing/>
      </w:pPr>
    </w:p>
    <w:p w:rsidR="0048467B" w:rsidRPr="00F03C63" w:rsidP="0048467B" w14:paraId="59F451DB" w14:textId="77777777">
      <w:pPr>
        <w:tabs>
          <w:tab w:val="center" w:pos="4680"/>
          <w:tab w:val="right" w:pos="9360"/>
        </w:tabs>
        <w:contextualSpacing/>
      </w:pPr>
      <w:bookmarkStart w:id="2" w:name="_Hlk158983449"/>
      <w:r w:rsidRPr="00F03C63">
        <w:t xml:space="preserve">Track I </w:t>
      </w:r>
      <w:r w:rsidRPr="00F03C63">
        <w:t>projects</w:t>
      </w:r>
      <w:r w:rsidRPr="00F03C63">
        <w:t xml:space="preserve"> will make intensive place-based investments with strong collaborations to build climate resilience and reduce pollution in disadvantaged neighborhoods. These projects will address specific, community-driven environmental justice challenges and will center meaningful community engagement </w:t>
      </w:r>
      <w:r w:rsidRPr="00F03C63">
        <w:t>in order to</w:t>
      </w:r>
      <w:r w:rsidRPr="00F03C63">
        <w:t xml:space="preserve"> build immediate and longer-term community strength and economic prosperity.  </w:t>
      </w:r>
    </w:p>
    <w:p w:rsidR="0048467B" w:rsidRPr="00F03C63" w:rsidP="0048467B" w14:paraId="0CF51747" w14:textId="77777777">
      <w:pPr>
        <w:tabs>
          <w:tab w:val="center" w:pos="4680"/>
          <w:tab w:val="right" w:pos="9360"/>
        </w:tabs>
        <w:contextualSpacing/>
      </w:pPr>
    </w:p>
    <w:p w:rsidR="0048467B" w:rsidRPr="00F03C63" w:rsidP="0048467B" w14:paraId="318AB4AB" w14:textId="77777777">
      <w:pPr>
        <w:widowControl w:val="0"/>
        <w:tabs>
          <w:tab w:val="center" w:pos="4680"/>
          <w:tab w:val="right" w:pos="9360"/>
        </w:tabs>
        <w:contextualSpacing/>
        <w:rPr>
          <w:rFonts w:cstheme="minorHAnsi"/>
        </w:rPr>
      </w:pPr>
      <w:r w:rsidRPr="00F03C63">
        <w:t>Track II projects work to break down systemic barriers that limit community participation in government processes around environmental and climate justice. Projects will create engagement and feedback mechanisms between community members and government decision-makers. These projects focus on ways to provide disadvantaged communities with information about issues that directly impact them, while simultaneously creating mechanisms to ensure that community needs inform government decision-making. Grantees in this track will strive to enable communities to play a meaningful role in making and implementing decisions.</w:t>
      </w:r>
      <w:bookmarkEnd w:id="2"/>
      <w:r w:rsidRPr="00F03C63">
        <w:br/>
        <w:t xml:space="preserve"> </w:t>
      </w:r>
    </w:p>
    <w:p w:rsidR="0048467B" w:rsidRPr="004D781E" w:rsidP="0048467B" w14:paraId="3141CE9A" w14:textId="66919FAF">
      <w:pPr>
        <w:contextualSpacing/>
        <w:rPr>
          <w:rFonts w:cstheme="minorHAnsi"/>
        </w:rPr>
      </w:pPr>
      <w:r w:rsidRPr="00F03C63">
        <w:t>The information requested under this ICR will be collected via post-award reports submitted by Grantees that document their planned and actual milestones, activities, target audiences, outputs, outcomes, timelines, and locations of activities or benefits. The</w:t>
      </w:r>
      <w:r w:rsidR="00A01288">
        <w:t xml:space="preserve"> two</w:t>
      </w:r>
      <w:r w:rsidRPr="00F03C63">
        <w:t xml:space="preserve"> </w:t>
      </w:r>
      <w:r>
        <w:t xml:space="preserve">instruments </w:t>
      </w:r>
      <w:r w:rsidRPr="00F03C63">
        <w:t xml:space="preserve">include Progress Reports and Final </w:t>
      </w:r>
      <w:r w:rsidRPr="004D781E">
        <w:t>Reports.</w:t>
      </w:r>
    </w:p>
    <w:p w:rsidR="00921E6B" w:rsidRPr="004D781E" w:rsidP="004D781E" w14:paraId="1BC4648B" w14:textId="77777777">
      <w:pPr>
        <w:pStyle w:val="BodyText"/>
        <w:spacing w:before="1"/>
        <w:rPr>
          <w:u w:val="single"/>
        </w:rPr>
      </w:pPr>
    </w:p>
    <w:p w:rsidR="006B1911" w:rsidRPr="004D781E" w:rsidP="004D781E" w14:paraId="52A5BD92" w14:textId="3839C842">
      <w:pPr>
        <w:pStyle w:val="BodyText"/>
        <w:spacing w:before="1"/>
      </w:pPr>
      <w:r w:rsidRPr="004D781E">
        <w:rPr>
          <w:u w:val="single"/>
        </w:rPr>
        <w:t>Legal</w:t>
      </w:r>
      <w:r w:rsidRPr="004D781E">
        <w:rPr>
          <w:spacing w:val="-3"/>
          <w:u w:val="single"/>
        </w:rPr>
        <w:t xml:space="preserve"> </w:t>
      </w:r>
      <w:r w:rsidRPr="004D781E">
        <w:rPr>
          <w:u w:val="single"/>
        </w:rPr>
        <w:t>and</w:t>
      </w:r>
      <w:r w:rsidRPr="004D781E">
        <w:rPr>
          <w:spacing w:val="-3"/>
          <w:u w:val="single"/>
        </w:rPr>
        <w:t xml:space="preserve"> </w:t>
      </w:r>
      <w:r w:rsidRPr="004D781E">
        <w:rPr>
          <w:u w:val="single"/>
        </w:rPr>
        <w:t>Administrative</w:t>
      </w:r>
      <w:r w:rsidRPr="004D781E">
        <w:rPr>
          <w:spacing w:val="-4"/>
          <w:u w:val="single"/>
        </w:rPr>
        <w:t xml:space="preserve"> </w:t>
      </w:r>
      <w:r w:rsidRPr="004D781E">
        <w:rPr>
          <w:spacing w:val="-2"/>
          <w:u w:val="single"/>
        </w:rPr>
        <w:t>Requirements</w:t>
      </w:r>
    </w:p>
    <w:p w:rsidR="006B1911" w:rsidRPr="00FD6F2C" w:rsidP="004D781E" w14:paraId="3B666B99" w14:textId="77777777">
      <w:pPr>
        <w:pStyle w:val="BodyText"/>
        <w:spacing w:before="266"/>
        <w:ind w:right="172"/>
      </w:pPr>
      <w:r w:rsidRPr="00FD6F2C">
        <w:t>The</w:t>
      </w:r>
      <w:r w:rsidRPr="00FD6F2C">
        <w:rPr>
          <w:spacing w:val="-2"/>
        </w:rPr>
        <w:t xml:space="preserve"> </w:t>
      </w:r>
      <w:r w:rsidRPr="00FD6F2C">
        <w:t>collection</w:t>
      </w:r>
      <w:r w:rsidRPr="00FD6F2C">
        <w:rPr>
          <w:spacing w:val="-6"/>
        </w:rPr>
        <w:t xml:space="preserve"> </w:t>
      </w:r>
      <w:r w:rsidRPr="00FD6F2C">
        <w:t>of</w:t>
      </w:r>
      <w:r w:rsidRPr="00FD6F2C">
        <w:rPr>
          <w:spacing w:val="-3"/>
        </w:rPr>
        <w:t xml:space="preserve"> </w:t>
      </w:r>
      <w:r w:rsidRPr="00FD6F2C">
        <w:t>information</w:t>
      </w:r>
      <w:r w:rsidRPr="00FD6F2C">
        <w:rPr>
          <w:spacing w:val="-3"/>
        </w:rPr>
        <w:t xml:space="preserve"> </w:t>
      </w:r>
      <w:r w:rsidRPr="00FD6F2C">
        <w:t>to</w:t>
      </w:r>
      <w:r w:rsidRPr="00FD6F2C">
        <w:rPr>
          <w:spacing w:val="-3"/>
        </w:rPr>
        <w:t xml:space="preserve"> </w:t>
      </w:r>
      <w:r w:rsidRPr="00FD6F2C">
        <w:t>assess</w:t>
      </w:r>
      <w:r w:rsidRPr="00FD6F2C">
        <w:rPr>
          <w:spacing w:val="-3"/>
        </w:rPr>
        <w:t xml:space="preserve"> </w:t>
      </w:r>
      <w:r w:rsidRPr="00FD6F2C">
        <w:t>and</w:t>
      </w:r>
      <w:r w:rsidRPr="00FD6F2C">
        <w:rPr>
          <w:spacing w:val="-6"/>
        </w:rPr>
        <w:t xml:space="preserve"> </w:t>
      </w:r>
      <w:r w:rsidRPr="00FD6F2C">
        <w:t>manage</w:t>
      </w:r>
      <w:r w:rsidRPr="00FD6F2C">
        <w:rPr>
          <w:spacing w:val="-5"/>
        </w:rPr>
        <w:t xml:space="preserve"> </w:t>
      </w:r>
      <w:r w:rsidRPr="00FD6F2C">
        <w:t>financial</w:t>
      </w:r>
      <w:r w:rsidRPr="00FD6F2C">
        <w:rPr>
          <w:spacing w:val="-3"/>
        </w:rPr>
        <w:t xml:space="preserve"> </w:t>
      </w:r>
      <w:r w:rsidRPr="00FD6F2C">
        <w:t>assistance</w:t>
      </w:r>
      <w:r w:rsidRPr="00FD6F2C">
        <w:rPr>
          <w:spacing w:val="-5"/>
        </w:rPr>
        <w:t xml:space="preserve"> </w:t>
      </w:r>
      <w:r w:rsidRPr="00FD6F2C">
        <w:t>programs</w:t>
      </w:r>
      <w:r w:rsidRPr="00FD6F2C">
        <w:rPr>
          <w:spacing w:val="-5"/>
        </w:rPr>
        <w:t xml:space="preserve"> </w:t>
      </w:r>
      <w:r w:rsidRPr="00FD6F2C">
        <w:t>fulfills</w:t>
      </w:r>
      <w:r w:rsidRPr="00FD6F2C">
        <w:rPr>
          <w:spacing w:val="-3"/>
        </w:rPr>
        <w:t xml:space="preserve"> </w:t>
      </w:r>
      <w:r w:rsidRPr="00FD6F2C">
        <w:t>various</w:t>
      </w:r>
      <w:r w:rsidRPr="00FD6F2C">
        <w:rPr>
          <w:spacing w:val="-3"/>
        </w:rPr>
        <w:t xml:space="preserve"> </w:t>
      </w:r>
      <w:r w:rsidRPr="00FD6F2C">
        <w:t>legal and administrative requirements:</w:t>
      </w:r>
    </w:p>
    <w:p w:rsidR="006B1911" w:rsidRPr="00FD6F2C" w:rsidP="00961C50" w14:paraId="633A9316" w14:textId="77777777">
      <w:pPr>
        <w:pStyle w:val="BodyText"/>
        <w:spacing w:before="1"/>
      </w:pPr>
    </w:p>
    <w:p w:rsidR="006B1911" w:rsidRPr="00FD6F2C" w:rsidP="00961C50" w14:paraId="5929B045" w14:textId="44969C5A">
      <w:pPr>
        <w:pStyle w:val="ListParagraph"/>
        <w:widowControl w:val="0"/>
        <w:numPr>
          <w:ilvl w:val="0"/>
          <w:numId w:val="38"/>
        </w:numPr>
        <w:tabs>
          <w:tab w:val="left" w:pos="840"/>
        </w:tabs>
        <w:autoSpaceDE w:val="0"/>
        <w:autoSpaceDN w:val="0"/>
        <w:spacing w:after="0" w:line="240" w:lineRule="auto"/>
        <w:ind w:right="468"/>
      </w:pPr>
      <w:r w:rsidRPr="00FD6F2C">
        <w:rPr>
          <w:i/>
          <w:iCs/>
        </w:rPr>
        <w:t xml:space="preserve">EPA’s general regulation for financial assistance programs </w:t>
      </w:r>
      <w:r w:rsidRPr="00FD6F2C">
        <w:t>establishes the minimum management</w:t>
      </w:r>
      <w:r w:rsidRPr="00FD6F2C">
        <w:rPr>
          <w:spacing w:val="-4"/>
        </w:rPr>
        <w:t xml:space="preserve"> </w:t>
      </w:r>
      <w:r w:rsidRPr="00FD6F2C">
        <w:t>requirements</w:t>
      </w:r>
      <w:r w:rsidRPr="00FD6F2C">
        <w:rPr>
          <w:spacing w:val="-5"/>
        </w:rPr>
        <w:t xml:space="preserve"> </w:t>
      </w:r>
      <w:r w:rsidRPr="00FD6F2C">
        <w:t>for</w:t>
      </w:r>
      <w:r w:rsidRPr="00FD6F2C">
        <w:rPr>
          <w:spacing w:val="-5"/>
        </w:rPr>
        <w:t xml:space="preserve"> </w:t>
      </w:r>
      <w:r w:rsidRPr="00FD6F2C">
        <w:t>recipients</w:t>
      </w:r>
      <w:r w:rsidRPr="00FD6F2C">
        <w:rPr>
          <w:spacing w:val="-5"/>
        </w:rPr>
        <w:t xml:space="preserve"> </w:t>
      </w:r>
      <w:r w:rsidRPr="00FD6F2C">
        <w:t>of</w:t>
      </w:r>
      <w:r w:rsidRPr="00FD6F2C">
        <w:rPr>
          <w:spacing w:val="-7"/>
        </w:rPr>
        <w:t xml:space="preserve"> </w:t>
      </w:r>
      <w:r w:rsidRPr="00FD6F2C">
        <w:t>EPA’s</w:t>
      </w:r>
      <w:r w:rsidRPr="00FD6F2C">
        <w:rPr>
          <w:spacing w:val="-3"/>
        </w:rPr>
        <w:t xml:space="preserve"> </w:t>
      </w:r>
      <w:r w:rsidRPr="00FD6F2C">
        <w:t>financial</w:t>
      </w:r>
      <w:r w:rsidRPr="00FD6F2C">
        <w:rPr>
          <w:spacing w:val="-3"/>
        </w:rPr>
        <w:t xml:space="preserve"> </w:t>
      </w:r>
      <w:r w:rsidRPr="00FD6F2C">
        <w:t>assistance</w:t>
      </w:r>
      <w:r w:rsidRPr="00FD6F2C">
        <w:rPr>
          <w:spacing w:val="-5"/>
        </w:rPr>
        <w:t xml:space="preserve"> </w:t>
      </w:r>
      <w:r w:rsidRPr="00FD6F2C">
        <w:t>programs.</w:t>
      </w:r>
      <w:r w:rsidRPr="00FD6F2C">
        <w:rPr>
          <w:spacing w:val="-10"/>
        </w:rPr>
        <w:t xml:space="preserve"> </w:t>
      </w:r>
      <w:r w:rsidRPr="00FD6F2C">
        <w:t>The</w:t>
      </w:r>
      <w:r w:rsidRPr="00FD6F2C">
        <w:rPr>
          <w:spacing w:val="-3"/>
        </w:rPr>
        <w:t xml:space="preserve"> </w:t>
      </w:r>
      <w:r w:rsidRPr="00FD6F2C">
        <w:t xml:space="preserve">reports submitted by the grantees under this ICR fulfill the information collection and </w:t>
      </w:r>
      <w:r w:rsidRPr="00FD6F2C">
        <w:t xml:space="preserve">reporting requirements included in EPA regulations </w:t>
      </w:r>
      <w:r w:rsidRPr="00FD6F2C" w:rsidR="00E739B7">
        <w:t xml:space="preserve">2 CFR Parts </w:t>
      </w:r>
      <w:hyperlink r:id="rId16">
        <w:r w:rsidRPr="00FD6F2C" w:rsidR="00E739B7">
          <w:rPr>
            <w:rStyle w:val="Hyperlink"/>
          </w:rPr>
          <w:t>200</w:t>
        </w:r>
      </w:hyperlink>
      <w:r>
        <w:rPr>
          <w:rStyle w:val="FootnoteReference"/>
        </w:rPr>
        <w:footnoteReference w:id="9"/>
      </w:r>
      <w:r w:rsidRPr="00FD6F2C" w:rsidR="00E739B7">
        <w:t xml:space="preserve"> and </w:t>
      </w:r>
      <w:hyperlink r:id="rId17">
        <w:r w:rsidRPr="00FD6F2C" w:rsidR="00E739B7">
          <w:rPr>
            <w:rStyle w:val="Hyperlink"/>
          </w:rPr>
          <w:t>1500</w:t>
        </w:r>
      </w:hyperlink>
      <w:r w:rsidRPr="00FD6F2C" w:rsidR="00E739B7">
        <w:t>.</w:t>
      </w:r>
      <w:r>
        <w:rPr>
          <w:rStyle w:val="FootnoteReference"/>
        </w:rPr>
        <w:footnoteReference w:id="10"/>
      </w:r>
    </w:p>
    <w:p w:rsidR="006B1911" w:rsidRPr="00FD6F2C" w:rsidP="00961C50" w14:paraId="2F5C3BE2" w14:textId="77777777">
      <w:pPr>
        <w:pStyle w:val="BodyText"/>
        <w:spacing w:before="1"/>
      </w:pPr>
    </w:p>
    <w:p w:rsidR="006B1911" w:rsidRPr="00FD6F2C" w:rsidP="00961C50" w14:paraId="00720766" w14:textId="34048523">
      <w:pPr>
        <w:pStyle w:val="ListParagraph"/>
        <w:widowControl w:val="0"/>
        <w:numPr>
          <w:ilvl w:val="0"/>
          <w:numId w:val="38"/>
        </w:numPr>
        <w:tabs>
          <w:tab w:val="left" w:pos="840"/>
        </w:tabs>
        <w:autoSpaceDE w:val="0"/>
        <w:autoSpaceDN w:val="0"/>
        <w:spacing w:after="0" w:line="240" w:lineRule="auto"/>
        <w:ind w:right="135"/>
        <w:contextualSpacing w:val="0"/>
      </w:pPr>
      <w:r w:rsidRPr="00FD6F2C">
        <w:t xml:space="preserve">The </w:t>
      </w:r>
      <w:r w:rsidRPr="00FD6F2C">
        <w:rPr>
          <w:i/>
        </w:rPr>
        <w:t xml:space="preserve">Government Performance and Results Modernization Act of 2010 </w:t>
      </w:r>
      <w:r w:rsidRPr="00FD6F2C" w:rsidR="00E739B7">
        <w:rPr>
          <w:i/>
          <w:iCs/>
          <w:color w:val="0000FF"/>
        </w:rPr>
        <w:t>(</w:t>
      </w:r>
      <w:hyperlink r:id="rId18">
        <w:r w:rsidRPr="00FD6F2C" w:rsidR="00E739B7">
          <w:rPr>
            <w:rStyle w:val="Hyperlink"/>
            <w:i/>
            <w:iCs/>
          </w:rPr>
          <w:t>GPRA-Mod</w:t>
        </w:r>
      </w:hyperlink>
      <w:r>
        <w:rPr>
          <w:rStyle w:val="FootnoteReference"/>
        </w:rPr>
        <w:footnoteReference w:id="11"/>
      </w:r>
      <w:r w:rsidRPr="00FD6F2C" w:rsidR="00E739B7">
        <w:rPr>
          <w:i/>
          <w:iCs/>
          <w:color w:val="0000FF"/>
        </w:rPr>
        <w:t>)</w:t>
      </w:r>
      <w:r w:rsidRPr="00FD6F2C" w:rsidR="00E739B7">
        <w:rPr>
          <w:color w:val="0000FF"/>
        </w:rPr>
        <w:t xml:space="preserve"> </w:t>
      </w:r>
      <w:r w:rsidRPr="00FD6F2C">
        <w:t>requires agencies</w:t>
      </w:r>
      <w:r w:rsidRPr="00FD6F2C">
        <w:rPr>
          <w:spacing w:val="-3"/>
        </w:rPr>
        <w:t xml:space="preserve"> </w:t>
      </w:r>
      <w:r w:rsidRPr="00FD6F2C">
        <w:t>to</w:t>
      </w:r>
      <w:r w:rsidRPr="00FD6F2C">
        <w:rPr>
          <w:spacing w:val="-3"/>
        </w:rPr>
        <w:t xml:space="preserve"> </w:t>
      </w:r>
      <w:r w:rsidRPr="00FD6F2C">
        <w:t>set</w:t>
      </w:r>
      <w:r w:rsidRPr="00FD6F2C">
        <w:rPr>
          <w:spacing w:val="-1"/>
        </w:rPr>
        <w:t xml:space="preserve"> </w:t>
      </w:r>
      <w:r w:rsidRPr="00FD6F2C">
        <w:t>goals,</w:t>
      </w:r>
      <w:r w:rsidRPr="00FD6F2C">
        <w:rPr>
          <w:spacing w:val="-5"/>
        </w:rPr>
        <w:t xml:space="preserve"> </w:t>
      </w:r>
      <w:r w:rsidRPr="00FD6F2C">
        <w:t>measure</w:t>
      </w:r>
      <w:r w:rsidRPr="00FD6F2C">
        <w:rPr>
          <w:spacing w:val="-1"/>
        </w:rPr>
        <w:t xml:space="preserve"> </w:t>
      </w:r>
      <w:r w:rsidRPr="00FD6F2C">
        <w:t>performance</w:t>
      </w:r>
      <w:r w:rsidRPr="00FD6F2C">
        <w:rPr>
          <w:spacing w:val="-1"/>
        </w:rPr>
        <w:t xml:space="preserve"> </w:t>
      </w:r>
      <w:r w:rsidRPr="00FD6F2C">
        <w:t>against</w:t>
      </w:r>
      <w:r w:rsidRPr="00FD6F2C">
        <w:rPr>
          <w:spacing w:val="-4"/>
        </w:rPr>
        <w:t xml:space="preserve"> </w:t>
      </w:r>
      <w:r w:rsidRPr="00FD6F2C">
        <w:t>those</w:t>
      </w:r>
      <w:r w:rsidRPr="00FD6F2C">
        <w:rPr>
          <w:spacing w:val="-1"/>
        </w:rPr>
        <w:t xml:space="preserve"> </w:t>
      </w:r>
      <w:r w:rsidRPr="00FD6F2C">
        <w:t>goals</w:t>
      </w:r>
      <w:r w:rsidRPr="00FD6F2C">
        <w:rPr>
          <w:spacing w:val="-3"/>
        </w:rPr>
        <w:t xml:space="preserve"> </w:t>
      </w:r>
      <w:r w:rsidRPr="00FD6F2C">
        <w:t>and</w:t>
      </w:r>
      <w:r w:rsidRPr="00FD6F2C">
        <w:rPr>
          <w:spacing w:val="-3"/>
        </w:rPr>
        <w:t xml:space="preserve"> </w:t>
      </w:r>
      <w:r w:rsidRPr="00FD6F2C">
        <w:t>report</w:t>
      </w:r>
      <w:r w:rsidRPr="00FD6F2C">
        <w:rPr>
          <w:spacing w:val="-1"/>
        </w:rPr>
        <w:t xml:space="preserve"> </w:t>
      </w:r>
      <w:r w:rsidRPr="00FD6F2C">
        <w:t>publicly on</w:t>
      </w:r>
      <w:r w:rsidRPr="00FD6F2C">
        <w:rPr>
          <w:spacing w:val="-3"/>
        </w:rPr>
        <w:t xml:space="preserve"> </w:t>
      </w:r>
      <w:r w:rsidRPr="00FD6F2C">
        <w:t>progress. As a mechanism to achieve this goal, agencies must build and publish an Annual Performance Report</w:t>
      </w:r>
      <w:r w:rsidRPr="00FD6F2C">
        <w:rPr>
          <w:spacing w:val="-4"/>
        </w:rPr>
        <w:t xml:space="preserve"> </w:t>
      </w:r>
      <w:r w:rsidRPr="00FD6F2C">
        <w:t>(APR),</w:t>
      </w:r>
      <w:r w:rsidRPr="00FD6F2C">
        <w:rPr>
          <w:spacing w:val="-5"/>
        </w:rPr>
        <w:t xml:space="preserve"> </w:t>
      </w:r>
      <w:r w:rsidRPr="00FD6F2C">
        <w:t>which</w:t>
      </w:r>
      <w:r w:rsidRPr="00FD6F2C">
        <w:rPr>
          <w:spacing w:val="-5"/>
        </w:rPr>
        <w:t xml:space="preserve"> </w:t>
      </w:r>
      <w:r w:rsidRPr="00FD6F2C">
        <w:t>includes</w:t>
      </w:r>
      <w:r w:rsidRPr="00FD6F2C">
        <w:rPr>
          <w:spacing w:val="-5"/>
        </w:rPr>
        <w:t xml:space="preserve"> </w:t>
      </w:r>
      <w:r w:rsidRPr="00FD6F2C">
        <w:t>measurable</w:t>
      </w:r>
      <w:r w:rsidRPr="00FD6F2C">
        <w:rPr>
          <w:spacing w:val="-5"/>
        </w:rPr>
        <w:t xml:space="preserve"> </w:t>
      </w:r>
      <w:r w:rsidRPr="00FD6F2C">
        <w:t>goals,</w:t>
      </w:r>
      <w:r w:rsidRPr="00FD6F2C">
        <w:rPr>
          <w:spacing w:val="-5"/>
        </w:rPr>
        <w:t xml:space="preserve"> </w:t>
      </w:r>
      <w:r w:rsidRPr="00FD6F2C">
        <w:t>targets,</w:t>
      </w:r>
      <w:r w:rsidRPr="00FD6F2C">
        <w:rPr>
          <w:spacing w:val="-3"/>
        </w:rPr>
        <w:t xml:space="preserve"> </w:t>
      </w:r>
      <w:r w:rsidRPr="00FD6F2C">
        <w:t>and</w:t>
      </w:r>
      <w:r w:rsidRPr="00FD6F2C">
        <w:rPr>
          <w:spacing w:val="-3"/>
        </w:rPr>
        <w:t xml:space="preserve"> </w:t>
      </w:r>
      <w:r w:rsidRPr="00FD6F2C">
        <w:t>actuals</w:t>
      </w:r>
      <w:r w:rsidRPr="00FD6F2C">
        <w:rPr>
          <w:spacing w:val="-6"/>
        </w:rPr>
        <w:t xml:space="preserve"> </w:t>
      </w:r>
      <w:r w:rsidRPr="00FD6F2C">
        <w:t>from</w:t>
      </w:r>
      <w:r w:rsidRPr="00FD6F2C">
        <w:rPr>
          <w:spacing w:val="-2"/>
        </w:rPr>
        <w:t xml:space="preserve"> </w:t>
      </w:r>
      <w:r w:rsidRPr="00FD6F2C">
        <w:t>the</w:t>
      </w:r>
      <w:r w:rsidRPr="00FD6F2C">
        <w:rPr>
          <w:spacing w:val="-3"/>
        </w:rPr>
        <w:t xml:space="preserve"> </w:t>
      </w:r>
      <w:r w:rsidRPr="00FD6F2C">
        <w:t>prior</w:t>
      </w:r>
      <w:r w:rsidRPr="00FD6F2C">
        <w:rPr>
          <w:spacing w:val="-3"/>
        </w:rPr>
        <w:t xml:space="preserve"> </w:t>
      </w:r>
      <w:r w:rsidRPr="00FD6F2C">
        <w:t>fiscal</w:t>
      </w:r>
      <w:r w:rsidRPr="00FD6F2C">
        <w:rPr>
          <w:spacing w:val="-5"/>
        </w:rPr>
        <w:t xml:space="preserve"> </w:t>
      </w:r>
      <w:r w:rsidRPr="00FD6F2C">
        <w:t>year</w:t>
      </w:r>
      <w:r w:rsidRPr="00FD6F2C">
        <w:rPr>
          <w:spacing w:val="-3"/>
        </w:rPr>
        <w:t xml:space="preserve"> </w:t>
      </w:r>
      <w:r w:rsidRPr="00FD6F2C">
        <w:t xml:space="preserve">for all EPA programs. EPA publishes the APR each year alongside the Congressional Justification submitted to the Office of Management and Budget (OMB). Information collected for the </w:t>
      </w:r>
      <w:r w:rsidRPr="00FD6F2C" w:rsidR="00FD6F2C">
        <w:t>Community Change Grants</w:t>
      </w:r>
      <w:r w:rsidRPr="00FD6F2C">
        <w:t xml:space="preserve"> via </w:t>
      </w:r>
      <w:r w:rsidRPr="00FD6F2C" w:rsidR="00FD6F2C">
        <w:t xml:space="preserve">post-award reports </w:t>
      </w:r>
      <w:r w:rsidRPr="00FD6F2C">
        <w:t>will be included in the APR.</w:t>
      </w:r>
    </w:p>
    <w:p w:rsidR="006B1911" w:rsidRPr="00FD6F2C" w:rsidP="00961C50" w14:paraId="319293AC" w14:textId="77777777">
      <w:pPr>
        <w:pStyle w:val="BodyText"/>
      </w:pPr>
    </w:p>
    <w:p w:rsidR="006369AE" w:rsidRPr="00916553" w:rsidP="006369AE" w14:paraId="4064B123" w14:textId="7B02FA17">
      <w:pPr>
        <w:pStyle w:val="ListParagraph"/>
        <w:widowControl w:val="0"/>
        <w:numPr>
          <w:ilvl w:val="0"/>
          <w:numId w:val="38"/>
        </w:numPr>
        <w:tabs>
          <w:tab w:val="left" w:pos="840"/>
        </w:tabs>
        <w:autoSpaceDE w:val="0"/>
        <w:autoSpaceDN w:val="0"/>
        <w:spacing w:after="0" w:line="240" w:lineRule="auto"/>
        <w:ind w:right="145"/>
        <w:contextualSpacing w:val="0"/>
      </w:pPr>
      <w:r w:rsidRPr="00FD6F2C">
        <w:t xml:space="preserve">The </w:t>
      </w:r>
      <w:r w:rsidRPr="00FD6F2C">
        <w:rPr>
          <w:i/>
        </w:rPr>
        <w:t xml:space="preserve">Digital Accountability and Transparency Act of 2014 </w:t>
      </w:r>
      <w:r w:rsidRPr="00FD6F2C" w:rsidR="00E739B7">
        <w:rPr>
          <w:i/>
          <w:iCs/>
        </w:rPr>
        <w:t>(</w:t>
      </w:r>
      <w:hyperlink r:id="rId19">
        <w:r w:rsidRPr="00FD6F2C" w:rsidR="00E739B7">
          <w:rPr>
            <w:rStyle w:val="Hyperlink"/>
            <w:i/>
            <w:iCs/>
          </w:rPr>
          <w:t>DATA Act</w:t>
        </w:r>
      </w:hyperlink>
      <w:r>
        <w:rPr>
          <w:rStyle w:val="FootnoteReference"/>
        </w:rPr>
        <w:footnoteReference w:id="12"/>
      </w:r>
      <w:r w:rsidRPr="00FD6F2C" w:rsidR="00E739B7">
        <w:rPr>
          <w:i/>
          <w:iCs/>
        </w:rPr>
        <w:t>)</w:t>
      </w:r>
      <w:r w:rsidRPr="00FD6F2C" w:rsidR="00E739B7">
        <w:t xml:space="preserve"> </w:t>
      </w:r>
      <w:r w:rsidRPr="00FD6F2C">
        <w:t>requires the federal government to transform its spending information into open data, and link federal contract, loan, and grant spending information to federal programs to enable more transparent public examination</w:t>
      </w:r>
      <w:r w:rsidRPr="00FD6F2C">
        <w:rPr>
          <w:spacing w:val="-6"/>
        </w:rPr>
        <w:t xml:space="preserve"> </w:t>
      </w:r>
      <w:r w:rsidRPr="00FD6F2C">
        <w:t>of</w:t>
      </w:r>
      <w:r w:rsidRPr="00FD6F2C">
        <w:rPr>
          <w:spacing w:val="-3"/>
        </w:rPr>
        <w:t xml:space="preserve"> </w:t>
      </w:r>
      <w:r w:rsidRPr="00FD6F2C">
        <w:t>federal</w:t>
      </w:r>
      <w:r w:rsidRPr="00FD6F2C">
        <w:rPr>
          <w:spacing w:val="-5"/>
        </w:rPr>
        <w:t xml:space="preserve"> </w:t>
      </w:r>
      <w:r w:rsidRPr="00FD6F2C">
        <w:t>spending.</w:t>
      </w:r>
      <w:r w:rsidRPr="00FD6F2C">
        <w:rPr>
          <w:spacing w:val="-3"/>
        </w:rPr>
        <w:t xml:space="preserve"> </w:t>
      </w:r>
      <w:r w:rsidRPr="00FD6F2C">
        <w:t>To</w:t>
      </w:r>
      <w:r w:rsidRPr="00FD6F2C">
        <w:rPr>
          <w:spacing w:val="-2"/>
        </w:rPr>
        <w:t xml:space="preserve"> </w:t>
      </w:r>
      <w:r w:rsidRPr="00FD6F2C">
        <w:t>enable</w:t>
      </w:r>
      <w:r w:rsidRPr="00FD6F2C">
        <w:rPr>
          <w:spacing w:val="-3"/>
        </w:rPr>
        <w:t xml:space="preserve"> </w:t>
      </w:r>
      <w:r w:rsidRPr="00FD6F2C">
        <w:t>public</w:t>
      </w:r>
      <w:r w:rsidRPr="00FD6F2C">
        <w:rPr>
          <w:spacing w:val="-5"/>
        </w:rPr>
        <w:t xml:space="preserve"> </w:t>
      </w:r>
      <w:r w:rsidRPr="00FD6F2C">
        <w:t>scrutiny</w:t>
      </w:r>
      <w:r w:rsidRPr="00FD6F2C">
        <w:rPr>
          <w:spacing w:val="-2"/>
        </w:rPr>
        <w:t xml:space="preserve"> </w:t>
      </w:r>
      <w:r w:rsidRPr="00FD6F2C">
        <w:t>of</w:t>
      </w:r>
      <w:r w:rsidRPr="00FD6F2C">
        <w:rPr>
          <w:spacing w:val="-7"/>
        </w:rPr>
        <w:t xml:space="preserve"> </w:t>
      </w:r>
      <w:r w:rsidRPr="00FD6F2C">
        <w:t>federal</w:t>
      </w:r>
      <w:r w:rsidRPr="00FD6F2C">
        <w:rPr>
          <w:spacing w:val="-5"/>
        </w:rPr>
        <w:t xml:space="preserve"> </w:t>
      </w:r>
      <w:r w:rsidRPr="00FD6F2C">
        <w:t>investments,</w:t>
      </w:r>
      <w:r w:rsidRPr="00FD6F2C">
        <w:rPr>
          <w:spacing w:val="-3"/>
        </w:rPr>
        <w:t xml:space="preserve"> </w:t>
      </w:r>
      <w:r w:rsidRPr="00FD6F2C">
        <w:t>EPA</w:t>
      </w:r>
      <w:r w:rsidRPr="00FD6F2C">
        <w:rPr>
          <w:spacing w:val="-5"/>
        </w:rPr>
        <w:t xml:space="preserve"> </w:t>
      </w:r>
      <w:r w:rsidRPr="00FD6F2C">
        <w:t>will</w:t>
      </w:r>
      <w:r w:rsidRPr="00FD6F2C">
        <w:rPr>
          <w:spacing w:val="-3"/>
        </w:rPr>
        <w:t xml:space="preserve"> </w:t>
      </w:r>
      <w:r w:rsidRPr="00FD6F2C">
        <w:t>need to collect information from the grantees about the location of each funded activity and its associated place of performance</w:t>
      </w:r>
      <w:r w:rsidR="00916553">
        <w:t>.</w:t>
      </w:r>
      <w:r>
        <w:br/>
      </w:r>
    </w:p>
    <w:p w:rsidR="006B1911" w:rsidRPr="00916553" w:rsidP="00FE5FC6" w14:paraId="537EE4CF" w14:textId="60C77706">
      <w:pPr>
        <w:pStyle w:val="ListParagraph"/>
        <w:widowControl w:val="0"/>
        <w:numPr>
          <w:ilvl w:val="0"/>
          <w:numId w:val="38"/>
        </w:numPr>
        <w:tabs>
          <w:tab w:val="left" w:pos="840"/>
        </w:tabs>
        <w:autoSpaceDE w:val="0"/>
        <w:autoSpaceDN w:val="0"/>
        <w:spacing w:before="46" w:after="0" w:line="240" w:lineRule="auto"/>
        <w:ind w:right="230"/>
      </w:pPr>
      <w:hyperlink r:id="rId20" w:history="1">
        <w:r w:rsidRPr="00916553" w:rsidR="00E739B7">
          <w:rPr>
            <w:rStyle w:val="Hyperlink"/>
            <w:i/>
            <w:iCs/>
          </w:rPr>
          <w:t>Justice40</w:t>
        </w:r>
      </w:hyperlink>
      <w:r>
        <w:rPr>
          <w:rStyle w:val="FootnoteReference"/>
        </w:rPr>
        <w:footnoteReference w:id="13"/>
      </w:r>
      <w:r w:rsidRPr="00916553">
        <w:rPr>
          <w:i/>
          <w:color w:val="0000FF"/>
        </w:rPr>
        <w:t xml:space="preserve"> </w:t>
      </w:r>
      <w:r w:rsidRPr="00916553">
        <w:t xml:space="preserve">is a whole-of-government initiative launched by the Biden-Harris Administration in 2021, which represents a commitment to direct 40% of the overall benefits of certain Federal investments to disadvantaged communities that are marginalized, underserved, and overburdened by pollution. As per </w:t>
      </w:r>
      <w:hyperlink r:id="rId21">
        <w:r w:rsidRPr="00916553" w:rsidR="00E739B7">
          <w:rPr>
            <w:rStyle w:val="Hyperlink"/>
          </w:rPr>
          <w:t>OMB Guidance M-21-28</w:t>
        </w:r>
      </w:hyperlink>
      <w:r>
        <w:rPr>
          <w:rStyle w:val="FootnoteReference"/>
        </w:rPr>
        <w:footnoteReference w:id="14"/>
      </w:r>
      <w:r w:rsidRPr="00916553">
        <w:t>, EPA programs that are covered by this</w:t>
      </w:r>
      <w:r w:rsidRPr="00916553">
        <w:rPr>
          <w:spacing w:val="-3"/>
        </w:rPr>
        <w:t xml:space="preserve"> </w:t>
      </w:r>
      <w:r w:rsidRPr="00916553">
        <w:t>initiative</w:t>
      </w:r>
      <w:r w:rsidRPr="00916553">
        <w:rPr>
          <w:spacing w:val="-5"/>
        </w:rPr>
        <w:t xml:space="preserve"> </w:t>
      </w:r>
      <w:r w:rsidRPr="00916553">
        <w:t>are</w:t>
      </w:r>
      <w:r w:rsidRPr="00916553">
        <w:rPr>
          <w:spacing w:val="-3"/>
        </w:rPr>
        <w:t xml:space="preserve"> </w:t>
      </w:r>
      <w:r w:rsidRPr="00916553">
        <w:t>required</w:t>
      </w:r>
      <w:r w:rsidRPr="00916553">
        <w:rPr>
          <w:spacing w:val="-6"/>
        </w:rPr>
        <w:t xml:space="preserve"> </w:t>
      </w:r>
      <w:r w:rsidRPr="00916553">
        <w:t>to</w:t>
      </w:r>
      <w:r w:rsidRPr="00916553">
        <w:rPr>
          <w:spacing w:val="-2"/>
        </w:rPr>
        <w:t xml:space="preserve"> </w:t>
      </w:r>
      <w:r w:rsidRPr="00916553">
        <w:t>report:</w:t>
      </w:r>
      <w:r w:rsidRPr="00916553">
        <w:rPr>
          <w:spacing w:val="-3"/>
        </w:rPr>
        <w:t xml:space="preserve"> </w:t>
      </w:r>
      <w:r w:rsidRPr="00916553">
        <w:t>(1)</w:t>
      </w:r>
      <w:r w:rsidRPr="00916553">
        <w:rPr>
          <w:spacing w:val="-3"/>
        </w:rPr>
        <w:t xml:space="preserve"> </w:t>
      </w:r>
      <w:r w:rsidRPr="00916553">
        <w:t>investments</w:t>
      </w:r>
      <w:r w:rsidRPr="00916553">
        <w:rPr>
          <w:spacing w:val="-3"/>
        </w:rPr>
        <w:t xml:space="preserve"> </w:t>
      </w:r>
      <w:r w:rsidRPr="00916553">
        <w:t>that</w:t>
      </w:r>
      <w:r w:rsidRPr="00916553">
        <w:rPr>
          <w:spacing w:val="-3"/>
        </w:rPr>
        <w:t xml:space="preserve"> </w:t>
      </w:r>
      <w:r w:rsidRPr="00916553">
        <w:t>go</w:t>
      </w:r>
      <w:r w:rsidRPr="00916553">
        <w:rPr>
          <w:spacing w:val="-4"/>
        </w:rPr>
        <w:t xml:space="preserve"> </w:t>
      </w:r>
      <w:r w:rsidRPr="00916553">
        <w:t>to</w:t>
      </w:r>
      <w:r w:rsidRPr="00916553">
        <w:rPr>
          <w:spacing w:val="-1"/>
        </w:rPr>
        <w:t xml:space="preserve"> </w:t>
      </w:r>
      <w:r w:rsidRPr="00916553">
        <w:t>disadvantaged</w:t>
      </w:r>
      <w:r w:rsidRPr="00916553">
        <w:rPr>
          <w:spacing w:val="-7"/>
        </w:rPr>
        <w:t xml:space="preserve"> </w:t>
      </w:r>
      <w:r w:rsidRPr="00916553">
        <w:t>communities;</w:t>
      </w:r>
      <w:r w:rsidRPr="00916553">
        <w:rPr>
          <w:spacing w:val="-5"/>
        </w:rPr>
        <w:t xml:space="preserve"> </w:t>
      </w:r>
      <w:r w:rsidRPr="00916553">
        <w:t>(2) program outcomes and benefits for disadvantaged communities; and (3) community engagement</w:t>
      </w:r>
      <w:r w:rsidRPr="00916553">
        <w:rPr>
          <w:spacing w:val="-4"/>
        </w:rPr>
        <w:t xml:space="preserve"> </w:t>
      </w:r>
      <w:r w:rsidRPr="00916553">
        <w:t>and</w:t>
      </w:r>
      <w:r w:rsidRPr="00916553">
        <w:rPr>
          <w:spacing w:val="-6"/>
        </w:rPr>
        <w:t xml:space="preserve"> </w:t>
      </w:r>
      <w:r w:rsidRPr="00916553">
        <w:t>stakeholder</w:t>
      </w:r>
      <w:r w:rsidRPr="00916553">
        <w:rPr>
          <w:spacing w:val="-4"/>
        </w:rPr>
        <w:t xml:space="preserve"> </w:t>
      </w:r>
      <w:r w:rsidRPr="00916553">
        <w:t>consultation</w:t>
      </w:r>
      <w:r w:rsidRPr="00916553">
        <w:rPr>
          <w:spacing w:val="-6"/>
        </w:rPr>
        <w:t xml:space="preserve"> </w:t>
      </w:r>
      <w:r w:rsidRPr="00916553">
        <w:t>with</w:t>
      </w:r>
      <w:r w:rsidRPr="00916553">
        <w:rPr>
          <w:spacing w:val="-7"/>
        </w:rPr>
        <w:t xml:space="preserve"> </w:t>
      </w:r>
      <w:r w:rsidRPr="00916553">
        <w:t>disadvantaged</w:t>
      </w:r>
      <w:r w:rsidRPr="00916553">
        <w:rPr>
          <w:spacing w:val="-6"/>
        </w:rPr>
        <w:t xml:space="preserve"> </w:t>
      </w:r>
      <w:r w:rsidRPr="00916553">
        <w:t>communities</w:t>
      </w:r>
      <w:r w:rsidRPr="00916553">
        <w:rPr>
          <w:spacing w:val="-7"/>
        </w:rPr>
        <w:t xml:space="preserve"> </w:t>
      </w:r>
      <w:r w:rsidRPr="00916553">
        <w:t>and</w:t>
      </w:r>
      <w:r w:rsidRPr="00916553">
        <w:rPr>
          <w:spacing w:val="-6"/>
        </w:rPr>
        <w:t xml:space="preserve"> </w:t>
      </w:r>
      <w:r w:rsidRPr="00916553">
        <w:t>their</w:t>
      </w:r>
      <w:r w:rsidRPr="00916553">
        <w:rPr>
          <w:spacing w:val="-4"/>
        </w:rPr>
        <w:t xml:space="preserve"> </w:t>
      </w:r>
      <w:r w:rsidRPr="00916553">
        <w:t xml:space="preserve">partners. To fulfill the reporting requirements regarding the location of investments and benefits, EPA must collect information from each grantee about the location of each funded activity and its area of impact, at the appropriate and feasible level of specificity. </w:t>
      </w:r>
    </w:p>
    <w:p w:rsidR="00916553" w:rsidRPr="00916553" w:rsidP="00916553" w14:paraId="123DF09A" w14:textId="77777777">
      <w:pPr>
        <w:pStyle w:val="ListParagraph"/>
        <w:widowControl w:val="0"/>
        <w:tabs>
          <w:tab w:val="left" w:pos="840"/>
        </w:tabs>
        <w:autoSpaceDE w:val="0"/>
        <w:autoSpaceDN w:val="0"/>
        <w:spacing w:before="46" w:after="0" w:line="240" w:lineRule="auto"/>
        <w:ind w:left="840" w:right="230"/>
      </w:pPr>
    </w:p>
    <w:p w:rsidR="00B13F75" w:rsidRPr="00CD39CF" w:rsidP="00961C50" w14:paraId="62137FDF" w14:textId="5B98272F">
      <w:pPr>
        <w:pStyle w:val="ListParagraph"/>
        <w:widowControl w:val="0"/>
        <w:numPr>
          <w:ilvl w:val="0"/>
          <w:numId w:val="38"/>
        </w:numPr>
        <w:tabs>
          <w:tab w:val="left" w:pos="840"/>
        </w:tabs>
        <w:autoSpaceDE w:val="0"/>
        <w:autoSpaceDN w:val="0"/>
        <w:spacing w:after="0" w:line="240" w:lineRule="auto"/>
        <w:ind w:right="171"/>
        <w:contextualSpacing w:val="0"/>
      </w:pPr>
      <w:r w:rsidRPr="00916553">
        <w:t xml:space="preserve">The </w:t>
      </w:r>
      <w:r w:rsidRPr="00916553">
        <w:rPr>
          <w:i/>
        </w:rPr>
        <w:t xml:space="preserve">Foundations for Evidence-Based Policymaking Act of 2018 </w:t>
      </w:r>
      <w:r w:rsidRPr="00916553" w:rsidR="00AC1F88">
        <w:rPr>
          <w:i/>
          <w:iCs/>
        </w:rPr>
        <w:t>(</w:t>
      </w:r>
      <w:hyperlink r:id="rId22" w:history="1">
        <w:r w:rsidRPr="00916553" w:rsidR="00AC1F88">
          <w:rPr>
            <w:rStyle w:val="Hyperlink"/>
            <w:i/>
            <w:iCs/>
          </w:rPr>
          <w:t>Evidence Act</w:t>
        </w:r>
      </w:hyperlink>
      <w:r>
        <w:rPr>
          <w:rStyle w:val="FootnoteReference"/>
          <w:i/>
          <w:iCs/>
        </w:rPr>
        <w:footnoteReference w:id="15"/>
      </w:r>
      <w:r w:rsidRPr="00916553" w:rsidR="00AC1F88">
        <w:rPr>
          <w:i/>
          <w:iCs/>
        </w:rPr>
        <w:t>)</w:t>
      </w:r>
      <w:r w:rsidRPr="00916553" w:rsidR="00AC1F88">
        <w:t xml:space="preserve"> </w:t>
      </w:r>
      <w:r w:rsidRPr="00916553">
        <w:t>provides a federal framework for agencies to work with</w:t>
      </w:r>
      <w:r w:rsidRPr="00916553">
        <w:rPr>
          <w:spacing w:val="-3"/>
        </w:rPr>
        <w:t xml:space="preserve"> </w:t>
      </w:r>
      <w:r w:rsidRPr="00916553">
        <w:t>stakeholders to</w:t>
      </w:r>
      <w:r w:rsidRPr="00916553">
        <w:rPr>
          <w:spacing w:val="-1"/>
        </w:rPr>
        <w:t xml:space="preserve"> </w:t>
      </w:r>
      <w:r w:rsidRPr="00916553">
        <w:t>promote a</w:t>
      </w:r>
      <w:r w:rsidRPr="00916553">
        <w:rPr>
          <w:spacing w:val="-1"/>
        </w:rPr>
        <w:t xml:space="preserve"> </w:t>
      </w:r>
      <w:r w:rsidRPr="00916553">
        <w:t>culture</w:t>
      </w:r>
      <w:r w:rsidRPr="00916553">
        <w:rPr>
          <w:spacing w:val="-1"/>
        </w:rPr>
        <w:t xml:space="preserve"> </w:t>
      </w:r>
      <w:r w:rsidRPr="00916553">
        <w:t>of</w:t>
      </w:r>
      <w:r w:rsidRPr="00916553">
        <w:rPr>
          <w:spacing w:val="-1"/>
        </w:rPr>
        <w:t xml:space="preserve"> </w:t>
      </w:r>
      <w:r w:rsidRPr="00916553">
        <w:t>continuous learning, and decision-making using the best available evidence. This legislation asks agencies to (1) produce measures and indicators; (2) use data to improve day-to-day operations; (3) advance the rigorous use of evidence as a routine part of planning and budget development; and (4) incorporate evidence in decision-making</w:t>
      </w:r>
      <w:r w:rsidRPr="00916553">
        <w:rPr>
          <w:spacing w:val="-2"/>
        </w:rPr>
        <w:t xml:space="preserve"> </w:t>
      </w:r>
      <w:r w:rsidRPr="00916553">
        <w:t>and</w:t>
      </w:r>
      <w:r w:rsidRPr="00916553">
        <w:rPr>
          <w:spacing w:val="-2"/>
        </w:rPr>
        <w:t xml:space="preserve"> </w:t>
      </w:r>
      <w:r w:rsidRPr="00916553">
        <w:t>reporting. Information</w:t>
      </w:r>
      <w:r w:rsidRPr="00916553">
        <w:rPr>
          <w:spacing w:val="-2"/>
        </w:rPr>
        <w:t xml:space="preserve"> </w:t>
      </w:r>
      <w:r w:rsidRPr="00916553">
        <w:t>collected</w:t>
      </w:r>
      <w:r w:rsidRPr="00916553">
        <w:rPr>
          <w:spacing w:val="-2"/>
        </w:rPr>
        <w:t xml:space="preserve"> </w:t>
      </w:r>
      <w:r w:rsidRPr="00916553">
        <w:t>for</w:t>
      </w:r>
      <w:r w:rsidRPr="00916553">
        <w:rPr>
          <w:spacing w:val="-5"/>
        </w:rPr>
        <w:t xml:space="preserve"> </w:t>
      </w:r>
      <w:r w:rsidRPr="00916553">
        <w:t xml:space="preserve">the </w:t>
      </w:r>
      <w:r w:rsidRPr="00916553" w:rsidR="00916553">
        <w:t>Community Change Grants via post-award reports</w:t>
      </w:r>
      <w:r w:rsidRPr="00916553">
        <w:t xml:space="preserve"> will help develop an evidence base to address the effectiveness, efficiency, and equity of the program</w:t>
      </w:r>
      <w:r w:rsidRPr="00916553" w:rsidR="00916553">
        <w:t>’</w:t>
      </w:r>
      <w:r w:rsidRPr="00916553">
        <w:t>s activities. This evidence base, in turn, will address needs related to organizational learning, ongoing program management, performance management, strategic management, interagency</w:t>
      </w:r>
      <w:r w:rsidRPr="00916553">
        <w:rPr>
          <w:spacing w:val="-5"/>
        </w:rPr>
        <w:t xml:space="preserve"> </w:t>
      </w:r>
      <w:r w:rsidRPr="00916553">
        <w:t>and</w:t>
      </w:r>
      <w:r w:rsidRPr="00916553">
        <w:rPr>
          <w:spacing w:val="-3"/>
        </w:rPr>
        <w:t xml:space="preserve"> </w:t>
      </w:r>
      <w:r w:rsidRPr="00CD39CF">
        <w:t>private</w:t>
      </w:r>
      <w:r w:rsidRPr="00CD39CF">
        <w:rPr>
          <w:spacing w:val="-3"/>
        </w:rPr>
        <w:t xml:space="preserve"> </w:t>
      </w:r>
      <w:r w:rsidRPr="00CD39CF">
        <w:t>sector</w:t>
      </w:r>
      <w:r w:rsidRPr="00CD39CF">
        <w:rPr>
          <w:spacing w:val="-5"/>
        </w:rPr>
        <w:t xml:space="preserve"> </w:t>
      </w:r>
      <w:r w:rsidRPr="00CD39CF">
        <w:t>coordination,</w:t>
      </w:r>
      <w:r w:rsidRPr="00CD39CF">
        <w:rPr>
          <w:spacing w:val="-3"/>
        </w:rPr>
        <w:t xml:space="preserve"> </w:t>
      </w:r>
      <w:r w:rsidRPr="00CD39CF">
        <w:t>internal</w:t>
      </w:r>
      <w:r w:rsidRPr="00CD39CF">
        <w:rPr>
          <w:spacing w:val="-9"/>
        </w:rPr>
        <w:t xml:space="preserve"> </w:t>
      </w:r>
      <w:r w:rsidRPr="00CD39CF">
        <w:t>and</w:t>
      </w:r>
      <w:r w:rsidRPr="00CD39CF">
        <w:rPr>
          <w:spacing w:val="-5"/>
        </w:rPr>
        <w:t xml:space="preserve"> </w:t>
      </w:r>
      <w:r w:rsidRPr="00CD39CF">
        <w:t>external</w:t>
      </w:r>
      <w:r w:rsidRPr="00CD39CF">
        <w:rPr>
          <w:spacing w:val="-5"/>
        </w:rPr>
        <w:t xml:space="preserve"> </w:t>
      </w:r>
      <w:r w:rsidRPr="00CD39CF">
        <w:t>oversight,</w:t>
      </w:r>
      <w:r w:rsidRPr="00CD39CF">
        <w:rPr>
          <w:spacing w:val="-5"/>
        </w:rPr>
        <w:t xml:space="preserve"> </w:t>
      </w:r>
      <w:r w:rsidRPr="00CD39CF">
        <w:t>and</w:t>
      </w:r>
      <w:r w:rsidRPr="00CD39CF">
        <w:rPr>
          <w:spacing w:val="-7"/>
        </w:rPr>
        <w:t xml:space="preserve"> </w:t>
      </w:r>
      <w:r w:rsidRPr="00CD39CF">
        <w:t>accountability.</w:t>
      </w:r>
    </w:p>
    <w:p w:rsidR="00D47CB3" w:rsidRPr="00CD39CF" w:rsidP="00961C50" w14:paraId="24F38A28" w14:textId="22639E1D">
      <w:pPr>
        <w:pStyle w:val="Heading1"/>
      </w:pPr>
      <w:r w:rsidRPr="00CD39CF">
        <w:t xml:space="preserve">2. </w:t>
      </w:r>
      <w:bookmarkStart w:id="3" w:name="_Toc156593369"/>
      <w:r w:rsidRPr="00CD39CF" w:rsidR="00BD12E4">
        <w:t>PRACTICAL UTILITY/USERS OF THE DATA</w:t>
      </w:r>
      <w:bookmarkEnd w:id="3"/>
    </w:p>
    <w:p w:rsidR="004252C1" w:rsidRPr="00CD39CF" w:rsidP="00961C50" w14:paraId="3E2FC7F8" w14:textId="1DCB8D2C">
      <w:pPr>
        <w:pBdr>
          <w:bottom w:val="single" w:sz="4" w:space="1" w:color="auto"/>
        </w:pBdr>
        <w:spacing w:before="60"/>
        <w:rPr>
          <w:rFonts w:ascii="Calibri" w:hAnsi="Calibri" w:cs="Calibri"/>
          <w:i/>
          <w:iCs/>
          <w:color w:val="000000"/>
          <w:shd w:val="clear" w:color="auto" w:fill="FFFFFF"/>
        </w:rPr>
      </w:pPr>
      <w:r w:rsidRPr="00CD39CF">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A3FBC" w:rsidRPr="00CD39CF" w:rsidP="00961C50" w14:paraId="3960A2D9" w14:textId="77777777">
      <w:pPr>
        <w:spacing w:after="0"/>
        <w:contextualSpacing/>
        <w:rPr>
          <w:rFonts w:cstheme="minorHAnsi"/>
          <w:u w:val="single"/>
        </w:rPr>
      </w:pPr>
    </w:p>
    <w:p w:rsidR="005B5BA4" w:rsidRPr="006E15BF" w:rsidP="00961C50" w14:paraId="171B8F2E" w14:textId="64289CA9">
      <w:pPr>
        <w:pStyle w:val="BodyText"/>
      </w:pPr>
      <w:r w:rsidRPr="006E15BF">
        <w:t>EPA</w:t>
      </w:r>
      <w:r w:rsidRPr="006E15BF">
        <w:rPr>
          <w:spacing w:val="-6"/>
        </w:rPr>
        <w:t xml:space="preserve"> </w:t>
      </w:r>
      <w:r w:rsidRPr="006E15BF">
        <w:t>will</w:t>
      </w:r>
      <w:r w:rsidRPr="006E15BF">
        <w:rPr>
          <w:spacing w:val="-2"/>
        </w:rPr>
        <w:t xml:space="preserve"> </w:t>
      </w:r>
      <w:r w:rsidRPr="006E15BF">
        <w:t>collect</w:t>
      </w:r>
      <w:r w:rsidRPr="006E15BF">
        <w:rPr>
          <w:spacing w:val="-5"/>
        </w:rPr>
        <w:t xml:space="preserve"> </w:t>
      </w:r>
      <w:r w:rsidRPr="006E15BF">
        <w:t>information</w:t>
      </w:r>
      <w:r w:rsidRPr="006E15BF">
        <w:rPr>
          <w:spacing w:val="-4"/>
        </w:rPr>
        <w:t xml:space="preserve"> </w:t>
      </w:r>
      <w:r w:rsidRPr="006E15BF">
        <w:t>from</w:t>
      </w:r>
      <w:r w:rsidRPr="006E15BF">
        <w:rPr>
          <w:spacing w:val="-2"/>
        </w:rPr>
        <w:t xml:space="preserve"> </w:t>
      </w:r>
      <w:r w:rsidRPr="006E15BF">
        <w:t>each</w:t>
      </w:r>
      <w:r w:rsidRPr="006E15BF">
        <w:rPr>
          <w:spacing w:val="-4"/>
        </w:rPr>
        <w:t xml:space="preserve"> </w:t>
      </w:r>
      <w:r w:rsidRPr="006E15BF">
        <w:t>grantee</w:t>
      </w:r>
      <w:r w:rsidRPr="006E15BF">
        <w:rPr>
          <w:spacing w:val="-2"/>
        </w:rPr>
        <w:t xml:space="preserve"> </w:t>
      </w:r>
      <w:r w:rsidRPr="006E15BF">
        <w:t>across</w:t>
      </w:r>
      <w:r w:rsidRPr="006E15BF">
        <w:rPr>
          <w:spacing w:val="-5"/>
        </w:rPr>
        <w:t xml:space="preserve"> </w:t>
      </w:r>
      <w:r w:rsidRPr="006E15BF" w:rsidR="002C67B9">
        <w:t>two</w:t>
      </w:r>
      <w:r w:rsidRPr="006E15BF" w:rsidR="002C67B9">
        <w:rPr>
          <w:spacing w:val="-2"/>
        </w:rPr>
        <w:t xml:space="preserve"> </w:t>
      </w:r>
      <w:r w:rsidRPr="006E15BF">
        <w:t>post-award</w:t>
      </w:r>
      <w:r w:rsidRPr="006E15BF">
        <w:rPr>
          <w:spacing w:val="-6"/>
        </w:rPr>
        <w:t xml:space="preserve"> </w:t>
      </w:r>
      <w:r w:rsidRPr="006E15BF">
        <w:t>instruments:</w:t>
      </w:r>
      <w:r w:rsidRPr="006E15BF">
        <w:rPr>
          <w:spacing w:val="-2"/>
        </w:rPr>
        <w:t xml:space="preserve"> </w:t>
      </w:r>
      <w:r w:rsidRPr="006E15BF">
        <w:t>(1)</w:t>
      </w:r>
      <w:r w:rsidRPr="006E15BF">
        <w:rPr>
          <w:spacing w:val="-3"/>
        </w:rPr>
        <w:t xml:space="preserve"> </w:t>
      </w:r>
      <w:r w:rsidRPr="006E15BF">
        <w:t>progress</w:t>
      </w:r>
      <w:r w:rsidRPr="006E15BF">
        <w:rPr>
          <w:spacing w:val="-5"/>
        </w:rPr>
        <w:t xml:space="preserve"> </w:t>
      </w:r>
      <w:r w:rsidRPr="006E15BF">
        <w:t>reports</w:t>
      </w:r>
      <w:r w:rsidRPr="006E15BF">
        <w:rPr>
          <w:spacing w:val="-5"/>
        </w:rPr>
        <w:t xml:space="preserve"> </w:t>
      </w:r>
      <w:r w:rsidRPr="006E15BF">
        <w:t>and</w:t>
      </w:r>
      <w:r w:rsidRPr="006E15BF">
        <w:rPr>
          <w:spacing w:val="-5"/>
        </w:rPr>
        <w:t xml:space="preserve"> </w:t>
      </w:r>
      <w:r w:rsidRPr="006E15BF">
        <w:t>(</w:t>
      </w:r>
      <w:r w:rsidRPr="006E15BF" w:rsidR="002C67B9">
        <w:t>2</w:t>
      </w:r>
      <w:r w:rsidRPr="006E15BF">
        <w:t>)</w:t>
      </w:r>
      <w:r w:rsidRPr="006E15BF">
        <w:rPr>
          <w:spacing w:val="-3"/>
        </w:rPr>
        <w:t xml:space="preserve"> </w:t>
      </w:r>
      <w:r w:rsidRPr="006E15BF">
        <w:t>final</w:t>
      </w:r>
      <w:r w:rsidRPr="006E15BF">
        <w:rPr>
          <w:spacing w:val="-3"/>
        </w:rPr>
        <w:t xml:space="preserve"> </w:t>
      </w:r>
      <w:r w:rsidRPr="006E15BF">
        <w:t>reports.</w:t>
      </w:r>
      <w:r w:rsidRPr="006E15BF">
        <w:rPr>
          <w:spacing w:val="-3"/>
        </w:rPr>
        <w:t xml:space="preserve"> </w:t>
      </w:r>
      <w:r w:rsidRPr="006E15BF">
        <w:t>EPA</w:t>
      </w:r>
      <w:r w:rsidRPr="006E15BF">
        <w:rPr>
          <w:spacing w:val="-5"/>
        </w:rPr>
        <w:t xml:space="preserve"> </w:t>
      </w:r>
      <w:r w:rsidRPr="006E15BF">
        <w:t>will</w:t>
      </w:r>
      <w:r w:rsidRPr="006E15BF">
        <w:rPr>
          <w:spacing w:val="-3"/>
        </w:rPr>
        <w:t xml:space="preserve"> </w:t>
      </w:r>
      <w:r w:rsidRPr="006E15BF">
        <w:t>use</w:t>
      </w:r>
      <w:r w:rsidRPr="006E15BF">
        <w:rPr>
          <w:spacing w:val="-5"/>
        </w:rPr>
        <w:t xml:space="preserve"> </w:t>
      </w:r>
      <w:r w:rsidRPr="006E15BF">
        <w:t>this</w:t>
      </w:r>
      <w:r w:rsidRPr="006E15BF">
        <w:rPr>
          <w:spacing w:val="-3"/>
        </w:rPr>
        <w:t xml:space="preserve"> </w:t>
      </w:r>
      <w:r w:rsidRPr="006E15BF">
        <w:t>information</w:t>
      </w:r>
      <w:r w:rsidRPr="006E15BF">
        <w:rPr>
          <w:spacing w:val="-3"/>
        </w:rPr>
        <w:t xml:space="preserve"> </w:t>
      </w:r>
      <w:r w:rsidRPr="006E15BF">
        <w:t>to</w:t>
      </w:r>
      <w:r w:rsidRPr="006E15BF">
        <w:rPr>
          <w:spacing w:val="-5"/>
        </w:rPr>
        <w:t xml:space="preserve"> </w:t>
      </w:r>
      <w:r w:rsidRPr="006E15BF">
        <w:t>verify</w:t>
      </w:r>
      <w:r w:rsidRPr="006E15BF">
        <w:rPr>
          <w:spacing w:val="-2"/>
        </w:rPr>
        <w:t xml:space="preserve"> </w:t>
      </w:r>
      <w:r w:rsidRPr="006E15BF">
        <w:t>that</w:t>
      </w:r>
      <w:r w:rsidRPr="006E15BF">
        <w:rPr>
          <w:spacing w:val="-3"/>
        </w:rPr>
        <w:t xml:space="preserve"> </w:t>
      </w:r>
      <w:r w:rsidRPr="006E15BF">
        <w:t>recipients</w:t>
      </w:r>
      <w:r w:rsidRPr="006E15BF">
        <w:rPr>
          <w:spacing w:val="-3"/>
        </w:rPr>
        <w:t xml:space="preserve"> </w:t>
      </w:r>
      <w:r w:rsidRPr="006E15BF">
        <w:t>are</w:t>
      </w:r>
      <w:r w:rsidRPr="006E15BF">
        <w:rPr>
          <w:spacing w:val="-5"/>
        </w:rPr>
        <w:t xml:space="preserve"> </w:t>
      </w:r>
      <w:r w:rsidRPr="006E15BF">
        <w:t>using Federal</w:t>
      </w:r>
      <w:r w:rsidRPr="006E15BF">
        <w:rPr>
          <w:spacing w:val="-3"/>
        </w:rPr>
        <w:t xml:space="preserve"> </w:t>
      </w:r>
      <w:r w:rsidRPr="006E15BF">
        <w:t>funds</w:t>
      </w:r>
      <w:r w:rsidRPr="006E15BF">
        <w:rPr>
          <w:spacing w:val="-3"/>
        </w:rPr>
        <w:t xml:space="preserve"> </w:t>
      </w:r>
      <w:r w:rsidRPr="006E15BF">
        <w:t>appropriately</w:t>
      </w:r>
      <w:r w:rsidRPr="006E15BF">
        <w:rPr>
          <w:spacing w:val="-2"/>
        </w:rPr>
        <w:t xml:space="preserve"> </w:t>
      </w:r>
      <w:r w:rsidRPr="006E15BF">
        <w:t>to</w:t>
      </w:r>
      <w:r w:rsidRPr="006E15BF">
        <w:rPr>
          <w:spacing w:val="-3"/>
        </w:rPr>
        <w:t xml:space="preserve"> </w:t>
      </w:r>
      <w:r w:rsidRPr="006E15BF">
        <w:t>comply</w:t>
      </w:r>
      <w:r w:rsidRPr="006E15BF">
        <w:rPr>
          <w:spacing w:val="-4"/>
        </w:rPr>
        <w:t xml:space="preserve"> </w:t>
      </w:r>
      <w:r w:rsidRPr="006E15BF">
        <w:t>with</w:t>
      </w:r>
      <w:r w:rsidRPr="006E15BF">
        <w:rPr>
          <w:spacing w:val="-4"/>
        </w:rPr>
        <w:t xml:space="preserve"> </w:t>
      </w:r>
      <w:r w:rsidRPr="006E15BF">
        <w:t>Federal</w:t>
      </w:r>
      <w:r w:rsidRPr="006E15BF">
        <w:rPr>
          <w:spacing w:val="-3"/>
        </w:rPr>
        <w:t xml:space="preserve"> </w:t>
      </w:r>
      <w:r w:rsidRPr="006E15BF">
        <w:t>requirements;</w:t>
      </w:r>
      <w:r w:rsidRPr="006E15BF">
        <w:rPr>
          <w:spacing w:val="-2"/>
        </w:rPr>
        <w:t xml:space="preserve"> </w:t>
      </w:r>
      <w:r w:rsidRPr="006E15BF">
        <w:t>assess</w:t>
      </w:r>
      <w:r w:rsidRPr="006E15BF">
        <w:rPr>
          <w:spacing w:val="-5"/>
        </w:rPr>
        <w:t xml:space="preserve"> </w:t>
      </w:r>
      <w:r w:rsidRPr="006E15BF">
        <w:t>the</w:t>
      </w:r>
      <w:r w:rsidRPr="006E15BF">
        <w:rPr>
          <w:spacing w:val="-3"/>
        </w:rPr>
        <w:t xml:space="preserve"> </w:t>
      </w:r>
      <w:r w:rsidRPr="006E15BF">
        <w:t>status</w:t>
      </w:r>
      <w:r w:rsidRPr="006E15BF">
        <w:rPr>
          <w:spacing w:val="-3"/>
        </w:rPr>
        <w:t xml:space="preserve"> </w:t>
      </w:r>
      <w:r w:rsidRPr="006E15BF">
        <w:t>of</w:t>
      </w:r>
      <w:r w:rsidRPr="006E15BF">
        <w:rPr>
          <w:spacing w:val="-4"/>
        </w:rPr>
        <w:t xml:space="preserve"> </w:t>
      </w:r>
      <w:r w:rsidRPr="006E15BF">
        <w:t>grant</w:t>
      </w:r>
      <w:r w:rsidRPr="006E15BF">
        <w:rPr>
          <w:spacing w:val="-4"/>
        </w:rPr>
        <w:t xml:space="preserve"> </w:t>
      </w:r>
      <w:r w:rsidRPr="006E15BF">
        <w:t>efforts;</w:t>
      </w:r>
      <w:r w:rsidRPr="006E15BF">
        <w:rPr>
          <w:spacing w:val="-2"/>
        </w:rPr>
        <w:t xml:space="preserve"> </w:t>
      </w:r>
      <w:r w:rsidRPr="006E15BF">
        <w:t>and track outcomes required for Federal reporting.</w:t>
      </w:r>
    </w:p>
    <w:p w:rsidR="00B713C0" w:rsidRPr="00C40C07" w:rsidP="00961C50" w14:paraId="3531F384" w14:textId="77777777">
      <w:pPr>
        <w:pStyle w:val="BodyText"/>
        <w:rPr>
          <w:highlight w:val="yellow"/>
        </w:rPr>
      </w:pPr>
    </w:p>
    <w:p w:rsidR="006E15BF" w:rsidRPr="00F03C63" w:rsidP="006E15BF" w14:paraId="47767380" w14:textId="77777777">
      <w:pPr>
        <w:ind w:left="360"/>
        <w:contextualSpacing/>
      </w:pPr>
      <w:r w:rsidRPr="00F03C63">
        <w:t xml:space="preserve">EPA will collect quarterly progress reports from each </w:t>
      </w:r>
      <w:r w:rsidRPr="00F03C63">
        <w:rPr>
          <w:rFonts w:cstheme="minorHAnsi"/>
        </w:rPr>
        <w:t>Grantee</w:t>
      </w:r>
      <w:r w:rsidRPr="00F03C63">
        <w:t xml:space="preserve"> for the duration of the funding period. This timeline was chosen based on the schedule along which progress on project activities can be documented and reported. </w:t>
      </w:r>
    </w:p>
    <w:p w:rsidR="006E15BF" w:rsidRPr="00F03C63" w:rsidP="006E15BF" w14:paraId="2639BF4E" w14:textId="77777777">
      <w:pPr>
        <w:ind w:left="360"/>
        <w:contextualSpacing/>
        <w:rPr>
          <w:rFonts w:cstheme="minorHAnsi"/>
        </w:rPr>
      </w:pPr>
    </w:p>
    <w:p w:rsidR="006E15BF" w:rsidRPr="00F03C63" w:rsidP="006E15BF" w14:paraId="106CE9F5" w14:textId="77777777">
      <w:pPr>
        <w:ind w:left="360"/>
        <w:contextualSpacing/>
      </w:pPr>
      <w:r w:rsidRPr="00F03C63">
        <w:t xml:space="preserve">In line with Agency strategic goals, program objectives, and submitted workplans, each </w:t>
      </w:r>
      <w:r w:rsidRPr="00F03C63">
        <w:rPr>
          <w:rFonts w:cstheme="minorHAnsi"/>
        </w:rPr>
        <w:t>Grantee</w:t>
      </w:r>
      <w:r w:rsidRPr="00F03C63">
        <w:t xml:space="preserve"> will be asked to provide </w:t>
      </w:r>
      <w:r w:rsidRPr="00F03C63">
        <w:rPr>
          <w:bCs/>
        </w:rPr>
        <w:t>seven categories of information</w:t>
      </w:r>
      <w:r w:rsidRPr="00F03C63">
        <w:t xml:space="preserve"> in the progress reports that cover the specified three-month reporting period: </w:t>
      </w:r>
    </w:p>
    <w:p w:rsidR="006E15BF" w:rsidRPr="00F03C63" w:rsidP="006E15BF" w14:paraId="3D580E95" w14:textId="77777777">
      <w:pPr>
        <w:pStyle w:val="ListParagraph"/>
        <w:numPr>
          <w:ilvl w:val="0"/>
          <w:numId w:val="10"/>
        </w:numPr>
        <w:spacing w:after="0" w:line="240" w:lineRule="auto"/>
        <w:ind w:left="1260"/>
        <w:rPr>
          <w:rFonts w:cstheme="minorHAnsi"/>
        </w:rPr>
      </w:pPr>
      <w:r w:rsidRPr="00F03C63">
        <w:rPr>
          <w:rFonts w:cstheme="minorHAnsi"/>
        </w:rPr>
        <w:t>Objectives, milestones, and priorities</w:t>
      </w:r>
    </w:p>
    <w:p w:rsidR="006E15BF" w:rsidRPr="00F03C63" w:rsidP="006E15BF" w14:paraId="763434E8" w14:textId="77777777">
      <w:pPr>
        <w:pStyle w:val="ListParagraph"/>
        <w:numPr>
          <w:ilvl w:val="0"/>
          <w:numId w:val="10"/>
        </w:numPr>
        <w:spacing w:after="0" w:line="240" w:lineRule="auto"/>
        <w:ind w:left="1260"/>
      </w:pPr>
      <w:r w:rsidRPr="00F03C63">
        <w:t>Accomplishments: Activities with associated timeframes, locations, target audiences, outputs, and outcomes, as applicable in each area of work</w:t>
      </w:r>
    </w:p>
    <w:p w:rsidR="006E15BF" w:rsidRPr="00F03C63" w:rsidP="006E15BF" w14:paraId="4BDE8CC2" w14:textId="0D5F2003">
      <w:pPr>
        <w:pStyle w:val="ListParagraph"/>
        <w:numPr>
          <w:ilvl w:val="0"/>
          <w:numId w:val="10"/>
        </w:numPr>
        <w:spacing w:after="0" w:line="240" w:lineRule="auto"/>
        <w:ind w:left="1260"/>
        <w:rPr>
          <w:rFonts w:cstheme="minorHAnsi"/>
        </w:rPr>
      </w:pPr>
      <w:r w:rsidRPr="00F03C63">
        <w:rPr>
          <w:rFonts w:cstheme="minorHAnsi"/>
        </w:rPr>
        <w:t>Summary of public outreach information collections (if applicable, and if not reported in Part 2)</w:t>
      </w:r>
    </w:p>
    <w:p w:rsidR="006E15BF" w:rsidRPr="00F03C63" w:rsidP="006E15BF" w14:paraId="33CADEA5" w14:textId="77777777">
      <w:pPr>
        <w:pStyle w:val="ListParagraph"/>
        <w:numPr>
          <w:ilvl w:val="0"/>
          <w:numId w:val="10"/>
        </w:numPr>
        <w:spacing w:after="0" w:line="240" w:lineRule="auto"/>
        <w:ind w:left="1260"/>
        <w:rPr>
          <w:rFonts w:cstheme="minorHAnsi"/>
        </w:rPr>
      </w:pPr>
      <w:r w:rsidRPr="00F03C63">
        <w:rPr>
          <w:rFonts w:cstheme="minorHAnsi"/>
        </w:rPr>
        <w:t>Program management updates (e.g., personnel changes, fiscal information)</w:t>
      </w:r>
    </w:p>
    <w:p w:rsidR="006E15BF" w:rsidRPr="00F03C63" w:rsidP="006E15BF" w14:paraId="08CC3690" w14:textId="77777777">
      <w:pPr>
        <w:pStyle w:val="ListParagraph"/>
        <w:numPr>
          <w:ilvl w:val="0"/>
          <w:numId w:val="10"/>
        </w:numPr>
        <w:spacing w:after="0" w:line="240" w:lineRule="auto"/>
        <w:ind w:left="1260"/>
        <w:rPr>
          <w:rFonts w:cstheme="minorHAnsi"/>
        </w:rPr>
      </w:pPr>
      <w:r w:rsidRPr="00F03C63">
        <w:rPr>
          <w:rFonts w:cstheme="minorHAnsi"/>
        </w:rPr>
        <w:t>Schedule of noteworthy activities for next reporting period</w:t>
      </w:r>
    </w:p>
    <w:p w:rsidR="006E15BF" w:rsidRPr="00F03C63" w:rsidP="006E15BF" w14:paraId="1D55E4E4" w14:textId="77777777">
      <w:pPr>
        <w:pStyle w:val="ListParagraph"/>
        <w:numPr>
          <w:ilvl w:val="0"/>
          <w:numId w:val="10"/>
        </w:numPr>
        <w:spacing w:after="0" w:line="240" w:lineRule="auto"/>
        <w:ind w:left="1260"/>
        <w:rPr>
          <w:rFonts w:cstheme="minorHAnsi"/>
        </w:rPr>
      </w:pPr>
      <w:r w:rsidRPr="00F03C63">
        <w:rPr>
          <w:rFonts w:cstheme="minorHAnsi"/>
        </w:rPr>
        <w:t>Feedback or comments for EPA</w:t>
      </w:r>
    </w:p>
    <w:p w:rsidR="006E15BF" w:rsidRPr="00F03C63" w:rsidP="006E15BF" w14:paraId="033AC99C" w14:textId="77777777">
      <w:pPr>
        <w:pStyle w:val="ListParagraph"/>
        <w:numPr>
          <w:ilvl w:val="0"/>
          <w:numId w:val="10"/>
        </w:numPr>
        <w:spacing w:after="0" w:line="240" w:lineRule="auto"/>
        <w:ind w:left="1260"/>
      </w:pPr>
      <w:r w:rsidRPr="00F03C63">
        <w:t>Optional: Images of key activities and events</w:t>
      </w:r>
    </w:p>
    <w:p w:rsidR="006E15BF" w:rsidRPr="00F03C63" w:rsidP="006E15BF" w14:paraId="015523CB" w14:textId="77777777">
      <w:pPr>
        <w:ind w:left="360"/>
        <w:contextualSpacing/>
        <w:rPr>
          <w:rFonts w:cstheme="minorHAnsi"/>
        </w:rPr>
      </w:pPr>
    </w:p>
    <w:p w:rsidR="006E15BF" w:rsidRPr="00F03C63" w:rsidP="006E15BF" w14:paraId="3A4AC61E" w14:textId="57EC58E2">
      <w:pPr>
        <w:ind w:left="360"/>
        <w:contextualSpacing/>
      </w:pPr>
      <w:r w:rsidRPr="00F03C63">
        <w:t xml:space="preserve">EPA will use these reports to determine progress in relation to the approved schedule and milestones during the project pursuant to </w:t>
      </w:r>
      <w:hyperlink r:id="rId23" w:history="1">
        <w:r w:rsidRPr="00F03C63">
          <w:rPr>
            <w:rStyle w:val="Hyperlink"/>
          </w:rPr>
          <w:t>EPA Order 5700.7A1: EPA's Policy for Environmental Results under EPA Assistance Agreements</w:t>
        </w:r>
      </w:hyperlink>
      <w:r w:rsidRPr="00F03C63">
        <w:t>.</w:t>
      </w:r>
      <w:r>
        <w:rPr>
          <w:rStyle w:val="FootnoteReference"/>
        </w:rPr>
        <w:footnoteReference w:id="16"/>
      </w:r>
      <w:r w:rsidRPr="00F03C63">
        <w:t xml:space="preserve"> Tracking progress at regular intervals will enable EPA to identify and address issues in a timely manner, thus ensuring responsible stewardship of public funds and transparent accountability to the American public. Collection of the information will also facilitate the collection and dissemination of success stories and best practices in real time, thus contributing to learning and improvement across the Grantees within the program. </w:t>
      </w:r>
    </w:p>
    <w:p w:rsidR="006E15BF" w:rsidRPr="00F03C63" w:rsidP="006E15BF" w14:paraId="619F2D2E" w14:textId="77777777">
      <w:pPr>
        <w:contextualSpacing/>
        <w:rPr>
          <w:rFonts w:cstheme="minorHAnsi"/>
        </w:rPr>
      </w:pPr>
    </w:p>
    <w:p w:rsidR="006E15BF" w:rsidRPr="00F03C63" w:rsidP="006E15BF" w14:paraId="329524F7" w14:textId="77777777">
      <w:pPr>
        <w:ind w:firstLine="360"/>
        <w:contextualSpacing/>
        <w:rPr>
          <w:rFonts w:cstheme="minorHAnsi"/>
        </w:rPr>
      </w:pPr>
      <w:r w:rsidRPr="00F03C63">
        <w:rPr>
          <w:rFonts w:cstheme="minorHAnsi"/>
          <w:u w:val="single"/>
        </w:rPr>
        <w:t>Final Reports</w:t>
      </w:r>
      <w:r w:rsidRPr="00F03C63">
        <w:rPr>
          <w:rFonts w:cstheme="minorHAnsi"/>
        </w:rPr>
        <w:t> </w:t>
      </w:r>
    </w:p>
    <w:p w:rsidR="006E15BF" w:rsidRPr="00F03C63" w:rsidP="006E15BF" w14:paraId="1EB7D6BF" w14:textId="77777777">
      <w:pPr>
        <w:ind w:left="360"/>
        <w:contextualSpacing/>
      </w:pPr>
      <w:r w:rsidRPr="00F03C63">
        <w:br/>
        <w:t xml:space="preserve">The final report will summarize each </w:t>
      </w:r>
      <w:r w:rsidRPr="00F03C63">
        <w:rPr>
          <w:rFonts w:cstheme="minorHAnsi"/>
        </w:rPr>
        <w:t>Grantee’s</w:t>
      </w:r>
      <w:r w:rsidRPr="00F03C63">
        <w:t xml:space="preserve"> work on the project during the entire period of performance, and the extent to which the work has met the project’s objectives. </w:t>
      </w:r>
    </w:p>
    <w:p w:rsidR="006E15BF" w:rsidRPr="00F03C63" w:rsidP="006E15BF" w14:paraId="0DB62E03" w14:textId="77777777">
      <w:pPr>
        <w:contextualSpacing/>
        <w:rPr>
          <w:rFonts w:cstheme="minorHAnsi"/>
        </w:rPr>
      </w:pPr>
    </w:p>
    <w:p w:rsidR="006E15BF" w:rsidRPr="00F03C63" w:rsidP="006E15BF" w14:paraId="210FEDA7" w14:textId="77777777">
      <w:pPr>
        <w:ind w:left="360"/>
        <w:contextualSpacing/>
      </w:pPr>
      <w:r w:rsidRPr="00F03C63">
        <w:t xml:space="preserve">In line with Agency strategic goals, program objectives, and submitted workplans, each </w:t>
      </w:r>
      <w:r w:rsidRPr="00F03C63">
        <w:rPr>
          <w:rFonts w:cstheme="minorHAnsi"/>
        </w:rPr>
        <w:t>Grantee</w:t>
      </w:r>
      <w:r w:rsidRPr="00F03C63">
        <w:t xml:space="preserve"> will be asked to report on seven categories of information in the final reports: </w:t>
      </w:r>
    </w:p>
    <w:p w:rsidR="006E15BF" w:rsidRPr="00F03C63" w:rsidP="006E15BF" w14:paraId="7B1CDADC" w14:textId="77777777">
      <w:pPr>
        <w:pStyle w:val="ListParagraph"/>
        <w:numPr>
          <w:ilvl w:val="0"/>
          <w:numId w:val="11"/>
        </w:numPr>
        <w:spacing w:after="0" w:line="240" w:lineRule="auto"/>
        <w:ind w:left="1260"/>
        <w:rPr>
          <w:rFonts w:cstheme="minorHAnsi"/>
        </w:rPr>
      </w:pPr>
      <w:r w:rsidRPr="00F03C63">
        <w:rPr>
          <w:rFonts w:cstheme="minorHAnsi"/>
        </w:rPr>
        <w:t>Objectives, milestones, and priorities</w:t>
      </w:r>
    </w:p>
    <w:p w:rsidR="00C84E7F" w:rsidP="006E15BF" w14:paraId="428E16BF" w14:textId="77777777">
      <w:pPr>
        <w:pStyle w:val="ListParagraph"/>
        <w:numPr>
          <w:ilvl w:val="0"/>
          <w:numId w:val="11"/>
        </w:numPr>
        <w:spacing w:after="0" w:line="240" w:lineRule="auto"/>
        <w:ind w:left="1260"/>
      </w:pPr>
      <w:r w:rsidRPr="00F03C63">
        <w:t>Activities with associated timeframes, locations, target audiences, outputs, and outcomes,</w:t>
      </w:r>
      <w:r w:rsidRPr="00F03C63">
        <w:br/>
        <w:t xml:space="preserve">as applicable in each area of work pursuant to section 7 of EPA Order 5700.7A1: EPA's Policy for Environmental Results under EPA Assistance Agreements:  </w:t>
      </w:r>
    </w:p>
    <w:p w:rsidR="006E15BF" w:rsidRPr="00F03C63" w:rsidP="006E15BF" w14:paraId="1D0516CC" w14:textId="1ED0926D">
      <w:pPr>
        <w:pStyle w:val="ListParagraph"/>
        <w:numPr>
          <w:ilvl w:val="0"/>
          <w:numId w:val="11"/>
        </w:numPr>
        <w:spacing w:after="0" w:line="240" w:lineRule="auto"/>
        <w:ind w:left="1260"/>
      </w:pPr>
      <w:r w:rsidRPr="00F03C63">
        <w:t>Summary of public outreach information collections (if applicable, and if not reported in Part 2).</w:t>
      </w:r>
    </w:p>
    <w:p w:rsidR="006E15BF" w:rsidRPr="00F03C63" w:rsidP="006E15BF" w14:paraId="674840BC" w14:textId="77777777">
      <w:pPr>
        <w:pStyle w:val="ListParagraph"/>
        <w:numPr>
          <w:ilvl w:val="0"/>
          <w:numId w:val="11"/>
        </w:numPr>
        <w:spacing w:after="0" w:line="240" w:lineRule="auto"/>
        <w:ind w:left="1260"/>
        <w:rPr>
          <w:rFonts w:cstheme="minorHAnsi"/>
        </w:rPr>
      </w:pPr>
      <w:r w:rsidRPr="00F03C63">
        <w:t>Reflection on medium-term and long-term outcomes</w:t>
      </w:r>
    </w:p>
    <w:p w:rsidR="006E15BF" w:rsidRPr="00F03C63" w:rsidP="006E15BF" w14:paraId="59E86814" w14:textId="77777777">
      <w:pPr>
        <w:pStyle w:val="ListParagraph"/>
        <w:numPr>
          <w:ilvl w:val="0"/>
          <w:numId w:val="11"/>
        </w:numPr>
        <w:spacing w:after="0" w:line="240" w:lineRule="auto"/>
        <w:ind w:left="1260"/>
        <w:rPr>
          <w:rFonts w:cstheme="minorHAnsi"/>
        </w:rPr>
      </w:pPr>
      <w:r w:rsidRPr="00F03C63">
        <w:t>Program management (e.g., personnel changes, fiscal information)</w:t>
      </w:r>
    </w:p>
    <w:p w:rsidR="006E15BF" w:rsidRPr="00F03C63" w:rsidP="006E15BF" w14:paraId="43EDA3CD" w14:textId="77777777">
      <w:pPr>
        <w:pStyle w:val="ListParagraph"/>
        <w:numPr>
          <w:ilvl w:val="0"/>
          <w:numId w:val="11"/>
        </w:numPr>
        <w:spacing w:after="0" w:line="240" w:lineRule="auto"/>
        <w:ind w:left="1260"/>
        <w:rPr>
          <w:rFonts w:cstheme="minorHAnsi"/>
        </w:rPr>
      </w:pPr>
      <w:r w:rsidRPr="00F03C63">
        <w:t>Feedback or comments for EPA</w:t>
      </w:r>
    </w:p>
    <w:p w:rsidR="006E15BF" w:rsidRPr="00F03C63" w:rsidP="006E15BF" w14:paraId="0EB1D5D4" w14:textId="77777777">
      <w:pPr>
        <w:pStyle w:val="ListParagraph"/>
        <w:numPr>
          <w:ilvl w:val="0"/>
          <w:numId w:val="11"/>
        </w:numPr>
        <w:spacing w:after="0" w:line="240" w:lineRule="auto"/>
        <w:ind w:left="1260"/>
      </w:pPr>
      <w:r w:rsidRPr="00F03C63">
        <w:t>Optional: Images of key activities and events</w:t>
      </w:r>
    </w:p>
    <w:p w:rsidR="006E15BF" w:rsidRPr="00F03C63" w:rsidP="006E15BF" w14:paraId="5764DE23" w14:textId="77777777">
      <w:pPr>
        <w:contextualSpacing/>
        <w:rPr>
          <w:rFonts w:cstheme="minorHAnsi"/>
        </w:rPr>
      </w:pPr>
    </w:p>
    <w:p w:rsidR="006E15BF" w:rsidRPr="00C84E7F" w:rsidP="006E15BF" w14:paraId="53AAC06D" w14:textId="77777777">
      <w:pPr>
        <w:ind w:left="360"/>
        <w:contextualSpacing/>
        <w:rPr>
          <w:rFonts w:cstheme="minorHAnsi"/>
        </w:rPr>
      </w:pPr>
      <w:r w:rsidRPr="00F03C63">
        <w:rPr>
          <w:rFonts w:cstheme="minorHAnsi"/>
        </w:rPr>
        <w:t xml:space="preserve">EPA will use the final reports to assess and report the Grantees’ performance relative to program </w:t>
      </w:r>
      <w:r w:rsidRPr="00C84E7F">
        <w:rPr>
          <w:rFonts w:cstheme="minorHAnsi"/>
        </w:rPr>
        <w:t>objectives. </w:t>
      </w:r>
    </w:p>
    <w:p w:rsidR="00074917" w:rsidRPr="00C84E7F" w:rsidP="00961C50" w14:paraId="1522D565" w14:textId="7D0662F2">
      <w:pPr>
        <w:pStyle w:val="Heading1"/>
      </w:pPr>
      <w:r w:rsidRPr="00C84E7F">
        <w:t>3</w:t>
      </w:r>
      <w:r w:rsidRPr="00C84E7F" w:rsidR="006227A8">
        <w:t xml:space="preserve">. </w:t>
      </w:r>
      <w:bookmarkStart w:id="4" w:name="_Toc156593370"/>
      <w:r w:rsidRPr="00C84E7F" w:rsidR="00313941">
        <w:t>USE OF TECHNOLOGY</w:t>
      </w:r>
      <w:bookmarkEnd w:id="4"/>
    </w:p>
    <w:p w:rsidR="00D47CB3" w:rsidRPr="00C84E7F" w:rsidP="00961C50" w14:paraId="50A4BA09" w14:textId="59E05A1D">
      <w:pPr>
        <w:pBdr>
          <w:bottom w:val="single" w:sz="4" w:space="1" w:color="auto"/>
        </w:pBdr>
        <w:spacing w:before="60"/>
        <w:rPr>
          <w:rFonts w:cstheme="minorHAnsi"/>
          <w:i/>
          <w:iCs/>
        </w:rPr>
      </w:pPr>
      <w:r w:rsidRPr="00C84E7F">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w:t>
      </w:r>
      <w:r w:rsidRPr="00C84E7F" w:rsidR="00961C50">
        <w:rPr>
          <w:rFonts w:ascii="Calibri" w:hAnsi="Calibri" w:cs="Calibri"/>
          <w:i/>
          <w:iCs/>
          <w:color w:val="000000"/>
          <w:shd w:val="clear" w:color="auto" w:fill="FFFFFF"/>
        </w:rPr>
        <w:t>a</w:t>
      </w:r>
      <w:r w:rsidRPr="00C84E7F">
        <w:rPr>
          <w:rFonts w:ascii="Calibri" w:hAnsi="Calibri" w:cs="Calibri"/>
          <w:i/>
          <w:iCs/>
          <w:color w:val="000000"/>
          <w:shd w:val="clear" w:color="auto" w:fill="FFFFFF"/>
        </w:rPr>
        <w:t>pting this means of collection. Also describe any consideration of using information technology to reduce burden.</w:t>
      </w:r>
    </w:p>
    <w:p w:rsidR="00C84E7F" w:rsidP="00961C50" w14:paraId="427C47C4" w14:textId="77777777">
      <w:pPr>
        <w:pStyle w:val="BodyText"/>
        <w:ind w:right="123"/>
        <w:rPr>
          <w:highlight w:val="yellow"/>
        </w:rPr>
      </w:pPr>
    </w:p>
    <w:p w:rsidR="00FE5680" w:rsidRPr="00DA4EA4" w:rsidP="00961C50" w14:paraId="120457DA" w14:textId="4D2C12FA">
      <w:pPr>
        <w:pStyle w:val="BodyText"/>
        <w:ind w:right="123"/>
      </w:pPr>
      <w:r w:rsidRPr="00F03C63">
        <w:rPr>
          <w:lang w:bidi="en-US"/>
        </w:rPr>
        <w:t xml:space="preserve">With this ICR, EPA is seeking approval to require funding recipients to submit information via specified post-award reporting forms, which will </w:t>
      </w:r>
      <w:r w:rsidRPr="00F03C63">
        <w:rPr>
          <w:rStyle w:val="normaltextrun"/>
          <w:color w:val="000000"/>
          <w:shd w:val="clear" w:color="auto" w:fill="FFFFFF"/>
        </w:rPr>
        <w:t xml:space="preserve">substantially reduce the burden on respondents and EPA staff by collapsing what could be extensive written narratives into concise, specific data fields. This approach </w:t>
      </w:r>
      <w:r w:rsidRPr="00F03C63">
        <w:rPr>
          <w:lang w:bidi="en-US"/>
        </w:rPr>
        <w:t xml:space="preserve">will also improve the accuracy of data collected by each grantee and the consistency of data </w:t>
      </w:r>
      <w:r w:rsidRPr="00DA4EA4">
        <w:rPr>
          <w:lang w:bidi="en-US"/>
        </w:rPr>
        <w:t xml:space="preserve">collected across grantees. All forms will be completed and submitted electronically, via systems that are currently in development. </w:t>
      </w:r>
    </w:p>
    <w:p w:rsidR="005263EC" w:rsidRPr="00DA4EA4" w:rsidP="00961C50" w14:paraId="2CB3B868" w14:textId="49C8F257">
      <w:pPr>
        <w:pStyle w:val="Heading1"/>
      </w:pPr>
      <w:r w:rsidRPr="00DA4EA4">
        <w:t>4</w:t>
      </w:r>
      <w:r w:rsidRPr="00DA4EA4" w:rsidR="006227A8">
        <w:t xml:space="preserve">. </w:t>
      </w:r>
      <w:bookmarkStart w:id="5" w:name="_Toc156593371"/>
      <w:r w:rsidRPr="00DA4EA4" w:rsidR="000E1FE8">
        <w:t>EFFORTS TO IDENTIFY DUPLICATION</w:t>
      </w:r>
      <w:bookmarkEnd w:id="5"/>
    </w:p>
    <w:p w:rsidR="00D47CB3" w:rsidRPr="00DA4EA4" w:rsidP="00961C50" w14:paraId="15DFF081" w14:textId="57054C58">
      <w:pPr>
        <w:pBdr>
          <w:bottom w:val="single" w:sz="4" w:space="1" w:color="auto"/>
        </w:pBdr>
        <w:spacing w:after="0"/>
        <w:rPr>
          <w:rFonts w:cstheme="minorHAnsi"/>
          <w:i/>
          <w:iCs/>
        </w:rPr>
      </w:pPr>
      <w:r w:rsidRPr="00DA4EA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AD0AC1" w:rsidRPr="00DA4EA4" w:rsidP="00961C50" w14:paraId="1E4047D3" w14:textId="77777777">
      <w:pPr>
        <w:tabs>
          <w:tab w:val="left" w:pos="2250"/>
        </w:tabs>
        <w:spacing w:after="0"/>
        <w:contextualSpacing/>
        <w:rPr>
          <w:rFonts w:cstheme="minorHAnsi"/>
        </w:rPr>
      </w:pPr>
    </w:p>
    <w:p w:rsidR="00DA4EA4" w:rsidRPr="00F03C63" w:rsidP="00DA4EA4" w14:paraId="4F260CFA" w14:textId="19A436B6">
      <w:pPr>
        <w:tabs>
          <w:tab w:val="left" w:pos="2250"/>
        </w:tabs>
        <w:contextualSpacing/>
        <w:rPr>
          <w:rFonts w:cstheme="minorHAnsi"/>
        </w:rPr>
      </w:pPr>
      <w:r w:rsidRPr="00F03C63">
        <w:rPr>
          <w:rFonts w:cstheme="minorHAnsi"/>
        </w:rPr>
        <w:t>This ICR requests authorization for the collection of information that is not currently collected and otherwise would not be collected. There is currently no mechanism for systematic post-award reporting for the Community Change Grants, with respect to the set of instruments and methodologies outlined in this ICR. EPA has determined that this information is not currently held by EPA or any other federal agency.</w:t>
      </w:r>
    </w:p>
    <w:p w:rsidR="009A7194" w:rsidRPr="00C40C07" w:rsidP="00961C50" w14:paraId="1F5052FE" w14:textId="77777777">
      <w:pPr>
        <w:tabs>
          <w:tab w:val="left" w:pos="2250"/>
        </w:tabs>
        <w:spacing w:after="0"/>
        <w:contextualSpacing/>
        <w:rPr>
          <w:rFonts w:cstheme="minorHAnsi"/>
          <w:highlight w:val="yellow"/>
        </w:rPr>
      </w:pPr>
    </w:p>
    <w:p w:rsidR="00AD0AC1" w:rsidRPr="002417FE" w:rsidP="003A0D03" w14:paraId="441A93D8" w14:textId="2371FAEA">
      <w:pPr>
        <w:tabs>
          <w:tab w:val="left" w:pos="2250"/>
        </w:tabs>
        <w:spacing w:after="0"/>
        <w:contextualSpacing/>
        <w:rPr>
          <w:rFonts w:cstheme="minorHAnsi"/>
        </w:rPr>
      </w:pPr>
      <w:r w:rsidRPr="00F07404">
        <w:rPr>
          <w:rFonts w:cstheme="minorHAnsi"/>
        </w:rPr>
        <w:t xml:space="preserve">This ICR includes information collection </w:t>
      </w:r>
      <w:r w:rsidRPr="00F07404" w:rsidR="003A0D03">
        <w:rPr>
          <w:rFonts w:cstheme="minorHAnsi"/>
        </w:rPr>
        <w:t>forms and</w:t>
      </w:r>
      <w:r w:rsidRPr="00F07404">
        <w:rPr>
          <w:rFonts w:cstheme="minorHAnsi"/>
        </w:rPr>
        <w:t xml:space="preserve"> methodologies </w:t>
      </w:r>
      <w:r w:rsidRPr="00F07404" w:rsidR="003A0D03">
        <w:rPr>
          <w:rFonts w:cstheme="minorHAnsi"/>
        </w:rPr>
        <w:t xml:space="preserve">(online data collection) </w:t>
      </w:r>
      <w:r w:rsidRPr="00F07404">
        <w:rPr>
          <w:rFonts w:cstheme="minorHAnsi"/>
        </w:rPr>
        <w:t xml:space="preserve">that are not currently authorized by </w:t>
      </w:r>
      <w:r w:rsidRPr="00F07404" w:rsidR="003A0D03">
        <w:rPr>
          <w:rFonts w:cstheme="minorHAnsi"/>
        </w:rPr>
        <w:t xml:space="preserve">EPA’s </w:t>
      </w:r>
      <w:r w:rsidRPr="00F07404">
        <w:rPr>
          <w:rFonts w:cstheme="minorHAnsi"/>
          <w:i/>
          <w:iCs/>
        </w:rPr>
        <w:t>General Administrative Requirements for Assistance Programs</w:t>
      </w:r>
      <w:r w:rsidRPr="00F07404" w:rsidR="003A0D03">
        <w:rPr>
          <w:rFonts w:cstheme="minorHAnsi"/>
          <w:i/>
          <w:iCs/>
        </w:rPr>
        <w:t xml:space="preserve"> </w:t>
      </w:r>
      <w:r w:rsidRPr="00F07404" w:rsidR="003A0D03">
        <w:rPr>
          <w:rFonts w:cstheme="minorHAnsi"/>
        </w:rPr>
        <w:t xml:space="preserve">Information Collection Request package </w:t>
      </w:r>
      <w:r w:rsidRPr="00F07404">
        <w:rPr>
          <w:rFonts w:cstheme="minorHAnsi"/>
        </w:rPr>
        <w:t xml:space="preserve">(OMB Control Number </w:t>
      </w:r>
      <w:hyperlink r:id="rId24">
        <w:r w:rsidRPr="00F07404">
          <w:rPr>
            <w:rStyle w:val="Hyperlink"/>
            <w:rFonts w:cstheme="minorHAnsi"/>
          </w:rPr>
          <w:t>2030-0020</w:t>
        </w:r>
      </w:hyperlink>
      <w:r w:rsidRPr="00F07404">
        <w:rPr>
          <w:rFonts w:cstheme="minorHAnsi"/>
        </w:rPr>
        <w:t>)</w:t>
      </w:r>
      <w:r w:rsidRPr="00F07404" w:rsidR="003A0D03">
        <w:rPr>
          <w:rFonts w:cstheme="minorHAnsi"/>
        </w:rPr>
        <w:t>.</w:t>
      </w:r>
    </w:p>
    <w:p w:rsidR="00251151" w:rsidRPr="002417FE" w:rsidP="00961C50" w14:paraId="79D36B3F" w14:textId="4A59BD2B">
      <w:pPr>
        <w:pStyle w:val="Heading1"/>
      </w:pPr>
      <w:r w:rsidRPr="002417FE">
        <w:t>5</w:t>
      </w:r>
      <w:r w:rsidRPr="002417FE" w:rsidR="006227A8">
        <w:t xml:space="preserve">. </w:t>
      </w:r>
      <w:bookmarkStart w:id="6" w:name="_Toc156593372"/>
      <w:r w:rsidRPr="002417FE">
        <w:t xml:space="preserve">MINIMIZING BURDEN ON SMALL </w:t>
      </w:r>
      <w:r w:rsidRPr="002417FE" w:rsidR="0F43C128">
        <w:t xml:space="preserve">BUSINESSES AND SMALL </w:t>
      </w:r>
      <w:r w:rsidRPr="002417FE">
        <w:t>ENTITIES</w:t>
      </w:r>
      <w:bookmarkEnd w:id="6"/>
    </w:p>
    <w:p w:rsidR="00D47CB3" w:rsidRPr="002417FE" w:rsidP="00961C50" w14:paraId="3D612A53" w14:textId="12EBD254">
      <w:pPr>
        <w:pBdr>
          <w:bottom w:val="single" w:sz="4" w:space="1" w:color="auto"/>
        </w:pBdr>
        <w:spacing w:before="60"/>
        <w:rPr>
          <w:rFonts w:cstheme="minorHAnsi"/>
          <w:i/>
          <w:iCs/>
        </w:rPr>
      </w:pPr>
      <w:r w:rsidRPr="002417FE">
        <w:rPr>
          <w:rFonts w:ascii="Calibri" w:hAnsi="Calibri" w:cs="Calibri"/>
          <w:i/>
          <w:iCs/>
          <w:color w:val="000000"/>
          <w:shd w:val="clear" w:color="auto" w:fill="FFFFFF"/>
        </w:rPr>
        <w:t>If the collection of information impacts small businesses or other small entities, describe any methods used to minimize burden.</w:t>
      </w:r>
    </w:p>
    <w:p w:rsidR="002515AE" w:rsidRPr="002417FE" w:rsidP="00961C50" w14:paraId="76CF7C49" w14:textId="77777777">
      <w:pPr>
        <w:pStyle w:val="BodyText"/>
        <w:spacing w:before="1"/>
        <w:ind w:right="346"/>
      </w:pPr>
      <w:r w:rsidRPr="002417FE">
        <w:t>EPA</w:t>
      </w:r>
      <w:r w:rsidRPr="002417FE">
        <w:rPr>
          <w:spacing w:val="-4"/>
        </w:rPr>
        <w:t xml:space="preserve"> </w:t>
      </w:r>
      <w:r w:rsidRPr="002417FE">
        <w:t>has</w:t>
      </w:r>
      <w:r w:rsidRPr="002417FE">
        <w:rPr>
          <w:spacing w:val="-5"/>
        </w:rPr>
        <w:t xml:space="preserve"> </w:t>
      </w:r>
      <w:r w:rsidRPr="002417FE">
        <w:t>considered</w:t>
      </w:r>
      <w:r w:rsidRPr="002417FE">
        <w:rPr>
          <w:spacing w:val="-6"/>
        </w:rPr>
        <w:t xml:space="preserve"> </w:t>
      </w:r>
      <w:r w:rsidRPr="002417FE">
        <w:t>whether</w:t>
      </w:r>
      <w:r w:rsidRPr="002417FE">
        <w:rPr>
          <w:spacing w:val="-4"/>
        </w:rPr>
        <w:t xml:space="preserve"> </w:t>
      </w:r>
      <w:r w:rsidRPr="002417FE">
        <w:t>to</w:t>
      </w:r>
      <w:r w:rsidRPr="002417FE">
        <w:rPr>
          <w:spacing w:val="-4"/>
        </w:rPr>
        <w:t xml:space="preserve"> </w:t>
      </w:r>
      <w:r w:rsidRPr="002417FE">
        <w:t>establish</w:t>
      </w:r>
      <w:r w:rsidRPr="002417FE">
        <w:rPr>
          <w:spacing w:val="-5"/>
        </w:rPr>
        <w:t xml:space="preserve"> </w:t>
      </w:r>
      <w:r w:rsidRPr="002417FE">
        <w:t>different</w:t>
      </w:r>
      <w:r w:rsidRPr="002417FE">
        <w:rPr>
          <w:spacing w:val="-4"/>
        </w:rPr>
        <w:t xml:space="preserve"> </w:t>
      </w:r>
      <w:r w:rsidRPr="002417FE">
        <w:t>reporting</w:t>
      </w:r>
      <w:r w:rsidRPr="002417FE">
        <w:rPr>
          <w:spacing w:val="-5"/>
        </w:rPr>
        <w:t xml:space="preserve"> </w:t>
      </w:r>
      <w:r w:rsidRPr="002417FE">
        <w:t>requirements</w:t>
      </w:r>
      <w:r w:rsidRPr="002417FE">
        <w:rPr>
          <w:spacing w:val="-4"/>
        </w:rPr>
        <w:t xml:space="preserve"> </w:t>
      </w:r>
      <w:r w:rsidRPr="002417FE">
        <w:t>for</w:t>
      </w:r>
      <w:r w:rsidRPr="002417FE">
        <w:rPr>
          <w:spacing w:val="-4"/>
        </w:rPr>
        <w:t xml:space="preserve"> </w:t>
      </w:r>
      <w:r w:rsidRPr="002417FE">
        <w:t>small</w:t>
      </w:r>
      <w:r w:rsidRPr="002417FE">
        <w:rPr>
          <w:spacing w:val="-4"/>
        </w:rPr>
        <w:t xml:space="preserve"> </w:t>
      </w:r>
      <w:r w:rsidRPr="002417FE">
        <w:t>businesses</w:t>
      </w:r>
      <w:r w:rsidRPr="002417FE">
        <w:rPr>
          <w:spacing w:val="-4"/>
        </w:rPr>
        <w:t xml:space="preserve"> </w:t>
      </w:r>
      <w:r w:rsidRPr="002417FE">
        <w:t>and other small entities and has determined that:</w:t>
      </w:r>
    </w:p>
    <w:p w:rsidR="002515AE" w:rsidRPr="002417FE" w:rsidP="00961C50" w14:paraId="10DFFDB3" w14:textId="77777777">
      <w:pPr>
        <w:pStyle w:val="ListParagraph"/>
        <w:widowControl w:val="0"/>
        <w:numPr>
          <w:ilvl w:val="0"/>
          <w:numId w:val="44"/>
        </w:numPr>
        <w:tabs>
          <w:tab w:val="left" w:pos="840"/>
        </w:tabs>
        <w:autoSpaceDE w:val="0"/>
        <w:autoSpaceDN w:val="0"/>
        <w:spacing w:after="0" w:line="240" w:lineRule="auto"/>
        <w:ind w:right="340"/>
        <w:contextualSpacing w:val="0"/>
      </w:pPr>
      <w:r w:rsidRPr="002417FE">
        <w:t>Different reporting requirements among recipients will result in inconsistent data that may reduce</w:t>
      </w:r>
      <w:r w:rsidRPr="002417FE">
        <w:rPr>
          <w:spacing w:val="-3"/>
        </w:rPr>
        <w:t xml:space="preserve"> </w:t>
      </w:r>
      <w:r w:rsidRPr="002417FE">
        <w:t>the Agency’s</w:t>
      </w:r>
      <w:r w:rsidRPr="002417FE">
        <w:rPr>
          <w:spacing w:val="-3"/>
        </w:rPr>
        <w:t xml:space="preserve"> </w:t>
      </w:r>
      <w:r w:rsidRPr="002417FE">
        <w:t>ability</w:t>
      </w:r>
      <w:r w:rsidRPr="002417FE">
        <w:rPr>
          <w:spacing w:val="-5"/>
        </w:rPr>
        <w:t xml:space="preserve"> </w:t>
      </w:r>
      <w:r w:rsidRPr="002417FE">
        <w:t>to</w:t>
      </w:r>
      <w:r w:rsidRPr="002417FE">
        <w:rPr>
          <w:spacing w:val="-5"/>
        </w:rPr>
        <w:t xml:space="preserve"> </w:t>
      </w:r>
      <w:r w:rsidRPr="002417FE">
        <w:t>oversee</w:t>
      </w:r>
      <w:r w:rsidRPr="002417FE">
        <w:rPr>
          <w:spacing w:val="-3"/>
        </w:rPr>
        <w:t xml:space="preserve"> </w:t>
      </w:r>
      <w:r w:rsidRPr="002417FE">
        <w:t>and</w:t>
      </w:r>
      <w:r w:rsidRPr="002417FE">
        <w:rPr>
          <w:spacing w:val="-3"/>
        </w:rPr>
        <w:t xml:space="preserve"> </w:t>
      </w:r>
      <w:r w:rsidRPr="002417FE">
        <w:t>report</w:t>
      </w:r>
      <w:r w:rsidRPr="002417FE">
        <w:rPr>
          <w:spacing w:val="-7"/>
        </w:rPr>
        <w:t xml:space="preserve"> </w:t>
      </w:r>
      <w:r w:rsidRPr="002417FE">
        <w:t>on</w:t>
      </w:r>
      <w:r w:rsidRPr="002417FE">
        <w:rPr>
          <w:spacing w:val="-5"/>
        </w:rPr>
        <w:t xml:space="preserve"> </w:t>
      </w:r>
      <w:r w:rsidRPr="002417FE">
        <w:t>program</w:t>
      </w:r>
      <w:r w:rsidRPr="002417FE">
        <w:rPr>
          <w:spacing w:val="-5"/>
        </w:rPr>
        <w:t xml:space="preserve"> </w:t>
      </w:r>
      <w:r w:rsidRPr="002417FE">
        <w:t>activities</w:t>
      </w:r>
      <w:r w:rsidRPr="002417FE">
        <w:rPr>
          <w:spacing w:val="-3"/>
        </w:rPr>
        <w:t xml:space="preserve"> </w:t>
      </w:r>
      <w:r w:rsidRPr="002417FE">
        <w:t>and</w:t>
      </w:r>
      <w:r w:rsidRPr="002417FE">
        <w:rPr>
          <w:spacing w:val="-3"/>
        </w:rPr>
        <w:t xml:space="preserve"> </w:t>
      </w:r>
      <w:r w:rsidRPr="002417FE">
        <w:t>accomplishments;</w:t>
      </w:r>
    </w:p>
    <w:p w:rsidR="002515AE" w:rsidRPr="002417FE" w:rsidP="00961C50" w14:paraId="7C147532" w14:textId="77777777">
      <w:pPr>
        <w:pStyle w:val="ListParagraph"/>
        <w:widowControl w:val="0"/>
        <w:numPr>
          <w:ilvl w:val="0"/>
          <w:numId w:val="44"/>
        </w:numPr>
        <w:tabs>
          <w:tab w:val="left" w:pos="840"/>
        </w:tabs>
        <w:autoSpaceDE w:val="0"/>
        <w:autoSpaceDN w:val="0"/>
        <w:spacing w:before="1" w:after="0" w:line="240" w:lineRule="auto"/>
        <w:ind w:right="372"/>
        <w:contextualSpacing w:val="0"/>
      </w:pPr>
      <w:r w:rsidRPr="002417FE">
        <w:t>The</w:t>
      </w:r>
      <w:r w:rsidRPr="002417FE">
        <w:rPr>
          <w:spacing w:val="-2"/>
        </w:rPr>
        <w:t xml:space="preserve"> </w:t>
      </w:r>
      <w:r w:rsidRPr="002417FE">
        <w:t>burden</w:t>
      </w:r>
      <w:r w:rsidRPr="002417FE">
        <w:rPr>
          <w:spacing w:val="-5"/>
        </w:rPr>
        <w:t xml:space="preserve"> </w:t>
      </w:r>
      <w:r w:rsidRPr="002417FE">
        <w:t>imposed</w:t>
      </w:r>
      <w:r w:rsidRPr="002417FE">
        <w:rPr>
          <w:spacing w:val="-5"/>
        </w:rPr>
        <w:t xml:space="preserve"> </w:t>
      </w:r>
      <w:r w:rsidRPr="002417FE">
        <w:t>by</w:t>
      </w:r>
      <w:r w:rsidRPr="002417FE">
        <w:rPr>
          <w:spacing w:val="-3"/>
        </w:rPr>
        <w:t xml:space="preserve"> </w:t>
      </w:r>
      <w:r w:rsidRPr="002417FE">
        <w:t>this</w:t>
      </w:r>
      <w:r w:rsidRPr="002417FE">
        <w:rPr>
          <w:spacing w:val="-3"/>
        </w:rPr>
        <w:t xml:space="preserve"> </w:t>
      </w:r>
      <w:r w:rsidRPr="002417FE">
        <w:t>information</w:t>
      </w:r>
      <w:r w:rsidRPr="002417FE">
        <w:rPr>
          <w:spacing w:val="-3"/>
        </w:rPr>
        <w:t xml:space="preserve"> </w:t>
      </w:r>
      <w:r w:rsidRPr="002417FE">
        <w:t>collection</w:t>
      </w:r>
      <w:r w:rsidRPr="002417FE">
        <w:rPr>
          <w:spacing w:val="-3"/>
        </w:rPr>
        <w:t xml:space="preserve"> </w:t>
      </w:r>
      <w:r w:rsidRPr="002417FE">
        <w:t>is</w:t>
      </w:r>
      <w:r w:rsidRPr="002417FE">
        <w:rPr>
          <w:spacing w:val="-6"/>
        </w:rPr>
        <w:t xml:space="preserve"> </w:t>
      </w:r>
      <w:r w:rsidRPr="002417FE">
        <w:t>relatively</w:t>
      </w:r>
      <w:r w:rsidRPr="002417FE">
        <w:rPr>
          <w:spacing w:val="-3"/>
        </w:rPr>
        <w:t xml:space="preserve"> </w:t>
      </w:r>
      <w:r w:rsidRPr="002417FE">
        <w:t>small</w:t>
      </w:r>
      <w:r w:rsidRPr="002417FE">
        <w:rPr>
          <w:spacing w:val="-5"/>
        </w:rPr>
        <w:t xml:space="preserve"> </w:t>
      </w:r>
      <w:r w:rsidRPr="002417FE">
        <w:t>and</w:t>
      </w:r>
      <w:r w:rsidRPr="002417FE">
        <w:rPr>
          <w:spacing w:val="-5"/>
        </w:rPr>
        <w:t xml:space="preserve"> </w:t>
      </w:r>
      <w:r w:rsidRPr="002417FE">
        <w:t>small</w:t>
      </w:r>
      <w:r w:rsidRPr="002417FE">
        <w:rPr>
          <w:spacing w:val="-3"/>
        </w:rPr>
        <w:t xml:space="preserve"> </w:t>
      </w:r>
      <w:r w:rsidRPr="002417FE">
        <w:t>entities</w:t>
      </w:r>
      <w:r w:rsidRPr="002417FE">
        <w:rPr>
          <w:spacing w:val="-3"/>
        </w:rPr>
        <w:t xml:space="preserve"> </w:t>
      </w:r>
      <w:r w:rsidRPr="002417FE">
        <w:t>should not be unduly burdened by the reporting requirement; and</w:t>
      </w:r>
    </w:p>
    <w:p w:rsidR="002515AE" w:rsidRPr="002417FE" w:rsidP="00961C50" w14:paraId="37E0EFB5" w14:textId="77777777">
      <w:pPr>
        <w:pStyle w:val="ListParagraph"/>
        <w:widowControl w:val="0"/>
        <w:numPr>
          <w:ilvl w:val="0"/>
          <w:numId w:val="44"/>
        </w:numPr>
        <w:tabs>
          <w:tab w:val="left" w:pos="840"/>
        </w:tabs>
        <w:autoSpaceDE w:val="0"/>
        <w:autoSpaceDN w:val="0"/>
        <w:spacing w:after="0" w:line="240" w:lineRule="auto"/>
        <w:ind w:right="298"/>
        <w:contextualSpacing w:val="0"/>
      </w:pPr>
      <w:r w:rsidRPr="002417FE">
        <w:t>The EJCPS and EJG2G programs are voluntary and grantees who elected to enter into the cooperative</w:t>
      </w:r>
      <w:r w:rsidRPr="002417FE">
        <w:rPr>
          <w:spacing w:val="-3"/>
        </w:rPr>
        <w:t xml:space="preserve"> </w:t>
      </w:r>
      <w:r w:rsidRPr="002417FE">
        <w:t>agreements</w:t>
      </w:r>
      <w:r w:rsidRPr="002417FE">
        <w:rPr>
          <w:spacing w:val="-1"/>
        </w:rPr>
        <w:t xml:space="preserve"> </w:t>
      </w:r>
      <w:r w:rsidRPr="002417FE">
        <w:t>with</w:t>
      </w:r>
      <w:r w:rsidRPr="002417FE">
        <w:rPr>
          <w:spacing w:val="-5"/>
        </w:rPr>
        <w:t xml:space="preserve"> </w:t>
      </w:r>
      <w:r w:rsidRPr="002417FE">
        <w:t>EPA</w:t>
      </w:r>
      <w:r w:rsidRPr="002417FE">
        <w:rPr>
          <w:spacing w:val="-5"/>
        </w:rPr>
        <w:t xml:space="preserve"> </w:t>
      </w:r>
      <w:r w:rsidRPr="002417FE">
        <w:t>have</w:t>
      </w:r>
      <w:r w:rsidRPr="002417FE">
        <w:rPr>
          <w:spacing w:val="-5"/>
        </w:rPr>
        <w:t xml:space="preserve"> </w:t>
      </w:r>
      <w:r w:rsidRPr="002417FE">
        <w:t>determined</w:t>
      </w:r>
      <w:r w:rsidRPr="002417FE">
        <w:rPr>
          <w:spacing w:val="-3"/>
        </w:rPr>
        <w:t xml:space="preserve"> </w:t>
      </w:r>
      <w:r w:rsidRPr="002417FE">
        <w:t>that</w:t>
      </w:r>
      <w:r w:rsidRPr="002417FE">
        <w:rPr>
          <w:spacing w:val="-3"/>
        </w:rPr>
        <w:t xml:space="preserve"> </w:t>
      </w:r>
      <w:r w:rsidRPr="002417FE">
        <w:t>the</w:t>
      </w:r>
      <w:r w:rsidRPr="002417FE">
        <w:rPr>
          <w:spacing w:val="-5"/>
        </w:rPr>
        <w:t xml:space="preserve"> </w:t>
      </w:r>
      <w:r w:rsidRPr="002417FE">
        <w:t>expected</w:t>
      </w:r>
      <w:r w:rsidRPr="002417FE">
        <w:rPr>
          <w:spacing w:val="-3"/>
        </w:rPr>
        <w:t xml:space="preserve"> </w:t>
      </w:r>
      <w:r w:rsidRPr="002417FE">
        <w:t>benefits</w:t>
      </w:r>
      <w:r w:rsidRPr="002417FE">
        <w:rPr>
          <w:spacing w:val="-6"/>
        </w:rPr>
        <w:t xml:space="preserve"> </w:t>
      </w:r>
      <w:r w:rsidRPr="002417FE">
        <w:t>of</w:t>
      </w:r>
      <w:r w:rsidRPr="002417FE">
        <w:rPr>
          <w:spacing w:val="-7"/>
        </w:rPr>
        <w:t xml:space="preserve"> </w:t>
      </w:r>
      <w:r w:rsidRPr="002417FE">
        <w:t>participation outweigh any burden associated with preparing the responses.</w:t>
      </w:r>
    </w:p>
    <w:p w:rsidR="002515AE" w:rsidRPr="002417FE" w:rsidP="00961C50" w14:paraId="4B58C600" w14:textId="77777777">
      <w:pPr>
        <w:pStyle w:val="BodyText"/>
        <w:spacing w:before="267"/>
      </w:pPr>
      <w:r w:rsidRPr="002417FE">
        <w:t>EPA will assist grantees with compliance against financial and program performance reporting requirements.</w:t>
      </w:r>
      <w:r w:rsidRPr="002417FE">
        <w:rPr>
          <w:spacing w:val="-3"/>
        </w:rPr>
        <w:t xml:space="preserve"> </w:t>
      </w:r>
      <w:r w:rsidRPr="002417FE">
        <w:t>EPA</w:t>
      </w:r>
      <w:r w:rsidRPr="002417FE">
        <w:rPr>
          <w:spacing w:val="-5"/>
        </w:rPr>
        <w:t xml:space="preserve"> </w:t>
      </w:r>
      <w:r w:rsidRPr="002417FE">
        <w:t>Project</w:t>
      </w:r>
      <w:r w:rsidRPr="002417FE">
        <w:rPr>
          <w:spacing w:val="-7"/>
        </w:rPr>
        <w:t xml:space="preserve"> </w:t>
      </w:r>
      <w:r w:rsidRPr="002417FE">
        <w:t>Officers</w:t>
      </w:r>
      <w:r w:rsidRPr="002417FE">
        <w:rPr>
          <w:spacing w:val="-5"/>
        </w:rPr>
        <w:t xml:space="preserve"> </w:t>
      </w:r>
      <w:r w:rsidRPr="002417FE">
        <w:t>will</w:t>
      </w:r>
      <w:r w:rsidRPr="002417FE">
        <w:rPr>
          <w:spacing w:val="-6"/>
        </w:rPr>
        <w:t xml:space="preserve"> </w:t>
      </w:r>
      <w:r w:rsidRPr="002417FE">
        <w:t>meet</w:t>
      </w:r>
      <w:r w:rsidRPr="002417FE">
        <w:rPr>
          <w:spacing w:val="-3"/>
        </w:rPr>
        <w:t xml:space="preserve"> </w:t>
      </w:r>
      <w:r w:rsidRPr="002417FE">
        <w:t>regularly</w:t>
      </w:r>
      <w:r w:rsidRPr="002417FE">
        <w:rPr>
          <w:spacing w:val="-5"/>
        </w:rPr>
        <w:t xml:space="preserve"> </w:t>
      </w:r>
      <w:r w:rsidRPr="002417FE">
        <w:t>with</w:t>
      </w:r>
      <w:r w:rsidRPr="002417FE">
        <w:rPr>
          <w:spacing w:val="-3"/>
        </w:rPr>
        <w:t xml:space="preserve"> </w:t>
      </w:r>
      <w:r w:rsidRPr="002417FE">
        <w:t>their</w:t>
      </w:r>
      <w:r w:rsidRPr="002417FE">
        <w:rPr>
          <w:spacing w:val="-3"/>
        </w:rPr>
        <w:t xml:space="preserve"> </w:t>
      </w:r>
      <w:r w:rsidRPr="002417FE">
        <w:t>designated</w:t>
      </w:r>
      <w:r w:rsidRPr="002417FE">
        <w:rPr>
          <w:spacing w:val="-3"/>
        </w:rPr>
        <w:t xml:space="preserve"> </w:t>
      </w:r>
      <w:r w:rsidRPr="002417FE">
        <w:t>grantees</w:t>
      </w:r>
      <w:r w:rsidRPr="002417FE">
        <w:rPr>
          <w:spacing w:val="-5"/>
        </w:rPr>
        <w:t xml:space="preserve"> </w:t>
      </w:r>
      <w:r w:rsidRPr="002417FE">
        <w:t>and</w:t>
      </w:r>
      <w:r w:rsidRPr="002417FE">
        <w:rPr>
          <w:spacing w:val="-5"/>
        </w:rPr>
        <w:t xml:space="preserve"> </w:t>
      </w:r>
      <w:r w:rsidRPr="002417FE">
        <w:t>will</w:t>
      </w:r>
      <w:r w:rsidRPr="002417FE">
        <w:rPr>
          <w:spacing w:val="-5"/>
        </w:rPr>
        <w:t xml:space="preserve"> </w:t>
      </w:r>
      <w:r w:rsidRPr="002417FE">
        <w:t>document their questions and concerns; EPA staff will then determine the appropriate resources and support to address each issue.</w:t>
      </w:r>
    </w:p>
    <w:p w:rsidR="004252C1" w:rsidRPr="002417FE" w:rsidP="00961C50" w14:paraId="1FF5A778" w14:textId="44B0EB38">
      <w:pPr>
        <w:pStyle w:val="Heading1"/>
      </w:pPr>
      <w:r w:rsidRPr="002417FE">
        <w:t>6</w:t>
      </w:r>
      <w:r w:rsidRPr="002417FE" w:rsidR="006227A8">
        <w:t xml:space="preserve">. </w:t>
      </w:r>
      <w:bookmarkStart w:id="7" w:name="_Toc156593373"/>
      <w:r w:rsidRPr="002417FE" w:rsidR="4EA0E14A">
        <w:t>CONSEQUENCES</w:t>
      </w:r>
      <w:r w:rsidRPr="002417FE" w:rsidR="00061A77">
        <w:t xml:space="preserve"> OF LESS FREQUENT COLLECTION</w:t>
      </w:r>
      <w:bookmarkEnd w:id="7"/>
    </w:p>
    <w:p w:rsidR="00D47CB3" w:rsidRPr="002417FE" w:rsidP="00961C50" w14:paraId="00E27992" w14:textId="51FE3814">
      <w:pPr>
        <w:pBdr>
          <w:bottom w:val="single" w:sz="4" w:space="1" w:color="auto"/>
        </w:pBdr>
        <w:tabs>
          <w:tab w:val="left" w:pos="921"/>
        </w:tabs>
        <w:spacing w:after="0"/>
        <w:rPr>
          <w:rFonts w:cstheme="minorHAnsi"/>
          <w:i/>
          <w:iCs/>
        </w:rPr>
      </w:pPr>
      <w:r w:rsidRPr="002417FE">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BC3B95" w:rsidRPr="002417FE" w:rsidP="00961C50" w14:paraId="7E60782F"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6127FB" w:rsidRPr="00F03C63" w:rsidP="006127FB" w14:paraId="3A8B6F1F" w14:textId="77777777">
      <w:pPr>
        <w:contextualSpacing/>
      </w:pPr>
      <w:r w:rsidRPr="00F03C63">
        <w:t xml:space="preserve">EPA recognizes the importance of balancing the need for data collection efforts against respondent burden and costs. </w:t>
      </w:r>
      <w:r w:rsidRPr="00F03C63">
        <w:rPr>
          <w:rFonts w:cstheme="minorHAnsi"/>
        </w:rPr>
        <w:t xml:space="preserve">The quarterly progress reporting schedule set out in this ICR is consistent with the Agency’s reporting schedule for financial assistance programs. </w:t>
      </w:r>
      <w:r w:rsidRPr="00F03C63">
        <w:t xml:space="preserve">As noted in </w:t>
      </w:r>
      <w:r w:rsidRPr="00F03C63">
        <w:rPr>
          <w:color w:val="333333"/>
        </w:rPr>
        <w:t xml:space="preserve">2 CFR Part 200, </w:t>
      </w:r>
      <w:r w:rsidRPr="00F03C63">
        <w:rPr>
          <w:i/>
          <w:iCs/>
          <w:color w:val="333333"/>
        </w:rPr>
        <w:t>Uniform Administrative Requirements, Cost Principles, and Audit Requirements for Federal Awards</w:t>
      </w:r>
      <w:r w:rsidRPr="00F03C63">
        <w:rPr>
          <w:color w:val="333333"/>
        </w:rPr>
        <w:t>, grantees</w:t>
      </w:r>
      <w:r w:rsidRPr="00F03C63">
        <w:t xml:space="preserve"> are required to report updates on their respective projects quarterly throughout the project’s period of performance, followed by a final report at the completion of the project. </w:t>
      </w:r>
    </w:p>
    <w:p w:rsidR="006127FB" w:rsidRPr="00F03C63" w:rsidP="006127FB" w14:paraId="1232DC72" w14:textId="77777777">
      <w:pPr>
        <w:contextualSpacing/>
      </w:pPr>
    </w:p>
    <w:p w:rsidR="006127FB" w:rsidRPr="00F03C63" w:rsidP="006127FB" w14:paraId="443FAF45" w14:textId="77777777">
      <w:pPr>
        <w:contextualSpacing/>
      </w:pPr>
      <w:r w:rsidRPr="00F03C63">
        <w:t xml:space="preserve">EPA has determined that the quarterly reporting schedule is necessary to adequately track awardee progress in completing the proposed activities, and to measure project outcomes (e.g., calculate the emissions reductions that are achieved through the grant). </w:t>
      </w:r>
      <w:r w:rsidRPr="00F03C63">
        <w:rPr>
          <w:rFonts w:cstheme="minorHAnsi"/>
        </w:rPr>
        <w:t xml:space="preserve">Less frequent collection would weaken EPA’s ability to oversee and manage the Community Change Grants and to report up-to-date and accurate information on program activities and accomplishments. </w:t>
      </w:r>
    </w:p>
    <w:p w:rsidR="006127FB" w:rsidRPr="00F03C63" w:rsidP="006127FB" w14:paraId="5A33CA33" w14:textId="77777777">
      <w:pPr>
        <w:contextualSpacing/>
        <w:rPr>
          <w:rFonts w:cstheme="minorHAnsi"/>
        </w:rPr>
      </w:pPr>
    </w:p>
    <w:p w:rsidR="006127FB" w:rsidRPr="00F03C63" w:rsidP="006127FB" w14:paraId="0FE0E218" w14:textId="77777777">
      <w:pPr>
        <w:contextualSpacing/>
      </w:pPr>
      <w:r w:rsidRPr="00F03C63">
        <w:t xml:space="preserve">If this information were not collected, EPA would have no mechanism for tracking and assessing the extent to which the Community Change Grants are operating effectively, efficiently, and equitably. This situation would leave EPA unable to fulfill its legal and administrative requirements to ensure </w:t>
      </w:r>
      <w:r w:rsidRPr="00F03C63">
        <w:t>responsible stewardship of public funds; rigorous evidence-based learning and improvement; and transparent accountability to the American public.</w:t>
      </w:r>
    </w:p>
    <w:p w:rsidR="00A233E0" w:rsidRPr="006127FB" w:rsidP="00961C50" w14:paraId="27596CC0" w14:textId="5F4D415C">
      <w:pPr>
        <w:pStyle w:val="Heading1"/>
      </w:pPr>
      <w:r w:rsidRPr="006127FB">
        <w:t>7</w:t>
      </w:r>
      <w:r w:rsidRPr="006127FB" w:rsidR="006227A8">
        <w:t xml:space="preserve">. </w:t>
      </w:r>
      <w:bookmarkStart w:id="8" w:name="_Toc156593374"/>
      <w:r w:rsidRPr="006127FB" w:rsidR="002D3E1A">
        <w:t>GENERAL GUIDELINES</w:t>
      </w:r>
      <w:bookmarkEnd w:id="8"/>
    </w:p>
    <w:p w:rsidR="00A233E0" w:rsidRPr="006127FB" w:rsidP="00961C50" w14:paraId="7754F228" w14:textId="2EAFBFAF">
      <w:pPr>
        <w:pBdr>
          <w:bottom w:val="single" w:sz="4" w:space="1" w:color="auto"/>
        </w:pBdr>
        <w:spacing w:before="60"/>
        <w:rPr>
          <w:rFonts w:cstheme="minorHAnsi"/>
        </w:rPr>
      </w:pPr>
      <w:r w:rsidRPr="006127FB">
        <w:rPr>
          <w:rFonts w:cstheme="minorHAnsi"/>
          <w:i/>
          <w:iCs/>
        </w:rPr>
        <w:t>Explain any special circumstances that require the collection to be conducted in a manner inconsistent with OMB guidelines.</w:t>
      </w:r>
    </w:p>
    <w:p w:rsidR="001C7F26" w:rsidRPr="00F03C63" w:rsidP="001C7F26" w14:paraId="2C30E250" w14:textId="77777777">
      <w:pPr>
        <w:pStyle w:val="Bullet-last"/>
        <w:spacing w:after="0"/>
        <w:contextualSpacing/>
        <w:rPr>
          <w:rFonts w:asciiTheme="minorHAnsi" w:hAnsiTheme="minorHAnsi" w:cstheme="minorBidi"/>
          <w:sz w:val="22"/>
          <w:szCs w:val="22"/>
        </w:rPr>
      </w:pPr>
      <w:r w:rsidRPr="00F03C63">
        <w:rPr>
          <w:rFonts w:asciiTheme="minorHAnsi" w:hAnsiTheme="minorHAnsi" w:cstheme="minorBidi"/>
          <w:sz w:val="22"/>
          <w:szCs w:val="22"/>
        </w:rPr>
        <w:t>Information collections for the Community Change Grants will be conducted in accordance with the Paperwork Reduction Act [</w:t>
      </w:r>
      <w:r w:rsidRPr="0053210E">
        <w:rPr>
          <w:rStyle w:val="normaltextrun"/>
          <w:rFonts w:ascii="Calibri" w:hAnsi="Calibri" w:cs="Calibri"/>
          <w:sz w:val="22"/>
          <w:szCs w:val="22"/>
          <w:bdr w:val="none" w:sz="0" w:space="0" w:color="auto" w:frame="1"/>
        </w:rPr>
        <w:t xml:space="preserve">4 U.S.C. 3501 et seq and </w:t>
      </w:r>
      <w:r w:rsidRPr="00F03C63">
        <w:rPr>
          <w:rFonts w:asciiTheme="minorHAnsi" w:hAnsiTheme="minorHAnsi" w:cstheme="minorBidi"/>
          <w:sz w:val="22"/>
          <w:szCs w:val="22"/>
        </w:rPr>
        <w:t xml:space="preserve">Title 5 of the </w:t>
      </w:r>
      <w:r w:rsidRPr="00F03C63">
        <w:rPr>
          <w:rFonts w:asciiTheme="minorHAnsi" w:hAnsiTheme="minorHAnsi" w:cstheme="minorBidi"/>
          <w:i/>
          <w:iCs/>
          <w:sz w:val="22"/>
          <w:szCs w:val="22"/>
        </w:rPr>
        <w:t>Code of Federal Regulations</w:t>
      </w:r>
      <w:r w:rsidRPr="00F03C63">
        <w:rPr>
          <w:rFonts w:asciiTheme="minorHAnsi" w:hAnsiTheme="minorHAnsi" w:cstheme="minorBidi"/>
          <w:sz w:val="22"/>
          <w:szCs w:val="22"/>
        </w:rPr>
        <w:t xml:space="preserve"> (CFR) section 1320.5(d)(2)] and will adhere to OMB’s general guidelines for information collections. There are no known special circumstances that would require reporting on an alternative timeline or methodology.</w:t>
      </w:r>
    </w:p>
    <w:p w:rsidR="001C7F26" w:rsidRPr="00F03C63" w:rsidP="001C7F26" w14:paraId="6A66D6F9" w14:textId="77777777">
      <w:pPr>
        <w:pStyle w:val="Bullet-last"/>
        <w:spacing w:after="0"/>
        <w:contextualSpacing/>
        <w:rPr>
          <w:sz w:val="22"/>
          <w:szCs w:val="22"/>
        </w:rPr>
      </w:pPr>
    </w:p>
    <w:p w:rsidR="001C7F26" w:rsidRPr="00F03C63" w:rsidP="001C7F26" w14:paraId="06520C57" w14:textId="77777777">
      <w:pPr>
        <w:pStyle w:val="Bullet-last"/>
        <w:spacing w:after="0"/>
        <w:contextualSpacing/>
        <w:rPr>
          <w:rFonts w:asciiTheme="minorHAnsi" w:hAnsiTheme="minorHAnsi" w:cstheme="minorHAnsi"/>
          <w:sz w:val="22"/>
          <w:szCs w:val="22"/>
        </w:rPr>
      </w:pPr>
      <w:r w:rsidRPr="00F03C63">
        <w:rPr>
          <w:rFonts w:asciiTheme="minorHAnsi" w:hAnsiTheme="minorHAnsi" w:cstheme="minorHAnsi"/>
          <w:sz w:val="22"/>
          <w:szCs w:val="22"/>
        </w:rPr>
        <w:t>The Grantees will not be required to report information to EPA more often than quarterly and will be provided the relevant forms and instructions at least 30 days in advance. The Grantees will not be required to submit more than an original and two copies of any document.</w:t>
      </w:r>
    </w:p>
    <w:p w:rsidR="001C7F26" w:rsidRPr="00F03C63" w:rsidP="001C7F26" w14:paraId="14B01F14" w14:textId="77777777">
      <w:pPr>
        <w:pStyle w:val="Bullet-last"/>
        <w:spacing w:after="0"/>
        <w:contextualSpacing/>
        <w:rPr>
          <w:rFonts w:asciiTheme="minorHAnsi" w:hAnsiTheme="minorHAnsi" w:cstheme="minorHAnsi"/>
          <w:sz w:val="22"/>
          <w:szCs w:val="22"/>
        </w:rPr>
      </w:pPr>
    </w:p>
    <w:p w:rsidR="001C7F26" w:rsidRPr="00F03C63" w:rsidP="001C7F26" w14:paraId="43A501F4" w14:textId="77777777">
      <w:pPr>
        <w:pStyle w:val="Bullet-last"/>
        <w:spacing w:after="0"/>
        <w:contextualSpacing/>
        <w:rPr>
          <w:rStyle w:val="eop"/>
          <w:rFonts w:asciiTheme="minorHAnsi" w:hAnsiTheme="minorHAnsi" w:cstheme="minorBidi"/>
          <w:color w:val="000000"/>
          <w:sz w:val="22"/>
          <w:szCs w:val="22"/>
          <w:shd w:val="clear" w:color="auto" w:fill="FFFFFF"/>
        </w:rPr>
      </w:pPr>
      <w:r w:rsidRPr="00F03C63">
        <w:rPr>
          <w:rFonts w:asciiTheme="minorHAnsi" w:hAnsiTheme="minorHAnsi" w:cstheme="minorBidi"/>
          <w:sz w:val="22"/>
          <w:szCs w:val="22"/>
        </w:rPr>
        <w:t xml:space="preserve">In conjunction with OMB’s general guidelines at 2 CFR 200.334, grant recipients </w:t>
      </w:r>
      <w:r w:rsidRPr="00F03C63">
        <w:rPr>
          <w:rStyle w:val="normaltextrun"/>
          <w:rFonts w:asciiTheme="minorHAnsi" w:hAnsiTheme="minorHAnsi" w:cstheme="minorBidi"/>
          <w:color w:val="000000"/>
          <w:sz w:val="22"/>
          <w:szCs w:val="22"/>
          <w:shd w:val="clear" w:color="auto" w:fill="FFFFFF"/>
        </w:rPr>
        <w:t>must retain all financial records, supporting documents, accounting books and other evidence of program activities for three years after submission of the final report. If any litigation, claim, or audit is started before the expiration of the three-year period, the recipient must maintain all appropriate records until these actions are completed and all issues resolved.</w:t>
      </w:r>
      <w:r w:rsidRPr="00F03C63">
        <w:rPr>
          <w:rStyle w:val="eop"/>
          <w:rFonts w:asciiTheme="minorHAnsi" w:hAnsiTheme="minorHAnsi" w:cstheme="minorBidi"/>
          <w:color w:val="000000"/>
          <w:sz w:val="22"/>
          <w:szCs w:val="22"/>
          <w:shd w:val="clear" w:color="auto" w:fill="FFFFFF"/>
        </w:rPr>
        <w:t> </w:t>
      </w:r>
    </w:p>
    <w:p w:rsidR="001C7F26" w:rsidRPr="00F03C63" w:rsidP="001C7F26" w14:paraId="2C48D69E" w14:textId="77777777">
      <w:pPr>
        <w:pStyle w:val="Bullet-last"/>
        <w:spacing w:after="0"/>
        <w:contextualSpacing/>
        <w:rPr>
          <w:rFonts w:asciiTheme="minorHAnsi" w:hAnsiTheme="minorHAnsi" w:cstheme="minorHAnsi"/>
          <w:sz w:val="22"/>
          <w:szCs w:val="22"/>
        </w:rPr>
      </w:pPr>
    </w:p>
    <w:p w:rsidR="001C7F26" w:rsidP="001C7F26" w14:paraId="015E313C" w14:textId="77777777">
      <w:pPr>
        <w:contextualSpacing/>
      </w:pPr>
      <w:r w:rsidRPr="00F03C63">
        <w:t xml:space="preserve">The Grantees will not be required to submit Confidential Business Information (CBI). If a participant feels that any information requested would be CBI, the participant may request that such information be treated as confidential. All confidential data will be handled in accordance with 40 CFR 122.7, 40 CFR Part 2, and EPA’s </w:t>
      </w:r>
      <w:r w:rsidRPr="00F03C63">
        <w:rPr>
          <w:i/>
          <w:iCs/>
        </w:rPr>
        <w:t>Security Manual</w:t>
      </w:r>
      <w:r w:rsidRPr="00F03C63">
        <w:t xml:space="preserve"> Part III, Chapter 9, dated August 9, 1976. Any claim of confidentiality must be asserted at the time of submission.</w:t>
      </w:r>
    </w:p>
    <w:p w:rsidR="001C7F26" w:rsidRPr="00F03C63" w:rsidP="001C7F26" w14:paraId="01F7758D" w14:textId="77777777">
      <w:pPr>
        <w:contextualSpacing/>
      </w:pPr>
    </w:p>
    <w:p w:rsidR="006036CD" w:rsidRPr="001C7F26" w:rsidP="00961C50" w14:paraId="02EE9B8D" w14:textId="0F25F724">
      <w:pPr>
        <w:pStyle w:val="Heading1"/>
      </w:pPr>
      <w:r w:rsidRPr="001C7F26">
        <w:t xml:space="preserve">8. </w:t>
      </w:r>
      <w:bookmarkStart w:id="9" w:name="_Toc156593375"/>
      <w:r w:rsidRPr="001C7F26" w:rsidR="001C260A">
        <w:t>PUBLIC COMMENT AND CONSULTATIONS</w:t>
      </w:r>
      <w:bookmarkStart w:id="10" w:name="_Toc156593376"/>
      <w:bookmarkEnd w:id="9"/>
    </w:p>
    <w:p w:rsidR="00DD2682" w:rsidRPr="00433304" w:rsidP="00961C50" w14:paraId="4922639E" w14:textId="5A74305B">
      <w:pPr>
        <w:spacing w:before="120" w:after="0"/>
        <w:rPr>
          <w:rFonts w:cstheme="minorHAnsi"/>
          <w:b/>
          <w:bCs/>
        </w:rPr>
      </w:pPr>
      <w:r w:rsidRPr="00433304">
        <w:rPr>
          <w:rFonts w:cstheme="minorHAnsi"/>
          <w:b/>
          <w:bCs/>
        </w:rPr>
        <w:t xml:space="preserve">8a. </w:t>
      </w:r>
      <w:r w:rsidRPr="00433304" w:rsidR="00A82647">
        <w:rPr>
          <w:rFonts w:cstheme="minorHAnsi"/>
          <w:b/>
          <w:bCs/>
        </w:rPr>
        <w:t>Public Comment</w:t>
      </w:r>
      <w:bookmarkStart w:id="11" w:name="_Toc156593377"/>
      <w:bookmarkEnd w:id="10"/>
    </w:p>
    <w:p w:rsidR="00A233E0" w:rsidRPr="00433304" w:rsidP="00961C50" w14:paraId="4D2D25D5" w14:textId="77777777">
      <w:pPr>
        <w:spacing w:after="0" w:line="240" w:lineRule="auto"/>
        <w:rPr>
          <w:rFonts w:cstheme="minorHAnsi"/>
          <w:i/>
          <w:iCs/>
        </w:rPr>
      </w:pPr>
      <w:r w:rsidRPr="00433304">
        <w:rPr>
          <w:rFonts w:cstheme="minorHAnsi"/>
          <w:i/>
          <w:iCs/>
        </w:rPr>
        <w:t xml:space="preserve">If applicable, provide a copy and identify the date and page number of </w:t>
      </w:r>
      <w:r w:rsidRPr="00433304">
        <w:rPr>
          <w:rFonts w:cstheme="minorHAnsi"/>
          <w:i/>
          <w:iCs/>
        </w:rPr>
        <w:t>publication</w:t>
      </w:r>
      <w:r w:rsidRPr="00433304">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11AD1" w:rsidRPr="00703F76" w:rsidP="00961C50" w14:paraId="4B11EBD4" w14:textId="77777777">
      <w:pPr>
        <w:spacing w:after="0" w:line="240" w:lineRule="auto"/>
        <w:rPr>
          <w:rFonts w:cstheme="minorHAnsi"/>
          <w:i/>
          <w:iCs/>
        </w:rPr>
      </w:pPr>
    </w:p>
    <w:p w:rsidR="00E843EB" w:rsidRPr="00C40C07" w:rsidP="00961C50" w14:paraId="1AD5F12F" w14:textId="46977B7F">
      <w:pPr>
        <w:pBdr>
          <w:top w:val="single" w:sz="6" w:space="0" w:color="FFFFFF"/>
          <w:left w:val="single" w:sz="6" w:space="0" w:color="FFFFFF"/>
          <w:bottom w:val="single" w:sz="6" w:space="0" w:color="FFFFFF"/>
          <w:right w:val="single" w:sz="6" w:space="0" w:color="FFFFFF"/>
        </w:pBdr>
        <w:spacing w:after="0"/>
        <w:rPr>
          <w:rFonts w:cstheme="minorHAnsi"/>
          <w:color w:val="000000"/>
          <w:highlight w:val="yellow"/>
        </w:rPr>
      </w:pPr>
      <w:r w:rsidRPr="00703F76">
        <w:rPr>
          <w:rFonts w:cstheme="minorHAnsi"/>
          <w:color w:val="000000"/>
        </w:rPr>
        <w:t>EPA published a notice in the Federal Register (</w:t>
      </w:r>
      <w:r w:rsidRPr="00703F76" w:rsidR="00926CCD">
        <w:rPr>
          <w:rFonts w:cstheme="minorHAnsi"/>
          <w:color w:val="000000"/>
        </w:rPr>
        <w:t>FRL-12020-01-OEJECR</w:t>
      </w:r>
      <w:r w:rsidRPr="00703F76">
        <w:rPr>
          <w:rFonts w:cstheme="minorHAnsi"/>
          <w:color w:val="000000"/>
        </w:rPr>
        <w:t xml:space="preserve">) announcing the Agency’s intention to request an OMB review of this </w:t>
      </w:r>
      <w:r w:rsidRPr="0048111E">
        <w:rPr>
          <w:rFonts w:cstheme="minorHAnsi"/>
          <w:color w:val="000000"/>
        </w:rPr>
        <w:t xml:space="preserve">information collection activity. This notice was published on </w:t>
      </w:r>
      <w:r w:rsidRPr="0048111E" w:rsidR="00433304">
        <w:rPr>
          <w:rFonts w:cstheme="minorHAnsi"/>
          <w:color w:val="000000"/>
        </w:rPr>
        <w:t>August</w:t>
      </w:r>
      <w:r w:rsidRPr="0048111E" w:rsidR="002B69DF">
        <w:rPr>
          <w:rFonts w:cstheme="minorHAnsi"/>
          <w:color w:val="000000"/>
        </w:rPr>
        <w:t xml:space="preserve"> </w:t>
      </w:r>
      <w:r w:rsidRPr="0048111E" w:rsidR="00433304">
        <w:rPr>
          <w:rFonts w:cstheme="minorHAnsi"/>
          <w:color w:val="000000"/>
        </w:rPr>
        <w:t>6</w:t>
      </w:r>
      <w:r w:rsidRPr="0048111E" w:rsidR="002B69DF">
        <w:rPr>
          <w:rFonts w:cstheme="minorHAnsi"/>
          <w:color w:val="000000"/>
        </w:rPr>
        <w:t>,</w:t>
      </w:r>
      <w:r w:rsidRPr="0048111E">
        <w:rPr>
          <w:rFonts w:cstheme="minorHAnsi"/>
          <w:color w:val="000000"/>
        </w:rPr>
        <w:t xml:space="preserve"> </w:t>
      </w:r>
      <w:r w:rsidRPr="0048111E">
        <w:rPr>
          <w:rFonts w:cstheme="minorHAnsi"/>
          <w:color w:val="000000"/>
        </w:rPr>
        <w:t>202</w:t>
      </w:r>
      <w:r w:rsidRPr="0048111E" w:rsidR="002B69DF">
        <w:rPr>
          <w:rFonts w:cstheme="minorHAnsi"/>
          <w:color w:val="000000"/>
        </w:rPr>
        <w:t>4</w:t>
      </w:r>
      <w:r w:rsidRPr="0048111E">
        <w:rPr>
          <w:rFonts w:cstheme="minorHAnsi"/>
          <w:color w:val="000000"/>
        </w:rPr>
        <w:t xml:space="preserve"> in Volume 8</w:t>
      </w:r>
      <w:r w:rsidRPr="0048111E" w:rsidR="002D566A">
        <w:rPr>
          <w:rFonts w:cstheme="minorHAnsi"/>
          <w:color w:val="000000"/>
        </w:rPr>
        <w:t>9</w:t>
      </w:r>
      <w:r w:rsidRPr="0048111E">
        <w:rPr>
          <w:rFonts w:cstheme="minorHAnsi"/>
          <w:color w:val="000000"/>
        </w:rPr>
        <w:t xml:space="preserve">, Number </w:t>
      </w:r>
      <w:r w:rsidRPr="0048111E" w:rsidR="00703F76">
        <w:rPr>
          <w:rFonts w:cstheme="minorHAnsi"/>
          <w:color w:val="000000"/>
        </w:rPr>
        <w:t>151</w:t>
      </w:r>
      <w:r w:rsidRPr="0048111E">
        <w:rPr>
          <w:rFonts w:cstheme="minorHAnsi"/>
          <w:color w:val="000000"/>
        </w:rPr>
        <w:t>, Page</w:t>
      </w:r>
      <w:r w:rsidRPr="0048111E" w:rsidR="00703F76">
        <w:rPr>
          <w:rFonts w:cstheme="minorHAnsi"/>
          <w:color w:val="000000"/>
        </w:rPr>
        <w:t>s</w:t>
      </w:r>
      <w:r w:rsidRPr="0048111E">
        <w:rPr>
          <w:rFonts w:cstheme="minorHAnsi"/>
          <w:color w:val="000000"/>
        </w:rPr>
        <w:t xml:space="preserve"> </w:t>
      </w:r>
      <w:r w:rsidRPr="0048111E" w:rsidR="00703F76">
        <w:rPr>
          <w:rFonts w:cstheme="minorHAnsi"/>
          <w:color w:val="000000"/>
        </w:rPr>
        <w:t>63940-63941</w:t>
      </w:r>
      <w:r w:rsidRPr="0048111E">
        <w:rPr>
          <w:rFonts w:cstheme="minorHAnsi"/>
          <w:color w:val="000000"/>
        </w:rPr>
        <w:t xml:space="preserve">, and provided a 60-day period for public comment (Docket ID </w:t>
      </w:r>
      <w:r w:rsidRPr="0048111E" w:rsidR="00BE6CFD">
        <w:rPr>
          <w:rFonts w:cstheme="minorHAnsi"/>
          <w:color w:val="000000"/>
        </w:rPr>
        <w:t>EPA-HQ-OEJECR-2024-0</w:t>
      </w:r>
      <w:r w:rsidRPr="0048111E" w:rsidR="00703F76">
        <w:rPr>
          <w:rFonts w:cstheme="minorHAnsi"/>
          <w:color w:val="000000"/>
        </w:rPr>
        <w:t>235</w:t>
      </w:r>
      <w:r w:rsidRPr="0048111E">
        <w:rPr>
          <w:rFonts w:cstheme="minorHAnsi"/>
          <w:color w:val="000000"/>
        </w:rPr>
        <w:t>). EPA received one public comment</w:t>
      </w:r>
      <w:r w:rsidRPr="0048111E" w:rsidR="0048111E">
        <w:rPr>
          <w:rFonts w:cstheme="minorHAnsi"/>
          <w:color w:val="000000"/>
        </w:rPr>
        <w:t xml:space="preserve"> that emphasized the importance of providing sufficient time after award of funds for preparation and submission of the </w:t>
      </w:r>
      <w:r w:rsidRPr="0048111E" w:rsidR="0048111E">
        <w:rPr>
          <w:rFonts w:cstheme="minorHAnsi"/>
          <w:color w:val="000000"/>
        </w:rPr>
        <w:t>first progress report</w:t>
      </w:r>
      <w:r w:rsidRPr="0048111E">
        <w:rPr>
          <w:rFonts w:cstheme="minorHAnsi"/>
          <w:color w:val="000000"/>
        </w:rPr>
        <w:t>.</w:t>
      </w:r>
      <w:r w:rsidRPr="0048111E" w:rsidR="0048111E">
        <w:rPr>
          <w:rFonts w:cstheme="minorHAnsi"/>
          <w:color w:val="000000"/>
        </w:rPr>
        <w:t xml:space="preserve"> The program will ensure that all grantees have three months before the first progress report is due to be submitted.</w:t>
      </w:r>
      <w:r w:rsidRPr="0048111E">
        <w:rPr>
          <w:rFonts w:cstheme="minorHAnsi"/>
          <w:color w:val="000000"/>
        </w:rPr>
        <w:t xml:space="preserve"> </w:t>
      </w:r>
    </w:p>
    <w:p w:rsidR="00E843EB" w:rsidRPr="00C40C07" w:rsidP="00961C50" w14:paraId="6C74DDFF" w14:textId="77777777">
      <w:pPr>
        <w:pBdr>
          <w:top w:val="single" w:sz="6" w:space="0" w:color="FFFFFF"/>
          <w:left w:val="single" w:sz="6" w:space="0" w:color="FFFFFF"/>
          <w:bottom w:val="single" w:sz="6" w:space="0" w:color="FFFFFF"/>
          <w:right w:val="single" w:sz="6" w:space="0" w:color="FFFFFF"/>
        </w:pBdr>
        <w:spacing w:after="0"/>
        <w:rPr>
          <w:rFonts w:cstheme="minorHAnsi"/>
          <w:color w:val="000000"/>
          <w:highlight w:val="yellow"/>
        </w:rPr>
      </w:pPr>
    </w:p>
    <w:p w:rsidR="00DB7775" w:rsidRPr="0048111E" w:rsidP="00961C50" w14:paraId="71A9B3CC" w14:textId="77087A05">
      <w:pPr>
        <w:spacing w:before="120" w:after="0"/>
        <w:rPr>
          <w:b/>
          <w:bCs/>
        </w:rPr>
      </w:pPr>
      <w:r w:rsidRPr="0048111E">
        <w:rPr>
          <w:b/>
          <w:bCs/>
        </w:rPr>
        <w:t xml:space="preserve">8b. </w:t>
      </w:r>
      <w:r w:rsidRPr="0048111E" w:rsidR="0061689C">
        <w:rPr>
          <w:b/>
          <w:bCs/>
        </w:rPr>
        <w:t>C</w:t>
      </w:r>
      <w:bookmarkEnd w:id="11"/>
      <w:r w:rsidRPr="0048111E" w:rsidR="005D140B">
        <w:rPr>
          <w:b/>
          <w:bCs/>
        </w:rPr>
        <w:t>onsultations</w:t>
      </w:r>
    </w:p>
    <w:p w:rsidR="00A233E0" w:rsidRPr="0048111E" w:rsidP="00961C50" w14:paraId="04F99483" w14:textId="77777777">
      <w:pPr>
        <w:rPr>
          <w:rFonts w:cstheme="minorHAnsi"/>
          <w:i/>
          <w:iCs/>
        </w:rPr>
      </w:pPr>
      <w:r w:rsidRPr="0048111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D3316" w:rsidRPr="0048111E" w:rsidP="00961C50" w14:paraId="5016C814" w14:textId="04C46D9C">
      <w:pPr>
        <w:pStyle w:val="BodyText"/>
        <w:ind w:right="172"/>
        <w:rPr>
          <w:rFonts w:asciiTheme="minorHAnsi" w:eastAsiaTheme="minorEastAsia" w:hAnsiTheme="minorHAnsi" w:cstheme="minorHAnsi"/>
          <w:color w:val="000000"/>
        </w:rPr>
      </w:pPr>
      <w:r w:rsidRPr="0048111E">
        <w:rPr>
          <w:rFonts w:asciiTheme="minorHAnsi" w:eastAsiaTheme="minorEastAsia" w:hAnsiTheme="minorHAnsi" w:cstheme="minorHAnsi"/>
          <w:color w:val="000000"/>
        </w:rPr>
        <w:t xml:space="preserve">Consultation with </w:t>
      </w:r>
      <w:r w:rsidR="0048111E">
        <w:rPr>
          <w:rFonts w:asciiTheme="minorHAnsi" w:eastAsiaTheme="minorEastAsia" w:hAnsiTheme="minorHAnsi" w:cstheme="minorHAnsi"/>
          <w:color w:val="000000"/>
        </w:rPr>
        <w:t>seven</w:t>
      </w:r>
      <w:r w:rsidRPr="0048111E" w:rsidR="00151753">
        <w:rPr>
          <w:rFonts w:asciiTheme="minorHAnsi" w:eastAsiaTheme="minorEastAsia" w:hAnsiTheme="minorHAnsi" w:cstheme="minorHAnsi"/>
          <w:color w:val="000000"/>
        </w:rPr>
        <w:t xml:space="preserve"> </w:t>
      </w:r>
      <w:r w:rsidRPr="0048111E" w:rsidR="00AC1F88">
        <w:rPr>
          <w:rFonts w:asciiTheme="minorHAnsi" w:eastAsiaTheme="minorEastAsia" w:hAnsiTheme="minorHAnsi" w:cstheme="minorHAnsi"/>
          <w:color w:val="000000"/>
        </w:rPr>
        <w:t>selectees</w:t>
      </w:r>
      <w:r w:rsidRPr="0048111E">
        <w:rPr>
          <w:rFonts w:asciiTheme="minorHAnsi" w:eastAsiaTheme="minorEastAsia" w:hAnsiTheme="minorHAnsi" w:cstheme="minorHAnsi"/>
          <w:color w:val="000000"/>
        </w:rPr>
        <w:t xml:space="preserve"> </w:t>
      </w:r>
      <w:r w:rsidRPr="0048111E" w:rsidR="00151753">
        <w:rPr>
          <w:rFonts w:asciiTheme="minorHAnsi" w:eastAsiaTheme="minorEastAsia" w:hAnsiTheme="minorHAnsi" w:cstheme="minorHAnsi"/>
          <w:color w:val="000000"/>
        </w:rPr>
        <w:t>were</w:t>
      </w:r>
      <w:r w:rsidRPr="0048111E">
        <w:rPr>
          <w:rFonts w:asciiTheme="minorHAnsi" w:eastAsiaTheme="minorEastAsia" w:hAnsiTheme="minorHAnsi" w:cstheme="minorHAnsi"/>
          <w:color w:val="000000"/>
        </w:rPr>
        <w:t xml:space="preserve"> undertaken</w:t>
      </w:r>
      <w:r w:rsidRPr="0048111E" w:rsidR="00151753">
        <w:rPr>
          <w:rFonts w:asciiTheme="minorHAnsi" w:eastAsiaTheme="minorEastAsia" w:hAnsiTheme="minorHAnsi" w:cstheme="minorHAnsi"/>
          <w:color w:val="000000"/>
        </w:rPr>
        <w:t xml:space="preserve"> so that EPA could understand </w:t>
      </w:r>
      <w:r w:rsidRPr="0048111E">
        <w:rPr>
          <w:rFonts w:asciiTheme="minorHAnsi" w:eastAsiaTheme="minorEastAsia" w:hAnsiTheme="minorHAnsi" w:cstheme="minorHAnsi"/>
          <w:color w:val="000000"/>
        </w:rPr>
        <w:t>the burden associated with completing the data collection covered in this ICR. These consultations include</w:t>
      </w:r>
      <w:r w:rsidRPr="0048111E" w:rsidR="00151753">
        <w:rPr>
          <w:rFonts w:asciiTheme="minorHAnsi" w:eastAsiaTheme="minorEastAsia" w:hAnsiTheme="minorHAnsi" w:cstheme="minorHAnsi"/>
          <w:color w:val="000000"/>
        </w:rPr>
        <w:t>d</w:t>
      </w:r>
      <w:r w:rsidRPr="0048111E">
        <w:rPr>
          <w:rFonts w:asciiTheme="minorHAnsi" w:eastAsiaTheme="minorEastAsia" w:hAnsiTheme="minorHAnsi" w:cstheme="minorHAnsi"/>
          <w:color w:val="000000"/>
        </w:rPr>
        <w:t xml:space="preserve"> discussions concerning potential response problems, clarity of questions and instructions, and other aspects of respondent burden. </w:t>
      </w:r>
    </w:p>
    <w:p w:rsidR="001A7B0D" w:rsidRPr="00C003CC" w:rsidP="00961C50" w14:paraId="3B8F7EAB" w14:textId="77777777">
      <w:pPr>
        <w:contextualSpacing/>
        <w:rPr>
          <w:rFonts w:cstheme="minorHAnsi"/>
        </w:rPr>
      </w:pPr>
    </w:p>
    <w:p w:rsidR="00A233E0" w:rsidRPr="00C003CC" w:rsidP="00961C50" w14:paraId="191560B2" w14:textId="40288CC4">
      <w:pPr>
        <w:pStyle w:val="Heading1"/>
      </w:pPr>
      <w:r w:rsidRPr="00C003CC">
        <w:t xml:space="preserve">9. </w:t>
      </w:r>
      <w:bookmarkStart w:id="12" w:name="_Toc156593378"/>
      <w:r w:rsidRPr="00C003CC" w:rsidR="00F573CC">
        <w:t>PAYMENTS OR GIFTS TO RESPONDENTS</w:t>
      </w:r>
      <w:bookmarkEnd w:id="12"/>
    </w:p>
    <w:p w:rsidR="00D47CB3" w:rsidRPr="00C003CC" w:rsidP="00961C50" w14:paraId="5B1B6C7F" w14:textId="1A951D95">
      <w:pPr>
        <w:pBdr>
          <w:bottom w:val="single" w:sz="4" w:space="1" w:color="auto"/>
        </w:pBdr>
        <w:spacing w:before="60"/>
        <w:rPr>
          <w:rFonts w:cstheme="minorHAnsi"/>
        </w:rPr>
      </w:pPr>
      <w:r w:rsidRPr="00C003CC">
        <w:rPr>
          <w:rFonts w:cstheme="minorHAnsi"/>
          <w:i/>
          <w:iCs/>
        </w:rPr>
        <w:t>Explain any decisions to provide payments or gifts to respondents, other than remuneration of contractors or grantees.</w:t>
      </w:r>
    </w:p>
    <w:p w:rsidR="0016490F" w:rsidRPr="00C003CC" w:rsidP="00961C50" w14:paraId="08D3CE4E" w14:textId="77777777">
      <w:pPr>
        <w:contextualSpacing/>
        <w:rPr>
          <w:rFonts w:cstheme="minorHAnsi"/>
        </w:rPr>
      </w:pPr>
    </w:p>
    <w:p w:rsidR="0016490F" w:rsidRPr="00C003CC" w:rsidP="00961C50" w14:paraId="409E3ADC" w14:textId="3F29107E">
      <w:pPr>
        <w:contextualSpacing/>
        <w:rPr>
          <w:rFonts w:cstheme="minorHAnsi"/>
        </w:rPr>
      </w:pPr>
      <w:r w:rsidRPr="00C003CC">
        <w:rPr>
          <w:rFonts w:cstheme="minorHAnsi"/>
        </w:rPr>
        <w:t xml:space="preserve">Per OMB guidance, incentives are generally not appropriate for recipients of assistance agreements because they already have a preexisting relationship with the Agency. Incentives will not be provided for post-award reports submitted by </w:t>
      </w:r>
      <w:r w:rsidRPr="00C003CC" w:rsidR="00BE5E35">
        <w:rPr>
          <w:rFonts w:cstheme="minorHAnsi"/>
        </w:rPr>
        <w:t>Grantees</w:t>
      </w:r>
      <w:r w:rsidRPr="00C003CC">
        <w:rPr>
          <w:rFonts w:cstheme="minorHAnsi"/>
        </w:rPr>
        <w:t>.</w:t>
      </w:r>
    </w:p>
    <w:p w:rsidR="4C04BBF2" w:rsidRPr="00C003CC" w:rsidP="00961C50" w14:paraId="333FE36D" w14:textId="26B0ADC5">
      <w:pPr>
        <w:pStyle w:val="Heading1"/>
      </w:pPr>
      <w:r w:rsidRPr="00C003CC">
        <w:t xml:space="preserve">10. </w:t>
      </w:r>
      <w:r w:rsidRPr="00C003CC">
        <w:t>ASSURANCE OF CONFIDENTIALITY</w:t>
      </w:r>
    </w:p>
    <w:p w:rsidR="00A233E0" w:rsidRPr="00C003CC" w:rsidP="00961C50" w14:paraId="429AF986" w14:textId="40745D8B">
      <w:pPr>
        <w:pBdr>
          <w:bottom w:val="single" w:sz="4" w:space="1" w:color="auto"/>
        </w:pBdr>
        <w:spacing w:before="60"/>
        <w:rPr>
          <w:rFonts w:cstheme="minorHAnsi"/>
        </w:rPr>
      </w:pPr>
      <w:r w:rsidRPr="00C003CC">
        <w:rPr>
          <w:rFonts w:cstheme="minorHAnsi"/>
          <w:i/>
          <w:iCs/>
        </w:rPr>
        <w:t xml:space="preserve">Describe any assurance of confidentiality provided to respondents and the basis for the assurance in statute, regulation, or Agency policy. If the collection requires a </w:t>
      </w:r>
      <w:r w:rsidRPr="00C003CC">
        <w:rPr>
          <w:rFonts w:cstheme="minorHAnsi"/>
          <w:i/>
          <w:iCs/>
        </w:rPr>
        <w:t>systems of records notice (SORN)</w:t>
      </w:r>
      <w:r w:rsidRPr="00C003CC">
        <w:rPr>
          <w:rFonts w:cstheme="minorHAnsi"/>
          <w:i/>
          <w:iCs/>
        </w:rPr>
        <w:t xml:space="preserve"> or privacy impact assessment (PIA), those should be cited and described here.</w:t>
      </w:r>
    </w:p>
    <w:p w:rsidR="00375075" w:rsidRPr="00C003CC" w:rsidP="00961C50" w14:paraId="30E725FB" w14:textId="77777777">
      <w:pPr>
        <w:contextualSpacing/>
        <w:rPr>
          <w:rFonts w:cstheme="minorHAnsi"/>
          <w:u w:val="single"/>
        </w:rPr>
      </w:pPr>
    </w:p>
    <w:p w:rsidR="00982867" w:rsidRPr="00C003CC" w:rsidP="00961C50" w14:paraId="1AF5334A" w14:textId="77777777">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contextualSpacing/>
      </w:pPr>
      <w:r w:rsidRPr="00C003CC">
        <w:t>EPA asks grantees to refrain from including any confidential business information (CBI) in their reporting. All confidential data will be handled in accordance with 40 CFR 122.7, 40 CFR Part 2, and EPA’s Security Manual Part III, Chapter 9, dated August 9, 1976. Any claim of confidentiality must be asserted at the time of submission. Any personal information included in a survey would be treated in accordance with the Privacy Act, section 14 of TSCA, and the Freedom of Information Act.</w:t>
      </w:r>
    </w:p>
    <w:p w:rsidR="00877339" w:rsidRPr="00C003CC" w:rsidP="00961C50" w14:paraId="45F42C34" w14:textId="77777777">
      <w:pPr>
        <w:contextualSpacing/>
      </w:pPr>
    </w:p>
    <w:p w:rsidR="00877339" w:rsidRPr="00C003CC" w:rsidP="00961C50" w14:paraId="43509471" w14:textId="4708889E">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contextualSpacing/>
        <w:rPr>
          <w:rStyle w:val="eop"/>
          <w:color w:val="000000" w:themeColor="text1"/>
        </w:rPr>
      </w:pPr>
      <w:r w:rsidRPr="00C003CC">
        <w:rPr>
          <w:rStyle w:val="eop"/>
          <w:color w:val="000000" w:themeColor="text1"/>
        </w:rPr>
        <w:t xml:space="preserve">Progress reports and final reports submitted by grantees will be stored in an EPA IT system that meets the Agency’s current policies and guidelines regarding security and privacy. A Privacy Threshold Analysis was conducted on this system, and a Privacy Impact Assessment Form was completed as part of the SORN process to safeguard sensitive information such as personally identifiable information (see </w:t>
      </w:r>
      <w:hyperlink r:id="rId25" w:history="1">
        <w:r w:rsidRPr="00C003CC">
          <w:rPr>
            <w:rStyle w:val="Hyperlink"/>
          </w:rPr>
          <w:t>https://www.govinfo.gov/content/pkg/FR-2022-09-06.pdf/2022-19183.pdf</w:t>
        </w:r>
      </w:hyperlink>
      <w:r w:rsidRPr="00C003CC">
        <w:rPr>
          <w:rStyle w:val="eop"/>
          <w:color w:val="000000" w:themeColor="text1"/>
        </w:rPr>
        <w:t xml:space="preserve">). Personal identifiers will not be used to retrieve specific information in this system. </w:t>
      </w:r>
    </w:p>
    <w:p w:rsidR="000655B3" w:rsidRPr="00C003CC" w:rsidP="00961C50" w14:paraId="74079611" w14:textId="77777777">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contextualSpacing/>
      </w:pPr>
    </w:p>
    <w:p w:rsidR="00A233E0" w:rsidRPr="00C003CC" w:rsidP="00961C50" w14:paraId="36FBAEFB" w14:textId="5A00B1ED">
      <w:pPr>
        <w:pStyle w:val="Heading1"/>
        <w:rPr>
          <w:rFonts w:cstheme="minorHAnsi"/>
        </w:rPr>
      </w:pPr>
      <w:r w:rsidRPr="00C003CC">
        <w:t xml:space="preserve">11. </w:t>
      </w:r>
      <w:bookmarkStart w:id="13" w:name="_Toc156593380"/>
      <w:r w:rsidRPr="00C003CC" w:rsidR="002420F2">
        <w:t>JUSTIFICATION FOR SENSITIVE QUESTIONS</w:t>
      </w:r>
      <w:bookmarkEnd w:id="13"/>
    </w:p>
    <w:p w:rsidR="00A233E0" w:rsidRPr="00C003CC" w:rsidP="00961C50" w14:paraId="6E3B78D8" w14:textId="5C334C1C">
      <w:pPr>
        <w:pBdr>
          <w:bottom w:val="single" w:sz="4" w:space="1" w:color="auto"/>
        </w:pBdr>
        <w:spacing w:before="60"/>
        <w:rPr>
          <w:rFonts w:cstheme="minorHAnsi"/>
        </w:rPr>
      </w:pPr>
      <w:r w:rsidRPr="00C003CC">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0E88" w:rsidRPr="00C003CC" w:rsidP="00961C50" w14:paraId="1C6E824E" w14:textId="77777777">
      <w:pPr>
        <w:contextualSpacing/>
        <w:rPr>
          <w:rFonts w:cstheme="minorHAnsi"/>
        </w:rPr>
      </w:pPr>
      <w:r w:rsidRPr="00C003CC">
        <w:rPr>
          <w:rFonts w:cstheme="minorHAnsi"/>
        </w:rPr>
        <w:t xml:space="preserve">The information collection activities covered by this ICR will not include questions about sensitive issues (e.g., religious beliefs, sexual attitudes and behavior). </w:t>
      </w:r>
    </w:p>
    <w:p w:rsidR="001172FE" w:rsidRPr="00C003CC" w:rsidP="00961C50" w14:paraId="637A8E82" w14:textId="40919B93">
      <w:pPr>
        <w:pStyle w:val="Heading1"/>
        <w:rPr>
          <w:rFonts w:cstheme="minorHAnsi"/>
        </w:rPr>
      </w:pPr>
      <w:r w:rsidRPr="00C003CC">
        <w:t xml:space="preserve">12. </w:t>
      </w:r>
      <w:bookmarkStart w:id="14" w:name="_Toc156593381"/>
      <w:bookmarkStart w:id="15" w:name="_Hlk162363270"/>
      <w:r w:rsidRPr="00C003CC" w:rsidR="00331168">
        <w:t>RESPONDENT BURDEN HOURS</w:t>
      </w:r>
      <w:r w:rsidRPr="00C003CC" w:rsidR="00DB799B">
        <w:t xml:space="preserve"> &amp; LABOR COSTS</w:t>
      </w:r>
      <w:bookmarkStart w:id="16" w:name="_Toc156593382"/>
      <w:bookmarkEnd w:id="14"/>
    </w:p>
    <w:p w:rsidR="00A233E0" w:rsidRPr="00C003CC" w:rsidP="00961C50" w14:paraId="71F2FC12" w14:textId="77777777">
      <w:pPr>
        <w:pStyle w:val="ListParagraph"/>
        <w:ind w:left="0"/>
        <w:rPr>
          <w:rFonts w:cstheme="minorHAnsi"/>
          <w:i/>
          <w:iCs/>
        </w:rPr>
      </w:pPr>
      <w:r w:rsidRPr="00C003CC">
        <w:rPr>
          <w:rFonts w:cstheme="minorHAnsi"/>
          <w:i/>
          <w:iCs/>
        </w:rPr>
        <w:t>Provide estimates of the hour burden of the collection of information. The statement should:</w:t>
      </w:r>
    </w:p>
    <w:p w:rsidR="00A233E0" w:rsidRPr="00C003CC" w:rsidP="00961C50" w14:paraId="11BD2D70" w14:textId="77777777">
      <w:pPr>
        <w:pStyle w:val="ListParagraph"/>
        <w:numPr>
          <w:ilvl w:val="0"/>
          <w:numId w:val="1"/>
        </w:numPr>
        <w:ind w:left="446"/>
        <w:rPr>
          <w:rFonts w:cstheme="minorHAnsi"/>
          <w:i/>
          <w:iCs/>
        </w:rPr>
      </w:pPr>
      <w:r w:rsidRPr="00C003CC">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C003CC" w:rsidP="00961C50" w14:paraId="2184CE92" w14:textId="77777777">
      <w:pPr>
        <w:pStyle w:val="ListParagraph"/>
        <w:numPr>
          <w:ilvl w:val="0"/>
          <w:numId w:val="1"/>
        </w:numPr>
        <w:ind w:left="450"/>
        <w:rPr>
          <w:rFonts w:cstheme="minorHAnsi"/>
          <w:i/>
          <w:iCs/>
        </w:rPr>
      </w:pPr>
      <w:r w:rsidRPr="00C003CC">
        <w:rPr>
          <w:rFonts w:cstheme="minorHAnsi"/>
          <w:i/>
          <w:iCs/>
        </w:rPr>
        <w:t>If this request for approval covers more than one form, provide separate hour burden estimates for each form and the aggregate the hour burdens.</w:t>
      </w:r>
    </w:p>
    <w:p w:rsidR="00A233E0" w:rsidRPr="00C003CC" w:rsidP="00961C50" w14:paraId="7EF5894F" w14:textId="5EEBA470">
      <w:pPr>
        <w:pStyle w:val="ListParagraph"/>
        <w:numPr>
          <w:ilvl w:val="0"/>
          <w:numId w:val="1"/>
        </w:numPr>
        <w:pBdr>
          <w:bottom w:val="single" w:sz="4" w:space="1" w:color="auto"/>
        </w:pBdr>
        <w:ind w:left="446"/>
        <w:rPr>
          <w:rFonts w:cstheme="minorHAnsi"/>
          <w:i/>
          <w:iCs/>
        </w:rPr>
      </w:pPr>
      <w:r w:rsidRPr="00C003CC">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C003CC" w:rsidR="001F0834">
        <w:rPr>
          <w:rFonts w:cstheme="minorHAnsi"/>
          <w:i/>
          <w:iCs/>
        </w:rPr>
        <w:t>.</w:t>
      </w:r>
    </w:p>
    <w:p w:rsidR="0007770F" w:rsidRPr="00C003CC" w:rsidP="00961C50" w14:paraId="2B3F4290" w14:textId="77777777">
      <w:pPr>
        <w:pStyle w:val="NormalWeb"/>
        <w:contextualSpacing/>
        <w:rPr>
          <w:rFonts w:asciiTheme="minorHAnsi" w:hAnsiTheme="minorHAnsi" w:cstheme="minorHAnsi"/>
          <w:color w:val="000000" w:themeColor="text1"/>
          <w:u w:val="single"/>
        </w:rPr>
      </w:pPr>
      <w:bookmarkStart w:id="17" w:name="_Hlk148418591"/>
      <w:bookmarkEnd w:id="15"/>
    </w:p>
    <w:p w:rsidR="00773D6D" w:rsidRPr="003A624A" w:rsidP="00961C50" w14:paraId="6BEC3273" w14:textId="33180FD1">
      <w:pPr>
        <w:spacing w:after="0"/>
        <w:rPr>
          <w:b/>
          <w:bCs/>
        </w:rPr>
      </w:pPr>
      <w:r w:rsidRPr="003A624A">
        <w:rPr>
          <w:b/>
          <w:bCs/>
        </w:rPr>
        <w:t xml:space="preserve">Total Number of Respondents = </w:t>
      </w:r>
      <w:r w:rsidRPr="003A624A" w:rsidR="00C003CC">
        <w:rPr>
          <w:b/>
          <w:bCs/>
        </w:rPr>
        <w:t>105</w:t>
      </w:r>
    </w:p>
    <w:p w:rsidR="00321ED3" w:rsidRPr="003A624A" w:rsidP="00961C50" w14:paraId="632DBDAA" w14:textId="047FB33F">
      <w:pPr>
        <w:spacing w:after="0"/>
        <w:rPr>
          <w:b/>
          <w:bCs/>
        </w:rPr>
      </w:pPr>
      <w:r w:rsidRPr="003A624A">
        <w:rPr>
          <w:b/>
          <w:bCs/>
        </w:rPr>
        <w:t xml:space="preserve">Total Annual Hour Burden (across all instruments and respondents) = </w:t>
      </w:r>
      <w:r w:rsidRPr="003A624A" w:rsidR="00D919A1">
        <w:rPr>
          <w:b/>
          <w:bCs/>
        </w:rPr>
        <w:t>9,100</w:t>
      </w:r>
      <w:r w:rsidRPr="003A624A">
        <w:rPr>
          <w:b/>
          <w:bCs/>
        </w:rPr>
        <w:t xml:space="preserve"> hours</w:t>
      </w:r>
    </w:p>
    <w:p w:rsidR="00321ED3" w:rsidRPr="00D919A1" w:rsidP="00961C50" w14:paraId="6CD200B7" w14:textId="2E064C96">
      <w:pPr>
        <w:spacing w:after="0"/>
        <w:rPr>
          <w:b/>
          <w:bCs/>
        </w:rPr>
      </w:pPr>
      <w:r w:rsidRPr="003A624A">
        <w:rPr>
          <w:b/>
          <w:bCs/>
        </w:rPr>
        <w:t xml:space="preserve">Total Annual Cost (across all instruments and respondents) </w:t>
      </w:r>
      <w:r w:rsidRPr="003A624A" w:rsidR="00F6380F">
        <w:rPr>
          <w:b/>
          <w:bCs/>
        </w:rPr>
        <w:t>= $</w:t>
      </w:r>
      <w:r w:rsidRPr="003A624A" w:rsidR="00D919A1">
        <w:rPr>
          <w:b/>
          <w:bCs/>
        </w:rPr>
        <w:t>521,339</w:t>
      </w:r>
    </w:p>
    <w:p w:rsidR="00321ED3" w:rsidRPr="00C40C07" w:rsidP="00961C50" w14:paraId="093C6955" w14:textId="77777777">
      <w:pPr>
        <w:spacing w:after="0"/>
        <w:rPr>
          <w:rFonts w:cstheme="minorHAnsi"/>
          <w:highlight w:val="yellow"/>
          <w:u w:val="single"/>
        </w:rPr>
      </w:pPr>
    </w:p>
    <w:p w:rsidR="0015001F" w:rsidRPr="006369AE" w:rsidP="0015001F" w14:paraId="3EDE1164" w14:textId="77777777">
      <w:pPr>
        <w:spacing w:before="120"/>
        <w:rPr>
          <w:rFonts w:cstheme="minorHAnsi"/>
          <w:b/>
          <w:bCs/>
        </w:rPr>
      </w:pPr>
      <w:r w:rsidRPr="006369AE">
        <w:rPr>
          <w:rFonts w:cstheme="minorHAnsi"/>
          <w:b/>
          <w:bCs/>
        </w:rPr>
        <w:t>12a. Respondents/NAICS Codes</w:t>
      </w:r>
    </w:p>
    <w:p w:rsidR="0015001F" w:rsidRPr="006369AE" w:rsidP="0015001F" w14:paraId="684DFC92" w14:textId="2B50171B">
      <w:pPr>
        <w:pBdr>
          <w:top w:val="single" w:sz="6" w:space="0" w:color="FFFFFF"/>
          <w:left w:val="single" w:sz="6" w:space="0" w:color="FFFFFF"/>
          <w:bottom w:val="single" w:sz="6" w:space="0" w:color="FFFFFF"/>
          <w:right w:val="single" w:sz="6" w:space="0" w:color="FFFFFF"/>
        </w:pBdr>
        <w:spacing w:before="120"/>
        <w:rPr>
          <w:rStyle w:val="cf01"/>
          <w:rFonts w:asciiTheme="minorHAnsi" w:hAnsiTheme="minorHAnsi" w:cstheme="minorHAnsi"/>
          <w:sz w:val="22"/>
          <w:szCs w:val="22"/>
        </w:rPr>
      </w:pPr>
      <w:r w:rsidRPr="006369AE">
        <w:rPr>
          <w:rFonts w:cstheme="minorHAnsi"/>
          <w:color w:val="000000"/>
        </w:rPr>
        <w:t xml:space="preserve">Respondents will include entities who are eligible to receive </w:t>
      </w:r>
      <w:r w:rsidRPr="006369AE" w:rsidR="004F7BAB">
        <w:rPr>
          <w:rFonts w:cstheme="minorHAnsi"/>
          <w:color w:val="000000"/>
        </w:rPr>
        <w:t>awards</w:t>
      </w:r>
      <w:r w:rsidRPr="006369AE">
        <w:rPr>
          <w:rFonts w:cstheme="minorHAnsi"/>
          <w:color w:val="000000"/>
        </w:rPr>
        <w:t>, who are covered by the following NAICS code</w:t>
      </w:r>
      <w:r w:rsidRPr="006369AE">
        <w:rPr>
          <w:rFonts w:cstheme="minorHAnsi"/>
        </w:rPr>
        <w:t>: 813410 (Civic and Social Organizations)</w:t>
      </w:r>
      <w:r w:rsidRPr="006369AE" w:rsidR="00C003CC">
        <w:rPr>
          <w:rFonts w:cstheme="minorHAnsi"/>
        </w:rPr>
        <w:t>.</w:t>
      </w:r>
    </w:p>
    <w:p w:rsidR="0015001F" w:rsidRPr="00C40C07" w:rsidP="0015001F" w14:paraId="1F4C6242" w14:textId="77777777">
      <w:pPr>
        <w:contextualSpacing/>
        <w:rPr>
          <w:highlight w:val="yellow"/>
          <w:u w:val="single"/>
        </w:rPr>
      </w:pPr>
    </w:p>
    <w:p w:rsidR="0015001F" w:rsidRPr="006369AE" w:rsidP="0015001F" w14:paraId="50625199" w14:textId="77777777">
      <w:pPr>
        <w:spacing w:before="120"/>
        <w:rPr>
          <w:rFonts w:cstheme="minorHAnsi"/>
          <w:b/>
          <w:bCs/>
        </w:rPr>
      </w:pPr>
      <w:r w:rsidRPr="006369AE">
        <w:rPr>
          <w:rFonts w:cstheme="minorHAnsi"/>
          <w:b/>
          <w:bCs/>
        </w:rPr>
        <w:t>12b. Information Requested</w:t>
      </w:r>
      <w:bookmarkStart w:id="18" w:name="_Toc156593384"/>
      <w:r w:rsidRPr="006369AE">
        <w:rPr>
          <w:rFonts w:cstheme="minorHAnsi"/>
          <w:b/>
          <w:bCs/>
        </w:rPr>
        <w:br/>
        <w:t>12c. Respondent Activities</w:t>
      </w:r>
      <w:bookmarkStart w:id="19" w:name="_Toc156593385"/>
      <w:bookmarkEnd w:id="18"/>
      <w:r w:rsidRPr="006369AE">
        <w:rPr>
          <w:rFonts w:cstheme="minorHAnsi"/>
          <w:b/>
          <w:bCs/>
        </w:rPr>
        <w:br/>
        <w:t xml:space="preserve">12d. Respondent Burden Hours and Labor </w:t>
      </w:r>
      <w:bookmarkEnd w:id="19"/>
      <w:r w:rsidRPr="006369AE">
        <w:rPr>
          <w:rFonts w:cstheme="minorHAnsi"/>
          <w:b/>
          <w:bCs/>
        </w:rPr>
        <w:t>Costs</w:t>
      </w:r>
    </w:p>
    <w:p w:rsidR="0015001F" w:rsidRPr="00C40C07" w:rsidP="00961C50" w14:paraId="508CA68B" w14:textId="77777777">
      <w:pPr>
        <w:spacing w:after="0"/>
        <w:rPr>
          <w:rFonts w:cstheme="minorHAnsi"/>
          <w:highlight w:val="yellow"/>
          <w:u w:val="single"/>
        </w:rPr>
      </w:pPr>
    </w:p>
    <w:p w:rsidR="0015001F" w:rsidRPr="00062EFE" w:rsidP="00062EFE" w14:paraId="4A6EE0F6" w14:textId="04236C82">
      <w:pPr>
        <w:ind w:left="360"/>
        <w:contextualSpacing/>
        <w:rPr>
          <w:rFonts w:cstheme="minorHAnsi"/>
        </w:rPr>
      </w:pPr>
      <w:r w:rsidRPr="006369AE">
        <w:rPr>
          <w:rFonts w:cstheme="minorHAnsi"/>
          <w:b/>
          <w:bCs/>
        </w:rPr>
        <w:t xml:space="preserve">Information Requested: </w:t>
      </w:r>
      <w:r w:rsidRPr="00F03C63" w:rsidR="00062EFE">
        <w:t xml:space="preserve">The information requested under this ICR will be collected via post-award reports submitted by Grantees that document their planned and actual milestones, activities, target </w:t>
      </w:r>
      <w:r w:rsidRPr="00062EFE" w:rsidR="00062EFE">
        <w:t xml:space="preserve">audiences, outputs, outcomes, timelines, and locations of activities or benefits. </w:t>
      </w:r>
      <w:r w:rsidRPr="00062EFE" w:rsidR="00062EFE">
        <w:rPr>
          <w:rFonts w:cstheme="minorHAnsi"/>
        </w:rPr>
        <w:br/>
      </w:r>
    </w:p>
    <w:p w:rsidR="0007770F" w:rsidRPr="00062EFE" w:rsidP="00961C50" w14:paraId="2D8C3F0D" w14:textId="3C07044C">
      <w:pPr>
        <w:ind w:left="360"/>
        <w:rPr>
          <w:rFonts w:cstheme="minorHAnsi"/>
        </w:rPr>
      </w:pPr>
      <w:r w:rsidRPr="00062EFE">
        <w:rPr>
          <w:rFonts w:cstheme="minorHAnsi"/>
          <w:b/>
          <w:bCs/>
        </w:rPr>
        <w:t xml:space="preserve">Respondent </w:t>
      </w:r>
      <w:r w:rsidRPr="00062EFE" w:rsidR="0015001F">
        <w:rPr>
          <w:rFonts w:cstheme="minorHAnsi"/>
          <w:b/>
          <w:bCs/>
        </w:rPr>
        <w:t>activities</w:t>
      </w:r>
      <w:r w:rsidRPr="00062EFE">
        <w:rPr>
          <w:rFonts w:cstheme="minorHAnsi"/>
          <w:b/>
          <w:bCs/>
        </w:rPr>
        <w:t>:</w:t>
      </w:r>
      <w:r w:rsidRPr="00062EFE">
        <w:rPr>
          <w:rFonts w:cstheme="minorHAnsi"/>
        </w:rPr>
        <w:t xml:space="preserve"> The </w:t>
      </w:r>
      <w:r w:rsidRPr="00062EFE" w:rsidR="008C0A91">
        <w:rPr>
          <w:rFonts w:cstheme="minorHAnsi"/>
        </w:rPr>
        <w:t xml:space="preserve">Grantees </w:t>
      </w:r>
      <w:r w:rsidRPr="00062EFE">
        <w:rPr>
          <w:rFonts w:cstheme="minorHAnsi"/>
        </w:rPr>
        <w:t>incur a burden in the process of preparing, completing, and submitting the progress reports</w:t>
      </w:r>
      <w:r w:rsidRPr="00062EFE" w:rsidR="008C0A91">
        <w:rPr>
          <w:rFonts w:cstheme="minorHAnsi"/>
        </w:rPr>
        <w:t xml:space="preserve"> and</w:t>
      </w:r>
      <w:r w:rsidRPr="00062EFE">
        <w:rPr>
          <w:rFonts w:cstheme="minorHAnsi"/>
        </w:rPr>
        <w:t xml:space="preserve"> final reports.</w:t>
      </w:r>
    </w:p>
    <w:p w:rsidR="0007770F" w:rsidRPr="00062EFE" w:rsidP="00961C50" w14:paraId="785BA8D1" w14:textId="77777777">
      <w:pPr>
        <w:ind w:left="360"/>
      </w:pPr>
      <w:r w:rsidRPr="00062EFE">
        <w:rPr>
          <w:b/>
          <w:bCs/>
        </w:rPr>
        <w:t>Methodology:</w:t>
      </w:r>
      <w:r w:rsidRPr="00062EFE">
        <w:t xml:space="preserve"> The burden for respondents was estimated using a seven-step process for each information collection instrument:</w:t>
      </w:r>
    </w:p>
    <w:p w:rsidR="0007770F" w:rsidRPr="00062EFE" w:rsidP="00961C50" w14:paraId="6F68449F" w14:textId="1DB09201">
      <w:pPr>
        <w:pStyle w:val="ListParagraph"/>
        <w:numPr>
          <w:ilvl w:val="0"/>
          <w:numId w:val="31"/>
        </w:numPr>
        <w:spacing w:after="0" w:line="240" w:lineRule="auto"/>
        <w:ind w:left="1080"/>
      </w:pPr>
      <w:r w:rsidRPr="00062EFE">
        <w:t xml:space="preserve">Calculate the number of hours to prepare, complete, and submit each response, across all staff roles at relevant levels of seniority: management, technical, clerical/support (based on consultations with </w:t>
      </w:r>
      <w:r w:rsidRPr="00062EFE" w:rsidR="008C0A91">
        <w:t>Grantees</w:t>
      </w:r>
      <w:r w:rsidRPr="00062EFE">
        <w:t xml:space="preserve">). </w:t>
      </w:r>
    </w:p>
    <w:p w:rsidR="0007770F" w:rsidRPr="00062EFE" w:rsidP="00961C50" w14:paraId="0E1D7AC8" w14:textId="77777777">
      <w:pPr>
        <w:pStyle w:val="ListParagraph"/>
        <w:numPr>
          <w:ilvl w:val="0"/>
          <w:numId w:val="31"/>
        </w:numPr>
        <w:spacing w:after="0" w:line="240" w:lineRule="auto"/>
        <w:ind w:left="1080"/>
      </w:pPr>
      <w:r w:rsidRPr="00062EFE">
        <w:t>Calculate the weighted labor cost to prepare, complete, and submit each response, across all staff roles involved (based on salaries identified in the Bureau of Labor Statistics).</w:t>
      </w:r>
    </w:p>
    <w:p w:rsidR="0007770F" w:rsidRPr="00062EFE" w:rsidP="00961C50" w14:paraId="1BFBF73E" w14:textId="19DDE737">
      <w:pPr>
        <w:pStyle w:val="ListParagraph"/>
        <w:numPr>
          <w:ilvl w:val="0"/>
          <w:numId w:val="31"/>
        </w:numPr>
        <w:spacing w:after="0" w:line="240" w:lineRule="auto"/>
        <w:ind w:left="1080"/>
      </w:pPr>
      <w:r w:rsidRPr="00062EFE">
        <w:t xml:space="preserve">Determine the number of responses for the three years (based on signed Terms and Conditions agreements with each </w:t>
      </w:r>
      <w:r w:rsidRPr="00062EFE" w:rsidR="00AF7EAC">
        <w:t>Grantees</w:t>
      </w:r>
      <w:r w:rsidRPr="00062EFE">
        <w:t xml:space="preserve">). </w:t>
      </w:r>
    </w:p>
    <w:p w:rsidR="0007770F" w:rsidRPr="00062EFE" w:rsidP="00961C50" w14:paraId="2C48BBEC" w14:textId="77777777">
      <w:pPr>
        <w:pStyle w:val="ListParagraph"/>
        <w:numPr>
          <w:ilvl w:val="0"/>
          <w:numId w:val="31"/>
        </w:numPr>
        <w:spacing w:after="0" w:line="240" w:lineRule="auto"/>
        <w:ind w:left="1080"/>
      </w:pPr>
      <w:r w:rsidRPr="00062EFE">
        <w:t>Calculate the total burden hours per instrument (number of hours per response x number of responses).</w:t>
      </w:r>
    </w:p>
    <w:p w:rsidR="0007770F" w:rsidRPr="00062EFE" w:rsidP="00961C50" w14:paraId="7D5E21A0" w14:textId="77777777">
      <w:pPr>
        <w:pStyle w:val="ListParagraph"/>
        <w:numPr>
          <w:ilvl w:val="0"/>
          <w:numId w:val="31"/>
        </w:numPr>
        <w:spacing w:after="0" w:line="240" w:lineRule="auto"/>
        <w:ind w:left="1080"/>
      </w:pPr>
      <w:r w:rsidRPr="00062EFE">
        <w:t>Calculate the total cost per instrument (labor cost per response x number of responses).</w:t>
      </w:r>
    </w:p>
    <w:p w:rsidR="0007770F" w:rsidRPr="00062EFE" w:rsidP="00961C50" w14:paraId="1F3CEF9D" w14:textId="77777777">
      <w:pPr>
        <w:pStyle w:val="ListParagraph"/>
        <w:numPr>
          <w:ilvl w:val="0"/>
          <w:numId w:val="31"/>
        </w:numPr>
        <w:spacing w:after="0" w:line="240" w:lineRule="auto"/>
        <w:ind w:left="1080"/>
      </w:pPr>
      <w:r w:rsidRPr="00062EFE">
        <w:t>Calculate the total burden hours and costs across all instruments for the three years.</w:t>
      </w:r>
    </w:p>
    <w:p w:rsidR="0007770F" w:rsidRPr="00062EFE" w:rsidP="00961C50" w14:paraId="7FC11081" w14:textId="77777777">
      <w:pPr>
        <w:pStyle w:val="ListParagraph"/>
        <w:numPr>
          <w:ilvl w:val="0"/>
          <w:numId w:val="31"/>
        </w:numPr>
        <w:spacing w:after="0" w:line="240" w:lineRule="auto"/>
        <w:ind w:left="1080"/>
      </w:pPr>
      <w:r w:rsidRPr="00062EFE">
        <w:t>Calculate the annualized burden hours and costs across all instruments for each year.</w:t>
      </w:r>
    </w:p>
    <w:p w:rsidR="0007770F" w:rsidRPr="00062EFE" w:rsidP="00961C50" w14:paraId="2CA32717" w14:textId="77777777"/>
    <w:p w:rsidR="00877339" w:rsidRPr="00F84EEA" w:rsidP="00F84EEA" w14:paraId="3E8463CC" w14:textId="295DF2B8">
      <w:pPr>
        <w:ind w:left="360"/>
      </w:pPr>
      <w:r w:rsidRPr="00062EFE">
        <w:rPr>
          <w:b/>
          <w:bCs/>
        </w:rPr>
        <w:t>Table 1 (below)</w:t>
      </w:r>
      <w:r w:rsidRPr="00062EFE">
        <w:t xml:space="preserve"> includes the information calculated in each step of the methodology, with the total burden hours and costs and annualized burden hours and costs presented in the bottom two rows. </w:t>
      </w:r>
      <w:r w:rsidRPr="00062EFE" w:rsidR="00D2429D">
        <w:rPr>
          <w:b/>
          <w:bCs/>
        </w:rPr>
        <w:t>A</w:t>
      </w:r>
      <w:r w:rsidRPr="00062EFE">
        <w:rPr>
          <w:b/>
          <w:bCs/>
        </w:rPr>
        <w:t xml:space="preserve">ppendix </w:t>
      </w:r>
      <w:r w:rsidRPr="00062EFE" w:rsidR="001D203E">
        <w:rPr>
          <w:b/>
          <w:bCs/>
        </w:rPr>
        <w:t>1</w:t>
      </w:r>
      <w:r w:rsidRPr="00062EFE" w:rsidR="00476B5E">
        <w:t xml:space="preserve"> </w:t>
      </w:r>
      <w:r w:rsidRPr="00062EFE">
        <w:t xml:space="preserve">includes the calculations </w:t>
      </w:r>
      <w:r w:rsidRPr="00062EFE" w:rsidR="0026096A">
        <w:t xml:space="preserve">and reference sources </w:t>
      </w:r>
      <w:r w:rsidRPr="00062EFE">
        <w:t xml:space="preserve">for Steps 1 and 2 of the methodology. </w:t>
      </w:r>
    </w:p>
    <w:tbl>
      <w:tblPr>
        <w:tblStyle w:val="TableGrid"/>
        <w:tblW w:w="0" w:type="auto"/>
        <w:tblInd w:w="355" w:type="dxa"/>
        <w:tblLayout w:type="fixed"/>
        <w:tblLook w:val="04A0"/>
      </w:tblPr>
      <w:tblGrid>
        <w:gridCol w:w="1823"/>
        <w:gridCol w:w="1246"/>
        <w:gridCol w:w="1396"/>
        <w:gridCol w:w="1406"/>
        <w:gridCol w:w="1445"/>
        <w:gridCol w:w="1504"/>
      </w:tblGrid>
      <w:tr w14:paraId="2B061F9E" w14:textId="77777777" w:rsidTr="3FCF2EA8">
        <w:tblPrEx>
          <w:tblW w:w="0" w:type="auto"/>
          <w:tblInd w:w="355" w:type="dxa"/>
          <w:tblLayout w:type="fixed"/>
          <w:tblLook w:val="04A0"/>
        </w:tblPrEx>
        <w:trPr>
          <w:trHeight w:val="395"/>
        </w:trPr>
        <w:tc>
          <w:tcPr>
            <w:tcW w:w="8820" w:type="dxa"/>
            <w:gridSpan w:val="6"/>
            <w:shd w:val="clear" w:color="auto" w:fill="D9D9D9" w:themeFill="background1" w:themeFillShade="D9"/>
            <w:vAlign w:val="center"/>
          </w:tcPr>
          <w:p w:rsidR="0007770F" w:rsidRPr="00C40C07" w:rsidP="00961C50" w14:paraId="5C61B268" w14:textId="3BCA4981">
            <w:pPr>
              <w:rPr>
                <w:b/>
                <w:bCs/>
                <w:highlight w:val="yellow"/>
              </w:rPr>
            </w:pPr>
            <w:bookmarkStart w:id="20" w:name="_Hlk187391455"/>
            <w:r w:rsidRPr="00062EFE">
              <w:rPr>
                <w:b/>
                <w:bCs/>
              </w:rPr>
              <w:t>Table 1: Estimated burdens and costs – Respondents</w:t>
            </w:r>
          </w:p>
        </w:tc>
      </w:tr>
      <w:tr w14:paraId="6BEC6A69" w14:textId="77777777" w:rsidTr="003A624A">
        <w:tblPrEx>
          <w:tblW w:w="0" w:type="auto"/>
          <w:tblInd w:w="355" w:type="dxa"/>
          <w:tblLayout w:type="fixed"/>
          <w:tblLook w:val="04A0"/>
        </w:tblPrEx>
        <w:trPr>
          <w:trHeight w:val="1547"/>
        </w:trPr>
        <w:tc>
          <w:tcPr>
            <w:tcW w:w="1823" w:type="dxa"/>
            <w:shd w:val="clear" w:color="auto" w:fill="F2F2F2" w:themeFill="background1" w:themeFillShade="F2"/>
            <w:vAlign w:val="center"/>
          </w:tcPr>
          <w:p w:rsidR="0007770F" w:rsidRPr="00E95FDC" w:rsidP="00961C50" w14:paraId="24F7B017" w14:textId="77777777">
            <w:pPr>
              <w:rPr>
                <w:b/>
                <w:bCs/>
              </w:rPr>
            </w:pPr>
            <w:r w:rsidRPr="00E95FDC">
              <w:rPr>
                <w:b/>
                <w:bCs/>
              </w:rPr>
              <w:t>Activity</w:t>
            </w:r>
          </w:p>
        </w:tc>
        <w:tc>
          <w:tcPr>
            <w:tcW w:w="1246" w:type="dxa"/>
            <w:shd w:val="clear" w:color="auto" w:fill="F2F2F2" w:themeFill="background1" w:themeFillShade="F2"/>
            <w:vAlign w:val="center"/>
          </w:tcPr>
          <w:p w:rsidR="0007770F" w:rsidRPr="00E95FDC" w:rsidP="003A624A" w14:paraId="4D2B24F7" w14:textId="77777777">
            <w:pPr>
              <w:jc w:val="center"/>
              <w:rPr>
                <w:b/>
                <w:bCs/>
              </w:rPr>
            </w:pPr>
            <w:r w:rsidRPr="00E95FDC">
              <w:rPr>
                <w:b/>
                <w:bCs/>
              </w:rPr>
              <w:t>1. Burden per Response</w:t>
            </w:r>
          </w:p>
          <w:p w:rsidR="0007770F" w:rsidRPr="00E95FDC" w:rsidP="003A624A" w14:paraId="0B3603EE" w14:textId="77777777">
            <w:pPr>
              <w:jc w:val="center"/>
              <w:rPr>
                <w:b/>
                <w:bCs/>
              </w:rPr>
            </w:pPr>
            <w:r w:rsidRPr="00E95FDC">
              <w:rPr>
                <w:b/>
                <w:bCs/>
              </w:rPr>
              <w:t>(Hours)</w:t>
            </w:r>
            <w:r w:rsidRPr="00E95FDC">
              <w:rPr>
                <w:rFonts w:cs="Times New Roman (Body CS)"/>
                <w:b/>
                <w:bCs/>
                <w:vertAlign w:val="superscript"/>
              </w:rPr>
              <w:t>1</w:t>
            </w:r>
          </w:p>
        </w:tc>
        <w:tc>
          <w:tcPr>
            <w:tcW w:w="1396" w:type="dxa"/>
            <w:shd w:val="clear" w:color="auto" w:fill="F2F2F2" w:themeFill="background1" w:themeFillShade="F2"/>
            <w:vAlign w:val="center"/>
          </w:tcPr>
          <w:p w:rsidR="0007770F" w:rsidRPr="00E95FDC" w:rsidP="003A624A" w14:paraId="32418007" w14:textId="39366D32">
            <w:pPr>
              <w:jc w:val="center"/>
              <w:rPr>
                <w:b/>
                <w:bCs/>
              </w:rPr>
            </w:pPr>
            <w:r w:rsidRPr="00E95FDC">
              <w:rPr>
                <w:b/>
                <w:bCs/>
              </w:rPr>
              <w:t xml:space="preserve">2. </w:t>
            </w:r>
            <w:r w:rsidRPr="00E95FDC" w:rsidR="009D11EC">
              <w:rPr>
                <w:b/>
                <w:bCs/>
              </w:rPr>
              <w:t xml:space="preserve">Weighted </w:t>
            </w:r>
            <w:r w:rsidRPr="00E95FDC">
              <w:rPr>
                <w:b/>
                <w:bCs/>
              </w:rPr>
              <w:t xml:space="preserve">Labor </w:t>
            </w:r>
            <w:r w:rsidRPr="00E95FDC">
              <w:rPr>
                <w:b/>
                <w:bCs/>
              </w:rPr>
              <w:br/>
              <w:t>Cost per Response (Dollars)</w:t>
            </w:r>
            <w:r w:rsidRPr="00E95FDC">
              <w:rPr>
                <w:rFonts w:cs="Times New Roman (Body CS)"/>
                <w:b/>
                <w:bCs/>
                <w:vertAlign w:val="superscript"/>
              </w:rPr>
              <w:t>2</w:t>
            </w:r>
          </w:p>
        </w:tc>
        <w:tc>
          <w:tcPr>
            <w:tcW w:w="1406" w:type="dxa"/>
            <w:shd w:val="clear" w:color="auto" w:fill="F2F2F2" w:themeFill="background1" w:themeFillShade="F2"/>
            <w:vAlign w:val="center"/>
          </w:tcPr>
          <w:p w:rsidR="0007770F" w:rsidRPr="00E95FDC" w:rsidP="003A624A" w14:paraId="15D959B9" w14:textId="1A1428AE">
            <w:pPr>
              <w:jc w:val="center"/>
              <w:rPr>
                <w:b/>
                <w:bCs/>
              </w:rPr>
            </w:pPr>
            <w:r w:rsidRPr="00E95FDC">
              <w:rPr>
                <w:b/>
                <w:bCs/>
              </w:rPr>
              <w:t>3. Number of</w:t>
            </w:r>
            <w:r w:rsidR="003A624A">
              <w:rPr>
                <w:b/>
                <w:bCs/>
              </w:rPr>
              <w:t xml:space="preserve"> </w:t>
            </w:r>
            <w:r w:rsidRPr="00E95FDC">
              <w:rPr>
                <w:b/>
                <w:bCs/>
              </w:rPr>
              <w:t>Responses</w:t>
            </w:r>
            <w:r w:rsidRPr="00E95FDC">
              <w:br/>
            </w:r>
            <w:r w:rsidRPr="00E95FDC">
              <w:rPr>
                <w:b/>
                <w:bCs/>
              </w:rPr>
              <w:t>(3 years)</w:t>
            </w:r>
            <w:r w:rsidRPr="00E95FDC">
              <w:rPr>
                <w:rFonts w:cs="Times New Roman (Body CS)"/>
                <w:b/>
                <w:bCs/>
                <w:vertAlign w:val="superscript"/>
              </w:rPr>
              <w:t>3</w:t>
            </w:r>
          </w:p>
        </w:tc>
        <w:tc>
          <w:tcPr>
            <w:tcW w:w="1445" w:type="dxa"/>
            <w:shd w:val="clear" w:color="auto" w:fill="F2F2F2" w:themeFill="background1" w:themeFillShade="F2"/>
            <w:vAlign w:val="center"/>
          </w:tcPr>
          <w:p w:rsidR="0007770F" w:rsidRPr="00E95FDC" w:rsidP="003A624A" w14:paraId="4E53C521" w14:textId="77777777">
            <w:pPr>
              <w:jc w:val="center"/>
              <w:rPr>
                <w:b/>
                <w:bCs/>
              </w:rPr>
            </w:pPr>
            <w:r w:rsidRPr="00E95FDC">
              <w:rPr>
                <w:b/>
                <w:bCs/>
              </w:rPr>
              <w:t>4. Total Burden Hours</w:t>
            </w:r>
          </w:p>
          <w:p w:rsidR="0007770F" w:rsidRPr="00E95FDC" w:rsidP="003A624A" w14:paraId="7EBE624B" w14:textId="77777777">
            <w:pPr>
              <w:jc w:val="center"/>
              <w:rPr>
                <w:b/>
                <w:bCs/>
              </w:rPr>
            </w:pPr>
            <w:r w:rsidRPr="00E95FDC">
              <w:rPr>
                <w:b/>
                <w:bCs/>
              </w:rPr>
              <w:t>(3 years)</w:t>
            </w:r>
            <w:r w:rsidRPr="00E95FDC">
              <w:rPr>
                <w:rFonts w:cs="Times New Roman (Body CS)"/>
                <w:b/>
                <w:bCs/>
                <w:vertAlign w:val="superscript"/>
              </w:rPr>
              <w:t>4</w:t>
            </w:r>
          </w:p>
        </w:tc>
        <w:tc>
          <w:tcPr>
            <w:tcW w:w="1504" w:type="dxa"/>
            <w:shd w:val="clear" w:color="auto" w:fill="F2F2F2" w:themeFill="background1" w:themeFillShade="F2"/>
            <w:vAlign w:val="center"/>
          </w:tcPr>
          <w:p w:rsidR="0007770F" w:rsidRPr="00E95FDC" w:rsidP="003A624A" w14:paraId="68CDD93F" w14:textId="77777777">
            <w:pPr>
              <w:jc w:val="center"/>
              <w:rPr>
                <w:b/>
                <w:bCs/>
              </w:rPr>
            </w:pPr>
            <w:r w:rsidRPr="00E95FDC">
              <w:rPr>
                <w:b/>
                <w:bCs/>
              </w:rPr>
              <w:t>5. Total Labor Cost</w:t>
            </w:r>
          </w:p>
          <w:p w:rsidR="0007770F" w:rsidRPr="00E95FDC" w:rsidP="003A624A" w14:paraId="3C14256C" w14:textId="77777777">
            <w:pPr>
              <w:jc w:val="center"/>
              <w:rPr>
                <w:b/>
                <w:bCs/>
              </w:rPr>
            </w:pPr>
            <w:r w:rsidRPr="00E95FDC">
              <w:rPr>
                <w:b/>
                <w:bCs/>
              </w:rPr>
              <w:t>(3 years)</w:t>
            </w:r>
            <w:r w:rsidRPr="00E95FDC">
              <w:rPr>
                <w:rFonts w:cs="Times New Roman (Body CS)"/>
                <w:b/>
                <w:bCs/>
                <w:vertAlign w:val="superscript"/>
              </w:rPr>
              <w:t>5</w:t>
            </w:r>
          </w:p>
        </w:tc>
      </w:tr>
      <w:tr w14:paraId="44D6D007" w14:textId="77777777" w:rsidTr="009A2FF5">
        <w:tblPrEx>
          <w:tblW w:w="0" w:type="auto"/>
          <w:tblInd w:w="355" w:type="dxa"/>
          <w:tblLayout w:type="fixed"/>
          <w:tblLook w:val="04A0"/>
        </w:tblPrEx>
        <w:trPr>
          <w:trHeight w:val="1637"/>
        </w:trPr>
        <w:tc>
          <w:tcPr>
            <w:tcW w:w="1823" w:type="dxa"/>
            <w:vAlign w:val="center"/>
          </w:tcPr>
          <w:p w:rsidR="00802A2C" w:rsidRPr="004F7DE5" w:rsidP="00961C50" w14:paraId="67BB379A" w14:textId="2BBBAE6F">
            <w:r w:rsidRPr="004F7DE5">
              <w:t>Prepare, Complete, and Submit Progress Reports</w:t>
            </w:r>
          </w:p>
        </w:tc>
        <w:tc>
          <w:tcPr>
            <w:tcW w:w="1246" w:type="dxa"/>
            <w:shd w:val="clear" w:color="auto" w:fill="auto"/>
            <w:vAlign w:val="center"/>
          </w:tcPr>
          <w:p w:rsidR="00802A2C" w:rsidRPr="00B1749F" w:rsidP="009A2FF5" w14:paraId="1450F9B9" w14:textId="46DAF264">
            <w:pPr>
              <w:jc w:val="center"/>
            </w:pPr>
            <w:r w:rsidRPr="00B1749F">
              <w:t>20</w:t>
            </w:r>
          </w:p>
        </w:tc>
        <w:tc>
          <w:tcPr>
            <w:tcW w:w="1396" w:type="dxa"/>
            <w:shd w:val="clear" w:color="auto" w:fill="auto"/>
            <w:vAlign w:val="center"/>
          </w:tcPr>
          <w:p w:rsidR="00802A2C" w:rsidRPr="00B1749F" w:rsidP="009A2FF5" w14:paraId="267805A5" w14:textId="579EE31A">
            <w:pPr>
              <w:jc w:val="center"/>
            </w:pPr>
            <w:r w:rsidRPr="00B1749F">
              <w:t>$</w:t>
            </w:r>
            <w:r w:rsidRPr="00B1749F" w:rsidR="00B1749F">
              <w:t>1,145.80</w:t>
            </w:r>
          </w:p>
          <w:p w:rsidR="00802A2C" w:rsidRPr="00B1749F" w:rsidP="009A2FF5" w14:paraId="0188DB78" w14:textId="0EA87C85">
            <w:pPr>
              <w:jc w:val="center"/>
            </w:pPr>
            <w:r w:rsidRPr="00B1749F">
              <w:rPr>
                <w:sz w:val="18"/>
                <w:szCs w:val="18"/>
              </w:rPr>
              <w:t>(hourly = $57.29)</w:t>
            </w:r>
          </w:p>
        </w:tc>
        <w:tc>
          <w:tcPr>
            <w:tcW w:w="1406" w:type="dxa"/>
            <w:vAlign w:val="center"/>
          </w:tcPr>
          <w:p w:rsidR="009A2FF5" w:rsidP="009A2FF5" w14:paraId="61D47416" w14:textId="77777777">
            <w:pPr>
              <w:jc w:val="center"/>
            </w:pPr>
          </w:p>
          <w:p w:rsidR="00802A2C" w:rsidRPr="00062EFE" w:rsidP="009A2FF5" w14:paraId="7A5832FA" w14:textId="43B069B7">
            <w:pPr>
              <w:jc w:val="center"/>
              <w:rPr>
                <w:highlight w:val="magenta"/>
              </w:rPr>
            </w:pPr>
            <w:r w:rsidRPr="00B1749F">
              <w:t>1,260</w:t>
            </w:r>
            <w:r w:rsidRPr="00B1749F" w:rsidR="00053BF5">
              <w:t xml:space="preserve"> </w:t>
            </w:r>
            <w:r w:rsidRPr="00B1749F">
              <w:br/>
            </w:r>
            <w:r w:rsidRPr="00B1749F">
              <w:rPr>
                <w:sz w:val="18"/>
                <w:szCs w:val="18"/>
              </w:rPr>
              <w:t>(</w:t>
            </w:r>
            <w:r w:rsidRPr="00B1749F" w:rsidR="00480488">
              <w:rPr>
                <w:sz w:val="18"/>
                <w:szCs w:val="18"/>
              </w:rPr>
              <w:t>4</w:t>
            </w:r>
            <w:r w:rsidRPr="00B1749F">
              <w:rPr>
                <w:sz w:val="18"/>
                <w:szCs w:val="18"/>
              </w:rPr>
              <w:t xml:space="preserve"> report</w:t>
            </w:r>
            <w:r w:rsidRPr="00B1749F" w:rsidR="007804EC">
              <w:rPr>
                <w:sz w:val="18"/>
                <w:szCs w:val="18"/>
              </w:rPr>
              <w:t>s</w:t>
            </w:r>
            <w:r w:rsidRPr="00B1749F">
              <w:rPr>
                <w:sz w:val="18"/>
                <w:szCs w:val="18"/>
              </w:rPr>
              <w:t xml:space="preserve"> </w:t>
            </w:r>
            <w:r w:rsidRPr="00B1749F" w:rsidR="00480488">
              <w:rPr>
                <w:sz w:val="18"/>
                <w:szCs w:val="18"/>
              </w:rPr>
              <w:t>x</w:t>
            </w:r>
            <w:r w:rsidRPr="00B1749F" w:rsidR="003C1F2A">
              <w:rPr>
                <w:sz w:val="18"/>
                <w:szCs w:val="18"/>
              </w:rPr>
              <w:t xml:space="preserve"> </w:t>
            </w:r>
            <w:r w:rsidR="009A2FF5">
              <w:rPr>
                <w:sz w:val="18"/>
                <w:szCs w:val="18"/>
              </w:rPr>
              <w:br/>
            </w:r>
            <w:r w:rsidRPr="00B1749F" w:rsidR="003C1F2A">
              <w:rPr>
                <w:sz w:val="18"/>
                <w:szCs w:val="18"/>
              </w:rPr>
              <w:t xml:space="preserve">3 years </w:t>
            </w:r>
            <w:r w:rsidRPr="00B1749F">
              <w:rPr>
                <w:sz w:val="18"/>
                <w:szCs w:val="18"/>
              </w:rPr>
              <w:t xml:space="preserve">x </w:t>
            </w:r>
            <w:r w:rsidR="009A2FF5">
              <w:rPr>
                <w:sz w:val="18"/>
                <w:szCs w:val="18"/>
              </w:rPr>
              <w:br/>
            </w:r>
            <w:r w:rsidRPr="00B1749F" w:rsidR="004F7DE5">
              <w:rPr>
                <w:sz w:val="18"/>
                <w:szCs w:val="18"/>
              </w:rPr>
              <w:t>105</w:t>
            </w:r>
            <w:r w:rsidRPr="00B1749F" w:rsidR="00053BF5">
              <w:rPr>
                <w:sz w:val="18"/>
                <w:szCs w:val="18"/>
              </w:rPr>
              <w:t xml:space="preserve"> </w:t>
            </w:r>
            <w:r w:rsidRPr="00B1749F">
              <w:rPr>
                <w:sz w:val="18"/>
                <w:szCs w:val="18"/>
              </w:rPr>
              <w:t>Grantees)</w:t>
            </w:r>
          </w:p>
        </w:tc>
        <w:tc>
          <w:tcPr>
            <w:tcW w:w="1445" w:type="dxa"/>
            <w:shd w:val="clear" w:color="auto" w:fill="auto"/>
            <w:vAlign w:val="center"/>
          </w:tcPr>
          <w:p w:rsidR="00802A2C" w:rsidRPr="00062EFE" w:rsidP="00961C50" w14:paraId="24A89D5B" w14:textId="70385E65">
            <w:pPr>
              <w:rPr>
                <w:highlight w:val="magenta"/>
              </w:rPr>
            </w:pPr>
            <w:r w:rsidRPr="00B1749F">
              <w:t>25,200</w:t>
            </w:r>
            <w:r w:rsidRPr="00B1749F">
              <w:t xml:space="preserve"> hours</w:t>
            </w:r>
          </w:p>
        </w:tc>
        <w:tc>
          <w:tcPr>
            <w:tcW w:w="1504" w:type="dxa"/>
            <w:shd w:val="clear" w:color="auto" w:fill="auto"/>
            <w:vAlign w:val="center"/>
          </w:tcPr>
          <w:p w:rsidR="00802A2C" w:rsidRPr="00062EFE" w:rsidP="00961C50" w14:paraId="73A966BA" w14:textId="66E9AC36">
            <w:pPr>
              <w:rPr>
                <w:highlight w:val="magenta"/>
              </w:rPr>
            </w:pPr>
            <w:r w:rsidRPr="00B1749F">
              <w:rPr>
                <w:rFonts w:ascii="Calibri" w:hAnsi="Calibri" w:cs="Calibri"/>
                <w:color w:val="000000"/>
              </w:rPr>
              <w:t>$</w:t>
            </w:r>
            <w:r w:rsidRPr="00B1749F" w:rsidR="00B1749F">
              <w:rPr>
                <w:rFonts w:ascii="Calibri" w:hAnsi="Calibri" w:cs="Calibri"/>
                <w:color w:val="000000"/>
              </w:rPr>
              <w:t>1,443,708</w:t>
            </w:r>
          </w:p>
        </w:tc>
      </w:tr>
      <w:tr w14:paraId="33BBE8D7" w14:textId="77777777" w:rsidTr="004F7DE5">
        <w:tblPrEx>
          <w:tblW w:w="0" w:type="auto"/>
          <w:tblInd w:w="355" w:type="dxa"/>
          <w:tblLayout w:type="fixed"/>
          <w:tblLook w:val="04A0"/>
        </w:tblPrEx>
        <w:trPr>
          <w:trHeight w:val="1160"/>
        </w:trPr>
        <w:tc>
          <w:tcPr>
            <w:tcW w:w="1823" w:type="dxa"/>
            <w:vAlign w:val="center"/>
          </w:tcPr>
          <w:p w:rsidR="00802A2C" w:rsidRPr="009A2FF5" w:rsidP="00961C50" w14:paraId="6E66C57C" w14:textId="77777777">
            <w:r w:rsidRPr="009A2FF5">
              <w:t>Prepare, Complete, and Submit</w:t>
            </w:r>
            <w:r w:rsidRPr="009A2FF5">
              <w:br/>
              <w:t>Final Report</w:t>
            </w:r>
          </w:p>
        </w:tc>
        <w:tc>
          <w:tcPr>
            <w:tcW w:w="1246" w:type="dxa"/>
            <w:shd w:val="clear" w:color="auto" w:fill="auto"/>
            <w:vAlign w:val="center"/>
          </w:tcPr>
          <w:p w:rsidR="00802A2C" w:rsidRPr="009A2FF5" w:rsidP="009A2FF5" w14:paraId="77B3257F" w14:textId="6B48D95E">
            <w:pPr>
              <w:jc w:val="center"/>
            </w:pPr>
            <w:r w:rsidRPr="009A2FF5">
              <w:t>20</w:t>
            </w:r>
          </w:p>
        </w:tc>
        <w:tc>
          <w:tcPr>
            <w:tcW w:w="1396" w:type="dxa"/>
            <w:shd w:val="clear" w:color="auto" w:fill="auto"/>
            <w:vAlign w:val="center"/>
          </w:tcPr>
          <w:p w:rsidR="00802A2C" w:rsidRPr="009A2FF5" w:rsidP="009A2FF5" w14:paraId="2F6B1084" w14:textId="27C70B2C">
            <w:pPr>
              <w:jc w:val="center"/>
            </w:pPr>
            <w:r w:rsidRPr="009A2FF5">
              <w:t>$</w:t>
            </w:r>
            <w:r w:rsidRPr="009A2FF5" w:rsidR="00B1749F">
              <w:t>1,145.80</w:t>
            </w:r>
          </w:p>
          <w:p w:rsidR="00802A2C" w:rsidRPr="009A2FF5" w:rsidP="009A2FF5" w14:paraId="2EB2784B" w14:textId="789A1058">
            <w:pPr>
              <w:jc w:val="center"/>
            </w:pPr>
            <w:r w:rsidRPr="009A2FF5">
              <w:rPr>
                <w:sz w:val="18"/>
                <w:szCs w:val="18"/>
              </w:rPr>
              <w:t>(hourly = $57.29)</w:t>
            </w:r>
          </w:p>
        </w:tc>
        <w:tc>
          <w:tcPr>
            <w:tcW w:w="1406" w:type="dxa"/>
            <w:vAlign w:val="center"/>
          </w:tcPr>
          <w:p w:rsidR="00802A2C" w:rsidRPr="009A2FF5" w:rsidP="009A2FF5" w14:paraId="0FBD922B" w14:textId="4D51D7C9">
            <w:pPr>
              <w:jc w:val="center"/>
            </w:pPr>
            <w:r w:rsidRPr="009A2FF5">
              <w:t>105</w:t>
            </w:r>
            <w:r w:rsidRPr="009A2FF5">
              <w:br/>
            </w:r>
            <w:r w:rsidRPr="009A2FF5">
              <w:rPr>
                <w:sz w:val="18"/>
                <w:szCs w:val="18"/>
              </w:rPr>
              <w:t xml:space="preserve">(1 final report x </w:t>
            </w:r>
            <w:r w:rsidRPr="009A2FF5">
              <w:rPr>
                <w:sz w:val="18"/>
                <w:szCs w:val="18"/>
              </w:rPr>
              <w:t>105</w:t>
            </w:r>
            <w:r w:rsidRPr="009A2FF5" w:rsidR="00053BF5">
              <w:rPr>
                <w:sz w:val="18"/>
                <w:szCs w:val="18"/>
              </w:rPr>
              <w:t xml:space="preserve"> </w:t>
            </w:r>
            <w:r w:rsidRPr="009A2FF5">
              <w:rPr>
                <w:sz w:val="18"/>
                <w:szCs w:val="18"/>
              </w:rPr>
              <w:t>Grantees)</w:t>
            </w:r>
          </w:p>
        </w:tc>
        <w:tc>
          <w:tcPr>
            <w:tcW w:w="1445" w:type="dxa"/>
            <w:shd w:val="clear" w:color="auto" w:fill="auto"/>
            <w:vAlign w:val="center"/>
          </w:tcPr>
          <w:p w:rsidR="00802A2C" w:rsidRPr="009A2FF5" w:rsidP="00961C50" w14:paraId="769D2295" w14:textId="199A9C64">
            <w:r w:rsidRPr="009A2FF5">
              <w:t>2,100</w:t>
            </w:r>
            <w:r w:rsidRPr="009A2FF5">
              <w:t xml:space="preserve"> hours</w:t>
            </w:r>
          </w:p>
        </w:tc>
        <w:tc>
          <w:tcPr>
            <w:tcW w:w="1504" w:type="dxa"/>
            <w:shd w:val="clear" w:color="auto" w:fill="auto"/>
            <w:vAlign w:val="center"/>
          </w:tcPr>
          <w:p w:rsidR="00802A2C" w:rsidRPr="009A2FF5" w:rsidP="00961C50" w14:paraId="0544995B" w14:textId="526E596D">
            <w:r w:rsidRPr="009A2FF5">
              <w:rPr>
                <w:rFonts w:ascii="Calibri" w:hAnsi="Calibri" w:cs="Calibri"/>
                <w:color w:val="000000"/>
              </w:rPr>
              <w:t>$</w:t>
            </w:r>
            <w:r w:rsidRPr="009A2FF5" w:rsidR="00B1749F">
              <w:rPr>
                <w:rFonts w:ascii="Calibri" w:hAnsi="Calibri" w:cs="Calibri"/>
                <w:color w:val="000000"/>
              </w:rPr>
              <w:t>120,309</w:t>
            </w:r>
          </w:p>
        </w:tc>
      </w:tr>
      <w:tr w14:paraId="08686117" w14:textId="77777777" w:rsidTr="3FCF2EA8">
        <w:tblPrEx>
          <w:tblW w:w="0" w:type="auto"/>
          <w:tblInd w:w="355" w:type="dxa"/>
          <w:tblLayout w:type="fixed"/>
          <w:tblLook w:val="04A0"/>
        </w:tblPrEx>
        <w:trPr>
          <w:trHeight w:val="440"/>
        </w:trPr>
        <w:tc>
          <w:tcPr>
            <w:tcW w:w="5871" w:type="dxa"/>
            <w:gridSpan w:val="4"/>
            <w:shd w:val="clear" w:color="auto" w:fill="F2F2F2" w:themeFill="background1" w:themeFillShade="F2"/>
            <w:vAlign w:val="center"/>
          </w:tcPr>
          <w:p w:rsidR="00802A2C" w:rsidRPr="004F7DE5" w:rsidP="00961C50" w14:paraId="2EBA5759" w14:textId="77777777">
            <w:pPr>
              <w:rPr>
                <w:b/>
                <w:bCs/>
              </w:rPr>
            </w:pPr>
            <w:r w:rsidRPr="004F7DE5">
              <w:rPr>
                <w:b/>
                <w:bCs/>
              </w:rPr>
              <w:t>6. TOTALS for all three years</w:t>
            </w:r>
            <w:r w:rsidRPr="004F7DE5">
              <w:rPr>
                <w:rFonts w:cs="Times New Roman (Body CS)"/>
                <w:b/>
                <w:bCs/>
                <w:vertAlign w:val="superscript"/>
              </w:rPr>
              <w:t>6</w:t>
            </w:r>
          </w:p>
        </w:tc>
        <w:tc>
          <w:tcPr>
            <w:tcW w:w="1445" w:type="dxa"/>
            <w:shd w:val="clear" w:color="auto" w:fill="F2F2F2" w:themeFill="background1" w:themeFillShade="F2"/>
            <w:vAlign w:val="center"/>
          </w:tcPr>
          <w:p w:rsidR="00802A2C" w:rsidRPr="003A624A" w:rsidP="00961C50" w14:paraId="3DB5BD03" w14:textId="6EE82C13">
            <w:r w:rsidRPr="003A624A">
              <w:t>27,300</w:t>
            </w:r>
            <w:r w:rsidRPr="003A624A" w:rsidR="00673544">
              <w:t xml:space="preserve"> </w:t>
            </w:r>
            <w:r w:rsidRPr="003A624A">
              <w:t>hours</w:t>
            </w:r>
          </w:p>
        </w:tc>
        <w:tc>
          <w:tcPr>
            <w:tcW w:w="1504" w:type="dxa"/>
            <w:shd w:val="clear" w:color="auto" w:fill="F2F2F2" w:themeFill="background1" w:themeFillShade="F2"/>
            <w:vAlign w:val="center"/>
          </w:tcPr>
          <w:p w:rsidR="00802A2C" w:rsidRPr="003A624A" w:rsidP="00961C50" w14:paraId="0020E11A" w14:textId="09C9E57E">
            <w:r w:rsidRPr="003A624A">
              <w:rPr>
                <w:rFonts w:ascii="Calibri" w:hAnsi="Calibri" w:cs="Calibri"/>
                <w:color w:val="000000"/>
              </w:rPr>
              <w:t>$</w:t>
            </w:r>
            <w:r w:rsidRPr="003A624A" w:rsidR="00B1749F">
              <w:rPr>
                <w:rFonts w:ascii="Calibri" w:hAnsi="Calibri" w:cs="Calibri"/>
                <w:color w:val="000000"/>
              </w:rPr>
              <w:t>1,564,017</w:t>
            </w:r>
          </w:p>
        </w:tc>
      </w:tr>
      <w:tr w14:paraId="4E38BC24" w14:textId="77777777" w:rsidTr="3FCF2EA8">
        <w:tblPrEx>
          <w:tblW w:w="0" w:type="auto"/>
          <w:tblInd w:w="355" w:type="dxa"/>
          <w:tblLayout w:type="fixed"/>
          <w:tblLook w:val="04A0"/>
        </w:tblPrEx>
        <w:trPr>
          <w:trHeight w:val="440"/>
        </w:trPr>
        <w:tc>
          <w:tcPr>
            <w:tcW w:w="5871" w:type="dxa"/>
            <w:gridSpan w:val="4"/>
            <w:shd w:val="clear" w:color="auto" w:fill="D9D9D9" w:themeFill="background1" w:themeFillShade="D9"/>
            <w:vAlign w:val="center"/>
          </w:tcPr>
          <w:p w:rsidR="00802A2C" w:rsidRPr="004F7DE5" w:rsidP="00961C50" w14:paraId="27615D24" w14:textId="77283746">
            <w:pPr>
              <w:rPr>
                <w:b/>
                <w:bCs/>
              </w:rPr>
            </w:pPr>
            <w:r w:rsidRPr="004F7DE5">
              <w:rPr>
                <w:b/>
                <w:bCs/>
              </w:rPr>
              <w:t>7. ANNUAL TOTALS per year</w:t>
            </w:r>
            <w:r w:rsidRPr="004F7DE5">
              <w:rPr>
                <w:rFonts w:cs="Times New Roman (Body CS)"/>
                <w:b/>
                <w:bCs/>
                <w:vertAlign w:val="superscript"/>
              </w:rPr>
              <w:t>7</w:t>
            </w:r>
          </w:p>
        </w:tc>
        <w:tc>
          <w:tcPr>
            <w:tcW w:w="1445" w:type="dxa"/>
            <w:shd w:val="clear" w:color="auto" w:fill="D9D9D9" w:themeFill="background1" w:themeFillShade="D9"/>
            <w:vAlign w:val="center"/>
          </w:tcPr>
          <w:p w:rsidR="00802A2C" w:rsidRPr="003A624A" w:rsidP="00961C50" w14:paraId="5D3EEF41" w14:textId="487A62B3">
            <w:pPr>
              <w:rPr>
                <w:b/>
                <w:bCs/>
              </w:rPr>
            </w:pPr>
            <w:r w:rsidRPr="003A624A">
              <w:rPr>
                <w:b/>
                <w:bCs/>
              </w:rPr>
              <w:t>9,100</w:t>
            </w:r>
            <w:r w:rsidRPr="003A624A" w:rsidR="005557C6">
              <w:rPr>
                <w:b/>
                <w:bCs/>
              </w:rPr>
              <w:t xml:space="preserve"> </w:t>
            </w:r>
            <w:r w:rsidRPr="003A624A">
              <w:rPr>
                <w:b/>
                <w:bCs/>
              </w:rPr>
              <w:t>hours</w:t>
            </w:r>
          </w:p>
        </w:tc>
        <w:tc>
          <w:tcPr>
            <w:tcW w:w="1504" w:type="dxa"/>
            <w:shd w:val="clear" w:color="auto" w:fill="D9D9D9" w:themeFill="background1" w:themeFillShade="D9"/>
            <w:vAlign w:val="center"/>
          </w:tcPr>
          <w:p w:rsidR="00802A2C" w:rsidRPr="003A624A" w:rsidP="00961C50" w14:paraId="526D829E" w14:textId="440F1271">
            <w:pPr>
              <w:rPr>
                <w:b/>
                <w:bCs/>
              </w:rPr>
            </w:pPr>
            <w:r w:rsidRPr="003A624A">
              <w:rPr>
                <w:rFonts w:ascii="Calibri" w:hAnsi="Calibri" w:cs="Calibri"/>
                <w:b/>
                <w:bCs/>
                <w:color w:val="000000"/>
              </w:rPr>
              <w:t>$</w:t>
            </w:r>
            <w:r w:rsidRPr="003A624A" w:rsidR="00B1749F">
              <w:rPr>
                <w:rFonts w:ascii="Calibri" w:hAnsi="Calibri" w:cs="Calibri"/>
                <w:b/>
                <w:bCs/>
                <w:color w:val="000000"/>
              </w:rPr>
              <w:t>521,339</w:t>
            </w:r>
          </w:p>
        </w:tc>
      </w:tr>
    </w:tbl>
    <w:bookmarkEnd w:id="20"/>
    <w:p w:rsidR="0007770F" w:rsidRPr="00062EFE" w:rsidP="003578A6" w14:paraId="39DD2E34" w14:textId="77777777">
      <w:pPr>
        <w:ind w:left="360"/>
      </w:pPr>
      <w:r w:rsidRPr="00062EFE">
        <w:t>Notes:</w:t>
      </w:r>
    </w:p>
    <w:p w:rsidR="0007770F" w:rsidRPr="00062EFE" w:rsidP="00961C50" w14:paraId="75425C13" w14:textId="1500D48E">
      <w:pPr>
        <w:pStyle w:val="ListParagraph"/>
        <w:numPr>
          <w:ilvl w:val="0"/>
          <w:numId w:val="32"/>
        </w:numPr>
        <w:spacing w:after="0" w:line="240" w:lineRule="auto"/>
        <w:ind w:left="810" w:hanging="270"/>
      </w:pPr>
      <w:r w:rsidRPr="00062EFE">
        <w:rPr>
          <w:b/>
          <w:bCs/>
        </w:rPr>
        <w:t>Column 1 =</w:t>
      </w:r>
      <w:r w:rsidRPr="00062EFE">
        <w:t xml:space="preserve"> Number of burden hours spent on each response across all staff roles at relevant levels of seniority. For full calculations, </w:t>
      </w:r>
      <w:r w:rsidRPr="00062EFE" w:rsidR="004F5E18">
        <w:t xml:space="preserve">please </w:t>
      </w:r>
      <w:r w:rsidRPr="00062EFE">
        <w:t xml:space="preserve">see </w:t>
      </w:r>
      <w:r w:rsidRPr="00062EFE">
        <w:rPr>
          <w:b/>
          <w:bCs/>
        </w:rPr>
        <w:t>Table 12.1 in Appendix</w:t>
      </w:r>
      <w:r w:rsidRPr="00062EFE" w:rsidR="00C531AB">
        <w:rPr>
          <w:b/>
          <w:bCs/>
        </w:rPr>
        <w:t xml:space="preserve"> 1</w:t>
      </w:r>
      <w:r w:rsidRPr="00062EFE">
        <w:rPr>
          <w:b/>
          <w:bCs/>
        </w:rPr>
        <w:t>.</w:t>
      </w:r>
    </w:p>
    <w:p w:rsidR="0007770F" w:rsidRPr="00062EFE" w:rsidP="00961C50" w14:paraId="0DD34748" w14:textId="2E00F98C">
      <w:pPr>
        <w:pStyle w:val="ListParagraph"/>
        <w:numPr>
          <w:ilvl w:val="0"/>
          <w:numId w:val="32"/>
        </w:numPr>
        <w:spacing w:after="0" w:line="240" w:lineRule="auto"/>
        <w:ind w:left="810" w:hanging="270"/>
      </w:pPr>
      <w:r w:rsidRPr="00062EFE">
        <w:rPr>
          <w:b/>
          <w:bCs/>
        </w:rPr>
        <w:t>Column 2 =</w:t>
      </w:r>
      <w:r w:rsidRPr="00062EFE">
        <w:t xml:space="preserve"> Weighted labor cost for each response based upon percentage of staff labor at different levels of seniority. For full calculations</w:t>
      </w:r>
      <w:r w:rsidRPr="00062EFE" w:rsidR="002C4ACE">
        <w:t xml:space="preserve"> and reference sources for wage ra</w:t>
      </w:r>
      <w:r w:rsidRPr="00062EFE" w:rsidR="00ED07E7">
        <w:t>tes</w:t>
      </w:r>
      <w:r w:rsidRPr="00062EFE">
        <w:t xml:space="preserve">, </w:t>
      </w:r>
      <w:r w:rsidRPr="00062EFE" w:rsidR="00ED07E7">
        <w:t xml:space="preserve">please </w:t>
      </w:r>
      <w:r w:rsidRPr="00062EFE">
        <w:t xml:space="preserve">see </w:t>
      </w:r>
      <w:r w:rsidRPr="00062EFE">
        <w:rPr>
          <w:b/>
          <w:bCs/>
        </w:rPr>
        <w:t xml:space="preserve">Tables 12.2 </w:t>
      </w:r>
      <w:r w:rsidRPr="00062EFE" w:rsidR="00E65B33">
        <w:rPr>
          <w:b/>
          <w:bCs/>
        </w:rPr>
        <w:t>and 12.3</w:t>
      </w:r>
      <w:r w:rsidRPr="00062EFE">
        <w:rPr>
          <w:b/>
          <w:bCs/>
        </w:rPr>
        <w:t xml:space="preserve"> in Appendix</w:t>
      </w:r>
      <w:r w:rsidRPr="00062EFE" w:rsidR="00C531AB">
        <w:rPr>
          <w:b/>
          <w:bCs/>
        </w:rPr>
        <w:t xml:space="preserve"> 1</w:t>
      </w:r>
      <w:r w:rsidRPr="00062EFE">
        <w:rPr>
          <w:b/>
          <w:bCs/>
        </w:rPr>
        <w:t>.</w:t>
      </w:r>
    </w:p>
    <w:p w:rsidR="0007770F" w:rsidRPr="00062EFE" w:rsidP="00961C50" w14:paraId="7D624ABA" w14:textId="11E4D7A7">
      <w:pPr>
        <w:pStyle w:val="ListParagraph"/>
        <w:numPr>
          <w:ilvl w:val="0"/>
          <w:numId w:val="32"/>
        </w:numPr>
        <w:spacing w:after="0" w:line="240" w:lineRule="auto"/>
        <w:ind w:left="810" w:hanging="270"/>
      </w:pPr>
      <w:r w:rsidRPr="00062EFE">
        <w:rPr>
          <w:b/>
          <w:bCs/>
        </w:rPr>
        <w:t>Column 3 =</w:t>
      </w:r>
      <w:r w:rsidRPr="00062EFE">
        <w:t xml:space="preserve"> Expected number of responses for the three years, based on reporting framework outlined in each </w:t>
      </w:r>
      <w:r w:rsidRPr="00062EFE" w:rsidR="00031B82">
        <w:t xml:space="preserve">Grantee’s </w:t>
      </w:r>
      <w:r w:rsidRPr="00062EFE">
        <w:t>signed Terms and Conditions.</w:t>
      </w:r>
    </w:p>
    <w:p w:rsidR="0007770F" w:rsidRPr="00062EFE" w:rsidP="00961C50" w14:paraId="3ED9BCE7" w14:textId="77777777">
      <w:pPr>
        <w:pStyle w:val="ListParagraph"/>
        <w:numPr>
          <w:ilvl w:val="0"/>
          <w:numId w:val="32"/>
        </w:numPr>
        <w:spacing w:after="0" w:line="240" w:lineRule="auto"/>
        <w:ind w:left="810" w:hanging="270"/>
      </w:pPr>
      <w:r w:rsidRPr="00062EFE">
        <w:rPr>
          <w:b/>
          <w:bCs/>
        </w:rPr>
        <w:t>Column 4 =</w:t>
      </w:r>
      <w:r w:rsidRPr="00062EFE">
        <w:t xml:space="preserve"> Total burden hours, calculated by multiplying the burden hours per response (Column 1) by the number of responses (Column 3).</w:t>
      </w:r>
    </w:p>
    <w:p w:rsidR="0007770F" w:rsidRPr="00062EFE" w:rsidP="00961C50" w14:paraId="4230C302" w14:textId="77777777">
      <w:pPr>
        <w:pStyle w:val="ListParagraph"/>
        <w:numPr>
          <w:ilvl w:val="0"/>
          <w:numId w:val="32"/>
        </w:numPr>
        <w:spacing w:after="0" w:line="240" w:lineRule="auto"/>
        <w:ind w:left="810" w:hanging="270"/>
      </w:pPr>
      <w:r w:rsidRPr="00062EFE">
        <w:rPr>
          <w:b/>
          <w:bCs/>
        </w:rPr>
        <w:t>Column 5 =</w:t>
      </w:r>
      <w:r w:rsidRPr="00062EFE">
        <w:t xml:space="preserve"> Total labor cost, calculated by multiplying the weighted labor cost per response (Column 2) by the number of responses (Column 3).</w:t>
      </w:r>
    </w:p>
    <w:p w:rsidR="0007770F" w:rsidRPr="00062EFE" w:rsidP="00961C50" w14:paraId="63B5FC71" w14:textId="77777777">
      <w:pPr>
        <w:pStyle w:val="ListParagraph"/>
        <w:numPr>
          <w:ilvl w:val="0"/>
          <w:numId w:val="32"/>
        </w:numPr>
        <w:spacing w:after="0" w:line="240" w:lineRule="auto"/>
        <w:ind w:left="810" w:hanging="270"/>
      </w:pPr>
      <w:r w:rsidRPr="00062EFE">
        <w:rPr>
          <w:b/>
          <w:bCs/>
        </w:rPr>
        <w:t xml:space="preserve">Row 6 = Totals for all three years = </w:t>
      </w:r>
      <w:r w:rsidRPr="00062EFE">
        <w:t>Sum of total hours and costs, for all instruments.</w:t>
      </w:r>
    </w:p>
    <w:p w:rsidR="0007770F" w:rsidRPr="00062EFE" w:rsidP="00961C50" w14:paraId="57A25749" w14:textId="1331E987">
      <w:pPr>
        <w:pStyle w:val="ListParagraph"/>
        <w:numPr>
          <w:ilvl w:val="0"/>
          <w:numId w:val="32"/>
        </w:numPr>
        <w:spacing w:after="0" w:line="240" w:lineRule="auto"/>
        <w:ind w:left="810" w:hanging="270"/>
      </w:pPr>
      <w:r w:rsidRPr="00062EFE">
        <w:rPr>
          <w:b/>
          <w:bCs/>
        </w:rPr>
        <w:t xml:space="preserve">Row 7 = Annual totals per year = </w:t>
      </w:r>
      <w:r w:rsidRPr="00062EFE">
        <w:t>Average number of hours and costs per year</w:t>
      </w:r>
      <w:r w:rsidRPr="00062EFE" w:rsidR="002339E9">
        <w:t xml:space="preserve"> over the three-year period</w:t>
      </w:r>
      <w:r w:rsidRPr="00062EFE">
        <w:t>, for all instruments.</w:t>
      </w:r>
    </w:p>
    <w:bookmarkEnd w:id="16"/>
    <w:bookmarkEnd w:id="17"/>
    <w:p w:rsidR="00F63881" w:rsidRPr="00C40C07" w:rsidP="00961C50" w14:paraId="5818FDA3" w14:textId="72793E8D">
      <w:pPr>
        <w:rPr>
          <w:rFonts w:eastAsiaTheme="majorEastAsia" w:cstheme="majorBidi"/>
          <w:b/>
          <w:color w:val="000000" w:themeColor="text1"/>
          <w:szCs w:val="30"/>
          <w:highlight w:val="yellow"/>
        </w:rPr>
      </w:pPr>
    </w:p>
    <w:p w:rsidR="00BB2B15" w:rsidRPr="00062EFE" w:rsidP="00961C50" w14:paraId="5D1B71A2" w14:textId="005F0394">
      <w:pPr>
        <w:pStyle w:val="Heading1"/>
        <w:rPr>
          <w:rFonts w:cstheme="minorBidi"/>
        </w:rPr>
      </w:pPr>
      <w:r w:rsidRPr="00062EFE">
        <w:t xml:space="preserve">13. </w:t>
      </w:r>
      <w:bookmarkStart w:id="21" w:name="_Toc156593386"/>
      <w:r w:rsidRPr="00062EFE" w:rsidR="4F580799">
        <w:t>Respondent</w:t>
      </w:r>
      <w:r w:rsidRPr="00062EFE" w:rsidR="009A09EC">
        <w:t xml:space="preserve"> </w:t>
      </w:r>
      <w:r w:rsidRPr="00062EFE" w:rsidR="00D17BB9">
        <w:t>C</w:t>
      </w:r>
      <w:r w:rsidRPr="00062EFE" w:rsidR="14579AA4">
        <w:t>apital</w:t>
      </w:r>
      <w:r w:rsidRPr="00062EFE" w:rsidR="02A37C0E">
        <w:t xml:space="preserve"> and</w:t>
      </w:r>
      <w:r w:rsidRPr="00062EFE" w:rsidR="00D17BB9">
        <w:t xml:space="preserve"> O&amp;</w:t>
      </w:r>
      <w:r w:rsidRPr="00062EFE" w:rsidR="008C420C">
        <w:t>M</w:t>
      </w:r>
      <w:r w:rsidRPr="00062EFE" w:rsidR="00D17BB9">
        <w:t xml:space="preserve"> </w:t>
      </w:r>
      <w:r w:rsidRPr="00062EFE" w:rsidR="004E3CB0">
        <w:t>Cost</w:t>
      </w:r>
      <w:r w:rsidRPr="00062EFE" w:rsidR="008C420C">
        <w:t>s</w:t>
      </w:r>
      <w:bookmarkEnd w:id="21"/>
      <w:r w:rsidRPr="00062EFE" w:rsidR="004E3CB0">
        <w:t xml:space="preserve"> </w:t>
      </w:r>
    </w:p>
    <w:p w:rsidR="00F92596" w:rsidRPr="00062EFE" w:rsidP="00961C50" w14:paraId="0925DF34" w14:textId="77777777">
      <w:pPr>
        <w:spacing w:after="0" w:line="240" w:lineRule="auto"/>
        <w:rPr>
          <w:rFonts w:cstheme="minorHAnsi"/>
          <w:i/>
          <w:iCs/>
        </w:rPr>
      </w:pPr>
      <w:r w:rsidRPr="00062EF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062EFE" w:rsidP="00961C50" w14:paraId="026BDBA4" w14:textId="77777777">
      <w:pPr>
        <w:spacing w:before="120" w:after="0" w:line="240" w:lineRule="auto"/>
        <w:rPr>
          <w:rFonts w:cstheme="minorHAnsi"/>
          <w:i/>
          <w:iCs/>
        </w:rPr>
      </w:pPr>
      <w:r w:rsidRPr="00062EFE">
        <w:rPr>
          <w:rFonts w:cstheme="minorHAnsi"/>
          <w:i/>
          <w:iCs/>
        </w:rPr>
        <w:t xml:space="preserve">The cost estimate should be split into two components: (a) a total capital and start-up </w:t>
      </w:r>
      <w:r w:rsidRPr="00062EFE">
        <w:rPr>
          <w:rFonts w:cstheme="minorHAnsi"/>
          <w:i/>
          <w:iCs/>
        </w:rPr>
        <w:t>cost</w:t>
      </w:r>
    </w:p>
    <w:p w:rsidR="00F92596" w:rsidRPr="00062EFE" w:rsidP="00961C50" w14:paraId="7ED5E3E9" w14:textId="77777777">
      <w:pPr>
        <w:spacing w:after="0" w:line="240" w:lineRule="auto"/>
        <w:rPr>
          <w:rFonts w:cstheme="minorHAnsi"/>
          <w:i/>
          <w:iCs/>
        </w:rPr>
      </w:pPr>
      <w:r w:rsidRPr="00062EF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062EFE" w:rsidP="00961C50" w14:paraId="761690A4" w14:textId="77777777">
      <w:pPr>
        <w:spacing w:line="240" w:lineRule="auto"/>
        <w:rPr>
          <w:rFonts w:cstheme="minorHAnsi"/>
          <w:i/>
          <w:iCs/>
        </w:rPr>
      </w:pPr>
      <w:r w:rsidRPr="00062EF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062EFE" w:rsidP="00961C50" w14:paraId="577731C5" w14:textId="77777777">
      <w:pPr>
        <w:pBdr>
          <w:bottom w:val="single" w:sz="4" w:space="1" w:color="auto"/>
        </w:pBdr>
        <w:spacing w:line="240" w:lineRule="auto"/>
        <w:rPr>
          <w:rFonts w:cstheme="minorHAnsi"/>
          <w:i/>
          <w:iCs/>
        </w:rPr>
      </w:pPr>
      <w:r w:rsidRPr="00062EF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43524" w:rsidRPr="00062EFE" w:rsidP="00961C50" w14:paraId="156A1808" w14:textId="77777777">
      <w:pPr>
        <w:pStyle w:val="BodyText"/>
        <w:spacing w:before="267"/>
        <w:ind w:left="120"/>
        <w:rPr>
          <w:b/>
          <w:bCs/>
        </w:rPr>
      </w:pPr>
      <w:r w:rsidRPr="00062EFE">
        <w:rPr>
          <w:b/>
          <w:bCs/>
        </w:rPr>
        <w:t>Capital</w:t>
      </w:r>
      <w:r w:rsidRPr="00062EFE">
        <w:rPr>
          <w:b/>
          <w:bCs/>
          <w:spacing w:val="-2"/>
        </w:rPr>
        <w:t xml:space="preserve"> </w:t>
      </w:r>
      <w:r w:rsidRPr="00062EFE">
        <w:rPr>
          <w:b/>
          <w:bCs/>
        </w:rPr>
        <w:t>and</w:t>
      </w:r>
      <w:r w:rsidRPr="00062EFE">
        <w:rPr>
          <w:b/>
          <w:bCs/>
          <w:spacing w:val="-1"/>
        </w:rPr>
        <w:t xml:space="preserve"> </w:t>
      </w:r>
      <w:r w:rsidRPr="00062EFE">
        <w:rPr>
          <w:b/>
          <w:bCs/>
        </w:rPr>
        <w:t>Start-Up</w:t>
      </w:r>
      <w:r w:rsidRPr="00062EFE">
        <w:rPr>
          <w:b/>
          <w:bCs/>
          <w:spacing w:val="-4"/>
        </w:rPr>
        <w:t xml:space="preserve"> Costs</w:t>
      </w:r>
    </w:p>
    <w:p w:rsidR="00743524" w:rsidRPr="00062EFE" w:rsidP="00961C50" w14:paraId="2228A115" w14:textId="77777777">
      <w:pPr>
        <w:pStyle w:val="BodyText"/>
      </w:pPr>
    </w:p>
    <w:p w:rsidR="00743524" w:rsidRPr="00062EFE" w:rsidP="00062EFE" w14:paraId="0BB8629F" w14:textId="60E0A2AA">
      <w:pPr>
        <w:pStyle w:val="BodyText"/>
        <w:ind w:left="90" w:right="346"/>
      </w:pPr>
      <w:r w:rsidRPr="00062EFE">
        <w:t>There are no specified capital or start-up costs for grantees</w:t>
      </w:r>
      <w:r w:rsidRPr="00062EFE">
        <w:rPr>
          <w:spacing w:val="-5"/>
        </w:rPr>
        <w:t xml:space="preserve"> </w:t>
      </w:r>
      <w:r w:rsidRPr="00062EFE">
        <w:t>to</w:t>
      </w:r>
      <w:r w:rsidRPr="00062EFE">
        <w:rPr>
          <w:spacing w:val="-3"/>
        </w:rPr>
        <w:t xml:space="preserve"> </w:t>
      </w:r>
      <w:r w:rsidRPr="00062EFE">
        <w:t>meet</w:t>
      </w:r>
      <w:r w:rsidRPr="00062EFE">
        <w:rPr>
          <w:spacing w:val="-4"/>
        </w:rPr>
        <w:t xml:space="preserve"> </w:t>
      </w:r>
      <w:r w:rsidRPr="00062EFE">
        <w:t>the</w:t>
      </w:r>
      <w:r w:rsidRPr="00062EFE">
        <w:rPr>
          <w:spacing w:val="-5"/>
        </w:rPr>
        <w:t xml:space="preserve"> </w:t>
      </w:r>
      <w:r w:rsidRPr="00062EFE" w:rsidR="00062EFE">
        <w:t>Community Change Grant P</w:t>
      </w:r>
      <w:r w:rsidRPr="00062EFE">
        <w:t>rogram’s</w:t>
      </w:r>
      <w:r w:rsidRPr="00062EFE">
        <w:rPr>
          <w:spacing w:val="-3"/>
        </w:rPr>
        <w:t xml:space="preserve"> </w:t>
      </w:r>
      <w:r w:rsidRPr="00062EFE">
        <w:t>post-award</w:t>
      </w:r>
      <w:r w:rsidRPr="00062EFE">
        <w:rPr>
          <w:spacing w:val="-3"/>
        </w:rPr>
        <w:t xml:space="preserve"> </w:t>
      </w:r>
      <w:r w:rsidRPr="00062EFE">
        <w:t>reporting</w:t>
      </w:r>
      <w:r w:rsidRPr="00062EFE">
        <w:rPr>
          <w:spacing w:val="-3"/>
        </w:rPr>
        <w:t xml:space="preserve"> </w:t>
      </w:r>
      <w:r w:rsidRPr="00062EFE">
        <w:t>requirements,</w:t>
      </w:r>
      <w:r w:rsidRPr="00062EFE">
        <w:rPr>
          <w:spacing w:val="-3"/>
        </w:rPr>
        <w:t xml:space="preserve"> </w:t>
      </w:r>
      <w:r w:rsidRPr="00062EFE">
        <w:t>as</w:t>
      </w:r>
      <w:r w:rsidRPr="00062EFE">
        <w:rPr>
          <w:spacing w:val="-5"/>
        </w:rPr>
        <w:t xml:space="preserve"> </w:t>
      </w:r>
      <w:r w:rsidRPr="00062EFE">
        <w:t xml:space="preserve">each grantee should already have the standard equipment (e.g., computer, relevant software packages) and infrastructure (e.g., </w:t>
      </w:r>
      <w:r w:rsidRPr="00062EFE">
        <w:t>work space</w:t>
      </w:r>
      <w:r w:rsidRPr="00062EFE">
        <w:t>, access</w:t>
      </w:r>
      <w:r w:rsidRPr="00062EFE">
        <w:rPr>
          <w:spacing w:val="-1"/>
        </w:rPr>
        <w:t xml:space="preserve"> </w:t>
      </w:r>
      <w:r w:rsidRPr="00062EFE">
        <w:t>to internet services) that is required to collate, store, and report the required information for the progress reports and final report. No specialist</w:t>
      </w:r>
      <w:r w:rsidRPr="00062EFE">
        <w:rPr>
          <w:spacing w:val="-1"/>
        </w:rPr>
        <w:t xml:space="preserve"> </w:t>
      </w:r>
      <w:r w:rsidRPr="00062EFE">
        <w:t>equipment</w:t>
      </w:r>
      <w:r w:rsidRPr="00062EFE">
        <w:rPr>
          <w:spacing w:val="-2"/>
        </w:rPr>
        <w:t xml:space="preserve"> </w:t>
      </w:r>
      <w:r w:rsidRPr="00062EFE">
        <w:t>or infrastructure is</w:t>
      </w:r>
      <w:r w:rsidRPr="00062EFE">
        <w:rPr>
          <w:spacing w:val="-1"/>
        </w:rPr>
        <w:t xml:space="preserve"> </w:t>
      </w:r>
      <w:r w:rsidRPr="00062EFE">
        <w:t xml:space="preserve">needed to </w:t>
      </w:r>
      <w:r w:rsidRPr="00062EFE">
        <w:t>complete the post-award reports.</w:t>
      </w:r>
    </w:p>
    <w:p w:rsidR="00743524" w:rsidRPr="00062EFE" w:rsidP="00961C50" w14:paraId="3BAC25E2" w14:textId="77777777">
      <w:pPr>
        <w:pStyle w:val="BodyText"/>
      </w:pPr>
    </w:p>
    <w:p w:rsidR="00743524" w:rsidRPr="00062EFE" w:rsidP="00961C50" w14:paraId="771553FD" w14:textId="77777777">
      <w:pPr>
        <w:pStyle w:val="BodyText"/>
        <w:spacing w:before="1"/>
      </w:pPr>
    </w:p>
    <w:p w:rsidR="00743524" w:rsidRPr="00062EFE" w:rsidP="00961C50" w14:paraId="0843F65E" w14:textId="77777777">
      <w:pPr>
        <w:pStyle w:val="BodyText"/>
        <w:spacing w:before="1"/>
        <w:ind w:left="120"/>
        <w:rPr>
          <w:b/>
          <w:bCs/>
        </w:rPr>
      </w:pPr>
      <w:r w:rsidRPr="00062EFE">
        <w:rPr>
          <w:b/>
          <w:bCs/>
        </w:rPr>
        <w:t>Operation</w:t>
      </w:r>
      <w:r w:rsidRPr="00062EFE">
        <w:rPr>
          <w:b/>
          <w:bCs/>
          <w:spacing w:val="-5"/>
        </w:rPr>
        <w:t xml:space="preserve"> </w:t>
      </w:r>
      <w:r w:rsidRPr="00062EFE">
        <w:rPr>
          <w:b/>
          <w:bCs/>
        </w:rPr>
        <w:t>and</w:t>
      </w:r>
      <w:r w:rsidRPr="00062EFE">
        <w:rPr>
          <w:b/>
          <w:bCs/>
          <w:spacing w:val="-3"/>
        </w:rPr>
        <w:t xml:space="preserve"> </w:t>
      </w:r>
      <w:r w:rsidRPr="00062EFE">
        <w:rPr>
          <w:b/>
          <w:bCs/>
        </w:rPr>
        <w:t>Maintenance</w:t>
      </w:r>
      <w:r w:rsidRPr="00062EFE">
        <w:rPr>
          <w:b/>
          <w:bCs/>
          <w:spacing w:val="-1"/>
        </w:rPr>
        <w:t xml:space="preserve"> </w:t>
      </w:r>
      <w:r w:rsidRPr="00062EFE">
        <w:rPr>
          <w:b/>
          <w:bCs/>
        </w:rPr>
        <w:t>and</w:t>
      </w:r>
      <w:r w:rsidRPr="00062EFE">
        <w:rPr>
          <w:b/>
          <w:bCs/>
          <w:spacing w:val="-5"/>
        </w:rPr>
        <w:t xml:space="preserve"> </w:t>
      </w:r>
      <w:r w:rsidRPr="00062EFE">
        <w:rPr>
          <w:b/>
          <w:bCs/>
        </w:rPr>
        <w:t>Purchase</w:t>
      </w:r>
      <w:r w:rsidRPr="00062EFE">
        <w:rPr>
          <w:b/>
          <w:bCs/>
          <w:spacing w:val="-5"/>
        </w:rPr>
        <w:t xml:space="preserve"> </w:t>
      </w:r>
      <w:r w:rsidRPr="00062EFE">
        <w:rPr>
          <w:b/>
          <w:bCs/>
        </w:rPr>
        <w:t>of</w:t>
      </w:r>
      <w:r w:rsidRPr="00062EFE">
        <w:rPr>
          <w:b/>
          <w:bCs/>
          <w:spacing w:val="-4"/>
        </w:rPr>
        <w:t xml:space="preserve"> </w:t>
      </w:r>
      <w:r w:rsidRPr="00062EFE">
        <w:rPr>
          <w:b/>
          <w:bCs/>
          <w:spacing w:val="-2"/>
        </w:rPr>
        <w:t>Services</w:t>
      </w:r>
    </w:p>
    <w:p w:rsidR="00743524" w:rsidRPr="00062EFE" w:rsidP="00961C50" w14:paraId="324F2587" w14:textId="5DD91C05">
      <w:pPr>
        <w:pStyle w:val="BodyText"/>
        <w:spacing w:before="266"/>
        <w:ind w:left="90" w:right="123"/>
      </w:pPr>
      <w:r w:rsidRPr="00062EFE">
        <w:t xml:space="preserve">Grantees are not expected to incur any specified operation or maintenance costs </w:t>
      </w:r>
      <w:r w:rsidRPr="00062EFE">
        <w:t>in order to</w:t>
      </w:r>
      <w:r w:rsidRPr="00062EFE">
        <w:t xml:space="preserve"> meet the program</w:t>
      </w:r>
      <w:r w:rsidRPr="00062EFE" w:rsidR="00062EFE">
        <w:t>’</w:t>
      </w:r>
      <w:r w:rsidRPr="00062EFE">
        <w:t>s post-award reporting requirements.</w:t>
      </w:r>
      <w:r w:rsidRPr="00062EFE">
        <w:rPr>
          <w:spacing w:val="-3"/>
        </w:rPr>
        <w:t xml:space="preserve"> </w:t>
      </w:r>
      <w:r w:rsidRPr="00062EFE">
        <w:t>This</w:t>
      </w:r>
      <w:r w:rsidRPr="00062EFE">
        <w:rPr>
          <w:spacing w:val="-5"/>
        </w:rPr>
        <w:t xml:space="preserve"> </w:t>
      </w:r>
      <w:r w:rsidRPr="00062EFE">
        <w:t>is</w:t>
      </w:r>
      <w:r w:rsidRPr="00062EFE">
        <w:rPr>
          <w:spacing w:val="-3"/>
        </w:rPr>
        <w:t xml:space="preserve"> </w:t>
      </w:r>
      <w:r w:rsidRPr="00062EFE">
        <w:t>because</w:t>
      </w:r>
      <w:r w:rsidRPr="00062EFE">
        <w:rPr>
          <w:spacing w:val="-3"/>
        </w:rPr>
        <w:t xml:space="preserve"> </w:t>
      </w:r>
      <w:r w:rsidRPr="00062EFE">
        <w:t>they</w:t>
      </w:r>
      <w:r w:rsidRPr="00062EFE">
        <w:rPr>
          <w:spacing w:val="-2"/>
        </w:rPr>
        <w:t xml:space="preserve"> </w:t>
      </w:r>
      <w:r w:rsidRPr="00062EFE">
        <w:t>can</w:t>
      </w:r>
      <w:r w:rsidRPr="00062EFE">
        <w:rPr>
          <w:spacing w:val="-6"/>
        </w:rPr>
        <w:t xml:space="preserve"> </w:t>
      </w:r>
      <w:r w:rsidRPr="00062EFE">
        <w:t>use</w:t>
      </w:r>
      <w:r w:rsidRPr="00062EFE">
        <w:rPr>
          <w:spacing w:val="-3"/>
        </w:rPr>
        <w:t xml:space="preserve"> </w:t>
      </w:r>
      <w:r w:rsidRPr="00062EFE">
        <w:t>the</w:t>
      </w:r>
      <w:r w:rsidRPr="00062EFE">
        <w:rPr>
          <w:spacing w:val="-3"/>
        </w:rPr>
        <w:t xml:space="preserve"> </w:t>
      </w:r>
      <w:r w:rsidRPr="00062EFE">
        <w:t>standard</w:t>
      </w:r>
      <w:r w:rsidRPr="00062EFE">
        <w:rPr>
          <w:spacing w:val="-4"/>
        </w:rPr>
        <w:t xml:space="preserve"> </w:t>
      </w:r>
      <w:r w:rsidRPr="00062EFE">
        <w:t>equipment</w:t>
      </w:r>
      <w:r w:rsidRPr="00062EFE">
        <w:rPr>
          <w:spacing w:val="-5"/>
        </w:rPr>
        <w:t xml:space="preserve"> </w:t>
      </w:r>
      <w:r w:rsidRPr="00062EFE">
        <w:t>and</w:t>
      </w:r>
      <w:r w:rsidRPr="00062EFE">
        <w:rPr>
          <w:spacing w:val="-4"/>
        </w:rPr>
        <w:t xml:space="preserve"> </w:t>
      </w:r>
      <w:r w:rsidRPr="00062EFE">
        <w:t>infrastructure</w:t>
      </w:r>
      <w:r w:rsidRPr="00062EFE">
        <w:rPr>
          <w:spacing w:val="-3"/>
        </w:rPr>
        <w:t xml:space="preserve"> </w:t>
      </w:r>
      <w:r w:rsidRPr="00062EFE">
        <w:t>that</w:t>
      </w:r>
      <w:r w:rsidRPr="00062EFE">
        <w:rPr>
          <w:spacing w:val="-4"/>
        </w:rPr>
        <w:t xml:space="preserve"> </w:t>
      </w:r>
      <w:r w:rsidRPr="00062EFE">
        <w:t>they use</w:t>
      </w:r>
      <w:r w:rsidRPr="00062EFE">
        <w:rPr>
          <w:spacing w:val="-3"/>
        </w:rPr>
        <w:t xml:space="preserve"> </w:t>
      </w:r>
      <w:r w:rsidRPr="00062EFE">
        <w:t>for</w:t>
      </w:r>
      <w:r w:rsidRPr="00062EFE">
        <w:rPr>
          <w:spacing w:val="-5"/>
        </w:rPr>
        <w:t xml:space="preserve"> </w:t>
      </w:r>
      <w:r w:rsidRPr="00062EFE">
        <w:t>other</w:t>
      </w:r>
      <w:r w:rsidRPr="00062EFE">
        <w:rPr>
          <w:spacing w:val="-3"/>
        </w:rPr>
        <w:t xml:space="preserve"> </w:t>
      </w:r>
      <w:r w:rsidRPr="00062EFE">
        <w:t>aspects</w:t>
      </w:r>
      <w:r w:rsidRPr="00062EFE">
        <w:rPr>
          <w:spacing w:val="-6"/>
        </w:rPr>
        <w:t xml:space="preserve"> </w:t>
      </w:r>
      <w:r w:rsidRPr="00062EFE">
        <w:t>of</w:t>
      </w:r>
      <w:r w:rsidRPr="00062EFE">
        <w:rPr>
          <w:spacing w:val="-6"/>
        </w:rPr>
        <w:t xml:space="preserve"> </w:t>
      </w:r>
      <w:r w:rsidRPr="00062EFE">
        <w:t>their</w:t>
      </w:r>
      <w:r w:rsidRPr="00062EFE">
        <w:rPr>
          <w:spacing w:val="-3"/>
        </w:rPr>
        <w:t xml:space="preserve"> </w:t>
      </w:r>
      <w:r w:rsidRPr="00062EFE">
        <w:t>work</w:t>
      </w:r>
      <w:r w:rsidRPr="00062EFE">
        <w:rPr>
          <w:spacing w:val="-3"/>
        </w:rPr>
        <w:t xml:space="preserve"> </w:t>
      </w:r>
      <w:r w:rsidRPr="00062EFE">
        <w:t>in</w:t>
      </w:r>
      <w:r w:rsidRPr="00062EFE">
        <w:rPr>
          <w:spacing w:val="-5"/>
        </w:rPr>
        <w:t xml:space="preserve"> </w:t>
      </w:r>
      <w:r w:rsidRPr="00062EFE">
        <w:t>the</w:t>
      </w:r>
      <w:r w:rsidRPr="00062EFE">
        <w:rPr>
          <w:spacing w:val="-5"/>
        </w:rPr>
        <w:t xml:space="preserve"> </w:t>
      </w:r>
      <w:r w:rsidRPr="00062EFE">
        <w:t>organization;</w:t>
      </w:r>
      <w:r w:rsidRPr="00062EFE">
        <w:rPr>
          <w:spacing w:val="-3"/>
        </w:rPr>
        <w:t xml:space="preserve"> </w:t>
      </w:r>
      <w:r w:rsidRPr="00062EFE">
        <w:t>thus,</w:t>
      </w:r>
      <w:r w:rsidRPr="00062EFE">
        <w:rPr>
          <w:spacing w:val="-3"/>
        </w:rPr>
        <w:t xml:space="preserve"> </w:t>
      </w:r>
      <w:r w:rsidRPr="00062EFE">
        <w:t>the</w:t>
      </w:r>
      <w:r w:rsidRPr="00062EFE">
        <w:rPr>
          <w:spacing w:val="-3"/>
        </w:rPr>
        <w:t xml:space="preserve"> </w:t>
      </w:r>
      <w:r w:rsidRPr="00062EFE">
        <w:t>costs</w:t>
      </w:r>
      <w:r w:rsidRPr="00062EFE">
        <w:rPr>
          <w:spacing w:val="-5"/>
        </w:rPr>
        <w:t xml:space="preserve"> </w:t>
      </w:r>
      <w:r w:rsidRPr="00062EFE">
        <w:t>associated</w:t>
      </w:r>
      <w:r w:rsidRPr="00062EFE">
        <w:rPr>
          <w:spacing w:val="-3"/>
        </w:rPr>
        <w:t xml:space="preserve"> </w:t>
      </w:r>
      <w:r w:rsidRPr="00062EFE">
        <w:t>with</w:t>
      </w:r>
      <w:r w:rsidRPr="00062EFE">
        <w:rPr>
          <w:spacing w:val="-5"/>
        </w:rPr>
        <w:t xml:space="preserve"> </w:t>
      </w:r>
      <w:r w:rsidRPr="00062EFE">
        <w:t>operation and maintenance should already be included as standard items in their annual budgets.</w:t>
      </w:r>
    </w:p>
    <w:p w:rsidR="00F63881" w:rsidRPr="00062EFE" w:rsidP="00961C50" w14:paraId="340B0B2F" w14:textId="6A43D21F">
      <w:pPr>
        <w:rPr>
          <w:rFonts w:eastAsiaTheme="majorEastAsia" w:cstheme="majorBidi"/>
          <w:b/>
          <w:color w:val="000000" w:themeColor="text1"/>
          <w:szCs w:val="30"/>
        </w:rPr>
      </w:pPr>
      <w:bookmarkStart w:id="22" w:name="_Toc156593387"/>
    </w:p>
    <w:p w:rsidR="00023EFE" w:rsidRPr="00062EFE" w:rsidP="00961C50" w14:paraId="7D2BF7DE" w14:textId="3C6CC695">
      <w:pPr>
        <w:pStyle w:val="Heading1"/>
        <w:rPr>
          <w:rFonts w:cstheme="minorHAnsi"/>
        </w:rPr>
      </w:pPr>
      <w:r w:rsidRPr="00062EFE">
        <w:t xml:space="preserve">14. </w:t>
      </w:r>
      <w:r w:rsidRPr="00062EFE" w:rsidR="001D01BB">
        <w:t xml:space="preserve">AGENCY </w:t>
      </w:r>
      <w:bookmarkStart w:id="23" w:name="_Toc156593388"/>
      <w:bookmarkEnd w:id="22"/>
      <w:r w:rsidRPr="00062EFE" w:rsidR="00BB2B15">
        <w:t>COSTS</w:t>
      </w:r>
    </w:p>
    <w:p w:rsidR="00F457B3" w:rsidRPr="000A59F3" w:rsidP="000A59F3" w14:paraId="500B13B3" w14:textId="065FD875">
      <w:pPr>
        <w:pBdr>
          <w:bottom w:val="single" w:sz="4" w:space="1" w:color="auto"/>
        </w:pBdr>
        <w:rPr>
          <w:rFonts w:cstheme="minorHAnsi"/>
          <w:bCs/>
          <w:i/>
          <w:iCs/>
        </w:rPr>
      </w:pPr>
      <w:r w:rsidRPr="00062EFE">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062EFE" w:rsidP="00961C50" w14:paraId="1D8BBDEC" w14:textId="59453B91">
      <w:pPr>
        <w:spacing w:before="120" w:after="0"/>
        <w:rPr>
          <w:rFonts w:cstheme="minorHAnsi"/>
          <w:b/>
          <w:bCs/>
        </w:rPr>
      </w:pPr>
      <w:r w:rsidRPr="00062EFE">
        <w:rPr>
          <w:rFonts w:eastAsiaTheme="majorEastAsia" w:cstheme="minorHAnsi"/>
          <w:b/>
          <w:bCs/>
        </w:rPr>
        <w:t xml:space="preserve">14a. </w:t>
      </w:r>
      <w:r w:rsidRPr="00062EFE" w:rsidR="00BB2B15">
        <w:rPr>
          <w:rFonts w:eastAsiaTheme="majorEastAsia" w:cstheme="minorHAnsi"/>
          <w:b/>
          <w:bCs/>
        </w:rPr>
        <w:t>Agency Activities</w:t>
      </w:r>
    </w:p>
    <w:p w:rsidR="00F457B3" w:rsidRPr="00062EFE" w:rsidP="00AE534A" w14:paraId="0F0BF867" w14:textId="7F581129">
      <w:pPr>
        <w:rPr>
          <w:rFonts w:cstheme="minorHAnsi"/>
        </w:rPr>
      </w:pPr>
      <w:r w:rsidRPr="00062EFE">
        <w:rPr>
          <w:rFonts w:cstheme="minorHAnsi"/>
        </w:rPr>
        <w:t xml:space="preserve">EPA incurs a burden in the process of reviewing and processing the information collected via </w:t>
      </w:r>
      <w:r w:rsidRPr="00062EFE" w:rsidR="008C420C">
        <w:rPr>
          <w:rFonts w:cstheme="minorHAnsi"/>
        </w:rPr>
        <w:t>two</w:t>
      </w:r>
      <w:r w:rsidRPr="00062EFE">
        <w:rPr>
          <w:rFonts w:cstheme="minorHAnsi"/>
        </w:rPr>
        <w:t xml:space="preserve"> post-award reports from </w:t>
      </w:r>
      <w:r w:rsidRPr="00062EFE" w:rsidR="008C420C">
        <w:rPr>
          <w:rFonts w:cstheme="minorHAnsi"/>
        </w:rPr>
        <w:t>Grantees</w:t>
      </w:r>
      <w:r w:rsidRPr="00062EFE">
        <w:rPr>
          <w:rFonts w:cstheme="minorHAnsi"/>
        </w:rPr>
        <w:t>: progress reports</w:t>
      </w:r>
      <w:r w:rsidRPr="00062EFE" w:rsidR="00062EFE">
        <w:rPr>
          <w:rFonts w:cstheme="minorHAnsi"/>
        </w:rPr>
        <w:t xml:space="preserve"> and </w:t>
      </w:r>
      <w:r w:rsidRPr="00062EFE">
        <w:rPr>
          <w:rFonts w:cstheme="minorHAnsi"/>
        </w:rPr>
        <w:t>final reports.</w:t>
      </w:r>
    </w:p>
    <w:p w:rsidR="00023EFE" w:rsidRPr="00062EFE" w:rsidP="00961C50" w14:paraId="30F74537" w14:textId="2E8DC003">
      <w:pPr>
        <w:spacing w:before="120" w:after="0"/>
        <w:rPr>
          <w:rFonts w:cstheme="minorHAnsi"/>
          <w:b/>
          <w:bCs/>
        </w:rPr>
      </w:pPr>
      <w:r w:rsidRPr="00062EFE">
        <w:rPr>
          <w:rFonts w:eastAsiaTheme="majorEastAsia" w:cstheme="minorHAnsi"/>
          <w:b/>
          <w:bCs/>
        </w:rPr>
        <w:t xml:space="preserve">14b. </w:t>
      </w:r>
      <w:r w:rsidRPr="00062EFE" w:rsidR="00BB2B15">
        <w:rPr>
          <w:rFonts w:eastAsiaTheme="majorEastAsia" w:cstheme="minorHAnsi"/>
          <w:b/>
          <w:bCs/>
        </w:rPr>
        <w:t>Agency Labor Cost</w:t>
      </w:r>
    </w:p>
    <w:p w:rsidR="007E02ED" w:rsidRPr="00062EFE" w:rsidP="00961C50" w14:paraId="26526F07" w14:textId="77777777">
      <w:pPr>
        <w:pBdr>
          <w:top w:val="single" w:sz="6" w:space="0" w:color="FFFFFF"/>
          <w:left w:val="single" w:sz="6" w:space="0" w:color="FFFFFF"/>
          <w:bottom w:val="single" w:sz="6" w:space="0" w:color="FFFFFF"/>
          <w:right w:val="single" w:sz="6" w:space="0" w:color="FFFFFF"/>
        </w:pBdr>
        <w:spacing w:after="0"/>
        <w:rPr>
          <w:rFonts w:cstheme="minorHAnsi"/>
          <w:color w:val="000000"/>
          <w:highlight w:val="magenta"/>
        </w:rPr>
      </w:pPr>
    </w:p>
    <w:p w:rsidR="007E02ED" w:rsidRPr="00FA24AC" w:rsidP="00961C50" w14:paraId="76C98298" w14:textId="7F2F4688">
      <w:pPr>
        <w:spacing w:after="0"/>
        <w:rPr>
          <w:b/>
          <w:bCs/>
        </w:rPr>
      </w:pPr>
      <w:r w:rsidRPr="00FA24AC">
        <w:rPr>
          <w:b/>
          <w:bCs/>
        </w:rPr>
        <w:t xml:space="preserve">Total Annual Hour Burden to the Agency (across all instruments) = </w:t>
      </w:r>
      <w:r w:rsidRPr="00FA24AC" w:rsidR="00FA24AC">
        <w:rPr>
          <w:b/>
          <w:bCs/>
        </w:rPr>
        <w:t>2,625</w:t>
      </w:r>
      <w:r w:rsidRPr="00FA24AC" w:rsidR="00E02D53">
        <w:rPr>
          <w:b/>
          <w:bCs/>
        </w:rPr>
        <w:t xml:space="preserve"> </w:t>
      </w:r>
      <w:r w:rsidRPr="00FA24AC">
        <w:rPr>
          <w:b/>
          <w:bCs/>
        </w:rPr>
        <w:t>hours</w:t>
      </w:r>
    </w:p>
    <w:p w:rsidR="007E02ED" w:rsidRPr="00F84EEA" w:rsidP="00961C50" w14:paraId="2BA3EF5D" w14:textId="15975DD9">
      <w:pPr>
        <w:spacing w:after="0"/>
        <w:rPr>
          <w:b/>
          <w:bCs/>
        </w:rPr>
      </w:pPr>
      <w:r w:rsidRPr="00FA24AC">
        <w:rPr>
          <w:b/>
          <w:bCs/>
        </w:rPr>
        <w:t>Total Annual Cost to the Agency (across all instruments) = $</w:t>
      </w:r>
      <w:r w:rsidRPr="00FA24AC" w:rsidR="00FA24AC">
        <w:rPr>
          <w:b/>
          <w:bCs/>
        </w:rPr>
        <w:t>252,866.25</w:t>
      </w:r>
    </w:p>
    <w:p w:rsidR="00860B8A" w:rsidRPr="00C40C07" w:rsidP="00961C50" w14:paraId="7879BC1C" w14:textId="77777777">
      <w:pPr>
        <w:pBdr>
          <w:top w:val="single" w:sz="6" w:space="0" w:color="FFFFFF"/>
          <w:left w:val="single" w:sz="6" w:space="0" w:color="FFFFFF"/>
          <w:bottom w:val="single" w:sz="6" w:space="0" w:color="FFFFFF"/>
          <w:right w:val="single" w:sz="6" w:space="0" w:color="FFFFFF"/>
        </w:pBdr>
        <w:spacing w:after="0"/>
        <w:rPr>
          <w:rFonts w:cstheme="minorHAnsi"/>
          <w:color w:val="000000"/>
          <w:highlight w:val="yellow"/>
        </w:rPr>
      </w:pPr>
    </w:p>
    <w:p w:rsidR="007E02ED" w:rsidRPr="00062EFE" w:rsidP="00961C50" w14:paraId="271C200D" w14:textId="77777777">
      <w:r w:rsidRPr="00062EFE">
        <w:rPr>
          <w:b/>
          <w:bCs/>
        </w:rPr>
        <w:t xml:space="preserve">Methodology: </w:t>
      </w:r>
      <w:r w:rsidRPr="00062EFE">
        <w:t>The burden imposed upon EPA was estimated using a seven-step process for each information collection instrument:</w:t>
      </w:r>
    </w:p>
    <w:p w:rsidR="007E02ED" w:rsidRPr="00062EFE" w:rsidP="00961C50" w14:paraId="7D066391" w14:textId="77777777">
      <w:pPr>
        <w:pStyle w:val="ListParagraph"/>
        <w:numPr>
          <w:ilvl w:val="0"/>
          <w:numId w:val="29"/>
        </w:numPr>
        <w:spacing w:after="0" w:line="240" w:lineRule="auto"/>
      </w:pPr>
      <w:r w:rsidRPr="00062EFE">
        <w:t>Calculate the number of hours to review and process each response, across all staff roles at relevant levels of seniority: management, technical, clerical/support (based on consultations with EPA staff).</w:t>
      </w:r>
    </w:p>
    <w:p w:rsidR="007E02ED" w:rsidRPr="00062EFE" w:rsidP="00961C50" w14:paraId="7926B180" w14:textId="01F6F6D0">
      <w:pPr>
        <w:pStyle w:val="ListParagraph"/>
        <w:numPr>
          <w:ilvl w:val="0"/>
          <w:numId w:val="29"/>
        </w:numPr>
        <w:spacing w:after="0" w:line="240" w:lineRule="auto"/>
      </w:pPr>
      <w:r w:rsidRPr="00062EFE">
        <w:t xml:space="preserve">Calculated the </w:t>
      </w:r>
      <w:r w:rsidRPr="00062EFE" w:rsidR="00D4673A">
        <w:t xml:space="preserve">loaded </w:t>
      </w:r>
      <w:r w:rsidRPr="00062EFE">
        <w:t>weighted labor cost to review and process each response, across all staff levels involved (based on salaries for relevant GS levels</w:t>
      </w:r>
      <w:r w:rsidRPr="00062EFE" w:rsidR="00654C61">
        <w:t xml:space="preserve"> and </w:t>
      </w:r>
      <w:r w:rsidRPr="00062EFE" w:rsidR="002B33E0">
        <w:t xml:space="preserve">a </w:t>
      </w:r>
      <w:r w:rsidRPr="00062EFE" w:rsidR="00015236">
        <w:t>6</w:t>
      </w:r>
      <w:r w:rsidRPr="00062EFE" w:rsidR="00654C61">
        <w:t xml:space="preserve">4% loading </w:t>
      </w:r>
      <w:r w:rsidRPr="00062EFE" w:rsidR="00EE1139">
        <w:t>to account for the additional costs of employee benefits incurred by the Agency as part of its overall labor costs).</w:t>
      </w:r>
      <w:r w:rsidRPr="00062EFE">
        <w:t xml:space="preserve"> </w:t>
      </w:r>
    </w:p>
    <w:p w:rsidR="007E02ED" w:rsidRPr="00062EFE" w:rsidP="00961C50" w14:paraId="5C74770E" w14:textId="7A672BF4">
      <w:pPr>
        <w:pStyle w:val="ListParagraph"/>
        <w:numPr>
          <w:ilvl w:val="0"/>
          <w:numId w:val="29"/>
        </w:numPr>
        <w:spacing w:after="0" w:line="240" w:lineRule="auto"/>
      </w:pPr>
      <w:r w:rsidRPr="00062EFE">
        <w:t xml:space="preserve">Determine the number of responses for the three years (based on signed Terms and Conditions agreements with each </w:t>
      </w:r>
      <w:r w:rsidRPr="00062EFE" w:rsidR="00031B82">
        <w:t>Grantee</w:t>
      </w:r>
      <w:r w:rsidRPr="00062EFE">
        <w:t>).</w:t>
      </w:r>
    </w:p>
    <w:p w:rsidR="007E02ED" w:rsidRPr="00062EFE" w:rsidP="00961C50" w14:paraId="7B084227" w14:textId="77777777">
      <w:pPr>
        <w:pStyle w:val="ListParagraph"/>
        <w:numPr>
          <w:ilvl w:val="0"/>
          <w:numId w:val="29"/>
        </w:numPr>
        <w:spacing w:after="0" w:line="240" w:lineRule="auto"/>
      </w:pPr>
      <w:r w:rsidRPr="00062EFE">
        <w:t>Calculate the total burden hours per instrument (number of hours per response x number of responses).</w:t>
      </w:r>
    </w:p>
    <w:p w:rsidR="007E02ED" w:rsidRPr="00062EFE" w:rsidP="00961C50" w14:paraId="06DECBDB" w14:textId="77777777">
      <w:pPr>
        <w:pStyle w:val="ListParagraph"/>
        <w:numPr>
          <w:ilvl w:val="0"/>
          <w:numId w:val="29"/>
        </w:numPr>
        <w:spacing w:after="0" w:line="240" w:lineRule="auto"/>
      </w:pPr>
      <w:r w:rsidRPr="00062EFE">
        <w:t>Calculate the total cost per instrument (labor cost per response x number of responses).</w:t>
      </w:r>
    </w:p>
    <w:p w:rsidR="007E02ED" w:rsidRPr="00062EFE" w:rsidP="00961C50" w14:paraId="2C3F4370" w14:textId="77777777">
      <w:pPr>
        <w:pStyle w:val="ListParagraph"/>
        <w:numPr>
          <w:ilvl w:val="0"/>
          <w:numId w:val="29"/>
        </w:numPr>
        <w:spacing w:after="0" w:line="240" w:lineRule="auto"/>
      </w:pPr>
      <w:r w:rsidRPr="00062EFE">
        <w:t>Calculate the total burden hours and costs across all instruments for the three years.</w:t>
      </w:r>
    </w:p>
    <w:p w:rsidR="007E02ED" w:rsidRPr="000A59F3" w:rsidP="00961C50" w14:paraId="463F4DD1" w14:textId="156F0BD5">
      <w:pPr>
        <w:pStyle w:val="ListParagraph"/>
        <w:numPr>
          <w:ilvl w:val="0"/>
          <w:numId w:val="29"/>
        </w:numPr>
        <w:spacing w:after="0" w:line="240" w:lineRule="auto"/>
      </w:pPr>
      <w:r w:rsidRPr="00062EFE">
        <w:t>Calculate the annualized burden hours and costs across all instruments for each year.</w:t>
      </w:r>
    </w:p>
    <w:p w:rsidR="00B07068" w:rsidRPr="00062EFE" w:rsidP="00961C50" w14:paraId="599B3C0E" w14:textId="0C3C0F23">
      <w:pPr>
        <w:rPr>
          <w:u w:val="single"/>
        </w:rPr>
      </w:pPr>
      <w:r w:rsidRPr="00062EFE">
        <w:rPr>
          <w:b/>
          <w:bCs/>
        </w:rPr>
        <w:t xml:space="preserve">Table </w:t>
      </w:r>
      <w:r w:rsidRPr="00062EFE" w:rsidR="00F63881">
        <w:rPr>
          <w:b/>
          <w:bCs/>
        </w:rPr>
        <w:t>2</w:t>
      </w:r>
      <w:r w:rsidRPr="00062EFE">
        <w:rPr>
          <w:b/>
          <w:bCs/>
        </w:rPr>
        <w:t xml:space="preserve"> (below)</w:t>
      </w:r>
      <w:r w:rsidRPr="00062EFE">
        <w:t xml:space="preserve"> includes the information calculated in each step of the methodology, with the total burden hours and costs and annualized burden hours and costs presented in the bottom two rows. </w:t>
      </w:r>
      <w:r w:rsidRPr="00062EFE" w:rsidR="00A661AA">
        <w:rPr>
          <w:b/>
          <w:bCs/>
        </w:rPr>
        <w:t>Appendix 2</w:t>
      </w:r>
      <w:r w:rsidRPr="00062EFE" w:rsidR="00A661AA">
        <w:t xml:space="preserve"> includes the calculations and reference sources for Steps 1 and 2 of the methodology.</w:t>
      </w:r>
    </w:p>
    <w:tbl>
      <w:tblPr>
        <w:tblStyle w:val="TableGrid"/>
        <w:tblW w:w="0" w:type="auto"/>
        <w:tblInd w:w="355" w:type="dxa"/>
        <w:tblLayout w:type="fixed"/>
        <w:tblLook w:val="04A0"/>
      </w:tblPr>
      <w:tblGrid>
        <w:gridCol w:w="1407"/>
        <w:gridCol w:w="1407"/>
        <w:gridCol w:w="1621"/>
        <w:gridCol w:w="1415"/>
        <w:gridCol w:w="1469"/>
        <w:gridCol w:w="1501"/>
      </w:tblGrid>
      <w:tr w14:paraId="44E2070E" w14:textId="77777777" w:rsidTr="00F63881">
        <w:tblPrEx>
          <w:tblW w:w="0" w:type="auto"/>
          <w:tblInd w:w="355" w:type="dxa"/>
          <w:tblLayout w:type="fixed"/>
          <w:tblLook w:val="04A0"/>
        </w:tblPrEx>
        <w:trPr>
          <w:trHeight w:val="575"/>
        </w:trPr>
        <w:tc>
          <w:tcPr>
            <w:tcW w:w="8820" w:type="dxa"/>
            <w:gridSpan w:val="6"/>
            <w:shd w:val="clear" w:color="auto" w:fill="D9D9D9" w:themeFill="background1" w:themeFillShade="D9"/>
            <w:vAlign w:val="center"/>
          </w:tcPr>
          <w:p w:rsidR="00B07068" w:rsidRPr="00C40C07" w:rsidP="00961C50" w14:paraId="40C446EF" w14:textId="334E4456">
            <w:pPr>
              <w:keepNext/>
              <w:keepLines/>
              <w:rPr>
                <w:b/>
                <w:bCs/>
                <w:highlight w:val="yellow"/>
              </w:rPr>
            </w:pPr>
            <w:bookmarkStart w:id="24" w:name="_Hlk186799180"/>
            <w:r w:rsidRPr="00062EFE">
              <w:rPr>
                <w:b/>
                <w:bCs/>
              </w:rPr>
              <w:t xml:space="preserve">Table </w:t>
            </w:r>
            <w:r w:rsidRPr="00062EFE" w:rsidR="000F0041">
              <w:rPr>
                <w:b/>
                <w:bCs/>
              </w:rPr>
              <w:t>2</w:t>
            </w:r>
            <w:r w:rsidRPr="00062EFE">
              <w:rPr>
                <w:b/>
                <w:bCs/>
              </w:rPr>
              <w:t>: Estimated burdens and costs associated with post-award reports – EPA Staff</w:t>
            </w:r>
          </w:p>
        </w:tc>
      </w:tr>
      <w:tr w14:paraId="6996121E" w14:textId="77777777" w:rsidTr="00F63881">
        <w:tblPrEx>
          <w:tblW w:w="0" w:type="auto"/>
          <w:tblInd w:w="355" w:type="dxa"/>
          <w:tblLayout w:type="fixed"/>
          <w:tblLook w:val="04A0"/>
        </w:tblPrEx>
        <w:trPr>
          <w:trHeight w:val="1718"/>
        </w:trPr>
        <w:tc>
          <w:tcPr>
            <w:tcW w:w="1407" w:type="dxa"/>
            <w:shd w:val="clear" w:color="auto" w:fill="F2F2F2" w:themeFill="background1" w:themeFillShade="F2"/>
            <w:vAlign w:val="center"/>
          </w:tcPr>
          <w:p w:rsidR="00B07068" w:rsidRPr="00F84EEA" w:rsidP="00961C50" w14:paraId="2E3581D3" w14:textId="77777777">
            <w:pPr>
              <w:keepNext/>
              <w:keepLines/>
              <w:rPr>
                <w:b/>
                <w:bCs/>
              </w:rPr>
            </w:pPr>
            <w:r w:rsidRPr="00F84EEA">
              <w:rPr>
                <w:b/>
                <w:bCs/>
              </w:rPr>
              <w:t>Activity</w:t>
            </w:r>
          </w:p>
        </w:tc>
        <w:tc>
          <w:tcPr>
            <w:tcW w:w="1407" w:type="dxa"/>
            <w:shd w:val="clear" w:color="auto" w:fill="F2F2F2" w:themeFill="background1" w:themeFillShade="F2"/>
            <w:vAlign w:val="center"/>
          </w:tcPr>
          <w:p w:rsidR="00B07068" w:rsidRPr="00F84EEA" w:rsidP="003A624A" w14:paraId="55C2380B" w14:textId="77777777">
            <w:pPr>
              <w:keepNext/>
              <w:keepLines/>
              <w:jc w:val="center"/>
              <w:rPr>
                <w:b/>
                <w:bCs/>
              </w:rPr>
            </w:pPr>
            <w:r w:rsidRPr="00F84EEA">
              <w:rPr>
                <w:b/>
                <w:bCs/>
              </w:rPr>
              <w:t>1. Burden per Response</w:t>
            </w:r>
          </w:p>
          <w:p w:rsidR="00B07068" w:rsidRPr="00F84EEA" w:rsidP="003A624A" w14:paraId="16ECE746" w14:textId="77777777">
            <w:pPr>
              <w:keepNext/>
              <w:keepLines/>
              <w:jc w:val="center"/>
              <w:rPr>
                <w:b/>
                <w:bCs/>
              </w:rPr>
            </w:pPr>
            <w:r w:rsidRPr="00F84EEA">
              <w:rPr>
                <w:b/>
                <w:bCs/>
              </w:rPr>
              <w:t>(Hours)</w:t>
            </w:r>
            <w:r w:rsidRPr="00F84EEA">
              <w:rPr>
                <w:rFonts w:cs="Times New Roman (Body CS)"/>
                <w:b/>
                <w:bCs/>
                <w:vertAlign w:val="superscript"/>
              </w:rPr>
              <w:t>1</w:t>
            </w:r>
          </w:p>
        </w:tc>
        <w:tc>
          <w:tcPr>
            <w:tcW w:w="1621" w:type="dxa"/>
            <w:shd w:val="clear" w:color="auto" w:fill="F2F2F2" w:themeFill="background1" w:themeFillShade="F2"/>
            <w:vAlign w:val="center"/>
          </w:tcPr>
          <w:p w:rsidR="00B07068" w:rsidRPr="00F84EEA" w:rsidP="003A624A" w14:paraId="197123C7" w14:textId="05AF7903">
            <w:pPr>
              <w:keepNext/>
              <w:keepLines/>
              <w:jc w:val="center"/>
              <w:rPr>
                <w:b/>
                <w:bCs/>
              </w:rPr>
            </w:pPr>
            <w:r w:rsidRPr="00F84EEA">
              <w:rPr>
                <w:b/>
                <w:bCs/>
              </w:rPr>
              <w:t xml:space="preserve">2. </w:t>
            </w:r>
            <w:r w:rsidRPr="00F84EEA" w:rsidR="00007895">
              <w:rPr>
                <w:b/>
                <w:bCs/>
              </w:rPr>
              <w:t xml:space="preserve">Weighted </w:t>
            </w:r>
            <w:r w:rsidRPr="00F84EEA" w:rsidR="00BB22C8">
              <w:rPr>
                <w:b/>
                <w:bCs/>
              </w:rPr>
              <w:t xml:space="preserve">Loaded </w:t>
            </w:r>
            <w:r w:rsidRPr="00F84EEA">
              <w:rPr>
                <w:b/>
                <w:bCs/>
              </w:rPr>
              <w:t xml:space="preserve">Labor </w:t>
            </w:r>
            <w:r w:rsidRPr="00F84EEA">
              <w:rPr>
                <w:b/>
                <w:bCs/>
              </w:rPr>
              <w:br/>
              <w:t>Cost per Response (Dollars)</w:t>
            </w:r>
            <w:r w:rsidRPr="00F84EEA">
              <w:rPr>
                <w:rFonts w:cs="Times New Roman (Body CS)"/>
                <w:b/>
                <w:bCs/>
                <w:vertAlign w:val="superscript"/>
              </w:rPr>
              <w:t>2</w:t>
            </w:r>
          </w:p>
        </w:tc>
        <w:tc>
          <w:tcPr>
            <w:tcW w:w="1415" w:type="dxa"/>
            <w:shd w:val="clear" w:color="auto" w:fill="F2F2F2" w:themeFill="background1" w:themeFillShade="F2"/>
            <w:vAlign w:val="center"/>
          </w:tcPr>
          <w:p w:rsidR="00B07068" w:rsidRPr="00F84EEA" w:rsidP="003A624A" w14:paraId="24763760" w14:textId="77777777">
            <w:pPr>
              <w:keepNext/>
              <w:keepLines/>
              <w:jc w:val="center"/>
              <w:rPr>
                <w:b/>
                <w:bCs/>
              </w:rPr>
            </w:pPr>
            <w:r w:rsidRPr="00F84EEA">
              <w:rPr>
                <w:b/>
                <w:bCs/>
              </w:rPr>
              <w:t>3. Number of Responses</w:t>
            </w:r>
            <w:r w:rsidRPr="00F84EEA">
              <w:rPr>
                <w:b/>
                <w:bCs/>
              </w:rPr>
              <w:br/>
              <w:t>(3 years)</w:t>
            </w:r>
            <w:r w:rsidRPr="00F84EEA">
              <w:rPr>
                <w:rFonts w:cs="Times New Roman (Body CS)"/>
                <w:b/>
                <w:bCs/>
                <w:vertAlign w:val="superscript"/>
              </w:rPr>
              <w:t>3</w:t>
            </w:r>
          </w:p>
        </w:tc>
        <w:tc>
          <w:tcPr>
            <w:tcW w:w="1469" w:type="dxa"/>
            <w:shd w:val="clear" w:color="auto" w:fill="F2F2F2" w:themeFill="background1" w:themeFillShade="F2"/>
            <w:vAlign w:val="center"/>
          </w:tcPr>
          <w:p w:rsidR="00B07068" w:rsidRPr="00F84EEA" w:rsidP="003A624A" w14:paraId="66372C8C" w14:textId="77777777">
            <w:pPr>
              <w:keepNext/>
              <w:keepLines/>
              <w:jc w:val="center"/>
              <w:rPr>
                <w:b/>
                <w:bCs/>
              </w:rPr>
            </w:pPr>
            <w:r w:rsidRPr="00F84EEA">
              <w:rPr>
                <w:b/>
                <w:bCs/>
              </w:rPr>
              <w:t>4. Total Burden Hours</w:t>
            </w:r>
          </w:p>
          <w:p w:rsidR="00B07068" w:rsidRPr="00F84EEA" w:rsidP="003A624A" w14:paraId="6DB4EC6B" w14:textId="77777777">
            <w:pPr>
              <w:keepNext/>
              <w:keepLines/>
              <w:jc w:val="center"/>
              <w:rPr>
                <w:b/>
                <w:bCs/>
              </w:rPr>
            </w:pPr>
            <w:r w:rsidRPr="00F84EEA">
              <w:rPr>
                <w:b/>
                <w:bCs/>
              </w:rPr>
              <w:t>(3 years)</w:t>
            </w:r>
            <w:r w:rsidRPr="00F84EEA">
              <w:rPr>
                <w:rFonts w:cs="Times New Roman (Body CS)"/>
                <w:b/>
                <w:bCs/>
                <w:vertAlign w:val="superscript"/>
              </w:rPr>
              <w:t>4</w:t>
            </w:r>
          </w:p>
        </w:tc>
        <w:tc>
          <w:tcPr>
            <w:tcW w:w="1501" w:type="dxa"/>
            <w:shd w:val="clear" w:color="auto" w:fill="F2F2F2" w:themeFill="background1" w:themeFillShade="F2"/>
            <w:vAlign w:val="center"/>
          </w:tcPr>
          <w:p w:rsidR="00B07068" w:rsidRPr="00F84EEA" w:rsidP="003A624A" w14:paraId="50DEC4D9" w14:textId="77777777">
            <w:pPr>
              <w:keepNext/>
              <w:keepLines/>
              <w:jc w:val="center"/>
              <w:rPr>
                <w:b/>
                <w:bCs/>
              </w:rPr>
            </w:pPr>
            <w:r w:rsidRPr="00F84EEA">
              <w:rPr>
                <w:b/>
                <w:bCs/>
              </w:rPr>
              <w:t>5. Total Labor Cost</w:t>
            </w:r>
          </w:p>
          <w:p w:rsidR="00B07068" w:rsidRPr="00F84EEA" w:rsidP="003A624A" w14:paraId="0D329BF7" w14:textId="77777777">
            <w:pPr>
              <w:keepNext/>
              <w:keepLines/>
              <w:jc w:val="center"/>
              <w:rPr>
                <w:b/>
                <w:bCs/>
              </w:rPr>
            </w:pPr>
            <w:r w:rsidRPr="00F84EEA">
              <w:rPr>
                <w:b/>
                <w:bCs/>
              </w:rPr>
              <w:t>(3 years)</w:t>
            </w:r>
            <w:r w:rsidRPr="00F84EEA">
              <w:rPr>
                <w:rFonts w:cs="Times New Roman (Body CS)"/>
                <w:b/>
                <w:bCs/>
                <w:vertAlign w:val="superscript"/>
              </w:rPr>
              <w:t>5</w:t>
            </w:r>
          </w:p>
        </w:tc>
      </w:tr>
      <w:tr w14:paraId="7E0B8287" w14:textId="77777777" w:rsidTr="00D25DF2">
        <w:tblPrEx>
          <w:tblW w:w="0" w:type="auto"/>
          <w:tblInd w:w="355" w:type="dxa"/>
          <w:tblLayout w:type="fixed"/>
          <w:tblLook w:val="04A0"/>
        </w:tblPrEx>
        <w:trPr>
          <w:trHeight w:val="1547"/>
        </w:trPr>
        <w:tc>
          <w:tcPr>
            <w:tcW w:w="1407" w:type="dxa"/>
            <w:vAlign w:val="center"/>
          </w:tcPr>
          <w:p w:rsidR="00476CE3" w:rsidRPr="00F84EEA" w:rsidP="00961C50" w14:paraId="1FC11D9D" w14:textId="78E5EBA0">
            <w:pPr>
              <w:keepNext/>
              <w:keepLines/>
            </w:pPr>
            <w:r w:rsidRPr="00F84EEA">
              <w:t>Review and Process Progress Report</w:t>
            </w:r>
          </w:p>
        </w:tc>
        <w:tc>
          <w:tcPr>
            <w:tcW w:w="1407" w:type="dxa"/>
            <w:shd w:val="clear" w:color="auto" w:fill="auto"/>
            <w:vAlign w:val="center"/>
          </w:tcPr>
          <w:p w:rsidR="00476CE3" w:rsidRPr="00F84EEA" w:rsidP="003A624A" w14:paraId="4E99D425" w14:textId="77777777">
            <w:pPr>
              <w:keepNext/>
              <w:keepLines/>
              <w:jc w:val="center"/>
            </w:pPr>
            <w:r w:rsidRPr="00F84EEA">
              <w:t>5</w:t>
            </w:r>
          </w:p>
        </w:tc>
        <w:tc>
          <w:tcPr>
            <w:tcW w:w="1621" w:type="dxa"/>
            <w:shd w:val="clear" w:color="auto" w:fill="auto"/>
            <w:vAlign w:val="center"/>
          </w:tcPr>
          <w:p w:rsidR="00476CE3" w:rsidRPr="00F84EEA" w:rsidP="003A624A" w14:paraId="7E6C6D8C" w14:textId="3E4AC175">
            <w:pPr>
              <w:keepNext/>
              <w:keepLines/>
              <w:jc w:val="center"/>
            </w:pPr>
            <w:r w:rsidRPr="00F84EEA">
              <w:t>$48</w:t>
            </w:r>
            <w:r w:rsidRPr="00F84EEA" w:rsidR="0093699A">
              <w:t>1.65</w:t>
            </w:r>
            <w:r w:rsidRPr="00F84EEA">
              <w:br/>
            </w:r>
            <w:r w:rsidRPr="00F84EEA">
              <w:rPr>
                <w:sz w:val="18"/>
                <w:szCs w:val="18"/>
              </w:rPr>
              <w:t>(hourly = $9</w:t>
            </w:r>
            <w:r w:rsidRPr="00F84EEA" w:rsidR="009042A9">
              <w:rPr>
                <w:sz w:val="18"/>
                <w:szCs w:val="18"/>
              </w:rPr>
              <w:t>6.33</w:t>
            </w:r>
            <w:r w:rsidRPr="00F84EEA">
              <w:rPr>
                <w:sz w:val="18"/>
                <w:szCs w:val="18"/>
              </w:rPr>
              <w:t>)</w:t>
            </w:r>
          </w:p>
        </w:tc>
        <w:tc>
          <w:tcPr>
            <w:tcW w:w="1415" w:type="dxa"/>
            <w:vAlign w:val="center"/>
          </w:tcPr>
          <w:p w:rsidR="00476CE3" w:rsidRPr="00F84EEA" w:rsidP="003A624A" w14:paraId="20B39975" w14:textId="2A117585">
            <w:pPr>
              <w:keepNext/>
              <w:keepLines/>
              <w:jc w:val="center"/>
            </w:pPr>
            <w:r w:rsidRPr="00F84EEA">
              <w:t>1,</w:t>
            </w:r>
            <w:r w:rsidR="00F84EEA">
              <w:t>260</w:t>
            </w:r>
          </w:p>
          <w:p w:rsidR="00476CE3" w:rsidRPr="00F84EEA" w:rsidP="003A624A" w14:paraId="2512F240" w14:textId="6C10EEF7">
            <w:pPr>
              <w:keepNext/>
              <w:keepLines/>
              <w:jc w:val="center"/>
              <w:rPr>
                <w:sz w:val="20"/>
                <w:szCs w:val="20"/>
              </w:rPr>
            </w:pPr>
            <w:r w:rsidRPr="00F84EEA">
              <w:rPr>
                <w:sz w:val="18"/>
                <w:szCs w:val="18"/>
              </w:rPr>
              <w:t>(</w:t>
            </w:r>
            <w:r w:rsidR="00F84EEA">
              <w:rPr>
                <w:sz w:val="18"/>
                <w:szCs w:val="18"/>
              </w:rPr>
              <w:t>4</w:t>
            </w:r>
            <w:r w:rsidRPr="00F84EEA">
              <w:rPr>
                <w:sz w:val="18"/>
                <w:szCs w:val="18"/>
              </w:rPr>
              <w:t xml:space="preserve"> reports </w:t>
            </w:r>
            <w:r w:rsidR="00F84EEA">
              <w:rPr>
                <w:sz w:val="18"/>
                <w:szCs w:val="18"/>
              </w:rPr>
              <w:t>x</w:t>
            </w:r>
            <w:r w:rsidRPr="00F84EEA">
              <w:rPr>
                <w:sz w:val="18"/>
                <w:szCs w:val="18"/>
              </w:rPr>
              <w:t xml:space="preserve"> </w:t>
            </w:r>
            <w:r w:rsidR="003A624A">
              <w:rPr>
                <w:sz w:val="18"/>
                <w:szCs w:val="18"/>
              </w:rPr>
              <w:br/>
            </w:r>
            <w:r w:rsidRPr="00F84EEA">
              <w:rPr>
                <w:sz w:val="18"/>
                <w:szCs w:val="18"/>
              </w:rPr>
              <w:t xml:space="preserve">3 years x </w:t>
            </w:r>
            <w:r w:rsidR="003A624A">
              <w:rPr>
                <w:sz w:val="18"/>
                <w:szCs w:val="18"/>
              </w:rPr>
              <w:br/>
            </w:r>
            <w:r w:rsidR="00F84EEA">
              <w:rPr>
                <w:sz w:val="18"/>
                <w:szCs w:val="18"/>
              </w:rPr>
              <w:t>105</w:t>
            </w:r>
            <w:r w:rsidRPr="00F84EEA" w:rsidR="00F63881">
              <w:rPr>
                <w:sz w:val="18"/>
                <w:szCs w:val="18"/>
              </w:rPr>
              <w:t xml:space="preserve"> </w:t>
            </w:r>
            <w:r w:rsidRPr="00F84EEA" w:rsidR="00C40A16">
              <w:rPr>
                <w:sz w:val="18"/>
                <w:szCs w:val="18"/>
              </w:rPr>
              <w:t>Grantees</w:t>
            </w:r>
            <w:r w:rsidRPr="00F84EEA">
              <w:rPr>
                <w:sz w:val="20"/>
                <w:szCs w:val="20"/>
              </w:rPr>
              <w:t>)</w:t>
            </w:r>
          </w:p>
        </w:tc>
        <w:tc>
          <w:tcPr>
            <w:tcW w:w="1469" w:type="dxa"/>
            <w:shd w:val="clear" w:color="auto" w:fill="auto"/>
            <w:vAlign w:val="center"/>
          </w:tcPr>
          <w:p w:rsidR="00476CE3" w:rsidRPr="00F84EEA" w:rsidP="003A624A" w14:paraId="62E4456F" w14:textId="15421AA5">
            <w:pPr>
              <w:keepNext/>
              <w:keepLines/>
              <w:jc w:val="center"/>
            </w:pPr>
            <w:r>
              <w:rPr>
                <w:rFonts w:ascii="Calibri" w:hAnsi="Calibri" w:cs="Calibri"/>
                <w:color w:val="000000"/>
              </w:rPr>
              <w:t>6,300</w:t>
            </w:r>
          </w:p>
        </w:tc>
        <w:tc>
          <w:tcPr>
            <w:tcW w:w="1501" w:type="dxa"/>
            <w:shd w:val="clear" w:color="auto" w:fill="auto"/>
            <w:vAlign w:val="center"/>
          </w:tcPr>
          <w:p w:rsidR="00476CE3" w:rsidRPr="00F84EEA" w:rsidP="003A624A" w14:paraId="6A489866" w14:textId="3E99E458">
            <w:pPr>
              <w:keepNext/>
              <w:keepLines/>
              <w:jc w:val="center"/>
            </w:pPr>
            <w:r w:rsidRPr="00F84EEA">
              <w:rPr>
                <w:rFonts w:ascii="Calibri" w:hAnsi="Calibri" w:cs="Calibri"/>
                <w:color w:val="000000"/>
              </w:rPr>
              <w:t>$</w:t>
            </w:r>
            <w:r w:rsidR="00E34A7C">
              <w:rPr>
                <w:rFonts w:ascii="Calibri" w:hAnsi="Calibri" w:cs="Calibri"/>
                <w:color w:val="000000"/>
              </w:rPr>
              <w:t>606,879</w:t>
            </w:r>
          </w:p>
        </w:tc>
      </w:tr>
      <w:tr w14:paraId="3535EFE2" w14:textId="77777777" w:rsidTr="00F63881">
        <w:tblPrEx>
          <w:tblW w:w="0" w:type="auto"/>
          <w:tblInd w:w="355" w:type="dxa"/>
          <w:tblLayout w:type="fixed"/>
          <w:tblLook w:val="04A0"/>
        </w:tblPrEx>
        <w:trPr>
          <w:trHeight w:val="1097"/>
        </w:trPr>
        <w:tc>
          <w:tcPr>
            <w:tcW w:w="1407" w:type="dxa"/>
            <w:vAlign w:val="center"/>
          </w:tcPr>
          <w:p w:rsidR="00476CE3" w:rsidRPr="00F84EEA" w:rsidP="00961C50" w14:paraId="1A9B7074" w14:textId="77777777">
            <w:pPr>
              <w:keepNext/>
              <w:keepLines/>
            </w:pPr>
            <w:r w:rsidRPr="00F84EEA">
              <w:t xml:space="preserve">Review and Process </w:t>
            </w:r>
            <w:r w:rsidRPr="00F84EEA">
              <w:br/>
              <w:t>Final Report</w:t>
            </w:r>
          </w:p>
        </w:tc>
        <w:tc>
          <w:tcPr>
            <w:tcW w:w="1407" w:type="dxa"/>
            <w:shd w:val="clear" w:color="auto" w:fill="auto"/>
            <w:vAlign w:val="center"/>
          </w:tcPr>
          <w:p w:rsidR="00476CE3" w:rsidRPr="00490F2E" w:rsidP="003A624A" w14:paraId="5835CBE9" w14:textId="1A5D5EF5">
            <w:pPr>
              <w:keepNext/>
              <w:keepLines/>
              <w:jc w:val="center"/>
            </w:pPr>
            <w:r w:rsidRPr="00490F2E">
              <w:t>15</w:t>
            </w:r>
          </w:p>
        </w:tc>
        <w:tc>
          <w:tcPr>
            <w:tcW w:w="1621" w:type="dxa"/>
            <w:shd w:val="clear" w:color="auto" w:fill="auto"/>
            <w:vAlign w:val="center"/>
          </w:tcPr>
          <w:p w:rsidR="00476CE3" w:rsidRPr="00490F2E" w:rsidP="003A624A" w14:paraId="22DC8536" w14:textId="3FF054CC">
            <w:pPr>
              <w:keepNext/>
              <w:keepLines/>
              <w:jc w:val="center"/>
            </w:pPr>
            <w:r w:rsidRPr="00490F2E">
              <w:t>$1,44</w:t>
            </w:r>
            <w:r w:rsidRPr="00490F2E" w:rsidR="0093699A">
              <w:t>4.95</w:t>
            </w:r>
            <w:r w:rsidRPr="00490F2E">
              <w:br/>
            </w:r>
            <w:r w:rsidRPr="00490F2E">
              <w:rPr>
                <w:sz w:val="18"/>
                <w:szCs w:val="18"/>
              </w:rPr>
              <w:t>(hourly = $9</w:t>
            </w:r>
            <w:r w:rsidRPr="00490F2E" w:rsidR="009042A9">
              <w:rPr>
                <w:sz w:val="18"/>
                <w:szCs w:val="18"/>
              </w:rPr>
              <w:t>6.33</w:t>
            </w:r>
            <w:r w:rsidRPr="00490F2E">
              <w:rPr>
                <w:sz w:val="18"/>
                <w:szCs w:val="18"/>
              </w:rPr>
              <w:t>)</w:t>
            </w:r>
          </w:p>
        </w:tc>
        <w:tc>
          <w:tcPr>
            <w:tcW w:w="1415" w:type="dxa"/>
            <w:vAlign w:val="center"/>
          </w:tcPr>
          <w:p w:rsidR="00476CE3" w:rsidRPr="00062EFE" w:rsidP="003A624A" w14:paraId="00EF1AC0" w14:textId="58D70B40">
            <w:pPr>
              <w:keepNext/>
              <w:keepLines/>
              <w:jc w:val="center"/>
              <w:rPr>
                <w:highlight w:val="magenta"/>
              </w:rPr>
            </w:pPr>
            <w:r w:rsidRPr="00490F2E">
              <w:t>105</w:t>
            </w:r>
            <w:r w:rsidRPr="00490F2E">
              <w:br/>
            </w:r>
            <w:r w:rsidRPr="00490F2E">
              <w:rPr>
                <w:sz w:val="18"/>
                <w:szCs w:val="18"/>
              </w:rPr>
              <w:t xml:space="preserve">(1 report x </w:t>
            </w:r>
            <w:r w:rsidRPr="00490F2E">
              <w:rPr>
                <w:sz w:val="18"/>
                <w:szCs w:val="18"/>
              </w:rPr>
              <w:t>105</w:t>
            </w:r>
            <w:r w:rsidRPr="00490F2E" w:rsidR="00F63881">
              <w:rPr>
                <w:sz w:val="18"/>
                <w:szCs w:val="18"/>
              </w:rPr>
              <w:t xml:space="preserve"> </w:t>
            </w:r>
            <w:r w:rsidRPr="00490F2E" w:rsidR="00C40A16">
              <w:rPr>
                <w:sz w:val="18"/>
                <w:szCs w:val="18"/>
              </w:rPr>
              <w:t>Grantees</w:t>
            </w:r>
            <w:r w:rsidRPr="00490F2E">
              <w:rPr>
                <w:sz w:val="18"/>
                <w:szCs w:val="18"/>
              </w:rPr>
              <w:t>)</w:t>
            </w:r>
          </w:p>
        </w:tc>
        <w:tc>
          <w:tcPr>
            <w:tcW w:w="1469" w:type="dxa"/>
            <w:shd w:val="clear" w:color="auto" w:fill="auto"/>
            <w:vAlign w:val="center"/>
          </w:tcPr>
          <w:p w:rsidR="00476CE3" w:rsidRPr="00062EFE" w:rsidP="003A624A" w14:paraId="6FE1D8B7" w14:textId="19C500A1">
            <w:pPr>
              <w:keepNext/>
              <w:keepLines/>
              <w:jc w:val="center"/>
              <w:rPr>
                <w:highlight w:val="magenta"/>
              </w:rPr>
            </w:pPr>
            <w:r w:rsidRPr="00FA24AC">
              <w:rPr>
                <w:rFonts w:ascii="Calibri" w:hAnsi="Calibri" w:cs="Calibri"/>
                <w:color w:val="000000"/>
              </w:rPr>
              <w:t>1,575</w:t>
            </w:r>
          </w:p>
        </w:tc>
        <w:tc>
          <w:tcPr>
            <w:tcW w:w="1501" w:type="dxa"/>
            <w:shd w:val="clear" w:color="auto" w:fill="auto"/>
            <w:vAlign w:val="center"/>
          </w:tcPr>
          <w:p w:rsidR="00476CE3" w:rsidRPr="00062EFE" w:rsidP="003A624A" w14:paraId="4643E1B0" w14:textId="39C4FA37">
            <w:pPr>
              <w:keepNext/>
              <w:keepLines/>
              <w:jc w:val="center"/>
              <w:rPr>
                <w:highlight w:val="magenta"/>
              </w:rPr>
            </w:pPr>
            <w:r w:rsidRPr="00FA24AC">
              <w:rPr>
                <w:rFonts w:ascii="Calibri" w:hAnsi="Calibri" w:cs="Calibri"/>
                <w:color w:val="000000"/>
              </w:rPr>
              <w:t>$</w:t>
            </w:r>
            <w:r w:rsidRPr="00FA24AC" w:rsidR="00E34A7C">
              <w:rPr>
                <w:rFonts w:ascii="Calibri" w:hAnsi="Calibri" w:cs="Calibri"/>
                <w:color w:val="000000"/>
              </w:rPr>
              <w:t>151,719.75</w:t>
            </w:r>
          </w:p>
        </w:tc>
      </w:tr>
      <w:tr w14:paraId="4A425216" w14:textId="77777777" w:rsidTr="00F63881">
        <w:tblPrEx>
          <w:tblW w:w="0" w:type="auto"/>
          <w:tblInd w:w="355" w:type="dxa"/>
          <w:tblLayout w:type="fixed"/>
          <w:tblLook w:val="04A0"/>
        </w:tblPrEx>
        <w:trPr>
          <w:trHeight w:val="521"/>
        </w:trPr>
        <w:tc>
          <w:tcPr>
            <w:tcW w:w="5850" w:type="dxa"/>
            <w:gridSpan w:val="4"/>
            <w:shd w:val="clear" w:color="auto" w:fill="F2F2F2" w:themeFill="background1" w:themeFillShade="F2"/>
            <w:vAlign w:val="center"/>
          </w:tcPr>
          <w:p w:rsidR="00476CE3" w:rsidRPr="00F84EEA" w:rsidP="00961C50" w14:paraId="71408DDC" w14:textId="77777777">
            <w:pPr>
              <w:keepNext/>
              <w:keepLines/>
              <w:rPr>
                <w:b/>
                <w:bCs/>
              </w:rPr>
            </w:pPr>
            <w:r w:rsidRPr="00F84EEA">
              <w:rPr>
                <w:b/>
                <w:bCs/>
              </w:rPr>
              <w:t>6. TOTALS for all three years</w:t>
            </w:r>
            <w:r w:rsidRPr="00F84EEA">
              <w:rPr>
                <w:rFonts w:cs="Times New Roman (Body CS)"/>
                <w:b/>
                <w:bCs/>
                <w:vertAlign w:val="superscript"/>
              </w:rPr>
              <w:t>6</w:t>
            </w:r>
          </w:p>
        </w:tc>
        <w:tc>
          <w:tcPr>
            <w:tcW w:w="1469" w:type="dxa"/>
            <w:shd w:val="clear" w:color="auto" w:fill="F2F2F2" w:themeFill="background1" w:themeFillShade="F2"/>
            <w:vAlign w:val="center"/>
          </w:tcPr>
          <w:p w:rsidR="00476CE3" w:rsidRPr="00FA24AC" w:rsidP="00961C50" w14:paraId="548F2C2E" w14:textId="54007C63">
            <w:pPr>
              <w:keepNext/>
              <w:keepLines/>
              <w:rPr>
                <w:b/>
                <w:bCs/>
              </w:rPr>
            </w:pPr>
            <w:r w:rsidRPr="00FA24AC">
              <w:rPr>
                <w:rFonts w:ascii="Calibri" w:hAnsi="Calibri" w:cs="Calibri"/>
                <w:b/>
                <w:bCs/>
                <w:color w:val="000000"/>
              </w:rPr>
              <w:t>7,875</w:t>
            </w:r>
            <w:r w:rsidRPr="00FA24AC">
              <w:rPr>
                <w:rFonts w:ascii="Calibri" w:hAnsi="Calibri" w:cs="Calibri"/>
                <w:b/>
                <w:bCs/>
                <w:color w:val="000000"/>
              </w:rPr>
              <w:t xml:space="preserve"> hours</w:t>
            </w:r>
          </w:p>
        </w:tc>
        <w:tc>
          <w:tcPr>
            <w:tcW w:w="1501" w:type="dxa"/>
            <w:shd w:val="clear" w:color="auto" w:fill="F2F2F2" w:themeFill="background1" w:themeFillShade="F2"/>
            <w:vAlign w:val="center"/>
          </w:tcPr>
          <w:p w:rsidR="00476CE3" w:rsidRPr="00FA24AC" w:rsidP="00961C50" w14:paraId="139EB2E9" w14:textId="5CB26A32">
            <w:pPr>
              <w:keepNext/>
              <w:keepLines/>
              <w:rPr>
                <w:b/>
                <w:bCs/>
              </w:rPr>
            </w:pPr>
            <w:r w:rsidRPr="00FA24AC">
              <w:rPr>
                <w:rFonts w:ascii="Calibri" w:hAnsi="Calibri" w:cs="Calibri"/>
                <w:b/>
                <w:bCs/>
                <w:color w:val="000000"/>
              </w:rPr>
              <w:t>$</w:t>
            </w:r>
            <w:r w:rsidRPr="00FA24AC" w:rsidR="008C3D36">
              <w:rPr>
                <w:rFonts w:ascii="Calibri" w:hAnsi="Calibri" w:cs="Calibri"/>
                <w:b/>
                <w:bCs/>
                <w:color w:val="000000"/>
              </w:rPr>
              <w:t>758,598.75</w:t>
            </w:r>
          </w:p>
        </w:tc>
      </w:tr>
      <w:tr w14:paraId="58658D15" w14:textId="77777777" w:rsidTr="00F63881">
        <w:tblPrEx>
          <w:tblW w:w="0" w:type="auto"/>
          <w:tblInd w:w="355" w:type="dxa"/>
          <w:tblLayout w:type="fixed"/>
          <w:tblLook w:val="04A0"/>
        </w:tblPrEx>
        <w:trPr>
          <w:trHeight w:val="521"/>
        </w:trPr>
        <w:tc>
          <w:tcPr>
            <w:tcW w:w="5850" w:type="dxa"/>
            <w:gridSpan w:val="4"/>
            <w:shd w:val="clear" w:color="auto" w:fill="D9D9D9" w:themeFill="background1" w:themeFillShade="D9"/>
            <w:vAlign w:val="center"/>
          </w:tcPr>
          <w:p w:rsidR="00476CE3" w:rsidRPr="00F84EEA" w:rsidP="00961C50" w14:paraId="6D53EDBB" w14:textId="07B82C9E">
            <w:pPr>
              <w:keepNext/>
              <w:keepLines/>
              <w:rPr>
                <w:b/>
                <w:bCs/>
              </w:rPr>
            </w:pPr>
            <w:r w:rsidRPr="00F84EEA">
              <w:rPr>
                <w:b/>
                <w:bCs/>
              </w:rPr>
              <w:t>7. ANNUAL TOTALS per year</w:t>
            </w:r>
            <w:r w:rsidRPr="00F84EEA">
              <w:rPr>
                <w:rFonts w:cs="Times New Roman (Body CS)"/>
                <w:b/>
                <w:bCs/>
                <w:vertAlign w:val="superscript"/>
              </w:rPr>
              <w:t>7</w:t>
            </w:r>
          </w:p>
        </w:tc>
        <w:tc>
          <w:tcPr>
            <w:tcW w:w="1469" w:type="dxa"/>
            <w:shd w:val="clear" w:color="auto" w:fill="D9D9D9" w:themeFill="background1" w:themeFillShade="D9"/>
            <w:vAlign w:val="center"/>
          </w:tcPr>
          <w:p w:rsidR="00476CE3" w:rsidRPr="00FA24AC" w:rsidP="00961C50" w14:paraId="47D413AC" w14:textId="6A72DFBC">
            <w:pPr>
              <w:keepNext/>
              <w:keepLines/>
              <w:rPr>
                <w:b/>
                <w:bCs/>
              </w:rPr>
            </w:pPr>
            <w:r w:rsidRPr="00FA24AC">
              <w:rPr>
                <w:rFonts w:ascii="Calibri" w:hAnsi="Calibri" w:cs="Calibri"/>
                <w:b/>
                <w:bCs/>
                <w:color w:val="000000"/>
              </w:rPr>
              <w:t>2,625</w:t>
            </w:r>
            <w:r w:rsidRPr="00FA24AC">
              <w:rPr>
                <w:rFonts w:ascii="Calibri" w:hAnsi="Calibri" w:cs="Calibri"/>
                <w:b/>
                <w:bCs/>
                <w:color w:val="000000"/>
              </w:rPr>
              <w:t xml:space="preserve"> hours</w:t>
            </w:r>
          </w:p>
        </w:tc>
        <w:tc>
          <w:tcPr>
            <w:tcW w:w="1501" w:type="dxa"/>
            <w:shd w:val="clear" w:color="auto" w:fill="D9D9D9" w:themeFill="background1" w:themeFillShade="D9"/>
            <w:vAlign w:val="center"/>
          </w:tcPr>
          <w:p w:rsidR="00476CE3" w:rsidRPr="00FA24AC" w:rsidP="00961C50" w14:paraId="2E03872D" w14:textId="1EA438BC">
            <w:pPr>
              <w:keepNext/>
              <w:keepLines/>
              <w:rPr>
                <w:b/>
                <w:bCs/>
              </w:rPr>
            </w:pPr>
            <w:r w:rsidRPr="00FA24AC">
              <w:rPr>
                <w:rFonts w:ascii="Calibri" w:hAnsi="Calibri" w:cs="Calibri"/>
                <w:b/>
                <w:bCs/>
                <w:color w:val="000000"/>
              </w:rPr>
              <w:t>$</w:t>
            </w:r>
            <w:r w:rsidRPr="00FA24AC" w:rsidR="008C3D36">
              <w:rPr>
                <w:rFonts w:ascii="Calibri" w:hAnsi="Calibri" w:cs="Calibri"/>
                <w:b/>
                <w:bCs/>
                <w:color w:val="000000"/>
              </w:rPr>
              <w:t>252,866.25</w:t>
            </w:r>
          </w:p>
        </w:tc>
      </w:tr>
      <w:bookmarkEnd w:id="24"/>
    </w:tbl>
    <w:p w:rsidR="00E32416" w:rsidRPr="001816C3" w:rsidP="00961C50" w14:paraId="7E7D0FD1" w14:textId="77777777">
      <w:pPr>
        <w:ind w:left="270"/>
        <w:rPr>
          <w:u w:val="single"/>
        </w:rPr>
      </w:pPr>
    </w:p>
    <w:p w:rsidR="00B07068" w:rsidRPr="001816C3" w:rsidP="00961C50" w14:paraId="64C817D0" w14:textId="1E971630">
      <w:pPr>
        <w:ind w:left="270"/>
      </w:pPr>
      <w:r w:rsidRPr="001816C3">
        <w:t>Notes</w:t>
      </w:r>
      <w:r w:rsidRPr="001816C3" w:rsidR="000F0041">
        <w:t>:</w:t>
      </w:r>
    </w:p>
    <w:p w:rsidR="00912D01" w:rsidRPr="001816C3" w:rsidP="00961C50" w14:paraId="5D42A408" w14:textId="5A73DC14">
      <w:pPr>
        <w:pStyle w:val="ListParagraph"/>
        <w:numPr>
          <w:ilvl w:val="0"/>
          <w:numId w:val="30"/>
        </w:numPr>
        <w:spacing w:after="0" w:line="240" w:lineRule="auto"/>
      </w:pPr>
      <w:r w:rsidRPr="001816C3">
        <w:rPr>
          <w:b/>
          <w:bCs/>
        </w:rPr>
        <w:t>Column 1 =</w:t>
      </w:r>
      <w:r w:rsidRPr="001816C3">
        <w:t xml:space="preserve"> Number of burden hours spent on each response across all staff roles at relevant levels of seniority. For full calculations, </w:t>
      </w:r>
      <w:r w:rsidRPr="001816C3" w:rsidR="00F76675">
        <w:t xml:space="preserve">please </w:t>
      </w:r>
      <w:r w:rsidRPr="001816C3">
        <w:t xml:space="preserve">see </w:t>
      </w:r>
      <w:r w:rsidRPr="001816C3">
        <w:rPr>
          <w:b/>
          <w:bCs/>
        </w:rPr>
        <w:t xml:space="preserve">Table </w:t>
      </w:r>
      <w:r w:rsidRPr="001816C3" w:rsidR="00B62A55">
        <w:rPr>
          <w:b/>
          <w:bCs/>
        </w:rPr>
        <w:t>14</w:t>
      </w:r>
      <w:r w:rsidRPr="001816C3">
        <w:rPr>
          <w:b/>
          <w:bCs/>
        </w:rPr>
        <w:t>.1 in</w:t>
      </w:r>
      <w:r w:rsidRPr="001816C3" w:rsidR="00567755">
        <w:rPr>
          <w:b/>
          <w:bCs/>
        </w:rPr>
        <w:t xml:space="preserve"> </w:t>
      </w:r>
      <w:r w:rsidRPr="001816C3">
        <w:rPr>
          <w:b/>
          <w:bCs/>
        </w:rPr>
        <w:t>Appendix</w:t>
      </w:r>
      <w:r w:rsidRPr="001816C3" w:rsidR="004D042A">
        <w:rPr>
          <w:b/>
          <w:bCs/>
        </w:rPr>
        <w:t xml:space="preserve"> 2</w:t>
      </w:r>
      <w:r w:rsidRPr="001816C3">
        <w:rPr>
          <w:b/>
          <w:bCs/>
        </w:rPr>
        <w:t>.</w:t>
      </w:r>
    </w:p>
    <w:p w:rsidR="00912D01" w:rsidRPr="001816C3" w:rsidP="00961C50" w14:paraId="0EDA06C6" w14:textId="2500AD25">
      <w:pPr>
        <w:pStyle w:val="ListParagraph"/>
        <w:numPr>
          <w:ilvl w:val="0"/>
          <w:numId w:val="30"/>
        </w:numPr>
        <w:spacing w:after="0" w:line="240" w:lineRule="auto"/>
      </w:pPr>
      <w:r w:rsidRPr="001816C3">
        <w:rPr>
          <w:b/>
          <w:bCs/>
        </w:rPr>
        <w:t>Column 2 =</w:t>
      </w:r>
      <w:r w:rsidRPr="001816C3">
        <w:t xml:space="preserve"> </w:t>
      </w:r>
      <w:r w:rsidRPr="001816C3" w:rsidR="00CF5E32">
        <w:t>Weighted loaded</w:t>
      </w:r>
      <w:r w:rsidRPr="001816C3">
        <w:t xml:space="preserve"> labor cost for each response based upon percentage of staff labor at different levels of seniority. For full calculations</w:t>
      </w:r>
      <w:r w:rsidRPr="001816C3" w:rsidR="00654C61">
        <w:t xml:space="preserve"> and reference sources for wage rates</w:t>
      </w:r>
      <w:r w:rsidRPr="001816C3">
        <w:t>,</w:t>
      </w:r>
      <w:r w:rsidRPr="001816C3" w:rsidR="00F76675">
        <w:t xml:space="preserve"> please</w:t>
      </w:r>
      <w:r w:rsidRPr="001816C3">
        <w:t xml:space="preserve"> see </w:t>
      </w:r>
      <w:r w:rsidRPr="001816C3">
        <w:rPr>
          <w:b/>
          <w:bCs/>
        </w:rPr>
        <w:t xml:space="preserve">Tables </w:t>
      </w:r>
      <w:r w:rsidRPr="001816C3" w:rsidR="00B62A55">
        <w:rPr>
          <w:b/>
          <w:bCs/>
        </w:rPr>
        <w:t>14</w:t>
      </w:r>
      <w:r w:rsidRPr="001816C3">
        <w:rPr>
          <w:b/>
          <w:bCs/>
        </w:rPr>
        <w:t xml:space="preserve">.2 and </w:t>
      </w:r>
      <w:r w:rsidRPr="001816C3" w:rsidR="00B62A55">
        <w:rPr>
          <w:b/>
          <w:bCs/>
        </w:rPr>
        <w:t>14</w:t>
      </w:r>
      <w:r w:rsidRPr="001816C3">
        <w:rPr>
          <w:b/>
          <w:bCs/>
        </w:rPr>
        <w:t>.3 in Appendix</w:t>
      </w:r>
      <w:r w:rsidRPr="001816C3" w:rsidR="004D042A">
        <w:rPr>
          <w:b/>
          <w:bCs/>
        </w:rPr>
        <w:t xml:space="preserve"> 2</w:t>
      </w:r>
      <w:r w:rsidRPr="001816C3">
        <w:rPr>
          <w:b/>
          <w:bCs/>
        </w:rPr>
        <w:t>.</w:t>
      </w:r>
    </w:p>
    <w:p w:rsidR="00B07068" w:rsidRPr="001816C3" w:rsidP="00961C50" w14:paraId="04142F0C" w14:textId="49EDF95C">
      <w:pPr>
        <w:pStyle w:val="ListParagraph"/>
        <w:numPr>
          <w:ilvl w:val="0"/>
          <w:numId w:val="30"/>
        </w:numPr>
        <w:spacing w:after="0" w:line="240" w:lineRule="auto"/>
      </w:pPr>
      <w:r w:rsidRPr="001816C3">
        <w:rPr>
          <w:b/>
          <w:bCs/>
        </w:rPr>
        <w:t>Column 3 =</w:t>
      </w:r>
      <w:r w:rsidRPr="001816C3">
        <w:t xml:space="preserve"> Expected number of responses for the three years, based on reporting framework outlined in each </w:t>
      </w:r>
      <w:r w:rsidRPr="001816C3" w:rsidR="00031B82">
        <w:t xml:space="preserve">Grantee’s </w:t>
      </w:r>
      <w:r w:rsidRPr="001816C3">
        <w:t>signed Terms and Conditions.</w:t>
      </w:r>
    </w:p>
    <w:p w:rsidR="00B07068" w:rsidRPr="001816C3" w:rsidP="00961C50" w14:paraId="155D8A5F" w14:textId="77777777">
      <w:pPr>
        <w:pStyle w:val="ListParagraph"/>
        <w:numPr>
          <w:ilvl w:val="0"/>
          <w:numId w:val="30"/>
        </w:numPr>
        <w:spacing w:after="0" w:line="240" w:lineRule="auto"/>
      </w:pPr>
      <w:r w:rsidRPr="001816C3">
        <w:rPr>
          <w:b/>
          <w:bCs/>
        </w:rPr>
        <w:t>Column 4 =</w:t>
      </w:r>
      <w:r w:rsidRPr="001816C3">
        <w:t xml:space="preserve"> Total burden hours, calculated by multiplying the burden hours per response (Column 1) by the number of responses (Column 3).</w:t>
      </w:r>
    </w:p>
    <w:p w:rsidR="00B07068" w:rsidRPr="001816C3" w:rsidP="00961C50" w14:paraId="40921C07" w14:textId="36E2BE29">
      <w:pPr>
        <w:pStyle w:val="ListParagraph"/>
        <w:numPr>
          <w:ilvl w:val="0"/>
          <w:numId w:val="30"/>
        </w:numPr>
        <w:spacing w:after="0" w:line="240" w:lineRule="auto"/>
      </w:pPr>
      <w:r w:rsidRPr="001816C3">
        <w:rPr>
          <w:b/>
          <w:bCs/>
        </w:rPr>
        <w:t>Column 5 =</w:t>
      </w:r>
      <w:r w:rsidRPr="001816C3">
        <w:t xml:space="preserve"> Total labor cost, calculated by multiplying the </w:t>
      </w:r>
      <w:r w:rsidRPr="001816C3" w:rsidR="00810DBC">
        <w:t xml:space="preserve">loaded </w:t>
      </w:r>
      <w:r w:rsidRPr="001816C3">
        <w:t>weighted labor cost per response (Column 2) by the number of responses (Column 3).</w:t>
      </w:r>
    </w:p>
    <w:p w:rsidR="00B07068" w:rsidRPr="001816C3" w:rsidP="00961C50" w14:paraId="404A1741" w14:textId="77777777">
      <w:pPr>
        <w:pStyle w:val="ListParagraph"/>
        <w:numPr>
          <w:ilvl w:val="0"/>
          <w:numId w:val="30"/>
        </w:numPr>
        <w:spacing w:after="0" w:line="240" w:lineRule="auto"/>
      </w:pPr>
      <w:r w:rsidRPr="001816C3">
        <w:rPr>
          <w:b/>
          <w:bCs/>
        </w:rPr>
        <w:t xml:space="preserve">Row 6 = Totals for all three years = </w:t>
      </w:r>
      <w:r w:rsidRPr="001816C3">
        <w:t>Sum of total hours and costs, for all instruments.</w:t>
      </w:r>
    </w:p>
    <w:p w:rsidR="00CE597C" w:rsidRPr="001816C3" w:rsidP="00AE534A" w14:paraId="0E5CC589" w14:textId="17C31015">
      <w:pPr>
        <w:pStyle w:val="ListParagraph"/>
        <w:numPr>
          <w:ilvl w:val="0"/>
          <w:numId w:val="30"/>
        </w:numPr>
        <w:spacing w:after="0" w:line="240" w:lineRule="auto"/>
        <w:rPr>
          <w:rFonts w:cstheme="minorHAnsi"/>
          <w:color w:val="000000"/>
        </w:rPr>
      </w:pPr>
      <w:r w:rsidRPr="001816C3">
        <w:rPr>
          <w:b/>
          <w:bCs/>
        </w:rPr>
        <w:t xml:space="preserve">Row 7 = Annualized totals per year = </w:t>
      </w:r>
      <w:r w:rsidRPr="001816C3">
        <w:t>Average number of hours and costs per year, for all instruments.</w:t>
      </w:r>
    </w:p>
    <w:p w:rsidR="001816C3" w:rsidP="001816C3" w14:paraId="47CF06CA" w14:textId="77777777">
      <w:pPr>
        <w:spacing w:after="0" w:line="240" w:lineRule="auto"/>
        <w:ind w:left="720"/>
        <w:rPr>
          <w:rFonts w:cstheme="minorHAnsi"/>
          <w:color w:val="000000"/>
          <w:highlight w:val="yellow"/>
        </w:rPr>
      </w:pPr>
    </w:p>
    <w:p w:rsidR="001816C3" w:rsidRPr="001816C3" w:rsidP="001816C3" w14:paraId="1EF6E505" w14:textId="77777777">
      <w:pPr>
        <w:spacing w:after="0" w:line="240" w:lineRule="auto"/>
        <w:ind w:left="720"/>
        <w:rPr>
          <w:rFonts w:cstheme="minorHAnsi"/>
          <w:color w:val="000000"/>
          <w:highlight w:val="yellow"/>
        </w:rPr>
      </w:pPr>
    </w:p>
    <w:p w:rsidR="00D3686A" w:rsidRPr="001816C3" w:rsidP="00961C50" w14:paraId="1CD646FE" w14:textId="5142E51F">
      <w:pPr>
        <w:spacing w:before="120" w:after="0"/>
        <w:rPr>
          <w:rFonts w:eastAsiaTheme="majorEastAsia" w:cstheme="minorHAnsi"/>
          <w:b/>
          <w:bCs/>
        </w:rPr>
      </w:pPr>
      <w:r w:rsidRPr="001816C3">
        <w:rPr>
          <w:rFonts w:eastAsiaTheme="majorEastAsia" w:cstheme="minorHAnsi"/>
          <w:b/>
          <w:bCs/>
        </w:rPr>
        <w:t xml:space="preserve">14c. </w:t>
      </w:r>
      <w:r w:rsidRPr="001816C3" w:rsidR="00D17BB9">
        <w:rPr>
          <w:rFonts w:eastAsiaTheme="majorEastAsia" w:cstheme="minorHAnsi"/>
          <w:b/>
          <w:bCs/>
        </w:rPr>
        <w:t>Agency Non-Labor Costs</w:t>
      </w:r>
    </w:p>
    <w:p w:rsidR="00860B8A" w:rsidRPr="001816C3" w:rsidP="00AE534A" w14:paraId="3604FEA1" w14:textId="13470CE2">
      <w:r w:rsidRPr="001816C3">
        <w:t>There are no expected operational costs unique to this information collection, as EPA Project Officers are reviewing the collected information as part of their work in supporting the grantees.</w:t>
      </w:r>
    </w:p>
    <w:p w:rsidR="004620CA" w:rsidRPr="001816C3" w:rsidP="00961C50" w14:paraId="3144CC9D" w14:textId="7FA006D7">
      <w:pPr>
        <w:pStyle w:val="Heading1"/>
      </w:pPr>
      <w:r w:rsidRPr="001816C3">
        <w:t xml:space="preserve">15. </w:t>
      </w:r>
      <w:r w:rsidRPr="001816C3" w:rsidR="5EB44CFC">
        <w:t xml:space="preserve">REASONS FOR </w:t>
      </w:r>
      <w:r w:rsidRPr="001816C3" w:rsidR="00AD46F7">
        <w:t>CHANGE IN BURDEN</w:t>
      </w:r>
      <w:bookmarkEnd w:id="23"/>
    </w:p>
    <w:p w:rsidR="001F0834" w:rsidRPr="001816C3" w:rsidP="00961C50" w14:paraId="567B01FE" w14:textId="77777777">
      <w:pPr>
        <w:pBdr>
          <w:bottom w:val="single" w:sz="12" w:space="1" w:color="auto"/>
        </w:pBdr>
        <w:spacing w:before="60"/>
        <w:rPr>
          <w:rFonts w:cstheme="minorHAnsi"/>
          <w:bCs/>
          <w:i/>
          <w:iCs/>
        </w:rPr>
      </w:pPr>
      <w:r w:rsidRPr="001816C3">
        <w:rPr>
          <w:rFonts w:cstheme="minorHAnsi"/>
          <w:bCs/>
          <w:i/>
          <w:iCs/>
        </w:rPr>
        <w:t>Explain the reasons for any program changes or adjustments reported in the burden or capital/O&amp;M cost estimates.</w:t>
      </w:r>
    </w:p>
    <w:p w:rsidR="00860B8A" w:rsidRPr="001816C3" w:rsidP="00961C50" w14:paraId="0FDC2AC7" w14:textId="7919166C">
      <w:pPr>
        <w:numPr>
          <w:ilvl w:val="12"/>
          <w:numId w:val="0"/>
        </w:numPr>
        <w:spacing w:after="0"/>
        <w:contextualSpacing/>
        <w:rPr>
          <w:rFonts w:cstheme="minorHAnsi"/>
          <w:color w:val="FF0000"/>
        </w:rPr>
      </w:pPr>
      <w:r w:rsidRPr="001816C3">
        <w:rPr>
          <w:rFonts w:cstheme="minorHAnsi"/>
          <w:bCs/>
        </w:rPr>
        <w:t>Not applicable: This is a new collection, and so does not involve any program changes or burden adjustments.</w:t>
      </w:r>
    </w:p>
    <w:p w:rsidR="00C02852" w:rsidRPr="00C40C07" w:rsidP="00961C50" w14:paraId="2F19BB08" w14:textId="77777777">
      <w:pPr>
        <w:pBdr>
          <w:top w:val="single" w:sz="6" w:space="0" w:color="FFFFFF"/>
          <w:left w:val="single" w:sz="6" w:space="0" w:color="FFFFFF"/>
          <w:bottom w:val="single" w:sz="6" w:space="0" w:color="FFFFFF"/>
          <w:right w:val="single" w:sz="6" w:space="0" w:color="FFFFFF"/>
        </w:pBdr>
        <w:spacing w:after="0"/>
        <w:rPr>
          <w:rFonts w:cstheme="minorHAnsi"/>
          <w:color w:val="FF0000"/>
          <w:highlight w:val="yellow"/>
        </w:rPr>
      </w:pPr>
    </w:p>
    <w:p w:rsidR="005D140B" w:rsidRPr="001816C3" w:rsidP="00961C50" w14:paraId="3604F417" w14:textId="37AFA8A6">
      <w:pPr>
        <w:pStyle w:val="Heading1"/>
      </w:pPr>
      <w:r w:rsidRPr="001816C3">
        <w:t xml:space="preserve">16. </w:t>
      </w:r>
      <w:bookmarkStart w:id="25" w:name="_Toc156593389"/>
      <w:r w:rsidRPr="001816C3" w:rsidR="00AD46F7">
        <w:t xml:space="preserve">PUBLICATION OF </w:t>
      </w:r>
      <w:bookmarkStart w:id="26" w:name="_Toc156593390"/>
      <w:bookmarkEnd w:id="25"/>
      <w:r w:rsidRPr="001816C3" w:rsidR="00E73E81">
        <w:t>DATA</w:t>
      </w:r>
    </w:p>
    <w:p w:rsidR="001F0834" w:rsidRPr="001816C3" w:rsidP="00961C50" w14:paraId="21A4F990" w14:textId="77777777">
      <w:pPr>
        <w:pBdr>
          <w:bottom w:val="single" w:sz="12" w:space="1" w:color="auto"/>
        </w:pBdr>
        <w:spacing w:before="60"/>
        <w:rPr>
          <w:rFonts w:cstheme="minorHAnsi"/>
          <w:bCs/>
          <w:i/>
          <w:iCs/>
        </w:rPr>
      </w:pPr>
      <w:r w:rsidRPr="001816C3">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610CE" w:rsidRPr="001816C3" w:rsidP="00961C50" w14:paraId="2C40DD44" w14:textId="77777777">
      <w:pPr>
        <w:numPr>
          <w:ilvl w:val="12"/>
          <w:numId w:val="0"/>
        </w:numPr>
        <w:spacing w:after="0"/>
        <w:contextualSpacing/>
        <w:rPr>
          <w:rFonts w:cstheme="minorHAnsi"/>
          <w:bCs/>
          <w:u w:val="single"/>
        </w:rPr>
      </w:pPr>
    </w:p>
    <w:p w:rsidR="006610CE" w:rsidRPr="001816C3" w:rsidP="00961C50" w14:paraId="781F0C28" w14:textId="1F94D876">
      <w:pPr>
        <w:numPr>
          <w:ilvl w:val="12"/>
          <w:numId w:val="0"/>
        </w:numPr>
        <w:spacing w:after="0"/>
        <w:contextualSpacing/>
        <w:rPr>
          <w:rFonts w:cstheme="minorHAnsi"/>
          <w:b/>
        </w:rPr>
      </w:pPr>
      <w:r w:rsidRPr="001816C3">
        <w:rPr>
          <w:rFonts w:cstheme="minorHAnsi"/>
          <w:b/>
        </w:rPr>
        <w:t xml:space="preserve">Use and Publication of Information </w:t>
      </w:r>
    </w:p>
    <w:p w:rsidR="006610CE" w:rsidRPr="001816C3" w:rsidP="00961C50" w14:paraId="5A22471A" w14:textId="77777777">
      <w:pPr>
        <w:spacing w:after="0"/>
        <w:contextualSpacing/>
        <w:rPr>
          <w:rFonts w:cstheme="minorHAnsi"/>
        </w:rPr>
      </w:pPr>
    </w:p>
    <w:p w:rsidR="0049471C" w:rsidRPr="001816C3" w:rsidP="00961C50" w14:paraId="78C6A5BD" w14:textId="77777777">
      <w:pPr>
        <w:spacing w:after="0"/>
        <w:contextualSpacing/>
        <w:rPr>
          <w:rFonts w:cstheme="minorHAnsi"/>
        </w:rPr>
      </w:pPr>
      <w:bookmarkStart w:id="27" w:name="_Hlk156226923"/>
      <w:r w:rsidRPr="001816C3">
        <w:rPr>
          <w:rFonts w:cstheme="minorHAnsi"/>
        </w:rPr>
        <w:t>This ICR seeks authorization for the collection of information to support performance measurement. The administrative data collected under this ICR may be used as part of other analytical studies as appropriate.</w:t>
      </w:r>
      <w:r w:rsidRPr="001816C3">
        <w:rPr>
          <w:rFonts w:cstheme="minorHAnsi"/>
        </w:rPr>
        <w:t xml:space="preserve"> EPA will submit additional ICR packages to seek authorization for program evaluation studies that involve additional collections of information beyond those outlined in this ICR.</w:t>
      </w:r>
    </w:p>
    <w:bookmarkEnd w:id="27"/>
    <w:p w:rsidR="006610CE" w:rsidRPr="001816C3" w:rsidP="00961C50" w14:paraId="7A0116FF" w14:textId="77777777">
      <w:pPr>
        <w:spacing w:after="0"/>
        <w:contextualSpacing/>
        <w:rPr>
          <w:rFonts w:cstheme="minorHAnsi"/>
        </w:rPr>
      </w:pPr>
    </w:p>
    <w:p w:rsidR="006610CE" w:rsidRPr="001816C3" w:rsidP="00961C50" w14:paraId="1911EBC9" w14:textId="4F754E99">
      <w:pPr>
        <w:keepNext/>
        <w:widowControl w:val="0"/>
        <w:spacing w:after="0"/>
        <w:contextualSpacing/>
        <w:rPr>
          <w:rFonts w:cstheme="minorHAnsi"/>
        </w:rPr>
      </w:pPr>
      <w:r w:rsidRPr="001816C3">
        <w:rPr>
          <w:rFonts w:cstheme="minorHAnsi"/>
        </w:rPr>
        <w:t>Information collected under this ICR will be used to support Program and Agency activities in two ways.</w:t>
      </w:r>
    </w:p>
    <w:p w:rsidR="009F0ECB" w:rsidRPr="001816C3" w:rsidP="00961C50" w14:paraId="2B6B1161" w14:textId="77777777">
      <w:pPr>
        <w:keepNext/>
        <w:widowControl w:val="0"/>
        <w:spacing w:after="0"/>
        <w:contextualSpacing/>
        <w:rPr>
          <w:rFonts w:cstheme="minorHAnsi"/>
        </w:rPr>
      </w:pPr>
    </w:p>
    <w:p w:rsidR="006610CE" w:rsidRPr="001816C3" w:rsidP="00961C50" w14:paraId="5F8F42CD" w14:textId="77777777">
      <w:pPr>
        <w:pStyle w:val="ListParagraph"/>
        <w:keepNext/>
        <w:widowControl w:val="0"/>
        <w:numPr>
          <w:ilvl w:val="1"/>
          <w:numId w:val="20"/>
        </w:numPr>
        <w:tabs>
          <w:tab w:val="num" w:pos="4680"/>
          <w:tab w:val="clear" w:pos="5040"/>
        </w:tabs>
        <w:spacing w:after="0" w:line="240" w:lineRule="auto"/>
        <w:ind w:left="720"/>
        <w:rPr>
          <w:rFonts w:cstheme="minorHAnsi"/>
          <w:i/>
          <w:iCs/>
        </w:rPr>
      </w:pPr>
      <w:r w:rsidRPr="001816C3">
        <w:rPr>
          <w:rFonts w:cstheme="minorHAnsi"/>
          <w:i/>
          <w:iCs/>
        </w:rPr>
        <w:t>Internal Decision-Making: Continuous Improvement and Evidence Building </w:t>
      </w:r>
    </w:p>
    <w:p w:rsidR="006610CE" w:rsidRPr="001816C3" w:rsidP="00961C50" w14:paraId="1602A8F0" w14:textId="77777777">
      <w:pPr>
        <w:spacing w:after="0"/>
        <w:contextualSpacing/>
        <w:rPr>
          <w:rFonts w:cstheme="minorHAnsi"/>
        </w:rPr>
      </w:pPr>
    </w:p>
    <w:p w:rsidR="006610CE" w:rsidRPr="001816C3" w:rsidP="00961C50" w14:paraId="7F17B954" w14:textId="77777777">
      <w:pPr>
        <w:spacing w:after="0"/>
        <w:ind w:left="720"/>
        <w:contextualSpacing/>
        <w:rPr>
          <w:rFonts w:cstheme="minorHAnsi"/>
        </w:rPr>
      </w:pPr>
      <w:r w:rsidRPr="001816C3">
        <w:rPr>
          <w:rFonts w:cstheme="minorHAnsi"/>
        </w:rPr>
        <w:t xml:space="preserve">EPA can use the collected information about project outputs and outcomes to track progress against program objectives. Results will help EPA identify success stories as well as areas for improvement, which will inform internal discussions to develop evidence-based recommendations for best practices and improvement strategies within the program. In line with the </w:t>
      </w:r>
      <w:hyperlink r:id="rId26">
        <w:r w:rsidRPr="001816C3">
          <w:rPr>
            <w:rStyle w:val="Hyperlink"/>
            <w:rFonts w:cstheme="minorHAnsi"/>
          </w:rPr>
          <w:t>2018 Evidence Act</w:t>
        </w:r>
      </w:hyperlink>
      <w:r w:rsidRPr="001816C3">
        <w:rPr>
          <w:rFonts w:cstheme="minorHAnsi"/>
        </w:rPr>
        <w:t>, this evidence base will be used to inform and improve day-to-day operations and decision-making. The Agency’s Office of the Chief Financial Officer provides resources and support to develop staff capacity to use information and data in this way.  </w:t>
      </w:r>
    </w:p>
    <w:p w:rsidR="006610CE" w:rsidRPr="001816C3" w:rsidP="00961C50" w14:paraId="4C2DC9EB" w14:textId="77777777">
      <w:pPr>
        <w:spacing w:after="0"/>
        <w:contextualSpacing/>
        <w:rPr>
          <w:rFonts w:cstheme="minorHAnsi"/>
        </w:rPr>
      </w:pPr>
      <w:r w:rsidRPr="001816C3">
        <w:rPr>
          <w:rFonts w:cstheme="minorHAnsi"/>
        </w:rPr>
        <w:t> </w:t>
      </w:r>
    </w:p>
    <w:p w:rsidR="006610CE" w:rsidRPr="001816C3" w:rsidP="00961C50" w14:paraId="13A826B3" w14:textId="77777777">
      <w:pPr>
        <w:pStyle w:val="ListParagraph"/>
        <w:numPr>
          <w:ilvl w:val="1"/>
          <w:numId w:val="20"/>
        </w:numPr>
        <w:tabs>
          <w:tab w:val="clear" w:pos="5040"/>
        </w:tabs>
        <w:spacing w:after="0" w:line="240" w:lineRule="auto"/>
        <w:ind w:left="720"/>
        <w:rPr>
          <w:rFonts w:cstheme="minorHAnsi"/>
          <w:i/>
          <w:iCs/>
        </w:rPr>
      </w:pPr>
      <w:r w:rsidRPr="001816C3">
        <w:rPr>
          <w:rFonts w:cstheme="minorHAnsi"/>
          <w:i/>
          <w:iCs/>
        </w:rPr>
        <w:t>Public Reporting: Accountability </w:t>
      </w:r>
      <w:r w:rsidRPr="001816C3">
        <w:rPr>
          <w:rFonts w:cstheme="minorHAnsi"/>
          <w:i/>
          <w:iCs/>
        </w:rPr>
        <w:br/>
      </w:r>
    </w:p>
    <w:p w:rsidR="006610CE" w:rsidRPr="001816C3" w:rsidP="00961C50" w14:paraId="34E14AD7" w14:textId="21526A3F">
      <w:pPr>
        <w:spacing w:after="0"/>
        <w:ind w:left="720"/>
        <w:contextualSpacing/>
        <w:rPr>
          <w:rFonts w:cstheme="minorHAnsi"/>
        </w:rPr>
      </w:pPr>
      <w:r w:rsidRPr="001816C3">
        <w:rPr>
          <w:rFonts w:cstheme="minorHAnsi"/>
        </w:rPr>
        <w:t xml:space="preserve">To enable more transparent public examination of federally funded activities, the information collected under this ICR—including quantitative metrics, success stories, and photographs submitted by </w:t>
      </w:r>
      <w:r w:rsidRPr="001816C3" w:rsidR="00031B82">
        <w:rPr>
          <w:rFonts w:cstheme="minorHAnsi"/>
        </w:rPr>
        <w:t>Grantees</w:t>
      </w:r>
      <w:r w:rsidRPr="001816C3">
        <w:rPr>
          <w:rFonts w:cstheme="minorHAnsi"/>
        </w:rPr>
        <w:t xml:space="preserve">—will be publicly reported in </w:t>
      </w:r>
      <w:r w:rsidRPr="001816C3" w:rsidR="001816C3">
        <w:rPr>
          <w:rFonts w:cstheme="minorHAnsi"/>
        </w:rPr>
        <w:t>three</w:t>
      </w:r>
      <w:r w:rsidRPr="001816C3">
        <w:rPr>
          <w:rFonts w:cstheme="minorHAnsi"/>
        </w:rPr>
        <w:t xml:space="preserve"> ways:</w:t>
      </w:r>
    </w:p>
    <w:p w:rsidR="006610CE" w:rsidRPr="001816C3" w:rsidP="00961C50" w14:paraId="4200DB38" w14:textId="76D57BCB">
      <w:pPr>
        <w:pStyle w:val="ListParagraph"/>
        <w:numPr>
          <w:ilvl w:val="0"/>
          <w:numId w:val="21"/>
        </w:numPr>
        <w:spacing w:after="0" w:line="240" w:lineRule="auto"/>
        <w:rPr>
          <w:rFonts w:cstheme="minorHAnsi"/>
        </w:rPr>
      </w:pPr>
      <w:r w:rsidRPr="001816C3">
        <w:rPr>
          <w:rFonts w:cstheme="minorHAnsi"/>
        </w:rPr>
        <w:t xml:space="preserve">EPA will post aggregated summaries of the </w:t>
      </w:r>
      <w:r w:rsidRPr="001816C3" w:rsidR="00A34C1C">
        <w:rPr>
          <w:rFonts w:cstheme="minorHAnsi"/>
        </w:rPr>
        <w:t xml:space="preserve">Grantees’ </w:t>
      </w:r>
      <w:r w:rsidRPr="001816C3">
        <w:rPr>
          <w:rFonts w:cstheme="minorHAnsi"/>
        </w:rPr>
        <w:t xml:space="preserve">performance (e.g., activities, outputs, outcomes) on its public websites. </w:t>
      </w:r>
    </w:p>
    <w:p w:rsidR="006610CE" w:rsidRPr="001816C3" w:rsidP="00961C50" w14:paraId="35E6C744" w14:textId="77777777">
      <w:pPr>
        <w:pStyle w:val="ListParagraph"/>
        <w:numPr>
          <w:ilvl w:val="0"/>
          <w:numId w:val="21"/>
        </w:numPr>
        <w:spacing w:after="0" w:line="240" w:lineRule="auto"/>
        <w:rPr>
          <w:rFonts w:cstheme="minorHAnsi"/>
        </w:rPr>
      </w:pPr>
      <w:r w:rsidRPr="001816C3">
        <w:rPr>
          <w:rFonts w:cstheme="minorHAnsi"/>
        </w:rPr>
        <w:t xml:space="preserve">EPA will collate program-level information for inclusion in public reports, such as the Annual Performance Report mandated by the Government Performance and Results Act (GPRA) and annual reports on activities supported by supplemental funds (e.g., Bipartisan Infrastructure Law, Inflation Reduction Act). </w:t>
      </w:r>
    </w:p>
    <w:p w:rsidR="006610CE" w:rsidRPr="001816C3" w:rsidP="00961C50" w14:paraId="71773FF6" w14:textId="77777777">
      <w:pPr>
        <w:pStyle w:val="ListParagraph"/>
        <w:numPr>
          <w:ilvl w:val="0"/>
          <w:numId w:val="21"/>
        </w:numPr>
        <w:spacing w:after="0" w:line="240" w:lineRule="auto"/>
        <w:rPr>
          <w:rFonts w:cstheme="minorHAnsi"/>
        </w:rPr>
      </w:pPr>
      <w:r w:rsidRPr="001816C3">
        <w:rPr>
          <w:rFonts w:cstheme="minorHAnsi"/>
        </w:rPr>
        <w:t>EPA will use the collected information to respond to requests for data and information from the Executive and Legislative branches.</w:t>
      </w:r>
    </w:p>
    <w:p w:rsidR="006610CE" w:rsidRPr="001816C3" w:rsidP="00961C50" w14:paraId="012C3581" w14:textId="77777777">
      <w:pPr>
        <w:spacing w:after="0"/>
        <w:ind w:left="720"/>
        <w:contextualSpacing/>
        <w:rPr>
          <w:rFonts w:cstheme="minorHAnsi"/>
        </w:rPr>
      </w:pPr>
      <w:r w:rsidRPr="001816C3">
        <w:rPr>
          <w:rFonts w:cstheme="minorHAnsi"/>
        </w:rPr>
        <w:t> </w:t>
      </w:r>
    </w:p>
    <w:p w:rsidR="006610CE" w:rsidRPr="001816C3" w:rsidP="00961C50" w14:paraId="180D44EC" w14:textId="77777777">
      <w:pPr>
        <w:spacing w:after="0"/>
        <w:ind w:left="720"/>
        <w:contextualSpacing/>
        <w:rPr>
          <w:rFonts w:cstheme="minorHAnsi"/>
        </w:rPr>
      </w:pPr>
      <w:r w:rsidRPr="001816C3">
        <w:rPr>
          <w:rFonts w:cstheme="minorHAnsi"/>
        </w:rPr>
        <w:t>Information will be reported in anonymous and aggregated form where necessary to protect Confidential Business Information (CBI) and Personally Identifiable Information (PII). Location identifiers will be used to fulfill federal reporting requirements (e.g., DATA Act, Justice40 Initiative) to document results in different communities. EPA will follow best practices in stating the source of the data (e.g., progress reports) and the methodology used to collect the information (e.g., self-report).  </w:t>
      </w:r>
    </w:p>
    <w:p w:rsidR="006610CE" w:rsidRPr="001816C3" w:rsidP="00961C50" w14:paraId="75936285" w14:textId="77777777">
      <w:pPr>
        <w:numPr>
          <w:ilvl w:val="12"/>
          <w:numId w:val="0"/>
        </w:numPr>
        <w:spacing w:after="0"/>
        <w:contextualSpacing/>
        <w:rPr>
          <w:rFonts w:cstheme="minorHAnsi"/>
          <w:bCs/>
          <w:u w:val="single"/>
        </w:rPr>
      </w:pPr>
    </w:p>
    <w:p w:rsidR="006610CE" w:rsidRPr="00C40C07" w:rsidP="00ED67C7" w14:paraId="272DB9E8" w14:textId="7F291FDF">
      <w:pPr>
        <w:numPr>
          <w:ilvl w:val="12"/>
          <w:numId w:val="0"/>
        </w:numPr>
        <w:spacing w:after="0"/>
        <w:contextualSpacing/>
        <w:rPr>
          <w:rFonts w:cstheme="minorHAnsi"/>
          <w:bCs/>
          <w:highlight w:val="yellow"/>
          <w:u w:val="single"/>
        </w:rPr>
      </w:pPr>
      <w:r w:rsidRPr="001816C3">
        <w:rPr>
          <w:rFonts w:cstheme="minorHAnsi"/>
          <w:bCs/>
          <w:u w:val="single"/>
        </w:rPr>
        <w:t>Collection, Tabulation, and Public Reporting of Information</w:t>
      </w:r>
      <w:r w:rsidRPr="00C40C07">
        <w:rPr>
          <w:rFonts w:cstheme="minorHAnsi"/>
          <w:bCs/>
          <w:highlight w:val="yellow"/>
        </w:rPr>
        <w:br/>
      </w:r>
    </w:p>
    <w:p w:rsidR="006610CE" w:rsidRPr="001816C3" w:rsidP="000661CD" w14:paraId="2F298215" w14:textId="6DF994CB">
      <w:pPr>
        <w:spacing w:after="0"/>
        <w:ind w:firstLine="720"/>
        <w:contextualSpacing/>
        <w:rPr>
          <w:rFonts w:cstheme="minorHAnsi"/>
          <w:bCs/>
        </w:rPr>
      </w:pPr>
      <w:r w:rsidRPr="001816C3">
        <w:rPr>
          <w:rFonts w:cstheme="minorHAnsi"/>
          <w:bCs/>
        </w:rPr>
        <w:t>Quarterly</w:t>
      </w:r>
      <w:r w:rsidRPr="001816C3">
        <w:rPr>
          <w:rFonts w:cstheme="minorHAnsi"/>
          <w:bCs/>
        </w:rPr>
        <w:t>:</w:t>
      </w:r>
      <w:r w:rsidRPr="001816C3">
        <w:rPr>
          <w:rFonts w:cstheme="minorHAnsi"/>
          <w:bCs/>
        </w:rPr>
        <w:tab/>
      </w:r>
      <w:r w:rsidRPr="001816C3" w:rsidR="00A34C1C">
        <w:rPr>
          <w:rFonts w:cstheme="minorHAnsi"/>
          <w:bCs/>
        </w:rPr>
        <w:t>Grantees submit progress reports to EPA.</w:t>
      </w:r>
      <w:r w:rsidRPr="00C40C07">
        <w:rPr>
          <w:rFonts w:cstheme="minorHAnsi"/>
          <w:bCs/>
          <w:highlight w:val="yellow"/>
        </w:rPr>
        <w:br/>
      </w:r>
    </w:p>
    <w:p w:rsidR="006610CE" w:rsidRPr="001816C3" w:rsidP="00961C50" w14:paraId="66702A41" w14:textId="77777777">
      <w:pPr>
        <w:spacing w:after="0"/>
        <w:ind w:left="2160" w:hanging="1440"/>
        <w:contextualSpacing/>
        <w:rPr>
          <w:rFonts w:cstheme="minorHAnsi"/>
          <w:bCs/>
        </w:rPr>
      </w:pPr>
      <w:r w:rsidRPr="001816C3">
        <w:rPr>
          <w:rFonts w:cstheme="minorHAnsi"/>
          <w:bCs/>
        </w:rPr>
        <w:t>Annually:</w:t>
      </w:r>
      <w:r w:rsidRPr="001816C3">
        <w:rPr>
          <w:rFonts w:cstheme="minorHAnsi"/>
          <w:bCs/>
        </w:rPr>
        <w:tab/>
        <w:t xml:space="preserve">EPA summarizes aggregated information in reports to OMB </w:t>
      </w:r>
      <w:r w:rsidRPr="001816C3">
        <w:rPr>
          <w:rFonts w:cstheme="minorHAnsi"/>
          <w:bCs/>
        </w:rPr>
        <w:br/>
        <w:t>(e.g., budget data requests, Annual Performance Reports).</w:t>
      </w:r>
      <w:r w:rsidRPr="001816C3">
        <w:rPr>
          <w:rFonts w:cstheme="minorHAnsi"/>
          <w:bCs/>
        </w:rPr>
        <w:br/>
      </w:r>
    </w:p>
    <w:p w:rsidR="006610CE" w:rsidRPr="001816C3" w:rsidP="00961C50" w14:paraId="7811FC84" w14:textId="77777777">
      <w:pPr>
        <w:spacing w:after="0"/>
        <w:ind w:left="2160" w:hanging="1440"/>
        <w:contextualSpacing/>
        <w:rPr>
          <w:rFonts w:cstheme="minorHAnsi"/>
          <w:bCs/>
        </w:rPr>
      </w:pPr>
      <w:r w:rsidRPr="001816C3">
        <w:rPr>
          <w:rFonts w:cstheme="minorHAnsi"/>
          <w:bCs/>
        </w:rPr>
        <w:t>Periodically:</w:t>
      </w:r>
      <w:r w:rsidRPr="001816C3">
        <w:rPr>
          <w:rFonts w:cstheme="minorHAnsi"/>
          <w:bCs/>
        </w:rPr>
        <w:tab/>
        <w:t xml:space="preserve">EPA summarizes aggregated information to respond to requests for data </w:t>
      </w:r>
      <w:r w:rsidRPr="001816C3">
        <w:rPr>
          <w:rFonts w:cstheme="minorHAnsi"/>
          <w:bCs/>
        </w:rPr>
        <w:br/>
        <w:t>and information from the Congressional and/or Executive Branch.</w:t>
      </w:r>
    </w:p>
    <w:p w:rsidR="006610CE" w:rsidRPr="001816C3" w:rsidP="00961C50" w14:paraId="65114C49" w14:textId="77777777">
      <w:pPr>
        <w:spacing w:after="0"/>
        <w:ind w:firstLine="720"/>
        <w:contextualSpacing/>
        <w:rPr>
          <w:rFonts w:cstheme="minorHAnsi"/>
          <w:bCs/>
        </w:rPr>
      </w:pPr>
    </w:p>
    <w:p w:rsidR="006610CE" w:rsidRPr="001816C3" w:rsidP="00961C50" w14:paraId="63A881C8" w14:textId="346163A7">
      <w:pPr>
        <w:spacing w:after="0"/>
        <w:ind w:firstLine="720"/>
        <w:contextualSpacing/>
        <w:rPr>
          <w:rFonts w:cstheme="minorHAnsi"/>
          <w:bCs/>
        </w:rPr>
      </w:pPr>
      <w:r w:rsidRPr="001816C3">
        <w:rPr>
          <w:rFonts w:cstheme="minorHAnsi"/>
          <w:bCs/>
        </w:rPr>
        <w:t>End of Award:</w:t>
      </w:r>
      <w:r w:rsidRPr="001816C3">
        <w:rPr>
          <w:rFonts w:cstheme="minorHAnsi"/>
          <w:bCs/>
        </w:rPr>
        <w:tab/>
      </w:r>
      <w:r w:rsidRPr="001816C3" w:rsidR="00350CF3">
        <w:rPr>
          <w:rFonts w:cstheme="minorHAnsi"/>
          <w:bCs/>
        </w:rPr>
        <w:t>Grantees</w:t>
      </w:r>
      <w:r w:rsidRPr="001816C3">
        <w:rPr>
          <w:rFonts w:cstheme="minorHAnsi"/>
          <w:bCs/>
        </w:rPr>
        <w:t xml:space="preserve"> submit final reports to EPA.</w:t>
      </w:r>
    </w:p>
    <w:p w:rsidR="006610CE" w:rsidRPr="001816C3" w:rsidP="00961C50" w14:paraId="5287B9C2" w14:textId="1738D1F7">
      <w:pPr>
        <w:pStyle w:val="ListParagraph"/>
        <w:spacing w:after="0"/>
        <w:ind w:left="1440" w:firstLine="720"/>
        <w:rPr>
          <w:rFonts w:cstheme="minorHAnsi"/>
          <w:bCs/>
        </w:rPr>
      </w:pPr>
      <w:r w:rsidRPr="001816C3">
        <w:rPr>
          <w:rFonts w:cstheme="minorHAnsi"/>
          <w:bCs/>
        </w:rPr>
        <w:t xml:space="preserve">EPA reviews information for each </w:t>
      </w:r>
      <w:r w:rsidRPr="001816C3" w:rsidR="00350CF3">
        <w:rPr>
          <w:rFonts w:cstheme="minorHAnsi"/>
          <w:bCs/>
        </w:rPr>
        <w:t xml:space="preserve">grantee </w:t>
      </w:r>
      <w:r w:rsidRPr="001816C3">
        <w:rPr>
          <w:rFonts w:cstheme="minorHAnsi"/>
          <w:bCs/>
        </w:rPr>
        <w:t>to assess individual progress.</w:t>
      </w:r>
    </w:p>
    <w:p w:rsidR="00AE534A" w:rsidRPr="00C40C07" w:rsidP="00961C50" w14:paraId="3BEE3B17" w14:textId="52165CD6">
      <w:pPr>
        <w:spacing w:after="0"/>
        <w:ind w:left="1440" w:firstLine="720"/>
        <w:contextualSpacing/>
        <w:rPr>
          <w:rFonts w:cstheme="minorHAnsi"/>
          <w:bCs/>
          <w:highlight w:val="yellow"/>
        </w:rPr>
      </w:pPr>
      <w:r w:rsidRPr="001816C3">
        <w:rPr>
          <w:rFonts w:cstheme="minorHAnsi"/>
          <w:bCs/>
        </w:rPr>
        <w:t xml:space="preserve">EPA aggregates and reviews information across </w:t>
      </w:r>
      <w:r w:rsidRPr="001816C3" w:rsidR="00C54F77">
        <w:rPr>
          <w:rFonts w:cstheme="minorHAnsi"/>
          <w:bCs/>
        </w:rPr>
        <w:t xml:space="preserve">grantees </w:t>
      </w:r>
      <w:r w:rsidRPr="001816C3">
        <w:rPr>
          <w:rFonts w:cstheme="minorHAnsi"/>
          <w:bCs/>
        </w:rPr>
        <w:t>to identify themes.</w:t>
      </w:r>
      <w:r w:rsidRPr="00C40C07">
        <w:rPr>
          <w:rFonts w:cstheme="minorHAnsi"/>
          <w:bCs/>
          <w:highlight w:val="yellow"/>
        </w:rPr>
        <w:br/>
      </w:r>
    </w:p>
    <w:p w:rsidR="00AE534A" w:rsidRPr="00C40C07" w14:paraId="3EF46FB5" w14:textId="77777777">
      <w:pPr>
        <w:rPr>
          <w:rFonts w:cstheme="minorHAnsi"/>
          <w:bCs/>
          <w:highlight w:val="yellow"/>
        </w:rPr>
      </w:pPr>
      <w:r w:rsidRPr="00C40C07">
        <w:rPr>
          <w:rFonts w:cstheme="minorHAnsi"/>
          <w:bCs/>
          <w:highlight w:val="yellow"/>
        </w:rPr>
        <w:br w:type="page"/>
      </w:r>
    </w:p>
    <w:p w:rsidR="006610CE" w:rsidRPr="00C40C07" w:rsidP="00961C50" w14:paraId="64EC2362" w14:textId="77777777">
      <w:pPr>
        <w:spacing w:after="0"/>
        <w:ind w:left="1440" w:firstLine="720"/>
        <w:contextualSpacing/>
        <w:rPr>
          <w:rFonts w:cstheme="minorHAnsi"/>
          <w:bCs/>
          <w:highlight w:val="yellow"/>
        </w:rPr>
      </w:pPr>
    </w:p>
    <w:p w:rsidR="00627768" w:rsidRPr="001816C3" w:rsidP="00961C50" w14:paraId="54E9D2D0" w14:textId="01E3F777">
      <w:pPr>
        <w:pStyle w:val="Heading1"/>
      </w:pPr>
      <w:r w:rsidRPr="001816C3">
        <w:t xml:space="preserve">17. </w:t>
      </w:r>
      <w:r w:rsidRPr="001816C3" w:rsidR="002648CF">
        <w:t xml:space="preserve">DISPLAY </w:t>
      </w:r>
      <w:r w:rsidRPr="001816C3" w:rsidR="00644EBE">
        <w:t xml:space="preserve">OF </w:t>
      </w:r>
      <w:r w:rsidRPr="001816C3" w:rsidR="000D5863">
        <w:t>EXPIRATION DATE</w:t>
      </w:r>
      <w:bookmarkEnd w:id="26"/>
      <w:r w:rsidRPr="001816C3" w:rsidR="00644EBE">
        <w:t xml:space="preserve"> </w:t>
      </w:r>
    </w:p>
    <w:p w:rsidR="001F0834" w:rsidRPr="001816C3" w:rsidP="00961C50" w14:paraId="23256265" w14:textId="77777777">
      <w:pPr>
        <w:pBdr>
          <w:bottom w:val="single" w:sz="12" w:space="1" w:color="auto"/>
        </w:pBdr>
        <w:spacing w:before="60"/>
        <w:rPr>
          <w:rFonts w:cstheme="minorHAnsi"/>
          <w:i/>
          <w:iCs/>
        </w:rPr>
      </w:pPr>
      <w:r w:rsidRPr="001816C3">
        <w:rPr>
          <w:rFonts w:cstheme="minorHAnsi"/>
          <w:i/>
          <w:iCs/>
        </w:rPr>
        <w:t>If seeking approval to not display the expiration date for OMB approval of the information collection, explain the reasons that display would be inappropriate.</w:t>
      </w:r>
    </w:p>
    <w:p w:rsidR="004427FB" w:rsidRPr="001816C3" w:rsidP="00961C50" w14:paraId="610EA96E" w14:textId="038DCE01">
      <w:pPr>
        <w:contextualSpacing/>
        <w:rPr>
          <w:rFonts w:cstheme="minorHAnsi"/>
          <w:bCs/>
        </w:rPr>
      </w:pPr>
      <w:r w:rsidRPr="001816C3">
        <w:rPr>
          <w:rFonts w:cstheme="minorHAnsi"/>
          <w:bCs/>
        </w:rPr>
        <w:t>Not applicable</w:t>
      </w:r>
      <w:r w:rsidRPr="001816C3" w:rsidR="00862470">
        <w:rPr>
          <w:rFonts w:cstheme="minorHAnsi"/>
          <w:bCs/>
        </w:rPr>
        <w:t xml:space="preserve">: </w:t>
      </w:r>
      <w:r w:rsidRPr="001816C3">
        <w:rPr>
          <w:rFonts w:cstheme="minorHAnsi"/>
          <w:bCs/>
        </w:rPr>
        <w:t>All instruments will display the expiration date for OMB approval of the information collection.</w:t>
      </w:r>
    </w:p>
    <w:p w:rsidR="007250B7" w:rsidRPr="001816C3" w:rsidP="00961C50" w14:paraId="14DC4372" w14:textId="77777777">
      <w:pPr>
        <w:pBdr>
          <w:top w:val="single" w:sz="6" w:space="0" w:color="FFFFFF"/>
          <w:left w:val="single" w:sz="6" w:space="0" w:color="FFFFFF"/>
          <w:bottom w:val="single" w:sz="6" w:space="0" w:color="FFFFFF"/>
          <w:right w:val="single" w:sz="6" w:space="0" w:color="FFFFFF"/>
        </w:pBdr>
        <w:spacing w:after="0"/>
      </w:pPr>
    </w:p>
    <w:p w:rsidR="00691828" w:rsidRPr="001816C3" w:rsidP="00961C50" w14:paraId="7CCB26DD" w14:textId="3276B202">
      <w:pPr>
        <w:pStyle w:val="Heading1"/>
      </w:pPr>
      <w:bookmarkStart w:id="28" w:name="_Toc156593391"/>
      <w:r w:rsidRPr="001816C3">
        <w:t xml:space="preserve">18. </w:t>
      </w:r>
      <w:r w:rsidRPr="001816C3" w:rsidR="00F2554C">
        <w:t>CERTIFICATION STATEMENT</w:t>
      </w:r>
      <w:bookmarkEnd w:id="28"/>
    </w:p>
    <w:p w:rsidR="001F0834" w:rsidRPr="001816C3" w:rsidP="00961C50" w14:paraId="59893047" w14:textId="77777777">
      <w:pPr>
        <w:pBdr>
          <w:bottom w:val="single" w:sz="12" w:space="1" w:color="auto"/>
        </w:pBdr>
        <w:spacing w:before="60"/>
        <w:rPr>
          <w:rFonts w:cstheme="minorHAnsi"/>
          <w:i/>
          <w:iCs/>
        </w:rPr>
      </w:pPr>
      <w:r w:rsidRPr="001816C3">
        <w:rPr>
          <w:rFonts w:cstheme="minorHAnsi"/>
          <w:i/>
          <w:iCs/>
        </w:rPr>
        <w:t>Explain each exception to the topics of the certification statement identified in “Certification for Paperwork Reduction Act Submissions.”</w:t>
      </w:r>
    </w:p>
    <w:p w:rsidR="00142425" w:rsidRPr="001816C3" w:rsidP="00961C50" w14:paraId="7C974CB5" w14:textId="50E09D71">
      <w:pPr>
        <w:contextualSpacing/>
        <w:rPr>
          <w:rFonts w:cstheme="minorHAnsi"/>
        </w:rPr>
      </w:pPr>
      <w:r w:rsidRPr="001816C3">
        <w:rPr>
          <w:rFonts w:cstheme="minorHAnsi"/>
          <w:bCs/>
        </w:rPr>
        <w:t>Not applicable</w:t>
      </w:r>
      <w:r w:rsidRPr="001816C3" w:rsidR="00862470">
        <w:rPr>
          <w:rFonts w:cstheme="minorHAnsi"/>
          <w:bCs/>
        </w:rPr>
        <w:t xml:space="preserve">: </w:t>
      </w:r>
      <w:r w:rsidRPr="001816C3">
        <w:rPr>
          <w:rFonts w:cstheme="minorHAnsi"/>
        </w:rPr>
        <w:t>EPA does not seek any exceptions to the topics for the certification statement identified in the “Certification for Paperwork Reduction Act Submissions.”</w:t>
      </w:r>
    </w:p>
    <w:p w:rsidR="00822B54" w:rsidRPr="00C40C07" w:rsidP="00961C50" w14:paraId="73D46AA9" w14:textId="77777777">
      <w:pPr>
        <w:contextualSpacing/>
        <w:rPr>
          <w:rFonts w:cstheme="minorHAnsi"/>
          <w:highlight w:val="yellow"/>
        </w:rPr>
      </w:pPr>
    </w:p>
    <w:p w:rsidR="00C04A8F" w:rsidRPr="00C40C07" w:rsidP="00961C50" w14:paraId="1FD66962" w14:textId="07D2B260">
      <w:pPr>
        <w:rPr>
          <w:rFonts w:cstheme="minorHAnsi"/>
          <w:highlight w:val="yellow"/>
        </w:rPr>
        <w:sectPr w:rsidSect="00F91C8E">
          <w:headerReference w:type="default" r:id="rId27"/>
          <w:footerReference w:type="default" r:id="rId28"/>
          <w:pgSz w:w="12240" w:h="15840"/>
          <w:pgMar w:top="1440" w:right="1440" w:bottom="1440" w:left="1440" w:header="720" w:footer="720" w:gutter="0"/>
          <w:cols w:space="720"/>
          <w:docGrid w:linePitch="360"/>
        </w:sectPr>
      </w:pPr>
    </w:p>
    <w:p w:rsidR="00822B54" w:rsidRPr="001816C3" w:rsidP="00961C50" w14:paraId="14E33BCE" w14:textId="029C0D66">
      <w:pPr>
        <w:spacing w:after="0" w:line="240" w:lineRule="auto"/>
        <w:ind w:left="-90"/>
        <w:rPr>
          <w:rFonts w:ascii="Calibri" w:hAnsi="Calibri" w:cs="Calibri"/>
          <w:b/>
          <w:bCs/>
          <w:sz w:val="32"/>
          <w:szCs w:val="32"/>
        </w:rPr>
      </w:pPr>
      <w:r w:rsidRPr="001816C3">
        <w:rPr>
          <w:rFonts w:ascii="Calibri" w:hAnsi="Calibri" w:cs="Calibri"/>
          <w:b/>
          <w:bCs/>
          <w:sz w:val="32"/>
          <w:szCs w:val="32"/>
        </w:rPr>
        <w:t>Appendix</w:t>
      </w:r>
      <w:r w:rsidRPr="001816C3" w:rsidR="00FF3639">
        <w:rPr>
          <w:rFonts w:ascii="Calibri" w:hAnsi="Calibri" w:cs="Calibri"/>
          <w:b/>
          <w:bCs/>
          <w:sz w:val="32"/>
          <w:szCs w:val="32"/>
        </w:rPr>
        <w:t xml:space="preserve"> 1</w:t>
      </w:r>
    </w:p>
    <w:p w:rsidR="00822B54" w:rsidRPr="001816C3" w:rsidP="00961C50" w14:paraId="6C7A0A3A" w14:textId="77777777">
      <w:pPr>
        <w:spacing w:after="0" w:line="240" w:lineRule="auto"/>
        <w:ind w:left="-90"/>
        <w:rPr>
          <w:rFonts w:ascii="Calibri" w:hAnsi="Calibri" w:cs="Calibri"/>
        </w:rPr>
      </w:pPr>
    </w:p>
    <w:p w:rsidR="009E268B" w:rsidRPr="001816C3" w:rsidP="00961C50" w14:paraId="226F22DB" w14:textId="77777777">
      <w:pPr>
        <w:spacing w:after="0" w:line="240" w:lineRule="auto"/>
        <w:ind w:left="-90"/>
        <w:rPr>
          <w:rFonts w:ascii="Calibri" w:hAnsi="Calibri" w:cs="Calibri"/>
        </w:rPr>
      </w:pPr>
    </w:p>
    <w:p w:rsidR="00822B54" w:rsidRPr="001816C3" w:rsidP="00961C50" w14:paraId="20E73C59" w14:textId="77777777">
      <w:pPr>
        <w:spacing w:after="0" w:line="240" w:lineRule="auto"/>
        <w:ind w:left="-90"/>
        <w:rPr>
          <w:rFonts w:ascii="Calibri" w:hAnsi="Calibri" w:cs="Calibri"/>
          <w:b/>
          <w:bCs/>
          <w:sz w:val="28"/>
          <w:szCs w:val="28"/>
        </w:rPr>
      </w:pPr>
      <w:r w:rsidRPr="001816C3">
        <w:rPr>
          <w:rFonts w:ascii="Calibri" w:hAnsi="Calibri" w:cs="Calibri"/>
          <w:b/>
          <w:bCs/>
          <w:sz w:val="28"/>
          <w:szCs w:val="28"/>
        </w:rPr>
        <w:t>Calculations for Section 12: Respondent Burden Hours &amp; Costs</w:t>
      </w:r>
    </w:p>
    <w:p w:rsidR="00822B54" w:rsidRPr="001816C3" w:rsidP="00961C50" w14:paraId="2301EA2A" w14:textId="77777777">
      <w:pPr>
        <w:spacing w:after="0" w:line="240" w:lineRule="auto"/>
        <w:ind w:left="-90"/>
        <w:rPr>
          <w:rFonts w:ascii="Calibri" w:hAnsi="Calibri" w:cs="Calibri"/>
        </w:rPr>
      </w:pPr>
      <w:r w:rsidRPr="001816C3">
        <w:rPr>
          <w:rFonts w:ascii="Calibri" w:hAnsi="Calibri" w:cs="Calibri"/>
        </w:rPr>
        <w:br/>
      </w:r>
    </w:p>
    <w:p w:rsidR="00822B54" w:rsidRPr="001816C3" w:rsidP="00961C50" w14:paraId="1B8117D0" w14:textId="77777777">
      <w:pPr>
        <w:tabs>
          <w:tab w:val="left" w:pos="6300"/>
          <w:tab w:val="left" w:pos="7110"/>
        </w:tabs>
        <w:spacing w:after="0" w:line="240" w:lineRule="auto"/>
        <w:ind w:left="-90" w:right="-270"/>
        <w:rPr>
          <w:rFonts w:ascii="Calibri" w:hAnsi="Calibri" w:cs="Calibri"/>
          <w:i/>
          <w:iCs/>
        </w:rPr>
      </w:pPr>
      <w:r w:rsidRPr="001816C3">
        <w:rPr>
          <w:rFonts w:ascii="Calibri" w:hAnsi="Calibri" w:cs="Calibri"/>
          <w:i/>
          <w:iCs/>
        </w:rPr>
        <w:t>Step 1: Calculate proportion of respondent burden hours across all staff roles at relevant levels of seniority.</w:t>
      </w:r>
    </w:p>
    <w:p w:rsidR="00870849" w:rsidRPr="001816C3" w:rsidP="00961C50" w14:paraId="2F55B57A" w14:textId="77777777">
      <w:pPr>
        <w:tabs>
          <w:tab w:val="left" w:pos="6300"/>
          <w:tab w:val="left" w:pos="7110"/>
        </w:tabs>
        <w:spacing w:after="0" w:line="240" w:lineRule="auto"/>
        <w:ind w:left="-90" w:right="-270"/>
        <w:rPr>
          <w:rFonts w:ascii="Calibri" w:hAnsi="Calibri" w:cs="Calibri"/>
          <w:i/>
          <w:iCs/>
        </w:rPr>
      </w:pPr>
    </w:p>
    <w:tbl>
      <w:tblPr>
        <w:tblW w:w="9080" w:type="dxa"/>
        <w:tblLayout w:type="fixed"/>
        <w:tblLook w:val="04A0"/>
      </w:tblPr>
      <w:tblGrid>
        <w:gridCol w:w="2270"/>
        <w:gridCol w:w="2270"/>
        <w:gridCol w:w="2270"/>
        <w:gridCol w:w="2270"/>
      </w:tblGrid>
      <w:tr w14:paraId="10A452D0" w14:textId="77777777" w:rsidTr="000E24B6">
        <w:tblPrEx>
          <w:tblW w:w="9080" w:type="dxa"/>
          <w:tblLayout w:type="fixed"/>
          <w:tblLook w:val="04A0"/>
        </w:tblPrEx>
        <w:trPr>
          <w:trHeight w:val="450"/>
        </w:trPr>
        <w:tc>
          <w:tcPr>
            <w:tcW w:w="9080" w:type="dxa"/>
            <w:gridSpan w:val="4"/>
            <w:tcBorders>
              <w:top w:val="single" w:sz="8" w:space="0" w:color="auto"/>
              <w:left w:val="single" w:sz="8" w:space="0" w:color="auto"/>
              <w:bottom w:val="single" w:sz="4" w:space="0" w:color="auto"/>
              <w:right w:val="single" w:sz="8" w:space="0" w:color="000000"/>
            </w:tcBorders>
            <w:shd w:val="clear" w:color="000000" w:fill="D9D9D9"/>
            <w:vAlign w:val="center"/>
          </w:tcPr>
          <w:p w:rsidR="00822B54" w:rsidRPr="001816C3" w:rsidP="00961C50" w14:paraId="427B5623" w14:textId="77777777">
            <w:pPr>
              <w:spacing w:after="0" w:line="240" w:lineRule="auto"/>
              <w:rPr>
                <w:rFonts w:ascii="Calibri" w:eastAsia="Times New Roman" w:hAnsi="Calibri" w:cs="Calibri"/>
                <w:b/>
                <w:bCs/>
                <w:color w:val="000000"/>
              </w:rPr>
            </w:pPr>
            <w:r w:rsidRPr="001816C3">
              <w:rPr>
                <w:rFonts w:ascii="Calibri" w:eastAsia="Times New Roman" w:hAnsi="Calibri" w:cs="Calibri"/>
                <w:b/>
                <w:bCs/>
                <w:color w:val="000000"/>
              </w:rPr>
              <w:t>TABLE 12.1: PROPORTION of Respondent Hours</w:t>
            </w:r>
          </w:p>
        </w:tc>
      </w:tr>
      <w:tr w14:paraId="339B4D25" w14:textId="77777777" w:rsidTr="000E24B6">
        <w:tblPrEx>
          <w:tblW w:w="9080" w:type="dxa"/>
          <w:tblLayout w:type="fixed"/>
          <w:tblLook w:val="04A0"/>
        </w:tblPrEx>
        <w:trPr>
          <w:trHeight w:val="665"/>
        </w:trPr>
        <w:tc>
          <w:tcPr>
            <w:tcW w:w="22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1816C3" w:rsidP="00961C50" w14:paraId="0B099DBA"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Number of Hours: Management</w:t>
            </w:r>
          </w:p>
        </w:tc>
        <w:tc>
          <w:tcPr>
            <w:tcW w:w="2270" w:type="dxa"/>
            <w:tcBorders>
              <w:top w:val="single" w:sz="4" w:space="0" w:color="auto"/>
              <w:left w:val="nil"/>
              <w:bottom w:val="single" w:sz="4" w:space="0" w:color="auto"/>
              <w:right w:val="single" w:sz="4" w:space="0" w:color="auto"/>
            </w:tcBorders>
            <w:shd w:val="clear" w:color="000000" w:fill="F2F2F2"/>
            <w:vAlign w:val="center"/>
            <w:hideMark/>
          </w:tcPr>
          <w:p w:rsidR="00822B54" w:rsidRPr="001816C3" w:rsidP="00961C50" w14:paraId="0AF4A9D6"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Number of Hours: Technical</w:t>
            </w:r>
          </w:p>
        </w:tc>
        <w:tc>
          <w:tcPr>
            <w:tcW w:w="2270" w:type="dxa"/>
            <w:tcBorders>
              <w:top w:val="single" w:sz="4" w:space="0" w:color="auto"/>
              <w:left w:val="nil"/>
              <w:bottom w:val="single" w:sz="4" w:space="0" w:color="auto"/>
              <w:right w:val="nil"/>
            </w:tcBorders>
            <w:shd w:val="clear" w:color="000000" w:fill="F2F2F2"/>
            <w:vAlign w:val="center"/>
            <w:hideMark/>
          </w:tcPr>
          <w:p w:rsidR="00822B54" w:rsidRPr="001816C3" w:rsidP="00961C50" w14:paraId="6724323C"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Number of Hours: Clerical/Support</w:t>
            </w:r>
          </w:p>
        </w:tc>
        <w:tc>
          <w:tcPr>
            <w:tcW w:w="22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1816C3" w:rsidP="00961C50" w14:paraId="72A80A2D"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Total Proportion</w:t>
            </w:r>
          </w:p>
        </w:tc>
      </w:tr>
      <w:tr w14:paraId="6C7C32C5" w14:textId="77777777" w:rsidTr="000E24B6">
        <w:tblPrEx>
          <w:tblW w:w="9080" w:type="dxa"/>
          <w:tblLayout w:type="fixed"/>
          <w:tblLook w:val="04A0"/>
        </w:tblPrEx>
        <w:trPr>
          <w:trHeight w:val="440"/>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1816C3" w:rsidP="00961C50" w14:paraId="67EB5463"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0.15</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rsidR="00822B54" w:rsidRPr="001816C3" w:rsidP="00961C50" w14:paraId="4A1152E6"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0.7</w:t>
            </w:r>
          </w:p>
        </w:tc>
        <w:tc>
          <w:tcPr>
            <w:tcW w:w="2270" w:type="dxa"/>
            <w:tcBorders>
              <w:top w:val="single" w:sz="4" w:space="0" w:color="auto"/>
              <w:left w:val="nil"/>
              <w:bottom w:val="single" w:sz="4" w:space="0" w:color="auto"/>
              <w:right w:val="nil"/>
            </w:tcBorders>
            <w:shd w:val="clear" w:color="auto" w:fill="auto"/>
            <w:noWrap/>
            <w:vAlign w:val="center"/>
            <w:hideMark/>
          </w:tcPr>
          <w:p w:rsidR="00822B54" w:rsidRPr="001816C3" w:rsidP="00961C50" w14:paraId="15A621D7"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0.15</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1816C3" w:rsidP="00961C50" w14:paraId="216CF83E"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1</w:t>
            </w:r>
          </w:p>
        </w:tc>
      </w:tr>
    </w:tbl>
    <w:p w:rsidR="00822B54" w:rsidRPr="001816C3" w:rsidP="00961C50" w14:paraId="73B49E02" w14:textId="77777777">
      <w:pPr>
        <w:spacing w:after="0" w:line="240" w:lineRule="auto"/>
        <w:rPr>
          <w:rFonts w:ascii="Calibri" w:hAnsi="Calibri" w:cs="Calibri"/>
        </w:rPr>
      </w:pPr>
    </w:p>
    <w:p w:rsidR="004E3F68" w:rsidRPr="001816C3" w:rsidP="00961C50" w14:paraId="3C844F1C" w14:textId="77777777">
      <w:pPr>
        <w:spacing w:after="0" w:line="240" w:lineRule="auto"/>
        <w:rPr>
          <w:rFonts w:ascii="Calibri" w:hAnsi="Calibri" w:cs="Calibri"/>
        </w:rPr>
      </w:pPr>
    </w:p>
    <w:p w:rsidR="00822B54" w:rsidRPr="001816C3" w:rsidP="00961C50" w14:paraId="7A41F789" w14:textId="4EFC34D9">
      <w:pPr>
        <w:spacing w:after="0" w:line="240" w:lineRule="auto"/>
        <w:ind w:left="-90"/>
        <w:rPr>
          <w:rFonts w:ascii="Calibri" w:hAnsi="Calibri" w:cs="Calibri"/>
          <w:i/>
          <w:iCs/>
        </w:rPr>
      </w:pPr>
      <w:r w:rsidRPr="001816C3">
        <w:rPr>
          <w:rFonts w:ascii="Calibri" w:hAnsi="Calibri" w:cs="Calibri"/>
          <w:i/>
          <w:iCs/>
        </w:rPr>
        <w:t>Step 2: Calculate weighted labor cost across all staff roles involved.</w:t>
      </w:r>
    </w:p>
    <w:p w:rsidR="00C04A8F" w:rsidRPr="001816C3" w:rsidP="00961C50" w14:paraId="47554457" w14:textId="77777777">
      <w:pPr>
        <w:spacing w:after="0" w:line="240" w:lineRule="auto"/>
        <w:ind w:left="-90"/>
        <w:rPr>
          <w:rFonts w:ascii="Calibri" w:hAnsi="Calibri" w:cs="Calibri"/>
          <w:i/>
          <w:iCs/>
        </w:rPr>
      </w:pPr>
    </w:p>
    <w:tbl>
      <w:tblPr>
        <w:tblW w:w="0" w:type="auto"/>
        <w:tblInd w:w="113" w:type="dxa"/>
        <w:tblLayout w:type="fixed"/>
        <w:tblLook w:val="04A0"/>
      </w:tblPr>
      <w:tblGrid>
        <w:gridCol w:w="1345"/>
        <w:gridCol w:w="2700"/>
        <w:gridCol w:w="1080"/>
        <w:gridCol w:w="1170"/>
        <w:gridCol w:w="1018"/>
        <w:gridCol w:w="1232"/>
        <w:gridCol w:w="1620"/>
        <w:gridCol w:w="1170"/>
        <w:gridCol w:w="1440"/>
      </w:tblGrid>
      <w:tr w14:paraId="4E19F59C" w14:textId="77777777" w:rsidTr="009042A9">
        <w:tblPrEx>
          <w:tblW w:w="0" w:type="auto"/>
          <w:tblInd w:w="113" w:type="dxa"/>
          <w:tblLayout w:type="fixed"/>
          <w:tblLook w:val="04A0"/>
        </w:tblPrEx>
        <w:trPr>
          <w:trHeight w:val="315"/>
          <w:tblHeader/>
        </w:trPr>
        <w:tc>
          <w:tcPr>
            <w:tcW w:w="12775"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rsidR="0060654C" w:rsidRPr="001816C3" w:rsidP="00961C50" w14:paraId="61B7F96D" w14:textId="304F9E7F">
            <w:pPr>
              <w:spacing w:after="0" w:line="240" w:lineRule="auto"/>
              <w:rPr>
                <w:rFonts w:ascii="Calibri" w:eastAsia="Times New Roman" w:hAnsi="Calibri" w:cs="Calibri"/>
                <w:b/>
                <w:bCs/>
                <w:color w:val="000000"/>
              </w:rPr>
            </w:pPr>
            <w:bookmarkStart w:id="29" w:name="RANGE!B8"/>
            <w:r w:rsidRPr="001816C3">
              <w:rPr>
                <w:rFonts w:ascii="Calibri" w:eastAsia="Times New Roman" w:hAnsi="Calibri" w:cs="Calibri"/>
                <w:b/>
                <w:bCs/>
                <w:color w:val="000000"/>
              </w:rPr>
              <w:t xml:space="preserve">TABLE 12.2: WAGE RATES for Respondents </w:t>
            </w:r>
            <w:r w:rsidRPr="001816C3">
              <w:rPr>
                <w:rFonts w:ascii="Calibri" w:eastAsia="Times New Roman" w:hAnsi="Calibri" w:cs="Calibri"/>
                <w:b/>
                <w:bCs/>
                <w:color w:val="000000"/>
              </w:rPr>
              <w:t>(202</w:t>
            </w:r>
            <w:r w:rsidRPr="001816C3">
              <w:rPr>
                <w:rFonts w:ascii="Calibri" w:eastAsia="Times New Roman" w:hAnsi="Calibri" w:cs="Calibri"/>
                <w:b/>
                <w:bCs/>
                <w:color w:val="000000"/>
              </w:rPr>
              <w:t>3</w:t>
            </w:r>
            <w:r w:rsidRPr="001816C3">
              <w:rPr>
                <w:rFonts w:ascii="Calibri" w:eastAsia="Times New Roman" w:hAnsi="Calibri" w:cs="Calibri"/>
                <w:b/>
                <w:bCs/>
                <w:color w:val="000000"/>
              </w:rPr>
              <w:t>$)</w:t>
            </w:r>
            <w:bookmarkEnd w:id="29"/>
          </w:p>
        </w:tc>
      </w:tr>
      <w:tr w14:paraId="190E0EDE" w14:textId="77777777" w:rsidTr="00F105FD">
        <w:tblPrEx>
          <w:tblW w:w="0" w:type="auto"/>
          <w:tblInd w:w="113" w:type="dxa"/>
          <w:tblLayout w:type="fixed"/>
          <w:tblLook w:val="04A0"/>
        </w:tblPrEx>
        <w:trPr>
          <w:trHeight w:val="315"/>
          <w:tblHeader/>
        </w:trPr>
        <w:tc>
          <w:tcPr>
            <w:tcW w:w="1345" w:type="dxa"/>
            <w:vMerge w:val="restart"/>
            <w:tcBorders>
              <w:top w:val="nil"/>
              <w:left w:val="single" w:sz="4" w:space="0" w:color="auto"/>
              <w:bottom w:val="single" w:sz="4" w:space="0" w:color="auto"/>
              <w:right w:val="single" w:sz="4" w:space="0" w:color="auto"/>
            </w:tcBorders>
            <w:shd w:val="clear" w:color="000000" w:fill="D9D9D9"/>
            <w:vAlign w:val="center"/>
            <w:hideMark/>
          </w:tcPr>
          <w:p w:rsidR="0060654C" w:rsidRPr="001816C3" w:rsidP="00961C50" w14:paraId="1D5AE9F7" w14:textId="77777777">
            <w:pPr>
              <w:spacing w:after="0" w:line="240" w:lineRule="auto"/>
              <w:rPr>
                <w:rFonts w:eastAsia="Times New Roman" w:cstheme="minorHAnsi"/>
                <w:b/>
                <w:bCs/>
              </w:rPr>
            </w:pPr>
            <w:r w:rsidRPr="001816C3">
              <w:rPr>
                <w:rFonts w:eastAsia="Times New Roman" w:cstheme="minorHAnsi"/>
                <w:b/>
                <w:bCs/>
              </w:rPr>
              <w:t>Labor Category</w:t>
            </w:r>
          </w:p>
        </w:tc>
        <w:tc>
          <w:tcPr>
            <w:tcW w:w="2700" w:type="dxa"/>
            <w:vMerge w:val="restart"/>
            <w:tcBorders>
              <w:top w:val="nil"/>
              <w:left w:val="single" w:sz="4" w:space="0" w:color="auto"/>
              <w:bottom w:val="single" w:sz="4" w:space="0" w:color="auto"/>
              <w:right w:val="single" w:sz="4" w:space="0" w:color="auto"/>
            </w:tcBorders>
            <w:shd w:val="clear" w:color="000000" w:fill="D9D9D9"/>
            <w:vAlign w:val="center"/>
            <w:hideMark/>
          </w:tcPr>
          <w:p w:rsidR="0060654C" w:rsidRPr="001816C3" w:rsidP="00961C50" w14:paraId="43CE6918" w14:textId="77777777">
            <w:pPr>
              <w:spacing w:after="0" w:line="240" w:lineRule="auto"/>
              <w:rPr>
                <w:rFonts w:eastAsia="Times New Roman" w:cstheme="minorHAnsi"/>
                <w:b/>
                <w:bCs/>
              </w:rPr>
            </w:pPr>
            <w:r w:rsidRPr="001816C3">
              <w:rPr>
                <w:rFonts w:eastAsia="Times New Roman" w:cstheme="minorHAnsi"/>
                <w:b/>
                <w:bCs/>
              </w:rPr>
              <w:t>Data Series</w:t>
            </w:r>
            <w:r w:rsidRPr="001816C3">
              <w:rPr>
                <w:rFonts w:eastAsia="Times New Roman" w:cstheme="minorHAnsi"/>
                <w:b/>
                <w:bCs/>
                <w:vertAlign w:val="superscript"/>
              </w:rPr>
              <w:t xml:space="preserve"> a</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60654C" w:rsidRPr="001816C3" w:rsidP="00961C50" w14:paraId="60A298AE" w14:textId="77777777">
            <w:pPr>
              <w:spacing w:after="0" w:line="240" w:lineRule="auto"/>
              <w:rPr>
                <w:rFonts w:eastAsia="Times New Roman" w:cstheme="minorHAnsi"/>
                <w:b/>
                <w:bCs/>
              </w:rPr>
            </w:pPr>
            <w:r w:rsidRPr="001816C3">
              <w:rPr>
                <w:rFonts w:eastAsia="Times New Roman" w:cstheme="minorHAnsi"/>
                <w:b/>
                <w:bCs/>
              </w:rPr>
              <w:t>Period</w:t>
            </w:r>
          </w:p>
        </w:tc>
        <w:tc>
          <w:tcPr>
            <w:tcW w:w="1170" w:type="dxa"/>
            <w:tcBorders>
              <w:top w:val="nil"/>
              <w:left w:val="nil"/>
              <w:bottom w:val="single" w:sz="4" w:space="0" w:color="auto"/>
              <w:right w:val="single" w:sz="4" w:space="0" w:color="auto"/>
            </w:tcBorders>
            <w:shd w:val="clear" w:color="000000" w:fill="D9D9D9"/>
            <w:vAlign w:val="center"/>
            <w:hideMark/>
          </w:tcPr>
          <w:p w:rsidR="0060654C" w:rsidRPr="001816C3" w:rsidP="00961C50" w14:paraId="58C838AE" w14:textId="3DEFF6DF">
            <w:pPr>
              <w:spacing w:after="0" w:line="240" w:lineRule="auto"/>
              <w:rPr>
                <w:rFonts w:eastAsia="Times New Roman" w:cstheme="minorHAnsi"/>
                <w:b/>
                <w:bCs/>
                <w:vertAlign w:val="superscript"/>
              </w:rPr>
            </w:pPr>
            <w:r w:rsidRPr="001816C3">
              <w:rPr>
                <w:rFonts w:eastAsia="Times New Roman" w:cstheme="minorHAnsi"/>
                <w:b/>
                <w:bCs/>
              </w:rPr>
              <w:t>Wage ($/hour)</w:t>
            </w:r>
          </w:p>
        </w:tc>
        <w:tc>
          <w:tcPr>
            <w:tcW w:w="1018" w:type="dxa"/>
            <w:tcBorders>
              <w:top w:val="nil"/>
              <w:left w:val="nil"/>
              <w:bottom w:val="single" w:sz="4" w:space="0" w:color="auto"/>
              <w:right w:val="single" w:sz="4" w:space="0" w:color="auto"/>
            </w:tcBorders>
            <w:shd w:val="clear" w:color="000000" w:fill="D9D9D9"/>
            <w:vAlign w:val="center"/>
            <w:hideMark/>
          </w:tcPr>
          <w:p w:rsidR="0060654C" w:rsidRPr="001816C3" w:rsidP="00961C50" w14:paraId="14335384" w14:textId="288AC201">
            <w:pPr>
              <w:spacing w:after="0" w:line="240" w:lineRule="auto"/>
              <w:rPr>
                <w:rFonts w:eastAsia="Times New Roman" w:cstheme="minorHAnsi"/>
                <w:b/>
                <w:bCs/>
                <w:vertAlign w:val="superscript"/>
              </w:rPr>
            </w:pPr>
            <w:r w:rsidRPr="001816C3">
              <w:rPr>
                <w:rFonts w:eastAsia="Times New Roman" w:cstheme="minorHAnsi"/>
                <w:b/>
                <w:bCs/>
              </w:rPr>
              <w:t xml:space="preserve">Fringe </w:t>
            </w:r>
            <w:r w:rsidRPr="001816C3">
              <w:rPr>
                <w:rFonts w:eastAsia="Times New Roman" w:cstheme="minorHAnsi"/>
                <w:b/>
                <w:bCs/>
              </w:rPr>
              <w:t>Benefit</w:t>
            </w:r>
            <w:r w:rsidRPr="001816C3" w:rsidR="00F105FD">
              <w:rPr>
                <w:rFonts w:eastAsia="Times New Roman" w:cstheme="minorHAnsi"/>
                <w:b/>
                <w:bCs/>
                <w:vertAlign w:val="superscript"/>
              </w:rPr>
              <w:t>b</w:t>
            </w:r>
          </w:p>
        </w:tc>
        <w:tc>
          <w:tcPr>
            <w:tcW w:w="1232" w:type="dxa"/>
            <w:tcBorders>
              <w:top w:val="nil"/>
              <w:left w:val="nil"/>
              <w:bottom w:val="single" w:sz="4" w:space="0" w:color="auto"/>
              <w:right w:val="single" w:sz="4" w:space="0" w:color="auto"/>
            </w:tcBorders>
            <w:shd w:val="clear" w:color="000000" w:fill="D9D9D9"/>
            <w:vAlign w:val="center"/>
            <w:hideMark/>
          </w:tcPr>
          <w:p w:rsidR="0060654C" w:rsidRPr="001816C3" w:rsidP="00961C50" w14:paraId="10179C70" w14:textId="7AB88856">
            <w:pPr>
              <w:spacing w:after="0" w:line="240" w:lineRule="auto"/>
              <w:rPr>
                <w:rFonts w:eastAsia="Times New Roman" w:cstheme="minorHAnsi"/>
                <w:b/>
                <w:bCs/>
              </w:rPr>
            </w:pPr>
            <w:r w:rsidRPr="001816C3">
              <w:rPr>
                <w:rFonts w:eastAsia="Times New Roman" w:cstheme="minorHAnsi"/>
                <w:b/>
                <w:bCs/>
              </w:rPr>
              <w:t xml:space="preserve">Total </w:t>
            </w:r>
            <w:r w:rsidRPr="001816C3">
              <w:rPr>
                <w:rFonts w:eastAsia="Times New Roman" w:cstheme="minorHAnsi"/>
                <w:b/>
                <w:bCs/>
              </w:rPr>
              <w:t>Compen</w:t>
            </w:r>
            <w:r w:rsidRPr="001816C3" w:rsidR="001E7111">
              <w:rPr>
                <w:rFonts w:eastAsia="Times New Roman" w:cstheme="minorHAnsi"/>
                <w:b/>
                <w:bCs/>
              </w:rPr>
              <w:t>-</w:t>
            </w:r>
            <w:r w:rsidRPr="001816C3">
              <w:rPr>
                <w:rFonts w:eastAsia="Times New Roman" w:cstheme="minorHAnsi"/>
                <w:b/>
                <w:bCs/>
              </w:rPr>
              <w:t>sation</w:t>
            </w:r>
          </w:p>
        </w:tc>
        <w:tc>
          <w:tcPr>
            <w:tcW w:w="1620" w:type="dxa"/>
            <w:tcBorders>
              <w:top w:val="nil"/>
              <w:left w:val="nil"/>
              <w:bottom w:val="single" w:sz="4" w:space="0" w:color="auto"/>
              <w:right w:val="single" w:sz="4" w:space="0" w:color="auto"/>
            </w:tcBorders>
            <w:shd w:val="clear" w:color="000000" w:fill="D9D9D9"/>
            <w:vAlign w:val="center"/>
            <w:hideMark/>
          </w:tcPr>
          <w:p w:rsidR="0060654C" w:rsidRPr="001816C3" w:rsidP="00961C50" w14:paraId="74D931FA" w14:textId="1829C815">
            <w:pPr>
              <w:spacing w:after="0" w:line="240" w:lineRule="auto"/>
              <w:rPr>
                <w:rFonts w:eastAsia="Times New Roman" w:cstheme="minorHAnsi"/>
                <w:b/>
                <w:bCs/>
              </w:rPr>
            </w:pPr>
            <w:r w:rsidRPr="001816C3">
              <w:rPr>
                <w:rFonts w:eastAsia="Times New Roman" w:cstheme="minorHAnsi"/>
                <w:b/>
                <w:bCs/>
              </w:rPr>
              <w:t xml:space="preserve">Overhead as % of Total </w:t>
            </w:r>
            <w:r w:rsidRPr="001816C3">
              <w:rPr>
                <w:rFonts w:eastAsia="Times New Roman" w:cstheme="minorHAnsi"/>
                <w:b/>
                <w:bCs/>
              </w:rPr>
              <w:t>Compensation</w:t>
            </w:r>
            <w:r w:rsidRPr="001816C3" w:rsidR="004E0E1C">
              <w:rPr>
                <w:rFonts w:eastAsia="Times New Roman" w:cstheme="minorHAnsi"/>
                <w:b/>
                <w:bCs/>
                <w:vertAlign w:val="superscript"/>
              </w:rPr>
              <w:t>c</w:t>
            </w:r>
          </w:p>
        </w:tc>
        <w:tc>
          <w:tcPr>
            <w:tcW w:w="1170" w:type="dxa"/>
            <w:tcBorders>
              <w:top w:val="nil"/>
              <w:left w:val="nil"/>
              <w:bottom w:val="single" w:sz="4" w:space="0" w:color="auto"/>
              <w:right w:val="single" w:sz="4" w:space="0" w:color="auto"/>
            </w:tcBorders>
            <w:shd w:val="clear" w:color="000000" w:fill="D9D9D9"/>
            <w:vAlign w:val="center"/>
            <w:hideMark/>
          </w:tcPr>
          <w:p w:rsidR="0060654C" w:rsidRPr="001816C3" w:rsidP="00961C50" w14:paraId="4B5F33FD" w14:textId="77777777">
            <w:pPr>
              <w:spacing w:after="0" w:line="240" w:lineRule="auto"/>
              <w:rPr>
                <w:rFonts w:eastAsia="Times New Roman" w:cstheme="minorHAnsi"/>
                <w:b/>
                <w:bCs/>
              </w:rPr>
            </w:pPr>
            <w:r w:rsidRPr="001816C3">
              <w:rPr>
                <w:rFonts w:eastAsia="Times New Roman" w:cstheme="minorHAnsi"/>
                <w:b/>
                <w:bCs/>
              </w:rPr>
              <w:t>Overhead</w:t>
            </w:r>
          </w:p>
        </w:tc>
        <w:tc>
          <w:tcPr>
            <w:tcW w:w="1440" w:type="dxa"/>
            <w:tcBorders>
              <w:top w:val="nil"/>
              <w:left w:val="nil"/>
              <w:bottom w:val="single" w:sz="4" w:space="0" w:color="auto"/>
              <w:right w:val="single" w:sz="4" w:space="0" w:color="auto"/>
            </w:tcBorders>
            <w:shd w:val="clear" w:color="000000" w:fill="D9D9D9"/>
            <w:vAlign w:val="center"/>
            <w:hideMark/>
          </w:tcPr>
          <w:p w:rsidR="0060654C" w:rsidRPr="001816C3" w:rsidP="00961C50" w14:paraId="1E5A479B" w14:textId="389C40D0">
            <w:pPr>
              <w:spacing w:after="0" w:line="240" w:lineRule="auto"/>
              <w:rPr>
                <w:rFonts w:eastAsia="Times New Roman" w:cstheme="minorHAnsi"/>
                <w:b/>
                <w:bCs/>
              </w:rPr>
            </w:pPr>
            <w:r w:rsidRPr="001816C3">
              <w:rPr>
                <w:rFonts w:eastAsia="Times New Roman" w:cstheme="minorHAnsi"/>
                <w:b/>
                <w:bCs/>
              </w:rPr>
              <w:t>Hourly Loaded Wages</w:t>
            </w:r>
          </w:p>
        </w:tc>
      </w:tr>
      <w:tr w14:paraId="4F37FE42" w14:textId="77777777" w:rsidTr="00F105FD">
        <w:tblPrEx>
          <w:tblW w:w="0" w:type="auto"/>
          <w:tblInd w:w="113" w:type="dxa"/>
          <w:tblLayout w:type="fixed"/>
          <w:tblLook w:val="04A0"/>
        </w:tblPrEx>
        <w:trPr>
          <w:trHeight w:val="300"/>
          <w:tblHeader/>
        </w:trPr>
        <w:tc>
          <w:tcPr>
            <w:tcW w:w="1345" w:type="dxa"/>
            <w:vMerge/>
            <w:tcBorders>
              <w:top w:val="nil"/>
              <w:left w:val="single" w:sz="4" w:space="0" w:color="auto"/>
              <w:bottom w:val="single" w:sz="4" w:space="0" w:color="auto"/>
              <w:right w:val="single" w:sz="4" w:space="0" w:color="auto"/>
            </w:tcBorders>
            <w:vAlign w:val="center"/>
            <w:hideMark/>
          </w:tcPr>
          <w:p w:rsidR="0060654C" w:rsidRPr="001816C3" w:rsidP="00961C50" w14:paraId="419B9E37" w14:textId="77777777">
            <w:pPr>
              <w:spacing w:after="0" w:line="240" w:lineRule="auto"/>
              <w:rPr>
                <w:rFonts w:eastAsia="Times New Roman" w:cstheme="minorHAnsi"/>
                <w:b/>
                <w:bCs/>
              </w:rPr>
            </w:pPr>
          </w:p>
        </w:tc>
        <w:tc>
          <w:tcPr>
            <w:tcW w:w="2700" w:type="dxa"/>
            <w:vMerge/>
            <w:tcBorders>
              <w:top w:val="nil"/>
              <w:left w:val="single" w:sz="4" w:space="0" w:color="auto"/>
              <w:bottom w:val="single" w:sz="4" w:space="0" w:color="auto"/>
              <w:right w:val="single" w:sz="4" w:space="0" w:color="auto"/>
            </w:tcBorders>
            <w:vAlign w:val="center"/>
            <w:hideMark/>
          </w:tcPr>
          <w:p w:rsidR="0060654C" w:rsidRPr="001816C3" w:rsidP="00961C50" w14:paraId="0A1188D6" w14:textId="77777777">
            <w:pPr>
              <w:spacing w:after="0" w:line="240" w:lineRule="auto"/>
              <w:rPr>
                <w:rFonts w:eastAsia="Times New Roman" w:cstheme="minorHAnsi"/>
                <w:b/>
                <w:bCs/>
              </w:rPr>
            </w:pPr>
          </w:p>
        </w:tc>
        <w:tc>
          <w:tcPr>
            <w:tcW w:w="1080" w:type="dxa"/>
            <w:vMerge/>
            <w:tcBorders>
              <w:top w:val="nil"/>
              <w:left w:val="single" w:sz="4" w:space="0" w:color="auto"/>
              <w:bottom w:val="single" w:sz="4" w:space="0" w:color="auto"/>
              <w:right w:val="single" w:sz="4" w:space="0" w:color="auto"/>
            </w:tcBorders>
            <w:vAlign w:val="center"/>
            <w:hideMark/>
          </w:tcPr>
          <w:p w:rsidR="0060654C" w:rsidRPr="001816C3" w:rsidP="00961C50" w14:paraId="5DBB3FF3" w14:textId="77777777">
            <w:pPr>
              <w:spacing w:after="0" w:line="240" w:lineRule="auto"/>
              <w:rPr>
                <w:rFonts w:eastAsia="Times New Roman" w:cstheme="minorHAnsi"/>
                <w:b/>
                <w:bCs/>
              </w:rPr>
            </w:pPr>
          </w:p>
        </w:tc>
        <w:tc>
          <w:tcPr>
            <w:tcW w:w="1170" w:type="dxa"/>
            <w:tcBorders>
              <w:top w:val="nil"/>
              <w:left w:val="nil"/>
              <w:bottom w:val="single" w:sz="4" w:space="0" w:color="auto"/>
              <w:right w:val="single" w:sz="4" w:space="0" w:color="auto"/>
            </w:tcBorders>
            <w:shd w:val="clear" w:color="000000" w:fill="D9D9D9"/>
            <w:vAlign w:val="center"/>
            <w:hideMark/>
          </w:tcPr>
          <w:p w:rsidR="0060654C" w:rsidRPr="001816C3" w:rsidP="00961C50" w14:paraId="73912EAE" w14:textId="77777777">
            <w:pPr>
              <w:spacing w:after="0" w:line="240" w:lineRule="auto"/>
              <w:rPr>
                <w:rFonts w:eastAsia="Times New Roman" w:cstheme="minorHAnsi"/>
                <w:b/>
                <w:bCs/>
                <w:i/>
                <w:iCs/>
              </w:rPr>
            </w:pPr>
            <w:r w:rsidRPr="001816C3">
              <w:rPr>
                <w:rFonts w:eastAsia="Times New Roman" w:cstheme="minorHAnsi"/>
                <w:b/>
                <w:bCs/>
                <w:i/>
                <w:iCs/>
              </w:rPr>
              <w:t>(a)</w:t>
            </w:r>
          </w:p>
        </w:tc>
        <w:tc>
          <w:tcPr>
            <w:tcW w:w="1018" w:type="dxa"/>
            <w:tcBorders>
              <w:top w:val="nil"/>
              <w:left w:val="nil"/>
              <w:bottom w:val="single" w:sz="4" w:space="0" w:color="auto"/>
              <w:right w:val="single" w:sz="4" w:space="0" w:color="auto"/>
            </w:tcBorders>
            <w:shd w:val="clear" w:color="000000" w:fill="D9D9D9"/>
            <w:vAlign w:val="center"/>
            <w:hideMark/>
          </w:tcPr>
          <w:p w:rsidR="0060654C" w:rsidRPr="001816C3" w:rsidP="00961C50" w14:paraId="23B8CE83" w14:textId="77777777">
            <w:pPr>
              <w:spacing w:after="0" w:line="240" w:lineRule="auto"/>
              <w:rPr>
                <w:rFonts w:eastAsia="Times New Roman" w:cstheme="minorHAnsi"/>
                <w:b/>
                <w:bCs/>
                <w:i/>
                <w:iCs/>
              </w:rPr>
            </w:pPr>
            <w:r w:rsidRPr="001816C3">
              <w:rPr>
                <w:rFonts w:eastAsia="Times New Roman" w:cstheme="minorHAnsi"/>
                <w:b/>
                <w:bCs/>
                <w:i/>
                <w:iCs/>
              </w:rPr>
              <w:t>(b)</w:t>
            </w:r>
          </w:p>
        </w:tc>
        <w:tc>
          <w:tcPr>
            <w:tcW w:w="1232" w:type="dxa"/>
            <w:tcBorders>
              <w:top w:val="nil"/>
              <w:left w:val="nil"/>
              <w:bottom w:val="single" w:sz="4" w:space="0" w:color="auto"/>
              <w:right w:val="single" w:sz="4" w:space="0" w:color="auto"/>
            </w:tcBorders>
            <w:shd w:val="clear" w:color="000000" w:fill="D9D9D9"/>
            <w:vAlign w:val="center"/>
            <w:hideMark/>
          </w:tcPr>
          <w:p w:rsidR="0060654C" w:rsidRPr="001816C3" w:rsidP="00961C50" w14:paraId="03D73077" w14:textId="77777777">
            <w:pPr>
              <w:spacing w:after="0" w:line="240" w:lineRule="auto"/>
              <w:rPr>
                <w:rFonts w:eastAsia="Times New Roman" w:cstheme="minorHAnsi"/>
                <w:b/>
                <w:bCs/>
                <w:i/>
                <w:iCs/>
              </w:rPr>
            </w:pPr>
            <w:r w:rsidRPr="001816C3">
              <w:rPr>
                <w:rFonts w:eastAsia="Times New Roman" w:cstheme="minorHAnsi"/>
                <w:b/>
                <w:bCs/>
                <w:i/>
                <w:iCs/>
              </w:rPr>
              <w:t>(c) =(b)+(a)</w:t>
            </w:r>
          </w:p>
        </w:tc>
        <w:tc>
          <w:tcPr>
            <w:tcW w:w="1620" w:type="dxa"/>
            <w:tcBorders>
              <w:top w:val="nil"/>
              <w:left w:val="nil"/>
              <w:bottom w:val="single" w:sz="4" w:space="0" w:color="auto"/>
              <w:right w:val="single" w:sz="4" w:space="0" w:color="auto"/>
            </w:tcBorders>
            <w:shd w:val="clear" w:color="000000" w:fill="D9D9D9"/>
            <w:vAlign w:val="center"/>
            <w:hideMark/>
          </w:tcPr>
          <w:p w:rsidR="0060654C" w:rsidRPr="001816C3" w:rsidP="00961C50" w14:paraId="716AF389" w14:textId="77777777">
            <w:pPr>
              <w:spacing w:after="0" w:line="240" w:lineRule="auto"/>
              <w:rPr>
                <w:rFonts w:eastAsia="Times New Roman" w:cstheme="minorHAnsi"/>
                <w:b/>
                <w:bCs/>
                <w:i/>
                <w:iCs/>
              </w:rPr>
            </w:pPr>
            <w:r w:rsidRPr="001816C3">
              <w:rPr>
                <w:rFonts w:eastAsia="Times New Roman" w:cstheme="minorHAnsi"/>
                <w:b/>
                <w:bCs/>
                <w:i/>
                <w:iCs/>
              </w:rPr>
              <w:t>(d)</w:t>
            </w:r>
          </w:p>
        </w:tc>
        <w:tc>
          <w:tcPr>
            <w:tcW w:w="1170" w:type="dxa"/>
            <w:tcBorders>
              <w:top w:val="nil"/>
              <w:left w:val="nil"/>
              <w:bottom w:val="single" w:sz="4" w:space="0" w:color="auto"/>
              <w:right w:val="single" w:sz="4" w:space="0" w:color="auto"/>
            </w:tcBorders>
            <w:shd w:val="clear" w:color="000000" w:fill="D9D9D9"/>
            <w:vAlign w:val="center"/>
            <w:hideMark/>
          </w:tcPr>
          <w:p w:rsidR="0060654C" w:rsidRPr="001816C3" w:rsidP="00961C50" w14:paraId="2F0DB25A" w14:textId="77777777">
            <w:pPr>
              <w:spacing w:after="0" w:line="240" w:lineRule="auto"/>
              <w:rPr>
                <w:rFonts w:eastAsia="Times New Roman" w:cstheme="minorHAnsi"/>
                <w:b/>
                <w:bCs/>
                <w:i/>
                <w:iCs/>
              </w:rPr>
            </w:pPr>
            <w:r w:rsidRPr="001816C3">
              <w:rPr>
                <w:rFonts w:eastAsia="Times New Roman" w:cstheme="minorHAnsi"/>
                <w:b/>
                <w:bCs/>
                <w:i/>
                <w:iCs/>
              </w:rPr>
              <w:t>(e)=(c)*(d)</w:t>
            </w:r>
          </w:p>
        </w:tc>
        <w:tc>
          <w:tcPr>
            <w:tcW w:w="1440" w:type="dxa"/>
            <w:tcBorders>
              <w:top w:val="nil"/>
              <w:left w:val="nil"/>
              <w:bottom w:val="single" w:sz="4" w:space="0" w:color="auto"/>
              <w:right w:val="single" w:sz="4" w:space="0" w:color="auto"/>
            </w:tcBorders>
            <w:shd w:val="clear" w:color="000000" w:fill="D9D9D9"/>
            <w:vAlign w:val="center"/>
            <w:hideMark/>
          </w:tcPr>
          <w:p w:rsidR="0060654C" w:rsidRPr="001816C3" w:rsidP="00961C50" w14:paraId="3B7FE99B" w14:textId="77777777">
            <w:pPr>
              <w:spacing w:after="0" w:line="240" w:lineRule="auto"/>
              <w:rPr>
                <w:rFonts w:eastAsia="Times New Roman" w:cstheme="minorHAnsi"/>
                <w:b/>
                <w:bCs/>
                <w:i/>
                <w:iCs/>
              </w:rPr>
            </w:pPr>
            <w:r w:rsidRPr="001816C3">
              <w:rPr>
                <w:rFonts w:eastAsia="Times New Roman" w:cstheme="minorHAnsi"/>
                <w:b/>
                <w:bCs/>
                <w:i/>
                <w:iCs/>
              </w:rPr>
              <w:t>(f)=(c)+(e)</w:t>
            </w:r>
          </w:p>
        </w:tc>
      </w:tr>
      <w:tr w14:paraId="50049D84" w14:textId="77777777" w:rsidTr="009042A9">
        <w:tblPrEx>
          <w:tblW w:w="0" w:type="auto"/>
          <w:tblInd w:w="113" w:type="dxa"/>
          <w:tblLayout w:type="fixed"/>
          <w:tblLook w:val="04A0"/>
        </w:tblPrEx>
        <w:trPr>
          <w:trHeight w:val="102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60654C" w:rsidRPr="001816C3" w:rsidP="00961C50" w14:paraId="50C68AE6" w14:textId="77777777">
            <w:pPr>
              <w:spacing w:after="0" w:line="240" w:lineRule="auto"/>
              <w:rPr>
                <w:rFonts w:eastAsia="Times New Roman" w:cstheme="minorHAnsi"/>
              </w:rPr>
            </w:pPr>
            <w:r w:rsidRPr="001816C3">
              <w:rPr>
                <w:rFonts w:eastAsia="Times New Roman" w:cstheme="minorHAnsi"/>
              </w:rPr>
              <w:t>Managerial</w:t>
            </w:r>
          </w:p>
        </w:tc>
        <w:tc>
          <w:tcPr>
            <w:tcW w:w="2700" w:type="dxa"/>
            <w:tcBorders>
              <w:top w:val="nil"/>
              <w:left w:val="nil"/>
              <w:bottom w:val="single" w:sz="4" w:space="0" w:color="auto"/>
              <w:right w:val="single" w:sz="4" w:space="0" w:color="auto"/>
            </w:tcBorders>
            <w:shd w:val="clear" w:color="auto" w:fill="auto"/>
            <w:vAlign w:val="center"/>
            <w:hideMark/>
          </w:tcPr>
          <w:p w:rsidR="0060654C" w:rsidRPr="001816C3" w:rsidP="00961C50" w14:paraId="6BCB683A" w14:textId="77777777">
            <w:pPr>
              <w:spacing w:after="0" w:line="240" w:lineRule="auto"/>
              <w:rPr>
                <w:rFonts w:eastAsia="Times New Roman" w:cstheme="minorHAnsi"/>
              </w:rPr>
            </w:pPr>
            <w:r w:rsidRPr="001816C3">
              <w:rPr>
                <w:rFonts w:eastAsia="Times New Roman" w:cstheme="minorHAnsi"/>
              </w:rPr>
              <w:t>BLS OEWS, National Industry-Specific Estimates, 813400, General and Operations Managers</w:t>
            </w:r>
          </w:p>
        </w:tc>
        <w:tc>
          <w:tcPr>
            <w:tcW w:w="1080" w:type="dxa"/>
            <w:tcBorders>
              <w:top w:val="nil"/>
              <w:left w:val="nil"/>
              <w:bottom w:val="single" w:sz="4" w:space="0" w:color="auto"/>
              <w:right w:val="single" w:sz="4" w:space="0" w:color="auto"/>
            </w:tcBorders>
            <w:shd w:val="clear" w:color="auto" w:fill="auto"/>
            <w:vAlign w:val="center"/>
            <w:hideMark/>
          </w:tcPr>
          <w:p w:rsidR="00C47249" w:rsidRPr="001816C3" w:rsidP="0087252A" w14:paraId="59F1D6A5" w14:textId="77777777">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May</w:t>
            </w:r>
            <w:r w:rsidRPr="001816C3">
              <w:rPr>
                <w:rFonts w:ascii="Calibri" w:eastAsia="Times New Roman" w:hAnsi="Calibri" w:cs="Calibri"/>
                <w:color w:val="000000"/>
              </w:rPr>
              <w:t xml:space="preserve">/June </w:t>
            </w:r>
          </w:p>
          <w:p w:rsidR="0060654C" w:rsidRPr="001816C3" w:rsidP="0087252A" w14:paraId="756A6EA1" w14:textId="1BCE6E84">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2</w:t>
            </w:r>
            <w:r w:rsidRPr="001816C3" w:rsidR="00C47249">
              <w:rPr>
                <w:rFonts w:ascii="Calibri" w:eastAsia="Times New Roman" w:hAnsi="Calibri" w:cs="Calibri"/>
                <w:color w:val="000000"/>
              </w:rPr>
              <w:t>02</w:t>
            </w:r>
            <w:r w:rsidRPr="001816C3">
              <w:rPr>
                <w:rFonts w:ascii="Calibri" w:eastAsia="Times New Roman" w:hAnsi="Calibri" w:cs="Calibri"/>
                <w:color w:val="000000"/>
              </w:rPr>
              <w:t>3</w:t>
            </w:r>
          </w:p>
        </w:tc>
        <w:tc>
          <w:tcPr>
            <w:tcW w:w="1170" w:type="dxa"/>
            <w:tcBorders>
              <w:top w:val="nil"/>
              <w:left w:val="nil"/>
              <w:bottom w:val="single" w:sz="4" w:space="0" w:color="auto"/>
              <w:right w:val="single" w:sz="4" w:space="0" w:color="auto"/>
            </w:tcBorders>
            <w:shd w:val="clear" w:color="auto" w:fill="auto"/>
            <w:noWrap/>
            <w:vAlign w:val="center"/>
            <w:hideMark/>
          </w:tcPr>
          <w:p w:rsidR="0060654C" w:rsidRPr="001816C3" w:rsidP="0087252A" w14:paraId="0F23168B" w14:textId="77777777">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 xml:space="preserve">$48.77 </w:t>
            </w:r>
          </w:p>
        </w:tc>
        <w:tc>
          <w:tcPr>
            <w:tcW w:w="1018" w:type="dxa"/>
            <w:tcBorders>
              <w:top w:val="nil"/>
              <w:left w:val="nil"/>
              <w:bottom w:val="single" w:sz="4" w:space="0" w:color="auto"/>
              <w:right w:val="single" w:sz="4" w:space="0" w:color="auto"/>
            </w:tcBorders>
            <w:shd w:val="clear" w:color="auto" w:fill="auto"/>
            <w:noWrap/>
            <w:vAlign w:val="center"/>
            <w:hideMark/>
          </w:tcPr>
          <w:p w:rsidR="0060654C" w:rsidRPr="001816C3" w:rsidP="00ED67C7" w14:paraId="5024964E" w14:textId="502C89EC">
            <w:pPr>
              <w:spacing w:after="0" w:line="240" w:lineRule="auto"/>
              <w:ind w:left="-16" w:right="-195"/>
              <w:rPr>
                <w:rFonts w:ascii="Calibri" w:eastAsia="Times New Roman" w:hAnsi="Calibri" w:cs="Calibri"/>
                <w:color w:val="000000"/>
              </w:rPr>
            </w:pPr>
            <w:r w:rsidRPr="001816C3">
              <w:rPr>
                <w:rFonts w:ascii="Calibri" w:eastAsia="Times New Roman" w:hAnsi="Calibri" w:cs="Calibri"/>
                <w:color w:val="000000"/>
              </w:rPr>
              <w:t>33.8%</w:t>
            </w:r>
            <w:r w:rsidRPr="001816C3">
              <w:rPr>
                <w:rFonts w:ascii="Calibri" w:eastAsia="Times New Roman" w:hAnsi="Calibri" w:cs="Calibri"/>
                <w:color w:val="000000"/>
              </w:rPr>
              <w:t xml:space="preserve"> </w:t>
            </w:r>
          </w:p>
        </w:tc>
        <w:tc>
          <w:tcPr>
            <w:tcW w:w="1232" w:type="dxa"/>
            <w:tcBorders>
              <w:top w:val="nil"/>
              <w:left w:val="nil"/>
              <w:bottom w:val="single" w:sz="4" w:space="0" w:color="auto"/>
              <w:right w:val="single" w:sz="4" w:space="0" w:color="auto"/>
            </w:tcBorders>
            <w:shd w:val="clear" w:color="auto" w:fill="auto"/>
            <w:vAlign w:val="center"/>
            <w:hideMark/>
          </w:tcPr>
          <w:p w:rsidR="0060654C" w:rsidRPr="001816C3" w:rsidP="00ED67C7" w14:paraId="26A716F0" w14:textId="77777777">
            <w:pPr>
              <w:spacing w:after="0" w:line="240" w:lineRule="auto"/>
              <w:ind w:left="-51" w:right="-195"/>
              <w:rPr>
                <w:rFonts w:ascii="Calibri" w:eastAsia="Times New Roman" w:hAnsi="Calibri" w:cs="Calibri"/>
                <w:color w:val="000000"/>
              </w:rPr>
            </w:pPr>
            <w:r w:rsidRPr="001816C3">
              <w:rPr>
                <w:rFonts w:ascii="Calibri" w:eastAsia="Times New Roman" w:hAnsi="Calibri" w:cs="Calibri"/>
                <w:color w:val="000000"/>
              </w:rPr>
              <w:t xml:space="preserve">$65.27 </w:t>
            </w:r>
          </w:p>
        </w:tc>
        <w:tc>
          <w:tcPr>
            <w:tcW w:w="1620" w:type="dxa"/>
            <w:tcBorders>
              <w:top w:val="nil"/>
              <w:left w:val="nil"/>
              <w:bottom w:val="single" w:sz="4" w:space="0" w:color="auto"/>
              <w:right w:val="single" w:sz="4" w:space="0" w:color="auto"/>
            </w:tcBorders>
            <w:shd w:val="clear" w:color="auto" w:fill="auto"/>
            <w:vAlign w:val="center"/>
            <w:hideMark/>
          </w:tcPr>
          <w:p w:rsidR="0060654C" w:rsidRPr="001816C3" w:rsidP="00ED67C7" w14:paraId="7327BE8A" w14:textId="77777777">
            <w:pPr>
              <w:spacing w:after="0" w:line="240" w:lineRule="auto"/>
              <w:ind w:left="-23" w:right="-195"/>
              <w:rPr>
                <w:rFonts w:ascii="Calibri" w:eastAsia="Times New Roman" w:hAnsi="Calibri" w:cs="Calibri"/>
                <w:color w:val="000000"/>
              </w:rPr>
            </w:pPr>
            <w:r w:rsidRPr="001816C3">
              <w:rPr>
                <w:rFonts w:ascii="Calibri" w:eastAsia="Times New Roman" w:hAnsi="Calibri"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60654C" w:rsidRPr="001816C3" w:rsidP="00ED67C7" w14:paraId="56C5ADAA" w14:textId="77777777">
            <w:pPr>
              <w:spacing w:after="0" w:line="240" w:lineRule="auto"/>
              <w:ind w:left="-17" w:right="-195"/>
              <w:rPr>
                <w:rFonts w:ascii="Calibri" w:eastAsia="Times New Roman" w:hAnsi="Calibri" w:cs="Calibri"/>
                <w:color w:val="000000"/>
              </w:rPr>
            </w:pPr>
            <w:r w:rsidRPr="001816C3">
              <w:rPr>
                <w:rFonts w:ascii="Calibri" w:eastAsia="Times New Roman" w:hAnsi="Calibri" w:cs="Calibri"/>
                <w:color w:val="000000"/>
              </w:rPr>
              <w:t xml:space="preserve">$13.05 </w:t>
            </w:r>
          </w:p>
        </w:tc>
        <w:tc>
          <w:tcPr>
            <w:tcW w:w="1440" w:type="dxa"/>
            <w:tcBorders>
              <w:top w:val="nil"/>
              <w:left w:val="nil"/>
              <w:bottom w:val="single" w:sz="4" w:space="0" w:color="auto"/>
              <w:right w:val="single" w:sz="4" w:space="0" w:color="auto"/>
            </w:tcBorders>
            <w:shd w:val="clear" w:color="auto" w:fill="auto"/>
            <w:vAlign w:val="center"/>
            <w:hideMark/>
          </w:tcPr>
          <w:p w:rsidR="0060654C" w:rsidRPr="001816C3" w:rsidP="00ED67C7" w14:paraId="78A44492" w14:textId="77777777">
            <w:pPr>
              <w:spacing w:after="0" w:line="240" w:lineRule="auto"/>
              <w:ind w:left="-21" w:right="-195"/>
              <w:rPr>
                <w:rFonts w:ascii="Calibri" w:eastAsia="Times New Roman" w:hAnsi="Calibri" w:cs="Calibri"/>
                <w:color w:val="000000"/>
              </w:rPr>
            </w:pPr>
            <w:r w:rsidRPr="001816C3">
              <w:rPr>
                <w:rFonts w:ascii="Calibri" w:eastAsia="Times New Roman" w:hAnsi="Calibri" w:cs="Calibri"/>
                <w:color w:val="000000"/>
              </w:rPr>
              <w:t xml:space="preserve">$78.33 </w:t>
            </w:r>
          </w:p>
        </w:tc>
      </w:tr>
      <w:tr w14:paraId="27D8487B" w14:textId="77777777" w:rsidTr="009042A9">
        <w:tblPrEx>
          <w:tblW w:w="0" w:type="auto"/>
          <w:tblInd w:w="113" w:type="dxa"/>
          <w:tblLayout w:type="fixed"/>
          <w:tblLook w:val="04A0"/>
        </w:tblPrEx>
        <w:trPr>
          <w:trHeight w:val="102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C47249" w:rsidRPr="001816C3" w:rsidP="00961C50" w14:paraId="5ED3E32A" w14:textId="77777777">
            <w:pPr>
              <w:spacing w:after="0" w:line="240" w:lineRule="auto"/>
              <w:rPr>
                <w:rFonts w:eastAsia="Times New Roman" w:cstheme="minorHAnsi"/>
              </w:rPr>
            </w:pPr>
            <w:r w:rsidRPr="001816C3">
              <w:rPr>
                <w:rFonts w:eastAsia="Times New Roman" w:cstheme="minorHAnsi"/>
              </w:rPr>
              <w:t>Professional / Technical</w:t>
            </w:r>
          </w:p>
        </w:tc>
        <w:tc>
          <w:tcPr>
            <w:tcW w:w="2700" w:type="dxa"/>
            <w:tcBorders>
              <w:top w:val="nil"/>
              <w:left w:val="nil"/>
              <w:bottom w:val="single" w:sz="4" w:space="0" w:color="auto"/>
              <w:right w:val="single" w:sz="4" w:space="0" w:color="auto"/>
            </w:tcBorders>
            <w:shd w:val="clear" w:color="auto" w:fill="auto"/>
            <w:vAlign w:val="center"/>
            <w:hideMark/>
          </w:tcPr>
          <w:p w:rsidR="00C47249" w:rsidRPr="001816C3" w:rsidP="00961C50" w14:paraId="01BEA338" w14:textId="77777777">
            <w:pPr>
              <w:spacing w:after="0" w:line="240" w:lineRule="auto"/>
              <w:rPr>
                <w:rFonts w:eastAsia="Times New Roman" w:cstheme="minorHAnsi"/>
              </w:rPr>
            </w:pPr>
            <w:r w:rsidRPr="001816C3">
              <w:rPr>
                <w:rFonts w:eastAsia="Times New Roman" w:cstheme="minorHAnsi"/>
              </w:rPr>
              <w:t>BLS OEWS, National Industry-Specific Estimates, 813400, Social Scientists and Related Workers</w:t>
            </w:r>
          </w:p>
        </w:tc>
        <w:tc>
          <w:tcPr>
            <w:tcW w:w="1080" w:type="dxa"/>
            <w:tcBorders>
              <w:top w:val="nil"/>
              <w:left w:val="nil"/>
              <w:bottom w:val="single" w:sz="4" w:space="0" w:color="auto"/>
              <w:right w:val="single" w:sz="4" w:space="0" w:color="auto"/>
            </w:tcBorders>
            <w:shd w:val="clear" w:color="auto" w:fill="auto"/>
            <w:vAlign w:val="center"/>
            <w:hideMark/>
          </w:tcPr>
          <w:p w:rsidR="00C47249" w:rsidRPr="001816C3" w:rsidP="0087252A" w14:paraId="196AABBB" w14:textId="77777777">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 xml:space="preserve">May/June </w:t>
            </w:r>
          </w:p>
          <w:p w:rsidR="00C47249" w:rsidRPr="001816C3" w:rsidP="0087252A" w14:paraId="09885079" w14:textId="2C4ADDF5">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2023</w:t>
            </w:r>
          </w:p>
        </w:tc>
        <w:tc>
          <w:tcPr>
            <w:tcW w:w="1170" w:type="dxa"/>
            <w:tcBorders>
              <w:top w:val="nil"/>
              <w:left w:val="nil"/>
              <w:bottom w:val="single" w:sz="4" w:space="0" w:color="auto"/>
              <w:right w:val="single" w:sz="4" w:space="0" w:color="auto"/>
            </w:tcBorders>
            <w:shd w:val="clear" w:color="auto" w:fill="auto"/>
            <w:vAlign w:val="center"/>
            <w:hideMark/>
          </w:tcPr>
          <w:p w:rsidR="00C47249" w:rsidRPr="001816C3" w:rsidP="0087252A" w14:paraId="4D83DD1E" w14:textId="77777777">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 xml:space="preserve">$36.00 </w:t>
            </w:r>
          </w:p>
        </w:tc>
        <w:tc>
          <w:tcPr>
            <w:tcW w:w="1018" w:type="dxa"/>
            <w:tcBorders>
              <w:top w:val="nil"/>
              <w:left w:val="nil"/>
              <w:bottom w:val="single" w:sz="4" w:space="0" w:color="auto"/>
              <w:right w:val="single" w:sz="4" w:space="0" w:color="auto"/>
            </w:tcBorders>
            <w:shd w:val="clear" w:color="auto" w:fill="auto"/>
            <w:noWrap/>
            <w:vAlign w:val="center"/>
            <w:hideMark/>
          </w:tcPr>
          <w:p w:rsidR="00C47249" w:rsidRPr="001816C3" w:rsidP="0087252A" w14:paraId="56C6AA58" w14:textId="77777777">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 xml:space="preserve">$12.18 </w:t>
            </w:r>
          </w:p>
        </w:tc>
        <w:tc>
          <w:tcPr>
            <w:tcW w:w="1232" w:type="dxa"/>
            <w:tcBorders>
              <w:top w:val="nil"/>
              <w:left w:val="nil"/>
              <w:bottom w:val="single" w:sz="4" w:space="0" w:color="auto"/>
              <w:right w:val="single" w:sz="4" w:space="0" w:color="auto"/>
            </w:tcBorders>
            <w:shd w:val="clear" w:color="auto" w:fill="auto"/>
            <w:vAlign w:val="center"/>
            <w:hideMark/>
          </w:tcPr>
          <w:p w:rsidR="00C47249" w:rsidRPr="001816C3" w:rsidP="00ED67C7" w14:paraId="1E81D673" w14:textId="77777777">
            <w:pPr>
              <w:spacing w:after="0" w:line="240" w:lineRule="auto"/>
              <w:ind w:left="-51" w:right="-195"/>
              <w:rPr>
                <w:rFonts w:ascii="Calibri" w:eastAsia="Times New Roman" w:hAnsi="Calibri" w:cs="Calibri"/>
                <w:color w:val="000000"/>
              </w:rPr>
            </w:pPr>
            <w:r w:rsidRPr="001816C3">
              <w:rPr>
                <w:rFonts w:ascii="Calibri" w:eastAsia="Times New Roman" w:hAnsi="Calibri" w:cs="Calibri"/>
                <w:color w:val="000000"/>
              </w:rPr>
              <w:t xml:space="preserve">$48.18 </w:t>
            </w:r>
          </w:p>
        </w:tc>
        <w:tc>
          <w:tcPr>
            <w:tcW w:w="1620" w:type="dxa"/>
            <w:tcBorders>
              <w:top w:val="nil"/>
              <w:left w:val="nil"/>
              <w:bottom w:val="single" w:sz="4" w:space="0" w:color="auto"/>
              <w:right w:val="single" w:sz="4" w:space="0" w:color="auto"/>
            </w:tcBorders>
            <w:shd w:val="clear" w:color="auto" w:fill="auto"/>
            <w:vAlign w:val="center"/>
            <w:hideMark/>
          </w:tcPr>
          <w:p w:rsidR="00C47249" w:rsidRPr="001816C3" w:rsidP="00ED67C7" w14:paraId="760CC381" w14:textId="77777777">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C47249" w:rsidRPr="001816C3" w:rsidP="00ED67C7" w14:paraId="62B521E0" w14:textId="77777777">
            <w:pPr>
              <w:spacing w:after="0" w:line="240" w:lineRule="auto"/>
              <w:ind w:left="-17" w:right="-195"/>
              <w:rPr>
                <w:rFonts w:ascii="Calibri" w:eastAsia="Times New Roman" w:hAnsi="Calibri" w:cs="Calibri"/>
                <w:color w:val="000000"/>
              </w:rPr>
            </w:pPr>
            <w:r w:rsidRPr="001816C3">
              <w:rPr>
                <w:rFonts w:ascii="Calibri" w:eastAsia="Times New Roman" w:hAnsi="Calibri" w:cs="Calibri"/>
                <w:color w:val="000000"/>
              </w:rPr>
              <w:t xml:space="preserve">$9.64 </w:t>
            </w:r>
          </w:p>
        </w:tc>
        <w:tc>
          <w:tcPr>
            <w:tcW w:w="1440" w:type="dxa"/>
            <w:tcBorders>
              <w:top w:val="nil"/>
              <w:left w:val="nil"/>
              <w:bottom w:val="single" w:sz="4" w:space="0" w:color="auto"/>
              <w:right w:val="single" w:sz="4" w:space="0" w:color="auto"/>
            </w:tcBorders>
            <w:shd w:val="clear" w:color="auto" w:fill="auto"/>
            <w:vAlign w:val="center"/>
            <w:hideMark/>
          </w:tcPr>
          <w:p w:rsidR="00C47249" w:rsidRPr="001816C3" w:rsidP="00ED67C7" w14:paraId="59E16B82" w14:textId="77777777">
            <w:pPr>
              <w:spacing w:after="0" w:line="240" w:lineRule="auto"/>
              <w:ind w:left="-21" w:right="-195"/>
              <w:rPr>
                <w:rFonts w:ascii="Calibri" w:eastAsia="Times New Roman" w:hAnsi="Calibri" w:cs="Calibri"/>
                <w:color w:val="000000"/>
              </w:rPr>
            </w:pPr>
            <w:r w:rsidRPr="001816C3">
              <w:rPr>
                <w:rFonts w:ascii="Calibri" w:eastAsia="Times New Roman" w:hAnsi="Calibri" w:cs="Calibri"/>
                <w:color w:val="000000"/>
              </w:rPr>
              <w:t xml:space="preserve">$57.82 </w:t>
            </w:r>
          </w:p>
        </w:tc>
      </w:tr>
      <w:tr w14:paraId="1185B94E" w14:textId="77777777" w:rsidTr="009042A9">
        <w:tblPrEx>
          <w:tblW w:w="0" w:type="auto"/>
          <w:tblInd w:w="113" w:type="dxa"/>
          <w:tblLayout w:type="fixed"/>
          <w:tblLook w:val="04A0"/>
        </w:tblPrEx>
        <w:trPr>
          <w:trHeight w:val="102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C47249" w:rsidRPr="001816C3" w:rsidP="00961C50" w14:paraId="19E32E40" w14:textId="77777777">
            <w:pPr>
              <w:spacing w:after="0" w:line="240" w:lineRule="auto"/>
              <w:rPr>
                <w:rFonts w:eastAsia="Times New Roman" w:cstheme="minorHAnsi"/>
              </w:rPr>
            </w:pPr>
            <w:r w:rsidRPr="001816C3">
              <w:rPr>
                <w:rFonts w:eastAsia="Times New Roman" w:cstheme="minorHAnsi"/>
              </w:rPr>
              <w:t>Production Worker / Clerical</w:t>
            </w:r>
          </w:p>
        </w:tc>
        <w:tc>
          <w:tcPr>
            <w:tcW w:w="2700" w:type="dxa"/>
            <w:tcBorders>
              <w:top w:val="nil"/>
              <w:left w:val="nil"/>
              <w:bottom w:val="single" w:sz="4" w:space="0" w:color="auto"/>
              <w:right w:val="single" w:sz="4" w:space="0" w:color="auto"/>
            </w:tcBorders>
            <w:shd w:val="clear" w:color="auto" w:fill="auto"/>
            <w:vAlign w:val="center"/>
            <w:hideMark/>
          </w:tcPr>
          <w:p w:rsidR="00C47249" w:rsidRPr="001816C3" w:rsidP="00961C50" w14:paraId="3B720599" w14:textId="77777777">
            <w:pPr>
              <w:spacing w:after="0" w:line="240" w:lineRule="auto"/>
              <w:rPr>
                <w:rFonts w:eastAsia="Times New Roman" w:cstheme="minorHAnsi"/>
              </w:rPr>
            </w:pPr>
            <w:r w:rsidRPr="001816C3">
              <w:rPr>
                <w:rFonts w:eastAsia="Times New Roman" w:cstheme="minorHAnsi"/>
              </w:rPr>
              <w:t>BLS OEWS, National Industry-Specific Estimates, 813400, Secretaries and Administrative Assistants</w:t>
            </w:r>
          </w:p>
        </w:tc>
        <w:tc>
          <w:tcPr>
            <w:tcW w:w="1080" w:type="dxa"/>
            <w:tcBorders>
              <w:top w:val="nil"/>
              <w:left w:val="nil"/>
              <w:bottom w:val="single" w:sz="4" w:space="0" w:color="auto"/>
              <w:right w:val="single" w:sz="4" w:space="0" w:color="auto"/>
            </w:tcBorders>
            <w:shd w:val="clear" w:color="auto" w:fill="auto"/>
            <w:vAlign w:val="center"/>
            <w:hideMark/>
          </w:tcPr>
          <w:p w:rsidR="00C47249" w:rsidRPr="001816C3" w:rsidP="00ED67C7" w14:paraId="420F9839" w14:textId="77777777">
            <w:pPr>
              <w:spacing w:after="0" w:line="240" w:lineRule="auto"/>
              <w:ind w:left="-20" w:right="-195"/>
              <w:rPr>
                <w:rFonts w:ascii="Calibri" w:eastAsia="Times New Roman" w:hAnsi="Calibri" w:cs="Calibri"/>
                <w:color w:val="000000"/>
              </w:rPr>
            </w:pPr>
            <w:r w:rsidRPr="001816C3">
              <w:rPr>
                <w:rFonts w:ascii="Calibri" w:eastAsia="Times New Roman" w:hAnsi="Calibri" w:cs="Calibri"/>
                <w:color w:val="000000"/>
              </w:rPr>
              <w:t xml:space="preserve">May/June </w:t>
            </w:r>
          </w:p>
          <w:p w:rsidR="00C47249" w:rsidRPr="001816C3" w:rsidP="00ED67C7" w14:paraId="204D88D7" w14:textId="6B4FACA7">
            <w:pPr>
              <w:spacing w:after="0" w:line="240" w:lineRule="auto"/>
              <w:ind w:left="-20" w:right="-195"/>
              <w:rPr>
                <w:rFonts w:ascii="Calibri" w:eastAsia="Times New Roman" w:hAnsi="Calibri" w:cs="Calibri"/>
                <w:color w:val="000000"/>
              </w:rPr>
            </w:pPr>
            <w:r w:rsidRPr="001816C3">
              <w:rPr>
                <w:rFonts w:ascii="Calibri" w:eastAsia="Times New Roman" w:hAnsi="Calibri" w:cs="Calibri"/>
                <w:color w:val="000000"/>
              </w:rPr>
              <w:t>2023</w:t>
            </w:r>
          </w:p>
        </w:tc>
        <w:tc>
          <w:tcPr>
            <w:tcW w:w="1170" w:type="dxa"/>
            <w:tcBorders>
              <w:top w:val="nil"/>
              <w:left w:val="nil"/>
              <w:bottom w:val="single" w:sz="4" w:space="0" w:color="auto"/>
              <w:right w:val="single" w:sz="4" w:space="0" w:color="auto"/>
            </w:tcBorders>
            <w:shd w:val="clear" w:color="auto" w:fill="auto"/>
            <w:vAlign w:val="center"/>
            <w:hideMark/>
          </w:tcPr>
          <w:p w:rsidR="00C47249" w:rsidRPr="001816C3" w:rsidP="00ED67C7" w14:paraId="598753CE" w14:textId="77777777">
            <w:pPr>
              <w:spacing w:after="0" w:line="240" w:lineRule="auto"/>
              <w:ind w:left="-22" w:right="-195"/>
              <w:rPr>
                <w:rFonts w:ascii="Calibri" w:eastAsia="Times New Roman" w:hAnsi="Calibri" w:cs="Calibri"/>
                <w:color w:val="000000"/>
              </w:rPr>
            </w:pPr>
            <w:r w:rsidRPr="001816C3">
              <w:rPr>
                <w:rFonts w:ascii="Calibri" w:eastAsia="Times New Roman" w:hAnsi="Calibri" w:cs="Calibri"/>
                <w:color w:val="000000"/>
              </w:rPr>
              <w:t xml:space="preserve">$21.05 </w:t>
            </w:r>
          </w:p>
        </w:tc>
        <w:tc>
          <w:tcPr>
            <w:tcW w:w="1018" w:type="dxa"/>
            <w:tcBorders>
              <w:top w:val="nil"/>
              <w:left w:val="nil"/>
              <w:bottom w:val="single" w:sz="4" w:space="0" w:color="auto"/>
              <w:right w:val="single" w:sz="4" w:space="0" w:color="auto"/>
            </w:tcBorders>
            <w:shd w:val="clear" w:color="auto" w:fill="auto"/>
            <w:noWrap/>
            <w:vAlign w:val="center"/>
            <w:hideMark/>
          </w:tcPr>
          <w:p w:rsidR="00C47249" w:rsidRPr="001816C3" w:rsidP="00ED67C7" w14:paraId="37A6EC6A" w14:textId="77777777">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 xml:space="preserve">$7.12 </w:t>
            </w:r>
          </w:p>
        </w:tc>
        <w:tc>
          <w:tcPr>
            <w:tcW w:w="1232" w:type="dxa"/>
            <w:tcBorders>
              <w:top w:val="nil"/>
              <w:left w:val="nil"/>
              <w:bottom w:val="single" w:sz="4" w:space="0" w:color="auto"/>
              <w:right w:val="single" w:sz="4" w:space="0" w:color="auto"/>
            </w:tcBorders>
            <w:shd w:val="clear" w:color="auto" w:fill="auto"/>
            <w:vAlign w:val="center"/>
            <w:hideMark/>
          </w:tcPr>
          <w:p w:rsidR="00C47249" w:rsidRPr="001816C3" w:rsidP="00ED67C7" w14:paraId="19C86B89" w14:textId="77777777">
            <w:pPr>
              <w:spacing w:after="0" w:line="240" w:lineRule="auto"/>
              <w:ind w:left="39" w:right="-195"/>
              <w:rPr>
                <w:rFonts w:ascii="Calibri" w:eastAsia="Times New Roman" w:hAnsi="Calibri" w:cs="Calibri"/>
                <w:color w:val="000000"/>
              </w:rPr>
            </w:pPr>
            <w:r w:rsidRPr="001816C3">
              <w:rPr>
                <w:rFonts w:ascii="Calibri" w:eastAsia="Times New Roman" w:hAnsi="Calibri" w:cs="Calibri"/>
                <w:color w:val="000000"/>
              </w:rPr>
              <w:t xml:space="preserve">$28.17 </w:t>
            </w:r>
          </w:p>
        </w:tc>
        <w:tc>
          <w:tcPr>
            <w:tcW w:w="1620" w:type="dxa"/>
            <w:tcBorders>
              <w:top w:val="nil"/>
              <w:left w:val="nil"/>
              <w:bottom w:val="single" w:sz="4" w:space="0" w:color="auto"/>
              <w:right w:val="single" w:sz="4" w:space="0" w:color="auto"/>
            </w:tcBorders>
            <w:shd w:val="clear" w:color="auto" w:fill="auto"/>
            <w:vAlign w:val="center"/>
            <w:hideMark/>
          </w:tcPr>
          <w:p w:rsidR="00C47249" w:rsidRPr="001816C3" w:rsidP="00ED67C7" w14:paraId="38D2361F" w14:textId="77777777">
            <w:pPr>
              <w:spacing w:after="0" w:line="240" w:lineRule="auto"/>
              <w:ind w:right="-195"/>
              <w:rPr>
                <w:rFonts w:ascii="Calibri" w:eastAsia="Times New Roman" w:hAnsi="Calibri" w:cs="Calibri"/>
                <w:color w:val="000000"/>
              </w:rPr>
            </w:pPr>
            <w:r w:rsidRPr="001816C3">
              <w:rPr>
                <w:rFonts w:ascii="Calibri" w:eastAsia="Times New Roman" w:hAnsi="Calibri"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C47249" w:rsidRPr="001816C3" w:rsidP="00ED67C7" w14:paraId="73730472" w14:textId="77777777">
            <w:pPr>
              <w:spacing w:after="0" w:line="240" w:lineRule="auto"/>
              <w:ind w:left="-17" w:right="-195"/>
              <w:rPr>
                <w:rFonts w:ascii="Calibri" w:eastAsia="Times New Roman" w:hAnsi="Calibri" w:cs="Calibri"/>
                <w:color w:val="000000"/>
              </w:rPr>
            </w:pPr>
            <w:r w:rsidRPr="001816C3">
              <w:rPr>
                <w:rFonts w:ascii="Calibri" w:eastAsia="Times New Roman" w:hAnsi="Calibri" w:cs="Calibri"/>
                <w:color w:val="000000"/>
              </w:rPr>
              <w:t xml:space="preserve">$5.63 </w:t>
            </w:r>
          </w:p>
        </w:tc>
        <w:tc>
          <w:tcPr>
            <w:tcW w:w="1440" w:type="dxa"/>
            <w:tcBorders>
              <w:top w:val="nil"/>
              <w:left w:val="nil"/>
              <w:bottom w:val="single" w:sz="4" w:space="0" w:color="auto"/>
              <w:right w:val="single" w:sz="4" w:space="0" w:color="auto"/>
            </w:tcBorders>
            <w:shd w:val="clear" w:color="auto" w:fill="auto"/>
            <w:vAlign w:val="center"/>
            <w:hideMark/>
          </w:tcPr>
          <w:p w:rsidR="00C47249" w:rsidRPr="001816C3" w:rsidP="00ED67C7" w14:paraId="1E7E8AAB" w14:textId="77777777">
            <w:pPr>
              <w:spacing w:after="0" w:line="240" w:lineRule="auto"/>
              <w:ind w:left="-21" w:right="-195"/>
              <w:rPr>
                <w:rFonts w:ascii="Calibri" w:eastAsia="Times New Roman" w:hAnsi="Calibri" w:cs="Calibri"/>
                <w:color w:val="000000"/>
              </w:rPr>
            </w:pPr>
            <w:r w:rsidRPr="001816C3">
              <w:rPr>
                <w:rFonts w:ascii="Calibri" w:eastAsia="Times New Roman" w:hAnsi="Calibri" w:cs="Calibri"/>
                <w:color w:val="000000"/>
              </w:rPr>
              <w:t xml:space="preserve">$33.81 </w:t>
            </w:r>
          </w:p>
        </w:tc>
      </w:tr>
      <w:tr w14:paraId="477815FB" w14:textId="77777777" w:rsidTr="00D83BC3">
        <w:tblPrEx>
          <w:tblW w:w="0" w:type="auto"/>
          <w:tblInd w:w="113" w:type="dxa"/>
          <w:tblLayout w:type="fixed"/>
          <w:tblLook w:val="04A0"/>
        </w:tblPrEx>
        <w:trPr>
          <w:trHeight w:val="300"/>
        </w:trPr>
        <w:tc>
          <w:tcPr>
            <w:tcW w:w="1277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0654C" w:rsidRPr="001816C3" w:rsidP="00961C50" w14:paraId="238C7B82" w14:textId="77777777">
            <w:pPr>
              <w:spacing w:after="0" w:line="240" w:lineRule="auto"/>
              <w:rPr>
                <w:rFonts w:eastAsia="Times New Roman" w:cstheme="minorHAnsi"/>
                <w:b/>
                <w:bCs/>
                <w:color w:val="000000"/>
                <w:sz w:val="18"/>
                <w:szCs w:val="18"/>
              </w:rPr>
            </w:pPr>
            <w:r w:rsidRPr="001816C3">
              <w:rPr>
                <w:rFonts w:eastAsia="Times New Roman" w:cstheme="minorHAnsi"/>
                <w:b/>
                <w:bCs/>
                <w:color w:val="000000"/>
                <w:sz w:val="18"/>
                <w:szCs w:val="18"/>
              </w:rPr>
              <w:t>Footnotes</w:t>
            </w:r>
          </w:p>
          <w:p w:rsidR="007E4991" w:rsidRPr="001816C3" w:rsidP="00961C50" w14:paraId="66893DE3" w14:textId="735130E3">
            <w:pPr>
              <w:spacing w:after="0" w:line="240" w:lineRule="auto"/>
              <w:rPr>
                <w:rFonts w:eastAsia="Times New Roman" w:cstheme="minorHAnsi"/>
                <w:color w:val="000000"/>
                <w:sz w:val="18"/>
                <w:szCs w:val="18"/>
              </w:rPr>
            </w:pPr>
            <w:r w:rsidRPr="001816C3">
              <w:rPr>
                <w:rFonts w:eastAsia="Times New Roman" w:cstheme="minorHAnsi"/>
                <w:color w:val="000000"/>
                <w:sz w:val="18"/>
                <w:szCs w:val="18"/>
                <w:vertAlign w:val="superscript"/>
              </w:rPr>
              <w:t>a</w:t>
            </w:r>
            <w:r w:rsidRPr="001816C3">
              <w:rPr>
                <w:rFonts w:eastAsia="Times New Roman" w:cstheme="minorHAnsi"/>
                <w:color w:val="000000"/>
                <w:sz w:val="18"/>
                <w:szCs w:val="18"/>
              </w:rPr>
              <w:t xml:space="preserve"> Source</w:t>
            </w:r>
            <w:r w:rsidRPr="001816C3" w:rsidR="00A225E6">
              <w:rPr>
                <w:rFonts w:eastAsia="Times New Roman" w:cstheme="minorHAnsi"/>
                <w:color w:val="000000"/>
                <w:sz w:val="18"/>
                <w:szCs w:val="18"/>
              </w:rPr>
              <w:t xml:space="preserve"> of wage: </w:t>
            </w:r>
            <w:r w:rsidRPr="001816C3" w:rsidR="002C65DF">
              <w:rPr>
                <w:rFonts w:eastAsia="Times New Roman" w:cstheme="minorHAnsi"/>
                <w:color w:val="000000"/>
                <w:sz w:val="18"/>
                <w:szCs w:val="18"/>
              </w:rPr>
              <w:t xml:space="preserve">U.S. Bureau of Labor Statistics. </w:t>
            </w:r>
            <w:r w:rsidRPr="001816C3" w:rsidR="00123749">
              <w:rPr>
                <w:rFonts w:eastAsia="Times New Roman" w:cstheme="minorHAnsi"/>
                <w:color w:val="000000"/>
                <w:sz w:val="18"/>
                <w:szCs w:val="18"/>
              </w:rPr>
              <w:t>Occupational Employment and Wage Statistics</w:t>
            </w:r>
            <w:r w:rsidRPr="001816C3">
              <w:rPr>
                <w:rFonts w:eastAsia="Times New Roman" w:cstheme="minorHAnsi"/>
                <w:color w:val="000000"/>
                <w:sz w:val="18"/>
                <w:szCs w:val="18"/>
              </w:rPr>
              <w:t xml:space="preserve">. </w:t>
            </w:r>
            <w:r w:rsidRPr="001816C3" w:rsidR="002C65DF">
              <w:rPr>
                <w:rFonts w:eastAsia="Times New Roman" w:cstheme="minorHAnsi"/>
                <w:color w:val="000000"/>
                <w:sz w:val="18"/>
                <w:szCs w:val="18"/>
              </w:rPr>
              <w:t>May 2023 National Industry-Specific Occupational Employment and Wage Estimates NAICS 813400 - Civic and Social Organizations.</w:t>
            </w:r>
            <w:r w:rsidRPr="001816C3">
              <w:rPr>
                <w:rFonts w:eastAsia="Times New Roman" w:cstheme="minorHAnsi"/>
                <w:color w:val="000000"/>
                <w:sz w:val="18"/>
                <w:szCs w:val="18"/>
              </w:rPr>
              <w:t xml:space="preserve"> </w:t>
            </w:r>
            <w:r w:rsidRPr="001816C3" w:rsidR="001C13CA">
              <w:rPr>
                <w:rFonts w:eastAsia="Times New Roman" w:cstheme="minorHAnsi"/>
                <w:color w:val="000000"/>
                <w:sz w:val="18"/>
                <w:szCs w:val="18"/>
              </w:rPr>
              <w:t>(</w:t>
            </w:r>
            <w:hyperlink r:id="rId29" w:anchor="21-0000" w:history="1">
              <w:r w:rsidRPr="001816C3" w:rsidR="00F105FD">
                <w:rPr>
                  <w:rStyle w:val="Hyperlink"/>
                  <w:rFonts w:eastAsia="Times New Roman" w:cstheme="minorHAnsi"/>
                  <w:sz w:val="18"/>
                  <w:szCs w:val="18"/>
                </w:rPr>
                <w:t>https://www.bls.gov/oes/current/naics4_813400.htm#21-0000</w:t>
              </w:r>
            </w:hyperlink>
            <w:r w:rsidRPr="001816C3" w:rsidR="001C13CA">
              <w:rPr>
                <w:rFonts w:eastAsia="Times New Roman" w:cstheme="minorHAnsi"/>
                <w:color w:val="000000"/>
                <w:sz w:val="18"/>
                <w:szCs w:val="18"/>
              </w:rPr>
              <w:t>)</w:t>
            </w:r>
          </w:p>
          <w:p w:rsidR="00025A13" w:rsidRPr="001816C3" w:rsidP="00961C50" w14:paraId="593F3E2B" w14:textId="4096FA31">
            <w:pPr>
              <w:spacing w:after="0" w:line="240" w:lineRule="auto"/>
              <w:rPr>
                <w:rFonts w:eastAsia="Times New Roman" w:cstheme="minorHAnsi"/>
                <w:color w:val="000000"/>
                <w:sz w:val="18"/>
                <w:szCs w:val="18"/>
              </w:rPr>
            </w:pPr>
            <w:r w:rsidRPr="001816C3">
              <w:rPr>
                <w:rFonts w:eastAsia="Times New Roman" w:cstheme="minorHAnsi"/>
                <w:color w:val="000000"/>
                <w:sz w:val="18"/>
                <w:szCs w:val="18"/>
                <w:vertAlign w:val="superscript"/>
              </w:rPr>
              <w:t>b</w:t>
            </w:r>
            <w:r w:rsidRPr="001816C3">
              <w:rPr>
                <w:rFonts w:eastAsia="Times New Roman" w:cstheme="minorHAnsi"/>
                <w:color w:val="000000"/>
                <w:sz w:val="18"/>
                <w:szCs w:val="18"/>
              </w:rPr>
              <w:t xml:space="preserve"> Fringe is calculated </w:t>
            </w:r>
            <w:r w:rsidRPr="001816C3" w:rsidR="00180C9F">
              <w:rPr>
                <w:rFonts w:eastAsia="Times New Roman" w:cstheme="minorHAnsi"/>
                <w:color w:val="000000"/>
                <w:sz w:val="18"/>
                <w:szCs w:val="18"/>
              </w:rPr>
              <w:t>using</w:t>
            </w:r>
            <w:r w:rsidRPr="001816C3" w:rsidR="00942E5D">
              <w:rPr>
                <w:rFonts w:eastAsia="Times New Roman" w:cstheme="minorHAnsi"/>
                <w:color w:val="000000"/>
                <w:sz w:val="18"/>
                <w:szCs w:val="18"/>
              </w:rPr>
              <w:t xml:space="preserve"> total benefits as a percent of wage</w:t>
            </w:r>
            <w:r w:rsidRPr="001816C3" w:rsidR="00C47249">
              <w:rPr>
                <w:rFonts w:eastAsia="Times New Roman" w:cstheme="minorHAnsi"/>
                <w:color w:val="000000"/>
                <w:sz w:val="18"/>
                <w:szCs w:val="18"/>
              </w:rPr>
              <w:t>. Source:</w:t>
            </w:r>
            <w:r w:rsidRPr="001816C3">
              <w:rPr>
                <w:rFonts w:eastAsia="Times New Roman" w:cstheme="minorHAnsi"/>
                <w:color w:val="000000"/>
                <w:sz w:val="18"/>
                <w:szCs w:val="18"/>
              </w:rPr>
              <w:t xml:space="preserve"> </w:t>
            </w:r>
            <w:r w:rsidRPr="001816C3" w:rsidR="002C65DF">
              <w:rPr>
                <w:rFonts w:eastAsia="Times New Roman" w:cstheme="minorHAnsi"/>
                <w:color w:val="000000"/>
                <w:sz w:val="18"/>
                <w:szCs w:val="18"/>
              </w:rPr>
              <w:t xml:space="preserve">U.S. Bureau of Labor Statistics. </w:t>
            </w:r>
            <w:r w:rsidRPr="001816C3">
              <w:rPr>
                <w:rFonts w:eastAsia="Times New Roman" w:cstheme="minorHAnsi"/>
                <w:color w:val="000000"/>
                <w:sz w:val="18"/>
                <w:szCs w:val="18"/>
              </w:rPr>
              <w:t xml:space="preserve">Employer Costs for Employee Compensation. Table 4. Private industry workers by occupational and industry group. </w:t>
            </w:r>
            <w:r w:rsidRPr="001816C3" w:rsidR="00C47249">
              <w:rPr>
                <w:rFonts w:eastAsia="Times New Roman" w:cstheme="minorHAnsi"/>
                <w:color w:val="000000"/>
                <w:sz w:val="18"/>
                <w:szCs w:val="18"/>
              </w:rPr>
              <w:t>June</w:t>
            </w:r>
            <w:r w:rsidRPr="001816C3">
              <w:rPr>
                <w:rFonts w:eastAsia="Times New Roman" w:cstheme="minorHAnsi"/>
                <w:color w:val="000000"/>
                <w:sz w:val="18"/>
                <w:szCs w:val="18"/>
              </w:rPr>
              <w:t xml:space="preserve"> 202</w:t>
            </w:r>
            <w:r w:rsidRPr="001816C3" w:rsidR="00C47249">
              <w:rPr>
                <w:rFonts w:eastAsia="Times New Roman" w:cstheme="minorHAnsi"/>
                <w:color w:val="000000"/>
                <w:sz w:val="18"/>
                <w:szCs w:val="18"/>
              </w:rPr>
              <w:t>3</w:t>
            </w:r>
            <w:r w:rsidRPr="001816C3">
              <w:rPr>
                <w:rFonts w:eastAsia="Times New Roman" w:cstheme="minorHAnsi"/>
                <w:color w:val="000000"/>
                <w:sz w:val="18"/>
                <w:szCs w:val="18"/>
              </w:rPr>
              <w:t xml:space="preserve">. </w:t>
            </w:r>
            <w:r w:rsidRPr="001816C3" w:rsidR="0040784F">
              <w:rPr>
                <w:rFonts w:eastAsia="Times New Roman" w:cstheme="minorHAnsi"/>
                <w:color w:val="000000"/>
                <w:sz w:val="18"/>
                <w:szCs w:val="18"/>
              </w:rPr>
              <w:t>Other Services Industr</w:t>
            </w:r>
            <w:r w:rsidRPr="001816C3" w:rsidR="00D3084F">
              <w:rPr>
                <w:rFonts w:eastAsia="Times New Roman" w:cstheme="minorHAnsi"/>
                <w:color w:val="000000"/>
                <w:sz w:val="18"/>
                <w:szCs w:val="18"/>
              </w:rPr>
              <w:t xml:space="preserve">y. </w:t>
            </w:r>
            <w:r w:rsidRPr="001816C3" w:rsidR="00CF5FCE">
              <w:rPr>
                <w:rFonts w:eastAsia="Times New Roman" w:cstheme="minorHAnsi"/>
                <w:color w:val="000000"/>
                <w:sz w:val="18"/>
                <w:szCs w:val="18"/>
              </w:rPr>
              <w:t>(</w:t>
            </w:r>
            <w:hyperlink r:id="rId30" w:history="1">
              <w:r w:rsidRPr="001816C3" w:rsidR="00B200D7">
                <w:rPr>
                  <w:rStyle w:val="Hyperlink"/>
                  <w:rFonts w:eastAsia="Times New Roman" w:cstheme="minorHAnsi"/>
                  <w:sz w:val="18"/>
                  <w:szCs w:val="18"/>
                </w:rPr>
                <w:t>https://www.bls.gov/news.release/archives/ecec_09122023.pdf</w:t>
              </w:r>
            </w:hyperlink>
            <w:r w:rsidRPr="001816C3" w:rsidR="00CF5FCE">
              <w:rPr>
                <w:rFonts w:eastAsia="Times New Roman" w:cstheme="minorHAnsi"/>
                <w:color w:val="000000"/>
                <w:sz w:val="18"/>
                <w:szCs w:val="18"/>
              </w:rPr>
              <w:t>)</w:t>
            </w:r>
          </w:p>
          <w:p w:rsidR="00A225E6" w:rsidRPr="001816C3" w:rsidP="00961C50" w14:paraId="2930C436" w14:textId="5764957E">
            <w:pPr>
              <w:spacing w:after="0" w:line="240" w:lineRule="auto"/>
              <w:rPr>
                <w:rFonts w:eastAsia="Times New Roman" w:cstheme="minorHAnsi"/>
                <w:color w:val="000000"/>
                <w:sz w:val="18"/>
                <w:szCs w:val="18"/>
              </w:rPr>
            </w:pPr>
            <w:r w:rsidRPr="001816C3">
              <w:rPr>
                <w:rFonts w:eastAsia="Times New Roman" w:cstheme="minorHAnsi"/>
                <w:color w:val="000000"/>
                <w:sz w:val="18"/>
                <w:szCs w:val="18"/>
                <w:vertAlign w:val="superscript"/>
              </w:rPr>
              <w:t>c</w:t>
            </w:r>
            <w:r w:rsidRPr="001816C3">
              <w:rPr>
                <w:rFonts w:eastAsia="Times New Roman" w:cstheme="minorHAnsi"/>
                <w:color w:val="000000"/>
                <w:sz w:val="18"/>
                <w:szCs w:val="18"/>
              </w:rPr>
              <w:t xml:space="preserve"> </w:t>
            </w:r>
            <w:r w:rsidRPr="001816C3">
              <w:rPr>
                <w:rFonts w:eastAsia="Times New Roman" w:cstheme="minorHAnsi"/>
                <w:color w:val="000000"/>
                <w:sz w:val="18"/>
                <w:szCs w:val="18"/>
              </w:rPr>
              <w:t>An</w:t>
            </w:r>
            <w:r w:rsidRPr="001816C3">
              <w:rPr>
                <w:rFonts w:eastAsia="Times New Roman" w:cstheme="minorHAnsi"/>
                <w:color w:val="000000"/>
                <w:sz w:val="18"/>
                <w:szCs w:val="18"/>
              </w:rPr>
              <w:t xml:space="preserve"> overhead rate of 20% is used based on assumptions in </w:t>
            </w:r>
            <w:r w:rsidRPr="001816C3" w:rsidR="00C57AA9">
              <w:rPr>
                <w:rFonts w:eastAsia="Times New Roman" w:cstheme="minorHAnsi"/>
                <w:color w:val="000000"/>
                <w:sz w:val="18"/>
                <w:szCs w:val="18"/>
              </w:rPr>
              <w:t xml:space="preserve">EPA’s </w:t>
            </w:r>
            <w:r w:rsidRPr="001816C3">
              <w:rPr>
                <w:rFonts w:eastAsia="Times New Roman" w:cstheme="minorHAnsi"/>
                <w:color w:val="000000"/>
                <w:sz w:val="18"/>
                <w:szCs w:val="18"/>
              </w:rPr>
              <w:t>Handbook on Valuing Changes in Time Use Induced by Regulatory Requirements and Other U.S. EPA Actions</w:t>
            </w:r>
          </w:p>
        </w:tc>
      </w:tr>
    </w:tbl>
    <w:p w:rsidR="00C04A8F" w:rsidRPr="001816C3" w:rsidP="00961C50" w14:paraId="7F32217E" w14:textId="77777777">
      <w:pPr>
        <w:spacing w:after="0" w:line="240" w:lineRule="auto"/>
        <w:ind w:left="-90"/>
        <w:rPr>
          <w:rFonts w:ascii="Calibri" w:hAnsi="Calibri" w:cs="Calibri"/>
          <w:i/>
          <w:iCs/>
        </w:rPr>
      </w:pPr>
    </w:p>
    <w:p w:rsidR="00822B54" w:rsidRPr="001816C3" w:rsidP="00961C50" w14:paraId="4FC23256" w14:textId="77777777">
      <w:pPr>
        <w:spacing w:after="0" w:line="240" w:lineRule="auto"/>
        <w:rPr>
          <w:rFonts w:ascii="Calibri" w:hAnsi="Calibri" w:cs="Calibri"/>
        </w:rPr>
      </w:pPr>
      <w:r w:rsidRPr="001816C3">
        <w:rPr>
          <w:rFonts w:ascii="Calibri" w:hAnsi="Calibri" w:cs="Calibri"/>
        </w:rPr>
        <w:t xml:space="preserve"> </w:t>
      </w:r>
    </w:p>
    <w:p w:rsidR="00822B54" w:rsidRPr="001816C3" w:rsidP="00961C50" w14:paraId="2903740E" w14:textId="77777777">
      <w:pPr>
        <w:spacing w:after="0" w:line="240" w:lineRule="auto"/>
        <w:rPr>
          <w:rFonts w:ascii="Calibri" w:hAnsi="Calibri" w:cs="Calibri"/>
        </w:rPr>
      </w:pPr>
    </w:p>
    <w:tbl>
      <w:tblPr>
        <w:tblStyle w:val="TableGrid"/>
        <w:tblW w:w="0" w:type="auto"/>
        <w:tblLook w:val="04A0"/>
      </w:tblPr>
      <w:tblGrid>
        <w:gridCol w:w="2245"/>
        <w:gridCol w:w="6840"/>
      </w:tblGrid>
      <w:tr w14:paraId="737438CF" w14:textId="77777777" w:rsidTr="000E24B6">
        <w:tblPrEx>
          <w:tblW w:w="0" w:type="auto"/>
          <w:tblLook w:val="04A0"/>
        </w:tblPrEx>
        <w:trPr>
          <w:trHeight w:val="512"/>
        </w:trPr>
        <w:tc>
          <w:tcPr>
            <w:tcW w:w="9085" w:type="dxa"/>
            <w:gridSpan w:val="2"/>
            <w:shd w:val="clear" w:color="auto" w:fill="D9D9D9" w:themeFill="background1" w:themeFillShade="D9"/>
            <w:vAlign w:val="center"/>
          </w:tcPr>
          <w:p w:rsidR="00822B54" w:rsidRPr="001816C3" w:rsidP="00961C50" w14:paraId="04881402" w14:textId="77777777">
            <w:pPr>
              <w:rPr>
                <w:rFonts w:ascii="Calibri" w:hAnsi="Calibri" w:cs="Calibri"/>
                <w:b/>
                <w:bCs/>
              </w:rPr>
            </w:pPr>
            <w:r w:rsidRPr="001816C3">
              <w:rPr>
                <w:rFonts w:ascii="Calibri" w:eastAsia="Times New Roman" w:hAnsi="Calibri" w:cs="Calibri"/>
                <w:b/>
                <w:bCs/>
                <w:color w:val="000000"/>
              </w:rPr>
              <w:t>TABLE 12.3: WEIGHTED LABOR COSTS for Respondents</w:t>
            </w:r>
          </w:p>
        </w:tc>
      </w:tr>
      <w:tr w14:paraId="1E4791CC" w14:textId="77777777" w:rsidTr="000E24B6">
        <w:tblPrEx>
          <w:tblW w:w="0" w:type="auto"/>
          <w:tblLook w:val="04A0"/>
        </w:tblPrEx>
        <w:trPr>
          <w:trHeight w:val="710"/>
        </w:trPr>
        <w:tc>
          <w:tcPr>
            <w:tcW w:w="2245" w:type="dxa"/>
            <w:shd w:val="clear" w:color="auto" w:fill="F2F2F2" w:themeFill="background1" w:themeFillShade="F2"/>
            <w:vAlign w:val="center"/>
          </w:tcPr>
          <w:p w:rsidR="00822B54" w:rsidRPr="001816C3" w:rsidP="00961C50" w14:paraId="4CB46438" w14:textId="77777777">
            <w:pPr>
              <w:rPr>
                <w:rFonts w:ascii="Calibri" w:hAnsi="Calibri" w:cs="Calibri"/>
              </w:rPr>
            </w:pPr>
            <w:r w:rsidRPr="001816C3">
              <w:rPr>
                <w:rFonts w:ascii="Calibri" w:hAnsi="Calibri" w:cs="Calibri"/>
              </w:rPr>
              <w:t>Weighted Hourly Labor Cost</w:t>
            </w:r>
          </w:p>
        </w:tc>
        <w:tc>
          <w:tcPr>
            <w:tcW w:w="6840" w:type="dxa"/>
            <w:shd w:val="clear" w:color="auto" w:fill="F2F2F2" w:themeFill="background1" w:themeFillShade="F2"/>
            <w:vAlign w:val="center"/>
          </w:tcPr>
          <w:p w:rsidR="00822B54" w:rsidRPr="001816C3" w:rsidP="00961C50" w14:paraId="3F759E52" w14:textId="77777777">
            <w:pPr>
              <w:rPr>
                <w:rFonts w:ascii="Calibri" w:hAnsi="Calibri" w:cs="Calibri"/>
              </w:rPr>
            </w:pPr>
            <w:r w:rsidRPr="001816C3">
              <w:rPr>
                <w:rFonts w:ascii="Calibri" w:hAnsi="Calibri" w:cs="Calibri"/>
              </w:rPr>
              <w:t>Explanation of Calculations</w:t>
            </w:r>
          </w:p>
        </w:tc>
      </w:tr>
      <w:tr w14:paraId="3449D9D9" w14:textId="77777777" w:rsidTr="00ED67C7">
        <w:tblPrEx>
          <w:tblW w:w="0" w:type="auto"/>
          <w:tblLook w:val="04A0"/>
        </w:tblPrEx>
        <w:trPr>
          <w:trHeight w:val="1232"/>
        </w:trPr>
        <w:tc>
          <w:tcPr>
            <w:tcW w:w="2245" w:type="dxa"/>
            <w:shd w:val="clear" w:color="auto" w:fill="auto"/>
            <w:vAlign w:val="center"/>
          </w:tcPr>
          <w:p w:rsidR="00822B54" w:rsidRPr="001816C3" w:rsidP="00961C50" w14:paraId="3AB10910" w14:textId="15B45DAF">
            <w:pPr>
              <w:rPr>
                <w:rFonts w:ascii="Calibri" w:hAnsi="Calibri" w:cs="Calibri"/>
              </w:rPr>
            </w:pPr>
            <w:r w:rsidRPr="001816C3">
              <w:rPr>
                <w:rFonts w:ascii="Calibri" w:hAnsi="Calibri" w:cs="Calibri"/>
              </w:rPr>
              <w:t>$</w:t>
            </w:r>
            <w:r w:rsidRPr="001816C3" w:rsidR="004710FD">
              <w:rPr>
                <w:rFonts w:ascii="Calibri" w:hAnsi="Calibri" w:cs="Calibri"/>
              </w:rPr>
              <w:t>57.29</w:t>
            </w:r>
          </w:p>
        </w:tc>
        <w:tc>
          <w:tcPr>
            <w:tcW w:w="6840" w:type="dxa"/>
            <w:shd w:val="clear" w:color="auto" w:fill="auto"/>
            <w:vAlign w:val="center"/>
          </w:tcPr>
          <w:p w:rsidR="00822B54" w:rsidRPr="001816C3" w:rsidP="00961C50" w14:paraId="34B58F5E" w14:textId="3F9D6D86">
            <w:pPr>
              <w:rPr>
                <w:rFonts w:ascii="Calibri" w:eastAsia="Times New Roman" w:hAnsi="Calibri" w:cs="Calibri"/>
                <w:color w:val="000000"/>
              </w:rPr>
            </w:pPr>
            <w:r w:rsidRPr="001816C3">
              <w:rPr>
                <w:rFonts w:ascii="Calibri" w:eastAsia="Times New Roman" w:hAnsi="Calibri" w:cs="Calibri"/>
                <w:color w:val="000000"/>
              </w:rPr>
              <w:t>Weighted Hourly Labor Cost =</w:t>
            </w:r>
            <w:r w:rsidRPr="001816C3">
              <w:rPr>
                <w:rFonts w:ascii="Calibri" w:eastAsia="Times New Roman" w:hAnsi="Calibri" w:cs="Calibri"/>
                <w:color w:val="000000"/>
              </w:rPr>
              <w:br/>
              <w:t>(Wage rate * proportion of hours) calculated for each respondent group (management, technical, clerical/support) and summed.</w:t>
            </w:r>
            <w:r w:rsidRPr="001816C3" w:rsidR="00B97B87">
              <w:rPr>
                <w:rFonts w:ascii="Calibri" w:eastAsia="Times New Roman" w:hAnsi="Calibri" w:cs="Calibri"/>
                <w:color w:val="000000"/>
              </w:rPr>
              <w:t xml:space="preserve"> Wages are rounded to nearest cent in analysis.</w:t>
            </w:r>
          </w:p>
        </w:tc>
      </w:tr>
    </w:tbl>
    <w:p w:rsidR="00822B54" w:rsidRPr="001816C3" w:rsidP="00961C50" w14:paraId="1037255D" w14:textId="77777777">
      <w:pPr>
        <w:spacing w:after="0" w:line="240" w:lineRule="auto"/>
        <w:contextualSpacing/>
        <w:rPr>
          <w:rFonts w:ascii="Calibri" w:hAnsi="Calibri" w:cs="Calibri"/>
        </w:rPr>
      </w:pPr>
    </w:p>
    <w:p w:rsidR="004E3F68" w:rsidRPr="001816C3" w:rsidP="00961C50" w14:paraId="6430054D" w14:textId="77777777">
      <w:pPr>
        <w:spacing w:after="0" w:line="240" w:lineRule="auto"/>
        <w:ind w:left="-90"/>
        <w:contextualSpacing/>
        <w:rPr>
          <w:rFonts w:ascii="Calibri" w:hAnsi="Calibri" w:cs="Calibri"/>
        </w:rPr>
      </w:pPr>
    </w:p>
    <w:p w:rsidR="00822B54" w:rsidRPr="001816C3" w:rsidP="00961C50" w14:paraId="2EA117DC" w14:textId="48140C46">
      <w:pPr>
        <w:spacing w:after="0" w:line="240" w:lineRule="auto"/>
        <w:ind w:left="-90"/>
        <w:contextualSpacing/>
        <w:rPr>
          <w:rFonts w:ascii="Calibri" w:hAnsi="Calibri" w:cs="Calibri"/>
          <w:i/>
          <w:iCs/>
        </w:rPr>
      </w:pPr>
      <w:r w:rsidRPr="001816C3">
        <w:rPr>
          <w:rFonts w:ascii="Calibri" w:hAnsi="Calibri" w:cs="Calibri"/>
          <w:i/>
          <w:iCs/>
        </w:rPr>
        <w:t xml:space="preserve">Total </w:t>
      </w:r>
      <w:r w:rsidRPr="001816C3">
        <w:rPr>
          <w:rFonts w:ascii="Calibri" w:hAnsi="Calibri" w:cs="Calibri"/>
          <w:i/>
          <w:iCs/>
        </w:rPr>
        <w:t>burden calculations (hours and costs) are shown in Section 12.</w:t>
      </w:r>
    </w:p>
    <w:p w:rsidR="00822B54" w:rsidRPr="001816C3" w:rsidP="00961C50" w14:paraId="751D19CD" w14:textId="77777777">
      <w:pPr>
        <w:spacing w:after="0" w:line="240" w:lineRule="auto"/>
        <w:contextualSpacing/>
        <w:rPr>
          <w:rFonts w:ascii="Calibri" w:hAnsi="Calibri" w:cs="Calibri"/>
        </w:rPr>
      </w:pPr>
    </w:p>
    <w:p w:rsidR="00FF3639" w:rsidRPr="001816C3" w:rsidP="00961C50" w14:paraId="1CBF9283" w14:textId="0C99BF28">
      <w:pPr>
        <w:spacing w:after="0" w:line="240" w:lineRule="auto"/>
        <w:rPr>
          <w:rFonts w:ascii="Calibri" w:hAnsi="Calibri" w:cs="Calibri"/>
          <w:b/>
          <w:bCs/>
          <w:sz w:val="32"/>
          <w:szCs w:val="32"/>
        </w:rPr>
      </w:pPr>
      <w:r w:rsidRPr="001816C3">
        <w:rPr>
          <w:rFonts w:ascii="Calibri" w:hAnsi="Calibri" w:cs="Calibri"/>
        </w:rPr>
        <w:br w:type="page"/>
      </w:r>
      <w:r w:rsidRPr="001816C3">
        <w:rPr>
          <w:rFonts w:ascii="Calibri" w:hAnsi="Calibri" w:cs="Calibri"/>
          <w:b/>
          <w:bCs/>
          <w:sz w:val="32"/>
          <w:szCs w:val="32"/>
        </w:rPr>
        <w:t>Appendix 2</w:t>
      </w:r>
    </w:p>
    <w:p w:rsidR="00FF3639" w:rsidRPr="001816C3" w:rsidP="00961C50" w14:paraId="474E2A75" w14:textId="47CB4048">
      <w:pPr>
        <w:spacing w:after="0" w:line="240" w:lineRule="auto"/>
        <w:rPr>
          <w:rFonts w:ascii="Calibri" w:hAnsi="Calibri" w:cs="Calibri"/>
          <w:b/>
          <w:bCs/>
          <w:sz w:val="28"/>
          <w:szCs w:val="28"/>
        </w:rPr>
      </w:pPr>
    </w:p>
    <w:p w:rsidR="00822B54" w:rsidRPr="001816C3" w:rsidP="00961C50" w14:paraId="0CAF02B8" w14:textId="19D624CA">
      <w:pPr>
        <w:spacing w:after="0" w:line="240" w:lineRule="auto"/>
        <w:ind w:left="-90"/>
        <w:rPr>
          <w:rFonts w:ascii="Calibri" w:hAnsi="Calibri" w:cs="Calibri"/>
          <w:b/>
          <w:bCs/>
          <w:sz w:val="28"/>
          <w:szCs w:val="28"/>
        </w:rPr>
      </w:pPr>
      <w:r w:rsidRPr="001816C3">
        <w:rPr>
          <w:rFonts w:ascii="Calibri" w:hAnsi="Calibri" w:cs="Calibri"/>
          <w:b/>
          <w:bCs/>
          <w:sz w:val="28"/>
          <w:szCs w:val="28"/>
        </w:rPr>
        <w:t>Calculations for Section 14: Agency Hours &amp; Costs</w:t>
      </w:r>
    </w:p>
    <w:p w:rsidR="00822B54" w:rsidRPr="001816C3" w:rsidP="00961C50" w14:paraId="1D5CC04E" w14:textId="01CC2FBA">
      <w:pPr>
        <w:spacing w:after="0" w:line="240" w:lineRule="auto"/>
        <w:ind w:left="-90"/>
        <w:rPr>
          <w:rFonts w:ascii="Calibri" w:hAnsi="Calibri" w:cs="Calibri"/>
        </w:rPr>
      </w:pPr>
    </w:p>
    <w:p w:rsidR="00822B54" w:rsidRPr="001816C3" w:rsidP="00961C50" w14:paraId="0A4A344D" w14:textId="77777777">
      <w:pPr>
        <w:tabs>
          <w:tab w:val="left" w:pos="6300"/>
          <w:tab w:val="left" w:pos="7110"/>
        </w:tabs>
        <w:spacing w:after="0" w:line="240" w:lineRule="auto"/>
        <w:ind w:left="-90" w:right="-270"/>
        <w:rPr>
          <w:rFonts w:ascii="Calibri" w:hAnsi="Calibri" w:cs="Calibri"/>
          <w:i/>
          <w:iCs/>
        </w:rPr>
      </w:pPr>
      <w:r w:rsidRPr="001816C3">
        <w:rPr>
          <w:rFonts w:ascii="Calibri" w:hAnsi="Calibri" w:cs="Calibri"/>
          <w:i/>
          <w:iCs/>
        </w:rPr>
        <w:t>Step 1: Calculate proportion of respondent burden hours across all staff roles at relevant levels of seniority.</w:t>
      </w:r>
    </w:p>
    <w:p w:rsidR="00822B54" w:rsidRPr="001816C3" w:rsidP="00961C50" w14:paraId="43435DBB" w14:textId="77777777">
      <w:pPr>
        <w:tabs>
          <w:tab w:val="left" w:pos="6300"/>
          <w:tab w:val="left" w:pos="7110"/>
        </w:tabs>
        <w:spacing w:after="0" w:line="240" w:lineRule="auto"/>
        <w:ind w:left="-90" w:right="-270"/>
        <w:rPr>
          <w:rFonts w:ascii="Calibri" w:hAnsi="Calibri" w:cs="Calibri"/>
          <w:i/>
          <w:iCs/>
        </w:rPr>
      </w:pPr>
    </w:p>
    <w:tbl>
      <w:tblPr>
        <w:tblW w:w="9080" w:type="dxa"/>
        <w:tblLayout w:type="fixed"/>
        <w:tblLook w:val="04A0"/>
      </w:tblPr>
      <w:tblGrid>
        <w:gridCol w:w="2270"/>
        <w:gridCol w:w="2270"/>
        <w:gridCol w:w="2270"/>
        <w:gridCol w:w="2270"/>
      </w:tblGrid>
      <w:tr w14:paraId="332E3B22" w14:textId="77777777" w:rsidTr="000E24B6">
        <w:tblPrEx>
          <w:tblW w:w="9080" w:type="dxa"/>
          <w:tblLayout w:type="fixed"/>
          <w:tblLook w:val="04A0"/>
        </w:tblPrEx>
        <w:trPr>
          <w:trHeight w:val="450"/>
        </w:trPr>
        <w:tc>
          <w:tcPr>
            <w:tcW w:w="9080" w:type="dxa"/>
            <w:gridSpan w:val="4"/>
            <w:tcBorders>
              <w:top w:val="single" w:sz="8" w:space="0" w:color="auto"/>
              <w:left w:val="single" w:sz="8" w:space="0" w:color="auto"/>
              <w:bottom w:val="single" w:sz="4" w:space="0" w:color="auto"/>
              <w:right w:val="single" w:sz="8" w:space="0" w:color="000000"/>
            </w:tcBorders>
            <w:shd w:val="clear" w:color="000000" w:fill="D9D9D9"/>
            <w:vAlign w:val="center"/>
          </w:tcPr>
          <w:p w:rsidR="00822B54" w:rsidRPr="001816C3" w:rsidP="00961C50" w14:paraId="5BC517C8" w14:textId="1DBD247F">
            <w:pPr>
              <w:spacing w:after="0" w:line="240" w:lineRule="auto"/>
              <w:rPr>
                <w:rFonts w:ascii="Calibri" w:eastAsia="Times New Roman" w:hAnsi="Calibri" w:cs="Calibri"/>
                <w:b/>
                <w:bCs/>
                <w:color w:val="000000"/>
              </w:rPr>
            </w:pPr>
            <w:r w:rsidRPr="001816C3">
              <w:rPr>
                <w:rFonts w:ascii="Calibri" w:eastAsia="Times New Roman" w:hAnsi="Calibri" w:cs="Calibri"/>
                <w:b/>
                <w:bCs/>
                <w:color w:val="000000"/>
              </w:rPr>
              <w:t>TABLE 1</w:t>
            </w:r>
            <w:r w:rsidRPr="001816C3" w:rsidR="009A308D">
              <w:rPr>
                <w:rFonts w:ascii="Calibri" w:eastAsia="Times New Roman" w:hAnsi="Calibri" w:cs="Calibri"/>
                <w:b/>
                <w:bCs/>
                <w:color w:val="000000"/>
              </w:rPr>
              <w:t>4</w:t>
            </w:r>
            <w:r w:rsidRPr="001816C3">
              <w:rPr>
                <w:rFonts w:ascii="Calibri" w:eastAsia="Times New Roman" w:hAnsi="Calibri" w:cs="Calibri"/>
                <w:b/>
                <w:bCs/>
                <w:color w:val="000000"/>
              </w:rPr>
              <w:t>.1: PROPORTION OF Agency Hours</w:t>
            </w:r>
          </w:p>
        </w:tc>
      </w:tr>
      <w:tr w14:paraId="4C8AE88D" w14:textId="77777777" w:rsidTr="000E24B6">
        <w:tblPrEx>
          <w:tblW w:w="9080" w:type="dxa"/>
          <w:tblLayout w:type="fixed"/>
          <w:tblLook w:val="04A0"/>
        </w:tblPrEx>
        <w:trPr>
          <w:trHeight w:val="989"/>
        </w:trPr>
        <w:tc>
          <w:tcPr>
            <w:tcW w:w="22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1816C3" w:rsidP="00961C50" w14:paraId="0F9F5B46"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 xml:space="preserve">Number of Hours: Management </w:t>
            </w:r>
            <w:r w:rsidRPr="001816C3">
              <w:rPr>
                <w:rFonts w:ascii="Calibri" w:eastAsia="Times New Roman" w:hAnsi="Calibri" w:cs="Calibri"/>
                <w:color w:val="000000"/>
              </w:rPr>
              <w:br/>
              <w:t>(GS-15, Step 1)</w:t>
            </w:r>
          </w:p>
        </w:tc>
        <w:tc>
          <w:tcPr>
            <w:tcW w:w="2270" w:type="dxa"/>
            <w:tcBorders>
              <w:top w:val="single" w:sz="4" w:space="0" w:color="auto"/>
              <w:left w:val="nil"/>
              <w:bottom w:val="single" w:sz="4" w:space="0" w:color="auto"/>
              <w:right w:val="single" w:sz="4" w:space="0" w:color="auto"/>
            </w:tcBorders>
            <w:shd w:val="clear" w:color="000000" w:fill="F2F2F2"/>
            <w:vAlign w:val="center"/>
            <w:hideMark/>
          </w:tcPr>
          <w:p w:rsidR="00822B54" w:rsidRPr="001816C3" w:rsidP="00961C50" w14:paraId="6F7D50B0"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Number of Hours: Program Lead</w:t>
            </w:r>
            <w:r w:rsidRPr="001816C3">
              <w:rPr>
                <w:rFonts w:ascii="Calibri" w:eastAsia="Times New Roman" w:hAnsi="Calibri" w:cs="Calibri"/>
                <w:color w:val="000000"/>
              </w:rPr>
              <w:br/>
              <w:t>(GS-14, Step 1)</w:t>
            </w:r>
          </w:p>
        </w:tc>
        <w:tc>
          <w:tcPr>
            <w:tcW w:w="2270" w:type="dxa"/>
            <w:tcBorders>
              <w:top w:val="single" w:sz="4" w:space="0" w:color="auto"/>
              <w:left w:val="nil"/>
              <w:bottom w:val="single" w:sz="4" w:space="0" w:color="auto"/>
              <w:right w:val="nil"/>
            </w:tcBorders>
            <w:shd w:val="clear" w:color="000000" w:fill="F2F2F2"/>
            <w:vAlign w:val="center"/>
            <w:hideMark/>
          </w:tcPr>
          <w:p w:rsidR="00822B54" w:rsidRPr="001816C3" w:rsidP="00961C50" w14:paraId="358D5BFC"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Number of Hours: Project Officer</w:t>
            </w:r>
            <w:r w:rsidRPr="001816C3">
              <w:rPr>
                <w:rFonts w:ascii="Calibri" w:eastAsia="Times New Roman" w:hAnsi="Calibri" w:cs="Calibri"/>
                <w:color w:val="000000"/>
              </w:rPr>
              <w:br/>
              <w:t>(GS-11, Step 1)</w:t>
            </w:r>
          </w:p>
        </w:tc>
        <w:tc>
          <w:tcPr>
            <w:tcW w:w="22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22B54" w:rsidRPr="001816C3" w:rsidP="00961C50" w14:paraId="0B0EA98B"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Total Proportion</w:t>
            </w:r>
          </w:p>
        </w:tc>
      </w:tr>
      <w:tr w14:paraId="5AACC80B" w14:textId="77777777" w:rsidTr="000E24B6">
        <w:tblPrEx>
          <w:tblW w:w="9080" w:type="dxa"/>
          <w:tblLayout w:type="fixed"/>
          <w:tblLook w:val="04A0"/>
        </w:tblPrEx>
        <w:trPr>
          <w:trHeight w:val="440"/>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1816C3" w:rsidP="00961C50" w14:paraId="080845C3"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0.10</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rsidR="00822B54" w:rsidRPr="001816C3" w:rsidP="00961C50" w14:paraId="406909D4"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0.20</w:t>
            </w:r>
          </w:p>
        </w:tc>
        <w:tc>
          <w:tcPr>
            <w:tcW w:w="2270" w:type="dxa"/>
            <w:tcBorders>
              <w:top w:val="single" w:sz="4" w:space="0" w:color="auto"/>
              <w:left w:val="nil"/>
              <w:bottom w:val="single" w:sz="4" w:space="0" w:color="auto"/>
              <w:right w:val="nil"/>
            </w:tcBorders>
            <w:shd w:val="clear" w:color="auto" w:fill="auto"/>
            <w:noWrap/>
            <w:vAlign w:val="center"/>
            <w:hideMark/>
          </w:tcPr>
          <w:p w:rsidR="00822B54" w:rsidRPr="001816C3" w:rsidP="00961C50" w14:paraId="18AAE881"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0.70</w:t>
            </w:r>
          </w:p>
        </w:tc>
        <w:tc>
          <w:tcPr>
            <w:tcW w:w="2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B54" w:rsidRPr="001816C3" w:rsidP="00961C50" w14:paraId="6FA65236" w14:textId="77777777">
            <w:pPr>
              <w:spacing w:after="0" w:line="240" w:lineRule="auto"/>
              <w:rPr>
                <w:rFonts w:ascii="Calibri" w:eastAsia="Times New Roman" w:hAnsi="Calibri" w:cs="Calibri"/>
                <w:color w:val="000000"/>
              </w:rPr>
            </w:pPr>
            <w:r w:rsidRPr="001816C3">
              <w:rPr>
                <w:rFonts w:ascii="Calibri" w:eastAsia="Times New Roman" w:hAnsi="Calibri" w:cs="Calibri"/>
                <w:color w:val="000000"/>
              </w:rPr>
              <w:t>1</w:t>
            </w:r>
          </w:p>
        </w:tc>
      </w:tr>
    </w:tbl>
    <w:p w:rsidR="00822B54" w:rsidRPr="001816C3" w:rsidP="00961C50" w14:paraId="31833386" w14:textId="77777777">
      <w:pPr>
        <w:spacing w:after="0" w:line="240" w:lineRule="auto"/>
        <w:rPr>
          <w:rFonts w:ascii="Calibri" w:hAnsi="Calibri" w:cs="Calibri"/>
        </w:rPr>
      </w:pPr>
    </w:p>
    <w:p w:rsidR="00822B54" w:rsidRPr="001816C3" w:rsidP="00961C50" w14:paraId="0B5A41AE" w14:textId="77777777">
      <w:pPr>
        <w:spacing w:after="0" w:line="240" w:lineRule="auto"/>
        <w:rPr>
          <w:rFonts w:ascii="Calibri" w:hAnsi="Calibri" w:cs="Calibri"/>
        </w:rPr>
      </w:pPr>
    </w:p>
    <w:p w:rsidR="00822B54" w:rsidRPr="001816C3" w:rsidP="00961C50" w14:paraId="23CA58D8" w14:textId="6667C290">
      <w:pPr>
        <w:spacing w:after="0" w:line="240" w:lineRule="auto"/>
        <w:ind w:left="-90"/>
        <w:rPr>
          <w:rFonts w:ascii="Calibri" w:hAnsi="Calibri" w:cs="Calibri"/>
          <w:i/>
          <w:iCs/>
        </w:rPr>
      </w:pPr>
      <w:r w:rsidRPr="001816C3">
        <w:rPr>
          <w:rFonts w:ascii="Calibri" w:hAnsi="Calibri" w:cs="Calibri"/>
          <w:i/>
          <w:iCs/>
        </w:rPr>
        <w:t xml:space="preserve">Step 2: Calculate weighted </w:t>
      </w:r>
      <w:r w:rsidRPr="001816C3" w:rsidR="00296B99">
        <w:rPr>
          <w:rFonts w:ascii="Calibri" w:hAnsi="Calibri" w:cs="Calibri"/>
          <w:i/>
          <w:iCs/>
        </w:rPr>
        <w:t>loaded l</w:t>
      </w:r>
      <w:r w:rsidRPr="001816C3">
        <w:rPr>
          <w:rFonts w:ascii="Calibri" w:hAnsi="Calibri" w:cs="Calibri"/>
          <w:i/>
          <w:iCs/>
        </w:rPr>
        <w:t>abor cost across all staff roles involved.</w:t>
      </w:r>
    </w:p>
    <w:p w:rsidR="00B97B87" w:rsidRPr="001816C3" w:rsidP="00961C50" w14:paraId="55A8EB56" w14:textId="77777777">
      <w:pPr>
        <w:spacing w:after="0" w:line="240" w:lineRule="auto"/>
        <w:ind w:left="-90"/>
        <w:rPr>
          <w:rFonts w:ascii="Calibri" w:hAnsi="Calibri" w:cs="Calibri"/>
          <w:i/>
          <w:iCs/>
        </w:rPr>
      </w:pPr>
    </w:p>
    <w:tbl>
      <w:tblPr>
        <w:tblW w:w="0" w:type="auto"/>
        <w:tblInd w:w="113" w:type="dxa"/>
        <w:tblLayout w:type="fixed"/>
        <w:tblLook w:val="04A0"/>
      </w:tblPr>
      <w:tblGrid>
        <w:gridCol w:w="1435"/>
        <w:gridCol w:w="2610"/>
        <w:gridCol w:w="1080"/>
        <w:gridCol w:w="1170"/>
        <w:gridCol w:w="1018"/>
        <w:gridCol w:w="1232"/>
        <w:gridCol w:w="1620"/>
        <w:gridCol w:w="1170"/>
        <w:gridCol w:w="1440"/>
      </w:tblGrid>
      <w:tr w14:paraId="5CBFD780" w14:textId="77777777" w:rsidTr="00D17A73">
        <w:tblPrEx>
          <w:tblW w:w="0" w:type="auto"/>
          <w:tblInd w:w="113" w:type="dxa"/>
          <w:tblLayout w:type="fixed"/>
          <w:tblLook w:val="04A0"/>
        </w:tblPrEx>
        <w:trPr>
          <w:trHeight w:val="315"/>
          <w:tblHeader/>
        </w:trPr>
        <w:tc>
          <w:tcPr>
            <w:tcW w:w="12775"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rsidR="00B97B87" w:rsidRPr="001816C3" w:rsidP="00961C50" w14:paraId="0B1FC471" w14:textId="527C3A37">
            <w:pPr>
              <w:spacing w:after="0" w:line="240" w:lineRule="auto"/>
              <w:rPr>
                <w:rFonts w:ascii="Calibri" w:eastAsia="Times New Roman" w:hAnsi="Calibri" w:cs="Calibri"/>
                <w:b/>
                <w:bCs/>
                <w:color w:val="000000"/>
              </w:rPr>
            </w:pPr>
            <w:r w:rsidRPr="001816C3">
              <w:rPr>
                <w:rFonts w:ascii="Calibri" w:eastAsia="Times New Roman" w:hAnsi="Calibri" w:cs="Calibri"/>
                <w:b/>
                <w:bCs/>
                <w:color w:val="000000"/>
              </w:rPr>
              <w:t xml:space="preserve">TABLE 14.2: LOADED WAGE RATES for Agency Staff </w:t>
            </w:r>
            <w:r w:rsidRPr="001816C3">
              <w:rPr>
                <w:rFonts w:ascii="Calibri" w:eastAsia="Times New Roman" w:hAnsi="Calibri" w:cs="Calibri"/>
                <w:b/>
                <w:bCs/>
                <w:color w:val="000000"/>
              </w:rPr>
              <w:t>(2023$)</w:t>
            </w:r>
          </w:p>
        </w:tc>
      </w:tr>
      <w:tr w14:paraId="5EB7F249" w14:textId="77777777" w:rsidTr="00426367">
        <w:tblPrEx>
          <w:tblW w:w="0" w:type="auto"/>
          <w:tblInd w:w="113" w:type="dxa"/>
          <w:tblLayout w:type="fixed"/>
          <w:tblLook w:val="04A0"/>
        </w:tblPrEx>
        <w:trPr>
          <w:trHeight w:val="315"/>
          <w:tblHeader/>
        </w:trPr>
        <w:tc>
          <w:tcPr>
            <w:tcW w:w="1435" w:type="dxa"/>
            <w:vMerge w:val="restart"/>
            <w:tcBorders>
              <w:top w:val="nil"/>
              <w:left w:val="single" w:sz="4" w:space="0" w:color="auto"/>
              <w:bottom w:val="single" w:sz="4" w:space="0" w:color="auto"/>
              <w:right w:val="single" w:sz="4" w:space="0" w:color="auto"/>
            </w:tcBorders>
            <w:shd w:val="clear" w:color="000000" w:fill="D9D9D9"/>
            <w:vAlign w:val="center"/>
            <w:hideMark/>
          </w:tcPr>
          <w:p w:rsidR="00B97B87" w:rsidRPr="001816C3" w:rsidP="00961C50" w14:paraId="46BB2909" w14:textId="77777777">
            <w:pPr>
              <w:spacing w:after="0" w:line="240" w:lineRule="auto"/>
              <w:rPr>
                <w:rFonts w:eastAsia="Times New Roman" w:cstheme="minorHAnsi"/>
                <w:b/>
                <w:bCs/>
              </w:rPr>
            </w:pPr>
            <w:r w:rsidRPr="001816C3">
              <w:rPr>
                <w:rFonts w:eastAsia="Times New Roman" w:cstheme="minorHAnsi"/>
                <w:b/>
                <w:bCs/>
              </w:rPr>
              <w:t>Labor Category</w:t>
            </w:r>
          </w:p>
        </w:tc>
        <w:tc>
          <w:tcPr>
            <w:tcW w:w="2610" w:type="dxa"/>
            <w:vMerge w:val="restart"/>
            <w:tcBorders>
              <w:top w:val="nil"/>
              <w:left w:val="single" w:sz="4" w:space="0" w:color="auto"/>
              <w:bottom w:val="single" w:sz="4" w:space="0" w:color="auto"/>
              <w:right w:val="single" w:sz="4" w:space="0" w:color="auto"/>
            </w:tcBorders>
            <w:shd w:val="clear" w:color="000000" w:fill="D9D9D9"/>
            <w:vAlign w:val="center"/>
            <w:hideMark/>
          </w:tcPr>
          <w:p w:rsidR="00B97B87" w:rsidRPr="001816C3" w:rsidP="00961C50" w14:paraId="15220874" w14:textId="77777777">
            <w:pPr>
              <w:spacing w:after="0" w:line="240" w:lineRule="auto"/>
              <w:rPr>
                <w:rFonts w:eastAsia="Times New Roman" w:cstheme="minorHAnsi"/>
                <w:b/>
                <w:bCs/>
              </w:rPr>
            </w:pPr>
            <w:r w:rsidRPr="001816C3">
              <w:rPr>
                <w:rFonts w:eastAsia="Times New Roman" w:cstheme="minorHAnsi"/>
                <w:b/>
                <w:bCs/>
              </w:rPr>
              <w:t>Data Series</w:t>
            </w:r>
            <w:r w:rsidRPr="001816C3">
              <w:rPr>
                <w:rFonts w:eastAsia="Times New Roman" w:cstheme="minorHAnsi"/>
                <w:b/>
                <w:bCs/>
                <w:vertAlign w:val="superscript"/>
              </w:rPr>
              <w:t xml:space="preserve"> a</w:t>
            </w:r>
          </w:p>
        </w:tc>
        <w:tc>
          <w:tcPr>
            <w:tcW w:w="1080" w:type="dxa"/>
            <w:vMerge w:val="restart"/>
            <w:tcBorders>
              <w:top w:val="nil"/>
              <w:left w:val="single" w:sz="4" w:space="0" w:color="auto"/>
              <w:bottom w:val="single" w:sz="4" w:space="0" w:color="auto"/>
              <w:right w:val="single" w:sz="4" w:space="0" w:color="auto"/>
            </w:tcBorders>
            <w:shd w:val="clear" w:color="000000" w:fill="D9D9D9"/>
            <w:vAlign w:val="center"/>
            <w:hideMark/>
          </w:tcPr>
          <w:p w:rsidR="00B97B87" w:rsidRPr="001816C3" w:rsidP="00961C50" w14:paraId="55AAF6DF" w14:textId="77777777">
            <w:pPr>
              <w:spacing w:after="0" w:line="240" w:lineRule="auto"/>
              <w:rPr>
                <w:rFonts w:eastAsia="Times New Roman" w:cstheme="minorHAnsi"/>
                <w:b/>
                <w:bCs/>
              </w:rPr>
            </w:pPr>
            <w:r w:rsidRPr="001816C3">
              <w:rPr>
                <w:rFonts w:eastAsia="Times New Roman" w:cstheme="minorHAnsi"/>
                <w:b/>
                <w:bCs/>
              </w:rPr>
              <w:t>Period</w:t>
            </w:r>
          </w:p>
        </w:tc>
        <w:tc>
          <w:tcPr>
            <w:tcW w:w="1170" w:type="dxa"/>
            <w:tcBorders>
              <w:top w:val="nil"/>
              <w:left w:val="nil"/>
              <w:bottom w:val="single" w:sz="4" w:space="0" w:color="auto"/>
              <w:right w:val="single" w:sz="4" w:space="0" w:color="auto"/>
            </w:tcBorders>
            <w:shd w:val="clear" w:color="000000" w:fill="D9D9D9"/>
            <w:vAlign w:val="center"/>
            <w:hideMark/>
          </w:tcPr>
          <w:p w:rsidR="00B97B87" w:rsidRPr="001816C3" w:rsidP="00961C50" w14:paraId="1ACDB3B6" w14:textId="77777777">
            <w:pPr>
              <w:spacing w:after="0" w:line="240" w:lineRule="auto"/>
              <w:rPr>
                <w:rFonts w:eastAsia="Times New Roman" w:cstheme="minorHAnsi"/>
                <w:b/>
                <w:bCs/>
                <w:vertAlign w:val="superscript"/>
              </w:rPr>
            </w:pPr>
            <w:r w:rsidRPr="001816C3">
              <w:rPr>
                <w:rFonts w:eastAsia="Times New Roman" w:cstheme="minorHAnsi"/>
                <w:b/>
                <w:bCs/>
              </w:rPr>
              <w:t>Wage ($/hour)</w:t>
            </w:r>
          </w:p>
        </w:tc>
        <w:tc>
          <w:tcPr>
            <w:tcW w:w="1018" w:type="dxa"/>
            <w:tcBorders>
              <w:top w:val="nil"/>
              <w:left w:val="nil"/>
              <w:bottom w:val="single" w:sz="4" w:space="0" w:color="auto"/>
              <w:right w:val="single" w:sz="4" w:space="0" w:color="auto"/>
            </w:tcBorders>
            <w:shd w:val="clear" w:color="000000" w:fill="D9D9D9"/>
            <w:vAlign w:val="center"/>
            <w:hideMark/>
          </w:tcPr>
          <w:p w:rsidR="00B97B87" w:rsidRPr="001816C3" w:rsidP="00961C50" w14:paraId="607419C4" w14:textId="77777777">
            <w:pPr>
              <w:spacing w:after="0" w:line="240" w:lineRule="auto"/>
              <w:rPr>
                <w:rFonts w:eastAsia="Times New Roman" w:cstheme="minorHAnsi"/>
                <w:b/>
                <w:bCs/>
                <w:vertAlign w:val="superscript"/>
              </w:rPr>
            </w:pPr>
            <w:r w:rsidRPr="001816C3">
              <w:rPr>
                <w:rFonts w:eastAsia="Times New Roman" w:cstheme="minorHAnsi"/>
                <w:b/>
                <w:bCs/>
              </w:rPr>
              <w:t xml:space="preserve">Fringe </w:t>
            </w:r>
            <w:r w:rsidRPr="001816C3">
              <w:rPr>
                <w:rFonts w:eastAsia="Times New Roman" w:cstheme="minorHAnsi"/>
                <w:b/>
                <w:bCs/>
              </w:rPr>
              <w:t>Benefit</w:t>
            </w:r>
            <w:r w:rsidRPr="001816C3">
              <w:rPr>
                <w:rFonts w:eastAsia="Times New Roman" w:cstheme="minorHAnsi"/>
                <w:b/>
                <w:bCs/>
                <w:vertAlign w:val="superscript"/>
              </w:rPr>
              <w:t>b</w:t>
            </w:r>
          </w:p>
        </w:tc>
        <w:tc>
          <w:tcPr>
            <w:tcW w:w="1232" w:type="dxa"/>
            <w:tcBorders>
              <w:top w:val="nil"/>
              <w:left w:val="nil"/>
              <w:bottom w:val="single" w:sz="4" w:space="0" w:color="auto"/>
              <w:right w:val="single" w:sz="4" w:space="0" w:color="auto"/>
            </w:tcBorders>
            <w:shd w:val="clear" w:color="000000" w:fill="D9D9D9"/>
            <w:vAlign w:val="center"/>
            <w:hideMark/>
          </w:tcPr>
          <w:p w:rsidR="00B97B87" w:rsidRPr="001816C3" w:rsidP="00961C50" w14:paraId="610D6D6F" w14:textId="77777777">
            <w:pPr>
              <w:spacing w:after="0" w:line="240" w:lineRule="auto"/>
              <w:rPr>
                <w:rFonts w:eastAsia="Times New Roman" w:cstheme="minorHAnsi"/>
                <w:b/>
                <w:bCs/>
              </w:rPr>
            </w:pPr>
            <w:r w:rsidRPr="001816C3">
              <w:rPr>
                <w:rFonts w:eastAsia="Times New Roman" w:cstheme="minorHAnsi"/>
                <w:b/>
                <w:bCs/>
              </w:rPr>
              <w:t xml:space="preserve">Total </w:t>
            </w:r>
            <w:r w:rsidRPr="001816C3">
              <w:rPr>
                <w:rFonts w:eastAsia="Times New Roman" w:cstheme="minorHAnsi"/>
                <w:b/>
                <w:bCs/>
              </w:rPr>
              <w:t>Compen-sation</w:t>
            </w:r>
          </w:p>
        </w:tc>
        <w:tc>
          <w:tcPr>
            <w:tcW w:w="1620" w:type="dxa"/>
            <w:tcBorders>
              <w:top w:val="nil"/>
              <w:left w:val="nil"/>
              <w:bottom w:val="single" w:sz="4" w:space="0" w:color="auto"/>
              <w:right w:val="single" w:sz="4" w:space="0" w:color="auto"/>
            </w:tcBorders>
            <w:shd w:val="clear" w:color="000000" w:fill="D9D9D9"/>
            <w:vAlign w:val="center"/>
            <w:hideMark/>
          </w:tcPr>
          <w:p w:rsidR="00B97B87" w:rsidRPr="001816C3" w:rsidP="00961C50" w14:paraId="5B2C377B" w14:textId="77777777">
            <w:pPr>
              <w:spacing w:after="0" w:line="240" w:lineRule="auto"/>
              <w:rPr>
                <w:rFonts w:eastAsia="Times New Roman" w:cstheme="minorHAnsi"/>
                <w:b/>
                <w:bCs/>
              </w:rPr>
            </w:pPr>
            <w:r w:rsidRPr="001816C3">
              <w:rPr>
                <w:rFonts w:eastAsia="Times New Roman" w:cstheme="minorHAnsi"/>
                <w:b/>
                <w:bCs/>
              </w:rPr>
              <w:t xml:space="preserve">Overhead as % of Total </w:t>
            </w:r>
            <w:r w:rsidRPr="001816C3">
              <w:rPr>
                <w:rFonts w:eastAsia="Times New Roman" w:cstheme="minorHAnsi"/>
                <w:b/>
                <w:bCs/>
              </w:rPr>
              <w:t>Compensation</w:t>
            </w:r>
            <w:r w:rsidRPr="001816C3">
              <w:rPr>
                <w:rFonts w:eastAsia="Times New Roman" w:cstheme="minorHAnsi"/>
                <w:b/>
                <w:bCs/>
                <w:vertAlign w:val="superscript"/>
              </w:rPr>
              <w:t>c</w:t>
            </w:r>
          </w:p>
        </w:tc>
        <w:tc>
          <w:tcPr>
            <w:tcW w:w="1170" w:type="dxa"/>
            <w:tcBorders>
              <w:top w:val="nil"/>
              <w:left w:val="nil"/>
              <w:bottom w:val="single" w:sz="4" w:space="0" w:color="auto"/>
              <w:right w:val="single" w:sz="4" w:space="0" w:color="auto"/>
            </w:tcBorders>
            <w:shd w:val="clear" w:color="000000" w:fill="D9D9D9"/>
            <w:vAlign w:val="center"/>
            <w:hideMark/>
          </w:tcPr>
          <w:p w:rsidR="00B97B87" w:rsidRPr="001816C3" w:rsidP="00961C50" w14:paraId="4A5942B3" w14:textId="77777777">
            <w:pPr>
              <w:spacing w:after="0" w:line="240" w:lineRule="auto"/>
              <w:rPr>
                <w:rFonts w:eastAsia="Times New Roman" w:cstheme="minorHAnsi"/>
                <w:b/>
                <w:bCs/>
              </w:rPr>
            </w:pPr>
            <w:r w:rsidRPr="001816C3">
              <w:rPr>
                <w:rFonts w:eastAsia="Times New Roman" w:cstheme="minorHAnsi"/>
                <w:b/>
                <w:bCs/>
              </w:rPr>
              <w:t>Overhead</w:t>
            </w:r>
          </w:p>
        </w:tc>
        <w:tc>
          <w:tcPr>
            <w:tcW w:w="1440" w:type="dxa"/>
            <w:tcBorders>
              <w:top w:val="nil"/>
              <w:left w:val="nil"/>
              <w:bottom w:val="single" w:sz="4" w:space="0" w:color="auto"/>
              <w:right w:val="single" w:sz="4" w:space="0" w:color="auto"/>
            </w:tcBorders>
            <w:shd w:val="clear" w:color="000000" w:fill="D9D9D9"/>
            <w:vAlign w:val="center"/>
            <w:hideMark/>
          </w:tcPr>
          <w:p w:rsidR="00B97B87" w:rsidRPr="001816C3" w:rsidP="00961C50" w14:paraId="5D609EC6" w14:textId="77777777">
            <w:pPr>
              <w:spacing w:after="0" w:line="240" w:lineRule="auto"/>
              <w:rPr>
                <w:rFonts w:eastAsia="Times New Roman" w:cstheme="minorHAnsi"/>
                <w:b/>
                <w:bCs/>
              </w:rPr>
            </w:pPr>
            <w:r w:rsidRPr="001816C3">
              <w:rPr>
                <w:rFonts w:eastAsia="Times New Roman" w:cstheme="minorHAnsi"/>
                <w:b/>
                <w:bCs/>
              </w:rPr>
              <w:t>Hourly Loaded Wages</w:t>
            </w:r>
          </w:p>
        </w:tc>
      </w:tr>
      <w:tr w14:paraId="6D4A3D2B" w14:textId="77777777" w:rsidTr="00426367">
        <w:tblPrEx>
          <w:tblW w:w="0" w:type="auto"/>
          <w:tblInd w:w="113" w:type="dxa"/>
          <w:tblLayout w:type="fixed"/>
          <w:tblLook w:val="04A0"/>
        </w:tblPrEx>
        <w:trPr>
          <w:trHeight w:val="300"/>
          <w:tblHeader/>
        </w:trPr>
        <w:tc>
          <w:tcPr>
            <w:tcW w:w="1435" w:type="dxa"/>
            <w:vMerge/>
            <w:tcBorders>
              <w:top w:val="nil"/>
              <w:left w:val="single" w:sz="4" w:space="0" w:color="auto"/>
              <w:bottom w:val="single" w:sz="4" w:space="0" w:color="auto"/>
              <w:right w:val="single" w:sz="4" w:space="0" w:color="auto"/>
            </w:tcBorders>
            <w:vAlign w:val="center"/>
            <w:hideMark/>
          </w:tcPr>
          <w:p w:rsidR="00B97B87" w:rsidRPr="001816C3" w:rsidP="00961C50" w14:paraId="51D6CAFC" w14:textId="77777777">
            <w:pPr>
              <w:spacing w:after="0" w:line="240" w:lineRule="auto"/>
              <w:rPr>
                <w:rFonts w:eastAsia="Times New Roman" w:cstheme="minorHAnsi"/>
                <w:b/>
                <w:bCs/>
              </w:rPr>
            </w:pPr>
          </w:p>
        </w:tc>
        <w:tc>
          <w:tcPr>
            <w:tcW w:w="2610" w:type="dxa"/>
            <w:vMerge/>
            <w:tcBorders>
              <w:top w:val="nil"/>
              <w:left w:val="single" w:sz="4" w:space="0" w:color="auto"/>
              <w:bottom w:val="single" w:sz="4" w:space="0" w:color="auto"/>
              <w:right w:val="single" w:sz="4" w:space="0" w:color="auto"/>
            </w:tcBorders>
            <w:vAlign w:val="center"/>
            <w:hideMark/>
          </w:tcPr>
          <w:p w:rsidR="00B97B87" w:rsidRPr="001816C3" w:rsidP="00961C50" w14:paraId="3836180A" w14:textId="77777777">
            <w:pPr>
              <w:spacing w:after="0" w:line="240" w:lineRule="auto"/>
              <w:rPr>
                <w:rFonts w:eastAsia="Times New Roman" w:cstheme="minorHAnsi"/>
                <w:b/>
                <w:bCs/>
              </w:rPr>
            </w:pPr>
          </w:p>
        </w:tc>
        <w:tc>
          <w:tcPr>
            <w:tcW w:w="1080" w:type="dxa"/>
            <w:vMerge/>
            <w:tcBorders>
              <w:top w:val="nil"/>
              <w:left w:val="single" w:sz="4" w:space="0" w:color="auto"/>
              <w:bottom w:val="single" w:sz="4" w:space="0" w:color="auto"/>
              <w:right w:val="single" w:sz="4" w:space="0" w:color="auto"/>
            </w:tcBorders>
            <w:vAlign w:val="center"/>
            <w:hideMark/>
          </w:tcPr>
          <w:p w:rsidR="00B97B87" w:rsidRPr="001816C3" w:rsidP="00961C50" w14:paraId="0E450018" w14:textId="77777777">
            <w:pPr>
              <w:spacing w:after="0" w:line="240" w:lineRule="auto"/>
              <w:rPr>
                <w:rFonts w:eastAsia="Times New Roman" w:cstheme="minorHAnsi"/>
                <w:b/>
                <w:bCs/>
              </w:rPr>
            </w:pPr>
          </w:p>
        </w:tc>
        <w:tc>
          <w:tcPr>
            <w:tcW w:w="1170" w:type="dxa"/>
            <w:tcBorders>
              <w:top w:val="nil"/>
              <w:left w:val="nil"/>
              <w:bottom w:val="single" w:sz="4" w:space="0" w:color="auto"/>
              <w:right w:val="single" w:sz="4" w:space="0" w:color="auto"/>
            </w:tcBorders>
            <w:shd w:val="clear" w:color="000000" w:fill="D9D9D9"/>
            <w:vAlign w:val="center"/>
            <w:hideMark/>
          </w:tcPr>
          <w:p w:rsidR="00B97B87" w:rsidRPr="001816C3" w:rsidP="00961C50" w14:paraId="08213EA3" w14:textId="77777777">
            <w:pPr>
              <w:spacing w:after="0" w:line="240" w:lineRule="auto"/>
              <w:rPr>
                <w:rFonts w:eastAsia="Times New Roman" w:cstheme="minorHAnsi"/>
                <w:b/>
                <w:bCs/>
                <w:i/>
                <w:iCs/>
              </w:rPr>
            </w:pPr>
            <w:r w:rsidRPr="001816C3">
              <w:rPr>
                <w:rFonts w:eastAsia="Times New Roman" w:cstheme="minorHAnsi"/>
                <w:b/>
                <w:bCs/>
                <w:i/>
                <w:iCs/>
              </w:rPr>
              <w:t>(a)</w:t>
            </w:r>
          </w:p>
        </w:tc>
        <w:tc>
          <w:tcPr>
            <w:tcW w:w="1018" w:type="dxa"/>
            <w:tcBorders>
              <w:top w:val="nil"/>
              <w:left w:val="nil"/>
              <w:bottom w:val="single" w:sz="4" w:space="0" w:color="auto"/>
              <w:right w:val="single" w:sz="4" w:space="0" w:color="auto"/>
            </w:tcBorders>
            <w:shd w:val="clear" w:color="000000" w:fill="D9D9D9"/>
            <w:vAlign w:val="center"/>
            <w:hideMark/>
          </w:tcPr>
          <w:p w:rsidR="00B97B87" w:rsidRPr="001816C3" w:rsidP="00961C50" w14:paraId="7E6CA33E" w14:textId="77777777">
            <w:pPr>
              <w:spacing w:after="0" w:line="240" w:lineRule="auto"/>
              <w:rPr>
                <w:rFonts w:eastAsia="Times New Roman" w:cstheme="minorHAnsi"/>
                <w:b/>
                <w:bCs/>
                <w:i/>
                <w:iCs/>
              </w:rPr>
            </w:pPr>
            <w:r w:rsidRPr="001816C3">
              <w:rPr>
                <w:rFonts w:eastAsia="Times New Roman" w:cstheme="minorHAnsi"/>
                <w:b/>
                <w:bCs/>
                <w:i/>
                <w:iCs/>
              </w:rPr>
              <w:t>(b)</w:t>
            </w:r>
          </w:p>
        </w:tc>
        <w:tc>
          <w:tcPr>
            <w:tcW w:w="1232" w:type="dxa"/>
            <w:tcBorders>
              <w:top w:val="nil"/>
              <w:left w:val="nil"/>
              <w:bottom w:val="single" w:sz="4" w:space="0" w:color="auto"/>
              <w:right w:val="single" w:sz="4" w:space="0" w:color="auto"/>
            </w:tcBorders>
            <w:shd w:val="clear" w:color="000000" w:fill="D9D9D9"/>
            <w:vAlign w:val="center"/>
            <w:hideMark/>
          </w:tcPr>
          <w:p w:rsidR="00B97B87" w:rsidRPr="001816C3" w:rsidP="00961C50" w14:paraId="28BF6BEC" w14:textId="77777777">
            <w:pPr>
              <w:spacing w:after="0" w:line="240" w:lineRule="auto"/>
              <w:rPr>
                <w:rFonts w:eastAsia="Times New Roman" w:cstheme="minorHAnsi"/>
                <w:b/>
                <w:bCs/>
                <w:i/>
                <w:iCs/>
              </w:rPr>
            </w:pPr>
            <w:r w:rsidRPr="001816C3">
              <w:rPr>
                <w:rFonts w:eastAsia="Times New Roman" w:cstheme="minorHAnsi"/>
                <w:b/>
                <w:bCs/>
                <w:i/>
                <w:iCs/>
              </w:rPr>
              <w:t>(c) =(b)+(a)</w:t>
            </w:r>
          </w:p>
        </w:tc>
        <w:tc>
          <w:tcPr>
            <w:tcW w:w="1620" w:type="dxa"/>
            <w:tcBorders>
              <w:top w:val="nil"/>
              <w:left w:val="nil"/>
              <w:bottom w:val="single" w:sz="4" w:space="0" w:color="auto"/>
              <w:right w:val="single" w:sz="4" w:space="0" w:color="auto"/>
            </w:tcBorders>
            <w:shd w:val="clear" w:color="000000" w:fill="D9D9D9"/>
            <w:vAlign w:val="center"/>
            <w:hideMark/>
          </w:tcPr>
          <w:p w:rsidR="00B97B87" w:rsidRPr="001816C3" w:rsidP="00961C50" w14:paraId="529C13E0" w14:textId="77777777">
            <w:pPr>
              <w:spacing w:after="0" w:line="240" w:lineRule="auto"/>
              <w:rPr>
                <w:rFonts w:eastAsia="Times New Roman" w:cstheme="minorHAnsi"/>
                <w:b/>
                <w:bCs/>
                <w:i/>
                <w:iCs/>
              </w:rPr>
            </w:pPr>
            <w:r w:rsidRPr="001816C3">
              <w:rPr>
                <w:rFonts w:eastAsia="Times New Roman" w:cstheme="minorHAnsi"/>
                <w:b/>
                <w:bCs/>
                <w:i/>
                <w:iCs/>
              </w:rPr>
              <w:t>(d)</w:t>
            </w:r>
          </w:p>
        </w:tc>
        <w:tc>
          <w:tcPr>
            <w:tcW w:w="1170" w:type="dxa"/>
            <w:tcBorders>
              <w:top w:val="nil"/>
              <w:left w:val="nil"/>
              <w:bottom w:val="single" w:sz="4" w:space="0" w:color="auto"/>
              <w:right w:val="single" w:sz="4" w:space="0" w:color="auto"/>
            </w:tcBorders>
            <w:shd w:val="clear" w:color="000000" w:fill="D9D9D9"/>
            <w:vAlign w:val="center"/>
            <w:hideMark/>
          </w:tcPr>
          <w:p w:rsidR="00B97B87" w:rsidRPr="001816C3" w:rsidP="00961C50" w14:paraId="48B35BBB" w14:textId="77777777">
            <w:pPr>
              <w:spacing w:after="0" w:line="240" w:lineRule="auto"/>
              <w:rPr>
                <w:rFonts w:eastAsia="Times New Roman" w:cstheme="minorHAnsi"/>
                <w:b/>
                <w:bCs/>
                <w:i/>
                <w:iCs/>
              </w:rPr>
            </w:pPr>
            <w:r w:rsidRPr="001816C3">
              <w:rPr>
                <w:rFonts w:eastAsia="Times New Roman" w:cstheme="minorHAnsi"/>
                <w:b/>
                <w:bCs/>
                <w:i/>
                <w:iCs/>
              </w:rPr>
              <w:t>(e)=(c)*(d)</w:t>
            </w:r>
          </w:p>
        </w:tc>
        <w:tc>
          <w:tcPr>
            <w:tcW w:w="1440" w:type="dxa"/>
            <w:tcBorders>
              <w:top w:val="nil"/>
              <w:left w:val="nil"/>
              <w:bottom w:val="single" w:sz="4" w:space="0" w:color="auto"/>
              <w:right w:val="single" w:sz="4" w:space="0" w:color="auto"/>
            </w:tcBorders>
            <w:shd w:val="clear" w:color="000000" w:fill="D9D9D9"/>
            <w:vAlign w:val="center"/>
            <w:hideMark/>
          </w:tcPr>
          <w:p w:rsidR="00B97B87" w:rsidRPr="001816C3" w:rsidP="00961C50" w14:paraId="23D2E93B" w14:textId="77777777">
            <w:pPr>
              <w:spacing w:after="0" w:line="240" w:lineRule="auto"/>
              <w:rPr>
                <w:rFonts w:eastAsia="Times New Roman" w:cstheme="minorHAnsi"/>
                <w:b/>
                <w:bCs/>
                <w:i/>
                <w:iCs/>
              </w:rPr>
            </w:pPr>
            <w:r w:rsidRPr="001816C3">
              <w:rPr>
                <w:rFonts w:eastAsia="Times New Roman" w:cstheme="minorHAnsi"/>
                <w:b/>
                <w:bCs/>
                <w:i/>
                <w:iCs/>
              </w:rPr>
              <w:t>(f)=(c)+(e)</w:t>
            </w:r>
          </w:p>
        </w:tc>
      </w:tr>
      <w:tr w14:paraId="3793A15A" w14:textId="77777777" w:rsidTr="009042A9">
        <w:tblPrEx>
          <w:tblW w:w="0" w:type="auto"/>
          <w:tblInd w:w="113" w:type="dxa"/>
          <w:tblLayout w:type="fixed"/>
          <w:tblLook w:val="04A0"/>
        </w:tblPrEx>
        <w:trPr>
          <w:trHeight w:val="102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A54517" w:rsidRPr="001816C3" w:rsidP="00961C50" w14:paraId="5419986D" w14:textId="7AC3CF94">
            <w:pPr>
              <w:spacing w:after="0" w:line="240" w:lineRule="auto"/>
              <w:rPr>
                <w:rFonts w:eastAsia="Times New Roman" w:cstheme="minorHAnsi"/>
              </w:rPr>
            </w:pPr>
            <w:r w:rsidRPr="001816C3">
              <w:rPr>
                <w:rFonts w:cs="Calibri"/>
                <w:color w:val="000000"/>
              </w:rPr>
              <w:t>EPA staff - Management</w:t>
            </w:r>
          </w:p>
        </w:tc>
        <w:tc>
          <w:tcPr>
            <w:tcW w:w="2610" w:type="dxa"/>
            <w:tcBorders>
              <w:top w:val="nil"/>
              <w:left w:val="nil"/>
              <w:bottom w:val="single" w:sz="4" w:space="0" w:color="auto"/>
              <w:right w:val="single" w:sz="4" w:space="0" w:color="auto"/>
            </w:tcBorders>
            <w:shd w:val="clear" w:color="auto" w:fill="auto"/>
            <w:vAlign w:val="center"/>
            <w:hideMark/>
          </w:tcPr>
          <w:p w:rsidR="00A54517" w:rsidRPr="001816C3" w:rsidP="00961C50" w14:paraId="74F96689" w14:textId="11637C6F">
            <w:pPr>
              <w:spacing w:after="0" w:line="240" w:lineRule="auto"/>
              <w:rPr>
                <w:rFonts w:eastAsia="Times New Roman" w:cstheme="minorHAnsi"/>
              </w:rPr>
            </w:pPr>
            <w:r w:rsidRPr="001816C3">
              <w:rPr>
                <w:rFonts w:cs="Calibri"/>
                <w:color w:val="000000"/>
              </w:rPr>
              <w:t>Annual federal staff cost: OPM Washington-Baltimore-Northern Virginia, DC-MD-PA-VA-WV area,</w:t>
            </w:r>
            <w:r w:rsidRPr="001816C3">
              <w:rPr>
                <w:color w:val="000000"/>
                <w:u w:val="single"/>
              </w:rPr>
              <w:t xml:space="preserve"> </w:t>
            </w:r>
            <w:r w:rsidRPr="001816C3">
              <w:rPr>
                <w:color w:val="000000"/>
              </w:rPr>
              <w:t xml:space="preserve">GS-15 Step 1 pay rates </w:t>
            </w:r>
            <w:r w:rsidRPr="001816C3">
              <w:rPr>
                <w:color w:val="00000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A54517" w:rsidRPr="001816C3" w:rsidP="00961C50" w14:paraId="00477D47" w14:textId="77777777">
            <w:pPr>
              <w:spacing w:after="0" w:line="240" w:lineRule="auto"/>
              <w:ind w:left="-194" w:right="-195"/>
              <w:rPr>
                <w:rFonts w:ascii="Calibri" w:eastAsia="Times New Roman" w:hAnsi="Calibri" w:cs="Calibri"/>
                <w:color w:val="000000"/>
              </w:rPr>
            </w:pPr>
            <w:r w:rsidRPr="001816C3">
              <w:rPr>
                <w:rFonts w:ascii="Calibri" w:eastAsia="Times New Roman" w:hAnsi="Calibri" w:cs="Calibri"/>
                <w:color w:val="000000"/>
              </w:rPr>
              <w:t>2023</w:t>
            </w:r>
          </w:p>
        </w:tc>
        <w:tc>
          <w:tcPr>
            <w:tcW w:w="1170" w:type="dxa"/>
            <w:tcBorders>
              <w:top w:val="nil"/>
              <w:left w:val="nil"/>
              <w:bottom w:val="single" w:sz="4" w:space="0" w:color="auto"/>
              <w:right w:val="single" w:sz="4" w:space="0" w:color="auto"/>
            </w:tcBorders>
            <w:shd w:val="clear" w:color="auto" w:fill="auto"/>
            <w:noWrap/>
            <w:vAlign w:val="center"/>
            <w:hideMark/>
          </w:tcPr>
          <w:p w:rsidR="00A54517" w:rsidRPr="001816C3" w:rsidP="00961C50" w14:paraId="519DBE18" w14:textId="7326CEC6">
            <w:pPr>
              <w:spacing w:after="0" w:line="240" w:lineRule="auto"/>
              <w:ind w:left="-194" w:right="-195"/>
              <w:rPr>
                <w:rFonts w:ascii="Calibri" w:eastAsia="Times New Roman" w:hAnsi="Calibri" w:cs="Calibri"/>
                <w:color w:val="000000"/>
              </w:rPr>
            </w:pPr>
            <w:r w:rsidRPr="001816C3">
              <w:rPr>
                <w:rFonts w:cs="Calibri"/>
                <w:color w:val="000000"/>
              </w:rPr>
              <w:t>$78.56</w:t>
            </w:r>
          </w:p>
        </w:tc>
        <w:tc>
          <w:tcPr>
            <w:tcW w:w="1018" w:type="dxa"/>
            <w:tcBorders>
              <w:top w:val="nil"/>
              <w:left w:val="nil"/>
              <w:bottom w:val="single" w:sz="4" w:space="0" w:color="auto"/>
              <w:right w:val="single" w:sz="4" w:space="0" w:color="auto"/>
            </w:tcBorders>
            <w:shd w:val="clear" w:color="auto" w:fill="auto"/>
            <w:noWrap/>
            <w:vAlign w:val="center"/>
            <w:hideMark/>
          </w:tcPr>
          <w:p w:rsidR="00A54517" w:rsidRPr="001816C3" w:rsidP="00961C50" w14:paraId="2B928C7E" w14:textId="38049891">
            <w:pPr>
              <w:spacing w:after="0" w:line="240" w:lineRule="auto"/>
              <w:ind w:left="-194" w:right="-195"/>
              <w:rPr>
                <w:rFonts w:cs="Calibri"/>
                <w:color w:val="000000"/>
              </w:rPr>
            </w:pPr>
            <w:r w:rsidRPr="001816C3">
              <w:rPr>
                <w:rFonts w:cs="Calibri"/>
                <w:color w:val="000000"/>
              </w:rPr>
              <w:t>$50.20</w:t>
            </w:r>
          </w:p>
        </w:tc>
        <w:tc>
          <w:tcPr>
            <w:tcW w:w="1232" w:type="dxa"/>
            <w:tcBorders>
              <w:top w:val="nil"/>
              <w:left w:val="nil"/>
              <w:bottom w:val="single" w:sz="4" w:space="0" w:color="auto"/>
              <w:right w:val="single" w:sz="4" w:space="0" w:color="auto"/>
            </w:tcBorders>
            <w:shd w:val="clear" w:color="auto" w:fill="auto"/>
            <w:vAlign w:val="center"/>
            <w:hideMark/>
          </w:tcPr>
          <w:p w:rsidR="00A54517" w:rsidRPr="001816C3" w:rsidP="00961C50" w14:paraId="3024839C" w14:textId="4A66F246">
            <w:pPr>
              <w:spacing w:after="0" w:line="240" w:lineRule="auto"/>
              <w:ind w:left="-194" w:right="-195"/>
              <w:rPr>
                <w:rFonts w:ascii="Calibri" w:eastAsia="Times New Roman" w:hAnsi="Calibri" w:cs="Calibri"/>
                <w:color w:val="000000"/>
              </w:rPr>
            </w:pPr>
            <w:r w:rsidRPr="001816C3">
              <w:rPr>
                <w:rFonts w:cs="Calibri"/>
                <w:color w:val="000000"/>
              </w:rPr>
              <w:t>$128.76</w:t>
            </w:r>
          </w:p>
        </w:tc>
        <w:tc>
          <w:tcPr>
            <w:tcW w:w="1620" w:type="dxa"/>
            <w:tcBorders>
              <w:top w:val="nil"/>
              <w:left w:val="nil"/>
              <w:bottom w:val="single" w:sz="4" w:space="0" w:color="auto"/>
              <w:right w:val="single" w:sz="4" w:space="0" w:color="auto"/>
            </w:tcBorders>
            <w:shd w:val="clear" w:color="auto" w:fill="auto"/>
            <w:vAlign w:val="center"/>
            <w:hideMark/>
          </w:tcPr>
          <w:p w:rsidR="00A54517" w:rsidRPr="001816C3" w:rsidP="00961C50" w14:paraId="03D9B63E" w14:textId="60FFDC7F">
            <w:pPr>
              <w:spacing w:after="0" w:line="240" w:lineRule="auto"/>
              <w:ind w:left="-194" w:right="-195"/>
              <w:rPr>
                <w:rFonts w:ascii="Calibri" w:eastAsia="Times New Roman" w:hAnsi="Calibri" w:cs="Calibri"/>
                <w:color w:val="000000"/>
              </w:rPr>
            </w:pPr>
            <w:r w:rsidRPr="001816C3">
              <w:rPr>
                <w:rFonts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A54517" w:rsidRPr="001816C3" w:rsidP="00961C50" w14:paraId="52310F56" w14:textId="68A14642">
            <w:pPr>
              <w:spacing w:after="0" w:line="240" w:lineRule="auto"/>
              <w:ind w:left="-194" w:right="-195"/>
              <w:rPr>
                <w:rFonts w:ascii="Calibri" w:eastAsia="Times New Roman" w:hAnsi="Calibri" w:cs="Calibri"/>
                <w:color w:val="000000"/>
              </w:rPr>
            </w:pPr>
            <w:r w:rsidRPr="001816C3">
              <w:rPr>
                <w:rFonts w:cs="Calibri"/>
                <w:color w:val="000000"/>
              </w:rPr>
              <w:t>$25.75</w:t>
            </w:r>
          </w:p>
        </w:tc>
        <w:tc>
          <w:tcPr>
            <w:tcW w:w="1440" w:type="dxa"/>
            <w:tcBorders>
              <w:top w:val="nil"/>
              <w:left w:val="nil"/>
              <w:bottom w:val="single" w:sz="4" w:space="0" w:color="auto"/>
              <w:right w:val="single" w:sz="4" w:space="0" w:color="auto"/>
            </w:tcBorders>
            <w:shd w:val="clear" w:color="auto" w:fill="auto"/>
            <w:vAlign w:val="center"/>
            <w:hideMark/>
          </w:tcPr>
          <w:p w:rsidR="00A54517" w:rsidRPr="001816C3" w:rsidP="00961C50" w14:paraId="3F263387" w14:textId="48540E5A">
            <w:pPr>
              <w:spacing w:after="0" w:line="240" w:lineRule="auto"/>
              <w:ind w:left="-194" w:right="-195"/>
              <w:rPr>
                <w:rFonts w:ascii="Calibri" w:eastAsia="Times New Roman" w:hAnsi="Calibri" w:cs="Calibri"/>
                <w:color w:val="000000"/>
              </w:rPr>
            </w:pPr>
            <w:r w:rsidRPr="001816C3">
              <w:rPr>
                <w:rFonts w:cs="Calibri"/>
                <w:color w:val="000000"/>
              </w:rPr>
              <w:t>$154.51</w:t>
            </w:r>
          </w:p>
        </w:tc>
      </w:tr>
      <w:tr w14:paraId="2EB3FD22" w14:textId="77777777" w:rsidTr="009042A9">
        <w:tblPrEx>
          <w:tblW w:w="0" w:type="auto"/>
          <w:tblInd w:w="113" w:type="dxa"/>
          <w:tblLayout w:type="fixed"/>
          <w:tblLook w:val="04A0"/>
        </w:tblPrEx>
        <w:trPr>
          <w:trHeight w:val="102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A54517" w:rsidRPr="001816C3" w:rsidP="00961C50" w14:paraId="35A1D555" w14:textId="0CCE9063">
            <w:pPr>
              <w:spacing w:after="0" w:line="240" w:lineRule="auto"/>
              <w:rPr>
                <w:rFonts w:eastAsia="Times New Roman" w:cstheme="minorHAnsi"/>
              </w:rPr>
            </w:pPr>
            <w:r w:rsidRPr="001816C3">
              <w:rPr>
                <w:color w:val="000000"/>
              </w:rPr>
              <w:t>EPA staff - Program Lead</w:t>
            </w:r>
          </w:p>
        </w:tc>
        <w:tc>
          <w:tcPr>
            <w:tcW w:w="2610" w:type="dxa"/>
            <w:tcBorders>
              <w:top w:val="nil"/>
              <w:left w:val="nil"/>
              <w:bottom w:val="single" w:sz="4" w:space="0" w:color="auto"/>
              <w:right w:val="single" w:sz="4" w:space="0" w:color="auto"/>
            </w:tcBorders>
            <w:shd w:val="clear" w:color="auto" w:fill="auto"/>
            <w:vAlign w:val="center"/>
            <w:hideMark/>
          </w:tcPr>
          <w:p w:rsidR="00A54517" w:rsidRPr="001816C3" w:rsidP="00961C50" w14:paraId="1C81FD57" w14:textId="085E1C74">
            <w:pPr>
              <w:spacing w:after="0" w:line="240" w:lineRule="auto"/>
              <w:rPr>
                <w:rFonts w:eastAsia="Times New Roman" w:cstheme="minorHAnsi"/>
              </w:rPr>
            </w:pPr>
            <w:r w:rsidRPr="001816C3">
              <w:rPr>
                <w:color w:val="000000"/>
              </w:rPr>
              <w:t>Annual federal staff cost: OPM Washington-Baltimore-Northern Virginia, DC-MD-PA-VA-WV area,</w:t>
            </w:r>
            <w:r w:rsidRPr="001816C3">
              <w:rPr>
                <w:color w:val="000000"/>
                <w:u w:val="single"/>
              </w:rPr>
              <w:t xml:space="preserve"> </w:t>
            </w:r>
            <w:r w:rsidRPr="001816C3">
              <w:rPr>
                <w:color w:val="000000"/>
              </w:rPr>
              <w:t xml:space="preserve">GS-14 Step 1 pay rates </w:t>
            </w:r>
            <w:r w:rsidRPr="001816C3">
              <w:rPr>
                <w:color w:val="00000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A54517" w:rsidRPr="001816C3" w:rsidP="00961C50" w14:paraId="64ABEA24" w14:textId="77777777">
            <w:pPr>
              <w:spacing w:after="0" w:line="240" w:lineRule="auto"/>
              <w:ind w:left="-194" w:right="-195"/>
              <w:rPr>
                <w:rFonts w:ascii="Calibri" w:eastAsia="Times New Roman" w:hAnsi="Calibri" w:cs="Calibri"/>
                <w:color w:val="000000"/>
              </w:rPr>
            </w:pPr>
            <w:r w:rsidRPr="001816C3">
              <w:rPr>
                <w:rFonts w:ascii="Calibri" w:eastAsia="Times New Roman" w:hAnsi="Calibri" w:cs="Calibri"/>
                <w:color w:val="000000"/>
              </w:rPr>
              <w:t>2023</w:t>
            </w:r>
          </w:p>
        </w:tc>
        <w:tc>
          <w:tcPr>
            <w:tcW w:w="1170" w:type="dxa"/>
            <w:tcBorders>
              <w:top w:val="nil"/>
              <w:left w:val="nil"/>
              <w:bottom w:val="single" w:sz="4" w:space="0" w:color="auto"/>
              <w:right w:val="single" w:sz="4" w:space="0" w:color="auto"/>
            </w:tcBorders>
            <w:shd w:val="clear" w:color="auto" w:fill="auto"/>
            <w:vAlign w:val="center"/>
            <w:hideMark/>
          </w:tcPr>
          <w:p w:rsidR="00A54517" w:rsidRPr="001816C3" w:rsidP="00961C50" w14:paraId="32425167" w14:textId="0DF33557">
            <w:pPr>
              <w:spacing w:after="0" w:line="240" w:lineRule="auto"/>
              <w:ind w:left="-194" w:right="-195"/>
              <w:rPr>
                <w:rFonts w:ascii="Calibri" w:eastAsia="Times New Roman" w:hAnsi="Calibri" w:cs="Calibri"/>
                <w:color w:val="000000"/>
              </w:rPr>
            </w:pPr>
            <w:r w:rsidRPr="001816C3">
              <w:rPr>
                <w:color w:val="000000"/>
              </w:rPr>
              <w:t>$66.79</w:t>
            </w:r>
          </w:p>
        </w:tc>
        <w:tc>
          <w:tcPr>
            <w:tcW w:w="1018" w:type="dxa"/>
            <w:tcBorders>
              <w:top w:val="nil"/>
              <w:left w:val="nil"/>
              <w:bottom w:val="single" w:sz="4" w:space="0" w:color="auto"/>
              <w:right w:val="single" w:sz="4" w:space="0" w:color="auto"/>
            </w:tcBorders>
            <w:shd w:val="clear" w:color="auto" w:fill="auto"/>
            <w:noWrap/>
            <w:vAlign w:val="center"/>
            <w:hideMark/>
          </w:tcPr>
          <w:p w:rsidR="00A54517" w:rsidRPr="001816C3" w:rsidP="00961C50" w14:paraId="3539AC98" w14:textId="61870999">
            <w:pPr>
              <w:spacing w:after="0" w:line="240" w:lineRule="auto"/>
              <w:ind w:left="-194" w:right="-195"/>
              <w:rPr>
                <w:rFonts w:cs="Calibri"/>
                <w:color w:val="000000"/>
              </w:rPr>
            </w:pPr>
            <w:r w:rsidRPr="001816C3">
              <w:rPr>
                <w:rFonts w:cs="Calibri"/>
                <w:color w:val="000000"/>
              </w:rPr>
              <w:t>$42.68</w:t>
            </w:r>
          </w:p>
        </w:tc>
        <w:tc>
          <w:tcPr>
            <w:tcW w:w="1232" w:type="dxa"/>
            <w:tcBorders>
              <w:top w:val="nil"/>
              <w:left w:val="nil"/>
              <w:bottom w:val="single" w:sz="4" w:space="0" w:color="auto"/>
              <w:right w:val="single" w:sz="4" w:space="0" w:color="auto"/>
            </w:tcBorders>
            <w:shd w:val="clear" w:color="auto" w:fill="auto"/>
            <w:vAlign w:val="center"/>
            <w:hideMark/>
          </w:tcPr>
          <w:p w:rsidR="00A54517" w:rsidRPr="001816C3" w:rsidP="00961C50" w14:paraId="009F0456" w14:textId="246FF09A">
            <w:pPr>
              <w:spacing w:after="0" w:line="240" w:lineRule="auto"/>
              <w:ind w:left="-194" w:right="-195"/>
              <w:rPr>
                <w:rFonts w:ascii="Calibri" w:eastAsia="Times New Roman" w:hAnsi="Calibri" w:cs="Calibri"/>
                <w:color w:val="000000"/>
              </w:rPr>
            </w:pPr>
            <w:r w:rsidRPr="001816C3">
              <w:rPr>
                <w:color w:val="000000"/>
              </w:rPr>
              <w:t>$109.47</w:t>
            </w:r>
          </w:p>
        </w:tc>
        <w:tc>
          <w:tcPr>
            <w:tcW w:w="1620" w:type="dxa"/>
            <w:tcBorders>
              <w:top w:val="nil"/>
              <w:left w:val="nil"/>
              <w:bottom w:val="single" w:sz="4" w:space="0" w:color="auto"/>
              <w:right w:val="single" w:sz="4" w:space="0" w:color="auto"/>
            </w:tcBorders>
            <w:shd w:val="clear" w:color="auto" w:fill="auto"/>
            <w:vAlign w:val="center"/>
            <w:hideMark/>
          </w:tcPr>
          <w:p w:rsidR="00A54517" w:rsidRPr="001816C3" w:rsidP="00961C50" w14:paraId="6F7604CC" w14:textId="19DE97B3">
            <w:pPr>
              <w:spacing w:after="0" w:line="240" w:lineRule="auto"/>
              <w:ind w:left="-194" w:right="-195"/>
              <w:rPr>
                <w:rFonts w:ascii="Calibri" w:eastAsia="Times New Roman" w:hAnsi="Calibri" w:cs="Calibri"/>
                <w:color w:val="000000"/>
              </w:rPr>
            </w:pPr>
            <w:r w:rsidRPr="001816C3">
              <w:rPr>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A54517" w:rsidRPr="001816C3" w:rsidP="00961C50" w14:paraId="1DA2F0BC" w14:textId="2420E93A">
            <w:pPr>
              <w:spacing w:after="0" w:line="240" w:lineRule="auto"/>
              <w:ind w:left="-194" w:right="-195"/>
              <w:rPr>
                <w:rFonts w:ascii="Calibri" w:eastAsia="Times New Roman" w:hAnsi="Calibri" w:cs="Calibri"/>
                <w:color w:val="000000"/>
              </w:rPr>
            </w:pPr>
            <w:r w:rsidRPr="001816C3">
              <w:rPr>
                <w:color w:val="000000"/>
              </w:rPr>
              <w:t>$21.89</w:t>
            </w:r>
          </w:p>
        </w:tc>
        <w:tc>
          <w:tcPr>
            <w:tcW w:w="1440" w:type="dxa"/>
            <w:tcBorders>
              <w:top w:val="nil"/>
              <w:left w:val="nil"/>
              <w:bottom w:val="single" w:sz="4" w:space="0" w:color="auto"/>
              <w:right w:val="single" w:sz="4" w:space="0" w:color="auto"/>
            </w:tcBorders>
            <w:shd w:val="clear" w:color="auto" w:fill="auto"/>
            <w:vAlign w:val="center"/>
            <w:hideMark/>
          </w:tcPr>
          <w:p w:rsidR="00A54517" w:rsidRPr="001816C3" w:rsidP="00961C50" w14:paraId="0EFA2D99" w14:textId="23B72233">
            <w:pPr>
              <w:spacing w:after="0" w:line="240" w:lineRule="auto"/>
              <w:ind w:left="-194" w:right="-195"/>
              <w:rPr>
                <w:rFonts w:ascii="Calibri" w:eastAsia="Times New Roman" w:hAnsi="Calibri" w:cs="Calibri"/>
                <w:color w:val="000000"/>
              </w:rPr>
            </w:pPr>
            <w:r w:rsidRPr="001816C3">
              <w:rPr>
                <w:rFonts w:cs="Calibri"/>
                <w:color w:val="000000"/>
              </w:rPr>
              <w:t>$131.36</w:t>
            </w:r>
          </w:p>
        </w:tc>
      </w:tr>
      <w:tr w14:paraId="5BBCAD6F" w14:textId="77777777" w:rsidTr="009042A9">
        <w:tblPrEx>
          <w:tblW w:w="0" w:type="auto"/>
          <w:tblInd w:w="113" w:type="dxa"/>
          <w:tblLayout w:type="fixed"/>
          <w:tblLook w:val="04A0"/>
        </w:tblPrEx>
        <w:trPr>
          <w:trHeight w:val="102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A54517" w:rsidRPr="001816C3" w:rsidP="00961C50" w14:paraId="4A02BDD2" w14:textId="5A533801">
            <w:pPr>
              <w:spacing w:after="0" w:line="240" w:lineRule="auto"/>
              <w:rPr>
                <w:rFonts w:eastAsia="Times New Roman" w:cstheme="minorHAnsi"/>
              </w:rPr>
            </w:pPr>
            <w:r w:rsidRPr="001816C3">
              <w:rPr>
                <w:rFonts w:cs="Calibri"/>
                <w:color w:val="000000"/>
              </w:rPr>
              <w:t>EPA staff - Project Officer</w:t>
            </w:r>
          </w:p>
        </w:tc>
        <w:tc>
          <w:tcPr>
            <w:tcW w:w="2610" w:type="dxa"/>
            <w:tcBorders>
              <w:top w:val="nil"/>
              <w:left w:val="nil"/>
              <w:bottom w:val="single" w:sz="4" w:space="0" w:color="auto"/>
              <w:right w:val="single" w:sz="4" w:space="0" w:color="auto"/>
            </w:tcBorders>
            <w:shd w:val="clear" w:color="auto" w:fill="auto"/>
            <w:vAlign w:val="center"/>
            <w:hideMark/>
          </w:tcPr>
          <w:p w:rsidR="00A54517" w:rsidRPr="001816C3" w:rsidP="00961C50" w14:paraId="6638EB2B" w14:textId="7D50BAFC">
            <w:pPr>
              <w:spacing w:after="0" w:line="240" w:lineRule="auto"/>
              <w:rPr>
                <w:rFonts w:eastAsia="Times New Roman" w:cstheme="minorHAnsi"/>
              </w:rPr>
            </w:pPr>
            <w:r w:rsidRPr="001816C3">
              <w:rPr>
                <w:rFonts w:cs="Calibri"/>
                <w:color w:val="000000"/>
              </w:rPr>
              <w:t>Annual federal staff cost: OPM Washington-Baltimore-Northern Virginia, DC-MD-PA-VA-WV area,</w:t>
            </w:r>
            <w:r w:rsidRPr="001816C3">
              <w:rPr>
                <w:color w:val="000000"/>
                <w:u w:val="single"/>
              </w:rPr>
              <w:t xml:space="preserve"> </w:t>
            </w:r>
            <w:r w:rsidRPr="001816C3">
              <w:rPr>
                <w:color w:val="000000"/>
              </w:rPr>
              <w:t xml:space="preserve">GS-11 Step 1 pay rates </w:t>
            </w:r>
            <w:r w:rsidRPr="001816C3">
              <w:rPr>
                <w:color w:val="00000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A54517" w:rsidRPr="001816C3" w:rsidP="00961C50" w14:paraId="6C01FC12" w14:textId="77777777">
            <w:pPr>
              <w:spacing w:after="0" w:line="240" w:lineRule="auto"/>
              <w:ind w:left="-194" w:right="-195"/>
              <w:rPr>
                <w:rFonts w:ascii="Calibri" w:eastAsia="Times New Roman" w:hAnsi="Calibri" w:cs="Calibri"/>
                <w:color w:val="000000"/>
              </w:rPr>
            </w:pPr>
            <w:r w:rsidRPr="001816C3">
              <w:rPr>
                <w:rFonts w:ascii="Calibri" w:eastAsia="Times New Roman" w:hAnsi="Calibri" w:cs="Calibri"/>
                <w:color w:val="000000"/>
              </w:rPr>
              <w:t>2023</w:t>
            </w:r>
          </w:p>
        </w:tc>
        <w:tc>
          <w:tcPr>
            <w:tcW w:w="1170" w:type="dxa"/>
            <w:tcBorders>
              <w:top w:val="nil"/>
              <w:left w:val="nil"/>
              <w:bottom w:val="single" w:sz="4" w:space="0" w:color="auto"/>
              <w:right w:val="single" w:sz="4" w:space="0" w:color="auto"/>
            </w:tcBorders>
            <w:shd w:val="clear" w:color="auto" w:fill="auto"/>
            <w:vAlign w:val="center"/>
            <w:hideMark/>
          </w:tcPr>
          <w:p w:rsidR="00A54517" w:rsidRPr="001816C3" w:rsidP="00961C50" w14:paraId="2330300F" w14:textId="50E6B050">
            <w:pPr>
              <w:spacing w:after="0" w:line="240" w:lineRule="auto"/>
              <w:ind w:left="-194" w:right="-195"/>
              <w:rPr>
                <w:rFonts w:ascii="Calibri" w:eastAsia="Times New Roman" w:hAnsi="Calibri" w:cs="Calibri"/>
                <w:color w:val="000000"/>
              </w:rPr>
            </w:pPr>
            <w:r w:rsidRPr="001816C3">
              <w:rPr>
                <w:rFonts w:cs="Calibri"/>
                <w:color w:val="000000"/>
              </w:rPr>
              <w:t>$39.66</w:t>
            </w:r>
          </w:p>
        </w:tc>
        <w:tc>
          <w:tcPr>
            <w:tcW w:w="1018" w:type="dxa"/>
            <w:tcBorders>
              <w:top w:val="nil"/>
              <w:left w:val="nil"/>
              <w:bottom w:val="single" w:sz="4" w:space="0" w:color="auto"/>
              <w:right w:val="single" w:sz="4" w:space="0" w:color="auto"/>
            </w:tcBorders>
            <w:shd w:val="clear" w:color="auto" w:fill="auto"/>
            <w:noWrap/>
            <w:vAlign w:val="center"/>
            <w:hideMark/>
          </w:tcPr>
          <w:p w:rsidR="00A54517" w:rsidRPr="001816C3" w:rsidP="00961C50" w14:paraId="0AB06A1F" w14:textId="424E7D09">
            <w:pPr>
              <w:spacing w:after="0" w:line="240" w:lineRule="auto"/>
              <w:ind w:left="-194" w:right="-195"/>
              <w:rPr>
                <w:rFonts w:cs="Calibri"/>
                <w:color w:val="000000"/>
              </w:rPr>
            </w:pPr>
            <w:r w:rsidRPr="001816C3">
              <w:rPr>
                <w:rFonts w:cs="Calibri"/>
                <w:color w:val="000000"/>
              </w:rPr>
              <w:t>$25.34</w:t>
            </w:r>
          </w:p>
        </w:tc>
        <w:tc>
          <w:tcPr>
            <w:tcW w:w="1232" w:type="dxa"/>
            <w:tcBorders>
              <w:top w:val="nil"/>
              <w:left w:val="nil"/>
              <w:bottom w:val="single" w:sz="4" w:space="0" w:color="auto"/>
              <w:right w:val="single" w:sz="4" w:space="0" w:color="auto"/>
            </w:tcBorders>
            <w:shd w:val="clear" w:color="auto" w:fill="auto"/>
            <w:vAlign w:val="center"/>
            <w:hideMark/>
          </w:tcPr>
          <w:p w:rsidR="00A54517" w:rsidRPr="001816C3" w:rsidP="00961C50" w14:paraId="2CE3E35B" w14:textId="1741758D">
            <w:pPr>
              <w:spacing w:after="0" w:line="240" w:lineRule="auto"/>
              <w:ind w:left="-194" w:right="-195"/>
              <w:rPr>
                <w:rFonts w:ascii="Calibri" w:eastAsia="Times New Roman" w:hAnsi="Calibri" w:cs="Calibri"/>
                <w:color w:val="000000"/>
              </w:rPr>
            </w:pPr>
            <w:r w:rsidRPr="001816C3">
              <w:rPr>
                <w:rFonts w:cs="Calibri"/>
                <w:color w:val="000000"/>
              </w:rPr>
              <w:t>$65.00</w:t>
            </w:r>
          </w:p>
        </w:tc>
        <w:tc>
          <w:tcPr>
            <w:tcW w:w="1620" w:type="dxa"/>
            <w:tcBorders>
              <w:top w:val="nil"/>
              <w:left w:val="nil"/>
              <w:bottom w:val="single" w:sz="4" w:space="0" w:color="auto"/>
              <w:right w:val="single" w:sz="4" w:space="0" w:color="auto"/>
            </w:tcBorders>
            <w:shd w:val="clear" w:color="auto" w:fill="auto"/>
            <w:vAlign w:val="center"/>
            <w:hideMark/>
          </w:tcPr>
          <w:p w:rsidR="00A54517" w:rsidRPr="001816C3" w:rsidP="00961C50" w14:paraId="3D95E776" w14:textId="5CE3435F">
            <w:pPr>
              <w:spacing w:after="0" w:line="240" w:lineRule="auto"/>
              <w:ind w:left="-194" w:right="-195"/>
              <w:rPr>
                <w:rFonts w:ascii="Calibri" w:eastAsia="Times New Roman" w:hAnsi="Calibri" w:cs="Calibri"/>
                <w:color w:val="000000"/>
              </w:rPr>
            </w:pPr>
            <w:r w:rsidRPr="001816C3">
              <w:rPr>
                <w:rFonts w:cs="Calibri"/>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A54517" w:rsidRPr="001816C3" w:rsidP="00961C50" w14:paraId="3ADD65B2" w14:textId="2D6C63BF">
            <w:pPr>
              <w:spacing w:after="0" w:line="240" w:lineRule="auto"/>
              <w:ind w:left="-194" w:right="-195"/>
              <w:rPr>
                <w:rFonts w:ascii="Calibri" w:eastAsia="Times New Roman" w:hAnsi="Calibri" w:cs="Calibri"/>
                <w:color w:val="000000"/>
              </w:rPr>
            </w:pPr>
            <w:r w:rsidRPr="001816C3">
              <w:rPr>
                <w:rFonts w:cs="Calibri"/>
                <w:color w:val="000000"/>
              </w:rPr>
              <w:t>$13.00</w:t>
            </w:r>
          </w:p>
        </w:tc>
        <w:tc>
          <w:tcPr>
            <w:tcW w:w="1440" w:type="dxa"/>
            <w:tcBorders>
              <w:top w:val="nil"/>
              <w:left w:val="nil"/>
              <w:bottom w:val="single" w:sz="4" w:space="0" w:color="auto"/>
              <w:right w:val="single" w:sz="4" w:space="0" w:color="auto"/>
            </w:tcBorders>
            <w:shd w:val="clear" w:color="auto" w:fill="auto"/>
            <w:vAlign w:val="center"/>
            <w:hideMark/>
          </w:tcPr>
          <w:p w:rsidR="00A54517" w:rsidRPr="001816C3" w:rsidP="00961C50" w14:paraId="5A93309C" w14:textId="2D307409">
            <w:pPr>
              <w:spacing w:after="0" w:line="240" w:lineRule="auto"/>
              <w:ind w:left="-194" w:right="-195"/>
              <w:rPr>
                <w:rFonts w:ascii="Calibri" w:eastAsia="Times New Roman" w:hAnsi="Calibri" w:cs="Calibri"/>
                <w:color w:val="000000"/>
              </w:rPr>
            </w:pPr>
            <w:r w:rsidRPr="001816C3">
              <w:rPr>
                <w:rFonts w:cs="Calibri"/>
                <w:color w:val="000000"/>
              </w:rPr>
              <w:t>$78.00</w:t>
            </w:r>
          </w:p>
        </w:tc>
      </w:tr>
      <w:tr w14:paraId="07DC35A3" w14:textId="77777777" w:rsidTr="00D17A73">
        <w:tblPrEx>
          <w:tblW w:w="0" w:type="auto"/>
          <w:tblInd w:w="113" w:type="dxa"/>
          <w:tblLayout w:type="fixed"/>
          <w:tblLook w:val="04A0"/>
        </w:tblPrEx>
        <w:trPr>
          <w:trHeight w:val="300"/>
        </w:trPr>
        <w:tc>
          <w:tcPr>
            <w:tcW w:w="1277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97B87" w:rsidRPr="001816C3" w:rsidP="00961C50" w14:paraId="70565037" w14:textId="77777777">
            <w:pPr>
              <w:spacing w:after="0" w:line="240" w:lineRule="auto"/>
              <w:rPr>
                <w:rFonts w:eastAsia="Times New Roman" w:cstheme="minorHAnsi"/>
                <w:b/>
                <w:bCs/>
                <w:color w:val="000000"/>
                <w:sz w:val="18"/>
                <w:szCs w:val="18"/>
              </w:rPr>
            </w:pPr>
            <w:r w:rsidRPr="001816C3">
              <w:rPr>
                <w:rFonts w:eastAsia="Times New Roman" w:cstheme="minorHAnsi"/>
                <w:b/>
                <w:bCs/>
                <w:color w:val="000000"/>
                <w:sz w:val="18"/>
                <w:szCs w:val="18"/>
              </w:rPr>
              <w:t>Footnotes</w:t>
            </w:r>
          </w:p>
          <w:p w:rsidR="00B97B87" w:rsidRPr="001816C3" w:rsidP="00961C50" w14:paraId="3A504677" w14:textId="3C26BE33">
            <w:pPr>
              <w:spacing w:after="0" w:line="240" w:lineRule="auto"/>
              <w:rPr>
                <w:rFonts w:eastAsia="Times New Roman" w:cstheme="minorHAnsi"/>
                <w:color w:val="000000"/>
                <w:sz w:val="18"/>
                <w:szCs w:val="18"/>
              </w:rPr>
            </w:pPr>
            <w:r w:rsidRPr="001816C3">
              <w:rPr>
                <w:rFonts w:eastAsia="Times New Roman" w:cstheme="minorHAnsi"/>
                <w:color w:val="000000"/>
                <w:sz w:val="18"/>
                <w:szCs w:val="18"/>
                <w:vertAlign w:val="superscript"/>
              </w:rPr>
              <w:t>a</w:t>
            </w:r>
            <w:r w:rsidRPr="001816C3">
              <w:rPr>
                <w:rFonts w:eastAsia="Times New Roman" w:cstheme="minorHAnsi"/>
                <w:color w:val="000000"/>
                <w:sz w:val="18"/>
                <w:szCs w:val="18"/>
              </w:rPr>
              <w:t xml:space="preserve"> Source of wage: </w:t>
            </w:r>
            <w:r w:rsidRPr="001816C3" w:rsidR="00A00FC3">
              <w:rPr>
                <w:rFonts w:eastAsia="Times New Roman" w:cstheme="minorHAnsi"/>
                <w:color w:val="000000"/>
                <w:sz w:val="18"/>
                <w:szCs w:val="18"/>
              </w:rPr>
              <w:t>Source: U.S. Office of Personnel Management. (2023). Salary Table 2023-DCB. (</w:t>
            </w:r>
            <w:hyperlink r:id="rId31" w:history="1">
              <w:r w:rsidRPr="001816C3" w:rsidR="00A00FC3">
                <w:rPr>
                  <w:rStyle w:val="Hyperlink"/>
                  <w:rFonts w:eastAsia="Times New Roman" w:cstheme="minorHAnsi"/>
                  <w:sz w:val="18"/>
                  <w:szCs w:val="18"/>
                </w:rPr>
                <w:t>https://www.opm.gov/policy-data-oversight/pay-leave/salaries-wages/salary-tables/pdf/2023/DCB_h.pdf</w:t>
              </w:r>
            </w:hyperlink>
            <w:r w:rsidRPr="001816C3" w:rsidR="00A00FC3">
              <w:rPr>
                <w:rFonts w:eastAsia="Times New Roman" w:cstheme="minorHAnsi"/>
                <w:color w:val="000000"/>
                <w:sz w:val="18"/>
                <w:szCs w:val="18"/>
              </w:rPr>
              <w:t xml:space="preserve">).  </w:t>
            </w:r>
          </w:p>
          <w:p w:rsidR="007110B8" w:rsidRPr="001816C3" w:rsidP="00961C50" w14:paraId="46B95E7D" w14:textId="77777777">
            <w:pPr>
              <w:spacing w:after="0" w:line="240" w:lineRule="auto"/>
              <w:rPr>
                <w:rFonts w:eastAsia="Times New Roman" w:cstheme="minorHAnsi"/>
                <w:color w:val="000000"/>
                <w:sz w:val="18"/>
                <w:szCs w:val="18"/>
              </w:rPr>
            </w:pPr>
            <w:r w:rsidRPr="001816C3">
              <w:rPr>
                <w:rFonts w:eastAsia="Times New Roman" w:cstheme="minorHAnsi"/>
                <w:color w:val="000000"/>
                <w:sz w:val="18"/>
                <w:szCs w:val="18"/>
                <w:vertAlign w:val="superscript"/>
              </w:rPr>
              <w:t>b</w:t>
            </w:r>
            <w:r w:rsidRPr="001816C3">
              <w:rPr>
                <w:rFonts w:eastAsia="Times New Roman" w:cstheme="minorHAnsi"/>
                <w:color w:val="000000"/>
                <w:sz w:val="18"/>
                <w:szCs w:val="18"/>
              </w:rPr>
              <w:t xml:space="preserve"> Fringe is calculated using total benefits as a percent of wage.</w:t>
            </w:r>
            <w:r w:rsidRPr="001816C3" w:rsidR="004E7601">
              <w:rPr>
                <w:rFonts w:eastAsia="Times New Roman" w:cstheme="minorHAnsi"/>
                <w:color w:val="000000"/>
                <w:sz w:val="18"/>
                <w:szCs w:val="18"/>
              </w:rPr>
              <w:t xml:space="preserve"> A </w:t>
            </w:r>
            <w:r w:rsidRPr="001816C3">
              <w:rPr>
                <w:rFonts w:eastAsia="Times New Roman" w:cstheme="minorHAnsi"/>
                <w:color w:val="000000"/>
                <w:sz w:val="18"/>
                <w:szCs w:val="18"/>
              </w:rPr>
              <w:t>percentage</w:t>
            </w:r>
            <w:r w:rsidRPr="001816C3" w:rsidR="00190390">
              <w:rPr>
                <w:rFonts w:eastAsia="Times New Roman" w:cstheme="minorHAnsi"/>
                <w:color w:val="000000"/>
                <w:sz w:val="18"/>
                <w:szCs w:val="18"/>
              </w:rPr>
              <w:t xml:space="preserve"> of 63.9% is used</w:t>
            </w:r>
            <w:r w:rsidRPr="001816C3">
              <w:rPr>
                <w:rFonts w:eastAsia="Times New Roman" w:cstheme="minorHAnsi"/>
                <w:color w:val="000000"/>
                <w:sz w:val="18"/>
                <w:szCs w:val="18"/>
              </w:rPr>
              <w:t xml:space="preserve"> based on:</w:t>
            </w:r>
            <w:r w:rsidRPr="001816C3">
              <w:rPr>
                <w:rFonts w:eastAsia="Times New Roman" w:cstheme="minorHAnsi"/>
                <w:color w:val="000000"/>
                <w:sz w:val="18"/>
                <w:szCs w:val="18"/>
              </w:rPr>
              <w:t xml:space="preserve"> </w:t>
            </w:r>
            <w:r w:rsidRPr="001816C3" w:rsidR="004E7601">
              <w:rPr>
                <w:rFonts w:eastAsia="Times New Roman" w:cstheme="minorHAnsi"/>
                <w:color w:val="000000"/>
                <w:sz w:val="18"/>
                <w:szCs w:val="18"/>
              </w:rPr>
              <w:t>Falk, J. 2012. “Comparing Benefits and Total Compensation in the Federal Government and the Private Sector.” Congressional Budget Office Working Paper Series.</w:t>
            </w:r>
          </w:p>
          <w:p w:rsidR="00B97B87" w:rsidRPr="001816C3" w:rsidP="00961C50" w14:paraId="4A57080A" w14:textId="45E48DF1">
            <w:pPr>
              <w:spacing w:after="0" w:line="240" w:lineRule="auto"/>
              <w:rPr>
                <w:rFonts w:eastAsia="Times New Roman" w:cstheme="minorHAnsi"/>
                <w:color w:val="000000"/>
                <w:sz w:val="18"/>
                <w:szCs w:val="18"/>
              </w:rPr>
            </w:pPr>
            <w:r w:rsidRPr="001816C3">
              <w:rPr>
                <w:rFonts w:eastAsia="Times New Roman" w:cstheme="minorHAnsi"/>
                <w:color w:val="000000"/>
                <w:sz w:val="18"/>
                <w:szCs w:val="18"/>
                <w:vertAlign w:val="superscript"/>
              </w:rPr>
              <w:t>c</w:t>
            </w:r>
            <w:r w:rsidRPr="001816C3">
              <w:rPr>
                <w:rFonts w:eastAsia="Times New Roman" w:cstheme="minorHAnsi"/>
                <w:color w:val="000000"/>
                <w:sz w:val="18"/>
                <w:szCs w:val="18"/>
              </w:rPr>
              <w:t xml:space="preserve"> </w:t>
            </w:r>
            <w:r w:rsidRPr="001816C3">
              <w:rPr>
                <w:rFonts w:eastAsia="Times New Roman" w:cstheme="minorHAnsi"/>
                <w:color w:val="000000"/>
                <w:sz w:val="18"/>
                <w:szCs w:val="18"/>
              </w:rPr>
              <w:t>An</w:t>
            </w:r>
            <w:r w:rsidRPr="001816C3">
              <w:rPr>
                <w:rFonts w:eastAsia="Times New Roman" w:cstheme="minorHAnsi"/>
                <w:color w:val="000000"/>
                <w:sz w:val="18"/>
                <w:szCs w:val="18"/>
              </w:rPr>
              <w:t xml:space="preserve"> overhead rate of 20% is used based on assumptions in </w:t>
            </w:r>
            <w:r w:rsidRPr="001816C3" w:rsidR="00C57AA9">
              <w:rPr>
                <w:rFonts w:eastAsia="Times New Roman" w:cstheme="minorHAnsi"/>
                <w:color w:val="000000"/>
                <w:sz w:val="18"/>
                <w:szCs w:val="18"/>
              </w:rPr>
              <w:t xml:space="preserve">EPA’s </w:t>
            </w:r>
            <w:r w:rsidRPr="001816C3">
              <w:rPr>
                <w:rFonts w:eastAsia="Times New Roman" w:cstheme="minorHAnsi"/>
                <w:color w:val="000000"/>
                <w:sz w:val="18"/>
                <w:szCs w:val="18"/>
              </w:rPr>
              <w:t>Handbook on Valuing Changes in Time Use Induced by Regulatory Requirements and Other U.S. EPA Actions</w:t>
            </w:r>
            <w:r w:rsidRPr="001816C3" w:rsidR="00C57AA9">
              <w:rPr>
                <w:rFonts w:eastAsia="Times New Roman" w:cstheme="minorHAnsi"/>
                <w:color w:val="000000"/>
                <w:sz w:val="18"/>
                <w:szCs w:val="18"/>
              </w:rPr>
              <w:t>.</w:t>
            </w:r>
            <w:r w:rsidRPr="001816C3">
              <w:rPr>
                <w:rFonts w:eastAsia="Times New Roman" w:cstheme="minorHAnsi"/>
                <w:color w:val="000000"/>
                <w:sz w:val="18"/>
                <w:szCs w:val="18"/>
              </w:rPr>
              <w:t xml:space="preserve"> </w:t>
            </w:r>
          </w:p>
        </w:tc>
      </w:tr>
    </w:tbl>
    <w:p w:rsidR="00B97B87" w:rsidRPr="001816C3" w:rsidP="00961C50" w14:paraId="4AA1BCF1" w14:textId="77777777">
      <w:pPr>
        <w:spacing w:after="0" w:line="240" w:lineRule="auto"/>
        <w:ind w:left="-90"/>
        <w:rPr>
          <w:rFonts w:ascii="Calibri" w:hAnsi="Calibri" w:cs="Calibri"/>
          <w:i/>
          <w:iCs/>
        </w:rPr>
      </w:pPr>
    </w:p>
    <w:p w:rsidR="00822B54" w:rsidRPr="001816C3" w:rsidP="00961C50" w14:paraId="24BF126A" w14:textId="29EFED2F">
      <w:pPr>
        <w:spacing w:after="0" w:line="240" w:lineRule="auto"/>
        <w:rPr>
          <w:rFonts w:ascii="Calibri" w:hAnsi="Calibri" w:cs="Calibri"/>
        </w:rPr>
      </w:pPr>
    </w:p>
    <w:tbl>
      <w:tblPr>
        <w:tblStyle w:val="TableGrid"/>
        <w:tblW w:w="0" w:type="auto"/>
        <w:tblLook w:val="04A0"/>
      </w:tblPr>
      <w:tblGrid>
        <w:gridCol w:w="2245"/>
        <w:gridCol w:w="6840"/>
      </w:tblGrid>
      <w:tr w14:paraId="084AF77C" w14:textId="77777777" w:rsidTr="000E24B6">
        <w:tblPrEx>
          <w:tblW w:w="0" w:type="auto"/>
          <w:tblLook w:val="04A0"/>
        </w:tblPrEx>
        <w:trPr>
          <w:trHeight w:val="512"/>
        </w:trPr>
        <w:tc>
          <w:tcPr>
            <w:tcW w:w="9085" w:type="dxa"/>
            <w:gridSpan w:val="2"/>
            <w:shd w:val="clear" w:color="auto" w:fill="D9D9D9" w:themeFill="background1" w:themeFillShade="D9"/>
            <w:vAlign w:val="center"/>
          </w:tcPr>
          <w:p w:rsidR="00822B54" w:rsidRPr="001816C3" w:rsidP="00961C50" w14:paraId="0C67E1B8" w14:textId="0556362A">
            <w:pPr>
              <w:rPr>
                <w:rFonts w:ascii="Calibri" w:hAnsi="Calibri" w:cs="Calibri"/>
                <w:b/>
                <w:bCs/>
              </w:rPr>
            </w:pPr>
            <w:r w:rsidRPr="001816C3">
              <w:rPr>
                <w:rFonts w:ascii="Calibri" w:eastAsia="Times New Roman" w:hAnsi="Calibri" w:cs="Calibri"/>
                <w:b/>
                <w:bCs/>
                <w:color w:val="000000"/>
              </w:rPr>
              <w:t>TABLE 1</w:t>
            </w:r>
            <w:r w:rsidRPr="001816C3" w:rsidR="009A308D">
              <w:rPr>
                <w:rFonts w:ascii="Calibri" w:eastAsia="Times New Roman" w:hAnsi="Calibri" w:cs="Calibri"/>
                <w:b/>
                <w:bCs/>
                <w:color w:val="000000"/>
              </w:rPr>
              <w:t>4</w:t>
            </w:r>
            <w:r w:rsidRPr="001816C3">
              <w:rPr>
                <w:rFonts w:ascii="Calibri" w:eastAsia="Times New Roman" w:hAnsi="Calibri" w:cs="Calibri"/>
                <w:b/>
                <w:bCs/>
                <w:color w:val="000000"/>
              </w:rPr>
              <w:t xml:space="preserve">.3: WEIGHTED </w:t>
            </w:r>
            <w:r w:rsidRPr="001816C3" w:rsidR="00CA20AB">
              <w:rPr>
                <w:rFonts w:ascii="Calibri" w:eastAsia="Times New Roman" w:hAnsi="Calibri" w:cs="Calibri"/>
                <w:b/>
                <w:bCs/>
                <w:color w:val="000000"/>
              </w:rPr>
              <w:t xml:space="preserve">LOADED </w:t>
            </w:r>
            <w:r w:rsidRPr="001816C3">
              <w:rPr>
                <w:rFonts w:ascii="Calibri" w:eastAsia="Times New Roman" w:hAnsi="Calibri" w:cs="Calibri"/>
                <w:b/>
                <w:bCs/>
                <w:color w:val="000000"/>
              </w:rPr>
              <w:t>LABOR COSTS for Agency Staff</w:t>
            </w:r>
          </w:p>
        </w:tc>
      </w:tr>
      <w:tr w14:paraId="25B8DC2B" w14:textId="77777777" w:rsidTr="000E24B6">
        <w:tblPrEx>
          <w:tblW w:w="0" w:type="auto"/>
          <w:tblLook w:val="04A0"/>
        </w:tblPrEx>
        <w:trPr>
          <w:trHeight w:val="710"/>
        </w:trPr>
        <w:tc>
          <w:tcPr>
            <w:tcW w:w="2245" w:type="dxa"/>
            <w:shd w:val="clear" w:color="auto" w:fill="F2F2F2" w:themeFill="background1" w:themeFillShade="F2"/>
            <w:vAlign w:val="center"/>
          </w:tcPr>
          <w:p w:rsidR="00822B54" w:rsidRPr="001816C3" w:rsidP="00961C50" w14:paraId="3F0506E5" w14:textId="13A1B566">
            <w:pPr>
              <w:rPr>
                <w:rFonts w:ascii="Calibri" w:hAnsi="Calibri" w:cs="Calibri"/>
              </w:rPr>
            </w:pPr>
            <w:r w:rsidRPr="001816C3">
              <w:rPr>
                <w:rFonts w:ascii="Calibri" w:hAnsi="Calibri" w:cs="Calibri"/>
              </w:rPr>
              <w:t xml:space="preserve">Weighted </w:t>
            </w:r>
            <w:r w:rsidRPr="001816C3" w:rsidR="00CA20AB">
              <w:rPr>
                <w:rFonts w:ascii="Calibri" w:hAnsi="Calibri" w:cs="Calibri"/>
              </w:rPr>
              <w:t xml:space="preserve">Loaded </w:t>
            </w:r>
            <w:r w:rsidRPr="001816C3">
              <w:rPr>
                <w:rFonts w:ascii="Calibri" w:hAnsi="Calibri" w:cs="Calibri"/>
              </w:rPr>
              <w:t>Hourly Labor Cost</w:t>
            </w:r>
          </w:p>
        </w:tc>
        <w:tc>
          <w:tcPr>
            <w:tcW w:w="6840" w:type="dxa"/>
            <w:shd w:val="clear" w:color="auto" w:fill="F2F2F2" w:themeFill="background1" w:themeFillShade="F2"/>
            <w:vAlign w:val="center"/>
          </w:tcPr>
          <w:p w:rsidR="00822B54" w:rsidRPr="001816C3" w:rsidP="00961C50" w14:paraId="3EE65788" w14:textId="77777777">
            <w:pPr>
              <w:rPr>
                <w:rFonts w:ascii="Calibri" w:hAnsi="Calibri" w:cs="Calibri"/>
              </w:rPr>
            </w:pPr>
            <w:r w:rsidRPr="001816C3">
              <w:rPr>
                <w:rFonts w:ascii="Calibri" w:hAnsi="Calibri" w:cs="Calibri"/>
              </w:rPr>
              <w:t>Explanation of Calculations</w:t>
            </w:r>
          </w:p>
        </w:tc>
      </w:tr>
      <w:tr w14:paraId="08A462DA" w14:textId="77777777" w:rsidTr="000E24B6">
        <w:tblPrEx>
          <w:tblW w:w="0" w:type="auto"/>
          <w:tblLook w:val="04A0"/>
        </w:tblPrEx>
        <w:trPr>
          <w:trHeight w:val="1079"/>
        </w:trPr>
        <w:tc>
          <w:tcPr>
            <w:tcW w:w="2245" w:type="dxa"/>
            <w:shd w:val="clear" w:color="auto" w:fill="auto"/>
            <w:vAlign w:val="center"/>
          </w:tcPr>
          <w:p w:rsidR="00822B54" w:rsidRPr="001816C3" w:rsidP="00961C50" w14:paraId="3FE31658" w14:textId="52EDA489">
            <w:pPr>
              <w:rPr>
                <w:rFonts w:ascii="Calibri" w:hAnsi="Calibri" w:cs="Calibri"/>
              </w:rPr>
            </w:pPr>
            <w:r w:rsidRPr="001816C3">
              <w:rPr>
                <w:rFonts w:ascii="Calibri" w:hAnsi="Calibri" w:cs="Calibri"/>
              </w:rPr>
              <w:t>$</w:t>
            </w:r>
            <w:r w:rsidRPr="001816C3" w:rsidR="004D006D">
              <w:rPr>
                <w:rFonts w:ascii="Calibri" w:hAnsi="Calibri" w:cs="Calibri"/>
              </w:rPr>
              <w:t>96.33</w:t>
            </w:r>
          </w:p>
        </w:tc>
        <w:tc>
          <w:tcPr>
            <w:tcW w:w="6840" w:type="dxa"/>
            <w:shd w:val="clear" w:color="auto" w:fill="auto"/>
            <w:vAlign w:val="center"/>
          </w:tcPr>
          <w:p w:rsidR="00822B54" w:rsidRPr="001816C3" w:rsidP="00961C50" w14:paraId="05DCF4B4" w14:textId="3978F9A9">
            <w:pPr>
              <w:rPr>
                <w:rFonts w:ascii="Calibri" w:eastAsia="Times New Roman" w:hAnsi="Calibri" w:cs="Calibri"/>
                <w:color w:val="000000"/>
              </w:rPr>
            </w:pPr>
            <w:r w:rsidRPr="001816C3">
              <w:rPr>
                <w:rFonts w:ascii="Calibri" w:eastAsia="Times New Roman" w:hAnsi="Calibri" w:cs="Calibri"/>
                <w:color w:val="000000"/>
              </w:rPr>
              <w:t>Weighted Hourly Labor Cost =</w:t>
            </w:r>
            <w:r w:rsidRPr="001816C3">
              <w:rPr>
                <w:rFonts w:ascii="Calibri" w:eastAsia="Times New Roman" w:hAnsi="Calibri" w:cs="Calibri"/>
                <w:color w:val="000000"/>
              </w:rPr>
              <w:br/>
              <w:t>(Wage rate * proportion of hours) calculated for each respondent group (Management, Program Lead, Project Officer) and summed.</w:t>
            </w:r>
            <w:r w:rsidRPr="001816C3" w:rsidR="004D006D">
              <w:rPr>
                <w:rFonts w:ascii="Calibri" w:eastAsia="Times New Roman" w:hAnsi="Calibri" w:cs="Calibri"/>
                <w:color w:val="000000"/>
              </w:rPr>
              <w:t xml:space="preserve"> Wages are rounded to nearest cent in analysis. </w:t>
            </w:r>
          </w:p>
        </w:tc>
      </w:tr>
    </w:tbl>
    <w:p w:rsidR="00822B54" w:rsidRPr="001816C3" w:rsidP="00961C50" w14:paraId="25710749" w14:textId="77777777">
      <w:pPr>
        <w:spacing w:after="0" w:line="240" w:lineRule="auto"/>
        <w:contextualSpacing/>
        <w:rPr>
          <w:rFonts w:ascii="Calibri" w:hAnsi="Calibri" w:cs="Calibri"/>
        </w:rPr>
      </w:pPr>
    </w:p>
    <w:p w:rsidR="00822B54" w:rsidRPr="001816C3" w:rsidP="00961C50" w14:paraId="2095B6F8" w14:textId="77777777">
      <w:pPr>
        <w:spacing w:after="0" w:line="240" w:lineRule="auto"/>
        <w:ind w:left="-90"/>
        <w:contextualSpacing/>
        <w:rPr>
          <w:rFonts w:ascii="Calibri" w:hAnsi="Calibri" w:cs="Calibri"/>
          <w:i/>
          <w:iCs/>
        </w:rPr>
      </w:pPr>
    </w:p>
    <w:p w:rsidR="00860B8A" w:rsidRPr="00DE7D97" w:rsidP="00961C50" w14:paraId="7F424829" w14:textId="4827EDB9">
      <w:pPr>
        <w:spacing w:after="0" w:line="240" w:lineRule="auto"/>
        <w:ind w:left="-90"/>
        <w:contextualSpacing/>
      </w:pPr>
      <w:r w:rsidRPr="001816C3">
        <w:rPr>
          <w:rFonts w:ascii="Calibri" w:hAnsi="Calibri" w:cs="Calibri"/>
          <w:i/>
          <w:iCs/>
        </w:rPr>
        <w:t xml:space="preserve">Total </w:t>
      </w:r>
      <w:r w:rsidRPr="001816C3" w:rsidR="00822B54">
        <w:rPr>
          <w:rFonts w:ascii="Calibri" w:hAnsi="Calibri" w:cs="Calibri"/>
          <w:i/>
          <w:iCs/>
        </w:rPr>
        <w:t>burden calculations (hours and costs) are shown in Section 14.</w:t>
      </w:r>
    </w:p>
    <w:sectPr w:rsidSect="009042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0562" w:rsidP="002335AB" w14:paraId="2D912820" w14:textId="77777777">
      <w:pPr>
        <w:spacing w:after="0" w:line="240" w:lineRule="auto"/>
      </w:pPr>
      <w:r>
        <w:separator/>
      </w:r>
    </w:p>
  </w:footnote>
  <w:footnote w:type="continuationSeparator" w:id="1">
    <w:p w:rsidR="006E0562" w:rsidP="002335AB" w14:paraId="5888DFC6" w14:textId="77777777">
      <w:pPr>
        <w:spacing w:after="0" w:line="240" w:lineRule="auto"/>
      </w:pPr>
      <w:r>
        <w:continuationSeparator/>
      </w:r>
    </w:p>
  </w:footnote>
  <w:footnote w:type="continuationNotice" w:id="2">
    <w:p w:rsidR="006E0562" w14:paraId="39C56721" w14:textId="77777777">
      <w:pPr>
        <w:spacing w:after="0" w:line="240" w:lineRule="auto"/>
      </w:pPr>
    </w:p>
  </w:footnote>
  <w:footnote w:id="3">
    <w:p w:rsidR="00150D3D" w:rsidP="00150D3D" w14:paraId="134CBC97" w14:textId="77777777">
      <w:pPr>
        <w:pStyle w:val="FootnoteText"/>
      </w:pPr>
      <w:r>
        <w:rPr>
          <w:rStyle w:val="FootnoteReference"/>
        </w:rPr>
        <w:footnoteRef/>
      </w:r>
      <w:r>
        <w:t xml:space="preserve"> URL: </w:t>
      </w:r>
      <w:r w:rsidRPr="00476B36">
        <w:t>https://www.congress.gov/bill/117th-congress/house-bill/5376/text</w:t>
      </w:r>
    </w:p>
  </w:footnote>
  <w:footnote w:id="4">
    <w:p w:rsidR="00150D3D" w:rsidP="00150D3D" w14:paraId="1FEB4800" w14:textId="77777777">
      <w:pPr>
        <w:pStyle w:val="FootnoteText"/>
      </w:pPr>
      <w:r>
        <w:rPr>
          <w:rStyle w:val="FootnoteReference"/>
        </w:rPr>
        <w:footnoteRef/>
      </w:r>
      <w:r>
        <w:t xml:space="preserve"> URL: </w:t>
      </w:r>
      <w:r w:rsidRPr="00F205C8">
        <w:t>https://www.congress.gov/bill/101st-congress/senate-bill/1630</w:t>
      </w:r>
    </w:p>
  </w:footnote>
  <w:footnote w:id="5">
    <w:p w:rsidR="00150D3D" w:rsidP="00150D3D" w14:paraId="628F5CDC" w14:textId="77777777">
      <w:pPr>
        <w:pStyle w:val="FootnoteText"/>
      </w:pPr>
      <w:r>
        <w:rPr>
          <w:rStyle w:val="FootnoteReference"/>
        </w:rPr>
        <w:footnoteRef/>
      </w:r>
      <w:r>
        <w:t xml:space="preserve"> URL: </w:t>
      </w:r>
      <w:r w:rsidRPr="00C5132D">
        <w:t>https://www.whitehouse.gov/briefing-room/presidential-actions/2021/01/20/executive-order-advancing-racial-equity-and-support-for-underserved-communities-through-the-federal-government/</w:t>
      </w:r>
    </w:p>
  </w:footnote>
  <w:footnote w:id="6">
    <w:p w:rsidR="00150D3D" w:rsidP="00150D3D" w14:paraId="33C2150D" w14:textId="77777777">
      <w:pPr>
        <w:pStyle w:val="FootnoteText"/>
      </w:pPr>
      <w:r>
        <w:rPr>
          <w:rStyle w:val="FootnoteReference"/>
        </w:rPr>
        <w:footnoteRef/>
      </w:r>
      <w:r>
        <w:t xml:space="preserve"> URL: </w:t>
      </w:r>
      <w:r w:rsidRPr="00F74A64">
        <w:t>https://www.whitehouse.gov/briefing-room/presidential-actions/2021/01/27/executive-order-on-tackling-the-climate-crisis-at-home-and-abroad/</w:t>
      </w:r>
    </w:p>
  </w:footnote>
  <w:footnote w:id="7">
    <w:p w:rsidR="0048467B" w14:paraId="20229EEA" w14:textId="4C5E03A3">
      <w:pPr>
        <w:pStyle w:val="FootnoteText"/>
      </w:pPr>
      <w:r>
        <w:rPr>
          <w:rStyle w:val="FootnoteReference"/>
        </w:rPr>
        <w:footnoteRef/>
      </w:r>
      <w:r>
        <w:t xml:space="preserve"> URL: </w:t>
      </w:r>
      <w:r w:rsidRPr="0048467B">
        <w:t>https://www.whitehouse.gov/briefing-room/presidential-actions/2023/02/16/executive-order-on-further-advancing-racial-equity-and-support-for-underserved-communities-through-the-federal-government/</w:t>
      </w:r>
    </w:p>
  </w:footnote>
  <w:footnote w:id="8">
    <w:p w:rsidR="0048467B" w14:paraId="40D0A8EA" w14:textId="588D1CDF">
      <w:pPr>
        <w:pStyle w:val="FootnoteText"/>
      </w:pPr>
      <w:r>
        <w:rPr>
          <w:rStyle w:val="FootnoteReference"/>
        </w:rPr>
        <w:footnoteRef/>
      </w:r>
      <w:r>
        <w:t xml:space="preserve"> URL: </w:t>
      </w:r>
      <w:r w:rsidRPr="0048467B">
        <w:t>https://www.federalregister.gov/documents/2023/04/26/2023-08955/revitalizing-our-nations-commitment-to-environmental-justice-for-all</w:t>
      </w:r>
    </w:p>
  </w:footnote>
  <w:footnote w:id="9">
    <w:p w:rsidR="00E739B7" w:rsidP="00E739B7" w14:paraId="60F8F50C" w14:textId="77777777">
      <w:pPr>
        <w:pStyle w:val="FootnoteText"/>
      </w:pPr>
      <w:r>
        <w:rPr>
          <w:rStyle w:val="FootnoteReference"/>
        </w:rPr>
        <w:footnoteRef/>
      </w:r>
      <w:r>
        <w:t xml:space="preserve"> URL: </w:t>
      </w:r>
      <w:r w:rsidRPr="00A659CE">
        <w:t>https://www.govinfo.gov/app/details/CFR-2014-title2-vol1/CFR-2014-title2-vol1-part200</w:t>
      </w:r>
    </w:p>
  </w:footnote>
  <w:footnote w:id="10">
    <w:p w:rsidR="00E739B7" w:rsidP="00E739B7" w14:paraId="49DDAAB8" w14:textId="77777777">
      <w:pPr>
        <w:pStyle w:val="FootnoteText"/>
      </w:pPr>
      <w:r>
        <w:rPr>
          <w:rStyle w:val="FootnoteReference"/>
        </w:rPr>
        <w:footnoteRef/>
      </w:r>
      <w:r>
        <w:t xml:space="preserve"> URL: </w:t>
      </w:r>
      <w:r w:rsidRPr="00A659CE">
        <w:t>https://www.govinfo.gov/app/details/CFR-2015-title2-vol1/CFR-2015-title2-vol1-part1500</w:t>
      </w:r>
    </w:p>
  </w:footnote>
  <w:footnote w:id="11">
    <w:p w:rsidR="00E739B7" w:rsidP="00E739B7" w14:paraId="5F70BAD4" w14:textId="77777777">
      <w:pPr>
        <w:pStyle w:val="FootnoteText"/>
      </w:pPr>
      <w:r>
        <w:rPr>
          <w:rStyle w:val="FootnoteReference"/>
        </w:rPr>
        <w:footnoteRef/>
      </w:r>
      <w:r>
        <w:t xml:space="preserve"> URL: </w:t>
      </w:r>
      <w:r w:rsidRPr="00BB3D43">
        <w:t>https://www.congress.gov/bill/111th-congress/house-bill/2142</w:t>
      </w:r>
    </w:p>
  </w:footnote>
  <w:footnote w:id="12">
    <w:p w:rsidR="00E739B7" w:rsidP="00E739B7" w14:paraId="5B487E50" w14:textId="77777777">
      <w:pPr>
        <w:pStyle w:val="FootnoteText"/>
      </w:pPr>
      <w:r>
        <w:rPr>
          <w:rStyle w:val="FootnoteReference"/>
        </w:rPr>
        <w:footnoteRef/>
      </w:r>
      <w:r>
        <w:t xml:space="preserve"> URL: </w:t>
      </w:r>
      <w:r w:rsidRPr="00BB3D43">
        <w:t>https://www.congress.gov/bill/113th-congress/senate-bill/994</w:t>
      </w:r>
    </w:p>
  </w:footnote>
  <w:footnote w:id="13">
    <w:p w:rsidR="00E739B7" w:rsidP="00E739B7" w14:paraId="293BB780" w14:textId="77777777">
      <w:pPr>
        <w:pStyle w:val="FootnoteText"/>
      </w:pPr>
      <w:r>
        <w:rPr>
          <w:rStyle w:val="FootnoteReference"/>
        </w:rPr>
        <w:footnoteRef/>
      </w:r>
      <w:r>
        <w:t xml:space="preserve"> URL: </w:t>
      </w:r>
      <w:r w:rsidRPr="00761BDB">
        <w:t>https://www.whitehouse.gov/environmentaljustice/justice40/</w:t>
      </w:r>
    </w:p>
  </w:footnote>
  <w:footnote w:id="14">
    <w:p w:rsidR="00E739B7" w:rsidP="00E739B7" w14:paraId="36C983FA" w14:textId="77777777">
      <w:pPr>
        <w:pStyle w:val="FootnoteText"/>
      </w:pPr>
      <w:r>
        <w:rPr>
          <w:rStyle w:val="FootnoteReference"/>
        </w:rPr>
        <w:footnoteRef/>
      </w:r>
      <w:r>
        <w:t xml:space="preserve"> URL: </w:t>
      </w:r>
      <w:r w:rsidRPr="00761BDB">
        <w:t>https://www.whitehouse.gov/wp-content/uploads/2021/07/M-21-28.pdf</w:t>
      </w:r>
    </w:p>
  </w:footnote>
  <w:footnote w:id="15">
    <w:p w:rsidR="00AC1F88" w:rsidP="00AC1F88" w14:paraId="397B0442" w14:textId="77777777">
      <w:pPr>
        <w:pStyle w:val="FootnoteText"/>
      </w:pPr>
      <w:r>
        <w:rPr>
          <w:rStyle w:val="FootnoteReference"/>
        </w:rPr>
        <w:footnoteRef/>
      </w:r>
      <w:r>
        <w:t xml:space="preserve"> URL: </w:t>
      </w:r>
      <w:r w:rsidRPr="00761BDB">
        <w:t>https://www.congress.gov/bill/115th-congress/house-bill/4174</w:t>
      </w:r>
    </w:p>
  </w:footnote>
  <w:footnote w:id="16">
    <w:p w:rsidR="003739C1" w14:paraId="211AADB2" w14:textId="29F65F17">
      <w:pPr>
        <w:pStyle w:val="FootnoteText"/>
      </w:pPr>
      <w:r>
        <w:rPr>
          <w:rStyle w:val="FootnoteReference"/>
        </w:rPr>
        <w:footnoteRef/>
      </w:r>
      <w:r>
        <w:t xml:space="preserve"> URL: </w:t>
      </w:r>
      <w:r w:rsidRPr="003739C1">
        <w:t>https://www.epa.gov/sites/default/files/2015-03/documents/epa_order_5700_7a1.pdf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B12" w:rsidRPr="006067A6" w:rsidP="00792C1E" w14:paraId="3F7FE6DE" w14:textId="7A9B8329">
    <w:pPr>
      <w:pStyle w:val="Header"/>
      <w:ind w:right="360"/>
      <w:jc w:val="center"/>
      <w:rPr>
        <w:b/>
        <w:bCs/>
        <w:sz w:val="20"/>
        <w:szCs w:val="20"/>
      </w:rPr>
    </w:pPr>
  </w:p>
  <w:p w:rsidR="00840B12" w14:paraId="56149F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16055"/>
    <w:multiLevelType w:val="hybridMultilevel"/>
    <w:tmpl w:val="25324D3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701542"/>
    <w:multiLevelType w:val="hybridMultilevel"/>
    <w:tmpl w:val="991669C6"/>
    <w:lvl w:ilvl="0">
      <w:start w:val="1"/>
      <w:numFmt w:val="lowerLetter"/>
      <w:lvlText w:val="%1."/>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36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6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37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abstractNum w:abstractNumId="2">
    <w:nsid w:val="07F031F9"/>
    <w:multiLevelType w:val="hybridMultilevel"/>
    <w:tmpl w:val="902EAA60"/>
    <w:lvl w:ilvl="0">
      <w:start w:val="1"/>
      <w:numFmt w:val="decimal"/>
      <w:lvlText w:val="%1."/>
      <w:lvlJc w:val="left"/>
      <w:pPr>
        <w:ind w:left="480" w:hanging="360"/>
      </w:pPr>
      <w:rPr>
        <w:rFonts w:ascii="Calibri" w:eastAsia="Calibri" w:hAnsi="Calibri" w:cs="Calibri" w:hint="default"/>
        <w:b/>
        <w:bCs/>
        <w:i w:val="0"/>
        <w:iCs w:val="0"/>
        <w:spacing w:val="0"/>
        <w:w w:val="100"/>
        <w:sz w:val="22"/>
        <w:szCs w:val="22"/>
        <w:lang w:val="en-US" w:eastAsia="en-US" w:bidi="ar-SA"/>
      </w:rPr>
    </w:lvl>
    <w:lvl w:ilvl="1">
      <w:start w:val="1"/>
      <w:numFmt w:val="decimal"/>
      <w:lvlText w:val="(%2)"/>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2">
      <w:start w:val="0"/>
      <w:numFmt w:val="bullet"/>
      <w:lvlText w:val="•"/>
      <w:lvlJc w:val="left"/>
      <w:pPr>
        <w:ind w:left="1811" w:hanging="360"/>
      </w:pPr>
      <w:rPr>
        <w:rFonts w:hint="default"/>
        <w:lang w:val="en-US" w:eastAsia="en-US" w:bidi="ar-SA"/>
      </w:rPr>
    </w:lvl>
    <w:lvl w:ilvl="3">
      <w:start w:val="0"/>
      <w:numFmt w:val="bullet"/>
      <w:lvlText w:val="•"/>
      <w:lvlJc w:val="left"/>
      <w:pPr>
        <w:ind w:left="2782" w:hanging="360"/>
      </w:pPr>
      <w:rPr>
        <w:rFonts w:hint="default"/>
        <w:lang w:val="en-US" w:eastAsia="en-US" w:bidi="ar-SA"/>
      </w:rPr>
    </w:lvl>
    <w:lvl w:ilvl="4">
      <w:start w:val="0"/>
      <w:numFmt w:val="bullet"/>
      <w:lvlText w:val="•"/>
      <w:lvlJc w:val="left"/>
      <w:pPr>
        <w:ind w:left="3753" w:hanging="360"/>
      </w:pPr>
      <w:rPr>
        <w:rFonts w:hint="default"/>
        <w:lang w:val="en-US" w:eastAsia="en-US" w:bidi="ar-SA"/>
      </w:rPr>
    </w:lvl>
    <w:lvl w:ilvl="5">
      <w:start w:val="0"/>
      <w:numFmt w:val="bullet"/>
      <w:lvlText w:val="•"/>
      <w:lvlJc w:val="left"/>
      <w:pPr>
        <w:ind w:left="4724" w:hanging="360"/>
      </w:pPr>
      <w:rPr>
        <w:rFonts w:hint="default"/>
        <w:lang w:val="en-US" w:eastAsia="en-US" w:bidi="ar-SA"/>
      </w:rPr>
    </w:lvl>
    <w:lvl w:ilvl="6">
      <w:start w:val="0"/>
      <w:numFmt w:val="bullet"/>
      <w:lvlText w:val="•"/>
      <w:lvlJc w:val="left"/>
      <w:pPr>
        <w:ind w:left="5695" w:hanging="360"/>
      </w:pPr>
      <w:rPr>
        <w:rFonts w:hint="default"/>
        <w:lang w:val="en-US" w:eastAsia="en-US" w:bidi="ar-SA"/>
      </w:rPr>
    </w:lvl>
    <w:lvl w:ilvl="7">
      <w:start w:val="0"/>
      <w:numFmt w:val="bullet"/>
      <w:lvlText w:val="•"/>
      <w:lvlJc w:val="left"/>
      <w:pPr>
        <w:ind w:left="6666"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3">
    <w:nsid w:val="0BD80859"/>
    <w:multiLevelType w:val="hybridMultilevel"/>
    <w:tmpl w:val="CB54CB12"/>
    <w:lvl w:ilvl="0">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4">
    <w:nsid w:val="0BFD11A9"/>
    <w:multiLevelType w:val="hybridMultilevel"/>
    <w:tmpl w:val="486E0C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EC6643F"/>
    <w:multiLevelType w:val="hybridMultilevel"/>
    <w:tmpl w:val="1AB02BFE"/>
    <w:lvl w:ilvl="0">
      <w:start w:val="1"/>
      <w:numFmt w:val="decimal"/>
      <w:lvlText w:val="%1."/>
      <w:lvlJc w:val="left"/>
      <w:pPr>
        <w:ind w:left="138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200" w:hanging="360"/>
      </w:pPr>
      <w:rPr>
        <w:rFonts w:hint="default"/>
        <w:lang w:val="en-US" w:eastAsia="en-US" w:bidi="ar-SA"/>
      </w:rPr>
    </w:lvl>
    <w:lvl w:ilvl="2">
      <w:start w:val="0"/>
      <w:numFmt w:val="bullet"/>
      <w:lvlText w:val="•"/>
      <w:lvlJc w:val="left"/>
      <w:pPr>
        <w:ind w:left="3020" w:hanging="360"/>
      </w:pPr>
      <w:rPr>
        <w:rFonts w:hint="default"/>
        <w:lang w:val="en-US" w:eastAsia="en-US" w:bidi="ar-SA"/>
      </w:rPr>
    </w:lvl>
    <w:lvl w:ilvl="3">
      <w:start w:val="0"/>
      <w:numFmt w:val="bullet"/>
      <w:lvlText w:val="•"/>
      <w:lvlJc w:val="left"/>
      <w:pPr>
        <w:ind w:left="384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7940" w:hanging="360"/>
      </w:pPr>
      <w:rPr>
        <w:rFonts w:hint="default"/>
        <w:lang w:val="en-US" w:eastAsia="en-US" w:bidi="ar-SA"/>
      </w:rPr>
    </w:lvl>
  </w:abstractNum>
  <w:abstractNum w:abstractNumId="6">
    <w:nsid w:val="128B1601"/>
    <w:multiLevelType w:val="hybridMultilevel"/>
    <w:tmpl w:val="A6AA3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247C04"/>
    <w:multiLevelType w:val="hybridMultilevel"/>
    <w:tmpl w:val="5C44FA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873C6E"/>
    <w:multiLevelType w:val="hybridMultilevel"/>
    <w:tmpl w:val="E84404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043D21"/>
    <w:multiLevelType w:val="hybridMultilevel"/>
    <w:tmpl w:val="B90EE554"/>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C10C8F"/>
    <w:multiLevelType w:val="hybridMultilevel"/>
    <w:tmpl w:val="CA9A28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645151"/>
    <w:multiLevelType w:val="hybridMultilevel"/>
    <w:tmpl w:val="B3B8463E"/>
    <w:lvl w:ilvl="0">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12">
    <w:nsid w:val="239D7675"/>
    <w:multiLevelType w:val="hybridMultilevel"/>
    <w:tmpl w:val="0C64DB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615A10"/>
    <w:multiLevelType w:val="hybridMultilevel"/>
    <w:tmpl w:val="D48694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82E156C"/>
    <w:multiLevelType w:val="multilevel"/>
    <w:tmpl w:val="23C21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0A1204"/>
    <w:multiLevelType w:val="hybridMultilevel"/>
    <w:tmpl w:val="ACB2AF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421B27"/>
    <w:multiLevelType w:val="hybridMultilevel"/>
    <w:tmpl w:val="DE6C6B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863E95"/>
    <w:multiLevelType w:val="hybridMultilevel"/>
    <w:tmpl w:val="5C44FA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FE0056"/>
    <w:multiLevelType w:val="hybridMultilevel"/>
    <w:tmpl w:val="189EC614"/>
    <w:lvl w:ilvl="0">
      <w:start w:val="1"/>
      <w:numFmt w:val="decimal"/>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35B764E"/>
    <w:multiLevelType w:val="multilevel"/>
    <w:tmpl w:val="B97A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5C7911"/>
    <w:multiLevelType w:val="hybridMultilevel"/>
    <w:tmpl w:val="8BD612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546493"/>
    <w:multiLevelType w:val="hybridMultilevel"/>
    <w:tmpl w:val="56C8C9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BBD8BD"/>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3DC61B3F"/>
    <w:multiLevelType w:val="hybridMultilevel"/>
    <w:tmpl w:val="EA4883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D144E5"/>
    <w:multiLevelType w:val="hybridMultilevel"/>
    <w:tmpl w:val="486E0C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6CD5C90"/>
    <w:multiLevelType w:val="hybridMultilevel"/>
    <w:tmpl w:val="5D0624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C12A67"/>
    <w:multiLevelType w:val="multilevel"/>
    <w:tmpl w:val="1A163FF8"/>
    <w:lvl w:ilvl="0">
      <w:start w:val="1"/>
      <w:numFmt w:val="lowerLetter"/>
      <w:lvlText w:val="%1."/>
      <w:lvlJc w:val="left"/>
      <w:pPr>
        <w:tabs>
          <w:tab w:val="num" w:pos="4320"/>
        </w:tabs>
        <w:ind w:left="4320" w:hanging="360"/>
      </w:pPr>
    </w:lvl>
    <w:lvl w:ilvl="1">
      <w:start w:val="1"/>
      <w:numFmt w:val="lowerLetter"/>
      <w:lvlText w:val="%2)"/>
      <w:lvlJc w:val="left"/>
      <w:pPr>
        <w:ind w:left="5040" w:hanging="360"/>
      </w:pPr>
      <w:rPr>
        <w:rFonts w:hint="default"/>
      </w:rPr>
    </w:lvl>
    <w:lvl w:ilvl="2">
      <w:start w:val="16"/>
      <w:numFmt w:val="decimal"/>
      <w:lvlText w:val="%3."/>
      <w:lvlJc w:val="left"/>
      <w:pPr>
        <w:ind w:left="5760" w:hanging="360"/>
      </w:pPr>
      <w:rPr>
        <w:rFonts w:hint="default"/>
      </w:rPr>
    </w:lvl>
    <w:lvl w:ilvl="3">
      <w:start w:val="3"/>
      <w:numFmt w:val="decimal"/>
      <w:lvlText w:val="%4."/>
      <w:lvlJc w:val="left"/>
      <w:pPr>
        <w:ind w:left="6480" w:hanging="360"/>
      </w:pPr>
      <w:rPr>
        <w:rFonts w:hint="default"/>
      </w:r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28">
    <w:nsid w:val="4BFA0529"/>
    <w:multiLevelType w:val="hybridMultilevel"/>
    <w:tmpl w:val="56E62BDE"/>
    <w:lvl w:ilvl="0">
      <w:start w:val="1"/>
      <w:numFmt w:val="decimal"/>
      <w:pStyle w:val="Style1"/>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0341E53"/>
    <w:multiLevelType w:val="hybridMultilevel"/>
    <w:tmpl w:val="25324D3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70A0B"/>
    <w:multiLevelType w:val="hybridMultilevel"/>
    <w:tmpl w:val="12942F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0B21572"/>
    <w:multiLevelType w:val="hybridMultilevel"/>
    <w:tmpl w:val="BC14F5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4D66F86"/>
    <w:multiLevelType w:val="hybridMultilevel"/>
    <w:tmpl w:val="6232892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BF74CA9"/>
    <w:multiLevelType w:val="hybridMultilevel"/>
    <w:tmpl w:val="50426FD6"/>
    <w:lvl w:ilvl="0">
      <w:start w:val="1"/>
      <w:numFmt w:val="decimal"/>
      <w:lvlText w:val="%1."/>
      <w:lvlJc w:val="left"/>
      <w:pPr>
        <w:ind w:left="1380" w:hanging="360"/>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2">
      <w:start w:val="0"/>
      <w:numFmt w:val="bullet"/>
      <w:lvlText w:val="•"/>
      <w:lvlJc w:val="left"/>
      <w:pPr>
        <w:ind w:left="245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06" w:hanging="360"/>
      </w:pPr>
      <w:rPr>
        <w:rFonts w:hint="default"/>
        <w:lang w:val="en-US" w:eastAsia="en-US" w:bidi="ar-SA"/>
      </w:rPr>
    </w:lvl>
    <w:lvl w:ilvl="8">
      <w:start w:val="0"/>
      <w:numFmt w:val="bullet"/>
      <w:lvlText w:val="•"/>
      <w:lvlJc w:val="left"/>
      <w:pPr>
        <w:ind w:left="7797" w:hanging="360"/>
      </w:pPr>
      <w:rPr>
        <w:rFonts w:hint="default"/>
        <w:lang w:val="en-US" w:eastAsia="en-US" w:bidi="ar-SA"/>
      </w:rPr>
    </w:lvl>
  </w:abstractNum>
  <w:abstractNum w:abstractNumId="34">
    <w:nsid w:val="5E7210CC"/>
    <w:multiLevelType w:val="hybridMultilevel"/>
    <w:tmpl w:val="2ADCA83E"/>
    <w:lvl w:ilvl="0">
      <w:start w:val="1"/>
      <w:numFmt w:val="decimal"/>
      <w:lvlText w:val="%1."/>
      <w:lvlJc w:val="left"/>
      <w:pPr>
        <w:ind w:left="138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200" w:hanging="360"/>
      </w:pPr>
      <w:rPr>
        <w:rFonts w:hint="default"/>
        <w:lang w:val="en-US" w:eastAsia="en-US" w:bidi="ar-SA"/>
      </w:rPr>
    </w:lvl>
    <w:lvl w:ilvl="2">
      <w:start w:val="0"/>
      <w:numFmt w:val="bullet"/>
      <w:lvlText w:val="•"/>
      <w:lvlJc w:val="left"/>
      <w:pPr>
        <w:ind w:left="3020" w:hanging="360"/>
      </w:pPr>
      <w:rPr>
        <w:rFonts w:hint="default"/>
        <w:lang w:val="en-US" w:eastAsia="en-US" w:bidi="ar-SA"/>
      </w:rPr>
    </w:lvl>
    <w:lvl w:ilvl="3">
      <w:start w:val="0"/>
      <w:numFmt w:val="bullet"/>
      <w:lvlText w:val="•"/>
      <w:lvlJc w:val="left"/>
      <w:pPr>
        <w:ind w:left="384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7940" w:hanging="360"/>
      </w:pPr>
      <w:rPr>
        <w:rFonts w:hint="default"/>
        <w:lang w:val="en-US" w:eastAsia="en-US" w:bidi="ar-SA"/>
      </w:rPr>
    </w:lvl>
  </w:abstractNum>
  <w:abstractNum w:abstractNumId="35">
    <w:nsid w:val="5E856975"/>
    <w:multiLevelType w:val="multilevel"/>
    <w:tmpl w:val="F3C0A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8A0281"/>
    <w:multiLevelType w:val="hybridMultilevel"/>
    <w:tmpl w:val="5C186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0E1736F"/>
    <w:multiLevelType w:val="hybridMultilevel"/>
    <w:tmpl w:val="6A162E6C"/>
    <w:lvl w:ilvl="0">
      <w:start w:val="1"/>
      <w:numFmt w:val="decimal"/>
      <w:lvlText w:val="%1."/>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236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6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37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abstractNum w:abstractNumId="38">
    <w:nsid w:val="64990CFF"/>
    <w:multiLevelType w:val="hybridMultilevel"/>
    <w:tmpl w:val="909C1FB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66F6BFC"/>
    <w:multiLevelType w:val="hybridMultilevel"/>
    <w:tmpl w:val="CC7A11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F62FC4"/>
    <w:multiLevelType w:val="hybridMultilevel"/>
    <w:tmpl w:val="E778A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4F6500E"/>
    <w:multiLevelType w:val="hybridMultilevel"/>
    <w:tmpl w:val="92F43E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86227BB"/>
    <w:multiLevelType w:val="multilevel"/>
    <w:tmpl w:val="C07628CC"/>
    <w:lvl w:ilvl="0">
      <w:start w:val="1"/>
      <w:numFmt w:val="lowerLetter"/>
      <w:lvlText w:val="%1."/>
      <w:lvlJc w:val="left"/>
      <w:pPr>
        <w:tabs>
          <w:tab w:val="num" w:pos="4320"/>
        </w:tabs>
        <w:ind w:left="4320" w:hanging="360"/>
      </w:pPr>
      <w:rPr>
        <w:rFonts w:hint="default"/>
      </w:rPr>
    </w:lvl>
    <w:lvl w:ilvl="1">
      <w:start w:val="1"/>
      <w:numFmt w:val="decimal"/>
      <w:lvlText w:val="%2."/>
      <w:lvlJc w:val="left"/>
      <w:pPr>
        <w:tabs>
          <w:tab w:val="num" w:pos="5040"/>
        </w:tabs>
        <w:ind w:left="5040" w:hanging="360"/>
      </w:pPr>
      <w:rPr>
        <w:rFonts w:hint="default"/>
      </w:rPr>
    </w:lvl>
    <w:lvl w:ilvl="2">
      <w:start w:val="1"/>
      <w:numFmt w:val="decimal"/>
      <w:lvlText w:val="%3."/>
      <w:lvlJc w:val="left"/>
      <w:pPr>
        <w:tabs>
          <w:tab w:val="num" w:pos="5760"/>
        </w:tabs>
        <w:ind w:left="5760" w:hanging="360"/>
      </w:pPr>
      <w:rPr>
        <w:rFonts w:hint="default"/>
      </w:rPr>
    </w:lvl>
    <w:lvl w:ilvl="3">
      <w:start w:val="1"/>
      <w:numFmt w:val="decimal"/>
      <w:lvlText w:val="%4."/>
      <w:lvlJc w:val="left"/>
      <w:pPr>
        <w:tabs>
          <w:tab w:val="num" w:pos="6480"/>
        </w:tabs>
        <w:ind w:left="6480" w:hanging="360"/>
      </w:pPr>
      <w:rPr>
        <w:rFonts w:hint="default"/>
      </w:rPr>
    </w:lvl>
    <w:lvl w:ilvl="4">
      <w:start w:val="1"/>
      <w:numFmt w:val="decimal"/>
      <w:lvlText w:val="%5."/>
      <w:lvlJc w:val="left"/>
      <w:pPr>
        <w:tabs>
          <w:tab w:val="num" w:pos="7200"/>
        </w:tabs>
        <w:ind w:left="7200" w:hanging="360"/>
      </w:pPr>
      <w:rPr>
        <w:rFonts w:hint="default"/>
      </w:rPr>
    </w:lvl>
    <w:lvl w:ilvl="5">
      <w:start w:val="1"/>
      <w:numFmt w:val="decimal"/>
      <w:lvlText w:val="%6."/>
      <w:lvlJc w:val="left"/>
      <w:pPr>
        <w:tabs>
          <w:tab w:val="num" w:pos="7920"/>
        </w:tabs>
        <w:ind w:left="7920" w:hanging="360"/>
      </w:pPr>
      <w:rPr>
        <w:rFonts w:hint="default"/>
      </w:rPr>
    </w:lvl>
    <w:lvl w:ilvl="6">
      <w:start w:val="1"/>
      <w:numFmt w:val="decimal"/>
      <w:lvlText w:val="%7."/>
      <w:lvlJc w:val="left"/>
      <w:pPr>
        <w:tabs>
          <w:tab w:val="num" w:pos="8640"/>
        </w:tabs>
        <w:ind w:left="8640" w:hanging="360"/>
      </w:pPr>
      <w:rPr>
        <w:rFonts w:hint="default"/>
      </w:rPr>
    </w:lvl>
    <w:lvl w:ilvl="7">
      <w:start w:val="1"/>
      <w:numFmt w:val="decimal"/>
      <w:lvlText w:val="%8."/>
      <w:lvlJc w:val="left"/>
      <w:pPr>
        <w:tabs>
          <w:tab w:val="num" w:pos="9360"/>
        </w:tabs>
        <w:ind w:left="9360" w:hanging="360"/>
      </w:pPr>
      <w:rPr>
        <w:rFonts w:hint="default"/>
      </w:rPr>
    </w:lvl>
    <w:lvl w:ilvl="8">
      <w:start w:val="1"/>
      <w:numFmt w:val="decimal"/>
      <w:lvlText w:val="%9."/>
      <w:lvlJc w:val="left"/>
      <w:pPr>
        <w:tabs>
          <w:tab w:val="num" w:pos="10080"/>
        </w:tabs>
        <w:ind w:left="10080" w:hanging="360"/>
      </w:pPr>
      <w:rPr>
        <w:rFonts w:hint="default"/>
      </w:rPr>
    </w:lvl>
  </w:abstractNum>
  <w:abstractNum w:abstractNumId="44">
    <w:nsid w:val="7ED15C9D"/>
    <w:multiLevelType w:val="hybridMultilevel"/>
    <w:tmpl w:val="EA5ED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39490726">
    <w:abstractNumId w:val="19"/>
  </w:num>
  <w:num w:numId="2" w16cid:durableId="258569098">
    <w:abstractNumId w:val="28"/>
  </w:num>
  <w:num w:numId="3" w16cid:durableId="1015961391">
    <w:abstractNumId w:val="41"/>
  </w:num>
  <w:num w:numId="4" w16cid:durableId="1395395544">
    <w:abstractNumId w:val="12"/>
  </w:num>
  <w:num w:numId="5" w16cid:durableId="181093894">
    <w:abstractNumId w:val="18"/>
  </w:num>
  <w:num w:numId="6" w16cid:durableId="19402356">
    <w:abstractNumId w:val="20"/>
  </w:num>
  <w:num w:numId="7" w16cid:durableId="1272980071">
    <w:abstractNumId w:val="35"/>
  </w:num>
  <w:num w:numId="8" w16cid:durableId="280648134">
    <w:abstractNumId w:val="14"/>
  </w:num>
  <w:num w:numId="9" w16cid:durableId="1446078871">
    <w:abstractNumId w:val="4"/>
  </w:num>
  <w:num w:numId="10" w16cid:durableId="2137599802">
    <w:abstractNumId w:val="29"/>
  </w:num>
  <w:num w:numId="11" w16cid:durableId="1639846308">
    <w:abstractNumId w:val="0"/>
  </w:num>
  <w:num w:numId="12" w16cid:durableId="1463499766">
    <w:abstractNumId w:val="15"/>
  </w:num>
  <w:num w:numId="13" w16cid:durableId="749353879">
    <w:abstractNumId w:val="16"/>
  </w:num>
  <w:num w:numId="14" w16cid:durableId="640186784">
    <w:abstractNumId w:val="6"/>
  </w:num>
  <w:num w:numId="15" w16cid:durableId="1347713869">
    <w:abstractNumId w:val="17"/>
  </w:num>
  <w:num w:numId="16" w16cid:durableId="795489030">
    <w:abstractNumId w:val="7"/>
  </w:num>
  <w:num w:numId="17" w16cid:durableId="1442144369">
    <w:abstractNumId w:val="38"/>
  </w:num>
  <w:num w:numId="18" w16cid:durableId="1938177769">
    <w:abstractNumId w:val="26"/>
  </w:num>
  <w:num w:numId="19" w16cid:durableId="1434788601">
    <w:abstractNumId w:val="13"/>
  </w:num>
  <w:num w:numId="20" w16cid:durableId="365713606">
    <w:abstractNumId w:val="43"/>
  </w:num>
  <w:num w:numId="21" w16cid:durableId="776369949">
    <w:abstractNumId w:val="44"/>
  </w:num>
  <w:num w:numId="22" w16cid:durableId="708141843">
    <w:abstractNumId w:val="30"/>
  </w:num>
  <w:num w:numId="23" w16cid:durableId="68162414">
    <w:abstractNumId w:val="9"/>
  </w:num>
  <w:num w:numId="24" w16cid:durableId="826556202">
    <w:abstractNumId w:val="32"/>
  </w:num>
  <w:num w:numId="25" w16cid:durableId="1539508184">
    <w:abstractNumId w:val="27"/>
  </w:num>
  <w:num w:numId="26" w16cid:durableId="510025170">
    <w:abstractNumId w:val="42"/>
  </w:num>
  <w:num w:numId="27" w16cid:durableId="707024940">
    <w:abstractNumId w:val="36"/>
  </w:num>
  <w:num w:numId="28" w16cid:durableId="1474564094">
    <w:abstractNumId w:val="21"/>
  </w:num>
  <w:num w:numId="29" w16cid:durableId="846556741">
    <w:abstractNumId w:val="22"/>
  </w:num>
  <w:num w:numId="30" w16cid:durableId="287319668">
    <w:abstractNumId w:val="31"/>
  </w:num>
  <w:num w:numId="31" w16cid:durableId="1793742204">
    <w:abstractNumId w:val="24"/>
  </w:num>
  <w:num w:numId="32" w16cid:durableId="1377924430">
    <w:abstractNumId w:val="40"/>
  </w:num>
  <w:num w:numId="33" w16cid:durableId="443841435">
    <w:abstractNumId w:val="10"/>
  </w:num>
  <w:num w:numId="34" w16cid:durableId="1293634696">
    <w:abstractNumId w:val="25"/>
  </w:num>
  <w:num w:numId="35" w16cid:durableId="450588130">
    <w:abstractNumId w:val="23"/>
  </w:num>
  <w:num w:numId="36" w16cid:durableId="1894004970">
    <w:abstractNumId w:val="8"/>
  </w:num>
  <w:num w:numId="37" w16cid:durableId="263073498">
    <w:abstractNumId w:val="2"/>
  </w:num>
  <w:num w:numId="38" w16cid:durableId="1716546212">
    <w:abstractNumId w:val="3"/>
  </w:num>
  <w:num w:numId="39" w16cid:durableId="1252160117">
    <w:abstractNumId w:val="37"/>
  </w:num>
  <w:num w:numId="40" w16cid:durableId="18747983">
    <w:abstractNumId w:val="1"/>
  </w:num>
  <w:num w:numId="41" w16cid:durableId="1061947760">
    <w:abstractNumId w:val="33"/>
  </w:num>
  <w:num w:numId="42" w16cid:durableId="92164790">
    <w:abstractNumId w:val="5"/>
  </w:num>
  <w:num w:numId="43" w16cid:durableId="1824545296">
    <w:abstractNumId w:val="34"/>
  </w:num>
  <w:num w:numId="44" w16cid:durableId="1395310">
    <w:abstractNumId w:val="11"/>
  </w:num>
  <w:num w:numId="45" w16cid:durableId="2134708114">
    <w:abstractNumId w:val="3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eff Higgins">
    <w15:presenceInfo w15:providerId="AD" w15:userId="S::Jeff_Higgins@abtassoc.com::65e59bf4-aaa1-439d-a0e5-89033c65b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0A47"/>
    <w:rsid w:val="00000F2B"/>
    <w:rsid w:val="000023BE"/>
    <w:rsid w:val="0000329D"/>
    <w:rsid w:val="00003D64"/>
    <w:rsid w:val="00004678"/>
    <w:rsid w:val="0000552C"/>
    <w:rsid w:val="000069C3"/>
    <w:rsid w:val="00006C95"/>
    <w:rsid w:val="00007895"/>
    <w:rsid w:val="00007FB5"/>
    <w:rsid w:val="00010EEE"/>
    <w:rsid w:val="000129E1"/>
    <w:rsid w:val="00013852"/>
    <w:rsid w:val="00013CE8"/>
    <w:rsid w:val="00014B10"/>
    <w:rsid w:val="00015236"/>
    <w:rsid w:val="00015FF6"/>
    <w:rsid w:val="0001637F"/>
    <w:rsid w:val="000163F9"/>
    <w:rsid w:val="00016E10"/>
    <w:rsid w:val="00017B90"/>
    <w:rsid w:val="00020791"/>
    <w:rsid w:val="00022F93"/>
    <w:rsid w:val="00023EFE"/>
    <w:rsid w:val="00025A13"/>
    <w:rsid w:val="00025D99"/>
    <w:rsid w:val="000267E1"/>
    <w:rsid w:val="00030670"/>
    <w:rsid w:val="0003166C"/>
    <w:rsid w:val="00031B82"/>
    <w:rsid w:val="000320EA"/>
    <w:rsid w:val="00032552"/>
    <w:rsid w:val="00033219"/>
    <w:rsid w:val="00034574"/>
    <w:rsid w:val="0003486B"/>
    <w:rsid w:val="00036CF2"/>
    <w:rsid w:val="00037107"/>
    <w:rsid w:val="0004186C"/>
    <w:rsid w:val="000422BD"/>
    <w:rsid w:val="00042F77"/>
    <w:rsid w:val="00043A07"/>
    <w:rsid w:val="0004467E"/>
    <w:rsid w:val="000452DC"/>
    <w:rsid w:val="000461BA"/>
    <w:rsid w:val="00047160"/>
    <w:rsid w:val="00050BB4"/>
    <w:rsid w:val="00051045"/>
    <w:rsid w:val="00053570"/>
    <w:rsid w:val="00053B6B"/>
    <w:rsid w:val="00053BF5"/>
    <w:rsid w:val="0005448C"/>
    <w:rsid w:val="000544D0"/>
    <w:rsid w:val="0005572E"/>
    <w:rsid w:val="0005629D"/>
    <w:rsid w:val="000570F4"/>
    <w:rsid w:val="0005783D"/>
    <w:rsid w:val="00060163"/>
    <w:rsid w:val="0006085E"/>
    <w:rsid w:val="0006128A"/>
    <w:rsid w:val="00061A77"/>
    <w:rsid w:val="00061BCE"/>
    <w:rsid w:val="00062EFE"/>
    <w:rsid w:val="00063CA7"/>
    <w:rsid w:val="00065078"/>
    <w:rsid w:val="00065167"/>
    <w:rsid w:val="00065411"/>
    <w:rsid w:val="000655B3"/>
    <w:rsid w:val="00066059"/>
    <w:rsid w:val="000660F7"/>
    <w:rsid w:val="000661CD"/>
    <w:rsid w:val="0006710E"/>
    <w:rsid w:val="00070074"/>
    <w:rsid w:val="000728E0"/>
    <w:rsid w:val="00073C3D"/>
    <w:rsid w:val="00074679"/>
    <w:rsid w:val="00074917"/>
    <w:rsid w:val="00074E51"/>
    <w:rsid w:val="00075C7A"/>
    <w:rsid w:val="000762A8"/>
    <w:rsid w:val="00076439"/>
    <w:rsid w:val="00076F0F"/>
    <w:rsid w:val="00077067"/>
    <w:rsid w:val="000775EE"/>
    <w:rsid w:val="0007770F"/>
    <w:rsid w:val="00077D8A"/>
    <w:rsid w:val="000825CF"/>
    <w:rsid w:val="00082A72"/>
    <w:rsid w:val="00083D4A"/>
    <w:rsid w:val="00084BF3"/>
    <w:rsid w:val="00090627"/>
    <w:rsid w:val="00090750"/>
    <w:rsid w:val="000911D6"/>
    <w:rsid w:val="00091EB4"/>
    <w:rsid w:val="0009219E"/>
    <w:rsid w:val="00092547"/>
    <w:rsid w:val="000925BD"/>
    <w:rsid w:val="00093C6D"/>
    <w:rsid w:val="00093DC2"/>
    <w:rsid w:val="00094023"/>
    <w:rsid w:val="0009492C"/>
    <w:rsid w:val="00095F01"/>
    <w:rsid w:val="000978FD"/>
    <w:rsid w:val="00097FEF"/>
    <w:rsid w:val="000A05F0"/>
    <w:rsid w:val="000A1198"/>
    <w:rsid w:val="000A11F1"/>
    <w:rsid w:val="000A170A"/>
    <w:rsid w:val="000A31BF"/>
    <w:rsid w:val="000A397C"/>
    <w:rsid w:val="000A4527"/>
    <w:rsid w:val="000A59F3"/>
    <w:rsid w:val="000B1741"/>
    <w:rsid w:val="000B1F77"/>
    <w:rsid w:val="000B2151"/>
    <w:rsid w:val="000B3576"/>
    <w:rsid w:val="000B461B"/>
    <w:rsid w:val="000B49D7"/>
    <w:rsid w:val="000B5E65"/>
    <w:rsid w:val="000B61A9"/>
    <w:rsid w:val="000B680F"/>
    <w:rsid w:val="000B7BBA"/>
    <w:rsid w:val="000C21C8"/>
    <w:rsid w:val="000C2F44"/>
    <w:rsid w:val="000C41A7"/>
    <w:rsid w:val="000C43C8"/>
    <w:rsid w:val="000C4E63"/>
    <w:rsid w:val="000C608D"/>
    <w:rsid w:val="000D1938"/>
    <w:rsid w:val="000D224E"/>
    <w:rsid w:val="000D251E"/>
    <w:rsid w:val="000D2D5D"/>
    <w:rsid w:val="000D38A8"/>
    <w:rsid w:val="000D3C22"/>
    <w:rsid w:val="000D45B2"/>
    <w:rsid w:val="000D516A"/>
    <w:rsid w:val="000D5863"/>
    <w:rsid w:val="000D6FA4"/>
    <w:rsid w:val="000E1158"/>
    <w:rsid w:val="000E184B"/>
    <w:rsid w:val="000E19CB"/>
    <w:rsid w:val="000E1FE8"/>
    <w:rsid w:val="000E3298"/>
    <w:rsid w:val="000E348B"/>
    <w:rsid w:val="000E503D"/>
    <w:rsid w:val="000E5609"/>
    <w:rsid w:val="000E66D2"/>
    <w:rsid w:val="000E7DC1"/>
    <w:rsid w:val="000F0041"/>
    <w:rsid w:val="000F0186"/>
    <w:rsid w:val="000F1BCE"/>
    <w:rsid w:val="000F29EE"/>
    <w:rsid w:val="000F338A"/>
    <w:rsid w:val="000F3AC3"/>
    <w:rsid w:val="000F3BB5"/>
    <w:rsid w:val="000F3F57"/>
    <w:rsid w:val="000F4DBB"/>
    <w:rsid w:val="000F6D04"/>
    <w:rsid w:val="000F741B"/>
    <w:rsid w:val="00100432"/>
    <w:rsid w:val="00100499"/>
    <w:rsid w:val="00100BF7"/>
    <w:rsid w:val="00100FA6"/>
    <w:rsid w:val="00101362"/>
    <w:rsid w:val="0010158E"/>
    <w:rsid w:val="0010237C"/>
    <w:rsid w:val="0010258D"/>
    <w:rsid w:val="00102EE5"/>
    <w:rsid w:val="00103DD8"/>
    <w:rsid w:val="00105F52"/>
    <w:rsid w:val="00106C2C"/>
    <w:rsid w:val="00107505"/>
    <w:rsid w:val="00111663"/>
    <w:rsid w:val="00111BDD"/>
    <w:rsid w:val="00112360"/>
    <w:rsid w:val="0011255E"/>
    <w:rsid w:val="00112675"/>
    <w:rsid w:val="001141DA"/>
    <w:rsid w:val="00116064"/>
    <w:rsid w:val="001172FE"/>
    <w:rsid w:val="00117FE1"/>
    <w:rsid w:val="00120893"/>
    <w:rsid w:val="00121F5A"/>
    <w:rsid w:val="00122027"/>
    <w:rsid w:val="00122EAB"/>
    <w:rsid w:val="00123749"/>
    <w:rsid w:val="0013006A"/>
    <w:rsid w:val="00130540"/>
    <w:rsid w:val="00130CF9"/>
    <w:rsid w:val="001310E0"/>
    <w:rsid w:val="00132921"/>
    <w:rsid w:val="001329B3"/>
    <w:rsid w:val="001331A7"/>
    <w:rsid w:val="00133F05"/>
    <w:rsid w:val="0013554F"/>
    <w:rsid w:val="00135EAD"/>
    <w:rsid w:val="00136237"/>
    <w:rsid w:val="00137EB8"/>
    <w:rsid w:val="00142425"/>
    <w:rsid w:val="00145DAE"/>
    <w:rsid w:val="00147B68"/>
    <w:rsid w:val="0015001F"/>
    <w:rsid w:val="0015084F"/>
    <w:rsid w:val="00150D3D"/>
    <w:rsid w:val="00151753"/>
    <w:rsid w:val="00151DC5"/>
    <w:rsid w:val="00152A80"/>
    <w:rsid w:val="001533F4"/>
    <w:rsid w:val="00160394"/>
    <w:rsid w:val="00160454"/>
    <w:rsid w:val="00160461"/>
    <w:rsid w:val="0016119C"/>
    <w:rsid w:val="00161846"/>
    <w:rsid w:val="00161FAC"/>
    <w:rsid w:val="0016265D"/>
    <w:rsid w:val="001636DA"/>
    <w:rsid w:val="00163C69"/>
    <w:rsid w:val="00164169"/>
    <w:rsid w:val="0016490F"/>
    <w:rsid w:val="00165316"/>
    <w:rsid w:val="0016636C"/>
    <w:rsid w:val="00166886"/>
    <w:rsid w:val="00166B27"/>
    <w:rsid w:val="00167379"/>
    <w:rsid w:val="00170329"/>
    <w:rsid w:val="00170689"/>
    <w:rsid w:val="00170EB8"/>
    <w:rsid w:val="00171DC0"/>
    <w:rsid w:val="00173422"/>
    <w:rsid w:val="00173E50"/>
    <w:rsid w:val="00174574"/>
    <w:rsid w:val="00175DF1"/>
    <w:rsid w:val="00175F8A"/>
    <w:rsid w:val="00175FCB"/>
    <w:rsid w:val="00176BA8"/>
    <w:rsid w:val="001775F3"/>
    <w:rsid w:val="0018008E"/>
    <w:rsid w:val="00180511"/>
    <w:rsid w:val="00180C9F"/>
    <w:rsid w:val="001816C3"/>
    <w:rsid w:val="00181830"/>
    <w:rsid w:val="00182787"/>
    <w:rsid w:val="00184011"/>
    <w:rsid w:val="00185251"/>
    <w:rsid w:val="00190390"/>
    <w:rsid w:val="0019149E"/>
    <w:rsid w:val="0019182F"/>
    <w:rsid w:val="00191C72"/>
    <w:rsid w:val="001925B3"/>
    <w:rsid w:val="0019580A"/>
    <w:rsid w:val="00195BEB"/>
    <w:rsid w:val="00196335"/>
    <w:rsid w:val="00197478"/>
    <w:rsid w:val="00197965"/>
    <w:rsid w:val="00197A23"/>
    <w:rsid w:val="001A20B0"/>
    <w:rsid w:val="001A21A7"/>
    <w:rsid w:val="001A282C"/>
    <w:rsid w:val="001A3351"/>
    <w:rsid w:val="001A53A7"/>
    <w:rsid w:val="001A69CC"/>
    <w:rsid w:val="001A76B3"/>
    <w:rsid w:val="001A7B0D"/>
    <w:rsid w:val="001A7DEF"/>
    <w:rsid w:val="001B1773"/>
    <w:rsid w:val="001B1962"/>
    <w:rsid w:val="001B2D25"/>
    <w:rsid w:val="001B3B14"/>
    <w:rsid w:val="001B4565"/>
    <w:rsid w:val="001B46D7"/>
    <w:rsid w:val="001B4BEC"/>
    <w:rsid w:val="001B7B47"/>
    <w:rsid w:val="001B7C54"/>
    <w:rsid w:val="001C0151"/>
    <w:rsid w:val="001C13CA"/>
    <w:rsid w:val="001C1FD6"/>
    <w:rsid w:val="001C260A"/>
    <w:rsid w:val="001C2D48"/>
    <w:rsid w:val="001C3106"/>
    <w:rsid w:val="001C3D5A"/>
    <w:rsid w:val="001C4634"/>
    <w:rsid w:val="001C6741"/>
    <w:rsid w:val="001C7470"/>
    <w:rsid w:val="001C7D52"/>
    <w:rsid w:val="001C7F26"/>
    <w:rsid w:val="001D01BB"/>
    <w:rsid w:val="001D01E0"/>
    <w:rsid w:val="001D0D09"/>
    <w:rsid w:val="001D203E"/>
    <w:rsid w:val="001D294E"/>
    <w:rsid w:val="001D47F8"/>
    <w:rsid w:val="001D4CDC"/>
    <w:rsid w:val="001D4D40"/>
    <w:rsid w:val="001D4F2F"/>
    <w:rsid w:val="001D51D8"/>
    <w:rsid w:val="001D5CED"/>
    <w:rsid w:val="001D7BF6"/>
    <w:rsid w:val="001E044F"/>
    <w:rsid w:val="001E0924"/>
    <w:rsid w:val="001E211E"/>
    <w:rsid w:val="001E3A31"/>
    <w:rsid w:val="001E43D7"/>
    <w:rsid w:val="001E4CB5"/>
    <w:rsid w:val="001E534A"/>
    <w:rsid w:val="001E548A"/>
    <w:rsid w:val="001E5F77"/>
    <w:rsid w:val="001E601A"/>
    <w:rsid w:val="001E6E50"/>
    <w:rsid w:val="001E7111"/>
    <w:rsid w:val="001E7480"/>
    <w:rsid w:val="001E74A7"/>
    <w:rsid w:val="001E74E1"/>
    <w:rsid w:val="001E7D75"/>
    <w:rsid w:val="001F0834"/>
    <w:rsid w:val="001F0841"/>
    <w:rsid w:val="001F0D3B"/>
    <w:rsid w:val="001F1A52"/>
    <w:rsid w:val="001F1F14"/>
    <w:rsid w:val="001F21A1"/>
    <w:rsid w:val="001F34A5"/>
    <w:rsid w:val="001F370A"/>
    <w:rsid w:val="001F5541"/>
    <w:rsid w:val="001F75D9"/>
    <w:rsid w:val="001F7B1A"/>
    <w:rsid w:val="001F7DF2"/>
    <w:rsid w:val="0020142E"/>
    <w:rsid w:val="00201886"/>
    <w:rsid w:val="00205280"/>
    <w:rsid w:val="002064A4"/>
    <w:rsid w:val="00210F2E"/>
    <w:rsid w:val="00211627"/>
    <w:rsid w:val="0021264E"/>
    <w:rsid w:val="0021345A"/>
    <w:rsid w:val="00213AE6"/>
    <w:rsid w:val="00216C6A"/>
    <w:rsid w:val="00220258"/>
    <w:rsid w:val="00220DB9"/>
    <w:rsid w:val="00222530"/>
    <w:rsid w:val="0022259D"/>
    <w:rsid w:val="00222EE7"/>
    <w:rsid w:val="00223197"/>
    <w:rsid w:val="0022416D"/>
    <w:rsid w:val="00224BB3"/>
    <w:rsid w:val="00224D61"/>
    <w:rsid w:val="00224F14"/>
    <w:rsid w:val="00226D49"/>
    <w:rsid w:val="0022710C"/>
    <w:rsid w:val="002272EE"/>
    <w:rsid w:val="00227759"/>
    <w:rsid w:val="00230D60"/>
    <w:rsid w:val="00230F45"/>
    <w:rsid w:val="0023189E"/>
    <w:rsid w:val="00233342"/>
    <w:rsid w:val="002335AB"/>
    <w:rsid w:val="002339E9"/>
    <w:rsid w:val="002340BE"/>
    <w:rsid w:val="00234B8D"/>
    <w:rsid w:val="00235A84"/>
    <w:rsid w:val="00235E79"/>
    <w:rsid w:val="002360BC"/>
    <w:rsid w:val="00236C3E"/>
    <w:rsid w:val="00240F23"/>
    <w:rsid w:val="0024175E"/>
    <w:rsid w:val="002417FE"/>
    <w:rsid w:val="002420F2"/>
    <w:rsid w:val="00243E59"/>
    <w:rsid w:val="002455F0"/>
    <w:rsid w:val="0024567F"/>
    <w:rsid w:val="0024594E"/>
    <w:rsid w:val="0024599B"/>
    <w:rsid w:val="002467FF"/>
    <w:rsid w:val="00246A7E"/>
    <w:rsid w:val="00247198"/>
    <w:rsid w:val="0025051F"/>
    <w:rsid w:val="00251151"/>
    <w:rsid w:val="002515AE"/>
    <w:rsid w:val="00252A4E"/>
    <w:rsid w:val="002530C4"/>
    <w:rsid w:val="0025319A"/>
    <w:rsid w:val="002536BE"/>
    <w:rsid w:val="00255063"/>
    <w:rsid w:val="0025617C"/>
    <w:rsid w:val="0025745A"/>
    <w:rsid w:val="00260432"/>
    <w:rsid w:val="0026050F"/>
    <w:rsid w:val="0026096A"/>
    <w:rsid w:val="00260DB4"/>
    <w:rsid w:val="00260FB7"/>
    <w:rsid w:val="002620CE"/>
    <w:rsid w:val="002648CF"/>
    <w:rsid w:val="00265FE7"/>
    <w:rsid w:val="00266955"/>
    <w:rsid w:val="00270428"/>
    <w:rsid w:val="00270940"/>
    <w:rsid w:val="00270E74"/>
    <w:rsid w:val="00274321"/>
    <w:rsid w:val="00277A03"/>
    <w:rsid w:val="0028340E"/>
    <w:rsid w:val="00283764"/>
    <w:rsid w:val="00283AE9"/>
    <w:rsid w:val="00283C66"/>
    <w:rsid w:val="002847BB"/>
    <w:rsid w:val="00285782"/>
    <w:rsid w:val="00285A68"/>
    <w:rsid w:val="00286FA0"/>
    <w:rsid w:val="002877AC"/>
    <w:rsid w:val="00287F94"/>
    <w:rsid w:val="00290BEB"/>
    <w:rsid w:val="00290E0E"/>
    <w:rsid w:val="00291493"/>
    <w:rsid w:val="00291589"/>
    <w:rsid w:val="0029434C"/>
    <w:rsid w:val="002947D7"/>
    <w:rsid w:val="00296B99"/>
    <w:rsid w:val="0029740F"/>
    <w:rsid w:val="0029755D"/>
    <w:rsid w:val="002A2530"/>
    <w:rsid w:val="002A271B"/>
    <w:rsid w:val="002A43D0"/>
    <w:rsid w:val="002A48AF"/>
    <w:rsid w:val="002A6075"/>
    <w:rsid w:val="002A607A"/>
    <w:rsid w:val="002A676B"/>
    <w:rsid w:val="002A6E4E"/>
    <w:rsid w:val="002A774D"/>
    <w:rsid w:val="002A7860"/>
    <w:rsid w:val="002A78D3"/>
    <w:rsid w:val="002B0036"/>
    <w:rsid w:val="002B0502"/>
    <w:rsid w:val="002B1B64"/>
    <w:rsid w:val="002B1B65"/>
    <w:rsid w:val="002B2327"/>
    <w:rsid w:val="002B2743"/>
    <w:rsid w:val="002B2CEE"/>
    <w:rsid w:val="002B2D7F"/>
    <w:rsid w:val="002B33E0"/>
    <w:rsid w:val="002B4615"/>
    <w:rsid w:val="002B69DF"/>
    <w:rsid w:val="002B7383"/>
    <w:rsid w:val="002B77A2"/>
    <w:rsid w:val="002B7BDB"/>
    <w:rsid w:val="002B7D1C"/>
    <w:rsid w:val="002C0159"/>
    <w:rsid w:val="002C0623"/>
    <w:rsid w:val="002C1434"/>
    <w:rsid w:val="002C1646"/>
    <w:rsid w:val="002C18DB"/>
    <w:rsid w:val="002C2004"/>
    <w:rsid w:val="002C4713"/>
    <w:rsid w:val="002C4ACE"/>
    <w:rsid w:val="002C5086"/>
    <w:rsid w:val="002C65DF"/>
    <w:rsid w:val="002C67B9"/>
    <w:rsid w:val="002C6F3B"/>
    <w:rsid w:val="002C7DDE"/>
    <w:rsid w:val="002D3E1A"/>
    <w:rsid w:val="002D566A"/>
    <w:rsid w:val="002D6189"/>
    <w:rsid w:val="002D6BD3"/>
    <w:rsid w:val="002E0316"/>
    <w:rsid w:val="002E0999"/>
    <w:rsid w:val="002E0EF0"/>
    <w:rsid w:val="002E1CBA"/>
    <w:rsid w:val="002E2569"/>
    <w:rsid w:val="002E263D"/>
    <w:rsid w:val="002E3636"/>
    <w:rsid w:val="002E51EA"/>
    <w:rsid w:val="002E5BAD"/>
    <w:rsid w:val="002E6047"/>
    <w:rsid w:val="002E6D1D"/>
    <w:rsid w:val="002E6F96"/>
    <w:rsid w:val="002F05AD"/>
    <w:rsid w:val="002F0614"/>
    <w:rsid w:val="002F077A"/>
    <w:rsid w:val="002F10BE"/>
    <w:rsid w:val="002F115B"/>
    <w:rsid w:val="002F13DA"/>
    <w:rsid w:val="002F15EB"/>
    <w:rsid w:val="002F3CE0"/>
    <w:rsid w:val="002F5133"/>
    <w:rsid w:val="002F5B49"/>
    <w:rsid w:val="002F6A76"/>
    <w:rsid w:val="003005BB"/>
    <w:rsid w:val="00302F7B"/>
    <w:rsid w:val="00303DE5"/>
    <w:rsid w:val="00304842"/>
    <w:rsid w:val="00305130"/>
    <w:rsid w:val="00307411"/>
    <w:rsid w:val="0030744D"/>
    <w:rsid w:val="00310FDB"/>
    <w:rsid w:val="00312370"/>
    <w:rsid w:val="00312F28"/>
    <w:rsid w:val="003132A5"/>
    <w:rsid w:val="00313894"/>
    <w:rsid w:val="00313941"/>
    <w:rsid w:val="00314410"/>
    <w:rsid w:val="00314F15"/>
    <w:rsid w:val="00314F53"/>
    <w:rsid w:val="00316194"/>
    <w:rsid w:val="003169B4"/>
    <w:rsid w:val="00316BE6"/>
    <w:rsid w:val="00316EAD"/>
    <w:rsid w:val="00317844"/>
    <w:rsid w:val="00317A6C"/>
    <w:rsid w:val="00317D89"/>
    <w:rsid w:val="00321ED3"/>
    <w:rsid w:val="003224B7"/>
    <w:rsid w:val="00322A16"/>
    <w:rsid w:val="0032350D"/>
    <w:rsid w:val="00323E74"/>
    <w:rsid w:val="00324F21"/>
    <w:rsid w:val="00324FB4"/>
    <w:rsid w:val="003256A4"/>
    <w:rsid w:val="00330B87"/>
    <w:rsid w:val="00331168"/>
    <w:rsid w:val="00331936"/>
    <w:rsid w:val="0033211D"/>
    <w:rsid w:val="003332EB"/>
    <w:rsid w:val="00333489"/>
    <w:rsid w:val="00334CDC"/>
    <w:rsid w:val="003401EC"/>
    <w:rsid w:val="00342DB5"/>
    <w:rsid w:val="00343CEF"/>
    <w:rsid w:val="00344CB0"/>
    <w:rsid w:val="003467C8"/>
    <w:rsid w:val="00347C3C"/>
    <w:rsid w:val="0035079F"/>
    <w:rsid w:val="00350CF3"/>
    <w:rsid w:val="003527C1"/>
    <w:rsid w:val="00352C25"/>
    <w:rsid w:val="003537C4"/>
    <w:rsid w:val="003565B6"/>
    <w:rsid w:val="00356A66"/>
    <w:rsid w:val="00357418"/>
    <w:rsid w:val="003578A6"/>
    <w:rsid w:val="00360B75"/>
    <w:rsid w:val="00360CB7"/>
    <w:rsid w:val="00361737"/>
    <w:rsid w:val="00362287"/>
    <w:rsid w:val="00363F41"/>
    <w:rsid w:val="00364858"/>
    <w:rsid w:val="003651F9"/>
    <w:rsid w:val="00366D56"/>
    <w:rsid w:val="00367871"/>
    <w:rsid w:val="00367DAD"/>
    <w:rsid w:val="0037342A"/>
    <w:rsid w:val="003739C1"/>
    <w:rsid w:val="00373CC8"/>
    <w:rsid w:val="00374E24"/>
    <w:rsid w:val="00375075"/>
    <w:rsid w:val="00375E2A"/>
    <w:rsid w:val="00376609"/>
    <w:rsid w:val="00376644"/>
    <w:rsid w:val="00380795"/>
    <w:rsid w:val="00382D42"/>
    <w:rsid w:val="0038330C"/>
    <w:rsid w:val="003856DC"/>
    <w:rsid w:val="003901B8"/>
    <w:rsid w:val="00394FCE"/>
    <w:rsid w:val="0039536A"/>
    <w:rsid w:val="003A0D03"/>
    <w:rsid w:val="003A1D0D"/>
    <w:rsid w:val="003A38FB"/>
    <w:rsid w:val="003A41A0"/>
    <w:rsid w:val="003A5EF9"/>
    <w:rsid w:val="003A624A"/>
    <w:rsid w:val="003A6BEF"/>
    <w:rsid w:val="003A6F36"/>
    <w:rsid w:val="003A7A00"/>
    <w:rsid w:val="003B04B9"/>
    <w:rsid w:val="003B0A8F"/>
    <w:rsid w:val="003B153D"/>
    <w:rsid w:val="003B4D4F"/>
    <w:rsid w:val="003B5C6D"/>
    <w:rsid w:val="003B6480"/>
    <w:rsid w:val="003C0DBC"/>
    <w:rsid w:val="003C1D93"/>
    <w:rsid w:val="003C1F2A"/>
    <w:rsid w:val="003C1F3A"/>
    <w:rsid w:val="003C2B04"/>
    <w:rsid w:val="003C321D"/>
    <w:rsid w:val="003C36BF"/>
    <w:rsid w:val="003C5631"/>
    <w:rsid w:val="003C68C2"/>
    <w:rsid w:val="003C6CE9"/>
    <w:rsid w:val="003C7F26"/>
    <w:rsid w:val="003D06CD"/>
    <w:rsid w:val="003D0C03"/>
    <w:rsid w:val="003D1457"/>
    <w:rsid w:val="003D23D5"/>
    <w:rsid w:val="003D29E8"/>
    <w:rsid w:val="003D2F77"/>
    <w:rsid w:val="003D3498"/>
    <w:rsid w:val="003D4850"/>
    <w:rsid w:val="003D598C"/>
    <w:rsid w:val="003D7167"/>
    <w:rsid w:val="003D77D6"/>
    <w:rsid w:val="003D7919"/>
    <w:rsid w:val="003D7B2A"/>
    <w:rsid w:val="003E133B"/>
    <w:rsid w:val="003E40EC"/>
    <w:rsid w:val="003E4B7A"/>
    <w:rsid w:val="003E4FE6"/>
    <w:rsid w:val="003E5AAE"/>
    <w:rsid w:val="003E5B4C"/>
    <w:rsid w:val="003E5D61"/>
    <w:rsid w:val="003E7E56"/>
    <w:rsid w:val="003F0A11"/>
    <w:rsid w:val="003F2EF3"/>
    <w:rsid w:val="003F36DC"/>
    <w:rsid w:val="003F49ED"/>
    <w:rsid w:val="003F5429"/>
    <w:rsid w:val="003F628C"/>
    <w:rsid w:val="003F639F"/>
    <w:rsid w:val="003F6664"/>
    <w:rsid w:val="003F70A6"/>
    <w:rsid w:val="003F72BB"/>
    <w:rsid w:val="00401C23"/>
    <w:rsid w:val="00401C79"/>
    <w:rsid w:val="00402359"/>
    <w:rsid w:val="0040243E"/>
    <w:rsid w:val="004025E6"/>
    <w:rsid w:val="00402C51"/>
    <w:rsid w:val="00403FAB"/>
    <w:rsid w:val="00404886"/>
    <w:rsid w:val="00404B58"/>
    <w:rsid w:val="0040643E"/>
    <w:rsid w:val="004064AA"/>
    <w:rsid w:val="0040784F"/>
    <w:rsid w:val="004113CD"/>
    <w:rsid w:val="00412B2A"/>
    <w:rsid w:val="00414BB8"/>
    <w:rsid w:val="00415248"/>
    <w:rsid w:val="00415988"/>
    <w:rsid w:val="00417612"/>
    <w:rsid w:val="004225DB"/>
    <w:rsid w:val="00422D48"/>
    <w:rsid w:val="0042383B"/>
    <w:rsid w:val="0042409F"/>
    <w:rsid w:val="00424DDE"/>
    <w:rsid w:val="00424F93"/>
    <w:rsid w:val="004252C1"/>
    <w:rsid w:val="0042541E"/>
    <w:rsid w:val="00426367"/>
    <w:rsid w:val="00427079"/>
    <w:rsid w:val="004306A8"/>
    <w:rsid w:val="004308FB"/>
    <w:rsid w:val="00430EDC"/>
    <w:rsid w:val="00431D3F"/>
    <w:rsid w:val="004321D9"/>
    <w:rsid w:val="00432534"/>
    <w:rsid w:val="00432AC2"/>
    <w:rsid w:val="00433304"/>
    <w:rsid w:val="00433421"/>
    <w:rsid w:val="00433F87"/>
    <w:rsid w:val="0043515D"/>
    <w:rsid w:val="004369BC"/>
    <w:rsid w:val="00436FD0"/>
    <w:rsid w:val="00437C81"/>
    <w:rsid w:val="00441783"/>
    <w:rsid w:val="004420DA"/>
    <w:rsid w:val="004427FB"/>
    <w:rsid w:val="00444707"/>
    <w:rsid w:val="0044485B"/>
    <w:rsid w:val="00444CDA"/>
    <w:rsid w:val="004455F6"/>
    <w:rsid w:val="00445751"/>
    <w:rsid w:val="004468C2"/>
    <w:rsid w:val="00446B8D"/>
    <w:rsid w:val="0045049D"/>
    <w:rsid w:val="00450C44"/>
    <w:rsid w:val="004517FA"/>
    <w:rsid w:val="0045203A"/>
    <w:rsid w:val="00452855"/>
    <w:rsid w:val="00453F87"/>
    <w:rsid w:val="00456E33"/>
    <w:rsid w:val="004600ED"/>
    <w:rsid w:val="004601AA"/>
    <w:rsid w:val="00461E74"/>
    <w:rsid w:val="004620CA"/>
    <w:rsid w:val="004622F6"/>
    <w:rsid w:val="00463285"/>
    <w:rsid w:val="00465846"/>
    <w:rsid w:val="00466349"/>
    <w:rsid w:val="00466B43"/>
    <w:rsid w:val="00470D2C"/>
    <w:rsid w:val="00470E22"/>
    <w:rsid w:val="004710FD"/>
    <w:rsid w:val="00472C74"/>
    <w:rsid w:val="00472D33"/>
    <w:rsid w:val="00475946"/>
    <w:rsid w:val="00475BA6"/>
    <w:rsid w:val="00476B36"/>
    <w:rsid w:val="00476B5E"/>
    <w:rsid w:val="00476CE3"/>
    <w:rsid w:val="00477D70"/>
    <w:rsid w:val="00480488"/>
    <w:rsid w:val="004808F5"/>
    <w:rsid w:val="0048111E"/>
    <w:rsid w:val="004831CC"/>
    <w:rsid w:val="004835C9"/>
    <w:rsid w:val="0048467B"/>
    <w:rsid w:val="00485567"/>
    <w:rsid w:val="004855BE"/>
    <w:rsid w:val="00486860"/>
    <w:rsid w:val="00490F2E"/>
    <w:rsid w:val="00491CC3"/>
    <w:rsid w:val="00491ED9"/>
    <w:rsid w:val="0049471C"/>
    <w:rsid w:val="00495623"/>
    <w:rsid w:val="00495C74"/>
    <w:rsid w:val="00496F19"/>
    <w:rsid w:val="0049718B"/>
    <w:rsid w:val="004A0C7A"/>
    <w:rsid w:val="004A2646"/>
    <w:rsid w:val="004A284B"/>
    <w:rsid w:val="004A2961"/>
    <w:rsid w:val="004A2CDE"/>
    <w:rsid w:val="004A3ABF"/>
    <w:rsid w:val="004A4B8D"/>
    <w:rsid w:val="004A5840"/>
    <w:rsid w:val="004A5B46"/>
    <w:rsid w:val="004A68CC"/>
    <w:rsid w:val="004A6B13"/>
    <w:rsid w:val="004B0167"/>
    <w:rsid w:val="004B1A2C"/>
    <w:rsid w:val="004B710E"/>
    <w:rsid w:val="004C078A"/>
    <w:rsid w:val="004C07A6"/>
    <w:rsid w:val="004C17A6"/>
    <w:rsid w:val="004C43EA"/>
    <w:rsid w:val="004C4445"/>
    <w:rsid w:val="004C4BE8"/>
    <w:rsid w:val="004C53AD"/>
    <w:rsid w:val="004C6291"/>
    <w:rsid w:val="004C65F0"/>
    <w:rsid w:val="004C680C"/>
    <w:rsid w:val="004C6EC4"/>
    <w:rsid w:val="004C7205"/>
    <w:rsid w:val="004D006D"/>
    <w:rsid w:val="004D0275"/>
    <w:rsid w:val="004D042A"/>
    <w:rsid w:val="004D2B30"/>
    <w:rsid w:val="004D4448"/>
    <w:rsid w:val="004D59E6"/>
    <w:rsid w:val="004D5E8D"/>
    <w:rsid w:val="004D6404"/>
    <w:rsid w:val="004D781E"/>
    <w:rsid w:val="004E01BF"/>
    <w:rsid w:val="004E0E1C"/>
    <w:rsid w:val="004E1414"/>
    <w:rsid w:val="004E190F"/>
    <w:rsid w:val="004E1EC6"/>
    <w:rsid w:val="004E336F"/>
    <w:rsid w:val="004E3CB0"/>
    <w:rsid w:val="004E3F68"/>
    <w:rsid w:val="004E5457"/>
    <w:rsid w:val="004E54A1"/>
    <w:rsid w:val="004E5A83"/>
    <w:rsid w:val="004E7601"/>
    <w:rsid w:val="004E7F0A"/>
    <w:rsid w:val="004F02DB"/>
    <w:rsid w:val="004F05F2"/>
    <w:rsid w:val="004F09B1"/>
    <w:rsid w:val="004F106A"/>
    <w:rsid w:val="004F1136"/>
    <w:rsid w:val="004F1426"/>
    <w:rsid w:val="004F2DE6"/>
    <w:rsid w:val="004F3C8A"/>
    <w:rsid w:val="004F4CDB"/>
    <w:rsid w:val="004F4FDD"/>
    <w:rsid w:val="004F5E18"/>
    <w:rsid w:val="004F6CF4"/>
    <w:rsid w:val="004F7BAB"/>
    <w:rsid w:val="004F7DE5"/>
    <w:rsid w:val="00500591"/>
    <w:rsid w:val="0050085E"/>
    <w:rsid w:val="00500B5F"/>
    <w:rsid w:val="005016D0"/>
    <w:rsid w:val="00501DE1"/>
    <w:rsid w:val="005024CE"/>
    <w:rsid w:val="00502BAA"/>
    <w:rsid w:val="00504949"/>
    <w:rsid w:val="00506171"/>
    <w:rsid w:val="005062F5"/>
    <w:rsid w:val="005065F0"/>
    <w:rsid w:val="00510C48"/>
    <w:rsid w:val="005119F4"/>
    <w:rsid w:val="00511DDD"/>
    <w:rsid w:val="00512F2D"/>
    <w:rsid w:val="00513479"/>
    <w:rsid w:val="005136B6"/>
    <w:rsid w:val="005152B2"/>
    <w:rsid w:val="00515993"/>
    <w:rsid w:val="00517F46"/>
    <w:rsid w:val="00520209"/>
    <w:rsid w:val="0052076B"/>
    <w:rsid w:val="00524059"/>
    <w:rsid w:val="005251E9"/>
    <w:rsid w:val="005263EC"/>
    <w:rsid w:val="00526DFC"/>
    <w:rsid w:val="00527EB0"/>
    <w:rsid w:val="0053012D"/>
    <w:rsid w:val="005303CA"/>
    <w:rsid w:val="00530DF8"/>
    <w:rsid w:val="00531CA7"/>
    <w:rsid w:val="0053210E"/>
    <w:rsid w:val="005324A6"/>
    <w:rsid w:val="005346D7"/>
    <w:rsid w:val="00535D3D"/>
    <w:rsid w:val="00536768"/>
    <w:rsid w:val="005372F7"/>
    <w:rsid w:val="00537322"/>
    <w:rsid w:val="00537F7A"/>
    <w:rsid w:val="00542227"/>
    <w:rsid w:val="005424B5"/>
    <w:rsid w:val="00542CEE"/>
    <w:rsid w:val="00545AC7"/>
    <w:rsid w:val="00546097"/>
    <w:rsid w:val="00546B16"/>
    <w:rsid w:val="00546B65"/>
    <w:rsid w:val="00546FB4"/>
    <w:rsid w:val="00550C34"/>
    <w:rsid w:val="005519F6"/>
    <w:rsid w:val="005524DB"/>
    <w:rsid w:val="00552A7B"/>
    <w:rsid w:val="00552BE0"/>
    <w:rsid w:val="0055447D"/>
    <w:rsid w:val="005544CE"/>
    <w:rsid w:val="00554865"/>
    <w:rsid w:val="005557C6"/>
    <w:rsid w:val="0055616B"/>
    <w:rsid w:val="00556D62"/>
    <w:rsid w:val="00557E8F"/>
    <w:rsid w:val="005609B4"/>
    <w:rsid w:val="00560A07"/>
    <w:rsid w:val="00560A26"/>
    <w:rsid w:val="005625BD"/>
    <w:rsid w:val="005636FA"/>
    <w:rsid w:val="0056373A"/>
    <w:rsid w:val="00564A1B"/>
    <w:rsid w:val="00564BF4"/>
    <w:rsid w:val="00564E96"/>
    <w:rsid w:val="00565A5E"/>
    <w:rsid w:val="00565CB9"/>
    <w:rsid w:val="00566F71"/>
    <w:rsid w:val="00567755"/>
    <w:rsid w:val="005716D4"/>
    <w:rsid w:val="00571C92"/>
    <w:rsid w:val="00571D24"/>
    <w:rsid w:val="005723B9"/>
    <w:rsid w:val="005726BA"/>
    <w:rsid w:val="0057299B"/>
    <w:rsid w:val="005730AC"/>
    <w:rsid w:val="00574C83"/>
    <w:rsid w:val="005810DF"/>
    <w:rsid w:val="00583101"/>
    <w:rsid w:val="005836B3"/>
    <w:rsid w:val="005838CD"/>
    <w:rsid w:val="00584D72"/>
    <w:rsid w:val="0058662D"/>
    <w:rsid w:val="005900C3"/>
    <w:rsid w:val="00590A21"/>
    <w:rsid w:val="0059200D"/>
    <w:rsid w:val="005932EC"/>
    <w:rsid w:val="005947B4"/>
    <w:rsid w:val="005956B1"/>
    <w:rsid w:val="00596415"/>
    <w:rsid w:val="005966D8"/>
    <w:rsid w:val="0059769C"/>
    <w:rsid w:val="00597951"/>
    <w:rsid w:val="005A01E5"/>
    <w:rsid w:val="005A0F75"/>
    <w:rsid w:val="005A129A"/>
    <w:rsid w:val="005A35B4"/>
    <w:rsid w:val="005A40CD"/>
    <w:rsid w:val="005A422E"/>
    <w:rsid w:val="005A4538"/>
    <w:rsid w:val="005A7235"/>
    <w:rsid w:val="005A7BA6"/>
    <w:rsid w:val="005B499E"/>
    <w:rsid w:val="005B4EDA"/>
    <w:rsid w:val="005B5BA4"/>
    <w:rsid w:val="005B6A8D"/>
    <w:rsid w:val="005C195D"/>
    <w:rsid w:val="005C2031"/>
    <w:rsid w:val="005C24FE"/>
    <w:rsid w:val="005C55D6"/>
    <w:rsid w:val="005D0ACB"/>
    <w:rsid w:val="005D1053"/>
    <w:rsid w:val="005D140B"/>
    <w:rsid w:val="005D1C36"/>
    <w:rsid w:val="005D1F2E"/>
    <w:rsid w:val="005D20BC"/>
    <w:rsid w:val="005D2654"/>
    <w:rsid w:val="005D2E6F"/>
    <w:rsid w:val="005D5624"/>
    <w:rsid w:val="005D5865"/>
    <w:rsid w:val="005D5F1D"/>
    <w:rsid w:val="005D6FC6"/>
    <w:rsid w:val="005E03A2"/>
    <w:rsid w:val="005E35C4"/>
    <w:rsid w:val="005E4A7B"/>
    <w:rsid w:val="005E588F"/>
    <w:rsid w:val="005E5BEC"/>
    <w:rsid w:val="005E5D2D"/>
    <w:rsid w:val="005E6FAB"/>
    <w:rsid w:val="005F1234"/>
    <w:rsid w:val="005F13AA"/>
    <w:rsid w:val="005F451B"/>
    <w:rsid w:val="005F484B"/>
    <w:rsid w:val="00601B3B"/>
    <w:rsid w:val="006020A8"/>
    <w:rsid w:val="00602636"/>
    <w:rsid w:val="006031AF"/>
    <w:rsid w:val="006034B0"/>
    <w:rsid w:val="006036CD"/>
    <w:rsid w:val="00603CAA"/>
    <w:rsid w:val="00603CC1"/>
    <w:rsid w:val="006040EC"/>
    <w:rsid w:val="0060451D"/>
    <w:rsid w:val="00604681"/>
    <w:rsid w:val="00604D35"/>
    <w:rsid w:val="0060549C"/>
    <w:rsid w:val="0060654C"/>
    <w:rsid w:val="006067A6"/>
    <w:rsid w:val="006071E2"/>
    <w:rsid w:val="0060750F"/>
    <w:rsid w:val="00607547"/>
    <w:rsid w:val="006079C2"/>
    <w:rsid w:val="00611426"/>
    <w:rsid w:val="006127FB"/>
    <w:rsid w:val="00613362"/>
    <w:rsid w:val="006150A3"/>
    <w:rsid w:val="006161DD"/>
    <w:rsid w:val="0061689C"/>
    <w:rsid w:val="00617F73"/>
    <w:rsid w:val="006210DF"/>
    <w:rsid w:val="0062163B"/>
    <w:rsid w:val="00622434"/>
    <w:rsid w:val="00622500"/>
    <w:rsid w:val="00622738"/>
    <w:rsid w:val="006227A8"/>
    <w:rsid w:val="0062357A"/>
    <w:rsid w:val="00623817"/>
    <w:rsid w:val="00624119"/>
    <w:rsid w:val="00624BE7"/>
    <w:rsid w:val="0062570F"/>
    <w:rsid w:val="006262C0"/>
    <w:rsid w:val="00626D8C"/>
    <w:rsid w:val="00627266"/>
    <w:rsid w:val="00627768"/>
    <w:rsid w:val="00627AB9"/>
    <w:rsid w:val="006309C2"/>
    <w:rsid w:val="00630F1E"/>
    <w:rsid w:val="006310C6"/>
    <w:rsid w:val="00635E63"/>
    <w:rsid w:val="006364B9"/>
    <w:rsid w:val="006369AE"/>
    <w:rsid w:val="00637244"/>
    <w:rsid w:val="00640646"/>
    <w:rsid w:val="006406C5"/>
    <w:rsid w:val="00640DB6"/>
    <w:rsid w:val="00642467"/>
    <w:rsid w:val="006429F1"/>
    <w:rsid w:val="00642D76"/>
    <w:rsid w:val="00643D01"/>
    <w:rsid w:val="00643FF8"/>
    <w:rsid w:val="00644EBE"/>
    <w:rsid w:val="00645B0D"/>
    <w:rsid w:val="006464CA"/>
    <w:rsid w:val="006471A1"/>
    <w:rsid w:val="00650954"/>
    <w:rsid w:val="00651606"/>
    <w:rsid w:val="0065161C"/>
    <w:rsid w:val="00652B35"/>
    <w:rsid w:val="00652EE5"/>
    <w:rsid w:val="0065454C"/>
    <w:rsid w:val="00654C61"/>
    <w:rsid w:val="00656D6B"/>
    <w:rsid w:val="00660027"/>
    <w:rsid w:val="00660B98"/>
    <w:rsid w:val="006610CE"/>
    <w:rsid w:val="006648C0"/>
    <w:rsid w:val="00665EAF"/>
    <w:rsid w:val="00666566"/>
    <w:rsid w:val="00666D5A"/>
    <w:rsid w:val="00670897"/>
    <w:rsid w:val="00671E64"/>
    <w:rsid w:val="00672A20"/>
    <w:rsid w:val="00673544"/>
    <w:rsid w:val="006737EC"/>
    <w:rsid w:val="006739CE"/>
    <w:rsid w:val="00676898"/>
    <w:rsid w:val="00677A86"/>
    <w:rsid w:val="006824B3"/>
    <w:rsid w:val="00682AFB"/>
    <w:rsid w:val="0068304A"/>
    <w:rsid w:val="006830D4"/>
    <w:rsid w:val="00683207"/>
    <w:rsid w:val="00683A1A"/>
    <w:rsid w:val="00685112"/>
    <w:rsid w:val="00686D59"/>
    <w:rsid w:val="00687254"/>
    <w:rsid w:val="00687583"/>
    <w:rsid w:val="00687F40"/>
    <w:rsid w:val="0069070C"/>
    <w:rsid w:val="00690736"/>
    <w:rsid w:val="00691828"/>
    <w:rsid w:val="00691A07"/>
    <w:rsid w:val="006927E2"/>
    <w:rsid w:val="00692B88"/>
    <w:rsid w:val="00693D40"/>
    <w:rsid w:val="006959A1"/>
    <w:rsid w:val="00695EAB"/>
    <w:rsid w:val="006971C6"/>
    <w:rsid w:val="00697598"/>
    <w:rsid w:val="006A01ED"/>
    <w:rsid w:val="006A13AE"/>
    <w:rsid w:val="006A173F"/>
    <w:rsid w:val="006A1AC5"/>
    <w:rsid w:val="006A231D"/>
    <w:rsid w:val="006A29EB"/>
    <w:rsid w:val="006A4DCF"/>
    <w:rsid w:val="006A6D8F"/>
    <w:rsid w:val="006A6EDB"/>
    <w:rsid w:val="006B0753"/>
    <w:rsid w:val="006B102F"/>
    <w:rsid w:val="006B15F9"/>
    <w:rsid w:val="006B18D6"/>
    <w:rsid w:val="006B1911"/>
    <w:rsid w:val="006B1E96"/>
    <w:rsid w:val="006B20E9"/>
    <w:rsid w:val="006B2269"/>
    <w:rsid w:val="006B2749"/>
    <w:rsid w:val="006B2E0B"/>
    <w:rsid w:val="006B42B0"/>
    <w:rsid w:val="006B490F"/>
    <w:rsid w:val="006B57A3"/>
    <w:rsid w:val="006B58DB"/>
    <w:rsid w:val="006B6448"/>
    <w:rsid w:val="006B6B7D"/>
    <w:rsid w:val="006B738C"/>
    <w:rsid w:val="006B770D"/>
    <w:rsid w:val="006B7825"/>
    <w:rsid w:val="006C064C"/>
    <w:rsid w:val="006C1677"/>
    <w:rsid w:val="006C4CAA"/>
    <w:rsid w:val="006C68A7"/>
    <w:rsid w:val="006C780F"/>
    <w:rsid w:val="006C79DB"/>
    <w:rsid w:val="006D09D6"/>
    <w:rsid w:val="006D1400"/>
    <w:rsid w:val="006D419B"/>
    <w:rsid w:val="006D5FFF"/>
    <w:rsid w:val="006D7A1A"/>
    <w:rsid w:val="006E009D"/>
    <w:rsid w:val="006E0122"/>
    <w:rsid w:val="006E0562"/>
    <w:rsid w:val="006E0960"/>
    <w:rsid w:val="006E116F"/>
    <w:rsid w:val="006E13FF"/>
    <w:rsid w:val="006E15BF"/>
    <w:rsid w:val="006E197A"/>
    <w:rsid w:val="006E1DC0"/>
    <w:rsid w:val="006E460D"/>
    <w:rsid w:val="006E4817"/>
    <w:rsid w:val="006E6819"/>
    <w:rsid w:val="006E6A2C"/>
    <w:rsid w:val="006E6C7E"/>
    <w:rsid w:val="006E7516"/>
    <w:rsid w:val="006E7D37"/>
    <w:rsid w:val="006F1F1D"/>
    <w:rsid w:val="006F27D4"/>
    <w:rsid w:val="006F4946"/>
    <w:rsid w:val="006F7698"/>
    <w:rsid w:val="00700983"/>
    <w:rsid w:val="007020F8"/>
    <w:rsid w:val="007029CB"/>
    <w:rsid w:val="00702E91"/>
    <w:rsid w:val="00702F36"/>
    <w:rsid w:val="00703F76"/>
    <w:rsid w:val="00703FEF"/>
    <w:rsid w:val="00704459"/>
    <w:rsid w:val="007045C4"/>
    <w:rsid w:val="00704CBA"/>
    <w:rsid w:val="00706B15"/>
    <w:rsid w:val="00706F41"/>
    <w:rsid w:val="00706F4A"/>
    <w:rsid w:val="00710A21"/>
    <w:rsid w:val="007110B8"/>
    <w:rsid w:val="00712749"/>
    <w:rsid w:val="007128E1"/>
    <w:rsid w:val="00713761"/>
    <w:rsid w:val="007139DB"/>
    <w:rsid w:val="00714D14"/>
    <w:rsid w:val="00714E66"/>
    <w:rsid w:val="007167A3"/>
    <w:rsid w:val="00716971"/>
    <w:rsid w:val="00716CE1"/>
    <w:rsid w:val="00716D1D"/>
    <w:rsid w:val="00716F75"/>
    <w:rsid w:val="007213A9"/>
    <w:rsid w:val="00724442"/>
    <w:rsid w:val="00724815"/>
    <w:rsid w:val="007250B7"/>
    <w:rsid w:val="00726EFA"/>
    <w:rsid w:val="007279D9"/>
    <w:rsid w:val="00730C6B"/>
    <w:rsid w:val="00730DDD"/>
    <w:rsid w:val="00732359"/>
    <w:rsid w:val="00732759"/>
    <w:rsid w:val="00732856"/>
    <w:rsid w:val="00732A40"/>
    <w:rsid w:val="00732DB8"/>
    <w:rsid w:val="00734670"/>
    <w:rsid w:val="00735197"/>
    <w:rsid w:val="00735C37"/>
    <w:rsid w:val="0073767D"/>
    <w:rsid w:val="0074077E"/>
    <w:rsid w:val="00740F3C"/>
    <w:rsid w:val="00741CD7"/>
    <w:rsid w:val="00741E2A"/>
    <w:rsid w:val="0074222B"/>
    <w:rsid w:val="00742631"/>
    <w:rsid w:val="00742DE0"/>
    <w:rsid w:val="00743524"/>
    <w:rsid w:val="00743A10"/>
    <w:rsid w:val="00743BAD"/>
    <w:rsid w:val="0074502F"/>
    <w:rsid w:val="00745A5F"/>
    <w:rsid w:val="00746F8F"/>
    <w:rsid w:val="00747678"/>
    <w:rsid w:val="00747CB8"/>
    <w:rsid w:val="00750796"/>
    <w:rsid w:val="00752AF7"/>
    <w:rsid w:val="007534F8"/>
    <w:rsid w:val="0075404F"/>
    <w:rsid w:val="00754ABE"/>
    <w:rsid w:val="00754F12"/>
    <w:rsid w:val="00755556"/>
    <w:rsid w:val="007558ED"/>
    <w:rsid w:val="007560F1"/>
    <w:rsid w:val="00761BDB"/>
    <w:rsid w:val="00762228"/>
    <w:rsid w:val="00763E34"/>
    <w:rsid w:val="00764EF9"/>
    <w:rsid w:val="007654E0"/>
    <w:rsid w:val="00765D59"/>
    <w:rsid w:val="00766E2D"/>
    <w:rsid w:val="00770A34"/>
    <w:rsid w:val="00770FC4"/>
    <w:rsid w:val="007711BC"/>
    <w:rsid w:val="007713C7"/>
    <w:rsid w:val="00772C87"/>
    <w:rsid w:val="00772D61"/>
    <w:rsid w:val="007730A5"/>
    <w:rsid w:val="00773D6D"/>
    <w:rsid w:val="00775025"/>
    <w:rsid w:val="00776C0D"/>
    <w:rsid w:val="0077747C"/>
    <w:rsid w:val="00777F9F"/>
    <w:rsid w:val="007804EC"/>
    <w:rsid w:val="00780787"/>
    <w:rsid w:val="00780B25"/>
    <w:rsid w:val="00780BED"/>
    <w:rsid w:val="00781B44"/>
    <w:rsid w:val="007821B4"/>
    <w:rsid w:val="007837C6"/>
    <w:rsid w:val="007838DA"/>
    <w:rsid w:val="0078463B"/>
    <w:rsid w:val="007853D4"/>
    <w:rsid w:val="00785CD6"/>
    <w:rsid w:val="007860F8"/>
    <w:rsid w:val="00786880"/>
    <w:rsid w:val="00791DFE"/>
    <w:rsid w:val="00792703"/>
    <w:rsid w:val="007927B8"/>
    <w:rsid w:val="00792C1E"/>
    <w:rsid w:val="007937AD"/>
    <w:rsid w:val="00794978"/>
    <w:rsid w:val="00796ED4"/>
    <w:rsid w:val="007975D8"/>
    <w:rsid w:val="007A0115"/>
    <w:rsid w:val="007A1C4E"/>
    <w:rsid w:val="007A1C7D"/>
    <w:rsid w:val="007A1DFD"/>
    <w:rsid w:val="007A1F01"/>
    <w:rsid w:val="007A2883"/>
    <w:rsid w:val="007A3403"/>
    <w:rsid w:val="007A3539"/>
    <w:rsid w:val="007A3C78"/>
    <w:rsid w:val="007A4376"/>
    <w:rsid w:val="007A4ADE"/>
    <w:rsid w:val="007A4DCA"/>
    <w:rsid w:val="007A5180"/>
    <w:rsid w:val="007A5A6C"/>
    <w:rsid w:val="007A5EE5"/>
    <w:rsid w:val="007B00E3"/>
    <w:rsid w:val="007B14AA"/>
    <w:rsid w:val="007B22C1"/>
    <w:rsid w:val="007B2A30"/>
    <w:rsid w:val="007B2DCD"/>
    <w:rsid w:val="007B41DD"/>
    <w:rsid w:val="007B4D10"/>
    <w:rsid w:val="007B5199"/>
    <w:rsid w:val="007B69B1"/>
    <w:rsid w:val="007B74AA"/>
    <w:rsid w:val="007B78AA"/>
    <w:rsid w:val="007C285F"/>
    <w:rsid w:val="007C39B5"/>
    <w:rsid w:val="007C3A41"/>
    <w:rsid w:val="007C7191"/>
    <w:rsid w:val="007C7392"/>
    <w:rsid w:val="007D1451"/>
    <w:rsid w:val="007D1B8B"/>
    <w:rsid w:val="007D2824"/>
    <w:rsid w:val="007D3C4B"/>
    <w:rsid w:val="007D4381"/>
    <w:rsid w:val="007D47D8"/>
    <w:rsid w:val="007D58A8"/>
    <w:rsid w:val="007D5C7F"/>
    <w:rsid w:val="007E02ED"/>
    <w:rsid w:val="007E0597"/>
    <w:rsid w:val="007E05F4"/>
    <w:rsid w:val="007E0985"/>
    <w:rsid w:val="007E1BD7"/>
    <w:rsid w:val="007E1DEB"/>
    <w:rsid w:val="007E2E4D"/>
    <w:rsid w:val="007E403E"/>
    <w:rsid w:val="007E4991"/>
    <w:rsid w:val="007E4B86"/>
    <w:rsid w:val="007E6E0D"/>
    <w:rsid w:val="007E740C"/>
    <w:rsid w:val="007F0805"/>
    <w:rsid w:val="007F0C27"/>
    <w:rsid w:val="007F1FD4"/>
    <w:rsid w:val="007F246C"/>
    <w:rsid w:val="007F2A90"/>
    <w:rsid w:val="007F5265"/>
    <w:rsid w:val="007F60B7"/>
    <w:rsid w:val="007F7757"/>
    <w:rsid w:val="0080187D"/>
    <w:rsid w:val="00802495"/>
    <w:rsid w:val="0080293D"/>
    <w:rsid w:val="00802A2C"/>
    <w:rsid w:val="00803457"/>
    <w:rsid w:val="0080372A"/>
    <w:rsid w:val="008042DB"/>
    <w:rsid w:val="008050E3"/>
    <w:rsid w:val="00806D50"/>
    <w:rsid w:val="00807B4F"/>
    <w:rsid w:val="00810604"/>
    <w:rsid w:val="00810DBC"/>
    <w:rsid w:val="0081139A"/>
    <w:rsid w:val="00811D22"/>
    <w:rsid w:val="00811FC2"/>
    <w:rsid w:val="00813D7B"/>
    <w:rsid w:val="008144DD"/>
    <w:rsid w:val="0081485B"/>
    <w:rsid w:val="00815A4C"/>
    <w:rsid w:val="00816010"/>
    <w:rsid w:val="008201BE"/>
    <w:rsid w:val="008202C9"/>
    <w:rsid w:val="008208CD"/>
    <w:rsid w:val="008219AA"/>
    <w:rsid w:val="008219F0"/>
    <w:rsid w:val="00822B54"/>
    <w:rsid w:val="008237FF"/>
    <w:rsid w:val="008240E3"/>
    <w:rsid w:val="00824837"/>
    <w:rsid w:val="00827471"/>
    <w:rsid w:val="00827596"/>
    <w:rsid w:val="0082798D"/>
    <w:rsid w:val="0083079B"/>
    <w:rsid w:val="00830F44"/>
    <w:rsid w:val="008310D5"/>
    <w:rsid w:val="008316D7"/>
    <w:rsid w:val="00831944"/>
    <w:rsid w:val="00831B47"/>
    <w:rsid w:val="00834291"/>
    <w:rsid w:val="008343F1"/>
    <w:rsid w:val="00834E5B"/>
    <w:rsid w:val="00835282"/>
    <w:rsid w:val="00835DE7"/>
    <w:rsid w:val="00835E60"/>
    <w:rsid w:val="008366EC"/>
    <w:rsid w:val="008370A6"/>
    <w:rsid w:val="00840AE4"/>
    <w:rsid w:val="00840B12"/>
    <w:rsid w:val="008416DF"/>
    <w:rsid w:val="00842193"/>
    <w:rsid w:val="008443B3"/>
    <w:rsid w:val="00846433"/>
    <w:rsid w:val="0084668A"/>
    <w:rsid w:val="00847A23"/>
    <w:rsid w:val="00850DF4"/>
    <w:rsid w:val="008510C7"/>
    <w:rsid w:val="0085150A"/>
    <w:rsid w:val="0085160F"/>
    <w:rsid w:val="0085327B"/>
    <w:rsid w:val="00853B1E"/>
    <w:rsid w:val="00854AAE"/>
    <w:rsid w:val="00856CDB"/>
    <w:rsid w:val="00857138"/>
    <w:rsid w:val="00860243"/>
    <w:rsid w:val="00860720"/>
    <w:rsid w:val="00860B8A"/>
    <w:rsid w:val="0086154F"/>
    <w:rsid w:val="00862470"/>
    <w:rsid w:val="00862ACA"/>
    <w:rsid w:val="00863B5C"/>
    <w:rsid w:val="00863E35"/>
    <w:rsid w:val="00864387"/>
    <w:rsid w:val="0086480C"/>
    <w:rsid w:val="00866104"/>
    <w:rsid w:val="0086680C"/>
    <w:rsid w:val="00866A4F"/>
    <w:rsid w:val="00866F44"/>
    <w:rsid w:val="0086783E"/>
    <w:rsid w:val="00870849"/>
    <w:rsid w:val="00870F86"/>
    <w:rsid w:val="0087252A"/>
    <w:rsid w:val="00873EFF"/>
    <w:rsid w:val="00874326"/>
    <w:rsid w:val="008749E8"/>
    <w:rsid w:val="00876774"/>
    <w:rsid w:val="00876C6F"/>
    <w:rsid w:val="00877339"/>
    <w:rsid w:val="008803DA"/>
    <w:rsid w:val="00881794"/>
    <w:rsid w:val="00881CAD"/>
    <w:rsid w:val="00883A58"/>
    <w:rsid w:val="0088578B"/>
    <w:rsid w:val="008875F2"/>
    <w:rsid w:val="0089326A"/>
    <w:rsid w:val="0089358E"/>
    <w:rsid w:val="00893F67"/>
    <w:rsid w:val="00893FCA"/>
    <w:rsid w:val="0089468E"/>
    <w:rsid w:val="008951E3"/>
    <w:rsid w:val="00895E6F"/>
    <w:rsid w:val="00895ED3"/>
    <w:rsid w:val="008A0297"/>
    <w:rsid w:val="008A034D"/>
    <w:rsid w:val="008A1004"/>
    <w:rsid w:val="008A15C2"/>
    <w:rsid w:val="008A2F96"/>
    <w:rsid w:val="008A34CB"/>
    <w:rsid w:val="008A4117"/>
    <w:rsid w:val="008A44DD"/>
    <w:rsid w:val="008A474D"/>
    <w:rsid w:val="008A6835"/>
    <w:rsid w:val="008B0300"/>
    <w:rsid w:val="008B170E"/>
    <w:rsid w:val="008B37A1"/>
    <w:rsid w:val="008B4625"/>
    <w:rsid w:val="008B467F"/>
    <w:rsid w:val="008B535A"/>
    <w:rsid w:val="008B57B0"/>
    <w:rsid w:val="008C06CB"/>
    <w:rsid w:val="008C0A91"/>
    <w:rsid w:val="008C0C83"/>
    <w:rsid w:val="008C3D36"/>
    <w:rsid w:val="008C420C"/>
    <w:rsid w:val="008C578C"/>
    <w:rsid w:val="008C582D"/>
    <w:rsid w:val="008C62F4"/>
    <w:rsid w:val="008C6A5F"/>
    <w:rsid w:val="008C7F35"/>
    <w:rsid w:val="008D2A1E"/>
    <w:rsid w:val="008D2CA0"/>
    <w:rsid w:val="008D30FC"/>
    <w:rsid w:val="008D3316"/>
    <w:rsid w:val="008D3B33"/>
    <w:rsid w:val="008D3C81"/>
    <w:rsid w:val="008D4703"/>
    <w:rsid w:val="008D659E"/>
    <w:rsid w:val="008D6656"/>
    <w:rsid w:val="008D6A64"/>
    <w:rsid w:val="008D72AB"/>
    <w:rsid w:val="008E22C9"/>
    <w:rsid w:val="008E2B3A"/>
    <w:rsid w:val="008E3EBA"/>
    <w:rsid w:val="008E3EF5"/>
    <w:rsid w:val="008E4DC6"/>
    <w:rsid w:val="008E5118"/>
    <w:rsid w:val="008E5DFF"/>
    <w:rsid w:val="008E6B14"/>
    <w:rsid w:val="008E6FC3"/>
    <w:rsid w:val="008F0A00"/>
    <w:rsid w:val="008F0EEB"/>
    <w:rsid w:val="008F1F04"/>
    <w:rsid w:val="008F275E"/>
    <w:rsid w:val="008F2C24"/>
    <w:rsid w:val="008F328C"/>
    <w:rsid w:val="008F40ED"/>
    <w:rsid w:val="008F48A5"/>
    <w:rsid w:val="008F4B28"/>
    <w:rsid w:val="008F5FAF"/>
    <w:rsid w:val="008F74C2"/>
    <w:rsid w:val="008F7CEE"/>
    <w:rsid w:val="00900E6F"/>
    <w:rsid w:val="00901C53"/>
    <w:rsid w:val="00902767"/>
    <w:rsid w:val="00902BB7"/>
    <w:rsid w:val="009042A9"/>
    <w:rsid w:val="009044A6"/>
    <w:rsid w:val="009048BF"/>
    <w:rsid w:val="00910A9A"/>
    <w:rsid w:val="00911C68"/>
    <w:rsid w:val="00911E06"/>
    <w:rsid w:val="009124E7"/>
    <w:rsid w:val="00912D01"/>
    <w:rsid w:val="00912F15"/>
    <w:rsid w:val="00915781"/>
    <w:rsid w:val="00916553"/>
    <w:rsid w:val="00916658"/>
    <w:rsid w:val="00916674"/>
    <w:rsid w:val="009168B2"/>
    <w:rsid w:val="00916D23"/>
    <w:rsid w:val="0091768B"/>
    <w:rsid w:val="00921A9A"/>
    <w:rsid w:val="00921E6B"/>
    <w:rsid w:val="009221B2"/>
    <w:rsid w:val="00922AA7"/>
    <w:rsid w:val="00922C6F"/>
    <w:rsid w:val="00922D6B"/>
    <w:rsid w:val="00923155"/>
    <w:rsid w:val="0092497F"/>
    <w:rsid w:val="00925391"/>
    <w:rsid w:val="009254E0"/>
    <w:rsid w:val="00925CEA"/>
    <w:rsid w:val="00926CCD"/>
    <w:rsid w:val="00927A0F"/>
    <w:rsid w:val="00927A30"/>
    <w:rsid w:val="00927DC6"/>
    <w:rsid w:val="00931E9D"/>
    <w:rsid w:val="009328B3"/>
    <w:rsid w:val="0093699A"/>
    <w:rsid w:val="00936A54"/>
    <w:rsid w:val="00937543"/>
    <w:rsid w:val="00937AC9"/>
    <w:rsid w:val="00940B0E"/>
    <w:rsid w:val="00940F81"/>
    <w:rsid w:val="00941552"/>
    <w:rsid w:val="00942B82"/>
    <w:rsid w:val="00942E5D"/>
    <w:rsid w:val="00943C5A"/>
    <w:rsid w:val="00944273"/>
    <w:rsid w:val="00944C1D"/>
    <w:rsid w:val="00945D12"/>
    <w:rsid w:val="00950882"/>
    <w:rsid w:val="00951C9A"/>
    <w:rsid w:val="0095227C"/>
    <w:rsid w:val="009523A7"/>
    <w:rsid w:val="009523F2"/>
    <w:rsid w:val="00953FB7"/>
    <w:rsid w:val="009551C5"/>
    <w:rsid w:val="00956636"/>
    <w:rsid w:val="0096017C"/>
    <w:rsid w:val="00961C50"/>
    <w:rsid w:val="00961FE9"/>
    <w:rsid w:val="009620C0"/>
    <w:rsid w:val="009628DB"/>
    <w:rsid w:val="00963312"/>
    <w:rsid w:val="0096386A"/>
    <w:rsid w:val="0096508A"/>
    <w:rsid w:val="00965ABF"/>
    <w:rsid w:val="00971A41"/>
    <w:rsid w:val="009738B1"/>
    <w:rsid w:val="00974372"/>
    <w:rsid w:val="00974E1E"/>
    <w:rsid w:val="00975BE8"/>
    <w:rsid w:val="00976A58"/>
    <w:rsid w:val="009779DA"/>
    <w:rsid w:val="00977AA1"/>
    <w:rsid w:val="00980058"/>
    <w:rsid w:val="00982445"/>
    <w:rsid w:val="00982777"/>
    <w:rsid w:val="00982867"/>
    <w:rsid w:val="00982C40"/>
    <w:rsid w:val="0098375D"/>
    <w:rsid w:val="0098522B"/>
    <w:rsid w:val="00986137"/>
    <w:rsid w:val="00986389"/>
    <w:rsid w:val="009872CD"/>
    <w:rsid w:val="00987A8B"/>
    <w:rsid w:val="00990A46"/>
    <w:rsid w:val="00990AB9"/>
    <w:rsid w:val="009912BB"/>
    <w:rsid w:val="009920E2"/>
    <w:rsid w:val="00992A84"/>
    <w:rsid w:val="00994217"/>
    <w:rsid w:val="00994618"/>
    <w:rsid w:val="00994BA8"/>
    <w:rsid w:val="00996CD5"/>
    <w:rsid w:val="00997E71"/>
    <w:rsid w:val="009A09EC"/>
    <w:rsid w:val="009A0E02"/>
    <w:rsid w:val="009A151F"/>
    <w:rsid w:val="009A24BC"/>
    <w:rsid w:val="009A2FF5"/>
    <w:rsid w:val="009A308D"/>
    <w:rsid w:val="009A442C"/>
    <w:rsid w:val="009A5C07"/>
    <w:rsid w:val="009A6AF8"/>
    <w:rsid w:val="009A6E01"/>
    <w:rsid w:val="009A7194"/>
    <w:rsid w:val="009A76D9"/>
    <w:rsid w:val="009A7C9D"/>
    <w:rsid w:val="009A7EF0"/>
    <w:rsid w:val="009B104B"/>
    <w:rsid w:val="009B2060"/>
    <w:rsid w:val="009B2A92"/>
    <w:rsid w:val="009B3C05"/>
    <w:rsid w:val="009B46F6"/>
    <w:rsid w:val="009B4AAE"/>
    <w:rsid w:val="009B5CB4"/>
    <w:rsid w:val="009B5E96"/>
    <w:rsid w:val="009B679C"/>
    <w:rsid w:val="009B76F3"/>
    <w:rsid w:val="009B7753"/>
    <w:rsid w:val="009B7AA5"/>
    <w:rsid w:val="009C2087"/>
    <w:rsid w:val="009C24FF"/>
    <w:rsid w:val="009C2DE1"/>
    <w:rsid w:val="009C3712"/>
    <w:rsid w:val="009C3901"/>
    <w:rsid w:val="009C3BA8"/>
    <w:rsid w:val="009C3C64"/>
    <w:rsid w:val="009C66BD"/>
    <w:rsid w:val="009D040F"/>
    <w:rsid w:val="009D043F"/>
    <w:rsid w:val="009D11EC"/>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268B"/>
    <w:rsid w:val="009E2873"/>
    <w:rsid w:val="009E2D3A"/>
    <w:rsid w:val="009E33E8"/>
    <w:rsid w:val="009E3400"/>
    <w:rsid w:val="009E39DB"/>
    <w:rsid w:val="009E3F6A"/>
    <w:rsid w:val="009E40F8"/>
    <w:rsid w:val="009E5EDB"/>
    <w:rsid w:val="009E607C"/>
    <w:rsid w:val="009F06DE"/>
    <w:rsid w:val="009F0ECB"/>
    <w:rsid w:val="009F1184"/>
    <w:rsid w:val="009F1E00"/>
    <w:rsid w:val="009F238A"/>
    <w:rsid w:val="009F3011"/>
    <w:rsid w:val="009F34D9"/>
    <w:rsid w:val="009F45ED"/>
    <w:rsid w:val="009F7E6F"/>
    <w:rsid w:val="00A00FC3"/>
    <w:rsid w:val="00A01288"/>
    <w:rsid w:val="00A02D1A"/>
    <w:rsid w:val="00A03078"/>
    <w:rsid w:val="00A05F48"/>
    <w:rsid w:val="00A0627A"/>
    <w:rsid w:val="00A10781"/>
    <w:rsid w:val="00A10C30"/>
    <w:rsid w:val="00A11656"/>
    <w:rsid w:val="00A12A58"/>
    <w:rsid w:val="00A12BD8"/>
    <w:rsid w:val="00A15F64"/>
    <w:rsid w:val="00A20196"/>
    <w:rsid w:val="00A225E6"/>
    <w:rsid w:val="00A233E0"/>
    <w:rsid w:val="00A24F5B"/>
    <w:rsid w:val="00A26353"/>
    <w:rsid w:val="00A26E89"/>
    <w:rsid w:val="00A274B4"/>
    <w:rsid w:val="00A27E5C"/>
    <w:rsid w:val="00A306EB"/>
    <w:rsid w:val="00A31484"/>
    <w:rsid w:val="00A33300"/>
    <w:rsid w:val="00A34AB5"/>
    <w:rsid w:val="00A34C1C"/>
    <w:rsid w:val="00A352DB"/>
    <w:rsid w:val="00A358CC"/>
    <w:rsid w:val="00A35BC3"/>
    <w:rsid w:val="00A35F5B"/>
    <w:rsid w:val="00A3600F"/>
    <w:rsid w:val="00A361CE"/>
    <w:rsid w:val="00A3645D"/>
    <w:rsid w:val="00A36A7F"/>
    <w:rsid w:val="00A41B91"/>
    <w:rsid w:val="00A446B4"/>
    <w:rsid w:val="00A45279"/>
    <w:rsid w:val="00A45770"/>
    <w:rsid w:val="00A45865"/>
    <w:rsid w:val="00A464A8"/>
    <w:rsid w:val="00A4785E"/>
    <w:rsid w:val="00A520CB"/>
    <w:rsid w:val="00A5226D"/>
    <w:rsid w:val="00A53BD4"/>
    <w:rsid w:val="00A53C9A"/>
    <w:rsid w:val="00A54517"/>
    <w:rsid w:val="00A55764"/>
    <w:rsid w:val="00A56C84"/>
    <w:rsid w:val="00A57F0E"/>
    <w:rsid w:val="00A60384"/>
    <w:rsid w:val="00A6282F"/>
    <w:rsid w:val="00A62AFA"/>
    <w:rsid w:val="00A64B54"/>
    <w:rsid w:val="00A659CE"/>
    <w:rsid w:val="00A661AA"/>
    <w:rsid w:val="00A67FC6"/>
    <w:rsid w:val="00A68791"/>
    <w:rsid w:val="00A70797"/>
    <w:rsid w:val="00A71397"/>
    <w:rsid w:val="00A71B9D"/>
    <w:rsid w:val="00A71F84"/>
    <w:rsid w:val="00A72054"/>
    <w:rsid w:val="00A72623"/>
    <w:rsid w:val="00A72677"/>
    <w:rsid w:val="00A74329"/>
    <w:rsid w:val="00A75FCB"/>
    <w:rsid w:val="00A7680A"/>
    <w:rsid w:val="00A768D2"/>
    <w:rsid w:val="00A77DA6"/>
    <w:rsid w:val="00A80A27"/>
    <w:rsid w:val="00A815CE"/>
    <w:rsid w:val="00A816BC"/>
    <w:rsid w:val="00A81EC0"/>
    <w:rsid w:val="00A82647"/>
    <w:rsid w:val="00A8542E"/>
    <w:rsid w:val="00A8593A"/>
    <w:rsid w:val="00A86761"/>
    <w:rsid w:val="00A9188B"/>
    <w:rsid w:val="00A91EFC"/>
    <w:rsid w:val="00A955EC"/>
    <w:rsid w:val="00A9734E"/>
    <w:rsid w:val="00A975AC"/>
    <w:rsid w:val="00A97767"/>
    <w:rsid w:val="00A97EE9"/>
    <w:rsid w:val="00AA220A"/>
    <w:rsid w:val="00AA26C8"/>
    <w:rsid w:val="00AA2AE3"/>
    <w:rsid w:val="00AA3857"/>
    <w:rsid w:val="00AA4A5E"/>
    <w:rsid w:val="00AA4F24"/>
    <w:rsid w:val="00AA5BD7"/>
    <w:rsid w:val="00AA6199"/>
    <w:rsid w:val="00AA67A0"/>
    <w:rsid w:val="00AA70F1"/>
    <w:rsid w:val="00AA7466"/>
    <w:rsid w:val="00AA74E9"/>
    <w:rsid w:val="00AB493A"/>
    <w:rsid w:val="00AB58D2"/>
    <w:rsid w:val="00AC0ED5"/>
    <w:rsid w:val="00AC105E"/>
    <w:rsid w:val="00AC1131"/>
    <w:rsid w:val="00AC1AC4"/>
    <w:rsid w:val="00AC1F88"/>
    <w:rsid w:val="00AC3EBB"/>
    <w:rsid w:val="00AC5472"/>
    <w:rsid w:val="00AD0AC1"/>
    <w:rsid w:val="00AD15AC"/>
    <w:rsid w:val="00AD1B66"/>
    <w:rsid w:val="00AD1C1B"/>
    <w:rsid w:val="00AD1CFF"/>
    <w:rsid w:val="00AD2447"/>
    <w:rsid w:val="00AD3F78"/>
    <w:rsid w:val="00AD46F7"/>
    <w:rsid w:val="00AD64B9"/>
    <w:rsid w:val="00AD6EE4"/>
    <w:rsid w:val="00AD7358"/>
    <w:rsid w:val="00AD743C"/>
    <w:rsid w:val="00AE026A"/>
    <w:rsid w:val="00AE0BB8"/>
    <w:rsid w:val="00AE0E88"/>
    <w:rsid w:val="00AE1346"/>
    <w:rsid w:val="00AE2594"/>
    <w:rsid w:val="00AE274D"/>
    <w:rsid w:val="00AE34D4"/>
    <w:rsid w:val="00AE3624"/>
    <w:rsid w:val="00AE3760"/>
    <w:rsid w:val="00AE3F7E"/>
    <w:rsid w:val="00AE534A"/>
    <w:rsid w:val="00AE63B1"/>
    <w:rsid w:val="00AE667E"/>
    <w:rsid w:val="00AE6807"/>
    <w:rsid w:val="00AE7BE7"/>
    <w:rsid w:val="00AE7C94"/>
    <w:rsid w:val="00AE7FC5"/>
    <w:rsid w:val="00AF2486"/>
    <w:rsid w:val="00AF27BE"/>
    <w:rsid w:val="00AF3D20"/>
    <w:rsid w:val="00AF4218"/>
    <w:rsid w:val="00AF55DA"/>
    <w:rsid w:val="00AF6F5C"/>
    <w:rsid w:val="00AF7EAC"/>
    <w:rsid w:val="00B017D5"/>
    <w:rsid w:val="00B0181A"/>
    <w:rsid w:val="00B027C5"/>
    <w:rsid w:val="00B02874"/>
    <w:rsid w:val="00B0424B"/>
    <w:rsid w:val="00B04655"/>
    <w:rsid w:val="00B061BD"/>
    <w:rsid w:val="00B06750"/>
    <w:rsid w:val="00B07068"/>
    <w:rsid w:val="00B07337"/>
    <w:rsid w:val="00B11452"/>
    <w:rsid w:val="00B11A05"/>
    <w:rsid w:val="00B11B2A"/>
    <w:rsid w:val="00B13545"/>
    <w:rsid w:val="00B13DEC"/>
    <w:rsid w:val="00B13F75"/>
    <w:rsid w:val="00B1537E"/>
    <w:rsid w:val="00B15AEE"/>
    <w:rsid w:val="00B15B9E"/>
    <w:rsid w:val="00B1749F"/>
    <w:rsid w:val="00B17DCA"/>
    <w:rsid w:val="00B200D7"/>
    <w:rsid w:val="00B205E9"/>
    <w:rsid w:val="00B222EC"/>
    <w:rsid w:val="00B22810"/>
    <w:rsid w:val="00B22F84"/>
    <w:rsid w:val="00B2326A"/>
    <w:rsid w:val="00B23E0D"/>
    <w:rsid w:val="00B24852"/>
    <w:rsid w:val="00B26757"/>
    <w:rsid w:val="00B279A3"/>
    <w:rsid w:val="00B31C31"/>
    <w:rsid w:val="00B377DA"/>
    <w:rsid w:val="00B378B8"/>
    <w:rsid w:val="00B37C28"/>
    <w:rsid w:val="00B400AE"/>
    <w:rsid w:val="00B40C34"/>
    <w:rsid w:val="00B42778"/>
    <w:rsid w:val="00B434D7"/>
    <w:rsid w:val="00B438E9"/>
    <w:rsid w:val="00B43AB5"/>
    <w:rsid w:val="00B45BEF"/>
    <w:rsid w:val="00B47058"/>
    <w:rsid w:val="00B5068E"/>
    <w:rsid w:val="00B506A8"/>
    <w:rsid w:val="00B50FB6"/>
    <w:rsid w:val="00B51024"/>
    <w:rsid w:val="00B51FCC"/>
    <w:rsid w:val="00B524A9"/>
    <w:rsid w:val="00B52EEE"/>
    <w:rsid w:val="00B555E9"/>
    <w:rsid w:val="00B603E4"/>
    <w:rsid w:val="00B60D4E"/>
    <w:rsid w:val="00B62988"/>
    <w:rsid w:val="00B62A55"/>
    <w:rsid w:val="00B6340D"/>
    <w:rsid w:val="00B63B97"/>
    <w:rsid w:val="00B65237"/>
    <w:rsid w:val="00B666CD"/>
    <w:rsid w:val="00B669B1"/>
    <w:rsid w:val="00B67894"/>
    <w:rsid w:val="00B713C0"/>
    <w:rsid w:val="00B72371"/>
    <w:rsid w:val="00B737EF"/>
    <w:rsid w:val="00B73E5B"/>
    <w:rsid w:val="00B744E7"/>
    <w:rsid w:val="00B74666"/>
    <w:rsid w:val="00B74D25"/>
    <w:rsid w:val="00B7519D"/>
    <w:rsid w:val="00B762CC"/>
    <w:rsid w:val="00B77C81"/>
    <w:rsid w:val="00B80126"/>
    <w:rsid w:val="00B80F76"/>
    <w:rsid w:val="00B818B8"/>
    <w:rsid w:val="00B81A2E"/>
    <w:rsid w:val="00B83587"/>
    <w:rsid w:val="00B8407F"/>
    <w:rsid w:val="00B8491D"/>
    <w:rsid w:val="00B85B34"/>
    <w:rsid w:val="00B8742C"/>
    <w:rsid w:val="00B87A65"/>
    <w:rsid w:val="00B90437"/>
    <w:rsid w:val="00B92284"/>
    <w:rsid w:val="00B9379D"/>
    <w:rsid w:val="00B93F50"/>
    <w:rsid w:val="00B9424F"/>
    <w:rsid w:val="00B9504D"/>
    <w:rsid w:val="00B952BE"/>
    <w:rsid w:val="00B957FA"/>
    <w:rsid w:val="00B95BD0"/>
    <w:rsid w:val="00B9602F"/>
    <w:rsid w:val="00B97B87"/>
    <w:rsid w:val="00BA1A18"/>
    <w:rsid w:val="00BA45E6"/>
    <w:rsid w:val="00BA5E6F"/>
    <w:rsid w:val="00BA685C"/>
    <w:rsid w:val="00BB0D04"/>
    <w:rsid w:val="00BB22C8"/>
    <w:rsid w:val="00BB2554"/>
    <w:rsid w:val="00BB29FA"/>
    <w:rsid w:val="00BB2B15"/>
    <w:rsid w:val="00BB3410"/>
    <w:rsid w:val="00BB3D43"/>
    <w:rsid w:val="00BB432F"/>
    <w:rsid w:val="00BB49A7"/>
    <w:rsid w:val="00BB49C0"/>
    <w:rsid w:val="00BB6F4C"/>
    <w:rsid w:val="00BB6FB5"/>
    <w:rsid w:val="00BB753F"/>
    <w:rsid w:val="00BB7DA0"/>
    <w:rsid w:val="00BB7FF2"/>
    <w:rsid w:val="00BC0B1A"/>
    <w:rsid w:val="00BC1522"/>
    <w:rsid w:val="00BC15F2"/>
    <w:rsid w:val="00BC19D9"/>
    <w:rsid w:val="00BC1BF0"/>
    <w:rsid w:val="00BC2D57"/>
    <w:rsid w:val="00BC3541"/>
    <w:rsid w:val="00BC3693"/>
    <w:rsid w:val="00BC386A"/>
    <w:rsid w:val="00BC3B95"/>
    <w:rsid w:val="00BC3DD2"/>
    <w:rsid w:val="00BC4CD6"/>
    <w:rsid w:val="00BD0AAE"/>
    <w:rsid w:val="00BD12E4"/>
    <w:rsid w:val="00BD2488"/>
    <w:rsid w:val="00BD2C18"/>
    <w:rsid w:val="00BD31A8"/>
    <w:rsid w:val="00BD3B1D"/>
    <w:rsid w:val="00BD456D"/>
    <w:rsid w:val="00BD4A3B"/>
    <w:rsid w:val="00BD63A9"/>
    <w:rsid w:val="00BD6B16"/>
    <w:rsid w:val="00BE12E1"/>
    <w:rsid w:val="00BE1B26"/>
    <w:rsid w:val="00BE1B39"/>
    <w:rsid w:val="00BE1F44"/>
    <w:rsid w:val="00BE221D"/>
    <w:rsid w:val="00BE31D9"/>
    <w:rsid w:val="00BE3D6F"/>
    <w:rsid w:val="00BE4548"/>
    <w:rsid w:val="00BE53BF"/>
    <w:rsid w:val="00BE5E35"/>
    <w:rsid w:val="00BE63D7"/>
    <w:rsid w:val="00BE6CFD"/>
    <w:rsid w:val="00BF0CAD"/>
    <w:rsid w:val="00BF2700"/>
    <w:rsid w:val="00BF2A34"/>
    <w:rsid w:val="00BF2DF6"/>
    <w:rsid w:val="00BF5699"/>
    <w:rsid w:val="00BF5E9F"/>
    <w:rsid w:val="00BF6721"/>
    <w:rsid w:val="00C003CC"/>
    <w:rsid w:val="00C02852"/>
    <w:rsid w:val="00C02D9A"/>
    <w:rsid w:val="00C033E9"/>
    <w:rsid w:val="00C0389F"/>
    <w:rsid w:val="00C04326"/>
    <w:rsid w:val="00C046AD"/>
    <w:rsid w:val="00C048F5"/>
    <w:rsid w:val="00C04A8F"/>
    <w:rsid w:val="00C04BC9"/>
    <w:rsid w:val="00C054E3"/>
    <w:rsid w:val="00C066B7"/>
    <w:rsid w:val="00C07565"/>
    <w:rsid w:val="00C07AAE"/>
    <w:rsid w:val="00C07D74"/>
    <w:rsid w:val="00C07EDE"/>
    <w:rsid w:val="00C07F58"/>
    <w:rsid w:val="00C1059A"/>
    <w:rsid w:val="00C10E2B"/>
    <w:rsid w:val="00C11ED5"/>
    <w:rsid w:val="00C13120"/>
    <w:rsid w:val="00C13702"/>
    <w:rsid w:val="00C13762"/>
    <w:rsid w:val="00C13B84"/>
    <w:rsid w:val="00C14B7B"/>
    <w:rsid w:val="00C14D9D"/>
    <w:rsid w:val="00C1628D"/>
    <w:rsid w:val="00C20372"/>
    <w:rsid w:val="00C21E4B"/>
    <w:rsid w:val="00C2356F"/>
    <w:rsid w:val="00C23652"/>
    <w:rsid w:val="00C23997"/>
    <w:rsid w:val="00C24C6C"/>
    <w:rsid w:val="00C25A7A"/>
    <w:rsid w:val="00C2672E"/>
    <w:rsid w:val="00C27150"/>
    <w:rsid w:val="00C300BB"/>
    <w:rsid w:val="00C30469"/>
    <w:rsid w:val="00C3183C"/>
    <w:rsid w:val="00C32359"/>
    <w:rsid w:val="00C32ACA"/>
    <w:rsid w:val="00C32D5B"/>
    <w:rsid w:val="00C33E98"/>
    <w:rsid w:val="00C33F75"/>
    <w:rsid w:val="00C347F1"/>
    <w:rsid w:val="00C34842"/>
    <w:rsid w:val="00C36443"/>
    <w:rsid w:val="00C36932"/>
    <w:rsid w:val="00C36AEE"/>
    <w:rsid w:val="00C36E61"/>
    <w:rsid w:val="00C375CA"/>
    <w:rsid w:val="00C37E72"/>
    <w:rsid w:val="00C40A16"/>
    <w:rsid w:val="00C40C07"/>
    <w:rsid w:val="00C4298A"/>
    <w:rsid w:val="00C42F7B"/>
    <w:rsid w:val="00C441E0"/>
    <w:rsid w:val="00C44A9E"/>
    <w:rsid w:val="00C44E78"/>
    <w:rsid w:val="00C456F3"/>
    <w:rsid w:val="00C457F1"/>
    <w:rsid w:val="00C45979"/>
    <w:rsid w:val="00C4602D"/>
    <w:rsid w:val="00C47249"/>
    <w:rsid w:val="00C5132D"/>
    <w:rsid w:val="00C51D4B"/>
    <w:rsid w:val="00C52C16"/>
    <w:rsid w:val="00C531AB"/>
    <w:rsid w:val="00C538F7"/>
    <w:rsid w:val="00C541C4"/>
    <w:rsid w:val="00C54E17"/>
    <w:rsid w:val="00C54F77"/>
    <w:rsid w:val="00C54FDB"/>
    <w:rsid w:val="00C557F2"/>
    <w:rsid w:val="00C56404"/>
    <w:rsid w:val="00C573BC"/>
    <w:rsid w:val="00C57AA9"/>
    <w:rsid w:val="00C60DDA"/>
    <w:rsid w:val="00C6228D"/>
    <w:rsid w:val="00C63846"/>
    <w:rsid w:val="00C67D9C"/>
    <w:rsid w:val="00C706D7"/>
    <w:rsid w:val="00C723AC"/>
    <w:rsid w:val="00C72590"/>
    <w:rsid w:val="00C7268E"/>
    <w:rsid w:val="00C72CCD"/>
    <w:rsid w:val="00C733F7"/>
    <w:rsid w:val="00C73C00"/>
    <w:rsid w:val="00C74378"/>
    <w:rsid w:val="00C754FD"/>
    <w:rsid w:val="00C76FDB"/>
    <w:rsid w:val="00C80081"/>
    <w:rsid w:val="00C80E50"/>
    <w:rsid w:val="00C81909"/>
    <w:rsid w:val="00C81982"/>
    <w:rsid w:val="00C81E8A"/>
    <w:rsid w:val="00C82203"/>
    <w:rsid w:val="00C83ECD"/>
    <w:rsid w:val="00C8408B"/>
    <w:rsid w:val="00C84E7F"/>
    <w:rsid w:val="00C85287"/>
    <w:rsid w:val="00C86ABE"/>
    <w:rsid w:val="00C86AC0"/>
    <w:rsid w:val="00C8720B"/>
    <w:rsid w:val="00C87C08"/>
    <w:rsid w:val="00C87E71"/>
    <w:rsid w:val="00C91270"/>
    <w:rsid w:val="00C9141A"/>
    <w:rsid w:val="00C916DE"/>
    <w:rsid w:val="00C93634"/>
    <w:rsid w:val="00C943C6"/>
    <w:rsid w:val="00C94D70"/>
    <w:rsid w:val="00C9517E"/>
    <w:rsid w:val="00C96032"/>
    <w:rsid w:val="00C96BDE"/>
    <w:rsid w:val="00CA20AB"/>
    <w:rsid w:val="00CA27B9"/>
    <w:rsid w:val="00CA32FE"/>
    <w:rsid w:val="00CA3977"/>
    <w:rsid w:val="00CA4137"/>
    <w:rsid w:val="00CA5AE4"/>
    <w:rsid w:val="00CA6D14"/>
    <w:rsid w:val="00CA7D74"/>
    <w:rsid w:val="00CB02A1"/>
    <w:rsid w:val="00CB038B"/>
    <w:rsid w:val="00CB1227"/>
    <w:rsid w:val="00CB1797"/>
    <w:rsid w:val="00CB26AA"/>
    <w:rsid w:val="00CB3528"/>
    <w:rsid w:val="00CB4B04"/>
    <w:rsid w:val="00CB6119"/>
    <w:rsid w:val="00CB6AD7"/>
    <w:rsid w:val="00CB7612"/>
    <w:rsid w:val="00CC03C4"/>
    <w:rsid w:val="00CC0BED"/>
    <w:rsid w:val="00CC2643"/>
    <w:rsid w:val="00CC338D"/>
    <w:rsid w:val="00CC3C26"/>
    <w:rsid w:val="00CC3CEF"/>
    <w:rsid w:val="00CC43C3"/>
    <w:rsid w:val="00CC43C5"/>
    <w:rsid w:val="00CC43CD"/>
    <w:rsid w:val="00CC4618"/>
    <w:rsid w:val="00CC48FF"/>
    <w:rsid w:val="00CC6557"/>
    <w:rsid w:val="00CD0ABA"/>
    <w:rsid w:val="00CD1614"/>
    <w:rsid w:val="00CD1836"/>
    <w:rsid w:val="00CD275E"/>
    <w:rsid w:val="00CD2EF7"/>
    <w:rsid w:val="00CD38AB"/>
    <w:rsid w:val="00CD39CF"/>
    <w:rsid w:val="00CD4100"/>
    <w:rsid w:val="00CD4338"/>
    <w:rsid w:val="00CD4809"/>
    <w:rsid w:val="00CD4EA0"/>
    <w:rsid w:val="00CD5A92"/>
    <w:rsid w:val="00CE0942"/>
    <w:rsid w:val="00CE1EF9"/>
    <w:rsid w:val="00CE2CB1"/>
    <w:rsid w:val="00CE2D1E"/>
    <w:rsid w:val="00CE3ACF"/>
    <w:rsid w:val="00CE4292"/>
    <w:rsid w:val="00CE4DEB"/>
    <w:rsid w:val="00CE4F47"/>
    <w:rsid w:val="00CE5752"/>
    <w:rsid w:val="00CE597C"/>
    <w:rsid w:val="00CE6F2D"/>
    <w:rsid w:val="00CE78D0"/>
    <w:rsid w:val="00CF23B4"/>
    <w:rsid w:val="00CF242E"/>
    <w:rsid w:val="00CF24E5"/>
    <w:rsid w:val="00CF30A1"/>
    <w:rsid w:val="00CF413A"/>
    <w:rsid w:val="00CF4631"/>
    <w:rsid w:val="00CF5A3C"/>
    <w:rsid w:val="00CF5E32"/>
    <w:rsid w:val="00CF5EFF"/>
    <w:rsid w:val="00CF5FCE"/>
    <w:rsid w:val="00CF6749"/>
    <w:rsid w:val="00D00106"/>
    <w:rsid w:val="00D00D33"/>
    <w:rsid w:val="00D01A8F"/>
    <w:rsid w:val="00D027B8"/>
    <w:rsid w:val="00D04072"/>
    <w:rsid w:val="00D043F3"/>
    <w:rsid w:val="00D071D3"/>
    <w:rsid w:val="00D10B82"/>
    <w:rsid w:val="00D12D20"/>
    <w:rsid w:val="00D14A68"/>
    <w:rsid w:val="00D15525"/>
    <w:rsid w:val="00D1606B"/>
    <w:rsid w:val="00D163B0"/>
    <w:rsid w:val="00D170AF"/>
    <w:rsid w:val="00D17BB9"/>
    <w:rsid w:val="00D20DBF"/>
    <w:rsid w:val="00D210DB"/>
    <w:rsid w:val="00D225E2"/>
    <w:rsid w:val="00D234AD"/>
    <w:rsid w:val="00D2429D"/>
    <w:rsid w:val="00D24AC0"/>
    <w:rsid w:val="00D25DF2"/>
    <w:rsid w:val="00D25E8F"/>
    <w:rsid w:val="00D26124"/>
    <w:rsid w:val="00D26B00"/>
    <w:rsid w:val="00D27D61"/>
    <w:rsid w:val="00D3084F"/>
    <w:rsid w:val="00D31D34"/>
    <w:rsid w:val="00D31DCE"/>
    <w:rsid w:val="00D33817"/>
    <w:rsid w:val="00D36464"/>
    <w:rsid w:val="00D3686A"/>
    <w:rsid w:val="00D3701E"/>
    <w:rsid w:val="00D3715D"/>
    <w:rsid w:val="00D37D03"/>
    <w:rsid w:val="00D37D3F"/>
    <w:rsid w:val="00D414EB"/>
    <w:rsid w:val="00D4260C"/>
    <w:rsid w:val="00D43278"/>
    <w:rsid w:val="00D432B7"/>
    <w:rsid w:val="00D437E5"/>
    <w:rsid w:val="00D4483E"/>
    <w:rsid w:val="00D4591C"/>
    <w:rsid w:val="00D45BD8"/>
    <w:rsid w:val="00D45C8A"/>
    <w:rsid w:val="00D4673A"/>
    <w:rsid w:val="00D4728E"/>
    <w:rsid w:val="00D47C16"/>
    <w:rsid w:val="00D47C2B"/>
    <w:rsid w:val="00D47CB3"/>
    <w:rsid w:val="00D50C3C"/>
    <w:rsid w:val="00D51094"/>
    <w:rsid w:val="00D51356"/>
    <w:rsid w:val="00D517F0"/>
    <w:rsid w:val="00D5260D"/>
    <w:rsid w:val="00D54334"/>
    <w:rsid w:val="00D544EC"/>
    <w:rsid w:val="00D55926"/>
    <w:rsid w:val="00D55EB1"/>
    <w:rsid w:val="00D57716"/>
    <w:rsid w:val="00D61EDC"/>
    <w:rsid w:val="00D6400E"/>
    <w:rsid w:val="00D64254"/>
    <w:rsid w:val="00D70D47"/>
    <w:rsid w:val="00D71FF5"/>
    <w:rsid w:val="00D73509"/>
    <w:rsid w:val="00D73DBE"/>
    <w:rsid w:val="00D73E09"/>
    <w:rsid w:val="00D74290"/>
    <w:rsid w:val="00D76DB3"/>
    <w:rsid w:val="00D775F6"/>
    <w:rsid w:val="00D77C8D"/>
    <w:rsid w:val="00D82CCC"/>
    <w:rsid w:val="00D83BC3"/>
    <w:rsid w:val="00D85438"/>
    <w:rsid w:val="00D86B87"/>
    <w:rsid w:val="00D871E0"/>
    <w:rsid w:val="00D87764"/>
    <w:rsid w:val="00D90653"/>
    <w:rsid w:val="00D919A1"/>
    <w:rsid w:val="00D92ED6"/>
    <w:rsid w:val="00D9464A"/>
    <w:rsid w:val="00D94F6B"/>
    <w:rsid w:val="00D9599C"/>
    <w:rsid w:val="00D95C5A"/>
    <w:rsid w:val="00D966B2"/>
    <w:rsid w:val="00DA27C5"/>
    <w:rsid w:val="00DA4019"/>
    <w:rsid w:val="00DA4E0C"/>
    <w:rsid w:val="00DA4EA4"/>
    <w:rsid w:val="00DA53F8"/>
    <w:rsid w:val="00DA7843"/>
    <w:rsid w:val="00DA7E80"/>
    <w:rsid w:val="00DA7FDF"/>
    <w:rsid w:val="00DB094C"/>
    <w:rsid w:val="00DB0E66"/>
    <w:rsid w:val="00DB13CB"/>
    <w:rsid w:val="00DB523F"/>
    <w:rsid w:val="00DB52E0"/>
    <w:rsid w:val="00DB5E95"/>
    <w:rsid w:val="00DB6062"/>
    <w:rsid w:val="00DB66D7"/>
    <w:rsid w:val="00DB7775"/>
    <w:rsid w:val="00DB799B"/>
    <w:rsid w:val="00DC1889"/>
    <w:rsid w:val="00DC1EEC"/>
    <w:rsid w:val="00DC2D99"/>
    <w:rsid w:val="00DC57CD"/>
    <w:rsid w:val="00DC6593"/>
    <w:rsid w:val="00DD144C"/>
    <w:rsid w:val="00DD2682"/>
    <w:rsid w:val="00DD35B0"/>
    <w:rsid w:val="00DD4E7A"/>
    <w:rsid w:val="00DD6533"/>
    <w:rsid w:val="00DD718B"/>
    <w:rsid w:val="00DE0648"/>
    <w:rsid w:val="00DE15D8"/>
    <w:rsid w:val="00DE26D9"/>
    <w:rsid w:val="00DE3DF8"/>
    <w:rsid w:val="00DE4785"/>
    <w:rsid w:val="00DE4E0C"/>
    <w:rsid w:val="00DE50FF"/>
    <w:rsid w:val="00DE5F63"/>
    <w:rsid w:val="00DE60DC"/>
    <w:rsid w:val="00DE68CB"/>
    <w:rsid w:val="00DE7D97"/>
    <w:rsid w:val="00DF0955"/>
    <w:rsid w:val="00DF21A5"/>
    <w:rsid w:val="00DF3AA1"/>
    <w:rsid w:val="00DF45F8"/>
    <w:rsid w:val="00DF4973"/>
    <w:rsid w:val="00DF6030"/>
    <w:rsid w:val="00DF7E5D"/>
    <w:rsid w:val="00E00589"/>
    <w:rsid w:val="00E00B3A"/>
    <w:rsid w:val="00E0220E"/>
    <w:rsid w:val="00E02615"/>
    <w:rsid w:val="00E02D53"/>
    <w:rsid w:val="00E034D9"/>
    <w:rsid w:val="00E03FC8"/>
    <w:rsid w:val="00E0409A"/>
    <w:rsid w:val="00E04947"/>
    <w:rsid w:val="00E076DF"/>
    <w:rsid w:val="00E10927"/>
    <w:rsid w:val="00E128B1"/>
    <w:rsid w:val="00E13AD3"/>
    <w:rsid w:val="00E14467"/>
    <w:rsid w:val="00E14BF3"/>
    <w:rsid w:val="00E16410"/>
    <w:rsid w:val="00E205A3"/>
    <w:rsid w:val="00E2335B"/>
    <w:rsid w:val="00E2389F"/>
    <w:rsid w:val="00E238FF"/>
    <w:rsid w:val="00E23AE8"/>
    <w:rsid w:val="00E25157"/>
    <w:rsid w:val="00E25603"/>
    <w:rsid w:val="00E25E27"/>
    <w:rsid w:val="00E26C4F"/>
    <w:rsid w:val="00E27F78"/>
    <w:rsid w:val="00E30F8E"/>
    <w:rsid w:val="00E3122D"/>
    <w:rsid w:val="00E3138E"/>
    <w:rsid w:val="00E32416"/>
    <w:rsid w:val="00E33FC1"/>
    <w:rsid w:val="00E34A7C"/>
    <w:rsid w:val="00E3518D"/>
    <w:rsid w:val="00E35BF8"/>
    <w:rsid w:val="00E37A2B"/>
    <w:rsid w:val="00E37EBE"/>
    <w:rsid w:val="00E40D81"/>
    <w:rsid w:val="00E42EA6"/>
    <w:rsid w:val="00E439D8"/>
    <w:rsid w:val="00E4578A"/>
    <w:rsid w:val="00E45AA2"/>
    <w:rsid w:val="00E463E4"/>
    <w:rsid w:val="00E46C5C"/>
    <w:rsid w:val="00E47562"/>
    <w:rsid w:val="00E477A9"/>
    <w:rsid w:val="00E50CD6"/>
    <w:rsid w:val="00E5311D"/>
    <w:rsid w:val="00E54B97"/>
    <w:rsid w:val="00E55F68"/>
    <w:rsid w:val="00E57E79"/>
    <w:rsid w:val="00E604E8"/>
    <w:rsid w:val="00E61DD0"/>
    <w:rsid w:val="00E62103"/>
    <w:rsid w:val="00E63258"/>
    <w:rsid w:val="00E63B7C"/>
    <w:rsid w:val="00E64357"/>
    <w:rsid w:val="00E64935"/>
    <w:rsid w:val="00E64DEF"/>
    <w:rsid w:val="00E64F9E"/>
    <w:rsid w:val="00E65B33"/>
    <w:rsid w:val="00E663AF"/>
    <w:rsid w:val="00E6714A"/>
    <w:rsid w:val="00E671A5"/>
    <w:rsid w:val="00E67AA0"/>
    <w:rsid w:val="00E70167"/>
    <w:rsid w:val="00E705EC"/>
    <w:rsid w:val="00E71E8B"/>
    <w:rsid w:val="00E72DB0"/>
    <w:rsid w:val="00E73765"/>
    <w:rsid w:val="00E739B7"/>
    <w:rsid w:val="00E73E81"/>
    <w:rsid w:val="00E74511"/>
    <w:rsid w:val="00E75438"/>
    <w:rsid w:val="00E75DBD"/>
    <w:rsid w:val="00E777B0"/>
    <w:rsid w:val="00E77E40"/>
    <w:rsid w:val="00E815E1"/>
    <w:rsid w:val="00E81AB6"/>
    <w:rsid w:val="00E833F8"/>
    <w:rsid w:val="00E83D5C"/>
    <w:rsid w:val="00E843EB"/>
    <w:rsid w:val="00E85622"/>
    <w:rsid w:val="00E86D6D"/>
    <w:rsid w:val="00E87F99"/>
    <w:rsid w:val="00E87FCD"/>
    <w:rsid w:val="00E91C6A"/>
    <w:rsid w:val="00E941B2"/>
    <w:rsid w:val="00E94E34"/>
    <w:rsid w:val="00E957A4"/>
    <w:rsid w:val="00E95FDC"/>
    <w:rsid w:val="00E97093"/>
    <w:rsid w:val="00EA0CF2"/>
    <w:rsid w:val="00EA0D20"/>
    <w:rsid w:val="00EA3AE4"/>
    <w:rsid w:val="00EA3FBC"/>
    <w:rsid w:val="00EA4428"/>
    <w:rsid w:val="00EA4A33"/>
    <w:rsid w:val="00EA58E6"/>
    <w:rsid w:val="00EA5D83"/>
    <w:rsid w:val="00EA6184"/>
    <w:rsid w:val="00EA6BDC"/>
    <w:rsid w:val="00EB01B9"/>
    <w:rsid w:val="00EB0819"/>
    <w:rsid w:val="00EB0863"/>
    <w:rsid w:val="00EB0C83"/>
    <w:rsid w:val="00EB150D"/>
    <w:rsid w:val="00EB1912"/>
    <w:rsid w:val="00EB1C08"/>
    <w:rsid w:val="00EB2A3A"/>
    <w:rsid w:val="00EB2C1B"/>
    <w:rsid w:val="00EB2F3D"/>
    <w:rsid w:val="00EB34A6"/>
    <w:rsid w:val="00EB4C2F"/>
    <w:rsid w:val="00EB7542"/>
    <w:rsid w:val="00EC04E3"/>
    <w:rsid w:val="00EC0D68"/>
    <w:rsid w:val="00EC1141"/>
    <w:rsid w:val="00EC11F9"/>
    <w:rsid w:val="00EC122D"/>
    <w:rsid w:val="00EC1979"/>
    <w:rsid w:val="00EC230D"/>
    <w:rsid w:val="00EC3751"/>
    <w:rsid w:val="00EC6598"/>
    <w:rsid w:val="00EC67F8"/>
    <w:rsid w:val="00EC6B27"/>
    <w:rsid w:val="00EC700B"/>
    <w:rsid w:val="00EC7AEE"/>
    <w:rsid w:val="00ED0082"/>
    <w:rsid w:val="00ED009F"/>
    <w:rsid w:val="00ED07E7"/>
    <w:rsid w:val="00ED1489"/>
    <w:rsid w:val="00ED1842"/>
    <w:rsid w:val="00ED1C59"/>
    <w:rsid w:val="00ED1E44"/>
    <w:rsid w:val="00ED2C2E"/>
    <w:rsid w:val="00ED31BD"/>
    <w:rsid w:val="00ED3C90"/>
    <w:rsid w:val="00ED4385"/>
    <w:rsid w:val="00ED44A3"/>
    <w:rsid w:val="00ED57A4"/>
    <w:rsid w:val="00ED6496"/>
    <w:rsid w:val="00ED67C7"/>
    <w:rsid w:val="00ED771D"/>
    <w:rsid w:val="00EE038B"/>
    <w:rsid w:val="00EE1139"/>
    <w:rsid w:val="00EE2072"/>
    <w:rsid w:val="00EE2403"/>
    <w:rsid w:val="00EE2B2F"/>
    <w:rsid w:val="00EE3594"/>
    <w:rsid w:val="00EE5AC9"/>
    <w:rsid w:val="00EE68B7"/>
    <w:rsid w:val="00EE6D48"/>
    <w:rsid w:val="00EE7609"/>
    <w:rsid w:val="00EE782C"/>
    <w:rsid w:val="00EF2E9D"/>
    <w:rsid w:val="00EF3B34"/>
    <w:rsid w:val="00EF6B80"/>
    <w:rsid w:val="00EF71E8"/>
    <w:rsid w:val="00EF7A31"/>
    <w:rsid w:val="00EF7B2E"/>
    <w:rsid w:val="00F0015C"/>
    <w:rsid w:val="00F00736"/>
    <w:rsid w:val="00F02003"/>
    <w:rsid w:val="00F03C63"/>
    <w:rsid w:val="00F0705E"/>
    <w:rsid w:val="00F071BE"/>
    <w:rsid w:val="00F07404"/>
    <w:rsid w:val="00F07A27"/>
    <w:rsid w:val="00F105FD"/>
    <w:rsid w:val="00F10CF0"/>
    <w:rsid w:val="00F11AD1"/>
    <w:rsid w:val="00F12781"/>
    <w:rsid w:val="00F13918"/>
    <w:rsid w:val="00F15CFE"/>
    <w:rsid w:val="00F171C6"/>
    <w:rsid w:val="00F1773A"/>
    <w:rsid w:val="00F17AD6"/>
    <w:rsid w:val="00F17E88"/>
    <w:rsid w:val="00F17F8C"/>
    <w:rsid w:val="00F205C8"/>
    <w:rsid w:val="00F215A5"/>
    <w:rsid w:val="00F229AC"/>
    <w:rsid w:val="00F252CD"/>
    <w:rsid w:val="00F2554C"/>
    <w:rsid w:val="00F27BD2"/>
    <w:rsid w:val="00F3030A"/>
    <w:rsid w:val="00F31C0B"/>
    <w:rsid w:val="00F31DEE"/>
    <w:rsid w:val="00F32BF6"/>
    <w:rsid w:val="00F3311E"/>
    <w:rsid w:val="00F33388"/>
    <w:rsid w:val="00F33E4D"/>
    <w:rsid w:val="00F34178"/>
    <w:rsid w:val="00F34A5B"/>
    <w:rsid w:val="00F34BCA"/>
    <w:rsid w:val="00F36723"/>
    <w:rsid w:val="00F36764"/>
    <w:rsid w:val="00F37D13"/>
    <w:rsid w:val="00F405E9"/>
    <w:rsid w:val="00F43533"/>
    <w:rsid w:val="00F43699"/>
    <w:rsid w:val="00F43A5C"/>
    <w:rsid w:val="00F440BC"/>
    <w:rsid w:val="00F44C53"/>
    <w:rsid w:val="00F457B3"/>
    <w:rsid w:val="00F462DB"/>
    <w:rsid w:val="00F465FF"/>
    <w:rsid w:val="00F4690A"/>
    <w:rsid w:val="00F47EAC"/>
    <w:rsid w:val="00F5019F"/>
    <w:rsid w:val="00F50C29"/>
    <w:rsid w:val="00F51F05"/>
    <w:rsid w:val="00F51FFD"/>
    <w:rsid w:val="00F520D9"/>
    <w:rsid w:val="00F56114"/>
    <w:rsid w:val="00F573CC"/>
    <w:rsid w:val="00F57EAD"/>
    <w:rsid w:val="00F601B4"/>
    <w:rsid w:val="00F61F73"/>
    <w:rsid w:val="00F62C65"/>
    <w:rsid w:val="00F63290"/>
    <w:rsid w:val="00F6380F"/>
    <w:rsid w:val="00F63881"/>
    <w:rsid w:val="00F652A6"/>
    <w:rsid w:val="00F66728"/>
    <w:rsid w:val="00F67649"/>
    <w:rsid w:val="00F67C9A"/>
    <w:rsid w:val="00F7072E"/>
    <w:rsid w:val="00F71C27"/>
    <w:rsid w:val="00F722ED"/>
    <w:rsid w:val="00F7283C"/>
    <w:rsid w:val="00F7382B"/>
    <w:rsid w:val="00F741CB"/>
    <w:rsid w:val="00F74A64"/>
    <w:rsid w:val="00F74FF8"/>
    <w:rsid w:val="00F764FC"/>
    <w:rsid w:val="00F76675"/>
    <w:rsid w:val="00F7776D"/>
    <w:rsid w:val="00F80AEC"/>
    <w:rsid w:val="00F81C4C"/>
    <w:rsid w:val="00F823FF"/>
    <w:rsid w:val="00F8267A"/>
    <w:rsid w:val="00F84AF9"/>
    <w:rsid w:val="00F84EEA"/>
    <w:rsid w:val="00F85BB1"/>
    <w:rsid w:val="00F8697C"/>
    <w:rsid w:val="00F904F9"/>
    <w:rsid w:val="00F90ACE"/>
    <w:rsid w:val="00F9157A"/>
    <w:rsid w:val="00F916E8"/>
    <w:rsid w:val="00F91707"/>
    <w:rsid w:val="00F919C9"/>
    <w:rsid w:val="00F91C8E"/>
    <w:rsid w:val="00F91EF0"/>
    <w:rsid w:val="00F92596"/>
    <w:rsid w:val="00F92C62"/>
    <w:rsid w:val="00F95973"/>
    <w:rsid w:val="00FA0247"/>
    <w:rsid w:val="00FA0F0D"/>
    <w:rsid w:val="00FA19CB"/>
    <w:rsid w:val="00FA1E65"/>
    <w:rsid w:val="00FA1FE9"/>
    <w:rsid w:val="00FA243A"/>
    <w:rsid w:val="00FA247C"/>
    <w:rsid w:val="00FA24AC"/>
    <w:rsid w:val="00FA49B5"/>
    <w:rsid w:val="00FA4C93"/>
    <w:rsid w:val="00FA5FC1"/>
    <w:rsid w:val="00FA7931"/>
    <w:rsid w:val="00FB012C"/>
    <w:rsid w:val="00FB17D1"/>
    <w:rsid w:val="00FB2200"/>
    <w:rsid w:val="00FB27C1"/>
    <w:rsid w:val="00FB37E2"/>
    <w:rsid w:val="00FB38ED"/>
    <w:rsid w:val="00FB6E02"/>
    <w:rsid w:val="00FB72D9"/>
    <w:rsid w:val="00FB7E9F"/>
    <w:rsid w:val="00FC02BD"/>
    <w:rsid w:val="00FC0C15"/>
    <w:rsid w:val="00FC0F42"/>
    <w:rsid w:val="00FC2365"/>
    <w:rsid w:val="00FC4CC6"/>
    <w:rsid w:val="00FC4FBB"/>
    <w:rsid w:val="00FC53C7"/>
    <w:rsid w:val="00FC601F"/>
    <w:rsid w:val="00FC6545"/>
    <w:rsid w:val="00FC7E37"/>
    <w:rsid w:val="00FD0324"/>
    <w:rsid w:val="00FD043E"/>
    <w:rsid w:val="00FD071A"/>
    <w:rsid w:val="00FD2929"/>
    <w:rsid w:val="00FD37B6"/>
    <w:rsid w:val="00FD3EF8"/>
    <w:rsid w:val="00FD47B3"/>
    <w:rsid w:val="00FD54EB"/>
    <w:rsid w:val="00FD6D60"/>
    <w:rsid w:val="00FD6F2C"/>
    <w:rsid w:val="00FD7196"/>
    <w:rsid w:val="00FE0BEA"/>
    <w:rsid w:val="00FE0D6A"/>
    <w:rsid w:val="00FE2C1F"/>
    <w:rsid w:val="00FE45FC"/>
    <w:rsid w:val="00FE4665"/>
    <w:rsid w:val="00FE539F"/>
    <w:rsid w:val="00FE5680"/>
    <w:rsid w:val="00FE590E"/>
    <w:rsid w:val="00FE5FC6"/>
    <w:rsid w:val="00FE7D84"/>
    <w:rsid w:val="00FF04B1"/>
    <w:rsid w:val="00FF0CC3"/>
    <w:rsid w:val="00FF0DE8"/>
    <w:rsid w:val="00FF11A9"/>
    <w:rsid w:val="00FF165F"/>
    <w:rsid w:val="00FF16DB"/>
    <w:rsid w:val="00FF3639"/>
    <w:rsid w:val="00FF3DDF"/>
    <w:rsid w:val="00FF509C"/>
    <w:rsid w:val="00FF5265"/>
    <w:rsid w:val="00FF55F1"/>
    <w:rsid w:val="00FF675B"/>
    <w:rsid w:val="00FF69A7"/>
    <w:rsid w:val="012FA69F"/>
    <w:rsid w:val="01AFBD83"/>
    <w:rsid w:val="01DBE774"/>
    <w:rsid w:val="01EE46BA"/>
    <w:rsid w:val="01EF6AF3"/>
    <w:rsid w:val="02369EEC"/>
    <w:rsid w:val="0248A40C"/>
    <w:rsid w:val="025EBAC4"/>
    <w:rsid w:val="02A37C0E"/>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4A413"/>
    <w:rsid w:val="0A7BADC9"/>
    <w:rsid w:val="0A87B1B4"/>
    <w:rsid w:val="0A9A8022"/>
    <w:rsid w:val="0AA3A86F"/>
    <w:rsid w:val="0AFB87B1"/>
    <w:rsid w:val="0C14FBF0"/>
    <w:rsid w:val="0C550549"/>
    <w:rsid w:val="0C9D8B4A"/>
    <w:rsid w:val="0CAA651B"/>
    <w:rsid w:val="0D05FC5C"/>
    <w:rsid w:val="0D36C0D2"/>
    <w:rsid w:val="0D61F7F1"/>
    <w:rsid w:val="0D9C6C8E"/>
    <w:rsid w:val="0E24BC54"/>
    <w:rsid w:val="0E27C4FB"/>
    <w:rsid w:val="0E379206"/>
    <w:rsid w:val="0E421184"/>
    <w:rsid w:val="0E7B3485"/>
    <w:rsid w:val="0F0BCE31"/>
    <w:rsid w:val="0F24E44C"/>
    <w:rsid w:val="0F26F43C"/>
    <w:rsid w:val="0F43C128"/>
    <w:rsid w:val="0FE6717B"/>
    <w:rsid w:val="101700E3"/>
    <w:rsid w:val="104196CA"/>
    <w:rsid w:val="104361D7"/>
    <w:rsid w:val="105625C4"/>
    <w:rsid w:val="106176CF"/>
    <w:rsid w:val="10B9B17C"/>
    <w:rsid w:val="10BBB88C"/>
    <w:rsid w:val="10CC20C5"/>
    <w:rsid w:val="112D3373"/>
    <w:rsid w:val="11410993"/>
    <w:rsid w:val="11AB4B38"/>
    <w:rsid w:val="123DB6A3"/>
    <w:rsid w:val="129B6C98"/>
    <w:rsid w:val="12BD9676"/>
    <w:rsid w:val="131FD8A5"/>
    <w:rsid w:val="13CB0A04"/>
    <w:rsid w:val="13F72327"/>
    <w:rsid w:val="14579AA4"/>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6A6D6"/>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61C910"/>
    <w:rsid w:val="35871221"/>
    <w:rsid w:val="35FD5EF2"/>
    <w:rsid w:val="366A66C8"/>
    <w:rsid w:val="36AD647E"/>
    <w:rsid w:val="374D12E5"/>
    <w:rsid w:val="37708A51"/>
    <w:rsid w:val="37DBF8F1"/>
    <w:rsid w:val="37F1FC62"/>
    <w:rsid w:val="3810C2BE"/>
    <w:rsid w:val="3817A9E7"/>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CEB1B0A"/>
    <w:rsid w:val="3D15E52A"/>
    <w:rsid w:val="3D7EF944"/>
    <w:rsid w:val="3E102B8C"/>
    <w:rsid w:val="3E256BBE"/>
    <w:rsid w:val="3E2DE675"/>
    <w:rsid w:val="3E65CE30"/>
    <w:rsid w:val="3E9CD3A0"/>
    <w:rsid w:val="3EB7B85F"/>
    <w:rsid w:val="3EE3A51C"/>
    <w:rsid w:val="3EE6D5A6"/>
    <w:rsid w:val="3F2B31E0"/>
    <w:rsid w:val="3F62E1B1"/>
    <w:rsid w:val="3FA31006"/>
    <w:rsid w:val="3FCF2EA8"/>
    <w:rsid w:val="402AD2D5"/>
    <w:rsid w:val="40797F11"/>
    <w:rsid w:val="407CE14E"/>
    <w:rsid w:val="417ABBDB"/>
    <w:rsid w:val="419D6EF2"/>
    <w:rsid w:val="41BFBFA4"/>
    <w:rsid w:val="4261741E"/>
    <w:rsid w:val="433E95CF"/>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9D853C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99D54"/>
    <w:rsid w:val="528A0761"/>
    <w:rsid w:val="52A0F47C"/>
    <w:rsid w:val="52AF4A8D"/>
    <w:rsid w:val="52C9A661"/>
    <w:rsid w:val="52DA71F9"/>
    <w:rsid w:val="534A0648"/>
    <w:rsid w:val="53B8BDE3"/>
    <w:rsid w:val="53BC4006"/>
    <w:rsid w:val="542209E4"/>
    <w:rsid w:val="54C8E03D"/>
    <w:rsid w:val="54EBB54E"/>
    <w:rsid w:val="54EF6163"/>
    <w:rsid w:val="54F09390"/>
    <w:rsid w:val="55C46F90"/>
    <w:rsid w:val="562AFBC0"/>
    <w:rsid w:val="5783DF36"/>
    <w:rsid w:val="57AB9424"/>
    <w:rsid w:val="57AC274C"/>
    <w:rsid w:val="5806B8EF"/>
    <w:rsid w:val="580BC4FD"/>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B7521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5EA007"/>
    <w:rsid w:val="64625D75"/>
    <w:rsid w:val="648F9301"/>
    <w:rsid w:val="6497165D"/>
    <w:rsid w:val="64A95F1A"/>
    <w:rsid w:val="64D3BA6C"/>
    <w:rsid w:val="6502FD70"/>
    <w:rsid w:val="652A4E96"/>
    <w:rsid w:val="65EC5484"/>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BF5A58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4D187E1"/>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3DB7E2"/>
    <w:rsid w:val="799DA319"/>
    <w:rsid w:val="79A48D3C"/>
    <w:rsid w:val="79B20E76"/>
    <w:rsid w:val="79C64322"/>
    <w:rsid w:val="79D5BFE7"/>
    <w:rsid w:val="7B85C3CB"/>
    <w:rsid w:val="7BD2E15A"/>
    <w:rsid w:val="7C02D676"/>
    <w:rsid w:val="7C55E10E"/>
    <w:rsid w:val="7C6523A7"/>
    <w:rsid w:val="7D0C0225"/>
    <w:rsid w:val="7D4D62A7"/>
    <w:rsid w:val="7D4DE6BD"/>
    <w:rsid w:val="7D7D5244"/>
    <w:rsid w:val="7D8F09CF"/>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B11452"/>
    <w:pPr>
      <w:keepNext/>
      <w:keepLines/>
      <w:spacing w:before="320" w:after="0" w:line="240" w:lineRule="auto"/>
      <w:outlineLvl w:val="0"/>
    </w:pPr>
    <w:rPr>
      <w:rFonts w:eastAsiaTheme="majorEastAsia" w:cstheme="majorBidi"/>
      <w:b/>
      <w:color w:val="000000" w:themeColor="text1"/>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B11452"/>
    <w:rPr>
      <w:rFonts w:eastAsiaTheme="majorEastAsia" w:cstheme="majorBidi"/>
      <w:b/>
      <w:color w:val="000000" w:themeColor="text1"/>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Default">
    <w:name w:val="Default"/>
    <w:rsid w:val="00840B12"/>
    <w:pPr>
      <w:autoSpaceDE w:val="0"/>
      <w:autoSpaceDN w:val="0"/>
      <w:adjustRightInd w:val="0"/>
      <w:spacing w:after="0" w:line="240" w:lineRule="auto"/>
    </w:pPr>
    <w:rPr>
      <w:rFonts w:ascii="Times New Roman" w:hAnsi="Times New Roman" w:eastAsiaTheme="minorHAnsi" w:cs="Times New Roman"/>
      <w:color w:val="000000"/>
      <w:sz w:val="24"/>
      <w:szCs w:val="24"/>
    </w:rPr>
  </w:style>
  <w:style w:type="paragraph" w:customStyle="1" w:styleId="Bullet-last">
    <w:name w:val="Bullet-last"/>
    <w:basedOn w:val="Normal"/>
    <w:qFormat/>
    <w:rsid w:val="008D3C8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40" w:lineRule="auto"/>
    </w:pPr>
    <w:rPr>
      <w:rFonts w:ascii="Times New Roman" w:eastAsia="Times New Roman" w:hAnsi="Times New Roman" w:cs="Times New Roman"/>
      <w:sz w:val="24"/>
      <w:szCs w:val="24"/>
    </w:rPr>
  </w:style>
  <w:style w:type="character" w:customStyle="1" w:styleId="scxw174355711">
    <w:name w:val="scxw174355711"/>
    <w:basedOn w:val="DefaultParagraphFont"/>
    <w:rsid w:val="00375075"/>
  </w:style>
  <w:style w:type="character" w:customStyle="1" w:styleId="cf01">
    <w:name w:val="cf01"/>
    <w:basedOn w:val="DefaultParagraphFont"/>
    <w:rsid w:val="00AE0E88"/>
    <w:rPr>
      <w:rFonts w:ascii="Segoe UI" w:hAnsi="Segoe UI" w:cs="Segoe UI" w:hint="default"/>
      <w:sz w:val="18"/>
      <w:szCs w:val="18"/>
    </w:rPr>
  </w:style>
  <w:style w:type="paragraph" w:customStyle="1" w:styleId="pf0">
    <w:name w:val="pf0"/>
    <w:basedOn w:val="Normal"/>
    <w:rsid w:val="00AE0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ListParagraph"/>
    <w:next w:val="Heading1"/>
    <w:link w:val="Style1Char"/>
    <w:qFormat/>
    <w:rsid w:val="00B11452"/>
    <w:pPr>
      <w:numPr>
        <w:numId w:val="2"/>
      </w:numPr>
      <w:pBdr>
        <w:bottom w:val="single" w:sz="4" w:space="1" w:color="auto"/>
      </w:pBdr>
      <w:spacing w:before="240" w:after="0"/>
    </w:pPr>
    <w:rPr>
      <w:rFonts w:cstheme="minorHAnsi"/>
      <w:b/>
      <w:bCs/>
    </w:rPr>
  </w:style>
  <w:style w:type="character" w:customStyle="1" w:styleId="ListParagraphChar">
    <w:name w:val="List Paragraph Char"/>
    <w:basedOn w:val="DefaultParagraphFont"/>
    <w:link w:val="ListParagraph"/>
    <w:uiPriority w:val="34"/>
    <w:rsid w:val="00B11452"/>
  </w:style>
  <w:style w:type="character" w:customStyle="1" w:styleId="Style1Char">
    <w:name w:val="Style1 Char"/>
    <w:basedOn w:val="ListParagraphChar"/>
    <w:link w:val="Style1"/>
    <w:rsid w:val="00B11452"/>
    <w:rPr>
      <w:rFonts w:cstheme="minorHAnsi"/>
      <w:b/>
      <w:bCs/>
    </w:rPr>
  </w:style>
  <w:style w:type="paragraph" w:customStyle="1" w:styleId="Heading1TCTAC">
    <w:name w:val="Heading 1 TCTAC"/>
    <w:basedOn w:val="Style1"/>
    <w:link w:val="Heading1TCTACChar"/>
    <w:qFormat/>
    <w:rsid w:val="00B11452"/>
  </w:style>
  <w:style w:type="character" w:customStyle="1" w:styleId="Heading1TCTACChar">
    <w:name w:val="Heading 1 TCTAC Char"/>
    <w:basedOn w:val="Style1Char"/>
    <w:link w:val="Heading1TCTAC"/>
    <w:rsid w:val="00B11452"/>
    <w:rPr>
      <w:rFonts w:cstheme="minorHAnsi"/>
      <w:b/>
      <w:bCs/>
    </w:rPr>
  </w:style>
  <w:style w:type="paragraph" w:styleId="BodyText">
    <w:name w:val="Body Text"/>
    <w:basedOn w:val="Normal"/>
    <w:link w:val="BodyTextChar"/>
    <w:uiPriority w:val="1"/>
    <w:qFormat/>
    <w:rsid w:val="00AE34D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E34D4"/>
    <w:rPr>
      <w:rFonts w:ascii="Calibri" w:eastAsia="Calibri" w:hAnsi="Calibri" w:cs="Calibri"/>
    </w:rPr>
  </w:style>
  <w:style w:type="character" w:styleId="Mention">
    <w:name w:val="Mention"/>
    <w:basedOn w:val="DefaultParagraphFont"/>
    <w:uiPriority w:val="99"/>
    <w:unhideWhenUsed/>
    <w:rsid w:val="00A815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bill/117th-congress/house-bill/5376/text" TargetMode="External" /><Relationship Id="rId11" Type="http://schemas.openxmlformats.org/officeDocument/2006/relationships/hyperlink" Target="https://www.congress.gov/bill/101st-congress/senate-bill/1630" TargetMode="External" /><Relationship Id="rId12" Type="http://schemas.openxmlformats.org/officeDocument/2006/relationships/hyperlink" Target="https://www.whitehouse.gov/briefing-room/presidential-actions/2021/01/20/executive-order-advancing-racial-equity-and-support-for-underserved-communities-through-the-federal-government/" TargetMode="External" /><Relationship Id="rId13" Type="http://schemas.openxmlformats.org/officeDocument/2006/relationships/hyperlink" Target="https://www.whitehouse.gov/briefing-room/presidential-actions/2021/01/27/executive-order-on-tackling-the-climate-crisis-at-home-and-abroad/" TargetMode="External" /><Relationship Id="rId14" Type="http://schemas.openxmlformats.org/officeDocument/2006/relationships/hyperlink" Target="https://www.whitehouse.gov/briefing-room/presidential-actions/2023/02/16/executive-order-on-further-advancing-racial-equity-and-support-for-underserved-communities-through-the-federal-government/" TargetMode="External" /><Relationship Id="rId15" Type="http://schemas.openxmlformats.org/officeDocument/2006/relationships/hyperlink" Target="https://www.federalregister.gov/documents/2023/04/26/2023-08955/revitalizing-our-nations-commitment-to-environmental-justice-for-all" TargetMode="External" /><Relationship Id="rId16" Type="http://schemas.openxmlformats.org/officeDocument/2006/relationships/hyperlink" Target="https://www.govinfo.gov/app/details/CFR-2014-title2-vol1/CFR-2014-title2-vol1-part200" TargetMode="External" /><Relationship Id="rId17" Type="http://schemas.openxmlformats.org/officeDocument/2006/relationships/hyperlink" Target="https://www.govinfo.gov/app/details/CFR-2015-title2-vol1/CFR-2015-title2-vol1-part1500" TargetMode="External" /><Relationship Id="rId18" Type="http://schemas.openxmlformats.org/officeDocument/2006/relationships/hyperlink" Target="https://www.congress.gov/bill/111th-congress/house-bill/2142" TargetMode="External" /><Relationship Id="rId19" Type="http://schemas.openxmlformats.org/officeDocument/2006/relationships/hyperlink" Target="https://www.congress.gov/bill/113th-congress/senate-bill/994" TargetMode="External" /><Relationship Id="rId2" Type="http://schemas.openxmlformats.org/officeDocument/2006/relationships/settings" Target="settings.xml" /><Relationship Id="rId20" Type="http://schemas.openxmlformats.org/officeDocument/2006/relationships/hyperlink" Target="https://www.whitehouse.gov/environmentaljustice/justice40/" TargetMode="External" /><Relationship Id="rId21" Type="http://schemas.openxmlformats.org/officeDocument/2006/relationships/hyperlink" Target="https://gcc02.safelinks.protection.outlook.com/?url=https%3A%2F%2Fwww.whitehouse.gov%2Fwp-content%2Fuploads%2F2021%2F07%2FM-21-28.pdf&amp;data=05%7C01%7CIyer.Aarti%40epa.gov%7C3fb9cfe01ff743c8915208db313db37a%7C88b378b367484867acf976aacbeca6a7%7C0%7C0%7C638157913290113913%7CUnknown%7CTWFpbGZsb3d8eyJWIjoiMC4wLjAwMDAiLCJQIjoiV2luMzIiLCJBTiI6Ik1haWwiLCJXVCI6Mn0%3D%7C3000%7C%7C%7C&amp;sdata=2CPBQPm8AajqkQbz755XycItjpc4o5VTj2lP1MR785o%3D&amp;reserved=0" TargetMode="External" /><Relationship Id="rId22" Type="http://schemas.openxmlformats.org/officeDocument/2006/relationships/hyperlink" Target="https://www.congress.gov/bill/115th-congress/house-bill/4174" TargetMode="External" /><Relationship Id="rId23" Type="http://schemas.openxmlformats.org/officeDocument/2006/relationships/hyperlink" Target="https://www.epa.gov/sites/default/files/2015-03/documents/epa_order_5700_7a1.pdf" TargetMode="External" /><Relationship Id="rId24" Type="http://schemas.openxmlformats.org/officeDocument/2006/relationships/hyperlink" Target="https://www.reginfo.gov/public/do/PRAViewICR?ref_nbr=202103-2030-001" TargetMode="External" /><Relationship Id="rId25" Type="http://schemas.openxmlformats.org/officeDocument/2006/relationships/hyperlink" Target="https://www.govinfo.gov/content/pkg/FR-2022-09-06.pdf/2022-19183.pdf" TargetMode="External" /><Relationship Id="rId26" Type="http://schemas.openxmlformats.org/officeDocument/2006/relationships/hyperlink" Target="https://www.congress.gov/115/plaws/publ435/PLAW-115publ435.pdf"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hyperlink" Target="https://www.bls.gov/oes/current/naics4_813400.htm" TargetMode="External" /><Relationship Id="rId3" Type="http://schemas.openxmlformats.org/officeDocument/2006/relationships/webSettings" Target="webSettings.xml" /><Relationship Id="rId30" Type="http://schemas.openxmlformats.org/officeDocument/2006/relationships/hyperlink" Target="https://www.bls.gov/news.release/archives/ecec_09122023.pdf" TargetMode="External" /><Relationship Id="rId31" Type="http://schemas.openxmlformats.org/officeDocument/2006/relationships/hyperlink" Target="https://www.opm.gov/policy-data-oversight/pay-leave/salaries-wages/salary-tables/pdf/2023/DCB_h.pdf" TargetMode="Externa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35"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2024-09-12T12:39:17+00:00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f22cc4e-2e04-4a80-afc7-f33c4ac8c850">
      <UserInfo>
        <DisplayName/>
        <AccountId xsi:nil="true"/>
        <AccountType/>
      </UserInfo>
    </SharedWithUsers>
    <lcf76f155ced4ddcb4097134ff3c332f xmlns="ee434710-e10d-4d3b-be07-074d981ec8e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A9DED476-DC47-451E-8408-6671EE0E885A}">
  <ds:schemaRefs>
    <ds:schemaRef ds:uri="Microsoft.SharePoint.Taxonomy.ContentTypeSync"/>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cf22cc4e-2e04-4a80-afc7-f33c4ac8c850"/>
    <ds:schemaRef ds:uri="ee434710-e10d-4d3b-be07-074d981ec8e4"/>
  </ds:schemaRefs>
</ds:datastoreItem>
</file>

<file path=customXml/itemProps5.xml><?xml version="1.0" encoding="utf-8"?>
<ds:datastoreItem xmlns:ds="http://schemas.openxmlformats.org/officeDocument/2006/customXml" ds:itemID="{D90E59C5-B196-4B18-BB8F-76CF49A0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6606</Words>
  <Characters>41081</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Aarti Iyer</cp:lastModifiedBy>
  <cp:revision>44</cp:revision>
  <dcterms:created xsi:type="dcterms:W3CDTF">2025-01-09T22:48:00Z</dcterms:created>
  <dcterms:modified xsi:type="dcterms:W3CDTF">2025-01-10T14:31:00Z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MediaServiceImageTags">
    <vt:lpwstr/>
  </property>
  <property fmtid="{D5CDD505-2E9C-101B-9397-08002B2CF9AE}" pid="10" name="TaxKeyword">
    <vt:lpwstr/>
  </property>
  <property fmtid="{D5CDD505-2E9C-101B-9397-08002B2CF9AE}" pid="11" name="_ExtendedDescription">
    <vt:lpwstr/>
  </property>
</Properties>
</file>