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39C2" w:rsidP="00F27C2C" w14:paraId="5031E236" w14:textId="12B44D09">
      <w:pPr>
        <w:spacing w:after="0" w:line="240" w:lineRule="auto"/>
        <w:jc w:val="center"/>
        <w:rPr>
          <w:rFonts w:eastAsia="Calibri" w:cs="Times New Roman"/>
          <w:b/>
          <w:szCs w:val="24"/>
        </w:rPr>
      </w:pPr>
      <w:r>
        <w:rPr>
          <w:rFonts w:eastAsia="Calibri" w:cs="Times New Roman"/>
          <w:b/>
          <w:szCs w:val="24"/>
        </w:rPr>
        <w:t xml:space="preserve">Department of Transportation </w:t>
      </w:r>
    </w:p>
    <w:p w:rsidR="002939C2" w:rsidP="00F27C2C" w14:paraId="45249A2B" w14:textId="0687A27C">
      <w:pPr>
        <w:spacing w:after="0" w:line="240" w:lineRule="auto"/>
        <w:jc w:val="center"/>
        <w:rPr>
          <w:rFonts w:eastAsia="Calibri" w:cs="Times New Roman"/>
          <w:b/>
          <w:szCs w:val="24"/>
        </w:rPr>
      </w:pPr>
      <w:r>
        <w:rPr>
          <w:rFonts w:eastAsia="Calibri" w:cs="Times New Roman"/>
          <w:b/>
          <w:szCs w:val="24"/>
        </w:rPr>
        <w:t>National Highway Traffic Safety Administration</w:t>
      </w:r>
    </w:p>
    <w:p w:rsidR="00F27C2C" w:rsidRPr="003E0A5C" w:rsidP="00F27C2C" w14:paraId="620B2871" w14:textId="4BE5F697">
      <w:pPr>
        <w:spacing w:after="0" w:line="240" w:lineRule="auto"/>
        <w:jc w:val="center"/>
        <w:rPr>
          <w:rFonts w:eastAsia="Calibri" w:cs="Times New Roman"/>
          <w:b/>
          <w:szCs w:val="24"/>
        </w:rPr>
      </w:pPr>
      <w:r w:rsidRPr="003E0A5C">
        <w:rPr>
          <w:rFonts w:eastAsia="Calibri" w:cs="Times New Roman"/>
          <w:b/>
          <w:szCs w:val="24"/>
        </w:rPr>
        <w:t>Information Collection Request Support</w:t>
      </w:r>
      <w:r>
        <w:rPr>
          <w:rFonts w:eastAsia="Calibri" w:cs="Times New Roman"/>
          <w:b/>
          <w:szCs w:val="24"/>
        </w:rPr>
        <w:t>ing</w:t>
      </w:r>
      <w:r w:rsidRPr="007F27B2">
        <w:rPr>
          <w:b/>
        </w:rPr>
        <w:t xml:space="preserve"> Statement</w:t>
      </w:r>
      <w:r>
        <w:rPr>
          <w:b/>
        </w:rPr>
        <w:t>s</w:t>
      </w:r>
      <w:r w:rsidRPr="003E0A5C">
        <w:rPr>
          <w:rFonts w:eastAsia="Calibri" w:cs="Times New Roman"/>
          <w:b/>
          <w:szCs w:val="24"/>
        </w:rPr>
        <w:t xml:space="preserve">: Part A </w:t>
      </w:r>
    </w:p>
    <w:p w:rsidR="00F27C2C" w:rsidRPr="007F27B2" w:rsidP="00F27C2C" w14:paraId="611B5F33" w14:textId="20297738">
      <w:pPr>
        <w:spacing w:after="0" w:line="240" w:lineRule="auto"/>
        <w:jc w:val="center"/>
        <w:rPr>
          <w:b/>
        </w:rPr>
      </w:pPr>
      <w:r>
        <w:rPr>
          <w:b/>
        </w:rPr>
        <w:t>Automated Driving Systems 2.0: A Vision for Safety</w:t>
      </w:r>
    </w:p>
    <w:p w:rsidR="00F27C2C" w:rsidRPr="007F27B2" w:rsidP="00F27C2C" w14:paraId="722013CC" w14:textId="32D98630">
      <w:pPr>
        <w:spacing w:after="0" w:line="240" w:lineRule="auto"/>
        <w:jc w:val="center"/>
        <w:rPr>
          <w:b/>
        </w:rPr>
      </w:pPr>
      <w:r w:rsidRPr="007F27B2">
        <w:rPr>
          <w:b/>
        </w:rPr>
        <w:t xml:space="preserve">OMB Control </w:t>
      </w:r>
      <w:r w:rsidRPr="003E0A5C">
        <w:rPr>
          <w:rFonts w:eastAsia="Calibri" w:cs="Times New Roman"/>
          <w:b/>
          <w:szCs w:val="24"/>
        </w:rPr>
        <w:t>No.</w:t>
      </w:r>
      <w:r w:rsidRPr="007F27B2">
        <w:rPr>
          <w:b/>
        </w:rPr>
        <w:t xml:space="preserve"> 2127</w:t>
      </w:r>
      <w:r w:rsidRPr="003E0A5C">
        <w:rPr>
          <w:rFonts w:eastAsia="Calibri" w:cs="Times New Roman"/>
          <w:b/>
          <w:szCs w:val="24"/>
        </w:rPr>
        <w:t>-</w:t>
      </w:r>
      <w:r w:rsidR="007D3597">
        <w:rPr>
          <w:rFonts w:eastAsia="Calibri" w:cs="Times New Roman"/>
          <w:b/>
          <w:szCs w:val="24"/>
        </w:rPr>
        <w:t>0723</w:t>
      </w:r>
    </w:p>
    <w:p w:rsidR="00F27C2C" w:rsidP="00F27C2C" w14:paraId="53A46501" w14:textId="77777777">
      <w:pPr>
        <w:autoSpaceDE w:val="0"/>
        <w:autoSpaceDN w:val="0"/>
        <w:adjustRightInd w:val="0"/>
        <w:spacing w:after="0" w:line="240" w:lineRule="auto"/>
        <w:rPr>
          <w:rFonts w:cs="Times New Roman"/>
          <w:szCs w:val="24"/>
        </w:rPr>
      </w:pPr>
    </w:p>
    <w:p w:rsidR="00F27C2C" w:rsidRPr="00DD5373" w:rsidP="00F27C2C" w14:paraId="64C3C6C8" w14:textId="77777777">
      <w:pPr>
        <w:autoSpaceDE w:val="0"/>
        <w:autoSpaceDN w:val="0"/>
        <w:adjustRightInd w:val="0"/>
        <w:spacing w:after="0" w:line="240" w:lineRule="auto"/>
        <w:rPr>
          <w:rFonts w:cs="Times New Roman"/>
          <w:b/>
          <w:szCs w:val="24"/>
        </w:rPr>
      </w:pPr>
      <w:bookmarkStart w:id="0" w:name="_Hlk49938575"/>
      <w:r w:rsidRPr="00DD5373">
        <w:rPr>
          <w:rFonts w:cs="Times New Roman"/>
          <w:b/>
          <w:szCs w:val="24"/>
        </w:rPr>
        <w:t>Abstract</w:t>
      </w:r>
      <w:bookmarkStart w:id="1" w:name="_Hlk47077366"/>
      <w:r w:rsidRPr="00DD5373">
        <w:rPr>
          <w:rFonts w:cs="Times New Roman"/>
          <w:b/>
          <w:szCs w:val="24"/>
        </w:rPr>
        <w:t>:</w:t>
      </w:r>
      <w:r>
        <w:rPr>
          <w:rStyle w:val="FootnoteReference"/>
          <w:rFonts w:cs="Times New Roman"/>
          <w:b/>
          <w:szCs w:val="24"/>
        </w:rPr>
        <w:footnoteReference w:id="2"/>
      </w:r>
      <w:bookmarkEnd w:id="1"/>
    </w:p>
    <w:bookmarkEnd w:id="0"/>
    <w:p w:rsidR="001A4BFA" w14:paraId="45ADC451" w14:textId="77777777"/>
    <w:p w:rsidR="00646813" w:rsidP="00A678F7" w14:paraId="69071F1D" w14:textId="26972B88">
      <w:pPr>
        <w:pStyle w:val="ListBullet"/>
        <w:numPr>
          <w:ilvl w:val="0"/>
          <w:numId w:val="0"/>
        </w:numPr>
        <w:spacing w:line="276" w:lineRule="auto"/>
        <w:rPr>
          <w:rFonts w:ascii="Times New Roman" w:hAnsi="Times New Roman"/>
        </w:rPr>
      </w:pPr>
      <w:r w:rsidRPr="005778D7">
        <w:rPr>
          <w:rFonts w:ascii="Times New Roman" w:hAnsi="Times New Roman"/>
        </w:rPr>
        <w:t xml:space="preserve">This </w:t>
      </w:r>
      <w:r>
        <w:rPr>
          <w:rFonts w:ascii="Times New Roman" w:hAnsi="Times New Roman"/>
        </w:rPr>
        <w:t xml:space="preserve">ICR </w:t>
      </w:r>
      <w:r w:rsidRPr="005778D7">
        <w:rPr>
          <w:rFonts w:ascii="Times New Roman" w:hAnsi="Times New Roman"/>
        </w:rPr>
        <w:t xml:space="preserve">is </w:t>
      </w:r>
      <w:r>
        <w:rPr>
          <w:rFonts w:ascii="Times New Roman" w:hAnsi="Times New Roman"/>
        </w:rPr>
        <w:t xml:space="preserve">for </w:t>
      </w:r>
      <w:r w:rsidR="003C1BBF">
        <w:rPr>
          <w:rFonts w:ascii="Times New Roman" w:hAnsi="Times New Roman"/>
        </w:rPr>
        <w:t>a</w:t>
      </w:r>
      <w:r w:rsidRPr="005778D7">
        <w:rPr>
          <w:rFonts w:ascii="Times New Roman" w:hAnsi="Times New Roman"/>
        </w:rPr>
        <w:t xml:space="preserve"> voluntary disclosure of information </w:t>
      </w:r>
      <w:r>
        <w:rPr>
          <w:rFonts w:ascii="Times New Roman" w:hAnsi="Times New Roman"/>
        </w:rPr>
        <w:t>to the public by</w:t>
      </w:r>
      <w:r w:rsidRPr="005778D7">
        <w:rPr>
          <w:rFonts w:ascii="Times New Roman" w:hAnsi="Times New Roman"/>
        </w:rPr>
        <w:t xml:space="preserve"> entities involved in the testing and deployment of Automated Driving Systems</w:t>
      </w:r>
      <w:r>
        <w:rPr>
          <w:rFonts w:ascii="Times New Roman" w:hAnsi="Times New Roman"/>
        </w:rPr>
        <w:t xml:space="preserve"> (ADSs)</w:t>
      </w:r>
      <w:r w:rsidRPr="005778D7">
        <w:rPr>
          <w:rFonts w:ascii="Times New Roman" w:hAnsi="Times New Roman"/>
        </w:rPr>
        <w:t xml:space="preserve">. The entities engaged in ADS development and testing may demonstrate how they address – via industry best practices, their own best practices, or other appropriate methods – the safety elements contained in the Voluntary Guidance section of </w:t>
      </w:r>
      <w:r w:rsidRPr="005778D7">
        <w:rPr>
          <w:rFonts w:ascii="Times New Roman" w:hAnsi="Times New Roman"/>
          <w:i/>
        </w:rPr>
        <w:t>Automated Driving Systems 2.0: A Vision for S</w:t>
      </w:r>
      <w:r>
        <w:rPr>
          <w:rFonts w:ascii="Times New Roman" w:hAnsi="Times New Roman"/>
          <w:i/>
        </w:rPr>
        <w:t>a</w:t>
      </w:r>
      <w:r w:rsidRPr="005778D7">
        <w:rPr>
          <w:rFonts w:ascii="Times New Roman" w:hAnsi="Times New Roman"/>
          <w:i/>
        </w:rPr>
        <w:t>fety</w:t>
      </w:r>
      <w:r w:rsidRPr="005778D7">
        <w:rPr>
          <w:rFonts w:ascii="Times New Roman" w:hAnsi="Times New Roman"/>
        </w:rPr>
        <w:t xml:space="preserve"> by publishing a Voluntary Safety Self-Assessment (VSSA). The VSSA is intended to demonstrate to the public (particularly States and consumers) that entities are: </w:t>
      </w:r>
      <w:r>
        <w:rPr>
          <w:rFonts w:ascii="Times New Roman" w:hAnsi="Times New Roman"/>
        </w:rPr>
        <w:t>(</w:t>
      </w:r>
      <w:r w:rsidRPr="005778D7">
        <w:rPr>
          <w:rFonts w:ascii="Times New Roman" w:hAnsi="Times New Roman"/>
        </w:rPr>
        <w:t xml:space="preserve">1) considering safety aspects of ADSs; </w:t>
      </w:r>
      <w:r>
        <w:rPr>
          <w:rFonts w:ascii="Times New Roman" w:hAnsi="Times New Roman"/>
        </w:rPr>
        <w:t>(</w:t>
      </w:r>
      <w:r w:rsidRPr="005778D7">
        <w:rPr>
          <w:rFonts w:ascii="Times New Roman" w:hAnsi="Times New Roman"/>
        </w:rPr>
        <w:t xml:space="preserve">2) communicating and collaborating with DOT; </w:t>
      </w:r>
      <w:r>
        <w:rPr>
          <w:rFonts w:ascii="Times New Roman" w:hAnsi="Times New Roman"/>
        </w:rPr>
        <w:t>(</w:t>
      </w:r>
      <w:r w:rsidRPr="005778D7">
        <w:rPr>
          <w:rFonts w:ascii="Times New Roman" w:hAnsi="Times New Roman"/>
        </w:rPr>
        <w:t xml:space="preserve">3) encouraging the self-establishment of industry safety norms for ADSs; and </w:t>
      </w:r>
      <w:r>
        <w:rPr>
          <w:rFonts w:ascii="Times New Roman" w:hAnsi="Times New Roman"/>
        </w:rPr>
        <w:t>(</w:t>
      </w:r>
      <w:r w:rsidRPr="005778D7">
        <w:rPr>
          <w:rFonts w:ascii="Times New Roman" w:hAnsi="Times New Roman"/>
        </w:rPr>
        <w:t xml:space="preserve">4) building public trust, acceptance, and confidence through transparent testing and deployment of ADSs. </w:t>
      </w:r>
      <w:r w:rsidR="00C31394">
        <w:rPr>
          <w:rFonts w:ascii="Times New Roman" w:hAnsi="Times New Roman"/>
        </w:rPr>
        <w:t xml:space="preserve">This collection, a reporting collection, </w:t>
      </w:r>
      <w:r w:rsidRPr="005778D7">
        <w:rPr>
          <w:rFonts w:ascii="Times New Roman" w:hAnsi="Times New Roman"/>
        </w:rPr>
        <w:t>allows companies an opportunity to showcase their approach to safety, without needing to reveal proprietary intellectual property. Disclosure of information in the VSSA would be publicly accessible and foreseeabl</w:t>
      </w:r>
      <w:r>
        <w:rPr>
          <w:rFonts w:ascii="Times New Roman" w:hAnsi="Times New Roman"/>
        </w:rPr>
        <w:t>y</w:t>
      </w:r>
      <w:r w:rsidRPr="005778D7">
        <w:rPr>
          <w:rFonts w:ascii="Times New Roman" w:hAnsi="Times New Roman"/>
        </w:rPr>
        <w:t xml:space="preserve"> accessed by members of the public, State stakeholders, and consumer-based stakeholders. NHTSA anticipates </w:t>
      </w:r>
      <w:r w:rsidR="00AE6BFA">
        <w:rPr>
          <w:rFonts w:ascii="Times New Roman" w:hAnsi="Times New Roman"/>
        </w:rPr>
        <w:t>any</w:t>
      </w:r>
      <w:r w:rsidRPr="005778D7">
        <w:rPr>
          <w:rFonts w:ascii="Times New Roman" w:hAnsi="Times New Roman"/>
        </w:rPr>
        <w:t xml:space="preserve"> respondents for the </w:t>
      </w:r>
      <w:r>
        <w:rPr>
          <w:rFonts w:ascii="Times New Roman" w:hAnsi="Times New Roman"/>
        </w:rPr>
        <w:t>information collection</w:t>
      </w:r>
      <w:r w:rsidRPr="005778D7">
        <w:rPr>
          <w:rFonts w:ascii="Times New Roman" w:hAnsi="Times New Roman"/>
        </w:rPr>
        <w:t xml:space="preserve"> would provide the </w:t>
      </w:r>
      <w:r>
        <w:rPr>
          <w:rFonts w:ascii="Times New Roman" w:hAnsi="Times New Roman"/>
        </w:rPr>
        <w:t>VSSA</w:t>
      </w:r>
      <w:r w:rsidRPr="005778D7">
        <w:rPr>
          <w:rFonts w:ascii="Times New Roman" w:hAnsi="Times New Roman"/>
        </w:rPr>
        <w:t xml:space="preserve"> </w:t>
      </w:r>
      <w:r w:rsidR="00787D28">
        <w:rPr>
          <w:rFonts w:ascii="Times New Roman" w:hAnsi="Times New Roman"/>
        </w:rPr>
        <w:t>once in the three</w:t>
      </w:r>
      <w:r w:rsidR="009F57EB">
        <w:rPr>
          <w:rFonts w:ascii="Times New Roman" w:hAnsi="Times New Roman"/>
        </w:rPr>
        <w:t>-</w:t>
      </w:r>
      <w:r w:rsidR="00787D28">
        <w:rPr>
          <w:rFonts w:ascii="Times New Roman" w:hAnsi="Times New Roman"/>
        </w:rPr>
        <w:t>year approval period</w:t>
      </w:r>
      <w:r>
        <w:rPr>
          <w:rFonts w:ascii="Times New Roman" w:hAnsi="Times New Roman"/>
        </w:rPr>
        <w:t>.</w:t>
      </w:r>
    </w:p>
    <w:p w:rsidR="00A678F7" w:rsidP="00A678F7" w14:paraId="576D2F69" w14:textId="77777777">
      <w:pPr>
        <w:tabs>
          <w:tab w:val="left" w:pos="0"/>
        </w:tabs>
        <w:spacing w:after="0"/>
      </w:pPr>
    </w:p>
    <w:p w:rsidR="003F0A56" w:rsidP="00A678F7" w14:paraId="0F928D42" w14:textId="16B27633">
      <w:pPr>
        <w:tabs>
          <w:tab w:val="left" w:pos="0"/>
        </w:tabs>
        <w:spacing w:after="0"/>
      </w:pPr>
      <w:r>
        <w:t xml:space="preserve">This </w:t>
      </w:r>
      <w:r w:rsidR="006B0661">
        <w:t xml:space="preserve">is </w:t>
      </w:r>
      <w:r w:rsidR="00AA5376">
        <w:t>a revision of</w:t>
      </w:r>
      <w:r w:rsidR="006B0661">
        <w:t xml:space="preserve"> a currently</w:t>
      </w:r>
      <w:r w:rsidR="00FA1EE0">
        <w:t xml:space="preserve"> </w:t>
      </w:r>
      <w:r w:rsidR="006B0661">
        <w:t xml:space="preserve">approved IC </w:t>
      </w:r>
      <w:r w:rsidR="000A34F0">
        <w:t xml:space="preserve">to both extend the approval period </w:t>
      </w:r>
      <w:r w:rsidR="006B0661">
        <w:t>and</w:t>
      </w:r>
      <w:r>
        <w:t xml:space="preserve"> include revisions to the burden calculations</w:t>
      </w:r>
      <w:r w:rsidR="0065589F">
        <w:t xml:space="preserve"> b</w:t>
      </w:r>
      <w:r>
        <w:t xml:space="preserve">ased on NHTSA’s observations of the current collection and the previous </w:t>
      </w:r>
      <w:r w:rsidR="00BD1693">
        <w:t xml:space="preserve">associated </w:t>
      </w:r>
      <w:r>
        <w:t>collections dating back to 201</w:t>
      </w:r>
      <w:r w:rsidR="00530E66">
        <w:t>7</w:t>
      </w:r>
      <w:r w:rsidR="001A7C07">
        <w:t xml:space="preserve">. NHTSA has collated a list of entities in the ADS space that could potentially develop a VSSA and used previous </w:t>
      </w:r>
      <w:r w:rsidR="00862875">
        <w:t>VSSA publication to estimate the number of new VSSAs that may be developed each year for the subsequent three years. This results in a lower estimate of the number of respondents</w:t>
      </w:r>
      <w:r w:rsidR="00B41EDD">
        <w:t xml:space="preserve"> for the collection</w:t>
      </w:r>
      <w:r w:rsidR="009565DF">
        <w:t xml:space="preserve"> and thus a lower estimate of annual burden and labor costs</w:t>
      </w:r>
      <w:r w:rsidR="006C4428">
        <w:t xml:space="preserve">. </w:t>
      </w:r>
    </w:p>
    <w:p w:rsidR="00A678F7" w:rsidP="00A678F7" w14:paraId="0D7CBEBC" w14:textId="77777777">
      <w:pPr>
        <w:tabs>
          <w:tab w:val="left" w:pos="0"/>
        </w:tabs>
        <w:spacing w:after="0"/>
      </w:pPr>
    </w:p>
    <w:p w:rsidR="009565DF" w:rsidP="00A678F7" w14:paraId="53DB0559" w14:textId="12C0A16B">
      <w:pPr>
        <w:tabs>
          <w:tab w:val="left" w:pos="0"/>
        </w:tabs>
        <w:spacing w:after="0"/>
      </w:pPr>
      <w:r>
        <w:t xml:space="preserve">The current collection estimated 20 respondents per year, each responding once in that year. The </w:t>
      </w:r>
      <w:r w:rsidR="00DE6320">
        <w:t xml:space="preserve">burden associated with disclosure recommendations via a VSSA would be 600 hours per </w:t>
      </w:r>
      <w:r w:rsidR="00DE6320">
        <w:t xml:space="preserve">respondent. </w:t>
      </w:r>
      <w:r w:rsidR="00F37C7F">
        <w:t xml:space="preserve">The annual burden associated with the information collection </w:t>
      </w:r>
      <w:r w:rsidR="00ED492E">
        <w:t xml:space="preserve">was </w:t>
      </w:r>
      <w:r w:rsidR="0042379F">
        <w:t xml:space="preserve">calculated as </w:t>
      </w:r>
      <w:r w:rsidR="00ED492E">
        <w:t>12,000 hours and $1,168,320</w:t>
      </w:r>
      <w:r w:rsidR="0048022B">
        <w:t xml:space="preserve"> in labor costs</w:t>
      </w:r>
      <w:r w:rsidR="00ED492E">
        <w:t>.</w:t>
      </w:r>
    </w:p>
    <w:p w:rsidR="00A678F7" w:rsidP="00A678F7" w14:paraId="7E70EAC6" w14:textId="77777777">
      <w:pPr>
        <w:tabs>
          <w:tab w:val="left" w:pos="0"/>
        </w:tabs>
        <w:spacing w:after="0"/>
      </w:pPr>
    </w:p>
    <w:p w:rsidR="00AB44CE" w:rsidP="00AB44CE" w14:paraId="1C5D2CFB" w14:textId="6D19E73F">
      <w:pPr>
        <w:tabs>
          <w:tab w:val="left" w:pos="0"/>
        </w:tabs>
      </w:pPr>
      <w:r>
        <w:t xml:space="preserve">The </w:t>
      </w:r>
      <w:r w:rsidR="0022485D">
        <w:t xml:space="preserve">revisions </w:t>
      </w:r>
      <w:r>
        <w:t xml:space="preserve">estimate four entities will </w:t>
      </w:r>
      <w:r w:rsidR="00037EE9">
        <w:t>publish a VSSA every year</w:t>
      </w:r>
      <w:r w:rsidR="00851CA6">
        <w:t xml:space="preserve"> and will publish only once in </w:t>
      </w:r>
      <w:r w:rsidR="00E30773">
        <w:t>the thee-</w:t>
      </w:r>
      <w:r w:rsidR="00851CA6">
        <w:t>year</w:t>
      </w:r>
      <w:r w:rsidR="00E30773">
        <w:t xml:space="preserve"> period</w:t>
      </w:r>
      <w:r w:rsidR="00037EE9">
        <w:t>. As there have been no disagreements with the burden hour calculation</w:t>
      </w:r>
      <w:r w:rsidR="00AD1EDD">
        <w:t xml:space="preserve"> for an individual VSSA</w:t>
      </w:r>
      <w:r w:rsidR="00851CA6">
        <w:t xml:space="preserve">, the annual burden hours </w:t>
      </w:r>
      <w:r w:rsidR="00CD2929">
        <w:t xml:space="preserve">for this collection are revised to </w:t>
      </w:r>
      <w:r w:rsidR="0022485D">
        <w:t xml:space="preserve">2,400 hours. The labor cost associated with this </w:t>
      </w:r>
      <w:r w:rsidR="00E5180C">
        <w:t>revision</w:t>
      </w:r>
      <w:r w:rsidR="0022485D">
        <w:t xml:space="preserve"> are </w:t>
      </w:r>
      <w:r w:rsidR="002675B5">
        <w:t>$</w:t>
      </w:r>
      <w:r w:rsidR="0018130A">
        <w:t xml:space="preserve">282,384. </w:t>
      </w:r>
      <w:r>
        <w:t xml:space="preserve">This is a decrease of </w:t>
      </w:r>
      <w:r w:rsidR="0018130A">
        <w:t>9</w:t>
      </w:r>
      <w:r>
        <w:t>,</w:t>
      </w:r>
      <w:r w:rsidR="0018130A">
        <w:t>6</w:t>
      </w:r>
      <w:r>
        <w:t xml:space="preserve">00 </w:t>
      </w:r>
      <w:r w:rsidR="000E7CB6">
        <w:t xml:space="preserve">burden </w:t>
      </w:r>
      <w:r>
        <w:t xml:space="preserve">hours per year. </w:t>
      </w:r>
      <w:r w:rsidRPr="00705355">
        <w:t>Additionally, there is a</w:t>
      </w:r>
      <w:r>
        <w:t xml:space="preserve"> </w:t>
      </w:r>
      <w:r w:rsidRPr="00705355">
        <w:t xml:space="preserve">decrease </w:t>
      </w:r>
      <w:r>
        <w:t xml:space="preserve">in </w:t>
      </w:r>
      <w:r w:rsidR="00904268">
        <w:t xml:space="preserve">labor </w:t>
      </w:r>
      <w:r>
        <w:t xml:space="preserve">costs </w:t>
      </w:r>
      <w:r w:rsidRPr="00705355">
        <w:t>of $</w:t>
      </w:r>
      <w:r w:rsidR="00904268">
        <w:t>885</w:t>
      </w:r>
      <w:r w:rsidRPr="00705355">
        <w:t>,</w:t>
      </w:r>
      <w:r w:rsidR="00904268">
        <w:t>936</w:t>
      </w:r>
      <w:r w:rsidR="000E7CB6">
        <w:t xml:space="preserve"> per year</w:t>
      </w:r>
      <w:r w:rsidR="00904268">
        <w:t>.</w:t>
      </w:r>
      <w:r w:rsidRPr="00705355">
        <w:t xml:space="preserve"> NHTSA estimates that respondents will not incur any costs beyond hourly labor costs</w:t>
      </w:r>
      <w:r>
        <w:t>.</w:t>
      </w:r>
    </w:p>
    <w:p w:rsidR="000A650D" w:rsidP="000A650D" w14:paraId="4654ED61" w14:textId="77777777">
      <w:pPr>
        <w:autoSpaceDE w:val="0"/>
        <w:autoSpaceDN w:val="0"/>
        <w:adjustRightInd w:val="0"/>
        <w:spacing w:after="0" w:line="240" w:lineRule="auto"/>
        <w:rPr>
          <w:rFonts w:cs="Times New Roman"/>
          <w:b/>
          <w:szCs w:val="24"/>
        </w:rPr>
      </w:pPr>
    </w:p>
    <w:p w:rsidR="000154D7" w:rsidRPr="005271A9" w:rsidP="005271A9" w14:paraId="43238059" w14:textId="77777777">
      <w:pPr>
        <w:pStyle w:val="ListParagraph"/>
        <w:keepNext/>
        <w:numPr>
          <w:ilvl w:val="0"/>
          <w:numId w:val="7"/>
        </w:numPr>
        <w:autoSpaceDE w:val="0"/>
        <w:autoSpaceDN w:val="0"/>
        <w:adjustRightInd w:val="0"/>
        <w:spacing w:after="0" w:line="240" w:lineRule="auto"/>
        <w:outlineLvl w:val="0"/>
        <w:rPr>
          <w:rFonts w:eastAsia="Times New Roman" w:cs="Times New Roman"/>
          <w:b/>
          <w:bCs/>
          <w:szCs w:val="16"/>
          <w:u w:val="single"/>
        </w:rPr>
      </w:pPr>
      <w:r>
        <w:rPr>
          <w:rFonts w:eastAsia="Times New Roman" w:cs="Times New Roman"/>
          <w:b/>
          <w:bCs/>
          <w:szCs w:val="16"/>
          <w:u w:val="single"/>
        </w:rPr>
        <w:t>Justification</w:t>
      </w:r>
    </w:p>
    <w:p w:rsidR="000A650D" w14:paraId="43FFB591" w14:textId="77777777"/>
    <w:p w:rsidR="000154D7" w:rsidRPr="005271A9" w:rsidP="007A7BB5" w14:paraId="43E55058" w14:textId="77777777">
      <w:pPr>
        <w:pStyle w:val="ListParagraph"/>
        <w:numPr>
          <w:ilvl w:val="0"/>
          <w:numId w:val="1"/>
        </w:numPr>
        <w:autoSpaceDE w:val="0"/>
        <w:autoSpaceDN w:val="0"/>
        <w:adjustRightInd w:val="0"/>
        <w:spacing w:before="240" w:after="120" w:line="240" w:lineRule="auto"/>
        <w:contextualSpacing w:val="0"/>
        <w:rPr>
          <w:rFonts w:cs="Times New Roman"/>
          <w:b/>
          <w:szCs w:val="24"/>
        </w:rPr>
      </w:pPr>
      <w:bookmarkStart w:id="2" w:name="_Hlk51324508"/>
      <w:r w:rsidRPr="005271A9">
        <w:rPr>
          <w:rFonts w:cs="Times New Roman"/>
          <w:b/>
          <w:szCs w:val="24"/>
        </w:rPr>
        <w:t>Explain the circumstances that mak</w:t>
      </w:r>
      <w:r w:rsidR="004668D3">
        <w:rPr>
          <w:rFonts w:cs="Times New Roman"/>
          <w:b/>
          <w:szCs w:val="24"/>
        </w:rPr>
        <w:t>e the collection of information</w:t>
      </w:r>
      <w:r w:rsidRPr="005271A9">
        <w:rPr>
          <w:rFonts w:cs="Times New Roman"/>
          <w:b/>
          <w:szCs w:val="24"/>
        </w:rPr>
        <w:t xml:space="preserve"> necessary. Identify any legal and administrative requirements that necessitate the collection. Attach a copy of the appropriate section of each statute and regulation mandating or authorizing the collection of information.</w:t>
      </w:r>
    </w:p>
    <w:p w:rsidR="00B84C4D" w:rsidP="00B84C4D" w14:paraId="2BA4DD65" w14:textId="77777777">
      <w:pPr>
        <w:ind w:left="720"/>
      </w:pPr>
      <w:bookmarkStart w:id="3" w:name="_Hlk51325321"/>
      <w:bookmarkStart w:id="4" w:name="_Hlk78838411"/>
      <w:bookmarkEnd w:id="2"/>
      <w:r>
        <w:t>Under the authority of the National Traffic and Motor Vehicle Safety Act of 1966, as amended, the National Highway Traffic Safety Administration’s purpose is to reduce traffic accidents and deaths and injuries resulting from traffic accidents.</w:t>
      </w:r>
      <w:r>
        <w:rPr>
          <w:rStyle w:val="FootnoteReference"/>
        </w:rPr>
        <w:footnoteReference w:id="3"/>
      </w:r>
      <w:r>
        <w:t xml:space="preserve">  In support of that purpose, the Agency is authorized to carry out needed safety research and development.</w:t>
      </w:r>
      <w:r>
        <w:rPr>
          <w:rStyle w:val="FootnoteReference"/>
        </w:rPr>
        <w:footnoteReference w:id="4"/>
      </w:r>
      <w:r>
        <w:t xml:space="preserve">  </w:t>
      </w:r>
    </w:p>
    <w:p w:rsidR="00B84C4D" w:rsidP="00B84C4D" w14:paraId="793D305C" w14:textId="79CD992D">
      <w:pPr>
        <w:ind w:left="720"/>
      </w:pPr>
      <w:r>
        <w:t>The Department of Transportation (DOT), through NHTSA, is fully committed to reaching an era of crash-free roadways through deployment of innovative lifesaving technologies. Data on automotive crashes underscore the need to develop and deploy lifesaving technologies that can dramatically decrease the number of fatalities and injuries on our Nation’s roadways. NHTSA believes that Automated Driving Systems (ADSs)</w:t>
      </w:r>
      <w:r w:rsidR="00D15762">
        <w:t xml:space="preserve"> </w:t>
      </w:r>
      <w:r>
        <w:t xml:space="preserve">have the potential to significantly improve roadway safety in the United States. </w:t>
      </w:r>
    </w:p>
    <w:p w:rsidR="00B84C4D" w:rsidP="00B84C4D" w14:paraId="1C4FF3F1" w14:textId="3692983C">
      <w:pPr>
        <w:ind w:left="720"/>
      </w:pPr>
      <w:r>
        <w:t xml:space="preserve">The purpose of </w:t>
      </w:r>
      <w:r>
        <w:rPr>
          <w:i/>
        </w:rPr>
        <w:t>Automated Driving Systems 2.0: A Vision for Safety (ADS 2.0)</w:t>
      </w:r>
      <w:r>
        <w:t xml:space="preserve"> is to support the automotive industry, the States, and other key stakeholders as they consider and design best practices relative to the testing and deployment of </w:t>
      </w:r>
      <w:r w:rsidR="00D602A5">
        <w:t>automation</w:t>
      </w:r>
      <w:r>
        <w:t xml:space="preserve"> technologies. </w:t>
      </w:r>
    </w:p>
    <w:p w:rsidR="00B84C4D" w:rsidP="00B84C4D" w14:paraId="4B7219E4" w14:textId="75A84EBF">
      <w:pPr>
        <w:ind w:left="720"/>
      </w:pPr>
      <w:r>
        <w:t xml:space="preserve">Section 1 of </w:t>
      </w:r>
      <w:r>
        <w:rPr>
          <w:i/>
        </w:rPr>
        <w:t>ADS 2.0</w:t>
      </w:r>
      <w:r>
        <w:t xml:space="preserve">, Voluntary Guidance for Automated Driving Systems, contains 12 priority safety design elements. These elements were selected based on research conducted by the Transportation Research Board (TRB), universities, and NHTSA. Each element contains safety goals and approaches that could be used to achieve those safety </w:t>
      </w:r>
      <w:r>
        <w:t xml:space="preserve">goals. As automated driving technologies evolve at a rapid pace, no single standard exists by which an entity’s methods of considering a safety design element can be measured. Each entity is free to be creative and innovative when developing the best method for its system to appropriately mitigate the safety risks associated with their approach. </w:t>
      </w:r>
    </w:p>
    <w:p w:rsidR="00B84C4D" w:rsidP="00B84C4D" w14:paraId="1886C825" w14:textId="77777777">
      <w:pPr>
        <w:ind w:left="720"/>
      </w:pPr>
      <w:r>
        <w:t xml:space="preserve">Entities engaged in ADS testing and deployment may demonstrate how they address – via industry best practices, their own best practices, or other appropriate methods – the safety elements contained in the Voluntary Guidance by publishing a Voluntary Safety Self-Assessment (VSSA). The VSSA is the medium of collection of information for </w:t>
      </w:r>
      <w:r>
        <w:rPr>
          <w:i/>
        </w:rPr>
        <w:t>ADS 2.0</w:t>
      </w:r>
      <w:r>
        <w:t xml:space="preserve">.  </w:t>
      </w:r>
    </w:p>
    <w:p w:rsidR="00C357F6" w:rsidP="00C357F6" w14:paraId="5A446BDD" w14:textId="77777777">
      <w:pPr>
        <w:pStyle w:val="ListParagraph"/>
        <w:spacing w:before="240"/>
      </w:pPr>
      <w:r>
        <w:t>The VSSA is intended to demonstrate to the public (particularly States and consumers) that entities are: 1) considering the safety aspects of ADSs; 2) communicating and collaborating with DOT; 3) encouraging the self-establishment of industry safety norms for ADSs; and 4) building public trust, acceptance, and confidence through transparent testing and deployment of ADSs. It also allows companies an opportunity to showcase their approach to safety, without needing to reveal proprietary intellectual property.</w:t>
      </w:r>
    </w:p>
    <w:p w:rsidR="00C357F6" w:rsidP="00C357F6" w14:paraId="619D8E15" w14:textId="56366A87">
      <w:pPr>
        <w:pStyle w:val="ListParagraph"/>
        <w:spacing w:before="240"/>
      </w:pPr>
    </w:p>
    <w:p w:rsidR="007A7BB5" w:rsidRPr="00C357F6" w:rsidP="00C357F6" w14:paraId="1D889B10" w14:textId="4E2E4F1B">
      <w:pPr>
        <w:pStyle w:val="ListParagraph"/>
        <w:numPr>
          <w:ilvl w:val="0"/>
          <w:numId w:val="1"/>
        </w:numPr>
        <w:autoSpaceDE w:val="0"/>
        <w:autoSpaceDN w:val="0"/>
        <w:adjustRightInd w:val="0"/>
        <w:spacing w:before="240" w:after="120" w:line="240" w:lineRule="auto"/>
        <w:contextualSpacing w:val="0"/>
        <w:rPr>
          <w:rFonts w:cs="Times New Roman"/>
          <w:b/>
          <w:szCs w:val="24"/>
        </w:rPr>
      </w:pPr>
      <w:r w:rsidRPr="00C357F6">
        <w:rPr>
          <w:rFonts w:cs="Times New Roman"/>
          <w:b/>
          <w:szCs w:val="24"/>
        </w:rPr>
        <w:t>Indicate how, by whom, and for what purpose the information is to be used. Except for a new collection, indicate the actual use the agency has made of the information received from the current collection</w:t>
      </w:r>
      <w:bookmarkEnd w:id="3"/>
      <w:r w:rsidRPr="00C357F6">
        <w:rPr>
          <w:rFonts w:cs="Times New Roman"/>
          <w:b/>
          <w:szCs w:val="24"/>
        </w:rPr>
        <w:t>.</w:t>
      </w:r>
    </w:p>
    <w:bookmarkEnd w:id="4"/>
    <w:p w:rsidR="00231918" w:rsidP="00231918" w14:paraId="7CABD58E" w14:textId="09C37E35">
      <w:pPr>
        <w:pStyle w:val="ListBullet"/>
        <w:numPr>
          <w:ilvl w:val="0"/>
          <w:numId w:val="0"/>
        </w:numPr>
        <w:ind w:left="720"/>
        <w:rPr>
          <w:rFonts w:ascii="Times New Roman" w:hAnsi="Times New Roman"/>
        </w:rPr>
      </w:pPr>
      <w:r w:rsidRPr="00E91D13">
        <w:rPr>
          <w:rFonts w:ascii="Times New Roman" w:hAnsi="Times New Roman"/>
        </w:rPr>
        <w:t>The VSSA is expected to be a high-level summary of how parties are considering safety elements discussed in the Voluntary Guidance. The purpose of NHTSA encouraging publication of the VSSA is to help support public trust and confidence in the safety of ADS-equipped vehicles. NHTSA believes that if developed and deployed safe</w:t>
      </w:r>
      <w:r>
        <w:rPr>
          <w:rFonts w:ascii="Times New Roman" w:hAnsi="Times New Roman"/>
        </w:rPr>
        <w:t>l</w:t>
      </w:r>
      <w:r w:rsidRPr="00E91D13">
        <w:rPr>
          <w:rFonts w:ascii="Times New Roman" w:hAnsi="Times New Roman"/>
        </w:rPr>
        <w:t xml:space="preserve">y, ADS can aid in achieving NHTSA’s mission to save lives, prevent injuries, and reduce economic costs due to road traffic crashes. The VSSAs provide a mechanism through which entities can demonstrate the safety of ADS and facilitate confidence and acceptance of the technology. </w:t>
      </w:r>
    </w:p>
    <w:p w:rsidR="00231918" w:rsidRPr="00E91D13" w:rsidP="009C0416" w14:paraId="672CB66C" w14:textId="77777777">
      <w:pPr>
        <w:pStyle w:val="ListBullet"/>
        <w:numPr>
          <w:ilvl w:val="0"/>
          <w:numId w:val="0"/>
        </w:numPr>
        <w:ind w:left="720"/>
        <w:rPr>
          <w:rFonts w:ascii="Times New Roman" w:hAnsi="Times New Roman"/>
        </w:rPr>
      </w:pPr>
    </w:p>
    <w:p w:rsidR="00231918" w:rsidRPr="00E91D13" w:rsidP="009C0416" w14:paraId="395F4798" w14:textId="4E67E53A">
      <w:pPr>
        <w:pStyle w:val="ListBullet"/>
        <w:numPr>
          <w:ilvl w:val="0"/>
          <w:numId w:val="0"/>
        </w:numPr>
        <w:ind w:left="720"/>
        <w:rPr>
          <w:rFonts w:ascii="Times New Roman" w:hAnsi="Times New Roman"/>
        </w:rPr>
      </w:pPr>
      <w:r w:rsidRPr="00E91D13">
        <w:rPr>
          <w:rFonts w:ascii="Times New Roman" w:hAnsi="Times New Roman"/>
        </w:rPr>
        <w:t xml:space="preserve">Entities collecting information and disclosing that information via a Voluntary Safety Self-Assessment have been given the flexibility to disclose the information in a format deemed appropriate for that particular entity. </w:t>
      </w:r>
      <w:r w:rsidR="007629AE">
        <w:rPr>
          <w:rFonts w:ascii="Times New Roman" w:hAnsi="Times New Roman"/>
        </w:rPr>
        <w:t>To date, e</w:t>
      </w:r>
      <w:r w:rsidR="00F07A76">
        <w:rPr>
          <w:rFonts w:ascii="Times New Roman" w:hAnsi="Times New Roman"/>
        </w:rPr>
        <w:t>xisting safety information has been published</w:t>
      </w:r>
      <w:r w:rsidR="007629AE">
        <w:rPr>
          <w:rFonts w:ascii="Times New Roman" w:hAnsi="Times New Roman"/>
        </w:rPr>
        <w:t xml:space="preserve"> </w:t>
      </w:r>
      <w:r w:rsidR="00890BE7">
        <w:rPr>
          <w:rFonts w:ascii="Times New Roman" w:hAnsi="Times New Roman"/>
        </w:rPr>
        <w:t xml:space="preserve">in one of two formats: </w:t>
      </w:r>
      <w:r w:rsidR="00775C0F">
        <w:rPr>
          <w:rFonts w:ascii="Times New Roman" w:hAnsi="Times New Roman"/>
        </w:rPr>
        <w:t>a general safety page on the entity’s website</w:t>
      </w:r>
      <w:r w:rsidR="00890BE7">
        <w:rPr>
          <w:rFonts w:ascii="Times New Roman" w:hAnsi="Times New Roman"/>
        </w:rPr>
        <w:t>,</w:t>
      </w:r>
      <w:r w:rsidR="00775C0F">
        <w:rPr>
          <w:rFonts w:ascii="Times New Roman" w:hAnsi="Times New Roman"/>
        </w:rPr>
        <w:t xml:space="preserve"> or </w:t>
      </w:r>
      <w:r w:rsidR="002113DC">
        <w:rPr>
          <w:rFonts w:ascii="Times New Roman" w:hAnsi="Times New Roman"/>
        </w:rPr>
        <w:t>a</w:t>
      </w:r>
      <w:r w:rsidR="00775C0F">
        <w:rPr>
          <w:rFonts w:ascii="Times New Roman" w:hAnsi="Times New Roman"/>
        </w:rPr>
        <w:t xml:space="preserve"> </w:t>
      </w:r>
      <w:r w:rsidRPr="00E91D13">
        <w:rPr>
          <w:rFonts w:ascii="Times New Roman" w:hAnsi="Times New Roman"/>
        </w:rPr>
        <w:t xml:space="preserve">publication-format of material accessible </w:t>
      </w:r>
      <w:r w:rsidR="00203E9A">
        <w:rPr>
          <w:rFonts w:ascii="Times New Roman" w:hAnsi="Times New Roman"/>
        </w:rPr>
        <w:t xml:space="preserve">online and available for a </w:t>
      </w:r>
      <w:r w:rsidRPr="00E91D13">
        <w:rPr>
          <w:rFonts w:ascii="Times New Roman" w:hAnsi="Times New Roman"/>
        </w:rPr>
        <w:t>print</w:t>
      </w:r>
      <w:r w:rsidR="00203E9A">
        <w:rPr>
          <w:rFonts w:ascii="Times New Roman" w:hAnsi="Times New Roman"/>
        </w:rPr>
        <w:t xml:space="preserve"> </w:t>
      </w:r>
      <w:r w:rsidRPr="00E91D13">
        <w:rPr>
          <w:rFonts w:ascii="Times New Roman" w:hAnsi="Times New Roman"/>
        </w:rPr>
        <w:t>version. Each entity has selected the layout, presentation, and verbiage structure that best fits its needs and goals.  Entities use the development and disclosure of the information to inform, educate, and communicate with the public and DOT.</w:t>
      </w:r>
    </w:p>
    <w:p w:rsidR="00231918" w:rsidP="00775C0F" w14:paraId="174A5D73" w14:textId="77777777">
      <w:pPr>
        <w:pStyle w:val="ListBullet"/>
        <w:numPr>
          <w:ilvl w:val="0"/>
          <w:numId w:val="0"/>
        </w:numPr>
        <w:ind w:left="720"/>
        <w:rPr>
          <w:rFonts w:ascii="Times New Roman" w:hAnsi="Times New Roman"/>
        </w:rPr>
      </w:pPr>
    </w:p>
    <w:p w:rsidR="00231918" w:rsidP="00775C0F" w14:paraId="1AEFC658" w14:textId="36B3EB84">
      <w:pPr>
        <w:pStyle w:val="ListBullet"/>
        <w:numPr>
          <w:ilvl w:val="0"/>
          <w:numId w:val="0"/>
        </w:numPr>
        <w:ind w:left="720"/>
        <w:rPr>
          <w:rFonts w:ascii="Times New Roman" w:hAnsi="Times New Roman"/>
        </w:rPr>
      </w:pPr>
      <w:r>
        <w:rPr>
          <w:rFonts w:ascii="Times New Roman" w:hAnsi="Times New Roman"/>
        </w:rPr>
        <w:t xml:space="preserve">Members of the public can retrieve the VSSA in order to understand the technology, learn about how the testing and safety elements are incorporated in the design and function of a system or vehicle, and become aware of the testing and deployments in locations around the country. </w:t>
      </w:r>
      <w:r w:rsidR="00775C0F">
        <w:rPr>
          <w:rFonts w:ascii="Times New Roman" w:hAnsi="Times New Roman"/>
        </w:rPr>
        <w:t xml:space="preserve">NHTSA hosts a pointer webpage </w:t>
      </w:r>
      <w:r w:rsidR="00283001">
        <w:rPr>
          <w:rFonts w:ascii="Times New Roman" w:hAnsi="Times New Roman"/>
        </w:rPr>
        <w:t>with links to the published safety information.</w:t>
      </w:r>
    </w:p>
    <w:p w:rsidR="00231918" w:rsidP="00283001" w14:paraId="7B98CEF8" w14:textId="77777777">
      <w:pPr>
        <w:pStyle w:val="ListBullet"/>
        <w:numPr>
          <w:ilvl w:val="0"/>
          <w:numId w:val="0"/>
        </w:numPr>
        <w:ind w:left="720"/>
        <w:rPr>
          <w:rFonts w:ascii="Times New Roman" w:hAnsi="Times New Roman"/>
        </w:rPr>
      </w:pPr>
    </w:p>
    <w:p w:rsidR="00231918" w:rsidP="00E24C1F" w14:paraId="3048F85B" w14:textId="27469F7E">
      <w:pPr>
        <w:pStyle w:val="ListBullet"/>
        <w:numPr>
          <w:ilvl w:val="0"/>
          <w:numId w:val="0"/>
        </w:numPr>
        <w:ind w:left="720"/>
        <w:rPr>
          <w:rFonts w:ascii="Times New Roman" w:hAnsi="Times New Roman"/>
        </w:rPr>
      </w:pPr>
      <w:r>
        <w:rPr>
          <w:rFonts w:ascii="Times New Roman" w:hAnsi="Times New Roman"/>
        </w:rPr>
        <w:t xml:space="preserve">At the onset of the VSSA development, State stakeholders expressed that they would use the information in the VSSA to assess the safety of ADSs on their roadways. Those States looking to require application and permission to test and deploy ADSs review the VSSA prior to issuing the permit. The States also use information in the VSSA to communicate with law enforcement and first responders as well as to educate the public. </w:t>
      </w:r>
    </w:p>
    <w:p w:rsidR="00231918" w:rsidP="00E24C1F" w14:paraId="7A6C8310" w14:textId="77777777">
      <w:pPr>
        <w:pStyle w:val="ListBullet"/>
        <w:numPr>
          <w:ilvl w:val="0"/>
          <w:numId w:val="0"/>
        </w:numPr>
        <w:ind w:left="720"/>
        <w:rPr>
          <w:rFonts w:ascii="Times New Roman" w:hAnsi="Times New Roman"/>
        </w:rPr>
      </w:pPr>
    </w:p>
    <w:p w:rsidR="00231918" w:rsidP="00E24C1F" w14:paraId="2FECEC02" w14:textId="5B6175B2">
      <w:pPr>
        <w:pStyle w:val="ListBullet"/>
        <w:numPr>
          <w:ilvl w:val="0"/>
          <w:numId w:val="0"/>
        </w:numPr>
        <w:ind w:left="720"/>
        <w:rPr>
          <w:rFonts w:ascii="Times New Roman" w:hAnsi="Times New Roman"/>
        </w:rPr>
      </w:pPr>
      <w:r>
        <w:rPr>
          <w:rFonts w:ascii="Times New Roman" w:hAnsi="Times New Roman"/>
        </w:rPr>
        <w:t xml:space="preserve">Other consumer-based stakeholders access the information in the VSSA to gather information to identify risk, inform decisions, and educate, among other uses. </w:t>
      </w:r>
    </w:p>
    <w:p w:rsidR="00231918" w:rsidP="00E24C1F" w14:paraId="2F26D17C" w14:textId="77777777">
      <w:pPr>
        <w:pStyle w:val="ListBullet"/>
        <w:numPr>
          <w:ilvl w:val="0"/>
          <w:numId w:val="0"/>
        </w:numPr>
        <w:ind w:left="720"/>
        <w:rPr>
          <w:rFonts w:ascii="Times New Roman" w:hAnsi="Times New Roman"/>
        </w:rPr>
      </w:pPr>
    </w:p>
    <w:p w:rsidR="00231918" w:rsidP="00B75A08" w14:paraId="7F3F43D5" w14:textId="19CFA378">
      <w:pPr>
        <w:pStyle w:val="ListBullet"/>
        <w:numPr>
          <w:ilvl w:val="0"/>
          <w:numId w:val="0"/>
        </w:numPr>
        <w:ind w:left="720"/>
        <w:rPr>
          <w:rFonts w:ascii="Times New Roman" w:hAnsi="Times New Roman"/>
        </w:rPr>
      </w:pPr>
      <w:r>
        <w:rPr>
          <w:rFonts w:ascii="Times New Roman" w:hAnsi="Times New Roman"/>
        </w:rPr>
        <w:t xml:space="preserve">Subsequent to the publication of the first VSSA, NHTSA established a location on the NHTSA website, titled the VSSA Index, to serve as a central location for published VSSAs. This allows the public a single source to read through VSSAs rather than looking for testing entities, respective websites, and the associated VSSA. Such a site was recommended by stakeholders during an October 2017 Public Workshop to discuss the VSSA. </w:t>
      </w:r>
      <w:r w:rsidR="006418ED">
        <w:rPr>
          <w:rFonts w:ascii="Times New Roman" w:hAnsi="Times New Roman"/>
        </w:rPr>
        <w:t>NHTSA also uses the</w:t>
      </w:r>
      <w:r w:rsidR="002A1786">
        <w:rPr>
          <w:rFonts w:ascii="Times New Roman" w:hAnsi="Times New Roman"/>
        </w:rPr>
        <w:t xml:space="preserve"> VSSA </w:t>
      </w:r>
      <w:r w:rsidR="00932F9C">
        <w:rPr>
          <w:rFonts w:ascii="Times New Roman" w:hAnsi="Times New Roman"/>
        </w:rPr>
        <w:t xml:space="preserve">as </w:t>
      </w:r>
      <w:r w:rsidR="0021749E">
        <w:rPr>
          <w:rFonts w:ascii="Times New Roman" w:hAnsi="Times New Roman"/>
        </w:rPr>
        <w:t>bas</w:t>
      </w:r>
      <w:r w:rsidR="00974A54">
        <w:rPr>
          <w:rFonts w:ascii="Times New Roman" w:hAnsi="Times New Roman"/>
        </w:rPr>
        <w:t>e</w:t>
      </w:r>
      <w:r w:rsidR="0021749E">
        <w:rPr>
          <w:rFonts w:ascii="Times New Roman" w:hAnsi="Times New Roman"/>
        </w:rPr>
        <w:t>s</w:t>
      </w:r>
      <w:r w:rsidR="00683569">
        <w:rPr>
          <w:rFonts w:ascii="Times New Roman" w:hAnsi="Times New Roman"/>
        </w:rPr>
        <w:t xml:space="preserve"> to research-based meetings with entities to learn more about the </w:t>
      </w:r>
      <w:r w:rsidR="00146B62">
        <w:rPr>
          <w:rFonts w:ascii="Times New Roman" w:hAnsi="Times New Roman"/>
        </w:rPr>
        <w:t xml:space="preserve">development and testing of the technologies and to learn about the safety case information from each entity. </w:t>
      </w:r>
    </w:p>
    <w:p w:rsidR="00231918" w:rsidP="0021749E" w14:paraId="391A2EA7" w14:textId="77777777">
      <w:pPr>
        <w:pStyle w:val="ListBullet"/>
        <w:numPr>
          <w:ilvl w:val="0"/>
          <w:numId w:val="0"/>
        </w:numPr>
        <w:ind w:left="720"/>
        <w:rPr>
          <w:rFonts w:ascii="Times New Roman" w:hAnsi="Times New Roman"/>
        </w:rPr>
      </w:pPr>
    </w:p>
    <w:p w:rsidR="00231918" w:rsidP="0021749E" w14:paraId="3C7C8247" w14:textId="77777777">
      <w:pPr>
        <w:pStyle w:val="ListParagraph"/>
        <w:tabs>
          <w:tab w:val="left" w:pos="360"/>
        </w:tabs>
        <w:rPr>
          <w:i/>
          <w:color w:val="333333"/>
        </w:rPr>
      </w:pPr>
      <w:r w:rsidRPr="00231918">
        <w:rPr>
          <w:color w:val="333333"/>
        </w:rPr>
        <w:t xml:space="preserve">The following are descriptions of the safety elements in </w:t>
      </w:r>
      <w:r w:rsidRPr="00231918">
        <w:rPr>
          <w:i/>
          <w:color w:val="333333"/>
        </w:rPr>
        <w:t xml:space="preserve">ADS 2.0. </w:t>
      </w:r>
    </w:p>
    <w:p w:rsidR="006F308E" w:rsidRPr="00DE2648" w:rsidP="006F484C" w14:paraId="0ED82B5A" w14:textId="77777777">
      <w:pPr>
        <w:tabs>
          <w:tab w:val="left" w:pos="0"/>
        </w:tabs>
        <w:ind w:left="720"/>
        <w:rPr>
          <w:b/>
        </w:rPr>
      </w:pPr>
      <w:r w:rsidRPr="00DE2648">
        <w:rPr>
          <w:b/>
        </w:rPr>
        <w:t>Safety Elements in the Voluntary Guidance</w:t>
      </w:r>
    </w:p>
    <w:p w:rsidR="006F308E" w:rsidRPr="00A13A42" w:rsidP="006F484C" w14:paraId="1603D385" w14:textId="77777777">
      <w:pPr>
        <w:pStyle w:val="ListParagraph"/>
        <w:numPr>
          <w:ilvl w:val="0"/>
          <w:numId w:val="13"/>
        </w:numPr>
        <w:tabs>
          <w:tab w:val="left" w:pos="0"/>
        </w:tabs>
        <w:spacing w:before="120" w:after="0" w:line="240" w:lineRule="auto"/>
        <w:ind w:left="1080"/>
        <w:contextualSpacing w:val="0"/>
        <w:rPr>
          <w:b/>
        </w:rPr>
      </w:pPr>
      <w:r w:rsidRPr="00A13A42">
        <w:rPr>
          <w:b/>
        </w:rPr>
        <w:t>System Safety</w:t>
      </w:r>
    </w:p>
    <w:p w:rsidR="006F308E" w:rsidRPr="003F31F6" w:rsidP="006F484C" w14:paraId="2BD65528" w14:textId="77777777">
      <w:pPr>
        <w:tabs>
          <w:tab w:val="left" w:pos="0"/>
        </w:tabs>
        <w:ind w:left="720"/>
      </w:pPr>
      <w:r w:rsidRPr="003F31F6">
        <w:t xml:space="preserve">Entities are encouraged to follow a robust design and validation process based on a systems-engineering approach with the goal of designing ADSs free of unreasonable safety risks. The overall process should adopt and follow industry standards, such as the functional safety process standard for road vehicles, and collectively cover the entire operational design domain (i.e., operating parameters and limitations) of the system. Entities are encouraged to adopt voluntary guidance, best practices, design principles, and standards developed by established and accredited standards-developing organizations (as applicable) such as the International Standards Organization (ISO) and SAE International, as well as standards and processes available from other industries such as aviation, space, and the military and other applicable standards or internal company processes as they are relevant and applicable. </w:t>
      </w:r>
      <w:r w:rsidRPr="00DE2648">
        <w:rPr>
          <w:i/>
        </w:rPr>
        <w:t>See</w:t>
      </w:r>
      <w:r w:rsidRPr="003F31F6">
        <w:t xml:space="preserve"> NHTSA’s June 2016 report, Assessment of Safety Standards for Automotive Electronic Control Systems, which provides an evaluation of the strengths and limitations of</w:t>
      </w:r>
      <w:r>
        <w:t xml:space="preserve"> </w:t>
      </w:r>
      <w:r w:rsidRPr="003F31F6">
        <w:t>such standards.</w:t>
      </w:r>
    </w:p>
    <w:p w:rsidR="006F308E" w:rsidRPr="003F31F6" w:rsidP="006F484C" w14:paraId="4EA8D338" w14:textId="77777777">
      <w:pPr>
        <w:tabs>
          <w:tab w:val="left" w:pos="0"/>
        </w:tabs>
        <w:ind w:left="720"/>
      </w:pPr>
      <w:r w:rsidRPr="003F31F6">
        <w:t>The design and validation process should also consider including a hazard analysis and safety risk assessment for ADSs, for the overall vehicle design into which it is being integrated, and when applicable, for the broader transportation ecosystem. Additionally,</w:t>
      </w:r>
      <w:r>
        <w:t xml:space="preserve"> </w:t>
      </w:r>
      <w:r w:rsidRPr="003F31F6">
        <w:t xml:space="preserve">the process shall describe design redundancies and safety strategies for handling ADS malfunctions. Ideally, the process should place significant emphasis on software development, verification, and validation. The software development process is one that </w:t>
      </w:r>
      <w:r w:rsidRPr="003F31F6">
        <w:t>should</w:t>
      </w:r>
      <w:r>
        <w:t xml:space="preserve"> </w:t>
      </w:r>
      <w:r w:rsidRPr="003F31F6">
        <w:t>be well-planned, well-controlled, and well-documented to detect and correct unexpected results from software updates. Thorough and measurable software testing should complement a structured and documented software development and change management process and should be part of each software version release.</w:t>
      </w:r>
    </w:p>
    <w:p w:rsidR="006F308E" w:rsidP="006F484C" w14:paraId="6E1A394F" w14:textId="77777777">
      <w:pPr>
        <w:tabs>
          <w:tab w:val="left" w:pos="0"/>
        </w:tabs>
        <w:ind w:left="720"/>
      </w:pPr>
      <w:r w:rsidRPr="003F31F6">
        <w:t>Industry is encouraged to monitor the evolution, implementation,</w:t>
      </w:r>
      <w:r>
        <w:t xml:space="preserve"> </w:t>
      </w:r>
      <w:r w:rsidRPr="003F31F6">
        <w:t>and safety assessment of artificial intelligence and other relevant software technologies and algorithms to improve the effectiveness and safety of ADSs.</w:t>
      </w:r>
    </w:p>
    <w:p w:rsidR="006F308E" w:rsidP="006F484C" w14:paraId="78BBEDA1" w14:textId="77777777">
      <w:pPr>
        <w:tabs>
          <w:tab w:val="left" w:pos="0"/>
        </w:tabs>
        <w:ind w:left="720"/>
      </w:pPr>
      <w:r w:rsidRPr="003F31F6">
        <w:t>Design decisions should be linked to the assessed risks that could impact safety-critical system functionality. Design safety considerations should include design architecture, sensors,</w:t>
      </w:r>
      <w:r>
        <w:t xml:space="preserve"> </w:t>
      </w:r>
      <w:r w:rsidRPr="003F31F6">
        <w:t>actuators, communication failure, potential software errors, reliability, potential inadequate control, undesirable control actions, potential collisions with environmental objects and other road users, potential collisions that could be caused by actions of an ADS, leaving the roadway, loss of traction or stability, and violation of traffic laws and deviations from normal (expected) driving practices.</w:t>
      </w:r>
    </w:p>
    <w:p w:rsidR="006F308E" w:rsidP="006F484C" w14:paraId="52F63A92" w14:textId="77777777">
      <w:pPr>
        <w:tabs>
          <w:tab w:val="left" w:pos="0"/>
        </w:tabs>
        <w:ind w:left="720"/>
      </w:pPr>
      <w:r w:rsidRPr="003F31F6">
        <w:t>All design decisions should be tested, validated, and verified as individual subsystems and as part of the entire vehicle architecture. Entities are encouraged to document the entire process; all actions, changes, design choices, analyses, associated testing, and data should be traceable and transparent.</w:t>
      </w:r>
    </w:p>
    <w:p w:rsidR="006F308E" w:rsidRPr="0006176B" w:rsidP="006F484C" w14:paraId="5073C693" w14:textId="77777777">
      <w:pPr>
        <w:pStyle w:val="ListParagraph"/>
        <w:numPr>
          <w:ilvl w:val="0"/>
          <w:numId w:val="13"/>
        </w:numPr>
        <w:tabs>
          <w:tab w:val="left" w:pos="0"/>
        </w:tabs>
        <w:spacing w:before="120" w:after="0" w:line="240" w:lineRule="auto"/>
        <w:ind w:left="1080"/>
        <w:contextualSpacing w:val="0"/>
        <w:rPr>
          <w:b/>
        </w:rPr>
      </w:pPr>
      <w:r w:rsidRPr="0006176B">
        <w:rPr>
          <w:b/>
        </w:rPr>
        <w:t>Operational Design Domain</w:t>
      </w:r>
    </w:p>
    <w:p w:rsidR="006F308E" w:rsidRPr="0006176B" w:rsidP="006F484C" w14:paraId="0495CD86" w14:textId="77777777">
      <w:pPr>
        <w:tabs>
          <w:tab w:val="left" w:pos="0"/>
        </w:tabs>
        <w:ind w:left="720"/>
      </w:pPr>
      <w:r w:rsidRPr="0006176B">
        <w:t>Entities are encouraged to define and document the Operational Design Domain (ODD) for each ADS available on their vehicle(s) as tested or deployed for use on public roadways, as well as document the process and procedure for assessment, testing, and validation of ADS functionality with the prescribed ODD. The ODD should describe the specific conditions under which a given ADS or feature is intended to function. The ODD is the definition of where (such as what roadway types and speeds) and when (under what conditions,</w:t>
      </w:r>
      <w:r>
        <w:t xml:space="preserve"> </w:t>
      </w:r>
      <w:r w:rsidRPr="0006176B">
        <w:t>such as day/night, weather limits, etc.) an ADS is designed to operate.</w:t>
      </w:r>
    </w:p>
    <w:p w:rsidR="006F308E" w:rsidP="006F484C" w14:paraId="76638711" w14:textId="77777777">
      <w:pPr>
        <w:tabs>
          <w:tab w:val="left" w:pos="0"/>
        </w:tabs>
        <w:ind w:left="720"/>
      </w:pPr>
      <w:r w:rsidRPr="0006176B">
        <w:t>The ODD would include the following information at a minimum to define each ADS’s capability limits/boundaries:</w:t>
      </w:r>
    </w:p>
    <w:p w:rsidR="006F308E" w:rsidP="00436CA7" w14:paraId="63418326" w14:textId="77777777">
      <w:pPr>
        <w:pStyle w:val="ListParagraph"/>
        <w:numPr>
          <w:ilvl w:val="0"/>
          <w:numId w:val="12"/>
        </w:numPr>
        <w:tabs>
          <w:tab w:val="left" w:pos="0"/>
        </w:tabs>
        <w:spacing w:after="0" w:line="240" w:lineRule="auto"/>
        <w:ind w:left="1440"/>
        <w:contextualSpacing w:val="0"/>
      </w:pPr>
      <w:r w:rsidRPr="0006176B">
        <w:t>Roadway types (interstate, local, etc.) on which the ADS is intended to operate safely;</w:t>
      </w:r>
    </w:p>
    <w:p w:rsidR="006F308E" w:rsidP="00436CA7" w14:paraId="63512FD4" w14:textId="77777777">
      <w:pPr>
        <w:pStyle w:val="ListParagraph"/>
        <w:numPr>
          <w:ilvl w:val="0"/>
          <w:numId w:val="12"/>
        </w:numPr>
        <w:tabs>
          <w:tab w:val="left" w:pos="0"/>
        </w:tabs>
        <w:spacing w:after="0" w:line="240" w:lineRule="auto"/>
        <w:ind w:left="1440"/>
        <w:contextualSpacing w:val="0"/>
      </w:pPr>
      <w:r w:rsidRPr="0006176B">
        <w:t>Geographic area (city, mountain, desert, etc.);</w:t>
      </w:r>
    </w:p>
    <w:p w:rsidR="006F308E" w:rsidP="00436CA7" w14:paraId="3CA4CEDA" w14:textId="77777777">
      <w:pPr>
        <w:pStyle w:val="ListParagraph"/>
        <w:numPr>
          <w:ilvl w:val="0"/>
          <w:numId w:val="12"/>
        </w:numPr>
        <w:tabs>
          <w:tab w:val="left" w:pos="0"/>
        </w:tabs>
        <w:spacing w:after="0" w:line="240" w:lineRule="auto"/>
        <w:ind w:left="1440"/>
        <w:contextualSpacing w:val="0"/>
      </w:pPr>
      <w:r w:rsidRPr="0006176B">
        <w:t>Speed range;</w:t>
      </w:r>
    </w:p>
    <w:p w:rsidR="006F308E" w:rsidP="00436CA7" w14:paraId="19A05E2F" w14:textId="77777777">
      <w:pPr>
        <w:pStyle w:val="ListParagraph"/>
        <w:numPr>
          <w:ilvl w:val="0"/>
          <w:numId w:val="12"/>
        </w:numPr>
        <w:tabs>
          <w:tab w:val="left" w:pos="0"/>
        </w:tabs>
        <w:spacing w:after="0" w:line="240" w:lineRule="auto"/>
        <w:ind w:left="1440"/>
        <w:contextualSpacing w:val="0"/>
      </w:pPr>
      <w:r w:rsidRPr="0006176B">
        <w:t>Environmental conditions in which the ADS will operate (weather, daytime/nighttime, etc.); and</w:t>
      </w:r>
    </w:p>
    <w:p w:rsidR="006F308E" w:rsidP="00436CA7" w14:paraId="3849F483" w14:textId="77777777">
      <w:pPr>
        <w:pStyle w:val="ListParagraph"/>
        <w:numPr>
          <w:ilvl w:val="0"/>
          <w:numId w:val="12"/>
        </w:numPr>
        <w:tabs>
          <w:tab w:val="left" w:pos="0"/>
        </w:tabs>
        <w:spacing w:after="0" w:line="240" w:lineRule="auto"/>
        <w:ind w:left="1440"/>
        <w:contextualSpacing w:val="0"/>
      </w:pPr>
      <w:r w:rsidRPr="0006176B">
        <w:t>Other domain constraints.</w:t>
      </w:r>
    </w:p>
    <w:p w:rsidR="006F308E" w:rsidP="00436CA7" w14:paraId="08360B5A" w14:textId="77777777">
      <w:pPr>
        <w:tabs>
          <w:tab w:val="left" w:pos="0"/>
        </w:tabs>
        <w:ind w:left="360"/>
      </w:pPr>
    </w:p>
    <w:p w:rsidR="006F308E" w:rsidP="00436CA7" w14:paraId="1C5E334B" w14:textId="77777777">
      <w:pPr>
        <w:tabs>
          <w:tab w:val="left" w:pos="0"/>
        </w:tabs>
        <w:ind w:left="720"/>
      </w:pPr>
      <w:r w:rsidRPr="0006176B">
        <w:t>An ADS should be able to operate safely within the ODD for which it is designed. In situations where the ADS is outside of its defined ODD or in which conditions dynamically change to fall outside</w:t>
      </w:r>
      <w:r>
        <w:t xml:space="preserve"> </w:t>
      </w:r>
      <w:r w:rsidRPr="0006176B">
        <w:t>of the ADS’s ODD, the vehicle should transition to a minimal risk condition. For a Level 3 ADS, transitioning to a minimal risk</w:t>
      </w:r>
      <w:r>
        <w:t xml:space="preserve"> </w:t>
      </w:r>
      <w:r w:rsidRPr="0006176B">
        <w:t>condition could entail transitioning control to a receptive, fallback- ready user. In cases</w:t>
      </w:r>
      <w:r>
        <w:t xml:space="preserve"> wherein</w:t>
      </w:r>
      <w:r w:rsidRPr="0006176B">
        <w:t xml:space="preserve"> the ADS does not have indications that the user is receptive and fallback-ready, the system should continue to mitigate manageable risks, which may include slowing the vehicle down or bringing the vehicle to a safe stop. To support the safe introduction of ADSs on public roadways and to speed deployment, the ODD concept provides the fl</w:t>
      </w:r>
      <w:r>
        <w:t>e</w:t>
      </w:r>
      <w:r w:rsidRPr="0006176B">
        <w:t>xibility for entities to initially limit the complexity of broader driving challenges in a confined ODD.</w:t>
      </w:r>
    </w:p>
    <w:p w:rsidR="006F308E" w:rsidRPr="00026F95" w:rsidP="00436CA7" w14:paraId="64E2958B" w14:textId="77777777">
      <w:pPr>
        <w:pStyle w:val="ListParagraph"/>
        <w:numPr>
          <w:ilvl w:val="0"/>
          <w:numId w:val="13"/>
        </w:numPr>
        <w:tabs>
          <w:tab w:val="left" w:pos="0"/>
        </w:tabs>
        <w:spacing w:before="120" w:after="0" w:line="240" w:lineRule="auto"/>
        <w:ind w:left="1080"/>
        <w:contextualSpacing w:val="0"/>
        <w:rPr>
          <w:b/>
        </w:rPr>
      </w:pPr>
      <w:r w:rsidRPr="00026F95">
        <w:rPr>
          <w:b/>
        </w:rPr>
        <w:t>Object and Event Detection and Response</w:t>
      </w:r>
    </w:p>
    <w:p w:rsidR="006F308E" w:rsidP="00436CA7" w14:paraId="638FD268" w14:textId="77777777">
      <w:pPr>
        <w:tabs>
          <w:tab w:val="left" w:pos="0"/>
        </w:tabs>
        <w:ind w:left="720"/>
      </w:pPr>
      <w:r w:rsidRPr="00026F95">
        <w:t>Object and Event Detection and Response (OEDR) refers to the detection by the driver or ADS of any circumstance that is relevant to the immediate driving task, as well as the implementation of the appropriate driver or system response to such circumstance. For the purposes of this Guidance, an ADS is responsible for performing OEDR while it is engaged and operating in its defined ODD.</w:t>
      </w:r>
    </w:p>
    <w:p w:rsidR="006F308E" w:rsidP="00436CA7" w14:paraId="3641CAEA" w14:textId="77777777">
      <w:pPr>
        <w:tabs>
          <w:tab w:val="left" w:pos="0"/>
        </w:tabs>
        <w:ind w:left="720"/>
      </w:pPr>
      <w:r w:rsidRPr="00026F95">
        <w:t>Entities are encouraged to have a documented process for assessment, testing, and validation of their ADS’s OEDR capabilities. When operating within its ODD, an ADS’s OEDR functions are expected to be able to detect and respond to other vehicles (in and out of its travel path), pedestrians, bicyclists, animals, and objects that could affect safe operation of the vehicle.</w:t>
      </w:r>
      <w:r>
        <w:t xml:space="preserve"> </w:t>
      </w:r>
      <w:r w:rsidRPr="00026F95">
        <w:t>An ADS’s OEDR should also include the ability to address a wide variety of foreseeable encounters, including emergency vehicles, temporary work zones, and other unusual conditions (e.g., police manually directing traffic or other fi</w:t>
      </w:r>
      <w:r>
        <w:t>r</w:t>
      </w:r>
      <w:r w:rsidRPr="00026F95">
        <w:t>st responders or construction workers controlling traffic) that may impact the safe operation of an ADS.</w:t>
      </w:r>
    </w:p>
    <w:p w:rsidR="006F308E" w:rsidRPr="00026F95" w:rsidP="00436CA7" w14:paraId="7AAAAC09" w14:textId="77777777">
      <w:pPr>
        <w:tabs>
          <w:tab w:val="left" w:pos="0"/>
        </w:tabs>
        <w:ind w:left="720"/>
        <w:rPr>
          <w:u w:val="single"/>
        </w:rPr>
      </w:pPr>
      <w:r w:rsidRPr="00026F95">
        <w:rPr>
          <w:u w:val="single"/>
        </w:rPr>
        <w:t>Normal Driving</w:t>
      </w:r>
    </w:p>
    <w:p w:rsidR="006F308E" w:rsidP="00436CA7" w14:paraId="0096C6CA" w14:textId="77777777">
      <w:pPr>
        <w:tabs>
          <w:tab w:val="left" w:pos="0"/>
        </w:tabs>
        <w:ind w:left="720"/>
      </w:pPr>
      <w:r w:rsidRPr="00026F95">
        <w:t>Entities are encouraged to have a documented process for the assessment, testing, and validation of a variety of behavioral competencies for their ADSs. Behavioral competency refers to</w:t>
      </w:r>
      <w:r>
        <w:t xml:space="preserve"> </w:t>
      </w:r>
      <w:r w:rsidRPr="00026F95">
        <w:t>the ability of an ADS to operate in the traffic conditions that it will regularly encounter, including keeping the vehicle in a lane, obeying traffic laws, following reasonable road etiquette, and responding to other vehicles or hazards. While research conducted by California PATH provided a set of minimum behavioral competencies for ADSs, the full complement of behavioral competencies a particular ADS would be expected to demonstrate and routinely perform</w:t>
      </w:r>
      <w:r>
        <w:t xml:space="preserve"> </w:t>
      </w:r>
      <w:r w:rsidRPr="00026F95">
        <w:t>will depend upon the individual ADS, its ODD, and the designated fallback (minimal risk condition) method. Entities are encouraged to consider all known behavioral competencies in the design, test, and validation of their ADSs.</w:t>
      </w:r>
    </w:p>
    <w:p w:rsidR="006F308E" w:rsidRPr="00026F95" w:rsidP="00436CA7" w14:paraId="5C3D4B2E" w14:textId="77777777">
      <w:pPr>
        <w:tabs>
          <w:tab w:val="left" w:pos="0"/>
        </w:tabs>
        <w:ind w:left="720"/>
        <w:rPr>
          <w:u w:val="single"/>
        </w:rPr>
      </w:pPr>
      <w:r w:rsidRPr="00026F95">
        <w:rPr>
          <w:u w:val="single"/>
        </w:rPr>
        <w:t>Crash Avoidance Capability – Hazards</w:t>
      </w:r>
    </w:p>
    <w:p w:rsidR="006F308E" w:rsidRPr="00026F95" w:rsidP="00436CA7" w14:paraId="3679FC9D" w14:textId="77777777">
      <w:pPr>
        <w:tabs>
          <w:tab w:val="left" w:pos="0"/>
        </w:tabs>
        <w:ind w:left="720"/>
      </w:pPr>
      <w:r w:rsidRPr="00026F95">
        <w:t>Entities are encouraged to have a documented process for assessment, testing, and validation of their crash avoidance capabilities and design choices. Based on the ODD, an ADS should be able to address applicable pre-crash scenarios that relate to control loss; crossing-path crashes; lane change/merge; head-on and opposite-direction travel; and rear-end, road departure, and low-speed situations such as backing and parking maneuvers. Depending on the ODD, an ADS may be expected to handle many of the pre-crash scenarios that NHTSA has identified previously.</w:t>
      </w:r>
    </w:p>
    <w:p w:rsidR="006F308E" w:rsidRPr="00DF3840" w:rsidP="00436CA7" w14:paraId="3691FDE2" w14:textId="77777777">
      <w:pPr>
        <w:pStyle w:val="ListParagraph"/>
        <w:numPr>
          <w:ilvl w:val="0"/>
          <w:numId w:val="13"/>
        </w:numPr>
        <w:tabs>
          <w:tab w:val="left" w:pos="0"/>
        </w:tabs>
        <w:spacing w:before="120" w:after="0" w:line="240" w:lineRule="auto"/>
        <w:ind w:left="1080"/>
        <w:contextualSpacing w:val="0"/>
        <w:rPr>
          <w:b/>
        </w:rPr>
      </w:pPr>
      <w:r w:rsidRPr="00DF3840">
        <w:rPr>
          <w:b/>
        </w:rPr>
        <w:t>Fallback (Minimal Risk Condition)</w:t>
      </w:r>
    </w:p>
    <w:p w:rsidR="006F308E" w:rsidP="00436CA7" w14:paraId="19C5A1C5" w14:textId="77777777">
      <w:pPr>
        <w:tabs>
          <w:tab w:val="left" w:pos="0"/>
        </w:tabs>
        <w:ind w:left="720"/>
      </w:pPr>
      <w:r w:rsidRPr="00DF3840">
        <w:t>Entities are encouraged to have a documented process for transitioning to a minimal risk condition when a problem is encountered or the ADS cannot operate safely. ADSs operating on the road should be capable of detecting that the ADS has malfunctioned, is operating in a degraded state, or is operating</w:t>
      </w:r>
      <w:r>
        <w:t xml:space="preserve"> </w:t>
      </w:r>
      <w:r w:rsidRPr="00DF3840">
        <w:t>outside of the ODD. Furthermore, ADSs should be able to notify the human driver of such events in a way that enables the driver to regain proper control of the vehicle or allows the ADS to return to a minimal risk condition independently.</w:t>
      </w:r>
    </w:p>
    <w:p w:rsidR="006F308E" w:rsidRPr="00DF3840" w:rsidP="00436CA7" w14:paraId="015F301C" w14:textId="77777777">
      <w:pPr>
        <w:tabs>
          <w:tab w:val="left" w:pos="0"/>
        </w:tabs>
        <w:ind w:left="720"/>
      </w:pPr>
      <w:r w:rsidRPr="00DF3840">
        <w:t>Fallback strategies should take into account that, despite laws and regulations to the contrary, human drivers may be inattentive, under the influence of alcohol or other substances, drowsy, or otherwise impaired.</w:t>
      </w:r>
    </w:p>
    <w:p w:rsidR="006F308E" w:rsidP="00436CA7" w14:paraId="1E92DA8A" w14:textId="77777777">
      <w:pPr>
        <w:tabs>
          <w:tab w:val="left" w:pos="0"/>
        </w:tabs>
        <w:ind w:left="720"/>
      </w:pPr>
      <w:r w:rsidRPr="00DF3840">
        <w:t>Fallback actions are encouraged to be administered in a manner that will facilitate safe operation of the vehicle and minimize erratic driving behavior. Such fallback actions should also consider minimizing the effects of errors in human driver recognition and decision-making during and after transition to manual control.</w:t>
      </w:r>
    </w:p>
    <w:p w:rsidR="006F308E" w:rsidP="00436CA7" w14:paraId="7CD29A60" w14:textId="77777777">
      <w:pPr>
        <w:tabs>
          <w:tab w:val="left" w:pos="0"/>
        </w:tabs>
        <w:ind w:left="720"/>
      </w:pPr>
      <w:r w:rsidRPr="00DF3840">
        <w:t>In cases of higher automation in which a human driver may not be available, the ADS must be able to fallback into a minimal risk condition without the need for driver intervention.</w:t>
      </w:r>
      <w:r>
        <w:t xml:space="preserve"> </w:t>
      </w:r>
      <w:r w:rsidRPr="00DF3840">
        <w:t>A minimal risk condition will vary according to the type and extent of a given failure, but may include automatically bringing the vehicle to a safe stop, preferably outside of an active lane of traffic. Entities are encouraged to have a documented process for assessment, testing, and validation of their fallback approaches.</w:t>
      </w:r>
    </w:p>
    <w:p w:rsidR="006F308E" w:rsidRPr="00F06255" w:rsidP="00436CA7" w14:paraId="66E19307" w14:textId="77777777">
      <w:pPr>
        <w:pStyle w:val="ListParagraph"/>
        <w:numPr>
          <w:ilvl w:val="0"/>
          <w:numId w:val="13"/>
        </w:numPr>
        <w:tabs>
          <w:tab w:val="left" w:pos="0"/>
        </w:tabs>
        <w:spacing w:before="120" w:after="0" w:line="240" w:lineRule="auto"/>
        <w:ind w:left="1080"/>
        <w:contextualSpacing w:val="0"/>
        <w:rPr>
          <w:b/>
        </w:rPr>
      </w:pPr>
      <w:r w:rsidRPr="00F06255">
        <w:rPr>
          <w:b/>
        </w:rPr>
        <w:t>Validation Methods</w:t>
      </w:r>
    </w:p>
    <w:p w:rsidR="006F308E" w:rsidP="00436CA7" w14:paraId="76D25266" w14:textId="77777777">
      <w:pPr>
        <w:tabs>
          <w:tab w:val="left" w:pos="0"/>
        </w:tabs>
        <w:ind w:left="720"/>
      </w:pPr>
      <w:r w:rsidRPr="00F06255">
        <w:t>Given that the scope, technology, and capabilities vary widely for different automation functions, entities are encouraged to</w:t>
      </w:r>
      <w:r>
        <w:t xml:space="preserve"> </w:t>
      </w:r>
      <w:r w:rsidRPr="00F06255">
        <w:t>develop validation methods to appropriately mitigate the safety risks associated with their ADS approach. Tests should demonstrate the behavioral competencies an ADS would be expected to perform during normal operation, the ADS’s performance during crash avoidance situations, and the performance of fallback strategies relevant to the ADS’s ODD.</w:t>
      </w:r>
    </w:p>
    <w:p w:rsidR="006F308E" w:rsidRPr="00F06255" w:rsidP="00436CA7" w14:paraId="66A05F91" w14:textId="77777777">
      <w:pPr>
        <w:tabs>
          <w:tab w:val="left" w:pos="0"/>
        </w:tabs>
        <w:ind w:left="720"/>
      </w:pPr>
      <w:r w:rsidRPr="00F06255">
        <w:t>To demonstrate the expected performance of an ADS for deployment on public roads, test approaches may include a combination of simulation, test track, and on-road testing.</w:t>
      </w:r>
      <w:r>
        <w:t xml:space="preserve"> </w:t>
      </w:r>
    </w:p>
    <w:p w:rsidR="006F308E" w:rsidP="00436CA7" w14:paraId="76C99130" w14:textId="77777777">
      <w:pPr>
        <w:tabs>
          <w:tab w:val="left" w:pos="0"/>
        </w:tabs>
        <w:ind w:left="720"/>
      </w:pPr>
      <w:r w:rsidRPr="00F06255">
        <w:t>Prior to on-road testing, entities are encouraged to consider the extent to which simulation and track testing may be necessary. Testing may be performed by the entities themselves, but could also be performed by an independent third party.</w:t>
      </w:r>
    </w:p>
    <w:p w:rsidR="006F308E" w:rsidP="00436CA7" w14:paraId="3181A8D0" w14:textId="77777777">
      <w:pPr>
        <w:tabs>
          <w:tab w:val="left" w:pos="0"/>
        </w:tabs>
        <w:ind w:left="720"/>
      </w:pPr>
      <w:r w:rsidRPr="00F06255">
        <w:t>Entities should continue working with NHTSA and industry standards organizations (SAE, ISO, etc.) and others to develop and update tests that use innovative methods as well as to develop performance criteria for test facilities that intend to conduct validation tests.</w:t>
      </w:r>
    </w:p>
    <w:p w:rsidR="006F308E" w:rsidRPr="00747FDD" w:rsidP="00436CA7" w14:paraId="70BBB076" w14:textId="77777777">
      <w:pPr>
        <w:pStyle w:val="ListParagraph"/>
        <w:numPr>
          <w:ilvl w:val="0"/>
          <w:numId w:val="13"/>
        </w:numPr>
        <w:tabs>
          <w:tab w:val="left" w:pos="0"/>
        </w:tabs>
        <w:spacing w:before="120" w:after="0" w:line="240" w:lineRule="auto"/>
        <w:ind w:left="1080"/>
        <w:contextualSpacing w:val="0"/>
        <w:rPr>
          <w:b/>
        </w:rPr>
      </w:pPr>
      <w:r w:rsidRPr="00747FDD">
        <w:rPr>
          <w:b/>
        </w:rPr>
        <w:t>Human Machine Interface</w:t>
      </w:r>
    </w:p>
    <w:p w:rsidR="006F308E" w:rsidP="00436CA7" w14:paraId="6B6D8EA8" w14:textId="77777777">
      <w:pPr>
        <w:ind w:left="720"/>
      </w:pPr>
      <w:r w:rsidRPr="00747FDD">
        <w:t>Understanding the interaction between the vehicle and the driver, commonly referred to as “human machine interface” (HMI), has always played an important role in the automotive design process. New complexity is introduced to this interaction as ADSs take on driving functions, in part because in some cases the vehicle must be capable of accurately conveying information to the human driver</w:t>
      </w:r>
      <w:r>
        <w:t xml:space="preserve"> </w:t>
      </w:r>
      <w:r w:rsidRPr="00747FDD">
        <w:t>regarding intentions and vehicle performance. This is particularly true</w:t>
      </w:r>
      <w:r>
        <w:t xml:space="preserve"> </w:t>
      </w:r>
      <w:r w:rsidRPr="00747FDD">
        <w:t>for ADSs in which human drivers may be requested to perform any</w:t>
      </w:r>
      <w:r>
        <w:t xml:space="preserve"> </w:t>
      </w:r>
      <w:r w:rsidRPr="00747FDD">
        <w:t>part of the driving task. For example, in a Level 3 vehicle, the driver always must be receptive to a request by the system to take back driving responsibilities. However, a driver’s ability to do so is limited by their capacity to stay alert to the driving task and thus capable of quickly taking over control, while at the same time not performing the actual driving task until prompted by the vehicle. Entities are encouraged to consider whether it is reasonable and appropriate to incorporate driver engagement monitoring in cases where drivers could be involved in the driving task so as to assess driver awareness and readiness to perform the full driving task.</w:t>
      </w:r>
    </w:p>
    <w:p w:rsidR="006F308E" w:rsidP="00436CA7" w14:paraId="4F882607" w14:textId="77777777">
      <w:pPr>
        <w:ind w:left="720"/>
      </w:pPr>
      <w:r w:rsidRPr="00747FDD">
        <w:t>Entities are also encouraged to consider and document a process for the assessment, testing, and validation of the vehicle’s HMI design.</w:t>
      </w:r>
      <w:r>
        <w:t xml:space="preserve"> </w:t>
      </w:r>
      <w:r w:rsidRPr="00747FDD">
        <w:t>Considerations should be made for the human driver, operator, occupant(s), and external actors with whom the ADS may have interactions, including other vehicles (both traditional and those with</w:t>
      </w:r>
      <w:r>
        <w:t xml:space="preserve"> </w:t>
      </w:r>
      <w:r w:rsidRPr="00747FDD">
        <w:t>ADSs), motorcyclists, bicyclists, and pedestrians. HMI design should also consider the need to communicate information regarding the ADS’s state of operation relevant to the various interactions it may encounter and how this information should be communicated.</w:t>
      </w:r>
    </w:p>
    <w:p w:rsidR="006F308E" w:rsidP="00436CA7" w14:paraId="4DC19679" w14:textId="77777777">
      <w:pPr>
        <w:ind w:left="720"/>
      </w:pPr>
      <w:r w:rsidRPr="00747FDD">
        <w:t>In vehicles that are anticipated not to have driver controls, entities are encouraged to design their HMI to accommodate people with disabilities (e.g., through visual, auditory, and haptic displays). In vehicles where an ADS may be intended to operate without a human driver or even any human occupant, the remote dispatcher or central control authority, if such an entity exists, should be</w:t>
      </w:r>
      <w:r>
        <w:t xml:space="preserve"> </w:t>
      </w:r>
      <w:r w:rsidRPr="00747FDD">
        <w:t xml:space="preserve">able to know the status of the ADS at all times. Examples of these may include unoccupied SAE Automation Level 4 or 5 </w:t>
      </w:r>
      <w:r w:rsidRPr="00747FDD">
        <w:t>vehicles, automated delivery vehicles, last-mile special purpose ground drones, and automated maintenance vehicles.</w:t>
      </w:r>
    </w:p>
    <w:p w:rsidR="006F308E" w:rsidP="00436CA7" w14:paraId="7300A68B" w14:textId="77777777">
      <w:pPr>
        <w:ind w:left="720"/>
      </w:pPr>
      <w:r w:rsidRPr="00747FDD">
        <w:t>Given the ongoing research and rapidly evolving nature of this field, entities are encouraged to consider and apply voluntary guidance, best practices, and design principles published by SAE International, ISO, NHTSA, the American National Standards Institute (ANSI), the International Commission on Illumination (CIE), and other relevant organizations, based upon the level of automation and expected level of driver engagement.</w:t>
      </w:r>
    </w:p>
    <w:p w:rsidR="006F308E" w:rsidRPr="00E0616A" w:rsidP="00436CA7" w14:paraId="1B112954" w14:textId="77777777">
      <w:pPr>
        <w:pStyle w:val="ListParagraph"/>
        <w:numPr>
          <w:ilvl w:val="0"/>
          <w:numId w:val="13"/>
        </w:numPr>
        <w:tabs>
          <w:tab w:val="left" w:pos="0"/>
        </w:tabs>
        <w:spacing w:before="120" w:after="0" w:line="240" w:lineRule="auto"/>
        <w:ind w:left="1080"/>
        <w:contextualSpacing w:val="0"/>
        <w:rPr>
          <w:b/>
        </w:rPr>
      </w:pPr>
      <w:r w:rsidRPr="00E0616A">
        <w:rPr>
          <w:b/>
        </w:rPr>
        <w:t>Vehicle Cybersecurity</w:t>
      </w:r>
    </w:p>
    <w:p w:rsidR="006F308E" w:rsidP="00436CA7" w14:paraId="7C6B3116" w14:textId="77777777">
      <w:pPr>
        <w:ind w:left="720"/>
      </w:pPr>
      <w:r w:rsidRPr="00E0616A">
        <w:t>Entities are encouraged to follow a robust product development process based on a systems</w:t>
      </w:r>
      <w:r>
        <w:t>-</w:t>
      </w:r>
      <w:r w:rsidRPr="00E0616A">
        <w:t>engineering approach to minimize risks to safety, including those due to cybersecurity threats and</w:t>
      </w:r>
      <w:r>
        <w:t xml:space="preserve"> </w:t>
      </w:r>
      <w:r w:rsidRPr="00E0616A">
        <w:t>vulnerabilities. This process should include a systematic and ongoing safety risk assessment for each ADS, the overall vehicle design</w:t>
      </w:r>
      <w:r>
        <w:t xml:space="preserve"> </w:t>
      </w:r>
      <w:r w:rsidRPr="00E0616A">
        <w:t>into which it is being integrated, and</w:t>
      </w:r>
      <w:r>
        <w:t>,</w:t>
      </w:r>
      <w:r w:rsidRPr="00E0616A">
        <w:t xml:space="preserve"> when applicable, the broader transportation ecosystem.</w:t>
      </w:r>
    </w:p>
    <w:p w:rsidR="006F308E" w:rsidP="00436CA7" w14:paraId="3CE38D64" w14:textId="77777777">
      <w:pPr>
        <w:ind w:left="720"/>
      </w:pPr>
      <w:r w:rsidRPr="00E0616A">
        <w:t xml:space="preserve">Entities are encouraged to design their ADSs following established best practices for cyber vehicle physical systems. Entities are encouraged to consider and incorporate voluntary guidance, best practices, and design principles published by National Institute of Standards and Technology (NIST), NHTSA, SAE International, the Alliance </w:t>
      </w:r>
      <w:r>
        <w:t>for Automotive Innovation</w:t>
      </w:r>
      <w:r w:rsidRPr="00E0616A">
        <w:t>, the Automotive Information Sharing and Analysis Center (Auto-ISAC), and other relevant organizations, as appropriate.</w:t>
      </w:r>
    </w:p>
    <w:p w:rsidR="006F308E" w:rsidP="00436CA7" w14:paraId="18A2402E" w14:textId="77777777">
      <w:pPr>
        <w:ind w:left="720"/>
      </w:pPr>
      <w:r w:rsidRPr="00E0616A">
        <w:t>NHTSA encourages entities to document how they incorporated vehicle cybersecurity considerations into ADSs, including all actions, changes, design choices, analyses, and associated testing, and ensure that data is traceable within a robust document version control environment.</w:t>
      </w:r>
    </w:p>
    <w:p w:rsidR="006F308E" w:rsidP="00436CA7" w14:paraId="3DF5BD9D" w14:textId="77777777">
      <w:pPr>
        <w:ind w:left="720"/>
      </w:pPr>
      <w:r w:rsidRPr="00E0616A">
        <w:t>Industry sharing of information on vehicle cybersecurity facilitates collaborative learning and helps prevent industry members from experiencing the same cyber vulnerabilities. Entities are encouraged</w:t>
      </w:r>
      <w:r>
        <w:t xml:space="preserve"> </w:t>
      </w:r>
      <w:r w:rsidRPr="00E0616A">
        <w:t>to report to the Auto-ISAC all discovered incidents, exploits, threats and vulnerabilities from internal testing, consumer reporting,</w:t>
      </w:r>
      <w:r>
        <w:t xml:space="preserve"> </w:t>
      </w:r>
      <w:r w:rsidRPr="00E0616A">
        <w:t>or external security research as soon as possible, regardless of membership. Entities are further encouraged to establish robust cyber incident response plans and employ a systems</w:t>
      </w:r>
      <w:r>
        <w:t>-</w:t>
      </w:r>
      <w:r w:rsidRPr="00E0616A">
        <w:t>engineering approach that considers vehicle cybersecurity in the desi</w:t>
      </w:r>
      <w:r>
        <w:t>gn</w:t>
      </w:r>
      <w:r w:rsidRPr="00E0616A">
        <w:t xml:space="preserve"> process. Entities involved with ADSs should also consider adopting a coordinated vulnerability reporting/disclosure policy.</w:t>
      </w:r>
    </w:p>
    <w:p w:rsidR="006F308E" w:rsidRPr="00AC3D4B" w:rsidP="00436CA7" w14:paraId="74F2C2FE" w14:textId="77777777">
      <w:pPr>
        <w:pStyle w:val="ListParagraph"/>
        <w:numPr>
          <w:ilvl w:val="0"/>
          <w:numId w:val="13"/>
        </w:numPr>
        <w:tabs>
          <w:tab w:val="left" w:pos="0"/>
        </w:tabs>
        <w:spacing w:before="120" w:after="0" w:line="240" w:lineRule="auto"/>
        <w:ind w:left="1080"/>
        <w:contextualSpacing w:val="0"/>
        <w:rPr>
          <w:b/>
        </w:rPr>
      </w:pPr>
      <w:r w:rsidRPr="00AC3D4B">
        <w:rPr>
          <w:b/>
        </w:rPr>
        <w:t>Crashworthiness</w:t>
      </w:r>
    </w:p>
    <w:p w:rsidR="006F308E" w:rsidRPr="00AC3D4B" w:rsidP="00436CA7" w14:paraId="202F750C" w14:textId="77777777">
      <w:pPr>
        <w:ind w:left="720"/>
        <w:rPr>
          <w:u w:val="single"/>
        </w:rPr>
      </w:pPr>
      <w:r w:rsidRPr="00AC3D4B">
        <w:rPr>
          <w:u w:val="single"/>
        </w:rPr>
        <w:t>Occupant Protection</w:t>
      </w:r>
    </w:p>
    <w:p w:rsidR="006F308E" w:rsidP="00436CA7" w14:paraId="57AA210E" w14:textId="77777777">
      <w:pPr>
        <w:ind w:left="720"/>
      </w:pPr>
      <w:r w:rsidRPr="00AC3D4B">
        <w:t>Given that a mix of vehicles with ADSs and those without will be operating on public roadways for an extended period of time, entities still need to consider the possible scenario of another vehicle crashing into an ADS-equipped vehicle and how to best protect vehicle occupants in that situation. Regardless of whether the ADS</w:t>
      </w:r>
      <w:r>
        <w:t xml:space="preserve"> </w:t>
      </w:r>
      <w:r w:rsidRPr="00AC3D4B">
        <w:t>is operating the vehicle or the vehicle is being driven by a human driver, the occupant protection system should maintain its intended performance level in the event of a crash.</w:t>
      </w:r>
    </w:p>
    <w:p w:rsidR="006F308E" w:rsidP="00436CA7" w14:paraId="34DD0FE2" w14:textId="77777777">
      <w:pPr>
        <w:ind w:left="720"/>
      </w:pPr>
      <w:r w:rsidRPr="00AC3D4B">
        <w:t>Entities should consider incorporating information from the advanced sensing technologies needed for ADS operation into new occupant protection systems that provide enhanced protection to occupants of all ages and sizes. In addition to the</w:t>
      </w:r>
      <w:r>
        <w:t xml:space="preserve"> </w:t>
      </w:r>
      <w:r w:rsidRPr="00AC3D4B">
        <w:t>seating configurations evaluated in current standards, entities are encouraged to evaluate and consider additional countermeasures that will protect all occupants in any alternative planned seating or interior configurations during use.</w:t>
      </w:r>
    </w:p>
    <w:p w:rsidR="006F308E" w:rsidRPr="00AC3D4B" w:rsidP="00436CA7" w14:paraId="505ED814" w14:textId="77777777">
      <w:pPr>
        <w:ind w:left="720"/>
        <w:rPr>
          <w:u w:val="single"/>
        </w:rPr>
      </w:pPr>
      <w:r w:rsidRPr="00AC3D4B">
        <w:rPr>
          <w:u w:val="single"/>
        </w:rPr>
        <w:t>Compatibility</w:t>
      </w:r>
    </w:p>
    <w:p w:rsidR="006F308E" w:rsidP="00436CA7" w14:paraId="619444E4" w14:textId="77777777">
      <w:pPr>
        <w:ind w:left="720"/>
      </w:pPr>
      <w:r w:rsidRPr="00AC3D4B">
        <w:t>Unoccupied vehicles equipped with ADSs should provide geometric and energy absorption crash compatibility with existing vehicles on the road. ADSs intended for product or service delivery or other unoccupied use scenarios should consider appropriate vehicle crash compatibility given the potential for interactions with vulnerable road users and other vehicle types.</w:t>
      </w:r>
    </w:p>
    <w:p w:rsidR="006F308E" w:rsidRPr="004B12CE" w:rsidP="00436CA7" w14:paraId="4678BDE5" w14:textId="77777777">
      <w:pPr>
        <w:pStyle w:val="ListParagraph"/>
        <w:numPr>
          <w:ilvl w:val="0"/>
          <w:numId w:val="13"/>
        </w:numPr>
        <w:tabs>
          <w:tab w:val="left" w:pos="0"/>
        </w:tabs>
        <w:spacing w:before="120" w:after="0" w:line="240" w:lineRule="auto"/>
        <w:ind w:left="1080"/>
        <w:contextualSpacing w:val="0"/>
        <w:rPr>
          <w:b/>
        </w:rPr>
      </w:pPr>
      <w:r w:rsidRPr="004B12CE">
        <w:rPr>
          <w:b/>
        </w:rPr>
        <w:t xml:space="preserve">Post-Crash </w:t>
      </w:r>
      <w:r>
        <w:rPr>
          <w:b/>
        </w:rPr>
        <w:t xml:space="preserve">ADS </w:t>
      </w:r>
      <w:r w:rsidRPr="004B12CE">
        <w:rPr>
          <w:b/>
        </w:rPr>
        <w:t>Behavior</w:t>
      </w:r>
    </w:p>
    <w:p w:rsidR="006F308E" w:rsidRPr="00350043" w:rsidP="00436CA7" w14:paraId="2119D814" w14:textId="77777777">
      <w:pPr>
        <w:ind w:left="720"/>
      </w:pPr>
      <w:r w:rsidRPr="00350043">
        <w:t>Entities engaging in testing or deployment should consider methods of returning ADSs to a safe state immediately after being involved</w:t>
      </w:r>
      <w:r>
        <w:t xml:space="preserve"> </w:t>
      </w:r>
      <w:r w:rsidRPr="00350043">
        <w:t>in a crash. Depending upon the severity of the crash, actions such as shutting off the fuel pump, removing motive power, moving the vehicle to a safe position off the roadway (or safest place available), disengaging electrical power, and other actions that would assist the ADSs should be considered. If communications with an operations center, collision notification center, or vehicle communications technology exist, relevant data is encouraged to be communicated and</w:t>
      </w:r>
      <w:r>
        <w:t xml:space="preserve"> shared to help reduce the harm resulting from the crash. </w:t>
      </w:r>
    </w:p>
    <w:p w:rsidR="006F308E" w:rsidP="00436CA7" w14:paraId="01784541" w14:textId="77777777">
      <w:pPr>
        <w:ind w:left="720"/>
      </w:pPr>
      <w:r w:rsidRPr="00350043">
        <w:t>Additionally, entities are encouraged to have documentation available that facilitates the maintenance and repair of ADSs before they can be put back in service. Such documentation would likely identify the equipment and the processes necessary to ensure safe operation of the ADSs after repairs.</w:t>
      </w:r>
    </w:p>
    <w:p w:rsidR="006F308E" w:rsidRPr="00105500" w:rsidP="00436CA7" w14:paraId="35A9EF07" w14:textId="77777777">
      <w:pPr>
        <w:pStyle w:val="ListParagraph"/>
        <w:numPr>
          <w:ilvl w:val="0"/>
          <w:numId w:val="13"/>
        </w:numPr>
        <w:tabs>
          <w:tab w:val="left" w:pos="0"/>
        </w:tabs>
        <w:spacing w:before="120" w:after="0" w:line="240" w:lineRule="auto"/>
        <w:ind w:left="1080"/>
        <w:contextualSpacing w:val="0"/>
        <w:rPr>
          <w:b/>
        </w:rPr>
      </w:pPr>
      <w:r w:rsidRPr="00105500">
        <w:rPr>
          <w:b/>
        </w:rPr>
        <w:t>Data Recording</w:t>
      </w:r>
    </w:p>
    <w:p w:rsidR="006F308E" w:rsidP="00436CA7" w14:paraId="5343B2CA" w14:textId="77777777">
      <w:pPr>
        <w:ind w:left="720"/>
      </w:pPr>
      <w:r w:rsidRPr="00105500">
        <w:t xml:space="preserve">Learning from crash data is a central component to the safety potential of ADSs. For example, the analysis of a crash involving a single ADS could lead to safety developments and subsequent prevention of that crash scenario in other ADSs. Paramount to this type of learning is proper crash reconstruction. Currently, no standard data elements exist for law enforcement, </w:t>
      </w:r>
      <w:r>
        <w:t>r</w:t>
      </w:r>
      <w:r w:rsidRPr="00105500">
        <w:t xml:space="preserve">esearchers, and others to use in determining </w:t>
      </w:r>
      <w:r w:rsidRPr="00105500">
        <w:t>why an ADS-enabled vehicle crashed. Therefore, entities engaging in testing or deployment are encouraged to establish a documented process for testing,</w:t>
      </w:r>
      <w:r>
        <w:t xml:space="preserve"> </w:t>
      </w:r>
      <w:r w:rsidRPr="00105500">
        <w:t>validating, and collecting necessary data related to the occurrence of malfunctions, degradations, or failures in a way that can be used to establish the cause of any crash. Data should be collected for on-road testing and use, and entities are encouraged to adopt</w:t>
      </w:r>
      <w:r>
        <w:t xml:space="preserve"> </w:t>
      </w:r>
      <w:r w:rsidRPr="00105500">
        <w:t>voluntary guidance, best practices, design principles, and standards</w:t>
      </w:r>
      <w:r>
        <w:t xml:space="preserve"> </w:t>
      </w:r>
      <w:r w:rsidRPr="00105500">
        <w:t>issued by accredited standards developing organizations such as SAE International. Likewise, these organizations are encouraged to be actively engaged in the discussion and regularly update standards as necessary and appropriate.</w:t>
      </w:r>
    </w:p>
    <w:p w:rsidR="006F308E" w:rsidP="00436CA7" w14:paraId="07C80E72" w14:textId="77777777">
      <w:pPr>
        <w:ind w:left="720"/>
      </w:pPr>
      <w:r w:rsidRPr="00105500">
        <w:t>To promote a continual learning environment, entities engaging in testing or deployment should collect data associated with crashes involving: (1) fatal or nonfatal personal injury or (2) damage that requires towing, including damage that prevents a motor vehicle involved from being driven under its own power in its customary manner or damage that prevents a motor vehicle involved from being driven without resulting in further damage or causing a hazard to itself, other traffic elements, or the roadway.</w:t>
      </w:r>
    </w:p>
    <w:p w:rsidR="006F308E" w:rsidP="00436CA7" w14:paraId="202B0D3C" w14:textId="77777777">
      <w:pPr>
        <w:ind w:left="720"/>
      </w:pPr>
      <w:r w:rsidRPr="00105500">
        <w:t>For crash reconstruction purposes (including during testing), it is recommended that ADS data be stored, maintained, and readily available for retrieval as is current practice, including applicable privacy protections, for crash event data recorders. Vehicles should record, at a minimum, all available information relevant to the</w:t>
      </w:r>
      <w:r>
        <w:t xml:space="preserve"> </w:t>
      </w:r>
      <w:r w:rsidRPr="00105500">
        <w:t>crash, so that the circumstances of the crash can be reconstructed. These data should also contain the status of the ADS and whether the ADS or the human driver was in control of the vehicle leading up to, during, and immediately following a crash. Entities should have the technical and legal capability to share with government authorities the relevant recorded information as necessary for crash reconstruction purposes. Meanwhile, for consistency and to build public trust and acceptance, NHTSA will continue working with SAE International to begin the work necessary to establish uniform data elements for ADS crash reconstruction.</w:t>
      </w:r>
    </w:p>
    <w:p w:rsidR="006F308E" w:rsidRPr="00167B60" w:rsidP="00436CA7" w14:paraId="6CD7B539" w14:textId="77777777">
      <w:pPr>
        <w:pStyle w:val="ListParagraph"/>
        <w:keepNext/>
        <w:numPr>
          <w:ilvl w:val="0"/>
          <w:numId w:val="13"/>
        </w:numPr>
        <w:tabs>
          <w:tab w:val="left" w:pos="0"/>
        </w:tabs>
        <w:spacing w:before="120" w:after="0" w:line="240" w:lineRule="auto"/>
        <w:ind w:left="1080"/>
        <w:contextualSpacing w:val="0"/>
        <w:rPr>
          <w:b/>
        </w:rPr>
      </w:pPr>
      <w:r w:rsidRPr="00167B60">
        <w:rPr>
          <w:b/>
        </w:rPr>
        <w:t>Consumer Education and Training</w:t>
      </w:r>
    </w:p>
    <w:p w:rsidR="006F308E" w:rsidRPr="00167B60" w:rsidP="00436CA7" w14:paraId="2A502F37" w14:textId="77777777">
      <w:pPr>
        <w:pStyle w:val="BodyText"/>
        <w:spacing w:before="0" w:after="0"/>
        <w:ind w:left="720" w:right="345"/>
        <w:rPr>
          <w:rFonts w:ascii="Times New Roman" w:hAnsi="Times New Roman"/>
          <w:sz w:val="24"/>
          <w:szCs w:val="24"/>
        </w:rPr>
      </w:pPr>
      <w:r w:rsidRPr="00167B60">
        <w:rPr>
          <w:rFonts w:ascii="Times New Roman" w:hAnsi="Times New Roman"/>
          <w:sz w:val="24"/>
          <w:szCs w:val="24"/>
        </w:rPr>
        <w:t>Education and training is imperative for increased safety during the deployment of ADSs. Therefore, entities are encouraged to develop, document, and maintain employee, dealer, distributor, and consumer education and training programs to address the</w:t>
      </w:r>
      <w:r>
        <w:rPr>
          <w:rFonts w:ascii="Times New Roman" w:hAnsi="Times New Roman"/>
          <w:sz w:val="24"/>
          <w:szCs w:val="24"/>
        </w:rPr>
        <w:t xml:space="preserve"> </w:t>
      </w:r>
      <w:r w:rsidRPr="00167B60">
        <w:rPr>
          <w:rFonts w:ascii="Times New Roman" w:hAnsi="Times New Roman"/>
          <w:sz w:val="24"/>
          <w:szCs w:val="24"/>
        </w:rPr>
        <w:t>anticipated differences in the use and operation of ADSs from those of the conventional vehicles that the public owns and operates today. Such programs should consider providing target users</w:t>
      </w:r>
      <w:r>
        <w:rPr>
          <w:rFonts w:ascii="Times New Roman" w:hAnsi="Times New Roman"/>
          <w:sz w:val="24"/>
          <w:szCs w:val="24"/>
        </w:rPr>
        <w:t xml:space="preserve"> </w:t>
      </w:r>
      <w:r w:rsidRPr="00167B60">
        <w:rPr>
          <w:rFonts w:ascii="Times New Roman" w:hAnsi="Times New Roman"/>
          <w:sz w:val="24"/>
          <w:szCs w:val="24"/>
        </w:rPr>
        <w:t>the necessary level of understanding to utilize these technologies properly, efficiently, and in the safest manner possible.</w:t>
      </w:r>
    </w:p>
    <w:p w:rsidR="006F308E" w:rsidP="00436CA7" w14:paraId="61300CD9" w14:textId="77777777">
      <w:pPr>
        <w:pStyle w:val="BodyText"/>
        <w:spacing w:before="0" w:after="0"/>
        <w:ind w:left="720" w:right="22"/>
        <w:rPr>
          <w:rFonts w:ascii="Times New Roman" w:hAnsi="Times New Roman"/>
          <w:sz w:val="24"/>
          <w:szCs w:val="24"/>
        </w:rPr>
      </w:pPr>
    </w:p>
    <w:p w:rsidR="006F308E" w:rsidRPr="00167B60" w:rsidP="00436CA7" w14:paraId="0B69BFB2" w14:textId="77777777">
      <w:pPr>
        <w:pStyle w:val="BodyText"/>
        <w:spacing w:before="0" w:after="0"/>
        <w:ind w:left="720" w:right="22"/>
        <w:rPr>
          <w:rFonts w:ascii="Times New Roman" w:hAnsi="Times New Roman"/>
          <w:sz w:val="24"/>
          <w:szCs w:val="24"/>
        </w:rPr>
      </w:pPr>
      <w:r w:rsidRPr="00167B60">
        <w:rPr>
          <w:rFonts w:ascii="Times New Roman" w:hAnsi="Times New Roman"/>
          <w:sz w:val="24"/>
          <w:szCs w:val="24"/>
        </w:rPr>
        <w:t>Entities, particularly those engaging in testing or deployment, should also ensure that their own staff, including their marketing and sales forces, understand the technology and can educate and train their dealers, distributors, and consumers.</w:t>
      </w:r>
    </w:p>
    <w:p w:rsidR="006F308E" w:rsidP="00436CA7" w14:paraId="72EBC17D" w14:textId="77777777">
      <w:pPr>
        <w:pStyle w:val="BodyText"/>
        <w:spacing w:before="0"/>
        <w:ind w:left="720" w:right="151"/>
        <w:rPr>
          <w:rFonts w:ascii="Times New Roman" w:hAnsi="Times New Roman"/>
          <w:sz w:val="24"/>
          <w:szCs w:val="24"/>
        </w:rPr>
      </w:pPr>
    </w:p>
    <w:p w:rsidR="006F308E" w:rsidP="00436CA7" w14:paraId="596AD098" w14:textId="77777777">
      <w:pPr>
        <w:pStyle w:val="BodyText"/>
        <w:spacing w:before="0" w:after="0"/>
        <w:ind w:left="720" w:right="151"/>
        <w:rPr>
          <w:rFonts w:ascii="Times New Roman" w:hAnsi="Times New Roman"/>
          <w:sz w:val="24"/>
          <w:szCs w:val="24"/>
        </w:rPr>
      </w:pPr>
      <w:r w:rsidRPr="00167B60">
        <w:rPr>
          <w:rFonts w:ascii="Times New Roman" w:hAnsi="Times New Roman"/>
          <w:sz w:val="24"/>
          <w:szCs w:val="24"/>
        </w:rPr>
        <w:t>Consumer education programs are encouraged to cover topics such as ADSs’ functional intent, operational parameters, system capabilities and limitations, engagement/disengagement methods, HMI, emergency fallback scenarios, operational design domain parameters (i.e., limitations), and mechanisms that could alter</w:t>
      </w:r>
      <w:r>
        <w:rPr>
          <w:rFonts w:ascii="Times New Roman" w:hAnsi="Times New Roman"/>
          <w:sz w:val="24"/>
          <w:szCs w:val="24"/>
        </w:rPr>
        <w:t xml:space="preserve"> </w:t>
      </w:r>
      <w:r w:rsidRPr="00167B60">
        <w:rPr>
          <w:rFonts w:ascii="Times New Roman" w:hAnsi="Times New Roman"/>
          <w:sz w:val="24"/>
          <w:szCs w:val="24"/>
        </w:rPr>
        <w:t>ADS behavior while in service. They should also include explicit information on what the ADS is capable and not capable of in an effort to minimize potential risks from user system abuse or misunderstanding.</w:t>
      </w:r>
    </w:p>
    <w:p w:rsidR="006F308E" w:rsidRPr="002A086B" w:rsidP="00436CA7" w14:paraId="71D13E8B" w14:textId="77777777">
      <w:pPr>
        <w:pStyle w:val="BodyText"/>
        <w:spacing w:before="0" w:after="0"/>
        <w:ind w:left="720" w:right="151"/>
        <w:rPr>
          <w:rFonts w:ascii="Times New Roman" w:hAnsi="Times New Roman"/>
          <w:sz w:val="24"/>
          <w:szCs w:val="24"/>
        </w:rPr>
      </w:pPr>
    </w:p>
    <w:p w:rsidR="006F308E" w:rsidRPr="002A086B" w:rsidP="00436CA7" w14:paraId="035946D9" w14:textId="77777777">
      <w:pPr>
        <w:pStyle w:val="BodyText"/>
        <w:spacing w:before="0" w:after="0"/>
        <w:ind w:left="720" w:right="151"/>
        <w:rPr>
          <w:rFonts w:ascii="Times New Roman" w:hAnsi="Times New Roman"/>
          <w:sz w:val="24"/>
          <w:szCs w:val="24"/>
        </w:rPr>
      </w:pPr>
      <w:r w:rsidRPr="002A086B">
        <w:rPr>
          <w:rFonts w:ascii="Times New Roman" w:hAnsi="Times New Roman"/>
          <w:sz w:val="24"/>
          <w:szCs w:val="24"/>
        </w:rPr>
        <w:t>As part of their education and training programs, ADS dealers and distributors should consider including an on-road or on-track experience demonstrating ADS operations and HMI functions prior to consumer release. Other innovative approaches (e.g., virtual reality or onboard vehicle systems) may also be considered, tested, and employed. These programs should be continually evaluated for their effectiveness and updated on a routine basis, incorporating feedback from dealers, customers, and other sources.</w:t>
      </w:r>
    </w:p>
    <w:p w:rsidR="006F308E" w:rsidP="00436CA7" w14:paraId="12FF9920" w14:textId="77777777">
      <w:pPr>
        <w:pStyle w:val="BodyText"/>
        <w:spacing w:before="0" w:after="0" w:line="268" w:lineRule="auto"/>
        <w:ind w:left="720" w:right="151"/>
        <w:rPr>
          <w:rFonts w:ascii="Times New Roman" w:hAnsi="Times New Roman"/>
          <w:sz w:val="24"/>
        </w:rPr>
      </w:pPr>
    </w:p>
    <w:p w:rsidR="006F308E" w:rsidRPr="002A086B" w:rsidP="00436CA7" w14:paraId="72A20D21" w14:textId="77777777">
      <w:pPr>
        <w:pStyle w:val="ListParagraph"/>
        <w:numPr>
          <w:ilvl w:val="0"/>
          <w:numId w:val="13"/>
        </w:numPr>
        <w:tabs>
          <w:tab w:val="left" w:pos="0"/>
        </w:tabs>
        <w:spacing w:before="120" w:after="0" w:line="240" w:lineRule="auto"/>
        <w:ind w:left="1080"/>
        <w:contextualSpacing w:val="0"/>
        <w:rPr>
          <w:b/>
        </w:rPr>
      </w:pPr>
      <w:r w:rsidRPr="002A086B">
        <w:rPr>
          <w:b/>
        </w:rPr>
        <w:t>Federal, State, and Local Laws</w:t>
      </w:r>
    </w:p>
    <w:p w:rsidR="006F308E" w:rsidRPr="002A086B" w:rsidP="00436CA7" w14:paraId="4DDEA725" w14:textId="77777777">
      <w:pPr>
        <w:pStyle w:val="BodyText"/>
        <w:spacing w:before="0" w:after="0"/>
        <w:ind w:left="720" w:right="151"/>
        <w:rPr>
          <w:rFonts w:ascii="Times New Roman" w:hAnsi="Times New Roman"/>
          <w:sz w:val="24"/>
          <w:szCs w:val="24"/>
        </w:rPr>
      </w:pPr>
      <w:r w:rsidRPr="002A086B">
        <w:rPr>
          <w:rFonts w:ascii="Times New Roman" w:hAnsi="Times New Roman"/>
          <w:sz w:val="24"/>
          <w:szCs w:val="24"/>
        </w:rPr>
        <w:t>Entities are also encouraged to document how they intend to account for all applicable Federal, State, and local laws in the design of their vehicles and ADSs. Based on the operational design domain(s), the development of ADSs should account for all governing traffic laws when operating in automated mode for the</w:t>
      </w:r>
      <w:r>
        <w:rPr>
          <w:rFonts w:ascii="Times New Roman" w:hAnsi="Times New Roman"/>
          <w:sz w:val="24"/>
          <w:szCs w:val="24"/>
        </w:rPr>
        <w:t xml:space="preserve"> </w:t>
      </w:r>
      <w:r w:rsidRPr="002A086B">
        <w:rPr>
          <w:rFonts w:ascii="Times New Roman" w:hAnsi="Times New Roman"/>
          <w:sz w:val="24"/>
          <w:szCs w:val="24"/>
        </w:rPr>
        <w:t>region of operation. For testing purposes, an entity may rely on an ADS test driver or other mechanism to manage compliance with the applicable laws.</w:t>
      </w:r>
    </w:p>
    <w:p w:rsidR="006F308E" w:rsidRPr="002A086B" w:rsidP="00436CA7" w14:paraId="71BF0F87" w14:textId="77777777">
      <w:pPr>
        <w:pStyle w:val="BodyText"/>
        <w:spacing w:before="0" w:after="0"/>
        <w:ind w:left="720" w:right="151"/>
        <w:rPr>
          <w:rFonts w:ascii="Times New Roman" w:hAnsi="Times New Roman"/>
          <w:sz w:val="24"/>
          <w:szCs w:val="24"/>
        </w:rPr>
      </w:pPr>
      <w:r w:rsidRPr="002A086B">
        <w:rPr>
          <w:rFonts w:ascii="Times New Roman" w:hAnsi="Times New Roman"/>
          <w:sz w:val="24"/>
          <w:szCs w:val="24"/>
        </w:rPr>
        <w:t>In certain safety-critical situations (such as having to cross double lines on the roadway to travel safely past a broken-down vehicle on the road) human drivers may temporarily violate certain State motor vehicle driving laws. It is expected that ADSs have the capability of handling such foreseeable events safely; entities are encouraged to have a documented process for independent assessment, testing, and validation of such plausible scenarios.</w:t>
      </w:r>
      <w:r>
        <w:rPr>
          <w:rFonts w:ascii="Times New Roman" w:hAnsi="Times New Roman"/>
          <w:sz w:val="24"/>
          <w:szCs w:val="24"/>
        </w:rPr>
        <w:t xml:space="preserve"> </w:t>
      </w:r>
      <w:r w:rsidRPr="002A086B">
        <w:rPr>
          <w:rFonts w:ascii="Times New Roman" w:hAnsi="Times New Roman"/>
          <w:sz w:val="24"/>
          <w:szCs w:val="24"/>
        </w:rPr>
        <w:t>Given that laws and regulations will inevitably change over time, entities should consider developing processes to update and adapt ADSs to address new or revised legal requirements.</w:t>
      </w:r>
    </w:p>
    <w:p w:rsidR="007A7BB5" w:rsidP="007A7BB5" w14:paraId="5D1D2F00" w14:textId="77777777">
      <w:pPr>
        <w:autoSpaceDE w:val="0"/>
        <w:autoSpaceDN w:val="0"/>
        <w:adjustRightInd w:val="0"/>
        <w:spacing w:after="0" w:line="240" w:lineRule="auto"/>
        <w:ind w:left="720"/>
        <w:rPr>
          <w:rFonts w:cs="Times New Roman"/>
          <w:szCs w:val="24"/>
        </w:rPr>
      </w:pPr>
    </w:p>
    <w:p w:rsidR="007A7BB5" w:rsidP="00436CA7" w14:paraId="43A107AA" w14:textId="5368B794">
      <w:pPr>
        <w:pStyle w:val="ListParagraph"/>
        <w:numPr>
          <w:ilvl w:val="0"/>
          <w:numId w:val="1"/>
        </w:numPr>
        <w:rPr>
          <w:b/>
        </w:rPr>
      </w:pPr>
      <w:bookmarkStart w:id="5" w:name="_Hlk51330129"/>
      <w:r w:rsidRPr="00436CA7">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3A4B31" w:rsidP="003A4B31" w14:paraId="24FE8B28" w14:textId="45089687">
      <w:pPr>
        <w:tabs>
          <w:tab w:val="left" w:pos="0"/>
        </w:tabs>
        <w:ind w:left="720"/>
      </w:pPr>
      <w:r>
        <w:t>Dissemination of information by entities via a Voluntary Safety Self-Assessment is voluntary efforts. There are no stipulations regarding format or publication. NHTSA presumes that the discussion regarding safety elements and publication of the Voluntary Safety Self-Assessment will be electronic.</w:t>
      </w:r>
      <w:r w:rsidR="009910B4">
        <w:t xml:space="preserve"> Throughout the previous years of VSSAs, all are presented electronically.</w:t>
      </w:r>
      <w:r>
        <w:t xml:space="preserve"> If an entity chooses to send NHTSA a courtesy copy of the Voluntary Safety Self-Assessment, this would likely be electronic correspondence as well. NHTSA’s VSSA Index is also electronic. </w:t>
      </w:r>
    </w:p>
    <w:p w:rsidR="003A4B31" w:rsidRPr="00436CA7" w:rsidP="003A4B31" w14:paraId="7DA114A8" w14:textId="77777777">
      <w:pPr>
        <w:pStyle w:val="ListParagraph"/>
        <w:rPr>
          <w:b/>
        </w:rPr>
      </w:pPr>
    </w:p>
    <w:p w:rsidR="008A6B31" w:rsidRPr="005271A9" w:rsidP="00436CA7" w14:paraId="13AFD77B" w14:textId="77777777">
      <w:pPr>
        <w:pStyle w:val="ListParagraph"/>
        <w:numPr>
          <w:ilvl w:val="0"/>
          <w:numId w:val="1"/>
        </w:numPr>
        <w:autoSpaceDE w:val="0"/>
        <w:autoSpaceDN w:val="0"/>
        <w:adjustRightInd w:val="0"/>
        <w:spacing w:after="0" w:line="240" w:lineRule="auto"/>
        <w:rPr>
          <w:rFonts w:cs="Times New Roman"/>
          <w:b/>
          <w:szCs w:val="24"/>
        </w:rPr>
      </w:pPr>
      <w:bookmarkStart w:id="6" w:name="_Hlk51330199"/>
      <w:bookmarkEnd w:id="5"/>
      <w:r w:rsidRPr="005271A9">
        <w:rPr>
          <w:rFonts w:cs="Times New Roman"/>
          <w:b/>
          <w:szCs w:val="24"/>
        </w:rPr>
        <w:t xml:space="preserve">Describe efforts to identify duplication. </w:t>
      </w:r>
      <w:bookmarkStart w:id="7" w:name="_Hlk45117781"/>
      <w:r w:rsidRPr="005271A9">
        <w:rPr>
          <w:rFonts w:cs="Times New Roman"/>
          <w:b/>
          <w:szCs w:val="24"/>
        </w:rPr>
        <w:t>Show specifically why any similar information already available cannot be used or modified for use for the purposes described in Item 2 above.</w:t>
      </w:r>
      <w:bookmarkEnd w:id="7"/>
    </w:p>
    <w:bookmarkEnd w:id="6"/>
    <w:p w:rsidR="008A6B31" w:rsidP="008A6B31" w14:paraId="5BEA518A" w14:textId="77777777">
      <w:pPr>
        <w:autoSpaceDE w:val="0"/>
        <w:autoSpaceDN w:val="0"/>
        <w:adjustRightInd w:val="0"/>
        <w:spacing w:after="0" w:line="240" w:lineRule="auto"/>
        <w:rPr>
          <w:rFonts w:cs="Times New Roman"/>
          <w:szCs w:val="24"/>
        </w:rPr>
      </w:pPr>
    </w:p>
    <w:p w:rsidR="00E27763" w:rsidP="00E27763" w14:paraId="4559B5A7" w14:textId="5B52A63D">
      <w:pPr>
        <w:tabs>
          <w:tab w:val="left" w:pos="720"/>
        </w:tabs>
        <w:autoSpaceDE w:val="0"/>
        <w:autoSpaceDN w:val="0"/>
        <w:adjustRightInd w:val="0"/>
        <w:ind w:left="720" w:right="18"/>
      </w:pPr>
      <w:r>
        <w:t xml:space="preserve">NHTSA is not aware of any existing means of information dissemination regarding vital safety information on ADSs, aside from that which an entity </w:t>
      </w:r>
      <w:r w:rsidR="00AF7B02">
        <w:t>chooses to perform</w:t>
      </w:r>
      <w:r>
        <w:t xml:space="preserve"> on its own. </w:t>
      </w:r>
    </w:p>
    <w:p w:rsidR="001507B6" w:rsidP="00E27763" w14:paraId="1EEC3864" w14:textId="2430225C">
      <w:pPr>
        <w:tabs>
          <w:tab w:val="left" w:pos="720"/>
        </w:tabs>
        <w:autoSpaceDE w:val="0"/>
        <w:autoSpaceDN w:val="0"/>
        <w:adjustRightInd w:val="0"/>
        <w:ind w:left="720" w:right="18"/>
      </w:pPr>
      <w:r>
        <w:t xml:space="preserve">Information collected through NHTSA Standing General Order </w:t>
      </w:r>
      <w:r w:rsidR="00BA5B2F">
        <w:t>2021-01</w:t>
      </w:r>
      <w:r w:rsidR="00CD4D90">
        <w:t xml:space="preserve"> </w:t>
      </w:r>
      <w:r w:rsidR="00A677A4">
        <w:t>(</w:t>
      </w:r>
      <w:hyperlink r:id="rId9" w:history="1">
        <w:r w:rsidR="00CD4D90">
          <w:rPr>
            <w:rStyle w:val="Hyperlink"/>
          </w:rPr>
          <w:t>SGO 2021-01</w:t>
        </w:r>
      </w:hyperlink>
      <w:r w:rsidR="00A677A4">
        <w:t>)</w:t>
      </w:r>
      <w:r w:rsidR="00BA5B2F">
        <w:t xml:space="preserve">, </w:t>
      </w:r>
      <w:r w:rsidR="00BA5B2F">
        <w:rPr>
          <w:i/>
          <w:iCs/>
        </w:rPr>
        <w:t xml:space="preserve">Incident Reporting for Automated Driving Systems and Level 2 Advanced Driver </w:t>
      </w:r>
      <w:r w:rsidRPr="00EA692C" w:rsidR="00BA5B2F">
        <w:rPr>
          <w:i/>
          <w:iCs/>
        </w:rPr>
        <w:t>Assistance</w:t>
      </w:r>
      <w:r w:rsidR="00EA692C">
        <w:rPr>
          <w:i/>
          <w:iCs/>
        </w:rPr>
        <w:t xml:space="preserve"> Systems </w:t>
      </w:r>
      <w:r w:rsidR="00EA692C">
        <w:t xml:space="preserve">collects incident data rather than discussion regarding how an entity incorporates safety into development and testing and therefore is not a duplicate collection. </w:t>
      </w:r>
      <w:r>
        <w:t xml:space="preserve"> </w:t>
      </w:r>
    </w:p>
    <w:p w:rsidR="00A677A4" w:rsidRPr="00975846" w:rsidP="00E27763" w14:paraId="377C14CA" w14:textId="1B9C108F">
      <w:pPr>
        <w:tabs>
          <w:tab w:val="left" w:pos="720"/>
        </w:tabs>
        <w:autoSpaceDE w:val="0"/>
        <w:autoSpaceDN w:val="0"/>
        <w:adjustRightInd w:val="0"/>
        <w:ind w:left="720" w:right="18"/>
      </w:pPr>
      <w:r>
        <w:t xml:space="preserve">Local and State jurisdictions may be collecting or requesting information on an </w:t>
      </w:r>
      <w:r w:rsidR="00785632">
        <w:t xml:space="preserve">independent and unique basis; however, these would not be equivalent to the </w:t>
      </w:r>
      <w:r w:rsidR="00975846">
        <w:t>elements provided in</w:t>
      </w:r>
      <w:r w:rsidR="00785632">
        <w:t xml:space="preserve"> </w:t>
      </w:r>
      <w:r w:rsidR="00975846">
        <w:rPr>
          <w:i/>
          <w:iCs/>
        </w:rPr>
        <w:t>ADS 2.0</w:t>
      </w:r>
      <w:r w:rsidR="00975846">
        <w:t xml:space="preserve"> and the VSSA offered therein. </w:t>
      </w:r>
    </w:p>
    <w:p w:rsidR="008A6B31" w:rsidP="008A6B31" w14:paraId="094D5954" w14:textId="77777777">
      <w:pPr>
        <w:autoSpaceDE w:val="0"/>
        <w:autoSpaceDN w:val="0"/>
        <w:adjustRightInd w:val="0"/>
        <w:spacing w:after="0" w:line="240" w:lineRule="auto"/>
        <w:ind w:left="720"/>
        <w:rPr>
          <w:rFonts w:cs="Times New Roman"/>
          <w:szCs w:val="24"/>
        </w:rPr>
      </w:pPr>
    </w:p>
    <w:p w:rsidR="008A6B31" w:rsidRPr="005271A9" w:rsidP="00436CA7" w14:paraId="7768AC8D" w14:textId="77777777">
      <w:pPr>
        <w:pStyle w:val="ListParagraph"/>
        <w:numPr>
          <w:ilvl w:val="0"/>
          <w:numId w:val="1"/>
        </w:numPr>
        <w:rPr>
          <w:rFonts w:cs="Times New Roman"/>
          <w:b/>
          <w:szCs w:val="24"/>
        </w:rPr>
      </w:pPr>
      <w:bookmarkStart w:id="8" w:name="_Hlk51330529"/>
      <w:bookmarkStart w:id="9" w:name="_Hlk78838823"/>
      <w:r w:rsidRPr="005271A9">
        <w:rPr>
          <w:rFonts w:cs="Times New Roman"/>
          <w:b/>
          <w:szCs w:val="24"/>
        </w:rPr>
        <w:t>If the collection of information impacts small businesses or other small entities, describe any methods used to minimize burden</w:t>
      </w:r>
      <w:bookmarkEnd w:id="8"/>
      <w:r w:rsidRPr="005271A9">
        <w:rPr>
          <w:rFonts w:cs="Times New Roman"/>
          <w:b/>
          <w:szCs w:val="24"/>
        </w:rPr>
        <w:t>.</w:t>
      </w:r>
    </w:p>
    <w:p w:rsidR="004D64A7" w:rsidRPr="004D64A7" w:rsidP="004D64A7" w14:paraId="1FE0637F" w14:textId="19F79A4A">
      <w:pPr>
        <w:ind w:left="720"/>
        <w:rPr>
          <w:b/>
        </w:rPr>
      </w:pPr>
      <w:bookmarkStart w:id="10" w:name="_Hlk51330653"/>
      <w:bookmarkEnd w:id="9"/>
      <w:r>
        <w:t>The flexibility in publication of the collected information allows small businesses the ability to create a Voluntary Safety Self-Assessment that is appropriate for resources of such businesses</w:t>
      </w:r>
      <w:r w:rsidR="003A2408">
        <w:t xml:space="preserve"> if that entity chooses to create one</w:t>
      </w:r>
      <w:r w:rsidR="00DD4275">
        <w:t xml:space="preserve"> at all</w:t>
      </w:r>
      <w:r>
        <w:t>. Additionally, the Agency only anticipates existing</w:t>
      </w:r>
      <w:r w:rsidRPr="001862D4">
        <w:t xml:space="preserve"> information </w:t>
      </w:r>
      <w:r>
        <w:t>to be included in the VSSA, which will help to minimize the effort expended by small business entities that choose to discuss how they have considered the safety elements in the Voluntary Guidance.</w:t>
      </w:r>
    </w:p>
    <w:p w:rsidR="008A6B31" w:rsidRPr="004D64A7" w:rsidP="004D64A7" w14:paraId="61A5C696" w14:textId="27E52D63">
      <w:pPr>
        <w:pStyle w:val="ListParagraph"/>
        <w:numPr>
          <w:ilvl w:val="0"/>
          <w:numId w:val="1"/>
        </w:numPr>
        <w:rPr>
          <w:b/>
        </w:rPr>
      </w:pPr>
      <w:r w:rsidRPr="004D64A7">
        <w:rPr>
          <w:b/>
        </w:rPr>
        <w:t>Describe the consequence to Federal program or policy activities if the collection is not conducted or is conducted less frequently, as well as any technical or legal obstacles to reducing burden.</w:t>
      </w:r>
    </w:p>
    <w:bookmarkEnd w:id="10"/>
    <w:p w:rsidR="00DA43F2" w:rsidP="00DA43F2" w14:paraId="5C3830F4" w14:textId="77777777">
      <w:pPr>
        <w:pStyle w:val="ListParagraph"/>
        <w:rPr>
          <w:i/>
        </w:rPr>
      </w:pPr>
    </w:p>
    <w:p w:rsidR="00DA43F2" w:rsidP="00DA43F2" w14:paraId="4C028E0E" w14:textId="462CA7D3">
      <w:pPr>
        <w:pStyle w:val="ListParagraph"/>
      </w:pPr>
      <w:r w:rsidRPr="00DA43F2">
        <w:rPr>
          <w:i/>
        </w:rPr>
        <w:t xml:space="preserve">Automated Driving Systems 2.0: A Vision for Safety </w:t>
      </w:r>
      <w:r>
        <w:t xml:space="preserve">is voluntary guidance. There is no requirement for collection of information, nor penalty for lack of collection. Information </w:t>
      </w:r>
      <w:r w:rsidR="003A1C6C">
        <w:t>dissemination through</w:t>
      </w:r>
      <w:r>
        <w:t xml:space="preserve"> the Voluntary Safety Self-Assessment should reflect developments for each entity and ADS, and frequency of collection should be associated with those developments. </w:t>
      </w:r>
    </w:p>
    <w:p w:rsidR="00DA43F2" w:rsidP="003A1C6C" w14:paraId="19109F7C" w14:textId="77777777">
      <w:pPr>
        <w:pStyle w:val="ListParagraph"/>
      </w:pPr>
    </w:p>
    <w:p w:rsidR="00DA43F2" w:rsidP="003A1C6C" w14:paraId="2DC30DD9" w14:textId="4A54CF4B">
      <w:pPr>
        <w:pStyle w:val="ListParagraph"/>
      </w:pPr>
      <w:r>
        <w:t>Since the inception of the VSSAs, NHTSA is not aware of any entity that ha</w:t>
      </w:r>
      <w:r w:rsidR="00F129FF">
        <w:t>s chosen to update their VSSA</w:t>
      </w:r>
      <w:r w:rsidR="00E82F04">
        <w:t>. Two entities have chosen to add an appendix</w:t>
      </w:r>
      <w:r w:rsidR="00627255">
        <w:t xml:space="preserve"> to share additional information. Some entities have chosen to share safety information as part of their main </w:t>
      </w:r>
      <w:r w:rsidR="00627255">
        <w:t xml:space="preserve">website </w:t>
      </w:r>
      <w:r w:rsidR="008827D6">
        <w:t xml:space="preserve">rather than a separate, </w:t>
      </w:r>
      <w:r w:rsidR="00B07C5F">
        <w:t>more-</w:t>
      </w:r>
      <w:r w:rsidR="008827D6">
        <w:t xml:space="preserve">structured VSSA </w:t>
      </w:r>
      <w:r w:rsidR="00627255">
        <w:t xml:space="preserve">and may update </w:t>
      </w:r>
      <w:r w:rsidR="008827D6">
        <w:t xml:space="preserve">periodically as they deem appropriate. </w:t>
      </w:r>
    </w:p>
    <w:p w:rsidR="00DA43F2" w:rsidP="003A1C6C" w14:paraId="2EF70158" w14:textId="77777777">
      <w:pPr>
        <w:pStyle w:val="ListParagraph"/>
      </w:pPr>
    </w:p>
    <w:p w:rsidR="00DA43F2" w:rsidP="00B07C5F" w14:paraId="54FB59B2" w14:textId="32A15553">
      <w:pPr>
        <w:pStyle w:val="ListParagraph"/>
      </w:pPr>
      <w:r>
        <w:t xml:space="preserve">If this information collection is not conducted, NHTSA would be missing an opportunity to encourage ADS developers to disclose information to inform States and the public about how they are considering safety in the development and testing of ADS. </w:t>
      </w:r>
      <w:r w:rsidRPr="0037371B">
        <w:t>The purpose of NHTSA encouraging publication of the VSSA is to help support public trust and confidence in the safety of ADS-equipped vehicles. NHTSA believes that if developed and deployed safely, ADS can aid in achieving NHTSA’s mission to save lives, prevent injuries, and reduce economic costs due to road traffic crashes. The VSSAs provide a mechanism through which entities can demonstrate the safety of ADS and facilitate confidence and acceptance of the technology</w:t>
      </w:r>
      <w:r w:rsidR="00B07C5F">
        <w:t>.</w:t>
      </w:r>
    </w:p>
    <w:p w:rsidR="008A6B31" w:rsidP="006D5A51" w14:paraId="2FC05B22" w14:textId="52CFB40E">
      <w:pPr>
        <w:pStyle w:val="ListParagraph"/>
        <w:ind w:left="1440"/>
      </w:pPr>
    </w:p>
    <w:p w:rsidR="008A6B31" w:rsidRPr="005271A9" w:rsidP="004D64A7" w14:paraId="0174FDBF" w14:textId="77777777">
      <w:pPr>
        <w:pStyle w:val="ListParagraph"/>
        <w:numPr>
          <w:ilvl w:val="0"/>
          <w:numId w:val="1"/>
        </w:numPr>
        <w:autoSpaceDE w:val="0"/>
        <w:autoSpaceDN w:val="0"/>
        <w:adjustRightInd w:val="0"/>
        <w:spacing w:after="0" w:line="240" w:lineRule="auto"/>
        <w:rPr>
          <w:rFonts w:cs="Times New Roman"/>
          <w:b/>
          <w:szCs w:val="24"/>
        </w:rPr>
      </w:pPr>
      <w:bookmarkStart w:id="11" w:name="_Hlk51330697"/>
      <w:r w:rsidRPr="005271A9">
        <w:rPr>
          <w:rFonts w:cs="Times New Roman"/>
          <w:b/>
          <w:szCs w:val="24"/>
        </w:rPr>
        <w:t>Explain any special circumstances that would cause an information collection to be conducted in a manner:</w:t>
      </w:r>
    </w:p>
    <w:p w:rsidR="008A6B31" w:rsidRPr="005271A9" w:rsidP="004D64A7" w14:paraId="00374C6D"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requiring respondents to report information to the agency more often than quarterly;</w:t>
      </w:r>
    </w:p>
    <w:p w:rsidR="008A6B31" w:rsidRPr="005271A9" w:rsidP="004D64A7" w14:paraId="647BA260"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requiring respondents to prepare a written response to a collection of information in fewer than 30 days after receipt of it;</w:t>
      </w:r>
    </w:p>
    <w:p w:rsidR="008A6B31" w:rsidRPr="005271A9" w:rsidP="004D64A7" w14:paraId="76112BBA"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requiring respondents to submit more than an original and two copies of any document;</w:t>
      </w:r>
    </w:p>
    <w:p w:rsidR="008A6B31" w:rsidRPr="005271A9" w:rsidP="004D64A7" w14:paraId="0BC773C3"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requiring respondents to retain records, other than health, medical, government contract, grant-in-aid, or tax records, for more than three years;</w:t>
      </w:r>
    </w:p>
    <w:p w:rsidR="008A6B31" w:rsidRPr="005271A9" w:rsidP="004D64A7" w14:paraId="7DB0B69C"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in connection with a statistical survey, that is not designed to produce valid and reliable results that can be generalized to the universe of study;</w:t>
      </w:r>
    </w:p>
    <w:p w:rsidR="008A6B31" w:rsidRPr="005271A9" w:rsidP="004D64A7" w14:paraId="7F5A7667"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requiring the use of a statistical data classification that has not been reviewed and approved by OMB;</w:t>
      </w:r>
    </w:p>
    <w:p w:rsidR="008A6B31" w:rsidRPr="005271A9" w:rsidP="004D64A7" w14:paraId="4C7D57CF"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8A6B31" w:rsidRPr="005271A9" w:rsidP="004D64A7" w14:paraId="7F9E8CEB" w14:textId="77777777">
      <w:pPr>
        <w:pStyle w:val="ListParagraph"/>
        <w:numPr>
          <w:ilvl w:val="1"/>
          <w:numId w:val="1"/>
        </w:numPr>
        <w:autoSpaceDE w:val="0"/>
        <w:autoSpaceDN w:val="0"/>
        <w:adjustRightInd w:val="0"/>
        <w:spacing w:after="0" w:line="240" w:lineRule="auto"/>
        <w:rPr>
          <w:rFonts w:cs="Times New Roman"/>
          <w:b/>
          <w:szCs w:val="24"/>
        </w:rPr>
      </w:pPr>
      <w:bookmarkStart w:id="12" w:name="_Hlk45117573"/>
      <w:r w:rsidRPr="005271A9">
        <w:rPr>
          <w:rFonts w:cs="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bookmarkEnd w:id="11"/>
    <w:bookmarkEnd w:id="12"/>
    <w:p w:rsidR="008A6B31" w:rsidP="008A6B31" w14:paraId="009102B8" w14:textId="77777777">
      <w:pPr>
        <w:autoSpaceDE w:val="0"/>
        <w:autoSpaceDN w:val="0"/>
        <w:adjustRightInd w:val="0"/>
        <w:spacing w:after="0" w:line="240" w:lineRule="auto"/>
        <w:rPr>
          <w:rFonts w:cs="Times New Roman"/>
          <w:szCs w:val="24"/>
        </w:rPr>
      </w:pPr>
    </w:p>
    <w:p w:rsidR="003B14E4" w:rsidP="003B14E4" w14:paraId="187D0B3A" w14:textId="77777777">
      <w:pPr>
        <w:tabs>
          <w:tab w:val="left" w:pos="0"/>
        </w:tabs>
        <w:ind w:left="720"/>
      </w:pPr>
      <w:r w:rsidRPr="00061A15">
        <w:t>There are no special circumstances related to this information collection</w:t>
      </w:r>
      <w:r>
        <w:t xml:space="preserve"> and the procedures specified for this information collection are consistent with the guidelines set forth in 5 CFR 1320.5(d)(2)</w:t>
      </w:r>
      <w:r w:rsidRPr="00061A15">
        <w:t>.</w:t>
      </w:r>
      <w:r>
        <w:t xml:space="preserve">  </w:t>
      </w:r>
    </w:p>
    <w:p w:rsidR="00150F00" w:rsidP="004D64A7" w14:paraId="2E789175" w14:textId="29C71AF6">
      <w:pPr>
        <w:numPr>
          <w:ilvl w:val="0"/>
          <w:numId w:val="1"/>
        </w:numPr>
        <w:spacing w:before="240"/>
        <w:rPr>
          <w:b/>
        </w:rPr>
      </w:pPr>
      <w:bookmarkStart w:id="13" w:name="_Hlk51330779"/>
      <w:r w:rsidRPr="005271A9">
        <w:rPr>
          <w:b/>
        </w:rPr>
        <w:t xml:space="preserve">If applicable, provide a copy and identify the date and page number of publication in the Federal Register of the agency’s notice, required by 5 CFR 1320.8(d), soliciting comments on the information collection prior to submission to OMB. </w:t>
      </w:r>
      <w:r w:rsidRPr="005271A9">
        <w:rPr>
          <w:b/>
        </w:rPr>
        <w:t>Summarize public comments received in response to that notice and describe actions taken by the agency in response to the comments. Specifically address comments received on cost and hour burden. Describe efforts to consult with persons outside the agency to obtain their views</w:t>
      </w:r>
      <w:r w:rsidRPr="007D0FB8" w:rsidR="007D0FB8">
        <w:t xml:space="preserve"> </w:t>
      </w:r>
      <w:r w:rsidRPr="007D0FB8" w:rsidR="007D0FB8">
        <w:rPr>
          <w:b/>
        </w:rPr>
        <w:t>on the availability of data, frequency of collection, the clarity of instructions and recordkeeping, disclosure, or reporting format, and on the data elements to be recorded, disclosed, or reported</w:t>
      </w:r>
      <w:r w:rsidRPr="005271A9" w:rsidR="00484767">
        <w:rPr>
          <w:b/>
        </w:rPr>
        <w:t>.</w:t>
      </w:r>
      <w:r w:rsidRPr="005271A9">
        <w:rPr>
          <w:b/>
        </w:rPr>
        <w:t xml:space="preserve"> </w:t>
      </w:r>
    </w:p>
    <w:p w:rsidR="006A7EFE" w:rsidP="00F13D2D" w14:paraId="39B1773C" w14:textId="77777777">
      <w:pPr>
        <w:autoSpaceDE w:val="0"/>
        <w:autoSpaceDN w:val="0"/>
        <w:adjustRightInd w:val="0"/>
        <w:spacing w:after="0"/>
        <w:ind w:left="720"/>
        <w:rPr>
          <w:rFonts w:eastAsia="Times New Roman" w:cs="Times New Roman"/>
          <w:szCs w:val="24"/>
        </w:rPr>
      </w:pPr>
      <w:bookmarkStart w:id="14" w:name="_Hlk51330973"/>
      <w:bookmarkEnd w:id="13"/>
      <w:r w:rsidRPr="006A7EFE">
        <w:rPr>
          <w:rFonts w:eastAsia="Times New Roman" w:cs="Times New Roman"/>
          <w:bCs/>
          <w:color w:val="000000"/>
          <w:szCs w:val="24"/>
        </w:rPr>
        <w:t xml:space="preserve">A Federal Register notice with a 60-day comment period soliciting public comments on the following information collection was published on October 23, 2024 (89 FR </w:t>
      </w:r>
      <w:r w:rsidRPr="006A7EFE">
        <w:rPr>
          <w:rFonts w:eastAsia="Times New Roman" w:cs="Times New Roman"/>
          <w:bCs/>
          <w:iCs/>
          <w:color w:val="000000"/>
          <w:szCs w:val="24"/>
        </w:rPr>
        <w:t>84669</w:t>
      </w:r>
      <w:r w:rsidRPr="006A7EFE">
        <w:rPr>
          <w:rFonts w:eastAsia="Times New Roman" w:cs="Times New Roman"/>
          <w:bCs/>
          <w:color w:val="000000"/>
          <w:szCs w:val="24"/>
        </w:rPr>
        <w:t>). Three c</w:t>
      </w:r>
      <w:r w:rsidRPr="006A7EFE">
        <w:rPr>
          <w:rFonts w:eastAsia="Times New Roman" w:cs="Times New Roman"/>
          <w:szCs w:val="24"/>
        </w:rPr>
        <w:t>omments were received during the open comment period from Alexander Winter, the Insurance Institute for Highway Safety (IIHS), and the National Transportation Safety Board (NTSB).</w:t>
      </w:r>
    </w:p>
    <w:p w:rsidR="00F13D2D" w:rsidRPr="006A7EFE" w:rsidP="00F13D2D" w14:paraId="2A2D54D2" w14:textId="77777777">
      <w:pPr>
        <w:autoSpaceDE w:val="0"/>
        <w:autoSpaceDN w:val="0"/>
        <w:adjustRightInd w:val="0"/>
        <w:spacing w:after="0"/>
        <w:ind w:left="720"/>
        <w:rPr>
          <w:rFonts w:eastAsia="Times New Roman" w:cs="Times New Roman"/>
          <w:szCs w:val="24"/>
        </w:rPr>
      </w:pPr>
    </w:p>
    <w:p w:rsidR="006A7EFE" w:rsidRPr="006A7EFE" w:rsidP="00F13D2D" w14:paraId="6837FAF5" w14:textId="4DEBAD03">
      <w:pPr>
        <w:spacing w:after="0"/>
        <w:ind w:left="720"/>
        <w:rPr>
          <w:rFonts w:eastAsia="Times New Roman" w:cs="Times New Roman"/>
          <w:szCs w:val="24"/>
        </w:rPr>
      </w:pPr>
      <w:r w:rsidRPr="006A7EFE">
        <w:rPr>
          <w:rFonts w:eastAsia="Times New Roman" w:cs="Times New Roman"/>
          <w:szCs w:val="24"/>
        </w:rPr>
        <w:t xml:space="preserve">The comment from Alexander Winter discussed vehicle lighting and was not relevant to the information collection and therefore will not be addressed in this discussion. </w:t>
      </w:r>
    </w:p>
    <w:p w:rsidR="00F13D2D" w:rsidP="00F13D2D" w14:paraId="3FF6579F" w14:textId="18FDE3E5">
      <w:pPr>
        <w:spacing w:after="120"/>
        <w:ind w:left="720"/>
        <w:rPr>
          <w:rFonts w:eastAsia="Times New Roman" w:cs="Times New Roman"/>
          <w:szCs w:val="24"/>
        </w:rPr>
      </w:pPr>
      <w:r w:rsidRPr="006A7EFE">
        <w:rPr>
          <w:rFonts w:eastAsia="Times New Roman" w:cs="Times New Roman"/>
          <w:szCs w:val="24"/>
        </w:rPr>
        <w:tab/>
      </w:r>
    </w:p>
    <w:p w:rsidR="006A7EFE" w:rsidRPr="006A7EFE" w:rsidP="00F13D2D" w14:paraId="46A371C1" w14:textId="281BCE30">
      <w:pPr>
        <w:spacing w:after="0"/>
        <w:ind w:left="720"/>
        <w:rPr>
          <w:rFonts w:eastAsia="Times New Roman" w:cs="Times New Roman"/>
          <w:szCs w:val="24"/>
        </w:rPr>
      </w:pPr>
      <w:r w:rsidRPr="006A7EFE">
        <w:rPr>
          <w:rFonts w:eastAsia="Times New Roman" w:cs="Times New Roman"/>
          <w:szCs w:val="24"/>
        </w:rPr>
        <w:t>Eric Teoh, Director of Statistical Services, and David Kid, Ph.D., Senior Research Scientist, from IIHS stated they are “pleased that the National Highway Traffic Safety Administration will continue asking companies developing, testing, and deploying vehicles with automated driving systems to submit voluntary safety self-assessments” and further submitted a detailed comment. However, IIHS believes that the current VSSA structure “does not ask entities to describe a plan for collecting and sharing information to support independent evaluations of the real-world safety of ADS that could validate or contradict safety claims.” The authors further detail efforts in California to report crashes, the NHTSA-issued Standing General Order (SGO) that contains reporting requirements for ADS-equipped vehicles, and offers recommendations to both NHTSA and ADS entities that they believe will improve the data quality in the SGO database. The recommendation from IIHS for the VSSA is that NHTSA should stipulate that entities “describe how and where they will make crash and exposure data publicly available, independent of the reporting required by California, the NHTSA SGO, and future collection efforts.”</w:t>
      </w:r>
    </w:p>
    <w:p w:rsidR="00F13D2D" w:rsidP="00F13D2D" w14:paraId="0E274FD4" w14:textId="77777777">
      <w:pPr>
        <w:spacing w:after="120"/>
        <w:ind w:left="720"/>
        <w:rPr>
          <w:rFonts w:eastAsia="Times New Roman" w:cs="Times New Roman"/>
          <w:szCs w:val="24"/>
        </w:rPr>
      </w:pPr>
    </w:p>
    <w:p w:rsidR="006A7EFE" w:rsidRPr="006A7EFE" w:rsidP="00F13D2D" w14:paraId="074FD069" w14:textId="4FE137D2">
      <w:pPr>
        <w:spacing w:after="0"/>
        <w:ind w:left="720"/>
        <w:rPr>
          <w:rFonts w:eastAsia="Times New Roman" w:cs="Times New Roman"/>
          <w:szCs w:val="24"/>
        </w:rPr>
      </w:pPr>
      <w:r w:rsidRPr="006A7EFE">
        <w:rPr>
          <w:rFonts w:eastAsia="Times New Roman" w:cs="Times New Roman"/>
          <w:szCs w:val="24"/>
        </w:rPr>
        <w:t xml:space="preserve">NHTSA appreciates the thoroughness in which IIHS has accessed and analyzed currently available data for ADS-equipped vehicles and that the organization has considered data gaps that could potentially improve the data quality and ability to analyze safety information associated with ADS-equipped vehicles. As NHTSA further develops programs and policies regarding ADS, this information is a valuable resource for understanding public need. The current VSSA is based upon the ADS 2.0 policy document published in 2017 and thus this renewal request for the information collection is also associated with that policy document. Any changes NHTSA would request be </w:t>
      </w:r>
      <w:r w:rsidRPr="006A7EFE">
        <w:rPr>
          <w:rFonts w:eastAsia="Times New Roman" w:cs="Times New Roman"/>
          <w:szCs w:val="24"/>
        </w:rPr>
        <w:t xml:space="preserve">made to the VSSA would require a revision of ADS 2.0. As revisions are not underway, the recommendations for the VSSA content are unchanged. The comment submitted by IIHS does not address burden and therefore no change were made to the information collection tool, methodology, or burden calculations as a result of this comment. </w:t>
      </w:r>
    </w:p>
    <w:p w:rsidR="00F13D2D" w:rsidP="00F13D2D" w14:paraId="055A90F2" w14:textId="77777777">
      <w:pPr>
        <w:spacing w:after="120"/>
        <w:ind w:left="720"/>
        <w:rPr>
          <w:rFonts w:eastAsia="Times New Roman" w:cs="Times New Roman"/>
          <w:szCs w:val="24"/>
        </w:rPr>
      </w:pPr>
    </w:p>
    <w:p w:rsidR="006A7EFE" w:rsidRPr="006A7EFE" w:rsidP="00F13D2D" w14:paraId="1BFAF0B6" w14:textId="069E6377">
      <w:pPr>
        <w:spacing w:after="0"/>
        <w:ind w:left="720"/>
        <w:rPr>
          <w:rFonts w:eastAsia="Times New Roman" w:cs="Times New Roman"/>
          <w:szCs w:val="24"/>
        </w:rPr>
      </w:pPr>
      <w:r w:rsidRPr="006A7EFE">
        <w:rPr>
          <w:rFonts w:eastAsia="Times New Roman" w:cs="Times New Roman"/>
          <w:szCs w:val="24"/>
        </w:rPr>
        <w:t xml:space="preserve">Jennifer </w:t>
      </w:r>
      <w:r w:rsidRPr="006A7EFE">
        <w:rPr>
          <w:rFonts w:eastAsia="Times New Roman" w:cs="Times New Roman"/>
          <w:szCs w:val="24"/>
        </w:rPr>
        <w:t>Homendy</w:t>
      </w:r>
      <w:r w:rsidRPr="006A7EFE">
        <w:rPr>
          <w:rFonts w:eastAsia="Times New Roman" w:cs="Times New Roman"/>
          <w:szCs w:val="24"/>
        </w:rPr>
        <w:t>, Chair of the NTSB, submitted a comment “support[</w:t>
      </w:r>
      <w:r w:rsidRPr="006A7EFE">
        <w:rPr>
          <w:rFonts w:eastAsia="Times New Roman" w:cs="Times New Roman"/>
          <w:szCs w:val="24"/>
        </w:rPr>
        <w:t>ing</w:t>
      </w:r>
      <w:r w:rsidRPr="006A7EFE">
        <w:rPr>
          <w:rFonts w:eastAsia="Times New Roman" w:cs="Times New Roman"/>
          <w:szCs w:val="24"/>
        </w:rPr>
        <w:t xml:space="preserve">] the agency’s intent to continue collecting VSSA documents.” However, Chair </w:t>
      </w:r>
      <w:r w:rsidRPr="006A7EFE">
        <w:rPr>
          <w:rFonts w:eastAsia="Times New Roman" w:cs="Times New Roman"/>
          <w:szCs w:val="24"/>
        </w:rPr>
        <w:t>Homendy</w:t>
      </w:r>
      <w:r w:rsidRPr="006A7EFE">
        <w:rPr>
          <w:rFonts w:eastAsia="Times New Roman" w:cs="Times New Roman"/>
          <w:szCs w:val="24"/>
        </w:rPr>
        <w:t xml:space="preserve"> further stated that “simply extending the collection period is insufficient.” NTSB has no objections to extending the period for collection the VSSA while also highlighting the limitations of the ADS 2.0 policy and points to the NTSB recommendations to alleviate those limitations. The recommendations include requiring the VSSA rather than a voluntary submission and that NHTSA establish a process for ongoing evaluation of the VSSAs. </w:t>
      </w:r>
    </w:p>
    <w:p w:rsidR="00F13D2D" w:rsidP="00F13D2D" w14:paraId="439F5489" w14:textId="77777777">
      <w:pPr>
        <w:spacing w:after="120"/>
        <w:ind w:left="720"/>
        <w:rPr>
          <w:rFonts w:eastAsia="Times New Roman" w:cs="Times New Roman"/>
          <w:szCs w:val="24"/>
        </w:rPr>
      </w:pPr>
    </w:p>
    <w:p w:rsidR="006A7EFE" w:rsidP="00F13D2D" w14:paraId="04F1422C" w14:textId="382A2377">
      <w:pPr>
        <w:spacing w:after="120"/>
        <w:ind w:left="720"/>
        <w:rPr>
          <w:rFonts w:eastAsia="Times New Roman" w:cs="Times New Roman"/>
          <w:szCs w:val="24"/>
        </w:rPr>
      </w:pPr>
      <w:r w:rsidRPr="006A7EFE">
        <w:rPr>
          <w:rFonts w:eastAsia="Times New Roman" w:cs="Times New Roman"/>
          <w:szCs w:val="24"/>
        </w:rPr>
        <w:t>As stated in response to the IIHS comment for this information collection, the request for revision of this information collection is specific to the ADS 2.0 document published in 2017 which maintains a voluntary approach for submission of a VSSA. As ADS 2.0 is the most recent policy regarding ADS-equipped vehicles and the VSSA, the current information collection will not be changing from voluntary to mandatory as stated in NTSB recommendation H-19-47. Regarding NTSB recommendation H-19-48 to establish an ongoing evaluation of the VSSA and a determination of adequacy by NHTSA, the agency maintains that the VSSA is not subject to federal approval and that the VSSA is intended to demonstrate to the public and individual states that ADS developers are considering safety aspects of ADS, promote transparency, and strengthen public confidence in ADS technologies. NHTSA, along with interested stakeholders, continue to research and evaluate the potential frameworks that may be used to effectively and objectively evaluate the safety performance of ADS-equipped vehicles. The NTSB comment did not address burden for the information collection and therefore no change were made to the information collection tool, methodology, or burden calculations as a result of this comment.</w:t>
      </w:r>
    </w:p>
    <w:p w:rsidR="00F13D2D" w:rsidRPr="004158F6" w:rsidP="00F13D2D" w14:paraId="6E8DB87E" w14:textId="77777777">
      <w:pPr>
        <w:spacing w:after="120"/>
        <w:ind w:left="720"/>
      </w:pPr>
    </w:p>
    <w:p w:rsidR="000373A8" w:rsidRPr="005271A9" w:rsidP="004D64A7" w14:paraId="4BC028A2" w14:textId="77777777">
      <w:pPr>
        <w:pStyle w:val="ListParagraph"/>
        <w:numPr>
          <w:ilvl w:val="0"/>
          <w:numId w:val="1"/>
        </w:numPr>
        <w:autoSpaceDE w:val="0"/>
        <w:autoSpaceDN w:val="0"/>
        <w:adjustRightInd w:val="0"/>
        <w:spacing w:after="0" w:line="240" w:lineRule="auto"/>
        <w:rPr>
          <w:rFonts w:cs="Times New Roman"/>
          <w:b/>
          <w:szCs w:val="24"/>
        </w:rPr>
      </w:pPr>
      <w:r w:rsidRPr="005271A9">
        <w:rPr>
          <w:rFonts w:cs="Times New Roman"/>
          <w:b/>
          <w:szCs w:val="24"/>
        </w:rPr>
        <w:t>Explain any decision to provide any payment or gift to respondents, other than remuneration of contractors or grantees.</w:t>
      </w:r>
    </w:p>
    <w:bookmarkEnd w:id="14"/>
    <w:p w:rsidR="000373A8" w:rsidP="000373A8" w14:paraId="25E39D9A" w14:textId="77777777">
      <w:pPr>
        <w:autoSpaceDE w:val="0"/>
        <w:autoSpaceDN w:val="0"/>
        <w:adjustRightInd w:val="0"/>
        <w:spacing w:after="0" w:line="240" w:lineRule="auto"/>
        <w:ind w:left="360"/>
        <w:rPr>
          <w:rFonts w:cs="Times New Roman"/>
          <w:szCs w:val="24"/>
        </w:rPr>
      </w:pPr>
    </w:p>
    <w:p w:rsidR="00494CED" w:rsidP="00494CED" w14:paraId="42B84F3E" w14:textId="77777777">
      <w:pPr>
        <w:tabs>
          <w:tab w:val="left" w:pos="0"/>
        </w:tabs>
        <w:ind w:left="720"/>
      </w:pPr>
      <w:r>
        <w:t xml:space="preserve">NHTSA is not providing payment or gifts for respondents in connection with this information collection. </w:t>
      </w:r>
    </w:p>
    <w:p w:rsidR="000373A8" w:rsidP="000373A8" w14:paraId="39787507" w14:textId="77777777">
      <w:pPr>
        <w:autoSpaceDE w:val="0"/>
        <w:autoSpaceDN w:val="0"/>
        <w:adjustRightInd w:val="0"/>
        <w:spacing w:after="0" w:line="240" w:lineRule="auto"/>
        <w:ind w:left="720"/>
        <w:rPr>
          <w:rFonts w:cs="Times New Roman"/>
          <w:szCs w:val="24"/>
        </w:rPr>
      </w:pPr>
    </w:p>
    <w:p w:rsidR="000373A8" w:rsidRPr="000373A8" w:rsidP="004D64A7" w14:paraId="5D2E710C" w14:textId="77777777">
      <w:pPr>
        <w:pStyle w:val="ListParagraph"/>
        <w:numPr>
          <w:ilvl w:val="0"/>
          <w:numId w:val="1"/>
        </w:numPr>
        <w:autoSpaceDE w:val="0"/>
        <w:autoSpaceDN w:val="0"/>
        <w:adjustRightInd w:val="0"/>
        <w:spacing w:after="0" w:line="240" w:lineRule="auto"/>
        <w:rPr>
          <w:rFonts w:cs="Times New Roman"/>
          <w:szCs w:val="24"/>
        </w:rPr>
      </w:pPr>
      <w:bookmarkStart w:id="15" w:name="_Hlk51331000"/>
      <w:r w:rsidRPr="005271A9">
        <w:rPr>
          <w:rFonts w:cs="Times New Roman"/>
          <w:b/>
          <w:szCs w:val="24"/>
        </w:rPr>
        <w:t xml:space="preserve">Describe any assurance of confidentiality provided to respondents and the basis for the assurance in statute, regulation, or agency policy. If the collection requires a </w:t>
      </w:r>
      <w:r w:rsidRPr="005271A9">
        <w:rPr>
          <w:rFonts w:cs="Times New Roman"/>
          <w:b/>
          <w:szCs w:val="24"/>
        </w:rPr>
        <w:t>systems of records notice (SORN) or privacy impact assessment (PIA), those should be cited and described here</w:t>
      </w:r>
      <w:r w:rsidRPr="000373A8">
        <w:rPr>
          <w:rFonts w:cs="Times New Roman"/>
          <w:szCs w:val="24"/>
        </w:rPr>
        <w:t>.</w:t>
      </w:r>
    </w:p>
    <w:bookmarkEnd w:id="15"/>
    <w:p w:rsidR="000373A8" w:rsidP="000373A8" w14:paraId="59B3BB97" w14:textId="77777777">
      <w:pPr>
        <w:autoSpaceDE w:val="0"/>
        <w:autoSpaceDN w:val="0"/>
        <w:adjustRightInd w:val="0"/>
        <w:spacing w:after="0" w:line="240" w:lineRule="auto"/>
        <w:rPr>
          <w:rFonts w:cs="Times New Roman"/>
          <w:szCs w:val="24"/>
        </w:rPr>
      </w:pPr>
    </w:p>
    <w:p w:rsidR="0087143A" w:rsidP="0087143A" w14:paraId="29145AF9" w14:textId="38362A5A">
      <w:pPr>
        <w:tabs>
          <w:tab w:val="left" w:pos="360"/>
        </w:tabs>
        <w:ind w:left="720"/>
      </w:pPr>
      <w:r>
        <w:rPr>
          <w:noProof/>
        </w:rPr>
        <w:t>There are no assurances of confidentiality provided to respondents. This collection of information does not involve the submission of any information to NHTSA. Instead, this information collection involves voluntary efforts to publicly disclose information related to ADS technologies. Should an entity wish to submit confidential business information to NHTSA</w:t>
      </w:r>
      <w:r>
        <w:t xml:space="preserve">, </w:t>
      </w:r>
      <w:hyperlink r:id="rId10" w:history="1">
        <w:r>
          <w:rPr>
            <w:rStyle w:val="Hyperlink"/>
          </w:rPr>
          <w:t xml:space="preserve">49 </w:t>
        </w:r>
        <w:r w:rsidRPr="00731AC0">
          <w:rPr>
            <w:rStyle w:val="Hyperlink"/>
          </w:rPr>
          <w:t xml:space="preserve">CFR </w:t>
        </w:r>
        <w:r>
          <w:rPr>
            <w:rStyle w:val="Hyperlink"/>
          </w:rPr>
          <w:t>Part 512</w:t>
        </w:r>
      </w:hyperlink>
      <w:r>
        <w:t xml:space="preserve"> is available for instruction. </w:t>
      </w:r>
    </w:p>
    <w:p w:rsidR="00244718" w:rsidP="000373A8" w14:paraId="73265FE5" w14:textId="77777777">
      <w:pPr>
        <w:autoSpaceDE w:val="0"/>
        <w:autoSpaceDN w:val="0"/>
        <w:adjustRightInd w:val="0"/>
        <w:spacing w:after="0" w:line="240" w:lineRule="auto"/>
        <w:ind w:left="720"/>
        <w:rPr>
          <w:rFonts w:cs="Times New Roman"/>
          <w:szCs w:val="24"/>
        </w:rPr>
      </w:pPr>
    </w:p>
    <w:p w:rsidR="0069588D" w:rsidRPr="00B676D5" w:rsidP="004D64A7" w14:paraId="4CB994BE" w14:textId="77777777">
      <w:pPr>
        <w:pStyle w:val="ListParagraph"/>
        <w:numPr>
          <w:ilvl w:val="0"/>
          <w:numId w:val="1"/>
        </w:numPr>
        <w:rPr>
          <w:b/>
        </w:rPr>
      </w:pPr>
      <w:bookmarkStart w:id="16" w:name="_Hlk51331086"/>
      <w:r w:rsidRPr="00B676D5">
        <w:rPr>
          <w:b/>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bookmarkEnd w:id="16"/>
    <w:p w:rsidR="009C17D2" w:rsidP="009C17D2" w14:paraId="3EA85DB3" w14:textId="77777777">
      <w:pPr>
        <w:pStyle w:val="ListParagraph"/>
      </w:pPr>
    </w:p>
    <w:p w:rsidR="009C17D2" w:rsidRPr="00D75319" w:rsidP="009C17D2" w14:paraId="1410EA7F" w14:textId="77C794E7">
      <w:pPr>
        <w:pStyle w:val="ListParagraph"/>
      </w:pPr>
      <w:r w:rsidRPr="00D03BC7">
        <w:t>This information collection</w:t>
      </w:r>
      <w:r w:rsidRPr="009C17D2">
        <w:rPr>
          <w:i/>
        </w:rPr>
        <w:t xml:space="preserve"> </w:t>
      </w:r>
      <w:r>
        <w:t xml:space="preserve">does not involve the collection of sensitive information.  </w:t>
      </w:r>
    </w:p>
    <w:p w:rsidR="0069588D" w:rsidRPr="0069588D" w:rsidP="0069588D" w14:paraId="068C2088" w14:textId="77777777">
      <w:pPr>
        <w:pStyle w:val="ListParagraph"/>
      </w:pPr>
    </w:p>
    <w:p w:rsidR="0069588D" w:rsidRPr="00261A6E" w:rsidP="004D64A7" w14:paraId="48C8BD46" w14:textId="77777777">
      <w:pPr>
        <w:pStyle w:val="ListParagraph"/>
        <w:numPr>
          <w:ilvl w:val="0"/>
          <w:numId w:val="1"/>
        </w:numPr>
        <w:autoSpaceDE w:val="0"/>
        <w:autoSpaceDN w:val="0"/>
        <w:adjustRightInd w:val="0"/>
        <w:spacing w:after="0" w:line="240" w:lineRule="auto"/>
        <w:rPr>
          <w:rFonts w:cs="Times New Roman"/>
          <w:b/>
          <w:szCs w:val="24"/>
        </w:rPr>
      </w:pPr>
      <w:bookmarkStart w:id="17" w:name="_Hlk51332070"/>
      <w:r w:rsidRPr="00261A6E">
        <w:rPr>
          <w:rFonts w:cs="Times New Roman"/>
          <w:b/>
          <w:szCs w:val="24"/>
        </w:rPr>
        <w:t>Provide estimates of the hour burden of the collection of information on the respondents</w:t>
      </w:r>
      <w:r w:rsidRPr="00261A6E">
        <w:rPr>
          <w:b/>
        </w:rPr>
        <w:t xml:space="preserve"> </w:t>
      </w:r>
      <w:r w:rsidRPr="00261A6E">
        <w:rPr>
          <w:rFonts w:cs="Times New Roman"/>
          <w:b/>
          <w:szCs w:val="24"/>
        </w:rPr>
        <w:t xml:space="preserve">and estimates of the annualized labor cost to respondents associated with that hour burden. </w:t>
      </w:r>
    </w:p>
    <w:bookmarkEnd w:id="17"/>
    <w:p w:rsidR="00BD1030" w:rsidP="00BD1030" w14:paraId="73A4F543" w14:textId="77777777">
      <w:pPr>
        <w:pStyle w:val="NoSpacing"/>
        <w:ind w:left="720"/>
        <w:rPr>
          <w:rFonts w:ascii="Times New Roman" w:hAnsi="Times New Roman" w:cs="Times New Roman"/>
          <w:i/>
          <w:iCs/>
          <w:sz w:val="24"/>
          <w:szCs w:val="24"/>
        </w:rPr>
      </w:pPr>
    </w:p>
    <w:p w:rsidR="00BD1030" w:rsidRPr="00270349" w:rsidP="00BD1030" w14:paraId="1A31BCB2" w14:textId="60C6888F">
      <w:pPr>
        <w:pStyle w:val="NoSpacing"/>
        <w:ind w:left="720"/>
      </w:pPr>
      <w:r>
        <w:rPr>
          <w:rFonts w:ascii="Times New Roman" w:hAnsi="Times New Roman" w:cs="Times New Roman"/>
          <w:i/>
          <w:iCs/>
          <w:sz w:val="24"/>
          <w:szCs w:val="24"/>
        </w:rPr>
        <w:t>Estimating Respondents for the Information Collection</w:t>
      </w:r>
      <w:r>
        <w:rPr>
          <w:rFonts w:ascii="Times New Roman" w:hAnsi="Times New Roman" w:cs="Times New Roman"/>
          <w:i/>
          <w:iCs/>
          <w:sz w:val="24"/>
          <w:szCs w:val="24"/>
        </w:rPr>
        <w:t>:</w:t>
      </w:r>
      <w:r>
        <w:rPr>
          <w:rFonts w:ascii="Times New Roman" w:hAnsi="Times New Roman" w:cs="Times New Roman"/>
          <w:sz w:val="24"/>
          <w:szCs w:val="24"/>
        </w:rPr>
        <w:t xml:space="preserve"> </w:t>
      </w:r>
      <w:r w:rsidR="002A33FA">
        <w:rPr>
          <w:rFonts w:ascii="Times New Roman" w:hAnsi="Times New Roman" w:cs="Times New Roman"/>
          <w:sz w:val="24"/>
          <w:szCs w:val="24"/>
        </w:rPr>
        <w:t>NHTSA</w:t>
      </w:r>
      <w:r>
        <w:rPr>
          <w:rFonts w:ascii="Times New Roman" w:hAnsi="Times New Roman" w:cs="Times New Roman"/>
          <w:sz w:val="24"/>
          <w:szCs w:val="24"/>
        </w:rPr>
        <w:t xml:space="preserve"> estimate</w:t>
      </w:r>
      <w:r w:rsidR="002A33FA">
        <w:rPr>
          <w:rFonts w:ascii="Times New Roman" w:hAnsi="Times New Roman" w:cs="Times New Roman"/>
          <w:sz w:val="24"/>
          <w:szCs w:val="24"/>
        </w:rPr>
        <w:t>s</w:t>
      </w:r>
      <w:r>
        <w:rPr>
          <w:rFonts w:ascii="Times New Roman" w:hAnsi="Times New Roman" w:cs="Times New Roman"/>
          <w:sz w:val="24"/>
          <w:szCs w:val="24"/>
        </w:rPr>
        <w:t xml:space="preserve"> the following collection burden on the public. This </w:t>
      </w:r>
      <w:r w:rsidR="00561442">
        <w:rPr>
          <w:rFonts w:ascii="Times New Roman" w:hAnsi="Times New Roman" w:cs="Times New Roman"/>
          <w:sz w:val="24"/>
          <w:szCs w:val="24"/>
        </w:rPr>
        <w:t>revision</w:t>
      </w:r>
      <w:r>
        <w:rPr>
          <w:rFonts w:ascii="Times New Roman" w:hAnsi="Times New Roman" w:cs="Times New Roman"/>
          <w:sz w:val="24"/>
          <w:szCs w:val="24"/>
        </w:rPr>
        <w:t xml:space="preserve"> reflects a reduction in burden hours. The changes are based on observations of the current</w:t>
      </w:r>
      <w:r w:rsidR="00644E32">
        <w:rPr>
          <w:rFonts w:ascii="Times New Roman" w:hAnsi="Times New Roman" w:cs="Times New Roman"/>
          <w:sz w:val="24"/>
          <w:szCs w:val="24"/>
        </w:rPr>
        <w:t xml:space="preserve"> and past</w:t>
      </w:r>
      <w:r>
        <w:rPr>
          <w:rFonts w:ascii="Times New Roman" w:hAnsi="Times New Roman" w:cs="Times New Roman"/>
          <w:sz w:val="24"/>
          <w:szCs w:val="24"/>
        </w:rPr>
        <w:t xml:space="preserve"> information collection</w:t>
      </w:r>
      <w:r w:rsidR="00644E32">
        <w:rPr>
          <w:rFonts w:ascii="Times New Roman" w:hAnsi="Times New Roman" w:cs="Times New Roman"/>
          <w:sz w:val="24"/>
          <w:szCs w:val="24"/>
        </w:rPr>
        <w:t>s</w:t>
      </w:r>
      <w:r>
        <w:rPr>
          <w:rFonts w:ascii="Times New Roman" w:hAnsi="Times New Roman" w:cs="Times New Roman"/>
          <w:sz w:val="24"/>
          <w:szCs w:val="24"/>
        </w:rPr>
        <w:t>.</w:t>
      </w:r>
    </w:p>
    <w:p w:rsidR="0069588D" w:rsidP="0069588D" w14:paraId="5812054A" w14:textId="77777777">
      <w:pPr>
        <w:ind w:left="720"/>
        <w:contextualSpacing/>
        <w:rPr>
          <w:rFonts w:cs="Times New Roman"/>
          <w:szCs w:val="24"/>
        </w:rPr>
      </w:pPr>
    </w:p>
    <w:p w:rsidR="00E508BE" w:rsidP="0069588D" w14:paraId="2A4D4C5C" w14:textId="5426CA3B">
      <w:pPr>
        <w:ind w:left="720"/>
        <w:contextualSpacing/>
        <w:rPr>
          <w:rFonts w:cs="Times New Roman"/>
          <w:szCs w:val="24"/>
        </w:rPr>
      </w:pPr>
      <w:r>
        <w:rPr>
          <w:rFonts w:cs="Times New Roman"/>
          <w:szCs w:val="24"/>
        </w:rPr>
        <w:t xml:space="preserve">NHTSA has combined multiple public lists of ADS entities </w:t>
      </w:r>
      <w:r w:rsidR="00816971">
        <w:rPr>
          <w:rFonts w:cs="Times New Roman"/>
          <w:szCs w:val="24"/>
        </w:rPr>
        <w:t xml:space="preserve">to determine the </w:t>
      </w:r>
      <w:r w:rsidR="002C23B6">
        <w:rPr>
          <w:rFonts w:cs="Times New Roman"/>
          <w:szCs w:val="24"/>
        </w:rPr>
        <w:t xml:space="preserve">potential universe of potential entities that may </w:t>
      </w:r>
      <w:r w:rsidR="0089016D">
        <w:rPr>
          <w:rFonts w:cs="Times New Roman"/>
          <w:szCs w:val="24"/>
        </w:rPr>
        <w:t>(past</w:t>
      </w:r>
      <w:r w:rsidR="009F4239">
        <w:rPr>
          <w:rFonts w:cs="Times New Roman"/>
          <w:szCs w:val="24"/>
        </w:rPr>
        <w:t xml:space="preserve"> or future) </w:t>
      </w:r>
      <w:r w:rsidR="002C23B6">
        <w:rPr>
          <w:rFonts w:cs="Times New Roman"/>
          <w:szCs w:val="24"/>
        </w:rPr>
        <w:t>develop a VSSA.</w:t>
      </w:r>
      <w:r w:rsidR="003033E9">
        <w:rPr>
          <w:rFonts w:cs="Times New Roman"/>
          <w:szCs w:val="24"/>
        </w:rPr>
        <w:t xml:space="preserve"> </w:t>
      </w:r>
      <w:r w:rsidR="005C31F6">
        <w:rPr>
          <w:rFonts w:cs="Times New Roman"/>
          <w:szCs w:val="24"/>
        </w:rPr>
        <w:t xml:space="preserve">Accessed on October 3, 2024, NHTSA combined </w:t>
      </w:r>
      <w:r w:rsidR="002E12C8">
        <w:rPr>
          <w:rFonts w:cs="Times New Roman"/>
          <w:szCs w:val="24"/>
        </w:rPr>
        <w:t xml:space="preserve">entities that were listed on the current VSSA Index, the California Department of Motor Vehicle </w:t>
      </w:r>
      <w:r w:rsidR="00212C71">
        <w:rPr>
          <w:rFonts w:cs="Times New Roman"/>
          <w:szCs w:val="24"/>
        </w:rPr>
        <w:t>Autonomous Vehicles list of permit holders (</w:t>
      </w:r>
      <w:r w:rsidR="005405A3">
        <w:rPr>
          <w:rFonts w:cs="Times New Roman"/>
          <w:szCs w:val="24"/>
        </w:rPr>
        <w:t xml:space="preserve">testing with a driver, driverless testing, and deployment), and the </w:t>
      </w:r>
      <w:r w:rsidR="00937C49">
        <w:rPr>
          <w:rFonts w:cs="Times New Roman"/>
          <w:szCs w:val="24"/>
        </w:rPr>
        <w:t xml:space="preserve">entities that have submitted ADS incident reports through the Standing General Order. </w:t>
      </w:r>
      <w:r w:rsidR="00643B66">
        <w:rPr>
          <w:rFonts w:cs="Times New Roman"/>
          <w:szCs w:val="24"/>
        </w:rPr>
        <w:t xml:space="preserve">Staff then reviewed the list to determine which entities were no longer </w:t>
      </w:r>
      <w:r w:rsidR="00B76F8B">
        <w:rPr>
          <w:rFonts w:cs="Times New Roman"/>
          <w:szCs w:val="24"/>
        </w:rPr>
        <w:t xml:space="preserve">operational in the United States. </w:t>
      </w:r>
      <w:r w:rsidR="00AA198B">
        <w:rPr>
          <w:rFonts w:cs="Times New Roman"/>
          <w:szCs w:val="24"/>
        </w:rPr>
        <w:t>This provided a universe as well as a grounding in the size</w:t>
      </w:r>
      <w:r w:rsidR="00D669D0">
        <w:rPr>
          <w:rFonts w:cs="Times New Roman"/>
          <w:szCs w:val="24"/>
        </w:rPr>
        <w:t xml:space="preserve"> of the industry, which entities have developed a VSSA</w:t>
      </w:r>
      <w:r w:rsidR="00F63DF9">
        <w:rPr>
          <w:rFonts w:cs="Times New Roman"/>
          <w:szCs w:val="24"/>
        </w:rPr>
        <w:t xml:space="preserve"> in years past</w:t>
      </w:r>
      <w:r w:rsidR="00252689">
        <w:rPr>
          <w:rFonts w:cs="Times New Roman"/>
          <w:szCs w:val="24"/>
        </w:rPr>
        <w:t>,</w:t>
      </w:r>
      <w:r w:rsidR="00D669D0">
        <w:rPr>
          <w:rFonts w:cs="Times New Roman"/>
          <w:szCs w:val="24"/>
        </w:rPr>
        <w:t xml:space="preserve"> and whether newer entrants were present</w:t>
      </w:r>
      <w:r w:rsidR="00F63DF9">
        <w:rPr>
          <w:rFonts w:cs="Times New Roman"/>
          <w:szCs w:val="24"/>
        </w:rPr>
        <w:t xml:space="preserve"> in the universe such that they</w:t>
      </w:r>
      <w:r w:rsidR="00D669D0">
        <w:rPr>
          <w:rFonts w:cs="Times New Roman"/>
          <w:szCs w:val="24"/>
        </w:rPr>
        <w:t xml:space="preserve"> may develop a VSSA. </w:t>
      </w:r>
      <w:r w:rsidR="00AB1501">
        <w:rPr>
          <w:rFonts w:cs="Times New Roman"/>
          <w:szCs w:val="24"/>
        </w:rPr>
        <w:t xml:space="preserve">The result of these steps was 59 ADS entities. </w:t>
      </w:r>
    </w:p>
    <w:p w:rsidR="001712A8" w:rsidP="0069588D" w14:paraId="5A3DA84A" w14:textId="77777777">
      <w:pPr>
        <w:ind w:left="720"/>
        <w:contextualSpacing/>
        <w:rPr>
          <w:rFonts w:cs="Times New Roman"/>
          <w:szCs w:val="24"/>
        </w:rPr>
      </w:pPr>
    </w:p>
    <w:p w:rsidR="000653E2" w:rsidP="0069588D" w14:paraId="5F1D2DE8" w14:textId="406C009A">
      <w:pPr>
        <w:ind w:left="720"/>
        <w:contextualSpacing/>
        <w:rPr>
          <w:rFonts w:cs="Times New Roman"/>
          <w:szCs w:val="24"/>
        </w:rPr>
      </w:pPr>
      <w:r>
        <w:rPr>
          <w:rFonts w:cs="Times New Roman"/>
          <w:szCs w:val="24"/>
        </w:rPr>
        <w:t>Of the 59 entities, 27 have developed and made public a VSSA since the collections began</w:t>
      </w:r>
      <w:r w:rsidR="006E0CD8">
        <w:rPr>
          <w:rFonts w:cs="Times New Roman"/>
          <w:szCs w:val="24"/>
        </w:rPr>
        <w:t xml:space="preserve"> according to the VSSA Index</w:t>
      </w:r>
      <w:r>
        <w:rPr>
          <w:rFonts w:cs="Times New Roman"/>
          <w:szCs w:val="24"/>
        </w:rPr>
        <w:t xml:space="preserve">. NHTSA is not aware that any of the 27 have updated the full VSSA during that time period. </w:t>
      </w:r>
      <w:r w:rsidR="007C7AAB">
        <w:rPr>
          <w:rFonts w:cs="Times New Roman"/>
          <w:szCs w:val="24"/>
        </w:rPr>
        <w:t xml:space="preserve">Two of those entities have released an appendix with separate information not included in </w:t>
      </w:r>
      <w:r w:rsidR="007C7AAB">
        <w:rPr>
          <w:rFonts w:cs="Times New Roman"/>
          <w:i/>
          <w:iCs/>
          <w:szCs w:val="24"/>
        </w:rPr>
        <w:t>ADS 2.0</w:t>
      </w:r>
      <w:r w:rsidR="007C7AAB">
        <w:rPr>
          <w:rFonts w:cs="Times New Roman"/>
          <w:szCs w:val="24"/>
        </w:rPr>
        <w:t xml:space="preserve">. </w:t>
      </w:r>
      <w:r w:rsidR="006E0CD8">
        <w:rPr>
          <w:rFonts w:cs="Times New Roman"/>
          <w:szCs w:val="24"/>
        </w:rPr>
        <w:t xml:space="preserve">NHTSA assumes these </w:t>
      </w:r>
      <w:r w:rsidR="006E0CD8">
        <w:rPr>
          <w:rFonts w:cs="Times New Roman"/>
          <w:szCs w:val="24"/>
        </w:rPr>
        <w:t>entities will not update their VSSA in the next three year</w:t>
      </w:r>
      <w:r w:rsidR="00AF376B">
        <w:rPr>
          <w:rFonts w:cs="Times New Roman"/>
          <w:szCs w:val="24"/>
        </w:rPr>
        <w:t>s</w:t>
      </w:r>
      <w:r w:rsidR="006E0CD8">
        <w:rPr>
          <w:rFonts w:cs="Times New Roman"/>
          <w:szCs w:val="24"/>
        </w:rPr>
        <w:t xml:space="preserve">. </w:t>
      </w:r>
      <w:r w:rsidR="00453231">
        <w:rPr>
          <w:rFonts w:cs="Times New Roman"/>
          <w:szCs w:val="24"/>
        </w:rPr>
        <w:t xml:space="preserve">Table 1 provides a list of </w:t>
      </w:r>
      <w:r>
        <w:rPr>
          <w:rFonts w:cs="Times New Roman"/>
          <w:szCs w:val="24"/>
        </w:rPr>
        <w:t xml:space="preserve">VSSA publication date since 2017. </w:t>
      </w:r>
      <w:r w:rsidR="007131EC">
        <w:rPr>
          <w:rFonts w:cs="Times New Roman"/>
          <w:szCs w:val="24"/>
        </w:rPr>
        <w:t xml:space="preserve">The average over the lifetime of </w:t>
      </w:r>
      <w:r w:rsidR="007131EC">
        <w:rPr>
          <w:rFonts w:cs="Times New Roman"/>
          <w:i/>
          <w:iCs/>
          <w:szCs w:val="24"/>
        </w:rPr>
        <w:t>ADS 2.0</w:t>
      </w:r>
      <w:r w:rsidR="007131EC">
        <w:rPr>
          <w:rFonts w:cs="Times New Roman"/>
          <w:szCs w:val="24"/>
        </w:rPr>
        <w:t xml:space="preserve"> is three VSSAs per year. Perhaps more </w:t>
      </w:r>
      <w:r w:rsidR="003B543A">
        <w:rPr>
          <w:rFonts w:cs="Times New Roman"/>
          <w:szCs w:val="24"/>
        </w:rPr>
        <w:t xml:space="preserve">reflective of the recent industry, the average over the current collection (three years) is 4 VSSAs per year. </w:t>
      </w:r>
    </w:p>
    <w:p w:rsidR="00B27CD6" w:rsidRPr="007131EC" w:rsidP="0069588D" w14:paraId="1576EA1F" w14:textId="77777777">
      <w:pPr>
        <w:ind w:left="720"/>
        <w:contextualSpacing/>
        <w:rPr>
          <w:rFonts w:cs="Times New Roman"/>
          <w:szCs w:val="24"/>
        </w:rPr>
      </w:pPr>
    </w:p>
    <w:p w:rsidR="00B97A74" w:rsidP="0069588D" w14:paraId="130E562C" w14:textId="20658C49">
      <w:pPr>
        <w:ind w:left="720"/>
        <w:contextualSpacing/>
        <w:rPr>
          <w:rFonts w:cs="Times New Roman"/>
          <w:szCs w:val="24"/>
        </w:rPr>
      </w:pPr>
      <w:r>
        <w:rPr>
          <w:rFonts w:cs="Times New Roman"/>
          <w:szCs w:val="24"/>
        </w:rPr>
        <w:tab/>
      </w:r>
      <w:r>
        <w:rPr>
          <w:rFonts w:cs="Times New Roman"/>
          <w:szCs w:val="24"/>
        </w:rPr>
        <w:tab/>
        <w:t xml:space="preserve">Table 1. </w:t>
      </w:r>
      <w:r w:rsidR="00B539C3">
        <w:rPr>
          <w:rFonts w:cs="Times New Roman"/>
          <w:szCs w:val="24"/>
        </w:rPr>
        <w:t>VSSA Dissemination to Date</w:t>
      </w:r>
    </w:p>
    <w:tbl>
      <w:tblPr>
        <w:tblStyle w:val="TableGrid"/>
        <w:tblW w:w="0" w:type="auto"/>
        <w:tblInd w:w="1705" w:type="dxa"/>
        <w:tblLook w:val="04A0"/>
      </w:tblPr>
      <w:tblGrid>
        <w:gridCol w:w="4770"/>
        <w:gridCol w:w="1890"/>
      </w:tblGrid>
      <w:tr w14:paraId="4DC76103" w14:textId="77777777" w:rsidTr="00D728A1">
        <w:tblPrEx>
          <w:tblW w:w="0" w:type="auto"/>
          <w:tblInd w:w="1705" w:type="dxa"/>
          <w:tblLook w:val="04A0"/>
        </w:tblPrEx>
        <w:tc>
          <w:tcPr>
            <w:tcW w:w="4770" w:type="dxa"/>
            <w:shd w:val="clear" w:color="auto" w:fill="808080" w:themeFill="background1" w:themeFillShade="80"/>
          </w:tcPr>
          <w:p w:rsidR="000653E2" w:rsidRPr="00D728A1" w:rsidP="0069588D" w14:paraId="2939E700" w14:textId="425E2FA8">
            <w:pPr>
              <w:contextualSpacing/>
              <w:rPr>
                <w:rFonts w:cs="Times New Roman"/>
                <w:b/>
                <w:bCs/>
                <w:color w:val="FFFFFF" w:themeColor="background1"/>
                <w:szCs w:val="24"/>
              </w:rPr>
            </w:pPr>
            <w:r w:rsidRPr="00D728A1">
              <w:rPr>
                <w:rFonts w:cs="Times New Roman"/>
                <w:b/>
                <w:bCs/>
                <w:color w:val="FFFFFF" w:themeColor="background1"/>
                <w:szCs w:val="24"/>
              </w:rPr>
              <w:t>Release</w:t>
            </w:r>
          </w:p>
        </w:tc>
        <w:tc>
          <w:tcPr>
            <w:tcW w:w="1890" w:type="dxa"/>
            <w:shd w:val="clear" w:color="auto" w:fill="808080" w:themeFill="background1" w:themeFillShade="80"/>
          </w:tcPr>
          <w:p w:rsidR="000653E2" w:rsidRPr="00D728A1" w:rsidP="00D157F0" w14:paraId="2D5FC2F8" w14:textId="6522BA9F">
            <w:pPr>
              <w:contextualSpacing/>
              <w:jc w:val="center"/>
              <w:rPr>
                <w:rFonts w:cs="Times New Roman"/>
                <w:b/>
                <w:bCs/>
                <w:color w:val="FFFFFF" w:themeColor="background1"/>
                <w:szCs w:val="24"/>
              </w:rPr>
            </w:pPr>
            <w:r w:rsidRPr="00D728A1">
              <w:rPr>
                <w:rFonts w:cs="Times New Roman"/>
                <w:b/>
                <w:bCs/>
                <w:color w:val="FFFFFF" w:themeColor="background1"/>
                <w:szCs w:val="24"/>
              </w:rPr>
              <w:t>Number</w:t>
            </w:r>
          </w:p>
        </w:tc>
      </w:tr>
      <w:tr w14:paraId="3C617B13" w14:textId="77777777" w:rsidTr="00D157F0">
        <w:tblPrEx>
          <w:tblW w:w="0" w:type="auto"/>
          <w:tblInd w:w="1705" w:type="dxa"/>
          <w:tblLook w:val="04A0"/>
        </w:tblPrEx>
        <w:tc>
          <w:tcPr>
            <w:tcW w:w="4770" w:type="dxa"/>
          </w:tcPr>
          <w:p w:rsidR="000653E2" w:rsidP="0069588D" w14:paraId="74E17D6A" w14:textId="3226615B">
            <w:pPr>
              <w:contextualSpacing/>
              <w:rPr>
                <w:rFonts w:cs="Times New Roman"/>
                <w:szCs w:val="24"/>
              </w:rPr>
            </w:pPr>
            <w:r>
              <w:rPr>
                <w:rFonts w:cs="Times New Roman"/>
                <w:szCs w:val="24"/>
              </w:rPr>
              <w:t>Web</w:t>
            </w:r>
            <w:r w:rsidR="008A1E42">
              <w:rPr>
                <w:rFonts w:cs="Times New Roman"/>
                <w:szCs w:val="24"/>
              </w:rPr>
              <w:t>pag</w:t>
            </w:r>
            <w:r>
              <w:rPr>
                <w:rFonts w:cs="Times New Roman"/>
                <w:szCs w:val="24"/>
              </w:rPr>
              <w:t>e Only</w:t>
            </w:r>
            <w:r w:rsidR="00B97A74">
              <w:rPr>
                <w:rFonts w:cs="Times New Roman"/>
                <w:szCs w:val="24"/>
              </w:rPr>
              <w:t xml:space="preserve"> (no structured VSSA)</w:t>
            </w:r>
          </w:p>
        </w:tc>
        <w:tc>
          <w:tcPr>
            <w:tcW w:w="1890" w:type="dxa"/>
          </w:tcPr>
          <w:p w:rsidR="000653E2" w:rsidP="00D157F0" w14:paraId="099536BC" w14:textId="0BCBCA28">
            <w:pPr>
              <w:contextualSpacing/>
              <w:jc w:val="center"/>
              <w:rPr>
                <w:rFonts w:cs="Times New Roman"/>
                <w:szCs w:val="24"/>
              </w:rPr>
            </w:pPr>
            <w:r>
              <w:rPr>
                <w:rFonts w:cs="Times New Roman"/>
                <w:szCs w:val="24"/>
              </w:rPr>
              <w:t>2</w:t>
            </w:r>
          </w:p>
        </w:tc>
      </w:tr>
      <w:tr w14:paraId="29CE192C" w14:textId="77777777" w:rsidTr="00D157F0">
        <w:tblPrEx>
          <w:tblW w:w="0" w:type="auto"/>
          <w:tblInd w:w="1705" w:type="dxa"/>
          <w:tblLook w:val="04A0"/>
        </w:tblPrEx>
        <w:tc>
          <w:tcPr>
            <w:tcW w:w="4770" w:type="dxa"/>
          </w:tcPr>
          <w:p w:rsidR="000653E2" w:rsidP="0069588D" w14:paraId="02BB6B43" w14:textId="1E267AD5">
            <w:pPr>
              <w:contextualSpacing/>
              <w:rPr>
                <w:rFonts w:cs="Times New Roman"/>
                <w:szCs w:val="24"/>
              </w:rPr>
            </w:pPr>
            <w:r>
              <w:rPr>
                <w:rFonts w:cs="Times New Roman"/>
                <w:szCs w:val="24"/>
              </w:rPr>
              <w:t>Inactive pointer location</w:t>
            </w:r>
          </w:p>
        </w:tc>
        <w:tc>
          <w:tcPr>
            <w:tcW w:w="1890" w:type="dxa"/>
          </w:tcPr>
          <w:p w:rsidR="000653E2" w:rsidP="00D157F0" w14:paraId="6B0E9745" w14:textId="4543010A">
            <w:pPr>
              <w:contextualSpacing/>
              <w:jc w:val="center"/>
              <w:rPr>
                <w:rFonts w:cs="Times New Roman"/>
                <w:szCs w:val="24"/>
              </w:rPr>
            </w:pPr>
            <w:r>
              <w:rPr>
                <w:rFonts w:cs="Times New Roman"/>
                <w:szCs w:val="24"/>
              </w:rPr>
              <w:t>4</w:t>
            </w:r>
          </w:p>
        </w:tc>
      </w:tr>
      <w:tr w14:paraId="45339158" w14:textId="77777777" w:rsidTr="00D157F0">
        <w:tblPrEx>
          <w:tblW w:w="0" w:type="auto"/>
          <w:tblInd w:w="1705" w:type="dxa"/>
          <w:tblLook w:val="04A0"/>
        </w:tblPrEx>
        <w:tc>
          <w:tcPr>
            <w:tcW w:w="4770" w:type="dxa"/>
          </w:tcPr>
          <w:p w:rsidR="000653E2" w:rsidP="0069588D" w14:paraId="62A87523" w14:textId="662ABEE1">
            <w:pPr>
              <w:contextualSpacing/>
              <w:rPr>
                <w:rFonts w:cs="Times New Roman"/>
                <w:szCs w:val="24"/>
              </w:rPr>
            </w:pPr>
            <w:r>
              <w:rPr>
                <w:rFonts w:cs="Times New Roman"/>
                <w:szCs w:val="24"/>
              </w:rPr>
              <w:t>2018</w:t>
            </w:r>
          </w:p>
        </w:tc>
        <w:tc>
          <w:tcPr>
            <w:tcW w:w="1890" w:type="dxa"/>
          </w:tcPr>
          <w:p w:rsidR="000653E2" w:rsidP="00D157F0" w14:paraId="73A2BCD8" w14:textId="1BA4ACBD">
            <w:pPr>
              <w:contextualSpacing/>
              <w:jc w:val="center"/>
              <w:rPr>
                <w:rFonts w:cs="Times New Roman"/>
                <w:szCs w:val="24"/>
              </w:rPr>
            </w:pPr>
            <w:r>
              <w:rPr>
                <w:rFonts w:cs="Times New Roman"/>
                <w:szCs w:val="24"/>
              </w:rPr>
              <w:t>1</w:t>
            </w:r>
          </w:p>
        </w:tc>
      </w:tr>
      <w:tr w14:paraId="5CCE7650" w14:textId="77777777" w:rsidTr="00D157F0">
        <w:tblPrEx>
          <w:tblW w:w="0" w:type="auto"/>
          <w:tblInd w:w="1705" w:type="dxa"/>
          <w:tblLook w:val="04A0"/>
        </w:tblPrEx>
        <w:tc>
          <w:tcPr>
            <w:tcW w:w="4770" w:type="dxa"/>
          </w:tcPr>
          <w:p w:rsidR="000653E2" w:rsidP="0069588D" w14:paraId="665BC5F1" w14:textId="34E58BED">
            <w:pPr>
              <w:contextualSpacing/>
              <w:rPr>
                <w:rFonts w:cs="Times New Roman"/>
                <w:szCs w:val="24"/>
              </w:rPr>
            </w:pPr>
            <w:r>
              <w:rPr>
                <w:rFonts w:cs="Times New Roman"/>
                <w:szCs w:val="24"/>
              </w:rPr>
              <w:t>2019</w:t>
            </w:r>
          </w:p>
        </w:tc>
        <w:tc>
          <w:tcPr>
            <w:tcW w:w="1890" w:type="dxa"/>
          </w:tcPr>
          <w:p w:rsidR="000653E2" w:rsidP="00D157F0" w14:paraId="69C59ABF" w14:textId="178383DD">
            <w:pPr>
              <w:contextualSpacing/>
              <w:jc w:val="center"/>
              <w:rPr>
                <w:rFonts w:cs="Times New Roman"/>
                <w:szCs w:val="24"/>
              </w:rPr>
            </w:pPr>
            <w:r>
              <w:rPr>
                <w:rFonts w:cs="Times New Roman"/>
                <w:szCs w:val="24"/>
              </w:rPr>
              <w:t>1</w:t>
            </w:r>
          </w:p>
        </w:tc>
      </w:tr>
      <w:tr w14:paraId="6AE701D1" w14:textId="77777777" w:rsidTr="00D157F0">
        <w:tblPrEx>
          <w:tblW w:w="0" w:type="auto"/>
          <w:tblInd w:w="1705" w:type="dxa"/>
          <w:tblLook w:val="04A0"/>
        </w:tblPrEx>
        <w:tc>
          <w:tcPr>
            <w:tcW w:w="4770" w:type="dxa"/>
          </w:tcPr>
          <w:p w:rsidR="000653E2" w:rsidP="0069588D" w14:paraId="779DCE99" w14:textId="4E4FBAC3">
            <w:pPr>
              <w:contextualSpacing/>
              <w:rPr>
                <w:rFonts w:cs="Times New Roman"/>
                <w:szCs w:val="24"/>
              </w:rPr>
            </w:pPr>
            <w:r>
              <w:rPr>
                <w:rFonts w:cs="Times New Roman"/>
                <w:szCs w:val="24"/>
              </w:rPr>
              <w:t>20</w:t>
            </w:r>
            <w:r w:rsidR="00B948B9">
              <w:rPr>
                <w:rFonts w:cs="Times New Roman"/>
                <w:szCs w:val="24"/>
              </w:rPr>
              <w:t>20</w:t>
            </w:r>
          </w:p>
        </w:tc>
        <w:tc>
          <w:tcPr>
            <w:tcW w:w="1890" w:type="dxa"/>
          </w:tcPr>
          <w:p w:rsidR="000653E2" w:rsidP="00D157F0" w14:paraId="7C0BC73A" w14:textId="2B66676A">
            <w:pPr>
              <w:contextualSpacing/>
              <w:jc w:val="center"/>
              <w:rPr>
                <w:rFonts w:cs="Times New Roman"/>
                <w:szCs w:val="24"/>
              </w:rPr>
            </w:pPr>
            <w:r>
              <w:rPr>
                <w:rFonts w:cs="Times New Roman"/>
                <w:szCs w:val="24"/>
              </w:rPr>
              <w:t>3</w:t>
            </w:r>
          </w:p>
        </w:tc>
      </w:tr>
      <w:tr w14:paraId="79D151BB" w14:textId="77777777" w:rsidTr="00D157F0">
        <w:tblPrEx>
          <w:tblW w:w="0" w:type="auto"/>
          <w:tblInd w:w="1705" w:type="dxa"/>
          <w:tblLook w:val="04A0"/>
        </w:tblPrEx>
        <w:tc>
          <w:tcPr>
            <w:tcW w:w="4770" w:type="dxa"/>
          </w:tcPr>
          <w:p w:rsidR="000653E2" w:rsidP="0069588D" w14:paraId="3B3D919B" w14:textId="3BE63669">
            <w:pPr>
              <w:contextualSpacing/>
              <w:rPr>
                <w:rFonts w:cs="Times New Roman"/>
                <w:szCs w:val="24"/>
              </w:rPr>
            </w:pPr>
            <w:r>
              <w:rPr>
                <w:rFonts w:cs="Times New Roman"/>
                <w:szCs w:val="24"/>
              </w:rPr>
              <w:t>2021</w:t>
            </w:r>
          </w:p>
        </w:tc>
        <w:tc>
          <w:tcPr>
            <w:tcW w:w="1890" w:type="dxa"/>
          </w:tcPr>
          <w:p w:rsidR="000653E2" w:rsidP="00D157F0" w14:paraId="4407C9B1" w14:textId="129A14D8">
            <w:pPr>
              <w:contextualSpacing/>
              <w:jc w:val="center"/>
              <w:rPr>
                <w:rFonts w:cs="Times New Roman"/>
                <w:szCs w:val="24"/>
              </w:rPr>
            </w:pPr>
            <w:r>
              <w:rPr>
                <w:rFonts w:cs="Times New Roman"/>
                <w:szCs w:val="24"/>
              </w:rPr>
              <w:t>4</w:t>
            </w:r>
          </w:p>
        </w:tc>
      </w:tr>
      <w:tr w14:paraId="04C210BC" w14:textId="77777777" w:rsidTr="00D157F0">
        <w:tblPrEx>
          <w:tblW w:w="0" w:type="auto"/>
          <w:tblInd w:w="1705" w:type="dxa"/>
          <w:tblLook w:val="04A0"/>
        </w:tblPrEx>
        <w:tc>
          <w:tcPr>
            <w:tcW w:w="4770" w:type="dxa"/>
          </w:tcPr>
          <w:p w:rsidR="000653E2" w:rsidP="0069588D" w14:paraId="6E39693E" w14:textId="1FE573CD">
            <w:pPr>
              <w:contextualSpacing/>
              <w:rPr>
                <w:rFonts w:cs="Times New Roman"/>
                <w:szCs w:val="24"/>
              </w:rPr>
            </w:pPr>
            <w:r>
              <w:rPr>
                <w:rFonts w:cs="Times New Roman"/>
                <w:szCs w:val="24"/>
              </w:rPr>
              <w:t>2022</w:t>
            </w:r>
          </w:p>
        </w:tc>
        <w:tc>
          <w:tcPr>
            <w:tcW w:w="1890" w:type="dxa"/>
          </w:tcPr>
          <w:p w:rsidR="000653E2" w:rsidP="00D157F0" w14:paraId="2B876889" w14:textId="3C1E52F3">
            <w:pPr>
              <w:contextualSpacing/>
              <w:jc w:val="center"/>
              <w:rPr>
                <w:rFonts w:cs="Times New Roman"/>
                <w:szCs w:val="24"/>
              </w:rPr>
            </w:pPr>
            <w:r>
              <w:rPr>
                <w:rFonts w:cs="Times New Roman"/>
                <w:szCs w:val="24"/>
              </w:rPr>
              <w:t>2</w:t>
            </w:r>
          </w:p>
        </w:tc>
      </w:tr>
      <w:tr w14:paraId="17FB865D" w14:textId="77777777" w:rsidTr="00D157F0">
        <w:tblPrEx>
          <w:tblW w:w="0" w:type="auto"/>
          <w:tblInd w:w="1705" w:type="dxa"/>
          <w:tblLook w:val="04A0"/>
        </w:tblPrEx>
        <w:tc>
          <w:tcPr>
            <w:tcW w:w="4770" w:type="dxa"/>
          </w:tcPr>
          <w:p w:rsidR="00B948B9" w:rsidP="0069588D" w14:paraId="6B9E2ACF" w14:textId="4587EEFB">
            <w:pPr>
              <w:contextualSpacing/>
              <w:rPr>
                <w:rFonts w:cs="Times New Roman"/>
                <w:szCs w:val="24"/>
              </w:rPr>
            </w:pPr>
            <w:r>
              <w:rPr>
                <w:rFonts w:cs="Times New Roman"/>
                <w:szCs w:val="24"/>
              </w:rPr>
              <w:t>2023</w:t>
            </w:r>
          </w:p>
        </w:tc>
        <w:tc>
          <w:tcPr>
            <w:tcW w:w="1890" w:type="dxa"/>
          </w:tcPr>
          <w:p w:rsidR="00B948B9" w:rsidP="00D157F0" w14:paraId="2DDD25AF" w14:textId="7260FBC2">
            <w:pPr>
              <w:contextualSpacing/>
              <w:jc w:val="center"/>
              <w:rPr>
                <w:rFonts w:cs="Times New Roman"/>
                <w:szCs w:val="24"/>
              </w:rPr>
            </w:pPr>
            <w:r>
              <w:rPr>
                <w:rFonts w:cs="Times New Roman"/>
                <w:szCs w:val="24"/>
              </w:rPr>
              <w:t>6</w:t>
            </w:r>
          </w:p>
        </w:tc>
      </w:tr>
      <w:tr w14:paraId="09BA369C" w14:textId="77777777" w:rsidTr="00D157F0">
        <w:tblPrEx>
          <w:tblW w:w="0" w:type="auto"/>
          <w:tblInd w:w="1705" w:type="dxa"/>
          <w:tblLook w:val="04A0"/>
        </w:tblPrEx>
        <w:tc>
          <w:tcPr>
            <w:tcW w:w="4770" w:type="dxa"/>
          </w:tcPr>
          <w:p w:rsidR="00B948B9" w:rsidP="0069588D" w14:paraId="449EF082" w14:textId="69DEF35B">
            <w:pPr>
              <w:contextualSpacing/>
              <w:rPr>
                <w:rFonts w:cs="Times New Roman"/>
                <w:szCs w:val="24"/>
              </w:rPr>
            </w:pPr>
            <w:r>
              <w:rPr>
                <w:rFonts w:cs="Times New Roman"/>
                <w:szCs w:val="24"/>
              </w:rPr>
              <w:t>2024</w:t>
            </w:r>
          </w:p>
        </w:tc>
        <w:tc>
          <w:tcPr>
            <w:tcW w:w="1890" w:type="dxa"/>
          </w:tcPr>
          <w:p w:rsidR="00B948B9" w:rsidP="00D157F0" w14:paraId="207D8092" w14:textId="0DA72642">
            <w:pPr>
              <w:contextualSpacing/>
              <w:jc w:val="center"/>
              <w:rPr>
                <w:rFonts w:cs="Times New Roman"/>
                <w:szCs w:val="24"/>
              </w:rPr>
            </w:pPr>
            <w:r>
              <w:rPr>
                <w:rFonts w:cs="Times New Roman"/>
                <w:szCs w:val="24"/>
              </w:rPr>
              <w:t>4</w:t>
            </w:r>
          </w:p>
        </w:tc>
      </w:tr>
      <w:tr w14:paraId="2C20BAB4" w14:textId="77777777" w:rsidTr="00D157F0">
        <w:tblPrEx>
          <w:tblW w:w="0" w:type="auto"/>
          <w:tblInd w:w="1705" w:type="dxa"/>
          <w:tblLook w:val="04A0"/>
        </w:tblPrEx>
        <w:tc>
          <w:tcPr>
            <w:tcW w:w="4770" w:type="dxa"/>
          </w:tcPr>
          <w:p w:rsidR="004E5E41" w:rsidP="0069588D" w14:paraId="475733AD" w14:textId="265BFFC2">
            <w:pPr>
              <w:contextualSpacing/>
              <w:rPr>
                <w:rFonts w:cs="Times New Roman"/>
                <w:szCs w:val="24"/>
              </w:rPr>
            </w:pPr>
            <w:r>
              <w:rPr>
                <w:rFonts w:cs="Times New Roman"/>
                <w:szCs w:val="24"/>
              </w:rPr>
              <w:t>Seven</w:t>
            </w:r>
            <w:r w:rsidR="00811859">
              <w:rPr>
                <w:rFonts w:cs="Times New Roman"/>
                <w:szCs w:val="24"/>
              </w:rPr>
              <w:t>-</w:t>
            </w:r>
            <w:r>
              <w:rPr>
                <w:rFonts w:cs="Times New Roman"/>
                <w:szCs w:val="24"/>
              </w:rPr>
              <w:t>year average</w:t>
            </w:r>
          </w:p>
        </w:tc>
        <w:tc>
          <w:tcPr>
            <w:tcW w:w="1890" w:type="dxa"/>
          </w:tcPr>
          <w:p w:rsidR="004E5E41" w:rsidP="00D157F0" w14:paraId="776656E6" w14:textId="44B0B1FA">
            <w:pPr>
              <w:contextualSpacing/>
              <w:jc w:val="center"/>
              <w:rPr>
                <w:rFonts w:cs="Times New Roman"/>
                <w:szCs w:val="24"/>
              </w:rPr>
            </w:pPr>
            <w:r>
              <w:rPr>
                <w:rFonts w:cs="Times New Roman"/>
                <w:szCs w:val="24"/>
              </w:rPr>
              <w:t>3</w:t>
            </w:r>
          </w:p>
        </w:tc>
      </w:tr>
      <w:tr w14:paraId="60A71064" w14:textId="77777777" w:rsidTr="00D157F0">
        <w:tblPrEx>
          <w:tblW w:w="0" w:type="auto"/>
          <w:tblInd w:w="1705" w:type="dxa"/>
          <w:tblLook w:val="04A0"/>
        </w:tblPrEx>
        <w:tc>
          <w:tcPr>
            <w:tcW w:w="4770" w:type="dxa"/>
          </w:tcPr>
          <w:p w:rsidR="00811859" w:rsidRPr="00475428" w:rsidP="0069588D" w14:paraId="64B378AF" w14:textId="2624B1EE">
            <w:pPr>
              <w:contextualSpacing/>
              <w:rPr>
                <w:rFonts w:cs="Times New Roman"/>
                <w:i/>
                <w:iCs/>
                <w:szCs w:val="24"/>
              </w:rPr>
            </w:pPr>
            <w:r w:rsidRPr="00475428">
              <w:rPr>
                <w:rFonts w:cs="Times New Roman"/>
                <w:i/>
                <w:iCs/>
                <w:szCs w:val="24"/>
              </w:rPr>
              <w:t>Three-year Average (period of current ICR)</w:t>
            </w:r>
          </w:p>
        </w:tc>
        <w:tc>
          <w:tcPr>
            <w:tcW w:w="1890" w:type="dxa"/>
          </w:tcPr>
          <w:p w:rsidR="00811859" w:rsidRPr="00475428" w:rsidP="00D157F0" w14:paraId="5429BF91" w14:textId="767377D5">
            <w:pPr>
              <w:contextualSpacing/>
              <w:jc w:val="center"/>
              <w:rPr>
                <w:rFonts w:cs="Times New Roman"/>
                <w:i/>
                <w:iCs/>
                <w:szCs w:val="24"/>
              </w:rPr>
            </w:pPr>
            <w:r w:rsidRPr="00475428">
              <w:rPr>
                <w:rFonts w:cs="Times New Roman"/>
                <w:i/>
                <w:iCs/>
                <w:szCs w:val="24"/>
              </w:rPr>
              <w:t>4</w:t>
            </w:r>
          </w:p>
        </w:tc>
      </w:tr>
    </w:tbl>
    <w:p w:rsidR="001712A8" w:rsidP="00B948B9" w14:paraId="380E2154" w14:textId="4F439030">
      <w:pPr>
        <w:contextualSpacing/>
        <w:rPr>
          <w:rFonts w:cs="Times New Roman"/>
          <w:szCs w:val="24"/>
        </w:rPr>
      </w:pPr>
    </w:p>
    <w:p w:rsidR="00811859" w:rsidP="003168F9" w14:paraId="7C4A2E90" w14:textId="2E7984A4">
      <w:pPr>
        <w:ind w:left="720"/>
        <w:contextualSpacing/>
        <w:rPr>
          <w:rFonts w:cs="Times New Roman"/>
          <w:szCs w:val="24"/>
        </w:rPr>
      </w:pPr>
      <w:r>
        <w:rPr>
          <w:rFonts w:cs="Times New Roman"/>
          <w:szCs w:val="24"/>
        </w:rPr>
        <w:t xml:space="preserve">Taking into account the universe established (59 entities) and those that have disseminated a VSSA or suggested a webpage through the VSSA Index (27), </w:t>
      </w:r>
      <w:r w:rsidR="00AD10F8">
        <w:rPr>
          <w:rFonts w:cs="Times New Roman"/>
          <w:szCs w:val="24"/>
        </w:rPr>
        <w:t>NHTSA believes there is a potential for another 32 entities</w:t>
      </w:r>
      <w:r w:rsidR="00705293">
        <w:rPr>
          <w:rFonts w:cs="Times New Roman"/>
          <w:szCs w:val="24"/>
        </w:rPr>
        <w:t xml:space="preserve"> to publish a VSS</w:t>
      </w:r>
      <w:r w:rsidR="00D1654C">
        <w:rPr>
          <w:rFonts w:cs="Times New Roman"/>
          <w:szCs w:val="24"/>
        </w:rPr>
        <w:t>A; however, the maturity of the entity itself, the development of the ADS, and the partnerships</w:t>
      </w:r>
      <w:r w:rsidR="0076785E">
        <w:rPr>
          <w:rFonts w:cs="Times New Roman"/>
          <w:szCs w:val="24"/>
        </w:rPr>
        <w:t xml:space="preserve"> established within the industry, NHTSA does not assume all 32 will develop a VSSA over the coming three years. </w:t>
      </w:r>
      <w:r w:rsidR="00397BB9">
        <w:rPr>
          <w:rFonts w:cs="Times New Roman"/>
          <w:szCs w:val="24"/>
        </w:rPr>
        <w:t xml:space="preserve">This </w:t>
      </w:r>
      <w:r w:rsidR="003B26FD">
        <w:rPr>
          <w:rFonts w:cs="Times New Roman"/>
          <w:szCs w:val="24"/>
        </w:rPr>
        <w:t xml:space="preserve">is bolstered by the fact that </w:t>
      </w:r>
      <w:r w:rsidR="0076785E">
        <w:rPr>
          <w:rFonts w:cs="Times New Roman"/>
          <w:szCs w:val="24"/>
        </w:rPr>
        <w:t xml:space="preserve">it has taken seven years </w:t>
      </w:r>
      <w:r w:rsidR="00397BB9">
        <w:rPr>
          <w:rFonts w:cs="Times New Roman"/>
          <w:szCs w:val="24"/>
        </w:rPr>
        <w:t>for dissemination of 27 VSSAs</w:t>
      </w:r>
      <w:r w:rsidR="003B26FD">
        <w:rPr>
          <w:rFonts w:cs="Times New Roman"/>
          <w:szCs w:val="24"/>
        </w:rPr>
        <w:t xml:space="preserve">. </w:t>
      </w:r>
    </w:p>
    <w:p w:rsidR="003B26FD" w:rsidP="003168F9" w14:paraId="34CEA268" w14:textId="77777777">
      <w:pPr>
        <w:ind w:left="720"/>
        <w:contextualSpacing/>
        <w:rPr>
          <w:rFonts w:cs="Times New Roman"/>
          <w:szCs w:val="24"/>
        </w:rPr>
      </w:pPr>
    </w:p>
    <w:p w:rsidR="003B26FD" w:rsidP="003168F9" w14:paraId="0EDB69A9" w14:textId="57B29630">
      <w:pPr>
        <w:ind w:left="720"/>
        <w:contextualSpacing/>
        <w:rPr>
          <w:rFonts w:cs="Times New Roman"/>
          <w:szCs w:val="24"/>
        </w:rPr>
      </w:pPr>
      <w:r>
        <w:rPr>
          <w:rFonts w:cs="Times New Roman"/>
          <w:szCs w:val="24"/>
        </w:rPr>
        <w:t xml:space="preserve">NHTSA will use the three-year average of four VSSAs per year for an estimation of VSSA dissemination or publication for the duration of this information collection </w:t>
      </w:r>
      <w:r w:rsidR="00561442">
        <w:rPr>
          <w:rFonts w:cs="Times New Roman"/>
          <w:szCs w:val="24"/>
        </w:rPr>
        <w:t>revision</w:t>
      </w:r>
      <w:r>
        <w:rPr>
          <w:rFonts w:cs="Times New Roman"/>
          <w:szCs w:val="24"/>
        </w:rPr>
        <w:t xml:space="preserve">. </w:t>
      </w:r>
      <w:r w:rsidR="002425EB">
        <w:rPr>
          <w:rFonts w:cs="Times New Roman"/>
          <w:szCs w:val="24"/>
        </w:rPr>
        <w:t>Therefore</w:t>
      </w:r>
      <w:r w:rsidR="00056A2C">
        <w:rPr>
          <w:rFonts w:cs="Times New Roman"/>
          <w:szCs w:val="24"/>
        </w:rPr>
        <w:t>,</w:t>
      </w:r>
      <w:r w:rsidR="002425EB">
        <w:rPr>
          <w:rFonts w:cs="Times New Roman"/>
          <w:szCs w:val="24"/>
        </w:rPr>
        <w:t xml:space="preserve"> the number of respondents annually is four and the frequency is once per year. </w:t>
      </w:r>
    </w:p>
    <w:p w:rsidR="00542011" w:rsidP="003168F9" w14:paraId="396565C3" w14:textId="77777777">
      <w:pPr>
        <w:ind w:left="720"/>
        <w:contextualSpacing/>
        <w:rPr>
          <w:rFonts w:cs="Times New Roman"/>
          <w:szCs w:val="24"/>
        </w:rPr>
      </w:pPr>
    </w:p>
    <w:p w:rsidR="009D483C" w:rsidP="002C453E" w14:paraId="6734DDB4" w14:textId="61B7669C">
      <w:pPr>
        <w:tabs>
          <w:tab w:val="left" w:pos="360"/>
        </w:tabs>
        <w:ind w:left="720"/>
      </w:pPr>
      <w:r>
        <w:rPr>
          <w:rFonts w:cs="Times New Roman"/>
          <w:i/>
          <w:iCs/>
          <w:szCs w:val="24"/>
        </w:rPr>
        <w:t>Estimating Burden for Each Respondent:</w:t>
      </w:r>
      <w:r w:rsidR="00CD0117">
        <w:rPr>
          <w:rFonts w:cs="Times New Roman"/>
          <w:i/>
          <w:iCs/>
          <w:szCs w:val="24"/>
        </w:rPr>
        <w:t xml:space="preserve"> </w:t>
      </w:r>
      <w:r>
        <w:rPr>
          <w:color w:val="333333"/>
        </w:rPr>
        <w:t xml:space="preserve">Components of the Voluntary Guidance in </w:t>
      </w:r>
      <w:r>
        <w:rPr>
          <w:i/>
          <w:color w:val="333333"/>
        </w:rPr>
        <w:t xml:space="preserve">ADS 2.0 </w:t>
      </w:r>
      <w:r>
        <w:rPr>
          <w:color w:val="333333"/>
        </w:rPr>
        <w:t>and public disclosure of the VSSA have not changed since release in 2017.</w:t>
      </w:r>
      <w:r>
        <w:t xml:space="preserve"> </w:t>
      </w:r>
      <w:r w:rsidR="004F32F8">
        <w:t>Therefore, these estimates of time to summarize how an entity is addressing the safety elements</w:t>
      </w:r>
      <w:r w:rsidR="005F2678">
        <w:t xml:space="preserve"> remains the same as the current information collection. NHTSA has not received comments that these estimates are erroneous. </w:t>
      </w:r>
    </w:p>
    <w:p w:rsidR="009D483C" w:rsidP="002C453E" w14:paraId="3C21BB8E" w14:textId="1FE021CC">
      <w:pPr>
        <w:tabs>
          <w:tab w:val="left" w:pos="360"/>
        </w:tabs>
        <w:ind w:left="720"/>
        <w:rPr>
          <w:color w:val="333333"/>
        </w:rPr>
      </w:pPr>
      <w:r>
        <w:rPr>
          <w:color w:val="333333"/>
        </w:rPr>
        <w:t xml:space="preserve">Development </w:t>
      </w:r>
      <w:r w:rsidRPr="00425100">
        <w:rPr>
          <w:color w:val="333333"/>
        </w:rPr>
        <w:t xml:space="preserve">of a </w:t>
      </w:r>
      <w:r>
        <w:rPr>
          <w:color w:val="333333"/>
        </w:rPr>
        <w:t>VSSA</w:t>
      </w:r>
      <w:r w:rsidRPr="00425100">
        <w:rPr>
          <w:color w:val="333333"/>
        </w:rPr>
        <w:t xml:space="preserve"> </w:t>
      </w:r>
      <w:r>
        <w:rPr>
          <w:color w:val="333333"/>
        </w:rPr>
        <w:t>is expected to</w:t>
      </w:r>
      <w:r w:rsidRPr="00425100">
        <w:rPr>
          <w:color w:val="333333"/>
        </w:rPr>
        <w:t xml:space="preserve"> involve burden for format</w:t>
      </w:r>
      <w:r>
        <w:rPr>
          <w:color w:val="333333"/>
        </w:rPr>
        <w:t>, content,</w:t>
      </w:r>
      <w:r w:rsidRPr="00425100">
        <w:rPr>
          <w:color w:val="333333"/>
        </w:rPr>
        <w:t xml:space="preserve"> and </w:t>
      </w:r>
      <w:r>
        <w:rPr>
          <w:color w:val="333333"/>
        </w:rPr>
        <w:t>summary</w:t>
      </w:r>
      <w:r w:rsidRPr="00425100">
        <w:rPr>
          <w:color w:val="333333"/>
        </w:rPr>
        <w:t xml:space="preserve">, varying by safety element. NHTSA estimates that each entity will spend </w:t>
      </w:r>
      <w:r>
        <w:rPr>
          <w:color w:val="333333"/>
        </w:rPr>
        <w:t xml:space="preserve">approximately </w:t>
      </w:r>
      <w:r w:rsidRPr="00425100">
        <w:rPr>
          <w:color w:val="333333"/>
        </w:rPr>
        <w:t xml:space="preserve">600 hours to </w:t>
      </w:r>
      <w:r>
        <w:rPr>
          <w:color w:val="333333"/>
        </w:rPr>
        <w:t>develop and disseminate a VSSA</w:t>
      </w:r>
      <w:r w:rsidRPr="00425100">
        <w:rPr>
          <w:color w:val="333333"/>
        </w:rPr>
        <w:t xml:space="preserve">. </w:t>
      </w:r>
      <w:r w:rsidR="007E2076">
        <w:rPr>
          <w:color w:val="333333"/>
        </w:rPr>
        <w:t xml:space="preserve">Table 2 provides a breakdown </w:t>
      </w:r>
      <w:r w:rsidR="003A1195">
        <w:rPr>
          <w:color w:val="333333"/>
        </w:rPr>
        <w:t xml:space="preserve">of burden hours </w:t>
      </w:r>
      <w:r w:rsidR="007E2076">
        <w:rPr>
          <w:color w:val="333333"/>
        </w:rPr>
        <w:t>by safety element.</w:t>
      </w:r>
    </w:p>
    <w:p w:rsidR="009D483C" w:rsidP="002C453E" w14:paraId="53EA36E3" w14:textId="438F38FC">
      <w:pPr>
        <w:tabs>
          <w:tab w:val="left" w:pos="360"/>
        </w:tabs>
        <w:ind w:left="720"/>
      </w:pPr>
      <w:r>
        <w:tab/>
      </w:r>
      <w:r>
        <w:tab/>
      </w:r>
      <w:r>
        <w:t xml:space="preserve">Table </w:t>
      </w:r>
      <w:r w:rsidR="0021586F">
        <w:t>2</w:t>
      </w:r>
      <w:r>
        <w:t>. Burden Hours Estimates for VSSA, per Safety Element</w:t>
      </w:r>
    </w:p>
    <w:tbl>
      <w:tblPr>
        <w:tblStyle w:val="TableGrid"/>
        <w:tblW w:w="0" w:type="auto"/>
        <w:tblInd w:w="1705" w:type="dxa"/>
        <w:tblLook w:val="04A0"/>
      </w:tblPr>
      <w:tblGrid>
        <w:gridCol w:w="4860"/>
        <w:gridCol w:w="1800"/>
      </w:tblGrid>
      <w:tr w14:paraId="4C182B47" w14:textId="77777777" w:rsidTr="00B539C3">
        <w:tblPrEx>
          <w:tblW w:w="0" w:type="auto"/>
          <w:tblInd w:w="1705" w:type="dxa"/>
          <w:tblLook w:val="04A0"/>
        </w:tblPrEx>
        <w:tc>
          <w:tcPr>
            <w:tcW w:w="4860" w:type="dxa"/>
            <w:shd w:val="clear" w:color="auto" w:fill="808080" w:themeFill="background1" w:themeFillShade="80"/>
          </w:tcPr>
          <w:p w:rsidR="00B539C3" w:rsidRPr="002F7753" w:rsidP="00A63971" w14:paraId="5B4873C3" w14:textId="77777777">
            <w:pPr>
              <w:tabs>
                <w:tab w:val="left" w:pos="360"/>
              </w:tabs>
              <w:rPr>
                <w:b/>
                <w:color w:val="FFFFFF" w:themeColor="background1"/>
              </w:rPr>
            </w:pPr>
            <w:r w:rsidRPr="002F7753">
              <w:rPr>
                <w:b/>
                <w:color w:val="FFFFFF" w:themeColor="background1"/>
              </w:rPr>
              <w:t>Safety Element in Voluntary Guidance</w:t>
            </w:r>
          </w:p>
        </w:tc>
        <w:tc>
          <w:tcPr>
            <w:tcW w:w="1800" w:type="dxa"/>
            <w:shd w:val="clear" w:color="auto" w:fill="808080" w:themeFill="background1" w:themeFillShade="80"/>
          </w:tcPr>
          <w:p w:rsidR="00B539C3" w:rsidRPr="002F7753" w:rsidP="00A63971" w14:paraId="058DE838" w14:textId="77777777">
            <w:pPr>
              <w:tabs>
                <w:tab w:val="left" w:pos="360"/>
              </w:tabs>
              <w:jc w:val="center"/>
              <w:rPr>
                <w:b/>
                <w:color w:val="FFFFFF" w:themeColor="background1"/>
              </w:rPr>
            </w:pPr>
            <w:r w:rsidRPr="002F7753">
              <w:rPr>
                <w:b/>
                <w:color w:val="FFFFFF" w:themeColor="background1"/>
              </w:rPr>
              <w:t>Burden Hours for VSSA Development</w:t>
            </w:r>
          </w:p>
        </w:tc>
      </w:tr>
      <w:tr w14:paraId="7CAA4833" w14:textId="77777777" w:rsidTr="00B539C3">
        <w:tblPrEx>
          <w:tblW w:w="0" w:type="auto"/>
          <w:tblInd w:w="1705" w:type="dxa"/>
          <w:tblLook w:val="04A0"/>
        </w:tblPrEx>
        <w:tc>
          <w:tcPr>
            <w:tcW w:w="4860" w:type="dxa"/>
          </w:tcPr>
          <w:p w:rsidR="00B539C3" w:rsidRPr="00A914F1" w:rsidP="00A63971" w14:paraId="56413356" w14:textId="77777777">
            <w:pPr>
              <w:tabs>
                <w:tab w:val="left" w:pos="360"/>
              </w:tabs>
              <w:rPr>
                <w:bCs/>
              </w:rPr>
            </w:pPr>
            <w:r w:rsidRPr="002F7753">
              <w:rPr>
                <w:bCs/>
              </w:rPr>
              <w:t xml:space="preserve">A. </w:t>
            </w:r>
            <w:r w:rsidRPr="00A914F1">
              <w:rPr>
                <w:bCs/>
              </w:rPr>
              <w:t xml:space="preserve">System Safety </w:t>
            </w:r>
          </w:p>
        </w:tc>
        <w:tc>
          <w:tcPr>
            <w:tcW w:w="1800" w:type="dxa"/>
          </w:tcPr>
          <w:p w:rsidR="00B539C3" w:rsidP="00A63971" w14:paraId="1E5B3D57" w14:textId="350F653F">
            <w:pPr>
              <w:tabs>
                <w:tab w:val="left" w:pos="360"/>
              </w:tabs>
              <w:jc w:val="center"/>
            </w:pPr>
            <w:r>
              <w:t>30</w:t>
            </w:r>
          </w:p>
        </w:tc>
      </w:tr>
      <w:tr w14:paraId="7C38042C" w14:textId="77777777" w:rsidTr="00B539C3">
        <w:tblPrEx>
          <w:tblW w:w="0" w:type="auto"/>
          <w:tblInd w:w="1705" w:type="dxa"/>
          <w:tblLook w:val="04A0"/>
        </w:tblPrEx>
        <w:tc>
          <w:tcPr>
            <w:tcW w:w="4860" w:type="dxa"/>
          </w:tcPr>
          <w:p w:rsidR="00B539C3" w:rsidRPr="00A914F1" w:rsidP="00A63971" w14:paraId="2BA0C5C3" w14:textId="77777777">
            <w:pPr>
              <w:tabs>
                <w:tab w:val="left" w:pos="360"/>
              </w:tabs>
            </w:pPr>
            <w:r w:rsidRPr="002F7753">
              <w:rPr>
                <w:bCs/>
              </w:rPr>
              <w:t>B.</w:t>
            </w:r>
            <w:r w:rsidRPr="002F7753">
              <w:t xml:space="preserve"> Operational Design Domain</w:t>
            </w:r>
          </w:p>
        </w:tc>
        <w:tc>
          <w:tcPr>
            <w:tcW w:w="1800" w:type="dxa"/>
          </w:tcPr>
          <w:p w:rsidR="00B539C3" w:rsidP="00A63971" w14:paraId="51CF9FC8" w14:textId="43818515">
            <w:pPr>
              <w:tabs>
                <w:tab w:val="left" w:pos="360"/>
              </w:tabs>
              <w:jc w:val="center"/>
            </w:pPr>
            <w:r w:rsidRPr="007E14D6">
              <w:t>2</w:t>
            </w:r>
            <w:r>
              <w:t>5</w:t>
            </w:r>
          </w:p>
        </w:tc>
      </w:tr>
      <w:tr w14:paraId="0F465C36" w14:textId="77777777" w:rsidTr="00B539C3">
        <w:tblPrEx>
          <w:tblW w:w="0" w:type="auto"/>
          <w:tblInd w:w="1705" w:type="dxa"/>
          <w:tblLook w:val="04A0"/>
        </w:tblPrEx>
        <w:tc>
          <w:tcPr>
            <w:tcW w:w="4860" w:type="dxa"/>
          </w:tcPr>
          <w:p w:rsidR="00B539C3" w:rsidRPr="00A914F1" w:rsidP="00A63971" w14:paraId="0C051375" w14:textId="77777777">
            <w:pPr>
              <w:tabs>
                <w:tab w:val="left" w:pos="360"/>
              </w:tabs>
            </w:pPr>
            <w:r w:rsidRPr="002F7753">
              <w:t>C. Object and Event Detection and Response</w:t>
            </w:r>
          </w:p>
        </w:tc>
        <w:tc>
          <w:tcPr>
            <w:tcW w:w="1800" w:type="dxa"/>
          </w:tcPr>
          <w:p w:rsidR="00B539C3" w:rsidP="00A63971" w14:paraId="39C83291" w14:textId="4A4703EA">
            <w:pPr>
              <w:tabs>
                <w:tab w:val="left" w:pos="360"/>
              </w:tabs>
              <w:jc w:val="center"/>
            </w:pPr>
            <w:r w:rsidRPr="007E14D6">
              <w:t>4</w:t>
            </w:r>
            <w:r>
              <w:t>5</w:t>
            </w:r>
          </w:p>
        </w:tc>
      </w:tr>
      <w:tr w14:paraId="1E0D82E3" w14:textId="77777777" w:rsidTr="00B539C3">
        <w:tblPrEx>
          <w:tblW w:w="0" w:type="auto"/>
          <w:tblInd w:w="1705" w:type="dxa"/>
          <w:tblLook w:val="04A0"/>
        </w:tblPrEx>
        <w:tc>
          <w:tcPr>
            <w:tcW w:w="4860" w:type="dxa"/>
          </w:tcPr>
          <w:p w:rsidR="00B539C3" w:rsidRPr="00A914F1" w:rsidP="00A63971" w14:paraId="194C2CAE" w14:textId="77777777">
            <w:pPr>
              <w:tabs>
                <w:tab w:val="left" w:pos="360"/>
              </w:tabs>
            </w:pPr>
            <w:r w:rsidRPr="002F7753">
              <w:t>D. Fallback</w:t>
            </w:r>
          </w:p>
        </w:tc>
        <w:tc>
          <w:tcPr>
            <w:tcW w:w="1800" w:type="dxa"/>
          </w:tcPr>
          <w:p w:rsidR="00B539C3" w:rsidP="00A63971" w14:paraId="1A5AD75F" w14:textId="182684B6">
            <w:pPr>
              <w:tabs>
                <w:tab w:val="left" w:pos="360"/>
              </w:tabs>
              <w:jc w:val="center"/>
            </w:pPr>
            <w:r>
              <w:t>90</w:t>
            </w:r>
          </w:p>
        </w:tc>
      </w:tr>
      <w:tr w14:paraId="14AE3637" w14:textId="77777777" w:rsidTr="00B539C3">
        <w:tblPrEx>
          <w:tblW w:w="0" w:type="auto"/>
          <w:tblInd w:w="1705" w:type="dxa"/>
          <w:tblLook w:val="04A0"/>
        </w:tblPrEx>
        <w:tc>
          <w:tcPr>
            <w:tcW w:w="4860" w:type="dxa"/>
          </w:tcPr>
          <w:p w:rsidR="00B539C3" w:rsidRPr="00A914F1" w:rsidP="00A63971" w14:paraId="07630101" w14:textId="77777777">
            <w:pPr>
              <w:tabs>
                <w:tab w:val="left" w:pos="360"/>
              </w:tabs>
            </w:pPr>
            <w:r w:rsidRPr="002F7753">
              <w:t>E. Validation Methods</w:t>
            </w:r>
          </w:p>
        </w:tc>
        <w:tc>
          <w:tcPr>
            <w:tcW w:w="1800" w:type="dxa"/>
          </w:tcPr>
          <w:p w:rsidR="00B539C3" w:rsidP="00A63971" w14:paraId="7C2A423A" w14:textId="53BEE95B">
            <w:pPr>
              <w:tabs>
                <w:tab w:val="left" w:pos="360"/>
              </w:tabs>
              <w:jc w:val="center"/>
            </w:pPr>
            <w:r>
              <w:t>90</w:t>
            </w:r>
          </w:p>
        </w:tc>
      </w:tr>
      <w:tr w14:paraId="0F19E968" w14:textId="77777777" w:rsidTr="00B539C3">
        <w:tblPrEx>
          <w:tblW w:w="0" w:type="auto"/>
          <w:tblInd w:w="1705" w:type="dxa"/>
          <w:tblLook w:val="04A0"/>
        </w:tblPrEx>
        <w:tc>
          <w:tcPr>
            <w:tcW w:w="4860" w:type="dxa"/>
          </w:tcPr>
          <w:p w:rsidR="00B539C3" w:rsidRPr="00A914F1" w:rsidP="00A63971" w14:paraId="7A62A46F" w14:textId="77777777">
            <w:pPr>
              <w:tabs>
                <w:tab w:val="left" w:pos="360"/>
              </w:tabs>
            </w:pPr>
            <w:r w:rsidRPr="002F7753">
              <w:t>F. Human Machine Interface</w:t>
            </w:r>
          </w:p>
        </w:tc>
        <w:tc>
          <w:tcPr>
            <w:tcW w:w="1800" w:type="dxa"/>
          </w:tcPr>
          <w:p w:rsidR="00B539C3" w:rsidP="00A63971" w14:paraId="354B28F7" w14:textId="6BC311FF">
            <w:pPr>
              <w:tabs>
                <w:tab w:val="left" w:pos="360"/>
              </w:tabs>
              <w:jc w:val="center"/>
            </w:pPr>
            <w:r>
              <w:t>25</w:t>
            </w:r>
          </w:p>
        </w:tc>
      </w:tr>
      <w:tr w14:paraId="6FBCB55C" w14:textId="77777777" w:rsidTr="00B539C3">
        <w:tblPrEx>
          <w:tblW w:w="0" w:type="auto"/>
          <w:tblInd w:w="1705" w:type="dxa"/>
          <w:tblLook w:val="04A0"/>
        </w:tblPrEx>
        <w:tc>
          <w:tcPr>
            <w:tcW w:w="4860" w:type="dxa"/>
          </w:tcPr>
          <w:p w:rsidR="00B539C3" w:rsidRPr="00A914F1" w:rsidP="00A63971" w14:paraId="701BE351" w14:textId="77777777">
            <w:pPr>
              <w:tabs>
                <w:tab w:val="left" w:pos="360"/>
              </w:tabs>
            </w:pPr>
            <w:r w:rsidRPr="002F7753">
              <w:t>G. Vehicle Cybersecurity</w:t>
            </w:r>
          </w:p>
        </w:tc>
        <w:tc>
          <w:tcPr>
            <w:tcW w:w="1800" w:type="dxa"/>
          </w:tcPr>
          <w:p w:rsidR="00B539C3" w:rsidP="00A63971" w14:paraId="78EC7E87" w14:textId="65DCFCB6">
            <w:pPr>
              <w:tabs>
                <w:tab w:val="left" w:pos="360"/>
              </w:tabs>
              <w:jc w:val="center"/>
            </w:pPr>
            <w:r w:rsidRPr="007E14D6">
              <w:t>2</w:t>
            </w:r>
            <w:r>
              <w:t>5</w:t>
            </w:r>
          </w:p>
        </w:tc>
      </w:tr>
      <w:tr w14:paraId="71FE2332" w14:textId="77777777" w:rsidTr="00B539C3">
        <w:tblPrEx>
          <w:tblW w:w="0" w:type="auto"/>
          <w:tblInd w:w="1705" w:type="dxa"/>
          <w:tblLook w:val="04A0"/>
        </w:tblPrEx>
        <w:tc>
          <w:tcPr>
            <w:tcW w:w="4860" w:type="dxa"/>
          </w:tcPr>
          <w:p w:rsidR="00B539C3" w:rsidRPr="002F7753" w:rsidP="00A63971" w14:paraId="35866C94" w14:textId="77777777">
            <w:pPr>
              <w:tabs>
                <w:tab w:val="left" w:pos="360"/>
              </w:tabs>
            </w:pPr>
            <w:r w:rsidRPr="002F7753">
              <w:t>H. Crashworthiness</w:t>
            </w:r>
          </w:p>
        </w:tc>
        <w:tc>
          <w:tcPr>
            <w:tcW w:w="1800" w:type="dxa"/>
          </w:tcPr>
          <w:p w:rsidR="00B539C3" w:rsidP="00A63971" w14:paraId="010041CF" w14:textId="1622972E">
            <w:pPr>
              <w:tabs>
                <w:tab w:val="left" w:pos="360"/>
              </w:tabs>
              <w:jc w:val="center"/>
            </w:pPr>
            <w:r w:rsidRPr="007E14D6">
              <w:t>2</w:t>
            </w:r>
            <w:r>
              <w:t>5</w:t>
            </w:r>
          </w:p>
        </w:tc>
      </w:tr>
      <w:tr w14:paraId="36974834" w14:textId="77777777" w:rsidTr="00B539C3">
        <w:tblPrEx>
          <w:tblW w:w="0" w:type="auto"/>
          <w:tblInd w:w="1705" w:type="dxa"/>
          <w:tblLook w:val="04A0"/>
        </w:tblPrEx>
        <w:tc>
          <w:tcPr>
            <w:tcW w:w="4860" w:type="dxa"/>
          </w:tcPr>
          <w:p w:rsidR="00B539C3" w:rsidRPr="002F7753" w:rsidP="00A63971" w14:paraId="3D992C43" w14:textId="77777777">
            <w:pPr>
              <w:tabs>
                <w:tab w:val="left" w:pos="360"/>
              </w:tabs>
            </w:pPr>
            <w:r w:rsidRPr="002F7753">
              <w:rPr>
                <w:bCs/>
              </w:rPr>
              <w:t>I.</w:t>
            </w:r>
            <w:r w:rsidRPr="002F7753">
              <w:t xml:space="preserve"> Post-Crash ADS Behavior</w:t>
            </w:r>
          </w:p>
        </w:tc>
        <w:tc>
          <w:tcPr>
            <w:tcW w:w="1800" w:type="dxa"/>
          </w:tcPr>
          <w:p w:rsidR="00B539C3" w:rsidP="00A63971" w14:paraId="3843D1A5" w14:textId="71737B6C">
            <w:pPr>
              <w:tabs>
                <w:tab w:val="left" w:pos="360"/>
              </w:tabs>
              <w:jc w:val="center"/>
            </w:pPr>
            <w:r w:rsidRPr="007E14D6">
              <w:rPr>
                <w:color w:val="333333"/>
              </w:rPr>
              <w:t>2</w:t>
            </w:r>
            <w:r>
              <w:rPr>
                <w:color w:val="333333"/>
              </w:rPr>
              <w:t>5</w:t>
            </w:r>
          </w:p>
        </w:tc>
      </w:tr>
      <w:tr w14:paraId="2AC5AEC6" w14:textId="77777777" w:rsidTr="00B539C3">
        <w:tblPrEx>
          <w:tblW w:w="0" w:type="auto"/>
          <w:tblInd w:w="1705" w:type="dxa"/>
          <w:tblLook w:val="04A0"/>
        </w:tblPrEx>
        <w:tc>
          <w:tcPr>
            <w:tcW w:w="4860" w:type="dxa"/>
          </w:tcPr>
          <w:p w:rsidR="00B539C3" w:rsidRPr="002F7753" w:rsidP="00A63971" w14:paraId="64B9C529" w14:textId="77777777">
            <w:r w:rsidRPr="002F7753">
              <w:t xml:space="preserve">J. </w:t>
            </w:r>
            <w:r w:rsidRPr="00581312">
              <w:t>Data Recording</w:t>
            </w:r>
          </w:p>
        </w:tc>
        <w:tc>
          <w:tcPr>
            <w:tcW w:w="1800" w:type="dxa"/>
            <w:vAlign w:val="center"/>
          </w:tcPr>
          <w:p w:rsidR="00B539C3" w:rsidP="00A63971" w14:paraId="45CDA0AB" w14:textId="5FA014E2">
            <w:pPr>
              <w:tabs>
                <w:tab w:val="left" w:pos="360"/>
              </w:tabs>
              <w:jc w:val="center"/>
            </w:pPr>
            <w:r>
              <w:rPr>
                <w:color w:val="333333"/>
              </w:rPr>
              <w:t>9</w:t>
            </w:r>
            <w:r w:rsidRPr="007E14D6">
              <w:rPr>
                <w:color w:val="333333"/>
              </w:rPr>
              <w:t>0</w:t>
            </w:r>
          </w:p>
        </w:tc>
      </w:tr>
      <w:tr w14:paraId="29FE8475" w14:textId="77777777" w:rsidTr="00B539C3">
        <w:tblPrEx>
          <w:tblW w:w="0" w:type="auto"/>
          <w:tblInd w:w="1705" w:type="dxa"/>
          <w:tblLook w:val="04A0"/>
        </w:tblPrEx>
        <w:tc>
          <w:tcPr>
            <w:tcW w:w="4860" w:type="dxa"/>
          </w:tcPr>
          <w:p w:rsidR="00B539C3" w:rsidRPr="00A914F1" w:rsidP="00A63971" w14:paraId="7CCEB82B" w14:textId="77777777">
            <w:r w:rsidRPr="002F7753">
              <w:t>K. Consumer Education and Training</w:t>
            </w:r>
          </w:p>
        </w:tc>
        <w:tc>
          <w:tcPr>
            <w:tcW w:w="1800" w:type="dxa"/>
          </w:tcPr>
          <w:p w:rsidR="00B539C3" w:rsidP="00A63971" w14:paraId="217C4C73" w14:textId="1EB7E552">
            <w:pPr>
              <w:tabs>
                <w:tab w:val="left" w:pos="360"/>
              </w:tabs>
              <w:jc w:val="center"/>
            </w:pPr>
            <w:r>
              <w:t>45</w:t>
            </w:r>
          </w:p>
        </w:tc>
      </w:tr>
      <w:tr w14:paraId="50337912" w14:textId="77777777" w:rsidTr="00B539C3">
        <w:tblPrEx>
          <w:tblW w:w="0" w:type="auto"/>
          <w:tblInd w:w="1705" w:type="dxa"/>
          <w:tblLook w:val="04A0"/>
        </w:tblPrEx>
        <w:tc>
          <w:tcPr>
            <w:tcW w:w="4860" w:type="dxa"/>
            <w:tcBorders>
              <w:bottom w:val="single" w:sz="12" w:space="0" w:color="auto"/>
            </w:tcBorders>
          </w:tcPr>
          <w:p w:rsidR="00B539C3" w:rsidRPr="00A914F1" w:rsidP="00A63971" w14:paraId="242C4F9A" w14:textId="77777777">
            <w:r w:rsidRPr="002F7753">
              <w:t>L. Federal, State, and Local Laws</w:t>
            </w:r>
          </w:p>
        </w:tc>
        <w:tc>
          <w:tcPr>
            <w:tcW w:w="1800" w:type="dxa"/>
            <w:tcBorders>
              <w:bottom w:val="single" w:sz="12" w:space="0" w:color="auto"/>
            </w:tcBorders>
          </w:tcPr>
          <w:p w:rsidR="00B539C3" w:rsidP="00A63971" w14:paraId="52F68B47" w14:textId="6A544886">
            <w:pPr>
              <w:tabs>
                <w:tab w:val="left" w:pos="360"/>
              </w:tabs>
              <w:jc w:val="center"/>
            </w:pPr>
            <w:r>
              <w:t>85</w:t>
            </w:r>
          </w:p>
        </w:tc>
      </w:tr>
      <w:tr w14:paraId="60B59F9E" w14:textId="77777777" w:rsidTr="00B539C3">
        <w:tblPrEx>
          <w:tblW w:w="0" w:type="auto"/>
          <w:tblInd w:w="1705" w:type="dxa"/>
          <w:tblLook w:val="04A0"/>
        </w:tblPrEx>
        <w:tc>
          <w:tcPr>
            <w:tcW w:w="4860" w:type="dxa"/>
            <w:tcBorders>
              <w:top w:val="single" w:sz="12" w:space="0" w:color="auto"/>
            </w:tcBorders>
          </w:tcPr>
          <w:p w:rsidR="00B539C3" w:rsidRPr="002F7753" w:rsidP="00A63971" w14:paraId="61B87D55" w14:textId="77777777">
            <w:pPr>
              <w:rPr>
                <w:b/>
              </w:rPr>
            </w:pPr>
            <w:r w:rsidRPr="002F7753">
              <w:rPr>
                <w:b/>
              </w:rPr>
              <w:t>Total Burden Hours Per ADS</w:t>
            </w:r>
          </w:p>
        </w:tc>
        <w:tc>
          <w:tcPr>
            <w:tcW w:w="1800" w:type="dxa"/>
            <w:tcBorders>
              <w:top w:val="single" w:sz="12" w:space="0" w:color="auto"/>
            </w:tcBorders>
          </w:tcPr>
          <w:p w:rsidR="00B539C3" w:rsidRPr="00CB30BD" w:rsidP="00A63971" w14:paraId="7DACFEE4" w14:textId="3C866D57">
            <w:pPr>
              <w:tabs>
                <w:tab w:val="left" w:pos="360"/>
              </w:tabs>
              <w:jc w:val="center"/>
              <w:rPr>
                <w:b/>
                <w:bCs/>
              </w:rPr>
            </w:pPr>
            <w:r w:rsidRPr="00CB30BD">
              <w:rPr>
                <w:b/>
                <w:bCs/>
              </w:rPr>
              <w:t>600</w:t>
            </w:r>
          </w:p>
        </w:tc>
      </w:tr>
    </w:tbl>
    <w:p w:rsidR="009D483C" w:rsidP="009D483C" w14:paraId="1E8DAC79" w14:textId="77777777">
      <w:pPr>
        <w:tabs>
          <w:tab w:val="left" w:pos="360"/>
        </w:tabs>
      </w:pPr>
    </w:p>
    <w:p w:rsidR="00056A2C" w:rsidP="009D483C" w14:paraId="03261157" w14:textId="77777777">
      <w:pPr>
        <w:tabs>
          <w:tab w:val="left" w:pos="0"/>
        </w:tabs>
      </w:pPr>
      <w:r>
        <w:tab/>
      </w:r>
      <w:r>
        <w:tab/>
      </w:r>
      <w:r>
        <w:tab/>
      </w:r>
    </w:p>
    <w:p w:rsidR="00056A2C" w14:paraId="06472C0F" w14:textId="77777777">
      <w:r>
        <w:br w:type="page"/>
      </w:r>
    </w:p>
    <w:p w:rsidR="009D483C" w:rsidP="009D483C" w14:paraId="3C1E6716" w14:textId="65E6259A">
      <w:pPr>
        <w:tabs>
          <w:tab w:val="left" w:pos="0"/>
        </w:tabs>
      </w:pPr>
      <w:r>
        <w:tab/>
      </w:r>
      <w:r>
        <w:tab/>
      </w:r>
      <w:r>
        <w:tab/>
      </w:r>
      <w:r>
        <w:t xml:space="preserve">Table </w:t>
      </w:r>
      <w:r w:rsidR="0021586F">
        <w:t>3</w:t>
      </w:r>
      <w:r>
        <w:t>. Calculation of Annual Burden Hours</w:t>
      </w:r>
    </w:p>
    <w:tbl>
      <w:tblPr>
        <w:tblStyle w:val="GridTable41"/>
        <w:tblW w:w="0" w:type="auto"/>
        <w:tblInd w:w="1705" w:type="dxa"/>
        <w:tblLook w:val="0480"/>
      </w:tblPr>
      <w:tblGrid>
        <w:gridCol w:w="4860"/>
        <w:gridCol w:w="1800"/>
      </w:tblGrid>
      <w:tr w14:paraId="3E071585" w14:textId="77777777" w:rsidTr="00A649D2">
        <w:tblPrEx>
          <w:tblW w:w="0" w:type="auto"/>
          <w:tblInd w:w="1705" w:type="dxa"/>
          <w:tblLook w:val="0480"/>
        </w:tblPrEx>
        <w:tc>
          <w:tcPr>
            <w:tcW w:w="4860" w:type="dxa"/>
            <w:tcBorders>
              <w:bottom w:val="single" w:sz="12" w:space="0" w:color="auto"/>
            </w:tcBorders>
          </w:tcPr>
          <w:p w:rsidR="009D483C" w:rsidRPr="00A135A0" w:rsidP="00A63971" w14:paraId="75659B9E" w14:textId="66863533">
            <w:pPr>
              <w:rPr>
                <w:rFonts w:cs="Times New Roman"/>
                <w:b w:val="0"/>
                <w:color w:val="333333"/>
              </w:rPr>
            </w:pPr>
            <w:r w:rsidRPr="00A135A0">
              <w:rPr>
                <w:rFonts w:cs="Times New Roman"/>
                <w:b w:val="0"/>
              </w:rPr>
              <w:t xml:space="preserve">Estimated </w:t>
            </w:r>
            <w:r w:rsidR="00CB30BD">
              <w:rPr>
                <w:rFonts w:cs="Times New Roman"/>
                <w:b w:val="0"/>
              </w:rPr>
              <w:t xml:space="preserve">Annual </w:t>
            </w:r>
            <w:r w:rsidRPr="00A135A0">
              <w:rPr>
                <w:rFonts w:cs="Times New Roman"/>
                <w:b w:val="0"/>
              </w:rPr>
              <w:t>Respondents</w:t>
            </w:r>
          </w:p>
        </w:tc>
        <w:tc>
          <w:tcPr>
            <w:tcW w:w="1800" w:type="dxa"/>
            <w:tcBorders>
              <w:bottom w:val="single" w:sz="12" w:space="0" w:color="auto"/>
            </w:tcBorders>
            <w:vAlign w:val="center"/>
          </w:tcPr>
          <w:p w:rsidR="009D483C" w:rsidRPr="00A135A0" w:rsidP="00A63971" w14:paraId="560FFA6D" w14:textId="10AB1508">
            <w:pPr>
              <w:jc w:val="center"/>
              <w:rPr>
                <w:rFonts w:cs="Times New Roman"/>
                <w:color w:val="333333"/>
              </w:rPr>
            </w:pPr>
            <w:r>
              <w:rPr>
                <w:rFonts w:cs="Times New Roman"/>
              </w:rPr>
              <w:t>4</w:t>
            </w:r>
          </w:p>
        </w:tc>
      </w:tr>
      <w:tr w14:paraId="68A3B920" w14:textId="77777777" w:rsidTr="00A649D2">
        <w:tblPrEx>
          <w:tblW w:w="0" w:type="auto"/>
          <w:tblInd w:w="1705" w:type="dxa"/>
          <w:tblLook w:val="0480"/>
        </w:tblPrEx>
        <w:tc>
          <w:tcPr>
            <w:tcW w:w="4860" w:type="dxa"/>
          </w:tcPr>
          <w:p w:rsidR="009D483C" w:rsidRPr="00A135A0" w:rsidP="00CB30BD" w14:paraId="30D154B4" w14:textId="5894CB47">
            <w:pPr>
              <w:rPr>
                <w:rFonts w:cs="Times New Roman"/>
                <w:b w:val="0"/>
                <w:color w:val="333333"/>
              </w:rPr>
            </w:pPr>
            <w:r w:rsidRPr="00A135A0">
              <w:rPr>
                <w:rFonts w:cs="Times New Roman"/>
                <w:b w:val="0"/>
              </w:rPr>
              <w:t xml:space="preserve">Estimated Burden </w:t>
            </w:r>
            <w:r>
              <w:rPr>
                <w:rFonts w:cs="Times New Roman"/>
                <w:b w:val="0"/>
              </w:rPr>
              <w:t xml:space="preserve">Hours </w:t>
            </w:r>
            <w:r w:rsidRPr="00A135A0">
              <w:rPr>
                <w:rFonts w:cs="Times New Roman"/>
                <w:b w:val="0"/>
              </w:rPr>
              <w:t xml:space="preserve">for Voluntary Assessment </w:t>
            </w:r>
            <w:r w:rsidR="00CB30BD">
              <w:rPr>
                <w:rFonts w:cs="Times New Roman"/>
                <w:b w:val="0"/>
              </w:rPr>
              <w:t>Dissemination</w:t>
            </w:r>
          </w:p>
        </w:tc>
        <w:tc>
          <w:tcPr>
            <w:tcW w:w="1800" w:type="dxa"/>
            <w:vAlign w:val="center"/>
          </w:tcPr>
          <w:p w:rsidR="009D483C" w:rsidRPr="00A135A0" w:rsidP="00A63971" w14:paraId="69AB3882" w14:textId="6F835245">
            <w:pPr>
              <w:jc w:val="center"/>
              <w:rPr>
                <w:rFonts w:cs="Times New Roman"/>
                <w:color w:val="333333"/>
              </w:rPr>
            </w:pPr>
            <w:r>
              <w:rPr>
                <w:rFonts w:cs="Times New Roman"/>
              </w:rPr>
              <w:t>60</w:t>
            </w:r>
            <w:r w:rsidRPr="00A135A0">
              <w:rPr>
                <w:rFonts w:cs="Times New Roman"/>
              </w:rPr>
              <w:t>0</w:t>
            </w:r>
            <w:r>
              <w:rPr>
                <w:rFonts w:cs="Times New Roman"/>
              </w:rPr>
              <w:t xml:space="preserve"> hours</w:t>
            </w:r>
          </w:p>
        </w:tc>
      </w:tr>
      <w:tr w14:paraId="7DAC06F9" w14:textId="77777777" w:rsidTr="00A649D2">
        <w:tblPrEx>
          <w:tblW w:w="0" w:type="auto"/>
          <w:tblInd w:w="1705" w:type="dxa"/>
          <w:tblLook w:val="0480"/>
        </w:tblPrEx>
        <w:tc>
          <w:tcPr>
            <w:tcW w:w="4860" w:type="dxa"/>
            <w:tcBorders>
              <w:top w:val="single" w:sz="12" w:space="0" w:color="auto"/>
            </w:tcBorders>
          </w:tcPr>
          <w:p w:rsidR="009D483C" w:rsidRPr="002F7753" w:rsidP="00A63971" w14:paraId="75630E28" w14:textId="77777777">
            <w:pPr>
              <w:rPr>
                <w:rFonts w:cs="Times New Roman"/>
              </w:rPr>
            </w:pPr>
            <w:r w:rsidRPr="002F7753">
              <w:rPr>
                <w:rFonts w:cs="Times New Roman"/>
              </w:rPr>
              <w:t>Total Estimated Burden Hours for Industry per Year</w:t>
            </w:r>
          </w:p>
        </w:tc>
        <w:tc>
          <w:tcPr>
            <w:tcW w:w="1800" w:type="dxa"/>
            <w:tcBorders>
              <w:top w:val="single" w:sz="12" w:space="0" w:color="auto"/>
            </w:tcBorders>
            <w:vAlign w:val="center"/>
          </w:tcPr>
          <w:p w:rsidR="009D483C" w:rsidRPr="002F7753" w:rsidP="00A63971" w14:paraId="7422FF60" w14:textId="7657FCFC">
            <w:pPr>
              <w:jc w:val="center"/>
              <w:rPr>
                <w:rFonts w:cs="Times New Roman"/>
                <w:b/>
              </w:rPr>
            </w:pPr>
            <w:r w:rsidRPr="002F7753">
              <w:rPr>
                <w:rFonts w:cs="Times New Roman"/>
                <w:b/>
              </w:rPr>
              <w:t>2,</w:t>
            </w:r>
            <w:r w:rsidR="00CB30BD">
              <w:rPr>
                <w:rFonts w:cs="Times New Roman"/>
                <w:b/>
              </w:rPr>
              <w:t>4</w:t>
            </w:r>
            <w:r w:rsidRPr="002F7753">
              <w:rPr>
                <w:rFonts w:cs="Times New Roman"/>
                <w:b/>
              </w:rPr>
              <w:t>00 hours</w:t>
            </w:r>
          </w:p>
        </w:tc>
      </w:tr>
    </w:tbl>
    <w:p w:rsidR="00542011" w:rsidRPr="00CD0117" w:rsidP="003168F9" w14:paraId="7E2948D0" w14:textId="4B947D76">
      <w:pPr>
        <w:ind w:left="720"/>
        <w:contextualSpacing/>
        <w:rPr>
          <w:rFonts w:cs="Times New Roman"/>
          <w:szCs w:val="24"/>
        </w:rPr>
      </w:pPr>
    </w:p>
    <w:p w:rsidR="00D80450" w:rsidRPr="007C7AAB" w:rsidP="0069588D" w14:paraId="587B7E02" w14:textId="77777777">
      <w:pPr>
        <w:ind w:left="720"/>
        <w:contextualSpacing/>
        <w:rPr>
          <w:rFonts w:cs="Times New Roman"/>
          <w:szCs w:val="24"/>
        </w:rPr>
      </w:pPr>
    </w:p>
    <w:p w:rsidR="007E2076" w:rsidP="00D41233" w14:paraId="09A1CD7C" w14:textId="4CC9D35F">
      <w:pPr>
        <w:ind w:left="720"/>
      </w:pPr>
      <w:r w:rsidRPr="00CB6397">
        <w:rPr>
          <w:rFonts w:eastAsia="Calibri"/>
        </w:rPr>
        <w:t xml:space="preserve">NHTSA estimates the hourly cost associated with </w:t>
      </w:r>
      <w:r>
        <w:rPr>
          <w:rFonts w:eastAsia="Calibri"/>
        </w:rPr>
        <w:t xml:space="preserve">preparing VSSAs </w:t>
      </w:r>
      <w:r w:rsidRPr="00CB6397">
        <w:rPr>
          <w:rFonts w:eastAsia="Calibri"/>
        </w:rPr>
        <w:t>to be $</w:t>
      </w:r>
      <w:r w:rsidR="00324ED6">
        <w:rPr>
          <w:rFonts w:eastAsia="Calibri"/>
        </w:rPr>
        <w:t>117</w:t>
      </w:r>
      <w:r w:rsidRPr="00CB6397">
        <w:rPr>
          <w:rFonts w:eastAsia="Calibri"/>
        </w:rPr>
        <w:t>.</w:t>
      </w:r>
      <w:r w:rsidR="00324ED6">
        <w:rPr>
          <w:rFonts w:eastAsia="Calibri"/>
        </w:rPr>
        <w:t>6</w:t>
      </w:r>
      <w:r w:rsidRPr="00CB6397">
        <w:rPr>
          <w:rFonts w:eastAsia="Calibri"/>
        </w:rPr>
        <w:t>6</w:t>
      </w:r>
      <w:r>
        <w:rPr>
          <w:rFonts w:eastAsia="Calibri"/>
          <w:vertAlign w:val="superscript"/>
        </w:rPr>
        <w:footnoteReference w:id="5"/>
      </w:r>
      <w:r w:rsidRPr="00CB6397">
        <w:rPr>
          <w:rFonts w:eastAsia="Calibri"/>
        </w:rPr>
        <w:t xml:space="preserve"> per hour using the Bureau of Labor Statistics’ mean hourly wage estimate for architectural and engineering managers in the motor vehicle manufacturing industry (Standard Occupational Classification # 11-9041).</w:t>
      </w:r>
      <w:r>
        <w:rPr>
          <w:rFonts w:eastAsia="Calibri"/>
        </w:rPr>
        <w:t xml:space="preserve"> Therefore,</w:t>
      </w:r>
      <w:r>
        <w:t xml:space="preserve"> the estimated annual burden to each respondent is $</w:t>
      </w:r>
      <w:r w:rsidR="008C08EE">
        <w:t>70</w:t>
      </w:r>
      <w:r>
        <w:t>,</w:t>
      </w:r>
      <w:r w:rsidR="008C08EE">
        <w:t>596</w:t>
      </w:r>
      <w:r>
        <w:t xml:space="preserve"> (600 hours × $</w:t>
      </w:r>
      <w:r w:rsidR="008C08EE">
        <w:t>117</w:t>
      </w:r>
      <w:r>
        <w:t>.</w:t>
      </w:r>
      <w:r w:rsidR="008C08EE">
        <w:t>6</w:t>
      </w:r>
      <w:r>
        <w:t>6)</w:t>
      </w:r>
      <w:r w:rsidR="00922FE5">
        <w:t xml:space="preserve"> and</w:t>
      </w:r>
      <w:r>
        <w:t xml:space="preserve"> the </w:t>
      </w:r>
      <w:r w:rsidR="008C08EE">
        <w:t>annual</w:t>
      </w:r>
      <w:r>
        <w:t xml:space="preserve"> estimated labor costs to all respondents to this collection is $</w:t>
      </w:r>
      <w:r w:rsidR="008C08EE">
        <w:t>282</w:t>
      </w:r>
      <w:r>
        <w:t>,3</w:t>
      </w:r>
      <w:r w:rsidR="00A34F29">
        <w:t>84</w:t>
      </w:r>
      <w:r>
        <w:t xml:space="preserve">. </w:t>
      </w:r>
    </w:p>
    <w:p w:rsidR="0069588D" w:rsidRPr="0069588D" w:rsidP="0069588D" w14:paraId="55549E52" w14:textId="77777777">
      <w:pPr>
        <w:autoSpaceDE w:val="0"/>
        <w:autoSpaceDN w:val="0"/>
        <w:adjustRightInd w:val="0"/>
        <w:spacing w:after="0" w:line="240" w:lineRule="auto"/>
        <w:ind w:left="1440" w:right="360"/>
        <w:contextualSpacing/>
        <w:rPr>
          <w:rFonts w:cs="Times New Roman"/>
          <w:sz w:val="22"/>
          <w:highlight w:val="yellow"/>
        </w:rPr>
      </w:pPr>
    </w:p>
    <w:p w:rsidR="00DF3DC9" w:rsidRPr="00E9530E" w:rsidP="004D64A7" w14:paraId="2A4A88BB" w14:textId="77777777">
      <w:pPr>
        <w:pStyle w:val="ListParagraph"/>
        <w:numPr>
          <w:ilvl w:val="0"/>
          <w:numId w:val="1"/>
        </w:numPr>
        <w:autoSpaceDE w:val="0"/>
        <w:autoSpaceDN w:val="0"/>
        <w:adjustRightInd w:val="0"/>
        <w:spacing w:after="0" w:line="240" w:lineRule="auto"/>
        <w:rPr>
          <w:rFonts w:cs="Times New Roman"/>
          <w:b/>
          <w:szCs w:val="24"/>
        </w:rPr>
      </w:pPr>
      <w:bookmarkStart w:id="18" w:name="_Hlk51332101"/>
      <w:r w:rsidRPr="00E9530E">
        <w:rPr>
          <w:rFonts w:cs="Times New Roman"/>
          <w:b/>
          <w:szCs w:val="24"/>
        </w:rPr>
        <w:t xml:space="preserve">Provide an estimate of the total annual cost burden to respondents or record keepers resulting from the collection of information. Do not include the cost of any hour burden already reflected in the response provided in question 12.  </w:t>
      </w:r>
    </w:p>
    <w:bookmarkEnd w:id="18"/>
    <w:p w:rsidR="00DF3DC9" w:rsidRPr="00DF3DC9" w:rsidP="00DF3DC9" w14:paraId="086C38B7" w14:textId="77777777">
      <w:pPr>
        <w:pStyle w:val="ListParagraph"/>
        <w:autoSpaceDE w:val="0"/>
        <w:autoSpaceDN w:val="0"/>
        <w:adjustRightInd w:val="0"/>
        <w:spacing w:after="0" w:line="240" w:lineRule="auto"/>
        <w:rPr>
          <w:rFonts w:cs="Times New Roman"/>
          <w:szCs w:val="24"/>
        </w:rPr>
      </w:pPr>
    </w:p>
    <w:p w:rsidR="005B15D1" w:rsidP="005B15D1" w14:paraId="07AD483D" w14:textId="77777777">
      <w:pPr>
        <w:ind w:left="720"/>
      </w:pPr>
      <w:r>
        <w:t>NHTSA does not anticipate any further burden to respondents beyond the labor costs included in response to question 12.</w:t>
      </w:r>
    </w:p>
    <w:p w:rsidR="00DF3DC9" w:rsidRPr="00DF3DC9" w:rsidP="00DF3DC9" w14:paraId="64994743" w14:textId="77777777">
      <w:pPr>
        <w:autoSpaceDE w:val="0"/>
        <w:autoSpaceDN w:val="0"/>
        <w:adjustRightInd w:val="0"/>
        <w:spacing w:after="0" w:line="240" w:lineRule="auto"/>
        <w:ind w:left="1080"/>
        <w:contextualSpacing/>
        <w:rPr>
          <w:rFonts w:cs="Times New Roman"/>
          <w:szCs w:val="24"/>
          <w:highlight w:val="yellow"/>
        </w:rPr>
      </w:pPr>
    </w:p>
    <w:p w:rsidR="00DF3DC9" w:rsidRPr="00505840" w:rsidP="004D64A7" w14:paraId="674FCB46" w14:textId="77777777">
      <w:pPr>
        <w:pStyle w:val="ListParagraph"/>
        <w:numPr>
          <w:ilvl w:val="0"/>
          <w:numId w:val="1"/>
        </w:numPr>
        <w:spacing w:line="240" w:lineRule="auto"/>
        <w:rPr>
          <w:rFonts w:cs="Times New Roman"/>
          <w:b/>
          <w:szCs w:val="24"/>
        </w:rPr>
      </w:pPr>
      <w:bookmarkStart w:id="19" w:name="_Hlk51332118"/>
      <w:r w:rsidRPr="00505840">
        <w:rPr>
          <w:rFonts w:cs="Times New Roman"/>
          <w:b/>
          <w:szCs w:val="24"/>
        </w:rPr>
        <w:t xml:space="preserve">Provide estimates of annualized costs to the Federal government.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bookmarkEnd w:id="19"/>
    <w:p w:rsidR="00E92152" w:rsidRPr="00E92152" w:rsidP="00E92152" w14:paraId="526B165B" w14:textId="77777777">
      <w:pPr>
        <w:pStyle w:val="ListParagraph"/>
      </w:pPr>
    </w:p>
    <w:p w:rsidR="00E92152" w:rsidP="00E92152" w14:paraId="11C1CF66" w14:textId="4592A295">
      <w:pPr>
        <w:pStyle w:val="ListParagraph"/>
      </w:pPr>
      <w:r w:rsidRPr="00E92152">
        <w:rPr>
          <w:i/>
        </w:rPr>
        <w:t>ADS 2.</w:t>
      </w:r>
      <w:r w:rsidRPr="00270349">
        <w:t>0</w:t>
      </w:r>
      <w:r>
        <w:t xml:space="preserve"> suggests entities publicly disclose the VSSA rather than submit any documentation to NHTSA. NHTSA is not reviewing the VSSA nor approving the assessment, thus there is no additional burden for such activity. Staff will monitor activity for awareness and read any VSSAs publicly disclosed. With an average of four responses annually, each VSSA may take </w:t>
      </w:r>
      <w:r w:rsidR="007629D4">
        <w:t xml:space="preserve">under </w:t>
      </w:r>
      <w:r>
        <w:t>an hour to read thoroughly for staff overseeing work on ADSs.</w:t>
      </w:r>
      <w:r w:rsidRPr="00455812">
        <w:t xml:space="preserve"> </w:t>
      </w:r>
      <w:r w:rsidR="007629D4">
        <w:t xml:space="preserve">Posting the VSSA link to the VSSA Index is approximated by the Office of Communications and Consumer Information to be about two minutes per post. </w:t>
      </w:r>
      <w:r w:rsidRPr="00455812">
        <w:t xml:space="preserve">We estimate the </w:t>
      </w:r>
      <w:r>
        <w:t>government costs for reviewing</w:t>
      </w:r>
      <w:r w:rsidR="007629D4">
        <w:t xml:space="preserve"> and posting a</w:t>
      </w:r>
      <w:r>
        <w:t xml:space="preserve"> VSSA</w:t>
      </w:r>
      <w:r w:rsidRPr="00455812">
        <w:t xml:space="preserve"> based on a </w:t>
      </w:r>
      <w:r w:rsidR="00101554">
        <w:t xml:space="preserve">headquarters-based </w:t>
      </w:r>
      <w:r w:rsidRPr="00455812">
        <w:t>NHTSA analyst at a GS-13 salary. The hourly wage of a GS-13-5 employee</w:t>
      </w:r>
      <w:r w:rsidR="00101554">
        <w:t xml:space="preserve"> in the Washington DC/Baltimore region</w:t>
      </w:r>
      <w:r w:rsidRPr="00455812">
        <w:t xml:space="preserve"> is $</w:t>
      </w:r>
      <w:r w:rsidR="00CC14F0">
        <w:t>64</w:t>
      </w:r>
      <w:r w:rsidRPr="00455812">
        <w:t>.</w:t>
      </w:r>
      <w:r w:rsidR="00CC14F0">
        <w:t>06</w:t>
      </w:r>
      <w:r w:rsidRPr="00455812">
        <w:t>.</w:t>
      </w:r>
      <w:r>
        <w:rPr>
          <w:vertAlign w:val="superscript"/>
        </w:rPr>
        <w:footnoteReference w:id="6"/>
      </w:r>
      <w:r w:rsidRPr="00455812">
        <w:t xml:space="preserve"> </w:t>
      </w:r>
      <w:r>
        <w:t xml:space="preserve"> Thus, at an average of </w:t>
      </w:r>
      <w:r w:rsidR="00CC14F0">
        <w:t>four</w:t>
      </w:r>
      <w:r>
        <w:t xml:space="preserve"> hours per year at a cost of </w:t>
      </w:r>
      <w:r w:rsidRPr="00CB6397">
        <w:t>$</w:t>
      </w:r>
      <w:r w:rsidR="00CC14F0">
        <w:t>64</w:t>
      </w:r>
      <w:r w:rsidRPr="0064394F">
        <w:t>.</w:t>
      </w:r>
      <w:r w:rsidR="00CC14F0">
        <w:t>06</w:t>
      </w:r>
      <w:r w:rsidRPr="00CB6397">
        <w:t xml:space="preserve"> per hour,</w:t>
      </w:r>
      <w:r>
        <w:t xml:space="preserve"> the total annual cost to the government is estimated at $</w:t>
      </w:r>
      <w:r w:rsidR="0001716F">
        <w:t>256</w:t>
      </w:r>
      <w:r>
        <w:t>.2</w:t>
      </w:r>
      <w:r w:rsidR="0001716F">
        <w:t>4</w:t>
      </w:r>
      <w:r>
        <w:t xml:space="preserve"> per year. </w:t>
      </w:r>
    </w:p>
    <w:p w:rsidR="003F326F" w:rsidRPr="00DF3DC9" w:rsidP="00DF3DC9" w14:paraId="1701CBA9" w14:textId="77777777">
      <w:pPr>
        <w:ind w:left="720"/>
        <w:contextualSpacing/>
        <w:rPr>
          <w:rFonts w:cs="Times New Roman"/>
          <w:szCs w:val="24"/>
        </w:rPr>
      </w:pPr>
    </w:p>
    <w:p w:rsidR="00DF3DC9" w:rsidRPr="00E9530E" w:rsidP="004D64A7" w14:paraId="7B4B1388" w14:textId="4D8C6402">
      <w:pPr>
        <w:numPr>
          <w:ilvl w:val="0"/>
          <w:numId w:val="1"/>
        </w:numPr>
        <w:autoSpaceDE w:val="0"/>
        <w:autoSpaceDN w:val="0"/>
        <w:adjustRightInd w:val="0"/>
        <w:spacing w:after="0" w:line="240" w:lineRule="auto"/>
        <w:contextualSpacing/>
        <w:rPr>
          <w:rFonts w:cs="Times New Roman"/>
          <w:b/>
          <w:szCs w:val="24"/>
        </w:rPr>
      </w:pPr>
      <w:bookmarkStart w:id="20" w:name="_Hlk63087643"/>
      <w:bookmarkStart w:id="21" w:name="_Hlk51332149"/>
      <w:r w:rsidRPr="00E9530E">
        <w:rPr>
          <w:rFonts w:cs="Times New Roman"/>
          <w:b/>
          <w:szCs w:val="24"/>
        </w:rPr>
        <w:t xml:space="preserve">Explain the reasons for any program changes or adjustments reported on the burden worksheet. If this is a new collection, the program change will be </w:t>
      </w:r>
      <w:r w:rsidR="00D1234E">
        <w:rPr>
          <w:rFonts w:cs="Times New Roman"/>
          <w:b/>
          <w:szCs w:val="24"/>
        </w:rPr>
        <w:t xml:space="preserve">the </w:t>
      </w:r>
      <w:r w:rsidRPr="00E9530E" w:rsidR="00D1234E">
        <w:rPr>
          <w:rFonts w:cs="Times New Roman"/>
          <w:b/>
          <w:szCs w:val="24"/>
        </w:rPr>
        <w:t>number of burden hours reported in response to question 12</w:t>
      </w:r>
      <w:r w:rsidR="00D1234E">
        <w:rPr>
          <w:rFonts w:cs="Times New Roman"/>
          <w:b/>
          <w:szCs w:val="24"/>
        </w:rPr>
        <w:t xml:space="preserve"> and the </w:t>
      </w:r>
      <w:r w:rsidRPr="00E9530E">
        <w:rPr>
          <w:rFonts w:cs="Times New Roman"/>
          <w:b/>
          <w:szCs w:val="24"/>
        </w:rPr>
        <w:t xml:space="preserve">entire burden cost  </w:t>
      </w:r>
      <w:r w:rsidRPr="00E9530E" w:rsidR="00D1234E">
        <w:rPr>
          <w:rFonts w:cs="Times New Roman"/>
          <w:b/>
          <w:szCs w:val="24"/>
        </w:rPr>
        <w:t>reported in response to question</w:t>
      </w:r>
      <w:r w:rsidR="00BD331C">
        <w:rPr>
          <w:rFonts w:cs="Times New Roman"/>
          <w:b/>
          <w:szCs w:val="24"/>
        </w:rPr>
        <w:t xml:space="preserve"> </w:t>
      </w:r>
      <w:r w:rsidRPr="00E9530E">
        <w:rPr>
          <w:rFonts w:cs="Times New Roman"/>
          <w:b/>
          <w:szCs w:val="24"/>
        </w:rPr>
        <w:t>13. If this is a renewal or reinstatement, the change is the difference between the new burden estimates and the burden estimates from the last OMB approval</w:t>
      </w:r>
      <w:r w:rsidR="00F7768F">
        <w:rPr>
          <w:rFonts w:cs="Times New Roman"/>
          <w:b/>
          <w:szCs w:val="24"/>
        </w:rPr>
        <w:t xml:space="preserve">. </w:t>
      </w:r>
      <w:bookmarkEnd w:id="20"/>
      <w:r w:rsidRPr="00E9530E">
        <w:rPr>
          <w:rFonts w:cs="Times New Roman"/>
          <w:b/>
          <w:szCs w:val="24"/>
        </w:rPr>
        <w:t xml:space="preserve"> </w:t>
      </w:r>
    </w:p>
    <w:bookmarkEnd w:id="21"/>
    <w:p w:rsidR="00DF3DC9" w:rsidRPr="00DF3DC9" w:rsidP="00DF3DC9" w14:paraId="0A3950A1" w14:textId="77777777">
      <w:pPr>
        <w:ind w:left="720"/>
        <w:contextualSpacing/>
        <w:rPr>
          <w:rFonts w:cs="Times New Roman"/>
          <w:szCs w:val="24"/>
        </w:rPr>
      </w:pPr>
    </w:p>
    <w:p w:rsidR="00DF3DC9" w:rsidP="00DF3DC9" w14:paraId="7741BD66" w14:textId="5A22ED48">
      <w:pPr>
        <w:autoSpaceDE w:val="0"/>
        <w:autoSpaceDN w:val="0"/>
        <w:adjustRightInd w:val="0"/>
        <w:spacing w:after="0" w:line="240" w:lineRule="auto"/>
        <w:ind w:left="720"/>
        <w:contextualSpacing/>
        <w:rPr>
          <w:rFonts w:cs="Times New Roman"/>
          <w:szCs w:val="24"/>
        </w:rPr>
      </w:pPr>
      <w:r>
        <w:rPr>
          <w:rFonts w:cs="Times New Roman"/>
          <w:szCs w:val="24"/>
        </w:rPr>
        <w:t xml:space="preserve">NHTSA has reviewed </w:t>
      </w:r>
      <w:r w:rsidR="005062A5">
        <w:rPr>
          <w:rFonts w:cs="Times New Roman"/>
          <w:szCs w:val="24"/>
        </w:rPr>
        <w:t>VSSA dissemination since 2017, the</w:t>
      </w:r>
      <w:r w:rsidR="00265968">
        <w:rPr>
          <w:rFonts w:cs="Times New Roman"/>
          <w:szCs w:val="24"/>
        </w:rPr>
        <w:t xml:space="preserve"> current universe of potential entities that may develop a VSSA and </w:t>
      </w:r>
      <w:r w:rsidR="00F277D8">
        <w:rPr>
          <w:rFonts w:cs="Times New Roman"/>
          <w:szCs w:val="24"/>
        </w:rPr>
        <w:t>adjusted the burden for this information collection. The number of annual respondents has decreased from 20 to four. The burden hours per respondent ha</w:t>
      </w:r>
      <w:r w:rsidR="009F2B9F">
        <w:rPr>
          <w:rFonts w:cs="Times New Roman"/>
          <w:szCs w:val="24"/>
        </w:rPr>
        <w:t>ve</w:t>
      </w:r>
      <w:r w:rsidR="00F277D8">
        <w:rPr>
          <w:rFonts w:cs="Times New Roman"/>
          <w:szCs w:val="24"/>
        </w:rPr>
        <w:t xml:space="preserve"> not changed. Labor rates and costs to the federal government now reflect the changes to annual burden and changes in wage rates. </w:t>
      </w:r>
    </w:p>
    <w:p w:rsidR="00F277D8" w:rsidP="00DF3DC9" w14:paraId="4F93A477" w14:textId="77777777">
      <w:pPr>
        <w:autoSpaceDE w:val="0"/>
        <w:autoSpaceDN w:val="0"/>
        <w:adjustRightInd w:val="0"/>
        <w:spacing w:after="0" w:line="240" w:lineRule="auto"/>
        <w:ind w:left="720"/>
        <w:contextualSpacing/>
        <w:rPr>
          <w:rFonts w:cs="Times New Roman"/>
          <w:szCs w:val="24"/>
        </w:rPr>
      </w:pPr>
    </w:p>
    <w:p w:rsidR="00F277D8" w:rsidP="00DF3DC9" w14:paraId="5C3FC36A" w14:textId="74A1D202">
      <w:pPr>
        <w:autoSpaceDE w:val="0"/>
        <w:autoSpaceDN w:val="0"/>
        <w:adjustRightInd w:val="0"/>
        <w:spacing w:after="0" w:line="240" w:lineRule="auto"/>
        <w:ind w:left="720"/>
        <w:contextualSpacing/>
        <w:rPr>
          <w:rFonts w:cs="Times New Roman"/>
          <w:szCs w:val="24"/>
        </w:rPr>
      </w:pPr>
      <w:r>
        <w:rPr>
          <w:rFonts w:cs="Times New Roman"/>
          <w:szCs w:val="24"/>
        </w:rPr>
        <w:t xml:space="preserve">With these changes, this </w:t>
      </w:r>
      <w:r w:rsidR="00561442">
        <w:rPr>
          <w:rFonts w:cs="Times New Roman"/>
          <w:szCs w:val="24"/>
        </w:rPr>
        <w:t>revision</w:t>
      </w:r>
      <w:r>
        <w:rPr>
          <w:rFonts w:cs="Times New Roman"/>
          <w:szCs w:val="24"/>
        </w:rPr>
        <w:t xml:space="preserve"> reflects a decrease of </w:t>
      </w:r>
      <w:r w:rsidR="00A47EEE">
        <w:rPr>
          <w:rFonts w:cs="Times New Roman"/>
          <w:szCs w:val="24"/>
        </w:rPr>
        <w:t>9,600</w:t>
      </w:r>
      <w:r w:rsidR="00737484">
        <w:rPr>
          <w:rFonts w:cs="Times New Roman"/>
          <w:szCs w:val="24"/>
        </w:rPr>
        <w:t xml:space="preserve"> hours annually, a decrease in annual labor costs of $885,936</w:t>
      </w:r>
      <w:r w:rsidR="00535912">
        <w:rPr>
          <w:rFonts w:cs="Times New Roman"/>
          <w:szCs w:val="24"/>
        </w:rPr>
        <w:t xml:space="preserve">, and a decrease in the cost to the federal government of </w:t>
      </w:r>
      <w:r w:rsidR="00160438">
        <w:rPr>
          <w:rFonts w:cs="Times New Roman"/>
          <w:szCs w:val="24"/>
        </w:rPr>
        <w:t>$869.96.</w:t>
      </w:r>
    </w:p>
    <w:p w:rsidR="00101554" w:rsidRPr="00DF3DC9" w:rsidP="00DF3DC9" w14:paraId="3B749BDD" w14:textId="77777777">
      <w:pPr>
        <w:autoSpaceDE w:val="0"/>
        <w:autoSpaceDN w:val="0"/>
        <w:adjustRightInd w:val="0"/>
        <w:spacing w:after="0" w:line="240" w:lineRule="auto"/>
        <w:ind w:left="720"/>
        <w:contextualSpacing/>
        <w:rPr>
          <w:rFonts w:cs="Times New Roman"/>
          <w:szCs w:val="24"/>
        </w:rPr>
      </w:pPr>
    </w:p>
    <w:p w:rsidR="00DF3DC9" w:rsidRPr="00E9530E" w:rsidP="004D64A7" w14:paraId="300BE020" w14:textId="77777777">
      <w:pPr>
        <w:numPr>
          <w:ilvl w:val="0"/>
          <w:numId w:val="1"/>
        </w:numPr>
        <w:autoSpaceDE w:val="0"/>
        <w:autoSpaceDN w:val="0"/>
        <w:adjustRightInd w:val="0"/>
        <w:spacing w:after="0" w:line="240" w:lineRule="auto"/>
        <w:contextualSpacing/>
        <w:rPr>
          <w:rFonts w:cs="Times New Roman"/>
          <w:b/>
          <w:szCs w:val="24"/>
        </w:rPr>
      </w:pPr>
      <w:bookmarkStart w:id="22" w:name="_Hlk51332176"/>
      <w:r w:rsidRPr="00E9530E">
        <w:rPr>
          <w:rFonts w:cs="Times New Roman"/>
          <w:b/>
          <w:szCs w:val="24"/>
        </w:rPr>
        <w:t xml:space="preserve">For </w:t>
      </w:r>
      <w:bookmarkStart w:id="23" w:name="_Hlk63087690"/>
      <w:r w:rsidRPr="00E9530E">
        <w:rPr>
          <w:rFonts w:cs="Times New Roman"/>
          <w:b/>
          <w:szCs w:val="24"/>
        </w:rPr>
        <w:t xml:space="preserve">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as applicable. </w:t>
      </w:r>
    </w:p>
    <w:bookmarkEnd w:id="22"/>
    <w:bookmarkEnd w:id="23"/>
    <w:p w:rsidR="00DF3DC9" w:rsidRPr="00DF3DC9" w:rsidP="00DF3DC9" w14:paraId="52A1FF05" w14:textId="77777777">
      <w:pPr>
        <w:autoSpaceDE w:val="0"/>
        <w:autoSpaceDN w:val="0"/>
        <w:adjustRightInd w:val="0"/>
        <w:spacing w:after="0" w:line="240" w:lineRule="auto"/>
        <w:ind w:firstLine="720"/>
        <w:rPr>
          <w:rFonts w:cs="Times New Roman"/>
          <w:szCs w:val="24"/>
        </w:rPr>
      </w:pPr>
    </w:p>
    <w:p w:rsidR="00445B06" w:rsidP="00445B06" w14:paraId="19E3CC9D" w14:textId="0ACAF2C6">
      <w:pPr>
        <w:tabs>
          <w:tab w:val="left" w:pos="0"/>
        </w:tabs>
        <w:ind w:left="720"/>
      </w:pPr>
      <w:r>
        <w:t xml:space="preserve">As stated in </w:t>
      </w:r>
      <w:r>
        <w:rPr>
          <w:i/>
        </w:rPr>
        <w:t>Automated Driving Systems 2.0: A Vision for Safety,</w:t>
      </w:r>
      <w:r>
        <w:t xml:space="preserve"> NHTSA recommends that entities developing and testing</w:t>
      </w:r>
      <w:r w:rsidR="00AF0379">
        <w:t xml:space="preserve"> ADS-</w:t>
      </w:r>
      <w:r w:rsidR="00944CCF">
        <w:t>equipped vehicles</w:t>
      </w:r>
      <w:r>
        <w:t xml:space="preserve"> publish a VSSA. The guidance does not require the VSSA, nor does it stipulate formatting, specific content, or manner of publication. NHTSA presumes entities will make their Voluntary Safety Self-Assessment publicly available on their own company website. </w:t>
      </w:r>
    </w:p>
    <w:p w:rsidR="00445B06" w:rsidP="00C042B1" w14:paraId="36289E52" w14:textId="49D9DA20">
      <w:pPr>
        <w:autoSpaceDE w:val="0"/>
        <w:autoSpaceDN w:val="0"/>
        <w:adjustRightInd w:val="0"/>
        <w:spacing w:after="0" w:line="240" w:lineRule="auto"/>
        <w:ind w:firstLine="720"/>
      </w:pPr>
      <w:r>
        <w:t xml:space="preserve">Subsequent to the publication of the first VSSA, NHTSA established a location on the </w:t>
      </w:r>
    </w:p>
    <w:p w:rsidR="00DF3DC9" w:rsidP="00445B06" w14:paraId="30351FB6" w14:textId="6653C139">
      <w:pPr>
        <w:autoSpaceDE w:val="0"/>
        <w:autoSpaceDN w:val="0"/>
        <w:adjustRightInd w:val="0"/>
        <w:spacing w:after="0" w:line="240" w:lineRule="auto"/>
        <w:ind w:left="720"/>
        <w:rPr>
          <w:rFonts w:cs="Times New Roman"/>
          <w:szCs w:val="24"/>
        </w:rPr>
      </w:pPr>
      <w:r>
        <w:t>NHTSA website to serve as a central location for published VSSAs. This VSSA Index allows the public to access a single source to read through VSSAs rather than looking for VSSAs for individual testing entities.  Such a site was recommended by stakeholders during an October 2017 Public Workshop to discuss the VSSA.</w:t>
      </w:r>
      <w:r>
        <w:rPr>
          <w:rStyle w:val="FootnoteReference"/>
        </w:rPr>
        <w:footnoteReference w:id="7"/>
      </w:r>
      <w:r>
        <w:t xml:space="preserve"> </w:t>
      </w:r>
      <w:r w:rsidRPr="00DF3DC9">
        <w:rPr>
          <w:rFonts w:cs="Times New Roman"/>
          <w:szCs w:val="24"/>
        </w:rPr>
        <w:t xml:space="preserve">  </w:t>
      </w:r>
    </w:p>
    <w:p w:rsidR="00445B06" w:rsidRPr="00DF3DC9" w:rsidP="00445B06" w14:paraId="105975D0" w14:textId="77777777">
      <w:pPr>
        <w:autoSpaceDE w:val="0"/>
        <w:autoSpaceDN w:val="0"/>
        <w:adjustRightInd w:val="0"/>
        <w:spacing w:after="0" w:line="240" w:lineRule="auto"/>
        <w:ind w:left="720"/>
        <w:rPr>
          <w:rFonts w:cs="Times New Roman"/>
          <w:szCs w:val="24"/>
        </w:rPr>
      </w:pPr>
    </w:p>
    <w:p w:rsidR="00DF3DC9" w:rsidRPr="000650F6" w:rsidP="004D64A7" w14:paraId="010E5D7E" w14:textId="77777777">
      <w:pPr>
        <w:numPr>
          <w:ilvl w:val="0"/>
          <w:numId w:val="1"/>
        </w:numPr>
        <w:autoSpaceDE w:val="0"/>
        <w:autoSpaceDN w:val="0"/>
        <w:adjustRightInd w:val="0"/>
        <w:spacing w:after="0" w:line="240" w:lineRule="auto"/>
        <w:contextualSpacing/>
        <w:rPr>
          <w:rFonts w:cs="Times New Roman"/>
          <w:b/>
          <w:szCs w:val="24"/>
        </w:rPr>
      </w:pPr>
      <w:bookmarkStart w:id="24" w:name="_Hlk51332202"/>
      <w:r w:rsidRPr="000650F6">
        <w:rPr>
          <w:rFonts w:cs="Times New Roman"/>
          <w:b/>
          <w:szCs w:val="24"/>
        </w:rPr>
        <w:t>If seeking approval to not display the expiration date for OMB approval of the information collection, explain the reasons that display would be inappropriate.</w:t>
      </w:r>
    </w:p>
    <w:bookmarkEnd w:id="24"/>
    <w:p w:rsidR="00DF3DC9" w:rsidRPr="00DF3DC9" w:rsidP="00DF3DC9" w14:paraId="1F254C1E" w14:textId="77777777">
      <w:pPr>
        <w:autoSpaceDE w:val="0"/>
        <w:autoSpaceDN w:val="0"/>
        <w:adjustRightInd w:val="0"/>
        <w:spacing w:after="0" w:line="240" w:lineRule="auto"/>
        <w:ind w:left="720"/>
        <w:contextualSpacing/>
        <w:rPr>
          <w:rFonts w:cs="Times New Roman"/>
          <w:szCs w:val="24"/>
        </w:rPr>
      </w:pPr>
    </w:p>
    <w:p w:rsidR="0078477B" w:rsidP="0078477B" w14:paraId="1A127EC1" w14:textId="77777777">
      <w:pPr>
        <w:tabs>
          <w:tab w:val="left" w:pos="0"/>
        </w:tabs>
        <w:ind w:left="720"/>
      </w:pPr>
      <w:r>
        <w:t>NHTSA is not seeking such a</w:t>
      </w:r>
      <w:r w:rsidRPr="00AF7FB7">
        <w:t>pproval</w:t>
      </w:r>
      <w:r>
        <w:t xml:space="preserve">. The OMB Control Number and the expiration date are displayed on the VSSA Index. </w:t>
      </w:r>
    </w:p>
    <w:p w:rsidR="00DF3DC9" w:rsidRPr="00DF3DC9" w:rsidP="00DF3DC9" w14:paraId="33F0BF16" w14:textId="77777777">
      <w:pPr>
        <w:autoSpaceDE w:val="0"/>
        <w:autoSpaceDN w:val="0"/>
        <w:adjustRightInd w:val="0"/>
        <w:spacing w:after="0" w:line="240" w:lineRule="auto"/>
        <w:ind w:firstLine="720"/>
        <w:rPr>
          <w:rFonts w:cs="Times New Roman"/>
          <w:szCs w:val="24"/>
          <w:highlight w:val="yellow"/>
        </w:rPr>
      </w:pPr>
    </w:p>
    <w:p w:rsidR="00DF3DC9" w:rsidP="004D64A7" w14:paraId="35DF7E0B" w14:textId="62FE0835">
      <w:pPr>
        <w:numPr>
          <w:ilvl w:val="0"/>
          <w:numId w:val="1"/>
        </w:numPr>
        <w:contextualSpacing/>
        <w:rPr>
          <w:rFonts w:cs="Times New Roman"/>
          <w:b/>
          <w:szCs w:val="24"/>
        </w:rPr>
      </w:pPr>
      <w:bookmarkStart w:id="25" w:name="_Hlk63087720"/>
      <w:bookmarkStart w:id="26" w:name="_Hlk51332218"/>
      <w:r w:rsidRPr="000650F6">
        <w:rPr>
          <w:rFonts w:cs="Times New Roman"/>
          <w:b/>
          <w:szCs w:val="24"/>
        </w:rPr>
        <w:t>Explain each exception to the topics of the certification statement identified in "Certification for Paperwork Reduction Act Submissions." The required certifications can be found at 5 CFR 1320.9.</w:t>
      </w:r>
      <w:bookmarkStart w:id="27" w:name="_Hlk45889134"/>
      <w:r>
        <w:rPr>
          <w:rFonts w:cs="Times New Roman"/>
          <w:b/>
          <w:szCs w:val="24"/>
          <w:vertAlign w:val="superscript"/>
        </w:rPr>
        <w:footnoteReference w:id="8"/>
      </w:r>
      <w:bookmarkEnd w:id="25"/>
      <w:r w:rsidRPr="000650F6">
        <w:rPr>
          <w:rFonts w:cs="Times New Roman"/>
          <w:b/>
          <w:szCs w:val="24"/>
        </w:rPr>
        <w:t xml:space="preserve"> </w:t>
      </w:r>
      <w:bookmarkEnd w:id="27"/>
    </w:p>
    <w:p w:rsidR="00462FBD" w:rsidP="00462FBD" w14:paraId="468DC586" w14:textId="7750CD7B">
      <w:pPr>
        <w:contextualSpacing/>
        <w:rPr>
          <w:rFonts w:cs="Times New Roman"/>
          <w:b/>
          <w:szCs w:val="24"/>
        </w:rPr>
      </w:pPr>
    </w:p>
    <w:bookmarkEnd w:id="26"/>
    <w:p w:rsidR="009004BF" w:rsidRPr="00C12035" w:rsidP="009004BF" w14:paraId="65F88E83" w14:textId="4EA69ED8">
      <w:pPr>
        <w:pStyle w:val="CommentText"/>
        <w:ind w:left="720"/>
        <w:rPr>
          <w:sz w:val="24"/>
          <w:szCs w:val="24"/>
        </w:rPr>
      </w:pPr>
      <w:r w:rsidRPr="00C12035">
        <w:rPr>
          <w:sz w:val="24"/>
          <w:szCs w:val="24"/>
        </w:rPr>
        <w:t>No exceptions to the certification statement are made. NHTSA post</w:t>
      </w:r>
      <w:r w:rsidR="009B6FFB">
        <w:rPr>
          <w:sz w:val="24"/>
          <w:szCs w:val="24"/>
        </w:rPr>
        <w:t>s</w:t>
      </w:r>
      <w:r w:rsidRPr="00C12035">
        <w:rPr>
          <w:sz w:val="24"/>
          <w:szCs w:val="24"/>
        </w:rPr>
        <w:t xml:space="preserve"> a PRA Statement on the Resources section of NHTSA’s manufacturer-focused ADS website: </w:t>
      </w:r>
      <w:r>
        <w:fldChar w:fldCharType="begin"/>
      </w:r>
      <w:r w:rsidRPr="00C12035">
        <w:rPr>
          <w:rStyle w:val="Hyperlink"/>
          <w:sz w:val="24"/>
          <w:szCs w:val="24"/>
        </w:rPr>
        <w:instrText xml:space="preserve"> HYPERLINK "https://www.nhtsa.gov/vehicle-manufacturers/automated-driving-systems" </w:instrText>
      </w:r>
      <w:r>
        <w:fldChar w:fldCharType="separate"/>
      </w:r>
      <w:r w:rsidRPr="00C12035">
        <w:rPr>
          <w:rStyle w:val="Hyperlink"/>
          <w:sz w:val="24"/>
          <w:szCs w:val="24"/>
        </w:rPr>
        <w:t>https://www.nhtsa.gov/vehicle-manufacturers/automated-driving-systems</w:t>
      </w:r>
      <w:r>
        <w:fldChar w:fldCharType="end"/>
      </w:r>
      <w:r w:rsidRPr="00C12035">
        <w:rPr>
          <w:sz w:val="24"/>
          <w:szCs w:val="24"/>
        </w:rPr>
        <w:t xml:space="preserve">. The statement reads as follows: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2127-0723. The Voluntary Safety Self-Assessment (VSSA) is intended to demonstrate to the public that entities are: (1) considering safety aspects of Automated Driving Systems (ADSs); (2) communicating and collaborating with DOT; (3) encouraging the self-establishment of industry safety norms for ADSs; and (4) building public trust, acceptance, and confidence through transparent testing and deployment of ADSs. </w:t>
      </w:r>
      <w:r>
        <w:rPr>
          <w:sz w:val="24"/>
          <w:szCs w:val="24"/>
        </w:rPr>
        <w:t xml:space="preserve">Manufacturers that develop VSSAs are encouraged to make them available to the public and may, at their discretion, send their VSSA </w:t>
      </w:r>
      <w:r w:rsidRPr="00C12035">
        <w:rPr>
          <w:sz w:val="24"/>
          <w:szCs w:val="24"/>
        </w:rPr>
        <w:t xml:space="preserve">to NHTSA for inclusion on the VSSA Index. </w:t>
      </w:r>
      <w:r>
        <w:rPr>
          <w:sz w:val="24"/>
          <w:szCs w:val="24"/>
        </w:rPr>
        <w:t>The time to d</w:t>
      </w:r>
      <w:r w:rsidRPr="00C12035">
        <w:rPr>
          <w:sz w:val="24"/>
          <w:szCs w:val="24"/>
        </w:rPr>
        <w:t>evelop a VSSA is estimated to be 600 hours.  Send comments regarding this burden estimate or any other aspect of this collection of information, including suggestions for reducing this burden to: Information Collection Clearance Officer, National Highway Traffic Safety Administration, 1200 New Jersey Ave, S.E., Room W45-205, Washington, DC, 20590.</w:t>
      </w:r>
    </w:p>
    <w:p w:rsidR="007A7BB5" w:rsidRPr="002043DA" w:rsidP="002043DA" w14:paraId="172B97B3" w14:textId="77777777">
      <w:pPr>
        <w:rPr>
          <w:rFonts w:cs="Times New Roman"/>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B3196" w:rsidP="00F27C2C" w14:paraId="17BFD852" w14:textId="77777777">
      <w:pPr>
        <w:spacing w:after="0" w:line="240" w:lineRule="auto"/>
      </w:pPr>
      <w:r>
        <w:separator/>
      </w:r>
    </w:p>
  </w:footnote>
  <w:footnote w:type="continuationSeparator" w:id="1">
    <w:p w:rsidR="00BB3196" w:rsidP="00F27C2C" w14:paraId="1966FCA7" w14:textId="77777777">
      <w:pPr>
        <w:spacing w:after="0" w:line="240" w:lineRule="auto"/>
      </w:pPr>
      <w:r>
        <w:continuationSeparator/>
      </w:r>
    </w:p>
  </w:footnote>
  <w:footnote w:id="2">
    <w:p w:rsidR="001A4BFA" w:rsidRPr="0039208F" w:rsidP="00F27C2C" w14:paraId="3E520BE3" w14:textId="77777777">
      <w:pPr>
        <w:pStyle w:val="FootnoteText"/>
        <w:rPr>
          <w:rFonts w:cs="Times New Roman"/>
        </w:rPr>
      </w:pPr>
      <w:r>
        <w:rPr>
          <w:rStyle w:val="FootnoteReference"/>
        </w:rPr>
        <w:footnoteRef/>
      </w:r>
      <w:r>
        <w:t xml:space="preserve">  </w:t>
      </w:r>
      <w:r w:rsidRPr="0039208F">
        <w:rPr>
          <w:rFonts w:cs="Times New Roman"/>
        </w:rPr>
        <w:t xml:space="preserve">The Abstract must include the following information: (1) whether responding to the collection is mandatory, voluntary, or required to obtain or retain a benefit; (2) a description of the entities who must respond; (3) whether the collection is reporting (indicate if a survey), recordkeeping, and/or disclosure; (4) the frequency of the collection (e.g., bi-annual, annual, monthly, weekly, as needed); (5) a description of the information that would be reported, maintained in records, or disclosed; (6) a description of who would receive the information; </w:t>
      </w:r>
      <w:r w:rsidRPr="00BA5763">
        <w:rPr>
          <w:rFonts w:cs="Times New Roman"/>
        </w:rPr>
        <w:t>(7) if the information collection involves approval by an institutional review board, include a statement to that effect;</w:t>
      </w:r>
      <w:r>
        <w:rPr>
          <w:rFonts w:cs="Times New Roman"/>
        </w:rPr>
        <w:t xml:space="preserve"> (8)</w:t>
      </w:r>
      <w:r w:rsidRPr="00CE1150">
        <w:rPr>
          <w:rFonts w:cs="Times New Roman"/>
        </w:rPr>
        <w:t xml:space="preserve"> </w:t>
      </w:r>
      <w:r w:rsidRPr="0039208F">
        <w:rPr>
          <w:rFonts w:cs="Times New Roman"/>
        </w:rPr>
        <w:t>the p</w:t>
      </w:r>
      <w:r>
        <w:rPr>
          <w:rFonts w:cs="Times New Roman"/>
        </w:rPr>
        <w:t>urpose of the collection; and (9</w:t>
      </w:r>
      <w:r w:rsidRPr="0039208F">
        <w:rPr>
          <w:rFonts w:cs="Times New Roman"/>
        </w:rPr>
        <w:t>) if a revision, a description of the revision and the change in burden.</w:t>
      </w:r>
    </w:p>
  </w:footnote>
  <w:footnote w:id="3">
    <w:p w:rsidR="00B84C4D" w:rsidP="00B84C4D" w14:paraId="248D73DE" w14:textId="77777777">
      <w:pPr>
        <w:pStyle w:val="FootnoteText"/>
      </w:pPr>
      <w:r>
        <w:rPr>
          <w:rStyle w:val="FootnoteReference"/>
        </w:rPr>
        <w:footnoteRef/>
      </w:r>
      <w:r>
        <w:t xml:space="preserve"> </w:t>
      </w:r>
      <w:r w:rsidRPr="0019408E">
        <w:t>49 U.S.C. § 30101.</w:t>
      </w:r>
    </w:p>
  </w:footnote>
  <w:footnote w:id="4">
    <w:p w:rsidR="00B84C4D" w:rsidP="00B84C4D" w14:paraId="61A2DCA5" w14:textId="77777777">
      <w:pPr>
        <w:pStyle w:val="FootnoteText"/>
      </w:pPr>
      <w:r>
        <w:rPr>
          <w:rStyle w:val="FootnoteReference"/>
        </w:rPr>
        <w:footnoteRef/>
      </w:r>
      <w:r>
        <w:t xml:space="preserve"> </w:t>
      </w:r>
      <w:r w:rsidRPr="001A1682">
        <w:t xml:space="preserve">49 U.S.C. § 30101(2).  </w:t>
      </w:r>
    </w:p>
  </w:footnote>
  <w:footnote w:id="5">
    <w:p w:rsidR="007E2076" w:rsidP="007E2076" w14:paraId="1F54B8C2" w14:textId="00B04923">
      <w:pPr>
        <w:pStyle w:val="FootnoteText"/>
      </w:pPr>
      <w:r w:rsidRPr="0028165E">
        <w:rPr>
          <w:rStyle w:val="FootnoteReference"/>
        </w:rPr>
        <w:footnoteRef/>
      </w:r>
      <w:r w:rsidRPr="0028165E">
        <w:t xml:space="preserve"> The hourly wage is estimated to be $</w:t>
      </w:r>
      <w:r w:rsidR="00141630">
        <w:t>82</w:t>
      </w:r>
      <w:r w:rsidRPr="0028165E">
        <w:t>.</w:t>
      </w:r>
      <w:r w:rsidR="00141630">
        <w:t>83</w:t>
      </w:r>
      <w:r w:rsidRPr="0028165E">
        <w:t xml:space="preserve"> per hour. National Industry-Specific Occupational Employment and Wage Estimates NAICS 336100 - Motor Vehicle Manufacturing, May 20</w:t>
      </w:r>
      <w:r w:rsidR="00141630">
        <w:t>23</w:t>
      </w:r>
      <w:r w:rsidRPr="0028165E">
        <w:t xml:space="preserve">, https://www.bls.gov/oes/current/naics4_336100.htm, last accessed </w:t>
      </w:r>
      <w:r w:rsidR="00141630">
        <w:t>October 9</w:t>
      </w:r>
      <w:r w:rsidRPr="0028165E">
        <w:t>, 202</w:t>
      </w:r>
      <w:r w:rsidR="00141630">
        <w:t>4</w:t>
      </w:r>
      <w:r w:rsidRPr="0028165E">
        <w:t>. The Bureau of Labor Statistics estimates that wages represent 70.2 percent of total compensation to private workers, on average. Therefore, NHTSA estimates the total hourly compensation cost to be $</w:t>
      </w:r>
      <w:r w:rsidR="003C4B92">
        <w:t>117.66</w:t>
      </w:r>
      <w:r w:rsidRPr="006E0E8D">
        <w:t>.</w:t>
      </w:r>
    </w:p>
  </w:footnote>
  <w:footnote w:id="6">
    <w:p w:rsidR="00E92152" w:rsidP="00E92152" w14:paraId="533E49C1" w14:textId="4D6D0560">
      <w:pPr>
        <w:pStyle w:val="FootnoteText"/>
      </w:pPr>
      <w:r w:rsidRPr="00E16D5D">
        <w:rPr>
          <w:rStyle w:val="FootnoteReference"/>
        </w:rPr>
        <w:footnoteRef/>
      </w:r>
      <w:r w:rsidRPr="00E16D5D">
        <w:t xml:space="preserve"> </w:t>
      </w:r>
      <w:r>
        <w:t>2021</w:t>
      </w:r>
      <w:r w:rsidRPr="003D464C">
        <w:t xml:space="preserve"> General Schedule hourly rate with Washington DC locality pay: </w:t>
      </w:r>
      <w:hyperlink r:id="rId1" w:history="1">
        <w:r w:rsidRPr="00B97E2D" w:rsidR="00101554">
          <w:rPr>
            <w:rStyle w:val="Hyperlink"/>
          </w:rPr>
          <w:t>https://www.opm.gov/policy-data-oversight/pay-leave/salaries-wages/salary-tables/pdf/2024/DCB_h.pdf</w:t>
        </w:r>
      </w:hyperlink>
      <w:r>
        <w:t xml:space="preserve">. Accessed </w:t>
      </w:r>
      <w:r w:rsidR="00101554">
        <w:t>10</w:t>
      </w:r>
      <w:r>
        <w:t>/</w:t>
      </w:r>
      <w:r w:rsidR="00101554">
        <w:t>9</w:t>
      </w:r>
      <w:r>
        <w:t>/202</w:t>
      </w:r>
      <w:r w:rsidR="00101554">
        <w:t>4</w:t>
      </w:r>
      <w:r w:rsidRPr="00E16D5D">
        <w:t>.</w:t>
      </w:r>
      <w:r>
        <w:t xml:space="preserve"> </w:t>
      </w:r>
    </w:p>
  </w:footnote>
  <w:footnote w:id="7">
    <w:p w:rsidR="00445B06" w:rsidP="00445B06" w14:paraId="58DACA3E" w14:textId="77777777">
      <w:pPr>
        <w:pStyle w:val="FootnoteText"/>
      </w:pPr>
      <w:r>
        <w:rPr>
          <w:rStyle w:val="FootnoteReference"/>
        </w:rPr>
        <w:footnoteRef/>
      </w:r>
      <w:r>
        <w:t xml:space="preserve"> Automated Driving Systems: Voluntary Safety Self-Assessment Public Workshop video is available at </w:t>
      </w:r>
      <w:hyperlink r:id="rId2" w:history="1">
        <w:r w:rsidRPr="00FF2CCE">
          <w:rPr>
            <w:rStyle w:val="Hyperlink"/>
          </w:rPr>
          <w:t>https://www.nhtsa.gov/events/automated-driving-systems-voluntary-safety-self-assessments</w:t>
        </w:r>
      </w:hyperlink>
      <w:r>
        <w:t xml:space="preserve">. </w:t>
      </w:r>
    </w:p>
  </w:footnote>
  <w:footnote w:id="8">
    <w:p w:rsidR="001A4BFA" w:rsidP="00DF3DC9" w14:paraId="5E1A5154" w14:textId="77777777">
      <w:pPr>
        <w:pStyle w:val="FootnoteText"/>
      </w:pPr>
      <w:r>
        <w:rPr>
          <w:rStyle w:val="FootnoteReference"/>
        </w:rPr>
        <w:footnoteRef/>
      </w:r>
      <w:r>
        <w:t xml:space="preserve"> </w:t>
      </w:r>
      <w:r w:rsidRPr="00A24405">
        <w:t xml:space="preserve">Specifically explain how the agency </w:t>
      </w:r>
      <w:r w:rsidRPr="001D6387">
        <w:t>display the OMB control number and expiration date and</w:t>
      </w:r>
      <w:r w:rsidRPr="00A24405">
        <w:t xml:space="preserve"> will inform potential respondents of the information required under 5 CFR 1320.8(b)(3): the reasons the information is planned to be and/or has been collected; the way such information is planned to be and/or has been used to further the proper performance of the functions of the agency; an estimate, to the extent practicable, of the average burden of the collection (together with a request that the public direct to the agency any comments concerning the accuracy of this burden estimate and any suggestions for reducing this burden); whether responses to the collection of information are voluntary, required to obtain or retain a benefit (citing authority), or mandatory (citing authority);the nature and extent of confidentiality to be provided, if any (citing authority); and the fact that an agency may not conduct or sponsor, and a person is not required to respond to, a collection of information unless it displays a currently valid OMB control number.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3"/>
    <w:multiLevelType w:val="singleLevel"/>
    <w:tmpl w:val="F1667854"/>
    <w:lvl w:ilvl="0">
      <w:start w:val="1"/>
      <w:numFmt w:val="bullet"/>
      <w:lvlText w:val=""/>
      <w:lvlJc w:val="left"/>
      <w:pPr>
        <w:tabs>
          <w:tab w:val="num" w:pos="720"/>
        </w:tabs>
        <w:ind w:left="720" w:hanging="360"/>
      </w:pPr>
      <w:rPr>
        <w:rFonts w:ascii="Symbol" w:hAnsi="Symbol" w:hint="default"/>
      </w:rPr>
    </w:lvl>
  </w:abstractNum>
  <w:abstractNum w:abstractNumId="1">
    <w:nsid w:val="FFFFFF89"/>
    <w:multiLevelType w:val="singleLevel"/>
    <w:tmpl w:val="561AA666"/>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19D35807"/>
    <w:multiLevelType w:val="hybridMultilevel"/>
    <w:tmpl w:val="BCF0C84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CCA1ECF"/>
    <w:multiLevelType w:val="hybridMultilevel"/>
    <w:tmpl w:val="44DE8D26"/>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413255E"/>
    <w:multiLevelType w:val="hybridMultilevel"/>
    <w:tmpl w:val="4BB0331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5100A24"/>
    <w:multiLevelType w:val="hybridMultilevel"/>
    <w:tmpl w:val="44DE8D26"/>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69A1AB5"/>
    <w:multiLevelType w:val="hybridMultilevel"/>
    <w:tmpl w:val="0B7256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CEB3ACF"/>
    <w:multiLevelType w:val="hybridMultilevel"/>
    <w:tmpl w:val="42460DD4"/>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4151381"/>
    <w:multiLevelType w:val="hybridMultilevel"/>
    <w:tmpl w:val="62281DF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49BC6530"/>
    <w:multiLevelType w:val="hybridMultilevel"/>
    <w:tmpl w:val="587032B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5FB15345"/>
    <w:multiLevelType w:val="hybridMultilevel"/>
    <w:tmpl w:val="44DE8D26"/>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7BB436B"/>
    <w:multiLevelType w:val="hybridMultilevel"/>
    <w:tmpl w:val="240ADAE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72433EE3"/>
    <w:multiLevelType w:val="hybridMultilevel"/>
    <w:tmpl w:val="900E039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72E81090"/>
    <w:multiLevelType w:val="hybridMultilevel"/>
    <w:tmpl w:val="43FEB702"/>
    <w:lvl w:ilvl="0">
      <w:start w:val="14"/>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579022890">
    <w:abstractNumId w:val="10"/>
  </w:num>
  <w:num w:numId="2" w16cid:durableId="1000736493">
    <w:abstractNumId w:val="6"/>
  </w:num>
  <w:num w:numId="3" w16cid:durableId="1020473650">
    <w:abstractNumId w:val="8"/>
  </w:num>
  <w:num w:numId="4" w16cid:durableId="975834091">
    <w:abstractNumId w:val="9"/>
  </w:num>
  <w:num w:numId="5" w16cid:durableId="1791390492">
    <w:abstractNumId w:val="7"/>
  </w:num>
  <w:num w:numId="6" w16cid:durableId="484249352">
    <w:abstractNumId w:val="13"/>
  </w:num>
  <w:num w:numId="7" w16cid:durableId="1579559725">
    <w:abstractNumId w:val="4"/>
  </w:num>
  <w:num w:numId="8" w16cid:durableId="1502039289">
    <w:abstractNumId w:val="12"/>
  </w:num>
  <w:num w:numId="9" w16cid:durableId="1832016246">
    <w:abstractNumId w:val="1"/>
  </w:num>
  <w:num w:numId="10" w16cid:durableId="1100638746">
    <w:abstractNumId w:val="0"/>
  </w:num>
  <w:num w:numId="11" w16cid:durableId="703561454">
    <w:abstractNumId w:val="5"/>
  </w:num>
  <w:num w:numId="12" w16cid:durableId="688456497">
    <w:abstractNumId w:val="11"/>
  </w:num>
  <w:num w:numId="13" w16cid:durableId="368995789">
    <w:abstractNumId w:val="2"/>
  </w:num>
  <w:num w:numId="14" w16cid:durableId="8961617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C2C"/>
    <w:rsid w:val="00002D98"/>
    <w:rsid w:val="000154D7"/>
    <w:rsid w:val="00015EAD"/>
    <w:rsid w:val="0001716F"/>
    <w:rsid w:val="00025DAF"/>
    <w:rsid w:val="00026F95"/>
    <w:rsid w:val="000373A8"/>
    <w:rsid w:val="00037EE9"/>
    <w:rsid w:val="00056A2C"/>
    <w:rsid w:val="0006176B"/>
    <w:rsid w:val="00061A15"/>
    <w:rsid w:val="000650F6"/>
    <w:rsid w:val="000653E2"/>
    <w:rsid w:val="0008621F"/>
    <w:rsid w:val="000A34F0"/>
    <w:rsid w:val="000A650D"/>
    <w:rsid w:val="000B02DF"/>
    <w:rsid w:val="000C45D9"/>
    <w:rsid w:val="000E625E"/>
    <w:rsid w:val="000E7CB6"/>
    <w:rsid w:val="00101554"/>
    <w:rsid w:val="00104BB9"/>
    <w:rsid w:val="00105500"/>
    <w:rsid w:val="001133E5"/>
    <w:rsid w:val="00114A72"/>
    <w:rsid w:val="00126AED"/>
    <w:rsid w:val="00141630"/>
    <w:rsid w:val="00146B62"/>
    <w:rsid w:val="001507B6"/>
    <w:rsid w:val="00150F00"/>
    <w:rsid w:val="001527CB"/>
    <w:rsid w:val="00160438"/>
    <w:rsid w:val="00167B60"/>
    <w:rsid w:val="00167FFE"/>
    <w:rsid w:val="001712A8"/>
    <w:rsid w:val="00175014"/>
    <w:rsid w:val="0018130A"/>
    <w:rsid w:val="001862D4"/>
    <w:rsid w:val="0019408E"/>
    <w:rsid w:val="001A1682"/>
    <w:rsid w:val="001A4BFA"/>
    <w:rsid w:val="001A7C07"/>
    <w:rsid w:val="001C2D68"/>
    <w:rsid w:val="001D6387"/>
    <w:rsid w:val="001E655A"/>
    <w:rsid w:val="00203E9A"/>
    <w:rsid w:val="002043DA"/>
    <w:rsid w:val="002113DC"/>
    <w:rsid w:val="00212C71"/>
    <w:rsid w:val="002136E6"/>
    <w:rsid w:val="0021586F"/>
    <w:rsid w:val="0021749E"/>
    <w:rsid w:val="0022485D"/>
    <w:rsid w:val="00231918"/>
    <w:rsid w:val="002425EB"/>
    <w:rsid w:val="00244718"/>
    <w:rsid w:val="0024786F"/>
    <w:rsid w:val="00252689"/>
    <w:rsid w:val="00261A6E"/>
    <w:rsid w:val="002646CD"/>
    <w:rsid w:val="00265968"/>
    <w:rsid w:val="002675B5"/>
    <w:rsid w:val="00270349"/>
    <w:rsid w:val="00274927"/>
    <w:rsid w:val="00276605"/>
    <w:rsid w:val="0028079A"/>
    <w:rsid w:val="0028165E"/>
    <w:rsid w:val="00283001"/>
    <w:rsid w:val="00291D34"/>
    <w:rsid w:val="002939C2"/>
    <w:rsid w:val="00297761"/>
    <w:rsid w:val="002A086B"/>
    <w:rsid w:val="002A1786"/>
    <w:rsid w:val="002A33FA"/>
    <w:rsid w:val="002A56AE"/>
    <w:rsid w:val="002C23B6"/>
    <w:rsid w:val="002C453E"/>
    <w:rsid w:val="002E12C8"/>
    <w:rsid w:val="002F7753"/>
    <w:rsid w:val="003033E9"/>
    <w:rsid w:val="00303F8A"/>
    <w:rsid w:val="00307160"/>
    <w:rsid w:val="00311C3B"/>
    <w:rsid w:val="003168F9"/>
    <w:rsid w:val="00324ED6"/>
    <w:rsid w:val="00332ACE"/>
    <w:rsid w:val="0033771A"/>
    <w:rsid w:val="003471F8"/>
    <w:rsid w:val="00350043"/>
    <w:rsid w:val="00351091"/>
    <w:rsid w:val="0037371B"/>
    <w:rsid w:val="0039208F"/>
    <w:rsid w:val="00397BB9"/>
    <w:rsid w:val="003A1195"/>
    <w:rsid w:val="003A1C6C"/>
    <w:rsid w:val="003A2408"/>
    <w:rsid w:val="003A4B31"/>
    <w:rsid w:val="003B14E4"/>
    <w:rsid w:val="003B26FD"/>
    <w:rsid w:val="003B543A"/>
    <w:rsid w:val="003B6B57"/>
    <w:rsid w:val="003C1BBF"/>
    <w:rsid w:val="003C4B92"/>
    <w:rsid w:val="003D464C"/>
    <w:rsid w:val="003E0A5C"/>
    <w:rsid w:val="003E4E17"/>
    <w:rsid w:val="003F0A56"/>
    <w:rsid w:val="003F31F6"/>
    <w:rsid w:val="003F326F"/>
    <w:rsid w:val="0040414E"/>
    <w:rsid w:val="004158F6"/>
    <w:rsid w:val="004168BB"/>
    <w:rsid w:val="0042379F"/>
    <w:rsid w:val="00425100"/>
    <w:rsid w:val="00425484"/>
    <w:rsid w:val="00436CA7"/>
    <w:rsid w:val="00445B06"/>
    <w:rsid w:val="00453231"/>
    <w:rsid w:val="00455812"/>
    <w:rsid w:val="00462FBD"/>
    <w:rsid w:val="00465EFD"/>
    <w:rsid w:val="004668D3"/>
    <w:rsid w:val="00475428"/>
    <w:rsid w:val="0048022B"/>
    <w:rsid w:val="00484767"/>
    <w:rsid w:val="00494CED"/>
    <w:rsid w:val="004B12CE"/>
    <w:rsid w:val="004D64A7"/>
    <w:rsid w:val="004E25F6"/>
    <w:rsid w:val="004E5E41"/>
    <w:rsid w:val="004F32F8"/>
    <w:rsid w:val="00505840"/>
    <w:rsid w:val="005062A5"/>
    <w:rsid w:val="00521E26"/>
    <w:rsid w:val="005271A9"/>
    <w:rsid w:val="00527651"/>
    <w:rsid w:val="00530E66"/>
    <w:rsid w:val="00535912"/>
    <w:rsid w:val="005405A3"/>
    <w:rsid w:val="00542011"/>
    <w:rsid w:val="00561442"/>
    <w:rsid w:val="00573F4A"/>
    <w:rsid w:val="005778D7"/>
    <w:rsid w:val="00581312"/>
    <w:rsid w:val="00583DE3"/>
    <w:rsid w:val="0058631B"/>
    <w:rsid w:val="00592E76"/>
    <w:rsid w:val="005B15D1"/>
    <w:rsid w:val="005B5D65"/>
    <w:rsid w:val="005C31F6"/>
    <w:rsid w:val="005E538F"/>
    <w:rsid w:val="005F2678"/>
    <w:rsid w:val="005F2ED5"/>
    <w:rsid w:val="00601100"/>
    <w:rsid w:val="00627255"/>
    <w:rsid w:val="00634D93"/>
    <w:rsid w:val="00640996"/>
    <w:rsid w:val="006418ED"/>
    <w:rsid w:val="0064394F"/>
    <w:rsid w:val="00643B66"/>
    <w:rsid w:val="00644E32"/>
    <w:rsid w:val="00646813"/>
    <w:rsid w:val="00651D82"/>
    <w:rsid w:val="00654678"/>
    <w:rsid w:val="0065589F"/>
    <w:rsid w:val="00683569"/>
    <w:rsid w:val="0069588D"/>
    <w:rsid w:val="00697CE2"/>
    <w:rsid w:val="00697FBC"/>
    <w:rsid w:val="006A7EFE"/>
    <w:rsid w:val="006B0661"/>
    <w:rsid w:val="006B7C17"/>
    <w:rsid w:val="006C4428"/>
    <w:rsid w:val="006D5A51"/>
    <w:rsid w:val="006E0CD8"/>
    <w:rsid w:val="006E0E8D"/>
    <w:rsid w:val="006F308E"/>
    <w:rsid w:val="006F484C"/>
    <w:rsid w:val="00705293"/>
    <w:rsid w:val="00705355"/>
    <w:rsid w:val="007131EC"/>
    <w:rsid w:val="00730F1A"/>
    <w:rsid w:val="00731AC0"/>
    <w:rsid w:val="00737484"/>
    <w:rsid w:val="00747FDD"/>
    <w:rsid w:val="00753E91"/>
    <w:rsid w:val="007629AE"/>
    <w:rsid w:val="007629D4"/>
    <w:rsid w:val="0076785E"/>
    <w:rsid w:val="00775C0F"/>
    <w:rsid w:val="0078477B"/>
    <w:rsid w:val="00785632"/>
    <w:rsid w:val="00787D28"/>
    <w:rsid w:val="007A7BB5"/>
    <w:rsid w:val="007C7AAB"/>
    <w:rsid w:val="007D0FB8"/>
    <w:rsid w:val="007D3597"/>
    <w:rsid w:val="007D3916"/>
    <w:rsid w:val="007E14D6"/>
    <w:rsid w:val="007E2076"/>
    <w:rsid w:val="007F1658"/>
    <w:rsid w:val="007F27B2"/>
    <w:rsid w:val="0081167F"/>
    <w:rsid w:val="00811859"/>
    <w:rsid w:val="00816971"/>
    <w:rsid w:val="00820031"/>
    <w:rsid w:val="00833B22"/>
    <w:rsid w:val="00836BCF"/>
    <w:rsid w:val="00851602"/>
    <w:rsid w:val="00851CA6"/>
    <w:rsid w:val="00862875"/>
    <w:rsid w:val="0087143A"/>
    <w:rsid w:val="008827D6"/>
    <w:rsid w:val="0089016D"/>
    <w:rsid w:val="00890BE7"/>
    <w:rsid w:val="008A1E42"/>
    <w:rsid w:val="008A6B31"/>
    <w:rsid w:val="008C08EE"/>
    <w:rsid w:val="009004BF"/>
    <w:rsid w:val="00904268"/>
    <w:rsid w:val="00916053"/>
    <w:rsid w:val="0092255B"/>
    <w:rsid w:val="00922FE5"/>
    <w:rsid w:val="00932F9C"/>
    <w:rsid w:val="00934994"/>
    <w:rsid w:val="009356E6"/>
    <w:rsid w:val="00937C49"/>
    <w:rsid w:val="00941A0C"/>
    <w:rsid w:val="00942DA2"/>
    <w:rsid w:val="00944CCF"/>
    <w:rsid w:val="009565DF"/>
    <w:rsid w:val="00966D74"/>
    <w:rsid w:val="00974A54"/>
    <w:rsid w:val="00975846"/>
    <w:rsid w:val="009910B4"/>
    <w:rsid w:val="00994C3F"/>
    <w:rsid w:val="009962E8"/>
    <w:rsid w:val="009A5FC1"/>
    <w:rsid w:val="009B6FFB"/>
    <w:rsid w:val="009C0416"/>
    <w:rsid w:val="009C17D2"/>
    <w:rsid w:val="009C5C2D"/>
    <w:rsid w:val="009D483C"/>
    <w:rsid w:val="009D7D4E"/>
    <w:rsid w:val="009F2B9F"/>
    <w:rsid w:val="009F4239"/>
    <w:rsid w:val="009F57EB"/>
    <w:rsid w:val="00A011BF"/>
    <w:rsid w:val="00A135A0"/>
    <w:rsid w:val="00A13A42"/>
    <w:rsid w:val="00A24405"/>
    <w:rsid w:val="00A25650"/>
    <w:rsid w:val="00A34F29"/>
    <w:rsid w:val="00A42CA7"/>
    <w:rsid w:val="00A4373C"/>
    <w:rsid w:val="00A47EEE"/>
    <w:rsid w:val="00A63971"/>
    <w:rsid w:val="00A649D2"/>
    <w:rsid w:val="00A65873"/>
    <w:rsid w:val="00A677A4"/>
    <w:rsid w:val="00A678F7"/>
    <w:rsid w:val="00A7718B"/>
    <w:rsid w:val="00A914F1"/>
    <w:rsid w:val="00AA198B"/>
    <w:rsid w:val="00AA5376"/>
    <w:rsid w:val="00AA7B52"/>
    <w:rsid w:val="00AB14EF"/>
    <w:rsid w:val="00AB1501"/>
    <w:rsid w:val="00AB3A21"/>
    <w:rsid w:val="00AB44CE"/>
    <w:rsid w:val="00AB57CA"/>
    <w:rsid w:val="00AC3D4B"/>
    <w:rsid w:val="00AD10F8"/>
    <w:rsid w:val="00AD1EDD"/>
    <w:rsid w:val="00AE6BFA"/>
    <w:rsid w:val="00AF0379"/>
    <w:rsid w:val="00AF376B"/>
    <w:rsid w:val="00AF7B02"/>
    <w:rsid w:val="00AF7FB7"/>
    <w:rsid w:val="00B07C5F"/>
    <w:rsid w:val="00B27CD6"/>
    <w:rsid w:val="00B3391C"/>
    <w:rsid w:val="00B41EDD"/>
    <w:rsid w:val="00B539C3"/>
    <w:rsid w:val="00B676D5"/>
    <w:rsid w:val="00B7228D"/>
    <w:rsid w:val="00B72920"/>
    <w:rsid w:val="00B72BD8"/>
    <w:rsid w:val="00B75A08"/>
    <w:rsid w:val="00B76F8B"/>
    <w:rsid w:val="00B84C4D"/>
    <w:rsid w:val="00B8577C"/>
    <w:rsid w:val="00B948B9"/>
    <w:rsid w:val="00B97A74"/>
    <w:rsid w:val="00B97E2D"/>
    <w:rsid w:val="00BA5763"/>
    <w:rsid w:val="00BA5B2F"/>
    <w:rsid w:val="00BB3196"/>
    <w:rsid w:val="00BC15A6"/>
    <w:rsid w:val="00BC6C0A"/>
    <w:rsid w:val="00BC7DD7"/>
    <w:rsid w:val="00BD1030"/>
    <w:rsid w:val="00BD1693"/>
    <w:rsid w:val="00BD331C"/>
    <w:rsid w:val="00C042B1"/>
    <w:rsid w:val="00C12035"/>
    <w:rsid w:val="00C31394"/>
    <w:rsid w:val="00C357F6"/>
    <w:rsid w:val="00C656CE"/>
    <w:rsid w:val="00C73833"/>
    <w:rsid w:val="00C75A28"/>
    <w:rsid w:val="00CB02A6"/>
    <w:rsid w:val="00CB30BD"/>
    <w:rsid w:val="00CB50A6"/>
    <w:rsid w:val="00CB6397"/>
    <w:rsid w:val="00CC14F0"/>
    <w:rsid w:val="00CC344A"/>
    <w:rsid w:val="00CD0117"/>
    <w:rsid w:val="00CD2929"/>
    <w:rsid w:val="00CD4D90"/>
    <w:rsid w:val="00CD6F99"/>
    <w:rsid w:val="00CE1150"/>
    <w:rsid w:val="00D03BC7"/>
    <w:rsid w:val="00D1234E"/>
    <w:rsid w:val="00D15762"/>
    <w:rsid w:val="00D157F0"/>
    <w:rsid w:val="00D1654C"/>
    <w:rsid w:val="00D33687"/>
    <w:rsid w:val="00D41233"/>
    <w:rsid w:val="00D45858"/>
    <w:rsid w:val="00D557F3"/>
    <w:rsid w:val="00D602A5"/>
    <w:rsid w:val="00D669D0"/>
    <w:rsid w:val="00D71142"/>
    <w:rsid w:val="00D71AD2"/>
    <w:rsid w:val="00D728A1"/>
    <w:rsid w:val="00D75319"/>
    <w:rsid w:val="00D80450"/>
    <w:rsid w:val="00D82C6F"/>
    <w:rsid w:val="00D91B0B"/>
    <w:rsid w:val="00D94C3C"/>
    <w:rsid w:val="00D965B1"/>
    <w:rsid w:val="00DA43F2"/>
    <w:rsid w:val="00DA7831"/>
    <w:rsid w:val="00DC6309"/>
    <w:rsid w:val="00DD0F7E"/>
    <w:rsid w:val="00DD4275"/>
    <w:rsid w:val="00DD5373"/>
    <w:rsid w:val="00DD544D"/>
    <w:rsid w:val="00DE2648"/>
    <w:rsid w:val="00DE6320"/>
    <w:rsid w:val="00DF3840"/>
    <w:rsid w:val="00DF3DC9"/>
    <w:rsid w:val="00E0514C"/>
    <w:rsid w:val="00E0616A"/>
    <w:rsid w:val="00E16D5D"/>
    <w:rsid w:val="00E22934"/>
    <w:rsid w:val="00E24C1F"/>
    <w:rsid w:val="00E27763"/>
    <w:rsid w:val="00E30773"/>
    <w:rsid w:val="00E508BE"/>
    <w:rsid w:val="00E5180C"/>
    <w:rsid w:val="00E77D3C"/>
    <w:rsid w:val="00E82F04"/>
    <w:rsid w:val="00E872E9"/>
    <w:rsid w:val="00E91D13"/>
    <w:rsid w:val="00E92152"/>
    <w:rsid w:val="00E92ACB"/>
    <w:rsid w:val="00E94928"/>
    <w:rsid w:val="00E9530E"/>
    <w:rsid w:val="00EA692C"/>
    <w:rsid w:val="00EC6F89"/>
    <w:rsid w:val="00ED492E"/>
    <w:rsid w:val="00ED4E92"/>
    <w:rsid w:val="00EE1737"/>
    <w:rsid w:val="00EF547A"/>
    <w:rsid w:val="00F06255"/>
    <w:rsid w:val="00F07210"/>
    <w:rsid w:val="00F07A76"/>
    <w:rsid w:val="00F129FF"/>
    <w:rsid w:val="00F13D2D"/>
    <w:rsid w:val="00F210D4"/>
    <w:rsid w:val="00F277D8"/>
    <w:rsid w:val="00F27C2C"/>
    <w:rsid w:val="00F37C7F"/>
    <w:rsid w:val="00F63DF9"/>
    <w:rsid w:val="00F64428"/>
    <w:rsid w:val="00F656FD"/>
    <w:rsid w:val="00F7768F"/>
    <w:rsid w:val="00FA1EE0"/>
    <w:rsid w:val="00FA68D1"/>
    <w:rsid w:val="00FB78F2"/>
    <w:rsid w:val="00FC6BA1"/>
    <w:rsid w:val="00FD1FFC"/>
    <w:rsid w:val="00FF2685"/>
    <w:rsid w:val="00FF2CC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B5C26E"/>
  <w15:docId w15:val="{EDC210AD-8C22-4326-8E4C-02A624F6E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7C2C"/>
    <w:rPr>
      <w:rFonts w:ascii="Times New Roman" w:hAnsi="Times New Roman"/>
      <w:sz w:val="24"/>
    </w:rPr>
  </w:style>
  <w:style w:type="paragraph" w:styleId="Heading1">
    <w:name w:val="heading 1"/>
    <w:basedOn w:val="Normal"/>
    <w:next w:val="Normal"/>
    <w:link w:val="Heading1Char"/>
    <w:uiPriority w:val="9"/>
    <w:qFormat/>
    <w:rsid w:val="00D557F3"/>
    <w:pP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1,F1),Footnote Westat Style (Text"/>
    <w:basedOn w:val="Normal"/>
    <w:link w:val="FootnoteTextChar"/>
    <w:uiPriority w:val="99"/>
    <w:unhideWhenUsed/>
    <w:rsid w:val="00F27C2C"/>
    <w:pPr>
      <w:spacing w:after="0" w:line="240" w:lineRule="auto"/>
    </w:pPr>
    <w:rPr>
      <w:sz w:val="20"/>
      <w:szCs w:val="20"/>
    </w:rPr>
  </w:style>
  <w:style w:type="character" w:customStyle="1" w:styleId="FootnoteTextChar">
    <w:name w:val="Footnote Text Char"/>
    <w:aliases w:val="F1 Char,F1) Char,Footnote Westat Style (Text Char"/>
    <w:basedOn w:val="DefaultParagraphFont"/>
    <w:link w:val="FootnoteText"/>
    <w:uiPriority w:val="99"/>
    <w:rsid w:val="00F27C2C"/>
    <w:rPr>
      <w:rFonts w:ascii="Times New Roman" w:hAnsi="Times New Roman"/>
      <w:sz w:val="20"/>
      <w:szCs w:val="20"/>
    </w:rPr>
  </w:style>
  <w:style w:type="character" w:styleId="FootnoteReference">
    <w:name w:val="footnote reference"/>
    <w:aliases w:val="Appel note de bas de p,Appel note de bas de p + 11 pt,Footnote,Italic"/>
    <w:basedOn w:val="DefaultParagraphFont"/>
    <w:uiPriority w:val="99"/>
    <w:unhideWhenUsed/>
    <w:qFormat/>
    <w:rsid w:val="00F27C2C"/>
    <w:rPr>
      <w:vertAlign w:val="superscript"/>
    </w:rPr>
  </w:style>
  <w:style w:type="paragraph" w:styleId="ListParagraph">
    <w:name w:val="List Paragraph"/>
    <w:basedOn w:val="Normal"/>
    <w:link w:val="ListParagraphChar"/>
    <w:uiPriority w:val="1"/>
    <w:qFormat/>
    <w:rsid w:val="000154D7"/>
    <w:pPr>
      <w:ind w:left="720"/>
      <w:contextualSpacing/>
    </w:pPr>
  </w:style>
  <w:style w:type="table" w:styleId="TableGrid">
    <w:name w:val="Table Grid"/>
    <w:basedOn w:val="TableNormal"/>
    <w:uiPriority w:val="59"/>
    <w:rsid w:val="006958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5840"/>
    <w:rPr>
      <w:color w:val="0000FF" w:themeColor="hyperlink"/>
      <w:u w:val="single"/>
    </w:rPr>
  </w:style>
  <w:style w:type="character" w:styleId="UnresolvedMention">
    <w:name w:val="Unresolved Mention"/>
    <w:basedOn w:val="DefaultParagraphFont"/>
    <w:uiPriority w:val="99"/>
    <w:semiHidden/>
    <w:unhideWhenUsed/>
    <w:rsid w:val="00505840"/>
    <w:rPr>
      <w:color w:val="808080"/>
      <w:shd w:val="clear" w:color="auto" w:fill="E6E6E6"/>
    </w:rPr>
  </w:style>
  <w:style w:type="character" w:styleId="CommentReference">
    <w:name w:val="annotation reference"/>
    <w:basedOn w:val="DefaultParagraphFont"/>
    <w:uiPriority w:val="99"/>
    <w:semiHidden/>
    <w:unhideWhenUsed/>
    <w:rsid w:val="00E872E9"/>
    <w:rPr>
      <w:sz w:val="16"/>
      <w:szCs w:val="16"/>
    </w:rPr>
  </w:style>
  <w:style w:type="paragraph" w:styleId="CommentText">
    <w:name w:val="annotation text"/>
    <w:basedOn w:val="Normal"/>
    <w:link w:val="CommentTextChar"/>
    <w:unhideWhenUsed/>
    <w:rsid w:val="00E872E9"/>
    <w:pPr>
      <w:spacing w:line="240" w:lineRule="auto"/>
    </w:pPr>
    <w:rPr>
      <w:sz w:val="20"/>
      <w:szCs w:val="20"/>
    </w:rPr>
  </w:style>
  <w:style w:type="character" w:customStyle="1" w:styleId="CommentTextChar">
    <w:name w:val="Comment Text Char"/>
    <w:basedOn w:val="DefaultParagraphFont"/>
    <w:link w:val="CommentText"/>
    <w:rsid w:val="00E872E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872E9"/>
    <w:rPr>
      <w:b/>
      <w:bCs/>
    </w:rPr>
  </w:style>
  <w:style w:type="character" w:customStyle="1" w:styleId="CommentSubjectChar">
    <w:name w:val="Comment Subject Char"/>
    <w:basedOn w:val="CommentTextChar"/>
    <w:link w:val="CommentSubject"/>
    <w:uiPriority w:val="99"/>
    <w:semiHidden/>
    <w:rsid w:val="00E872E9"/>
    <w:rPr>
      <w:rFonts w:ascii="Times New Roman" w:hAnsi="Times New Roman"/>
      <w:b/>
      <w:bCs/>
      <w:sz w:val="20"/>
      <w:szCs w:val="20"/>
    </w:rPr>
  </w:style>
  <w:style w:type="paragraph" w:styleId="BalloonText">
    <w:name w:val="Balloon Text"/>
    <w:basedOn w:val="Normal"/>
    <w:link w:val="BalloonTextChar"/>
    <w:uiPriority w:val="99"/>
    <w:semiHidden/>
    <w:unhideWhenUsed/>
    <w:rsid w:val="00E872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2E9"/>
    <w:rPr>
      <w:rFonts w:ascii="Segoe UI" w:hAnsi="Segoe UI" w:cs="Segoe UI"/>
      <w:sz w:val="18"/>
      <w:szCs w:val="18"/>
    </w:rPr>
  </w:style>
  <w:style w:type="character" w:styleId="FollowedHyperlink">
    <w:name w:val="FollowedHyperlink"/>
    <w:basedOn w:val="DefaultParagraphFont"/>
    <w:uiPriority w:val="99"/>
    <w:semiHidden/>
    <w:unhideWhenUsed/>
    <w:rsid w:val="00601100"/>
    <w:rPr>
      <w:color w:val="800080" w:themeColor="followedHyperlink"/>
      <w:u w:val="single"/>
    </w:rPr>
  </w:style>
  <w:style w:type="character" w:customStyle="1" w:styleId="Heading1Char">
    <w:name w:val="Heading 1 Char"/>
    <w:basedOn w:val="DefaultParagraphFont"/>
    <w:link w:val="Heading1"/>
    <w:uiPriority w:val="9"/>
    <w:rsid w:val="00D557F3"/>
    <w:rPr>
      <w:rFonts w:ascii="Times New Roman" w:hAnsi="Times New Roman"/>
      <w:b/>
      <w:sz w:val="24"/>
    </w:rPr>
  </w:style>
  <w:style w:type="paragraph" w:styleId="ListBullet">
    <w:name w:val="List Bullet"/>
    <w:aliases w:val="Short (to sentence)"/>
    <w:basedOn w:val="Normal"/>
    <w:uiPriority w:val="99"/>
    <w:rsid w:val="00646813"/>
    <w:pPr>
      <w:numPr>
        <w:numId w:val="9"/>
      </w:numPr>
      <w:spacing w:after="0" w:line="240" w:lineRule="auto"/>
    </w:pPr>
    <w:rPr>
      <w:rFonts w:ascii="Book Antiqua" w:eastAsia="Times New Roman" w:hAnsi="Book Antiqua" w:cs="Times New Roman"/>
      <w:szCs w:val="24"/>
    </w:rPr>
  </w:style>
  <w:style w:type="paragraph" w:styleId="BodyText">
    <w:name w:val="Body Text"/>
    <w:aliases w:val="(T),Body 1,Body Tx,Body Txt,aaaa-Body Text,body text,bt"/>
    <w:basedOn w:val="Normal"/>
    <w:link w:val="BodyTextChar"/>
    <w:uiPriority w:val="1"/>
    <w:qFormat/>
    <w:rsid w:val="006F308E"/>
    <w:pPr>
      <w:spacing w:before="120" w:after="120" w:line="240" w:lineRule="auto"/>
    </w:pPr>
    <w:rPr>
      <w:rFonts w:ascii="Book Antiqua" w:eastAsia="Times New Roman" w:hAnsi="Book Antiqua" w:cs="Times New Roman"/>
      <w:sz w:val="22"/>
      <w:szCs w:val="20"/>
    </w:rPr>
  </w:style>
  <w:style w:type="character" w:customStyle="1" w:styleId="BodyTextChar">
    <w:name w:val="Body Text Char"/>
    <w:aliases w:val="(T) Char,Body 1 Char,Body Tx Char,Body Txt Char,aaaa-Body Text Char,body text Char,bt Char"/>
    <w:basedOn w:val="DefaultParagraphFont"/>
    <w:link w:val="BodyText"/>
    <w:uiPriority w:val="1"/>
    <w:rsid w:val="006F308E"/>
    <w:rPr>
      <w:rFonts w:ascii="Book Antiqua" w:eastAsia="Times New Roman" w:hAnsi="Book Antiqua" w:cs="Times New Roman"/>
      <w:szCs w:val="20"/>
    </w:rPr>
  </w:style>
  <w:style w:type="character" w:customStyle="1" w:styleId="ListParagraphChar">
    <w:name w:val="List Paragraph Char"/>
    <w:link w:val="ListParagraph"/>
    <w:uiPriority w:val="1"/>
    <w:rsid w:val="006F308E"/>
    <w:rPr>
      <w:rFonts w:ascii="Times New Roman" w:hAnsi="Times New Roman"/>
      <w:sz w:val="24"/>
    </w:rPr>
  </w:style>
  <w:style w:type="paragraph" w:styleId="NoSpacing">
    <w:name w:val="No Spacing"/>
    <w:uiPriority w:val="1"/>
    <w:qFormat/>
    <w:rsid w:val="00BD1030"/>
    <w:pPr>
      <w:spacing w:after="0" w:line="240" w:lineRule="auto"/>
    </w:pPr>
  </w:style>
  <w:style w:type="table" w:customStyle="1" w:styleId="GridTable41">
    <w:name w:val="Grid Table 41"/>
    <w:basedOn w:val="TableNormal"/>
    <w:uiPriority w:val="49"/>
    <w:rsid w:val="009D483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gpo.gov/fdsys/pkg/CFR-2017-title49-vol6/xml/CFR-2017-title49-vol6-part512.xml"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nhtsa.gov/sites/nhtsa.gov/files/2023-04/Second-Amended-SGO-2021-01_2023-04-05_2.pdf"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opm.gov/policy-data-oversight/pay-leave/salaries-wages/salary-tables/pdf/2024/DCB_h.pdf" TargetMode="External" /><Relationship Id="rId2" Type="http://schemas.openxmlformats.org/officeDocument/2006/relationships/hyperlink" Target="https://www.nhtsa.gov/events/automated-driving-systems-voluntary-safety-self-assessmen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219922B19A3EF4E80BBF54E8B4E760C" ma:contentTypeVersion="4" ma:contentTypeDescription="Create a new document." ma:contentTypeScope="" ma:versionID="b798bab48283460939f19f39c49b4a13">
  <xsd:schema xmlns:xsd="http://www.w3.org/2001/XMLSchema" xmlns:xs="http://www.w3.org/2001/XMLSchema" xmlns:p="http://schemas.microsoft.com/office/2006/metadata/properties" xmlns:ns2="8c05af97-4e9a-40aa-9fa4-35846393d4d2" targetNamespace="http://schemas.microsoft.com/office/2006/metadata/properties" ma:root="true" ma:fieldsID="e0e0e7f90e8540a1d75598fe53cb4a08" ns2:_="">
    <xsd:import namespace="8c05af97-4e9a-40aa-9fa4-35846393d4d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05af97-4e9a-40aa-9fa4-35846393d4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A9BE02-3C97-4C09-BA79-C5BB2F109F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8DEC2AA-8A48-4434-A567-F433F7136BA3}">
  <ds:schemaRefs>
    <ds:schemaRef ds:uri="http://schemas.openxmlformats.org/officeDocument/2006/bibliography"/>
  </ds:schemaRefs>
</ds:datastoreItem>
</file>

<file path=customXml/itemProps3.xml><?xml version="1.0" encoding="utf-8"?>
<ds:datastoreItem xmlns:ds="http://schemas.openxmlformats.org/officeDocument/2006/customXml" ds:itemID="{6163769B-1F05-4E6C-8F69-CF9B838BC8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05af97-4e9a-40aa-9fa4-35846393d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12141D-CBC5-41E9-A6B2-DB3FA96904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1713</TotalTime>
  <Pages>22</Pages>
  <Words>8358</Words>
  <Characters>47641</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Roach, Callie (NHTSA)</dc:creator>
  <cp:lastModifiedBy>NHTSA</cp:lastModifiedBy>
  <cp:revision>210</cp:revision>
  <dcterms:created xsi:type="dcterms:W3CDTF">2024-10-09T14:57:00Z</dcterms:created>
  <dcterms:modified xsi:type="dcterms:W3CDTF">2025-01-08T20:23:00Z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0x0101003219922B19A3EF4E80BBF54E8B4E760C</vt:lpwstr>
  </property>
</Properties>
</file>