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A1788" w:rsidP="003A1788" w14:paraId="23217519" w14:textId="1DB645D2">
      <w:pPr>
        <w:autoSpaceDE w:val="0"/>
        <w:autoSpaceDN w:val="0"/>
        <w:adjustRightInd w:val="0"/>
        <w:spacing w:after="0" w:line="480" w:lineRule="auto"/>
        <w:rPr>
          <w:rFonts w:eastAsia="Times New Roman" w:cs="Times New Roman"/>
          <w:b/>
          <w:bCs/>
          <w:color w:val="000000"/>
          <w:szCs w:val="24"/>
        </w:rPr>
      </w:pPr>
      <w:r w:rsidRPr="003A1788">
        <w:rPr>
          <w:rFonts w:eastAsia="Times New Roman" w:cs="Times New Roman"/>
          <w:b/>
          <w:bCs/>
          <w:color w:val="000000"/>
          <w:szCs w:val="24"/>
        </w:rPr>
        <w:t>[Billing Code: 4910-59-P]</w:t>
      </w:r>
    </w:p>
    <w:p w:rsidR="00790816" w:rsidRPr="008550E0" w:rsidP="00F631C8" w14:paraId="0981E81A" w14:textId="24A683F8">
      <w:pPr>
        <w:autoSpaceDE w:val="0"/>
        <w:autoSpaceDN w:val="0"/>
        <w:adjustRightInd w:val="0"/>
        <w:spacing w:after="0" w:line="480" w:lineRule="auto"/>
        <w:rPr>
          <w:rFonts w:eastAsia="Times New Roman" w:cs="Times New Roman"/>
          <w:b/>
          <w:bCs/>
          <w:color w:val="000000"/>
          <w:szCs w:val="24"/>
        </w:rPr>
      </w:pPr>
      <w:r w:rsidRPr="008550E0">
        <w:rPr>
          <w:rFonts w:eastAsia="Times New Roman" w:cs="Times New Roman"/>
          <w:b/>
          <w:bCs/>
          <w:color w:val="000000"/>
          <w:szCs w:val="24"/>
        </w:rPr>
        <w:t>DEPARTMENT OF TRANSPORTATION</w:t>
      </w:r>
    </w:p>
    <w:p w:rsidR="00790816" w:rsidRPr="00C35544" w:rsidP="00F631C8" w14:paraId="57B1F48D" w14:textId="77777777">
      <w:pPr>
        <w:autoSpaceDE w:val="0"/>
        <w:autoSpaceDN w:val="0"/>
        <w:adjustRightInd w:val="0"/>
        <w:spacing w:after="0" w:line="480" w:lineRule="auto"/>
        <w:rPr>
          <w:rFonts w:eastAsia="Times New Roman" w:cs="Times New Roman"/>
          <w:b/>
          <w:bCs/>
          <w:szCs w:val="24"/>
        </w:rPr>
      </w:pPr>
      <w:r w:rsidRPr="008550E0">
        <w:rPr>
          <w:rFonts w:eastAsia="Times New Roman" w:cs="Times New Roman"/>
          <w:b/>
          <w:bCs/>
          <w:szCs w:val="24"/>
        </w:rPr>
        <w:t>National Highway Traffic Safety Administration</w:t>
      </w:r>
    </w:p>
    <w:p w:rsidR="00790816" w:rsidRPr="008550E0" w:rsidP="00F631C8" w14:paraId="60FFAD85" w14:textId="1D9D5DD5">
      <w:pPr>
        <w:autoSpaceDE w:val="0"/>
        <w:autoSpaceDN w:val="0"/>
        <w:adjustRightInd w:val="0"/>
        <w:spacing w:after="0" w:line="480" w:lineRule="auto"/>
        <w:rPr>
          <w:rFonts w:eastAsia="Times New Roman" w:cs="Times New Roman"/>
          <w:b/>
          <w:bCs/>
          <w:szCs w:val="24"/>
        </w:rPr>
      </w:pPr>
      <w:r w:rsidRPr="007142AA">
        <w:rPr>
          <w:rFonts w:eastAsia="Times New Roman" w:cs="Times New Roman"/>
          <w:b/>
          <w:bCs/>
          <w:szCs w:val="24"/>
        </w:rPr>
        <w:t>[Docket No. NHTSA-</w:t>
      </w:r>
      <w:r w:rsidRPr="007142AA" w:rsidR="007142AA">
        <w:rPr>
          <w:rFonts w:eastAsia="Times New Roman" w:cs="Times New Roman"/>
          <w:b/>
          <w:bCs/>
          <w:szCs w:val="24"/>
        </w:rPr>
        <w:t>2024</w:t>
      </w:r>
      <w:r w:rsidRPr="007142AA">
        <w:rPr>
          <w:rFonts w:eastAsia="Times New Roman" w:cs="Times New Roman"/>
          <w:b/>
          <w:bCs/>
          <w:szCs w:val="24"/>
        </w:rPr>
        <w:t>-</w:t>
      </w:r>
      <w:r w:rsidRPr="007142AA" w:rsidR="007142AA">
        <w:rPr>
          <w:rFonts w:eastAsia="Times New Roman" w:cs="Times New Roman"/>
          <w:b/>
          <w:bCs/>
          <w:szCs w:val="24"/>
        </w:rPr>
        <w:t>0069</w:t>
      </w:r>
      <w:r w:rsidRPr="007142AA">
        <w:rPr>
          <w:rFonts w:eastAsia="Times New Roman" w:cs="Times New Roman"/>
          <w:b/>
          <w:bCs/>
          <w:szCs w:val="24"/>
        </w:rPr>
        <w:t>]</w:t>
      </w:r>
    </w:p>
    <w:p w:rsidR="00790816" w:rsidRPr="008550E0" w:rsidP="0054001A" w14:paraId="4BB0C186" w14:textId="150CC986">
      <w:pPr>
        <w:autoSpaceDE w:val="0"/>
        <w:autoSpaceDN w:val="0"/>
        <w:adjustRightInd w:val="0"/>
        <w:spacing w:line="480" w:lineRule="auto"/>
        <w:rPr>
          <w:rFonts w:eastAsia="Times New Roman" w:cs="Times New Roman"/>
          <w:b/>
          <w:bCs/>
          <w:color w:val="000000"/>
          <w:szCs w:val="24"/>
        </w:rPr>
      </w:pPr>
      <w:bookmarkStart w:id="0" w:name="_Hlk166875485"/>
      <w:r w:rsidRPr="008550E0">
        <w:rPr>
          <w:rFonts w:eastAsia="Times New Roman" w:cs="Times New Roman"/>
          <w:b/>
          <w:bCs/>
          <w:color w:val="000000"/>
          <w:szCs w:val="24"/>
        </w:rPr>
        <w:t>Agency Information Collection Activities; Submission to the Office of Management and Budget for Review and Approval;</w:t>
      </w:r>
      <w:r w:rsidR="0054001A">
        <w:rPr>
          <w:rFonts w:eastAsia="Times New Roman" w:cs="Times New Roman"/>
          <w:b/>
          <w:bCs/>
          <w:color w:val="000000"/>
          <w:szCs w:val="24"/>
        </w:rPr>
        <w:t xml:space="preserve"> Request for Comment;</w:t>
      </w:r>
      <w:r w:rsidRPr="008550E0">
        <w:rPr>
          <w:rFonts w:eastAsia="Times New Roman" w:cs="Times New Roman"/>
          <w:b/>
          <w:bCs/>
          <w:color w:val="000000"/>
          <w:szCs w:val="24"/>
        </w:rPr>
        <w:t xml:space="preserve"> </w:t>
      </w:r>
      <w:bookmarkEnd w:id="0"/>
      <w:r w:rsidR="00531F7A">
        <w:rPr>
          <w:rFonts w:eastAsia="Times New Roman" w:cs="Times New Roman"/>
          <w:b/>
          <w:bCs/>
          <w:color w:val="000000"/>
          <w:szCs w:val="24"/>
        </w:rPr>
        <w:t>Automated Driving Systems 2.0: A Vision for Safety</w:t>
      </w:r>
    </w:p>
    <w:p w:rsidR="00790816" w:rsidRPr="008550E0" w:rsidP="00F631C8" w14:paraId="56FD1555" w14:textId="77777777">
      <w:pPr>
        <w:autoSpaceDE w:val="0"/>
        <w:autoSpaceDN w:val="0"/>
        <w:adjustRightInd w:val="0"/>
        <w:spacing w:line="480" w:lineRule="auto"/>
        <w:rPr>
          <w:rFonts w:eastAsia="Times New Roman" w:cs="Times New Roman"/>
          <w:bCs/>
          <w:color w:val="000000"/>
          <w:szCs w:val="24"/>
        </w:rPr>
      </w:pPr>
      <w:r w:rsidRPr="008550E0">
        <w:rPr>
          <w:rFonts w:eastAsia="Times New Roman" w:cs="Times New Roman"/>
          <w:b/>
          <w:bCs/>
          <w:color w:val="000000"/>
          <w:szCs w:val="24"/>
        </w:rPr>
        <w:t xml:space="preserve">AGENCY:  </w:t>
      </w:r>
      <w:r w:rsidRPr="008550E0">
        <w:rPr>
          <w:rFonts w:eastAsia="Times New Roman" w:cs="Times New Roman"/>
          <w:bCs/>
          <w:color w:val="000000"/>
          <w:szCs w:val="24"/>
        </w:rPr>
        <w:t>National Highway Traffic Safety Administration (NHTSA), Department of Transportation</w:t>
      </w:r>
      <w:r>
        <w:rPr>
          <w:rFonts w:eastAsia="Times New Roman" w:cs="Times New Roman"/>
          <w:bCs/>
          <w:color w:val="000000"/>
          <w:szCs w:val="24"/>
        </w:rPr>
        <w:t xml:space="preserve"> (DOT). </w:t>
      </w:r>
    </w:p>
    <w:p w:rsidR="00790816" w:rsidRPr="008550E0" w:rsidP="00790816" w14:paraId="46284E0C" w14:textId="5FA17688">
      <w:pPr>
        <w:autoSpaceDE w:val="0"/>
        <w:autoSpaceDN w:val="0"/>
        <w:adjustRightInd w:val="0"/>
        <w:spacing w:after="0" w:line="480" w:lineRule="auto"/>
        <w:rPr>
          <w:rFonts w:eastAsia="Times New Roman" w:cs="Times New Roman"/>
          <w:b/>
          <w:bCs/>
          <w:color w:val="000000"/>
          <w:szCs w:val="24"/>
        </w:rPr>
      </w:pPr>
      <w:r w:rsidRPr="008550E0">
        <w:rPr>
          <w:rFonts w:eastAsia="Times New Roman" w:cs="Times New Roman"/>
          <w:b/>
          <w:bCs/>
          <w:color w:val="000000"/>
          <w:szCs w:val="24"/>
        </w:rPr>
        <w:t xml:space="preserve">ACTION: </w:t>
      </w:r>
      <w:r w:rsidRPr="008550E0">
        <w:rPr>
          <w:rFonts w:eastAsia="Times New Roman" w:cs="Times New Roman"/>
          <w:color w:val="000000"/>
          <w:szCs w:val="24"/>
        </w:rPr>
        <w:t>Notice and request for comments</w:t>
      </w:r>
      <w:r>
        <w:rPr>
          <w:rFonts w:eastAsia="Times New Roman" w:cs="Times New Roman"/>
          <w:color w:val="000000"/>
          <w:szCs w:val="24"/>
        </w:rPr>
        <w:t xml:space="preserve"> </w:t>
      </w:r>
      <w:r w:rsidRPr="00735B15">
        <w:rPr>
          <w:rFonts w:eastAsia="Times New Roman" w:cs="Times New Roman"/>
          <w:color w:val="000000"/>
          <w:szCs w:val="24"/>
        </w:rPr>
        <w:t xml:space="preserve">on </w:t>
      </w:r>
      <w:r w:rsidRPr="00735B15" w:rsidR="0030208F">
        <w:rPr>
          <w:rFonts w:eastAsia="Times New Roman" w:cs="Times New Roman"/>
          <w:color w:val="000000"/>
          <w:szCs w:val="24"/>
        </w:rPr>
        <w:t>a revision of a currently approved collection</w:t>
      </w:r>
      <w:r w:rsidR="00B25E7C">
        <w:rPr>
          <w:rFonts w:eastAsia="Times New Roman" w:cs="Times New Roman"/>
          <w:color w:val="000000"/>
          <w:szCs w:val="24"/>
        </w:rPr>
        <w:t>.</w:t>
      </w:r>
    </w:p>
    <w:p w:rsidR="00790816" w:rsidRPr="008550E0" w:rsidP="00790816" w14:paraId="1346F8FB" w14:textId="12FD7965">
      <w:pPr>
        <w:spacing w:after="0" w:line="480" w:lineRule="auto"/>
        <w:rPr>
          <w:rFonts w:eastAsia="Times New Roman" w:cs="Times New Roman"/>
          <w:szCs w:val="24"/>
        </w:rPr>
      </w:pPr>
      <w:r w:rsidRPr="008550E0">
        <w:rPr>
          <w:rFonts w:eastAsia="Times New Roman" w:cs="Times New Roman"/>
          <w:b/>
          <w:bCs/>
          <w:color w:val="000000"/>
          <w:szCs w:val="24"/>
        </w:rPr>
        <w:t xml:space="preserve">SUMMARY:  </w:t>
      </w:r>
      <w:r w:rsidRPr="008550E0">
        <w:rPr>
          <w:rFonts w:eastAsia="Times New Roman" w:cs="Times New Roman"/>
          <w:color w:val="000000"/>
          <w:szCs w:val="24"/>
        </w:rPr>
        <w:t>In compliance with the Paperwork Reduction Act of 1995</w:t>
      </w:r>
      <w:r>
        <w:rPr>
          <w:rFonts w:eastAsia="Times New Roman" w:cs="Times New Roman"/>
          <w:color w:val="000000"/>
          <w:szCs w:val="24"/>
        </w:rPr>
        <w:t xml:space="preserve"> (PRA)</w:t>
      </w:r>
      <w:r w:rsidRPr="008550E0">
        <w:rPr>
          <w:rFonts w:eastAsia="Times New Roman" w:cs="Times New Roman"/>
          <w:color w:val="000000"/>
          <w:szCs w:val="24"/>
        </w:rPr>
        <w:t xml:space="preserve">, this notice announces that the Information Collection Request (ICR) </w:t>
      </w:r>
      <w:r w:rsidR="003B3132">
        <w:rPr>
          <w:rFonts w:eastAsia="Times New Roman" w:cs="Times New Roman"/>
          <w:color w:val="000000"/>
          <w:szCs w:val="24"/>
        </w:rPr>
        <w:t>summarized</w:t>
      </w:r>
      <w:r w:rsidRPr="008550E0">
        <w:rPr>
          <w:rFonts w:eastAsia="Times New Roman" w:cs="Times New Roman"/>
          <w:color w:val="000000"/>
          <w:szCs w:val="24"/>
        </w:rPr>
        <w:t xml:space="preserve"> below </w:t>
      </w:r>
      <w:r>
        <w:rPr>
          <w:rFonts w:eastAsia="Times New Roman" w:cs="Times New Roman"/>
          <w:color w:val="000000"/>
          <w:szCs w:val="24"/>
        </w:rPr>
        <w:t xml:space="preserve">will be submitted </w:t>
      </w:r>
      <w:r w:rsidRPr="008550E0">
        <w:rPr>
          <w:rFonts w:eastAsia="Times New Roman" w:cs="Times New Roman"/>
          <w:color w:val="000000"/>
          <w:szCs w:val="24"/>
        </w:rPr>
        <w:t>to the Office of Management and Budget (OMB) for review and</w:t>
      </w:r>
      <w:r>
        <w:rPr>
          <w:rFonts w:eastAsia="Times New Roman" w:cs="Times New Roman"/>
          <w:color w:val="000000"/>
          <w:szCs w:val="24"/>
        </w:rPr>
        <w:t xml:space="preserve"> approval</w:t>
      </w:r>
      <w:r w:rsidRPr="008550E0">
        <w:rPr>
          <w:rFonts w:eastAsia="Times New Roman" w:cs="Times New Roman"/>
          <w:color w:val="000000"/>
          <w:szCs w:val="24"/>
        </w:rPr>
        <w:t xml:space="preserve">. </w:t>
      </w:r>
      <w:r w:rsidRPr="00EE29AA">
        <w:rPr>
          <w:rFonts w:eastAsia="Times New Roman" w:cs="Times New Roman"/>
          <w:color w:val="000000"/>
          <w:szCs w:val="24"/>
        </w:rPr>
        <w:t>The ICR describes the nature of the information collection and its expected burden</w:t>
      </w:r>
      <w:r w:rsidRPr="00551588">
        <w:rPr>
          <w:rFonts w:eastAsia="Times New Roman" w:cs="Times New Roman"/>
          <w:szCs w:val="24"/>
        </w:rPr>
        <w:t>.</w:t>
      </w:r>
      <w:r w:rsidRPr="00551588" w:rsidR="00551588">
        <w:rPr>
          <w:rFonts w:eastAsia="Times New Roman" w:cs="Times New Roman"/>
          <w:szCs w:val="24"/>
        </w:rPr>
        <w:t xml:space="preserve">  </w:t>
      </w:r>
      <w:r w:rsidRPr="00551588" w:rsidR="00551588">
        <w:rPr>
          <w:rStyle w:val="Hyperlink"/>
          <w:rFonts w:cs="Times New Roman"/>
          <w:color w:val="auto"/>
          <w:szCs w:val="24"/>
          <w:u w:val="none"/>
        </w:rPr>
        <w:t>This document describes a collection of information for which NHTSA intends to seek OMB extension approval titled “Automated Driving Systems 2.0: A Vision for Safety” and is identified by OMB Control Number 2127-0723, currently approved through February 28, 2025.</w:t>
      </w:r>
      <w:r w:rsidRPr="00551588">
        <w:rPr>
          <w:rFonts w:eastAsia="Times New Roman" w:cs="Times New Roman"/>
          <w:szCs w:val="24"/>
        </w:rPr>
        <w:t xml:space="preserve">  </w:t>
      </w:r>
      <w:r w:rsidRPr="008550E0">
        <w:rPr>
          <w:rFonts w:eastAsia="Times New Roman" w:cs="Times New Roman"/>
          <w:color w:val="000000"/>
          <w:szCs w:val="24"/>
        </w:rPr>
        <w:t>A Federal Register Notice with a 60-day comment period soliciting comments on the following information collection was published</w:t>
      </w:r>
      <w:r>
        <w:rPr>
          <w:rFonts w:eastAsia="Times New Roman" w:cs="Times New Roman"/>
          <w:color w:val="000000"/>
          <w:szCs w:val="24"/>
        </w:rPr>
        <w:t xml:space="preserve"> </w:t>
      </w:r>
      <w:r w:rsidR="00551588">
        <w:rPr>
          <w:rFonts w:eastAsia="Times New Roman" w:cs="Times New Roman"/>
          <w:color w:val="000000"/>
          <w:szCs w:val="24"/>
        </w:rPr>
        <w:t>on October 23, 2024. Three comments were received</w:t>
      </w:r>
      <w:r w:rsidR="00CC6BED">
        <w:rPr>
          <w:rFonts w:eastAsia="Times New Roman" w:cs="Times New Roman"/>
          <w:color w:val="000000"/>
          <w:szCs w:val="24"/>
        </w:rPr>
        <w:t xml:space="preserve"> in response to that notice</w:t>
      </w:r>
      <w:r w:rsidR="00551588">
        <w:rPr>
          <w:rFonts w:eastAsia="Times New Roman" w:cs="Times New Roman"/>
          <w:color w:val="000000"/>
          <w:szCs w:val="24"/>
        </w:rPr>
        <w:t xml:space="preserve">; however, no changes to the information collection tool, methodology, nor burden were </w:t>
      </w:r>
      <w:r w:rsidR="00200B23">
        <w:rPr>
          <w:rFonts w:eastAsia="Times New Roman" w:cs="Times New Roman"/>
          <w:color w:val="000000"/>
          <w:szCs w:val="24"/>
        </w:rPr>
        <w:t xml:space="preserve">made </w:t>
      </w:r>
      <w:r w:rsidR="00200B23">
        <w:rPr>
          <w:rFonts w:eastAsia="Times New Roman" w:cs="Times New Roman"/>
          <w:color w:val="000000"/>
          <w:szCs w:val="24"/>
        </w:rPr>
        <w:t>as a result of</w:t>
      </w:r>
      <w:r w:rsidR="00200B23">
        <w:rPr>
          <w:rFonts w:eastAsia="Times New Roman" w:cs="Times New Roman"/>
          <w:color w:val="000000"/>
          <w:szCs w:val="24"/>
        </w:rPr>
        <w:t xml:space="preserve"> th</w:t>
      </w:r>
      <w:r w:rsidR="00CC6BED">
        <w:rPr>
          <w:rFonts w:eastAsia="Times New Roman" w:cs="Times New Roman"/>
          <w:color w:val="000000"/>
          <w:szCs w:val="24"/>
        </w:rPr>
        <w:t>o</w:t>
      </w:r>
      <w:r w:rsidR="00200B23">
        <w:rPr>
          <w:rFonts w:eastAsia="Times New Roman" w:cs="Times New Roman"/>
          <w:color w:val="000000"/>
          <w:szCs w:val="24"/>
        </w:rPr>
        <w:t>se comments.</w:t>
      </w:r>
    </w:p>
    <w:p w:rsidR="00790816" w:rsidRPr="008550E0" w:rsidP="00790816" w14:paraId="24CA67C3" w14:textId="77777777">
      <w:pPr>
        <w:autoSpaceDE w:val="0"/>
        <w:autoSpaceDN w:val="0"/>
        <w:adjustRightInd w:val="0"/>
        <w:spacing w:after="0" w:line="480" w:lineRule="auto"/>
        <w:rPr>
          <w:rFonts w:eastAsia="Times New Roman" w:cs="Times New Roman"/>
          <w:color w:val="808080"/>
          <w:szCs w:val="24"/>
        </w:rPr>
      </w:pPr>
      <w:r w:rsidRPr="008550E0">
        <w:rPr>
          <w:rFonts w:eastAsia="Times New Roman" w:cs="Times New Roman"/>
          <w:b/>
          <w:bCs/>
          <w:color w:val="000000"/>
          <w:szCs w:val="24"/>
        </w:rPr>
        <w:t xml:space="preserve">DATES: </w:t>
      </w:r>
      <w:r w:rsidRPr="008550E0">
        <w:rPr>
          <w:rFonts w:eastAsia="Times New Roman" w:cs="Times New Roman"/>
          <w:color w:val="000000"/>
          <w:szCs w:val="24"/>
        </w:rPr>
        <w:t>Comments must be submitted on or before</w:t>
      </w:r>
      <w:r w:rsidRPr="008550E0">
        <w:rPr>
          <w:rFonts w:eastAsia="Times New Roman" w:cs="Times New Roman"/>
          <w:color w:val="0000FF"/>
          <w:szCs w:val="24"/>
        </w:rPr>
        <w:t xml:space="preserve"> </w:t>
      </w:r>
      <w:r w:rsidRPr="008550E0">
        <w:rPr>
          <w:rFonts w:eastAsia="Times New Roman" w:cs="Times New Roman"/>
          <w:color w:val="808080"/>
          <w:szCs w:val="24"/>
        </w:rPr>
        <w:t>[INSERT DATE 30 DAYS AFTER THE DATE OF PUBLICATION IN THE FEDERAL REGISTER].</w:t>
      </w:r>
    </w:p>
    <w:p w:rsidR="00790816" w:rsidRPr="008550E0" w:rsidP="00790816" w14:paraId="03FB6E9F" w14:textId="77777777">
      <w:pPr>
        <w:autoSpaceDE w:val="0"/>
        <w:autoSpaceDN w:val="0"/>
        <w:adjustRightInd w:val="0"/>
        <w:spacing w:after="0" w:line="480" w:lineRule="auto"/>
        <w:rPr>
          <w:rFonts w:eastAsia="Times New Roman" w:cs="Times New Roman"/>
          <w:b/>
          <w:bCs/>
          <w:color w:val="000000"/>
          <w:szCs w:val="24"/>
        </w:rPr>
      </w:pPr>
      <w:r w:rsidRPr="008550E0">
        <w:rPr>
          <w:rFonts w:eastAsia="Times New Roman" w:cs="Times New Roman"/>
          <w:b/>
          <w:bCs/>
          <w:color w:val="000000"/>
          <w:szCs w:val="24"/>
        </w:rPr>
        <w:t>ADDRESSES:</w:t>
      </w:r>
      <w:r w:rsidRPr="009609EE">
        <w:t xml:space="preserve"> </w:t>
      </w:r>
      <w:r w:rsidRPr="00184DDE">
        <w:rPr>
          <w:rFonts w:eastAsia="Times New Roman" w:cs="Times New Roman"/>
          <w:bCs/>
          <w:color w:val="000000"/>
          <w:szCs w:val="24"/>
        </w:rPr>
        <w:t xml:space="preserve">Written comments and recommendations for the proposed information collection, including suggestions for reducing burden, should be submitted to the Office of Management and Budget at www.reginfo.gov/public/do/PRAMain. To find this </w:t>
      </w:r>
      <w:r w:rsidRPr="00184DDE">
        <w:rPr>
          <w:rFonts w:eastAsia="Times New Roman" w:cs="Times New Roman"/>
          <w:bCs/>
          <w:color w:val="000000"/>
          <w:szCs w:val="24"/>
        </w:rPr>
        <w:t>particular information</w:t>
      </w:r>
      <w:r w:rsidRPr="00184DDE">
        <w:rPr>
          <w:rFonts w:eastAsia="Times New Roman" w:cs="Times New Roman"/>
          <w:bCs/>
          <w:color w:val="000000"/>
          <w:szCs w:val="24"/>
        </w:rPr>
        <w:t xml:space="preserve"> collection, select “Currently under Review – Open for Public Comment” or use the search function.</w:t>
      </w:r>
    </w:p>
    <w:p w:rsidR="00790816" w:rsidRPr="008550E0" w:rsidP="00790816" w14:paraId="5FCF87E0" w14:textId="77777777">
      <w:pPr>
        <w:autoSpaceDE w:val="0"/>
        <w:autoSpaceDN w:val="0"/>
        <w:adjustRightInd w:val="0"/>
        <w:spacing w:after="0" w:line="480" w:lineRule="auto"/>
        <w:rPr>
          <w:rFonts w:eastAsia="Times New Roman" w:cs="Times New Roman"/>
          <w:b/>
          <w:bCs/>
          <w:color w:val="000000"/>
          <w:szCs w:val="24"/>
        </w:rPr>
      </w:pPr>
      <w:r w:rsidRPr="008550E0">
        <w:rPr>
          <w:rFonts w:eastAsia="Times New Roman" w:cs="Times New Roman"/>
          <w:b/>
          <w:bCs/>
          <w:color w:val="000000"/>
          <w:szCs w:val="24"/>
        </w:rPr>
        <w:t>FOR FURTHER INFORMATION CONTACT:</w:t>
      </w:r>
    </w:p>
    <w:p w:rsidR="00790816" w:rsidRPr="008550E0" w:rsidP="00790816" w14:paraId="379C8C78" w14:textId="021980DE">
      <w:pPr>
        <w:spacing w:after="0" w:line="480" w:lineRule="auto"/>
        <w:rPr>
          <w:rFonts w:eastAsia="Times New Roman" w:cs="Times New Roman"/>
          <w:b/>
          <w:bCs/>
          <w:color w:val="000000"/>
          <w:szCs w:val="24"/>
        </w:rPr>
      </w:pPr>
      <w:r w:rsidRPr="00893DC2">
        <w:t>For additional information or access to background documents, contact</w:t>
      </w:r>
      <w:r>
        <w:t xml:space="preserve"> </w:t>
      </w:r>
      <w:r w:rsidRPr="0077757E" w:rsidR="001342BD">
        <w:t>Debbie Sweet</w:t>
      </w:r>
      <w:r w:rsidRPr="0077757E" w:rsidR="001342BD">
        <w:rPr>
          <w:rFonts w:eastAsia="Times New Roman" w:cs="Times New Roman"/>
          <w:szCs w:val="24"/>
        </w:rPr>
        <w:t>, Office of Vehicle Safety Research (NSR-010), (202) 366–7179, National Highway Traffic Safety Administration, W46-</w:t>
      </w:r>
      <w:r w:rsidR="001342BD">
        <w:rPr>
          <w:rFonts w:eastAsia="Times New Roman" w:cs="Times New Roman"/>
          <w:szCs w:val="24"/>
        </w:rPr>
        <w:t>3</w:t>
      </w:r>
      <w:r w:rsidRPr="0077757E" w:rsidR="001342BD">
        <w:rPr>
          <w:rFonts w:eastAsia="Times New Roman" w:cs="Times New Roman"/>
          <w:szCs w:val="24"/>
        </w:rPr>
        <w:t xml:space="preserve">17, U.S. Department of Transportation, 1200 New Jersey Avenue, SE, Washington, DC 20590. </w:t>
      </w:r>
      <w:r w:rsidR="001342BD">
        <w:rPr>
          <w:rFonts w:eastAsia="Times New Roman" w:cs="Times New Roman"/>
          <w:szCs w:val="24"/>
        </w:rPr>
        <w:t xml:space="preserve"> </w:t>
      </w:r>
      <w:r w:rsidRPr="0077757E" w:rsidR="001342BD">
        <w:rPr>
          <w:rFonts w:eastAsia="Times New Roman" w:cs="Times New Roman"/>
          <w:szCs w:val="24"/>
        </w:rPr>
        <w:t>Please identify the relevant collection of information by referring to its OMB Control Number.</w:t>
      </w:r>
    </w:p>
    <w:p w:rsidR="00790816" w:rsidRPr="008550E0" w:rsidP="00790816" w14:paraId="38ADD296" w14:textId="2A2CD55D">
      <w:pPr>
        <w:autoSpaceDE w:val="0"/>
        <w:autoSpaceDN w:val="0"/>
        <w:adjustRightInd w:val="0"/>
        <w:spacing w:after="0" w:line="480" w:lineRule="auto"/>
        <w:rPr>
          <w:rFonts w:eastAsia="Times New Roman" w:cs="Times New Roman"/>
          <w:bCs/>
          <w:color w:val="000000"/>
          <w:szCs w:val="24"/>
        </w:rPr>
      </w:pPr>
      <w:r w:rsidRPr="008550E0">
        <w:rPr>
          <w:rFonts w:eastAsia="Times New Roman" w:cs="Times New Roman"/>
          <w:b/>
          <w:bCs/>
          <w:color w:val="000000"/>
          <w:szCs w:val="24"/>
        </w:rPr>
        <w:t>SUPPLEMENTARY INFORMATION:</w:t>
      </w:r>
      <w:r w:rsidRPr="008550E0">
        <w:t xml:space="preserve"> </w:t>
      </w:r>
      <w:r>
        <w:t>Under the PRA (</w:t>
      </w:r>
      <w:r w:rsidRPr="00590422">
        <w:t xml:space="preserve">44 U.S.C. 3501 </w:t>
      </w:r>
      <w:r w:rsidRPr="00355A7C">
        <w:rPr>
          <w:i/>
        </w:rPr>
        <w:t>et seq.</w:t>
      </w:r>
      <w:r w:rsidRPr="00590422">
        <w:t>)</w:t>
      </w:r>
      <w:r>
        <w:t>,</w:t>
      </w:r>
      <w:r w:rsidRPr="00F06624">
        <w:t xml:space="preserve"> </w:t>
      </w:r>
      <w:r w:rsidRPr="008550E0">
        <w:rPr>
          <w:rFonts w:eastAsia="Times New Roman" w:cs="Times New Roman"/>
          <w:bCs/>
          <w:color w:val="000000"/>
          <w:szCs w:val="24"/>
        </w:rPr>
        <w:t xml:space="preserve">a </w:t>
      </w:r>
      <w:r w:rsidRPr="008550E0">
        <w:rPr>
          <w:rFonts w:eastAsia="Times New Roman" w:cs="Times New Roman"/>
          <w:bCs/>
          <w:color w:val="000000"/>
          <w:szCs w:val="24"/>
        </w:rPr>
        <w:t>Federal</w:t>
      </w:r>
      <w:r w:rsidRPr="008550E0">
        <w:rPr>
          <w:rFonts w:eastAsia="Times New Roman" w:cs="Times New Roman"/>
          <w:bCs/>
          <w:color w:val="000000"/>
          <w:szCs w:val="24"/>
        </w:rPr>
        <w:t xml:space="preserve"> agency must receive approval from the Office of Management and Budget (OMB)</w:t>
      </w:r>
      <w:r>
        <w:rPr>
          <w:rFonts w:eastAsia="Times New Roman" w:cs="Times New Roman"/>
          <w:bCs/>
          <w:color w:val="000000"/>
          <w:szCs w:val="24"/>
        </w:rPr>
        <w:t xml:space="preserve"> before it collects certain information from the public and </w:t>
      </w:r>
      <w:r w:rsidRPr="00DA33F9">
        <w:rPr>
          <w:rFonts w:eastAsia="Times New Roman" w:cs="Times New Roman"/>
          <w:bCs/>
          <w:color w:val="000000"/>
          <w:szCs w:val="24"/>
        </w:rPr>
        <w:t>a person is not required to respond to a collection of information by a Federal agency un</w:t>
      </w:r>
      <w:r>
        <w:rPr>
          <w:rFonts w:eastAsia="Times New Roman" w:cs="Times New Roman"/>
          <w:bCs/>
          <w:color w:val="000000"/>
          <w:szCs w:val="24"/>
        </w:rPr>
        <w:t>less the collection displays a valid OMB control number.</w:t>
      </w:r>
      <w:r w:rsidRPr="008550E0">
        <w:rPr>
          <w:rFonts w:eastAsia="Times New Roman" w:cs="Times New Roman"/>
          <w:bCs/>
          <w:color w:val="000000"/>
          <w:szCs w:val="24"/>
        </w:rPr>
        <w:t xml:space="preserve">  In compliance with these requirements, this notice announces that the following information collection request </w:t>
      </w:r>
      <w:r>
        <w:rPr>
          <w:rFonts w:eastAsia="Times New Roman" w:cs="Times New Roman"/>
          <w:bCs/>
          <w:color w:val="000000"/>
          <w:szCs w:val="24"/>
        </w:rPr>
        <w:t xml:space="preserve">will be submitted </w:t>
      </w:r>
      <w:r w:rsidRPr="008550E0">
        <w:rPr>
          <w:rFonts w:eastAsia="Times New Roman" w:cs="Times New Roman"/>
          <w:bCs/>
          <w:color w:val="000000"/>
          <w:szCs w:val="24"/>
        </w:rPr>
        <w:t>OMB.</w:t>
      </w:r>
    </w:p>
    <w:p w:rsidR="00790816" w:rsidRPr="00F342BD" w:rsidP="00790816" w14:paraId="7F748EE4" w14:textId="45D97540">
      <w:pPr>
        <w:autoSpaceDE w:val="0"/>
        <w:autoSpaceDN w:val="0"/>
        <w:adjustRightInd w:val="0"/>
        <w:spacing w:after="0" w:line="480" w:lineRule="auto"/>
        <w:rPr>
          <w:rFonts w:eastAsia="Times New Roman" w:cs="Times New Roman"/>
          <w:bCs/>
          <w:i/>
          <w:color w:val="000000"/>
          <w:szCs w:val="24"/>
          <w:highlight w:val="yellow"/>
        </w:rPr>
      </w:pPr>
      <w:r w:rsidRPr="00710E6B">
        <w:rPr>
          <w:rFonts w:eastAsia="Times New Roman" w:cs="Times New Roman"/>
          <w:bCs/>
          <w:i/>
          <w:color w:val="000000"/>
          <w:szCs w:val="24"/>
        </w:rPr>
        <w:t xml:space="preserve">Title: </w:t>
      </w:r>
      <w:r w:rsidRPr="008B47EC" w:rsidR="00710E6B">
        <w:rPr>
          <w:rFonts w:eastAsia="Times New Roman" w:cs="Times New Roman"/>
          <w:bCs/>
          <w:iCs/>
          <w:color w:val="000000"/>
          <w:szCs w:val="24"/>
        </w:rPr>
        <w:t>Automated Driving Systems 2.0: A Vision for Safety</w:t>
      </w:r>
    </w:p>
    <w:p w:rsidR="00790816" w:rsidRPr="00F342BD" w:rsidP="00790816" w14:paraId="359ACF31" w14:textId="4D3A3C57">
      <w:pPr>
        <w:spacing w:after="0" w:line="480" w:lineRule="auto"/>
        <w:rPr>
          <w:bCs/>
          <w:i/>
          <w:highlight w:val="yellow"/>
        </w:rPr>
      </w:pPr>
      <w:r w:rsidRPr="00823D31">
        <w:rPr>
          <w:rFonts w:eastAsia="Times New Roman" w:cs="Times New Roman"/>
          <w:bCs/>
          <w:i/>
          <w:color w:val="000000"/>
          <w:szCs w:val="24"/>
        </w:rPr>
        <w:t xml:space="preserve">OMB Control Number: </w:t>
      </w:r>
      <w:r w:rsidRPr="008B47EC" w:rsidR="00823D31">
        <w:rPr>
          <w:rFonts w:eastAsia="Times New Roman" w:cs="Times New Roman"/>
          <w:bCs/>
          <w:iCs/>
          <w:color w:val="000000"/>
          <w:szCs w:val="24"/>
        </w:rPr>
        <w:t>2127-0723</w:t>
      </w:r>
    </w:p>
    <w:p w:rsidR="00790816" w:rsidRPr="00823D31" w:rsidP="00790816" w14:paraId="0F0B6924" w14:textId="257CA5F6">
      <w:pPr>
        <w:spacing w:after="0" w:line="480" w:lineRule="auto"/>
        <w:rPr>
          <w:rFonts w:eastAsia="Times New Roman" w:cs="Times New Roman"/>
          <w:bCs/>
          <w:i/>
          <w:szCs w:val="24"/>
        </w:rPr>
      </w:pPr>
      <w:r w:rsidRPr="00823D31">
        <w:rPr>
          <w:rFonts w:eastAsia="Times New Roman" w:cs="Times New Roman"/>
          <w:bCs/>
          <w:i/>
          <w:color w:val="000000"/>
          <w:szCs w:val="24"/>
        </w:rPr>
        <w:t xml:space="preserve">Form Number: </w:t>
      </w:r>
      <w:r w:rsidRPr="00823D31" w:rsidR="00823D31">
        <w:rPr>
          <w:rFonts w:eastAsia="Times New Roman" w:cs="Times New Roman"/>
          <w:bCs/>
          <w:i/>
          <w:color w:val="000000"/>
          <w:szCs w:val="24"/>
        </w:rPr>
        <w:t>None</w:t>
      </w:r>
    </w:p>
    <w:p w:rsidR="00790816" w:rsidRPr="00341CBC" w:rsidP="00790816" w14:paraId="43CD317E" w14:textId="0A38BDDC">
      <w:pPr>
        <w:autoSpaceDE w:val="0"/>
        <w:autoSpaceDN w:val="0"/>
        <w:adjustRightInd w:val="0"/>
        <w:spacing w:after="0" w:line="480" w:lineRule="auto"/>
        <w:rPr>
          <w:rFonts w:eastAsia="Times New Roman" w:cs="Times New Roman"/>
          <w:bCs/>
          <w:i/>
          <w:szCs w:val="24"/>
        </w:rPr>
      </w:pPr>
      <w:r w:rsidRPr="00341CBC">
        <w:rPr>
          <w:rFonts w:eastAsia="Times New Roman" w:cs="Times New Roman"/>
          <w:bCs/>
          <w:i/>
          <w:color w:val="000000"/>
          <w:szCs w:val="24"/>
        </w:rPr>
        <w:t>Type of Request:</w:t>
      </w:r>
      <w:r w:rsidRPr="00341CBC">
        <w:rPr>
          <w:rFonts w:eastAsia="Times New Roman" w:cs="Times New Roman"/>
          <w:bCs/>
          <w:i/>
          <w:szCs w:val="24"/>
        </w:rPr>
        <w:t xml:space="preserve"> </w:t>
      </w:r>
      <w:r w:rsidR="00C70D0A">
        <w:rPr>
          <w:rFonts w:eastAsia="Times New Roman" w:cs="Times New Roman"/>
          <w:bCs/>
          <w:iCs/>
          <w:szCs w:val="24"/>
        </w:rPr>
        <w:t>Revision of a currently approved collection</w:t>
      </w:r>
      <w:r w:rsidRPr="00341CBC" w:rsidR="00341CBC">
        <w:rPr>
          <w:rFonts w:eastAsia="Times New Roman" w:cs="Times New Roman"/>
          <w:bCs/>
          <w:iCs/>
          <w:szCs w:val="24"/>
        </w:rPr>
        <w:t>.</w:t>
      </w:r>
    </w:p>
    <w:p w:rsidR="00341CBC" w:rsidP="00790816" w14:paraId="499FB9F2" w14:textId="00E7492D">
      <w:pPr>
        <w:autoSpaceDE w:val="0"/>
        <w:autoSpaceDN w:val="0"/>
        <w:adjustRightInd w:val="0"/>
        <w:spacing w:after="0" w:line="480" w:lineRule="auto"/>
        <w:rPr>
          <w:rFonts w:eastAsia="Times New Roman" w:cs="Times New Roman"/>
          <w:bCs/>
          <w:iCs/>
          <w:szCs w:val="24"/>
        </w:rPr>
      </w:pPr>
      <w:r w:rsidRPr="00341CBC">
        <w:rPr>
          <w:rFonts w:eastAsia="Times New Roman" w:cs="Times New Roman"/>
          <w:bCs/>
          <w:i/>
          <w:szCs w:val="24"/>
        </w:rPr>
        <w:t>Type of Review Requested:</w:t>
      </w:r>
      <w:r w:rsidRPr="00341CBC">
        <w:rPr>
          <w:rFonts w:eastAsia="Times New Roman" w:cs="Times New Roman"/>
          <w:b/>
          <w:iCs/>
          <w:szCs w:val="24"/>
        </w:rPr>
        <w:t xml:space="preserve"> </w:t>
      </w:r>
      <w:r w:rsidRPr="00341CBC">
        <w:rPr>
          <w:rFonts w:eastAsia="Times New Roman" w:cs="Times New Roman"/>
          <w:bCs/>
          <w:iCs/>
          <w:szCs w:val="24"/>
        </w:rPr>
        <w:t>Regular</w:t>
      </w:r>
      <w:r w:rsidR="003A5C60">
        <w:rPr>
          <w:rFonts w:eastAsia="Times New Roman" w:cs="Times New Roman"/>
          <w:bCs/>
          <w:iCs/>
          <w:szCs w:val="24"/>
        </w:rPr>
        <w:t>.</w:t>
      </w:r>
    </w:p>
    <w:p w:rsidR="00790816" w:rsidRPr="00341CBC" w:rsidP="00790816" w14:paraId="71151EF7" w14:textId="249846F7">
      <w:pPr>
        <w:autoSpaceDE w:val="0"/>
        <w:autoSpaceDN w:val="0"/>
        <w:adjustRightInd w:val="0"/>
        <w:spacing w:after="0" w:line="480" w:lineRule="auto"/>
        <w:rPr>
          <w:rFonts w:eastAsia="Times New Roman" w:cs="Times New Roman"/>
          <w:iCs/>
          <w:color w:val="000000"/>
          <w:szCs w:val="24"/>
        </w:rPr>
      </w:pPr>
      <w:r w:rsidRPr="00341CBC">
        <w:rPr>
          <w:rFonts w:eastAsia="Times New Roman" w:cs="Times New Roman"/>
          <w:bCs/>
          <w:i/>
          <w:szCs w:val="24"/>
        </w:rPr>
        <w:t xml:space="preserve">Length of Approval Requested: </w:t>
      </w:r>
      <w:r w:rsidRPr="00341CBC">
        <w:rPr>
          <w:rFonts w:eastAsia="Times New Roman" w:cs="Times New Roman"/>
          <w:iCs/>
          <w:szCs w:val="24"/>
        </w:rPr>
        <w:t>Three years</w:t>
      </w:r>
      <w:r w:rsidRPr="00341CBC" w:rsidR="008F3806">
        <w:rPr>
          <w:rFonts w:eastAsia="Times New Roman" w:cs="Times New Roman"/>
          <w:iCs/>
          <w:szCs w:val="24"/>
        </w:rPr>
        <w:t xml:space="preserve"> from date of approval</w:t>
      </w:r>
      <w:r w:rsidR="003A5C60">
        <w:rPr>
          <w:rFonts w:eastAsia="Times New Roman" w:cs="Times New Roman"/>
          <w:iCs/>
          <w:szCs w:val="24"/>
        </w:rPr>
        <w:t>.</w:t>
      </w:r>
      <w:r w:rsidRPr="00341CBC">
        <w:rPr>
          <w:rFonts w:eastAsia="Times New Roman" w:cs="Times New Roman"/>
          <w:iCs/>
          <w:szCs w:val="24"/>
        </w:rPr>
        <w:t xml:space="preserve"> </w:t>
      </w:r>
    </w:p>
    <w:p w:rsidR="00790816" w:rsidRPr="00EC0A47" w:rsidP="00790816" w14:paraId="5251EEBA" w14:textId="77777777">
      <w:pPr>
        <w:autoSpaceDE w:val="0"/>
        <w:autoSpaceDN w:val="0"/>
        <w:adjustRightInd w:val="0"/>
        <w:spacing w:after="0" w:line="480" w:lineRule="auto"/>
        <w:rPr>
          <w:rFonts w:eastAsia="Times New Roman" w:cs="Times New Roman"/>
          <w:bCs/>
          <w:i/>
          <w:color w:val="000000"/>
          <w:szCs w:val="24"/>
        </w:rPr>
      </w:pPr>
      <w:r w:rsidRPr="00EC0A47">
        <w:rPr>
          <w:rFonts w:eastAsia="Times New Roman" w:cs="Times New Roman"/>
          <w:bCs/>
          <w:i/>
          <w:color w:val="000000"/>
          <w:szCs w:val="24"/>
        </w:rPr>
        <w:t xml:space="preserve">Summary of the Collection of Information: </w:t>
      </w:r>
    </w:p>
    <w:p w:rsidR="00EC0A47" w:rsidP="00EC0A47" w14:paraId="780DA59B" w14:textId="7D635890">
      <w:pPr>
        <w:spacing w:line="480" w:lineRule="auto"/>
      </w:pPr>
      <w:r>
        <w:rPr>
          <w:rFonts w:eastAsia="Times New Roman" w:cs="Times New Roman"/>
          <w:bCs/>
          <w:iCs/>
          <w:color w:val="000000"/>
          <w:szCs w:val="24"/>
        </w:rPr>
        <w:tab/>
        <w:t xml:space="preserve">In September 2017, NHTSA published a </w:t>
      </w:r>
      <w:r w:rsidR="006C129C">
        <w:rPr>
          <w:rFonts w:eastAsia="Times New Roman" w:cs="Times New Roman"/>
          <w:bCs/>
          <w:iCs/>
          <w:color w:val="000000"/>
          <w:szCs w:val="24"/>
        </w:rPr>
        <w:t xml:space="preserve">voluntary guidance </w:t>
      </w:r>
      <w:r>
        <w:rPr>
          <w:rFonts w:eastAsia="Times New Roman" w:cs="Times New Roman"/>
          <w:bCs/>
          <w:iCs/>
          <w:color w:val="000000"/>
          <w:szCs w:val="24"/>
        </w:rPr>
        <w:t xml:space="preserve">document titled, </w:t>
      </w:r>
      <w:r>
        <w:rPr>
          <w:rFonts w:eastAsia="Times New Roman" w:cs="Times New Roman"/>
          <w:bCs/>
          <w:i/>
          <w:color w:val="000000"/>
          <w:szCs w:val="24"/>
        </w:rPr>
        <w:t>Automated Driving Systems 2.0: A Vision for Safety (ADS 2.0)</w:t>
      </w:r>
      <w:r>
        <w:rPr>
          <w:rFonts w:eastAsia="Times New Roman" w:cs="Times New Roman"/>
          <w:bCs/>
          <w:iCs/>
          <w:color w:val="000000"/>
          <w:szCs w:val="24"/>
        </w:rPr>
        <w:t xml:space="preserve">.  Recognizing the potential </w:t>
      </w:r>
      <w:r w:rsidR="006C129C">
        <w:rPr>
          <w:rFonts w:eastAsia="Times New Roman" w:cs="Times New Roman"/>
          <w:bCs/>
          <w:iCs/>
          <w:color w:val="000000"/>
          <w:szCs w:val="24"/>
        </w:rPr>
        <w:t xml:space="preserve">for responsibly developed and deployed </w:t>
      </w:r>
      <w:r>
        <w:rPr>
          <w:rFonts w:eastAsia="Times New Roman" w:cs="Times New Roman"/>
          <w:bCs/>
          <w:iCs/>
          <w:color w:val="000000"/>
          <w:szCs w:val="24"/>
        </w:rPr>
        <w:t xml:space="preserve">Automated Driving Systems (ADSs) </w:t>
      </w:r>
      <w:r w:rsidR="006C129C">
        <w:rPr>
          <w:rFonts w:eastAsia="Times New Roman" w:cs="Times New Roman"/>
          <w:bCs/>
          <w:iCs/>
          <w:color w:val="000000"/>
          <w:szCs w:val="24"/>
        </w:rPr>
        <w:t>to</w:t>
      </w:r>
      <w:r>
        <w:rPr>
          <w:rFonts w:eastAsia="Times New Roman" w:cs="Times New Roman"/>
          <w:bCs/>
          <w:iCs/>
          <w:color w:val="000000"/>
          <w:szCs w:val="24"/>
        </w:rPr>
        <w:t xml:space="preserve"> enhance safety and mobility, this document </w:t>
      </w:r>
      <w:r w:rsidR="006C129C">
        <w:rPr>
          <w:rFonts w:eastAsia="Times New Roman" w:cs="Times New Roman"/>
          <w:bCs/>
          <w:iCs/>
          <w:color w:val="000000"/>
          <w:szCs w:val="24"/>
        </w:rPr>
        <w:t>outlines</w:t>
      </w:r>
      <w:r>
        <w:rPr>
          <w:rFonts w:eastAsia="Times New Roman" w:cs="Times New Roman"/>
          <w:bCs/>
          <w:iCs/>
          <w:color w:val="000000"/>
          <w:szCs w:val="24"/>
        </w:rPr>
        <w:t xml:space="preserve"> </w:t>
      </w:r>
      <w:r w:rsidR="006C129C">
        <w:rPr>
          <w:rFonts w:eastAsia="Times New Roman" w:cs="Times New Roman"/>
          <w:bCs/>
          <w:iCs/>
          <w:color w:val="000000"/>
          <w:szCs w:val="24"/>
        </w:rPr>
        <w:t>a safety considerations framework</w:t>
      </w:r>
      <w:r>
        <w:rPr>
          <w:rFonts w:eastAsia="Times New Roman" w:cs="Times New Roman"/>
          <w:bCs/>
          <w:iCs/>
          <w:color w:val="000000"/>
          <w:szCs w:val="24"/>
        </w:rPr>
        <w:t xml:space="preserve"> to </w:t>
      </w:r>
      <w:r w:rsidR="006C129C">
        <w:rPr>
          <w:rFonts w:eastAsia="Times New Roman" w:cs="Times New Roman"/>
          <w:bCs/>
          <w:iCs/>
          <w:color w:val="000000"/>
          <w:szCs w:val="24"/>
        </w:rPr>
        <w:t xml:space="preserve">facilitate </w:t>
      </w:r>
      <w:r>
        <w:rPr>
          <w:rFonts w:eastAsia="Times New Roman" w:cs="Times New Roman"/>
          <w:bCs/>
          <w:iCs/>
          <w:color w:val="000000"/>
          <w:szCs w:val="24"/>
        </w:rPr>
        <w:t xml:space="preserve">the safe deployment of ADS-equipped vehicles.  </w:t>
      </w:r>
      <w:r>
        <w:rPr>
          <w:i/>
        </w:rPr>
        <w:t>ADS 2.0</w:t>
      </w:r>
      <w:r>
        <w:t xml:space="preserve"> </w:t>
      </w:r>
      <w:r w:rsidR="006C129C">
        <w:t xml:space="preserve">presents </w:t>
      </w:r>
      <w:r>
        <w:t xml:space="preserve">12 priority safety </w:t>
      </w:r>
      <w:r w:rsidR="006C129C">
        <w:t>areas</w:t>
      </w:r>
      <w:r>
        <w:t xml:space="preserve">, </w:t>
      </w:r>
      <w:r w:rsidR="0064550B">
        <w:t xml:space="preserve">along with </w:t>
      </w:r>
      <w:r>
        <w:t xml:space="preserve">safety goals and approaches that could be used to achieve </w:t>
      </w:r>
      <w:r w:rsidR="0064550B">
        <w:t>these</w:t>
      </w:r>
      <w:r>
        <w:t xml:space="preserve"> goals.  Entities engaged in ADS testing and deployment may demonstrate how they address—via industry best practices, their own best practices, or other appropriate methods—the safety elements by publishing a Voluntary Safety Self-Assessment (VSSA). The VSSA is the medium of collection of information for </w:t>
      </w:r>
      <w:r>
        <w:rPr>
          <w:i/>
        </w:rPr>
        <w:t>ADS 2.0</w:t>
      </w:r>
      <w:r>
        <w:t xml:space="preserve">.  NHTSA provides the VSSA Index on the agency’s website as a pointer system for entities’ VSSAs. </w:t>
      </w:r>
    </w:p>
    <w:p w:rsidR="00790816" w:rsidRPr="009F116C" w:rsidP="00790816" w14:paraId="2C403F4C" w14:textId="1AAB0805">
      <w:pPr>
        <w:autoSpaceDE w:val="0"/>
        <w:autoSpaceDN w:val="0"/>
        <w:adjustRightInd w:val="0"/>
        <w:spacing w:after="0" w:line="480" w:lineRule="auto"/>
        <w:rPr>
          <w:rFonts w:eastAsia="Times New Roman" w:cs="Times New Roman"/>
          <w:bCs/>
          <w:i/>
          <w:color w:val="000000"/>
          <w:szCs w:val="24"/>
        </w:rPr>
      </w:pPr>
      <w:r w:rsidRPr="009F116C">
        <w:rPr>
          <w:rFonts w:eastAsia="Times New Roman" w:cs="Times New Roman"/>
          <w:bCs/>
          <w:i/>
          <w:color w:val="000000"/>
          <w:szCs w:val="24"/>
        </w:rPr>
        <w:t>Description of the Need for the Information and Proposed Use of the Information:</w:t>
      </w:r>
    </w:p>
    <w:p w:rsidR="009F116C" w:rsidP="009F116C" w14:paraId="570D884B" w14:textId="77777777">
      <w:pPr>
        <w:autoSpaceDE w:val="0"/>
        <w:autoSpaceDN w:val="0"/>
        <w:adjustRightInd w:val="0"/>
        <w:spacing w:after="0" w:line="480" w:lineRule="auto"/>
        <w:ind w:firstLine="720"/>
      </w:pPr>
      <w:r>
        <w:t>The VSSA is intended to demonstrate to the public (particularly States and consumers) that entities are: 1) considering the safety aspects of ADSs; 2) communicating and collaborating with DOT; 3) encouraging the self-establishment of industry safety norms for ADSs; and 4) building public trust, acceptance, and confidence through transparent testing and deployment of ADSs.  It also allows companies an opportunity to showcase their approach to safety, without needing to reveal proprietary intellectual property.</w:t>
      </w:r>
    </w:p>
    <w:p w:rsidR="009F116C" w:rsidRPr="00E91D13" w:rsidP="009F116C" w14:paraId="3D327B30" w14:textId="77777777">
      <w:pPr>
        <w:pStyle w:val="ListBullet"/>
        <w:numPr>
          <w:ilvl w:val="0"/>
          <w:numId w:val="0"/>
        </w:numPr>
        <w:spacing w:line="480" w:lineRule="auto"/>
        <w:ind w:firstLine="720"/>
        <w:rPr>
          <w:rFonts w:ascii="Times New Roman" w:hAnsi="Times New Roman"/>
        </w:rPr>
      </w:pPr>
      <w:r w:rsidRPr="00E91D13">
        <w:rPr>
          <w:rFonts w:ascii="Times New Roman" w:hAnsi="Times New Roman"/>
        </w:rPr>
        <w:t xml:space="preserve">Entities collecting information and disclosing that information via a Voluntary Safety Self-Assessment have been given the flexibility to disclose the information in a format deemed appropriate for that particular entity. </w:t>
      </w:r>
      <w:r>
        <w:rPr>
          <w:rFonts w:ascii="Times New Roman" w:hAnsi="Times New Roman"/>
        </w:rPr>
        <w:t xml:space="preserve"> </w:t>
      </w:r>
      <w:r w:rsidRPr="00E91D13">
        <w:rPr>
          <w:rFonts w:ascii="Times New Roman" w:hAnsi="Times New Roman"/>
        </w:rPr>
        <w:t xml:space="preserve">Each entity has selected the layout, presentation, and verbiage structure that best fits its needs and goals.  </w:t>
      </w:r>
    </w:p>
    <w:p w:rsidR="009F116C" w:rsidP="009F116C" w14:paraId="54ACC763" w14:textId="5B38D024">
      <w:pPr>
        <w:pStyle w:val="ListBullet"/>
        <w:numPr>
          <w:ilvl w:val="0"/>
          <w:numId w:val="0"/>
        </w:numPr>
        <w:spacing w:line="480" w:lineRule="auto"/>
        <w:ind w:firstLine="720"/>
        <w:rPr>
          <w:rFonts w:ascii="Times New Roman" w:hAnsi="Times New Roman"/>
        </w:rPr>
      </w:pPr>
      <w:r>
        <w:rPr>
          <w:rFonts w:ascii="Times New Roman" w:hAnsi="Times New Roman"/>
        </w:rPr>
        <w:t xml:space="preserve">Members of the public can </w:t>
      </w:r>
      <w:r w:rsidR="003B2703">
        <w:rPr>
          <w:rFonts w:ascii="Times New Roman" w:hAnsi="Times New Roman"/>
        </w:rPr>
        <w:t xml:space="preserve">access </w:t>
      </w:r>
      <w:r>
        <w:rPr>
          <w:rFonts w:ascii="Times New Roman" w:hAnsi="Times New Roman"/>
        </w:rPr>
        <w:t xml:space="preserve">the VSSA </w:t>
      </w:r>
      <w:r>
        <w:rPr>
          <w:rFonts w:ascii="Times New Roman" w:hAnsi="Times New Roman"/>
        </w:rPr>
        <w:t>in order to</w:t>
      </w:r>
      <w:r>
        <w:rPr>
          <w:rFonts w:ascii="Times New Roman" w:hAnsi="Times New Roman"/>
        </w:rPr>
        <w:t xml:space="preserve"> understand the technology, learn how testing and safety elements are incorporated in the design and function of a system or vehicle, and </w:t>
      </w:r>
      <w:r w:rsidR="003B2703">
        <w:rPr>
          <w:rFonts w:ascii="Times New Roman" w:hAnsi="Times New Roman"/>
        </w:rPr>
        <w:t xml:space="preserve">stay informed about </w:t>
      </w:r>
      <w:r>
        <w:rPr>
          <w:rFonts w:ascii="Times New Roman" w:hAnsi="Times New Roman"/>
        </w:rPr>
        <w:t xml:space="preserve">testing and deployments </w:t>
      </w:r>
      <w:r w:rsidR="003B2703">
        <w:rPr>
          <w:rFonts w:ascii="Times New Roman" w:hAnsi="Times New Roman"/>
        </w:rPr>
        <w:t>across</w:t>
      </w:r>
      <w:r>
        <w:rPr>
          <w:rFonts w:ascii="Times New Roman" w:hAnsi="Times New Roman"/>
        </w:rPr>
        <w:t xml:space="preserve"> the country. </w:t>
      </w:r>
    </w:p>
    <w:p w:rsidR="009F116C" w:rsidP="009F116C" w14:paraId="036A10D6" w14:textId="0E02839B">
      <w:pPr>
        <w:pStyle w:val="ListBullet"/>
        <w:numPr>
          <w:ilvl w:val="0"/>
          <w:numId w:val="0"/>
        </w:numPr>
        <w:spacing w:line="480" w:lineRule="auto"/>
        <w:ind w:firstLine="720"/>
        <w:rPr>
          <w:rFonts w:ascii="Times New Roman" w:hAnsi="Times New Roman"/>
        </w:rPr>
      </w:pPr>
      <w:r>
        <w:rPr>
          <w:rFonts w:ascii="Times New Roman" w:hAnsi="Times New Roman"/>
        </w:rPr>
        <w:t xml:space="preserve">State stakeholders have </w:t>
      </w:r>
      <w:r w:rsidR="00885EDD">
        <w:rPr>
          <w:rFonts w:ascii="Times New Roman" w:hAnsi="Times New Roman"/>
        </w:rPr>
        <w:t xml:space="preserve">indicated that </w:t>
      </w:r>
      <w:r>
        <w:rPr>
          <w:rFonts w:ascii="Times New Roman" w:hAnsi="Times New Roman"/>
        </w:rPr>
        <w:t xml:space="preserve">they would use the information in the VSSA </w:t>
      </w:r>
      <w:r w:rsidR="00885EDD">
        <w:rPr>
          <w:rFonts w:ascii="Times New Roman" w:hAnsi="Times New Roman"/>
        </w:rPr>
        <w:t xml:space="preserve">as part of assessing </w:t>
      </w:r>
      <w:r>
        <w:rPr>
          <w:rFonts w:ascii="Times New Roman" w:hAnsi="Times New Roman"/>
        </w:rPr>
        <w:t xml:space="preserve">the safety </w:t>
      </w:r>
      <w:r w:rsidR="00885EDD">
        <w:rPr>
          <w:rFonts w:ascii="Times New Roman" w:hAnsi="Times New Roman"/>
        </w:rPr>
        <w:t xml:space="preserve">implications </w:t>
      </w:r>
      <w:r>
        <w:rPr>
          <w:rFonts w:ascii="Times New Roman" w:hAnsi="Times New Roman"/>
        </w:rPr>
        <w:t xml:space="preserve">of ADSs on their roadways.  </w:t>
      </w:r>
      <w:r w:rsidR="00885EDD">
        <w:rPr>
          <w:rFonts w:ascii="Times New Roman" w:hAnsi="Times New Roman"/>
        </w:rPr>
        <w:t>Some s</w:t>
      </w:r>
      <w:r>
        <w:rPr>
          <w:rFonts w:ascii="Times New Roman" w:hAnsi="Times New Roman"/>
        </w:rPr>
        <w:t xml:space="preserve">tates </w:t>
      </w:r>
      <w:r w:rsidR="00885EDD">
        <w:rPr>
          <w:rFonts w:ascii="Times New Roman" w:hAnsi="Times New Roman"/>
        </w:rPr>
        <w:t xml:space="preserve">seeking </w:t>
      </w:r>
      <w:r>
        <w:rPr>
          <w:rFonts w:ascii="Times New Roman" w:hAnsi="Times New Roman"/>
        </w:rPr>
        <w:t xml:space="preserve">to </w:t>
      </w:r>
      <w:r w:rsidR="00885EDD">
        <w:rPr>
          <w:rFonts w:ascii="Times New Roman" w:hAnsi="Times New Roman"/>
        </w:rPr>
        <w:t xml:space="preserve">establish an </w:t>
      </w:r>
      <w:r>
        <w:rPr>
          <w:rFonts w:ascii="Times New Roman" w:hAnsi="Times New Roman"/>
        </w:rPr>
        <w:t xml:space="preserve">application and </w:t>
      </w:r>
      <w:r w:rsidR="00885EDD">
        <w:rPr>
          <w:rFonts w:ascii="Times New Roman" w:hAnsi="Times New Roman"/>
        </w:rPr>
        <w:t xml:space="preserve">permitting process </w:t>
      </w:r>
      <w:r w:rsidR="003B2703">
        <w:rPr>
          <w:rFonts w:ascii="Times New Roman" w:hAnsi="Times New Roman"/>
        </w:rPr>
        <w:t xml:space="preserve">for </w:t>
      </w:r>
      <w:r>
        <w:rPr>
          <w:rFonts w:ascii="Times New Roman" w:hAnsi="Times New Roman"/>
        </w:rPr>
        <w:t>test</w:t>
      </w:r>
      <w:r w:rsidR="003B2703">
        <w:rPr>
          <w:rFonts w:ascii="Times New Roman" w:hAnsi="Times New Roman"/>
        </w:rPr>
        <w:t>ing</w:t>
      </w:r>
      <w:r>
        <w:rPr>
          <w:rFonts w:ascii="Times New Roman" w:hAnsi="Times New Roman"/>
        </w:rPr>
        <w:t xml:space="preserve"> and deploy</w:t>
      </w:r>
      <w:r w:rsidR="003B2703">
        <w:rPr>
          <w:rFonts w:ascii="Times New Roman" w:hAnsi="Times New Roman"/>
        </w:rPr>
        <w:t>ing</w:t>
      </w:r>
      <w:r>
        <w:rPr>
          <w:rFonts w:ascii="Times New Roman" w:hAnsi="Times New Roman"/>
        </w:rPr>
        <w:t xml:space="preserve"> ADSs </w:t>
      </w:r>
      <w:r w:rsidR="00885EDD">
        <w:rPr>
          <w:rFonts w:ascii="Times New Roman" w:hAnsi="Times New Roman"/>
        </w:rPr>
        <w:t xml:space="preserve">within their jurisdiction may </w:t>
      </w:r>
      <w:r w:rsidR="003B2703">
        <w:rPr>
          <w:rFonts w:ascii="Times New Roman" w:hAnsi="Times New Roman"/>
        </w:rPr>
        <w:t>consider information contained in the</w:t>
      </w:r>
      <w:r>
        <w:rPr>
          <w:rFonts w:ascii="Times New Roman" w:hAnsi="Times New Roman"/>
        </w:rPr>
        <w:t xml:space="preserve"> VSSA </w:t>
      </w:r>
      <w:r w:rsidR="00885EDD">
        <w:rPr>
          <w:rFonts w:ascii="Times New Roman" w:hAnsi="Times New Roman"/>
        </w:rPr>
        <w:t>as part of</w:t>
      </w:r>
      <w:r>
        <w:rPr>
          <w:rFonts w:ascii="Times New Roman" w:hAnsi="Times New Roman"/>
        </w:rPr>
        <w:t xml:space="preserve"> </w:t>
      </w:r>
      <w:r w:rsidR="003B2703">
        <w:rPr>
          <w:rFonts w:ascii="Times New Roman" w:hAnsi="Times New Roman"/>
        </w:rPr>
        <w:t xml:space="preserve">the </w:t>
      </w:r>
      <w:r>
        <w:rPr>
          <w:rFonts w:ascii="Times New Roman" w:hAnsi="Times New Roman"/>
        </w:rPr>
        <w:t>permit</w:t>
      </w:r>
      <w:r w:rsidR="003B2703">
        <w:rPr>
          <w:rFonts w:ascii="Times New Roman" w:hAnsi="Times New Roman"/>
        </w:rPr>
        <w:t xml:space="preserve"> issuance process</w:t>
      </w:r>
      <w:r>
        <w:rPr>
          <w:rFonts w:ascii="Times New Roman" w:hAnsi="Times New Roman"/>
        </w:rPr>
        <w:t xml:space="preserve">.  The </w:t>
      </w:r>
      <w:r w:rsidR="003B2703">
        <w:rPr>
          <w:rFonts w:ascii="Times New Roman" w:hAnsi="Times New Roman"/>
        </w:rPr>
        <w:t>s</w:t>
      </w:r>
      <w:r>
        <w:rPr>
          <w:rFonts w:ascii="Times New Roman" w:hAnsi="Times New Roman"/>
        </w:rPr>
        <w:t xml:space="preserve">tates also use information in the VSSA to communicate with law enforcement and first responders as well as to educate the public. </w:t>
      </w:r>
    </w:p>
    <w:p w:rsidR="009F116C" w:rsidRPr="009F116C" w:rsidP="009F116C" w14:paraId="478BBE3A" w14:textId="3CA7DFE2">
      <w:pPr>
        <w:pStyle w:val="ListBullet"/>
        <w:numPr>
          <w:ilvl w:val="0"/>
          <w:numId w:val="0"/>
        </w:numPr>
        <w:spacing w:line="480" w:lineRule="auto"/>
        <w:ind w:firstLine="720"/>
        <w:rPr>
          <w:rFonts w:ascii="Times New Roman" w:hAnsi="Times New Roman"/>
        </w:rPr>
      </w:pPr>
      <w:r>
        <w:rPr>
          <w:rFonts w:ascii="Times New Roman" w:hAnsi="Times New Roman"/>
        </w:rPr>
        <w:t xml:space="preserve">Other consumer-based stakeholders access the information in the VSSA to gather information to </w:t>
      </w:r>
      <w:r w:rsidR="003B2703">
        <w:rPr>
          <w:rFonts w:ascii="Times New Roman" w:hAnsi="Times New Roman"/>
        </w:rPr>
        <w:t xml:space="preserve">assess </w:t>
      </w:r>
      <w:r>
        <w:rPr>
          <w:rFonts w:ascii="Times New Roman" w:hAnsi="Times New Roman"/>
        </w:rPr>
        <w:t>risk</w:t>
      </w:r>
      <w:r w:rsidR="003B2703">
        <w:rPr>
          <w:rFonts w:ascii="Times New Roman" w:hAnsi="Times New Roman"/>
        </w:rPr>
        <w:t>s</w:t>
      </w:r>
      <w:r>
        <w:rPr>
          <w:rFonts w:ascii="Times New Roman" w:hAnsi="Times New Roman"/>
        </w:rPr>
        <w:t xml:space="preserve">, inform decisions, educate, </w:t>
      </w:r>
      <w:r w:rsidR="003B2703">
        <w:rPr>
          <w:rFonts w:ascii="Times New Roman" w:hAnsi="Times New Roman"/>
        </w:rPr>
        <w:t>and for various other purposes</w:t>
      </w:r>
      <w:r>
        <w:rPr>
          <w:rFonts w:ascii="Times New Roman" w:hAnsi="Times New Roman"/>
        </w:rPr>
        <w:t xml:space="preserve">. </w:t>
      </w:r>
    </w:p>
    <w:p w:rsidR="005B7798" w:rsidRPr="009F116C" w:rsidP="00790816" w14:paraId="2E5F6350" w14:textId="06FFB226">
      <w:pPr>
        <w:autoSpaceDE w:val="0"/>
        <w:autoSpaceDN w:val="0"/>
        <w:adjustRightInd w:val="0"/>
        <w:spacing w:after="0" w:line="480" w:lineRule="auto"/>
        <w:rPr>
          <w:rFonts w:eastAsia="Times New Roman" w:cs="Times New Roman"/>
          <w:b/>
          <w:iCs/>
          <w:color w:val="000000"/>
          <w:szCs w:val="24"/>
        </w:rPr>
      </w:pPr>
      <w:r w:rsidRPr="009F116C">
        <w:rPr>
          <w:rFonts w:eastAsia="Times New Roman" w:cs="Times New Roman"/>
          <w:bCs/>
          <w:i/>
          <w:color w:val="000000"/>
          <w:szCs w:val="24"/>
        </w:rPr>
        <w:t>60-Day Notice:</w:t>
      </w:r>
      <w:r w:rsidRPr="009F116C">
        <w:rPr>
          <w:rFonts w:eastAsia="Times New Roman" w:cs="Times New Roman"/>
          <w:b/>
          <w:iCs/>
          <w:color w:val="000000"/>
          <w:szCs w:val="24"/>
        </w:rPr>
        <w:t xml:space="preserve"> </w:t>
      </w:r>
    </w:p>
    <w:p w:rsidR="005B7798" w:rsidP="004158F6" w14:paraId="1A6200AC" w14:textId="35B1BEC8">
      <w:pPr>
        <w:autoSpaceDE w:val="0"/>
        <w:autoSpaceDN w:val="0"/>
        <w:adjustRightInd w:val="0"/>
        <w:spacing w:after="0" w:line="480" w:lineRule="auto"/>
        <w:ind w:firstLine="720"/>
        <w:rPr>
          <w:rFonts w:eastAsia="Times New Roman" w:cs="Times New Roman"/>
          <w:szCs w:val="24"/>
        </w:rPr>
      </w:pPr>
      <w:r w:rsidRPr="00EE29AA">
        <w:rPr>
          <w:rFonts w:eastAsia="Times New Roman" w:cs="Times New Roman"/>
          <w:bCs/>
          <w:color w:val="000000"/>
          <w:szCs w:val="24"/>
        </w:rPr>
        <w:t>A Federal Register notice with a 60-day comment period soliciting public comments on the following information collection was published on</w:t>
      </w:r>
      <w:r>
        <w:rPr>
          <w:rFonts w:eastAsia="Times New Roman" w:cs="Times New Roman"/>
          <w:bCs/>
          <w:color w:val="000000"/>
          <w:szCs w:val="24"/>
        </w:rPr>
        <w:t xml:space="preserve"> </w:t>
      </w:r>
      <w:r w:rsidR="009F116C">
        <w:rPr>
          <w:rFonts w:eastAsia="Times New Roman" w:cs="Times New Roman"/>
          <w:bCs/>
          <w:color w:val="000000"/>
          <w:szCs w:val="24"/>
        </w:rPr>
        <w:t>October 23, 2024</w:t>
      </w:r>
      <w:r w:rsidR="009F3014">
        <w:rPr>
          <w:rFonts w:eastAsia="Times New Roman" w:cs="Times New Roman"/>
          <w:bCs/>
          <w:color w:val="000000"/>
          <w:szCs w:val="24"/>
        </w:rPr>
        <w:t xml:space="preserve"> (</w:t>
      </w:r>
      <w:r w:rsidR="009E1EB0">
        <w:rPr>
          <w:rFonts w:eastAsia="Times New Roman" w:cs="Times New Roman"/>
          <w:bCs/>
          <w:color w:val="000000"/>
          <w:szCs w:val="24"/>
        </w:rPr>
        <w:t>89</w:t>
      </w:r>
      <w:r w:rsidR="009F3014">
        <w:rPr>
          <w:rFonts w:eastAsia="Times New Roman" w:cs="Times New Roman"/>
          <w:bCs/>
          <w:color w:val="000000"/>
          <w:szCs w:val="24"/>
        </w:rPr>
        <w:t xml:space="preserve"> FR </w:t>
      </w:r>
      <w:r w:rsidR="001C0FF8">
        <w:rPr>
          <w:rFonts w:eastAsia="Times New Roman" w:cs="Times New Roman"/>
          <w:bCs/>
          <w:iCs/>
          <w:color w:val="000000"/>
          <w:szCs w:val="24"/>
        </w:rPr>
        <w:t>84669</w:t>
      </w:r>
      <w:r w:rsidR="009F3014">
        <w:rPr>
          <w:rFonts w:eastAsia="Times New Roman" w:cs="Times New Roman"/>
          <w:bCs/>
          <w:color w:val="000000"/>
          <w:szCs w:val="24"/>
        </w:rPr>
        <w:t>)</w:t>
      </w:r>
      <w:r>
        <w:rPr>
          <w:rFonts w:eastAsia="Times New Roman" w:cs="Times New Roman"/>
          <w:bCs/>
          <w:color w:val="000000"/>
          <w:szCs w:val="24"/>
        </w:rPr>
        <w:t xml:space="preserve">. </w:t>
      </w:r>
      <w:r w:rsidR="00E017F6">
        <w:rPr>
          <w:rFonts w:eastAsia="Times New Roman" w:cs="Times New Roman"/>
          <w:bCs/>
          <w:color w:val="000000"/>
          <w:szCs w:val="24"/>
        </w:rPr>
        <w:t>Three c</w:t>
      </w:r>
      <w:r w:rsidRPr="00BC73E6" w:rsidR="00E017F6">
        <w:rPr>
          <w:rFonts w:eastAsia="Times New Roman" w:cs="Times New Roman"/>
          <w:szCs w:val="24"/>
        </w:rPr>
        <w:t xml:space="preserve">omments were received </w:t>
      </w:r>
      <w:r w:rsidR="00E017F6">
        <w:rPr>
          <w:rFonts w:eastAsia="Times New Roman" w:cs="Times New Roman"/>
          <w:szCs w:val="24"/>
        </w:rPr>
        <w:t xml:space="preserve">during the open comment period </w:t>
      </w:r>
      <w:r w:rsidRPr="00BC73E6" w:rsidR="00E017F6">
        <w:rPr>
          <w:rFonts w:eastAsia="Times New Roman" w:cs="Times New Roman"/>
          <w:szCs w:val="24"/>
        </w:rPr>
        <w:t xml:space="preserve">from </w:t>
      </w:r>
      <w:r w:rsidR="00E017F6">
        <w:rPr>
          <w:rFonts w:eastAsia="Times New Roman" w:cs="Times New Roman"/>
          <w:szCs w:val="24"/>
        </w:rPr>
        <w:t xml:space="preserve">Alexander Winter, </w:t>
      </w:r>
      <w:r w:rsidRPr="00BC73E6" w:rsidR="00E017F6">
        <w:rPr>
          <w:rFonts w:eastAsia="Times New Roman" w:cs="Times New Roman"/>
          <w:szCs w:val="24"/>
        </w:rPr>
        <w:t>the Insurance Institute for Highway Safety (IIHS)</w:t>
      </w:r>
      <w:r w:rsidR="00E017F6">
        <w:rPr>
          <w:rFonts w:eastAsia="Times New Roman" w:cs="Times New Roman"/>
          <w:szCs w:val="24"/>
        </w:rPr>
        <w:t>, and the National Transportation Safety Board (NTSB)</w:t>
      </w:r>
      <w:r w:rsidRPr="00BC73E6" w:rsidR="00E017F6">
        <w:rPr>
          <w:rFonts w:eastAsia="Times New Roman" w:cs="Times New Roman"/>
          <w:szCs w:val="24"/>
        </w:rPr>
        <w:t>.</w:t>
      </w:r>
    </w:p>
    <w:p w:rsidR="004158F6" w:rsidP="004158F6" w14:paraId="71295B19" w14:textId="637D0C96">
      <w:pPr>
        <w:spacing w:after="120" w:line="480" w:lineRule="auto"/>
        <w:rPr>
          <w:rFonts w:eastAsia="Times New Roman" w:cs="Times New Roman"/>
          <w:szCs w:val="24"/>
        </w:rPr>
      </w:pPr>
      <w:r>
        <w:rPr>
          <w:rFonts w:eastAsia="Times New Roman" w:cs="Times New Roman"/>
          <w:szCs w:val="24"/>
        </w:rPr>
        <w:tab/>
        <w:t xml:space="preserve">The comment from Alexander Winter </w:t>
      </w:r>
      <w:r w:rsidR="003B2703">
        <w:rPr>
          <w:rFonts w:eastAsia="Times New Roman" w:cs="Times New Roman"/>
          <w:szCs w:val="24"/>
        </w:rPr>
        <w:t xml:space="preserve">focused on </w:t>
      </w:r>
      <w:r>
        <w:rPr>
          <w:rFonts w:eastAsia="Times New Roman" w:cs="Times New Roman"/>
          <w:szCs w:val="24"/>
        </w:rPr>
        <w:t xml:space="preserve">vehicle lighting and </w:t>
      </w:r>
      <w:r w:rsidR="003B2703">
        <w:rPr>
          <w:rFonts w:eastAsia="Times New Roman" w:cs="Times New Roman"/>
          <w:szCs w:val="24"/>
        </w:rPr>
        <w:t xml:space="preserve">did not address any technical or burden-related aspects of this </w:t>
      </w:r>
      <w:r>
        <w:rPr>
          <w:rFonts w:eastAsia="Times New Roman" w:cs="Times New Roman"/>
          <w:szCs w:val="24"/>
        </w:rPr>
        <w:t>information collection</w:t>
      </w:r>
      <w:r w:rsidR="003B2703">
        <w:rPr>
          <w:rFonts w:eastAsia="Times New Roman" w:cs="Times New Roman"/>
          <w:szCs w:val="24"/>
        </w:rPr>
        <w:t>;</w:t>
      </w:r>
      <w:r>
        <w:rPr>
          <w:rFonts w:eastAsia="Times New Roman" w:cs="Times New Roman"/>
          <w:szCs w:val="24"/>
        </w:rPr>
        <w:t xml:space="preserve"> therefore</w:t>
      </w:r>
      <w:r w:rsidR="003B2703">
        <w:rPr>
          <w:rFonts w:eastAsia="Times New Roman" w:cs="Times New Roman"/>
          <w:szCs w:val="24"/>
        </w:rPr>
        <w:t>, it</w:t>
      </w:r>
      <w:r>
        <w:rPr>
          <w:rFonts w:eastAsia="Times New Roman" w:cs="Times New Roman"/>
          <w:szCs w:val="24"/>
        </w:rPr>
        <w:t xml:space="preserve"> will not be addressed in this discussion. </w:t>
      </w:r>
    </w:p>
    <w:p w:rsidR="004158F6" w:rsidP="004158F6" w14:paraId="5A98BA21" w14:textId="4F58D100">
      <w:pPr>
        <w:spacing w:after="120" w:line="480" w:lineRule="auto"/>
        <w:rPr>
          <w:rFonts w:eastAsia="Times New Roman" w:cs="Times New Roman"/>
          <w:szCs w:val="24"/>
        </w:rPr>
      </w:pPr>
      <w:r>
        <w:rPr>
          <w:rFonts w:eastAsia="Times New Roman" w:cs="Times New Roman"/>
          <w:szCs w:val="24"/>
        </w:rPr>
        <w:tab/>
        <w:t xml:space="preserve">Eric Teoh, Director of Statistical Services, and David Kid, Ph.D., Senior Research Scientist, from IIHS stated they are “pleased that the National Highway Traffic Safety Administration will continue asking companies developing, testing, and deploying vehicles with automated driving systems to submit voluntary safety self-assessments” and further submitted a </w:t>
      </w:r>
      <w:r>
        <w:rPr>
          <w:rFonts w:eastAsia="Times New Roman" w:cs="Times New Roman"/>
          <w:szCs w:val="24"/>
        </w:rPr>
        <w:t xml:space="preserve">detailed comment. However, IIHS believes that the current VSSA structure “does not ask entities to describe a plan for collecting and sharing information to support independent evaluations of the real-world safety of ADS that could validate or contradict safety claims.” The authors further detail efforts in California to report crashes, the NHTSA-issued Standing General Order (SGO) that contains reporting requirements for ADS-equipped </w:t>
      </w:r>
      <w:r w:rsidR="0063397D">
        <w:rPr>
          <w:rFonts w:eastAsia="Times New Roman" w:cs="Times New Roman"/>
          <w:szCs w:val="24"/>
        </w:rPr>
        <w:t>vehicles and</w:t>
      </w:r>
      <w:r>
        <w:rPr>
          <w:rFonts w:eastAsia="Times New Roman" w:cs="Times New Roman"/>
          <w:szCs w:val="24"/>
        </w:rPr>
        <w:t xml:space="preserve"> offers recommendations to both NHTSA and ADS entities that they believe will improve the data quality in the SGO database. The recommendation from IIHS for the VSSA is that NHTSA should stipulate </w:t>
      </w:r>
      <w:r>
        <w:rPr>
          <w:rFonts w:eastAsia="Times New Roman" w:cs="Times New Roman"/>
          <w:szCs w:val="24"/>
        </w:rPr>
        <w:t>that entities</w:t>
      </w:r>
      <w:r>
        <w:rPr>
          <w:rFonts w:eastAsia="Times New Roman" w:cs="Times New Roman"/>
          <w:szCs w:val="24"/>
        </w:rPr>
        <w:t xml:space="preserve"> “describe how and where they will make crash and exposure data publicly available, independent of the reporting required by California, the NHTSA SGO, and future collection efforts.”</w:t>
      </w:r>
    </w:p>
    <w:p w:rsidR="004158F6" w:rsidP="004158F6" w14:paraId="30295B22" w14:textId="1ACD7323">
      <w:pPr>
        <w:spacing w:after="120" w:line="480" w:lineRule="auto"/>
        <w:rPr>
          <w:rFonts w:eastAsia="Times New Roman" w:cs="Times New Roman"/>
          <w:szCs w:val="24"/>
        </w:rPr>
      </w:pPr>
      <w:r>
        <w:rPr>
          <w:rFonts w:eastAsia="Times New Roman" w:cs="Times New Roman"/>
          <w:szCs w:val="24"/>
        </w:rPr>
        <w:tab/>
        <w:t xml:space="preserve">NHTSA appreciates the thoroughness </w:t>
      </w:r>
      <w:r w:rsidR="000D132D">
        <w:rPr>
          <w:rFonts w:eastAsia="Times New Roman" w:cs="Times New Roman"/>
          <w:szCs w:val="24"/>
        </w:rPr>
        <w:t xml:space="preserve">with </w:t>
      </w:r>
      <w:r>
        <w:rPr>
          <w:rFonts w:eastAsia="Times New Roman" w:cs="Times New Roman"/>
          <w:szCs w:val="24"/>
        </w:rPr>
        <w:t>which IIHS has accessed and analyzed currently available data for ADS-equipped vehicles</w:t>
      </w:r>
      <w:r w:rsidR="000D132D">
        <w:rPr>
          <w:rFonts w:eastAsia="Times New Roman" w:cs="Times New Roman"/>
          <w:szCs w:val="24"/>
        </w:rPr>
        <w:t xml:space="preserve">, as well as the </w:t>
      </w:r>
      <w:r>
        <w:rPr>
          <w:rFonts w:eastAsia="Times New Roman" w:cs="Times New Roman"/>
          <w:szCs w:val="24"/>
        </w:rPr>
        <w:t>consider</w:t>
      </w:r>
      <w:r w:rsidR="000D132D">
        <w:rPr>
          <w:rFonts w:eastAsia="Times New Roman" w:cs="Times New Roman"/>
          <w:szCs w:val="24"/>
        </w:rPr>
        <w:t>ation of</w:t>
      </w:r>
      <w:r>
        <w:rPr>
          <w:rFonts w:eastAsia="Times New Roman" w:cs="Times New Roman"/>
          <w:szCs w:val="24"/>
        </w:rPr>
        <w:t xml:space="preserve"> data gaps that could potentially </w:t>
      </w:r>
      <w:r w:rsidR="000D132D">
        <w:rPr>
          <w:rFonts w:eastAsia="Times New Roman" w:cs="Times New Roman"/>
          <w:szCs w:val="24"/>
        </w:rPr>
        <w:t xml:space="preserve">enhance both </w:t>
      </w:r>
      <w:r>
        <w:rPr>
          <w:rFonts w:eastAsia="Times New Roman" w:cs="Times New Roman"/>
          <w:szCs w:val="24"/>
        </w:rPr>
        <w:t xml:space="preserve">data quality and </w:t>
      </w:r>
      <w:r w:rsidR="000D132D">
        <w:rPr>
          <w:rFonts w:eastAsia="Times New Roman" w:cs="Times New Roman"/>
          <w:szCs w:val="24"/>
        </w:rPr>
        <w:t xml:space="preserve">the </w:t>
      </w:r>
      <w:r>
        <w:rPr>
          <w:rFonts w:eastAsia="Times New Roman" w:cs="Times New Roman"/>
          <w:szCs w:val="24"/>
        </w:rPr>
        <w:t xml:space="preserve">ability to analyze safety information associated with ADS-equipped vehicles. As NHTSA develops </w:t>
      </w:r>
      <w:r w:rsidR="003B2703">
        <w:rPr>
          <w:rFonts w:eastAsia="Times New Roman" w:cs="Times New Roman"/>
          <w:szCs w:val="24"/>
        </w:rPr>
        <w:t xml:space="preserve">further </w:t>
      </w:r>
      <w:r>
        <w:rPr>
          <w:rFonts w:eastAsia="Times New Roman" w:cs="Times New Roman"/>
          <w:szCs w:val="24"/>
        </w:rPr>
        <w:t xml:space="preserve">programs and policies regarding ADS, this information </w:t>
      </w:r>
      <w:r w:rsidR="00C24AC5">
        <w:rPr>
          <w:rFonts w:eastAsia="Times New Roman" w:cs="Times New Roman"/>
          <w:szCs w:val="24"/>
        </w:rPr>
        <w:t xml:space="preserve">will </w:t>
      </w:r>
      <w:r w:rsidR="000D132D">
        <w:rPr>
          <w:rFonts w:eastAsia="Times New Roman" w:cs="Times New Roman"/>
          <w:szCs w:val="24"/>
        </w:rPr>
        <w:t xml:space="preserve">serve as </w:t>
      </w:r>
      <w:r>
        <w:rPr>
          <w:rFonts w:eastAsia="Times New Roman" w:cs="Times New Roman"/>
          <w:szCs w:val="24"/>
        </w:rPr>
        <w:t>a valuable resource for understanding public need</w:t>
      </w:r>
      <w:r w:rsidR="000D132D">
        <w:rPr>
          <w:rFonts w:eastAsia="Times New Roman" w:cs="Times New Roman"/>
          <w:szCs w:val="24"/>
        </w:rPr>
        <w:t>s</w:t>
      </w:r>
      <w:r>
        <w:rPr>
          <w:rFonts w:eastAsia="Times New Roman" w:cs="Times New Roman"/>
          <w:szCs w:val="24"/>
        </w:rPr>
        <w:t xml:space="preserve">. The current VSSA </w:t>
      </w:r>
      <w:r w:rsidR="00932E9E">
        <w:rPr>
          <w:rFonts w:eastAsia="Times New Roman" w:cs="Times New Roman"/>
          <w:szCs w:val="24"/>
        </w:rPr>
        <w:t>content structure</w:t>
      </w:r>
      <w:r w:rsidR="000D132D">
        <w:rPr>
          <w:rFonts w:eastAsia="Times New Roman" w:cs="Times New Roman"/>
          <w:szCs w:val="24"/>
        </w:rPr>
        <w:t xml:space="preserve"> </w:t>
      </w:r>
      <w:r>
        <w:rPr>
          <w:rFonts w:eastAsia="Times New Roman" w:cs="Times New Roman"/>
          <w:szCs w:val="24"/>
        </w:rPr>
        <w:t xml:space="preserve">is based </w:t>
      </w:r>
      <w:r w:rsidR="003B2703">
        <w:rPr>
          <w:rFonts w:eastAsia="Times New Roman" w:cs="Times New Roman"/>
          <w:szCs w:val="24"/>
        </w:rPr>
        <w:t xml:space="preserve">on </w:t>
      </w:r>
      <w:r>
        <w:rPr>
          <w:rFonts w:eastAsia="Times New Roman" w:cs="Times New Roman"/>
          <w:szCs w:val="24"/>
        </w:rPr>
        <w:t xml:space="preserve">the </w:t>
      </w:r>
      <w:r w:rsidR="000D132D">
        <w:rPr>
          <w:rFonts w:eastAsia="Times New Roman" w:cs="Times New Roman"/>
          <w:szCs w:val="24"/>
        </w:rPr>
        <w:t xml:space="preserve">safety areas outlined in the </w:t>
      </w:r>
      <w:r>
        <w:rPr>
          <w:rFonts w:eastAsia="Times New Roman" w:cs="Times New Roman"/>
          <w:szCs w:val="24"/>
        </w:rPr>
        <w:t xml:space="preserve">ADS 2.0 </w:t>
      </w:r>
      <w:r w:rsidR="000D132D">
        <w:rPr>
          <w:rFonts w:eastAsia="Times New Roman" w:cs="Times New Roman"/>
          <w:szCs w:val="24"/>
        </w:rPr>
        <w:t xml:space="preserve">voluntary guidance </w:t>
      </w:r>
      <w:r>
        <w:rPr>
          <w:rFonts w:eastAsia="Times New Roman" w:cs="Times New Roman"/>
          <w:szCs w:val="24"/>
        </w:rPr>
        <w:t>document published in 2017</w:t>
      </w:r>
      <w:r w:rsidR="00AE097A">
        <w:rPr>
          <w:rFonts w:eastAsia="Times New Roman" w:cs="Times New Roman"/>
          <w:szCs w:val="24"/>
        </w:rPr>
        <w:t>.</w:t>
      </w:r>
      <w:r>
        <w:rPr>
          <w:rFonts w:eastAsia="Times New Roman" w:cs="Times New Roman"/>
          <w:szCs w:val="24"/>
        </w:rPr>
        <w:t xml:space="preserve"> </w:t>
      </w:r>
      <w:r w:rsidR="00AE097A">
        <w:rPr>
          <w:rFonts w:eastAsia="Times New Roman" w:cs="Times New Roman"/>
          <w:szCs w:val="24"/>
        </w:rPr>
        <w:t>This</w:t>
      </w:r>
      <w:r>
        <w:rPr>
          <w:rFonts w:eastAsia="Times New Roman" w:cs="Times New Roman"/>
          <w:szCs w:val="24"/>
        </w:rPr>
        <w:t xml:space="preserve"> renewal request </w:t>
      </w:r>
      <w:r w:rsidR="00AE097A">
        <w:rPr>
          <w:rFonts w:eastAsia="Times New Roman" w:cs="Times New Roman"/>
          <w:szCs w:val="24"/>
        </w:rPr>
        <w:t xml:space="preserve">pertains to the </w:t>
      </w:r>
      <w:r w:rsidR="00132645">
        <w:rPr>
          <w:rFonts w:eastAsia="Times New Roman" w:cs="Times New Roman"/>
          <w:szCs w:val="24"/>
        </w:rPr>
        <w:t xml:space="preserve">continuation of </w:t>
      </w:r>
      <w:r w:rsidR="00AE097A">
        <w:rPr>
          <w:rFonts w:eastAsia="Times New Roman" w:cs="Times New Roman"/>
          <w:szCs w:val="24"/>
        </w:rPr>
        <w:t>previously approved information collection</w:t>
      </w:r>
      <w:r>
        <w:rPr>
          <w:rFonts w:eastAsia="Times New Roman" w:cs="Times New Roman"/>
          <w:szCs w:val="24"/>
        </w:rPr>
        <w:t xml:space="preserve"> </w:t>
      </w:r>
      <w:r w:rsidR="00AE097A">
        <w:rPr>
          <w:rFonts w:eastAsia="Times New Roman" w:cs="Times New Roman"/>
          <w:szCs w:val="24"/>
        </w:rPr>
        <w:t>recommended</w:t>
      </w:r>
      <w:r>
        <w:rPr>
          <w:rFonts w:eastAsia="Times New Roman" w:cs="Times New Roman"/>
          <w:szCs w:val="24"/>
        </w:rPr>
        <w:t xml:space="preserve"> </w:t>
      </w:r>
      <w:r w:rsidR="00AE097A">
        <w:rPr>
          <w:rFonts w:eastAsia="Times New Roman" w:cs="Times New Roman"/>
          <w:szCs w:val="24"/>
        </w:rPr>
        <w:t xml:space="preserve">in </w:t>
      </w:r>
      <w:r>
        <w:rPr>
          <w:rFonts w:eastAsia="Times New Roman" w:cs="Times New Roman"/>
          <w:szCs w:val="24"/>
        </w:rPr>
        <w:t xml:space="preserve">that document. </w:t>
      </w:r>
      <w:r w:rsidR="00FA7156">
        <w:rPr>
          <w:rFonts w:eastAsia="Times New Roman" w:cs="Times New Roman"/>
          <w:szCs w:val="24"/>
        </w:rPr>
        <w:t xml:space="preserve">The </w:t>
      </w:r>
      <w:r w:rsidR="00132645">
        <w:rPr>
          <w:rFonts w:eastAsia="Times New Roman" w:cs="Times New Roman"/>
          <w:szCs w:val="24"/>
        </w:rPr>
        <w:t>scope</w:t>
      </w:r>
      <w:r w:rsidR="00FA7156">
        <w:rPr>
          <w:rFonts w:eastAsia="Times New Roman" w:cs="Times New Roman"/>
          <w:szCs w:val="24"/>
        </w:rPr>
        <w:t xml:space="preserve"> of this </w:t>
      </w:r>
      <w:r w:rsidR="00AE097A">
        <w:rPr>
          <w:rFonts w:eastAsia="Times New Roman" w:cs="Times New Roman"/>
          <w:szCs w:val="24"/>
        </w:rPr>
        <w:t xml:space="preserve">ICR </w:t>
      </w:r>
      <w:r w:rsidR="00FA7156">
        <w:rPr>
          <w:rFonts w:eastAsia="Times New Roman" w:cs="Times New Roman"/>
          <w:szCs w:val="24"/>
        </w:rPr>
        <w:t>action does not cover</w:t>
      </w:r>
      <w:r>
        <w:rPr>
          <w:rFonts w:eastAsia="Times New Roman" w:cs="Times New Roman"/>
          <w:szCs w:val="24"/>
        </w:rPr>
        <w:t xml:space="preserve"> </w:t>
      </w:r>
      <w:r w:rsidR="00FA7156">
        <w:rPr>
          <w:rFonts w:eastAsia="Times New Roman" w:cs="Times New Roman"/>
          <w:szCs w:val="24"/>
        </w:rPr>
        <w:t xml:space="preserve">potential </w:t>
      </w:r>
      <w:r>
        <w:rPr>
          <w:rFonts w:eastAsia="Times New Roman" w:cs="Times New Roman"/>
          <w:szCs w:val="24"/>
        </w:rPr>
        <w:t>revision</w:t>
      </w:r>
      <w:r w:rsidR="00FA7156">
        <w:rPr>
          <w:rFonts w:eastAsia="Times New Roman" w:cs="Times New Roman"/>
          <w:szCs w:val="24"/>
        </w:rPr>
        <w:t>s</w:t>
      </w:r>
      <w:r>
        <w:rPr>
          <w:rFonts w:eastAsia="Times New Roman" w:cs="Times New Roman"/>
          <w:szCs w:val="24"/>
        </w:rPr>
        <w:t xml:space="preserve"> </w:t>
      </w:r>
      <w:r w:rsidR="00FA7156">
        <w:rPr>
          <w:rFonts w:eastAsia="Times New Roman" w:cs="Times New Roman"/>
          <w:szCs w:val="24"/>
        </w:rPr>
        <w:t xml:space="preserve">to the </w:t>
      </w:r>
      <w:r>
        <w:rPr>
          <w:rFonts w:eastAsia="Times New Roman" w:cs="Times New Roman"/>
          <w:szCs w:val="24"/>
        </w:rPr>
        <w:t>ADS 2.0</w:t>
      </w:r>
      <w:r w:rsidR="00C95235">
        <w:rPr>
          <w:rFonts w:eastAsia="Times New Roman" w:cs="Times New Roman"/>
          <w:szCs w:val="24"/>
        </w:rPr>
        <w:t xml:space="preserve"> guidance, so the </w:t>
      </w:r>
      <w:r>
        <w:rPr>
          <w:rFonts w:eastAsia="Times New Roman" w:cs="Times New Roman"/>
          <w:szCs w:val="24"/>
        </w:rPr>
        <w:t>VSSA content</w:t>
      </w:r>
      <w:r w:rsidR="00C95235">
        <w:rPr>
          <w:rFonts w:eastAsia="Times New Roman" w:cs="Times New Roman"/>
          <w:szCs w:val="24"/>
        </w:rPr>
        <w:t>s</w:t>
      </w:r>
      <w:r>
        <w:rPr>
          <w:rFonts w:eastAsia="Times New Roman" w:cs="Times New Roman"/>
          <w:szCs w:val="24"/>
        </w:rPr>
        <w:t xml:space="preserve"> </w:t>
      </w:r>
      <w:r w:rsidR="00C95235">
        <w:rPr>
          <w:rFonts w:eastAsia="Times New Roman" w:cs="Times New Roman"/>
          <w:szCs w:val="24"/>
        </w:rPr>
        <w:t xml:space="preserve">remain </w:t>
      </w:r>
      <w:r>
        <w:rPr>
          <w:rFonts w:eastAsia="Times New Roman" w:cs="Times New Roman"/>
          <w:szCs w:val="24"/>
        </w:rPr>
        <w:t xml:space="preserve">unchanged. </w:t>
      </w:r>
      <w:r w:rsidR="0063397D">
        <w:rPr>
          <w:rFonts w:eastAsia="Times New Roman" w:cs="Times New Roman"/>
          <w:szCs w:val="24"/>
        </w:rPr>
        <w:t xml:space="preserve">The </w:t>
      </w:r>
      <w:r>
        <w:rPr>
          <w:rFonts w:eastAsia="Times New Roman" w:cs="Times New Roman"/>
          <w:szCs w:val="24"/>
        </w:rPr>
        <w:t xml:space="preserve">IIHS </w:t>
      </w:r>
      <w:r w:rsidR="0063397D">
        <w:rPr>
          <w:rFonts w:eastAsia="Times New Roman" w:cs="Times New Roman"/>
          <w:szCs w:val="24"/>
        </w:rPr>
        <w:t xml:space="preserve">comments </w:t>
      </w:r>
      <w:r>
        <w:rPr>
          <w:rFonts w:eastAsia="Times New Roman" w:cs="Times New Roman"/>
          <w:szCs w:val="24"/>
        </w:rPr>
        <w:t>d</w:t>
      </w:r>
      <w:r w:rsidR="0063397D">
        <w:rPr>
          <w:rFonts w:eastAsia="Times New Roman" w:cs="Times New Roman"/>
          <w:szCs w:val="24"/>
        </w:rPr>
        <w:t>id</w:t>
      </w:r>
      <w:r>
        <w:rPr>
          <w:rFonts w:eastAsia="Times New Roman" w:cs="Times New Roman"/>
          <w:szCs w:val="24"/>
        </w:rPr>
        <w:t xml:space="preserve"> not address burden</w:t>
      </w:r>
      <w:r w:rsidR="006C129C">
        <w:rPr>
          <w:rFonts w:eastAsia="Times New Roman" w:cs="Times New Roman"/>
          <w:szCs w:val="24"/>
        </w:rPr>
        <w:t xml:space="preserve"> estimations</w:t>
      </w:r>
      <w:r w:rsidR="0063397D">
        <w:rPr>
          <w:rFonts w:eastAsia="Times New Roman" w:cs="Times New Roman"/>
          <w:szCs w:val="24"/>
        </w:rPr>
        <w:t xml:space="preserve">, so </w:t>
      </w:r>
      <w:r>
        <w:rPr>
          <w:rFonts w:eastAsia="Times New Roman" w:cs="Times New Roman"/>
          <w:szCs w:val="24"/>
        </w:rPr>
        <w:t>no change</w:t>
      </w:r>
      <w:r w:rsidR="0063397D">
        <w:rPr>
          <w:rFonts w:eastAsia="Times New Roman" w:cs="Times New Roman"/>
          <w:szCs w:val="24"/>
        </w:rPr>
        <w:t>s</w:t>
      </w:r>
      <w:r>
        <w:rPr>
          <w:rFonts w:eastAsia="Times New Roman" w:cs="Times New Roman"/>
          <w:szCs w:val="24"/>
        </w:rPr>
        <w:t xml:space="preserve"> were made to the information collection tool, methodology, or burden </w:t>
      </w:r>
      <w:r w:rsidR="006C129C">
        <w:rPr>
          <w:rFonts w:eastAsia="Times New Roman" w:cs="Times New Roman"/>
          <w:szCs w:val="24"/>
        </w:rPr>
        <w:t>estimates</w:t>
      </w:r>
      <w:r>
        <w:rPr>
          <w:rFonts w:eastAsia="Times New Roman" w:cs="Times New Roman"/>
          <w:szCs w:val="24"/>
        </w:rPr>
        <w:t xml:space="preserve">. </w:t>
      </w:r>
    </w:p>
    <w:p w:rsidR="004158F6" w:rsidP="004158F6" w14:paraId="3D99E458" w14:textId="25758807">
      <w:pPr>
        <w:spacing w:after="120" w:line="480" w:lineRule="auto"/>
        <w:rPr>
          <w:rFonts w:eastAsia="Times New Roman" w:cs="Times New Roman"/>
          <w:szCs w:val="24"/>
        </w:rPr>
      </w:pPr>
      <w:r>
        <w:rPr>
          <w:rFonts w:eastAsia="Times New Roman" w:cs="Times New Roman"/>
          <w:szCs w:val="24"/>
        </w:rPr>
        <w:tab/>
      </w:r>
      <w:r w:rsidR="0063397D">
        <w:rPr>
          <w:rFonts w:eastAsia="Times New Roman" w:cs="Times New Roman"/>
          <w:szCs w:val="24"/>
        </w:rPr>
        <w:t xml:space="preserve">NTSB Chair </w:t>
      </w:r>
      <w:r>
        <w:rPr>
          <w:rFonts w:eastAsia="Times New Roman" w:cs="Times New Roman"/>
          <w:szCs w:val="24"/>
        </w:rPr>
        <w:t xml:space="preserve">Jennifer </w:t>
      </w:r>
      <w:r>
        <w:rPr>
          <w:rFonts w:eastAsia="Times New Roman" w:cs="Times New Roman"/>
          <w:szCs w:val="24"/>
        </w:rPr>
        <w:t>Homendy</w:t>
      </w:r>
      <w:r w:rsidR="0063397D">
        <w:rPr>
          <w:rFonts w:eastAsia="Times New Roman" w:cs="Times New Roman"/>
          <w:szCs w:val="24"/>
        </w:rPr>
        <w:t xml:space="preserve"> </w:t>
      </w:r>
      <w:r>
        <w:rPr>
          <w:rFonts w:eastAsia="Times New Roman" w:cs="Times New Roman"/>
          <w:szCs w:val="24"/>
        </w:rPr>
        <w:t>submitted a comment “support[</w:t>
      </w:r>
      <w:r>
        <w:rPr>
          <w:rFonts w:eastAsia="Times New Roman" w:cs="Times New Roman"/>
          <w:szCs w:val="24"/>
        </w:rPr>
        <w:t>ing</w:t>
      </w:r>
      <w:r>
        <w:rPr>
          <w:rFonts w:eastAsia="Times New Roman" w:cs="Times New Roman"/>
          <w:szCs w:val="24"/>
        </w:rPr>
        <w:t xml:space="preserve">] the agency’s intent to continue collecting VSSA documents.” However, Chair </w:t>
      </w:r>
      <w:r>
        <w:rPr>
          <w:rFonts w:eastAsia="Times New Roman" w:cs="Times New Roman"/>
          <w:szCs w:val="24"/>
        </w:rPr>
        <w:t>Homendy</w:t>
      </w:r>
      <w:r>
        <w:rPr>
          <w:rFonts w:eastAsia="Times New Roman" w:cs="Times New Roman"/>
          <w:szCs w:val="24"/>
        </w:rPr>
        <w:t xml:space="preserve"> further stated that “simply </w:t>
      </w:r>
      <w:r>
        <w:rPr>
          <w:rFonts w:eastAsia="Times New Roman" w:cs="Times New Roman"/>
          <w:szCs w:val="24"/>
        </w:rPr>
        <w:t xml:space="preserve">extending the collection period is insufficient.” NTSB has no objections to extending the period for collection the VSSA while also highlighting the limitations of the ADS 2.0 </w:t>
      </w:r>
      <w:r w:rsidR="0063397D">
        <w:rPr>
          <w:rFonts w:eastAsia="Times New Roman" w:cs="Times New Roman"/>
          <w:szCs w:val="24"/>
        </w:rPr>
        <w:t xml:space="preserve">guidance </w:t>
      </w:r>
      <w:r>
        <w:rPr>
          <w:rFonts w:eastAsia="Times New Roman" w:cs="Times New Roman"/>
          <w:szCs w:val="24"/>
        </w:rPr>
        <w:t xml:space="preserve">and points to the NTSB recommendations to alleviate those limitations. The recommendations include requiring the VSSA rather than a voluntary submission and that NHTSA establish a process for ongoing evaluation of the VSSAs. </w:t>
      </w:r>
    </w:p>
    <w:p w:rsidR="004158F6" w:rsidRPr="004158F6" w:rsidP="004158F6" w14:paraId="5F8AF6C2" w14:textId="4C2B5C46">
      <w:pPr>
        <w:spacing w:after="120" w:line="480" w:lineRule="auto"/>
      </w:pPr>
      <w:r>
        <w:rPr>
          <w:rFonts w:eastAsia="Times New Roman" w:cs="Times New Roman"/>
          <w:szCs w:val="24"/>
        </w:rPr>
        <w:tab/>
        <w:t>As stated in response to the IIHS comment</w:t>
      </w:r>
      <w:r w:rsidR="0064550B">
        <w:rPr>
          <w:rFonts w:eastAsia="Times New Roman" w:cs="Times New Roman"/>
          <w:szCs w:val="24"/>
        </w:rPr>
        <w:t>s</w:t>
      </w:r>
      <w:r>
        <w:rPr>
          <w:rFonts w:eastAsia="Times New Roman" w:cs="Times New Roman"/>
          <w:szCs w:val="24"/>
        </w:rPr>
        <w:t xml:space="preserve">, the </w:t>
      </w:r>
      <w:r w:rsidR="00B62A6C">
        <w:rPr>
          <w:rFonts w:eastAsia="Times New Roman" w:cs="Times New Roman"/>
          <w:szCs w:val="24"/>
        </w:rPr>
        <w:t xml:space="preserve">approved information </w:t>
      </w:r>
      <w:r>
        <w:rPr>
          <w:rFonts w:eastAsia="Times New Roman" w:cs="Times New Roman"/>
          <w:szCs w:val="24"/>
        </w:rPr>
        <w:t>collection</w:t>
      </w:r>
      <w:r w:rsidR="00B62A6C">
        <w:rPr>
          <w:rFonts w:eastAsia="Times New Roman" w:cs="Times New Roman"/>
          <w:szCs w:val="24"/>
        </w:rPr>
        <w:t xml:space="preserve"> for which NHTSA is requesting extension</w:t>
      </w:r>
      <w:r>
        <w:rPr>
          <w:rFonts w:eastAsia="Times New Roman" w:cs="Times New Roman"/>
          <w:szCs w:val="24"/>
        </w:rPr>
        <w:t xml:space="preserve"> is </w:t>
      </w:r>
      <w:r w:rsidR="00C04CFB">
        <w:rPr>
          <w:rFonts w:eastAsia="Times New Roman" w:cs="Times New Roman"/>
          <w:szCs w:val="24"/>
        </w:rPr>
        <w:t>based on</w:t>
      </w:r>
      <w:r>
        <w:rPr>
          <w:rFonts w:eastAsia="Times New Roman" w:cs="Times New Roman"/>
          <w:szCs w:val="24"/>
        </w:rPr>
        <w:t xml:space="preserve"> the </w:t>
      </w:r>
      <w:r w:rsidR="0063397D">
        <w:rPr>
          <w:rFonts w:eastAsia="Times New Roman" w:cs="Times New Roman"/>
          <w:szCs w:val="24"/>
        </w:rPr>
        <w:t xml:space="preserve">safety elements outlined in the </w:t>
      </w:r>
      <w:r>
        <w:rPr>
          <w:rFonts w:eastAsia="Times New Roman" w:cs="Times New Roman"/>
          <w:szCs w:val="24"/>
        </w:rPr>
        <w:t>ADS 2.0 document published in 2017</w:t>
      </w:r>
      <w:r w:rsidR="00B62A6C">
        <w:rPr>
          <w:rFonts w:eastAsia="Times New Roman" w:cs="Times New Roman"/>
          <w:szCs w:val="24"/>
        </w:rPr>
        <w:t>. This guidance document</w:t>
      </w:r>
      <w:r>
        <w:rPr>
          <w:rFonts w:eastAsia="Times New Roman" w:cs="Times New Roman"/>
          <w:szCs w:val="24"/>
        </w:rPr>
        <w:t xml:space="preserve"> </w:t>
      </w:r>
      <w:r w:rsidR="00B62A6C">
        <w:rPr>
          <w:rFonts w:eastAsia="Times New Roman" w:cs="Times New Roman"/>
          <w:szCs w:val="24"/>
        </w:rPr>
        <w:t>upholds</w:t>
      </w:r>
      <w:r>
        <w:rPr>
          <w:rFonts w:eastAsia="Times New Roman" w:cs="Times New Roman"/>
          <w:szCs w:val="24"/>
        </w:rPr>
        <w:t xml:space="preserve"> a voluntary approach for </w:t>
      </w:r>
      <w:r w:rsidR="0063397D">
        <w:rPr>
          <w:rFonts w:eastAsia="Times New Roman" w:cs="Times New Roman"/>
          <w:szCs w:val="24"/>
        </w:rPr>
        <w:t>publishing</w:t>
      </w:r>
      <w:r>
        <w:rPr>
          <w:rFonts w:eastAsia="Times New Roman" w:cs="Times New Roman"/>
          <w:szCs w:val="24"/>
        </w:rPr>
        <w:t xml:space="preserve"> VSSA</w:t>
      </w:r>
      <w:r w:rsidR="0063397D">
        <w:rPr>
          <w:rFonts w:eastAsia="Times New Roman" w:cs="Times New Roman"/>
          <w:szCs w:val="24"/>
        </w:rPr>
        <w:t>s</w:t>
      </w:r>
      <w:r>
        <w:rPr>
          <w:rFonts w:eastAsia="Times New Roman" w:cs="Times New Roman"/>
          <w:szCs w:val="24"/>
        </w:rPr>
        <w:t xml:space="preserve">. </w:t>
      </w:r>
      <w:r w:rsidR="0063397D">
        <w:rPr>
          <w:rFonts w:eastAsia="Times New Roman" w:cs="Times New Roman"/>
          <w:szCs w:val="24"/>
        </w:rPr>
        <w:t xml:space="preserve">As </w:t>
      </w:r>
      <w:r w:rsidR="00825735">
        <w:rPr>
          <w:rFonts w:eastAsia="Times New Roman" w:cs="Times New Roman"/>
          <w:szCs w:val="24"/>
        </w:rPr>
        <w:t xml:space="preserve">also </w:t>
      </w:r>
      <w:r w:rsidR="00B62A6C">
        <w:rPr>
          <w:rFonts w:eastAsia="Times New Roman" w:cs="Times New Roman"/>
          <w:szCs w:val="24"/>
        </w:rPr>
        <w:t>noted previously</w:t>
      </w:r>
      <w:r w:rsidR="0063397D">
        <w:rPr>
          <w:rFonts w:eastAsia="Times New Roman" w:cs="Times New Roman"/>
          <w:szCs w:val="24"/>
        </w:rPr>
        <w:t>, t</w:t>
      </w:r>
      <w:r w:rsidRPr="0063397D" w:rsidR="0063397D">
        <w:rPr>
          <w:rFonts w:eastAsia="Times New Roman" w:cs="Times New Roman"/>
          <w:szCs w:val="24"/>
        </w:rPr>
        <w:t xml:space="preserve">he </w:t>
      </w:r>
      <w:r w:rsidR="00526B46">
        <w:rPr>
          <w:rFonts w:eastAsia="Times New Roman" w:cs="Times New Roman"/>
          <w:szCs w:val="24"/>
        </w:rPr>
        <w:t>purpose of the</w:t>
      </w:r>
      <w:r w:rsidRPr="0063397D" w:rsidR="0063397D">
        <w:rPr>
          <w:rFonts w:eastAsia="Times New Roman" w:cs="Times New Roman"/>
          <w:szCs w:val="24"/>
        </w:rPr>
        <w:t xml:space="preserve"> ICR renewal action </w:t>
      </w:r>
      <w:r w:rsidR="00526B46">
        <w:rPr>
          <w:rFonts w:eastAsia="Times New Roman" w:cs="Times New Roman"/>
          <w:szCs w:val="24"/>
        </w:rPr>
        <w:t xml:space="preserve">is to extend the </w:t>
      </w:r>
      <w:r w:rsidR="00B62A6C">
        <w:rPr>
          <w:rFonts w:eastAsia="Times New Roman" w:cs="Times New Roman"/>
          <w:szCs w:val="24"/>
        </w:rPr>
        <w:t xml:space="preserve">approval of the </w:t>
      </w:r>
      <w:r w:rsidR="00F95390">
        <w:rPr>
          <w:rFonts w:eastAsia="Times New Roman" w:cs="Times New Roman"/>
          <w:szCs w:val="24"/>
        </w:rPr>
        <w:t>existing</w:t>
      </w:r>
      <w:r w:rsidR="00526B46">
        <w:rPr>
          <w:rFonts w:eastAsia="Times New Roman" w:cs="Times New Roman"/>
          <w:szCs w:val="24"/>
        </w:rPr>
        <w:t xml:space="preserve"> information collection</w:t>
      </w:r>
      <w:r w:rsidR="00B62A6C">
        <w:rPr>
          <w:rFonts w:eastAsia="Times New Roman" w:cs="Times New Roman"/>
          <w:szCs w:val="24"/>
        </w:rPr>
        <w:t xml:space="preserve">, </w:t>
      </w:r>
      <w:r w:rsidR="00526B46">
        <w:rPr>
          <w:rFonts w:eastAsia="Times New Roman" w:cs="Times New Roman"/>
          <w:szCs w:val="24"/>
        </w:rPr>
        <w:t xml:space="preserve">and its scope </w:t>
      </w:r>
      <w:r w:rsidRPr="0063397D" w:rsidR="0063397D">
        <w:rPr>
          <w:rFonts w:eastAsia="Times New Roman" w:cs="Times New Roman"/>
          <w:szCs w:val="24"/>
        </w:rPr>
        <w:t xml:space="preserve">does not </w:t>
      </w:r>
      <w:r w:rsidR="006C129C">
        <w:rPr>
          <w:rFonts w:eastAsia="Times New Roman" w:cs="Times New Roman"/>
          <w:szCs w:val="24"/>
        </w:rPr>
        <w:t>encompass</w:t>
      </w:r>
      <w:r w:rsidRPr="0063397D" w:rsidR="0063397D">
        <w:rPr>
          <w:rFonts w:eastAsia="Times New Roman" w:cs="Times New Roman"/>
          <w:szCs w:val="24"/>
        </w:rPr>
        <w:t xml:space="preserve"> potential revisions to the ADS 2.0 guidance</w:t>
      </w:r>
      <w:r w:rsidR="00825735">
        <w:rPr>
          <w:rFonts w:eastAsia="Times New Roman" w:cs="Times New Roman"/>
          <w:szCs w:val="24"/>
        </w:rPr>
        <w:t>.</w:t>
      </w:r>
      <w:r w:rsidRPr="0063397D" w:rsidR="0063397D">
        <w:rPr>
          <w:rFonts w:eastAsia="Times New Roman" w:cs="Times New Roman"/>
          <w:szCs w:val="24"/>
        </w:rPr>
        <w:t xml:space="preserve"> </w:t>
      </w:r>
      <w:r w:rsidR="00814F31">
        <w:rPr>
          <w:rFonts w:eastAsia="Times New Roman" w:cs="Times New Roman"/>
          <w:szCs w:val="24"/>
        </w:rPr>
        <w:t xml:space="preserve">NHTSA </w:t>
      </w:r>
      <w:r w:rsidR="00B62A6C">
        <w:rPr>
          <w:rFonts w:eastAsia="Times New Roman" w:cs="Times New Roman"/>
          <w:szCs w:val="24"/>
        </w:rPr>
        <w:t xml:space="preserve">appreciates Chair </w:t>
      </w:r>
      <w:r w:rsidR="00B62A6C">
        <w:rPr>
          <w:rFonts w:eastAsia="Times New Roman" w:cs="Times New Roman"/>
          <w:szCs w:val="24"/>
        </w:rPr>
        <w:t>Homendy’s</w:t>
      </w:r>
      <w:r w:rsidR="00B62A6C">
        <w:rPr>
          <w:rFonts w:eastAsia="Times New Roman" w:cs="Times New Roman"/>
          <w:szCs w:val="24"/>
        </w:rPr>
        <w:t xml:space="preserve"> comments reiterating the open NTSB recommendations</w:t>
      </w:r>
      <w:r>
        <w:rPr>
          <w:rStyle w:val="FootnoteReference"/>
          <w:rFonts w:eastAsia="Times New Roman" w:cs="Times New Roman"/>
          <w:szCs w:val="24"/>
        </w:rPr>
        <w:footnoteReference w:id="3"/>
      </w:r>
      <w:r w:rsidR="00B62A6C">
        <w:rPr>
          <w:rFonts w:eastAsia="Times New Roman" w:cs="Times New Roman"/>
          <w:szCs w:val="24"/>
        </w:rPr>
        <w:t xml:space="preserve"> </w:t>
      </w:r>
      <w:r w:rsidR="006C129C">
        <w:rPr>
          <w:rFonts w:eastAsia="Times New Roman" w:cs="Times New Roman"/>
          <w:szCs w:val="24"/>
        </w:rPr>
        <w:t xml:space="preserve">to NHTSA </w:t>
      </w:r>
      <w:r w:rsidR="00B62A6C">
        <w:rPr>
          <w:rFonts w:eastAsia="Times New Roman" w:cs="Times New Roman"/>
          <w:szCs w:val="24"/>
        </w:rPr>
        <w:t xml:space="preserve">related to this topic and </w:t>
      </w:r>
      <w:r w:rsidR="00814F31">
        <w:rPr>
          <w:rFonts w:eastAsia="Times New Roman" w:cs="Times New Roman"/>
          <w:szCs w:val="24"/>
        </w:rPr>
        <w:t xml:space="preserve">will continue to </w:t>
      </w:r>
      <w:r w:rsidR="00B62A6C">
        <w:rPr>
          <w:rFonts w:eastAsia="Times New Roman" w:cs="Times New Roman"/>
          <w:szCs w:val="24"/>
        </w:rPr>
        <w:t>engage</w:t>
      </w:r>
      <w:r w:rsidR="00814F31">
        <w:rPr>
          <w:rFonts w:eastAsia="Times New Roman" w:cs="Times New Roman"/>
          <w:szCs w:val="24"/>
        </w:rPr>
        <w:t xml:space="preserve"> with </w:t>
      </w:r>
      <w:r>
        <w:rPr>
          <w:rFonts w:eastAsia="Times New Roman" w:cs="Times New Roman"/>
          <w:szCs w:val="24"/>
        </w:rPr>
        <w:t xml:space="preserve">NTSB </w:t>
      </w:r>
      <w:r w:rsidR="00B62A6C">
        <w:rPr>
          <w:rFonts w:eastAsia="Times New Roman" w:cs="Times New Roman"/>
          <w:szCs w:val="24"/>
        </w:rPr>
        <w:t xml:space="preserve">regarding </w:t>
      </w:r>
      <w:r w:rsidR="006C129C">
        <w:rPr>
          <w:rFonts w:eastAsia="Times New Roman" w:cs="Times New Roman"/>
          <w:szCs w:val="24"/>
        </w:rPr>
        <w:t>agency</w:t>
      </w:r>
      <w:r w:rsidR="00B62A6C">
        <w:rPr>
          <w:rFonts w:eastAsia="Times New Roman" w:cs="Times New Roman"/>
          <w:szCs w:val="24"/>
        </w:rPr>
        <w:t xml:space="preserve">’s activities concerning </w:t>
      </w:r>
      <w:r w:rsidR="00F078D3">
        <w:rPr>
          <w:rFonts w:eastAsia="Times New Roman" w:cs="Times New Roman"/>
          <w:szCs w:val="24"/>
        </w:rPr>
        <w:t>r</w:t>
      </w:r>
      <w:r>
        <w:rPr>
          <w:rFonts w:eastAsia="Times New Roman" w:cs="Times New Roman"/>
          <w:szCs w:val="24"/>
        </w:rPr>
        <w:t>ecommendation</w:t>
      </w:r>
      <w:r w:rsidR="00814F31">
        <w:rPr>
          <w:rFonts w:eastAsia="Times New Roman" w:cs="Times New Roman"/>
          <w:szCs w:val="24"/>
        </w:rPr>
        <w:t>s</w:t>
      </w:r>
      <w:r>
        <w:rPr>
          <w:rFonts w:eastAsia="Times New Roman" w:cs="Times New Roman"/>
          <w:szCs w:val="24"/>
        </w:rPr>
        <w:t xml:space="preserve"> H-19-47</w:t>
      </w:r>
      <w:r w:rsidR="00814F31">
        <w:rPr>
          <w:rFonts w:eastAsia="Times New Roman" w:cs="Times New Roman"/>
          <w:szCs w:val="24"/>
        </w:rPr>
        <w:t xml:space="preserve"> and </w:t>
      </w:r>
      <w:r>
        <w:rPr>
          <w:rFonts w:eastAsia="Times New Roman" w:cs="Times New Roman"/>
          <w:szCs w:val="24"/>
        </w:rPr>
        <w:t>H-19-48</w:t>
      </w:r>
      <w:r w:rsidR="00171A68">
        <w:rPr>
          <w:rFonts w:eastAsia="Times New Roman" w:cs="Times New Roman"/>
          <w:szCs w:val="24"/>
        </w:rPr>
        <w:t xml:space="preserve">. </w:t>
      </w:r>
      <w:r>
        <w:rPr>
          <w:rFonts w:eastAsia="Times New Roman" w:cs="Times New Roman"/>
          <w:szCs w:val="24"/>
        </w:rPr>
        <w:t xml:space="preserve"> </w:t>
      </w:r>
      <w:r w:rsidR="005A78BE">
        <w:rPr>
          <w:rFonts w:eastAsia="Times New Roman" w:cs="Times New Roman"/>
          <w:szCs w:val="24"/>
        </w:rPr>
        <w:t>NHTSA believes that</w:t>
      </w:r>
      <w:r>
        <w:rPr>
          <w:rFonts w:eastAsia="Times New Roman" w:cs="Times New Roman"/>
          <w:szCs w:val="24"/>
        </w:rPr>
        <w:t xml:space="preserve"> VSSA </w:t>
      </w:r>
      <w:r w:rsidR="005A78BE">
        <w:rPr>
          <w:rFonts w:eastAsia="Times New Roman" w:cs="Times New Roman"/>
          <w:szCs w:val="24"/>
        </w:rPr>
        <w:t xml:space="preserve">structure offers a framework for </w:t>
      </w:r>
      <w:r w:rsidR="006C129C">
        <w:rPr>
          <w:rFonts w:eastAsia="Times New Roman" w:cs="Times New Roman"/>
          <w:szCs w:val="24"/>
        </w:rPr>
        <w:t>entities</w:t>
      </w:r>
      <w:r>
        <w:rPr>
          <w:rFonts w:eastAsia="Times New Roman" w:cs="Times New Roman"/>
          <w:szCs w:val="24"/>
        </w:rPr>
        <w:t xml:space="preserve"> </w:t>
      </w:r>
      <w:r w:rsidR="005A78BE">
        <w:rPr>
          <w:rFonts w:eastAsia="Times New Roman" w:cs="Times New Roman"/>
          <w:szCs w:val="24"/>
        </w:rPr>
        <w:t xml:space="preserve">to communicate </w:t>
      </w:r>
      <w:r w:rsidR="00491A4F">
        <w:rPr>
          <w:rFonts w:eastAsia="Times New Roman" w:cs="Times New Roman"/>
          <w:szCs w:val="24"/>
        </w:rPr>
        <w:t xml:space="preserve">with </w:t>
      </w:r>
      <w:r>
        <w:rPr>
          <w:rFonts w:eastAsia="Times New Roman" w:cs="Times New Roman"/>
          <w:szCs w:val="24"/>
        </w:rPr>
        <w:t xml:space="preserve">the public and individual states </w:t>
      </w:r>
      <w:r w:rsidR="00491A4F">
        <w:rPr>
          <w:rFonts w:eastAsia="Times New Roman" w:cs="Times New Roman"/>
          <w:szCs w:val="24"/>
        </w:rPr>
        <w:t xml:space="preserve">about </w:t>
      </w:r>
      <w:r w:rsidR="005A78BE">
        <w:rPr>
          <w:rFonts w:eastAsia="Times New Roman" w:cs="Times New Roman"/>
          <w:szCs w:val="24"/>
        </w:rPr>
        <w:t>how they are</w:t>
      </w:r>
      <w:r>
        <w:rPr>
          <w:rFonts w:eastAsia="Times New Roman" w:cs="Times New Roman"/>
          <w:szCs w:val="24"/>
        </w:rPr>
        <w:t xml:space="preserve"> </w:t>
      </w:r>
      <w:r w:rsidR="00491A4F">
        <w:rPr>
          <w:rFonts w:eastAsia="Times New Roman" w:cs="Times New Roman"/>
          <w:szCs w:val="24"/>
        </w:rPr>
        <w:t xml:space="preserve">addressing the </w:t>
      </w:r>
      <w:r>
        <w:rPr>
          <w:rFonts w:eastAsia="Times New Roman" w:cs="Times New Roman"/>
          <w:szCs w:val="24"/>
        </w:rPr>
        <w:t>safety aspects of ADS, promot</w:t>
      </w:r>
      <w:r w:rsidR="00491A4F">
        <w:rPr>
          <w:rFonts w:eastAsia="Times New Roman" w:cs="Times New Roman"/>
          <w:szCs w:val="24"/>
        </w:rPr>
        <w:t>ing</w:t>
      </w:r>
      <w:r>
        <w:rPr>
          <w:rFonts w:eastAsia="Times New Roman" w:cs="Times New Roman"/>
          <w:szCs w:val="24"/>
        </w:rPr>
        <w:t xml:space="preserve"> transparency, and </w:t>
      </w:r>
      <w:r w:rsidR="00491A4F">
        <w:rPr>
          <w:rFonts w:eastAsia="Times New Roman" w:cs="Times New Roman"/>
          <w:szCs w:val="24"/>
        </w:rPr>
        <w:t xml:space="preserve">fostering greater </w:t>
      </w:r>
      <w:r>
        <w:rPr>
          <w:rFonts w:eastAsia="Times New Roman" w:cs="Times New Roman"/>
          <w:szCs w:val="24"/>
        </w:rPr>
        <w:t>public confidence in ADS technologies.</w:t>
      </w:r>
      <w:r w:rsidR="00491A4F">
        <w:rPr>
          <w:rFonts w:eastAsia="Times New Roman" w:cs="Times New Roman"/>
          <w:szCs w:val="24"/>
        </w:rPr>
        <w:t xml:space="preserve"> Therefore, extending the </w:t>
      </w:r>
      <w:r w:rsidR="00F95390">
        <w:rPr>
          <w:rFonts w:eastAsia="Times New Roman" w:cs="Times New Roman"/>
          <w:szCs w:val="24"/>
        </w:rPr>
        <w:t>existing</w:t>
      </w:r>
      <w:r w:rsidR="00491A4F">
        <w:rPr>
          <w:rFonts w:eastAsia="Times New Roman" w:cs="Times New Roman"/>
          <w:szCs w:val="24"/>
        </w:rPr>
        <w:t xml:space="preserve"> </w:t>
      </w:r>
      <w:r w:rsidR="00F95390">
        <w:rPr>
          <w:rFonts w:eastAsia="Times New Roman" w:cs="Times New Roman"/>
          <w:szCs w:val="24"/>
        </w:rPr>
        <w:t>information</w:t>
      </w:r>
      <w:r w:rsidR="00491A4F">
        <w:rPr>
          <w:rFonts w:eastAsia="Times New Roman" w:cs="Times New Roman"/>
          <w:szCs w:val="24"/>
        </w:rPr>
        <w:t xml:space="preserve"> </w:t>
      </w:r>
      <w:r w:rsidR="00F95390">
        <w:rPr>
          <w:rFonts w:eastAsia="Times New Roman" w:cs="Times New Roman"/>
          <w:szCs w:val="24"/>
        </w:rPr>
        <w:t xml:space="preserve">collection </w:t>
      </w:r>
      <w:r w:rsidR="00491A4F">
        <w:rPr>
          <w:rFonts w:eastAsia="Times New Roman" w:cs="Times New Roman"/>
          <w:szCs w:val="24"/>
        </w:rPr>
        <w:t>approval is beneficia</w:t>
      </w:r>
      <w:r w:rsidR="006C129C">
        <w:rPr>
          <w:rFonts w:eastAsia="Times New Roman" w:cs="Times New Roman"/>
          <w:szCs w:val="24"/>
        </w:rPr>
        <w:t>l</w:t>
      </w:r>
      <w:r w:rsidR="00491A4F">
        <w:rPr>
          <w:rFonts w:eastAsia="Times New Roman" w:cs="Times New Roman"/>
          <w:szCs w:val="24"/>
        </w:rPr>
        <w:t xml:space="preserve">. </w:t>
      </w:r>
      <w:r>
        <w:rPr>
          <w:rFonts w:eastAsia="Times New Roman" w:cs="Times New Roman"/>
          <w:szCs w:val="24"/>
        </w:rPr>
        <w:t xml:space="preserve"> NHTSA, along with interested stakeholders, continue</w:t>
      </w:r>
      <w:r w:rsidR="00491A4F">
        <w:rPr>
          <w:rFonts w:eastAsia="Times New Roman" w:cs="Times New Roman"/>
          <w:szCs w:val="24"/>
        </w:rPr>
        <w:t>s</w:t>
      </w:r>
      <w:r>
        <w:rPr>
          <w:rFonts w:eastAsia="Times New Roman" w:cs="Times New Roman"/>
          <w:szCs w:val="24"/>
        </w:rPr>
        <w:t xml:space="preserve"> to research and </w:t>
      </w:r>
      <w:r w:rsidR="00491A4F">
        <w:rPr>
          <w:rFonts w:eastAsia="Times New Roman" w:cs="Times New Roman"/>
          <w:szCs w:val="24"/>
        </w:rPr>
        <w:t xml:space="preserve">assess </w:t>
      </w:r>
      <w:r>
        <w:rPr>
          <w:rFonts w:eastAsia="Times New Roman" w:cs="Times New Roman"/>
          <w:szCs w:val="24"/>
        </w:rPr>
        <w:t xml:space="preserve">potential </w:t>
      </w:r>
      <w:r w:rsidR="00491A4F">
        <w:rPr>
          <w:rFonts w:eastAsia="Times New Roman" w:cs="Times New Roman"/>
          <w:szCs w:val="24"/>
        </w:rPr>
        <w:t>approaches for</w:t>
      </w:r>
      <w:r>
        <w:rPr>
          <w:rFonts w:eastAsia="Times New Roman" w:cs="Times New Roman"/>
          <w:szCs w:val="24"/>
        </w:rPr>
        <w:t xml:space="preserve"> effectively and objectively evaluat</w:t>
      </w:r>
      <w:r w:rsidR="00491A4F">
        <w:rPr>
          <w:rFonts w:eastAsia="Times New Roman" w:cs="Times New Roman"/>
          <w:szCs w:val="24"/>
        </w:rPr>
        <w:t>ing</w:t>
      </w:r>
      <w:r>
        <w:rPr>
          <w:rFonts w:eastAsia="Times New Roman" w:cs="Times New Roman"/>
          <w:szCs w:val="24"/>
        </w:rPr>
        <w:t xml:space="preserve"> the safety performance of ADS-equipped vehicles. The NTSB comment</w:t>
      </w:r>
      <w:r w:rsidR="00885EDD">
        <w:rPr>
          <w:rFonts w:eastAsia="Times New Roman" w:cs="Times New Roman"/>
          <w:szCs w:val="24"/>
        </w:rPr>
        <w:t>s</w:t>
      </w:r>
      <w:r>
        <w:rPr>
          <w:rFonts w:eastAsia="Times New Roman" w:cs="Times New Roman"/>
          <w:szCs w:val="24"/>
        </w:rPr>
        <w:t xml:space="preserve"> did not address burden </w:t>
      </w:r>
      <w:r w:rsidR="006C129C">
        <w:rPr>
          <w:rFonts w:eastAsia="Times New Roman" w:cs="Times New Roman"/>
          <w:szCs w:val="24"/>
        </w:rPr>
        <w:t xml:space="preserve">estimations </w:t>
      </w:r>
      <w:r>
        <w:rPr>
          <w:rFonts w:eastAsia="Times New Roman" w:cs="Times New Roman"/>
          <w:szCs w:val="24"/>
        </w:rPr>
        <w:t>for the information collection and therefore no change</w:t>
      </w:r>
      <w:r w:rsidR="00403961">
        <w:rPr>
          <w:rFonts w:eastAsia="Times New Roman" w:cs="Times New Roman"/>
          <w:szCs w:val="24"/>
        </w:rPr>
        <w:t>s</w:t>
      </w:r>
      <w:r>
        <w:rPr>
          <w:rFonts w:eastAsia="Times New Roman" w:cs="Times New Roman"/>
          <w:szCs w:val="24"/>
        </w:rPr>
        <w:t xml:space="preserve"> were made to the information collection tool, methodology, or burden calculations.</w:t>
      </w:r>
    </w:p>
    <w:p w:rsidR="00790816" w:rsidRPr="00F342BD" w:rsidP="00790816" w14:paraId="37C90566" w14:textId="34B1C1F4">
      <w:pPr>
        <w:autoSpaceDE w:val="0"/>
        <w:autoSpaceDN w:val="0"/>
        <w:adjustRightInd w:val="0"/>
        <w:spacing w:after="0" w:line="480" w:lineRule="auto"/>
        <w:rPr>
          <w:rFonts w:eastAsia="Times New Roman" w:cs="Times New Roman"/>
          <w:bCs/>
          <w:i/>
          <w:color w:val="000000"/>
          <w:szCs w:val="24"/>
          <w:highlight w:val="yellow"/>
        </w:rPr>
      </w:pPr>
      <w:r w:rsidRPr="00BF031F">
        <w:rPr>
          <w:rFonts w:eastAsia="Times New Roman" w:cs="Times New Roman"/>
          <w:bCs/>
          <w:i/>
          <w:color w:val="000000"/>
          <w:szCs w:val="24"/>
        </w:rPr>
        <w:t>Affected Public:</w:t>
      </w:r>
      <w:r w:rsidRPr="00BF031F" w:rsidR="00BF031F">
        <w:rPr>
          <w:rFonts w:eastAsia="Times New Roman" w:cs="Times New Roman"/>
          <w:bCs/>
          <w:i/>
          <w:color w:val="000000"/>
          <w:szCs w:val="24"/>
        </w:rPr>
        <w:t xml:space="preserve"> </w:t>
      </w:r>
      <w:r w:rsidRPr="009D3F6A" w:rsidR="00BF031F">
        <w:rPr>
          <w:rFonts w:eastAsia="Times New Roman" w:cs="Times New Roman"/>
          <w:bCs/>
          <w:iCs/>
          <w:color w:val="000000"/>
          <w:szCs w:val="24"/>
        </w:rPr>
        <w:t>Entities involved in the testing and deployment of ADS.</w:t>
      </w:r>
    </w:p>
    <w:p w:rsidR="00790816" w:rsidRPr="00BF031F" w:rsidP="00790816" w14:paraId="35E0FC23" w14:textId="7AB6DEFE">
      <w:pPr>
        <w:spacing w:after="0" w:line="480" w:lineRule="auto"/>
        <w:rPr>
          <w:rFonts w:eastAsia="Times New Roman" w:cs="Times New Roman"/>
          <w:bCs/>
          <w:i/>
          <w:szCs w:val="24"/>
        </w:rPr>
      </w:pPr>
      <w:r w:rsidRPr="00BF031F">
        <w:rPr>
          <w:rFonts w:eastAsia="Times New Roman" w:cs="Times New Roman"/>
          <w:bCs/>
          <w:i/>
          <w:color w:val="000000"/>
          <w:szCs w:val="24"/>
        </w:rPr>
        <w:t>Estimated Number of Respondents:</w:t>
      </w:r>
      <w:r w:rsidRPr="00BF031F">
        <w:rPr>
          <w:rFonts w:eastAsia="Times New Roman" w:cs="Times New Roman"/>
          <w:bCs/>
          <w:i/>
          <w:szCs w:val="24"/>
        </w:rPr>
        <w:t xml:space="preserve"> </w:t>
      </w:r>
      <w:r w:rsidRPr="00BF031F" w:rsidR="00BF031F">
        <w:rPr>
          <w:rFonts w:eastAsia="Times New Roman" w:cs="Times New Roman"/>
          <w:bCs/>
          <w:iCs/>
          <w:szCs w:val="24"/>
        </w:rPr>
        <w:t>4</w:t>
      </w:r>
    </w:p>
    <w:p w:rsidR="00790816" w:rsidRPr="00BF031F" w:rsidP="00790816" w14:paraId="13359BA4" w14:textId="7D2E97C6">
      <w:pPr>
        <w:spacing w:after="0" w:line="480" w:lineRule="auto"/>
        <w:rPr>
          <w:rFonts w:eastAsia="Times New Roman" w:cs="Times New Roman"/>
          <w:bCs/>
          <w:iCs/>
          <w:szCs w:val="24"/>
        </w:rPr>
      </w:pPr>
      <w:r w:rsidRPr="00BF031F">
        <w:rPr>
          <w:rFonts w:eastAsia="Times New Roman" w:cs="Times New Roman"/>
          <w:bCs/>
          <w:i/>
          <w:szCs w:val="24"/>
        </w:rPr>
        <w:t>Frequency:</w:t>
      </w:r>
      <w:r w:rsidRPr="00BF031F" w:rsidR="00BF031F">
        <w:rPr>
          <w:rFonts w:eastAsia="Times New Roman" w:cs="Times New Roman"/>
          <w:bCs/>
          <w:i/>
          <w:szCs w:val="24"/>
        </w:rPr>
        <w:t xml:space="preserve"> </w:t>
      </w:r>
      <w:r w:rsidRPr="00BF031F" w:rsidR="00BF031F">
        <w:rPr>
          <w:rFonts w:eastAsia="Times New Roman" w:cs="Times New Roman"/>
          <w:bCs/>
          <w:iCs/>
          <w:szCs w:val="24"/>
        </w:rPr>
        <w:t>Once</w:t>
      </w:r>
    </w:p>
    <w:p w:rsidR="00790816" w:rsidRPr="00C21A8D" w:rsidP="00790816" w14:paraId="0AA09CA7" w14:textId="6BEBFAC0">
      <w:pPr>
        <w:spacing w:after="0" w:line="480" w:lineRule="auto"/>
        <w:rPr>
          <w:rFonts w:eastAsia="Times New Roman" w:cs="Times New Roman"/>
          <w:bCs/>
          <w:i/>
          <w:szCs w:val="24"/>
        </w:rPr>
      </w:pPr>
      <w:r w:rsidRPr="00C21A8D">
        <w:rPr>
          <w:rFonts w:eastAsia="Times New Roman" w:cs="Times New Roman"/>
          <w:bCs/>
          <w:i/>
          <w:szCs w:val="24"/>
        </w:rPr>
        <w:t xml:space="preserve">Estimated </w:t>
      </w:r>
      <w:r w:rsidRPr="00C21A8D">
        <w:rPr>
          <w:rFonts w:eastAsia="Times New Roman" w:cs="Times New Roman"/>
          <w:bCs/>
          <w:i/>
          <w:szCs w:val="24"/>
        </w:rPr>
        <w:t>Number of Responses:</w:t>
      </w:r>
      <w:r w:rsidRPr="00C21A8D" w:rsidR="00C21A8D">
        <w:rPr>
          <w:rFonts w:eastAsia="Times New Roman" w:cs="Times New Roman"/>
          <w:bCs/>
          <w:i/>
          <w:szCs w:val="24"/>
        </w:rPr>
        <w:t xml:space="preserve"> </w:t>
      </w:r>
      <w:r w:rsidRPr="00C21A8D" w:rsidR="00C21A8D">
        <w:rPr>
          <w:rFonts w:eastAsia="Times New Roman" w:cs="Times New Roman"/>
          <w:bCs/>
          <w:iCs/>
          <w:szCs w:val="24"/>
        </w:rPr>
        <w:t>4</w:t>
      </w:r>
    </w:p>
    <w:p w:rsidR="00790816" w:rsidRPr="00F342BD" w:rsidP="00790816" w14:paraId="4EA65D60" w14:textId="6ED28384">
      <w:pPr>
        <w:autoSpaceDE w:val="0"/>
        <w:autoSpaceDN w:val="0"/>
        <w:adjustRightInd w:val="0"/>
        <w:spacing w:after="0" w:line="480" w:lineRule="auto"/>
        <w:rPr>
          <w:rFonts w:eastAsia="Times New Roman" w:cs="Times New Roman"/>
          <w:bCs/>
          <w:i/>
          <w:szCs w:val="24"/>
        </w:rPr>
      </w:pPr>
      <w:r w:rsidRPr="00EA3FD5">
        <w:rPr>
          <w:rFonts w:eastAsia="Times New Roman" w:cs="Times New Roman"/>
          <w:bCs/>
          <w:i/>
          <w:color w:val="000000"/>
          <w:szCs w:val="24"/>
        </w:rPr>
        <w:t>Estimated Total Annual Burden Hours:</w:t>
      </w:r>
      <w:r w:rsidRPr="00EA3FD5" w:rsidR="00EA3FD5">
        <w:rPr>
          <w:rFonts w:eastAsia="Times New Roman" w:cs="Times New Roman"/>
          <w:bCs/>
          <w:i/>
          <w:color w:val="000000"/>
          <w:szCs w:val="24"/>
        </w:rPr>
        <w:t xml:space="preserve"> </w:t>
      </w:r>
      <w:r w:rsidRPr="00EA3FD5" w:rsidR="00EA3FD5">
        <w:rPr>
          <w:rFonts w:eastAsia="Times New Roman" w:cs="Times New Roman"/>
          <w:bCs/>
          <w:iCs/>
          <w:color w:val="000000"/>
          <w:szCs w:val="24"/>
        </w:rPr>
        <w:t xml:space="preserve">2,400 </w:t>
      </w:r>
      <w:r w:rsidRPr="00EA3FD5" w:rsidR="00EA3FD5">
        <w:rPr>
          <w:rFonts w:eastAsia="Times New Roman" w:cs="Times New Roman"/>
          <w:bCs/>
          <w:iCs/>
          <w:color w:val="000000"/>
          <w:szCs w:val="24"/>
        </w:rPr>
        <w:t>hours</w:t>
      </w:r>
      <w:r w:rsidRPr="00F342BD">
        <w:rPr>
          <w:rFonts w:eastAsia="Times New Roman" w:cs="Times New Roman"/>
          <w:bCs/>
          <w:i/>
          <w:color w:val="000000"/>
          <w:szCs w:val="24"/>
        </w:rPr>
        <w:t xml:space="preserve"> </w:t>
      </w:r>
    </w:p>
    <w:p w:rsidR="00522215" w:rsidRPr="00270349" w:rsidP="00522215" w14:paraId="282D4592" w14:textId="326D0C78">
      <w:pPr>
        <w:pStyle w:val="NoSpacing"/>
        <w:tabs>
          <w:tab w:val="left" w:pos="9000"/>
        </w:tabs>
        <w:spacing w:line="480" w:lineRule="auto"/>
        <w:ind w:firstLine="720"/>
      </w:pPr>
      <w:bookmarkStart w:id="1" w:name="_Hlk45018254"/>
      <w:r w:rsidRPr="007B18EC">
        <w:rPr>
          <w:rFonts w:ascii="Times New Roman" w:hAnsi="Times New Roman" w:cs="Times New Roman"/>
          <w:sz w:val="24"/>
          <w:szCs w:val="24"/>
          <w:u w:val="single"/>
        </w:rPr>
        <w:t>Estimating Respondents for this Information Collection</w:t>
      </w:r>
      <w:r w:rsidRPr="00522215">
        <w:rPr>
          <w:rFonts w:ascii="Times New Roman" w:hAnsi="Times New Roman" w:cs="Times New Roman"/>
          <w:sz w:val="24"/>
          <w:szCs w:val="24"/>
        </w:rPr>
        <w:t>:</w:t>
      </w:r>
      <w:r>
        <w:rPr>
          <w:rFonts w:ascii="Times New Roman" w:hAnsi="Times New Roman" w:cs="Times New Roman"/>
          <w:i/>
          <w:iCs/>
          <w:sz w:val="24"/>
          <w:szCs w:val="24"/>
        </w:rPr>
        <w:t xml:space="preserve"> </w:t>
      </w:r>
      <w:r>
        <w:rPr>
          <w:rFonts w:ascii="Times New Roman" w:hAnsi="Times New Roman" w:cs="Times New Roman"/>
          <w:sz w:val="24"/>
          <w:szCs w:val="24"/>
        </w:rPr>
        <w:t xml:space="preserve">This </w:t>
      </w:r>
      <w:r w:rsidR="00B15BC1">
        <w:rPr>
          <w:rFonts w:ascii="Times New Roman" w:hAnsi="Times New Roman" w:cs="Times New Roman"/>
          <w:sz w:val="24"/>
          <w:szCs w:val="24"/>
        </w:rPr>
        <w:t>revision</w:t>
      </w:r>
      <w:r>
        <w:rPr>
          <w:rFonts w:ascii="Times New Roman" w:hAnsi="Times New Roman" w:cs="Times New Roman"/>
          <w:sz w:val="24"/>
          <w:szCs w:val="24"/>
        </w:rPr>
        <w:t xml:space="preserve"> of a currently approved collection includes changes in the annual respondents and thus a decrease in the annual burden hours to the public.  The changes are based on observations of the current and past information collections.</w:t>
      </w:r>
    </w:p>
    <w:p w:rsidR="00522215" w:rsidP="00522215" w14:paraId="6BD2AD4E" w14:textId="77777777">
      <w:pPr>
        <w:spacing w:line="480" w:lineRule="auto"/>
        <w:ind w:firstLine="720"/>
        <w:contextualSpacing/>
        <w:rPr>
          <w:rFonts w:cs="Times New Roman"/>
          <w:szCs w:val="24"/>
        </w:rPr>
      </w:pPr>
      <w:r>
        <w:rPr>
          <w:rFonts w:cs="Times New Roman"/>
          <w:szCs w:val="24"/>
        </w:rPr>
        <w:t xml:space="preserve">NHTSA has combined multiple public lists of ADS entities to determine the potential universe of potential entities that may (past or future) develop a VSSA.  Accessed on October 3, 2024, NHTSA combined entities that were listed on the current VSSA Index, the California Department of Motor Vehicle Autonomous Vehicles list of permit holders (testing with a driver, driverless testing, and deployment), and the entities that have submitted ADS incident reports through the Standing General Order.  Staff then reviewed the list to determine which entities were no longer operational in the United States.  This provided a universe as well as a grounding in the size of the industry, which entities have developed a VSSA in years past, and whether newer entrants are present in the universe such that they may develop a VSSA.  The result of these steps was 59 ADS entities. </w:t>
      </w:r>
    </w:p>
    <w:p w:rsidR="00522215" w:rsidP="00522215" w14:paraId="0C4F7D2E" w14:textId="77777777">
      <w:pPr>
        <w:spacing w:line="480" w:lineRule="auto"/>
        <w:ind w:firstLine="720"/>
        <w:contextualSpacing/>
        <w:rPr>
          <w:rFonts w:cs="Times New Roman"/>
          <w:szCs w:val="24"/>
        </w:rPr>
      </w:pPr>
      <w:r>
        <w:rPr>
          <w:rFonts w:cs="Times New Roman"/>
          <w:szCs w:val="24"/>
        </w:rPr>
        <w:t xml:space="preserve">Of the 59 entities, 27 have developed and made public a VSSA since the collections began according to the VSSA Index.  NHTSA is not aware that any of the 27 have updated the full VSSA during that </w:t>
      </w:r>
      <w:r>
        <w:rPr>
          <w:rFonts w:cs="Times New Roman"/>
          <w:szCs w:val="24"/>
        </w:rPr>
        <w:t>time period</w:t>
      </w:r>
      <w:r>
        <w:rPr>
          <w:rFonts w:cs="Times New Roman"/>
          <w:szCs w:val="24"/>
        </w:rPr>
        <w:t xml:space="preserve">.  Two of those entities have released an appendix with separate information not included in </w:t>
      </w:r>
      <w:r>
        <w:rPr>
          <w:rFonts w:cs="Times New Roman"/>
          <w:i/>
          <w:iCs/>
          <w:szCs w:val="24"/>
        </w:rPr>
        <w:t>ADS 2.0</w:t>
      </w:r>
      <w:r>
        <w:rPr>
          <w:rFonts w:cs="Times New Roman"/>
          <w:szCs w:val="24"/>
        </w:rPr>
        <w:t xml:space="preserve">.  NHTSA assumes these entities will not update their VSSA in the next three years.  Table 1 provides a list of VSSA publication date since 2017.  </w:t>
      </w:r>
      <w:r>
        <w:rPr>
          <w:rFonts w:cs="Times New Roman"/>
          <w:szCs w:val="24"/>
        </w:rPr>
        <w:t xml:space="preserve">The average over the lifetime of </w:t>
      </w:r>
      <w:r>
        <w:rPr>
          <w:rFonts w:cs="Times New Roman"/>
          <w:i/>
          <w:iCs/>
          <w:szCs w:val="24"/>
        </w:rPr>
        <w:t>ADS 2.0</w:t>
      </w:r>
      <w:r>
        <w:rPr>
          <w:rFonts w:cs="Times New Roman"/>
          <w:szCs w:val="24"/>
        </w:rPr>
        <w:t xml:space="preserve"> is three VSSAs per year.  Perhaps more reflective of the recent industry, the average over the current collection (three years) is 4 VSSAs per year. </w:t>
      </w:r>
    </w:p>
    <w:p w:rsidR="00522215" w:rsidP="00522215" w14:paraId="6081FA4B" w14:textId="77777777">
      <w:pPr>
        <w:ind w:left="720"/>
        <w:contextualSpacing/>
        <w:rPr>
          <w:rFonts w:cs="Times New Roman"/>
          <w:szCs w:val="24"/>
        </w:rPr>
      </w:pPr>
      <w:r>
        <w:rPr>
          <w:rFonts w:cs="Times New Roman"/>
          <w:szCs w:val="24"/>
        </w:rPr>
        <w:tab/>
      </w:r>
      <w:r>
        <w:rPr>
          <w:rFonts w:cs="Times New Roman"/>
          <w:szCs w:val="24"/>
        </w:rPr>
        <w:tab/>
        <w:t>Table 1. VSSA Dissemination to Date</w:t>
      </w:r>
    </w:p>
    <w:tbl>
      <w:tblPr>
        <w:tblStyle w:val="TableGrid"/>
        <w:tblW w:w="0" w:type="auto"/>
        <w:tblInd w:w="1705" w:type="dxa"/>
        <w:tblLook w:val="04A0"/>
      </w:tblPr>
      <w:tblGrid>
        <w:gridCol w:w="4770"/>
        <w:gridCol w:w="1890"/>
      </w:tblGrid>
      <w:tr w14:paraId="54C7EEF5" w14:textId="77777777" w:rsidTr="00890780">
        <w:tblPrEx>
          <w:tblW w:w="0" w:type="auto"/>
          <w:tblInd w:w="1705" w:type="dxa"/>
          <w:tblLook w:val="04A0"/>
        </w:tblPrEx>
        <w:tc>
          <w:tcPr>
            <w:tcW w:w="4770" w:type="dxa"/>
            <w:shd w:val="clear" w:color="auto" w:fill="808080" w:themeFill="background1" w:themeFillShade="80"/>
          </w:tcPr>
          <w:p w:rsidR="00522215" w:rsidRPr="00D728A1" w:rsidP="00890780" w14:paraId="756BEC01" w14:textId="77777777">
            <w:pPr>
              <w:contextualSpacing/>
              <w:rPr>
                <w:rFonts w:cs="Times New Roman"/>
                <w:b/>
                <w:bCs/>
                <w:color w:val="FFFFFF" w:themeColor="background1"/>
                <w:szCs w:val="24"/>
              </w:rPr>
            </w:pPr>
            <w:r w:rsidRPr="00D728A1">
              <w:rPr>
                <w:rFonts w:cs="Times New Roman"/>
                <w:b/>
                <w:bCs/>
                <w:color w:val="FFFFFF" w:themeColor="background1"/>
                <w:szCs w:val="24"/>
              </w:rPr>
              <w:t>Release</w:t>
            </w:r>
          </w:p>
        </w:tc>
        <w:tc>
          <w:tcPr>
            <w:tcW w:w="1890" w:type="dxa"/>
            <w:shd w:val="clear" w:color="auto" w:fill="808080" w:themeFill="background1" w:themeFillShade="80"/>
          </w:tcPr>
          <w:p w:rsidR="00522215" w:rsidRPr="00D728A1" w:rsidP="00890780" w14:paraId="4849DD9F" w14:textId="77777777">
            <w:pPr>
              <w:contextualSpacing/>
              <w:jc w:val="center"/>
              <w:rPr>
                <w:rFonts w:cs="Times New Roman"/>
                <w:b/>
                <w:bCs/>
                <w:color w:val="FFFFFF" w:themeColor="background1"/>
                <w:szCs w:val="24"/>
              </w:rPr>
            </w:pPr>
            <w:r w:rsidRPr="00D728A1">
              <w:rPr>
                <w:rFonts w:cs="Times New Roman"/>
                <w:b/>
                <w:bCs/>
                <w:color w:val="FFFFFF" w:themeColor="background1"/>
                <w:szCs w:val="24"/>
              </w:rPr>
              <w:t>Number</w:t>
            </w:r>
          </w:p>
        </w:tc>
      </w:tr>
      <w:tr w14:paraId="5F4367ED" w14:textId="77777777" w:rsidTr="00890780">
        <w:tblPrEx>
          <w:tblW w:w="0" w:type="auto"/>
          <w:tblInd w:w="1705" w:type="dxa"/>
          <w:tblLook w:val="04A0"/>
        </w:tblPrEx>
        <w:tc>
          <w:tcPr>
            <w:tcW w:w="4770" w:type="dxa"/>
          </w:tcPr>
          <w:p w:rsidR="00522215" w:rsidP="00890780" w14:paraId="152710D0" w14:textId="77777777">
            <w:pPr>
              <w:contextualSpacing/>
              <w:rPr>
                <w:rFonts w:cs="Times New Roman"/>
                <w:szCs w:val="24"/>
              </w:rPr>
            </w:pPr>
            <w:r>
              <w:rPr>
                <w:rFonts w:cs="Times New Roman"/>
                <w:szCs w:val="24"/>
              </w:rPr>
              <w:t>Webpage Only (no structured VSSA)</w:t>
            </w:r>
          </w:p>
        </w:tc>
        <w:tc>
          <w:tcPr>
            <w:tcW w:w="1890" w:type="dxa"/>
          </w:tcPr>
          <w:p w:rsidR="00522215" w:rsidP="00890780" w14:paraId="16BCACF1" w14:textId="77777777">
            <w:pPr>
              <w:contextualSpacing/>
              <w:jc w:val="center"/>
              <w:rPr>
                <w:rFonts w:cs="Times New Roman"/>
                <w:szCs w:val="24"/>
              </w:rPr>
            </w:pPr>
            <w:r>
              <w:rPr>
                <w:rFonts w:cs="Times New Roman"/>
                <w:szCs w:val="24"/>
              </w:rPr>
              <w:t>2</w:t>
            </w:r>
          </w:p>
        </w:tc>
      </w:tr>
      <w:tr w14:paraId="3774AD88" w14:textId="77777777" w:rsidTr="00890780">
        <w:tblPrEx>
          <w:tblW w:w="0" w:type="auto"/>
          <w:tblInd w:w="1705" w:type="dxa"/>
          <w:tblLook w:val="04A0"/>
        </w:tblPrEx>
        <w:tc>
          <w:tcPr>
            <w:tcW w:w="4770" w:type="dxa"/>
          </w:tcPr>
          <w:p w:rsidR="00522215" w:rsidP="00890780" w14:paraId="37F6C8CA" w14:textId="77777777">
            <w:pPr>
              <w:contextualSpacing/>
              <w:rPr>
                <w:rFonts w:cs="Times New Roman"/>
                <w:szCs w:val="24"/>
              </w:rPr>
            </w:pPr>
            <w:r>
              <w:rPr>
                <w:rFonts w:cs="Times New Roman"/>
                <w:szCs w:val="24"/>
              </w:rPr>
              <w:t>Inactive pointer location</w:t>
            </w:r>
          </w:p>
        </w:tc>
        <w:tc>
          <w:tcPr>
            <w:tcW w:w="1890" w:type="dxa"/>
          </w:tcPr>
          <w:p w:rsidR="00522215" w:rsidP="00890780" w14:paraId="1181B11F" w14:textId="77777777">
            <w:pPr>
              <w:contextualSpacing/>
              <w:jc w:val="center"/>
              <w:rPr>
                <w:rFonts w:cs="Times New Roman"/>
                <w:szCs w:val="24"/>
              </w:rPr>
            </w:pPr>
            <w:r>
              <w:rPr>
                <w:rFonts w:cs="Times New Roman"/>
                <w:szCs w:val="24"/>
              </w:rPr>
              <w:t>4</w:t>
            </w:r>
          </w:p>
        </w:tc>
      </w:tr>
      <w:tr w14:paraId="5AB7B561" w14:textId="77777777" w:rsidTr="00890780">
        <w:tblPrEx>
          <w:tblW w:w="0" w:type="auto"/>
          <w:tblInd w:w="1705" w:type="dxa"/>
          <w:tblLook w:val="04A0"/>
        </w:tblPrEx>
        <w:tc>
          <w:tcPr>
            <w:tcW w:w="4770" w:type="dxa"/>
          </w:tcPr>
          <w:p w:rsidR="00522215" w:rsidP="00890780" w14:paraId="123207E3" w14:textId="77777777">
            <w:pPr>
              <w:contextualSpacing/>
              <w:rPr>
                <w:rFonts w:cs="Times New Roman"/>
                <w:szCs w:val="24"/>
              </w:rPr>
            </w:pPr>
            <w:r>
              <w:rPr>
                <w:rFonts w:cs="Times New Roman"/>
                <w:szCs w:val="24"/>
              </w:rPr>
              <w:t>2018</w:t>
            </w:r>
          </w:p>
        </w:tc>
        <w:tc>
          <w:tcPr>
            <w:tcW w:w="1890" w:type="dxa"/>
          </w:tcPr>
          <w:p w:rsidR="00522215" w:rsidP="00890780" w14:paraId="24653BE6" w14:textId="77777777">
            <w:pPr>
              <w:contextualSpacing/>
              <w:jc w:val="center"/>
              <w:rPr>
                <w:rFonts w:cs="Times New Roman"/>
                <w:szCs w:val="24"/>
              </w:rPr>
            </w:pPr>
            <w:r>
              <w:rPr>
                <w:rFonts w:cs="Times New Roman"/>
                <w:szCs w:val="24"/>
              </w:rPr>
              <w:t>1</w:t>
            </w:r>
          </w:p>
        </w:tc>
      </w:tr>
      <w:tr w14:paraId="147FD7C5" w14:textId="77777777" w:rsidTr="00890780">
        <w:tblPrEx>
          <w:tblW w:w="0" w:type="auto"/>
          <w:tblInd w:w="1705" w:type="dxa"/>
          <w:tblLook w:val="04A0"/>
        </w:tblPrEx>
        <w:tc>
          <w:tcPr>
            <w:tcW w:w="4770" w:type="dxa"/>
          </w:tcPr>
          <w:p w:rsidR="00522215" w:rsidP="00890780" w14:paraId="54B62760" w14:textId="77777777">
            <w:pPr>
              <w:contextualSpacing/>
              <w:rPr>
                <w:rFonts w:cs="Times New Roman"/>
                <w:szCs w:val="24"/>
              </w:rPr>
            </w:pPr>
            <w:r>
              <w:rPr>
                <w:rFonts w:cs="Times New Roman"/>
                <w:szCs w:val="24"/>
              </w:rPr>
              <w:t>2019</w:t>
            </w:r>
          </w:p>
        </w:tc>
        <w:tc>
          <w:tcPr>
            <w:tcW w:w="1890" w:type="dxa"/>
          </w:tcPr>
          <w:p w:rsidR="00522215" w:rsidP="00890780" w14:paraId="6B115F3F" w14:textId="77777777">
            <w:pPr>
              <w:contextualSpacing/>
              <w:jc w:val="center"/>
              <w:rPr>
                <w:rFonts w:cs="Times New Roman"/>
                <w:szCs w:val="24"/>
              </w:rPr>
            </w:pPr>
            <w:r>
              <w:rPr>
                <w:rFonts w:cs="Times New Roman"/>
                <w:szCs w:val="24"/>
              </w:rPr>
              <w:t>1</w:t>
            </w:r>
          </w:p>
        </w:tc>
      </w:tr>
      <w:tr w14:paraId="05EBF54C" w14:textId="77777777" w:rsidTr="00890780">
        <w:tblPrEx>
          <w:tblW w:w="0" w:type="auto"/>
          <w:tblInd w:w="1705" w:type="dxa"/>
          <w:tblLook w:val="04A0"/>
        </w:tblPrEx>
        <w:tc>
          <w:tcPr>
            <w:tcW w:w="4770" w:type="dxa"/>
          </w:tcPr>
          <w:p w:rsidR="00522215" w:rsidP="00890780" w14:paraId="078558FE" w14:textId="77777777">
            <w:pPr>
              <w:contextualSpacing/>
              <w:rPr>
                <w:rFonts w:cs="Times New Roman"/>
                <w:szCs w:val="24"/>
              </w:rPr>
            </w:pPr>
            <w:r>
              <w:rPr>
                <w:rFonts w:cs="Times New Roman"/>
                <w:szCs w:val="24"/>
              </w:rPr>
              <w:t>2020</w:t>
            </w:r>
          </w:p>
        </w:tc>
        <w:tc>
          <w:tcPr>
            <w:tcW w:w="1890" w:type="dxa"/>
          </w:tcPr>
          <w:p w:rsidR="00522215" w:rsidP="00890780" w14:paraId="21B3B322" w14:textId="77777777">
            <w:pPr>
              <w:contextualSpacing/>
              <w:jc w:val="center"/>
              <w:rPr>
                <w:rFonts w:cs="Times New Roman"/>
                <w:szCs w:val="24"/>
              </w:rPr>
            </w:pPr>
            <w:r>
              <w:rPr>
                <w:rFonts w:cs="Times New Roman"/>
                <w:szCs w:val="24"/>
              </w:rPr>
              <w:t>3</w:t>
            </w:r>
          </w:p>
        </w:tc>
      </w:tr>
      <w:tr w14:paraId="525A1703" w14:textId="77777777" w:rsidTr="00890780">
        <w:tblPrEx>
          <w:tblW w:w="0" w:type="auto"/>
          <w:tblInd w:w="1705" w:type="dxa"/>
          <w:tblLook w:val="04A0"/>
        </w:tblPrEx>
        <w:tc>
          <w:tcPr>
            <w:tcW w:w="4770" w:type="dxa"/>
          </w:tcPr>
          <w:p w:rsidR="00522215" w:rsidP="00890780" w14:paraId="482E2533" w14:textId="77777777">
            <w:pPr>
              <w:contextualSpacing/>
              <w:rPr>
                <w:rFonts w:cs="Times New Roman"/>
                <w:szCs w:val="24"/>
              </w:rPr>
            </w:pPr>
            <w:r>
              <w:rPr>
                <w:rFonts w:cs="Times New Roman"/>
                <w:szCs w:val="24"/>
              </w:rPr>
              <w:t>2021</w:t>
            </w:r>
          </w:p>
        </w:tc>
        <w:tc>
          <w:tcPr>
            <w:tcW w:w="1890" w:type="dxa"/>
          </w:tcPr>
          <w:p w:rsidR="00522215" w:rsidP="00890780" w14:paraId="2D55DF09" w14:textId="77777777">
            <w:pPr>
              <w:contextualSpacing/>
              <w:jc w:val="center"/>
              <w:rPr>
                <w:rFonts w:cs="Times New Roman"/>
                <w:szCs w:val="24"/>
              </w:rPr>
            </w:pPr>
            <w:r>
              <w:rPr>
                <w:rFonts w:cs="Times New Roman"/>
                <w:szCs w:val="24"/>
              </w:rPr>
              <w:t>4</w:t>
            </w:r>
          </w:p>
        </w:tc>
      </w:tr>
      <w:tr w14:paraId="7C9425FF" w14:textId="77777777" w:rsidTr="00890780">
        <w:tblPrEx>
          <w:tblW w:w="0" w:type="auto"/>
          <w:tblInd w:w="1705" w:type="dxa"/>
          <w:tblLook w:val="04A0"/>
        </w:tblPrEx>
        <w:tc>
          <w:tcPr>
            <w:tcW w:w="4770" w:type="dxa"/>
          </w:tcPr>
          <w:p w:rsidR="00522215" w:rsidP="00890780" w14:paraId="6531B783" w14:textId="77777777">
            <w:pPr>
              <w:contextualSpacing/>
              <w:rPr>
                <w:rFonts w:cs="Times New Roman"/>
                <w:szCs w:val="24"/>
              </w:rPr>
            </w:pPr>
            <w:r>
              <w:rPr>
                <w:rFonts w:cs="Times New Roman"/>
                <w:szCs w:val="24"/>
              </w:rPr>
              <w:t>2022</w:t>
            </w:r>
          </w:p>
        </w:tc>
        <w:tc>
          <w:tcPr>
            <w:tcW w:w="1890" w:type="dxa"/>
          </w:tcPr>
          <w:p w:rsidR="00522215" w:rsidP="00890780" w14:paraId="3F5A0C3C" w14:textId="77777777">
            <w:pPr>
              <w:contextualSpacing/>
              <w:jc w:val="center"/>
              <w:rPr>
                <w:rFonts w:cs="Times New Roman"/>
                <w:szCs w:val="24"/>
              </w:rPr>
            </w:pPr>
            <w:r>
              <w:rPr>
                <w:rFonts w:cs="Times New Roman"/>
                <w:szCs w:val="24"/>
              </w:rPr>
              <w:t>2</w:t>
            </w:r>
          </w:p>
        </w:tc>
      </w:tr>
      <w:tr w14:paraId="688190E1" w14:textId="77777777" w:rsidTr="00890780">
        <w:tblPrEx>
          <w:tblW w:w="0" w:type="auto"/>
          <w:tblInd w:w="1705" w:type="dxa"/>
          <w:tblLook w:val="04A0"/>
        </w:tblPrEx>
        <w:tc>
          <w:tcPr>
            <w:tcW w:w="4770" w:type="dxa"/>
          </w:tcPr>
          <w:p w:rsidR="00522215" w:rsidP="00890780" w14:paraId="5A829D6C" w14:textId="77777777">
            <w:pPr>
              <w:contextualSpacing/>
              <w:rPr>
                <w:rFonts w:cs="Times New Roman"/>
                <w:szCs w:val="24"/>
              </w:rPr>
            </w:pPr>
            <w:r>
              <w:rPr>
                <w:rFonts w:cs="Times New Roman"/>
                <w:szCs w:val="24"/>
              </w:rPr>
              <w:t>2023</w:t>
            </w:r>
          </w:p>
        </w:tc>
        <w:tc>
          <w:tcPr>
            <w:tcW w:w="1890" w:type="dxa"/>
          </w:tcPr>
          <w:p w:rsidR="00522215" w:rsidP="00890780" w14:paraId="5FDE26C1" w14:textId="77777777">
            <w:pPr>
              <w:contextualSpacing/>
              <w:jc w:val="center"/>
              <w:rPr>
                <w:rFonts w:cs="Times New Roman"/>
                <w:szCs w:val="24"/>
              </w:rPr>
            </w:pPr>
            <w:r>
              <w:rPr>
                <w:rFonts w:cs="Times New Roman"/>
                <w:szCs w:val="24"/>
              </w:rPr>
              <w:t>6</w:t>
            </w:r>
          </w:p>
        </w:tc>
      </w:tr>
      <w:tr w14:paraId="772EE70D" w14:textId="77777777" w:rsidTr="00890780">
        <w:tblPrEx>
          <w:tblW w:w="0" w:type="auto"/>
          <w:tblInd w:w="1705" w:type="dxa"/>
          <w:tblLook w:val="04A0"/>
        </w:tblPrEx>
        <w:tc>
          <w:tcPr>
            <w:tcW w:w="4770" w:type="dxa"/>
          </w:tcPr>
          <w:p w:rsidR="00522215" w:rsidP="00890780" w14:paraId="4D9FEE9D" w14:textId="77777777">
            <w:pPr>
              <w:contextualSpacing/>
              <w:rPr>
                <w:rFonts w:cs="Times New Roman"/>
                <w:szCs w:val="24"/>
              </w:rPr>
            </w:pPr>
            <w:r>
              <w:rPr>
                <w:rFonts w:cs="Times New Roman"/>
                <w:szCs w:val="24"/>
              </w:rPr>
              <w:t>2024</w:t>
            </w:r>
          </w:p>
        </w:tc>
        <w:tc>
          <w:tcPr>
            <w:tcW w:w="1890" w:type="dxa"/>
          </w:tcPr>
          <w:p w:rsidR="00522215" w:rsidP="00890780" w14:paraId="0B91E5F0" w14:textId="77777777">
            <w:pPr>
              <w:contextualSpacing/>
              <w:jc w:val="center"/>
              <w:rPr>
                <w:rFonts w:cs="Times New Roman"/>
                <w:szCs w:val="24"/>
              </w:rPr>
            </w:pPr>
            <w:r>
              <w:rPr>
                <w:rFonts w:cs="Times New Roman"/>
                <w:szCs w:val="24"/>
              </w:rPr>
              <w:t>4</w:t>
            </w:r>
          </w:p>
        </w:tc>
      </w:tr>
      <w:tr w14:paraId="4027B47C" w14:textId="77777777" w:rsidTr="00890780">
        <w:tblPrEx>
          <w:tblW w:w="0" w:type="auto"/>
          <w:tblInd w:w="1705" w:type="dxa"/>
          <w:tblLook w:val="04A0"/>
        </w:tblPrEx>
        <w:tc>
          <w:tcPr>
            <w:tcW w:w="4770" w:type="dxa"/>
          </w:tcPr>
          <w:p w:rsidR="00522215" w:rsidP="00890780" w14:paraId="5D62C6C5" w14:textId="77777777">
            <w:pPr>
              <w:contextualSpacing/>
              <w:rPr>
                <w:rFonts w:cs="Times New Roman"/>
                <w:szCs w:val="24"/>
              </w:rPr>
            </w:pPr>
            <w:r>
              <w:rPr>
                <w:rFonts w:cs="Times New Roman"/>
                <w:szCs w:val="24"/>
              </w:rPr>
              <w:t>Seven-year average</w:t>
            </w:r>
          </w:p>
        </w:tc>
        <w:tc>
          <w:tcPr>
            <w:tcW w:w="1890" w:type="dxa"/>
          </w:tcPr>
          <w:p w:rsidR="00522215" w:rsidP="00890780" w14:paraId="317066E2" w14:textId="77777777">
            <w:pPr>
              <w:contextualSpacing/>
              <w:jc w:val="center"/>
              <w:rPr>
                <w:rFonts w:cs="Times New Roman"/>
                <w:szCs w:val="24"/>
              </w:rPr>
            </w:pPr>
            <w:r>
              <w:rPr>
                <w:rFonts w:cs="Times New Roman"/>
                <w:szCs w:val="24"/>
              </w:rPr>
              <w:t>3</w:t>
            </w:r>
          </w:p>
        </w:tc>
      </w:tr>
      <w:tr w14:paraId="1AC66211" w14:textId="77777777" w:rsidTr="00890780">
        <w:tblPrEx>
          <w:tblW w:w="0" w:type="auto"/>
          <w:tblInd w:w="1705" w:type="dxa"/>
          <w:tblLook w:val="04A0"/>
        </w:tblPrEx>
        <w:tc>
          <w:tcPr>
            <w:tcW w:w="4770" w:type="dxa"/>
          </w:tcPr>
          <w:p w:rsidR="00522215" w:rsidRPr="00475428" w:rsidP="00890780" w14:paraId="4E43BE5B" w14:textId="77777777">
            <w:pPr>
              <w:contextualSpacing/>
              <w:rPr>
                <w:rFonts w:cs="Times New Roman"/>
                <w:i/>
                <w:iCs/>
                <w:szCs w:val="24"/>
              </w:rPr>
            </w:pPr>
            <w:r w:rsidRPr="00475428">
              <w:rPr>
                <w:rFonts w:cs="Times New Roman"/>
                <w:i/>
                <w:iCs/>
                <w:szCs w:val="24"/>
              </w:rPr>
              <w:t>Three-year Average (period of current ICR)</w:t>
            </w:r>
          </w:p>
        </w:tc>
        <w:tc>
          <w:tcPr>
            <w:tcW w:w="1890" w:type="dxa"/>
          </w:tcPr>
          <w:p w:rsidR="00522215" w:rsidRPr="00475428" w:rsidP="00890780" w14:paraId="17EA8393" w14:textId="77777777">
            <w:pPr>
              <w:contextualSpacing/>
              <w:jc w:val="center"/>
              <w:rPr>
                <w:rFonts w:cs="Times New Roman"/>
                <w:i/>
                <w:iCs/>
                <w:szCs w:val="24"/>
              </w:rPr>
            </w:pPr>
            <w:r w:rsidRPr="00475428">
              <w:rPr>
                <w:rFonts w:cs="Times New Roman"/>
                <w:i/>
                <w:iCs/>
                <w:szCs w:val="24"/>
              </w:rPr>
              <w:t>4</w:t>
            </w:r>
          </w:p>
        </w:tc>
      </w:tr>
    </w:tbl>
    <w:p w:rsidR="00522215" w:rsidP="00522215" w14:paraId="47ACDA7A" w14:textId="77777777">
      <w:pPr>
        <w:contextualSpacing/>
        <w:rPr>
          <w:rFonts w:cs="Times New Roman"/>
          <w:szCs w:val="24"/>
        </w:rPr>
      </w:pPr>
    </w:p>
    <w:p w:rsidR="00522215" w:rsidP="00522215" w14:paraId="4D464BEB" w14:textId="77777777">
      <w:pPr>
        <w:spacing w:line="480" w:lineRule="auto"/>
        <w:ind w:firstLine="720"/>
        <w:contextualSpacing/>
        <w:rPr>
          <w:rFonts w:cs="Times New Roman"/>
          <w:szCs w:val="24"/>
        </w:rPr>
      </w:pPr>
      <w:r>
        <w:rPr>
          <w:rFonts w:cs="Times New Roman"/>
          <w:szCs w:val="24"/>
        </w:rPr>
        <w:t xml:space="preserve">Taking into account the universe established (59 entities) and those that have disseminated a VSSA or suggested a webpage through the VSSA Index (27), NHTSA believes there is a potential for another 32 entities to publish a VSSA; however, the maturity of the entity itself, the development of the ADS, and the partnerships established within the industry, NHTSA does not assume all 32 will develop a VSSA over the coming three years.  This is bolstered by the fact that it has taken seven years for dissemination of 27 VSSAs. </w:t>
      </w:r>
    </w:p>
    <w:p w:rsidR="00522215" w:rsidP="00522215" w14:paraId="1CDB48CB" w14:textId="215C0204">
      <w:pPr>
        <w:spacing w:line="480" w:lineRule="auto"/>
        <w:ind w:firstLine="720"/>
        <w:contextualSpacing/>
        <w:rPr>
          <w:rFonts w:cs="Times New Roman"/>
          <w:szCs w:val="24"/>
        </w:rPr>
      </w:pPr>
      <w:r>
        <w:rPr>
          <w:rFonts w:cs="Times New Roman"/>
          <w:szCs w:val="24"/>
        </w:rPr>
        <w:t xml:space="preserve">NHTSA will use the most recent three-year average of four VSSAs per year for an estimation of VSSA dissemination or publication for the duration of this information collection </w:t>
      </w:r>
      <w:r w:rsidR="00B15BC1">
        <w:rPr>
          <w:rFonts w:cs="Times New Roman"/>
          <w:szCs w:val="24"/>
        </w:rPr>
        <w:t>revision</w:t>
      </w:r>
      <w:r>
        <w:rPr>
          <w:rFonts w:cs="Times New Roman"/>
          <w:szCs w:val="24"/>
        </w:rPr>
        <w:t xml:space="preserve">.  Therefore, the number of respondents annually is four and the frequency is once per year. </w:t>
      </w:r>
    </w:p>
    <w:p w:rsidR="00522215" w:rsidP="00522215" w14:paraId="23846618" w14:textId="77777777">
      <w:pPr>
        <w:tabs>
          <w:tab w:val="left" w:pos="360"/>
        </w:tabs>
        <w:spacing w:line="480" w:lineRule="auto"/>
      </w:pPr>
      <w:r>
        <w:rPr>
          <w:rFonts w:cs="Times New Roman"/>
          <w:i/>
          <w:iCs/>
          <w:szCs w:val="24"/>
        </w:rPr>
        <w:tab/>
      </w:r>
      <w:r>
        <w:rPr>
          <w:rFonts w:cs="Times New Roman"/>
          <w:i/>
          <w:iCs/>
          <w:szCs w:val="24"/>
        </w:rPr>
        <w:tab/>
      </w:r>
      <w:r w:rsidRPr="007B18EC">
        <w:rPr>
          <w:rFonts w:cs="Times New Roman"/>
          <w:szCs w:val="24"/>
          <w:u w:val="single"/>
        </w:rPr>
        <w:t>Estimating Burden for Each Respondent</w:t>
      </w:r>
      <w:r w:rsidRPr="007B18EC">
        <w:rPr>
          <w:rFonts w:cs="Times New Roman"/>
          <w:szCs w:val="24"/>
        </w:rPr>
        <w:t>:</w:t>
      </w:r>
      <w:r>
        <w:rPr>
          <w:rFonts w:cs="Times New Roman"/>
          <w:i/>
          <w:iCs/>
          <w:szCs w:val="24"/>
        </w:rPr>
        <w:t xml:space="preserve"> </w:t>
      </w:r>
      <w:r>
        <w:rPr>
          <w:color w:val="333333"/>
        </w:rPr>
        <w:t xml:space="preserve">Components of the Voluntary Guidance in </w:t>
      </w:r>
      <w:r>
        <w:rPr>
          <w:i/>
          <w:color w:val="333333"/>
        </w:rPr>
        <w:t xml:space="preserve">ADS 2.0 </w:t>
      </w:r>
      <w:r>
        <w:rPr>
          <w:color w:val="333333"/>
        </w:rPr>
        <w:t>and public disclosure of the VSSA have not changed since release in 2017.</w:t>
      </w:r>
      <w:r>
        <w:t xml:space="preserve">  Therefore, these estimates of time to summarize how an entity is addressing the safety elements remains the same </w:t>
      </w:r>
      <w:r>
        <w:t xml:space="preserve">as the current information collection.  NHTSA has not received comments that these estimates are erroneous. </w:t>
      </w:r>
    </w:p>
    <w:p w:rsidR="00522215" w:rsidP="00522215" w14:paraId="294D7219" w14:textId="77777777">
      <w:pPr>
        <w:tabs>
          <w:tab w:val="left" w:pos="360"/>
        </w:tabs>
        <w:spacing w:line="480" w:lineRule="auto"/>
        <w:rPr>
          <w:color w:val="333333"/>
        </w:rPr>
      </w:pPr>
      <w:r>
        <w:rPr>
          <w:color w:val="333333"/>
        </w:rPr>
        <w:tab/>
      </w:r>
      <w:r>
        <w:rPr>
          <w:color w:val="333333"/>
        </w:rPr>
        <w:tab/>
        <w:t xml:space="preserve">Development </w:t>
      </w:r>
      <w:r w:rsidRPr="00425100">
        <w:rPr>
          <w:color w:val="333333"/>
        </w:rPr>
        <w:t xml:space="preserve">of a </w:t>
      </w:r>
      <w:r>
        <w:rPr>
          <w:color w:val="333333"/>
        </w:rPr>
        <w:t>VSSA</w:t>
      </w:r>
      <w:r w:rsidRPr="00425100">
        <w:rPr>
          <w:color w:val="333333"/>
        </w:rPr>
        <w:t xml:space="preserve"> </w:t>
      </w:r>
      <w:r>
        <w:rPr>
          <w:color w:val="333333"/>
        </w:rPr>
        <w:t>is expected to</w:t>
      </w:r>
      <w:r w:rsidRPr="00425100">
        <w:rPr>
          <w:color w:val="333333"/>
        </w:rPr>
        <w:t xml:space="preserve"> involve burden for format</w:t>
      </w:r>
      <w:r>
        <w:rPr>
          <w:color w:val="333333"/>
        </w:rPr>
        <w:t>, content,</w:t>
      </w:r>
      <w:r w:rsidRPr="00425100">
        <w:rPr>
          <w:color w:val="333333"/>
        </w:rPr>
        <w:t xml:space="preserve"> and </w:t>
      </w:r>
      <w:r>
        <w:rPr>
          <w:color w:val="333333"/>
        </w:rPr>
        <w:t>summary</w:t>
      </w:r>
      <w:r w:rsidRPr="00425100">
        <w:rPr>
          <w:color w:val="333333"/>
        </w:rPr>
        <w:t xml:space="preserve">, varying by safety element. </w:t>
      </w:r>
      <w:r>
        <w:rPr>
          <w:color w:val="333333"/>
        </w:rPr>
        <w:t xml:space="preserve"> </w:t>
      </w:r>
      <w:r w:rsidRPr="00425100">
        <w:rPr>
          <w:color w:val="333333"/>
        </w:rPr>
        <w:t xml:space="preserve">NHTSA estimates that each entity will spend </w:t>
      </w:r>
      <w:r>
        <w:rPr>
          <w:color w:val="333333"/>
        </w:rPr>
        <w:t xml:space="preserve">approximately </w:t>
      </w:r>
      <w:r w:rsidRPr="00425100">
        <w:rPr>
          <w:color w:val="333333"/>
        </w:rPr>
        <w:t xml:space="preserve">600 hours to </w:t>
      </w:r>
      <w:r>
        <w:rPr>
          <w:color w:val="333333"/>
        </w:rPr>
        <w:t>develop and disseminate a VSSA</w:t>
      </w:r>
      <w:r w:rsidRPr="00425100">
        <w:rPr>
          <w:color w:val="333333"/>
        </w:rPr>
        <w:t xml:space="preserve">. </w:t>
      </w:r>
      <w:r>
        <w:rPr>
          <w:color w:val="333333"/>
        </w:rPr>
        <w:t xml:space="preserve"> Table 2 provides a breakdown of burden hours by safety element.</w:t>
      </w:r>
    </w:p>
    <w:p w:rsidR="00522215" w:rsidP="00522215" w14:paraId="1B1EF895" w14:textId="77777777">
      <w:pPr>
        <w:tabs>
          <w:tab w:val="left" w:pos="360"/>
        </w:tabs>
        <w:ind w:left="720"/>
      </w:pPr>
      <w:r>
        <w:tab/>
      </w:r>
      <w:r>
        <w:tab/>
        <w:t>Table 2. Burden Hours Estimates for VSSA, per Safety Element</w:t>
      </w:r>
    </w:p>
    <w:tbl>
      <w:tblPr>
        <w:tblStyle w:val="TableGrid"/>
        <w:tblW w:w="0" w:type="auto"/>
        <w:tblInd w:w="1705" w:type="dxa"/>
        <w:tblLook w:val="04A0"/>
      </w:tblPr>
      <w:tblGrid>
        <w:gridCol w:w="4860"/>
        <w:gridCol w:w="1800"/>
      </w:tblGrid>
      <w:tr w14:paraId="49716E3A" w14:textId="77777777" w:rsidTr="00890780">
        <w:tblPrEx>
          <w:tblW w:w="0" w:type="auto"/>
          <w:tblInd w:w="1705" w:type="dxa"/>
          <w:tblLook w:val="04A0"/>
        </w:tblPrEx>
        <w:tc>
          <w:tcPr>
            <w:tcW w:w="4860" w:type="dxa"/>
            <w:shd w:val="clear" w:color="auto" w:fill="808080" w:themeFill="background1" w:themeFillShade="80"/>
          </w:tcPr>
          <w:p w:rsidR="00522215" w:rsidRPr="002F7753" w:rsidP="00890780" w14:paraId="0E333B42" w14:textId="77777777">
            <w:pPr>
              <w:tabs>
                <w:tab w:val="left" w:pos="360"/>
              </w:tabs>
              <w:rPr>
                <w:b/>
                <w:color w:val="FFFFFF" w:themeColor="background1"/>
              </w:rPr>
            </w:pPr>
            <w:r w:rsidRPr="002F7753">
              <w:rPr>
                <w:b/>
                <w:color w:val="FFFFFF" w:themeColor="background1"/>
              </w:rPr>
              <w:t>Safety Element in Voluntary Guidance</w:t>
            </w:r>
          </w:p>
        </w:tc>
        <w:tc>
          <w:tcPr>
            <w:tcW w:w="1800" w:type="dxa"/>
            <w:shd w:val="clear" w:color="auto" w:fill="808080" w:themeFill="background1" w:themeFillShade="80"/>
          </w:tcPr>
          <w:p w:rsidR="00522215" w:rsidRPr="002F7753" w:rsidP="00890780" w14:paraId="5E74FF42" w14:textId="77777777">
            <w:pPr>
              <w:tabs>
                <w:tab w:val="left" w:pos="360"/>
              </w:tabs>
              <w:jc w:val="center"/>
              <w:rPr>
                <w:b/>
                <w:color w:val="FFFFFF" w:themeColor="background1"/>
              </w:rPr>
            </w:pPr>
            <w:r w:rsidRPr="002F7753">
              <w:rPr>
                <w:b/>
                <w:color w:val="FFFFFF" w:themeColor="background1"/>
              </w:rPr>
              <w:t>Burden Hours for VSSA Development</w:t>
            </w:r>
          </w:p>
        </w:tc>
      </w:tr>
      <w:tr w14:paraId="3FA67BFA" w14:textId="77777777" w:rsidTr="00890780">
        <w:tblPrEx>
          <w:tblW w:w="0" w:type="auto"/>
          <w:tblInd w:w="1705" w:type="dxa"/>
          <w:tblLook w:val="04A0"/>
        </w:tblPrEx>
        <w:tc>
          <w:tcPr>
            <w:tcW w:w="4860" w:type="dxa"/>
          </w:tcPr>
          <w:p w:rsidR="00522215" w:rsidRPr="00A914F1" w:rsidP="00890780" w14:paraId="1F9E8C73" w14:textId="77777777">
            <w:pPr>
              <w:tabs>
                <w:tab w:val="left" w:pos="360"/>
              </w:tabs>
              <w:rPr>
                <w:bCs/>
              </w:rPr>
            </w:pPr>
            <w:r w:rsidRPr="002F7753">
              <w:rPr>
                <w:bCs/>
              </w:rPr>
              <w:t xml:space="preserve">A. </w:t>
            </w:r>
            <w:r w:rsidRPr="00A914F1">
              <w:rPr>
                <w:bCs/>
              </w:rPr>
              <w:t xml:space="preserve">System Safety </w:t>
            </w:r>
          </w:p>
        </w:tc>
        <w:tc>
          <w:tcPr>
            <w:tcW w:w="1800" w:type="dxa"/>
          </w:tcPr>
          <w:p w:rsidR="00522215" w:rsidP="00890780" w14:paraId="207EE867" w14:textId="77777777">
            <w:pPr>
              <w:tabs>
                <w:tab w:val="left" w:pos="360"/>
              </w:tabs>
              <w:jc w:val="center"/>
            </w:pPr>
            <w:r>
              <w:t>30</w:t>
            </w:r>
          </w:p>
        </w:tc>
      </w:tr>
      <w:tr w14:paraId="5EA6A860" w14:textId="77777777" w:rsidTr="00890780">
        <w:tblPrEx>
          <w:tblW w:w="0" w:type="auto"/>
          <w:tblInd w:w="1705" w:type="dxa"/>
          <w:tblLook w:val="04A0"/>
        </w:tblPrEx>
        <w:tc>
          <w:tcPr>
            <w:tcW w:w="4860" w:type="dxa"/>
          </w:tcPr>
          <w:p w:rsidR="00522215" w:rsidRPr="00A914F1" w:rsidP="00890780" w14:paraId="70EF0760" w14:textId="77777777">
            <w:pPr>
              <w:tabs>
                <w:tab w:val="left" w:pos="360"/>
              </w:tabs>
            </w:pPr>
            <w:r w:rsidRPr="002F7753">
              <w:rPr>
                <w:bCs/>
              </w:rPr>
              <w:t>B.</w:t>
            </w:r>
            <w:r w:rsidRPr="002F7753">
              <w:t xml:space="preserve"> Operational Design Domain</w:t>
            </w:r>
          </w:p>
        </w:tc>
        <w:tc>
          <w:tcPr>
            <w:tcW w:w="1800" w:type="dxa"/>
          </w:tcPr>
          <w:p w:rsidR="00522215" w:rsidP="00890780" w14:paraId="1CFADAC0" w14:textId="77777777">
            <w:pPr>
              <w:tabs>
                <w:tab w:val="left" w:pos="360"/>
              </w:tabs>
              <w:jc w:val="center"/>
            </w:pPr>
            <w:r w:rsidRPr="007E14D6">
              <w:t>2</w:t>
            </w:r>
            <w:r>
              <w:t>5</w:t>
            </w:r>
          </w:p>
        </w:tc>
      </w:tr>
      <w:tr w14:paraId="40ADFC07" w14:textId="77777777" w:rsidTr="00890780">
        <w:tblPrEx>
          <w:tblW w:w="0" w:type="auto"/>
          <w:tblInd w:w="1705" w:type="dxa"/>
          <w:tblLook w:val="04A0"/>
        </w:tblPrEx>
        <w:tc>
          <w:tcPr>
            <w:tcW w:w="4860" w:type="dxa"/>
          </w:tcPr>
          <w:p w:rsidR="00522215" w:rsidRPr="00A914F1" w:rsidP="00890780" w14:paraId="3A9666A8" w14:textId="77777777">
            <w:pPr>
              <w:tabs>
                <w:tab w:val="left" w:pos="360"/>
              </w:tabs>
            </w:pPr>
            <w:r w:rsidRPr="002F7753">
              <w:t>C. Object and Event Detection and Response</w:t>
            </w:r>
          </w:p>
        </w:tc>
        <w:tc>
          <w:tcPr>
            <w:tcW w:w="1800" w:type="dxa"/>
          </w:tcPr>
          <w:p w:rsidR="00522215" w:rsidP="00890780" w14:paraId="36ED1792" w14:textId="77777777">
            <w:pPr>
              <w:tabs>
                <w:tab w:val="left" w:pos="360"/>
              </w:tabs>
              <w:jc w:val="center"/>
            </w:pPr>
            <w:r w:rsidRPr="007E14D6">
              <w:t>4</w:t>
            </w:r>
            <w:r>
              <w:t>5</w:t>
            </w:r>
          </w:p>
        </w:tc>
      </w:tr>
      <w:tr w14:paraId="3D465B0A" w14:textId="77777777" w:rsidTr="00890780">
        <w:tblPrEx>
          <w:tblW w:w="0" w:type="auto"/>
          <w:tblInd w:w="1705" w:type="dxa"/>
          <w:tblLook w:val="04A0"/>
        </w:tblPrEx>
        <w:tc>
          <w:tcPr>
            <w:tcW w:w="4860" w:type="dxa"/>
          </w:tcPr>
          <w:p w:rsidR="00522215" w:rsidRPr="00A914F1" w:rsidP="00890780" w14:paraId="6DAA7706" w14:textId="77777777">
            <w:pPr>
              <w:tabs>
                <w:tab w:val="left" w:pos="360"/>
              </w:tabs>
            </w:pPr>
            <w:r w:rsidRPr="002F7753">
              <w:t>D. Fallback</w:t>
            </w:r>
          </w:p>
        </w:tc>
        <w:tc>
          <w:tcPr>
            <w:tcW w:w="1800" w:type="dxa"/>
          </w:tcPr>
          <w:p w:rsidR="00522215" w:rsidP="00890780" w14:paraId="3FA52341" w14:textId="77777777">
            <w:pPr>
              <w:tabs>
                <w:tab w:val="left" w:pos="360"/>
              </w:tabs>
              <w:jc w:val="center"/>
            </w:pPr>
            <w:r>
              <w:t>90</w:t>
            </w:r>
          </w:p>
        </w:tc>
      </w:tr>
      <w:tr w14:paraId="398805EE" w14:textId="77777777" w:rsidTr="00890780">
        <w:tblPrEx>
          <w:tblW w:w="0" w:type="auto"/>
          <w:tblInd w:w="1705" w:type="dxa"/>
          <w:tblLook w:val="04A0"/>
        </w:tblPrEx>
        <w:tc>
          <w:tcPr>
            <w:tcW w:w="4860" w:type="dxa"/>
          </w:tcPr>
          <w:p w:rsidR="00522215" w:rsidRPr="00A914F1" w:rsidP="00890780" w14:paraId="4F1F7416" w14:textId="77777777">
            <w:pPr>
              <w:tabs>
                <w:tab w:val="left" w:pos="360"/>
              </w:tabs>
            </w:pPr>
            <w:r w:rsidRPr="002F7753">
              <w:t>E. Validation Methods</w:t>
            </w:r>
          </w:p>
        </w:tc>
        <w:tc>
          <w:tcPr>
            <w:tcW w:w="1800" w:type="dxa"/>
          </w:tcPr>
          <w:p w:rsidR="00522215" w:rsidP="00890780" w14:paraId="04B54796" w14:textId="77777777">
            <w:pPr>
              <w:tabs>
                <w:tab w:val="left" w:pos="360"/>
              </w:tabs>
              <w:jc w:val="center"/>
            </w:pPr>
            <w:r>
              <w:t>90</w:t>
            </w:r>
          </w:p>
        </w:tc>
      </w:tr>
      <w:tr w14:paraId="3F510B86" w14:textId="77777777" w:rsidTr="00890780">
        <w:tblPrEx>
          <w:tblW w:w="0" w:type="auto"/>
          <w:tblInd w:w="1705" w:type="dxa"/>
          <w:tblLook w:val="04A0"/>
        </w:tblPrEx>
        <w:tc>
          <w:tcPr>
            <w:tcW w:w="4860" w:type="dxa"/>
          </w:tcPr>
          <w:p w:rsidR="00522215" w:rsidRPr="00A914F1" w:rsidP="00890780" w14:paraId="32585D65" w14:textId="77777777">
            <w:pPr>
              <w:tabs>
                <w:tab w:val="left" w:pos="360"/>
              </w:tabs>
            </w:pPr>
            <w:r w:rsidRPr="002F7753">
              <w:t>F. Human Machine Interface</w:t>
            </w:r>
          </w:p>
        </w:tc>
        <w:tc>
          <w:tcPr>
            <w:tcW w:w="1800" w:type="dxa"/>
          </w:tcPr>
          <w:p w:rsidR="00522215" w:rsidP="00890780" w14:paraId="0303AEAE" w14:textId="77777777">
            <w:pPr>
              <w:tabs>
                <w:tab w:val="left" w:pos="360"/>
              </w:tabs>
              <w:jc w:val="center"/>
            </w:pPr>
            <w:r>
              <w:t>25</w:t>
            </w:r>
          </w:p>
        </w:tc>
      </w:tr>
      <w:tr w14:paraId="6DB42B7B" w14:textId="77777777" w:rsidTr="00890780">
        <w:tblPrEx>
          <w:tblW w:w="0" w:type="auto"/>
          <w:tblInd w:w="1705" w:type="dxa"/>
          <w:tblLook w:val="04A0"/>
        </w:tblPrEx>
        <w:tc>
          <w:tcPr>
            <w:tcW w:w="4860" w:type="dxa"/>
          </w:tcPr>
          <w:p w:rsidR="00522215" w:rsidRPr="00A914F1" w:rsidP="00890780" w14:paraId="2333E402" w14:textId="77777777">
            <w:pPr>
              <w:tabs>
                <w:tab w:val="left" w:pos="360"/>
              </w:tabs>
            </w:pPr>
            <w:r w:rsidRPr="002F7753">
              <w:t>G. Vehicle Cybersecurity</w:t>
            </w:r>
          </w:p>
        </w:tc>
        <w:tc>
          <w:tcPr>
            <w:tcW w:w="1800" w:type="dxa"/>
          </w:tcPr>
          <w:p w:rsidR="00522215" w:rsidP="00890780" w14:paraId="18BEE06B" w14:textId="77777777">
            <w:pPr>
              <w:tabs>
                <w:tab w:val="left" w:pos="360"/>
              </w:tabs>
              <w:jc w:val="center"/>
            </w:pPr>
            <w:r w:rsidRPr="007E14D6">
              <w:t>2</w:t>
            </w:r>
            <w:r>
              <w:t>5</w:t>
            </w:r>
          </w:p>
        </w:tc>
      </w:tr>
      <w:tr w14:paraId="54699A4C" w14:textId="77777777" w:rsidTr="00890780">
        <w:tblPrEx>
          <w:tblW w:w="0" w:type="auto"/>
          <w:tblInd w:w="1705" w:type="dxa"/>
          <w:tblLook w:val="04A0"/>
        </w:tblPrEx>
        <w:tc>
          <w:tcPr>
            <w:tcW w:w="4860" w:type="dxa"/>
          </w:tcPr>
          <w:p w:rsidR="00522215" w:rsidRPr="002F7753" w:rsidP="00890780" w14:paraId="33F4F9E2" w14:textId="77777777">
            <w:pPr>
              <w:tabs>
                <w:tab w:val="left" w:pos="360"/>
              </w:tabs>
            </w:pPr>
            <w:r w:rsidRPr="002F7753">
              <w:t>H. Crashworthiness</w:t>
            </w:r>
          </w:p>
        </w:tc>
        <w:tc>
          <w:tcPr>
            <w:tcW w:w="1800" w:type="dxa"/>
          </w:tcPr>
          <w:p w:rsidR="00522215" w:rsidP="00890780" w14:paraId="582311AA" w14:textId="77777777">
            <w:pPr>
              <w:tabs>
                <w:tab w:val="left" w:pos="360"/>
              </w:tabs>
              <w:jc w:val="center"/>
            </w:pPr>
            <w:r w:rsidRPr="007E14D6">
              <w:t>2</w:t>
            </w:r>
            <w:r>
              <w:t>5</w:t>
            </w:r>
          </w:p>
        </w:tc>
      </w:tr>
      <w:tr w14:paraId="7E0EBC22" w14:textId="77777777" w:rsidTr="00890780">
        <w:tblPrEx>
          <w:tblW w:w="0" w:type="auto"/>
          <w:tblInd w:w="1705" w:type="dxa"/>
          <w:tblLook w:val="04A0"/>
        </w:tblPrEx>
        <w:tc>
          <w:tcPr>
            <w:tcW w:w="4860" w:type="dxa"/>
          </w:tcPr>
          <w:p w:rsidR="00522215" w:rsidRPr="002F7753" w:rsidP="00890780" w14:paraId="725132E4" w14:textId="77777777">
            <w:pPr>
              <w:tabs>
                <w:tab w:val="left" w:pos="360"/>
              </w:tabs>
            </w:pPr>
            <w:r w:rsidRPr="002F7753">
              <w:rPr>
                <w:bCs/>
              </w:rPr>
              <w:t>I.</w:t>
            </w:r>
            <w:r w:rsidRPr="002F7753">
              <w:t xml:space="preserve"> Post-Crash ADS Behavior</w:t>
            </w:r>
          </w:p>
        </w:tc>
        <w:tc>
          <w:tcPr>
            <w:tcW w:w="1800" w:type="dxa"/>
          </w:tcPr>
          <w:p w:rsidR="00522215" w:rsidP="00890780" w14:paraId="301A5A80" w14:textId="77777777">
            <w:pPr>
              <w:tabs>
                <w:tab w:val="left" w:pos="360"/>
              </w:tabs>
              <w:jc w:val="center"/>
            </w:pPr>
            <w:r w:rsidRPr="007E14D6">
              <w:rPr>
                <w:color w:val="333333"/>
              </w:rPr>
              <w:t>2</w:t>
            </w:r>
            <w:r>
              <w:rPr>
                <w:color w:val="333333"/>
              </w:rPr>
              <w:t>5</w:t>
            </w:r>
          </w:p>
        </w:tc>
      </w:tr>
      <w:tr w14:paraId="46ED1BE8" w14:textId="77777777" w:rsidTr="00890780">
        <w:tblPrEx>
          <w:tblW w:w="0" w:type="auto"/>
          <w:tblInd w:w="1705" w:type="dxa"/>
          <w:tblLook w:val="04A0"/>
        </w:tblPrEx>
        <w:tc>
          <w:tcPr>
            <w:tcW w:w="4860" w:type="dxa"/>
          </w:tcPr>
          <w:p w:rsidR="00522215" w:rsidRPr="002F7753" w:rsidP="00890780" w14:paraId="16546A2D" w14:textId="77777777">
            <w:r w:rsidRPr="002F7753">
              <w:t xml:space="preserve">J. </w:t>
            </w:r>
            <w:r w:rsidRPr="00581312">
              <w:t>Data Recording</w:t>
            </w:r>
          </w:p>
        </w:tc>
        <w:tc>
          <w:tcPr>
            <w:tcW w:w="1800" w:type="dxa"/>
            <w:vAlign w:val="center"/>
          </w:tcPr>
          <w:p w:rsidR="00522215" w:rsidP="00890780" w14:paraId="3F7A03B5" w14:textId="77777777">
            <w:pPr>
              <w:tabs>
                <w:tab w:val="left" w:pos="360"/>
              </w:tabs>
              <w:jc w:val="center"/>
            </w:pPr>
            <w:r>
              <w:rPr>
                <w:color w:val="333333"/>
              </w:rPr>
              <w:t>9</w:t>
            </w:r>
            <w:r w:rsidRPr="007E14D6">
              <w:rPr>
                <w:color w:val="333333"/>
              </w:rPr>
              <w:t>0</w:t>
            </w:r>
          </w:p>
        </w:tc>
      </w:tr>
      <w:tr w14:paraId="2D109D30" w14:textId="77777777" w:rsidTr="00890780">
        <w:tblPrEx>
          <w:tblW w:w="0" w:type="auto"/>
          <w:tblInd w:w="1705" w:type="dxa"/>
          <w:tblLook w:val="04A0"/>
        </w:tblPrEx>
        <w:tc>
          <w:tcPr>
            <w:tcW w:w="4860" w:type="dxa"/>
          </w:tcPr>
          <w:p w:rsidR="00522215" w:rsidRPr="00A914F1" w:rsidP="00890780" w14:paraId="1154755E" w14:textId="77777777">
            <w:r w:rsidRPr="002F7753">
              <w:t>K. Consumer Education and Training</w:t>
            </w:r>
          </w:p>
        </w:tc>
        <w:tc>
          <w:tcPr>
            <w:tcW w:w="1800" w:type="dxa"/>
          </w:tcPr>
          <w:p w:rsidR="00522215" w:rsidP="00890780" w14:paraId="702741B5" w14:textId="77777777">
            <w:pPr>
              <w:tabs>
                <w:tab w:val="left" w:pos="360"/>
              </w:tabs>
              <w:jc w:val="center"/>
            </w:pPr>
            <w:r>
              <w:t>45</w:t>
            </w:r>
          </w:p>
        </w:tc>
      </w:tr>
      <w:tr w14:paraId="7CF0E873" w14:textId="77777777" w:rsidTr="00890780">
        <w:tblPrEx>
          <w:tblW w:w="0" w:type="auto"/>
          <w:tblInd w:w="1705" w:type="dxa"/>
          <w:tblLook w:val="04A0"/>
        </w:tblPrEx>
        <w:tc>
          <w:tcPr>
            <w:tcW w:w="4860" w:type="dxa"/>
            <w:tcBorders>
              <w:bottom w:val="single" w:sz="12" w:space="0" w:color="auto"/>
            </w:tcBorders>
          </w:tcPr>
          <w:p w:rsidR="00522215" w:rsidRPr="00A914F1" w:rsidP="00890780" w14:paraId="716B0B95" w14:textId="77777777">
            <w:r w:rsidRPr="002F7753">
              <w:t>L. Federal, State, and Local Laws</w:t>
            </w:r>
          </w:p>
        </w:tc>
        <w:tc>
          <w:tcPr>
            <w:tcW w:w="1800" w:type="dxa"/>
            <w:tcBorders>
              <w:bottom w:val="single" w:sz="12" w:space="0" w:color="auto"/>
            </w:tcBorders>
          </w:tcPr>
          <w:p w:rsidR="00522215" w:rsidP="00890780" w14:paraId="32A84878" w14:textId="77777777">
            <w:pPr>
              <w:tabs>
                <w:tab w:val="left" w:pos="360"/>
              </w:tabs>
              <w:jc w:val="center"/>
            </w:pPr>
            <w:r>
              <w:t>85</w:t>
            </w:r>
          </w:p>
        </w:tc>
      </w:tr>
      <w:tr w14:paraId="07EBEDBD" w14:textId="77777777" w:rsidTr="00890780">
        <w:tblPrEx>
          <w:tblW w:w="0" w:type="auto"/>
          <w:tblInd w:w="1705" w:type="dxa"/>
          <w:tblLook w:val="04A0"/>
        </w:tblPrEx>
        <w:tc>
          <w:tcPr>
            <w:tcW w:w="4860" w:type="dxa"/>
            <w:tcBorders>
              <w:top w:val="single" w:sz="12" w:space="0" w:color="auto"/>
            </w:tcBorders>
          </w:tcPr>
          <w:p w:rsidR="00522215" w:rsidRPr="002F7753" w:rsidP="00890780" w14:paraId="41128135" w14:textId="77777777">
            <w:pPr>
              <w:rPr>
                <w:b/>
              </w:rPr>
            </w:pPr>
            <w:r w:rsidRPr="002F7753">
              <w:rPr>
                <w:b/>
              </w:rPr>
              <w:t>Total Burden Hours Per ADS</w:t>
            </w:r>
          </w:p>
        </w:tc>
        <w:tc>
          <w:tcPr>
            <w:tcW w:w="1800" w:type="dxa"/>
            <w:tcBorders>
              <w:top w:val="single" w:sz="12" w:space="0" w:color="auto"/>
            </w:tcBorders>
          </w:tcPr>
          <w:p w:rsidR="00522215" w:rsidRPr="00CB30BD" w:rsidP="00890780" w14:paraId="7DF3AAC9" w14:textId="77777777">
            <w:pPr>
              <w:tabs>
                <w:tab w:val="left" w:pos="360"/>
              </w:tabs>
              <w:jc w:val="center"/>
              <w:rPr>
                <w:b/>
                <w:bCs/>
              </w:rPr>
            </w:pPr>
            <w:r w:rsidRPr="00CB30BD">
              <w:rPr>
                <w:b/>
                <w:bCs/>
              </w:rPr>
              <w:t>600</w:t>
            </w:r>
          </w:p>
        </w:tc>
      </w:tr>
    </w:tbl>
    <w:p w:rsidR="00522215" w:rsidP="00522215" w14:paraId="010C23EF" w14:textId="77777777">
      <w:pPr>
        <w:tabs>
          <w:tab w:val="left" w:pos="360"/>
        </w:tabs>
      </w:pPr>
    </w:p>
    <w:p w:rsidR="00522215" w:rsidP="00522215" w14:paraId="49CB4B1C" w14:textId="77777777">
      <w:pPr>
        <w:tabs>
          <w:tab w:val="left" w:pos="0"/>
        </w:tabs>
      </w:pPr>
      <w:r>
        <w:tab/>
      </w:r>
      <w:r>
        <w:tab/>
      </w:r>
      <w:r>
        <w:tab/>
        <w:t>Table 3. Calculation of Annual Burden Hours</w:t>
      </w:r>
    </w:p>
    <w:tbl>
      <w:tblPr>
        <w:tblStyle w:val="GridTable41"/>
        <w:tblW w:w="0" w:type="auto"/>
        <w:tblInd w:w="1705" w:type="dxa"/>
        <w:tblLook w:val="0480"/>
      </w:tblPr>
      <w:tblGrid>
        <w:gridCol w:w="4860"/>
        <w:gridCol w:w="1800"/>
      </w:tblGrid>
      <w:tr w14:paraId="438E731A" w14:textId="77777777" w:rsidTr="00890780">
        <w:tblPrEx>
          <w:tblW w:w="0" w:type="auto"/>
          <w:tblInd w:w="1705" w:type="dxa"/>
          <w:tblLook w:val="0480"/>
        </w:tblPrEx>
        <w:tc>
          <w:tcPr>
            <w:tcW w:w="4860" w:type="dxa"/>
            <w:tcBorders>
              <w:bottom w:val="single" w:sz="12" w:space="0" w:color="auto"/>
            </w:tcBorders>
          </w:tcPr>
          <w:p w:rsidR="00522215" w:rsidRPr="00A135A0" w:rsidP="00890780" w14:paraId="170D4F5C" w14:textId="77777777">
            <w:pPr>
              <w:rPr>
                <w:rFonts w:cs="Times New Roman"/>
                <w:b w:val="0"/>
                <w:color w:val="333333"/>
              </w:rPr>
            </w:pPr>
            <w:r w:rsidRPr="00A135A0">
              <w:rPr>
                <w:rFonts w:cs="Times New Roman"/>
                <w:b w:val="0"/>
              </w:rPr>
              <w:t xml:space="preserve">Estimated </w:t>
            </w:r>
            <w:r>
              <w:rPr>
                <w:rFonts w:cs="Times New Roman"/>
                <w:b w:val="0"/>
              </w:rPr>
              <w:t xml:space="preserve">Annual </w:t>
            </w:r>
            <w:r w:rsidRPr="00A135A0">
              <w:rPr>
                <w:rFonts w:cs="Times New Roman"/>
                <w:b w:val="0"/>
              </w:rPr>
              <w:t>Respondents</w:t>
            </w:r>
          </w:p>
        </w:tc>
        <w:tc>
          <w:tcPr>
            <w:tcW w:w="1800" w:type="dxa"/>
            <w:tcBorders>
              <w:bottom w:val="single" w:sz="12" w:space="0" w:color="auto"/>
            </w:tcBorders>
            <w:vAlign w:val="center"/>
          </w:tcPr>
          <w:p w:rsidR="00522215" w:rsidRPr="00A135A0" w:rsidP="00890780" w14:paraId="74AA47B9" w14:textId="77777777">
            <w:pPr>
              <w:jc w:val="center"/>
              <w:rPr>
                <w:rFonts w:cs="Times New Roman"/>
                <w:color w:val="333333"/>
              </w:rPr>
            </w:pPr>
            <w:r>
              <w:rPr>
                <w:rFonts w:cs="Times New Roman"/>
              </w:rPr>
              <w:t>4</w:t>
            </w:r>
          </w:p>
        </w:tc>
      </w:tr>
      <w:tr w14:paraId="14167AD1" w14:textId="77777777" w:rsidTr="00890780">
        <w:tblPrEx>
          <w:tblW w:w="0" w:type="auto"/>
          <w:tblInd w:w="1705" w:type="dxa"/>
          <w:tblLook w:val="0480"/>
        </w:tblPrEx>
        <w:tc>
          <w:tcPr>
            <w:tcW w:w="4860" w:type="dxa"/>
          </w:tcPr>
          <w:p w:rsidR="00522215" w:rsidRPr="00A135A0" w:rsidP="00890780" w14:paraId="4AE27FB1" w14:textId="77777777">
            <w:pPr>
              <w:rPr>
                <w:rFonts w:cs="Times New Roman"/>
                <w:b w:val="0"/>
                <w:color w:val="333333"/>
              </w:rPr>
            </w:pPr>
            <w:r w:rsidRPr="00A135A0">
              <w:rPr>
                <w:rFonts w:cs="Times New Roman"/>
                <w:b w:val="0"/>
              </w:rPr>
              <w:t xml:space="preserve">Estimated Burden </w:t>
            </w:r>
            <w:r>
              <w:rPr>
                <w:rFonts w:cs="Times New Roman"/>
                <w:b w:val="0"/>
              </w:rPr>
              <w:t xml:space="preserve">Hours </w:t>
            </w:r>
            <w:r w:rsidRPr="00A135A0">
              <w:rPr>
                <w:rFonts w:cs="Times New Roman"/>
                <w:b w:val="0"/>
              </w:rPr>
              <w:t xml:space="preserve">for Voluntary Assessment </w:t>
            </w:r>
            <w:r>
              <w:rPr>
                <w:rFonts w:cs="Times New Roman"/>
                <w:b w:val="0"/>
              </w:rPr>
              <w:t>Dissemination</w:t>
            </w:r>
          </w:p>
        </w:tc>
        <w:tc>
          <w:tcPr>
            <w:tcW w:w="1800" w:type="dxa"/>
            <w:vAlign w:val="center"/>
          </w:tcPr>
          <w:p w:rsidR="00522215" w:rsidRPr="00A135A0" w:rsidP="00890780" w14:paraId="6E497B92" w14:textId="77777777">
            <w:pPr>
              <w:jc w:val="center"/>
              <w:rPr>
                <w:rFonts w:cs="Times New Roman"/>
                <w:color w:val="333333"/>
              </w:rPr>
            </w:pPr>
            <w:r>
              <w:rPr>
                <w:rFonts w:cs="Times New Roman"/>
              </w:rPr>
              <w:t>60</w:t>
            </w:r>
            <w:r w:rsidRPr="00A135A0">
              <w:rPr>
                <w:rFonts w:cs="Times New Roman"/>
              </w:rPr>
              <w:t>0</w:t>
            </w:r>
            <w:r>
              <w:rPr>
                <w:rFonts w:cs="Times New Roman"/>
              </w:rPr>
              <w:t xml:space="preserve"> hours</w:t>
            </w:r>
          </w:p>
        </w:tc>
      </w:tr>
      <w:tr w14:paraId="656D4CB5" w14:textId="77777777" w:rsidTr="00890780">
        <w:tblPrEx>
          <w:tblW w:w="0" w:type="auto"/>
          <w:tblInd w:w="1705" w:type="dxa"/>
          <w:tblLook w:val="0480"/>
        </w:tblPrEx>
        <w:tc>
          <w:tcPr>
            <w:tcW w:w="4860" w:type="dxa"/>
            <w:tcBorders>
              <w:top w:val="single" w:sz="12" w:space="0" w:color="auto"/>
            </w:tcBorders>
          </w:tcPr>
          <w:p w:rsidR="00522215" w:rsidRPr="002F7753" w:rsidP="00890780" w14:paraId="3D725142" w14:textId="77777777">
            <w:pPr>
              <w:rPr>
                <w:rFonts w:cs="Times New Roman"/>
              </w:rPr>
            </w:pPr>
            <w:r w:rsidRPr="002F7753">
              <w:rPr>
                <w:rFonts w:cs="Times New Roman"/>
              </w:rPr>
              <w:t>Total Estimated Burden Hours for Industry per Year</w:t>
            </w:r>
          </w:p>
        </w:tc>
        <w:tc>
          <w:tcPr>
            <w:tcW w:w="1800" w:type="dxa"/>
            <w:tcBorders>
              <w:top w:val="single" w:sz="12" w:space="0" w:color="auto"/>
            </w:tcBorders>
            <w:vAlign w:val="center"/>
          </w:tcPr>
          <w:p w:rsidR="00522215" w:rsidRPr="002F7753" w:rsidP="00890780" w14:paraId="65A426B1" w14:textId="77777777">
            <w:pPr>
              <w:jc w:val="center"/>
              <w:rPr>
                <w:rFonts w:cs="Times New Roman"/>
                <w:b/>
              </w:rPr>
            </w:pPr>
            <w:r w:rsidRPr="002F7753">
              <w:rPr>
                <w:rFonts w:cs="Times New Roman"/>
                <w:b/>
              </w:rPr>
              <w:t>2,</w:t>
            </w:r>
            <w:r>
              <w:rPr>
                <w:rFonts w:cs="Times New Roman"/>
                <w:b/>
              </w:rPr>
              <w:t>4</w:t>
            </w:r>
            <w:r w:rsidRPr="002F7753">
              <w:rPr>
                <w:rFonts w:cs="Times New Roman"/>
                <w:b/>
              </w:rPr>
              <w:t>00 hours</w:t>
            </w:r>
          </w:p>
        </w:tc>
      </w:tr>
    </w:tbl>
    <w:p w:rsidR="00522215" w:rsidP="00522215" w14:paraId="2D24B7FD" w14:textId="77777777">
      <w:pPr>
        <w:autoSpaceDE w:val="0"/>
        <w:autoSpaceDN w:val="0"/>
        <w:adjustRightInd w:val="0"/>
        <w:spacing w:after="0" w:line="480" w:lineRule="auto"/>
        <w:rPr>
          <w:rFonts w:eastAsia="Times New Roman" w:cs="Times New Roman"/>
          <w:bCs/>
          <w:iCs/>
          <w:szCs w:val="24"/>
        </w:rPr>
      </w:pPr>
    </w:p>
    <w:p w:rsidR="00522215" w:rsidRPr="009D3F6A" w:rsidP="00522215" w14:paraId="74B31E87" w14:textId="3A0A577F">
      <w:pPr>
        <w:autoSpaceDE w:val="0"/>
        <w:autoSpaceDN w:val="0"/>
        <w:adjustRightInd w:val="0"/>
        <w:spacing w:after="0" w:line="480" w:lineRule="auto"/>
        <w:rPr>
          <w:rFonts w:eastAsia="Times New Roman" w:cs="Times New Roman"/>
          <w:bCs/>
          <w:iCs/>
          <w:szCs w:val="24"/>
        </w:rPr>
      </w:pPr>
      <w:r>
        <w:rPr>
          <w:rFonts w:eastAsia="Times New Roman" w:cs="Times New Roman"/>
          <w:bCs/>
          <w:iCs/>
          <w:szCs w:val="24"/>
        </w:rPr>
        <w:tab/>
        <w:t xml:space="preserve">The change reflected in this </w:t>
      </w:r>
      <w:r w:rsidR="00B15BC1">
        <w:rPr>
          <w:rFonts w:eastAsia="Times New Roman" w:cs="Times New Roman"/>
          <w:bCs/>
          <w:iCs/>
          <w:szCs w:val="24"/>
        </w:rPr>
        <w:t>revision</w:t>
      </w:r>
      <w:r>
        <w:rPr>
          <w:rFonts w:eastAsia="Times New Roman" w:cs="Times New Roman"/>
          <w:bCs/>
          <w:iCs/>
          <w:szCs w:val="24"/>
        </w:rPr>
        <w:t xml:space="preserve"> is a reduction of 9,600 burden hours annually.</w:t>
      </w:r>
    </w:p>
    <w:p w:rsidR="00522215" w:rsidP="00522215" w14:paraId="16A71509" w14:textId="28CF17CC">
      <w:pPr>
        <w:autoSpaceDE w:val="0"/>
        <w:autoSpaceDN w:val="0"/>
        <w:adjustRightInd w:val="0"/>
        <w:spacing w:after="0" w:line="480" w:lineRule="auto"/>
        <w:rPr>
          <w:rFonts w:eastAsia="Times New Roman" w:cs="Times New Roman"/>
          <w:bCs/>
          <w:iCs/>
          <w:color w:val="000000"/>
          <w:szCs w:val="24"/>
        </w:rPr>
      </w:pPr>
      <w:r w:rsidRPr="009D3F6A">
        <w:rPr>
          <w:rFonts w:eastAsia="Times New Roman" w:cs="Times New Roman"/>
          <w:bCs/>
          <w:i/>
          <w:color w:val="000000"/>
          <w:szCs w:val="24"/>
        </w:rPr>
        <w:t xml:space="preserve">Estimated Total Annual Burden Cost: </w:t>
      </w:r>
      <w:r w:rsidRPr="009D3F6A">
        <w:rPr>
          <w:rFonts w:eastAsia="Times New Roman" w:cs="Times New Roman"/>
          <w:bCs/>
          <w:iCs/>
          <w:color w:val="000000"/>
          <w:szCs w:val="24"/>
        </w:rPr>
        <w:t>$282,384</w:t>
      </w:r>
      <w:r w:rsidR="00EA7F0C">
        <w:rPr>
          <w:rFonts w:eastAsia="Times New Roman" w:cs="Times New Roman"/>
          <w:bCs/>
          <w:iCs/>
          <w:color w:val="000000"/>
          <w:szCs w:val="24"/>
        </w:rPr>
        <w:t xml:space="preserve"> labor costs; no additional burden cost.</w:t>
      </w:r>
    </w:p>
    <w:p w:rsidR="00522215" w:rsidP="00522215" w14:paraId="22DEB4A4" w14:textId="77777777">
      <w:pPr>
        <w:spacing w:line="480" w:lineRule="auto"/>
        <w:ind w:firstLine="720"/>
      </w:pPr>
      <w:r w:rsidRPr="00CB6397">
        <w:rPr>
          <w:rFonts w:eastAsia="Calibri"/>
        </w:rPr>
        <w:t xml:space="preserve">NHTSA estimates the hourly cost associated with </w:t>
      </w:r>
      <w:r>
        <w:rPr>
          <w:rFonts w:eastAsia="Calibri"/>
        </w:rPr>
        <w:t xml:space="preserve">preparing VSSAs </w:t>
      </w:r>
      <w:r w:rsidRPr="00CB6397">
        <w:rPr>
          <w:rFonts w:eastAsia="Calibri"/>
        </w:rPr>
        <w:t>to be $</w:t>
      </w:r>
      <w:r>
        <w:rPr>
          <w:rFonts w:eastAsia="Calibri"/>
        </w:rPr>
        <w:t>117</w:t>
      </w:r>
      <w:r w:rsidRPr="00CB6397">
        <w:rPr>
          <w:rFonts w:eastAsia="Calibri"/>
        </w:rPr>
        <w:t>.</w:t>
      </w:r>
      <w:r>
        <w:rPr>
          <w:rFonts w:eastAsia="Calibri"/>
        </w:rPr>
        <w:t>6</w:t>
      </w:r>
      <w:r w:rsidRPr="00CB6397">
        <w:rPr>
          <w:rFonts w:eastAsia="Calibri"/>
        </w:rPr>
        <w:t>6</w:t>
      </w:r>
      <w:r>
        <w:rPr>
          <w:rFonts w:eastAsia="Calibri"/>
          <w:vertAlign w:val="superscript"/>
        </w:rPr>
        <w:footnoteReference w:id="4"/>
      </w:r>
      <w:r w:rsidRPr="00CB6397">
        <w:rPr>
          <w:rFonts w:eastAsia="Calibri"/>
        </w:rPr>
        <w:t xml:space="preserve"> per hour using the Bureau of Labor Statistics’ mean hourly wage estimate for architectural and engineering managers in the motor vehicle manufacturing industry (Standard Occupational Classification # 11-9041).</w:t>
      </w:r>
      <w:r>
        <w:rPr>
          <w:rFonts w:eastAsia="Calibri"/>
        </w:rPr>
        <w:t xml:space="preserve">  Therefore,</w:t>
      </w:r>
      <w:r>
        <w:t xml:space="preserve"> the estimated annual burden to each respondent is $70,596 (600 hours × $117.66).  Therefore, the annual estimated labor costs to all respondents to this collection is $282,384.  This reflects a decrease of $885,936 for labor costs annually.</w:t>
      </w:r>
    </w:p>
    <w:p w:rsidR="00790816" w:rsidRPr="008550E0" w:rsidP="00790816" w14:paraId="7850ABB7" w14:textId="77777777">
      <w:pPr>
        <w:autoSpaceDE w:val="0"/>
        <w:autoSpaceDN w:val="0"/>
        <w:adjustRightInd w:val="0"/>
        <w:spacing w:after="0" w:line="480" w:lineRule="auto"/>
        <w:rPr>
          <w:rFonts w:eastAsia="Times New Roman" w:cs="Times New Roman"/>
          <w:color w:val="000000"/>
          <w:szCs w:val="24"/>
        </w:rPr>
      </w:pPr>
      <w:r w:rsidRPr="008550E0">
        <w:rPr>
          <w:rFonts w:eastAsia="Times New Roman" w:cs="Times New Roman"/>
          <w:b/>
          <w:color w:val="000000"/>
          <w:szCs w:val="24"/>
        </w:rPr>
        <w:t>PUBLIC COMMENTS INVITED</w:t>
      </w:r>
      <w:r w:rsidRPr="008550E0">
        <w:rPr>
          <w:rFonts w:eastAsia="Times New Roman" w:cs="Times New Roman"/>
          <w:color w:val="000000"/>
          <w:szCs w:val="24"/>
        </w:rPr>
        <w:t xml:space="preserve">: </w:t>
      </w:r>
      <w:r>
        <w:rPr>
          <w:rFonts w:eastAsia="Times New Roman" w:cs="Times New Roman"/>
          <w:color w:val="000000"/>
          <w:szCs w:val="24"/>
        </w:rPr>
        <w:t xml:space="preserve"> </w:t>
      </w:r>
      <w:r w:rsidRPr="008550E0">
        <w:rPr>
          <w:rFonts w:eastAsia="Times New Roman" w:cs="Times New Roman"/>
          <w:color w:val="000000"/>
          <w:szCs w:val="24"/>
        </w:rPr>
        <w:t xml:space="preserve">You are asked to comment on any aspects of this information collection, including </w:t>
      </w:r>
      <w:bookmarkStart w:id="2" w:name="_Hlk45018785"/>
      <w:r w:rsidRPr="008550E0">
        <w:rPr>
          <w:rFonts w:eastAsia="Times New Roman" w:cs="Times New Roman"/>
          <w:color w:val="000000"/>
          <w:szCs w:val="24"/>
        </w:rPr>
        <w:t>(a) whether the proposed collection of information is necessary for the proper performance of</w:t>
      </w:r>
      <w:r>
        <w:rPr>
          <w:rFonts w:eastAsia="Times New Roman" w:cs="Times New Roman"/>
          <w:color w:val="000000"/>
          <w:szCs w:val="24"/>
        </w:rPr>
        <w:t xml:space="preserve"> the functions of the agency</w:t>
      </w:r>
      <w:r w:rsidRPr="008550E0">
        <w:rPr>
          <w:rFonts w:eastAsia="Times New Roman" w:cs="Times New Roman"/>
          <w:color w:val="000000"/>
          <w:szCs w:val="24"/>
        </w:rPr>
        <w:t>, including whether the information will have practical utility; (b</w:t>
      </w:r>
      <w:r>
        <w:rPr>
          <w:rFonts w:eastAsia="Times New Roman" w:cs="Times New Roman"/>
          <w:color w:val="000000"/>
          <w:szCs w:val="24"/>
        </w:rPr>
        <w:t>) the accuracy of the agency</w:t>
      </w:r>
      <w:r w:rsidRPr="008550E0">
        <w:rPr>
          <w:rFonts w:eastAsia="Times New Roman" w:cs="Times New Roman"/>
          <w:color w:val="000000"/>
          <w:szCs w:val="24"/>
        </w:rPr>
        <w:t>’s estimate of the burden of the proposed collection</w:t>
      </w:r>
      <w:r w:rsidRPr="0039208F">
        <w:t xml:space="preserve"> </w:t>
      </w:r>
      <w:r w:rsidRPr="0039208F">
        <w:rPr>
          <w:rFonts w:eastAsia="Times New Roman" w:cs="Times New Roman"/>
          <w:color w:val="000000"/>
          <w:szCs w:val="24"/>
        </w:rPr>
        <w:t>of information, including the validity of the methodology and assumptions used</w:t>
      </w:r>
      <w:r w:rsidRPr="008550E0">
        <w:rPr>
          <w:rFonts w:eastAsia="Times New Roman" w:cs="Times New Roman"/>
          <w:color w:val="000000"/>
          <w:szCs w:val="24"/>
        </w:rPr>
        <w:t xml:space="preserve">; (c) ways to enhance the quality, utility and clarity of the information to be collected; and (d) ways to minimize the burden of the collection of information on respondents, including the use of </w:t>
      </w:r>
      <w:r>
        <w:rPr>
          <w:rFonts w:eastAsia="Times New Roman" w:cs="Times New Roman"/>
          <w:color w:val="000000"/>
          <w:szCs w:val="24"/>
        </w:rPr>
        <w:t xml:space="preserve">appropriate automated, electronic, mechanical, or other technological </w:t>
      </w:r>
      <w:r w:rsidRPr="008550E0">
        <w:rPr>
          <w:rFonts w:eastAsia="Times New Roman" w:cs="Times New Roman"/>
          <w:color w:val="000000"/>
          <w:szCs w:val="24"/>
        </w:rPr>
        <w:t>collection techniques or other forms of information technology</w:t>
      </w:r>
      <w:r>
        <w:rPr>
          <w:rFonts w:eastAsia="Times New Roman" w:cs="Times New Roman"/>
          <w:color w:val="000000"/>
          <w:szCs w:val="24"/>
        </w:rPr>
        <w:t>, e.g., permitting electronic submission of responses</w:t>
      </w:r>
      <w:r w:rsidRPr="008550E0">
        <w:rPr>
          <w:rFonts w:eastAsia="Times New Roman" w:cs="Times New Roman"/>
          <w:color w:val="000000"/>
          <w:szCs w:val="24"/>
        </w:rPr>
        <w:t>.</w:t>
      </w:r>
      <w:bookmarkEnd w:id="2"/>
      <w:r w:rsidRPr="008550E0">
        <w:rPr>
          <w:rFonts w:eastAsia="Times New Roman" w:cs="Times New Roman"/>
          <w:color w:val="000000"/>
          <w:szCs w:val="24"/>
        </w:rPr>
        <w:t xml:space="preserve"> </w:t>
      </w:r>
      <w:bookmarkEnd w:id="1"/>
      <w:r w:rsidRPr="008550E0">
        <w:rPr>
          <w:rFonts w:eastAsia="Times New Roman" w:cs="Times New Roman"/>
          <w:color w:val="000000"/>
          <w:szCs w:val="24"/>
        </w:rPr>
        <w:t xml:space="preserve"> </w:t>
      </w:r>
    </w:p>
    <w:p w:rsidR="00790816" w:rsidRPr="008550E0" w:rsidP="00790816" w14:paraId="49D87A99" w14:textId="77777777">
      <w:pPr>
        <w:spacing w:after="0" w:line="240" w:lineRule="auto"/>
        <w:rPr>
          <w:rFonts w:eastAsia="Times New Roman" w:cs="Times New Roman"/>
          <w:b/>
          <w:szCs w:val="24"/>
        </w:rPr>
      </w:pPr>
    </w:p>
    <w:p w:rsidR="00790816" w:rsidRPr="008550E0" w:rsidP="00790816" w14:paraId="10E427CF" w14:textId="6CEB0DCE">
      <w:pPr>
        <w:widowControl w:val="0"/>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480" w:lineRule="auto"/>
        <w:rPr>
          <w:rFonts w:eastAsia="Times New Roman" w:cs="Times New Roman"/>
          <w:szCs w:val="24"/>
        </w:rPr>
      </w:pPr>
      <w:r w:rsidRPr="008550E0">
        <w:rPr>
          <w:rFonts w:eastAsia="Times New Roman" w:cs="Times New Roman"/>
          <w:b/>
          <w:szCs w:val="24"/>
        </w:rPr>
        <w:t>AUTHORITY:</w:t>
      </w:r>
      <w:r w:rsidRPr="008550E0">
        <w:rPr>
          <w:rFonts w:eastAsia="Times New Roman" w:cs="Times New Roman"/>
          <w:szCs w:val="24"/>
        </w:rPr>
        <w:t xml:space="preserve">  The Paperwork Reduction Act of 1995; 44 U.S.C. Chapter 3</w:t>
      </w:r>
      <w:r>
        <w:rPr>
          <w:rFonts w:eastAsia="Times New Roman" w:cs="Times New Roman"/>
          <w:szCs w:val="24"/>
        </w:rPr>
        <w:t>5, as amended; 49 CFR 1.49</w:t>
      </w:r>
      <w:r w:rsidRPr="008550E0">
        <w:rPr>
          <w:rFonts w:eastAsia="Times New Roman" w:cs="Times New Roman"/>
          <w:szCs w:val="24"/>
        </w:rPr>
        <w:t>; and DOT Order 1351.29</w:t>
      </w:r>
      <w:r w:rsidR="006A7E20">
        <w:rPr>
          <w:rFonts w:eastAsia="Times New Roman" w:cs="Times New Roman"/>
          <w:szCs w:val="24"/>
        </w:rPr>
        <w:t>A</w:t>
      </w:r>
      <w:r w:rsidRPr="008550E0">
        <w:rPr>
          <w:rFonts w:eastAsia="Times New Roman" w:cs="Times New Roman"/>
          <w:szCs w:val="24"/>
        </w:rPr>
        <w:t>.</w:t>
      </w:r>
    </w:p>
    <w:p w:rsidR="00790816" w:rsidRPr="008550E0" w:rsidP="00790816" w14:paraId="1BD7FD14" w14:textId="77777777">
      <w:pPr>
        <w:widowControl w:val="0"/>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eastAsia="Times New Roman" w:cs="Times New Roman"/>
          <w:szCs w:val="24"/>
        </w:rPr>
      </w:pPr>
    </w:p>
    <w:p w:rsidR="00790816" w:rsidRPr="008550E0" w:rsidP="00790816" w14:paraId="4814A9AE" w14:textId="77777777">
      <w:pPr>
        <w:widowControl w:val="0"/>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eastAsia="Times New Roman" w:cs="Times New Roman"/>
          <w:szCs w:val="24"/>
        </w:rPr>
      </w:pPr>
    </w:p>
    <w:p w:rsidR="00790816" w:rsidRPr="008550E0" w:rsidP="00790816" w14:paraId="5BBE41A4" w14:textId="77777777">
      <w:pPr>
        <w:widowControl w:val="0"/>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eastAsia="Times New Roman" w:cs="Times New Roman"/>
          <w:szCs w:val="24"/>
        </w:rPr>
      </w:pPr>
      <w:r w:rsidRPr="00997E75">
        <w:rPr>
          <w:rFonts w:eastAsia="Times New Roman" w:cs="Times New Roman"/>
          <w:szCs w:val="24"/>
        </w:rPr>
        <w:t>Issued on [INSERT DATE]</w:t>
      </w:r>
    </w:p>
    <w:p w:rsidR="00790816" w:rsidRPr="008550E0" w:rsidP="00790816" w14:paraId="2CE90AB8" w14:textId="77777777">
      <w:pPr>
        <w:widowControl w:val="0"/>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eastAsia="Times New Roman" w:cs="Times New Roman"/>
          <w:szCs w:val="24"/>
        </w:rPr>
      </w:pPr>
    </w:p>
    <w:p w:rsidR="00790816" w:rsidRPr="008550E0" w:rsidP="00790816" w14:paraId="034CFC08" w14:textId="77777777">
      <w:pPr>
        <w:widowControl w:val="0"/>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eastAsia="Times New Roman" w:cs="Times New Roman"/>
          <w:szCs w:val="24"/>
        </w:rPr>
      </w:pPr>
    </w:p>
    <w:p w:rsidR="00790816" w:rsidRPr="008550E0" w:rsidP="00790816" w14:paraId="3B6D6173" w14:textId="77777777">
      <w:pPr>
        <w:widowControl w:val="0"/>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eastAsia="Times New Roman" w:cs="Times New Roman"/>
          <w:szCs w:val="24"/>
        </w:rPr>
      </w:pPr>
    </w:p>
    <w:p w:rsidR="00790816" w:rsidRPr="008550E0" w:rsidP="00790816" w14:paraId="6E404880" w14:textId="77777777">
      <w:pPr>
        <w:widowControl w:val="0"/>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eastAsia="Times New Roman" w:cs="Times New Roman"/>
          <w:szCs w:val="24"/>
        </w:rPr>
      </w:pPr>
    </w:p>
    <w:p w:rsidR="00790816" w:rsidRPr="008550E0" w:rsidP="00790816" w14:paraId="332A5189" w14:textId="10869D86">
      <w:pPr>
        <w:widowControl w:val="0"/>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eastAsia="Times New Roman" w:cs="Times New Roman"/>
          <w:szCs w:val="24"/>
        </w:rPr>
      </w:pPr>
      <w:r w:rsidRPr="00242ECB">
        <w:rPr>
          <w:rFonts w:eastAsia="Times New Roman" w:cs="Times New Roman"/>
          <w:szCs w:val="24"/>
        </w:rPr>
        <w:t xml:space="preserve">___________________                               </w:t>
      </w:r>
    </w:p>
    <w:p w:rsidR="00E80A6A" w:rsidRPr="008550E0" w:rsidP="00E80A6A" w14:paraId="5F5F613F" w14:textId="1BAE566E">
      <w:pPr>
        <w:widowControl w:val="0"/>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eastAsia="Times New Roman" w:cs="Times New Roman"/>
          <w:b/>
          <w:bCs/>
          <w:szCs w:val="24"/>
        </w:rPr>
      </w:pPr>
      <w:r>
        <w:rPr>
          <w:rFonts w:eastAsia="Times New Roman" w:cs="Times New Roman"/>
          <w:b/>
          <w:szCs w:val="24"/>
        </w:rPr>
        <w:t>Cem Hatipoglu</w:t>
      </w:r>
    </w:p>
    <w:p w:rsidR="00790816" w:rsidRPr="00242ECB" w:rsidP="00E80A6A" w14:paraId="7986B222" w14:textId="11B6DB36">
      <w:pPr>
        <w:widowControl w:val="0"/>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eastAsia="Times New Roman" w:cs="Times New Roman"/>
          <w:szCs w:val="24"/>
        </w:rPr>
      </w:pPr>
      <w:r>
        <w:rPr>
          <w:rFonts w:eastAsia="Times New Roman" w:cs="Times New Roman"/>
          <w:i/>
          <w:szCs w:val="24"/>
        </w:rPr>
        <w:t xml:space="preserve">Associate Administrator, </w:t>
      </w:r>
      <w:r w:rsidR="00997E75">
        <w:rPr>
          <w:rFonts w:eastAsia="Times New Roman" w:cs="Times New Roman"/>
          <w:i/>
          <w:szCs w:val="24"/>
        </w:rPr>
        <w:t xml:space="preserve">Office of Vehicle Safety Research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85B4A" w:rsidP="00522215" w14:paraId="7A449EE0" w14:textId="77777777">
      <w:pPr>
        <w:spacing w:after="0" w:line="240" w:lineRule="auto"/>
      </w:pPr>
      <w:r>
        <w:separator/>
      </w:r>
    </w:p>
  </w:footnote>
  <w:footnote w:type="continuationSeparator" w:id="1">
    <w:p w:rsidR="00B85B4A" w:rsidP="00522215" w14:paraId="6FBAB344" w14:textId="77777777">
      <w:pPr>
        <w:spacing w:after="0" w:line="240" w:lineRule="auto"/>
      </w:pPr>
      <w:r>
        <w:continuationSeparator/>
      </w:r>
    </w:p>
  </w:footnote>
  <w:footnote w:type="continuationNotice" w:id="2">
    <w:p w:rsidR="00B85B4A" w14:paraId="015CA6E4" w14:textId="77777777">
      <w:pPr>
        <w:spacing w:after="0" w:line="240" w:lineRule="auto"/>
      </w:pPr>
    </w:p>
  </w:footnote>
  <w:footnote w:id="3">
    <w:p w:rsidR="006C129C" w14:paraId="5CBB0EF6" w14:textId="6697D09F">
      <w:pPr>
        <w:pStyle w:val="FootnoteText"/>
      </w:pPr>
      <w:r>
        <w:rPr>
          <w:rStyle w:val="FootnoteReference"/>
        </w:rPr>
        <w:footnoteRef/>
      </w:r>
      <w:r>
        <w:t xml:space="preserve"> </w:t>
      </w:r>
      <w:hyperlink r:id="rId1" w:history="1">
        <w:r w:rsidRPr="007E5685">
          <w:rPr>
            <w:rStyle w:val="Hyperlink"/>
          </w:rPr>
          <w:t>https://www.nhtsa.gov/ntsb-open-recommendations-nhtsa</w:t>
        </w:r>
      </w:hyperlink>
    </w:p>
  </w:footnote>
  <w:footnote w:id="4">
    <w:p w:rsidR="00522215" w:rsidP="00522215" w14:paraId="54C4BE29" w14:textId="77777777">
      <w:pPr>
        <w:pStyle w:val="FootnoteText"/>
      </w:pPr>
      <w:r w:rsidRPr="0028165E">
        <w:rPr>
          <w:rStyle w:val="FootnoteReference"/>
        </w:rPr>
        <w:footnoteRef/>
      </w:r>
      <w:r w:rsidRPr="0028165E">
        <w:t xml:space="preserve"> The hourly wage is estimated to be $</w:t>
      </w:r>
      <w:r>
        <w:t>82</w:t>
      </w:r>
      <w:r w:rsidRPr="0028165E">
        <w:t>.</w:t>
      </w:r>
      <w:r>
        <w:t>83</w:t>
      </w:r>
      <w:r w:rsidRPr="0028165E">
        <w:t xml:space="preserve"> per hour. National Industry-Specific Occupational Employment and Wage Estimates NAICS 336100 - Motor Vehicle Manufacturing, May 20</w:t>
      </w:r>
      <w:r>
        <w:t>23</w:t>
      </w:r>
      <w:r w:rsidRPr="0028165E">
        <w:t xml:space="preserve">, https://www.bls.gov/oes/current/naics4_336100.htm, last accessed </w:t>
      </w:r>
      <w:r>
        <w:t>October 9</w:t>
      </w:r>
      <w:r w:rsidRPr="0028165E">
        <w:t>, 202</w:t>
      </w:r>
      <w:r>
        <w:t>4</w:t>
      </w:r>
      <w:r w:rsidRPr="0028165E">
        <w:t>. The Bureau of Labor Statistics estimates that wages represent 70.2 percent of total compensation to private workers, on average. Therefore, NHTSA estimates the total hourly compensation cost to be $</w:t>
      </w:r>
      <w:r>
        <w:t>117.66</w:t>
      </w:r>
      <w:r w:rsidRPr="006E0E8D">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561AA66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226819BF"/>
    <w:multiLevelType w:val="hybridMultilevel"/>
    <w:tmpl w:val="9D400982"/>
    <w:lvl w:ilvl="0">
      <w:start w:val="1"/>
      <w:numFmt w:val="decimal"/>
      <w:pStyle w:val="Heading1"/>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46099060">
    <w:abstractNumId w:val="1"/>
  </w:num>
  <w:num w:numId="2" w16cid:durableId="451945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816"/>
    <w:rsid w:val="00013C56"/>
    <w:rsid w:val="000563FD"/>
    <w:rsid w:val="000D132D"/>
    <w:rsid w:val="0013005D"/>
    <w:rsid w:val="00132645"/>
    <w:rsid w:val="001342BD"/>
    <w:rsid w:val="00171A68"/>
    <w:rsid w:val="001757DB"/>
    <w:rsid w:val="00184DDE"/>
    <w:rsid w:val="001C0FF8"/>
    <w:rsid w:val="001D2D6B"/>
    <w:rsid w:val="00200B23"/>
    <w:rsid w:val="00206ADA"/>
    <w:rsid w:val="00224F86"/>
    <w:rsid w:val="00240C31"/>
    <w:rsid w:val="00242ECB"/>
    <w:rsid w:val="00270349"/>
    <w:rsid w:val="0028165E"/>
    <w:rsid w:val="002F4089"/>
    <w:rsid w:val="002F7753"/>
    <w:rsid w:val="0030208F"/>
    <w:rsid w:val="00332B8D"/>
    <w:rsid w:val="00341CBC"/>
    <w:rsid w:val="00355A7C"/>
    <w:rsid w:val="0039208F"/>
    <w:rsid w:val="00397797"/>
    <w:rsid w:val="003A1788"/>
    <w:rsid w:val="003A5C60"/>
    <w:rsid w:val="003B2703"/>
    <w:rsid w:val="003B3132"/>
    <w:rsid w:val="003E0C8C"/>
    <w:rsid w:val="00403961"/>
    <w:rsid w:val="004158F6"/>
    <w:rsid w:val="00425100"/>
    <w:rsid w:val="00442DC9"/>
    <w:rsid w:val="00475428"/>
    <w:rsid w:val="0048163C"/>
    <w:rsid w:val="00491A4F"/>
    <w:rsid w:val="004E086B"/>
    <w:rsid w:val="00522215"/>
    <w:rsid w:val="00526B46"/>
    <w:rsid w:val="00531F7A"/>
    <w:rsid w:val="0054001A"/>
    <w:rsid w:val="00551588"/>
    <w:rsid w:val="00581312"/>
    <w:rsid w:val="00590422"/>
    <w:rsid w:val="005A78BE"/>
    <w:rsid w:val="005B7798"/>
    <w:rsid w:val="0063397D"/>
    <w:rsid w:val="0064550B"/>
    <w:rsid w:val="00662283"/>
    <w:rsid w:val="006A7E20"/>
    <w:rsid w:val="006C129C"/>
    <w:rsid w:val="006D6E5E"/>
    <w:rsid w:val="006E0E8D"/>
    <w:rsid w:val="006F216C"/>
    <w:rsid w:val="00710E6B"/>
    <w:rsid w:val="007142AA"/>
    <w:rsid w:val="00735B15"/>
    <w:rsid w:val="0077757E"/>
    <w:rsid w:val="00790816"/>
    <w:rsid w:val="007B18EC"/>
    <w:rsid w:val="007E14D6"/>
    <w:rsid w:val="007E5685"/>
    <w:rsid w:val="00814F31"/>
    <w:rsid w:val="0082262D"/>
    <w:rsid w:val="00823D31"/>
    <w:rsid w:val="00825735"/>
    <w:rsid w:val="00834096"/>
    <w:rsid w:val="00837BCD"/>
    <w:rsid w:val="008550E0"/>
    <w:rsid w:val="00885EDD"/>
    <w:rsid w:val="0088667D"/>
    <w:rsid w:val="00890780"/>
    <w:rsid w:val="00893DC2"/>
    <w:rsid w:val="008B47EC"/>
    <w:rsid w:val="008F3806"/>
    <w:rsid w:val="00930D71"/>
    <w:rsid w:val="00932E9E"/>
    <w:rsid w:val="009609EE"/>
    <w:rsid w:val="00997E75"/>
    <w:rsid w:val="009C65BB"/>
    <w:rsid w:val="009D3F6A"/>
    <w:rsid w:val="009E1EB0"/>
    <w:rsid w:val="009E45A2"/>
    <w:rsid w:val="009F116C"/>
    <w:rsid w:val="009F3014"/>
    <w:rsid w:val="00A135A0"/>
    <w:rsid w:val="00A20112"/>
    <w:rsid w:val="00A32688"/>
    <w:rsid w:val="00A470B4"/>
    <w:rsid w:val="00A914F1"/>
    <w:rsid w:val="00AE097A"/>
    <w:rsid w:val="00B15BC1"/>
    <w:rsid w:val="00B25E7C"/>
    <w:rsid w:val="00B37956"/>
    <w:rsid w:val="00B62A6C"/>
    <w:rsid w:val="00B85B4A"/>
    <w:rsid w:val="00BA34B7"/>
    <w:rsid w:val="00BC73E6"/>
    <w:rsid w:val="00BF031F"/>
    <w:rsid w:val="00C04CFB"/>
    <w:rsid w:val="00C21A8D"/>
    <w:rsid w:val="00C24AC5"/>
    <w:rsid w:val="00C35544"/>
    <w:rsid w:val="00C70D0A"/>
    <w:rsid w:val="00C72919"/>
    <w:rsid w:val="00C95235"/>
    <w:rsid w:val="00CA47AF"/>
    <w:rsid w:val="00CB30BD"/>
    <w:rsid w:val="00CB6397"/>
    <w:rsid w:val="00CC6BED"/>
    <w:rsid w:val="00D33FAB"/>
    <w:rsid w:val="00D728A1"/>
    <w:rsid w:val="00DA33F9"/>
    <w:rsid w:val="00DD6136"/>
    <w:rsid w:val="00E017F6"/>
    <w:rsid w:val="00E34D8E"/>
    <w:rsid w:val="00E45D26"/>
    <w:rsid w:val="00E80A6A"/>
    <w:rsid w:val="00E8301C"/>
    <w:rsid w:val="00E91D13"/>
    <w:rsid w:val="00EA3FD5"/>
    <w:rsid w:val="00EA7F0C"/>
    <w:rsid w:val="00EC0A47"/>
    <w:rsid w:val="00EE29AA"/>
    <w:rsid w:val="00F06624"/>
    <w:rsid w:val="00F078D3"/>
    <w:rsid w:val="00F342BD"/>
    <w:rsid w:val="00F6310F"/>
    <w:rsid w:val="00F631C8"/>
    <w:rsid w:val="00F95390"/>
    <w:rsid w:val="00FA7156"/>
    <w:rsid w:val="00FF160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D05CC4D"/>
  <w15:chartTrackingRefBased/>
  <w15:docId w15:val="{8A030BC3-9A6D-4547-9A89-20EF684BA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aramond" w:hAnsi="Garamond"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0816"/>
    <w:pPr>
      <w:spacing w:after="200" w:line="276" w:lineRule="auto"/>
    </w:pPr>
    <w:rPr>
      <w:rFonts w:ascii="Times New Roman" w:hAnsi="Times New Roman"/>
      <w:szCs w:val="22"/>
    </w:rPr>
  </w:style>
  <w:style w:type="paragraph" w:styleId="Heading1">
    <w:name w:val="heading 1"/>
    <w:basedOn w:val="Normal"/>
    <w:next w:val="Normal"/>
    <w:link w:val="Heading1Char"/>
    <w:uiPriority w:val="9"/>
    <w:qFormat/>
    <w:rsid w:val="00790816"/>
    <w:pPr>
      <w:numPr>
        <w:numId w:val="1"/>
      </w:numPr>
      <w:autoSpaceDE w:val="0"/>
      <w:autoSpaceDN w:val="0"/>
      <w:adjustRightInd w:val="0"/>
      <w:spacing w:after="0" w:line="240" w:lineRule="auto"/>
      <w:jc w:val="center"/>
      <w:outlineLvl w:val="0"/>
    </w:pPr>
    <w:rPr>
      <w:rFonts w:cs="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0816"/>
    <w:rPr>
      <w:rFonts w:ascii="Times New Roman" w:hAnsi="Times New Roman" w:cs="Times New Roman"/>
      <w:b/>
      <w:sz w:val="28"/>
      <w:szCs w:val="28"/>
    </w:rPr>
  </w:style>
  <w:style w:type="character" w:styleId="CommentReference">
    <w:name w:val="annotation reference"/>
    <w:basedOn w:val="DefaultParagraphFont"/>
    <w:uiPriority w:val="99"/>
    <w:semiHidden/>
    <w:unhideWhenUsed/>
    <w:rsid w:val="00790816"/>
    <w:rPr>
      <w:sz w:val="16"/>
      <w:szCs w:val="16"/>
    </w:rPr>
  </w:style>
  <w:style w:type="paragraph" w:styleId="CommentText">
    <w:name w:val="annotation text"/>
    <w:basedOn w:val="Normal"/>
    <w:link w:val="CommentTextChar"/>
    <w:uiPriority w:val="99"/>
    <w:unhideWhenUsed/>
    <w:rsid w:val="00790816"/>
    <w:pPr>
      <w:spacing w:line="240" w:lineRule="auto"/>
    </w:pPr>
    <w:rPr>
      <w:sz w:val="20"/>
      <w:szCs w:val="20"/>
    </w:rPr>
  </w:style>
  <w:style w:type="character" w:customStyle="1" w:styleId="CommentTextChar">
    <w:name w:val="Comment Text Char"/>
    <w:basedOn w:val="DefaultParagraphFont"/>
    <w:link w:val="CommentText"/>
    <w:uiPriority w:val="99"/>
    <w:rsid w:val="00790816"/>
    <w:rPr>
      <w:rFonts w:ascii="Times New Roman" w:hAnsi="Times New Roman"/>
      <w:sz w:val="20"/>
      <w:szCs w:val="20"/>
    </w:rPr>
  </w:style>
  <w:style w:type="paragraph" w:styleId="BalloonText">
    <w:name w:val="Balloon Text"/>
    <w:basedOn w:val="Normal"/>
    <w:link w:val="BalloonTextChar"/>
    <w:uiPriority w:val="99"/>
    <w:semiHidden/>
    <w:unhideWhenUsed/>
    <w:rsid w:val="007908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081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F3014"/>
    <w:rPr>
      <w:b/>
      <w:bCs/>
    </w:rPr>
  </w:style>
  <w:style w:type="character" w:customStyle="1" w:styleId="CommentSubjectChar">
    <w:name w:val="Comment Subject Char"/>
    <w:basedOn w:val="CommentTextChar"/>
    <w:link w:val="CommentSubject"/>
    <w:uiPriority w:val="99"/>
    <w:semiHidden/>
    <w:rsid w:val="009F3014"/>
    <w:rPr>
      <w:rFonts w:ascii="Times New Roman" w:hAnsi="Times New Roman"/>
      <w:b/>
      <w:bCs/>
      <w:sz w:val="20"/>
      <w:szCs w:val="20"/>
    </w:rPr>
  </w:style>
  <w:style w:type="character" w:styleId="Hyperlink">
    <w:name w:val="Hyperlink"/>
    <w:basedOn w:val="DefaultParagraphFont"/>
    <w:uiPriority w:val="99"/>
    <w:unhideWhenUsed/>
    <w:rsid w:val="00551588"/>
    <w:rPr>
      <w:color w:val="0563C1" w:themeColor="hyperlink"/>
      <w:u w:val="single"/>
    </w:rPr>
  </w:style>
  <w:style w:type="paragraph" w:styleId="ListBullet">
    <w:name w:val="List Bullet"/>
    <w:aliases w:val="Short (to sentence)"/>
    <w:basedOn w:val="Normal"/>
    <w:uiPriority w:val="99"/>
    <w:rsid w:val="009F116C"/>
    <w:pPr>
      <w:numPr>
        <w:numId w:val="2"/>
      </w:numPr>
      <w:spacing w:after="0" w:line="240" w:lineRule="auto"/>
    </w:pPr>
    <w:rPr>
      <w:rFonts w:ascii="Book Antiqua" w:eastAsia="Times New Roman" w:hAnsi="Book Antiqua" w:cs="Times New Roman"/>
      <w:szCs w:val="24"/>
    </w:rPr>
  </w:style>
  <w:style w:type="table" w:styleId="TableGrid">
    <w:name w:val="Table Grid"/>
    <w:basedOn w:val="TableNormal"/>
    <w:uiPriority w:val="59"/>
    <w:rsid w:val="00522215"/>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22215"/>
    <w:rPr>
      <w:rFonts w:asciiTheme="minorHAnsi" w:hAnsiTheme="minorHAnsi"/>
      <w:sz w:val="22"/>
      <w:szCs w:val="22"/>
    </w:rPr>
  </w:style>
  <w:style w:type="table" w:customStyle="1" w:styleId="GridTable41">
    <w:name w:val="Grid Table 41"/>
    <w:basedOn w:val="TableNormal"/>
    <w:uiPriority w:val="49"/>
    <w:rsid w:val="00522215"/>
    <w:rPr>
      <w:rFonts w:asciiTheme="minorHAnsi" w:hAnsiTheme="minorHAns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FootnoteText">
    <w:name w:val="footnote text"/>
    <w:aliases w:val="F1,F1),Footnote Westat Style (Text"/>
    <w:basedOn w:val="Normal"/>
    <w:link w:val="FootnoteTextChar"/>
    <w:uiPriority w:val="99"/>
    <w:unhideWhenUsed/>
    <w:rsid w:val="00522215"/>
    <w:pPr>
      <w:spacing w:after="0" w:line="240" w:lineRule="auto"/>
    </w:pPr>
    <w:rPr>
      <w:sz w:val="20"/>
      <w:szCs w:val="20"/>
    </w:rPr>
  </w:style>
  <w:style w:type="character" w:customStyle="1" w:styleId="FootnoteTextChar">
    <w:name w:val="Footnote Text Char"/>
    <w:aliases w:val="F1 Char,F1) Char,Footnote Westat Style (Text Char"/>
    <w:basedOn w:val="DefaultParagraphFont"/>
    <w:link w:val="FootnoteText"/>
    <w:uiPriority w:val="99"/>
    <w:rsid w:val="00522215"/>
    <w:rPr>
      <w:rFonts w:ascii="Times New Roman" w:hAnsi="Times New Roman"/>
      <w:sz w:val="20"/>
      <w:szCs w:val="20"/>
    </w:rPr>
  </w:style>
  <w:style w:type="character" w:styleId="FootnoteReference">
    <w:name w:val="footnote reference"/>
    <w:aliases w:val="Appel note de bas de p,Appel note de bas de p + 11 pt,Footnote,Italic"/>
    <w:basedOn w:val="DefaultParagraphFont"/>
    <w:uiPriority w:val="99"/>
    <w:unhideWhenUsed/>
    <w:qFormat/>
    <w:rsid w:val="00522215"/>
    <w:rPr>
      <w:vertAlign w:val="superscript"/>
    </w:rPr>
  </w:style>
  <w:style w:type="paragraph" w:styleId="Header">
    <w:name w:val="header"/>
    <w:basedOn w:val="Normal"/>
    <w:link w:val="HeaderChar"/>
    <w:uiPriority w:val="99"/>
    <w:semiHidden/>
    <w:unhideWhenUsed/>
    <w:rsid w:val="00DD613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D6136"/>
    <w:rPr>
      <w:rFonts w:ascii="Times New Roman" w:hAnsi="Times New Roman"/>
      <w:szCs w:val="22"/>
    </w:rPr>
  </w:style>
  <w:style w:type="paragraph" w:styleId="Footer">
    <w:name w:val="footer"/>
    <w:basedOn w:val="Normal"/>
    <w:link w:val="FooterChar"/>
    <w:uiPriority w:val="99"/>
    <w:semiHidden/>
    <w:unhideWhenUsed/>
    <w:rsid w:val="00DD613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D6136"/>
    <w:rPr>
      <w:rFonts w:ascii="Times New Roman" w:hAnsi="Times New Roman"/>
      <w:szCs w:val="22"/>
    </w:rPr>
  </w:style>
  <w:style w:type="paragraph" w:styleId="Revision">
    <w:name w:val="Revision"/>
    <w:hidden/>
    <w:uiPriority w:val="99"/>
    <w:semiHidden/>
    <w:rsid w:val="000D132D"/>
    <w:rPr>
      <w:rFonts w:ascii="Times New Roman" w:hAnsi="Times New Roman"/>
      <w:szCs w:val="22"/>
    </w:rPr>
  </w:style>
  <w:style w:type="character" w:styleId="UnresolvedMention">
    <w:name w:val="Unresolved Mention"/>
    <w:basedOn w:val="DefaultParagraphFont"/>
    <w:uiPriority w:val="99"/>
    <w:semiHidden/>
    <w:unhideWhenUsed/>
    <w:rsid w:val="00171A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theme" Target="theme/theme1.xml" /></Relationships>
</file>

<file path=word/_rels/footnotes.xml.rels><?xml version="1.0" encoding="utf-8" standalone="yes"?><Relationships xmlns="http://schemas.openxmlformats.org/package/2006/relationships"><Relationship Id="rId1" Type="http://schemas.openxmlformats.org/officeDocument/2006/relationships/hyperlink" Target="https://www.nhtsa.gov/ntsb-open-recommendations-nhts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19922B19A3EF4E80BBF54E8B4E760C" ma:contentTypeVersion="4" ma:contentTypeDescription="Create a new document." ma:contentTypeScope="" ma:versionID="b798bab48283460939f19f39c49b4a13">
  <xsd:schema xmlns:xsd="http://www.w3.org/2001/XMLSchema" xmlns:xs="http://www.w3.org/2001/XMLSchema" xmlns:p="http://schemas.microsoft.com/office/2006/metadata/properties" xmlns:ns2="8c05af97-4e9a-40aa-9fa4-35846393d4d2" targetNamespace="http://schemas.microsoft.com/office/2006/metadata/properties" ma:root="true" ma:fieldsID="e0e0e7f90e8540a1d75598fe53cb4a08" ns2:_="">
    <xsd:import namespace="8c05af97-4e9a-40aa-9fa4-35846393d4d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05af97-4e9a-40aa-9fa4-35846393d4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07EB6F-AEAC-47E3-B8F1-E096952D16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05af97-4e9a-40aa-9fa4-35846393d4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AAD0E4-001F-46E7-8080-FAEF06CBA1CB}">
  <ds:schemaRefs>
    <ds:schemaRef ds:uri="http://schemas.openxmlformats.org/officeDocument/2006/bibliography"/>
  </ds:schemaRefs>
</ds:datastoreItem>
</file>

<file path=customXml/itemProps3.xml><?xml version="1.0" encoding="utf-8"?>
<ds:datastoreItem xmlns:ds="http://schemas.openxmlformats.org/officeDocument/2006/customXml" ds:itemID="{AADE4971-BD0E-4742-BC00-3E8F0088753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FAC6D47-08B4-47DF-9C6D-771D4E16EE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11</Pages>
  <Words>2544</Words>
  <Characters>14502</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Gilbride, Antonia (NHTSA)</dc:creator>
  <cp:lastModifiedBy>Hatipoglu, Cem (NHTSA)</cp:lastModifiedBy>
  <cp:revision>3</cp:revision>
  <dcterms:created xsi:type="dcterms:W3CDTF">2025-02-06T19:14:00Z</dcterms:created>
  <dcterms:modified xsi:type="dcterms:W3CDTF">2025-02-06T19:51:00Z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0x0101003219922B19A3EF4E80BBF54E8B4E760C</vt:lpwstr>
  </property>
</Properties>
</file>