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6FEF" w:rsidRPr="00445817" w:rsidP="00EC6FEF" w14:paraId="741DD6E1" w14:textId="77777777">
      <w:pPr>
        <w:jc w:val="center"/>
        <w:rPr>
          <w:bCs/>
        </w:rPr>
      </w:pPr>
      <w:r w:rsidRPr="00445817">
        <w:rPr>
          <w:bCs/>
        </w:rPr>
        <w:t>Department of Transportation</w:t>
      </w:r>
    </w:p>
    <w:p w:rsidR="00EC6FEF" w:rsidRPr="00445817" w:rsidP="00EC6FEF" w14:paraId="37C9617C" w14:textId="77777777">
      <w:pPr>
        <w:jc w:val="center"/>
        <w:rPr>
          <w:bCs/>
        </w:rPr>
      </w:pPr>
      <w:r w:rsidRPr="00445817">
        <w:rPr>
          <w:bCs/>
        </w:rPr>
        <w:t>Office of the Chief Information Officer</w:t>
      </w:r>
    </w:p>
    <w:p w:rsidR="00EC6FEF" w:rsidRPr="00445817" w:rsidP="00EC6FEF" w14:paraId="43ADB3AE" w14:textId="77777777">
      <w:pPr>
        <w:jc w:val="center"/>
        <w:rPr>
          <w:bCs/>
        </w:rPr>
      </w:pPr>
    </w:p>
    <w:p w:rsidR="00EC6FEF" w:rsidRPr="00445817" w:rsidP="00EC6FEF" w14:paraId="79D2E7AF" w14:textId="77777777">
      <w:pPr>
        <w:jc w:val="center"/>
        <w:rPr>
          <w:bCs/>
          <w:u w:val="single"/>
        </w:rPr>
      </w:pPr>
      <w:r w:rsidRPr="00445817">
        <w:rPr>
          <w:bCs/>
          <w:u w:val="single"/>
        </w:rPr>
        <w:t xml:space="preserve">Supporting Statement </w:t>
      </w:r>
    </w:p>
    <w:p w:rsidR="00445817" w:rsidP="00EC6FEF" w14:paraId="2B0F1DBC" w14:textId="77777777">
      <w:pPr>
        <w:jc w:val="center"/>
        <w:rPr>
          <w:bCs/>
        </w:rPr>
      </w:pPr>
    </w:p>
    <w:p w:rsidR="00EC6FEF" w:rsidRPr="00445817" w:rsidP="00EC6FEF" w14:paraId="7DF48431" w14:textId="77777777">
      <w:pPr>
        <w:jc w:val="center"/>
        <w:rPr>
          <w:bCs/>
        </w:rPr>
      </w:pPr>
      <w:r w:rsidRPr="00445817">
        <w:rPr>
          <w:bCs/>
        </w:rPr>
        <w:t>“National Registry of Pipeline and LNG Operators”</w:t>
      </w:r>
    </w:p>
    <w:p w:rsidR="00EC6FEF" w:rsidRPr="00445817" w:rsidP="00EC6FEF" w14:paraId="28805645" w14:textId="77777777">
      <w:pPr>
        <w:jc w:val="center"/>
        <w:rPr>
          <w:bCs/>
        </w:rPr>
      </w:pPr>
      <w:r w:rsidRPr="00445817">
        <w:rPr>
          <w:bCs/>
        </w:rPr>
        <w:t>OMB Control No. 2137-0627</w:t>
      </w:r>
    </w:p>
    <w:p w:rsidR="002E5880" w:rsidRPr="00801394" w:rsidP="002E5880" w14:paraId="7A0BC024" w14:textId="75142F66">
      <w:pPr>
        <w:autoSpaceDE w:val="0"/>
        <w:autoSpaceDN w:val="0"/>
        <w:adjustRightInd w:val="0"/>
        <w:jc w:val="center"/>
        <w:rPr>
          <w:bCs/>
        </w:rPr>
      </w:pPr>
      <w:r w:rsidRPr="00801394">
        <w:rPr>
          <w:bCs/>
        </w:rPr>
        <w:t>Docket No. PHMSA-</w:t>
      </w:r>
      <w:r w:rsidRPr="00C04044" w:rsidR="00C04044">
        <w:rPr>
          <w:rFonts w:eastAsia="Arial Unicode MS"/>
          <w:bCs/>
          <w:szCs w:val="24"/>
        </w:rPr>
        <w:t>2024-0137</w:t>
      </w:r>
    </w:p>
    <w:p w:rsidR="00EC6FEF" w:rsidRPr="002E5880" w:rsidP="00EC6FEF" w14:paraId="181AA1AF" w14:textId="77777777">
      <w:pPr>
        <w:rPr>
          <w:bCs/>
        </w:rPr>
      </w:pPr>
    </w:p>
    <w:p w:rsidR="00887A1A" w:rsidP="00887A1A" w14:paraId="50B96B66" w14:textId="77777777">
      <w:pPr>
        <w:widowControl w:val="0"/>
        <w:autoSpaceDE w:val="0"/>
        <w:autoSpaceDN w:val="0"/>
        <w:adjustRightInd w:val="0"/>
        <w:rPr>
          <w:b/>
          <w:bCs/>
          <w:szCs w:val="24"/>
        </w:rPr>
      </w:pPr>
    </w:p>
    <w:p w:rsidR="00887A1A" w:rsidP="00EC23D6" w14:paraId="745A0410" w14:textId="77777777">
      <w:pPr>
        <w:rPr>
          <w:b/>
          <w:szCs w:val="24"/>
          <w:u w:val="single"/>
        </w:rPr>
      </w:pPr>
    </w:p>
    <w:p w:rsidR="00EC23D6" w:rsidRPr="00C02401" w:rsidP="00EC23D6" w14:paraId="3C5ADC1D" w14:textId="77777777">
      <w:pPr>
        <w:rPr>
          <w:szCs w:val="24"/>
          <w:u w:val="single"/>
        </w:rPr>
      </w:pPr>
      <w:r w:rsidRPr="00C02401">
        <w:rPr>
          <w:szCs w:val="24"/>
          <w:u w:val="single"/>
        </w:rPr>
        <w:t>INTRODUCTION</w:t>
      </w:r>
    </w:p>
    <w:p w:rsidR="00445817" w:rsidP="00A2332E" w14:paraId="04BB1995" w14:textId="77777777"/>
    <w:p w:rsidR="00A2332E" w:rsidP="00A2332E" w14:paraId="18D122D4" w14:textId="4022300C">
      <w:r w:rsidRPr="002A2BA0">
        <w:t xml:space="preserve">The Pipeline and Hazardous Materials Safety Administration (PHMSA) requests approval from the Office of Management and Budget (OMB) for </w:t>
      </w:r>
      <w:r w:rsidR="00C04044">
        <w:t>renewal, without change,</w:t>
      </w:r>
      <w:r w:rsidRPr="002A2BA0">
        <w:t xml:space="preserve"> of a currently approved collection entitled </w:t>
      </w:r>
      <w:r w:rsidRPr="00747FB5">
        <w:rPr>
          <w:szCs w:val="24"/>
        </w:rPr>
        <w:t xml:space="preserve">“National Registry of Pipeline and LNG Operators” currently under OMB Control No. 2137-0627. </w:t>
      </w:r>
      <w:r>
        <w:rPr>
          <w:bCs/>
        </w:rPr>
        <w:t xml:space="preserve">  </w:t>
      </w:r>
      <w:r>
        <w:t xml:space="preserve">The current expiration date for this information collection is </w:t>
      </w:r>
      <w:r w:rsidR="00C04044">
        <w:t>March 31, 2025.</w:t>
      </w:r>
    </w:p>
    <w:p w:rsidR="00A2332E" w:rsidP="00A2332E" w14:paraId="2A31CD3F" w14:textId="77777777"/>
    <w:p w:rsidR="00263044" w:rsidP="00EC23D6" w14:paraId="16769950" w14:textId="77777777">
      <w:pPr>
        <w:rPr>
          <w:szCs w:val="24"/>
        </w:rPr>
      </w:pPr>
    </w:p>
    <w:p w:rsidR="00EC23D6" w:rsidRPr="00C02401" w:rsidP="00EC23D6" w14:paraId="16B20B21" w14:textId="5A1FF13D">
      <w:pPr>
        <w:rPr>
          <w:szCs w:val="24"/>
        </w:rPr>
      </w:pPr>
      <w:r w:rsidRPr="00C02401">
        <w:rPr>
          <w:szCs w:val="24"/>
        </w:rPr>
        <w:t>Part A. Justification</w:t>
      </w:r>
    </w:p>
    <w:p w:rsidR="00EC23D6" w:rsidRPr="00C02401" w:rsidP="00EC23D6" w14:paraId="47619FD1" w14:textId="77777777">
      <w:pPr>
        <w:jc w:val="center"/>
        <w:rPr>
          <w:szCs w:val="24"/>
        </w:rPr>
      </w:pPr>
    </w:p>
    <w:p w:rsidR="00EC23D6" w:rsidRPr="00C02401" w:rsidP="000A6210" w14:paraId="073D02ED" w14:textId="77777777">
      <w:pPr>
        <w:numPr>
          <w:ilvl w:val="0"/>
          <w:numId w:val="16"/>
        </w:numPr>
        <w:tabs>
          <w:tab w:val="num" w:pos="0"/>
          <w:tab w:val="left" w:pos="540"/>
        </w:tabs>
        <w:ind w:left="0" w:firstLine="0"/>
        <w:rPr>
          <w:szCs w:val="24"/>
        </w:rPr>
      </w:pPr>
      <w:r w:rsidRPr="00C02401">
        <w:rPr>
          <w:szCs w:val="24"/>
          <w:u w:val="single"/>
        </w:rPr>
        <w:t>Circumstances that make the collection of information necessary</w:t>
      </w:r>
      <w:r w:rsidRPr="00C02401">
        <w:rPr>
          <w:szCs w:val="24"/>
        </w:rPr>
        <w:t xml:space="preserve">.  </w:t>
      </w:r>
    </w:p>
    <w:p w:rsidR="00445817" w:rsidRPr="00C02401" w:rsidP="000A6210" w14:paraId="4AA5E416" w14:textId="77777777">
      <w:pPr>
        <w:tabs>
          <w:tab w:val="left" w:pos="540"/>
        </w:tabs>
      </w:pPr>
    </w:p>
    <w:p w:rsidR="00747FB5" w:rsidP="000A6210" w14:paraId="592BFD5A" w14:textId="77777777">
      <w:pPr>
        <w:tabs>
          <w:tab w:val="left" w:pos="540"/>
        </w:tabs>
      </w:pPr>
      <w:r>
        <w:t>PHMSA’s statutory authority to collect pipeline facility information from operators is found in 49 U.S.C. 60102.  This authority allows for the collection of information such as pipeline location, description, transported products, and any other information pertaining to the safe operation of a pipeline facility under PHMSA jurisdiction.</w:t>
      </w:r>
    </w:p>
    <w:p w:rsidR="00747FB5" w:rsidP="000A6210" w14:paraId="07A34BFA" w14:textId="77777777">
      <w:pPr>
        <w:tabs>
          <w:tab w:val="left" w:pos="540"/>
        </w:tabs>
      </w:pPr>
    </w:p>
    <w:p w:rsidR="00747FB5" w:rsidP="00747FB5" w14:paraId="1EA666FA" w14:textId="77777777">
      <w:r>
        <w:t xml:space="preserve">Moreover, 49 CFR 191.22 and 195.64, require operators to notify PHMSA when they experience significant asset changes, including new construction, that affect PHMSA’s ability to accurately monitor and assess pipeline safety performance.  Certain types of changes to, or within, an operator’s facilities or pipeline network represent potential safety-altering activities for which PHMSA may need to inspect, investigate, or otherwise oversee to ensure that any public safety concerns are adequately and proactively addressed.  In these cases, timely notification will allow PHMSA to efficiently manage its inspection resources or notify one of its partner state pipeline safety agencies if needed.  </w:t>
      </w:r>
    </w:p>
    <w:p w:rsidR="00747FB5" w:rsidP="00747FB5" w14:paraId="70C93E4A" w14:textId="77777777"/>
    <w:p w:rsidR="00747FB5" w:rsidP="00747FB5" w14:paraId="736782EF" w14:textId="77777777">
      <w:r>
        <w:t xml:space="preserve">The accurate and timely representation of the scope and make-up of the nation’s pipeline and LNG facility infrastructure is not only critical to PHMSA, but it is also critical to the various oversight bodies, Congress, the GAO, the DOT Inspector General, and the NTSB.  </w:t>
      </w:r>
    </w:p>
    <w:p w:rsidR="001D224D" w:rsidRPr="00981917" w:rsidP="000A6210" w14:paraId="6516F3F2" w14:textId="77777777">
      <w:pPr>
        <w:widowControl w:val="0"/>
        <w:tabs>
          <w:tab w:val="left" w:pos="540"/>
        </w:tabs>
        <w:ind w:left="1440"/>
        <w:rPr>
          <w:b/>
          <w:szCs w:val="24"/>
        </w:rPr>
      </w:pPr>
    </w:p>
    <w:p w:rsidR="00445817" w:rsidP="006B73BE" w14:paraId="3C99851F" w14:textId="77777777">
      <w:pPr>
        <w:rPr>
          <w:b/>
          <w:szCs w:val="24"/>
        </w:rPr>
      </w:pPr>
    </w:p>
    <w:p w:rsidR="00762F2A" w:rsidRPr="00C02401" w:rsidP="006B73BE" w14:paraId="6894D9EA" w14:textId="77777777">
      <w:pPr>
        <w:rPr>
          <w:szCs w:val="24"/>
        </w:rPr>
      </w:pPr>
      <w:r w:rsidRPr="00C02401">
        <w:rPr>
          <w:szCs w:val="24"/>
        </w:rPr>
        <w:t>2.</w:t>
      </w:r>
      <w:r w:rsidRPr="00C02401" w:rsidR="00F45271">
        <w:rPr>
          <w:szCs w:val="24"/>
        </w:rPr>
        <w:t xml:space="preserve"> </w:t>
      </w:r>
      <w:r w:rsidRPr="00C02401" w:rsidR="00F45271">
        <w:rPr>
          <w:szCs w:val="24"/>
        </w:rPr>
        <w:tab/>
      </w:r>
      <w:r w:rsidRPr="00C02401" w:rsidR="00F45271">
        <w:rPr>
          <w:szCs w:val="24"/>
          <w:u w:val="single"/>
        </w:rPr>
        <w:t>How, by whom, and for what purpose the information is to be used</w:t>
      </w:r>
      <w:r w:rsidRPr="00C02401" w:rsidR="00F45271">
        <w:rPr>
          <w:szCs w:val="24"/>
        </w:rPr>
        <w:t xml:space="preserve">.  </w:t>
      </w:r>
    </w:p>
    <w:p w:rsidR="00445817" w:rsidRPr="00C02401" w:rsidP="006B73BE" w14:paraId="3178D62D" w14:textId="77777777">
      <w:pPr>
        <w:rPr>
          <w:szCs w:val="96"/>
        </w:rPr>
      </w:pPr>
    </w:p>
    <w:p w:rsidR="006B73BE" w:rsidP="006B73BE" w14:paraId="03BD52F8" w14:textId="77777777">
      <w:pPr>
        <w:rPr>
          <w:szCs w:val="96"/>
        </w:rPr>
      </w:pPr>
      <w:r>
        <w:rPr>
          <w:szCs w:val="96"/>
        </w:rPr>
        <w:t>PHMSA will use two forms to collect the applicable registration and notification information from operators for the Registry.  The forms and the purpose of the resulting information are identified below:</w:t>
      </w:r>
    </w:p>
    <w:p w:rsidR="006B73BE" w:rsidP="006B73BE" w14:paraId="1124A6AC" w14:textId="77777777">
      <w:pPr>
        <w:rPr>
          <w:szCs w:val="96"/>
        </w:rPr>
      </w:pPr>
    </w:p>
    <w:p w:rsidR="006B73BE" w:rsidP="006B73BE" w14:paraId="461ADF43" w14:textId="77777777">
      <w:pPr>
        <w:rPr>
          <w:b/>
          <w:szCs w:val="96"/>
        </w:rPr>
      </w:pPr>
      <w:r>
        <w:rPr>
          <w:b/>
          <w:bCs/>
        </w:rPr>
        <w:t>Operator Assignment Request Form (PHMSA F 1000.1)</w:t>
      </w:r>
    </w:p>
    <w:p w:rsidR="006B73BE" w:rsidP="006B73BE" w14:paraId="0FF3F1D2" w14:textId="77777777">
      <w:pPr>
        <w:rPr>
          <w:szCs w:val="96"/>
        </w:rPr>
      </w:pPr>
      <w:r>
        <w:rPr>
          <w:szCs w:val="96"/>
        </w:rPr>
        <w:t xml:space="preserve">The information provided in this form is broken into four different steps as detailed below: </w:t>
      </w:r>
    </w:p>
    <w:p w:rsidR="006B73BE" w:rsidP="006B73BE" w14:paraId="1C90CF05" w14:textId="77777777">
      <w:pPr>
        <w:rPr>
          <w:szCs w:val="96"/>
        </w:rPr>
      </w:pPr>
    </w:p>
    <w:p w:rsidR="006B73BE" w:rsidP="006B73BE" w14:paraId="7A62C276" w14:textId="77777777">
      <w:pPr>
        <w:rPr>
          <w:i/>
          <w:szCs w:val="96"/>
        </w:rPr>
      </w:pPr>
      <w:r>
        <w:rPr>
          <w:i/>
          <w:szCs w:val="96"/>
        </w:rPr>
        <w:t xml:space="preserve">Step 1 </w:t>
      </w:r>
      <w:r>
        <w:rPr>
          <w:i/>
          <w:szCs w:val="96"/>
        </w:rPr>
        <w:t>“..</w:t>
      </w:r>
      <w:r>
        <w:rPr>
          <w:i/>
          <w:szCs w:val="96"/>
        </w:rPr>
        <w:t>Basic Report Information”</w:t>
      </w:r>
    </w:p>
    <w:p w:rsidR="006B73BE" w:rsidP="006B73BE" w14:paraId="39CB2C4B" w14:textId="77777777">
      <w:pPr>
        <w:rPr>
          <w:szCs w:val="96"/>
        </w:rPr>
      </w:pPr>
      <w:r>
        <w:rPr>
          <w:szCs w:val="96"/>
        </w:rPr>
        <w:tab/>
        <w:t xml:space="preserve">This step allows for the operator to provide basic information that PHMSA will use to determine whether the requesting operator has regulated assets and currently exists in the registry.  PHMSA will also use this information to distinguish relationships between companies and reduce the potential for assigning unnecessary OPIDs to companies. </w:t>
      </w:r>
    </w:p>
    <w:p w:rsidR="006B73BE" w:rsidP="006B73BE" w14:paraId="426F03CD" w14:textId="77777777">
      <w:pPr>
        <w:rPr>
          <w:i/>
          <w:szCs w:val="96"/>
        </w:rPr>
      </w:pPr>
      <w:r>
        <w:rPr>
          <w:i/>
          <w:szCs w:val="96"/>
        </w:rPr>
        <w:t>Step 2 “…Description of Pipelines and/or Facilities”</w:t>
      </w:r>
    </w:p>
    <w:p w:rsidR="006B73BE" w:rsidP="006B73BE" w14:paraId="37F19F0C" w14:textId="77777777">
      <w:pPr>
        <w:rPr>
          <w:szCs w:val="96"/>
        </w:rPr>
      </w:pPr>
      <w:r>
        <w:rPr>
          <w:szCs w:val="96"/>
        </w:rPr>
        <w:tab/>
        <w:t xml:space="preserve">PHMSA will use this information to collect asset type and location to determine oversight authority (PHMSA region staff or State partners).  Once the oversight authority is determined, PHMSA will contact the appropriate entity to assist in the approval process for issuing OPIDs.  </w:t>
      </w:r>
    </w:p>
    <w:p w:rsidR="006B73BE" w:rsidP="006B73BE" w14:paraId="4B6F6574" w14:textId="77777777">
      <w:pPr>
        <w:rPr>
          <w:szCs w:val="96"/>
        </w:rPr>
      </w:pPr>
    </w:p>
    <w:p w:rsidR="006B73BE" w:rsidP="006B73BE" w14:paraId="0B93E1AB" w14:textId="77777777">
      <w:pPr>
        <w:rPr>
          <w:i/>
          <w:szCs w:val="96"/>
        </w:rPr>
      </w:pPr>
      <w:r>
        <w:rPr>
          <w:i/>
          <w:szCs w:val="96"/>
        </w:rPr>
        <w:t>Step 3 “…PHMSA-Required Pipeline Safety Program …. Information”</w:t>
      </w:r>
    </w:p>
    <w:p w:rsidR="006B73BE" w:rsidP="006B73BE" w14:paraId="43451E62" w14:textId="77777777">
      <w:pPr>
        <w:rPr>
          <w:szCs w:val="96"/>
        </w:rPr>
      </w:pPr>
      <w:r>
        <w:rPr>
          <w:szCs w:val="96"/>
        </w:rPr>
        <w:tab/>
        <w:t xml:space="preserve">PHMSA will use this information to quickly identify whether the requesting operator’s program is part of any programs for existing operators </w:t>
      </w:r>
      <w:r>
        <w:rPr>
          <w:szCs w:val="96"/>
        </w:rPr>
        <w:t>( i.e.</w:t>
      </w:r>
      <w:r>
        <w:rPr>
          <w:szCs w:val="96"/>
        </w:rPr>
        <w:t xml:space="preserve">, whether the requesting operator is operationally related to other operators under PHMSA jurisdiction).  PHMSA will use this information to efficiently coordinate future inspections.  </w:t>
      </w:r>
    </w:p>
    <w:p w:rsidR="006B73BE" w:rsidP="006B73BE" w14:paraId="4DAB7775" w14:textId="77777777">
      <w:pPr>
        <w:rPr>
          <w:szCs w:val="96"/>
        </w:rPr>
      </w:pPr>
    </w:p>
    <w:p w:rsidR="006B73BE" w:rsidP="006B73BE" w14:paraId="4612A5E2" w14:textId="77777777">
      <w:pPr>
        <w:rPr>
          <w:i/>
          <w:szCs w:val="96"/>
        </w:rPr>
      </w:pPr>
      <w:r>
        <w:rPr>
          <w:i/>
          <w:szCs w:val="96"/>
        </w:rPr>
        <w:t>Step 4 “Provide Contact Information”</w:t>
      </w:r>
    </w:p>
    <w:p w:rsidR="006B73BE" w:rsidP="006B73BE" w14:paraId="5472BBE6" w14:textId="77777777">
      <w:pPr>
        <w:rPr>
          <w:szCs w:val="96"/>
        </w:rPr>
      </w:pPr>
      <w:r>
        <w:rPr>
          <w:szCs w:val="96"/>
        </w:rPr>
        <w:tab/>
        <w:t xml:space="preserve">PHMSA will use this information to maintain direct lines of communication with key Operator personnel.  Contact information is invaluable and vital to the efficient handling of pipeline emergencies and regulatory compliance. </w:t>
      </w:r>
    </w:p>
    <w:p w:rsidR="006B73BE" w:rsidP="006B73BE" w14:paraId="509F3681" w14:textId="77777777">
      <w:pPr>
        <w:rPr>
          <w:szCs w:val="96"/>
        </w:rPr>
      </w:pPr>
    </w:p>
    <w:p w:rsidR="006B73BE" w:rsidP="006B73BE" w14:paraId="06FAC570" w14:textId="77777777">
      <w:pPr>
        <w:rPr>
          <w:szCs w:val="96"/>
        </w:rPr>
      </w:pPr>
    </w:p>
    <w:p w:rsidR="006B73BE" w:rsidP="006B73BE" w14:paraId="5D75139B" w14:textId="77777777">
      <w:pPr>
        <w:rPr>
          <w:b/>
          <w:bCs/>
          <w:szCs w:val="24"/>
        </w:rPr>
      </w:pPr>
      <w:r>
        <w:rPr>
          <w:b/>
          <w:bCs/>
        </w:rPr>
        <w:t>Operator Registry Notification Form (PHMSA F 1000.2)</w:t>
      </w:r>
    </w:p>
    <w:p w:rsidR="006B73BE" w:rsidP="006B73BE" w14:paraId="6F7E0ACE" w14:textId="77777777">
      <w:pPr>
        <w:rPr>
          <w:bCs/>
        </w:rPr>
      </w:pPr>
      <w:r>
        <w:rPr>
          <w:bCs/>
        </w:rPr>
        <w:t>The purpose of this form is to provide PHMSA with notifications as required under §§ 191.22(c) and 195.64(c).  PHMSA will use the information from this form to update the Registry and equip PHMSA and state regulatory staff with relevant and up-to-date information on the operators subject to applicable jurisdictions.</w:t>
      </w:r>
    </w:p>
    <w:p w:rsidR="006B73BE" w:rsidP="006B73BE" w14:paraId="51717772" w14:textId="77777777">
      <w:r>
        <w:t xml:space="preserve"> </w:t>
      </w:r>
    </w:p>
    <w:p w:rsidR="006B73BE" w:rsidP="006B73BE" w14:paraId="09003EF0" w14:textId="77777777">
      <w:pPr>
        <w:rPr>
          <w:b/>
        </w:rPr>
      </w:pPr>
      <w:r>
        <w:rPr>
          <w:b/>
        </w:rPr>
        <w:t>Summary</w:t>
      </w:r>
    </w:p>
    <w:p w:rsidR="006B73BE" w:rsidP="006B73BE" w14:paraId="697B2D97" w14:textId="77777777">
      <w:r>
        <w:t xml:space="preserve">This Registry is necessary to compile an integrated national pipeline inventory of operator contact and facility information that is current.  The Registry will also enable PHMSA to distribute up-to-date pipeline safety information for various technology applications used in the performance of inspections, regulatory oversight, reporting, and other safety-based needs, and will provide the accurate and up-to-date compilation of operating entities and facilities that is a critical element of PHMSA’s pipeline safety mission.  </w:t>
      </w:r>
    </w:p>
    <w:p w:rsidR="006B73BE" w:rsidP="006B73BE" w14:paraId="3590E0BC" w14:textId="77777777">
      <w:pPr>
        <w:widowControl w:val="0"/>
        <w:tabs>
          <w:tab w:val="left" w:pos="540"/>
        </w:tabs>
        <w:rPr>
          <w:b/>
          <w:szCs w:val="24"/>
        </w:rPr>
      </w:pPr>
    </w:p>
    <w:p w:rsidR="00445817" w:rsidP="006B73BE" w14:paraId="120A4ED6" w14:textId="77777777">
      <w:pPr>
        <w:rPr>
          <w:b/>
          <w:szCs w:val="24"/>
        </w:rPr>
      </w:pPr>
      <w:r w:rsidRPr="00C02401">
        <w:rPr>
          <w:szCs w:val="24"/>
        </w:rPr>
        <w:t>3.</w:t>
      </w:r>
      <w:r w:rsidRPr="00981917">
        <w:rPr>
          <w:b/>
          <w:szCs w:val="24"/>
        </w:rPr>
        <w:tab/>
      </w:r>
      <w:r w:rsidRPr="00C02401" w:rsidR="00F45271">
        <w:rPr>
          <w:szCs w:val="24"/>
          <w:u w:val="single"/>
        </w:rPr>
        <w:t>Extent of automated information collection</w:t>
      </w:r>
      <w:r w:rsidRPr="00C02401" w:rsidR="00F45271">
        <w:rPr>
          <w:szCs w:val="24"/>
        </w:rPr>
        <w:t xml:space="preserve">.  </w:t>
      </w:r>
    </w:p>
    <w:p w:rsidR="00445817" w:rsidP="006B73BE" w14:paraId="307F269C" w14:textId="77777777"/>
    <w:p w:rsidR="006B73BE" w:rsidP="006B73BE" w14:paraId="18F8F15C" w14:textId="77777777">
      <w:r>
        <w:t>Operators will be required submit the required forms (OPID Assignment Request and Operator Registry Notification) electronically.  Operators unable to submit electronically can contact PHMSA for an alternate means of submission.</w:t>
      </w:r>
    </w:p>
    <w:p w:rsidR="001D224D" w:rsidRPr="00981917" w:rsidP="006B73BE" w14:paraId="2150233A" w14:textId="77777777">
      <w:pPr>
        <w:widowControl w:val="0"/>
        <w:tabs>
          <w:tab w:val="left" w:pos="540"/>
        </w:tabs>
        <w:rPr>
          <w:b/>
          <w:szCs w:val="24"/>
        </w:rPr>
      </w:pPr>
    </w:p>
    <w:p w:rsidR="006B73BE" w:rsidRPr="00C02401" w:rsidP="006B73BE" w14:paraId="1A642284" w14:textId="77777777">
      <w:pPr>
        <w:widowControl w:val="0"/>
        <w:numPr>
          <w:ilvl w:val="0"/>
          <w:numId w:val="11"/>
        </w:numPr>
        <w:tabs>
          <w:tab w:val="num" w:pos="-90"/>
          <w:tab w:val="left" w:pos="0"/>
          <w:tab w:val="left" w:pos="540"/>
          <w:tab w:val="clear" w:pos="720"/>
        </w:tabs>
        <w:ind w:left="-90" w:firstLine="0"/>
        <w:rPr>
          <w:szCs w:val="24"/>
        </w:rPr>
      </w:pPr>
      <w:r w:rsidRPr="00C02401">
        <w:rPr>
          <w:szCs w:val="24"/>
          <w:u w:val="single"/>
        </w:rPr>
        <w:t>Describe efforts to identify duplication.</w:t>
      </w:r>
      <w:r w:rsidRPr="00C02401">
        <w:rPr>
          <w:szCs w:val="24"/>
        </w:rPr>
        <w:t xml:space="preserve">   </w:t>
      </w:r>
    </w:p>
    <w:p w:rsidR="00445817" w:rsidP="006B73BE" w14:paraId="0E8CEF82" w14:textId="77777777">
      <w:pPr>
        <w:widowControl w:val="0"/>
        <w:tabs>
          <w:tab w:val="left" w:pos="0"/>
          <w:tab w:val="left" w:pos="540"/>
        </w:tabs>
        <w:ind w:left="-90"/>
      </w:pPr>
    </w:p>
    <w:p w:rsidR="000907D5" w:rsidRPr="00981917" w:rsidP="006B73BE" w14:paraId="4FCD01A0" w14:textId="77777777">
      <w:pPr>
        <w:widowControl w:val="0"/>
        <w:tabs>
          <w:tab w:val="left" w:pos="0"/>
          <w:tab w:val="left" w:pos="540"/>
        </w:tabs>
        <w:ind w:left="-90"/>
        <w:rPr>
          <w:b/>
          <w:szCs w:val="24"/>
        </w:rPr>
      </w:pPr>
      <w:r>
        <w:t>To date, PHMSA is the only entity that compiles a national database of regulated pipeline operators</w:t>
      </w:r>
    </w:p>
    <w:p w:rsidR="006B73BE" w:rsidP="000A6210" w14:paraId="06C44832" w14:textId="77777777">
      <w:pPr>
        <w:widowControl w:val="0"/>
        <w:tabs>
          <w:tab w:val="left" w:pos="540"/>
        </w:tabs>
        <w:rPr>
          <w:b/>
          <w:szCs w:val="24"/>
        </w:rPr>
      </w:pPr>
    </w:p>
    <w:p w:rsidR="001D224D" w:rsidRPr="00C02401" w:rsidP="006B73BE" w14:paraId="33125D50" w14:textId="77777777">
      <w:pPr>
        <w:widowControl w:val="0"/>
        <w:numPr>
          <w:ilvl w:val="0"/>
          <w:numId w:val="11"/>
        </w:numPr>
        <w:tabs>
          <w:tab w:val="left" w:pos="540"/>
        </w:tabs>
        <w:ind w:hanging="810"/>
        <w:rPr>
          <w:szCs w:val="24"/>
        </w:rPr>
      </w:pPr>
      <w:r w:rsidRPr="00C02401">
        <w:rPr>
          <w:szCs w:val="24"/>
          <w:u w:val="single"/>
        </w:rPr>
        <w:t xml:space="preserve">Efforts to minimize the </w:t>
      </w:r>
      <w:r w:rsidRPr="00C02401" w:rsidR="00CB30D6">
        <w:rPr>
          <w:szCs w:val="24"/>
          <w:u w:val="single"/>
        </w:rPr>
        <w:t>burden on</w:t>
      </w:r>
      <w:r w:rsidRPr="00C02401">
        <w:rPr>
          <w:szCs w:val="24"/>
          <w:u w:val="single"/>
        </w:rPr>
        <w:t xml:space="preserve"> small businesses</w:t>
      </w:r>
      <w:r w:rsidRPr="00C02401">
        <w:rPr>
          <w:szCs w:val="24"/>
        </w:rPr>
        <w:t xml:space="preserve">.  </w:t>
      </w:r>
    </w:p>
    <w:p w:rsidR="00445817" w:rsidRPr="00C02401" w:rsidP="006B73BE" w14:paraId="629293E9" w14:textId="77777777"/>
    <w:p w:rsidR="006B73BE" w:rsidP="006B73BE" w14:paraId="2C414749" w14:textId="77777777">
      <w:r>
        <w:t>PHMSA expects affected operators to be both large and small businesses.  However, this information is necessary for safety and tracking purposes regardless of business size.  There are currently no exceptions for small businesses.</w:t>
      </w:r>
    </w:p>
    <w:p w:rsidR="006B73BE" w:rsidRPr="00981917" w:rsidP="006B73BE" w14:paraId="5F5875BD" w14:textId="77777777">
      <w:pPr>
        <w:widowControl w:val="0"/>
        <w:tabs>
          <w:tab w:val="left" w:pos="540"/>
        </w:tabs>
        <w:rPr>
          <w:b/>
          <w:szCs w:val="24"/>
        </w:rPr>
      </w:pPr>
    </w:p>
    <w:p w:rsidR="00720D5B" w:rsidRPr="00981917" w:rsidP="00720D5B" w14:paraId="5FA9B2AB" w14:textId="77777777">
      <w:pPr>
        <w:widowControl w:val="0"/>
        <w:tabs>
          <w:tab w:val="left" w:pos="0"/>
          <w:tab w:val="left" w:pos="540"/>
        </w:tabs>
        <w:ind w:left="-90"/>
        <w:rPr>
          <w:szCs w:val="24"/>
        </w:rPr>
      </w:pPr>
    </w:p>
    <w:p w:rsidR="001D224D" w:rsidRPr="00C02401" w:rsidP="000A6210" w14:paraId="0C383040" w14:textId="77777777">
      <w:pPr>
        <w:widowControl w:val="0"/>
        <w:tabs>
          <w:tab w:val="left" w:pos="540"/>
        </w:tabs>
        <w:rPr>
          <w:szCs w:val="24"/>
        </w:rPr>
      </w:pPr>
      <w:r w:rsidRPr="00C02401">
        <w:rPr>
          <w:szCs w:val="24"/>
        </w:rPr>
        <w:t>6.</w:t>
      </w:r>
      <w:r w:rsidRPr="00C02401">
        <w:rPr>
          <w:szCs w:val="24"/>
        </w:rPr>
        <w:tab/>
      </w:r>
      <w:r w:rsidRPr="00C02401" w:rsidR="0014478D">
        <w:rPr>
          <w:szCs w:val="24"/>
          <w:u w:val="single"/>
        </w:rPr>
        <w:t>Impact of less frequent collection of information</w:t>
      </w:r>
      <w:r w:rsidRPr="00C02401" w:rsidR="0014478D">
        <w:rPr>
          <w:szCs w:val="24"/>
        </w:rPr>
        <w:t xml:space="preserve">.  </w:t>
      </w:r>
    </w:p>
    <w:p w:rsidR="00445817" w:rsidP="006B73BE" w14:paraId="629FD0D4" w14:textId="77777777"/>
    <w:p w:rsidR="006B73BE" w:rsidP="006B73BE" w14:paraId="281B3D18" w14:textId="77777777">
      <w:pPr>
        <w:rPr>
          <w:b/>
          <w:bCs/>
        </w:rPr>
      </w:pPr>
      <w:r>
        <w:t xml:space="preserve">The information collection is event driven and therefore cannot be conducted less frequently.  PHMSA would be unable to appropriately and properly assess its regulated community.  Less frequent information collection could compromise the safety and economic viability of the U.S. pipeline system.  </w:t>
      </w:r>
    </w:p>
    <w:p w:rsidR="006B73BE" w:rsidP="000A6210" w14:paraId="380380A9" w14:textId="77777777">
      <w:pPr>
        <w:widowControl w:val="0"/>
        <w:tabs>
          <w:tab w:val="left" w:pos="540"/>
        </w:tabs>
        <w:rPr>
          <w:b/>
          <w:szCs w:val="24"/>
        </w:rPr>
      </w:pPr>
    </w:p>
    <w:p w:rsidR="001D224D" w:rsidRPr="00C02401" w:rsidP="000A6210" w14:paraId="796B9D0C" w14:textId="77777777">
      <w:pPr>
        <w:widowControl w:val="0"/>
        <w:tabs>
          <w:tab w:val="left" w:pos="540"/>
        </w:tabs>
        <w:rPr>
          <w:szCs w:val="24"/>
        </w:rPr>
      </w:pPr>
      <w:r w:rsidRPr="00C02401">
        <w:rPr>
          <w:szCs w:val="24"/>
        </w:rPr>
        <w:t>7.</w:t>
      </w:r>
      <w:r w:rsidRPr="00C02401">
        <w:rPr>
          <w:szCs w:val="24"/>
        </w:rPr>
        <w:tab/>
      </w:r>
      <w:r w:rsidRPr="00C02401" w:rsidR="0014478D">
        <w:rPr>
          <w:szCs w:val="24"/>
          <w:u w:val="single"/>
        </w:rPr>
        <w:t>Special Circumstances</w:t>
      </w:r>
      <w:r w:rsidRPr="00C02401" w:rsidR="0014478D">
        <w:rPr>
          <w:szCs w:val="24"/>
        </w:rPr>
        <w:t xml:space="preserve">.  </w:t>
      </w:r>
    </w:p>
    <w:p w:rsidR="00445817" w:rsidP="006B73BE" w14:paraId="3074C468" w14:textId="77777777"/>
    <w:p w:rsidR="006B73BE" w:rsidP="006B73BE" w14:paraId="0A9F84C1" w14:textId="77777777">
      <w:r>
        <w:t>No special circumstances apply with this regulation.</w:t>
      </w:r>
    </w:p>
    <w:p w:rsidR="006B73BE" w:rsidP="00492398" w14:paraId="24B491B8" w14:textId="77777777">
      <w:pPr>
        <w:widowControl w:val="0"/>
        <w:tabs>
          <w:tab w:val="left" w:pos="540"/>
        </w:tabs>
        <w:rPr>
          <w:b/>
          <w:szCs w:val="24"/>
        </w:rPr>
      </w:pPr>
    </w:p>
    <w:p w:rsidR="001D224D" w:rsidRPr="00C02401" w:rsidP="00492398" w14:paraId="3E46FCC3" w14:textId="77777777">
      <w:pPr>
        <w:widowControl w:val="0"/>
        <w:tabs>
          <w:tab w:val="left" w:pos="540"/>
        </w:tabs>
        <w:rPr>
          <w:szCs w:val="24"/>
        </w:rPr>
      </w:pPr>
      <w:r w:rsidRPr="00C02401">
        <w:rPr>
          <w:szCs w:val="24"/>
        </w:rPr>
        <w:t>8.</w:t>
      </w:r>
      <w:r w:rsidRPr="00C02401">
        <w:rPr>
          <w:szCs w:val="24"/>
        </w:rPr>
        <w:tab/>
      </w:r>
      <w:r w:rsidRPr="00C02401" w:rsidR="0026419F">
        <w:rPr>
          <w:szCs w:val="24"/>
          <w:u w:val="single"/>
        </w:rPr>
        <w:t>Compliance with 5 CFR 1320.8(d)</w:t>
      </w:r>
      <w:r w:rsidRPr="00C02401" w:rsidR="0026419F">
        <w:rPr>
          <w:szCs w:val="24"/>
        </w:rPr>
        <w:t xml:space="preserve">.  </w:t>
      </w:r>
    </w:p>
    <w:p w:rsidR="00445817" w:rsidP="00445817" w14:paraId="445B922A" w14:textId="77777777">
      <w:pPr>
        <w:rPr>
          <w:szCs w:val="24"/>
        </w:rPr>
      </w:pPr>
    </w:p>
    <w:p w:rsidR="002E5880" w:rsidRPr="00C04044" w:rsidP="00C04044" w14:paraId="6797C24B" w14:textId="79F51380">
      <w:pPr>
        <w:autoSpaceDE w:val="0"/>
        <w:autoSpaceDN w:val="0"/>
        <w:adjustRightInd w:val="0"/>
        <w:rPr>
          <w:rFonts w:eastAsia="Arial Unicode MS"/>
          <w:color w:val="000000"/>
        </w:rPr>
      </w:pPr>
      <w:bookmarkStart w:id="0" w:name="_Hlk78293520"/>
      <w:r>
        <w:rPr>
          <w:rFonts w:eastAsia="Arial Unicode MS"/>
          <w:color w:val="000000"/>
        </w:rPr>
        <w:t xml:space="preserve">PHMSA maintains an “open-door” policy with its stakeholders where continual engagement on ways to improve pipeline safety are routine.  </w:t>
      </w:r>
      <w:bookmarkEnd w:id="0"/>
      <w:r>
        <w:rPr>
          <w:color w:val="000000"/>
        </w:rPr>
        <w:t>O</w:t>
      </w:r>
      <w:r w:rsidRPr="00ED7DA3">
        <w:rPr>
          <w:color w:val="000000"/>
        </w:rPr>
        <w:t xml:space="preserve">n </w:t>
      </w:r>
      <w:r>
        <w:rPr>
          <w:color w:val="000000"/>
        </w:rPr>
        <w:t xml:space="preserve">October 10, 2024, </w:t>
      </w:r>
      <w:r w:rsidRPr="00ED7DA3">
        <w:rPr>
          <w:color w:val="000000"/>
        </w:rPr>
        <w:t>PHMSA published a Federal Register notice (</w:t>
      </w:r>
      <w:r>
        <w:rPr>
          <w:color w:val="000000"/>
        </w:rPr>
        <w:t>89 FR 82294</w:t>
      </w:r>
      <w:r w:rsidRPr="00ED7DA3">
        <w:rPr>
          <w:color w:val="000000"/>
        </w:rPr>
        <w:t xml:space="preserve">) with a 60-day comment </w:t>
      </w:r>
      <w:r w:rsidRPr="00437C74">
        <w:rPr>
          <w:color w:val="000000"/>
          <w:szCs w:val="24"/>
        </w:rPr>
        <w:t xml:space="preserve">period soliciting comments </w:t>
      </w:r>
      <w:r w:rsidRPr="00437C74">
        <w:rPr>
          <w:rFonts w:eastAsia="Arial Unicode MS"/>
          <w:color w:val="000000" w:themeColor="text1"/>
          <w:szCs w:val="24"/>
        </w:rPr>
        <w:t xml:space="preserve">on its intent to request OMB’s </w:t>
      </w:r>
      <w:r>
        <w:rPr>
          <w:rFonts w:eastAsia="Arial Unicode MS"/>
          <w:color w:val="000000" w:themeColor="text1"/>
          <w:szCs w:val="24"/>
        </w:rPr>
        <w:t xml:space="preserve">renewed </w:t>
      </w:r>
      <w:r w:rsidRPr="00437C74">
        <w:rPr>
          <w:rFonts w:eastAsia="Arial Unicode MS"/>
          <w:color w:val="000000" w:themeColor="text1"/>
          <w:szCs w:val="24"/>
        </w:rPr>
        <w:t>approval of</w:t>
      </w:r>
      <w:r w:rsidRPr="0093431D">
        <w:rPr>
          <w:bCs/>
        </w:rPr>
        <w:t xml:space="preserve"> </w:t>
      </w:r>
      <w:r>
        <w:rPr>
          <w:bCs/>
        </w:rPr>
        <w:t xml:space="preserve">this information collection.  PHMSA received no comments regarding this information collection request. </w:t>
      </w:r>
    </w:p>
    <w:p w:rsidR="00CC3C89" w:rsidRPr="00445817" w:rsidP="00445817" w14:paraId="7FCD85BF" w14:textId="77777777">
      <w:pPr>
        <w:rPr>
          <w:szCs w:val="24"/>
        </w:rPr>
      </w:pPr>
    </w:p>
    <w:p w:rsidR="00207B41" w:rsidRPr="00C02401" w:rsidP="00207B41" w14:paraId="0A90F324" w14:textId="77777777">
      <w:pPr>
        <w:rPr>
          <w:bCs/>
          <w:u w:val="single"/>
        </w:rPr>
      </w:pPr>
      <w:r w:rsidRPr="00C02401">
        <w:rPr>
          <w:bCs/>
        </w:rPr>
        <w:t>9.</w:t>
      </w:r>
      <w:r w:rsidRPr="00C02401">
        <w:rPr>
          <w:bCs/>
        </w:rPr>
        <w:tab/>
      </w:r>
      <w:r w:rsidRPr="00C02401">
        <w:rPr>
          <w:bCs/>
          <w:u w:val="single"/>
        </w:rPr>
        <w:t>Payments or gifts to respondents.</w:t>
      </w:r>
    </w:p>
    <w:p w:rsidR="00445817" w:rsidP="00207B41" w14:paraId="75CC5E34" w14:textId="77777777">
      <w:pPr>
        <w:widowControl w:val="0"/>
        <w:tabs>
          <w:tab w:val="left" w:pos="540"/>
        </w:tabs>
      </w:pPr>
    </w:p>
    <w:p w:rsidR="00AA1704" w:rsidRPr="00981917" w:rsidP="00207B41" w14:paraId="3C46DE96" w14:textId="77777777">
      <w:pPr>
        <w:widowControl w:val="0"/>
        <w:tabs>
          <w:tab w:val="left" w:pos="540"/>
        </w:tabs>
        <w:rPr>
          <w:szCs w:val="24"/>
        </w:rPr>
      </w:pPr>
      <w:r>
        <w:t>PHMSA will not provide payments or gifts to respondents.</w:t>
      </w:r>
      <w:r w:rsidRPr="00981917">
        <w:rPr>
          <w:szCs w:val="24"/>
        </w:rPr>
        <w:t xml:space="preserve"> </w:t>
      </w:r>
    </w:p>
    <w:p w:rsidR="00207B41" w:rsidP="00AA1704" w14:paraId="05D5F757" w14:textId="77777777">
      <w:pPr>
        <w:widowControl w:val="0"/>
        <w:tabs>
          <w:tab w:val="left" w:pos="540"/>
        </w:tabs>
        <w:rPr>
          <w:b/>
          <w:szCs w:val="24"/>
        </w:rPr>
      </w:pPr>
    </w:p>
    <w:p w:rsidR="001D224D" w:rsidRPr="00C02401" w:rsidP="00AA1704" w14:paraId="7C7E65B8" w14:textId="77777777">
      <w:pPr>
        <w:widowControl w:val="0"/>
        <w:tabs>
          <w:tab w:val="left" w:pos="540"/>
        </w:tabs>
        <w:rPr>
          <w:szCs w:val="24"/>
        </w:rPr>
      </w:pPr>
      <w:r w:rsidRPr="00C02401">
        <w:rPr>
          <w:szCs w:val="24"/>
        </w:rPr>
        <w:t>10.</w:t>
      </w:r>
      <w:r w:rsidRPr="00C02401">
        <w:rPr>
          <w:szCs w:val="24"/>
        </w:rPr>
        <w:tab/>
      </w:r>
      <w:r w:rsidRPr="00C02401" w:rsidR="0026419F">
        <w:rPr>
          <w:szCs w:val="24"/>
          <w:u w:val="single"/>
        </w:rPr>
        <w:t>Assurance of confidentiality</w:t>
      </w:r>
      <w:r w:rsidRPr="00C02401" w:rsidR="0026419F">
        <w:rPr>
          <w:szCs w:val="24"/>
        </w:rPr>
        <w:t xml:space="preserve">.  </w:t>
      </w:r>
    </w:p>
    <w:p w:rsidR="00445817" w:rsidP="000A6210" w14:paraId="18114EFD" w14:textId="77777777">
      <w:pPr>
        <w:widowControl w:val="0"/>
        <w:tabs>
          <w:tab w:val="left" w:pos="540"/>
        </w:tabs>
        <w:rPr>
          <w:bCs/>
        </w:rPr>
      </w:pPr>
    </w:p>
    <w:p w:rsidR="00AA1704" w:rsidP="000A6210" w14:paraId="6B0FFF39" w14:textId="77777777">
      <w:pPr>
        <w:widowControl w:val="0"/>
        <w:tabs>
          <w:tab w:val="left" w:pos="540"/>
        </w:tabs>
        <w:rPr>
          <w:bCs/>
        </w:rPr>
      </w:pPr>
      <w:r>
        <w:rPr>
          <w:bCs/>
        </w:rPr>
        <w:t xml:space="preserve">PHMSA does not </w:t>
      </w:r>
      <w:r w:rsidR="00445817">
        <w:rPr>
          <w:bCs/>
        </w:rPr>
        <w:t xml:space="preserve">have the authority to guarantee </w:t>
      </w:r>
      <w:r>
        <w:rPr>
          <w:bCs/>
        </w:rPr>
        <w:t>confidentiality</w:t>
      </w:r>
      <w:r w:rsidR="000759EC">
        <w:rPr>
          <w:bCs/>
        </w:rPr>
        <w:t>, moreover, t</w:t>
      </w:r>
      <w:r>
        <w:rPr>
          <w:bCs/>
        </w:rPr>
        <w:t xml:space="preserve">he requirements of this information collection do not include anything of a sensitive nature or of any matters </w:t>
      </w:r>
      <w:r>
        <w:rPr>
          <w:bCs/>
        </w:rPr>
        <w:t xml:space="preserve">considered confidential. </w:t>
      </w:r>
    </w:p>
    <w:p w:rsidR="00207B41" w:rsidRPr="00981917" w:rsidP="000A6210" w14:paraId="5FBF1A34" w14:textId="77777777">
      <w:pPr>
        <w:widowControl w:val="0"/>
        <w:tabs>
          <w:tab w:val="left" w:pos="540"/>
        </w:tabs>
        <w:rPr>
          <w:b/>
          <w:szCs w:val="24"/>
        </w:rPr>
      </w:pPr>
    </w:p>
    <w:p w:rsidR="001D224D" w:rsidRPr="00C02401" w:rsidP="00AA1704" w14:paraId="415D1754" w14:textId="77777777">
      <w:pPr>
        <w:widowControl w:val="0"/>
        <w:tabs>
          <w:tab w:val="left" w:pos="540"/>
        </w:tabs>
        <w:rPr>
          <w:szCs w:val="24"/>
        </w:rPr>
      </w:pPr>
      <w:r w:rsidRPr="00C02401">
        <w:rPr>
          <w:szCs w:val="24"/>
        </w:rPr>
        <w:t>11.</w:t>
      </w:r>
      <w:r w:rsidRPr="00C02401">
        <w:rPr>
          <w:szCs w:val="24"/>
        </w:rPr>
        <w:tab/>
      </w:r>
      <w:r w:rsidRPr="00C02401" w:rsidR="006C0638">
        <w:rPr>
          <w:szCs w:val="24"/>
          <w:u w:val="single"/>
        </w:rPr>
        <w:t>Justification for collection of sensitive information</w:t>
      </w:r>
      <w:r w:rsidRPr="00C02401" w:rsidR="006C0638">
        <w:rPr>
          <w:szCs w:val="24"/>
        </w:rPr>
        <w:t xml:space="preserve">.  </w:t>
      </w:r>
    </w:p>
    <w:p w:rsidR="00445817" w:rsidP="00207B41" w14:paraId="2B54D493" w14:textId="77777777">
      <w:pPr>
        <w:jc w:val="both"/>
      </w:pPr>
    </w:p>
    <w:p w:rsidR="00207B41" w:rsidP="00207B41" w14:paraId="706BC3D2" w14:textId="77777777">
      <w:pPr>
        <w:jc w:val="both"/>
      </w:pPr>
      <w:r>
        <w:t>The requirements of this information collection do not involve questions of a sensitive nature.</w:t>
      </w:r>
    </w:p>
    <w:p w:rsidR="00AA1704" w:rsidRPr="00981917" w:rsidP="000A6210" w14:paraId="714446DF" w14:textId="77777777">
      <w:pPr>
        <w:widowControl w:val="0"/>
        <w:tabs>
          <w:tab w:val="left" w:pos="540"/>
        </w:tabs>
        <w:rPr>
          <w:b/>
          <w:szCs w:val="24"/>
        </w:rPr>
      </w:pPr>
    </w:p>
    <w:p w:rsidR="0012012B" w:rsidP="00207B41" w14:paraId="635FD551" w14:textId="77777777">
      <w:pPr>
        <w:widowControl w:val="0"/>
        <w:tabs>
          <w:tab w:val="left" w:pos="540"/>
        </w:tabs>
        <w:rPr>
          <w:b/>
          <w:szCs w:val="24"/>
        </w:rPr>
      </w:pPr>
      <w:r w:rsidRPr="00C02401">
        <w:rPr>
          <w:szCs w:val="24"/>
        </w:rPr>
        <w:t>12.</w:t>
      </w:r>
      <w:r w:rsidRPr="00981917">
        <w:rPr>
          <w:b/>
          <w:szCs w:val="24"/>
        </w:rPr>
        <w:tab/>
      </w:r>
      <w:r w:rsidRPr="00C02401" w:rsidR="006C0638">
        <w:rPr>
          <w:szCs w:val="24"/>
          <w:u w:val="single"/>
        </w:rPr>
        <w:t>Estimate of burden hours for information requested.</w:t>
      </w:r>
      <w:r w:rsidRPr="00981917" w:rsidR="006C0638">
        <w:rPr>
          <w:b/>
          <w:szCs w:val="24"/>
          <w:u w:val="single"/>
        </w:rPr>
        <w:t xml:space="preserve"> </w:t>
      </w:r>
      <w:r w:rsidRPr="00981917" w:rsidR="006C0638">
        <w:rPr>
          <w:b/>
          <w:szCs w:val="24"/>
        </w:rPr>
        <w:t xml:space="preserve"> </w:t>
      </w:r>
    </w:p>
    <w:p w:rsidR="00C02401" w:rsidP="00207B41" w14:paraId="6E876B73" w14:textId="77777777">
      <w:pPr>
        <w:widowControl w:val="0"/>
        <w:tabs>
          <w:tab w:val="left" w:pos="540"/>
        </w:tabs>
        <w:rPr>
          <w:b/>
          <w:szCs w:val="24"/>
        </w:rPr>
      </w:pPr>
    </w:p>
    <w:tbl>
      <w:tblPr>
        <w:tblStyle w:val="TableGrid"/>
        <w:tblW w:w="0" w:type="auto"/>
        <w:tblInd w:w="720" w:type="dxa"/>
        <w:tblLook w:val="04A0"/>
      </w:tblPr>
      <w:tblGrid>
        <w:gridCol w:w="4315"/>
        <w:gridCol w:w="4315"/>
      </w:tblGrid>
      <w:tr w14:paraId="347A6F14" w14:textId="77777777" w:rsidTr="0094546A">
        <w:tblPrEx>
          <w:tblW w:w="0" w:type="auto"/>
          <w:tblInd w:w="720" w:type="dxa"/>
          <w:tblLook w:val="04A0"/>
        </w:tblPrEx>
        <w:tc>
          <w:tcPr>
            <w:tcW w:w="4675" w:type="dxa"/>
          </w:tcPr>
          <w:p w:rsidR="0094546A" w:rsidP="0094546A" w14:paraId="4537CCE4" w14:textId="76CB5B97">
            <w:pPr>
              <w:rPr>
                <w:szCs w:val="24"/>
              </w:rPr>
            </w:pPr>
            <w:r w:rsidRPr="00C02401">
              <w:rPr>
                <w:szCs w:val="24"/>
              </w:rPr>
              <w:t xml:space="preserve">Currently Approved Responses: </w:t>
            </w:r>
            <w:r>
              <w:rPr>
                <w:szCs w:val="24"/>
              </w:rPr>
              <w:t>7</w:t>
            </w:r>
            <w:r w:rsidR="00C04044">
              <w:rPr>
                <w:szCs w:val="24"/>
              </w:rPr>
              <w:t>44</w:t>
            </w:r>
            <w:r w:rsidR="00FC3507">
              <w:rPr>
                <w:szCs w:val="24"/>
              </w:rPr>
              <w:t xml:space="preserve"> hours</w:t>
            </w:r>
          </w:p>
        </w:tc>
        <w:tc>
          <w:tcPr>
            <w:tcW w:w="4675" w:type="dxa"/>
          </w:tcPr>
          <w:p w:rsidR="0094546A" w:rsidP="0094546A" w14:paraId="08BC223F" w14:textId="6775FBB6">
            <w:pPr>
              <w:rPr>
                <w:szCs w:val="24"/>
              </w:rPr>
            </w:pPr>
            <w:r w:rsidRPr="00C02401">
              <w:rPr>
                <w:szCs w:val="24"/>
              </w:rPr>
              <w:t xml:space="preserve">Estimated Annual Responses: </w:t>
            </w:r>
            <w:r>
              <w:rPr>
                <w:szCs w:val="24"/>
              </w:rPr>
              <w:t>744</w:t>
            </w:r>
          </w:p>
        </w:tc>
      </w:tr>
      <w:tr w14:paraId="7121720D" w14:textId="77777777" w:rsidTr="0094546A">
        <w:tblPrEx>
          <w:tblW w:w="0" w:type="auto"/>
          <w:tblInd w:w="720" w:type="dxa"/>
          <w:tblLook w:val="04A0"/>
        </w:tblPrEx>
        <w:tc>
          <w:tcPr>
            <w:tcW w:w="4675" w:type="dxa"/>
          </w:tcPr>
          <w:p w:rsidR="0094546A" w:rsidP="0094546A" w14:paraId="580421D7" w14:textId="551D4433">
            <w:pPr>
              <w:rPr>
                <w:szCs w:val="24"/>
              </w:rPr>
            </w:pPr>
            <w:r w:rsidRPr="00C02401">
              <w:rPr>
                <w:szCs w:val="24"/>
              </w:rPr>
              <w:t xml:space="preserve">Currently Approved Hours: </w:t>
            </w:r>
            <w:r>
              <w:rPr>
                <w:szCs w:val="24"/>
              </w:rPr>
              <w:t>7</w:t>
            </w:r>
            <w:r w:rsidR="00C04044">
              <w:rPr>
                <w:szCs w:val="24"/>
              </w:rPr>
              <w:t>44</w:t>
            </w:r>
            <w:r w:rsidRPr="00C02401">
              <w:rPr>
                <w:szCs w:val="24"/>
              </w:rPr>
              <w:t xml:space="preserve"> hours</w:t>
            </w:r>
          </w:p>
        </w:tc>
        <w:tc>
          <w:tcPr>
            <w:tcW w:w="4675" w:type="dxa"/>
          </w:tcPr>
          <w:p w:rsidR="0094546A" w:rsidP="0094546A" w14:paraId="31930B33" w14:textId="3DF8C255">
            <w:pPr>
              <w:rPr>
                <w:szCs w:val="24"/>
              </w:rPr>
            </w:pPr>
            <w:r w:rsidRPr="00C02401">
              <w:rPr>
                <w:szCs w:val="24"/>
              </w:rPr>
              <w:t xml:space="preserve">Estimated Burden Hours: </w:t>
            </w:r>
            <w:r>
              <w:rPr>
                <w:szCs w:val="24"/>
              </w:rPr>
              <w:t>744</w:t>
            </w:r>
            <w:r w:rsidRPr="00C02401">
              <w:rPr>
                <w:szCs w:val="24"/>
              </w:rPr>
              <w:t xml:space="preserve"> hours</w:t>
            </w:r>
          </w:p>
        </w:tc>
      </w:tr>
    </w:tbl>
    <w:p w:rsidR="00C02401" w:rsidRPr="00C02401" w:rsidP="0094546A" w14:paraId="07DA912D" w14:textId="6183E958">
      <w:pPr>
        <w:rPr>
          <w:szCs w:val="24"/>
        </w:rPr>
      </w:pPr>
      <w:r w:rsidRPr="00C02401">
        <w:rPr>
          <w:szCs w:val="24"/>
        </w:rPr>
        <w:t xml:space="preserve">    </w:t>
      </w:r>
      <w:r w:rsidRPr="00C02401">
        <w:rPr>
          <w:szCs w:val="24"/>
        </w:rPr>
        <w:tab/>
        <w:t xml:space="preserve">        </w:t>
      </w:r>
    </w:p>
    <w:p w:rsidR="00C02401" w:rsidP="00207B41" w14:paraId="3D06C9E6" w14:textId="77777777">
      <w:pPr>
        <w:widowControl w:val="0"/>
        <w:tabs>
          <w:tab w:val="left" w:pos="540"/>
        </w:tabs>
        <w:rPr>
          <w:b/>
          <w:szCs w:val="24"/>
        </w:rPr>
      </w:pPr>
    </w:p>
    <w:p w:rsidR="00207B41" w:rsidRPr="00A76753" w:rsidP="00207B41" w14:paraId="3081152C" w14:textId="77777777">
      <w:pPr>
        <w:rPr>
          <w:b/>
          <w:u w:val="single"/>
        </w:rPr>
      </w:pPr>
      <w:r w:rsidRPr="00A76753">
        <w:rPr>
          <w:b/>
          <w:u w:val="single"/>
        </w:rPr>
        <w:t xml:space="preserve">Burden for </w:t>
      </w:r>
      <w:r w:rsidRPr="00A76753">
        <w:rPr>
          <w:b/>
          <w:u w:val="single"/>
        </w:rPr>
        <w:t xml:space="preserve">OPID Assignment </w:t>
      </w:r>
      <w:r w:rsidRPr="00A76753">
        <w:rPr>
          <w:b/>
          <w:u w:val="single"/>
        </w:rPr>
        <w:t xml:space="preserve">Registry </w:t>
      </w:r>
      <w:r>
        <w:rPr>
          <w:b/>
          <w:u w:val="single"/>
        </w:rPr>
        <w:t>(</w:t>
      </w:r>
      <w:r w:rsidR="004B0C89">
        <w:rPr>
          <w:b/>
          <w:u w:val="single"/>
        </w:rPr>
        <w:t xml:space="preserve">Form </w:t>
      </w:r>
      <w:r>
        <w:rPr>
          <w:b/>
          <w:u w:val="single"/>
        </w:rPr>
        <w:t>PHMSA F</w:t>
      </w:r>
      <w:r w:rsidR="004B0C89">
        <w:rPr>
          <w:b/>
          <w:u w:val="single"/>
        </w:rPr>
        <w:t xml:space="preserve"> 1000.1</w:t>
      </w:r>
      <w:r>
        <w:rPr>
          <w:b/>
          <w:u w:val="single"/>
        </w:rPr>
        <w:t>)</w:t>
      </w:r>
    </w:p>
    <w:p w:rsidR="00A76753" w:rsidRPr="00A76753" w:rsidP="00A76753" w14:paraId="631603B0" w14:textId="562F2589">
      <w:pPr>
        <w:rPr>
          <w:szCs w:val="24"/>
        </w:rPr>
      </w:pPr>
      <w:r>
        <w:rPr>
          <w:szCs w:val="24"/>
        </w:rPr>
        <w:t>Currently</w:t>
      </w:r>
      <w:r w:rsidRPr="00A76753">
        <w:rPr>
          <w:szCs w:val="24"/>
        </w:rPr>
        <w:t xml:space="preserve"> Approved burden: </w:t>
      </w:r>
      <w:r>
        <w:rPr>
          <w:szCs w:val="24"/>
        </w:rPr>
        <w:t>275</w:t>
      </w:r>
      <w:r w:rsidRPr="00A76753">
        <w:rPr>
          <w:szCs w:val="24"/>
        </w:rPr>
        <w:t xml:space="preserve"> responses and </w:t>
      </w:r>
      <w:r>
        <w:rPr>
          <w:szCs w:val="24"/>
        </w:rPr>
        <w:t>275</w:t>
      </w:r>
      <w:r w:rsidRPr="00A76753">
        <w:rPr>
          <w:szCs w:val="24"/>
        </w:rPr>
        <w:t xml:space="preserve"> burden hours </w:t>
      </w:r>
    </w:p>
    <w:p w:rsidR="00A76753" w:rsidRPr="00A76753" w:rsidP="00A76753" w14:paraId="14EC8DA1" w14:textId="1D09E55B">
      <w:pPr>
        <w:rPr>
          <w:b/>
          <w:i/>
          <w:szCs w:val="24"/>
        </w:rPr>
      </w:pPr>
      <w:r w:rsidRPr="00A76753">
        <w:rPr>
          <w:b/>
          <w:i/>
          <w:szCs w:val="24"/>
        </w:rPr>
        <w:t xml:space="preserve">Estimated total burden: </w:t>
      </w:r>
      <w:r>
        <w:rPr>
          <w:b/>
          <w:i/>
          <w:szCs w:val="24"/>
        </w:rPr>
        <w:t>2</w:t>
      </w:r>
      <w:r w:rsidR="00871E81">
        <w:rPr>
          <w:b/>
          <w:i/>
          <w:szCs w:val="24"/>
        </w:rPr>
        <w:t>75</w:t>
      </w:r>
      <w:r w:rsidRPr="00A76753">
        <w:rPr>
          <w:b/>
          <w:i/>
          <w:szCs w:val="24"/>
        </w:rPr>
        <w:t xml:space="preserve"> responses and </w:t>
      </w:r>
      <w:r>
        <w:rPr>
          <w:b/>
          <w:i/>
          <w:szCs w:val="24"/>
        </w:rPr>
        <w:t>2</w:t>
      </w:r>
      <w:r w:rsidR="00871E81">
        <w:rPr>
          <w:b/>
          <w:i/>
          <w:szCs w:val="24"/>
        </w:rPr>
        <w:t>75</w:t>
      </w:r>
      <w:r w:rsidRPr="00A76753">
        <w:rPr>
          <w:b/>
          <w:i/>
          <w:szCs w:val="24"/>
        </w:rPr>
        <w:t xml:space="preserve"> burden </w:t>
      </w:r>
      <w:r w:rsidRPr="00A76753">
        <w:rPr>
          <w:b/>
          <w:i/>
          <w:szCs w:val="24"/>
        </w:rPr>
        <w:t>hours</w:t>
      </w:r>
      <w:r w:rsidRPr="00A76753">
        <w:rPr>
          <w:b/>
          <w:i/>
          <w:szCs w:val="24"/>
        </w:rPr>
        <w:t xml:space="preserve">  </w:t>
      </w:r>
    </w:p>
    <w:p w:rsidR="00A76753" w:rsidP="00B53ECB" w14:paraId="520228C3" w14:textId="77777777"/>
    <w:p w:rsidR="00367ED9" w:rsidP="000B389C" w14:paraId="33534F44" w14:textId="4A08F94A">
      <w:pPr>
        <w:rPr>
          <w:iCs/>
        </w:rPr>
      </w:pPr>
      <w:r>
        <w:t xml:space="preserve">PHMSA currently receives an estimated </w:t>
      </w:r>
      <w:r w:rsidR="000B389C">
        <w:t>2</w:t>
      </w:r>
      <w:r w:rsidR="00C04044">
        <w:t>75</w:t>
      </w:r>
      <w:r>
        <w:t xml:space="preserve"> OPID </w:t>
      </w:r>
      <w:r w:rsidR="000B389C">
        <w:t xml:space="preserve">requests annually. </w:t>
      </w:r>
      <w:r w:rsidR="00C04044">
        <w:t xml:space="preserve">There are no plans to adjust the estimated burden </w:t>
      </w:r>
      <w:r w:rsidR="00C04044">
        <w:t>at this time</w:t>
      </w:r>
      <w:r w:rsidR="00C04044">
        <w:t xml:space="preserve">. </w:t>
      </w:r>
    </w:p>
    <w:p w:rsidR="00762F2A" w:rsidP="00207B41" w14:paraId="0C578B3F" w14:textId="77777777">
      <w:pPr>
        <w:rPr>
          <w:b/>
        </w:rPr>
      </w:pPr>
    </w:p>
    <w:p w:rsidR="00207B41" w:rsidRPr="00A11EF0" w:rsidP="00207B41" w14:paraId="1585AFA7" w14:textId="1C254CD5">
      <w:pPr>
        <w:rPr>
          <w:b/>
          <w:u w:val="single"/>
        </w:rPr>
      </w:pPr>
      <w:r w:rsidRPr="00A11EF0">
        <w:rPr>
          <w:b/>
          <w:u w:val="single"/>
        </w:rPr>
        <w:t>Burden for Operator Notifications</w:t>
      </w:r>
      <w:r w:rsidR="00AE73D0">
        <w:rPr>
          <w:b/>
          <w:u w:val="single"/>
        </w:rPr>
        <w:t xml:space="preserve"> </w:t>
      </w:r>
      <w:r w:rsidRPr="00A11EF0" w:rsidR="004B0C89">
        <w:rPr>
          <w:b/>
          <w:u w:val="single"/>
        </w:rPr>
        <w:t>(Form PHMSA F 1000.2)</w:t>
      </w:r>
    </w:p>
    <w:p w:rsidR="00A76753" w:rsidRPr="00A76753" w:rsidP="00A76753" w14:paraId="44B0633F" w14:textId="544047FC">
      <w:pPr>
        <w:rPr>
          <w:szCs w:val="24"/>
        </w:rPr>
      </w:pPr>
      <w:r>
        <w:rPr>
          <w:szCs w:val="24"/>
        </w:rPr>
        <w:t>Currently</w:t>
      </w:r>
      <w:r w:rsidRPr="00A76753">
        <w:rPr>
          <w:szCs w:val="24"/>
        </w:rPr>
        <w:t xml:space="preserve"> Approved burden: </w:t>
      </w:r>
      <w:r>
        <w:rPr>
          <w:szCs w:val="24"/>
        </w:rPr>
        <w:t>4</w:t>
      </w:r>
      <w:r>
        <w:rPr>
          <w:szCs w:val="24"/>
        </w:rPr>
        <w:t>69</w:t>
      </w:r>
      <w:r w:rsidRPr="00A76753">
        <w:rPr>
          <w:szCs w:val="24"/>
        </w:rPr>
        <w:t xml:space="preserve"> responses and </w:t>
      </w:r>
      <w:r>
        <w:rPr>
          <w:szCs w:val="24"/>
        </w:rPr>
        <w:t>4</w:t>
      </w:r>
      <w:r>
        <w:rPr>
          <w:szCs w:val="24"/>
        </w:rPr>
        <w:t>69</w:t>
      </w:r>
      <w:r w:rsidRPr="00A76753">
        <w:rPr>
          <w:szCs w:val="24"/>
        </w:rPr>
        <w:t xml:space="preserve"> burden hours </w:t>
      </w:r>
    </w:p>
    <w:p w:rsidR="00A76753" w:rsidRPr="00A76753" w:rsidP="00A76753" w14:paraId="47F475AC" w14:textId="1DB59CF1">
      <w:pPr>
        <w:rPr>
          <w:b/>
          <w:i/>
          <w:szCs w:val="24"/>
        </w:rPr>
      </w:pPr>
      <w:r w:rsidRPr="00A76753">
        <w:rPr>
          <w:b/>
          <w:i/>
          <w:szCs w:val="24"/>
        </w:rPr>
        <w:t xml:space="preserve">Estimated total burden: </w:t>
      </w:r>
      <w:r>
        <w:rPr>
          <w:b/>
          <w:i/>
          <w:szCs w:val="24"/>
        </w:rPr>
        <w:t>4</w:t>
      </w:r>
      <w:r w:rsidR="00871E81">
        <w:rPr>
          <w:b/>
          <w:i/>
          <w:szCs w:val="24"/>
        </w:rPr>
        <w:t>69</w:t>
      </w:r>
      <w:r w:rsidRPr="00A76753">
        <w:rPr>
          <w:b/>
          <w:i/>
          <w:szCs w:val="24"/>
        </w:rPr>
        <w:t xml:space="preserve"> responses and </w:t>
      </w:r>
      <w:r>
        <w:rPr>
          <w:b/>
          <w:i/>
          <w:szCs w:val="24"/>
        </w:rPr>
        <w:t>4</w:t>
      </w:r>
      <w:r w:rsidR="00871E81">
        <w:rPr>
          <w:b/>
          <w:i/>
          <w:szCs w:val="24"/>
        </w:rPr>
        <w:t>69</w:t>
      </w:r>
      <w:r w:rsidRPr="00A76753">
        <w:rPr>
          <w:b/>
          <w:i/>
          <w:szCs w:val="24"/>
        </w:rPr>
        <w:t xml:space="preserve"> burden </w:t>
      </w:r>
      <w:r w:rsidRPr="00A76753">
        <w:rPr>
          <w:b/>
          <w:i/>
          <w:szCs w:val="24"/>
        </w:rPr>
        <w:t>hours</w:t>
      </w:r>
      <w:r w:rsidRPr="00A76753">
        <w:rPr>
          <w:b/>
          <w:i/>
          <w:szCs w:val="24"/>
        </w:rPr>
        <w:t xml:space="preserve">  </w:t>
      </w:r>
    </w:p>
    <w:p w:rsidR="00A76753" w:rsidP="00207B41" w14:paraId="08531125" w14:textId="77777777"/>
    <w:p w:rsidR="00207B41" w:rsidP="00207B41" w14:paraId="75C55AC1" w14:textId="1960F12C">
      <w:r>
        <w:t xml:space="preserve">PHMSA </w:t>
      </w:r>
      <w:r w:rsidR="004B0C89">
        <w:t xml:space="preserve">requires pipeline operators to make </w:t>
      </w:r>
      <w:r>
        <w:t>notification</w:t>
      </w:r>
      <w:r w:rsidR="00A76753">
        <w:t>s</w:t>
      </w:r>
      <w:r w:rsidR="004B0C89">
        <w:t xml:space="preserve"> by way of form PHMSA F1000.2</w:t>
      </w:r>
      <w:r>
        <w:t xml:space="preserve"> when certain events occur.  </w:t>
      </w:r>
      <w:r w:rsidR="004C4802">
        <w:t>PHMSA currently receives an estimated 4</w:t>
      </w:r>
      <w:r w:rsidR="00C04044">
        <w:t>69</w:t>
      </w:r>
      <w:r w:rsidR="004C4802">
        <w:t xml:space="preserve"> operator notifications each year. </w:t>
      </w:r>
      <w:r w:rsidR="00C04044">
        <w:rPr>
          <w:iCs/>
        </w:rPr>
        <w:t xml:space="preserve">There are no plans to adjust the estimated burden </w:t>
      </w:r>
      <w:r w:rsidR="00C04044">
        <w:rPr>
          <w:iCs/>
        </w:rPr>
        <w:t>at this time</w:t>
      </w:r>
      <w:r w:rsidR="00AE73D0">
        <w:rPr>
          <w:iCs/>
        </w:rPr>
        <w:t>.</w:t>
      </w:r>
    </w:p>
    <w:p w:rsidR="00207B41" w:rsidP="00207B41" w14:paraId="2F37A5A9" w14:textId="77777777"/>
    <w:p w:rsidR="004C4802" w:rsidP="00207B41" w14:paraId="706FF820" w14:textId="77777777"/>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2306"/>
        <w:gridCol w:w="2299"/>
        <w:gridCol w:w="2625"/>
      </w:tblGrid>
      <w:tr w14:paraId="513A38DF" w14:textId="77777777" w:rsidTr="003F20C5">
        <w:tblPrEx>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80" w:type="dxa"/>
            <w:shd w:val="clear" w:color="auto" w:fill="DEEAF6"/>
          </w:tcPr>
          <w:p w:rsidR="000B389C" w:rsidRPr="00B822E5" w:rsidP="003F20C5" w14:paraId="6CC060A9" w14:textId="77777777">
            <w:pPr>
              <w:autoSpaceDE w:val="0"/>
              <w:autoSpaceDN w:val="0"/>
              <w:adjustRightInd w:val="0"/>
              <w:jc w:val="center"/>
              <w:rPr>
                <w:b/>
                <w:bCs/>
                <w:szCs w:val="24"/>
              </w:rPr>
            </w:pPr>
            <w:r w:rsidRPr="00B822E5">
              <w:rPr>
                <w:b/>
                <w:bCs/>
                <w:szCs w:val="24"/>
              </w:rPr>
              <w:t>IC</w:t>
            </w:r>
          </w:p>
        </w:tc>
        <w:tc>
          <w:tcPr>
            <w:tcW w:w="2306" w:type="dxa"/>
            <w:shd w:val="clear" w:color="auto" w:fill="DEEAF6"/>
          </w:tcPr>
          <w:p w:rsidR="000B389C" w:rsidRPr="00B822E5" w:rsidP="003F20C5" w14:paraId="2B4915DA" w14:textId="77777777">
            <w:pPr>
              <w:autoSpaceDE w:val="0"/>
              <w:autoSpaceDN w:val="0"/>
              <w:adjustRightInd w:val="0"/>
              <w:jc w:val="center"/>
              <w:rPr>
                <w:b/>
                <w:bCs/>
                <w:szCs w:val="24"/>
              </w:rPr>
            </w:pPr>
            <w:r w:rsidRPr="00B822E5">
              <w:rPr>
                <w:b/>
                <w:bCs/>
                <w:szCs w:val="24"/>
              </w:rPr>
              <w:t>Responses</w:t>
            </w:r>
          </w:p>
        </w:tc>
        <w:tc>
          <w:tcPr>
            <w:tcW w:w="2299" w:type="dxa"/>
            <w:shd w:val="clear" w:color="auto" w:fill="DEEAF6"/>
          </w:tcPr>
          <w:p w:rsidR="000B389C" w:rsidRPr="00B822E5" w:rsidP="003F20C5" w14:paraId="2DD819BF" w14:textId="77777777">
            <w:pPr>
              <w:autoSpaceDE w:val="0"/>
              <w:autoSpaceDN w:val="0"/>
              <w:adjustRightInd w:val="0"/>
              <w:jc w:val="center"/>
              <w:rPr>
                <w:b/>
                <w:bCs/>
                <w:szCs w:val="24"/>
              </w:rPr>
            </w:pPr>
            <w:r w:rsidRPr="00B822E5">
              <w:rPr>
                <w:b/>
                <w:bCs/>
                <w:szCs w:val="24"/>
              </w:rPr>
              <w:t>Burden Per Response</w:t>
            </w:r>
          </w:p>
        </w:tc>
        <w:tc>
          <w:tcPr>
            <w:tcW w:w="2625" w:type="dxa"/>
            <w:shd w:val="clear" w:color="auto" w:fill="DEEAF6"/>
          </w:tcPr>
          <w:p w:rsidR="000B389C" w:rsidRPr="00B822E5" w:rsidP="003F20C5" w14:paraId="56608E26" w14:textId="77777777">
            <w:pPr>
              <w:autoSpaceDE w:val="0"/>
              <w:autoSpaceDN w:val="0"/>
              <w:adjustRightInd w:val="0"/>
              <w:jc w:val="center"/>
              <w:rPr>
                <w:b/>
                <w:bCs/>
                <w:szCs w:val="24"/>
              </w:rPr>
            </w:pPr>
            <w:r w:rsidRPr="00B822E5">
              <w:rPr>
                <w:b/>
                <w:bCs/>
                <w:szCs w:val="24"/>
              </w:rPr>
              <w:t>Total Burden</w:t>
            </w:r>
          </w:p>
        </w:tc>
      </w:tr>
      <w:tr w14:paraId="2FDD4BC2" w14:textId="77777777" w:rsidTr="003F20C5">
        <w:tblPrEx>
          <w:tblW w:w="9810" w:type="dxa"/>
          <w:tblInd w:w="108" w:type="dxa"/>
          <w:tblLook w:val="04A0"/>
        </w:tblPrEx>
        <w:tc>
          <w:tcPr>
            <w:tcW w:w="2580" w:type="dxa"/>
            <w:shd w:val="clear" w:color="auto" w:fill="auto"/>
          </w:tcPr>
          <w:p w:rsidR="000B389C" w:rsidRPr="005F409E" w:rsidP="003F20C5" w14:paraId="41A4A086" w14:textId="77777777">
            <w:pPr>
              <w:autoSpaceDE w:val="0"/>
              <w:autoSpaceDN w:val="0"/>
              <w:adjustRightInd w:val="0"/>
              <w:rPr>
                <w:bCs/>
                <w:szCs w:val="24"/>
              </w:rPr>
            </w:pPr>
            <w:r w:rsidRPr="005F409E">
              <w:t>OPID Assignment Registry</w:t>
            </w:r>
          </w:p>
        </w:tc>
        <w:tc>
          <w:tcPr>
            <w:tcW w:w="2306" w:type="dxa"/>
            <w:shd w:val="clear" w:color="auto" w:fill="auto"/>
          </w:tcPr>
          <w:p w:rsidR="000B389C" w:rsidRPr="00B822E5" w:rsidP="003F20C5" w14:paraId="63AF0287" w14:textId="77777777">
            <w:pPr>
              <w:autoSpaceDE w:val="0"/>
              <w:autoSpaceDN w:val="0"/>
              <w:adjustRightInd w:val="0"/>
              <w:rPr>
                <w:bCs/>
                <w:szCs w:val="24"/>
              </w:rPr>
            </w:pPr>
            <w:r>
              <w:rPr>
                <w:bCs/>
                <w:szCs w:val="24"/>
              </w:rPr>
              <w:t>275</w:t>
            </w:r>
          </w:p>
        </w:tc>
        <w:tc>
          <w:tcPr>
            <w:tcW w:w="2299" w:type="dxa"/>
            <w:shd w:val="clear" w:color="auto" w:fill="auto"/>
          </w:tcPr>
          <w:p w:rsidR="000B389C" w:rsidRPr="00B822E5" w:rsidP="003F20C5" w14:paraId="4C00EAAE" w14:textId="77777777">
            <w:pPr>
              <w:autoSpaceDE w:val="0"/>
              <w:autoSpaceDN w:val="0"/>
              <w:adjustRightInd w:val="0"/>
              <w:rPr>
                <w:bCs/>
                <w:szCs w:val="24"/>
              </w:rPr>
            </w:pPr>
            <w:r w:rsidRPr="00B822E5">
              <w:rPr>
                <w:bCs/>
                <w:szCs w:val="24"/>
              </w:rPr>
              <w:t>1 hour</w:t>
            </w:r>
          </w:p>
        </w:tc>
        <w:tc>
          <w:tcPr>
            <w:tcW w:w="2625" w:type="dxa"/>
            <w:shd w:val="clear" w:color="auto" w:fill="auto"/>
          </w:tcPr>
          <w:p w:rsidR="000B389C" w:rsidRPr="00B822E5" w:rsidP="003F20C5" w14:paraId="5A37F5CB" w14:textId="77777777">
            <w:pPr>
              <w:autoSpaceDE w:val="0"/>
              <w:autoSpaceDN w:val="0"/>
              <w:adjustRightInd w:val="0"/>
              <w:rPr>
                <w:bCs/>
                <w:szCs w:val="24"/>
              </w:rPr>
            </w:pPr>
            <w:r>
              <w:rPr>
                <w:bCs/>
                <w:szCs w:val="24"/>
              </w:rPr>
              <w:t>275</w:t>
            </w:r>
            <w:r w:rsidRPr="00B822E5">
              <w:rPr>
                <w:bCs/>
                <w:szCs w:val="24"/>
              </w:rPr>
              <w:t xml:space="preserve"> hours</w:t>
            </w:r>
          </w:p>
        </w:tc>
      </w:tr>
      <w:tr w14:paraId="40907E6B" w14:textId="77777777" w:rsidTr="003F20C5">
        <w:tblPrEx>
          <w:tblW w:w="9810" w:type="dxa"/>
          <w:tblInd w:w="108" w:type="dxa"/>
          <w:tblLook w:val="04A0"/>
        </w:tblPrEx>
        <w:tc>
          <w:tcPr>
            <w:tcW w:w="2580" w:type="dxa"/>
            <w:shd w:val="clear" w:color="auto" w:fill="auto"/>
          </w:tcPr>
          <w:p w:rsidR="000B389C" w:rsidRPr="005F409E" w:rsidP="003F20C5" w14:paraId="57B0113D" w14:textId="77777777">
            <w:pPr>
              <w:autoSpaceDE w:val="0"/>
              <w:autoSpaceDN w:val="0"/>
              <w:adjustRightInd w:val="0"/>
              <w:rPr>
                <w:bCs/>
                <w:szCs w:val="24"/>
              </w:rPr>
            </w:pPr>
            <w:r w:rsidRPr="005F409E">
              <w:t>Operator Notifications</w:t>
            </w:r>
          </w:p>
        </w:tc>
        <w:tc>
          <w:tcPr>
            <w:tcW w:w="2306" w:type="dxa"/>
            <w:shd w:val="clear" w:color="auto" w:fill="auto"/>
          </w:tcPr>
          <w:p w:rsidR="000B389C" w:rsidRPr="00B822E5" w:rsidP="003F20C5" w14:paraId="1892411B" w14:textId="77777777">
            <w:pPr>
              <w:autoSpaceDE w:val="0"/>
              <w:autoSpaceDN w:val="0"/>
              <w:adjustRightInd w:val="0"/>
              <w:rPr>
                <w:bCs/>
                <w:szCs w:val="24"/>
              </w:rPr>
            </w:pPr>
            <w:r>
              <w:rPr>
                <w:bCs/>
                <w:szCs w:val="24"/>
              </w:rPr>
              <w:t>469</w:t>
            </w:r>
          </w:p>
        </w:tc>
        <w:tc>
          <w:tcPr>
            <w:tcW w:w="2299" w:type="dxa"/>
            <w:shd w:val="clear" w:color="auto" w:fill="auto"/>
          </w:tcPr>
          <w:p w:rsidR="000B389C" w:rsidRPr="00B822E5" w:rsidP="003F20C5" w14:paraId="3DD86A85" w14:textId="77777777">
            <w:pPr>
              <w:autoSpaceDE w:val="0"/>
              <w:autoSpaceDN w:val="0"/>
              <w:adjustRightInd w:val="0"/>
              <w:rPr>
                <w:bCs/>
                <w:szCs w:val="24"/>
              </w:rPr>
            </w:pPr>
            <w:r w:rsidRPr="00B822E5">
              <w:rPr>
                <w:bCs/>
                <w:szCs w:val="24"/>
              </w:rPr>
              <w:t xml:space="preserve">1 hour </w:t>
            </w:r>
          </w:p>
        </w:tc>
        <w:tc>
          <w:tcPr>
            <w:tcW w:w="2625" w:type="dxa"/>
            <w:shd w:val="clear" w:color="auto" w:fill="auto"/>
          </w:tcPr>
          <w:p w:rsidR="000B389C" w:rsidRPr="00B822E5" w:rsidP="003F20C5" w14:paraId="327B559F" w14:textId="77777777">
            <w:pPr>
              <w:autoSpaceDE w:val="0"/>
              <w:autoSpaceDN w:val="0"/>
              <w:adjustRightInd w:val="0"/>
              <w:rPr>
                <w:bCs/>
                <w:szCs w:val="24"/>
              </w:rPr>
            </w:pPr>
            <w:r>
              <w:rPr>
                <w:bCs/>
                <w:szCs w:val="24"/>
              </w:rPr>
              <w:t>469</w:t>
            </w:r>
            <w:r w:rsidRPr="00B822E5">
              <w:rPr>
                <w:bCs/>
                <w:szCs w:val="24"/>
              </w:rPr>
              <w:t xml:space="preserve"> hours</w:t>
            </w:r>
          </w:p>
        </w:tc>
      </w:tr>
      <w:tr w14:paraId="3FBF1615" w14:textId="77777777" w:rsidTr="003F20C5">
        <w:tblPrEx>
          <w:tblW w:w="9810" w:type="dxa"/>
          <w:tblInd w:w="108" w:type="dxa"/>
          <w:tblLook w:val="04A0"/>
        </w:tblPrEx>
        <w:tc>
          <w:tcPr>
            <w:tcW w:w="2580" w:type="dxa"/>
            <w:shd w:val="clear" w:color="auto" w:fill="DEEAF6"/>
          </w:tcPr>
          <w:p w:rsidR="000B389C" w:rsidRPr="00B822E5" w:rsidP="003F20C5" w14:paraId="024E978E" w14:textId="77777777">
            <w:pPr>
              <w:autoSpaceDE w:val="0"/>
              <w:autoSpaceDN w:val="0"/>
              <w:adjustRightInd w:val="0"/>
              <w:rPr>
                <w:b/>
                <w:bCs/>
                <w:szCs w:val="24"/>
              </w:rPr>
            </w:pPr>
            <w:r w:rsidRPr="00B822E5">
              <w:rPr>
                <w:b/>
                <w:bCs/>
                <w:szCs w:val="24"/>
              </w:rPr>
              <w:t>Total</w:t>
            </w:r>
          </w:p>
        </w:tc>
        <w:tc>
          <w:tcPr>
            <w:tcW w:w="2306" w:type="dxa"/>
            <w:shd w:val="clear" w:color="auto" w:fill="DEEAF6"/>
          </w:tcPr>
          <w:p w:rsidR="000B389C" w:rsidRPr="00B822E5" w:rsidP="003F20C5" w14:paraId="1C18DD68" w14:textId="77777777">
            <w:pPr>
              <w:autoSpaceDE w:val="0"/>
              <w:autoSpaceDN w:val="0"/>
              <w:adjustRightInd w:val="0"/>
              <w:rPr>
                <w:b/>
                <w:bCs/>
                <w:szCs w:val="24"/>
              </w:rPr>
            </w:pPr>
            <w:r>
              <w:rPr>
                <w:b/>
                <w:bCs/>
                <w:szCs w:val="24"/>
              </w:rPr>
              <w:t>744</w:t>
            </w:r>
            <w:r w:rsidRPr="00B822E5">
              <w:rPr>
                <w:b/>
                <w:bCs/>
                <w:szCs w:val="24"/>
              </w:rPr>
              <w:t xml:space="preserve"> annual responses</w:t>
            </w:r>
          </w:p>
        </w:tc>
        <w:tc>
          <w:tcPr>
            <w:tcW w:w="2299" w:type="dxa"/>
            <w:shd w:val="clear" w:color="auto" w:fill="DEEAF6"/>
          </w:tcPr>
          <w:p w:rsidR="000B389C" w:rsidRPr="00B822E5" w:rsidP="003F20C5" w14:paraId="00F2A8D1" w14:textId="77777777">
            <w:pPr>
              <w:autoSpaceDE w:val="0"/>
              <w:autoSpaceDN w:val="0"/>
              <w:adjustRightInd w:val="0"/>
              <w:rPr>
                <w:b/>
                <w:bCs/>
                <w:szCs w:val="24"/>
              </w:rPr>
            </w:pPr>
          </w:p>
        </w:tc>
        <w:tc>
          <w:tcPr>
            <w:tcW w:w="2625" w:type="dxa"/>
            <w:shd w:val="clear" w:color="auto" w:fill="DEEAF6"/>
          </w:tcPr>
          <w:p w:rsidR="000B389C" w:rsidRPr="00B822E5" w:rsidP="003F20C5" w14:paraId="78430FB9" w14:textId="77777777">
            <w:pPr>
              <w:autoSpaceDE w:val="0"/>
              <w:autoSpaceDN w:val="0"/>
              <w:adjustRightInd w:val="0"/>
              <w:rPr>
                <w:b/>
                <w:bCs/>
                <w:szCs w:val="24"/>
              </w:rPr>
            </w:pPr>
            <w:r>
              <w:rPr>
                <w:b/>
                <w:bCs/>
                <w:szCs w:val="24"/>
              </w:rPr>
              <w:t>744</w:t>
            </w:r>
            <w:r w:rsidRPr="00B822E5">
              <w:rPr>
                <w:b/>
                <w:bCs/>
                <w:szCs w:val="24"/>
              </w:rPr>
              <w:t xml:space="preserve"> annual burden hours</w:t>
            </w:r>
          </w:p>
        </w:tc>
      </w:tr>
    </w:tbl>
    <w:p w:rsidR="000B389C" w:rsidP="00207B41" w14:paraId="05782216" w14:textId="77777777"/>
    <w:p w:rsidR="00207B41" w:rsidP="00207B41" w14:paraId="3032B8F2" w14:textId="77777777"/>
    <w:p w:rsidR="001D224D" w:rsidP="0045040A" w14:paraId="24EDE831" w14:textId="77777777">
      <w:pPr>
        <w:widowControl w:val="0"/>
        <w:tabs>
          <w:tab w:val="left" w:pos="540"/>
        </w:tabs>
        <w:rPr>
          <w:b/>
          <w:szCs w:val="24"/>
        </w:rPr>
      </w:pPr>
      <w:r w:rsidRPr="00981917">
        <w:rPr>
          <w:b/>
          <w:szCs w:val="24"/>
        </w:rPr>
        <w:t>13.</w:t>
      </w:r>
      <w:r w:rsidRPr="00981917">
        <w:rPr>
          <w:b/>
          <w:szCs w:val="24"/>
        </w:rPr>
        <w:tab/>
      </w:r>
      <w:r w:rsidRPr="00981917" w:rsidR="006C0638">
        <w:rPr>
          <w:b/>
          <w:szCs w:val="24"/>
          <w:u w:val="single"/>
        </w:rPr>
        <w:t>Estimate of the total annual costs burden</w:t>
      </w:r>
      <w:r w:rsidRPr="00981917" w:rsidR="006C0638">
        <w:rPr>
          <w:b/>
          <w:szCs w:val="24"/>
        </w:rPr>
        <w:t xml:space="preserve">.  </w:t>
      </w:r>
    </w:p>
    <w:p w:rsidR="002945C2" w:rsidP="0045040A" w14:paraId="55F17631" w14:textId="77777777"/>
    <w:p w:rsidR="005F409E" w:rsidRPr="005F409E" w:rsidP="005F409E" w14:paraId="3BF01BAB" w14:textId="77777777">
      <w:pPr>
        <w:rPr>
          <w:bCs/>
        </w:rPr>
      </w:pPr>
      <w:r>
        <w:rPr>
          <w:bCs/>
          <w:szCs w:val="24"/>
        </w:rPr>
        <w:t xml:space="preserve">Operator Registry and Notifications </w:t>
      </w:r>
      <w:r w:rsidRPr="005F409E">
        <w:rPr>
          <w:bCs/>
          <w:szCs w:val="24"/>
        </w:rPr>
        <w:t xml:space="preserve">are assumed to be filled out by a senior engineer.  </w:t>
      </w:r>
      <w:r w:rsidRPr="005F409E">
        <w:rPr>
          <w:bCs/>
        </w:rPr>
        <w:t xml:space="preserve">Based on the industry-specific occupational and wage estimates provided by the U.S. Department of Labor’s Bureau of Labor Statistics, median hourly wage of an engineering manager (for NAICS </w:t>
      </w:r>
      <w:r w:rsidRPr="005F409E">
        <w:rPr>
          <w:bCs/>
        </w:rPr>
        <w:t>486000 – pipeline transportation)</w:t>
      </w:r>
      <w:r>
        <w:rPr>
          <w:bCs/>
        </w:rPr>
        <w:footnoteReference w:id="2"/>
      </w:r>
      <w:r w:rsidRPr="005F409E">
        <w:rPr>
          <w:bCs/>
        </w:rPr>
        <w:t xml:space="preserve"> is estimated as $77.50. Using an estimated fringe benefit of approximately 35 percent, the r</w:t>
      </w:r>
      <w:r>
        <w:rPr>
          <w:bCs/>
        </w:rPr>
        <w:t xml:space="preserve">egistry and notification requirements for pipeline </w:t>
      </w:r>
      <w:r w:rsidRPr="005F409E">
        <w:rPr>
          <w:bCs/>
        </w:rPr>
        <w:t xml:space="preserve">operators are prepared at the average rate of $104.63 per hour. </w:t>
      </w:r>
    </w:p>
    <w:p w:rsidR="005F409E" w:rsidRPr="005F409E" w:rsidP="005F409E" w14:paraId="0562527B" w14:textId="77777777">
      <w:pPr>
        <w:autoSpaceDE w:val="0"/>
        <w:autoSpaceDN w:val="0"/>
        <w:adjustRightInd w:val="0"/>
        <w:ind w:left="360"/>
        <w:rPr>
          <w:bCs/>
          <w:szCs w:val="24"/>
        </w:rPr>
      </w:pPr>
    </w:p>
    <w:p w:rsidR="005F409E" w:rsidP="005F409E" w14:paraId="2802E69E" w14:textId="3A888849">
      <w:pPr>
        <w:autoSpaceDE w:val="0"/>
        <w:autoSpaceDN w:val="0"/>
        <w:adjustRightInd w:val="0"/>
        <w:rPr>
          <w:bCs/>
          <w:szCs w:val="24"/>
        </w:rPr>
      </w:pPr>
      <w:r w:rsidRPr="005F409E">
        <w:rPr>
          <w:bCs/>
          <w:szCs w:val="24"/>
        </w:rPr>
        <w:t xml:space="preserve">The cost burden associated with this information collection is estimated to $104.63 x </w:t>
      </w:r>
      <w:r>
        <w:rPr>
          <w:bCs/>
          <w:szCs w:val="24"/>
        </w:rPr>
        <w:t>7</w:t>
      </w:r>
      <w:r w:rsidR="00871E81">
        <w:rPr>
          <w:bCs/>
          <w:szCs w:val="24"/>
        </w:rPr>
        <w:t>44</w:t>
      </w:r>
      <w:r w:rsidRPr="005F409E">
        <w:rPr>
          <w:bCs/>
          <w:szCs w:val="24"/>
        </w:rPr>
        <w:t xml:space="preserve"> hours = $</w:t>
      </w:r>
      <w:r w:rsidR="00871E81">
        <w:rPr>
          <w:bCs/>
          <w:szCs w:val="24"/>
        </w:rPr>
        <w:t>77,844.72</w:t>
      </w:r>
      <w:r w:rsidRPr="005F409E">
        <w:rPr>
          <w:bCs/>
          <w:szCs w:val="24"/>
        </w:rPr>
        <w:t>.</w:t>
      </w:r>
    </w:p>
    <w:p w:rsidR="00871E81" w:rsidRPr="005F409E" w:rsidP="005F409E" w14:paraId="22E133B6" w14:textId="77777777">
      <w:pPr>
        <w:autoSpaceDE w:val="0"/>
        <w:autoSpaceDN w:val="0"/>
        <w:adjustRightInd w:val="0"/>
        <w:rPr>
          <w:bCs/>
          <w:szCs w:val="24"/>
        </w:rPr>
      </w:pPr>
    </w:p>
    <w:p w:rsidR="001D224D" w:rsidRPr="00981917" w:rsidP="006C0638" w14:paraId="1255FC24" w14:textId="77777777">
      <w:pPr>
        <w:widowControl w:val="0"/>
        <w:tabs>
          <w:tab w:val="left" w:pos="540"/>
        </w:tabs>
        <w:rPr>
          <w:b/>
          <w:szCs w:val="24"/>
        </w:rPr>
      </w:pPr>
      <w:r w:rsidRPr="00981917">
        <w:rPr>
          <w:b/>
          <w:szCs w:val="24"/>
        </w:rPr>
        <w:t>14.</w:t>
      </w:r>
      <w:r w:rsidRPr="00981917">
        <w:rPr>
          <w:b/>
          <w:szCs w:val="24"/>
        </w:rPr>
        <w:tab/>
      </w:r>
      <w:r w:rsidRPr="00981917" w:rsidR="006C0638">
        <w:rPr>
          <w:b/>
          <w:szCs w:val="24"/>
          <w:u w:val="single"/>
        </w:rPr>
        <w:t>Estimates of costs to the Federal Government</w:t>
      </w:r>
      <w:r w:rsidRPr="00981917" w:rsidR="006C0638">
        <w:rPr>
          <w:b/>
          <w:szCs w:val="24"/>
        </w:rPr>
        <w:t xml:space="preserve">.  </w:t>
      </w:r>
    </w:p>
    <w:p w:rsidR="002945C2" w:rsidP="000A6210" w14:paraId="07B6A229" w14:textId="77777777">
      <w:pPr>
        <w:widowControl w:val="0"/>
        <w:tabs>
          <w:tab w:val="left" w:pos="540"/>
        </w:tabs>
        <w:rPr>
          <w:szCs w:val="24"/>
        </w:rPr>
      </w:pPr>
    </w:p>
    <w:p w:rsidR="006C0638" w:rsidP="000A6210" w14:paraId="0477B166" w14:textId="14B1DC53">
      <w:pPr>
        <w:widowControl w:val="0"/>
        <w:tabs>
          <w:tab w:val="left" w:pos="540"/>
        </w:tabs>
        <w:rPr>
          <w:szCs w:val="24"/>
        </w:rPr>
      </w:pPr>
      <w:r w:rsidRPr="007473B8">
        <w:rPr>
          <w:szCs w:val="24"/>
        </w:rPr>
        <w:t>PHMSA expects to incur no additional costs due to the collection of this information.</w:t>
      </w:r>
    </w:p>
    <w:p w:rsidR="00367ED9" w:rsidP="000A6210" w14:paraId="6F48A845" w14:textId="516C3FB9">
      <w:pPr>
        <w:widowControl w:val="0"/>
        <w:tabs>
          <w:tab w:val="left" w:pos="540"/>
        </w:tabs>
        <w:rPr>
          <w:szCs w:val="24"/>
        </w:rPr>
      </w:pPr>
    </w:p>
    <w:p w:rsidR="00F67FCC" w:rsidRPr="007473B8" w:rsidP="00F67FCC" w14:paraId="0CCD5BE3" w14:textId="77777777">
      <w:pPr>
        <w:widowControl w:val="0"/>
        <w:numPr>
          <w:ilvl w:val="0"/>
          <w:numId w:val="10"/>
        </w:numPr>
        <w:tabs>
          <w:tab w:val="num" w:pos="0"/>
          <w:tab w:val="left" w:pos="540"/>
          <w:tab w:val="clear" w:pos="720"/>
        </w:tabs>
        <w:ind w:left="0" w:firstLine="0"/>
        <w:rPr>
          <w:b/>
          <w:szCs w:val="24"/>
        </w:rPr>
      </w:pPr>
      <w:r w:rsidRPr="007473B8">
        <w:rPr>
          <w:b/>
          <w:szCs w:val="24"/>
          <w:u w:val="single"/>
        </w:rPr>
        <w:t>Explanation of the program change or adjustments</w:t>
      </w:r>
      <w:r w:rsidRPr="007473B8">
        <w:rPr>
          <w:b/>
          <w:szCs w:val="24"/>
        </w:rPr>
        <w:t xml:space="preserve">.  </w:t>
      </w:r>
    </w:p>
    <w:p w:rsidR="001D224D" w:rsidP="000A6210" w14:paraId="3D4ADCD2" w14:textId="77777777">
      <w:pPr>
        <w:widowControl w:val="0"/>
        <w:tabs>
          <w:tab w:val="left" w:pos="540"/>
        </w:tabs>
        <w:rPr>
          <w:szCs w:val="24"/>
        </w:rPr>
      </w:pPr>
    </w:p>
    <w:p w:rsidR="00367ED9" w:rsidP="00367ED9" w14:paraId="73D8B1DC" w14:textId="0BF34BD7">
      <w:pPr>
        <w:ind w:firstLine="720"/>
        <w:rPr>
          <w:iCs/>
        </w:rPr>
      </w:pPr>
      <w:bookmarkStart w:id="1" w:name="_Hlk86683690"/>
      <w:r>
        <w:rPr>
          <w:iCs/>
        </w:rPr>
        <w:t xml:space="preserve">There are no program changes or adjustments </w:t>
      </w:r>
      <w:r>
        <w:rPr>
          <w:iCs/>
        </w:rPr>
        <w:t>at this time</w:t>
      </w:r>
      <w:r>
        <w:rPr>
          <w:iCs/>
        </w:rPr>
        <w:t>.</w:t>
      </w:r>
    </w:p>
    <w:bookmarkEnd w:id="1"/>
    <w:p w:rsidR="00CA5FE1" w:rsidP="000A6210" w14:paraId="158A752C" w14:textId="77777777">
      <w:pPr>
        <w:widowControl w:val="0"/>
        <w:tabs>
          <w:tab w:val="left" w:pos="540"/>
        </w:tabs>
        <w:rPr>
          <w:szCs w:val="24"/>
        </w:rPr>
      </w:pPr>
    </w:p>
    <w:p w:rsidR="001D224D" w:rsidRPr="00981917" w:rsidP="007B68C6" w14:paraId="7BBDE196" w14:textId="77777777">
      <w:pPr>
        <w:widowControl w:val="0"/>
        <w:tabs>
          <w:tab w:val="left" w:pos="540"/>
        </w:tabs>
        <w:rPr>
          <w:b/>
          <w:szCs w:val="24"/>
        </w:rPr>
      </w:pPr>
      <w:r w:rsidRPr="00981917">
        <w:rPr>
          <w:b/>
          <w:szCs w:val="24"/>
        </w:rPr>
        <w:t>16.</w:t>
      </w:r>
      <w:r w:rsidRPr="00981917">
        <w:rPr>
          <w:b/>
          <w:szCs w:val="24"/>
        </w:rPr>
        <w:tab/>
      </w:r>
      <w:r w:rsidRPr="00981917" w:rsidR="007B68C6">
        <w:rPr>
          <w:b/>
          <w:szCs w:val="24"/>
          <w:u w:val="single"/>
        </w:rPr>
        <w:t>Publication of results of data collection</w:t>
      </w:r>
      <w:r w:rsidRPr="00981917" w:rsidR="007B68C6">
        <w:rPr>
          <w:b/>
          <w:szCs w:val="24"/>
        </w:rPr>
        <w:t xml:space="preserve">.  </w:t>
      </w:r>
    </w:p>
    <w:p w:rsidR="002945C2" w:rsidP="007473B8" w14:paraId="3E843812" w14:textId="77777777"/>
    <w:p w:rsidR="007473B8" w:rsidP="007473B8" w14:paraId="7167D8B0" w14:textId="77777777">
      <w:r>
        <w:t xml:space="preserve">PHMSA will publish basic information at </w:t>
      </w:r>
      <w:hyperlink r:id="rId8" w:history="1">
        <w:r>
          <w:rPr>
            <w:rStyle w:val="Hyperlink"/>
          </w:rPr>
          <w:t>www.phmsa.dot.gov</w:t>
        </w:r>
      </w:hyperlink>
      <w:r>
        <w:t>.  “Basic Information” will be focused on summary data such as:</w:t>
      </w:r>
    </w:p>
    <w:p w:rsidR="007473B8" w:rsidP="007473B8" w14:paraId="37F0C316" w14:textId="77777777"/>
    <w:p w:rsidR="007473B8" w:rsidP="007473B8" w14:paraId="2A78F33E" w14:textId="77777777">
      <w:pPr>
        <w:numPr>
          <w:ilvl w:val="0"/>
          <w:numId w:val="24"/>
        </w:numPr>
        <w:rPr>
          <w:i/>
        </w:rPr>
      </w:pPr>
      <w:r>
        <w:t># of operators per state/county</w:t>
      </w:r>
    </w:p>
    <w:p w:rsidR="007473B8" w:rsidP="007473B8" w14:paraId="7D18599A" w14:textId="77777777">
      <w:pPr>
        <w:numPr>
          <w:ilvl w:val="0"/>
          <w:numId w:val="24"/>
        </w:numPr>
        <w:rPr>
          <w:i/>
        </w:rPr>
      </w:pPr>
      <w:r>
        <w:t># of operators by transported commodity</w:t>
      </w:r>
    </w:p>
    <w:p w:rsidR="007473B8" w:rsidP="007473B8" w14:paraId="2A325F1C" w14:textId="77777777">
      <w:pPr>
        <w:numPr>
          <w:ilvl w:val="0"/>
          <w:numId w:val="24"/>
        </w:numPr>
      </w:pPr>
      <w:r>
        <w:t># of operators for all commodities</w:t>
      </w:r>
    </w:p>
    <w:p w:rsidR="007473B8" w:rsidP="007473B8" w14:paraId="697779E1" w14:textId="77777777">
      <w:pPr>
        <w:numPr>
          <w:ilvl w:val="0"/>
          <w:numId w:val="24"/>
        </w:numPr>
      </w:pPr>
      <w:r>
        <w:t># of miles for each commodity</w:t>
      </w:r>
    </w:p>
    <w:p w:rsidR="007B68C6" w:rsidP="007473B8" w14:paraId="278B9C3C" w14:textId="77777777">
      <w:pPr>
        <w:numPr>
          <w:ilvl w:val="0"/>
          <w:numId w:val="24"/>
        </w:numPr>
      </w:pPr>
      <w:r>
        <w:t># of miles for each operator</w:t>
      </w:r>
    </w:p>
    <w:p w:rsidR="007473B8" w:rsidRPr="007473B8" w:rsidP="007473B8" w14:paraId="31F56810" w14:textId="77777777"/>
    <w:p w:rsidR="001D224D" w:rsidRPr="00981917" w:rsidP="007B68C6" w14:paraId="2EA6057B" w14:textId="77777777">
      <w:pPr>
        <w:widowControl w:val="0"/>
        <w:tabs>
          <w:tab w:val="left" w:pos="540"/>
        </w:tabs>
        <w:rPr>
          <w:b/>
          <w:szCs w:val="24"/>
        </w:rPr>
      </w:pPr>
      <w:r w:rsidRPr="00981917">
        <w:rPr>
          <w:b/>
          <w:szCs w:val="24"/>
        </w:rPr>
        <w:t>17.</w:t>
      </w:r>
      <w:r w:rsidRPr="00981917">
        <w:rPr>
          <w:b/>
          <w:szCs w:val="24"/>
        </w:rPr>
        <w:tab/>
      </w:r>
      <w:r w:rsidRPr="00981917" w:rsidR="007B68C6">
        <w:rPr>
          <w:b/>
          <w:szCs w:val="24"/>
          <w:u w:val="single"/>
        </w:rPr>
        <w:t>Approval for not displaying the expiration date of OMB approval</w:t>
      </w:r>
      <w:r w:rsidRPr="00981917" w:rsidR="007B68C6">
        <w:rPr>
          <w:b/>
          <w:szCs w:val="24"/>
        </w:rPr>
        <w:t xml:space="preserve">.  </w:t>
      </w:r>
    </w:p>
    <w:p w:rsidR="002945C2" w:rsidP="007473B8" w14:paraId="322D0717" w14:textId="77777777"/>
    <w:p w:rsidR="007473B8" w:rsidP="007473B8" w14:paraId="0475DB2B" w14:textId="77777777">
      <w:r>
        <w:t>PHMSA is not requesting approval to not displaying the expiration date.</w:t>
      </w:r>
    </w:p>
    <w:p w:rsidR="007473B8" w:rsidP="007473B8" w14:paraId="3865C3FB" w14:textId="77777777">
      <w:pPr>
        <w:rPr>
          <w:b/>
          <w:bCs/>
        </w:rPr>
      </w:pPr>
    </w:p>
    <w:p w:rsidR="007473B8" w:rsidRPr="007473B8" w:rsidP="007473B8" w14:paraId="331C5957" w14:textId="77777777">
      <w:pPr>
        <w:widowControl w:val="0"/>
        <w:numPr>
          <w:ilvl w:val="0"/>
          <w:numId w:val="18"/>
        </w:numPr>
        <w:tabs>
          <w:tab w:val="num" w:pos="0"/>
          <w:tab w:val="left" w:pos="540"/>
          <w:tab w:val="clear" w:pos="900"/>
        </w:tabs>
        <w:ind w:left="0" w:firstLine="0"/>
        <w:rPr>
          <w:bCs/>
        </w:rPr>
      </w:pPr>
      <w:r w:rsidRPr="007473B8">
        <w:rPr>
          <w:b/>
          <w:szCs w:val="24"/>
          <w:u w:val="single"/>
        </w:rPr>
        <w:t>Exceptions to the certification statement</w:t>
      </w:r>
      <w:r w:rsidRPr="007473B8">
        <w:rPr>
          <w:b/>
          <w:szCs w:val="24"/>
        </w:rPr>
        <w:t xml:space="preserve">.  </w:t>
      </w:r>
    </w:p>
    <w:p w:rsidR="002945C2" w:rsidP="007473B8" w14:paraId="619C1A52" w14:textId="77777777">
      <w:pPr>
        <w:widowControl w:val="0"/>
        <w:tabs>
          <w:tab w:val="left" w:pos="540"/>
        </w:tabs>
        <w:rPr>
          <w:bCs/>
        </w:rPr>
      </w:pPr>
    </w:p>
    <w:p w:rsidR="007473B8" w:rsidRPr="007473B8" w:rsidP="007473B8" w14:paraId="3CAAB313" w14:textId="77777777">
      <w:pPr>
        <w:widowControl w:val="0"/>
        <w:tabs>
          <w:tab w:val="left" w:pos="540"/>
        </w:tabs>
        <w:rPr>
          <w:bCs/>
        </w:rPr>
      </w:pPr>
      <w:r w:rsidRPr="007473B8">
        <w:rPr>
          <w:bCs/>
        </w:rPr>
        <w:t>There are no exceptions to the certification statement.</w:t>
      </w:r>
    </w:p>
    <w:p w:rsidR="00671D37" w:rsidRPr="00981917" w:rsidP="00811808" w14:paraId="7BA4C055" w14:textId="77777777">
      <w:pPr>
        <w:widowControl w:val="0"/>
        <w:ind w:left="720"/>
        <w:rPr>
          <w:szCs w:val="24"/>
        </w:rPr>
      </w:pPr>
    </w:p>
    <w:sectPr w:rsidSect="000673B2">
      <w:headerReference w:type="even" r:id="rId9"/>
      <w:headerReference w:type="default" r:id="rId10"/>
      <w:footerReference w:type="even" r:id="rId11"/>
      <w:footerReference w:type="default" r:id="rId12"/>
      <w:footnotePr>
        <w:numFmt w:val="lowerLetter"/>
      </w:footnotePr>
      <w:endnotePr>
        <w:numFmt w:val="lowerLetter"/>
      </w:endnotePr>
      <w:pgSz w:w="12240" w:h="15840"/>
      <w:pgMar w:top="1008" w:right="1440" w:bottom="864"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14:paraId="2E6BE752"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14:paraId="2379EB23"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105E" w14:paraId="7A737450" w14:textId="77777777">
      <w:r>
        <w:separator/>
      </w:r>
    </w:p>
  </w:footnote>
  <w:footnote w:type="continuationSeparator" w:id="1">
    <w:p w:rsidR="00AB105E" w14:paraId="135C9DF9" w14:textId="77777777">
      <w:r>
        <w:continuationSeparator/>
      </w:r>
    </w:p>
  </w:footnote>
  <w:footnote w:id="2">
    <w:p w:rsidR="005F409E" w:rsidP="005F409E" w14:paraId="492C178B" w14:textId="77777777">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rsidP="00A40753" w14:paraId="58423A4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1FEC">
      <w:rPr>
        <w:rStyle w:val="PageNumber"/>
        <w:noProof/>
      </w:rPr>
      <w:t>2</w:t>
    </w:r>
    <w:r>
      <w:rPr>
        <w:rStyle w:val="PageNumber"/>
      </w:rPr>
      <w:fldChar w:fldCharType="end"/>
    </w:r>
  </w:p>
  <w:p w:rsidR="00B15EA9" w14:paraId="7FC2E4D2" w14:textId="77777777">
    <w:pPr>
      <w:widowControl w:val="0"/>
    </w:pPr>
  </w:p>
  <w:p w:rsidR="00B15EA9" w14:paraId="72D1587A"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rsidP="00A40753" w14:paraId="75A9B04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09E">
      <w:rPr>
        <w:rStyle w:val="PageNumber"/>
        <w:noProof/>
      </w:rPr>
      <w:t>5</w:t>
    </w:r>
    <w:r>
      <w:rPr>
        <w:rStyle w:val="PageNumber"/>
      </w:rPr>
      <w:fldChar w:fldCharType="end"/>
    </w:r>
  </w:p>
  <w:p w:rsidR="00B15EA9" w14:paraId="09DB9445" w14:textId="77777777">
    <w:pPr>
      <w:widowControl w:val="0"/>
    </w:pPr>
  </w:p>
  <w:p w:rsidR="00B15EA9" w14:paraId="47D3C8D9"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3D5082"/>
    <w:multiLevelType w:val="hybridMultilevel"/>
    <w:tmpl w:val="0CBE471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2663577"/>
    <w:multiLevelType w:val="hybridMultilevel"/>
    <w:tmpl w:val="C1CE9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4706FE0"/>
    <w:multiLevelType w:val="hybridMultilevel"/>
    <w:tmpl w:val="095A10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5FE5E1D"/>
    <w:multiLevelType w:val="hybridMultilevel"/>
    <w:tmpl w:val="2638A454"/>
    <w:lvl w:ilvl="0">
      <w:start w:val="3"/>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21C66843"/>
    <w:multiLevelType w:val="hybridMultilevel"/>
    <w:tmpl w:val="8C1238C0"/>
    <w:lvl w:ilvl="0">
      <w:start w:val="1"/>
      <w:numFmt w:val="decimal"/>
      <w:lvlText w:val="%1."/>
      <w:lvlJc w:val="left"/>
      <w:pPr>
        <w:tabs>
          <w:tab w:val="num" w:pos="360"/>
        </w:tabs>
        <w:ind w:left="360" w:hanging="360"/>
      </w:pPr>
      <w:rPr>
        <w:rFonts w:hint="default"/>
        <w:b w:val="0"/>
        <w:color w:val="auto"/>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127A76"/>
    <w:multiLevelType w:val="hybridMultilevel"/>
    <w:tmpl w:val="CDF4C20C"/>
    <w:lvl w:ilvl="0">
      <w:start w:val="0"/>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2D63C7"/>
    <w:multiLevelType w:val="hybridMultilevel"/>
    <w:tmpl w:val="4454BC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894F0D"/>
    <w:multiLevelType w:val="hybridMultilevel"/>
    <w:tmpl w:val="CAE2F0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0915F3A"/>
    <w:multiLevelType w:val="hybridMultilevel"/>
    <w:tmpl w:val="9E5EEB9C"/>
    <w:lvl w:ilvl="0">
      <w:start w:val="1"/>
      <w:numFmt w:val="decimal"/>
      <w:lvlText w:val="%1."/>
      <w:lvlJc w:val="left"/>
      <w:pPr>
        <w:tabs>
          <w:tab w:val="num" w:pos="450"/>
        </w:tabs>
        <w:ind w:left="450" w:hanging="360"/>
      </w:pPr>
      <w:rPr>
        <w:rFonts w:hint="default"/>
        <w:b/>
        <w:color w:val="auto"/>
      </w:rPr>
    </w:lvl>
    <w:lvl w:ilvl="1">
      <w:start w:val="1"/>
      <w:numFmt w:val="bullet"/>
      <w:lvlText w:val=""/>
      <w:lvlJc w:val="left"/>
      <w:pPr>
        <w:tabs>
          <w:tab w:val="num" w:pos="1530"/>
        </w:tabs>
        <w:ind w:left="1530" w:hanging="360"/>
      </w:pPr>
      <w:rPr>
        <w:rFonts w:ascii="Symbol" w:hAnsi="Symbol"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9">
    <w:nsid w:val="378A7AD2"/>
    <w:multiLevelType w:val="hybridMultilevel"/>
    <w:tmpl w:val="E0DE30A0"/>
    <w:lvl w:ilvl="0">
      <w:start w:val="18"/>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F4572DC"/>
    <w:multiLevelType w:val="hybridMultilevel"/>
    <w:tmpl w:val="F4A28D08"/>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1B636DE"/>
    <w:multiLevelType w:val="hybridMultilevel"/>
    <w:tmpl w:val="D294F4F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61B4988"/>
    <w:multiLevelType w:val="hybridMultilevel"/>
    <w:tmpl w:val="343ADD16"/>
    <w:lvl w:ilvl="0">
      <w:start w:val="1"/>
      <w:numFmt w:val="decimal"/>
      <w:lvlText w:val="%1."/>
      <w:lvlJc w:val="left"/>
      <w:pPr>
        <w:tabs>
          <w:tab w:val="num" w:pos="720"/>
        </w:tabs>
        <w:ind w:left="720" w:hanging="360"/>
      </w:pPr>
      <w:rPr>
        <w:rFonts w:hint="default"/>
        <w:b/>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7D5D7B"/>
    <w:multiLevelType w:val="hybridMultilevel"/>
    <w:tmpl w:val="5ABAF3FC"/>
    <w:lvl w:ilvl="0">
      <w:start w:val="4"/>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F9C515F"/>
    <w:multiLevelType w:val="hybridMultilevel"/>
    <w:tmpl w:val="DDD6F1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35365FB"/>
    <w:multiLevelType w:val="hybridMultilevel"/>
    <w:tmpl w:val="1734A8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75812D9"/>
    <w:multiLevelType w:val="hybridMultilevel"/>
    <w:tmpl w:val="A990A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C427E1"/>
    <w:multiLevelType w:val="hybridMultilevel"/>
    <w:tmpl w:val="59B02EB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E5770F2"/>
    <w:multiLevelType w:val="hybridMultilevel"/>
    <w:tmpl w:val="C7E88924"/>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F1B5FE7"/>
    <w:multiLevelType w:val="hybridMultilevel"/>
    <w:tmpl w:val="C4BAB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2B795C"/>
    <w:multiLevelType w:val="hybridMultilevel"/>
    <w:tmpl w:val="0A1C40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79C84F7F"/>
    <w:multiLevelType w:val="hybridMultilevel"/>
    <w:tmpl w:val="EDC433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70617255">
    <w:abstractNumId w:val="0"/>
  </w:num>
  <w:num w:numId="2" w16cid:durableId="415786598">
    <w:abstractNumId w:val="1"/>
  </w:num>
  <w:num w:numId="3" w16cid:durableId="55056512">
    <w:abstractNumId w:val="2"/>
  </w:num>
  <w:num w:numId="4" w16cid:durableId="1556233948">
    <w:abstractNumId w:val="3"/>
  </w:num>
  <w:num w:numId="5" w16cid:durableId="1039164679">
    <w:abstractNumId w:val="4"/>
  </w:num>
  <w:num w:numId="6" w16cid:durableId="490951062">
    <w:abstractNumId w:val="5"/>
  </w:num>
  <w:num w:numId="7" w16cid:durableId="1575429685">
    <w:abstractNumId w:val="6"/>
  </w:num>
  <w:num w:numId="8" w16cid:durableId="2090422692">
    <w:abstractNumId w:val="7"/>
  </w:num>
  <w:num w:numId="9" w16cid:durableId="1343125034">
    <w:abstractNumId w:val="27"/>
  </w:num>
  <w:num w:numId="10" w16cid:durableId="1609697535">
    <w:abstractNumId w:val="20"/>
  </w:num>
  <w:num w:numId="11" w16cid:durableId="2055807204">
    <w:abstractNumId w:val="23"/>
  </w:num>
  <w:num w:numId="12" w16cid:durableId="1002510562">
    <w:abstractNumId w:val="8"/>
  </w:num>
  <w:num w:numId="13" w16cid:durableId="445122850">
    <w:abstractNumId w:val="12"/>
  </w:num>
  <w:num w:numId="14" w16cid:durableId="1338924823">
    <w:abstractNumId w:val="18"/>
  </w:num>
  <w:num w:numId="15" w16cid:durableId="801582391">
    <w:abstractNumId w:val="22"/>
  </w:num>
  <w:num w:numId="16" w16cid:durableId="1678574329">
    <w:abstractNumId w:val="13"/>
  </w:num>
  <w:num w:numId="17" w16cid:durableId="491600057">
    <w:abstractNumId w:val="28"/>
  </w:num>
  <w:num w:numId="18" w16cid:durableId="543905576">
    <w:abstractNumId w:val="19"/>
  </w:num>
  <w:num w:numId="19" w16cid:durableId="1875774289">
    <w:abstractNumId w:val="11"/>
  </w:num>
  <w:num w:numId="20" w16cid:durableId="160895829">
    <w:abstractNumId w:val="31"/>
  </w:num>
  <w:num w:numId="21" w16cid:durableId="32971552">
    <w:abstractNumId w:val="16"/>
  </w:num>
  <w:num w:numId="22" w16cid:durableId="928852579">
    <w:abstractNumId w:val="24"/>
  </w:num>
  <w:num w:numId="23" w16cid:durableId="755172607">
    <w:abstractNumId w:val="9"/>
  </w:num>
  <w:num w:numId="24" w16cid:durableId="319429984">
    <w:abstractNumId w:val="30"/>
  </w:num>
  <w:num w:numId="25" w16cid:durableId="2135782966">
    <w:abstractNumId w:val="10"/>
  </w:num>
  <w:num w:numId="26" w16cid:durableId="1807814514">
    <w:abstractNumId w:val="14"/>
  </w:num>
  <w:num w:numId="27" w16cid:durableId="885989523">
    <w:abstractNumId w:val="15"/>
  </w:num>
  <w:num w:numId="28" w16cid:durableId="1166238380">
    <w:abstractNumId w:val="15"/>
  </w:num>
  <w:num w:numId="29" w16cid:durableId="130054249">
    <w:abstractNumId w:val="25"/>
  </w:num>
  <w:num w:numId="30" w16cid:durableId="1562861315">
    <w:abstractNumId w:val="26"/>
  </w:num>
  <w:num w:numId="31" w16cid:durableId="756442802">
    <w:abstractNumId w:val="17"/>
  </w:num>
  <w:num w:numId="32" w16cid:durableId="1128163172">
    <w:abstractNumId w:val="29"/>
  </w:num>
  <w:num w:numId="33" w16cid:durableId="1743483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9D"/>
    <w:rsid w:val="0000185B"/>
    <w:rsid w:val="0001363C"/>
    <w:rsid w:val="00016E42"/>
    <w:rsid w:val="00044C4B"/>
    <w:rsid w:val="00046647"/>
    <w:rsid w:val="000525A0"/>
    <w:rsid w:val="000673B2"/>
    <w:rsid w:val="000736A7"/>
    <w:rsid w:val="000738F3"/>
    <w:rsid w:val="000759EC"/>
    <w:rsid w:val="0007609B"/>
    <w:rsid w:val="000773D0"/>
    <w:rsid w:val="00082B4A"/>
    <w:rsid w:val="00086A03"/>
    <w:rsid w:val="000907D5"/>
    <w:rsid w:val="0009490E"/>
    <w:rsid w:val="000A6210"/>
    <w:rsid w:val="000A6237"/>
    <w:rsid w:val="000A6651"/>
    <w:rsid w:val="000A6CD0"/>
    <w:rsid w:val="000B389C"/>
    <w:rsid w:val="000C5B12"/>
    <w:rsid w:val="000D16E2"/>
    <w:rsid w:val="000D2714"/>
    <w:rsid w:val="000D3A31"/>
    <w:rsid w:val="000E129F"/>
    <w:rsid w:val="000F02F0"/>
    <w:rsid w:val="0010553F"/>
    <w:rsid w:val="00105786"/>
    <w:rsid w:val="00111C90"/>
    <w:rsid w:val="0012012B"/>
    <w:rsid w:val="00125C17"/>
    <w:rsid w:val="00143869"/>
    <w:rsid w:val="0014478D"/>
    <w:rsid w:val="00145724"/>
    <w:rsid w:val="00145EE7"/>
    <w:rsid w:val="001602BD"/>
    <w:rsid w:val="00162850"/>
    <w:rsid w:val="001C56C9"/>
    <w:rsid w:val="001D1C24"/>
    <w:rsid w:val="001D224D"/>
    <w:rsid w:val="001F680E"/>
    <w:rsid w:val="00207B41"/>
    <w:rsid w:val="00214EA1"/>
    <w:rsid w:val="00216BBD"/>
    <w:rsid w:val="00220896"/>
    <w:rsid w:val="002231EF"/>
    <w:rsid w:val="00243260"/>
    <w:rsid w:val="00250CAF"/>
    <w:rsid w:val="00254AB4"/>
    <w:rsid w:val="00262265"/>
    <w:rsid w:val="00263044"/>
    <w:rsid w:val="0026368B"/>
    <w:rsid w:val="0026419F"/>
    <w:rsid w:val="00271E38"/>
    <w:rsid w:val="00273507"/>
    <w:rsid w:val="00282AD5"/>
    <w:rsid w:val="00282E6B"/>
    <w:rsid w:val="002843AF"/>
    <w:rsid w:val="00285BC2"/>
    <w:rsid w:val="002874C2"/>
    <w:rsid w:val="00290CB3"/>
    <w:rsid w:val="00291331"/>
    <w:rsid w:val="002929B0"/>
    <w:rsid w:val="002945C2"/>
    <w:rsid w:val="002958AA"/>
    <w:rsid w:val="002A1CB8"/>
    <w:rsid w:val="002A2BA0"/>
    <w:rsid w:val="002A4DFE"/>
    <w:rsid w:val="002A5A16"/>
    <w:rsid w:val="002B54A1"/>
    <w:rsid w:val="002B6B54"/>
    <w:rsid w:val="002D2A3F"/>
    <w:rsid w:val="002E154D"/>
    <w:rsid w:val="002E3119"/>
    <w:rsid w:val="002E5880"/>
    <w:rsid w:val="002F283D"/>
    <w:rsid w:val="0030347C"/>
    <w:rsid w:val="0030454E"/>
    <w:rsid w:val="0030713B"/>
    <w:rsid w:val="00311384"/>
    <w:rsid w:val="0031308A"/>
    <w:rsid w:val="00323F3E"/>
    <w:rsid w:val="00342AD1"/>
    <w:rsid w:val="003520AC"/>
    <w:rsid w:val="003533E1"/>
    <w:rsid w:val="0035553B"/>
    <w:rsid w:val="0035601C"/>
    <w:rsid w:val="00364904"/>
    <w:rsid w:val="00366EDD"/>
    <w:rsid w:val="00367ED9"/>
    <w:rsid w:val="003726DE"/>
    <w:rsid w:val="003825DD"/>
    <w:rsid w:val="00383C3D"/>
    <w:rsid w:val="003848F8"/>
    <w:rsid w:val="00385DEC"/>
    <w:rsid w:val="00394069"/>
    <w:rsid w:val="0039412D"/>
    <w:rsid w:val="00397165"/>
    <w:rsid w:val="00397F24"/>
    <w:rsid w:val="003F20C5"/>
    <w:rsid w:val="003F21BC"/>
    <w:rsid w:val="003F7601"/>
    <w:rsid w:val="00400889"/>
    <w:rsid w:val="00402227"/>
    <w:rsid w:val="00412866"/>
    <w:rsid w:val="00414833"/>
    <w:rsid w:val="00427866"/>
    <w:rsid w:val="004303B6"/>
    <w:rsid w:val="00431B7C"/>
    <w:rsid w:val="00437C74"/>
    <w:rsid w:val="00445817"/>
    <w:rsid w:val="00445B37"/>
    <w:rsid w:val="00447A44"/>
    <w:rsid w:val="0045040A"/>
    <w:rsid w:val="004547EA"/>
    <w:rsid w:val="004722AC"/>
    <w:rsid w:val="0048262A"/>
    <w:rsid w:val="0048271C"/>
    <w:rsid w:val="004845F1"/>
    <w:rsid w:val="00490FF0"/>
    <w:rsid w:val="00492398"/>
    <w:rsid w:val="004A133B"/>
    <w:rsid w:val="004A2D90"/>
    <w:rsid w:val="004A56AC"/>
    <w:rsid w:val="004B0581"/>
    <w:rsid w:val="004B0C89"/>
    <w:rsid w:val="004B41D5"/>
    <w:rsid w:val="004C4802"/>
    <w:rsid w:val="004C5215"/>
    <w:rsid w:val="004D1083"/>
    <w:rsid w:val="004D1AA9"/>
    <w:rsid w:val="004D7BD3"/>
    <w:rsid w:val="004E26A0"/>
    <w:rsid w:val="004F164A"/>
    <w:rsid w:val="004F248A"/>
    <w:rsid w:val="00503686"/>
    <w:rsid w:val="00507C0F"/>
    <w:rsid w:val="00510A26"/>
    <w:rsid w:val="005150DF"/>
    <w:rsid w:val="00517784"/>
    <w:rsid w:val="00520F03"/>
    <w:rsid w:val="00521940"/>
    <w:rsid w:val="00525138"/>
    <w:rsid w:val="0052547C"/>
    <w:rsid w:val="0053423B"/>
    <w:rsid w:val="00535F6A"/>
    <w:rsid w:val="00542E46"/>
    <w:rsid w:val="005432AF"/>
    <w:rsid w:val="0055023E"/>
    <w:rsid w:val="005548AA"/>
    <w:rsid w:val="00561E7E"/>
    <w:rsid w:val="00571076"/>
    <w:rsid w:val="00576631"/>
    <w:rsid w:val="00581334"/>
    <w:rsid w:val="0058459E"/>
    <w:rsid w:val="00591081"/>
    <w:rsid w:val="00595AB9"/>
    <w:rsid w:val="00595D20"/>
    <w:rsid w:val="005A0377"/>
    <w:rsid w:val="005A5526"/>
    <w:rsid w:val="005B0506"/>
    <w:rsid w:val="005C1E2C"/>
    <w:rsid w:val="005C381B"/>
    <w:rsid w:val="005E0EDE"/>
    <w:rsid w:val="005E3952"/>
    <w:rsid w:val="005F0AE8"/>
    <w:rsid w:val="005F3694"/>
    <w:rsid w:val="005F409E"/>
    <w:rsid w:val="00602613"/>
    <w:rsid w:val="00607316"/>
    <w:rsid w:val="00620F79"/>
    <w:rsid w:val="00624048"/>
    <w:rsid w:val="006306BD"/>
    <w:rsid w:val="00636AA0"/>
    <w:rsid w:val="0064782C"/>
    <w:rsid w:val="00647958"/>
    <w:rsid w:val="0065710F"/>
    <w:rsid w:val="00662FEA"/>
    <w:rsid w:val="00671D37"/>
    <w:rsid w:val="00681E37"/>
    <w:rsid w:val="0068484D"/>
    <w:rsid w:val="00687C73"/>
    <w:rsid w:val="00691922"/>
    <w:rsid w:val="00693C31"/>
    <w:rsid w:val="006A0320"/>
    <w:rsid w:val="006B2FE3"/>
    <w:rsid w:val="006B5210"/>
    <w:rsid w:val="006B73BE"/>
    <w:rsid w:val="006B749B"/>
    <w:rsid w:val="006C0638"/>
    <w:rsid w:val="006C1DBB"/>
    <w:rsid w:val="006D527E"/>
    <w:rsid w:val="00701581"/>
    <w:rsid w:val="00720D5B"/>
    <w:rsid w:val="0072371F"/>
    <w:rsid w:val="00724627"/>
    <w:rsid w:val="007247C8"/>
    <w:rsid w:val="00731CCC"/>
    <w:rsid w:val="00731F93"/>
    <w:rsid w:val="00733E58"/>
    <w:rsid w:val="00743112"/>
    <w:rsid w:val="007473B8"/>
    <w:rsid w:val="00747FB5"/>
    <w:rsid w:val="00751AA0"/>
    <w:rsid w:val="00752227"/>
    <w:rsid w:val="007555BE"/>
    <w:rsid w:val="00762F2A"/>
    <w:rsid w:val="00763417"/>
    <w:rsid w:val="007666F7"/>
    <w:rsid w:val="00771C5C"/>
    <w:rsid w:val="0078271D"/>
    <w:rsid w:val="00785360"/>
    <w:rsid w:val="00786565"/>
    <w:rsid w:val="00787F4D"/>
    <w:rsid w:val="00791079"/>
    <w:rsid w:val="007975AF"/>
    <w:rsid w:val="007A11F2"/>
    <w:rsid w:val="007A2754"/>
    <w:rsid w:val="007B3022"/>
    <w:rsid w:val="007B6267"/>
    <w:rsid w:val="007B68C6"/>
    <w:rsid w:val="007C2F1C"/>
    <w:rsid w:val="007D7EDD"/>
    <w:rsid w:val="007E0401"/>
    <w:rsid w:val="007E2D7F"/>
    <w:rsid w:val="007E7F05"/>
    <w:rsid w:val="0080049A"/>
    <w:rsid w:val="00801394"/>
    <w:rsid w:val="0080180C"/>
    <w:rsid w:val="00802D6E"/>
    <w:rsid w:val="0080405D"/>
    <w:rsid w:val="00811808"/>
    <w:rsid w:val="00824623"/>
    <w:rsid w:val="00827A2E"/>
    <w:rsid w:val="00843930"/>
    <w:rsid w:val="00871E81"/>
    <w:rsid w:val="00884CD2"/>
    <w:rsid w:val="00887404"/>
    <w:rsid w:val="00887A1A"/>
    <w:rsid w:val="008B1820"/>
    <w:rsid w:val="008B5371"/>
    <w:rsid w:val="009038BD"/>
    <w:rsid w:val="00910FC7"/>
    <w:rsid w:val="00911BF6"/>
    <w:rsid w:val="00912BA0"/>
    <w:rsid w:val="0093431D"/>
    <w:rsid w:val="0093512C"/>
    <w:rsid w:val="00936CC3"/>
    <w:rsid w:val="00936FE9"/>
    <w:rsid w:val="00937FA1"/>
    <w:rsid w:val="0094084B"/>
    <w:rsid w:val="0094546A"/>
    <w:rsid w:val="00954038"/>
    <w:rsid w:val="00970D00"/>
    <w:rsid w:val="009779A9"/>
    <w:rsid w:val="00977EE8"/>
    <w:rsid w:val="00981917"/>
    <w:rsid w:val="00981FEC"/>
    <w:rsid w:val="009857FB"/>
    <w:rsid w:val="00990FC4"/>
    <w:rsid w:val="00997784"/>
    <w:rsid w:val="00997834"/>
    <w:rsid w:val="009A3299"/>
    <w:rsid w:val="009B3673"/>
    <w:rsid w:val="009D7683"/>
    <w:rsid w:val="009E1D59"/>
    <w:rsid w:val="009E26B1"/>
    <w:rsid w:val="009E2B72"/>
    <w:rsid w:val="009E49DB"/>
    <w:rsid w:val="009E4A89"/>
    <w:rsid w:val="009E7AE2"/>
    <w:rsid w:val="009F3D0A"/>
    <w:rsid w:val="009F3E53"/>
    <w:rsid w:val="00A1037E"/>
    <w:rsid w:val="00A11EF0"/>
    <w:rsid w:val="00A2332E"/>
    <w:rsid w:val="00A32459"/>
    <w:rsid w:val="00A32E48"/>
    <w:rsid w:val="00A3435C"/>
    <w:rsid w:val="00A40753"/>
    <w:rsid w:val="00A45FCC"/>
    <w:rsid w:val="00A46ADB"/>
    <w:rsid w:val="00A71EC0"/>
    <w:rsid w:val="00A75487"/>
    <w:rsid w:val="00A76753"/>
    <w:rsid w:val="00A81529"/>
    <w:rsid w:val="00A86046"/>
    <w:rsid w:val="00AA1704"/>
    <w:rsid w:val="00AA2D42"/>
    <w:rsid w:val="00AB105E"/>
    <w:rsid w:val="00AB5155"/>
    <w:rsid w:val="00AB7AC4"/>
    <w:rsid w:val="00AC512B"/>
    <w:rsid w:val="00AD05BD"/>
    <w:rsid w:val="00AD24E5"/>
    <w:rsid w:val="00AE73D0"/>
    <w:rsid w:val="00AF0344"/>
    <w:rsid w:val="00AF2582"/>
    <w:rsid w:val="00AF7D52"/>
    <w:rsid w:val="00B029B8"/>
    <w:rsid w:val="00B0326B"/>
    <w:rsid w:val="00B114B5"/>
    <w:rsid w:val="00B11502"/>
    <w:rsid w:val="00B15EA9"/>
    <w:rsid w:val="00B16A3B"/>
    <w:rsid w:val="00B17CBC"/>
    <w:rsid w:val="00B2436D"/>
    <w:rsid w:val="00B34D95"/>
    <w:rsid w:val="00B40E11"/>
    <w:rsid w:val="00B529F8"/>
    <w:rsid w:val="00B53ECB"/>
    <w:rsid w:val="00B55B6A"/>
    <w:rsid w:val="00B623C2"/>
    <w:rsid w:val="00B67CA5"/>
    <w:rsid w:val="00B822E5"/>
    <w:rsid w:val="00B97699"/>
    <w:rsid w:val="00BD7C75"/>
    <w:rsid w:val="00BE2C8F"/>
    <w:rsid w:val="00BF02DB"/>
    <w:rsid w:val="00BF16E9"/>
    <w:rsid w:val="00C0163B"/>
    <w:rsid w:val="00C02401"/>
    <w:rsid w:val="00C03498"/>
    <w:rsid w:val="00C04044"/>
    <w:rsid w:val="00C2648A"/>
    <w:rsid w:val="00C314A7"/>
    <w:rsid w:val="00C3484D"/>
    <w:rsid w:val="00C433E6"/>
    <w:rsid w:val="00C50B19"/>
    <w:rsid w:val="00C50BFC"/>
    <w:rsid w:val="00C56F3F"/>
    <w:rsid w:val="00C65AE6"/>
    <w:rsid w:val="00C67722"/>
    <w:rsid w:val="00C861B2"/>
    <w:rsid w:val="00C95090"/>
    <w:rsid w:val="00CA2F8F"/>
    <w:rsid w:val="00CA5901"/>
    <w:rsid w:val="00CA5FE1"/>
    <w:rsid w:val="00CB1F75"/>
    <w:rsid w:val="00CB30D6"/>
    <w:rsid w:val="00CC3C89"/>
    <w:rsid w:val="00CC4C8E"/>
    <w:rsid w:val="00CE057B"/>
    <w:rsid w:val="00CE14A5"/>
    <w:rsid w:val="00CE48C3"/>
    <w:rsid w:val="00CE7782"/>
    <w:rsid w:val="00CF168D"/>
    <w:rsid w:val="00CF4CB1"/>
    <w:rsid w:val="00CF700B"/>
    <w:rsid w:val="00D05F3A"/>
    <w:rsid w:val="00D06745"/>
    <w:rsid w:val="00D14093"/>
    <w:rsid w:val="00D1476A"/>
    <w:rsid w:val="00D214A4"/>
    <w:rsid w:val="00D25907"/>
    <w:rsid w:val="00D25987"/>
    <w:rsid w:val="00D26DEE"/>
    <w:rsid w:val="00D37B6D"/>
    <w:rsid w:val="00D404C6"/>
    <w:rsid w:val="00D50419"/>
    <w:rsid w:val="00D546F8"/>
    <w:rsid w:val="00D55503"/>
    <w:rsid w:val="00D62E0A"/>
    <w:rsid w:val="00D7060E"/>
    <w:rsid w:val="00D759FC"/>
    <w:rsid w:val="00DA1B86"/>
    <w:rsid w:val="00DA2E75"/>
    <w:rsid w:val="00DB4683"/>
    <w:rsid w:val="00DB6E97"/>
    <w:rsid w:val="00DC04EE"/>
    <w:rsid w:val="00DE110A"/>
    <w:rsid w:val="00DE3587"/>
    <w:rsid w:val="00DE3BB2"/>
    <w:rsid w:val="00E03924"/>
    <w:rsid w:val="00E07CCF"/>
    <w:rsid w:val="00E11316"/>
    <w:rsid w:val="00E15198"/>
    <w:rsid w:val="00E16B93"/>
    <w:rsid w:val="00E25C4A"/>
    <w:rsid w:val="00E27B6B"/>
    <w:rsid w:val="00E31114"/>
    <w:rsid w:val="00E31627"/>
    <w:rsid w:val="00E35C6E"/>
    <w:rsid w:val="00E3745C"/>
    <w:rsid w:val="00E37575"/>
    <w:rsid w:val="00E459F0"/>
    <w:rsid w:val="00E50617"/>
    <w:rsid w:val="00E50DA4"/>
    <w:rsid w:val="00E66A09"/>
    <w:rsid w:val="00E67ED3"/>
    <w:rsid w:val="00E76DB5"/>
    <w:rsid w:val="00E81CFF"/>
    <w:rsid w:val="00EA0394"/>
    <w:rsid w:val="00EA4541"/>
    <w:rsid w:val="00EA591D"/>
    <w:rsid w:val="00EA7689"/>
    <w:rsid w:val="00EB4240"/>
    <w:rsid w:val="00EC0E56"/>
    <w:rsid w:val="00EC23D6"/>
    <w:rsid w:val="00EC6FEF"/>
    <w:rsid w:val="00EC7D44"/>
    <w:rsid w:val="00ED24F2"/>
    <w:rsid w:val="00ED4F84"/>
    <w:rsid w:val="00ED7DA3"/>
    <w:rsid w:val="00EE1E06"/>
    <w:rsid w:val="00EE5390"/>
    <w:rsid w:val="00EE6BBC"/>
    <w:rsid w:val="00EF4FFB"/>
    <w:rsid w:val="00F03BBF"/>
    <w:rsid w:val="00F12098"/>
    <w:rsid w:val="00F138FF"/>
    <w:rsid w:val="00F31288"/>
    <w:rsid w:val="00F415DF"/>
    <w:rsid w:val="00F422CF"/>
    <w:rsid w:val="00F42E08"/>
    <w:rsid w:val="00F45141"/>
    <w:rsid w:val="00F45271"/>
    <w:rsid w:val="00F4544F"/>
    <w:rsid w:val="00F45A57"/>
    <w:rsid w:val="00F57B41"/>
    <w:rsid w:val="00F67FCC"/>
    <w:rsid w:val="00F702C1"/>
    <w:rsid w:val="00F7389D"/>
    <w:rsid w:val="00F75AD0"/>
    <w:rsid w:val="00F75DB2"/>
    <w:rsid w:val="00F83CF4"/>
    <w:rsid w:val="00F90453"/>
    <w:rsid w:val="00FA6919"/>
    <w:rsid w:val="00FB0534"/>
    <w:rsid w:val="00FC3507"/>
    <w:rsid w:val="00FC5765"/>
    <w:rsid w:val="00FD167E"/>
    <w:rsid w:val="00FE16F5"/>
    <w:rsid w:val="00FE1BFF"/>
    <w:rsid w:val="00FE477B"/>
    <w:rsid w:val="00FF5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40C94B"/>
  <w15:chartTrackingRefBased/>
  <w15:docId w15:val="{BEB43AFD-E0F6-40B9-AF81-4ED29238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styleId="Hyperlink">
    <w:name w:val="Hyperlink"/>
    <w:unhideWhenUsed/>
    <w:rsid w:val="007473B8"/>
    <w:rPr>
      <w:color w:val="0000FF"/>
      <w:u w:val="single"/>
    </w:rPr>
  </w:style>
  <w:style w:type="table" w:customStyle="1" w:styleId="TableGrid1">
    <w:name w:val="Table Grid1"/>
    <w:basedOn w:val="TableNormal"/>
    <w:next w:val="TableGrid"/>
    <w:rsid w:val="00B17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7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409E"/>
    <w:rPr>
      <w:sz w:val="20"/>
    </w:rPr>
  </w:style>
  <w:style w:type="character" w:customStyle="1" w:styleId="FootnoteTextChar">
    <w:name w:val="Footnote Text Char"/>
    <w:basedOn w:val="DefaultParagraphFont"/>
    <w:link w:val="FootnoteText"/>
    <w:rsid w:val="005F409E"/>
  </w:style>
  <w:style w:type="character" w:styleId="FootnoteReference">
    <w:name w:val="footnote reference"/>
    <w:uiPriority w:val="99"/>
    <w:rsid w:val="005F409E"/>
    <w:rPr>
      <w:rFonts w:ascii="Times New Roman" w:hAnsi="Times New Roman"/>
      <w:vertAlign w:val="superscript"/>
    </w:rPr>
  </w:style>
  <w:style w:type="paragraph" w:styleId="NoSpacing">
    <w:name w:val="No Spacing"/>
    <w:uiPriority w:val="1"/>
    <w:qFormat/>
    <w:rsid w:val="002E5880"/>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phmsa.dot.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486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2.xml><?xml version="1.0" encoding="utf-8"?>
<ds:datastoreItem xmlns:ds="http://schemas.openxmlformats.org/officeDocument/2006/customXml" ds:itemID="{7567281E-FD87-482C-B3BB-A2AEBF89CA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B7FC94-9AD2-4EBD-AB40-B5B639C7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1364</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frauser1</dc:creator>
  <cp:lastModifiedBy>Hill, Angela (PHMSA)</cp:lastModifiedBy>
  <cp:revision>2</cp:revision>
  <cp:lastPrinted>2009-07-23T15:59:00Z</cp:lastPrinted>
  <dcterms:created xsi:type="dcterms:W3CDTF">2025-01-15T16:04:00Z</dcterms:created>
  <dcterms:modified xsi:type="dcterms:W3CDTF">2025-01-15T16:04:00Z</dcterms:modified>
</cp:coreProperties>
</file>