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0D9F" w:rsidRPr="00C752AB" w:rsidP="000D3CCC" w14:paraId="4CFB7E50" w14:textId="06A981CC">
      <w:pPr>
        <w:pStyle w:val="BodyText"/>
        <w:tabs>
          <w:tab w:val="left" w:pos="720"/>
          <w:tab w:val="left" w:pos="1441"/>
          <w:tab w:val="left" w:pos="2157"/>
        </w:tabs>
        <w:spacing w:after="0" w:line="240" w:lineRule="auto"/>
        <w:ind w:right="-45"/>
        <w:jc w:val="center"/>
        <w:rPr>
          <w:rFonts w:eastAsia="Times New Roman" w:cs="Times New Roman"/>
          <w:snapToGrid w:val="0"/>
          <w:color w:val="000000"/>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5475</wp:posOffset>
            </wp:positionV>
            <wp:extent cx="1069340" cy="10693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V:\Documents and Settings\shovlowskyr\Local Settings\Temporary Internet Files\Content.Word\FHFA_logo1.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934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874">
        <w:rPr>
          <w:rFonts w:eastAsia="Times New Roman" w:cs="Times New Roman"/>
          <w:b/>
          <w:smallCaps/>
          <w:snapToGrid w:val="0"/>
          <w:color w:val="000000"/>
          <w:sz w:val="28"/>
          <w:szCs w:val="28"/>
        </w:rPr>
        <w:t xml:space="preserve">Generic clearance for the national survey of mortgage originations </w:t>
      </w:r>
    </w:p>
    <w:p w:rsidR="00290D9F" w:rsidRPr="00C752AB" w:rsidP="000D3CCC" w14:paraId="6729B445" w14:textId="77777777">
      <w:pPr>
        <w:suppressAutoHyphens/>
        <w:spacing w:line="240" w:lineRule="auto"/>
        <w:jc w:val="center"/>
        <w:rPr>
          <w:rFonts w:eastAsia="Times New Roman" w:cs="Times New Roman"/>
          <w:b/>
          <w:sz w:val="20"/>
          <w:szCs w:val="20"/>
        </w:rPr>
      </w:pPr>
    </w:p>
    <w:p w:rsidR="00290D9F" w:rsidRPr="00342874" w:rsidP="000D3CCC" w14:paraId="45F5973A" w14:textId="72F45A8A">
      <w:pPr>
        <w:keepNext/>
        <w:suppressAutoHyphens/>
        <w:spacing w:line="240" w:lineRule="auto"/>
        <w:jc w:val="center"/>
        <w:outlineLvl w:val="0"/>
        <w:rPr>
          <w:rFonts w:eastAsia="Times New Roman" w:cs="Times New Roman"/>
          <w:b/>
          <w:smallCaps/>
          <w:szCs w:val="24"/>
        </w:rPr>
      </w:pPr>
      <w:r w:rsidRPr="00342874">
        <w:rPr>
          <w:rFonts w:eastAsia="Times New Roman" w:cs="Times New Roman"/>
          <w:b/>
          <w:smallCaps/>
          <w:szCs w:val="24"/>
        </w:rPr>
        <w:t>OMB Number 2590-</w:t>
      </w:r>
      <w:r w:rsidRPr="00342874" w:rsidR="00342874">
        <w:rPr>
          <w:rFonts w:eastAsia="Times New Roman" w:cs="Times New Roman"/>
          <w:b/>
          <w:smallCaps/>
          <w:szCs w:val="24"/>
        </w:rPr>
        <w:t>XXXX</w:t>
      </w:r>
    </w:p>
    <w:p w:rsidR="00C752AB" w:rsidRPr="00342874" w:rsidP="000D3CCC" w14:paraId="79B775F1" w14:textId="77777777">
      <w:pPr>
        <w:spacing w:line="240" w:lineRule="auto"/>
        <w:outlineLvl w:val="0"/>
        <w:rPr>
          <w:rFonts w:eastAsia="Times New Roman" w:cs="Times New Roman"/>
          <w:smallCaps/>
          <w:snapToGrid w:val="0"/>
          <w:color w:val="000000"/>
          <w:szCs w:val="24"/>
        </w:rPr>
      </w:pPr>
    </w:p>
    <w:p w:rsidR="00C752AB" w:rsidRPr="008D4384" w:rsidP="000D3CCC" w14:paraId="0E3491A5" w14:textId="77777777">
      <w:pPr>
        <w:spacing w:line="240" w:lineRule="auto"/>
        <w:jc w:val="center"/>
        <w:outlineLvl w:val="0"/>
        <w:rPr>
          <w:rFonts w:eastAsia="Times New Roman" w:cs="Times New Roman"/>
          <w:b/>
          <w:smallCaps/>
          <w:snapToGrid w:val="0"/>
          <w:color w:val="000000"/>
          <w:sz w:val="28"/>
          <w:szCs w:val="28"/>
        </w:rPr>
      </w:pPr>
      <w:r w:rsidRPr="008D4384">
        <w:rPr>
          <w:rFonts w:eastAsia="Times New Roman" w:cs="Times New Roman"/>
          <w:b/>
          <w:smallCaps/>
          <w:snapToGrid w:val="0"/>
          <w:color w:val="000000"/>
          <w:sz w:val="28"/>
          <w:szCs w:val="28"/>
        </w:rPr>
        <w:t>Supporting Statement</w:t>
      </w:r>
    </w:p>
    <w:p w:rsidR="005958F3" w:rsidP="000D3CCC" w14:paraId="11C41A6C" w14:textId="77777777">
      <w:pPr>
        <w:spacing w:line="240" w:lineRule="auto"/>
        <w:jc w:val="center"/>
        <w:outlineLvl w:val="0"/>
        <w:rPr>
          <w:rFonts w:eastAsia="Times New Roman" w:cs="Times New Roman"/>
          <w:b/>
          <w:smallCaps/>
          <w:snapToGrid w:val="0"/>
          <w:color w:val="000000"/>
          <w:sz w:val="28"/>
          <w:szCs w:val="28"/>
        </w:rPr>
      </w:pPr>
    </w:p>
    <w:p w:rsidR="00EE5584" w:rsidP="000D3CCC" w14:paraId="2B364C8B" w14:textId="77777777">
      <w:pPr>
        <w:spacing w:line="240" w:lineRule="auto"/>
        <w:outlineLvl w:val="0"/>
        <w:rPr>
          <w:rFonts w:eastAsia="Times New Roman" w:cs="Times New Roman"/>
          <w:b/>
          <w:smallCaps/>
          <w:snapToGrid w:val="0"/>
          <w:color w:val="000000"/>
          <w:szCs w:val="24"/>
        </w:rPr>
      </w:pPr>
    </w:p>
    <w:p w:rsidR="00186977" w:rsidP="00074673" w14:paraId="4D79482F" w14:textId="42818A9F">
      <w:pPr>
        <w:autoSpaceDE w:val="0"/>
        <w:autoSpaceDN w:val="0"/>
        <w:adjustRightInd w:val="0"/>
        <w:spacing w:line="240" w:lineRule="auto"/>
      </w:pPr>
      <w:r>
        <w:t>The Federal Housing Finance Agency (FHFA</w:t>
      </w:r>
      <w:r w:rsidR="00190A38">
        <w:t xml:space="preserve"> or the Agency</w:t>
      </w:r>
      <w:r>
        <w:t>) is seeking</w:t>
      </w:r>
      <w:r w:rsidR="00850FA3">
        <w:t xml:space="preserve"> </w:t>
      </w:r>
      <w:r w:rsidR="003E7BDB">
        <w:t xml:space="preserve">approval for </w:t>
      </w:r>
      <w:r w:rsidR="00850FA3">
        <w:t xml:space="preserve">a three-year </w:t>
      </w:r>
      <w:r w:rsidR="00342874">
        <w:t>generic</w:t>
      </w:r>
      <w:r w:rsidR="003E7BDB">
        <w:t xml:space="preserve"> clearance for the </w:t>
      </w:r>
      <w:r>
        <w:t xml:space="preserve">National </w:t>
      </w:r>
      <w:r w:rsidR="00E7644F">
        <w:t xml:space="preserve">Survey of Mortgage </w:t>
      </w:r>
      <w:r w:rsidR="00F00D40">
        <w:t>Originations (NSMO</w:t>
      </w:r>
      <w:r>
        <w:t xml:space="preserve">). </w:t>
      </w:r>
      <w:r w:rsidR="008D4384">
        <w:t xml:space="preserve"> </w:t>
      </w:r>
      <w:r w:rsidR="00262DFA">
        <w:t xml:space="preserve">FHFA previously maintained a standard clearance for this information collection (2590-0012). </w:t>
      </w:r>
      <w:r>
        <w:t xml:space="preserve"> </w:t>
      </w:r>
    </w:p>
    <w:p w:rsidR="00186977" w:rsidP="00074673" w14:paraId="7F2F95CF" w14:textId="77777777">
      <w:pPr>
        <w:autoSpaceDE w:val="0"/>
        <w:autoSpaceDN w:val="0"/>
        <w:adjustRightInd w:val="0"/>
        <w:spacing w:line="240" w:lineRule="auto"/>
      </w:pPr>
    </w:p>
    <w:p w:rsidR="00641603" w:rsidP="00641603" w14:paraId="3B6563D0" w14:textId="5A80338A">
      <w:pPr>
        <w:widowControl w:val="0"/>
        <w:autoSpaceDE w:val="0"/>
        <w:autoSpaceDN w:val="0"/>
        <w:adjustRightInd w:val="0"/>
        <w:spacing w:line="240" w:lineRule="auto"/>
        <w:rPr>
          <w:rFonts w:eastAsia="Times New Roman" w:cs="Times New Roman"/>
          <w:szCs w:val="24"/>
        </w:rPr>
      </w:pPr>
      <w:r w:rsidRPr="00506363">
        <w:rPr>
          <w:szCs w:val="24"/>
        </w:rPr>
        <w:t xml:space="preserve">The NSMO is a recurring quarterly survey of individuals who have recently obtained a loan secured by a first mortgage on single-family residential property.  The survey questionnaire is </w:t>
      </w:r>
      <w:r w:rsidR="005A2CA3">
        <w:rPr>
          <w:szCs w:val="24"/>
        </w:rPr>
        <w:t>mailed</w:t>
      </w:r>
      <w:r w:rsidR="00356EB7">
        <w:rPr>
          <w:szCs w:val="24"/>
        </w:rPr>
        <w:t xml:space="preserve"> </w:t>
      </w:r>
      <w:r w:rsidRPr="00506363">
        <w:rPr>
          <w:szCs w:val="24"/>
        </w:rPr>
        <w:t>to a representative sample of approximately 6,000 recent mortgage borrowers each calendar quarter and typically consists of about 9</w:t>
      </w:r>
      <w:r w:rsidR="00774C65">
        <w:rPr>
          <w:szCs w:val="24"/>
        </w:rPr>
        <w:t>6</w:t>
      </w:r>
      <w:r w:rsidRPr="00506363">
        <w:rPr>
          <w:szCs w:val="24"/>
        </w:rPr>
        <w:t xml:space="preserve"> multiple choice and short answer questions designed to obtain information about borrowers’ experiences in choosing and in taking out a mortgage.</w:t>
      </w:r>
      <w:r>
        <w:rPr>
          <w:vertAlign w:val="superscript"/>
        </w:rPr>
        <w:footnoteReference w:id="3"/>
      </w:r>
      <w:r w:rsidRPr="00506363">
        <w:rPr>
          <w:szCs w:val="24"/>
        </w:rPr>
        <w:t xml:space="preserve">  The questionnaire may be completed either on paper (in English only) or electronically online (in either English or Spanish).  FHFA is also seeking clearance to pretest future iterations of the survey questionnaire and related materials from time to time </w:t>
      </w:r>
      <w:r w:rsidRPr="00506363">
        <w:rPr>
          <w:szCs w:val="24"/>
        </w:rPr>
        <w:t>through the use of</w:t>
      </w:r>
      <w:r w:rsidRPr="00506363">
        <w:rPr>
          <w:szCs w:val="24"/>
        </w:rPr>
        <w:t xml:space="preserve"> cognitive</w:t>
      </w:r>
      <w:r w:rsidR="00774C65">
        <w:rPr>
          <w:szCs w:val="24"/>
        </w:rPr>
        <w:t xml:space="preserve"> pre-testing</w:t>
      </w:r>
      <w:r w:rsidRPr="00506363">
        <w:rPr>
          <w:szCs w:val="24"/>
        </w:rPr>
        <w:t>.</w:t>
      </w:r>
    </w:p>
    <w:p w:rsidR="00EE5584" w:rsidP="000D3CCC" w14:paraId="036AA279" w14:textId="70EAB716">
      <w:pPr>
        <w:spacing w:line="240" w:lineRule="auto"/>
        <w:outlineLvl w:val="0"/>
        <w:rPr>
          <w:rFonts w:eastAsia="Times New Roman" w:cs="Times New Roman"/>
          <w:b/>
          <w:smallCaps/>
          <w:snapToGrid w:val="0"/>
          <w:color w:val="000000"/>
          <w:szCs w:val="24"/>
        </w:rPr>
      </w:pPr>
    </w:p>
    <w:p w:rsidR="00854B60" w:rsidRPr="00854B60" w:rsidP="000D3CCC" w14:paraId="2CE7B774" w14:textId="77777777">
      <w:pPr>
        <w:tabs>
          <w:tab w:val="left" w:pos="720"/>
          <w:tab w:val="left" w:pos="1441"/>
          <w:tab w:val="left" w:pos="2157"/>
        </w:tabs>
        <w:spacing w:line="240" w:lineRule="auto"/>
        <w:rPr>
          <w:rFonts w:eastAsia="Times New Roman" w:cs="Times New Roman"/>
          <w:b/>
          <w:snapToGrid w:val="0"/>
          <w:color w:val="000000"/>
          <w:szCs w:val="20"/>
        </w:rPr>
      </w:pPr>
      <w:r w:rsidRPr="00854B60">
        <w:rPr>
          <w:rFonts w:eastAsia="Times New Roman" w:cs="Times New Roman"/>
          <w:b/>
          <w:snapToGrid w:val="0"/>
          <w:color w:val="000000"/>
          <w:szCs w:val="20"/>
        </w:rPr>
        <w:t>A.  JUSTIFICATION</w:t>
      </w:r>
    </w:p>
    <w:p w:rsidR="00854B60" w:rsidRPr="00854B60" w:rsidP="000D3CCC" w14:paraId="50759928" w14:textId="77777777">
      <w:pPr>
        <w:tabs>
          <w:tab w:val="left" w:pos="720"/>
          <w:tab w:val="left" w:pos="1441"/>
          <w:tab w:val="left" w:pos="2157"/>
        </w:tabs>
        <w:spacing w:line="240" w:lineRule="auto"/>
        <w:rPr>
          <w:rFonts w:eastAsia="Times New Roman" w:cs="Times New Roman"/>
          <w:b/>
          <w:snapToGrid w:val="0"/>
          <w:color w:val="000000"/>
          <w:szCs w:val="20"/>
        </w:rPr>
      </w:pPr>
    </w:p>
    <w:p w:rsidR="00854B60" w:rsidRPr="00854B60" w:rsidP="000D3CCC" w14:paraId="4A818054" w14:textId="77777777">
      <w:pPr>
        <w:spacing w:line="240" w:lineRule="auto"/>
        <w:rPr>
          <w:rFonts w:eastAsia="Times New Roman" w:cs="Times New Roman"/>
          <w:b/>
          <w:snapToGrid w:val="0"/>
          <w:color w:val="000000"/>
          <w:szCs w:val="20"/>
        </w:rPr>
      </w:pPr>
      <w:r w:rsidRPr="00854B60">
        <w:rPr>
          <w:rFonts w:eastAsia="Times New Roman" w:cs="Times New Roman"/>
          <w:b/>
          <w:snapToGrid w:val="0"/>
          <w:color w:val="000000"/>
          <w:szCs w:val="20"/>
        </w:rPr>
        <w:t xml:space="preserve">1.  </w:t>
      </w:r>
      <w:r w:rsidRPr="007B5DD4" w:rsidR="00E82184">
        <w:rPr>
          <w:rFonts w:eastAsia="Times New Roman" w:cs="Times New Roman"/>
          <w:b/>
          <w:snapToGrid w:val="0"/>
          <w:color w:val="000000"/>
          <w:szCs w:val="20"/>
        </w:rPr>
        <w:t>Circumstances necessitating the collection of information</w:t>
      </w:r>
    </w:p>
    <w:p w:rsidR="00854B60" w:rsidRPr="00854B60" w:rsidP="000D3CCC" w14:paraId="6524E676" w14:textId="77777777">
      <w:pPr>
        <w:tabs>
          <w:tab w:val="left" w:pos="720"/>
          <w:tab w:val="left" w:pos="1441"/>
          <w:tab w:val="left" w:pos="2157"/>
        </w:tabs>
        <w:spacing w:line="240" w:lineRule="auto"/>
        <w:rPr>
          <w:rFonts w:eastAsia="Times New Roman" w:cs="Times New Roman"/>
          <w:snapToGrid w:val="0"/>
          <w:color w:val="000000"/>
          <w:szCs w:val="20"/>
        </w:rPr>
      </w:pPr>
    </w:p>
    <w:p w:rsidR="00186977" w:rsidRPr="00186977" w:rsidP="00186977" w14:paraId="7968621A" w14:textId="2094E430">
      <w:pPr>
        <w:autoSpaceDE w:val="0"/>
        <w:autoSpaceDN w:val="0"/>
        <w:adjustRightInd w:val="0"/>
        <w:spacing w:line="240" w:lineRule="auto"/>
        <w:rPr>
          <w:rFonts w:eastAsia="Times New Roman" w:cs="Times New Roman"/>
          <w:bCs/>
          <w:snapToGrid w:val="0"/>
          <w:color w:val="000000"/>
          <w:szCs w:val="20"/>
          <w:lang w:val="en"/>
        </w:rPr>
      </w:pPr>
      <w:bookmarkStart w:id="0" w:name="c_2_A"/>
      <w:bookmarkEnd w:id="0"/>
      <w:r w:rsidRPr="00186977">
        <w:rPr>
          <w:rFonts w:eastAsia="Times New Roman" w:cs="Times New Roman"/>
          <w:bCs/>
          <w:snapToGrid w:val="0"/>
          <w:color w:val="000000"/>
          <w:szCs w:val="20"/>
        </w:rPr>
        <w:t>The NSMO is a component of the “National Mortgage Database” (NMDB) Program which is a joint effort of FHFA and the Consumer Financial Protection Bureau (CFPB).</w:t>
      </w:r>
      <w:bookmarkStart w:id="1" w:name="bookmark0"/>
      <w:bookmarkEnd w:id="1"/>
      <w:r w:rsidRPr="00186977">
        <w:rPr>
          <w:rFonts w:eastAsia="Times New Roman" w:cs="Times New Roman"/>
          <w:bCs/>
          <w:snapToGrid w:val="0"/>
          <w:color w:val="000000"/>
          <w:szCs w:val="20"/>
        </w:rPr>
        <w:t xml:space="preserve">  The NMDB Program is designed to satisfy the Congressionally-mandated requirements of section 1324(c) of the Federal Housing Enterprises Financial Safety and Soundness Act.</w:t>
      </w:r>
      <w:r>
        <w:rPr>
          <w:rFonts w:eastAsia="Times New Roman" w:cs="Times New Roman"/>
          <w:bCs/>
          <w:snapToGrid w:val="0"/>
          <w:color w:val="000000"/>
          <w:szCs w:val="20"/>
          <w:vertAlign w:val="superscript"/>
          <w:lang w:val="en"/>
        </w:rPr>
        <w:footnoteReference w:id="4"/>
      </w:r>
      <w:r w:rsidRPr="00186977">
        <w:rPr>
          <w:rFonts w:eastAsia="Times New Roman" w:cs="Times New Roman"/>
          <w:bCs/>
          <w:snapToGrid w:val="0"/>
          <w:color w:val="000000"/>
          <w:szCs w:val="20"/>
        </w:rPr>
        <w:t xml:space="preserve">  Section 1324(c) requires that </w:t>
      </w:r>
      <w:r w:rsidRPr="00186977">
        <w:rPr>
          <w:rFonts w:eastAsia="Times New Roman" w:cs="Times New Roman"/>
          <w:bCs/>
          <w:snapToGrid w:val="0"/>
          <w:color w:val="000000"/>
          <w:szCs w:val="20"/>
          <w:lang w:val="en"/>
        </w:rPr>
        <w:t>FHFA conduct a monthly survey to collect data on the characteristics of individual prime and subprime mortgages, and on the borrowers and properties associated with those mortgages, in order to enable it to prepare a detailed annual report on the mortgage market activities of the Federal National Mortgage Association (Fannie Mae) and the Federal Home Loan Mortgage Corporation (Freddie Mac) for review by the appropriate Congressional oversight committees.  Section 1324(c) also authorizes and requires FHFA to compile a database of otherwise unavailable residential mortgage market information and to make that information available to the public in a timely fashion.</w:t>
      </w:r>
    </w:p>
    <w:p w:rsidR="00186977" w:rsidP="00186977" w14:paraId="5F6C9C18" w14:textId="77777777">
      <w:pPr>
        <w:autoSpaceDE w:val="0"/>
        <w:autoSpaceDN w:val="0"/>
        <w:adjustRightInd w:val="0"/>
        <w:spacing w:line="240" w:lineRule="auto"/>
        <w:rPr>
          <w:rFonts w:eastAsia="Times New Roman" w:cs="Times New Roman"/>
          <w:bCs/>
          <w:snapToGrid w:val="0"/>
          <w:color w:val="000000"/>
          <w:szCs w:val="20"/>
        </w:rPr>
      </w:pPr>
    </w:p>
    <w:p w:rsidR="00186977" w:rsidRPr="00186977" w:rsidP="00186977" w14:paraId="34887A54" w14:textId="034625C1">
      <w:pPr>
        <w:autoSpaceDE w:val="0"/>
        <w:autoSpaceDN w:val="0"/>
        <w:adjustRightInd w:val="0"/>
        <w:spacing w:line="240" w:lineRule="auto"/>
        <w:rPr>
          <w:rFonts w:eastAsia="Times New Roman" w:cs="Times New Roman"/>
          <w:bCs/>
          <w:snapToGrid w:val="0"/>
          <w:color w:val="000000"/>
          <w:szCs w:val="20"/>
        </w:rPr>
      </w:pPr>
      <w:r w:rsidRPr="00186977">
        <w:rPr>
          <w:rFonts w:eastAsia="Times New Roman" w:cs="Times New Roman"/>
          <w:bCs/>
          <w:snapToGrid w:val="0"/>
          <w:color w:val="000000"/>
          <w:szCs w:val="20"/>
        </w:rPr>
        <w:t xml:space="preserve">As a means of fulfilling those and other statutory requirements, as well as to support policymaking and research regarding the residential mortgage markets, FHFA and CFPB jointly established the NMDB Program in 2012.  The Program is designed to provide comprehensive </w:t>
      </w:r>
      <w:r w:rsidRPr="00186977">
        <w:rPr>
          <w:rFonts w:eastAsia="Times New Roman" w:cs="Times New Roman"/>
          <w:bCs/>
          <w:snapToGrid w:val="0"/>
          <w:color w:val="000000"/>
          <w:szCs w:val="20"/>
        </w:rPr>
        <w:t xml:space="preserve">information about the U.S. mortgage market and has three primary components: (1) the NMDB; (2) the NSMO; and (3) the American Survey of Mortgage Borrowers (ASMB).  </w:t>
      </w:r>
    </w:p>
    <w:p w:rsidR="00186977" w:rsidP="00186977" w14:paraId="40BCD7D7" w14:textId="77777777">
      <w:pPr>
        <w:autoSpaceDE w:val="0"/>
        <w:autoSpaceDN w:val="0"/>
        <w:adjustRightInd w:val="0"/>
        <w:spacing w:line="240" w:lineRule="auto"/>
        <w:rPr>
          <w:rFonts w:eastAsia="Times New Roman" w:cs="Times New Roman"/>
          <w:bCs/>
          <w:snapToGrid w:val="0"/>
          <w:color w:val="000000"/>
          <w:szCs w:val="20"/>
        </w:rPr>
      </w:pPr>
    </w:p>
    <w:p w:rsidR="00186977" w:rsidRPr="00186977" w:rsidP="00186977" w14:paraId="72C9BE28" w14:textId="0F0EAAD8">
      <w:pPr>
        <w:autoSpaceDE w:val="0"/>
        <w:autoSpaceDN w:val="0"/>
        <w:adjustRightInd w:val="0"/>
        <w:spacing w:line="240" w:lineRule="auto"/>
        <w:rPr>
          <w:rFonts w:eastAsia="Times New Roman" w:cs="Times New Roman"/>
          <w:bCs/>
          <w:snapToGrid w:val="0"/>
          <w:color w:val="000000"/>
          <w:szCs w:val="20"/>
        </w:rPr>
      </w:pPr>
      <w:r w:rsidRPr="00186977">
        <w:rPr>
          <w:rFonts w:eastAsia="Times New Roman" w:cs="Times New Roman"/>
          <w:bCs/>
          <w:snapToGrid w:val="0"/>
          <w:color w:val="000000"/>
          <w:szCs w:val="20"/>
        </w:rPr>
        <w:t xml:space="preserve">The NMDB is a de-identified loan-level database of closed-end first-lien residential mortgage loans that is representative of the market as a whole, contains detailed loan-level information on the terms and performance of the mortgages and the characteristics of the associated borrowers and properties, is continually updated, has an historical component dating back to 1998, and provides a sampling frame for surveys to collect additional information.  The core data in the NMDB are drawn from a random 1-in-20 sample of all closed-end first-lien mortgage files outstanding at any time between January 1998 and the present in the files of Experian, one of the three national credit repositories, with a random sample of mortgages newly reported to Experian added each quarter.  </w:t>
      </w:r>
    </w:p>
    <w:p w:rsidR="00186977" w:rsidP="00186977" w14:paraId="73AF7474" w14:textId="77777777">
      <w:pPr>
        <w:autoSpaceDE w:val="0"/>
        <w:autoSpaceDN w:val="0"/>
        <w:adjustRightInd w:val="0"/>
        <w:spacing w:line="240" w:lineRule="auto"/>
        <w:rPr>
          <w:rFonts w:eastAsia="Times New Roman" w:cs="Times New Roman"/>
          <w:bCs/>
          <w:snapToGrid w:val="0"/>
          <w:color w:val="000000"/>
          <w:szCs w:val="20"/>
        </w:rPr>
      </w:pPr>
    </w:p>
    <w:p w:rsidR="00186977" w:rsidRPr="00186977" w:rsidP="00186977" w14:paraId="4090F5F9" w14:textId="352310D1">
      <w:pPr>
        <w:autoSpaceDE w:val="0"/>
        <w:autoSpaceDN w:val="0"/>
        <w:adjustRightInd w:val="0"/>
        <w:spacing w:line="240" w:lineRule="auto"/>
        <w:rPr>
          <w:rFonts w:eastAsia="Times New Roman" w:cs="Times New Roman"/>
          <w:bCs/>
          <w:snapToGrid w:val="0"/>
          <w:color w:val="000000"/>
          <w:szCs w:val="20"/>
        </w:rPr>
      </w:pPr>
      <w:r w:rsidRPr="00186977">
        <w:rPr>
          <w:rFonts w:eastAsia="Times New Roman" w:cs="Times New Roman"/>
          <w:bCs/>
          <w:snapToGrid w:val="0"/>
          <w:color w:val="000000"/>
          <w:szCs w:val="20"/>
        </w:rPr>
        <w:t xml:space="preserve">The NMDB draws additional information on mortgages in the NMDB datasets from other existing sources, including the Home Mortgage Disclosure Act (HMDA) data that are maintained by the Federal Financial Institutions Examination Council (FFIEC), property valuation models, and administrative data files maintained by Fannie Mae and Freddie Mac and by federal agencies.  FHFA also obtains data from the ASMB, which </w:t>
      </w:r>
      <w:r w:rsidR="00580F70">
        <w:rPr>
          <w:rFonts w:eastAsia="Times New Roman" w:cs="Times New Roman"/>
          <w:bCs/>
          <w:snapToGrid w:val="0"/>
          <w:color w:val="000000"/>
          <w:szCs w:val="20"/>
        </w:rPr>
        <w:t xml:space="preserve">historically </w:t>
      </w:r>
      <w:r w:rsidRPr="00186977">
        <w:rPr>
          <w:rFonts w:eastAsia="Times New Roman" w:cs="Times New Roman"/>
          <w:bCs/>
          <w:snapToGrid w:val="0"/>
          <w:color w:val="000000"/>
          <w:szCs w:val="20"/>
          <w:lang w:val="en"/>
        </w:rPr>
        <w:t>solicit</w:t>
      </w:r>
      <w:r w:rsidR="00580F70">
        <w:rPr>
          <w:rFonts w:eastAsia="Times New Roman" w:cs="Times New Roman"/>
          <w:bCs/>
          <w:snapToGrid w:val="0"/>
          <w:color w:val="000000"/>
          <w:szCs w:val="20"/>
          <w:lang w:val="en"/>
        </w:rPr>
        <w:t>ed</w:t>
      </w:r>
      <w:r w:rsidRPr="00186977">
        <w:rPr>
          <w:rFonts w:eastAsia="Times New Roman" w:cs="Times New Roman"/>
          <w:bCs/>
          <w:snapToGrid w:val="0"/>
          <w:color w:val="000000"/>
          <w:szCs w:val="20"/>
          <w:lang w:val="en"/>
        </w:rPr>
        <w:t xml:space="preserve"> information on borrowers’ experience with maintaining their existing mortgages, including their experience maintaining mortgages under financial stress, their experience in soliciting financial assistance, their success in accessing federally-sponsored programs designed to assist them, and, where applicable, any challenges they may have had in terminating a mortgage loan.</w:t>
      </w:r>
      <w:r>
        <w:rPr>
          <w:rFonts w:eastAsia="Times New Roman" w:cs="Times New Roman"/>
          <w:bCs/>
          <w:snapToGrid w:val="0"/>
          <w:color w:val="000000"/>
          <w:szCs w:val="20"/>
          <w:vertAlign w:val="superscript"/>
        </w:rPr>
        <w:footnoteReference w:id="5"/>
      </w:r>
      <w:r w:rsidRPr="00186977">
        <w:rPr>
          <w:rFonts w:eastAsia="Times New Roman" w:cs="Times New Roman"/>
          <w:bCs/>
          <w:snapToGrid w:val="0"/>
          <w:color w:val="000000"/>
          <w:szCs w:val="20"/>
          <w:lang w:val="en"/>
        </w:rPr>
        <w:t xml:space="preserve">  </w:t>
      </w:r>
    </w:p>
    <w:p w:rsidR="00186977" w:rsidP="00186977" w14:paraId="442DC0E3" w14:textId="77777777">
      <w:pPr>
        <w:autoSpaceDE w:val="0"/>
        <w:autoSpaceDN w:val="0"/>
        <w:adjustRightInd w:val="0"/>
        <w:spacing w:line="240" w:lineRule="auto"/>
        <w:rPr>
          <w:rFonts w:eastAsia="Times New Roman" w:cs="Times New Roman"/>
          <w:bCs/>
          <w:snapToGrid w:val="0"/>
          <w:color w:val="000000"/>
          <w:szCs w:val="20"/>
        </w:rPr>
      </w:pPr>
    </w:p>
    <w:p w:rsidR="00186977" w:rsidRPr="00186977" w:rsidP="00186977" w14:paraId="14392B99" w14:textId="1D48E225">
      <w:pPr>
        <w:autoSpaceDE w:val="0"/>
        <w:autoSpaceDN w:val="0"/>
        <w:adjustRightInd w:val="0"/>
        <w:spacing w:line="240" w:lineRule="auto"/>
        <w:rPr>
          <w:rFonts w:eastAsia="Times New Roman" w:cs="Times New Roman"/>
          <w:bCs/>
          <w:snapToGrid w:val="0"/>
          <w:color w:val="000000"/>
          <w:szCs w:val="20"/>
        </w:rPr>
      </w:pPr>
      <w:r w:rsidRPr="00186977">
        <w:rPr>
          <w:rFonts w:eastAsia="Times New Roman" w:cs="Times New Roman"/>
          <w:bCs/>
          <w:snapToGrid w:val="0"/>
          <w:color w:val="000000"/>
          <w:szCs w:val="20"/>
        </w:rPr>
        <w:t xml:space="preserve">While the ASMB </w:t>
      </w:r>
      <w:r w:rsidRPr="00186977">
        <w:rPr>
          <w:rFonts w:eastAsia="Times New Roman" w:cs="Times New Roman"/>
          <w:bCs/>
          <w:snapToGrid w:val="0"/>
          <w:color w:val="000000"/>
          <w:szCs w:val="20"/>
          <w:lang w:val="en"/>
        </w:rPr>
        <w:t>focuse</w:t>
      </w:r>
      <w:r w:rsidR="00580F70">
        <w:rPr>
          <w:rFonts w:eastAsia="Times New Roman" w:cs="Times New Roman"/>
          <w:bCs/>
          <w:snapToGrid w:val="0"/>
          <w:color w:val="000000"/>
          <w:szCs w:val="20"/>
          <w:lang w:val="en"/>
        </w:rPr>
        <w:t>d</w:t>
      </w:r>
      <w:r w:rsidRPr="00186977">
        <w:rPr>
          <w:rFonts w:eastAsia="Times New Roman" w:cs="Times New Roman"/>
          <w:bCs/>
          <w:snapToGrid w:val="0"/>
          <w:color w:val="000000"/>
          <w:szCs w:val="20"/>
          <w:lang w:val="en"/>
        </w:rPr>
        <w:t xml:space="preserve"> on borrowers’ experience with maintaining existing mortgages</w:t>
      </w:r>
      <w:r w:rsidRPr="00186977">
        <w:rPr>
          <w:rFonts w:eastAsia="Times New Roman" w:cs="Times New Roman"/>
          <w:bCs/>
          <w:snapToGrid w:val="0"/>
          <w:color w:val="000000"/>
          <w:szCs w:val="20"/>
        </w:rPr>
        <w:t xml:space="preserve">, the NSMO </w:t>
      </w:r>
      <w:r w:rsidRPr="00186977">
        <w:rPr>
          <w:rFonts w:eastAsia="Times New Roman" w:cs="Times New Roman"/>
          <w:bCs/>
          <w:snapToGrid w:val="0"/>
          <w:color w:val="000000"/>
          <w:szCs w:val="20"/>
          <w:lang w:val="en"/>
        </w:rPr>
        <w:t>solicits information on newly-originated mortgages and the borrowers’ experiences with the mortgage origination process.  It</w:t>
      </w:r>
      <w:r w:rsidRPr="00186977">
        <w:rPr>
          <w:rFonts w:eastAsia="Times New Roman" w:cs="Times New Roman"/>
          <w:bCs/>
          <w:snapToGrid w:val="0"/>
          <w:color w:val="000000"/>
          <w:szCs w:val="20"/>
        </w:rPr>
        <w:t xml:space="preserve"> was developed to complement the NMDB by providing critical and timely information—not available from existing sources—on </w:t>
      </w:r>
      <w:r w:rsidRPr="00186977">
        <w:rPr>
          <w:rFonts w:eastAsia="Times New Roman" w:cs="Times New Roman"/>
          <w:bCs/>
          <w:snapToGrid w:val="0"/>
          <w:color w:val="000000"/>
          <w:szCs w:val="20"/>
          <w:lang w:val="en"/>
        </w:rPr>
        <w:t xml:space="preserve">the range of nontraditional and subprime mortgage products being offered, the methods by which these mortgages are being marketed, and the characteristics of borrowers for these types of loans.  </w:t>
      </w:r>
      <w:r w:rsidRPr="00186977">
        <w:rPr>
          <w:rFonts w:eastAsia="Times New Roman" w:cs="Times New Roman"/>
          <w:bCs/>
          <w:snapToGrid w:val="0"/>
          <w:color w:val="000000"/>
          <w:szCs w:val="20"/>
        </w:rPr>
        <w:t>In particular, the survey questionnaire is designed to elicit directly from mortgage borrowers information on the characteristics of the borrowers and on their experiences in finding and obtaining a mortgage loan, including:</w:t>
      </w:r>
      <w:r w:rsidRPr="00186977">
        <w:rPr>
          <w:rFonts w:eastAsia="Times New Roman" w:cs="Times New Roman"/>
          <w:bCs/>
          <w:snapToGrid w:val="0"/>
          <w:color w:val="000000"/>
          <w:szCs w:val="20"/>
          <w:lang w:val="en"/>
        </w:rPr>
        <w:t xml:space="preserve"> </w:t>
      </w:r>
      <w:r w:rsidRPr="00186977">
        <w:rPr>
          <w:rFonts w:eastAsia="Times New Roman" w:cs="Times New Roman"/>
          <w:bCs/>
          <w:snapToGrid w:val="0"/>
          <w:color w:val="000000"/>
          <w:szCs w:val="20"/>
        </w:rPr>
        <w:t xml:space="preserve"> their mortgage shopping behavior; their mortgage closing experiences; their expectations regarding house price appreciation; and critical financial and other life events affecting their households, such as unemployment</w:t>
      </w:r>
      <w:r w:rsidR="00580F70">
        <w:rPr>
          <w:rFonts w:eastAsia="Times New Roman" w:cs="Times New Roman"/>
          <w:bCs/>
          <w:snapToGrid w:val="0"/>
          <w:color w:val="000000"/>
          <w:szCs w:val="20"/>
        </w:rPr>
        <w:t>, expenses</w:t>
      </w:r>
      <w:r w:rsidRPr="00186977">
        <w:rPr>
          <w:rFonts w:eastAsia="Times New Roman" w:cs="Times New Roman"/>
          <w:bCs/>
          <w:snapToGrid w:val="0"/>
          <w:color w:val="000000"/>
          <w:szCs w:val="20"/>
        </w:rPr>
        <w:t xml:space="preserve"> or divorce.  The survey questions do not focus on the terms of the borrowers’ mortgage loans because these fields are available in the Experian data.  However, the NSMO collects a limited amount of information on each respondent’s mortgage to verify that the Experian records and survey responses pertain to the same mortgage.</w:t>
      </w:r>
    </w:p>
    <w:p w:rsidR="00186977" w:rsidP="00186977" w14:paraId="1D093565" w14:textId="77777777">
      <w:pPr>
        <w:autoSpaceDE w:val="0"/>
        <w:autoSpaceDN w:val="0"/>
        <w:adjustRightInd w:val="0"/>
        <w:spacing w:line="240" w:lineRule="auto"/>
        <w:rPr>
          <w:rFonts w:eastAsia="Times New Roman" w:cs="Times New Roman"/>
          <w:bCs/>
          <w:snapToGrid w:val="0"/>
          <w:color w:val="000000"/>
          <w:szCs w:val="20"/>
        </w:rPr>
      </w:pPr>
    </w:p>
    <w:p w:rsidR="00186977" w:rsidRPr="00186977" w:rsidP="00186977" w14:paraId="704A53C3" w14:textId="56701042">
      <w:pPr>
        <w:autoSpaceDE w:val="0"/>
        <w:autoSpaceDN w:val="0"/>
        <w:adjustRightInd w:val="0"/>
        <w:spacing w:line="240" w:lineRule="auto"/>
        <w:rPr>
          <w:rFonts w:eastAsia="Times New Roman" w:cs="Times New Roman"/>
          <w:bCs/>
          <w:snapToGrid w:val="0"/>
          <w:color w:val="000000"/>
          <w:szCs w:val="20"/>
        </w:rPr>
      </w:pPr>
      <w:r w:rsidRPr="00186977">
        <w:rPr>
          <w:rFonts w:eastAsia="Times New Roman" w:cs="Times New Roman"/>
          <w:bCs/>
          <w:snapToGrid w:val="0"/>
          <w:color w:val="000000"/>
          <w:szCs w:val="20"/>
        </w:rPr>
        <w:t xml:space="preserve">Each wave of the NSMO is sent to the primary borrowers on about 6,000 mortgage loans, which are drawn from a simple random sample of </w:t>
      </w:r>
      <w:r w:rsidR="00AC1793">
        <w:rPr>
          <w:rFonts w:eastAsia="Times New Roman" w:cs="Times New Roman"/>
          <w:bCs/>
          <w:snapToGrid w:val="0"/>
          <w:color w:val="000000"/>
          <w:szCs w:val="20"/>
        </w:rPr>
        <w:t>the</w:t>
      </w:r>
      <w:r w:rsidRPr="00186977">
        <w:rPr>
          <w:rFonts w:eastAsia="Times New Roman" w:cs="Times New Roman"/>
          <w:bCs/>
          <w:snapToGrid w:val="0"/>
          <w:color w:val="000000"/>
          <w:szCs w:val="20"/>
        </w:rPr>
        <w:t xml:space="preserve"> newly originated mortgage loans that are added to the National Mortgage Database from the Experian files each quarter</w:t>
      </w:r>
      <w:r w:rsidR="00AC1793">
        <w:rPr>
          <w:rFonts w:eastAsia="Times New Roman" w:cs="Times New Roman"/>
          <w:bCs/>
          <w:snapToGrid w:val="0"/>
          <w:color w:val="000000"/>
          <w:szCs w:val="20"/>
        </w:rPr>
        <w:t xml:space="preserve">. Because the volume of originations varies across time, the sampling rate for the 6,000 sampled loans </w:t>
      </w:r>
      <w:r w:rsidR="005F1917">
        <w:rPr>
          <w:rFonts w:eastAsia="Times New Roman" w:cs="Times New Roman"/>
          <w:bCs/>
          <w:snapToGrid w:val="0"/>
          <w:color w:val="000000"/>
          <w:szCs w:val="20"/>
        </w:rPr>
        <w:t>al</w:t>
      </w:r>
      <w:r w:rsidR="00AC1793">
        <w:rPr>
          <w:rFonts w:eastAsia="Times New Roman" w:cs="Times New Roman"/>
          <w:bCs/>
          <w:snapToGrid w:val="0"/>
          <w:color w:val="000000"/>
          <w:szCs w:val="20"/>
        </w:rPr>
        <w:t>so varies from one quarter to the next.</w:t>
      </w:r>
      <w:r w:rsidRPr="00186977">
        <w:rPr>
          <w:rFonts w:eastAsia="Times New Roman" w:cs="Times New Roman"/>
          <w:bCs/>
          <w:snapToGrid w:val="0"/>
          <w:color w:val="000000"/>
          <w:szCs w:val="20"/>
        </w:rPr>
        <w:t xml:space="preserve"> </w:t>
      </w:r>
      <w:r w:rsidR="00AC1793">
        <w:rPr>
          <w:rFonts w:eastAsia="Times New Roman" w:cs="Times New Roman"/>
          <w:bCs/>
          <w:snapToGrid w:val="0"/>
          <w:color w:val="000000"/>
          <w:szCs w:val="20"/>
        </w:rPr>
        <w:t>On average</w:t>
      </w:r>
      <w:r w:rsidRPr="00186977">
        <w:rPr>
          <w:rFonts w:eastAsia="Times New Roman" w:cs="Times New Roman"/>
          <w:bCs/>
          <w:snapToGrid w:val="0"/>
          <w:color w:val="000000"/>
          <w:szCs w:val="20"/>
        </w:rPr>
        <w:t>, th</w:t>
      </w:r>
      <w:r w:rsidR="00AC1793">
        <w:rPr>
          <w:rFonts w:eastAsia="Times New Roman" w:cs="Times New Roman"/>
          <w:bCs/>
          <w:snapToGrid w:val="0"/>
          <w:color w:val="000000"/>
          <w:szCs w:val="20"/>
        </w:rPr>
        <w:t>e NSMO sample</w:t>
      </w:r>
      <w:r w:rsidRPr="00186977">
        <w:rPr>
          <w:rFonts w:eastAsia="Times New Roman" w:cs="Times New Roman"/>
          <w:bCs/>
          <w:snapToGrid w:val="0"/>
          <w:color w:val="000000"/>
          <w:szCs w:val="20"/>
        </w:rPr>
        <w:t xml:space="preserve"> represents an approximately 1-in-15 sample of loans added to the National Mortgage Database and an approximately 1-in-300 sample </w:t>
      </w:r>
      <w:r w:rsidRPr="00186977">
        <w:rPr>
          <w:rFonts w:eastAsia="Times New Roman" w:cs="Times New Roman"/>
          <w:bCs/>
          <w:snapToGrid w:val="0"/>
          <w:color w:val="000000"/>
          <w:szCs w:val="20"/>
        </w:rPr>
        <w:t>of all mortgage loan originations.  By contract with FHFA, the conduct of the NSMO is administered through Experian, which has subcontracted the survey administration through a competitive process to Westat, a nationally-recognized survey vendor.</w:t>
      </w:r>
      <w:r>
        <w:rPr>
          <w:rFonts w:eastAsia="Times New Roman" w:cs="Times New Roman"/>
          <w:bCs/>
          <w:snapToGrid w:val="0"/>
          <w:color w:val="000000"/>
          <w:szCs w:val="20"/>
          <w:vertAlign w:val="superscript"/>
        </w:rPr>
        <w:footnoteReference w:id="6"/>
      </w:r>
      <w:r w:rsidRPr="00186977">
        <w:rPr>
          <w:rFonts w:eastAsia="Times New Roman" w:cs="Times New Roman"/>
          <w:bCs/>
          <w:snapToGrid w:val="0"/>
          <w:color w:val="000000"/>
          <w:szCs w:val="20"/>
        </w:rPr>
        <w:t xml:space="preserve">  Westat also carries out the pre-testing of the survey materials.</w:t>
      </w:r>
    </w:p>
    <w:p w:rsidR="00CD5744" w:rsidP="000D3CCC" w14:paraId="7022EE34" w14:textId="77777777">
      <w:pPr>
        <w:autoSpaceDE w:val="0"/>
        <w:autoSpaceDN w:val="0"/>
        <w:adjustRightInd w:val="0"/>
        <w:spacing w:line="240" w:lineRule="auto"/>
        <w:rPr>
          <w:rFonts w:eastAsia="Times New Roman" w:cs="Times New Roman"/>
          <w:snapToGrid w:val="0"/>
          <w:color w:val="000000"/>
          <w:szCs w:val="20"/>
        </w:rPr>
      </w:pPr>
    </w:p>
    <w:p w:rsidR="00854B60" w:rsidRPr="00854B60" w:rsidP="000D3CCC" w14:paraId="3BC862C7" w14:textId="77777777">
      <w:pPr>
        <w:autoSpaceDE w:val="0"/>
        <w:autoSpaceDN w:val="0"/>
        <w:adjustRightInd w:val="0"/>
        <w:spacing w:line="240" w:lineRule="auto"/>
        <w:rPr>
          <w:rFonts w:eastAsia="Times New Roman" w:cs="Times New Roman"/>
          <w:b/>
          <w:color w:val="000000"/>
          <w:szCs w:val="24"/>
        </w:rPr>
      </w:pPr>
      <w:r w:rsidRPr="00854B60">
        <w:rPr>
          <w:rFonts w:eastAsia="Times New Roman" w:cs="Times New Roman"/>
          <w:b/>
          <w:color w:val="000000"/>
          <w:szCs w:val="24"/>
        </w:rPr>
        <w:t xml:space="preserve">2.  </w:t>
      </w:r>
      <w:r w:rsidRPr="007B5DD4" w:rsidR="00E82184">
        <w:rPr>
          <w:rFonts w:eastAsia="Times New Roman" w:cs="Times New Roman"/>
          <w:b/>
          <w:color w:val="000000"/>
          <w:szCs w:val="24"/>
        </w:rPr>
        <w:t>Use of data</w:t>
      </w:r>
    </w:p>
    <w:p w:rsidR="00854B60" w:rsidRPr="00854B60" w:rsidP="000D3CCC" w14:paraId="11824E27" w14:textId="77777777">
      <w:pPr>
        <w:tabs>
          <w:tab w:val="left" w:pos="720"/>
          <w:tab w:val="left" w:pos="1441"/>
          <w:tab w:val="left" w:pos="2157"/>
        </w:tabs>
        <w:spacing w:line="240" w:lineRule="auto"/>
        <w:rPr>
          <w:rFonts w:eastAsia="Times New Roman" w:cs="Times New Roman"/>
          <w:snapToGrid w:val="0"/>
          <w:color w:val="000000"/>
          <w:szCs w:val="20"/>
        </w:rPr>
      </w:pPr>
    </w:p>
    <w:p w:rsidR="001C20A0" w:rsidP="001C20A0" w14:paraId="44107E01" w14:textId="77777777">
      <w:pPr>
        <w:autoSpaceDE w:val="0"/>
        <w:autoSpaceDN w:val="0"/>
        <w:adjustRightInd w:val="0"/>
        <w:spacing w:line="240" w:lineRule="auto"/>
        <w:rPr>
          <w:rFonts w:eastAsia="Times New Roman" w:cs="Times New Roman"/>
          <w:bCs/>
          <w:snapToGrid w:val="0"/>
          <w:color w:val="000000"/>
          <w:szCs w:val="20"/>
        </w:rPr>
      </w:pPr>
      <w:r w:rsidRPr="001C20A0">
        <w:rPr>
          <w:rFonts w:eastAsia="Times New Roman" w:cs="Times New Roman"/>
          <w:bCs/>
          <w:snapToGrid w:val="0"/>
          <w:color w:val="000000"/>
          <w:szCs w:val="20"/>
        </w:rPr>
        <w:t xml:space="preserve">FHFA views the NMDB Program as a whole, including the NSMO, as the monthly “survey” that is required by section 1324 of the Safety and Soundness Act.  Core inputs to the NMDB, such as a regular refresh of the Experian data, occur monthly, though NSMO itself does not.  In combination with the other information in the NMDB, the information obtained through the NSMO is used to prepare the report to Congress on the mortgage market activities of Fannie Mae and Freddie Mac that FHFA is required to submit under section 1324, as well as for research and analysis by FHFA and CFPB in support of their regulatory and supervisory responsibilities related to the residential mortgage markets.  </w:t>
      </w:r>
      <w:bookmarkStart w:id="2" w:name="_Hlk117769101"/>
      <w:r w:rsidRPr="001C20A0">
        <w:rPr>
          <w:rFonts w:eastAsia="Times New Roman" w:cs="Times New Roman"/>
          <w:bCs/>
          <w:snapToGrid w:val="0"/>
          <w:color w:val="000000"/>
          <w:szCs w:val="20"/>
          <w:lang w:val="en"/>
        </w:rPr>
        <w:t>The NSMO is especially critical in ensuring that the NMDB contains uniquely comprehensive information on the range of nontraditional and subprime mortgage products being offered, the methods by which these mortgages are being marketed and the characteristics—and particularly the creditworthiness—of borrowers for these types of loans.</w:t>
      </w:r>
      <w:r w:rsidRPr="001C20A0">
        <w:rPr>
          <w:rFonts w:eastAsia="Times New Roman" w:cs="Times New Roman"/>
          <w:bCs/>
          <w:snapToGrid w:val="0"/>
          <w:color w:val="000000"/>
          <w:szCs w:val="20"/>
        </w:rPr>
        <w:t xml:space="preserve">  </w:t>
      </w:r>
      <w:bookmarkEnd w:id="2"/>
    </w:p>
    <w:p w:rsidR="001C20A0" w:rsidP="001C20A0" w14:paraId="7C1FD20F" w14:textId="77777777">
      <w:pPr>
        <w:autoSpaceDE w:val="0"/>
        <w:autoSpaceDN w:val="0"/>
        <w:adjustRightInd w:val="0"/>
        <w:spacing w:line="240" w:lineRule="auto"/>
        <w:rPr>
          <w:rFonts w:eastAsia="Times New Roman" w:cs="Times New Roman"/>
          <w:bCs/>
          <w:snapToGrid w:val="0"/>
          <w:color w:val="000000"/>
          <w:szCs w:val="20"/>
        </w:rPr>
      </w:pPr>
    </w:p>
    <w:p w:rsidR="001C20A0" w:rsidP="001C20A0" w14:paraId="07EEAB99" w14:textId="438F06ED">
      <w:pPr>
        <w:autoSpaceDE w:val="0"/>
        <w:autoSpaceDN w:val="0"/>
        <w:adjustRightInd w:val="0"/>
        <w:spacing w:line="240" w:lineRule="auto"/>
        <w:rPr>
          <w:rFonts w:eastAsia="Times New Roman" w:cs="Times New Roman"/>
          <w:bCs/>
          <w:snapToGrid w:val="0"/>
          <w:color w:val="000000"/>
          <w:szCs w:val="20"/>
        </w:rPr>
      </w:pPr>
      <w:r>
        <w:t xml:space="preserve">Since November 2018 FHFA and CFPB have periodically released loan-level datasets collected through the NSMO for public use.  Each release incrementally adds loans collected from additional waves of the survey.  The most recent release was in </w:t>
      </w:r>
      <w:r w:rsidR="00C84359">
        <w:t>July 2024</w:t>
      </w:r>
      <w:r>
        <w:t xml:space="preserve"> covering loans originated through 202</w:t>
      </w:r>
      <w:r w:rsidR="00C84359">
        <w:t>1</w:t>
      </w:r>
      <w:r>
        <w:t>.</w:t>
      </w:r>
      <w:r w:rsidRPr="00AC1793" w:rsidR="00AC1793">
        <w:rPr>
          <w:rFonts w:eastAsia="Times New Roman" w:cs="Times New Roman"/>
          <w:bCs/>
          <w:snapToGrid w:val="0"/>
          <w:color w:val="000000"/>
          <w:szCs w:val="20"/>
          <w:vertAlign w:val="superscript"/>
        </w:rPr>
        <w:t xml:space="preserve"> </w:t>
      </w:r>
      <w:r>
        <w:rPr>
          <w:rFonts w:eastAsia="Times New Roman" w:cs="Times New Roman"/>
          <w:bCs/>
          <w:snapToGrid w:val="0"/>
          <w:color w:val="000000"/>
          <w:szCs w:val="20"/>
          <w:vertAlign w:val="superscript"/>
        </w:rPr>
        <w:footnoteReference w:id="7"/>
      </w:r>
      <w:r>
        <w:t xml:space="preserve"> </w:t>
      </w:r>
      <w:r w:rsidR="00AC1793">
        <w:t xml:space="preserve">Prior to each release, </w:t>
      </w:r>
      <w:r w:rsidRPr="001C20A0">
        <w:rPr>
          <w:rFonts w:eastAsia="Times New Roman" w:cs="Times New Roman"/>
          <w:bCs/>
          <w:snapToGrid w:val="0"/>
          <w:color w:val="000000"/>
          <w:szCs w:val="20"/>
        </w:rPr>
        <w:t>FHFA and the CFPB</w:t>
      </w:r>
      <w:r w:rsidR="00AC1793">
        <w:rPr>
          <w:rFonts w:eastAsia="Times New Roman" w:cs="Times New Roman"/>
          <w:bCs/>
          <w:snapToGrid w:val="0"/>
          <w:color w:val="000000"/>
          <w:szCs w:val="20"/>
        </w:rPr>
        <w:t xml:space="preserve"> implement a series of disclosure avoidance analyses and protections to ensure that the confidentiality of study participants is protected</w:t>
      </w:r>
      <w:r w:rsidR="00EB2C1A">
        <w:rPr>
          <w:rFonts w:eastAsia="Times New Roman" w:cs="Times New Roman"/>
          <w:bCs/>
          <w:snapToGrid w:val="0"/>
          <w:color w:val="000000"/>
          <w:szCs w:val="20"/>
        </w:rPr>
        <w:t>.</w:t>
      </w:r>
      <w:r w:rsidRPr="001C20A0">
        <w:rPr>
          <w:rFonts w:eastAsia="Times New Roman" w:cs="Times New Roman"/>
          <w:bCs/>
          <w:snapToGrid w:val="0"/>
          <w:color w:val="000000"/>
          <w:szCs w:val="20"/>
        </w:rPr>
        <w:t xml:space="preserve"> The </w:t>
      </w:r>
      <w:r w:rsidR="00AC1793">
        <w:rPr>
          <w:rFonts w:eastAsia="Times New Roman" w:cs="Times New Roman"/>
          <w:bCs/>
          <w:snapToGrid w:val="0"/>
          <w:color w:val="000000"/>
          <w:szCs w:val="20"/>
        </w:rPr>
        <w:t>loan-level datasets</w:t>
      </w:r>
      <w:r w:rsidRPr="001C20A0">
        <w:rPr>
          <w:rFonts w:eastAsia="Times New Roman" w:cs="Times New Roman"/>
          <w:bCs/>
          <w:snapToGrid w:val="0"/>
          <w:color w:val="000000"/>
          <w:szCs w:val="20"/>
        </w:rPr>
        <w:t xml:space="preserve"> provide a resource for research and analysis by federal agencies, by Fannie Mae and Freddie Mac, and by academics and other interested parties outside of the government.</w:t>
      </w:r>
    </w:p>
    <w:p w:rsidR="001C20A0" w:rsidRPr="001C20A0" w:rsidP="001C20A0" w14:paraId="55518EEE" w14:textId="77777777">
      <w:pPr>
        <w:autoSpaceDE w:val="0"/>
        <w:autoSpaceDN w:val="0"/>
        <w:adjustRightInd w:val="0"/>
        <w:spacing w:line="240" w:lineRule="auto"/>
        <w:rPr>
          <w:rFonts w:eastAsia="Times New Roman" w:cs="Times New Roman"/>
          <w:bCs/>
          <w:snapToGrid w:val="0"/>
          <w:color w:val="000000"/>
          <w:szCs w:val="20"/>
        </w:rPr>
      </w:pPr>
    </w:p>
    <w:p w:rsidR="001C20A0" w:rsidRPr="001C20A0" w:rsidP="001C20A0" w14:paraId="6A39B9B0" w14:textId="77777777">
      <w:pPr>
        <w:autoSpaceDE w:val="0"/>
        <w:autoSpaceDN w:val="0"/>
        <w:adjustRightInd w:val="0"/>
        <w:spacing w:line="240" w:lineRule="auto"/>
        <w:rPr>
          <w:rFonts w:eastAsia="Times New Roman" w:cs="Times New Roman"/>
          <w:bCs/>
          <w:snapToGrid w:val="0"/>
          <w:color w:val="000000"/>
          <w:szCs w:val="20"/>
        </w:rPr>
      </w:pPr>
      <w:r w:rsidRPr="001C20A0">
        <w:rPr>
          <w:rFonts w:eastAsia="Times New Roman" w:cs="Times New Roman"/>
          <w:bCs/>
          <w:snapToGrid w:val="0"/>
          <w:color w:val="000000"/>
          <w:szCs w:val="20"/>
        </w:rPr>
        <w:t>FHFA is also seeking OMB approval to continue to conduct cognitive pre-testing of the survey materials.  The Agency uses information collected through that process to assist in drafting and modifying the survey questions and instructions, as well as the related communications, to read in the way that will be most readily understood by the survey respondents and that will be most likely to elicit usable responses.  Such information is also used to help the Agency decide on how best to organize and format the survey questionnaires.</w:t>
      </w:r>
    </w:p>
    <w:p w:rsidR="00CD5744" w:rsidRPr="001504BB" w:rsidP="000D3CCC" w14:paraId="41FCE31C" w14:textId="77777777">
      <w:pPr>
        <w:autoSpaceDE w:val="0"/>
        <w:autoSpaceDN w:val="0"/>
        <w:adjustRightInd w:val="0"/>
        <w:spacing w:line="240" w:lineRule="auto"/>
        <w:rPr>
          <w:rFonts w:eastAsia="Times New Roman" w:cs="Times New Roman"/>
          <w:bCs/>
          <w:snapToGrid w:val="0"/>
          <w:color w:val="000000"/>
          <w:szCs w:val="20"/>
        </w:rPr>
      </w:pPr>
    </w:p>
    <w:p w:rsidR="00854B60" w:rsidRPr="00854B60" w:rsidP="000D3CCC" w14:paraId="0ACB9C2E" w14:textId="77777777">
      <w:pPr>
        <w:spacing w:line="240" w:lineRule="auto"/>
        <w:rPr>
          <w:rFonts w:eastAsia="Times New Roman" w:cs="Times New Roman"/>
          <w:b/>
          <w:snapToGrid w:val="0"/>
          <w:color w:val="000000"/>
          <w:szCs w:val="20"/>
          <w:u w:val="single"/>
        </w:rPr>
      </w:pPr>
      <w:r w:rsidRPr="00854B60">
        <w:rPr>
          <w:rFonts w:eastAsia="Times New Roman" w:cs="Times New Roman"/>
          <w:b/>
          <w:snapToGrid w:val="0"/>
          <w:color w:val="000000"/>
          <w:szCs w:val="20"/>
        </w:rPr>
        <w:t xml:space="preserve">3.  </w:t>
      </w:r>
      <w:r w:rsidRPr="007B5DD4" w:rsidR="00E82184">
        <w:rPr>
          <w:rFonts w:eastAsia="Times New Roman" w:cs="Times New Roman"/>
          <w:b/>
          <w:snapToGrid w:val="0"/>
          <w:color w:val="000000"/>
          <w:szCs w:val="20"/>
        </w:rPr>
        <w:t>Use of information technology</w:t>
      </w:r>
    </w:p>
    <w:p w:rsidR="00854B60" w:rsidRPr="00854B60" w:rsidP="000D3CCC" w14:paraId="40333A26" w14:textId="77777777">
      <w:pPr>
        <w:tabs>
          <w:tab w:val="left" w:pos="720"/>
          <w:tab w:val="left" w:pos="1441"/>
          <w:tab w:val="left" w:pos="2157"/>
        </w:tabs>
        <w:spacing w:line="240" w:lineRule="auto"/>
        <w:rPr>
          <w:rFonts w:eastAsia="Times New Roman" w:cs="Times New Roman"/>
          <w:snapToGrid w:val="0"/>
          <w:color w:val="000000"/>
          <w:szCs w:val="20"/>
        </w:rPr>
      </w:pPr>
    </w:p>
    <w:p w:rsidR="00235423" w:rsidP="000D3CCC" w14:paraId="4CE54239" w14:textId="2833DB3A">
      <w:pPr>
        <w:autoSpaceDE w:val="0"/>
        <w:autoSpaceDN w:val="0"/>
        <w:adjustRightInd w:val="0"/>
        <w:spacing w:line="240" w:lineRule="auto"/>
        <w:rPr>
          <w:rFonts w:eastAsia="Times New Roman" w:cs="Times New Roman"/>
          <w:color w:val="000000"/>
          <w:szCs w:val="24"/>
        </w:rPr>
      </w:pPr>
      <w:r>
        <w:rPr>
          <w:rFonts w:eastAsia="Times New Roman" w:cs="Times New Roman"/>
          <w:color w:val="000000"/>
          <w:szCs w:val="24"/>
        </w:rPr>
        <w:t xml:space="preserve">The </w:t>
      </w:r>
      <w:r w:rsidR="00DB226A">
        <w:rPr>
          <w:rFonts w:eastAsia="Times New Roman" w:cs="Times New Roman"/>
          <w:color w:val="000000"/>
          <w:szCs w:val="24"/>
        </w:rPr>
        <w:t>NSMO</w:t>
      </w:r>
      <w:r w:rsidR="005747FD">
        <w:rPr>
          <w:rFonts w:eastAsia="Times New Roman" w:cs="Times New Roman"/>
          <w:color w:val="000000"/>
          <w:szCs w:val="24"/>
        </w:rPr>
        <w:t xml:space="preserve"> </w:t>
      </w:r>
      <w:r>
        <w:rPr>
          <w:rFonts w:eastAsia="Times New Roman" w:cs="Times New Roman"/>
          <w:color w:val="000000"/>
          <w:szCs w:val="24"/>
        </w:rPr>
        <w:t>use</w:t>
      </w:r>
      <w:r w:rsidR="005747FD">
        <w:rPr>
          <w:rFonts w:eastAsia="Times New Roman" w:cs="Times New Roman"/>
          <w:color w:val="000000"/>
          <w:szCs w:val="24"/>
        </w:rPr>
        <w:t>s</w:t>
      </w:r>
      <w:r>
        <w:rPr>
          <w:rFonts w:eastAsia="Times New Roman" w:cs="Times New Roman"/>
          <w:color w:val="000000"/>
          <w:szCs w:val="24"/>
        </w:rPr>
        <w:t xml:space="preserve"> machi</w:t>
      </w:r>
      <w:r w:rsidR="005747FD">
        <w:rPr>
          <w:rFonts w:eastAsia="Times New Roman" w:cs="Times New Roman"/>
          <w:color w:val="000000"/>
          <w:szCs w:val="24"/>
        </w:rPr>
        <w:t>ne-readable paper questionnaires</w:t>
      </w:r>
      <w:r w:rsidR="00464862">
        <w:rPr>
          <w:rFonts w:eastAsia="Times New Roman" w:cs="Times New Roman"/>
          <w:color w:val="000000"/>
          <w:szCs w:val="24"/>
        </w:rPr>
        <w:t xml:space="preserve"> in English</w:t>
      </w:r>
      <w:r w:rsidR="005747FD">
        <w:rPr>
          <w:rFonts w:eastAsia="Times New Roman" w:cs="Times New Roman"/>
          <w:color w:val="000000"/>
          <w:szCs w:val="24"/>
        </w:rPr>
        <w:t xml:space="preserve"> and </w:t>
      </w:r>
      <w:r w:rsidRPr="005747FD" w:rsidR="005747FD">
        <w:rPr>
          <w:rFonts w:eastAsia="Times New Roman" w:cs="Times New Roman"/>
          <w:color w:val="000000"/>
          <w:szCs w:val="24"/>
        </w:rPr>
        <w:t>also give</w:t>
      </w:r>
      <w:r w:rsidR="005747FD">
        <w:rPr>
          <w:rFonts w:eastAsia="Times New Roman" w:cs="Times New Roman"/>
          <w:color w:val="000000"/>
          <w:szCs w:val="24"/>
        </w:rPr>
        <w:t>s</w:t>
      </w:r>
      <w:r w:rsidRPr="005747FD" w:rsidR="005747FD">
        <w:rPr>
          <w:rFonts w:eastAsia="Times New Roman" w:cs="Times New Roman"/>
          <w:color w:val="000000"/>
          <w:szCs w:val="24"/>
        </w:rPr>
        <w:t xml:space="preserve"> recipients the option of completing the survey online in either English or Spanish</w:t>
      </w:r>
      <w:r>
        <w:rPr>
          <w:rFonts w:eastAsia="Times New Roman" w:cs="Times New Roman"/>
          <w:color w:val="000000"/>
          <w:szCs w:val="24"/>
        </w:rPr>
        <w:t xml:space="preserve">.  </w:t>
      </w:r>
      <w:r w:rsidRPr="00F03879" w:rsidR="00F03879">
        <w:rPr>
          <w:rFonts w:eastAsia="Times New Roman" w:cs="Times New Roman"/>
          <w:color w:val="000000"/>
          <w:szCs w:val="24"/>
        </w:rPr>
        <w:t>At first, approximately one third of the overall survey</w:t>
      </w:r>
      <w:r w:rsidR="006058E1">
        <w:rPr>
          <w:rFonts w:eastAsia="Times New Roman" w:cs="Times New Roman"/>
          <w:color w:val="000000"/>
          <w:szCs w:val="24"/>
        </w:rPr>
        <w:t>s</w:t>
      </w:r>
      <w:r w:rsidRPr="00F03879" w:rsidR="00F03879">
        <w:rPr>
          <w:rFonts w:eastAsia="Times New Roman" w:cs="Times New Roman"/>
          <w:color w:val="000000"/>
          <w:szCs w:val="24"/>
        </w:rPr>
        <w:t xml:space="preserve"> were completed online, but th</w:t>
      </w:r>
      <w:r w:rsidR="005D1F95">
        <w:rPr>
          <w:rFonts w:eastAsia="Times New Roman" w:cs="Times New Roman"/>
          <w:color w:val="000000"/>
          <w:szCs w:val="24"/>
        </w:rPr>
        <w:t>e</w:t>
      </w:r>
      <w:r w:rsidRPr="00F03879" w:rsidR="00F03879">
        <w:rPr>
          <w:rFonts w:eastAsia="Times New Roman" w:cs="Times New Roman"/>
          <w:color w:val="000000"/>
          <w:szCs w:val="24"/>
        </w:rPr>
        <w:t xml:space="preserve"> share</w:t>
      </w:r>
      <w:r w:rsidR="006058E1">
        <w:rPr>
          <w:rFonts w:eastAsia="Times New Roman" w:cs="Times New Roman"/>
          <w:color w:val="000000"/>
          <w:szCs w:val="24"/>
        </w:rPr>
        <w:t xml:space="preserve"> of online surveys</w:t>
      </w:r>
      <w:r w:rsidRPr="00F03879" w:rsidR="00F03879">
        <w:rPr>
          <w:rFonts w:eastAsia="Times New Roman" w:cs="Times New Roman"/>
          <w:color w:val="000000"/>
          <w:szCs w:val="24"/>
        </w:rPr>
        <w:t xml:space="preserve"> </w:t>
      </w:r>
      <w:r w:rsidR="002A4A69">
        <w:rPr>
          <w:rFonts w:eastAsia="Times New Roman" w:cs="Times New Roman"/>
          <w:color w:val="000000"/>
          <w:szCs w:val="24"/>
        </w:rPr>
        <w:t xml:space="preserve">is above </w:t>
      </w:r>
      <w:r w:rsidRPr="00F03879" w:rsidR="00F03879">
        <w:rPr>
          <w:rFonts w:eastAsia="Times New Roman" w:cs="Times New Roman"/>
          <w:color w:val="000000"/>
          <w:szCs w:val="24"/>
        </w:rPr>
        <w:t xml:space="preserve">50 </w:t>
      </w:r>
      <w:r w:rsidRPr="00F03879" w:rsidR="00F03879">
        <w:rPr>
          <w:rFonts w:eastAsia="Times New Roman" w:cs="Times New Roman"/>
          <w:color w:val="000000"/>
          <w:szCs w:val="24"/>
        </w:rPr>
        <w:t>percent in recent waves.</w:t>
      </w:r>
      <w:r w:rsidR="0037468A">
        <w:rPr>
          <w:rFonts w:eastAsia="Times New Roman" w:cs="Times New Roman"/>
          <w:color w:val="000000"/>
          <w:szCs w:val="24"/>
        </w:rPr>
        <w:t xml:space="preserve">  </w:t>
      </w:r>
      <w:r>
        <w:rPr>
          <w:rFonts w:eastAsia="Times New Roman" w:cs="Times New Roman"/>
          <w:color w:val="000000"/>
          <w:szCs w:val="24"/>
        </w:rPr>
        <w:t xml:space="preserve">Completed </w:t>
      </w:r>
      <w:r w:rsidR="005747FD">
        <w:rPr>
          <w:rFonts w:eastAsia="Times New Roman" w:cs="Times New Roman"/>
          <w:color w:val="000000"/>
          <w:szCs w:val="24"/>
        </w:rPr>
        <w:t>paper questionnaires are</w:t>
      </w:r>
      <w:r>
        <w:rPr>
          <w:rFonts w:eastAsia="Times New Roman" w:cs="Times New Roman"/>
          <w:color w:val="000000"/>
          <w:szCs w:val="24"/>
        </w:rPr>
        <w:t xml:space="preserve"> s</w:t>
      </w:r>
      <w:r w:rsidR="005747FD">
        <w:rPr>
          <w:rFonts w:eastAsia="Times New Roman" w:cs="Times New Roman"/>
          <w:color w:val="000000"/>
          <w:szCs w:val="24"/>
        </w:rPr>
        <w:t>canned and the responses are</w:t>
      </w:r>
      <w:r>
        <w:rPr>
          <w:rFonts w:eastAsia="Times New Roman" w:cs="Times New Roman"/>
          <w:color w:val="000000"/>
          <w:szCs w:val="24"/>
        </w:rPr>
        <w:t xml:space="preserve"> automatically uploaded into the electr</w:t>
      </w:r>
      <w:r w:rsidR="005747FD">
        <w:rPr>
          <w:rFonts w:eastAsia="Times New Roman" w:cs="Times New Roman"/>
          <w:color w:val="000000"/>
          <w:szCs w:val="24"/>
        </w:rPr>
        <w:t>onic National Mortgage Database</w:t>
      </w:r>
      <w:r>
        <w:rPr>
          <w:rFonts w:eastAsia="Times New Roman" w:cs="Times New Roman"/>
          <w:color w:val="000000"/>
          <w:szCs w:val="24"/>
        </w:rPr>
        <w:t>.</w:t>
      </w:r>
    </w:p>
    <w:p w:rsidR="004F20A4" w:rsidRPr="00854B60" w:rsidP="000D3CCC" w14:paraId="1E1C1974" w14:textId="77777777">
      <w:pPr>
        <w:autoSpaceDE w:val="0"/>
        <w:autoSpaceDN w:val="0"/>
        <w:adjustRightInd w:val="0"/>
        <w:spacing w:line="240" w:lineRule="auto"/>
        <w:rPr>
          <w:rFonts w:eastAsia="Times New Roman" w:cs="Times New Roman"/>
          <w:color w:val="000000"/>
          <w:szCs w:val="24"/>
        </w:rPr>
      </w:pPr>
    </w:p>
    <w:p w:rsidR="00854B60" w:rsidRPr="00854B60" w:rsidP="000D3CCC" w14:paraId="5E11155E"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4.  </w:t>
      </w:r>
      <w:r w:rsidRPr="007B5DD4" w:rsidR="00E82184">
        <w:rPr>
          <w:rFonts w:eastAsia="Times New Roman" w:cs="Times New Roman"/>
          <w:b/>
          <w:color w:val="000000"/>
          <w:szCs w:val="24"/>
        </w:rPr>
        <w:t>Efforts to identify duplication</w:t>
      </w:r>
    </w:p>
    <w:p w:rsidR="00854B60" w:rsidRPr="00854B60" w:rsidP="000D3CCC" w14:paraId="506D8E70" w14:textId="77777777">
      <w:pPr>
        <w:tabs>
          <w:tab w:val="left" w:pos="720"/>
          <w:tab w:val="left" w:pos="1441"/>
          <w:tab w:val="left" w:pos="2157"/>
        </w:tabs>
        <w:spacing w:line="240" w:lineRule="auto"/>
        <w:rPr>
          <w:rFonts w:eastAsia="Times New Roman" w:cs="Times New Roman"/>
          <w:snapToGrid w:val="0"/>
          <w:color w:val="000000"/>
          <w:szCs w:val="20"/>
        </w:rPr>
      </w:pPr>
    </w:p>
    <w:p w:rsidR="00721BFF" w:rsidP="000D3CCC" w14:paraId="15FE4FFB" w14:textId="37093FF9">
      <w:pPr>
        <w:tabs>
          <w:tab w:val="left" w:pos="720"/>
          <w:tab w:val="left" w:pos="1441"/>
          <w:tab w:val="left" w:pos="2157"/>
        </w:tabs>
        <w:spacing w:line="240" w:lineRule="auto"/>
        <w:rPr>
          <w:rFonts w:eastAsia="Times New Roman" w:cs="Times New Roman"/>
          <w:snapToGrid w:val="0"/>
          <w:color w:val="000000"/>
          <w:szCs w:val="20"/>
        </w:rPr>
      </w:pPr>
      <w:r>
        <w:rPr>
          <w:rFonts w:eastAsia="Times New Roman" w:cs="Times New Roman"/>
          <w:snapToGrid w:val="0"/>
          <w:color w:val="000000"/>
          <w:szCs w:val="20"/>
        </w:rPr>
        <w:t xml:space="preserve">As explained </w:t>
      </w:r>
      <w:r w:rsidRPr="005B35CE">
        <w:rPr>
          <w:rFonts w:eastAsia="Times New Roman" w:cs="Times New Roman"/>
          <w:snapToGrid w:val="0"/>
          <w:color w:val="000000"/>
          <w:szCs w:val="20"/>
        </w:rPr>
        <w:t xml:space="preserve">above, the majority of data </w:t>
      </w:r>
      <w:r w:rsidRPr="005B35CE" w:rsidR="008A7FDE">
        <w:rPr>
          <w:rFonts w:eastAsia="Times New Roman" w:cs="Times New Roman"/>
          <w:snapToGrid w:val="0"/>
          <w:color w:val="000000"/>
          <w:szCs w:val="20"/>
        </w:rPr>
        <w:t>included in</w:t>
      </w:r>
      <w:r w:rsidRPr="005B35CE">
        <w:rPr>
          <w:rFonts w:eastAsia="Times New Roman" w:cs="Times New Roman"/>
          <w:snapToGrid w:val="0"/>
          <w:color w:val="000000"/>
          <w:szCs w:val="20"/>
        </w:rPr>
        <w:t xml:space="preserve"> the National Mortgage Database </w:t>
      </w:r>
      <w:r w:rsidRPr="005B35CE" w:rsidR="008232B1">
        <w:rPr>
          <w:rFonts w:eastAsia="Times New Roman" w:cs="Times New Roman"/>
          <w:snapToGrid w:val="0"/>
          <w:color w:val="000000"/>
          <w:szCs w:val="20"/>
        </w:rPr>
        <w:t>is</w:t>
      </w:r>
      <w:r w:rsidRPr="005B35CE" w:rsidR="008A7FDE">
        <w:rPr>
          <w:rFonts w:eastAsia="Times New Roman" w:cs="Times New Roman"/>
          <w:snapToGrid w:val="0"/>
          <w:color w:val="000000"/>
          <w:szCs w:val="20"/>
        </w:rPr>
        <w:t xml:space="preserve"> drawn from existing </w:t>
      </w:r>
      <w:r w:rsidRPr="005B35CE" w:rsidR="00953DA4">
        <w:rPr>
          <w:rFonts w:eastAsia="Times New Roman" w:cs="Times New Roman"/>
          <w:snapToGrid w:val="0"/>
          <w:color w:val="000000"/>
          <w:szCs w:val="20"/>
        </w:rPr>
        <w:t>sources</w:t>
      </w:r>
      <w:r w:rsidRPr="005B35CE" w:rsidR="008A7FDE">
        <w:rPr>
          <w:rFonts w:eastAsia="Times New Roman" w:cs="Times New Roman"/>
          <w:snapToGrid w:val="0"/>
          <w:color w:val="000000"/>
          <w:szCs w:val="20"/>
        </w:rPr>
        <w:t>—</w:t>
      </w:r>
      <w:r w:rsidRPr="005B35CE" w:rsidR="005B35CE">
        <w:rPr>
          <w:rFonts w:eastAsia="Times New Roman" w:cs="Times New Roman"/>
          <w:snapToGrid w:val="0"/>
          <w:color w:val="000000"/>
          <w:szCs w:val="20"/>
        </w:rPr>
        <w:t>primarily</w:t>
      </w:r>
      <w:r w:rsidRPr="005B35CE" w:rsidR="008A7FDE">
        <w:rPr>
          <w:rFonts w:eastAsia="Times New Roman" w:cs="Times New Roman"/>
          <w:snapToGrid w:val="0"/>
          <w:color w:val="000000"/>
          <w:szCs w:val="20"/>
        </w:rPr>
        <w:t>,</w:t>
      </w:r>
      <w:r w:rsidR="008A7FDE">
        <w:rPr>
          <w:rFonts w:eastAsia="Times New Roman" w:cs="Times New Roman"/>
          <w:snapToGrid w:val="0"/>
          <w:color w:val="000000"/>
          <w:szCs w:val="20"/>
        </w:rPr>
        <w:t xml:space="preserve"> the consumer credit database maintained by </w:t>
      </w:r>
      <w:r w:rsidR="005B35CE">
        <w:rPr>
          <w:rFonts w:eastAsia="Times New Roman" w:cs="Times New Roman"/>
          <w:snapToGrid w:val="0"/>
          <w:color w:val="000000"/>
          <w:szCs w:val="20"/>
        </w:rPr>
        <w:t>Experian</w:t>
      </w:r>
      <w:r w:rsidR="008A7FDE">
        <w:rPr>
          <w:rFonts w:eastAsia="Times New Roman" w:cs="Times New Roman"/>
          <w:snapToGrid w:val="0"/>
          <w:color w:val="000000"/>
          <w:szCs w:val="20"/>
        </w:rPr>
        <w:t xml:space="preserve">; the HMDA data </w:t>
      </w:r>
      <w:r w:rsidR="00911DE9">
        <w:rPr>
          <w:rFonts w:eastAsia="Times New Roman" w:cs="Times New Roman"/>
          <w:snapToGrid w:val="0"/>
          <w:color w:val="000000"/>
          <w:szCs w:val="20"/>
        </w:rPr>
        <w:t xml:space="preserve">released </w:t>
      </w:r>
      <w:r w:rsidR="008A7FDE">
        <w:rPr>
          <w:rFonts w:eastAsia="Times New Roman" w:cs="Times New Roman"/>
          <w:snapToGrid w:val="0"/>
          <w:color w:val="000000"/>
          <w:szCs w:val="20"/>
        </w:rPr>
        <w:t xml:space="preserve">by </w:t>
      </w:r>
      <w:r w:rsidR="004041D6">
        <w:rPr>
          <w:rFonts w:eastAsia="Times New Roman" w:cs="Times New Roman"/>
          <w:snapToGrid w:val="0"/>
          <w:color w:val="000000"/>
          <w:szCs w:val="20"/>
        </w:rPr>
        <w:t>FFIEC</w:t>
      </w:r>
      <w:r w:rsidR="00953DA4">
        <w:rPr>
          <w:rFonts w:eastAsia="Times New Roman" w:cs="Times New Roman"/>
          <w:snapToGrid w:val="0"/>
          <w:color w:val="000000"/>
          <w:szCs w:val="20"/>
          <w:lang w:val="en"/>
        </w:rPr>
        <w:t xml:space="preserve">; and </w:t>
      </w:r>
      <w:r w:rsidR="005B35CE">
        <w:rPr>
          <w:rFonts w:eastAsia="Times New Roman" w:cs="Times New Roman"/>
          <w:snapToGrid w:val="0"/>
          <w:color w:val="000000"/>
          <w:szCs w:val="20"/>
          <w:lang w:val="en"/>
        </w:rPr>
        <w:t>administrative</w:t>
      </w:r>
      <w:r w:rsidR="00953DA4">
        <w:rPr>
          <w:rFonts w:eastAsia="Times New Roman" w:cs="Times New Roman"/>
          <w:snapToGrid w:val="0"/>
          <w:color w:val="000000"/>
          <w:szCs w:val="20"/>
          <w:lang w:val="en"/>
        </w:rPr>
        <w:t xml:space="preserve"> </w:t>
      </w:r>
      <w:r w:rsidR="005B35CE">
        <w:rPr>
          <w:rFonts w:eastAsia="Times New Roman" w:cs="Times New Roman"/>
          <w:snapToGrid w:val="0"/>
          <w:color w:val="000000"/>
          <w:szCs w:val="20"/>
          <w:lang w:val="en"/>
        </w:rPr>
        <w:t>data</w:t>
      </w:r>
      <w:r w:rsidR="00AE76C4">
        <w:rPr>
          <w:rFonts w:eastAsia="Times New Roman" w:cs="Times New Roman"/>
          <w:snapToGrid w:val="0"/>
          <w:color w:val="000000"/>
          <w:szCs w:val="20"/>
          <w:lang w:val="en"/>
        </w:rPr>
        <w:t xml:space="preserve"> </w:t>
      </w:r>
      <w:r w:rsidR="008E6598">
        <w:rPr>
          <w:rFonts w:eastAsia="Times New Roman" w:cs="Times New Roman"/>
          <w:snapToGrid w:val="0"/>
          <w:color w:val="000000"/>
          <w:szCs w:val="20"/>
          <w:lang w:val="en"/>
        </w:rPr>
        <w:t>in the possession of FHFA,</w:t>
      </w:r>
      <w:r w:rsidR="00953DA4">
        <w:rPr>
          <w:rFonts w:eastAsia="Times New Roman" w:cs="Times New Roman"/>
          <w:snapToGrid w:val="0"/>
          <w:color w:val="000000"/>
          <w:szCs w:val="20"/>
          <w:lang w:val="en"/>
        </w:rPr>
        <w:t xml:space="preserve"> its regulated entities</w:t>
      </w:r>
      <w:r w:rsidR="008232B1">
        <w:rPr>
          <w:rFonts w:eastAsia="Times New Roman" w:cs="Times New Roman"/>
          <w:snapToGrid w:val="0"/>
          <w:color w:val="000000"/>
          <w:szCs w:val="20"/>
          <w:lang w:val="en"/>
        </w:rPr>
        <w:t>,</w:t>
      </w:r>
      <w:r w:rsidR="005B35CE">
        <w:rPr>
          <w:rFonts w:eastAsia="Times New Roman" w:cs="Times New Roman"/>
          <w:snapToGrid w:val="0"/>
          <w:color w:val="000000"/>
          <w:szCs w:val="20"/>
          <w:lang w:val="en"/>
        </w:rPr>
        <w:t xml:space="preserve"> and other federal agencies</w:t>
      </w:r>
      <w:r w:rsidR="00953DA4">
        <w:rPr>
          <w:rFonts w:eastAsia="Times New Roman" w:cs="Times New Roman"/>
          <w:snapToGrid w:val="0"/>
          <w:color w:val="000000"/>
          <w:szCs w:val="20"/>
          <w:lang w:val="en"/>
        </w:rPr>
        <w:t>.</w:t>
      </w:r>
      <w:r w:rsidR="005B35CE">
        <w:rPr>
          <w:rFonts w:eastAsia="Times New Roman" w:cs="Times New Roman"/>
          <w:snapToGrid w:val="0"/>
          <w:color w:val="000000"/>
          <w:szCs w:val="20"/>
          <w:lang w:val="en"/>
        </w:rPr>
        <w:t xml:space="preserve">  As described under Item #1, t</w:t>
      </w:r>
      <w:r w:rsidR="00AE76C4">
        <w:rPr>
          <w:rFonts w:eastAsia="Times New Roman" w:cs="Times New Roman"/>
          <w:snapToGrid w:val="0"/>
          <w:color w:val="000000"/>
          <w:szCs w:val="20"/>
          <w:lang w:val="en"/>
        </w:rPr>
        <w:t xml:space="preserve">he </w:t>
      </w:r>
      <w:r w:rsidR="00DB226A">
        <w:rPr>
          <w:rFonts w:eastAsia="Times New Roman" w:cs="Times New Roman"/>
          <w:snapToGrid w:val="0"/>
          <w:color w:val="000000"/>
          <w:szCs w:val="20"/>
          <w:lang w:val="en"/>
        </w:rPr>
        <w:t>NSMO</w:t>
      </w:r>
      <w:r w:rsidR="001F5126">
        <w:rPr>
          <w:rFonts w:eastAsia="Times New Roman" w:cs="Times New Roman"/>
          <w:snapToGrid w:val="0"/>
          <w:color w:val="000000"/>
          <w:szCs w:val="20"/>
          <w:lang w:val="en"/>
        </w:rPr>
        <w:t xml:space="preserve"> </w:t>
      </w:r>
      <w:r w:rsidR="008232B1">
        <w:rPr>
          <w:rFonts w:eastAsia="Times New Roman" w:cs="Times New Roman"/>
          <w:snapToGrid w:val="0"/>
          <w:color w:val="000000"/>
          <w:szCs w:val="20"/>
          <w:lang w:val="en"/>
        </w:rPr>
        <w:t xml:space="preserve">questionnaire </w:t>
      </w:r>
      <w:r w:rsidR="001F5126">
        <w:rPr>
          <w:rFonts w:eastAsia="Times New Roman" w:cs="Times New Roman"/>
          <w:snapToGrid w:val="0"/>
          <w:color w:val="000000"/>
          <w:szCs w:val="20"/>
          <w:lang w:val="en"/>
        </w:rPr>
        <w:t>is designed to obtain</w:t>
      </w:r>
      <w:r w:rsidR="008E6598">
        <w:rPr>
          <w:rFonts w:eastAsia="Times New Roman" w:cs="Times New Roman"/>
          <w:snapToGrid w:val="0"/>
          <w:color w:val="000000"/>
          <w:szCs w:val="20"/>
          <w:lang w:val="en"/>
        </w:rPr>
        <w:t xml:space="preserve"> </w:t>
      </w:r>
      <w:r w:rsidR="00E40840">
        <w:rPr>
          <w:rFonts w:eastAsia="Times New Roman" w:cs="Times New Roman"/>
          <w:snapToGrid w:val="0"/>
          <w:color w:val="000000"/>
          <w:szCs w:val="20"/>
          <w:lang w:val="en"/>
        </w:rPr>
        <w:t>critical</w:t>
      </w:r>
      <w:r w:rsidR="0047616C">
        <w:rPr>
          <w:rFonts w:eastAsia="Times New Roman" w:cs="Times New Roman"/>
          <w:snapToGrid w:val="0"/>
          <w:color w:val="000000"/>
          <w:szCs w:val="20"/>
          <w:lang w:val="en"/>
        </w:rPr>
        <w:t xml:space="preserve"> </w:t>
      </w:r>
      <w:r w:rsidR="00E65379">
        <w:rPr>
          <w:rFonts w:eastAsia="Times New Roman" w:cs="Times New Roman"/>
          <w:snapToGrid w:val="0"/>
          <w:color w:val="000000"/>
          <w:szCs w:val="20"/>
          <w:lang w:val="en"/>
        </w:rPr>
        <w:t xml:space="preserve">and timely </w:t>
      </w:r>
      <w:r w:rsidR="00AE76C4">
        <w:rPr>
          <w:rFonts w:eastAsia="Times New Roman" w:cs="Times New Roman"/>
          <w:snapToGrid w:val="0"/>
          <w:color w:val="000000"/>
          <w:szCs w:val="20"/>
          <w:lang w:val="en"/>
        </w:rPr>
        <w:t>information that is not available</w:t>
      </w:r>
      <w:r w:rsidR="00E65379">
        <w:rPr>
          <w:rFonts w:eastAsia="Times New Roman" w:cs="Times New Roman"/>
          <w:snapToGrid w:val="0"/>
          <w:color w:val="000000"/>
          <w:szCs w:val="20"/>
          <w:lang w:val="en"/>
        </w:rPr>
        <w:t xml:space="preserve"> from existing</w:t>
      </w:r>
      <w:r w:rsidR="0047616C">
        <w:rPr>
          <w:rFonts w:eastAsia="Times New Roman" w:cs="Times New Roman"/>
          <w:snapToGrid w:val="0"/>
          <w:color w:val="000000"/>
          <w:szCs w:val="20"/>
          <w:lang w:val="en"/>
        </w:rPr>
        <w:t xml:space="preserve"> sources.</w:t>
      </w:r>
      <w:r w:rsidRPr="00E65379" w:rsidR="00E65379">
        <w:rPr>
          <w:rFonts w:eastAsia="Times New Roman" w:cs="Times New Roman"/>
          <w:bCs/>
          <w:snapToGrid w:val="0"/>
          <w:color w:val="000000"/>
          <w:szCs w:val="20"/>
        </w:rPr>
        <w:t xml:space="preserve"> </w:t>
      </w:r>
      <w:r w:rsidR="000E4FD9">
        <w:rPr>
          <w:rFonts w:eastAsia="Times New Roman" w:cs="Times New Roman"/>
          <w:bCs/>
          <w:snapToGrid w:val="0"/>
          <w:color w:val="000000"/>
          <w:szCs w:val="20"/>
        </w:rPr>
        <w:t xml:space="preserve"> </w:t>
      </w:r>
      <w:r w:rsidRPr="00E65379" w:rsidR="00E65379">
        <w:rPr>
          <w:rFonts w:eastAsia="Times New Roman" w:cs="Times New Roman"/>
          <w:bCs/>
          <w:snapToGrid w:val="0"/>
          <w:color w:val="000000"/>
          <w:szCs w:val="20"/>
        </w:rPr>
        <w:t xml:space="preserve">The survey obtains this information directly from borrowers, who are likely to be the most reliable and accessible—and, in some cases, the only—source for this information.  </w:t>
      </w:r>
    </w:p>
    <w:p w:rsidR="00CD5744" w:rsidRPr="00854B60" w:rsidP="000D3CCC" w14:paraId="358E2B6C" w14:textId="77777777">
      <w:pPr>
        <w:tabs>
          <w:tab w:val="left" w:pos="720"/>
          <w:tab w:val="left" w:pos="1441"/>
          <w:tab w:val="left" w:pos="2157"/>
        </w:tabs>
        <w:spacing w:line="240" w:lineRule="auto"/>
        <w:rPr>
          <w:rFonts w:eastAsia="Times New Roman" w:cs="Times New Roman"/>
          <w:snapToGrid w:val="0"/>
          <w:color w:val="000000"/>
          <w:szCs w:val="20"/>
        </w:rPr>
      </w:pPr>
    </w:p>
    <w:p w:rsidR="00854B60" w:rsidRPr="00854B60" w:rsidP="000D3CCC" w14:paraId="6DFB11A5"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5.  </w:t>
      </w:r>
      <w:r w:rsidRPr="007B5DD4" w:rsidR="00E82184">
        <w:rPr>
          <w:rFonts w:eastAsia="Times New Roman" w:cs="Times New Roman"/>
          <w:b/>
          <w:color w:val="000000"/>
          <w:szCs w:val="24"/>
        </w:rPr>
        <w:t>Impact on small entities</w:t>
      </w:r>
    </w:p>
    <w:p w:rsidR="00854B60" w:rsidRPr="00854B60" w:rsidP="000D3CCC" w14:paraId="53E0DDB4" w14:textId="77777777">
      <w:pPr>
        <w:tabs>
          <w:tab w:val="left" w:pos="720"/>
          <w:tab w:val="left" w:pos="1441"/>
          <w:tab w:val="left" w:pos="2157"/>
        </w:tabs>
        <w:spacing w:line="240" w:lineRule="auto"/>
        <w:rPr>
          <w:rFonts w:eastAsia="Times New Roman" w:cs="Times New Roman"/>
          <w:snapToGrid w:val="0"/>
          <w:color w:val="000000"/>
          <w:szCs w:val="20"/>
        </w:rPr>
      </w:pPr>
    </w:p>
    <w:p w:rsidR="00854B60" w:rsidP="000D3CCC" w14:paraId="74A6187B" w14:textId="77777777">
      <w:pPr>
        <w:tabs>
          <w:tab w:val="left" w:pos="720"/>
          <w:tab w:val="left" w:pos="1441"/>
          <w:tab w:val="left" w:pos="2157"/>
        </w:tabs>
        <w:spacing w:line="240" w:lineRule="auto"/>
        <w:rPr>
          <w:rFonts w:eastAsia="Times New Roman" w:cs="Times New Roman"/>
          <w:snapToGrid w:val="0"/>
          <w:color w:val="000000"/>
          <w:szCs w:val="20"/>
        </w:rPr>
      </w:pPr>
      <w:r w:rsidRPr="00CD3859">
        <w:rPr>
          <w:rFonts w:eastAsia="Times New Roman" w:cs="Times New Roman"/>
          <w:snapToGrid w:val="0"/>
          <w:color w:val="000000"/>
          <w:szCs w:val="20"/>
        </w:rPr>
        <w:t xml:space="preserve">The information collection </w:t>
      </w:r>
      <w:r w:rsidR="00AE76C4">
        <w:rPr>
          <w:rFonts w:eastAsia="Times New Roman" w:cs="Times New Roman"/>
          <w:snapToGrid w:val="0"/>
          <w:color w:val="000000"/>
          <w:szCs w:val="20"/>
        </w:rPr>
        <w:t>will</w:t>
      </w:r>
      <w:r w:rsidRPr="00CD3859">
        <w:rPr>
          <w:rFonts w:eastAsia="Times New Roman" w:cs="Times New Roman"/>
          <w:snapToGrid w:val="0"/>
          <w:color w:val="000000"/>
          <w:szCs w:val="20"/>
        </w:rPr>
        <w:t xml:space="preserve"> not have a significant economic impact on a substantial num</w:t>
      </w:r>
      <w:r w:rsidR="0085303A">
        <w:rPr>
          <w:rFonts w:eastAsia="Times New Roman" w:cs="Times New Roman"/>
          <w:snapToGrid w:val="0"/>
          <w:color w:val="000000"/>
          <w:szCs w:val="20"/>
        </w:rPr>
        <w:t xml:space="preserve">ber of small entities.  The </w:t>
      </w:r>
      <w:r w:rsidR="00AE76C4">
        <w:rPr>
          <w:rFonts w:eastAsia="Times New Roman" w:cs="Times New Roman"/>
          <w:snapToGrid w:val="0"/>
          <w:color w:val="000000"/>
          <w:szCs w:val="20"/>
        </w:rPr>
        <w:t>s</w:t>
      </w:r>
      <w:r w:rsidR="00CF2252">
        <w:rPr>
          <w:rFonts w:eastAsia="Times New Roman" w:cs="Times New Roman"/>
          <w:snapToGrid w:val="0"/>
          <w:color w:val="000000"/>
          <w:szCs w:val="20"/>
        </w:rPr>
        <w:t xml:space="preserve">urvey </w:t>
      </w:r>
      <w:r w:rsidR="003D1DD6">
        <w:rPr>
          <w:rFonts w:eastAsia="Times New Roman" w:cs="Times New Roman"/>
          <w:snapToGrid w:val="0"/>
          <w:color w:val="000000"/>
          <w:szCs w:val="20"/>
        </w:rPr>
        <w:t>recipients</w:t>
      </w:r>
      <w:r w:rsidR="000C1C2B">
        <w:rPr>
          <w:rFonts w:eastAsia="Times New Roman" w:cs="Times New Roman"/>
          <w:snapToGrid w:val="0"/>
          <w:color w:val="000000"/>
          <w:szCs w:val="20"/>
        </w:rPr>
        <w:t xml:space="preserve"> are</w:t>
      </w:r>
      <w:r w:rsidR="00953DA4">
        <w:rPr>
          <w:rFonts w:eastAsia="Times New Roman" w:cs="Times New Roman"/>
          <w:snapToGrid w:val="0"/>
          <w:color w:val="000000"/>
          <w:szCs w:val="20"/>
        </w:rPr>
        <w:t xml:space="preserve"> individuals</w:t>
      </w:r>
      <w:r w:rsidR="00CF2252">
        <w:rPr>
          <w:rFonts w:eastAsia="Times New Roman" w:cs="Times New Roman"/>
          <w:snapToGrid w:val="0"/>
          <w:color w:val="000000"/>
          <w:szCs w:val="20"/>
        </w:rPr>
        <w:t xml:space="preserve"> only.</w:t>
      </w:r>
    </w:p>
    <w:p w:rsidR="00CD5744" w:rsidRPr="00854B60" w:rsidP="000D3CCC" w14:paraId="203BC21B" w14:textId="77777777">
      <w:pPr>
        <w:tabs>
          <w:tab w:val="left" w:pos="720"/>
          <w:tab w:val="left" w:pos="1441"/>
          <w:tab w:val="left" w:pos="2157"/>
        </w:tabs>
        <w:spacing w:line="240" w:lineRule="auto"/>
        <w:rPr>
          <w:rFonts w:eastAsia="Times New Roman" w:cs="Times New Roman"/>
          <w:snapToGrid w:val="0"/>
          <w:color w:val="000000"/>
          <w:szCs w:val="20"/>
        </w:rPr>
      </w:pPr>
    </w:p>
    <w:p w:rsidR="00854B60" w:rsidRPr="00854B60" w:rsidP="000D3CCC" w14:paraId="3C5C97AA"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6.  </w:t>
      </w:r>
      <w:r w:rsidRPr="007B5DD4" w:rsidR="00E82184">
        <w:rPr>
          <w:rFonts w:eastAsia="Times New Roman" w:cs="Times New Roman"/>
          <w:b/>
          <w:color w:val="000000"/>
          <w:szCs w:val="24"/>
        </w:rPr>
        <w:t>Consequences of less frequent collection and obstacles to burden reduction</w:t>
      </w:r>
    </w:p>
    <w:p w:rsidR="005C2171" w:rsidP="000D3CCC" w14:paraId="4733369D" w14:textId="77777777">
      <w:pPr>
        <w:autoSpaceDE w:val="0"/>
        <w:autoSpaceDN w:val="0"/>
        <w:adjustRightInd w:val="0"/>
        <w:spacing w:line="240" w:lineRule="auto"/>
        <w:rPr>
          <w:rFonts w:eastAsia="Times New Roman" w:cs="Times New Roman"/>
          <w:snapToGrid w:val="0"/>
          <w:color w:val="000000"/>
          <w:szCs w:val="20"/>
        </w:rPr>
      </w:pPr>
    </w:p>
    <w:p w:rsidR="00A35638" w:rsidP="000D3CCC" w14:paraId="11777518" w14:textId="54FDC455">
      <w:pPr>
        <w:autoSpaceDE w:val="0"/>
        <w:autoSpaceDN w:val="0"/>
        <w:adjustRightInd w:val="0"/>
        <w:spacing w:line="240" w:lineRule="auto"/>
        <w:rPr>
          <w:rFonts w:eastAsia="Times New Roman" w:cs="Times New Roman"/>
          <w:snapToGrid w:val="0"/>
          <w:color w:val="000000"/>
          <w:szCs w:val="20"/>
        </w:rPr>
      </w:pPr>
      <w:r w:rsidRPr="00BC21F0">
        <w:rPr>
          <w:rFonts w:eastAsia="Times New Roman" w:cs="Times New Roman"/>
          <w:snapToGrid w:val="0"/>
          <w:color w:val="000000"/>
          <w:szCs w:val="20"/>
        </w:rPr>
        <w:t>Section</w:t>
      </w:r>
      <w:r>
        <w:rPr>
          <w:rFonts w:eastAsia="Times New Roman" w:cs="Times New Roman"/>
          <w:snapToGrid w:val="0"/>
          <w:color w:val="000000"/>
          <w:szCs w:val="20"/>
        </w:rPr>
        <w:t xml:space="preserve"> 1324 of </w:t>
      </w:r>
      <w:r w:rsidR="008232B1">
        <w:rPr>
          <w:rFonts w:eastAsia="Times New Roman" w:cs="Times New Roman"/>
          <w:snapToGrid w:val="0"/>
          <w:color w:val="000000"/>
          <w:szCs w:val="20"/>
        </w:rPr>
        <w:t>the Safety and Soundness Act</w:t>
      </w:r>
      <w:r>
        <w:rPr>
          <w:rFonts w:eastAsia="Times New Roman" w:cs="Times New Roman"/>
          <w:snapToGrid w:val="0"/>
          <w:color w:val="000000"/>
          <w:szCs w:val="20"/>
        </w:rPr>
        <w:t xml:space="preserve"> requires that FHFA undertak</w:t>
      </w:r>
      <w:r w:rsidR="002D145E">
        <w:rPr>
          <w:rFonts w:eastAsia="Times New Roman" w:cs="Times New Roman"/>
          <w:snapToGrid w:val="0"/>
          <w:color w:val="000000"/>
          <w:szCs w:val="20"/>
        </w:rPr>
        <w:t>e a survey of mortgage markets on a monthly basis.</w:t>
      </w:r>
      <w:r>
        <w:rPr>
          <w:rStyle w:val="FootnoteReference"/>
          <w:rFonts w:eastAsia="Times New Roman" w:cs="Times New Roman"/>
          <w:snapToGrid w:val="0"/>
          <w:color w:val="000000"/>
          <w:szCs w:val="20"/>
        </w:rPr>
        <w:footnoteReference w:id="8"/>
      </w:r>
      <w:r>
        <w:rPr>
          <w:rFonts w:eastAsia="Times New Roman" w:cs="Times New Roman"/>
          <w:snapToGrid w:val="0"/>
          <w:color w:val="000000"/>
          <w:szCs w:val="20"/>
        </w:rPr>
        <w:t xml:space="preserve">  </w:t>
      </w:r>
      <w:r w:rsidR="005C2171">
        <w:rPr>
          <w:rFonts w:eastAsia="Times New Roman" w:cs="Times New Roman"/>
          <w:snapToGrid w:val="0"/>
          <w:color w:val="000000"/>
          <w:szCs w:val="20"/>
        </w:rPr>
        <w:t>While t</w:t>
      </w:r>
      <w:r>
        <w:rPr>
          <w:rFonts w:eastAsia="Times New Roman" w:cs="Times New Roman"/>
          <w:snapToGrid w:val="0"/>
          <w:color w:val="000000"/>
          <w:szCs w:val="20"/>
        </w:rPr>
        <w:t>he</w:t>
      </w:r>
      <w:r w:rsidR="009E1B22">
        <w:rPr>
          <w:rFonts w:eastAsia="Times New Roman" w:cs="Times New Roman"/>
          <w:snapToGrid w:val="0"/>
          <w:color w:val="000000"/>
          <w:szCs w:val="20"/>
        </w:rPr>
        <w:t xml:space="preserve"> performance</w:t>
      </w:r>
      <w:r>
        <w:rPr>
          <w:rFonts w:eastAsia="Times New Roman" w:cs="Times New Roman"/>
          <w:snapToGrid w:val="0"/>
          <w:color w:val="000000"/>
          <w:szCs w:val="20"/>
        </w:rPr>
        <w:t xml:space="preserve"> data</w:t>
      </w:r>
      <w:r w:rsidR="005C2171">
        <w:rPr>
          <w:rFonts w:eastAsia="Times New Roman" w:cs="Times New Roman"/>
          <w:snapToGrid w:val="0"/>
          <w:color w:val="000000"/>
          <w:szCs w:val="20"/>
        </w:rPr>
        <w:t xml:space="preserve"> on existing mortgages in</w:t>
      </w:r>
      <w:r>
        <w:rPr>
          <w:rFonts w:eastAsia="Times New Roman" w:cs="Times New Roman"/>
          <w:snapToGrid w:val="0"/>
          <w:color w:val="000000"/>
          <w:szCs w:val="20"/>
        </w:rPr>
        <w:t xml:space="preserve"> the Nation</w:t>
      </w:r>
      <w:r w:rsidR="005C2171">
        <w:rPr>
          <w:rFonts w:eastAsia="Times New Roman" w:cs="Times New Roman"/>
          <w:snapToGrid w:val="0"/>
          <w:color w:val="000000"/>
          <w:szCs w:val="20"/>
        </w:rPr>
        <w:t>al Mortgage Database is</w:t>
      </w:r>
      <w:r>
        <w:rPr>
          <w:rFonts w:eastAsia="Times New Roman" w:cs="Times New Roman"/>
          <w:snapToGrid w:val="0"/>
          <w:color w:val="000000"/>
          <w:szCs w:val="20"/>
        </w:rPr>
        <w:t xml:space="preserve"> </w:t>
      </w:r>
      <w:r w:rsidR="002D145E">
        <w:rPr>
          <w:rFonts w:eastAsia="Times New Roman" w:cs="Times New Roman"/>
          <w:snapToGrid w:val="0"/>
          <w:color w:val="000000"/>
          <w:szCs w:val="20"/>
        </w:rPr>
        <w:t xml:space="preserve">pulled from the </w:t>
      </w:r>
      <w:r w:rsidR="007E4BA5">
        <w:rPr>
          <w:rFonts w:eastAsia="Times New Roman" w:cs="Times New Roman"/>
          <w:snapToGrid w:val="0"/>
          <w:color w:val="000000"/>
          <w:szCs w:val="20"/>
        </w:rPr>
        <w:t>Experian</w:t>
      </w:r>
      <w:r w:rsidR="002D145E">
        <w:rPr>
          <w:rFonts w:eastAsia="Times New Roman" w:cs="Times New Roman"/>
          <w:snapToGrid w:val="0"/>
          <w:color w:val="000000"/>
          <w:szCs w:val="20"/>
        </w:rPr>
        <w:t xml:space="preserve"> database on a </w:t>
      </w:r>
      <w:r w:rsidR="005C2171">
        <w:rPr>
          <w:rFonts w:eastAsia="Times New Roman" w:cs="Times New Roman"/>
          <w:snapToGrid w:val="0"/>
          <w:color w:val="000000"/>
          <w:szCs w:val="20"/>
        </w:rPr>
        <w:t xml:space="preserve">monthly basis, </w:t>
      </w:r>
      <w:r w:rsidR="001504E5">
        <w:rPr>
          <w:rFonts w:eastAsia="Times New Roman" w:cs="Times New Roman"/>
          <w:snapToGrid w:val="0"/>
          <w:color w:val="000000"/>
          <w:szCs w:val="20"/>
        </w:rPr>
        <w:t>newly originated</w:t>
      </w:r>
      <w:r w:rsidR="005C2171">
        <w:rPr>
          <w:rFonts w:eastAsia="Times New Roman" w:cs="Times New Roman"/>
          <w:snapToGrid w:val="0"/>
          <w:color w:val="000000"/>
          <w:szCs w:val="20"/>
        </w:rPr>
        <w:t xml:space="preserve"> mortgages are added to the National Mortgage Database on a quarterly basis</w:t>
      </w:r>
      <w:r w:rsidR="002D145E">
        <w:rPr>
          <w:rFonts w:eastAsia="Times New Roman" w:cs="Times New Roman"/>
          <w:snapToGrid w:val="0"/>
          <w:color w:val="000000"/>
          <w:szCs w:val="20"/>
        </w:rPr>
        <w:t xml:space="preserve">.  The </w:t>
      </w:r>
      <w:r w:rsidR="00DB226A">
        <w:rPr>
          <w:rFonts w:eastAsia="Times New Roman" w:cs="Times New Roman"/>
          <w:snapToGrid w:val="0"/>
          <w:color w:val="000000"/>
          <w:szCs w:val="20"/>
        </w:rPr>
        <w:t>NSMO</w:t>
      </w:r>
      <w:r w:rsidR="002D145E">
        <w:rPr>
          <w:rFonts w:eastAsia="Times New Roman" w:cs="Times New Roman"/>
          <w:snapToGrid w:val="0"/>
          <w:color w:val="000000"/>
          <w:szCs w:val="20"/>
        </w:rPr>
        <w:t xml:space="preserve"> </w:t>
      </w:r>
      <w:r w:rsidR="005C2171">
        <w:rPr>
          <w:rFonts w:eastAsia="Times New Roman" w:cs="Times New Roman"/>
          <w:snapToGrid w:val="0"/>
          <w:color w:val="000000"/>
          <w:szCs w:val="20"/>
        </w:rPr>
        <w:t>questionnaire</w:t>
      </w:r>
      <w:r w:rsidR="002D145E">
        <w:rPr>
          <w:rFonts w:eastAsia="Times New Roman" w:cs="Times New Roman"/>
          <w:snapToGrid w:val="0"/>
          <w:color w:val="000000"/>
          <w:szCs w:val="20"/>
        </w:rPr>
        <w:t xml:space="preserve">s </w:t>
      </w:r>
      <w:r w:rsidR="00092FAF">
        <w:rPr>
          <w:rFonts w:eastAsia="Times New Roman" w:cs="Times New Roman"/>
          <w:snapToGrid w:val="0"/>
          <w:color w:val="000000"/>
          <w:szCs w:val="20"/>
        </w:rPr>
        <w:t>are</w:t>
      </w:r>
      <w:r w:rsidR="002D145E">
        <w:rPr>
          <w:rFonts w:eastAsia="Times New Roman" w:cs="Times New Roman"/>
          <w:snapToGrid w:val="0"/>
          <w:color w:val="000000"/>
          <w:szCs w:val="20"/>
        </w:rPr>
        <w:t xml:space="preserve"> sent</w:t>
      </w:r>
      <w:r w:rsidR="005C2171">
        <w:rPr>
          <w:rFonts w:eastAsia="Times New Roman" w:cs="Times New Roman"/>
          <w:snapToGrid w:val="0"/>
          <w:color w:val="000000"/>
          <w:szCs w:val="20"/>
        </w:rPr>
        <w:t xml:space="preserve"> to</w:t>
      </w:r>
      <w:r w:rsidR="00E40840">
        <w:rPr>
          <w:rFonts w:eastAsia="Times New Roman" w:cs="Times New Roman"/>
          <w:snapToGrid w:val="0"/>
          <w:color w:val="000000"/>
          <w:szCs w:val="20"/>
        </w:rPr>
        <w:t xml:space="preserve"> a random sample of</w:t>
      </w:r>
      <w:r w:rsidR="005C2171">
        <w:rPr>
          <w:rFonts w:eastAsia="Times New Roman" w:cs="Times New Roman"/>
          <w:snapToGrid w:val="0"/>
          <w:color w:val="000000"/>
          <w:szCs w:val="20"/>
        </w:rPr>
        <w:t xml:space="preserve"> borrowers</w:t>
      </w:r>
      <w:r w:rsidR="004800F2">
        <w:rPr>
          <w:rFonts w:eastAsia="Times New Roman" w:cs="Times New Roman"/>
          <w:snapToGrid w:val="0"/>
          <w:color w:val="000000"/>
          <w:szCs w:val="20"/>
        </w:rPr>
        <w:t xml:space="preserve"> that originated their mortgage</w:t>
      </w:r>
      <w:r w:rsidR="00E40840">
        <w:rPr>
          <w:rFonts w:eastAsia="Times New Roman" w:cs="Times New Roman"/>
          <w:snapToGrid w:val="0"/>
          <w:color w:val="000000"/>
          <w:szCs w:val="20"/>
        </w:rPr>
        <w:t>s</w:t>
      </w:r>
      <w:r w:rsidR="004800F2">
        <w:rPr>
          <w:rFonts w:eastAsia="Times New Roman" w:cs="Times New Roman"/>
          <w:snapToGrid w:val="0"/>
          <w:color w:val="000000"/>
          <w:szCs w:val="20"/>
        </w:rPr>
        <w:t xml:space="preserve"> in the year and quarter</w:t>
      </w:r>
      <w:r w:rsidR="00D86B12">
        <w:rPr>
          <w:rFonts w:eastAsia="Times New Roman" w:cs="Times New Roman"/>
          <w:snapToGrid w:val="0"/>
          <w:color w:val="000000"/>
          <w:szCs w:val="20"/>
        </w:rPr>
        <w:t xml:space="preserve"> </w:t>
      </w:r>
      <w:r w:rsidR="004800F2">
        <w:rPr>
          <w:rFonts w:eastAsia="Times New Roman" w:cs="Times New Roman"/>
          <w:snapToGrid w:val="0"/>
          <w:color w:val="000000"/>
          <w:szCs w:val="20"/>
        </w:rPr>
        <w:t>that</w:t>
      </w:r>
      <w:r w:rsidR="002D145E">
        <w:rPr>
          <w:rFonts w:eastAsia="Times New Roman" w:cs="Times New Roman"/>
          <w:snapToGrid w:val="0"/>
          <w:color w:val="000000"/>
          <w:szCs w:val="20"/>
        </w:rPr>
        <w:t xml:space="preserve"> correspond</w:t>
      </w:r>
      <w:r w:rsidR="004800F2">
        <w:rPr>
          <w:rFonts w:eastAsia="Times New Roman" w:cs="Times New Roman"/>
          <w:snapToGrid w:val="0"/>
          <w:color w:val="000000"/>
          <w:szCs w:val="20"/>
        </w:rPr>
        <w:t>s to</w:t>
      </w:r>
      <w:r w:rsidR="002D145E">
        <w:rPr>
          <w:rFonts w:eastAsia="Times New Roman" w:cs="Times New Roman"/>
          <w:snapToGrid w:val="0"/>
          <w:color w:val="000000"/>
          <w:szCs w:val="20"/>
        </w:rPr>
        <w:t xml:space="preserve"> the quarterly draws</w:t>
      </w:r>
      <w:r w:rsidR="0054065E">
        <w:rPr>
          <w:rFonts w:eastAsia="Times New Roman" w:cs="Times New Roman"/>
          <w:snapToGrid w:val="0"/>
          <w:color w:val="000000"/>
          <w:szCs w:val="20"/>
        </w:rPr>
        <w:t xml:space="preserve"> </w:t>
      </w:r>
      <w:r w:rsidR="00C6420C">
        <w:rPr>
          <w:rFonts w:eastAsia="Times New Roman" w:cs="Times New Roman"/>
          <w:snapToGrid w:val="0"/>
          <w:color w:val="000000"/>
          <w:szCs w:val="20"/>
        </w:rPr>
        <w:t xml:space="preserve">of newly originated mortgages </w:t>
      </w:r>
      <w:r w:rsidR="00E40840">
        <w:rPr>
          <w:rFonts w:eastAsia="Times New Roman" w:cs="Times New Roman"/>
          <w:snapToGrid w:val="0"/>
          <w:color w:val="000000"/>
          <w:szCs w:val="20"/>
        </w:rPr>
        <w:t xml:space="preserve">from the </w:t>
      </w:r>
      <w:r w:rsidR="007E4BA5">
        <w:rPr>
          <w:rFonts w:eastAsia="Times New Roman" w:cs="Times New Roman"/>
          <w:snapToGrid w:val="0"/>
          <w:color w:val="000000"/>
          <w:szCs w:val="20"/>
        </w:rPr>
        <w:t>Experian</w:t>
      </w:r>
      <w:r w:rsidR="002D145E">
        <w:rPr>
          <w:rFonts w:eastAsia="Times New Roman" w:cs="Times New Roman"/>
          <w:snapToGrid w:val="0"/>
          <w:color w:val="000000"/>
          <w:szCs w:val="20"/>
        </w:rPr>
        <w:t xml:space="preserve"> database</w:t>
      </w:r>
      <w:r w:rsidR="005C2171">
        <w:rPr>
          <w:rFonts w:eastAsia="Times New Roman" w:cs="Times New Roman"/>
          <w:snapToGrid w:val="0"/>
          <w:color w:val="000000"/>
          <w:szCs w:val="20"/>
        </w:rPr>
        <w:t xml:space="preserve">. </w:t>
      </w:r>
      <w:r w:rsidR="001C20A0">
        <w:rPr>
          <w:rFonts w:eastAsia="Times New Roman" w:cs="Times New Roman"/>
          <w:snapToGrid w:val="0"/>
          <w:color w:val="000000"/>
          <w:szCs w:val="20"/>
        </w:rPr>
        <w:t xml:space="preserve"> </w:t>
      </w:r>
      <w:r w:rsidRPr="00634A95" w:rsidR="004460CF">
        <w:rPr>
          <w:rFonts w:eastAsia="Times New Roman" w:cs="Times New Roman"/>
          <w:snapToGrid w:val="0"/>
          <w:color w:val="000000"/>
          <w:szCs w:val="20"/>
        </w:rPr>
        <w:t>One important purpose of the survey is to monitor l</w:t>
      </w:r>
      <w:r w:rsidR="00092FAF">
        <w:rPr>
          <w:rFonts w:eastAsia="Times New Roman" w:cs="Times New Roman"/>
          <w:snapToGrid w:val="0"/>
          <w:color w:val="000000"/>
          <w:szCs w:val="20"/>
        </w:rPr>
        <w:t xml:space="preserve">oan origination trends.  While </w:t>
      </w:r>
      <w:r w:rsidRPr="00634A95" w:rsidR="004460CF">
        <w:rPr>
          <w:rFonts w:eastAsia="Times New Roman" w:cs="Times New Roman"/>
          <w:snapToGrid w:val="0"/>
          <w:color w:val="000000"/>
          <w:szCs w:val="20"/>
        </w:rPr>
        <w:t>monthly housing survey</w:t>
      </w:r>
      <w:r w:rsidR="004800F2">
        <w:rPr>
          <w:rFonts w:eastAsia="Times New Roman" w:cs="Times New Roman"/>
          <w:snapToGrid w:val="0"/>
          <w:color w:val="000000"/>
          <w:szCs w:val="20"/>
        </w:rPr>
        <w:t>s</w:t>
      </w:r>
      <w:r w:rsidRPr="00634A95" w:rsidR="004460CF">
        <w:rPr>
          <w:rFonts w:eastAsia="Times New Roman" w:cs="Times New Roman"/>
          <w:snapToGrid w:val="0"/>
          <w:color w:val="000000"/>
          <w:szCs w:val="20"/>
        </w:rPr>
        <w:t xml:space="preserve"> would provide the </w:t>
      </w:r>
      <w:r w:rsidR="00092FAF">
        <w:rPr>
          <w:rFonts w:eastAsia="Times New Roman" w:cs="Times New Roman"/>
          <w:snapToGrid w:val="0"/>
          <w:color w:val="000000"/>
          <w:szCs w:val="20"/>
        </w:rPr>
        <w:t>optimal feedback</w:t>
      </w:r>
      <w:r w:rsidR="00DB7A49">
        <w:rPr>
          <w:rFonts w:eastAsia="Times New Roman" w:cs="Times New Roman"/>
          <w:snapToGrid w:val="0"/>
          <w:color w:val="000000"/>
          <w:szCs w:val="20"/>
        </w:rPr>
        <w:t xml:space="preserve"> regarding these trends</w:t>
      </w:r>
      <w:r w:rsidRPr="00634A95" w:rsidR="004460CF">
        <w:rPr>
          <w:rFonts w:eastAsia="Times New Roman" w:cs="Times New Roman"/>
          <w:snapToGrid w:val="0"/>
          <w:color w:val="000000"/>
          <w:szCs w:val="20"/>
        </w:rPr>
        <w:t>,</w:t>
      </w:r>
      <w:r w:rsidR="00092FAF">
        <w:rPr>
          <w:rFonts w:eastAsia="Times New Roman" w:cs="Times New Roman"/>
          <w:snapToGrid w:val="0"/>
          <w:color w:val="000000"/>
          <w:szCs w:val="20"/>
        </w:rPr>
        <w:t xml:space="preserve"> FHFA believes that</w:t>
      </w:r>
      <w:r w:rsidRPr="00634A95" w:rsidR="004460CF">
        <w:rPr>
          <w:rFonts w:eastAsia="Times New Roman" w:cs="Times New Roman"/>
          <w:snapToGrid w:val="0"/>
          <w:color w:val="000000"/>
          <w:szCs w:val="20"/>
        </w:rPr>
        <w:t xml:space="preserve"> quarterly surveys are sufficient.</w:t>
      </w:r>
      <w:r w:rsidR="004460CF">
        <w:rPr>
          <w:rFonts w:eastAsia="Times New Roman" w:cs="Times New Roman"/>
          <w:snapToGrid w:val="0"/>
          <w:color w:val="000000"/>
          <w:szCs w:val="20"/>
        </w:rPr>
        <w:t xml:space="preserve"> </w:t>
      </w:r>
    </w:p>
    <w:p w:rsidR="00A35638" w:rsidP="000D3CCC" w14:paraId="3C609099" w14:textId="77777777">
      <w:pPr>
        <w:autoSpaceDE w:val="0"/>
        <w:autoSpaceDN w:val="0"/>
        <w:adjustRightInd w:val="0"/>
        <w:spacing w:line="240" w:lineRule="auto"/>
        <w:rPr>
          <w:rFonts w:eastAsia="Times New Roman" w:cs="Times New Roman"/>
          <w:snapToGrid w:val="0"/>
          <w:color w:val="000000"/>
          <w:szCs w:val="20"/>
        </w:rPr>
      </w:pPr>
    </w:p>
    <w:p w:rsidR="00854B60" w:rsidRPr="00854B60" w:rsidP="000D3CCC" w14:paraId="2B953249" w14:textId="52925234">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7.  </w:t>
      </w:r>
      <w:r w:rsidRPr="007B5DD4" w:rsidR="00E82184">
        <w:rPr>
          <w:rFonts w:eastAsia="Times New Roman" w:cs="Times New Roman"/>
          <w:b/>
          <w:color w:val="000000"/>
          <w:szCs w:val="24"/>
        </w:rPr>
        <w:t>Circumstances requiring special information collection</w:t>
      </w:r>
    </w:p>
    <w:p w:rsidR="00854B60" w:rsidRPr="00854B60" w:rsidP="000D3CCC" w14:paraId="15B6ED18" w14:textId="77777777">
      <w:pPr>
        <w:spacing w:line="240" w:lineRule="auto"/>
        <w:rPr>
          <w:rFonts w:eastAsia="Times New Roman" w:cs="Times New Roman"/>
          <w:snapToGrid w:val="0"/>
          <w:color w:val="000000"/>
          <w:szCs w:val="20"/>
        </w:rPr>
      </w:pPr>
    </w:p>
    <w:p w:rsidR="00B83A5F" w:rsidRPr="00BA36A7" w:rsidP="00B83A5F" w14:paraId="368A1073" w14:textId="7A8EA951">
      <w:pPr>
        <w:spacing w:line="240" w:lineRule="auto"/>
        <w:rPr>
          <w:rFonts w:eastAsia="Times New Roman" w:cs="Times New Roman"/>
          <w:snapToGrid w:val="0"/>
          <w:color w:val="000000"/>
          <w:szCs w:val="20"/>
        </w:rPr>
      </w:pPr>
      <w:r w:rsidRPr="00BA36A7">
        <w:rPr>
          <w:rFonts w:eastAsia="Times New Roman" w:cs="Times New Roman"/>
          <w:snapToGrid w:val="0"/>
          <w:color w:val="000000"/>
          <w:szCs w:val="20"/>
        </w:rPr>
        <w:t xml:space="preserve">FHFA requests an exemption to the collection of detailed race and ethnicity categories because the small sample size of the </w:t>
      </w:r>
      <w:r>
        <w:rPr>
          <w:rFonts w:eastAsia="Times New Roman" w:cs="Times New Roman"/>
          <w:snapToGrid w:val="0"/>
          <w:color w:val="000000"/>
          <w:szCs w:val="20"/>
        </w:rPr>
        <w:t>NSMO survey</w:t>
      </w:r>
      <w:r w:rsidRPr="00BA36A7">
        <w:rPr>
          <w:rFonts w:eastAsia="Times New Roman" w:cs="Times New Roman"/>
          <w:snapToGrid w:val="0"/>
          <w:color w:val="000000"/>
          <w:szCs w:val="20"/>
        </w:rPr>
        <w:t xml:space="preserve"> does not have enough statistical power to produce statistically precise estimates for most detailed categories. The estimated sample size for </w:t>
      </w:r>
      <w:r>
        <w:rPr>
          <w:rFonts w:eastAsia="Times New Roman" w:cs="Times New Roman"/>
          <w:snapToGrid w:val="0"/>
          <w:color w:val="000000"/>
          <w:szCs w:val="20"/>
        </w:rPr>
        <w:t xml:space="preserve">the NSMO survey is </w:t>
      </w:r>
      <w:r w:rsidR="008C2064">
        <w:rPr>
          <w:rFonts w:eastAsia="Times New Roman" w:cs="Times New Roman"/>
          <w:snapToGrid w:val="0"/>
          <w:color w:val="000000"/>
          <w:szCs w:val="20"/>
        </w:rPr>
        <w:t>1,500</w:t>
      </w:r>
      <w:r w:rsidRPr="00BA36A7">
        <w:rPr>
          <w:rFonts w:eastAsia="Times New Roman" w:cs="Times New Roman"/>
          <w:snapToGrid w:val="0"/>
          <w:color w:val="000000"/>
          <w:szCs w:val="20"/>
        </w:rPr>
        <w:t xml:space="preserve"> responses</w:t>
      </w:r>
      <w:r w:rsidR="00EF6F6A">
        <w:rPr>
          <w:rFonts w:eastAsia="Times New Roman" w:cs="Times New Roman"/>
          <w:snapToGrid w:val="0"/>
          <w:color w:val="000000"/>
          <w:szCs w:val="20"/>
        </w:rPr>
        <w:t xml:space="preserve"> per quarter</w:t>
      </w:r>
      <w:r w:rsidRPr="00BA36A7">
        <w:rPr>
          <w:rFonts w:eastAsia="Times New Roman" w:cs="Times New Roman"/>
          <w:snapToGrid w:val="0"/>
          <w:color w:val="000000"/>
          <w:szCs w:val="20"/>
        </w:rPr>
        <w:t xml:space="preserve">. </w:t>
      </w:r>
    </w:p>
    <w:p w:rsidR="00BC5B57" w:rsidP="000D3CCC" w14:paraId="1C80CA30" w14:textId="77777777">
      <w:pPr>
        <w:autoSpaceDE w:val="0"/>
        <w:autoSpaceDN w:val="0"/>
        <w:adjustRightInd w:val="0"/>
        <w:spacing w:line="240" w:lineRule="auto"/>
        <w:rPr>
          <w:rFonts w:eastAsia="Times New Roman" w:cs="Times New Roman"/>
          <w:b/>
          <w:color w:val="000000"/>
          <w:szCs w:val="24"/>
        </w:rPr>
      </w:pPr>
    </w:p>
    <w:p w:rsidR="00854B60" w:rsidRPr="00854B60" w:rsidP="000D3CCC" w14:paraId="29917DBB" w14:textId="275FAD1C">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8.  </w:t>
      </w:r>
      <w:r w:rsidRPr="007B5DD4" w:rsidR="00E82184">
        <w:rPr>
          <w:rFonts w:eastAsia="Times New Roman" w:cs="Times New Roman"/>
          <w:b/>
          <w:color w:val="000000"/>
          <w:szCs w:val="24"/>
        </w:rPr>
        <w:t>Solicitation of comments on information collection</w:t>
      </w:r>
    </w:p>
    <w:p w:rsidR="00854B60" w:rsidRPr="00854B60" w:rsidP="000D3CCC" w14:paraId="4D913704" w14:textId="77777777">
      <w:pPr>
        <w:spacing w:line="240" w:lineRule="auto"/>
        <w:rPr>
          <w:rFonts w:eastAsia="Times New Roman" w:cs="Times New Roman"/>
          <w:snapToGrid w:val="0"/>
          <w:color w:val="000000"/>
          <w:szCs w:val="20"/>
        </w:rPr>
      </w:pPr>
    </w:p>
    <w:p w:rsidR="00942B31" w:rsidP="000D3CCC" w14:paraId="56F86440" w14:textId="7AE368A2">
      <w:pPr>
        <w:spacing w:line="240" w:lineRule="auto"/>
        <w:rPr>
          <w:rFonts w:eastAsia="Times New Roman" w:cs="Times New Roman"/>
          <w:snapToGrid w:val="0"/>
          <w:color w:val="000000"/>
          <w:szCs w:val="20"/>
        </w:rPr>
      </w:pPr>
      <w:r w:rsidRPr="00CD3859">
        <w:rPr>
          <w:rFonts w:eastAsia="Times New Roman" w:cs="Times New Roman"/>
          <w:snapToGrid w:val="0"/>
          <w:color w:val="000000"/>
          <w:szCs w:val="20"/>
        </w:rPr>
        <w:t>In accordance</w:t>
      </w:r>
      <w:r w:rsidR="00C073AF">
        <w:rPr>
          <w:rFonts w:eastAsia="Times New Roman" w:cs="Times New Roman"/>
          <w:snapToGrid w:val="0"/>
          <w:color w:val="000000"/>
          <w:szCs w:val="20"/>
        </w:rPr>
        <w:t xml:space="preserve"> with the requirements of 5 CFR</w:t>
      </w:r>
      <w:r w:rsidR="00A80BB4">
        <w:rPr>
          <w:rFonts w:eastAsia="Times New Roman" w:cs="Times New Roman"/>
          <w:snapToGrid w:val="0"/>
          <w:color w:val="000000"/>
          <w:szCs w:val="20"/>
        </w:rPr>
        <w:t xml:space="preserve"> </w:t>
      </w:r>
      <w:r w:rsidRPr="00CD3859">
        <w:rPr>
          <w:rFonts w:eastAsia="Times New Roman" w:cs="Times New Roman"/>
          <w:snapToGrid w:val="0"/>
          <w:color w:val="000000"/>
          <w:szCs w:val="20"/>
        </w:rPr>
        <w:t xml:space="preserve">1320.8(d), FHFA published a request for public comments regarding this information collection in the </w:t>
      </w:r>
      <w:r w:rsidRPr="00CD3859">
        <w:rPr>
          <w:rFonts w:eastAsia="Times New Roman" w:cs="Times New Roman"/>
          <w:i/>
          <w:iCs/>
          <w:snapToGrid w:val="0"/>
          <w:color w:val="000000"/>
          <w:szCs w:val="20"/>
        </w:rPr>
        <w:t>Federal Register</w:t>
      </w:r>
      <w:r w:rsidRPr="00CD3859">
        <w:rPr>
          <w:rFonts w:eastAsia="Times New Roman" w:cs="Times New Roman"/>
          <w:snapToGrid w:val="0"/>
          <w:color w:val="000000"/>
          <w:szCs w:val="20"/>
        </w:rPr>
        <w:t xml:space="preserve"> on</w:t>
      </w:r>
      <w:r w:rsidR="003C4A72">
        <w:rPr>
          <w:rFonts w:eastAsia="Times New Roman" w:cs="Times New Roman"/>
          <w:snapToGrid w:val="0"/>
          <w:color w:val="000000"/>
          <w:szCs w:val="20"/>
        </w:rPr>
        <w:t xml:space="preserve"> June 25, 2024</w:t>
      </w:r>
      <w:r w:rsidRPr="00D373D0" w:rsidR="001C20A0">
        <w:rPr>
          <w:color w:val="000000"/>
          <w:szCs w:val="20"/>
        </w:rPr>
        <w:t>.</w:t>
      </w:r>
      <w:r>
        <w:rPr>
          <w:color w:val="000000"/>
          <w:szCs w:val="20"/>
          <w:vertAlign w:val="superscript"/>
        </w:rPr>
        <w:footnoteReference w:id="9"/>
      </w:r>
      <w:r w:rsidRPr="00D373D0" w:rsidR="001C20A0">
        <w:rPr>
          <w:color w:val="000000"/>
          <w:szCs w:val="20"/>
        </w:rPr>
        <w:t xml:space="preserve">  </w:t>
      </w:r>
      <w:r w:rsidRPr="00CD3859">
        <w:rPr>
          <w:rFonts w:eastAsia="Times New Roman" w:cs="Times New Roman"/>
          <w:snapToGrid w:val="0"/>
          <w:color w:val="000000"/>
          <w:szCs w:val="20"/>
        </w:rPr>
        <w:t>The 60-day comment period closed on</w:t>
      </w:r>
      <w:r w:rsidR="003C4A72">
        <w:rPr>
          <w:rFonts w:eastAsia="Times New Roman" w:cs="Times New Roman"/>
          <w:snapToGrid w:val="0"/>
          <w:color w:val="000000"/>
          <w:szCs w:val="20"/>
        </w:rPr>
        <w:t xml:space="preserve"> </w:t>
      </w:r>
      <w:r w:rsidRPr="00D04170" w:rsidR="003C4A72">
        <w:rPr>
          <w:rFonts w:eastAsia="Times New Roman" w:cs="Times New Roman"/>
          <w:snapToGrid w:val="0"/>
          <w:color w:val="000000"/>
          <w:szCs w:val="20"/>
        </w:rPr>
        <w:t>August 26, 2024</w:t>
      </w:r>
      <w:r w:rsidRPr="00D04170">
        <w:rPr>
          <w:rFonts w:eastAsia="Times New Roman" w:cs="Times New Roman"/>
          <w:snapToGrid w:val="0"/>
          <w:color w:val="000000"/>
          <w:szCs w:val="20"/>
        </w:rPr>
        <w:t xml:space="preserve">.  FHFA </w:t>
      </w:r>
      <w:r w:rsidRPr="00D04170" w:rsidR="00FD3B73">
        <w:rPr>
          <w:rFonts w:eastAsia="Times New Roman" w:cs="Times New Roman"/>
          <w:snapToGrid w:val="0"/>
          <w:color w:val="000000"/>
          <w:szCs w:val="20"/>
        </w:rPr>
        <w:t xml:space="preserve">received </w:t>
      </w:r>
      <w:r w:rsidRPr="00D04170" w:rsidR="004F20A4">
        <w:rPr>
          <w:rFonts w:eastAsia="Times New Roman" w:cs="Times New Roman"/>
          <w:snapToGrid w:val="0"/>
          <w:color w:val="000000"/>
          <w:szCs w:val="20"/>
        </w:rPr>
        <w:t>no</w:t>
      </w:r>
      <w:r w:rsidRPr="00D04170">
        <w:rPr>
          <w:rFonts w:eastAsia="Times New Roman" w:cs="Times New Roman"/>
          <w:snapToGrid w:val="0"/>
          <w:color w:val="000000"/>
          <w:szCs w:val="20"/>
        </w:rPr>
        <w:t xml:space="preserve"> comments</w:t>
      </w:r>
      <w:r w:rsidRPr="00D04170" w:rsidR="004F20A4">
        <w:rPr>
          <w:rFonts w:eastAsia="Times New Roman" w:cs="Times New Roman"/>
          <w:snapToGrid w:val="0"/>
          <w:color w:val="000000"/>
          <w:szCs w:val="20"/>
        </w:rPr>
        <w:t>.</w:t>
      </w:r>
      <w:r w:rsidR="007675C6">
        <w:rPr>
          <w:rFonts w:eastAsia="Times New Roman" w:cs="Times New Roman"/>
          <w:snapToGrid w:val="0"/>
          <w:color w:val="000000"/>
          <w:szCs w:val="20"/>
        </w:rPr>
        <w:t xml:space="preserve"> </w:t>
      </w:r>
    </w:p>
    <w:p w:rsidR="00BC5B57" w:rsidP="000D3CCC" w14:paraId="34C81494" w14:textId="4CD44E2C">
      <w:pPr>
        <w:spacing w:line="240" w:lineRule="auto"/>
        <w:rPr>
          <w:rFonts w:eastAsia="Times New Roman" w:cs="Times New Roman"/>
          <w:snapToGrid w:val="0"/>
          <w:color w:val="000000"/>
          <w:szCs w:val="20"/>
        </w:rPr>
      </w:pPr>
    </w:p>
    <w:p w:rsidR="00854B60" w:rsidRPr="00854B60" w:rsidP="000D3CCC" w14:paraId="3EEA1C12" w14:textId="77777777">
      <w:pPr>
        <w:autoSpaceDE w:val="0"/>
        <w:autoSpaceDN w:val="0"/>
        <w:adjustRightInd w:val="0"/>
        <w:spacing w:line="240" w:lineRule="auto"/>
        <w:rPr>
          <w:rFonts w:eastAsia="Times New Roman" w:cs="Times New Roman"/>
          <w:b/>
          <w:szCs w:val="24"/>
          <w:u w:val="single"/>
        </w:rPr>
      </w:pPr>
      <w:r w:rsidRPr="00854B60">
        <w:rPr>
          <w:rFonts w:eastAsia="Times New Roman" w:cs="Times New Roman"/>
          <w:b/>
          <w:szCs w:val="24"/>
        </w:rPr>
        <w:t xml:space="preserve">9.  </w:t>
      </w:r>
      <w:r w:rsidRPr="007B5DD4" w:rsidR="00E82184">
        <w:rPr>
          <w:rFonts w:eastAsia="Times New Roman" w:cs="Times New Roman"/>
          <w:b/>
          <w:szCs w:val="24"/>
        </w:rPr>
        <w:t>Provision of payments or gifts to respondents</w:t>
      </w:r>
    </w:p>
    <w:p w:rsidR="00854B60" w:rsidP="000D3CCC" w14:paraId="3643B5AE" w14:textId="77777777">
      <w:pPr>
        <w:autoSpaceDE w:val="0"/>
        <w:autoSpaceDN w:val="0"/>
        <w:adjustRightInd w:val="0"/>
        <w:spacing w:line="240" w:lineRule="auto"/>
        <w:rPr>
          <w:rFonts w:eastAsia="Times New Roman" w:cs="Times New Roman"/>
          <w:color w:val="000000"/>
          <w:szCs w:val="24"/>
        </w:rPr>
      </w:pPr>
    </w:p>
    <w:p w:rsidR="00554329" w:rsidP="00C16AE8" w14:paraId="6A32DCF7" w14:textId="65610E2D">
      <w:pPr>
        <w:autoSpaceDE w:val="0"/>
        <w:autoSpaceDN w:val="0"/>
        <w:adjustRightInd w:val="0"/>
        <w:spacing w:line="240" w:lineRule="auto"/>
        <w:rPr>
          <w:rFonts w:eastAsia="Times New Roman" w:cs="Times New Roman"/>
          <w:color w:val="000000"/>
          <w:szCs w:val="24"/>
        </w:rPr>
      </w:pPr>
      <w:r>
        <w:rPr>
          <w:rFonts w:eastAsia="Times New Roman" w:cs="Times New Roman"/>
          <w:color w:val="000000"/>
          <w:szCs w:val="24"/>
        </w:rPr>
        <w:t>Earlier</w:t>
      </w:r>
      <w:r>
        <w:rPr>
          <w:rFonts w:eastAsia="Times New Roman" w:cs="Times New Roman"/>
          <w:color w:val="000000"/>
          <w:szCs w:val="24"/>
        </w:rPr>
        <w:t>, s</w:t>
      </w:r>
      <w:r w:rsidRPr="00554329">
        <w:rPr>
          <w:rFonts w:eastAsia="Times New Roman" w:cs="Times New Roman"/>
          <w:color w:val="000000"/>
          <w:szCs w:val="24"/>
        </w:rPr>
        <w:t>urvey recipients receive</w:t>
      </w:r>
      <w:r>
        <w:rPr>
          <w:rFonts w:eastAsia="Times New Roman" w:cs="Times New Roman"/>
          <w:color w:val="000000"/>
          <w:szCs w:val="24"/>
        </w:rPr>
        <w:t>d</w:t>
      </w:r>
      <w:r w:rsidRPr="00554329">
        <w:rPr>
          <w:rFonts w:eastAsia="Times New Roman" w:cs="Times New Roman"/>
          <w:color w:val="000000"/>
          <w:szCs w:val="24"/>
        </w:rPr>
        <w:t xml:space="preserve"> a cash payment of five dollars as an inducement to complete and return the NSMO questionnaire.  Recipients who fail</w:t>
      </w:r>
      <w:r>
        <w:rPr>
          <w:rFonts w:eastAsia="Times New Roman" w:cs="Times New Roman"/>
          <w:color w:val="000000"/>
          <w:szCs w:val="24"/>
        </w:rPr>
        <w:t>ed</w:t>
      </w:r>
      <w:r w:rsidRPr="00554329">
        <w:rPr>
          <w:rFonts w:eastAsia="Times New Roman" w:cs="Times New Roman"/>
          <w:color w:val="000000"/>
          <w:szCs w:val="24"/>
        </w:rPr>
        <w:t xml:space="preserve"> to respond to the first two survey solicitations </w:t>
      </w:r>
      <w:r>
        <w:rPr>
          <w:rFonts w:eastAsia="Times New Roman" w:cs="Times New Roman"/>
          <w:color w:val="000000"/>
          <w:szCs w:val="24"/>
        </w:rPr>
        <w:t>also</w:t>
      </w:r>
      <w:r w:rsidRPr="00554329">
        <w:rPr>
          <w:rFonts w:eastAsia="Times New Roman" w:cs="Times New Roman"/>
          <w:color w:val="000000"/>
          <w:szCs w:val="24"/>
        </w:rPr>
        <w:t xml:space="preserve"> receive</w:t>
      </w:r>
      <w:r>
        <w:rPr>
          <w:rFonts w:eastAsia="Times New Roman" w:cs="Times New Roman"/>
          <w:color w:val="000000"/>
          <w:szCs w:val="24"/>
        </w:rPr>
        <w:t>d</w:t>
      </w:r>
      <w:r w:rsidRPr="00554329">
        <w:rPr>
          <w:rFonts w:eastAsia="Times New Roman" w:cs="Times New Roman"/>
          <w:color w:val="000000"/>
          <w:szCs w:val="24"/>
        </w:rPr>
        <w:t xml:space="preserve"> an additional cash inducement of </w:t>
      </w:r>
      <w:r>
        <w:rPr>
          <w:rFonts w:eastAsia="Times New Roman" w:cs="Times New Roman"/>
          <w:color w:val="000000"/>
          <w:szCs w:val="24"/>
        </w:rPr>
        <w:t>five dollars</w:t>
      </w:r>
      <w:r w:rsidRPr="00554329">
        <w:rPr>
          <w:rFonts w:eastAsia="Times New Roman" w:cs="Times New Roman"/>
          <w:color w:val="000000"/>
          <w:szCs w:val="24"/>
        </w:rPr>
        <w:t>.</w:t>
      </w:r>
      <w:r>
        <w:rPr>
          <w:rFonts w:eastAsia="Times New Roman" w:cs="Times New Roman"/>
          <w:color w:val="000000"/>
          <w:szCs w:val="24"/>
        </w:rPr>
        <w:t xml:space="preserve">  </w:t>
      </w:r>
      <w:r w:rsidRPr="00C16AE8" w:rsidR="00C16AE8">
        <w:rPr>
          <w:rFonts w:eastAsia="Times New Roman" w:cs="Times New Roman"/>
          <w:color w:val="000000"/>
          <w:szCs w:val="24"/>
        </w:rPr>
        <w:t>Recent waves of the survey</w:t>
      </w:r>
      <w:r>
        <w:rPr>
          <w:rFonts w:eastAsia="Times New Roman" w:cs="Times New Roman"/>
          <w:color w:val="000000"/>
          <w:szCs w:val="24"/>
        </w:rPr>
        <w:t>, however,</w:t>
      </w:r>
      <w:r w:rsidRPr="00C16AE8" w:rsidR="00C16AE8">
        <w:rPr>
          <w:rFonts w:eastAsia="Times New Roman" w:cs="Times New Roman"/>
          <w:color w:val="000000"/>
          <w:szCs w:val="24"/>
        </w:rPr>
        <w:t xml:space="preserve"> have shown a slow but steady decline in the response rate, a problem facing many other surveys like NSMO.  </w:t>
      </w:r>
      <w:r>
        <w:rPr>
          <w:rFonts w:eastAsia="Times New Roman" w:cs="Times New Roman"/>
          <w:color w:val="000000"/>
          <w:szCs w:val="24"/>
        </w:rPr>
        <w:t xml:space="preserve">In response, </w:t>
      </w:r>
      <w:r w:rsidR="00F97457">
        <w:rPr>
          <w:rFonts w:eastAsia="Times New Roman" w:cs="Times New Roman"/>
          <w:color w:val="000000"/>
          <w:szCs w:val="24"/>
        </w:rPr>
        <w:t xml:space="preserve">FHFA </w:t>
      </w:r>
      <w:r w:rsidRPr="00C16AE8" w:rsidR="00C16AE8">
        <w:rPr>
          <w:rFonts w:eastAsia="Times New Roman" w:cs="Times New Roman"/>
          <w:color w:val="000000"/>
          <w:szCs w:val="24"/>
        </w:rPr>
        <w:t>experiment</w:t>
      </w:r>
      <w:r w:rsidR="001D05FA">
        <w:rPr>
          <w:rFonts w:eastAsia="Times New Roman" w:cs="Times New Roman"/>
          <w:color w:val="000000"/>
          <w:szCs w:val="24"/>
        </w:rPr>
        <w:t>ed</w:t>
      </w:r>
      <w:r w:rsidRPr="00C16AE8" w:rsidR="00C16AE8">
        <w:rPr>
          <w:rFonts w:eastAsia="Times New Roman" w:cs="Times New Roman"/>
          <w:color w:val="000000"/>
          <w:szCs w:val="24"/>
        </w:rPr>
        <w:t xml:space="preserve"> with</w:t>
      </w:r>
      <w:r w:rsidR="00F97457">
        <w:rPr>
          <w:rFonts w:eastAsia="Times New Roman" w:cs="Times New Roman"/>
          <w:color w:val="000000"/>
          <w:szCs w:val="24"/>
        </w:rPr>
        <w:t xml:space="preserve"> the </w:t>
      </w:r>
      <w:r>
        <w:rPr>
          <w:rFonts w:eastAsia="Times New Roman" w:cs="Times New Roman"/>
          <w:color w:val="000000"/>
          <w:szCs w:val="24"/>
        </w:rPr>
        <w:t>cash incentives</w:t>
      </w:r>
      <w:r w:rsidRPr="00C16AE8" w:rsidR="00C16AE8">
        <w:rPr>
          <w:rFonts w:eastAsia="Times New Roman" w:cs="Times New Roman"/>
          <w:color w:val="000000"/>
          <w:szCs w:val="24"/>
        </w:rPr>
        <w:t>.</w:t>
      </w:r>
    </w:p>
    <w:p w:rsidR="00554329" w:rsidP="00C16AE8" w14:paraId="4C4BB49D" w14:textId="77777777">
      <w:pPr>
        <w:autoSpaceDE w:val="0"/>
        <w:autoSpaceDN w:val="0"/>
        <w:adjustRightInd w:val="0"/>
        <w:spacing w:line="240" w:lineRule="auto"/>
        <w:rPr>
          <w:rFonts w:eastAsia="Times New Roman" w:cs="Times New Roman"/>
          <w:color w:val="000000"/>
          <w:szCs w:val="24"/>
        </w:rPr>
      </w:pPr>
    </w:p>
    <w:p w:rsidR="00C16AE8" w:rsidP="00C16AE8" w14:paraId="1A7BE4B9" w14:textId="5503317E">
      <w:pPr>
        <w:autoSpaceDE w:val="0"/>
        <w:autoSpaceDN w:val="0"/>
        <w:adjustRightInd w:val="0"/>
        <w:spacing w:line="240" w:lineRule="auto"/>
        <w:rPr>
          <w:rFonts w:eastAsia="Times New Roman" w:cs="Times New Roman"/>
          <w:color w:val="000000"/>
          <w:szCs w:val="24"/>
        </w:rPr>
      </w:pPr>
      <w:r w:rsidRPr="00C16AE8">
        <w:rPr>
          <w:rFonts w:eastAsia="Times New Roman" w:cs="Times New Roman"/>
          <w:color w:val="000000"/>
          <w:szCs w:val="24"/>
        </w:rPr>
        <w:t xml:space="preserve">In wave 22, one half of the usual 6,000 borrowers were randomly selected to receive a ten-dollar cash incentive with the first mailing instead of the </w:t>
      </w:r>
      <w:r w:rsidR="00CA50A9">
        <w:rPr>
          <w:rFonts w:eastAsia="Times New Roman" w:cs="Times New Roman"/>
          <w:color w:val="000000"/>
          <w:szCs w:val="24"/>
        </w:rPr>
        <w:t xml:space="preserve">typical </w:t>
      </w:r>
      <w:r w:rsidRPr="00C16AE8">
        <w:rPr>
          <w:rFonts w:eastAsia="Times New Roman" w:cs="Times New Roman"/>
          <w:color w:val="000000"/>
          <w:szCs w:val="24"/>
        </w:rPr>
        <w:t>five-dollar incentive.</w:t>
      </w:r>
      <w:r w:rsidR="00554329">
        <w:rPr>
          <w:rFonts w:eastAsia="Times New Roman" w:cs="Times New Roman"/>
          <w:color w:val="000000"/>
          <w:szCs w:val="24"/>
        </w:rPr>
        <w:t xml:space="preserve">  </w:t>
      </w:r>
      <w:r w:rsidRPr="00C16AE8">
        <w:rPr>
          <w:rFonts w:eastAsia="Times New Roman" w:cs="Times New Roman"/>
          <w:color w:val="000000"/>
          <w:szCs w:val="24"/>
        </w:rPr>
        <w:t xml:space="preserve">In wave 25, all borrowers were sent an initial incentive of ten dollars.  In terms of the second incentive, one random half of the non-respondents </w:t>
      </w:r>
      <w:r w:rsidR="0002363F">
        <w:rPr>
          <w:rFonts w:eastAsia="Times New Roman" w:cs="Times New Roman"/>
          <w:color w:val="000000"/>
          <w:szCs w:val="24"/>
        </w:rPr>
        <w:t xml:space="preserve">were </w:t>
      </w:r>
      <w:r w:rsidRPr="00C16AE8">
        <w:rPr>
          <w:rFonts w:eastAsia="Times New Roman" w:cs="Times New Roman"/>
          <w:color w:val="000000"/>
          <w:szCs w:val="24"/>
        </w:rPr>
        <w:t xml:space="preserve">sent the normal five-dollar cash incentive as in previous waves and the other random half </w:t>
      </w:r>
      <w:r w:rsidR="0002363F">
        <w:rPr>
          <w:rFonts w:eastAsia="Times New Roman" w:cs="Times New Roman"/>
          <w:color w:val="000000"/>
          <w:szCs w:val="24"/>
        </w:rPr>
        <w:t xml:space="preserve">were </w:t>
      </w:r>
      <w:r w:rsidRPr="00C16AE8">
        <w:rPr>
          <w:rFonts w:eastAsia="Times New Roman" w:cs="Times New Roman"/>
          <w:color w:val="000000"/>
          <w:szCs w:val="24"/>
        </w:rPr>
        <w:t xml:space="preserve">sent a letter informing them that they will be sent a twenty-dollar incentive upon completion of the survey.  In wave 26, </w:t>
      </w:r>
      <w:r w:rsidR="00713BCA">
        <w:rPr>
          <w:rFonts w:eastAsia="Times New Roman" w:cs="Times New Roman"/>
          <w:color w:val="000000"/>
          <w:szCs w:val="24"/>
        </w:rPr>
        <w:t>one random half of the</w:t>
      </w:r>
      <w:r w:rsidRPr="00C16AE8">
        <w:rPr>
          <w:rFonts w:eastAsia="Times New Roman" w:cs="Times New Roman"/>
          <w:color w:val="000000"/>
          <w:szCs w:val="24"/>
        </w:rPr>
        <w:t xml:space="preserve"> borrowers receive</w:t>
      </w:r>
      <w:r w:rsidR="001D05FA">
        <w:rPr>
          <w:rFonts w:eastAsia="Times New Roman" w:cs="Times New Roman"/>
          <w:color w:val="000000"/>
          <w:szCs w:val="24"/>
        </w:rPr>
        <w:t>d</w:t>
      </w:r>
      <w:r w:rsidRPr="00C16AE8">
        <w:rPr>
          <w:rFonts w:eastAsia="Times New Roman" w:cs="Times New Roman"/>
          <w:color w:val="000000"/>
          <w:szCs w:val="24"/>
        </w:rPr>
        <w:t xml:space="preserve"> an initial incentive of five dollars </w:t>
      </w:r>
      <w:r w:rsidR="00713BCA">
        <w:rPr>
          <w:rFonts w:eastAsia="Times New Roman" w:cs="Times New Roman"/>
          <w:color w:val="000000"/>
          <w:szCs w:val="24"/>
        </w:rPr>
        <w:t>and the other random half receive</w:t>
      </w:r>
      <w:r w:rsidR="001D05FA">
        <w:rPr>
          <w:rFonts w:eastAsia="Times New Roman" w:cs="Times New Roman"/>
          <w:color w:val="000000"/>
          <w:szCs w:val="24"/>
        </w:rPr>
        <w:t>d</w:t>
      </w:r>
      <w:r w:rsidR="00713BCA">
        <w:rPr>
          <w:rFonts w:eastAsia="Times New Roman" w:cs="Times New Roman"/>
          <w:color w:val="000000"/>
          <w:szCs w:val="24"/>
        </w:rPr>
        <w:t xml:space="preserve"> an initial incentive of ten dollars, but</w:t>
      </w:r>
      <w:r w:rsidRPr="00C16AE8">
        <w:rPr>
          <w:rFonts w:eastAsia="Times New Roman" w:cs="Times New Roman"/>
          <w:color w:val="000000"/>
          <w:szCs w:val="24"/>
        </w:rPr>
        <w:t xml:space="preserve"> all non-respondents receive</w:t>
      </w:r>
      <w:r w:rsidR="001D05FA">
        <w:rPr>
          <w:rFonts w:eastAsia="Times New Roman" w:cs="Times New Roman"/>
          <w:color w:val="000000"/>
          <w:szCs w:val="24"/>
        </w:rPr>
        <w:t>d</w:t>
      </w:r>
      <w:r w:rsidRPr="00C16AE8">
        <w:rPr>
          <w:rFonts w:eastAsia="Times New Roman" w:cs="Times New Roman"/>
          <w:color w:val="000000"/>
          <w:szCs w:val="24"/>
        </w:rPr>
        <w:t xml:space="preserve"> a letter informing them that they will be sent a twenty-dollar incentive upon completion of the survey.  </w:t>
      </w:r>
    </w:p>
    <w:p w:rsidR="007F5352" w:rsidP="00C16AE8" w14:paraId="552CFC81" w14:textId="56431BA6">
      <w:pPr>
        <w:autoSpaceDE w:val="0"/>
        <w:autoSpaceDN w:val="0"/>
        <w:adjustRightInd w:val="0"/>
        <w:spacing w:line="240" w:lineRule="auto"/>
        <w:rPr>
          <w:rFonts w:eastAsia="Times New Roman" w:cs="Times New Roman"/>
          <w:color w:val="000000"/>
          <w:szCs w:val="24"/>
        </w:rPr>
      </w:pPr>
    </w:p>
    <w:p w:rsidR="00B55B9D" w:rsidP="00B55B9D" w14:paraId="705CD0D0" w14:textId="390797C3">
      <w:pPr>
        <w:spacing w:line="240" w:lineRule="auto"/>
        <w:rPr>
          <w:rFonts w:eastAsia="Times New Roman" w:cs="Times New Roman"/>
          <w:color w:val="000000"/>
          <w:szCs w:val="24"/>
        </w:rPr>
      </w:pPr>
      <w:r>
        <w:rPr>
          <w:rFonts w:eastAsia="Times New Roman" w:cs="Times New Roman"/>
          <w:color w:val="000000"/>
          <w:szCs w:val="24"/>
        </w:rPr>
        <w:t>Starting in wave 27</w:t>
      </w:r>
      <w:r w:rsidR="007675C6">
        <w:rPr>
          <w:rFonts w:eastAsia="Times New Roman" w:cs="Times New Roman"/>
          <w:color w:val="000000"/>
          <w:szCs w:val="24"/>
        </w:rPr>
        <w:t>-3</w:t>
      </w:r>
      <w:r w:rsidR="00304384">
        <w:rPr>
          <w:rFonts w:eastAsia="Times New Roman" w:cs="Times New Roman"/>
          <w:color w:val="000000"/>
          <w:szCs w:val="24"/>
        </w:rPr>
        <w:t>6</w:t>
      </w:r>
      <w:r>
        <w:rPr>
          <w:rFonts w:eastAsia="Times New Roman" w:cs="Times New Roman"/>
          <w:color w:val="000000"/>
          <w:szCs w:val="24"/>
        </w:rPr>
        <w:t>, s</w:t>
      </w:r>
      <w:r w:rsidRPr="004A65BB">
        <w:rPr>
          <w:rFonts w:eastAsia="Times New Roman" w:cs="Times New Roman"/>
          <w:color w:val="000000"/>
          <w:szCs w:val="24"/>
        </w:rPr>
        <w:t>urvey recipients</w:t>
      </w:r>
      <w:r>
        <w:rPr>
          <w:rFonts w:eastAsia="Times New Roman" w:cs="Times New Roman"/>
          <w:color w:val="000000"/>
          <w:szCs w:val="24"/>
        </w:rPr>
        <w:t xml:space="preserve"> </w:t>
      </w:r>
      <w:r w:rsidRPr="004A65BB">
        <w:rPr>
          <w:rFonts w:eastAsia="Times New Roman" w:cs="Times New Roman"/>
          <w:color w:val="000000"/>
          <w:szCs w:val="24"/>
        </w:rPr>
        <w:t>receive</w:t>
      </w:r>
      <w:r w:rsidR="007675C6">
        <w:rPr>
          <w:rFonts w:eastAsia="Times New Roman" w:cs="Times New Roman"/>
          <w:color w:val="000000"/>
          <w:szCs w:val="24"/>
        </w:rPr>
        <w:t>d</w:t>
      </w:r>
      <w:r w:rsidRPr="004A65BB">
        <w:rPr>
          <w:rFonts w:eastAsia="Times New Roman" w:cs="Times New Roman"/>
          <w:color w:val="000000"/>
          <w:szCs w:val="24"/>
        </w:rPr>
        <w:t xml:space="preserve"> a $</w:t>
      </w:r>
      <w:r>
        <w:rPr>
          <w:rFonts w:eastAsia="Times New Roman" w:cs="Times New Roman"/>
          <w:color w:val="000000"/>
          <w:szCs w:val="24"/>
        </w:rPr>
        <w:t>10</w:t>
      </w:r>
      <w:r w:rsidRPr="004A65BB">
        <w:rPr>
          <w:rFonts w:eastAsia="Times New Roman" w:cs="Times New Roman"/>
          <w:color w:val="000000"/>
          <w:szCs w:val="24"/>
        </w:rPr>
        <w:t xml:space="preserve"> cash payment as an incentive to complete and return the </w:t>
      </w:r>
      <w:r>
        <w:rPr>
          <w:rFonts w:eastAsia="Times New Roman" w:cs="Times New Roman"/>
          <w:color w:val="000000"/>
          <w:szCs w:val="24"/>
        </w:rPr>
        <w:t>NSMO</w:t>
      </w:r>
      <w:r w:rsidRPr="004A65BB">
        <w:rPr>
          <w:rFonts w:eastAsia="Times New Roman" w:cs="Times New Roman"/>
          <w:color w:val="000000"/>
          <w:szCs w:val="24"/>
        </w:rPr>
        <w:t xml:space="preserve"> questionnaire</w:t>
      </w:r>
      <w:r>
        <w:rPr>
          <w:rFonts w:eastAsia="Times New Roman" w:cs="Times New Roman"/>
          <w:color w:val="000000"/>
          <w:szCs w:val="24"/>
        </w:rPr>
        <w:t xml:space="preserve">.  Recipients who </w:t>
      </w:r>
      <w:r w:rsidR="007675C6">
        <w:rPr>
          <w:rFonts w:eastAsia="Times New Roman" w:cs="Times New Roman"/>
          <w:color w:val="000000"/>
          <w:szCs w:val="24"/>
        </w:rPr>
        <w:t xml:space="preserve">did </w:t>
      </w:r>
      <w:r>
        <w:rPr>
          <w:rFonts w:eastAsia="Times New Roman" w:cs="Times New Roman"/>
          <w:color w:val="000000"/>
          <w:szCs w:val="24"/>
        </w:rPr>
        <w:t>not respond after two contacts receive</w:t>
      </w:r>
      <w:r w:rsidR="007675C6">
        <w:rPr>
          <w:rFonts w:eastAsia="Times New Roman" w:cs="Times New Roman"/>
          <w:color w:val="000000"/>
          <w:szCs w:val="24"/>
        </w:rPr>
        <w:t>d</w:t>
      </w:r>
      <w:r>
        <w:rPr>
          <w:rFonts w:eastAsia="Times New Roman" w:cs="Times New Roman"/>
          <w:color w:val="000000"/>
          <w:szCs w:val="24"/>
        </w:rPr>
        <w:t xml:space="preserve"> an additional cash payment of $20 upon completion of the survey</w:t>
      </w:r>
      <w:r w:rsidRPr="004A65BB">
        <w:rPr>
          <w:rFonts w:eastAsia="Times New Roman" w:cs="Times New Roman"/>
          <w:color w:val="000000"/>
          <w:szCs w:val="24"/>
        </w:rPr>
        <w:t>.</w:t>
      </w:r>
      <w:r>
        <w:rPr>
          <w:rFonts w:eastAsia="Times New Roman" w:cs="Times New Roman"/>
          <w:color w:val="000000"/>
          <w:szCs w:val="24"/>
        </w:rPr>
        <w:t xml:space="preserve"> </w:t>
      </w:r>
      <w:r w:rsidRPr="004A65BB">
        <w:rPr>
          <w:rFonts w:eastAsia="Times New Roman" w:cs="Times New Roman"/>
          <w:color w:val="000000"/>
          <w:szCs w:val="24"/>
        </w:rPr>
        <w:t xml:space="preserve"> </w:t>
      </w:r>
      <w:r w:rsidR="00304384">
        <w:rPr>
          <w:rFonts w:eastAsia="Times New Roman" w:cs="Times New Roman"/>
          <w:color w:val="000000"/>
          <w:szCs w:val="24"/>
        </w:rPr>
        <w:t xml:space="preserve">In wave 37 borrowers received the same incentives as in 27-36, but received a different version of the letters in weeks 1 and 5. In wave 38, borrowers received the same incentives, but also got a postcard before the first letter to alert borrowers the survey was coming.  </w:t>
      </w:r>
      <w:r w:rsidR="007675C6">
        <w:rPr>
          <w:rFonts w:eastAsia="Times New Roman" w:cs="Times New Roman"/>
          <w:color w:val="000000"/>
          <w:szCs w:val="24"/>
        </w:rPr>
        <w:t xml:space="preserve">In waves 39 and 40, all borrowers received a $10 cash payment, but one random half of the borrowers received an additional $20 for a completed survey after two contacts, and the other half received $20 for a completed survey from the initial contact.  </w:t>
      </w:r>
      <w:r w:rsidR="000D3F56">
        <w:rPr>
          <w:rFonts w:eastAsia="Times New Roman" w:cs="Times New Roman"/>
          <w:color w:val="000000"/>
          <w:szCs w:val="24"/>
        </w:rPr>
        <w:t>Starting in</w:t>
      </w:r>
      <w:r w:rsidR="007675C6">
        <w:rPr>
          <w:rFonts w:eastAsia="Times New Roman" w:cs="Times New Roman"/>
          <w:color w:val="000000"/>
          <w:szCs w:val="24"/>
        </w:rPr>
        <w:t xml:space="preserve"> wave 41, all borrowers received a $10 cash payment and $20 for a completed survey from the initial contact.</w:t>
      </w:r>
    </w:p>
    <w:p w:rsidR="00B55B9D" w:rsidP="00B55B9D" w14:paraId="33C3A86F" w14:textId="77777777">
      <w:pPr>
        <w:spacing w:line="240" w:lineRule="auto"/>
        <w:rPr>
          <w:rFonts w:eastAsia="Times New Roman" w:cs="Times New Roman"/>
          <w:color w:val="000000"/>
          <w:szCs w:val="24"/>
        </w:rPr>
      </w:pPr>
    </w:p>
    <w:p w:rsidR="00B55B9D" w:rsidRPr="00D34F81" w:rsidP="00B55B9D" w14:paraId="74218150" w14:textId="77777777">
      <w:pPr>
        <w:spacing w:line="240" w:lineRule="auto"/>
      </w:pPr>
      <w:r w:rsidRPr="00D34F81">
        <w:t xml:space="preserve">The survey implementation strategy comprises four respondent contacts over a seven-week period: </w:t>
      </w:r>
    </w:p>
    <w:p w:rsidR="00B55B9D" w:rsidRPr="00D34F81" w:rsidP="00B55B9D" w14:paraId="446AD5D8" w14:textId="77777777">
      <w:pPr>
        <w:spacing w:line="240" w:lineRule="auto"/>
      </w:pPr>
    </w:p>
    <w:p w:rsidR="00B55B9D" w:rsidRPr="00D34F81" w:rsidP="00B55B9D" w14:paraId="519A9C01" w14:textId="70CA817A">
      <w:pPr>
        <w:numPr>
          <w:ilvl w:val="0"/>
          <w:numId w:val="10"/>
        </w:numPr>
        <w:spacing w:line="240" w:lineRule="auto"/>
      </w:pPr>
      <w:r w:rsidRPr="00D34F81">
        <w:rPr>
          <w:i/>
        </w:rPr>
        <w:t>Week 1</w:t>
      </w:r>
      <w:r w:rsidRPr="00D34F81">
        <w:t>:  Printed questionnaire, cover letter</w:t>
      </w:r>
      <w:r w:rsidRPr="007675C6" w:rsidR="007675C6">
        <w:t xml:space="preserve"> </w:t>
      </w:r>
      <w:r w:rsidR="007675C6">
        <w:t>with a promise of a future cash incentive upon receipt of a completed survey</w:t>
      </w:r>
      <w:r w:rsidRPr="00D34F81">
        <w:t>, and cash incentive (entire survey sample population).</w:t>
      </w:r>
    </w:p>
    <w:p w:rsidR="00B55B9D" w:rsidRPr="00D34F81" w:rsidP="00B55B9D" w14:paraId="335FB8B7" w14:textId="15ABB398">
      <w:pPr>
        <w:numPr>
          <w:ilvl w:val="0"/>
          <w:numId w:val="10"/>
        </w:numPr>
        <w:spacing w:line="240" w:lineRule="auto"/>
      </w:pPr>
      <w:r w:rsidRPr="00D34F81">
        <w:rPr>
          <w:i/>
        </w:rPr>
        <w:t>Week 2</w:t>
      </w:r>
      <w:r w:rsidRPr="00D34F81">
        <w:t xml:space="preserve">:  First reminder letter </w:t>
      </w:r>
      <w:r w:rsidR="007675C6">
        <w:t>with</w:t>
      </w:r>
      <w:r w:rsidRPr="00D34F81" w:rsidR="007675C6">
        <w:t xml:space="preserve"> </w:t>
      </w:r>
      <w:r w:rsidR="007675C6">
        <w:t>a promise of a future cash incentive upon receipt of a completed survey</w:t>
      </w:r>
      <w:r w:rsidRPr="00D34F81" w:rsidR="007675C6">
        <w:t xml:space="preserve"> </w:t>
      </w:r>
      <w:r w:rsidRPr="00D34F81">
        <w:t>(entire survey sample population).</w:t>
      </w:r>
      <w:r w:rsidR="007675C6">
        <w:t xml:space="preserve"> </w:t>
      </w:r>
    </w:p>
    <w:p w:rsidR="00B55B9D" w:rsidRPr="00D34F81" w:rsidP="00B55B9D" w14:paraId="7A3E22F6" w14:textId="09642C92">
      <w:pPr>
        <w:numPr>
          <w:ilvl w:val="0"/>
          <w:numId w:val="10"/>
        </w:numPr>
        <w:spacing w:line="240" w:lineRule="auto"/>
      </w:pPr>
      <w:r w:rsidRPr="00D34F81">
        <w:rPr>
          <w:i/>
        </w:rPr>
        <w:t>Week 5</w:t>
      </w:r>
      <w:r w:rsidRPr="00D34F81">
        <w:t>:  Second reminder letter</w:t>
      </w:r>
      <w:r w:rsidR="007675C6">
        <w:t xml:space="preserve"> with a</w:t>
      </w:r>
      <w:r w:rsidRPr="00D34F81" w:rsidR="007675C6">
        <w:t xml:space="preserve"> </w:t>
      </w:r>
      <w:r w:rsidR="007675C6">
        <w:t>promise of a future cash incentive upon receipt of a completed survey</w:t>
      </w:r>
      <w:r w:rsidRPr="00D34F81" w:rsidR="007675C6">
        <w:t xml:space="preserve">, </w:t>
      </w:r>
      <w:r w:rsidR="007675C6">
        <w:t>and</w:t>
      </w:r>
      <w:r w:rsidRPr="00D34F81">
        <w:t xml:space="preserve"> printed questionnaire</w:t>
      </w:r>
      <w:r w:rsidR="007675C6">
        <w:t xml:space="preserve"> </w:t>
      </w:r>
      <w:r w:rsidRPr="00D34F81">
        <w:t>(sampled borrowers who have not responded by Week 4).</w:t>
      </w:r>
    </w:p>
    <w:p w:rsidR="00B55B9D" w:rsidRPr="005F4CD3" w:rsidP="00B55B9D" w14:paraId="3CD03971" w14:textId="48AAF536">
      <w:pPr>
        <w:numPr>
          <w:ilvl w:val="0"/>
          <w:numId w:val="10"/>
        </w:numPr>
        <w:spacing w:line="240" w:lineRule="auto"/>
      </w:pPr>
      <w:r w:rsidRPr="00D34F81">
        <w:rPr>
          <w:i/>
        </w:rPr>
        <w:t>Week 7</w:t>
      </w:r>
      <w:r w:rsidRPr="00D34F81">
        <w:t>:  Third reminder letter</w:t>
      </w:r>
      <w:r w:rsidRPr="007675C6" w:rsidR="007675C6">
        <w:t xml:space="preserve"> </w:t>
      </w:r>
      <w:r w:rsidR="007675C6">
        <w:t>with a</w:t>
      </w:r>
      <w:r w:rsidRPr="00D34F81" w:rsidR="007675C6">
        <w:t xml:space="preserve"> </w:t>
      </w:r>
      <w:r w:rsidR="007675C6">
        <w:t>promise of a future cash incentive upon receipt of a completed survey</w:t>
      </w:r>
      <w:r w:rsidRPr="00D34F81">
        <w:t>, which includes the due date for returning the questionnaire, to close the communication loop (sampled borrowers who have not responded by Week 6).</w:t>
      </w:r>
    </w:p>
    <w:p w:rsidR="00B55B9D" w:rsidRPr="00C16AE8" w:rsidP="00C16AE8" w14:paraId="560DF42A" w14:textId="77777777">
      <w:pPr>
        <w:autoSpaceDE w:val="0"/>
        <w:autoSpaceDN w:val="0"/>
        <w:adjustRightInd w:val="0"/>
        <w:spacing w:line="240" w:lineRule="auto"/>
        <w:rPr>
          <w:rFonts w:eastAsia="Times New Roman" w:cs="Times New Roman"/>
          <w:color w:val="000000"/>
          <w:szCs w:val="24"/>
        </w:rPr>
      </w:pPr>
    </w:p>
    <w:p w:rsidR="006F1176" w:rsidRPr="00D07E03" w:rsidP="000D3CCC" w14:paraId="5AC35632" w14:textId="768E8730">
      <w:pPr>
        <w:autoSpaceDE w:val="0"/>
        <w:autoSpaceDN w:val="0"/>
        <w:adjustRightInd w:val="0"/>
        <w:spacing w:line="240" w:lineRule="auto"/>
        <w:rPr>
          <w:rFonts w:eastAsia="Times New Roman" w:cs="Times New Roman"/>
          <w:color w:val="000000"/>
          <w:szCs w:val="24"/>
        </w:rPr>
      </w:pPr>
      <w:r w:rsidRPr="00635DF1">
        <w:rPr>
          <w:rFonts w:eastAsia="Times New Roman" w:cs="Times New Roman"/>
          <w:color w:val="000000"/>
          <w:szCs w:val="24"/>
        </w:rPr>
        <w:t>Each cognitive pre-testing participan</w:t>
      </w:r>
      <w:r w:rsidRPr="00635DF1" w:rsidR="004833CB">
        <w:rPr>
          <w:rFonts w:eastAsia="Times New Roman" w:cs="Times New Roman"/>
          <w:color w:val="000000"/>
          <w:szCs w:val="24"/>
        </w:rPr>
        <w:t>t may</w:t>
      </w:r>
      <w:r w:rsidRPr="00635DF1">
        <w:rPr>
          <w:rFonts w:eastAsia="Times New Roman" w:cs="Times New Roman"/>
          <w:color w:val="000000"/>
          <w:szCs w:val="24"/>
        </w:rPr>
        <w:t xml:space="preserve"> receive approximately </w:t>
      </w:r>
      <w:r w:rsidR="007535C0">
        <w:rPr>
          <w:rFonts w:eastAsia="Times New Roman" w:cs="Times New Roman"/>
          <w:color w:val="000000"/>
          <w:szCs w:val="24"/>
        </w:rPr>
        <w:t>$100</w:t>
      </w:r>
      <w:r w:rsidRPr="006F1176">
        <w:rPr>
          <w:rFonts w:eastAsia="Times New Roman" w:cs="Times New Roman"/>
          <w:color w:val="000000"/>
          <w:szCs w:val="24"/>
        </w:rPr>
        <w:t xml:space="preserve"> as an incentive payment.  </w:t>
      </w:r>
    </w:p>
    <w:p w:rsidR="00CD5744" w:rsidRPr="00854B60" w:rsidP="000D3CCC" w14:paraId="2B476F67" w14:textId="77777777">
      <w:pPr>
        <w:autoSpaceDE w:val="0"/>
        <w:autoSpaceDN w:val="0"/>
        <w:adjustRightInd w:val="0"/>
        <w:spacing w:line="240" w:lineRule="auto"/>
        <w:rPr>
          <w:rFonts w:eastAsia="Times New Roman" w:cs="Times New Roman"/>
          <w:b/>
          <w:color w:val="000000"/>
          <w:szCs w:val="24"/>
        </w:rPr>
      </w:pPr>
    </w:p>
    <w:p w:rsidR="00854B60" w:rsidRPr="00854B60" w:rsidP="000D3CCC" w14:paraId="5EAFEB21"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10.  </w:t>
      </w:r>
      <w:r w:rsidRPr="007B5DD4" w:rsidR="00E82184">
        <w:rPr>
          <w:rFonts w:eastAsia="Times New Roman" w:cs="Times New Roman"/>
          <w:b/>
          <w:color w:val="000000"/>
          <w:szCs w:val="24"/>
        </w:rPr>
        <w:t>Assurance of confidentiality</w:t>
      </w:r>
    </w:p>
    <w:p w:rsidR="00854B60" w:rsidRPr="00854B60" w:rsidP="000D3CCC" w14:paraId="1DDC40B5" w14:textId="77777777">
      <w:pPr>
        <w:spacing w:line="240" w:lineRule="auto"/>
        <w:rPr>
          <w:rFonts w:eastAsia="Times New Roman" w:cs="Times New Roman"/>
          <w:snapToGrid w:val="0"/>
          <w:color w:val="000000"/>
          <w:szCs w:val="20"/>
        </w:rPr>
      </w:pPr>
    </w:p>
    <w:p w:rsidR="003352B4" w:rsidP="000D3CCC" w14:paraId="25AB32ED" w14:textId="0B3D18CD">
      <w:pPr>
        <w:autoSpaceDE w:val="0"/>
        <w:autoSpaceDN w:val="0"/>
        <w:adjustRightInd w:val="0"/>
        <w:spacing w:line="240" w:lineRule="auto"/>
        <w:rPr>
          <w:rFonts w:eastAsia="Times New Roman" w:cs="Times New Roman"/>
          <w:bCs/>
          <w:snapToGrid w:val="0"/>
          <w:color w:val="000000"/>
          <w:szCs w:val="20"/>
        </w:rPr>
      </w:pPr>
      <w:r>
        <w:rPr>
          <w:rFonts w:eastAsia="Times New Roman" w:cs="Times New Roman"/>
          <w:bCs/>
          <w:snapToGrid w:val="0"/>
          <w:color w:val="000000"/>
          <w:szCs w:val="20"/>
        </w:rPr>
        <w:t xml:space="preserve">With respect to the confidentiality of survey responses, the </w:t>
      </w:r>
      <w:r w:rsidR="00E73650">
        <w:rPr>
          <w:rFonts w:eastAsia="Times New Roman" w:cs="Times New Roman"/>
          <w:bCs/>
          <w:snapToGrid w:val="0"/>
          <w:color w:val="000000"/>
          <w:szCs w:val="20"/>
        </w:rPr>
        <w:t>first</w:t>
      </w:r>
      <w:r>
        <w:rPr>
          <w:rFonts w:eastAsia="Times New Roman" w:cs="Times New Roman"/>
          <w:bCs/>
          <w:snapToGrid w:val="0"/>
          <w:color w:val="000000"/>
          <w:szCs w:val="20"/>
        </w:rPr>
        <w:t xml:space="preserve"> letter that accompanies </w:t>
      </w:r>
      <w:r w:rsidR="00E73650">
        <w:rPr>
          <w:rFonts w:eastAsia="Times New Roman" w:cs="Times New Roman"/>
          <w:bCs/>
          <w:snapToGrid w:val="0"/>
          <w:color w:val="000000"/>
          <w:szCs w:val="20"/>
        </w:rPr>
        <w:t>the first</w:t>
      </w:r>
      <w:r>
        <w:rPr>
          <w:rFonts w:eastAsia="Times New Roman" w:cs="Times New Roman"/>
          <w:bCs/>
          <w:snapToGrid w:val="0"/>
          <w:color w:val="000000"/>
          <w:szCs w:val="20"/>
        </w:rPr>
        <w:t xml:space="preserve"> NSMO questionnaire contains the following statement: </w:t>
      </w:r>
    </w:p>
    <w:p w:rsidR="003352B4" w:rsidP="000D3CCC" w14:paraId="33CD7967" w14:textId="77777777">
      <w:pPr>
        <w:autoSpaceDE w:val="0"/>
        <w:autoSpaceDN w:val="0"/>
        <w:adjustRightInd w:val="0"/>
        <w:spacing w:line="240" w:lineRule="auto"/>
        <w:rPr>
          <w:rFonts w:eastAsia="Times New Roman" w:cs="Times New Roman"/>
          <w:bCs/>
          <w:snapToGrid w:val="0"/>
          <w:color w:val="000000"/>
          <w:szCs w:val="20"/>
        </w:rPr>
      </w:pPr>
    </w:p>
    <w:p w:rsidR="003352B4" w:rsidP="000D3CCC" w14:paraId="4A443986" w14:textId="79852F68">
      <w:pPr>
        <w:autoSpaceDE w:val="0"/>
        <w:autoSpaceDN w:val="0"/>
        <w:adjustRightInd w:val="0"/>
        <w:spacing w:line="240" w:lineRule="auto"/>
        <w:rPr>
          <w:rFonts w:eastAsia="Times New Roman" w:cs="Times New Roman"/>
          <w:bCs/>
          <w:snapToGrid w:val="0"/>
          <w:color w:val="000000"/>
          <w:szCs w:val="20"/>
        </w:rPr>
      </w:pPr>
      <w:r w:rsidRPr="000560DA">
        <w:rPr>
          <w:rFonts w:cs="Times New Roman"/>
          <w:szCs w:val="24"/>
        </w:rPr>
        <w:t xml:space="preserve">Completing the survey is voluntary. If you have </w:t>
      </w:r>
      <w:r w:rsidR="00E73650">
        <w:rPr>
          <w:rFonts w:cs="Times New Roman"/>
          <w:szCs w:val="24"/>
        </w:rPr>
        <w:t xml:space="preserve">any </w:t>
      </w:r>
      <w:r w:rsidRPr="000560DA">
        <w:rPr>
          <w:rFonts w:cs="Times New Roman"/>
          <w:szCs w:val="24"/>
        </w:rPr>
        <w:t xml:space="preserve">questions or need assistance completing this survey due to a disability, please call us toll free 1-855-531-0724, TTY #711 or visit our websites, </w:t>
      </w:r>
      <w:r w:rsidRPr="00E73650">
        <w:rPr>
          <w:rFonts w:cs="Times New Roman"/>
          <w:szCs w:val="24"/>
          <w:u w:val="single"/>
        </w:rPr>
        <w:t>www.fhfa.gov/nsmo</w:t>
      </w:r>
      <w:r w:rsidRPr="000560DA">
        <w:rPr>
          <w:rFonts w:cs="Times New Roman"/>
          <w:szCs w:val="24"/>
        </w:rPr>
        <w:t xml:space="preserve"> or </w:t>
      </w:r>
      <w:r w:rsidRPr="00E73650">
        <w:rPr>
          <w:rFonts w:cs="Times New Roman"/>
          <w:szCs w:val="24"/>
          <w:u w:val="single"/>
        </w:rPr>
        <w:t>www.consumerfinance.gov</w:t>
      </w:r>
      <w:r w:rsidRPr="000560DA">
        <w:rPr>
          <w:rFonts w:cs="Times New Roman"/>
          <w:szCs w:val="24"/>
        </w:rPr>
        <w:t>.</w:t>
      </w:r>
    </w:p>
    <w:p w:rsidR="001B2129" w:rsidP="000D3CCC" w14:paraId="36ADAEDA" w14:textId="77777777">
      <w:pPr>
        <w:autoSpaceDE w:val="0"/>
        <w:autoSpaceDN w:val="0"/>
        <w:adjustRightInd w:val="0"/>
        <w:spacing w:line="240" w:lineRule="auto"/>
        <w:rPr>
          <w:rFonts w:eastAsia="Times New Roman" w:cs="Times New Roman"/>
          <w:bCs/>
          <w:snapToGrid w:val="0"/>
          <w:color w:val="000000"/>
          <w:szCs w:val="20"/>
        </w:rPr>
      </w:pPr>
    </w:p>
    <w:p w:rsidR="003352B4" w:rsidP="000D3CCC" w14:paraId="365F9C07" w14:textId="7A9EBC60">
      <w:pPr>
        <w:autoSpaceDE w:val="0"/>
        <w:autoSpaceDN w:val="0"/>
        <w:adjustRightInd w:val="0"/>
        <w:spacing w:line="240" w:lineRule="auto"/>
        <w:rPr>
          <w:rFonts w:eastAsia="Times New Roman" w:cs="Times New Roman"/>
          <w:bCs/>
          <w:snapToGrid w:val="0"/>
          <w:color w:val="000000"/>
          <w:szCs w:val="20"/>
        </w:rPr>
      </w:pPr>
      <w:r>
        <w:rPr>
          <w:rFonts w:eastAsia="Times New Roman" w:cs="Times New Roman"/>
          <w:bCs/>
          <w:snapToGrid w:val="0"/>
          <w:color w:val="000000"/>
          <w:szCs w:val="20"/>
        </w:rPr>
        <w:t xml:space="preserve">The </w:t>
      </w:r>
      <w:r w:rsidRPr="00264586">
        <w:rPr>
          <w:rFonts w:eastAsia="Times New Roman" w:cs="Times New Roman"/>
          <w:bCs/>
          <w:snapToGrid w:val="0"/>
          <w:color w:val="000000"/>
          <w:szCs w:val="24"/>
        </w:rPr>
        <w:t xml:space="preserve">questionnaire itself contains </w:t>
      </w:r>
      <w:r>
        <w:rPr>
          <w:rFonts w:eastAsia="Times New Roman" w:cs="Times New Roman"/>
          <w:bCs/>
          <w:snapToGrid w:val="0"/>
          <w:color w:val="000000"/>
          <w:szCs w:val="24"/>
        </w:rPr>
        <w:t>a statement, required by</w:t>
      </w:r>
      <w:r w:rsidRPr="00264586">
        <w:rPr>
          <w:rFonts w:eastAsia="Times New Roman" w:cs="Times New Roman"/>
          <w:bCs/>
          <w:snapToGrid w:val="0"/>
          <w:color w:val="000000"/>
          <w:szCs w:val="24"/>
        </w:rPr>
        <w:t xml:space="preserve"> the Privacy Act,</w:t>
      </w:r>
      <w:r>
        <w:rPr>
          <w:rStyle w:val="FootnoteReference"/>
          <w:rFonts w:eastAsia="Times New Roman" w:cs="Times New Roman"/>
          <w:bCs/>
          <w:snapToGrid w:val="0"/>
          <w:color w:val="000000"/>
          <w:szCs w:val="24"/>
        </w:rPr>
        <w:footnoteReference w:id="10"/>
      </w:r>
      <w:r>
        <w:rPr>
          <w:rFonts w:eastAsia="Times New Roman" w:cs="Times New Roman"/>
          <w:bCs/>
          <w:snapToGrid w:val="0"/>
          <w:color w:val="000000"/>
          <w:szCs w:val="24"/>
        </w:rPr>
        <w:t xml:space="preserve"> informing</w:t>
      </w:r>
      <w:r w:rsidRPr="00264586">
        <w:rPr>
          <w:rFonts w:eastAsia="Times New Roman" w:cs="Times New Roman"/>
          <w:bCs/>
          <w:snapToGrid w:val="0"/>
          <w:color w:val="000000"/>
          <w:szCs w:val="24"/>
        </w:rPr>
        <w:t xml:space="preserve"> recipients</w:t>
      </w:r>
      <w:r w:rsidRPr="00264586">
        <w:rPr>
          <w:rFonts w:cs="Times New Roman"/>
          <w:szCs w:val="24"/>
        </w:rPr>
        <w:t xml:space="preserve"> that </w:t>
      </w:r>
      <w:r>
        <w:rPr>
          <w:rFonts w:eastAsia="Times New Roman" w:cs="Times New Roman"/>
          <w:bCs/>
          <w:snapToGrid w:val="0"/>
          <w:color w:val="000000"/>
          <w:szCs w:val="24"/>
        </w:rPr>
        <w:t>“[s]</w:t>
      </w:r>
      <w:r w:rsidRPr="00264586">
        <w:rPr>
          <w:rFonts w:eastAsia="Times New Roman" w:cs="Times New Roman"/>
          <w:bCs/>
          <w:snapToGrid w:val="0"/>
          <w:color w:val="000000"/>
          <w:szCs w:val="24"/>
        </w:rPr>
        <w:t>ubmission</w:t>
      </w:r>
      <w:r w:rsidRPr="00F549B3">
        <w:rPr>
          <w:rFonts w:eastAsia="Times New Roman" w:cs="Times New Roman"/>
          <w:bCs/>
          <w:snapToGrid w:val="0"/>
          <w:color w:val="000000"/>
          <w:szCs w:val="20"/>
        </w:rPr>
        <w:t xml:space="preserve"> of the survey authorizes FHFA to collect the information</w:t>
      </w:r>
      <w:r>
        <w:rPr>
          <w:rFonts w:eastAsia="Times New Roman" w:cs="Times New Roman"/>
          <w:bCs/>
          <w:snapToGrid w:val="0"/>
          <w:color w:val="000000"/>
          <w:szCs w:val="20"/>
        </w:rPr>
        <w:t xml:space="preserve"> provided and to disclose it as </w:t>
      </w:r>
      <w:r w:rsidRPr="00F549B3">
        <w:rPr>
          <w:rFonts w:eastAsia="Times New Roman" w:cs="Times New Roman"/>
          <w:bCs/>
          <w:snapToGrid w:val="0"/>
          <w:color w:val="000000"/>
          <w:szCs w:val="20"/>
        </w:rPr>
        <w:t>set forth</w:t>
      </w:r>
      <w:r>
        <w:rPr>
          <w:rFonts w:eastAsia="Times New Roman" w:cs="Times New Roman"/>
          <w:bCs/>
          <w:snapToGrid w:val="0"/>
          <w:color w:val="000000"/>
          <w:szCs w:val="20"/>
        </w:rPr>
        <w:t>” in the current System of Records Notice (SORN) for the National Mortgage Database</w:t>
      </w:r>
      <w:r w:rsidRPr="00F549B3">
        <w:rPr>
          <w:rFonts w:eastAsia="Times New Roman" w:cs="Times New Roman"/>
          <w:bCs/>
          <w:snapToGrid w:val="0"/>
          <w:color w:val="000000"/>
          <w:szCs w:val="20"/>
        </w:rPr>
        <w:t>.</w:t>
      </w:r>
      <w:r>
        <w:rPr>
          <w:rFonts w:eastAsia="Times New Roman" w:cs="Times New Roman"/>
          <w:bCs/>
          <w:snapToGrid w:val="0"/>
          <w:color w:val="000000"/>
          <w:szCs w:val="20"/>
          <w:vertAlign w:val="superscript"/>
        </w:rPr>
        <w:footnoteReference w:id="11"/>
      </w:r>
      <w:r>
        <w:rPr>
          <w:rFonts w:eastAsia="Times New Roman" w:cs="Times New Roman"/>
          <w:bCs/>
          <w:snapToGrid w:val="0"/>
          <w:color w:val="000000"/>
          <w:szCs w:val="20"/>
        </w:rPr>
        <w:t xml:space="preserve">  The questionnaire also instructs recipients not to include their name</w:t>
      </w:r>
      <w:r w:rsidR="007A2C1F">
        <w:rPr>
          <w:rFonts w:eastAsia="Times New Roman" w:cs="Times New Roman"/>
          <w:bCs/>
          <w:snapToGrid w:val="0"/>
          <w:color w:val="000000"/>
          <w:szCs w:val="20"/>
        </w:rPr>
        <w:t>s</w:t>
      </w:r>
      <w:r>
        <w:rPr>
          <w:rFonts w:eastAsia="Times New Roman" w:cs="Times New Roman"/>
          <w:bCs/>
          <w:snapToGrid w:val="0"/>
          <w:color w:val="000000"/>
          <w:szCs w:val="20"/>
        </w:rPr>
        <w:t xml:space="preserve"> or address</w:t>
      </w:r>
      <w:r w:rsidR="007A2C1F">
        <w:rPr>
          <w:rFonts w:eastAsia="Times New Roman" w:cs="Times New Roman"/>
          <w:bCs/>
          <w:snapToGrid w:val="0"/>
          <w:color w:val="000000"/>
          <w:szCs w:val="20"/>
        </w:rPr>
        <w:t>es</w:t>
      </w:r>
      <w:r>
        <w:rPr>
          <w:rFonts w:eastAsia="Times New Roman" w:cs="Times New Roman"/>
          <w:bCs/>
          <w:snapToGrid w:val="0"/>
          <w:color w:val="000000"/>
          <w:szCs w:val="20"/>
        </w:rPr>
        <w:t xml:space="preserve"> when completing the questionnaire.</w:t>
      </w:r>
    </w:p>
    <w:p w:rsidR="003352B4" w:rsidP="000D3CCC" w14:paraId="0CF183ED" w14:textId="77777777">
      <w:pPr>
        <w:autoSpaceDE w:val="0"/>
        <w:autoSpaceDN w:val="0"/>
        <w:adjustRightInd w:val="0"/>
        <w:spacing w:line="240" w:lineRule="auto"/>
        <w:rPr>
          <w:rFonts w:eastAsia="Times New Roman" w:cs="Times New Roman"/>
          <w:bCs/>
          <w:snapToGrid w:val="0"/>
          <w:color w:val="000000"/>
          <w:szCs w:val="20"/>
        </w:rPr>
      </w:pPr>
    </w:p>
    <w:p w:rsidR="003352B4" w:rsidRPr="003352B4" w:rsidP="000D3CCC" w14:paraId="285EC43C" w14:textId="77777777">
      <w:pPr>
        <w:autoSpaceDE w:val="0"/>
        <w:autoSpaceDN w:val="0"/>
        <w:adjustRightInd w:val="0"/>
        <w:spacing w:line="240" w:lineRule="auto"/>
        <w:rPr>
          <w:rFonts w:eastAsia="Times New Roman" w:cs="Times New Roman"/>
          <w:bCs/>
          <w:snapToGrid w:val="0"/>
          <w:color w:val="000000"/>
          <w:szCs w:val="20"/>
          <w:lang w:val="en"/>
        </w:rPr>
      </w:pPr>
      <w:r w:rsidRPr="003352B4">
        <w:rPr>
          <w:rFonts w:eastAsia="Times New Roman" w:cs="Times New Roman"/>
          <w:bCs/>
          <w:snapToGrid w:val="0"/>
          <w:color w:val="000000"/>
          <w:szCs w:val="20"/>
        </w:rPr>
        <w:t>Section 1324 of the Safety and Soundness Act authorizes FHFA to modify the mortgage data released to the public as necessary to ensure that it contains no</w:t>
      </w:r>
      <w:r w:rsidRPr="003352B4">
        <w:rPr>
          <w:rFonts w:eastAsia="Times New Roman" w:cs="Times New Roman"/>
          <w:bCs/>
          <w:snapToGrid w:val="0"/>
          <w:color w:val="000000"/>
          <w:szCs w:val="20"/>
          <w:lang w:val="en"/>
        </w:rPr>
        <w:t xml:space="preserve"> “representation of information that permits the identity of a borrower to which the information relates to be reasonably inferred by either direct or indirect means.”</w:t>
      </w:r>
      <w:r>
        <w:rPr>
          <w:rFonts w:eastAsia="Times New Roman" w:cs="Times New Roman"/>
          <w:bCs/>
          <w:snapToGrid w:val="0"/>
          <w:color w:val="000000"/>
          <w:szCs w:val="20"/>
          <w:vertAlign w:val="superscript"/>
          <w:lang w:val="en"/>
        </w:rPr>
        <w:footnoteReference w:id="12"/>
      </w:r>
      <w:r w:rsidRPr="003352B4">
        <w:rPr>
          <w:rFonts w:eastAsia="Times New Roman" w:cs="Times New Roman"/>
          <w:bCs/>
          <w:snapToGrid w:val="0"/>
          <w:color w:val="000000"/>
          <w:szCs w:val="20"/>
          <w:lang w:val="en"/>
        </w:rPr>
        <w:t xml:space="preserve">  </w:t>
      </w:r>
      <w:r w:rsidR="003E62AD">
        <w:rPr>
          <w:rFonts w:eastAsia="Times New Roman" w:cs="Times New Roman"/>
          <w:bCs/>
          <w:snapToGrid w:val="0"/>
          <w:color w:val="000000"/>
          <w:szCs w:val="20"/>
          <w:lang w:val="en"/>
        </w:rPr>
        <w:t>For each sampled loan</w:t>
      </w:r>
      <w:r w:rsidR="00AB6157">
        <w:rPr>
          <w:rFonts w:eastAsia="Times New Roman" w:cs="Times New Roman"/>
          <w:bCs/>
          <w:snapToGrid w:val="0"/>
          <w:color w:val="000000"/>
          <w:szCs w:val="20"/>
          <w:lang w:val="en"/>
        </w:rPr>
        <w:t xml:space="preserve"> and its associated borrower(s), Experian provides its</w:t>
      </w:r>
      <w:r w:rsidR="003E62AD">
        <w:rPr>
          <w:rFonts w:eastAsia="Times New Roman" w:cs="Times New Roman"/>
          <w:bCs/>
          <w:snapToGrid w:val="0"/>
          <w:color w:val="000000"/>
          <w:szCs w:val="20"/>
          <w:lang w:val="en"/>
        </w:rPr>
        <w:t xml:space="preserve"> survey subcontractor, Westat, with</w:t>
      </w:r>
      <w:r w:rsidR="00AB6157">
        <w:rPr>
          <w:rFonts w:eastAsia="Times New Roman" w:cs="Times New Roman"/>
          <w:bCs/>
          <w:snapToGrid w:val="0"/>
          <w:color w:val="000000"/>
          <w:szCs w:val="20"/>
          <w:lang w:val="en"/>
        </w:rPr>
        <w:t xml:space="preserve"> the identifying information it needs to administer the survey.</w:t>
      </w:r>
      <w:r w:rsidR="00E722EB">
        <w:rPr>
          <w:rFonts w:eastAsia="Times New Roman" w:cs="Times New Roman"/>
          <w:bCs/>
          <w:snapToGrid w:val="0"/>
          <w:color w:val="000000"/>
          <w:szCs w:val="20"/>
          <w:lang w:val="en"/>
        </w:rPr>
        <w:t xml:space="preserve">  However, </w:t>
      </w:r>
      <w:r w:rsidR="00E722EB">
        <w:rPr>
          <w:rFonts w:eastAsia="Times New Roman" w:cs="Times New Roman"/>
          <w:bCs/>
          <w:snapToGrid w:val="0"/>
          <w:color w:val="000000"/>
          <w:szCs w:val="20"/>
        </w:rPr>
        <w:t>t</w:t>
      </w:r>
      <w:r w:rsidRPr="007A2C1F" w:rsidR="007A2C1F">
        <w:rPr>
          <w:rFonts w:eastAsia="Times New Roman" w:cs="Times New Roman"/>
          <w:bCs/>
          <w:snapToGrid w:val="0"/>
          <w:color w:val="000000"/>
          <w:szCs w:val="20"/>
        </w:rPr>
        <w:t>he data on borrowers and loans that is accessible to FHFA, CFPB, and any other authorized user of the National Mortgage Database, including data obtained through the NSMO</w:t>
      </w:r>
      <w:r w:rsidR="003858A6">
        <w:rPr>
          <w:rFonts w:eastAsia="Times New Roman" w:cs="Times New Roman"/>
          <w:bCs/>
          <w:snapToGrid w:val="0"/>
          <w:color w:val="000000"/>
          <w:szCs w:val="20"/>
        </w:rPr>
        <w:t>,</w:t>
      </w:r>
      <w:r w:rsidRPr="007A2C1F" w:rsidR="007A2C1F">
        <w:rPr>
          <w:rFonts w:eastAsia="Times New Roman" w:cs="Times New Roman"/>
          <w:bCs/>
          <w:snapToGrid w:val="0"/>
          <w:color w:val="000000"/>
          <w:szCs w:val="20"/>
        </w:rPr>
        <w:t xml:space="preserve"> does not include any direct identifying information su</w:t>
      </w:r>
      <w:r w:rsidR="006D744F">
        <w:rPr>
          <w:rFonts w:eastAsia="Times New Roman" w:cs="Times New Roman"/>
          <w:bCs/>
          <w:snapToGrid w:val="0"/>
          <w:color w:val="000000"/>
          <w:szCs w:val="20"/>
        </w:rPr>
        <w:t>ch as borrower</w:t>
      </w:r>
      <w:r w:rsidR="00DF6ABE">
        <w:rPr>
          <w:rFonts w:eastAsia="Times New Roman" w:cs="Times New Roman"/>
          <w:bCs/>
          <w:snapToGrid w:val="0"/>
          <w:color w:val="000000"/>
          <w:szCs w:val="20"/>
        </w:rPr>
        <w:t>s’</w:t>
      </w:r>
      <w:r w:rsidR="006D744F">
        <w:rPr>
          <w:rFonts w:eastAsia="Times New Roman" w:cs="Times New Roman"/>
          <w:bCs/>
          <w:snapToGrid w:val="0"/>
          <w:color w:val="000000"/>
          <w:szCs w:val="20"/>
        </w:rPr>
        <w:t xml:space="preserve"> name</w:t>
      </w:r>
      <w:r w:rsidR="00DF6ABE">
        <w:rPr>
          <w:rFonts w:eastAsia="Times New Roman" w:cs="Times New Roman"/>
          <w:bCs/>
          <w:snapToGrid w:val="0"/>
          <w:color w:val="000000"/>
          <w:szCs w:val="20"/>
        </w:rPr>
        <w:t>s</w:t>
      </w:r>
      <w:r w:rsidR="006D744F">
        <w:rPr>
          <w:rFonts w:eastAsia="Times New Roman" w:cs="Times New Roman"/>
          <w:bCs/>
          <w:snapToGrid w:val="0"/>
          <w:color w:val="000000"/>
          <w:szCs w:val="20"/>
        </w:rPr>
        <w:t>, address</w:t>
      </w:r>
      <w:r w:rsidR="00DF6ABE">
        <w:rPr>
          <w:rFonts w:eastAsia="Times New Roman" w:cs="Times New Roman"/>
          <w:bCs/>
          <w:snapToGrid w:val="0"/>
          <w:color w:val="000000"/>
          <w:szCs w:val="20"/>
        </w:rPr>
        <w:t>es</w:t>
      </w:r>
      <w:r w:rsidR="006D744F">
        <w:rPr>
          <w:rFonts w:eastAsia="Times New Roman" w:cs="Times New Roman"/>
          <w:bCs/>
          <w:snapToGrid w:val="0"/>
          <w:color w:val="000000"/>
          <w:szCs w:val="20"/>
        </w:rPr>
        <w:t>,</w:t>
      </w:r>
      <w:r w:rsidR="00DF6ABE">
        <w:rPr>
          <w:rFonts w:eastAsia="Times New Roman" w:cs="Times New Roman"/>
          <w:bCs/>
          <w:snapToGrid w:val="0"/>
          <w:color w:val="000000"/>
          <w:szCs w:val="20"/>
        </w:rPr>
        <w:t xml:space="preserve"> or</w:t>
      </w:r>
      <w:r w:rsidRPr="007A2C1F" w:rsidR="007A2C1F">
        <w:rPr>
          <w:rFonts w:eastAsia="Times New Roman" w:cs="Times New Roman"/>
          <w:bCs/>
          <w:snapToGrid w:val="0"/>
          <w:color w:val="000000"/>
          <w:szCs w:val="20"/>
        </w:rPr>
        <w:t xml:space="preserve"> Social Security number</w:t>
      </w:r>
      <w:r w:rsidR="00DF6ABE">
        <w:rPr>
          <w:rFonts w:eastAsia="Times New Roman" w:cs="Times New Roman"/>
          <w:bCs/>
          <w:snapToGrid w:val="0"/>
          <w:color w:val="000000"/>
          <w:szCs w:val="20"/>
        </w:rPr>
        <w:t>s or the name of any financial institution</w:t>
      </w:r>
      <w:r w:rsidRPr="007A2C1F" w:rsidR="007A2C1F">
        <w:rPr>
          <w:rFonts w:eastAsia="Times New Roman" w:cs="Times New Roman"/>
          <w:bCs/>
          <w:snapToGrid w:val="0"/>
          <w:color w:val="000000"/>
          <w:szCs w:val="20"/>
        </w:rPr>
        <w:t xml:space="preserve">.  </w:t>
      </w:r>
    </w:p>
    <w:p w:rsidR="003352B4" w:rsidRPr="003352B4" w:rsidP="000D3CCC" w14:paraId="569B00EC" w14:textId="77777777">
      <w:pPr>
        <w:autoSpaceDE w:val="0"/>
        <w:autoSpaceDN w:val="0"/>
        <w:adjustRightInd w:val="0"/>
        <w:spacing w:line="240" w:lineRule="auto"/>
        <w:rPr>
          <w:rFonts w:eastAsia="Times New Roman" w:cs="Times New Roman"/>
          <w:bCs/>
          <w:snapToGrid w:val="0"/>
          <w:color w:val="000000"/>
          <w:szCs w:val="20"/>
          <w:lang w:val="en"/>
        </w:rPr>
      </w:pPr>
    </w:p>
    <w:p w:rsidR="00C5115D" w:rsidRPr="00C5115D" w:rsidP="000D3CCC" w14:paraId="137F3062" w14:textId="5DFD380D">
      <w:pPr>
        <w:autoSpaceDE w:val="0"/>
        <w:autoSpaceDN w:val="0"/>
        <w:adjustRightInd w:val="0"/>
        <w:spacing w:line="240" w:lineRule="auto"/>
        <w:rPr>
          <w:rFonts w:eastAsia="Times New Roman" w:cs="Times New Roman"/>
          <w:bCs/>
          <w:snapToGrid w:val="0"/>
          <w:color w:val="000000"/>
          <w:szCs w:val="20"/>
        </w:rPr>
      </w:pPr>
      <w:r w:rsidRPr="007707CA">
        <w:rPr>
          <w:rFonts w:eastAsia="Times New Roman" w:cs="Times New Roman"/>
          <w:bCs/>
          <w:snapToGrid w:val="0"/>
          <w:color w:val="000000"/>
          <w:szCs w:val="20"/>
        </w:rPr>
        <w:t>West</w:t>
      </w:r>
      <w:r w:rsidR="00CD5C19">
        <w:rPr>
          <w:rFonts w:eastAsia="Times New Roman" w:cs="Times New Roman"/>
          <w:bCs/>
          <w:snapToGrid w:val="0"/>
          <w:color w:val="000000"/>
          <w:szCs w:val="20"/>
        </w:rPr>
        <w:t>at</w:t>
      </w:r>
      <w:r w:rsidRPr="007707CA">
        <w:rPr>
          <w:rFonts w:eastAsia="Times New Roman" w:cs="Times New Roman"/>
          <w:bCs/>
          <w:snapToGrid w:val="0"/>
          <w:color w:val="000000"/>
          <w:szCs w:val="20"/>
        </w:rPr>
        <w:t xml:space="preserve"> mails a survey questionnaire to the borrower(s) on each sampled mortgage</w:t>
      </w:r>
      <w:r w:rsidR="00CD5C19">
        <w:rPr>
          <w:rFonts w:eastAsia="Times New Roman" w:cs="Times New Roman"/>
          <w:bCs/>
          <w:snapToGrid w:val="0"/>
          <w:color w:val="000000"/>
          <w:szCs w:val="20"/>
        </w:rPr>
        <w:t xml:space="preserve"> loan</w:t>
      </w:r>
      <w:r w:rsidRPr="007707CA">
        <w:rPr>
          <w:rFonts w:eastAsia="Times New Roman" w:cs="Times New Roman"/>
          <w:bCs/>
          <w:snapToGrid w:val="0"/>
          <w:color w:val="000000"/>
          <w:szCs w:val="20"/>
        </w:rPr>
        <w:t xml:space="preserve"> at the property </w:t>
      </w:r>
      <w:r w:rsidR="007E0568">
        <w:rPr>
          <w:rFonts w:eastAsia="Times New Roman" w:cs="Times New Roman"/>
          <w:bCs/>
          <w:snapToGrid w:val="0"/>
          <w:color w:val="000000"/>
          <w:szCs w:val="20"/>
        </w:rPr>
        <w:t>address</w:t>
      </w:r>
      <w:r w:rsidRPr="007707CA">
        <w:rPr>
          <w:rFonts w:eastAsia="Times New Roman" w:cs="Times New Roman"/>
          <w:bCs/>
          <w:snapToGrid w:val="0"/>
          <w:color w:val="000000"/>
          <w:szCs w:val="20"/>
        </w:rPr>
        <w:t xml:space="preserve"> associated with that mortgage</w:t>
      </w:r>
      <w:r w:rsidR="0064590A">
        <w:rPr>
          <w:rFonts w:eastAsia="Times New Roman" w:cs="Times New Roman"/>
          <w:bCs/>
          <w:snapToGrid w:val="0"/>
          <w:color w:val="000000"/>
          <w:szCs w:val="20"/>
        </w:rPr>
        <w:t xml:space="preserve">.  </w:t>
      </w:r>
      <w:r w:rsidR="003858A6">
        <w:rPr>
          <w:rFonts w:eastAsia="Times New Roman" w:cs="Times New Roman"/>
          <w:bCs/>
          <w:snapToGrid w:val="0"/>
          <w:color w:val="000000"/>
          <w:szCs w:val="20"/>
        </w:rPr>
        <w:t>I</w:t>
      </w:r>
      <w:r w:rsidR="006D744F">
        <w:rPr>
          <w:rFonts w:eastAsia="Times New Roman" w:cs="Times New Roman"/>
          <w:bCs/>
          <w:snapToGrid w:val="0"/>
          <w:color w:val="000000"/>
          <w:szCs w:val="20"/>
        </w:rPr>
        <w:t>t</w:t>
      </w:r>
      <w:r w:rsidR="003858A6">
        <w:rPr>
          <w:rFonts w:eastAsia="Times New Roman" w:cs="Times New Roman"/>
          <w:bCs/>
          <w:snapToGrid w:val="0"/>
          <w:color w:val="000000"/>
          <w:szCs w:val="20"/>
        </w:rPr>
        <w:t xml:space="preserve"> then</w:t>
      </w:r>
      <w:r w:rsidRPr="006D744F" w:rsidR="006D744F">
        <w:rPr>
          <w:rFonts w:eastAsia="Times New Roman" w:cs="Times New Roman"/>
          <w:bCs/>
          <w:snapToGrid w:val="0"/>
          <w:color w:val="000000"/>
          <w:szCs w:val="20"/>
        </w:rPr>
        <w:t xml:space="preserve"> uses an encrypted key to track the surveys so that it can compile and maintain the survey opt-out list and identify non-responders to whom it must send follow-up correspondence.  </w:t>
      </w:r>
      <w:r w:rsidRPr="00FE5F37" w:rsidR="00FE5F37">
        <w:rPr>
          <w:rFonts w:eastAsia="Times New Roman" w:cs="Times New Roman"/>
          <w:bCs/>
          <w:snapToGrid w:val="0"/>
          <w:color w:val="000000"/>
          <w:szCs w:val="20"/>
        </w:rPr>
        <w:t xml:space="preserve">All returned questionnaires and any non-delivered mail are sent directly to Westat, not to FHFA, CFPB, or Experian.  </w:t>
      </w:r>
      <w:r w:rsidR="002C1F27">
        <w:rPr>
          <w:rFonts w:eastAsia="Times New Roman" w:cs="Times New Roman"/>
          <w:bCs/>
          <w:snapToGrid w:val="0"/>
          <w:color w:val="000000"/>
          <w:szCs w:val="20"/>
        </w:rPr>
        <w:t>T</w:t>
      </w:r>
      <w:r w:rsidRPr="002C1F27" w:rsidR="002C1F27">
        <w:rPr>
          <w:rFonts w:eastAsia="Times New Roman" w:cs="Times New Roman"/>
          <w:bCs/>
          <w:snapToGrid w:val="0"/>
          <w:color w:val="000000"/>
          <w:szCs w:val="20"/>
        </w:rPr>
        <w:t xml:space="preserve">o maintain the de-identified nature of the data and </w:t>
      </w:r>
      <w:r w:rsidR="002C1F27">
        <w:rPr>
          <w:rFonts w:eastAsia="Times New Roman" w:cs="Times New Roman"/>
          <w:bCs/>
          <w:snapToGrid w:val="0"/>
          <w:color w:val="000000"/>
          <w:szCs w:val="20"/>
        </w:rPr>
        <w:t xml:space="preserve">the </w:t>
      </w:r>
      <w:r w:rsidRPr="002C1F27" w:rsidR="002C1F27">
        <w:rPr>
          <w:rFonts w:eastAsia="Times New Roman" w:cs="Times New Roman"/>
          <w:bCs/>
          <w:snapToGrid w:val="0"/>
          <w:color w:val="000000"/>
          <w:szCs w:val="20"/>
        </w:rPr>
        <w:t xml:space="preserve">confidentiality of </w:t>
      </w:r>
      <w:r w:rsidR="002C1F27">
        <w:rPr>
          <w:rFonts w:eastAsia="Times New Roman" w:cs="Times New Roman"/>
          <w:bCs/>
          <w:snapToGrid w:val="0"/>
          <w:color w:val="000000"/>
          <w:szCs w:val="20"/>
        </w:rPr>
        <w:t>the survey responses,</w:t>
      </w:r>
      <w:r w:rsidR="00FE5F37">
        <w:rPr>
          <w:rFonts w:eastAsia="Times New Roman" w:cs="Times New Roman"/>
          <w:bCs/>
          <w:snapToGrid w:val="0"/>
          <w:color w:val="000000"/>
          <w:szCs w:val="20"/>
        </w:rPr>
        <w:t xml:space="preserve"> Westat purges</w:t>
      </w:r>
      <w:r w:rsidR="002C1F27">
        <w:rPr>
          <w:rFonts w:eastAsia="Times New Roman" w:cs="Times New Roman"/>
          <w:bCs/>
          <w:snapToGrid w:val="0"/>
          <w:color w:val="000000"/>
          <w:szCs w:val="20"/>
        </w:rPr>
        <w:t xml:space="preserve"> all</w:t>
      </w:r>
      <w:r w:rsidR="00FE5F37">
        <w:rPr>
          <w:rFonts w:eastAsia="Times New Roman" w:cs="Times New Roman"/>
          <w:bCs/>
          <w:snapToGrid w:val="0"/>
          <w:color w:val="000000"/>
          <w:szCs w:val="20"/>
        </w:rPr>
        <w:t xml:space="preserve"> responses</w:t>
      </w:r>
      <w:r w:rsidRPr="00C5115D">
        <w:rPr>
          <w:rFonts w:eastAsia="Times New Roman" w:cs="Times New Roman"/>
          <w:bCs/>
          <w:snapToGrid w:val="0"/>
          <w:color w:val="000000"/>
          <w:szCs w:val="20"/>
        </w:rPr>
        <w:t xml:space="preserve"> of any</w:t>
      </w:r>
      <w:r w:rsidR="002C1F27">
        <w:rPr>
          <w:rFonts w:eastAsia="Times New Roman" w:cs="Times New Roman"/>
          <w:bCs/>
          <w:snapToGrid w:val="0"/>
          <w:color w:val="000000"/>
          <w:szCs w:val="20"/>
        </w:rPr>
        <w:t xml:space="preserve"> identifying information </w:t>
      </w:r>
      <w:r w:rsidR="00157D8C">
        <w:rPr>
          <w:rFonts w:eastAsia="Times New Roman" w:cs="Times New Roman"/>
          <w:bCs/>
          <w:snapToGrid w:val="0"/>
          <w:color w:val="000000"/>
          <w:szCs w:val="20"/>
        </w:rPr>
        <w:t>before providing</w:t>
      </w:r>
      <w:r w:rsidR="00FE5F37">
        <w:rPr>
          <w:rFonts w:eastAsia="Times New Roman" w:cs="Times New Roman"/>
          <w:bCs/>
          <w:snapToGrid w:val="0"/>
          <w:color w:val="000000"/>
          <w:szCs w:val="20"/>
        </w:rPr>
        <w:t xml:space="preserve"> the collected information to FHFA’s National Mortgage Database </w:t>
      </w:r>
      <w:r w:rsidR="00BD570E">
        <w:rPr>
          <w:rFonts w:eastAsia="Times New Roman" w:cs="Times New Roman"/>
          <w:bCs/>
          <w:snapToGrid w:val="0"/>
          <w:color w:val="000000"/>
          <w:szCs w:val="20"/>
        </w:rPr>
        <w:t>Pro</w:t>
      </w:r>
      <w:r w:rsidR="00584FA8">
        <w:rPr>
          <w:rFonts w:eastAsia="Times New Roman" w:cs="Times New Roman"/>
          <w:bCs/>
          <w:snapToGrid w:val="0"/>
          <w:color w:val="000000"/>
          <w:szCs w:val="20"/>
        </w:rPr>
        <w:t>gram</w:t>
      </w:r>
      <w:r w:rsidR="00BD570E">
        <w:rPr>
          <w:rFonts w:eastAsia="Times New Roman" w:cs="Times New Roman"/>
          <w:bCs/>
          <w:snapToGrid w:val="0"/>
          <w:color w:val="000000"/>
          <w:szCs w:val="20"/>
        </w:rPr>
        <w:t xml:space="preserve"> </w:t>
      </w:r>
      <w:r w:rsidR="00FE5F37">
        <w:rPr>
          <w:rFonts w:eastAsia="Times New Roman" w:cs="Times New Roman"/>
          <w:bCs/>
          <w:snapToGrid w:val="0"/>
          <w:color w:val="000000"/>
          <w:szCs w:val="20"/>
        </w:rPr>
        <w:t>staff for further processing (which is described</w:t>
      </w:r>
      <w:r w:rsidR="003858A6">
        <w:rPr>
          <w:rFonts w:eastAsia="Times New Roman" w:cs="Times New Roman"/>
          <w:bCs/>
          <w:snapToGrid w:val="0"/>
          <w:color w:val="000000"/>
          <w:szCs w:val="20"/>
        </w:rPr>
        <w:t xml:space="preserve"> in P</w:t>
      </w:r>
      <w:r w:rsidR="00C811CA">
        <w:rPr>
          <w:rFonts w:eastAsia="Times New Roman" w:cs="Times New Roman"/>
          <w:bCs/>
          <w:snapToGrid w:val="0"/>
          <w:color w:val="000000"/>
          <w:szCs w:val="20"/>
        </w:rPr>
        <w:t>art B of this Supporting Statement)</w:t>
      </w:r>
      <w:r w:rsidRPr="00C5115D">
        <w:rPr>
          <w:rFonts w:eastAsia="Times New Roman" w:cs="Times New Roman"/>
          <w:bCs/>
          <w:snapToGrid w:val="0"/>
          <w:color w:val="000000"/>
          <w:szCs w:val="20"/>
        </w:rPr>
        <w:t xml:space="preserve">.  </w:t>
      </w:r>
    </w:p>
    <w:p w:rsidR="005E73BB" w:rsidP="000D3CCC" w14:paraId="116FE07E" w14:textId="77777777">
      <w:pPr>
        <w:autoSpaceDE w:val="0"/>
        <w:autoSpaceDN w:val="0"/>
        <w:adjustRightInd w:val="0"/>
        <w:spacing w:line="240" w:lineRule="auto"/>
        <w:rPr>
          <w:rFonts w:eastAsia="Times New Roman" w:cs="Times New Roman"/>
          <w:bCs/>
          <w:snapToGrid w:val="0"/>
          <w:color w:val="000000"/>
          <w:szCs w:val="20"/>
        </w:rPr>
      </w:pPr>
    </w:p>
    <w:p w:rsidR="00F67009" w:rsidP="000D3CCC" w14:paraId="0C0400CB" w14:textId="5F5B1176">
      <w:pPr>
        <w:autoSpaceDE w:val="0"/>
        <w:autoSpaceDN w:val="0"/>
        <w:adjustRightInd w:val="0"/>
        <w:spacing w:line="240" w:lineRule="auto"/>
        <w:rPr>
          <w:rFonts w:eastAsia="Times New Roman" w:cs="Times New Roman"/>
          <w:bCs/>
          <w:snapToGrid w:val="0"/>
          <w:color w:val="000000"/>
          <w:szCs w:val="20"/>
        </w:rPr>
      </w:pPr>
      <w:r>
        <w:rPr>
          <w:rFonts w:eastAsia="Times New Roman" w:cs="Times New Roman"/>
          <w:bCs/>
          <w:snapToGrid w:val="0"/>
          <w:color w:val="000000"/>
          <w:szCs w:val="20"/>
        </w:rPr>
        <w:t>Similarly, while Westat</w:t>
      </w:r>
      <w:r w:rsidRPr="00F67009">
        <w:rPr>
          <w:rFonts w:eastAsia="Times New Roman" w:cs="Times New Roman"/>
          <w:bCs/>
          <w:snapToGrid w:val="0"/>
          <w:color w:val="000000"/>
          <w:szCs w:val="20"/>
        </w:rPr>
        <w:t xml:space="preserve"> know</w:t>
      </w:r>
      <w:r>
        <w:rPr>
          <w:rFonts w:eastAsia="Times New Roman" w:cs="Times New Roman"/>
          <w:bCs/>
          <w:snapToGrid w:val="0"/>
          <w:color w:val="000000"/>
          <w:szCs w:val="20"/>
        </w:rPr>
        <w:t>s</w:t>
      </w:r>
      <w:r w:rsidRPr="00F67009">
        <w:rPr>
          <w:rFonts w:eastAsia="Times New Roman" w:cs="Times New Roman"/>
          <w:bCs/>
          <w:snapToGrid w:val="0"/>
          <w:color w:val="000000"/>
          <w:szCs w:val="20"/>
        </w:rPr>
        <w:t xml:space="preserve"> the identity of the cognitive </w:t>
      </w:r>
      <w:r w:rsidR="00203A79">
        <w:rPr>
          <w:rFonts w:eastAsia="Times New Roman" w:cs="Times New Roman"/>
          <w:bCs/>
          <w:snapToGrid w:val="0"/>
          <w:color w:val="000000"/>
          <w:szCs w:val="20"/>
        </w:rPr>
        <w:t>pre-</w:t>
      </w:r>
      <w:r w:rsidRPr="00F67009">
        <w:rPr>
          <w:rFonts w:eastAsia="Times New Roman" w:cs="Times New Roman"/>
          <w:bCs/>
          <w:snapToGrid w:val="0"/>
          <w:color w:val="000000"/>
          <w:szCs w:val="20"/>
        </w:rPr>
        <w:t>testing participan</w:t>
      </w:r>
      <w:r w:rsidR="003858A6">
        <w:rPr>
          <w:rFonts w:eastAsia="Times New Roman" w:cs="Times New Roman"/>
          <w:bCs/>
          <w:snapToGrid w:val="0"/>
          <w:color w:val="000000"/>
          <w:szCs w:val="20"/>
        </w:rPr>
        <w:t>ts, that information is not</w:t>
      </w:r>
      <w:r w:rsidRPr="00F67009">
        <w:rPr>
          <w:rFonts w:eastAsia="Times New Roman" w:cs="Times New Roman"/>
          <w:bCs/>
          <w:snapToGrid w:val="0"/>
          <w:color w:val="000000"/>
          <w:szCs w:val="20"/>
        </w:rPr>
        <w:t xml:space="preserve"> conveyed to FHFA and </w:t>
      </w:r>
      <w:r w:rsidR="003858A6">
        <w:rPr>
          <w:rFonts w:eastAsia="Times New Roman" w:cs="Times New Roman"/>
          <w:bCs/>
          <w:snapToGrid w:val="0"/>
          <w:color w:val="000000"/>
          <w:szCs w:val="20"/>
        </w:rPr>
        <w:t>is</w:t>
      </w:r>
      <w:r w:rsidR="00C073AF">
        <w:rPr>
          <w:rFonts w:eastAsia="Times New Roman" w:cs="Times New Roman"/>
          <w:bCs/>
          <w:snapToGrid w:val="0"/>
          <w:color w:val="000000"/>
          <w:szCs w:val="20"/>
        </w:rPr>
        <w:t xml:space="preserve"> not</w:t>
      </w:r>
      <w:r>
        <w:rPr>
          <w:rFonts w:eastAsia="Times New Roman" w:cs="Times New Roman"/>
          <w:bCs/>
          <w:snapToGrid w:val="0"/>
          <w:color w:val="000000"/>
          <w:szCs w:val="20"/>
        </w:rPr>
        <w:t xml:space="preserve"> included in the National Mortgage Database</w:t>
      </w:r>
      <w:r w:rsidRPr="00F67009">
        <w:rPr>
          <w:rFonts w:eastAsia="Times New Roman" w:cs="Times New Roman"/>
          <w:bCs/>
          <w:snapToGrid w:val="0"/>
          <w:color w:val="000000"/>
          <w:szCs w:val="20"/>
        </w:rPr>
        <w:t xml:space="preserve"> in any form.</w:t>
      </w:r>
    </w:p>
    <w:p w:rsidR="0039226F" w:rsidP="000D3CCC" w14:paraId="43B9C3CB" w14:textId="2AAAA1BC">
      <w:pPr>
        <w:autoSpaceDE w:val="0"/>
        <w:autoSpaceDN w:val="0"/>
        <w:adjustRightInd w:val="0"/>
        <w:spacing w:line="240" w:lineRule="auto"/>
        <w:rPr>
          <w:rFonts w:eastAsia="Times New Roman" w:cs="Times New Roman"/>
          <w:bCs/>
          <w:snapToGrid w:val="0"/>
          <w:color w:val="000000"/>
          <w:szCs w:val="20"/>
        </w:rPr>
      </w:pPr>
    </w:p>
    <w:p w:rsidR="00854B60" w:rsidRPr="00854B60" w:rsidP="000D3CCC" w14:paraId="109F1602"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11.  </w:t>
      </w:r>
      <w:r w:rsidRPr="007B5DD4" w:rsidR="00E82184">
        <w:rPr>
          <w:rFonts w:eastAsia="Times New Roman" w:cs="Times New Roman"/>
          <w:b/>
          <w:color w:val="000000"/>
          <w:szCs w:val="24"/>
        </w:rPr>
        <w:t>Questions of a sensitive nature</w:t>
      </w:r>
    </w:p>
    <w:p w:rsidR="00854B60" w:rsidRPr="00854B60" w:rsidP="000D3CCC" w14:paraId="421C0F49" w14:textId="77777777">
      <w:pPr>
        <w:spacing w:line="240" w:lineRule="auto"/>
        <w:rPr>
          <w:rFonts w:eastAsia="Times New Roman" w:cs="Times New Roman"/>
          <w:snapToGrid w:val="0"/>
          <w:color w:val="000000"/>
          <w:szCs w:val="20"/>
        </w:rPr>
      </w:pPr>
    </w:p>
    <w:p w:rsidR="00263459" w:rsidRPr="00A35638" w:rsidP="000D3CCC" w14:paraId="49834513" w14:textId="3CD4EB97">
      <w:pPr>
        <w:autoSpaceDE w:val="0"/>
        <w:autoSpaceDN w:val="0"/>
        <w:adjustRightInd w:val="0"/>
        <w:spacing w:line="240" w:lineRule="auto"/>
        <w:rPr>
          <w:rFonts w:eastAsia="Times New Roman" w:cs="Times New Roman"/>
          <w:snapToGrid w:val="0"/>
          <w:color w:val="000000"/>
          <w:szCs w:val="20"/>
        </w:rPr>
      </w:pPr>
      <w:r w:rsidRPr="00DA587C">
        <w:rPr>
          <w:rFonts w:eastAsia="Times New Roman" w:cs="Times New Roman"/>
          <w:snapToGrid w:val="0"/>
          <w:color w:val="000000"/>
          <w:szCs w:val="20"/>
        </w:rPr>
        <w:t>O</w:t>
      </w:r>
      <w:r w:rsidRPr="00DA587C" w:rsidR="00A35638">
        <w:rPr>
          <w:rFonts w:eastAsia="Times New Roman" w:cs="Times New Roman"/>
          <w:snapToGrid w:val="0"/>
          <w:color w:val="000000"/>
          <w:szCs w:val="20"/>
        </w:rPr>
        <w:t xml:space="preserve">f the </w:t>
      </w:r>
      <w:r w:rsidRPr="00DA587C" w:rsidR="007F6B20">
        <w:rPr>
          <w:color w:val="000000"/>
        </w:rPr>
        <w:t>9</w:t>
      </w:r>
      <w:r w:rsidR="00B529FF">
        <w:rPr>
          <w:color w:val="000000"/>
        </w:rPr>
        <w:t>6</w:t>
      </w:r>
      <w:r w:rsidRPr="00DA587C" w:rsidR="007F6B20">
        <w:rPr>
          <w:rFonts w:eastAsia="Times New Roman" w:cs="Times New Roman"/>
          <w:snapToGrid w:val="0"/>
          <w:color w:val="000000"/>
          <w:szCs w:val="20"/>
        </w:rPr>
        <w:t xml:space="preserve"> </w:t>
      </w:r>
      <w:r w:rsidRPr="00DA587C">
        <w:rPr>
          <w:rFonts w:eastAsia="Times New Roman" w:cs="Times New Roman"/>
          <w:snapToGrid w:val="0"/>
          <w:color w:val="000000"/>
          <w:szCs w:val="20"/>
        </w:rPr>
        <w:t>questions</w:t>
      </w:r>
      <w:r w:rsidRPr="00A35638">
        <w:rPr>
          <w:rFonts w:eastAsia="Times New Roman" w:cs="Times New Roman"/>
          <w:snapToGrid w:val="0"/>
          <w:color w:val="000000"/>
          <w:szCs w:val="20"/>
        </w:rPr>
        <w:t xml:space="preserve"> on the </w:t>
      </w:r>
      <w:r w:rsidRPr="00A35638" w:rsidR="00D33E74">
        <w:rPr>
          <w:rFonts w:eastAsia="Times New Roman" w:cs="Times New Roman"/>
          <w:snapToGrid w:val="0"/>
          <w:color w:val="000000"/>
          <w:szCs w:val="20"/>
        </w:rPr>
        <w:t>most recent iteration</w:t>
      </w:r>
      <w:r w:rsidRPr="00A35638" w:rsidR="00912D7A">
        <w:rPr>
          <w:rFonts w:eastAsia="Times New Roman" w:cs="Times New Roman"/>
          <w:snapToGrid w:val="0"/>
          <w:color w:val="000000"/>
          <w:szCs w:val="20"/>
        </w:rPr>
        <w:t xml:space="preserve"> of the</w:t>
      </w:r>
      <w:r w:rsidRPr="00A35638" w:rsidR="00D33E74">
        <w:rPr>
          <w:rFonts w:eastAsia="Times New Roman" w:cs="Times New Roman"/>
          <w:snapToGrid w:val="0"/>
          <w:color w:val="000000"/>
          <w:szCs w:val="20"/>
        </w:rPr>
        <w:t xml:space="preserve"> </w:t>
      </w:r>
      <w:r w:rsidRPr="00A35638">
        <w:rPr>
          <w:rFonts w:eastAsia="Times New Roman" w:cs="Times New Roman"/>
          <w:snapToGrid w:val="0"/>
          <w:color w:val="000000"/>
          <w:szCs w:val="20"/>
        </w:rPr>
        <w:t>survey</w:t>
      </w:r>
      <w:r w:rsidRPr="00A35638" w:rsidR="00D33E74">
        <w:rPr>
          <w:rFonts w:eastAsia="Times New Roman" w:cs="Times New Roman"/>
          <w:snapToGrid w:val="0"/>
          <w:color w:val="000000"/>
          <w:szCs w:val="20"/>
        </w:rPr>
        <w:t xml:space="preserve"> questionnaire, approximately</w:t>
      </w:r>
      <w:r w:rsidRPr="00A35638" w:rsidR="008F3917">
        <w:rPr>
          <w:rFonts w:eastAsia="Times New Roman" w:cs="Times New Roman"/>
          <w:snapToGrid w:val="0"/>
          <w:color w:val="000000"/>
          <w:szCs w:val="20"/>
        </w:rPr>
        <w:t xml:space="preserve"> 20-25</w:t>
      </w:r>
      <w:r w:rsidRPr="00A35638">
        <w:rPr>
          <w:rFonts w:eastAsia="Times New Roman" w:cs="Times New Roman"/>
          <w:snapToGrid w:val="0"/>
          <w:color w:val="000000"/>
          <w:szCs w:val="20"/>
        </w:rPr>
        <w:t xml:space="preserve"> might be considered to be of a sensitive nature by particular borrowers.  </w:t>
      </w:r>
      <w:r w:rsidRPr="00A35638" w:rsidR="008F3917">
        <w:rPr>
          <w:rFonts w:eastAsia="Times New Roman" w:cs="Times New Roman"/>
          <w:snapToGrid w:val="0"/>
          <w:color w:val="000000"/>
          <w:szCs w:val="20"/>
        </w:rPr>
        <w:t xml:space="preserve">Questions that FHFA has identified as potentially sensitive include those requesting information on loan terms, </w:t>
      </w:r>
      <w:r w:rsidRPr="00A35638" w:rsidR="008F3917">
        <w:rPr>
          <w:rFonts w:eastAsia="Times New Roman" w:cs="Times New Roman"/>
          <w:snapToGrid w:val="0"/>
          <w:color w:val="000000"/>
          <w:szCs w:val="20"/>
        </w:rPr>
        <w:t xml:space="preserve">purchase price, </w:t>
      </w:r>
      <w:r w:rsidRPr="00A35638" w:rsidR="004E7B47">
        <w:rPr>
          <w:rFonts w:eastAsia="Times New Roman" w:cs="Times New Roman"/>
          <w:snapToGrid w:val="0"/>
          <w:color w:val="000000"/>
          <w:szCs w:val="20"/>
        </w:rPr>
        <w:t>hous</w:t>
      </w:r>
      <w:r w:rsidRPr="00A35638" w:rsidR="008F3917">
        <w:rPr>
          <w:rFonts w:eastAsia="Times New Roman" w:cs="Times New Roman"/>
          <w:snapToGrid w:val="0"/>
          <w:color w:val="000000"/>
          <w:szCs w:val="20"/>
        </w:rPr>
        <w:t xml:space="preserve">ehold income and other sources of funds, </w:t>
      </w:r>
      <w:r w:rsidRPr="00A35638" w:rsidR="004E7B47">
        <w:rPr>
          <w:rFonts w:eastAsia="Times New Roman" w:cs="Times New Roman"/>
          <w:snapToGrid w:val="0"/>
          <w:color w:val="000000"/>
          <w:szCs w:val="20"/>
        </w:rPr>
        <w:t xml:space="preserve">employment status, level of education, age, </w:t>
      </w:r>
      <w:r w:rsidRPr="00A35638" w:rsidR="00912D7A">
        <w:rPr>
          <w:rFonts w:eastAsia="Times New Roman" w:cs="Times New Roman"/>
          <w:snapToGrid w:val="0"/>
          <w:color w:val="000000"/>
          <w:szCs w:val="20"/>
        </w:rPr>
        <w:t>sex, race,</w:t>
      </w:r>
      <w:r w:rsidRPr="00A35638" w:rsidR="008F3917">
        <w:rPr>
          <w:rFonts w:eastAsia="Times New Roman" w:cs="Times New Roman"/>
          <w:snapToGrid w:val="0"/>
          <w:color w:val="000000"/>
          <w:szCs w:val="20"/>
        </w:rPr>
        <w:t xml:space="preserve"> ethnicity</w:t>
      </w:r>
      <w:r w:rsidRPr="00A35638" w:rsidR="00912D7A">
        <w:rPr>
          <w:rFonts w:eastAsia="Times New Roman" w:cs="Times New Roman"/>
          <w:snapToGrid w:val="0"/>
          <w:color w:val="000000"/>
          <w:szCs w:val="20"/>
        </w:rPr>
        <w:t>, and marital status</w:t>
      </w:r>
      <w:r w:rsidRPr="00A35638" w:rsidR="008F3917">
        <w:rPr>
          <w:rFonts w:eastAsia="Times New Roman" w:cs="Times New Roman"/>
          <w:snapToGrid w:val="0"/>
          <w:color w:val="000000"/>
          <w:szCs w:val="20"/>
        </w:rPr>
        <w:t>.</w:t>
      </w:r>
      <w:r w:rsidRPr="00A35638">
        <w:rPr>
          <w:rFonts w:eastAsia="Times New Roman" w:cs="Times New Roman"/>
          <w:snapToGrid w:val="0"/>
          <w:color w:val="000000"/>
          <w:szCs w:val="20"/>
        </w:rPr>
        <w:t xml:space="preserve">  </w:t>
      </w:r>
    </w:p>
    <w:p w:rsidR="00263459" w:rsidRPr="00A35638" w:rsidP="000D3CCC" w14:paraId="4BFDD6C6" w14:textId="77777777">
      <w:pPr>
        <w:autoSpaceDE w:val="0"/>
        <w:autoSpaceDN w:val="0"/>
        <w:adjustRightInd w:val="0"/>
        <w:spacing w:line="240" w:lineRule="auto"/>
        <w:rPr>
          <w:rFonts w:eastAsia="Times New Roman" w:cs="Times New Roman"/>
          <w:snapToGrid w:val="0"/>
          <w:color w:val="000000"/>
          <w:szCs w:val="20"/>
        </w:rPr>
      </w:pPr>
    </w:p>
    <w:p w:rsidR="008F3917" w:rsidRPr="008F3917" w:rsidP="000D3CCC" w14:paraId="642540D8" w14:textId="093B6E56">
      <w:pPr>
        <w:autoSpaceDE w:val="0"/>
        <w:autoSpaceDN w:val="0"/>
        <w:adjustRightInd w:val="0"/>
        <w:spacing w:line="240" w:lineRule="auto"/>
        <w:rPr>
          <w:rFonts w:eastAsia="Times New Roman" w:cs="Times New Roman"/>
          <w:snapToGrid w:val="0"/>
          <w:color w:val="000000"/>
          <w:szCs w:val="20"/>
        </w:rPr>
      </w:pPr>
      <w:r w:rsidRPr="00A35638">
        <w:rPr>
          <w:rFonts w:eastAsia="Times New Roman" w:cs="Times New Roman"/>
          <w:snapToGrid w:val="0"/>
          <w:color w:val="000000"/>
          <w:szCs w:val="20"/>
        </w:rPr>
        <w:t xml:space="preserve">Each of those questions is designed to elicit information that </w:t>
      </w:r>
      <w:r w:rsidRPr="00A35638" w:rsidR="006A53FA">
        <w:rPr>
          <w:rFonts w:eastAsia="Times New Roman" w:cs="Times New Roman"/>
          <w:snapToGrid w:val="0"/>
          <w:color w:val="000000"/>
          <w:szCs w:val="20"/>
        </w:rPr>
        <w:t>FHFA is required by statute to collect or that is otherwise</w:t>
      </w:r>
      <w:r w:rsidRPr="00A35638">
        <w:rPr>
          <w:rFonts w:eastAsia="Times New Roman" w:cs="Times New Roman"/>
          <w:snapToGrid w:val="0"/>
          <w:color w:val="000000"/>
          <w:szCs w:val="20"/>
        </w:rPr>
        <w:t xml:space="preserve"> essential to fulfilling the purposes of the NSMO and the National Mortgage Database </w:t>
      </w:r>
      <w:r w:rsidR="00584FA8">
        <w:rPr>
          <w:rFonts w:eastAsia="Times New Roman" w:cs="Times New Roman"/>
          <w:snapToGrid w:val="0"/>
          <w:color w:val="000000"/>
          <w:szCs w:val="20"/>
        </w:rPr>
        <w:t>Program</w:t>
      </w:r>
      <w:r w:rsidRPr="00A35638">
        <w:rPr>
          <w:rFonts w:eastAsia="Times New Roman" w:cs="Times New Roman"/>
          <w:snapToGrid w:val="0"/>
          <w:color w:val="000000"/>
          <w:szCs w:val="20"/>
        </w:rPr>
        <w:t xml:space="preserve"> as a whole</w:t>
      </w:r>
      <w:r w:rsidRPr="00A35638" w:rsidR="004D1026">
        <w:rPr>
          <w:rFonts w:eastAsia="Times New Roman" w:cs="Times New Roman"/>
          <w:snapToGrid w:val="0"/>
          <w:color w:val="000000"/>
          <w:szCs w:val="20"/>
        </w:rPr>
        <w:t>.  W</w:t>
      </w:r>
      <w:r w:rsidRPr="00A35638" w:rsidR="00263459">
        <w:rPr>
          <w:rFonts w:eastAsia="Times New Roman" w:cs="Times New Roman"/>
          <w:snapToGrid w:val="0"/>
          <w:color w:val="000000"/>
          <w:szCs w:val="20"/>
        </w:rPr>
        <w:t>hile FHFA understands that some survey recipients will be reluctant</w:t>
      </w:r>
      <w:r w:rsidRPr="00A35638" w:rsidR="004D1026">
        <w:rPr>
          <w:rFonts w:eastAsia="Times New Roman" w:cs="Times New Roman"/>
          <w:snapToGrid w:val="0"/>
          <w:color w:val="000000"/>
          <w:szCs w:val="20"/>
        </w:rPr>
        <w:t xml:space="preserve"> to answer questions about these potentially</w:t>
      </w:r>
      <w:r w:rsidRPr="00A35638" w:rsidR="00263459">
        <w:rPr>
          <w:rFonts w:eastAsia="Times New Roman" w:cs="Times New Roman"/>
          <w:snapToGrid w:val="0"/>
          <w:color w:val="000000"/>
          <w:szCs w:val="20"/>
        </w:rPr>
        <w:t xml:space="preserve"> sensitive topics</w:t>
      </w:r>
      <w:r w:rsidRPr="00A35638" w:rsidR="004D1026">
        <w:rPr>
          <w:rFonts w:eastAsia="Times New Roman" w:cs="Times New Roman"/>
          <w:snapToGrid w:val="0"/>
          <w:color w:val="000000"/>
          <w:szCs w:val="20"/>
        </w:rPr>
        <w:t>, the A</w:t>
      </w:r>
      <w:r w:rsidRPr="00A35638" w:rsidR="00263459">
        <w:rPr>
          <w:rFonts w:eastAsia="Times New Roman" w:cs="Times New Roman"/>
          <w:snapToGrid w:val="0"/>
          <w:color w:val="000000"/>
          <w:szCs w:val="20"/>
        </w:rPr>
        <w:t>gency believes that others will look upon doing so as an opportunity to express themselves about issues of concern to the</w:t>
      </w:r>
      <w:r w:rsidRPr="00A35638" w:rsidR="004D1026">
        <w:rPr>
          <w:rFonts w:eastAsia="Times New Roman" w:cs="Times New Roman"/>
          <w:snapToGrid w:val="0"/>
          <w:color w:val="000000"/>
          <w:szCs w:val="20"/>
        </w:rPr>
        <w:t>m</w:t>
      </w:r>
      <w:r w:rsidRPr="00A35638" w:rsidR="00263459">
        <w:rPr>
          <w:rFonts w:eastAsia="Times New Roman" w:cs="Times New Roman"/>
          <w:snapToGrid w:val="0"/>
          <w:color w:val="000000"/>
          <w:szCs w:val="20"/>
        </w:rPr>
        <w:t>.</w:t>
      </w:r>
      <w:r w:rsidR="00615BF7">
        <w:rPr>
          <w:rFonts w:eastAsia="Times New Roman" w:cs="Times New Roman"/>
          <w:snapToGrid w:val="0"/>
          <w:color w:val="000000"/>
          <w:szCs w:val="20"/>
        </w:rPr>
        <w:t xml:space="preserve"> Survey respondents who are reluctant to answer any individual question are able to move to the next question without providing a response. </w:t>
      </w:r>
    </w:p>
    <w:p w:rsidR="00CD5744" w:rsidP="000D3CCC" w14:paraId="6BE13E67" w14:textId="73E99F65">
      <w:pPr>
        <w:autoSpaceDE w:val="0"/>
        <w:autoSpaceDN w:val="0"/>
        <w:adjustRightInd w:val="0"/>
        <w:spacing w:line="240" w:lineRule="auto"/>
        <w:rPr>
          <w:rFonts w:eastAsia="Times New Roman" w:cs="Times New Roman"/>
          <w:snapToGrid w:val="0"/>
          <w:color w:val="000000"/>
          <w:szCs w:val="20"/>
        </w:rPr>
      </w:pPr>
    </w:p>
    <w:p w:rsidR="00854B60" w:rsidRPr="00854B60" w:rsidP="000D3CCC" w14:paraId="166011D1"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12.  </w:t>
      </w:r>
      <w:r w:rsidRPr="007B5DD4" w:rsidR="00E82184">
        <w:rPr>
          <w:rFonts w:eastAsia="Times New Roman" w:cs="Times New Roman"/>
          <w:b/>
          <w:color w:val="000000"/>
          <w:szCs w:val="24"/>
        </w:rPr>
        <w:t>Estimates of the hour burden of the information collection</w:t>
      </w:r>
    </w:p>
    <w:p w:rsidR="00854B60" w:rsidRPr="00854B60" w:rsidP="000D3CCC" w14:paraId="7E983E89" w14:textId="77777777">
      <w:pPr>
        <w:spacing w:line="240" w:lineRule="auto"/>
        <w:rPr>
          <w:rFonts w:eastAsia="Times New Roman" w:cs="Times New Roman"/>
          <w:snapToGrid w:val="0"/>
          <w:color w:val="000000"/>
          <w:szCs w:val="20"/>
        </w:rPr>
      </w:pPr>
    </w:p>
    <w:p w:rsidR="006801E3" w:rsidP="000D3CCC" w14:paraId="31A41624" w14:textId="256AA0A3">
      <w:pPr>
        <w:spacing w:line="240" w:lineRule="auto"/>
        <w:rPr>
          <w:rFonts w:eastAsia="Times New Roman" w:cs="Times New Roman"/>
          <w:snapToGrid w:val="0"/>
          <w:color w:val="000000"/>
          <w:szCs w:val="20"/>
        </w:rPr>
      </w:pPr>
      <w:r>
        <w:rPr>
          <w:rFonts w:eastAsia="Times New Roman" w:cs="Times New Roman"/>
          <w:snapToGrid w:val="0"/>
          <w:color w:val="000000"/>
          <w:szCs w:val="20"/>
        </w:rPr>
        <w:t>This information collecti</w:t>
      </w:r>
      <w:r w:rsidR="000C48E9">
        <w:rPr>
          <w:rFonts w:eastAsia="Times New Roman" w:cs="Times New Roman"/>
          <w:snapToGrid w:val="0"/>
          <w:color w:val="000000"/>
          <w:szCs w:val="20"/>
        </w:rPr>
        <w:t>on comprises two components: (1</w:t>
      </w:r>
      <w:r>
        <w:rPr>
          <w:rFonts w:eastAsia="Times New Roman" w:cs="Times New Roman"/>
          <w:snapToGrid w:val="0"/>
          <w:color w:val="000000"/>
          <w:szCs w:val="20"/>
        </w:rPr>
        <w:t xml:space="preserve">) </w:t>
      </w:r>
      <w:r w:rsidR="001F61CF">
        <w:rPr>
          <w:rFonts w:eastAsia="Times New Roman" w:cs="Times New Roman"/>
          <w:snapToGrid w:val="0"/>
          <w:color w:val="000000"/>
          <w:szCs w:val="20"/>
        </w:rPr>
        <w:t xml:space="preserve">conducting </w:t>
      </w:r>
      <w:r w:rsidR="00260A7E">
        <w:rPr>
          <w:rFonts w:eastAsia="Times New Roman" w:cs="Times New Roman"/>
          <w:snapToGrid w:val="0"/>
          <w:color w:val="000000"/>
          <w:szCs w:val="20"/>
        </w:rPr>
        <w:t xml:space="preserve">the </w:t>
      </w:r>
      <w:r w:rsidRPr="008B3877">
        <w:rPr>
          <w:rFonts w:eastAsia="Times New Roman" w:cs="Times New Roman"/>
          <w:snapToGrid w:val="0"/>
          <w:color w:val="000000"/>
          <w:szCs w:val="20"/>
        </w:rPr>
        <w:t>surve</w:t>
      </w:r>
      <w:r>
        <w:rPr>
          <w:rFonts w:eastAsia="Times New Roman" w:cs="Times New Roman"/>
          <w:snapToGrid w:val="0"/>
          <w:color w:val="000000"/>
          <w:szCs w:val="20"/>
        </w:rPr>
        <w:t>y; and (</w:t>
      </w:r>
      <w:r w:rsidR="00767181">
        <w:rPr>
          <w:rFonts w:eastAsia="Times New Roman" w:cs="Times New Roman"/>
          <w:snapToGrid w:val="0"/>
          <w:color w:val="000000"/>
          <w:szCs w:val="20"/>
        </w:rPr>
        <w:t>2</w:t>
      </w:r>
      <w:r>
        <w:rPr>
          <w:rFonts w:eastAsia="Times New Roman" w:cs="Times New Roman"/>
          <w:snapToGrid w:val="0"/>
          <w:color w:val="000000"/>
          <w:szCs w:val="20"/>
        </w:rPr>
        <w:t>)</w:t>
      </w:r>
      <w:r w:rsidRPr="008B3877">
        <w:rPr>
          <w:rFonts w:eastAsia="Times New Roman" w:cs="Times New Roman"/>
          <w:snapToGrid w:val="0"/>
          <w:color w:val="000000"/>
          <w:szCs w:val="20"/>
        </w:rPr>
        <w:t xml:space="preserve"> </w:t>
      </w:r>
      <w:r w:rsidR="001F61CF">
        <w:rPr>
          <w:rFonts w:eastAsia="Times New Roman" w:cs="Times New Roman"/>
          <w:snapToGrid w:val="0"/>
          <w:color w:val="000000"/>
          <w:szCs w:val="20"/>
        </w:rPr>
        <w:t xml:space="preserve">pre-testing </w:t>
      </w:r>
      <w:r w:rsidRPr="00B576FA">
        <w:rPr>
          <w:rFonts w:eastAsia="Times New Roman" w:cs="Times New Roman"/>
          <w:snapToGrid w:val="0"/>
          <w:color w:val="000000"/>
          <w:szCs w:val="20"/>
        </w:rPr>
        <w:t>survey que</w:t>
      </w:r>
      <w:r>
        <w:rPr>
          <w:rFonts w:eastAsia="Times New Roman" w:cs="Times New Roman"/>
          <w:snapToGrid w:val="0"/>
          <w:color w:val="000000"/>
          <w:szCs w:val="20"/>
        </w:rPr>
        <w:t>stionnaire</w:t>
      </w:r>
      <w:r w:rsidR="00675ECE">
        <w:rPr>
          <w:rFonts w:eastAsia="Times New Roman" w:cs="Times New Roman"/>
          <w:snapToGrid w:val="0"/>
          <w:color w:val="000000"/>
          <w:szCs w:val="20"/>
        </w:rPr>
        <w:t>s</w:t>
      </w:r>
      <w:r>
        <w:rPr>
          <w:rFonts w:eastAsia="Times New Roman" w:cs="Times New Roman"/>
          <w:snapToGrid w:val="0"/>
          <w:color w:val="000000"/>
          <w:szCs w:val="20"/>
        </w:rPr>
        <w:t xml:space="preserve"> and related materials</w:t>
      </w:r>
      <w:r w:rsidRPr="00B576FA">
        <w:rPr>
          <w:rFonts w:eastAsia="Times New Roman" w:cs="Times New Roman"/>
          <w:snapToGrid w:val="0"/>
          <w:color w:val="000000"/>
          <w:szCs w:val="20"/>
        </w:rPr>
        <w:t xml:space="preserve"> through the use of </w:t>
      </w:r>
      <w:r>
        <w:rPr>
          <w:rFonts w:eastAsia="Times New Roman" w:cs="Times New Roman"/>
          <w:snapToGrid w:val="0"/>
          <w:color w:val="000000"/>
          <w:szCs w:val="20"/>
        </w:rPr>
        <w:t>cognitive testing.  FHFA estimates that the</w:t>
      </w:r>
      <w:r w:rsidRPr="00733F55">
        <w:rPr>
          <w:rFonts w:eastAsia="Times New Roman" w:cs="Times New Roman"/>
          <w:snapToGrid w:val="0"/>
          <w:color w:val="000000"/>
          <w:szCs w:val="20"/>
        </w:rPr>
        <w:t xml:space="preserve"> total annualized hour burden imposed upon</w:t>
      </w:r>
      <w:r w:rsidR="001F61CF">
        <w:rPr>
          <w:rFonts w:eastAsia="Times New Roman" w:cs="Times New Roman"/>
          <w:snapToGrid w:val="0"/>
          <w:color w:val="000000"/>
          <w:szCs w:val="20"/>
        </w:rPr>
        <w:t xml:space="preserve"> members of the public by this information collection w</w:t>
      </w:r>
      <w:r w:rsidR="00F46559">
        <w:rPr>
          <w:rFonts w:eastAsia="Times New Roman" w:cs="Times New Roman"/>
          <w:snapToGrid w:val="0"/>
          <w:color w:val="000000"/>
          <w:szCs w:val="20"/>
        </w:rPr>
        <w:t>ill be 1</w:t>
      </w:r>
      <w:r w:rsidR="001C20A0">
        <w:rPr>
          <w:rFonts w:eastAsia="Times New Roman" w:cs="Times New Roman"/>
          <w:snapToGrid w:val="0"/>
          <w:color w:val="000000"/>
          <w:szCs w:val="20"/>
        </w:rPr>
        <w:t>0,130</w:t>
      </w:r>
      <w:r w:rsidR="00F46559">
        <w:rPr>
          <w:rFonts w:eastAsia="Times New Roman" w:cs="Times New Roman"/>
          <w:snapToGrid w:val="0"/>
          <w:color w:val="000000"/>
          <w:szCs w:val="20"/>
        </w:rPr>
        <w:t xml:space="preserve"> hours:</w:t>
      </w:r>
      <w:r w:rsidR="001F61CF">
        <w:rPr>
          <w:rFonts w:eastAsia="Times New Roman" w:cs="Times New Roman"/>
          <w:snapToGrid w:val="0"/>
          <w:color w:val="000000"/>
          <w:szCs w:val="20"/>
        </w:rPr>
        <w:t xml:space="preserve"> 1</w:t>
      </w:r>
      <w:r w:rsidR="001C20A0">
        <w:rPr>
          <w:rFonts w:eastAsia="Times New Roman" w:cs="Times New Roman"/>
          <w:snapToGrid w:val="0"/>
          <w:color w:val="000000"/>
          <w:szCs w:val="20"/>
        </w:rPr>
        <w:t>0,080</w:t>
      </w:r>
      <w:r w:rsidR="001F61CF">
        <w:rPr>
          <w:rFonts w:eastAsia="Times New Roman" w:cs="Times New Roman"/>
          <w:snapToGrid w:val="0"/>
          <w:color w:val="000000"/>
          <w:szCs w:val="20"/>
        </w:rPr>
        <w:t xml:space="preserve"> hours</w:t>
      </w:r>
      <w:r w:rsidRPr="00733F55">
        <w:rPr>
          <w:rFonts w:eastAsia="Times New Roman" w:cs="Times New Roman"/>
          <w:snapToGrid w:val="0"/>
          <w:color w:val="000000"/>
          <w:szCs w:val="20"/>
        </w:rPr>
        <w:t xml:space="preserve"> </w:t>
      </w:r>
      <w:r w:rsidR="00F46559">
        <w:rPr>
          <w:rFonts w:eastAsia="Times New Roman" w:cs="Times New Roman"/>
          <w:snapToGrid w:val="0"/>
          <w:color w:val="000000"/>
          <w:szCs w:val="20"/>
        </w:rPr>
        <w:t xml:space="preserve">associated with conducting the survey and </w:t>
      </w:r>
      <w:r w:rsidR="001C20A0">
        <w:rPr>
          <w:rFonts w:eastAsia="Times New Roman" w:cs="Times New Roman"/>
          <w:snapToGrid w:val="0"/>
          <w:color w:val="000000"/>
          <w:szCs w:val="20"/>
        </w:rPr>
        <w:t>5</w:t>
      </w:r>
      <w:r w:rsidR="00F46559">
        <w:rPr>
          <w:rFonts w:eastAsia="Times New Roman" w:cs="Times New Roman"/>
          <w:snapToGrid w:val="0"/>
          <w:color w:val="000000"/>
          <w:szCs w:val="20"/>
        </w:rPr>
        <w:t>0 hours associated with pre-testing the survey</w:t>
      </w:r>
      <w:r w:rsidR="00370CBE">
        <w:rPr>
          <w:rFonts w:eastAsia="Times New Roman" w:cs="Times New Roman"/>
          <w:snapToGrid w:val="0"/>
          <w:color w:val="000000"/>
          <w:szCs w:val="20"/>
        </w:rPr>
        <w:t xml:space="preserve"> materials</w:t>
      </w:r>
      <w:r w:rsidRPr="00733F55">
        <w:rPr>
          <w:rFonts w:eastAsia="Times New Roman" w:cs="Times New Roman"/>
          <w:snapToGrid w:val="0"/>
          <w:color w:val="000000"/>
          <w:szCs w:val="20"/>
        </w:rPr>
        <w:t>.</w:t>
      </w:r>
      <w:r w:rsidR="00EA2E55">
        <w:rPr>
          <w:rFonts w:eastAsia="Times New Roman" w:cs="Times New Roman"/>
          <w:snapToGrid w:val="0"/>
          <w:color w:val="000000"/>
          <w:szCs w:val="20"/>
        </w:rPr>
        <w:t xml:space="preserve">  Because the survey recipients and cognitive testing partic</w:t>
      </w:r>
      <w:r w:rsidR="00BD33BB">
        <w:rPr>
          <w:rFonts w:eastAsia="Times New Roman" w:cs="Times New Roman"/>
          <w:snapToGrid w:val="0"/>
          <w:color w:val="000000"/>
          <w:szCs w:val="20"/>
        </w:rPr>
        <w:t>ipants are in</w:t>
      </w:r>
      <w:r w:rsidR="00EA2E55">
        <w:rPr>
          <w:rFonts w:eastAsia="Times New Roman" w:cs="Times New Roman"/>
          <w:snapToGrid w:val="0"/>
          <w:color w:val="000000"/>
          <w:szCs w:val="20"/>
        </w:rPr>
        <w:t>d</w:t>
      </w:r>
      <w:r w:rsidR="00BD33BB">
        <w:rPr>
          <w:rFonts w:eastAsia="Times New Roman" w:cs="Times New Roman"/>
          <w:snapToGrid w:val="0"/>
          <w:color w:val="000000"/>
          <w:szCs w:val="20"/>
        </w:rPr>
        <w:t>i</w:t>
      </w:r>
      <w:r w:rsidR="00EA2E55">
        <w:rPr>
          <w:rFonts w:eastAsia="Times New Roman" w:cs="Times New Roman"/>
          <w:snapToGrid w:val="0"/>
          <w:color w:val="000000"/>
          <w:szCs w:val="20"/>
        </w:rPr>
        <w:t>viduals only, there are no</w:t>
      </w:r>
      <w:r w:rsidR="00BD33BB">
        <w:rPr>
          <w:rFonts w:eastAsia="Times New Roman" w:cs="Times New Roman"/>
          <w:snapToGrid w:val="0"/>
          <w:color w:val="000000"/>
          <w:szCs w:val="20"/>
        </w:rPr>
        <w:t xml:space="preserve"> hourly costs associated with the burden estimates.</w:t>
      </w:r>
      <w:r w:rsidRPr="00733F55">
        <w:rPr>
          <w:rFonts w:eastAsia="Times New Roman" w:cs="Times New Roman"/>
          <w:snapToGrid w:val="0"/>
          <w:color w:val="000000"/>
          <w:szCs w:val="20"/>
        </w:rPr>
        <w:t xml:space="preserve">  The </w:t>
      </w:r>
      <w:r w:rsidR="00BD33BB">
        <w:rPr>
          <w:rFonts w:eastAsia="Times New Roman" w:cs="Times New Roman"/>
          <w:snapToGrid w:val="0"/>
          <w:color w:val="000000"/>
          <w:szCs w:val="20"/>
        </w:rPr>
        <w:t xml:space="preserve">overall burden </w:t>
      </w:r>
      <w:r w:rsidRPr="00733F55">
        <w:rPr>
          <w:rFonts w:eastAsia="Times New Roman" w:cs="Times New Roman"/>
          <w:snapToGrid w:val="0"/>
          <w:color w:val="000000"/>
          <w:szCs w:val="20"/>
        </w:rPr>
        <w:t>estimates are based on the following calculations:</w:t>
      </w:r>
    </w:p>
    <w:p w:rsidR="006801E3" w:rsidRPr="00706D82" w:rsidP="000D3CCC" w14:paraId="7EF22D07" w14:textId="77777777">
      <w:pPr>
        <w:spacing w:line="240" w:lineRule="auto"/>
        <w:rPr>
          <w:rFonts w:eastAsia="Times New Roman" w:cs="Times New Roman"/>
          <w:snapToGrid w:val="0"/>
          <w:color w:val="000000"/>
          <w:szCs w:val="20"/>
        </w:rPr>
      </w:pPr>
    </w:p>
    <w:p w:rsidR="006801E3" w:rsidRPr="0077019E" w:rsidP="000D3CCC" w14:paraId="2BB67076" w14:textId="77777777">
      <w:pPr>
        <w:pStyle w:val="ListParagraph"/>
        <w:numPr>
          <w:ilvl w:val="0"/>
          <w:numId w:val="4"/>
        </w:numPr>
        <w:spacing w:line="240" w:lineRule="auto"/>
        <w:ind w:left="720" w:hanging="360"/>
        <w:rPr>
          <w:rFonts w:eastAsia="Times New Roman" w:cs="Times New Roman"/>
          <w:i/>
          <w:snapToGrid w:val="0"/>
          <w:color w:val="000000"/>
          <w:szCs w:val="20"/>
        </w:rPr>
      </w:pPr>
      <w:r w:rsidRPr="0077019E">
        <w:rPr>
          <w:rFonts w:eastAsia="Times New Roman" w:cs="Times New Roman"/>
          <w:i/>
          <w:snapToGrid w:val="0"/>
          <w:color w:val="000000"/>
          <w:szCs w:val="20"/>
        </w:rPr>
        <w:t>Conducting the Survey</w:t>
      </w:r>
    </w:p>
    <w:p w:rsidR="006801E3" w:rsidP="000D3CCC" w14:paraId="11052FB8" w14:textId="77777777">
      <w:pPr>
        <w:spacing w:line="240" w:lineRule="auto"/>
        <w:rPr>
          <w:rFonts w:eastAsia="Times New Roman" w:cs="Times New Roman"/>
          <w:snapToGrid w:val="0"/>
          <w:color w:val="000000"/>
          <w:szCs w:val="20"/>
        </w:rPr>
      </w:pPr>
    </w:p>
    <w:p w:rsidR="006801E3" w:rsidRPr="004A65BB" w:rsidP="000D3CCC" w14:paraId="0F0458F3" w14:textId="25F5C2FB">
      <w:pPr>
        <w:spacing w:line="240" w:lineRule="auto"/>
        <w:rPr>
          <w:rFonts w:eastAsia="Times New Roman" w:cs="Times New Roman"/>
          <w:snapToGrid w:val="0"/>
          <w:color w:val="000000"/>
          <w:szCs w:val="20"/>
        </w:rPr>
      </w:pPr>
      <w:r w:rsidRPr="00D56990">
        <w:rPr>
          <w:rFonts w:eastAsia="Times New Roman" w:cs="Times New Roman"/>
          <w:snapToGrid w:val="0"/>
          <w:color w:val="000000"/>
          <w:szCs w:val="20"/>
        </w:rPr>
        <w:t xml:space="preserve">The estimated annualized hour burden associated with </w:t>
      </w:r>
      <w:r w:rsidR="00516732">
        <w:rPr>
          <w:rFonts w:eastAsia="Times New Roman" w:cs="Times New Roman"/>
          <w:snapToGrid w:val="0"/>
          <w:color w:val="000000"/>
          <w:szCs w:val="20"/>
        </w:rPr>
        <w:t>conducting the NSMO</w:t>
      </w:r>
      <w:r w:rsidRPr="00D56990">
        <w:rPr>
          <w:rFonts w:eastAsia="Times New Roman" w:cs="Times New Roman"/>
          <w:snapToGrid w:val="0"/>
          <w:color w:val="000000"/>
          <w:szCs w:val="20"/>
        </w:rPr>
        <w:t xml:space="preserve"> is </w:t>
      </w:r>
      <w:r w:rsidR="001C20A0">
        <w:rPr>
          <w:rFonts w:eastAsia="Times New Roman" w:cs="Times New Roman"/>
          <w:snapToGrid w:val="0"/>
          <w:color w:val="000000"/>
          <w:szCs w:val="20"/>
        </w:rPr>
        <w:t>10,080</w:t>
      </w:r>
      <w:r w:rsidRPr="00D56990">
        <w:rPr>
          <w:rFonts w:eastAsia="Times New Roman" w:cs="Times New Roman"/>
          <w:snapToGrid w:val="0"/>
          <w:color w:val="000000"/>
          <w:szCs w:val="20"/>
        </w:rPr>
        <w:t xml:space="preserve"> hours.  </w:t>
      </w:r>
      <w:r>
        <w:rPr>
          <w:rFonts w:eastAsia="Times New Roman" w:cs="Times New Roman"/>
          <w:snapToGrid w:val="0"/>
          <w:color w:val="000000"/>
          <w:szCs w:val="20"/>
        </w:rPr>
        <w:t xml:space="preserve">The </w:t>
      </w:r>
      <w:r w:rsidR="00516732">
        <w:rPr>
          <w:rFonts w:eastAsia="Times New Roman" w:cs="Times New Roman"/>
          <w:snapToGrid w:val="0"/>
          <w:color w:val="000000"/>
          <w:szCs w:val="20"/>
        </w:rPr>
        <w:t>NSMO</w:t>
      </w:r>
      <w:r>
        <w:rPr>
          <w:rFonts w:eastAsia="Times New Roman" w:cs="Times New Roman"/>
          <w:snapToGrid w:val="0"/>
          <w:color w:val="000000"/>
          <w:szCs w:val="20"/>
        </w:rPr>
        <w:t xml:space="preserve"> questionnaire will be sent t</w:t>
      </w:r>
      <w:r w:rsidR="00516732">
        <w:rPr>
          <w:rFonts w:eastAsia="Times New Roman" w:cs="Times New Roman"/>
          <w:snapToGrid w:val="0"/>
          <w:color w:val="000000"/>
          <w:szCs w:val="20"/>
        </w:rPr>
        <w:t>o 6</w:t>
      </w:r>
      <w:r>
        <w:rPr>
          <w:rFonts w:eastAsia="Times New Roman" w:cs="Times New Roman"/>
          <w:snapToGrid w:val="0"/>
          <w:color w:val="000000"/>
          <w:szCs w:val="20"/>
        </w:rPr>
        <w:t>,000</w:t>
      </w:r>
      <w:r w:rsidR="00516732">
        <w:rPr>
          <w:rFonts w:eastAsia="Times New Roman" w:cs="Times New Roman"/>
          <w:snapToGrid w:val="0"/>
          <w:color w:val="000000"/>
          <w:szCs w:val="20"/>
        </w:rPr>
        <w:t xml:space="preserve"> recipients quarterly</w:t>
      </w:r>
      <w:r>
        <w:rPr>
          <w:rFonts w:eastAsia="Times New Roman" w:cs="Times New Roman"/>
          <w:snapToGrid w:val="0"/>
          <w:color w:val="000000"/>
          <w:szCs w:val="20"/>
        </w:rPr>
        <w:t xml:space="preserve">.  </w:t>
      </w:r>
      <w:r w:rsidRPr="00516732" w:rsidR="00516732">
        <w:rPr>
          <w:rFonts w:eastAsia="Times New Roman" w:cs="Times New Roman"/>
          <w:snapToGrid w:val="0"/>
          <w:color w:val="000000"/>
          <w:szCs w:val="20"/>
        </w:rPr>
        <w:t xml:space="preserve">Although, based on historical experience, the </w:t>
      </w:r>
      <w:r w:rsidR="0039226F">
        <w:rPr>
          <w:rFonts w:eastAsia="Times New Roman" w:cs="Times New Roman"/>
          <w:snapToGrid w:val="0"/>
          <w:color w:val="000000"/>
          <w:szCs w:val="20"/>
        </w:rPr>
        <w:t>Agency expects that only 20 to 30</w:t>
      </w:r>
      <w:r w:rsidRPr="0039226F" w:rsidR="00516732">
        <w:rPr>
          <w:rFonts w:eastAsia="Times New Roman" w:cs="Times New Roman"/>
          <w:snapToGrid w:val="0"/>
          <w:color w:val="000000"/>
          <w:szCs w:val="20"/>
        </w:rPr>
        <w:t xml:space="preserve"> percent of those surveys will be returned, it</w:t>
      </w:r>
      <w:r w:rsidRPr="00516732" w:rsidR="00516732">
        <w:rPr>
          <w:rFonts w:eastAsia="Times New Roman" w:cs="Times New Roman"/>
          <w:snapToGrid w:val="0"/>
          <w:color w:val="000000"/>
          <w:szCs w:val="20"/>
        </w:rPr>
        <w:t xml:space="preserve"> has assumed that all of the surveys will be returned for purpos</w:t>
      </w:r>
      <w:r w:rsidR="00516732">
        <w:rPr>
          <w:rFonts w:eastAsia="Times New Roman" w:cs="Times New Roman"/>
          <w:snapToGrid w:val="0"/>
          <w:color w:val="000000"/>
          <w:szCs w:val="20"/>
        </w:rPr>
        <w:t>es of this burden calculation</w:t>
      </w:r>
      <w:r>
        <w:rPr>
          <w:rFonts w:eastAsia="Times New Roman" w:cs="Times New Roman"/>
          <w:snapToGrid w:val="0"/>
          <w:color w:val="000000"/>
          <w:szCs w:val="20"/>
        </w:rPr>
        <w:t xml:space="preserve">.  </w:t>
      </w:r>
      <w:r w:rsidRPr="00186153" w:rsidR="00186153">
        <w:rPr>
          <w:rFonts w:eastAsia="Times New Roman" w:cs="Times New Roman"/>
          <w:snapToGrid w:val="0"/>
          <w:color w:val="000000"/>
          <w:szCs w:val="20"/>
        </w:rPr>
        <w:t xml:space="preserve">Based on the reported experience of respondents to prior NSMO questionnaires, FHFA estimates that it will take each respondent </w:t>
      </w:r>
      <w:r w:rsidR="00C4557F">
        <w:rPr>
          <w:rFonts w:eastAsia="Times New Roman" w:cs="Times New Roman"/>
          <w:snapToGrid w:val="0"/>
          <w:color w:val="000000"/>
          <w:szCs w:val="20"/>
        </w:rPr>
        <w:t>25</w:t>
      </w:r>
      <w:r w:rsidRPr="00186153" w:rsidR="00186153">
        <w:rPr>
          <w:rFonts w:eastAsia="Times New Roman" w:cs="Times New Roman"/>
          <w:snapToGrid w:val="0"/>
          <w:color w:val="000000"/>
          <w:szCs w:val="20"/>
        </w:rPr>
        <w:t xml:space="preserve"> minutes to complete the survey, including the gathering of necessary material</w:t>
      </w:r>
      <w:r w:rsidR="00186153">
        <w:rPr>
          <w:rFonts w:eastAsia="Times New Roman" w:cs="Times New Roman"/>
          <w:snapToGrid w:val="0"/>
          <w:color w:val="000000"/>
          <w:szCs w:val="20"/>
        </w:rPr>
        <w:t>s to respond to the questions.</w:t>
      </w:r>
    </w:p>
    <w:p w:rsidR="006801E3" w:rsidP="000D3CCC" w14:paraId="34D5111C" w14:textId="77777777">
      <w:pPr>
        <w:spacing w:line="240" w:lineRule="auto"/>
        <w:rPr>
          <w:rFonts w:eastAsia="Times New Roman" w:cs="Times New Roman"/>
          <w:snapToGrid w:val="0"/>
          <w:color w:val="000000"/>
          <w:szCs w:val="20"/>
        </w:rPr>
      </w:pPr>
    </w:p>
    <w:p w:rsidR="006801E3" w:rsidP="000D3CCC" w14:paraId="6CFE26CD" w14:textId="77777777">
      <w:pPr>
        <w:spacing w:line="240" w:lineRule="auto"/>
        <w:ind w:left="360"/>
        <w:rPr>
          <w:rFonts w:eastAsia="Times New Roman" w:cs="Times New Roman"/>
          <w:snapToGrid w:val="0"/>
          <w:color w:val="000000"/>
          <w:szCs w:val="20"/>
        </w:rPr>
      </w:pPr>
      <w:r>
        <w:rPr>
          <w:rFonts w:eastAsia="Times New Roman" w:cs="Times New Roman"/>
          <w:snapToGrid w:val="0"/>
          <w:color w:val="000000"/>
          <w:szCs w:val="20"/>
        </w:rPr>
        <w:t>Recipients read and complete survey questionnaire and return the completed form to the survey subcontractor:</w:t>
      </w:r>
    </w:p>
    <w:p w:rsidR="006801E3" w:rsidP="000D3CCC" w14:paraId="6D23792F" w14:textId="77777777">
      <w:pPr>
        <w:spacing w:line="240" w:lineRule="auto"/>
        <w:rPr>
          <w:rFonts w:eastAsia="Times New Roman" w:cs="Times New Roman"/>
          <w:snapToGrid w:val="0"/>
          <w:color w:val="000000"/>
          <w:szCs w:val="20"/>
        </w:rPr>
      </w:pPr>
    </w:p>
    <w:p w:rsidR="006801E3" w:rsidP="000D3CCC" w14:paraId="04ED03E1" w14:textId="4F5ECD1B">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Completion time per recipient:</w:t>
      </w:r>
      <w:r>
        <w:rPr>
          <w:rFonts w:eastAsia="Times New Roman" w:cs="Times New Roman"/>
          <w:snapToGrid w:val="0"/>
          <w:color w:val="000000"/>
          <w:szCs w:val="20"/>
        </w:rPr>
        <w:tab/>
      </w:r>
      <w:r w:rsidR="00C4557F">
        <w:rPr>
          <w:rFonts w:eastAsia="Times New Roman" w:cs="Times New Roman"/>
          <w:snapToGrid w:val="0"/>
          <w:color w:val="000000"/>
          <w:szCs w:val="20"/>
        </w:rPr>
        <w:t xml:space="preserve">.42 </w:t>
      </w:r>
      <w:r w:rsidR="00A42775">
        <w:rPr>
          <w:rFonts w:eastAsia="Times New Roman" w:cs="Times New Roman"/>
          <w:snapToGrid w:val="0"/>
          <w:color w:val="000000"/>
          <w:szCs w:val="20"/>
        </w:rPr>
        <w:t>hours</w:t>
      </w:r>
    </w:p>
    <w:p w:rsidR="006801E3" w:rsidP="000D3CCC" w14:paraId="13BA6F56" w14:textId="77777777">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 xml:space="preserve">Survey mail-outs annually:  </w:t>
      </w:r>
      <w:r>
        <w:rPr>
          <w:rFonts w:eastAsia="Times New Roman" w:cs="Times New Roman"/>
          <w:snapToGrid w:val="0"/>
          <w:color w:val="000000"/>
          <w:szCs w:val="20"/>
        </w:rPr>
        <w:tab/>
      </w:r>
      <w:r w:rsidR="00186153">
        <w:rPr>
          <w:rFonts w:eastAsia="Times New Roman" w:cs="Times New Roman"/>
          <w:snapToGrid w:val="0"/>
          <w:color w:val="000000"/>
          <w:szCs w:val="20"/>
        </w:rPr>
        <w:t>4</w:t>
      </w:r>
    </w:p>
    <w:p w:rsidR="006801E3" w:rsidP="000D3CCC" w14:paraId="724DEA3D" w14:textId="77777777">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 xml:space="preserve">Recipients per survey:  </w:t>
      </w:r>
      <w:r>
        <w:rPr>
          <w:rFonts w:eastAsia="Times New Roman" w:cs="Times New Roman"/>
          <w:snapToGrid w:val="0"/>
          <w:color w:val="000000"/>
          <w:szCs w:val="20"/>
        </w:rPr>
        <w:tab/>
      </w:r>
      <w:r>
        <w:rPr>
          <w:rFonts w:eastAsia="Times New Roman" w:cs="Times New Roman"/>
          <w:snapToGrid w:val="0"/>
          <w:color w:val="000000"/>
          <w:szCs w:val="20"/>
        </w:rPr>
        <w:tab/>
      </w:r>
      <w:r w:rsidR="00186153">
        <w:rPr>
          <w:rFonts w:eastAsia="Times New Roman" w:cs="Times New Roman"/>
          <w:snapToGrid w:val="0"/>
          <w:color w:val="000000"/>
          <w:szCs w:val="20"/>
        </w:rPr>
        <w:t>6</w:t>
      </w:r>
      <w:r>
        <w:rPr>
          <w:rFonts w:eastAsia="Times New Roman" w:cs="Times New Roman"/>
          <w:snapToGrid w:val="0"/>
          <w:color w:val="000000"/>
          <w:szCs w:val="20"/>
        </w:rPr>
        <w:t>,000</w:t>
      </w:r>
    </w:p>
    <w:p w:rsidR="006801E3" w:rsidP="000D3CCC" w14:paraId="3220289D" w14:textId="77777777">
      <w:pPr>
        <w:pStyle w:val="ListParagraph"/>
        <w:numPr>
          <w:ilvl w:val="0"/>
          <w:numId w:val="2"/>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Total recipients annually:</w:t>
      </w:r>
      <w:r>
        <w:rPr>
          <w:rFonts w:eastAsia="Times New Roman" w:cs="Times New Roman"/>
          <w:snapToGrid w:val="0"/>
          <w:color w:val="000000"/>
          <w:szCs w:val="20"/>
        </w:rPr>
        <w:tab/>
      </w:r>
      <w:r>
        <w:rPr>
          <w:rFonts w:eastAsia="Times New Roman" w:cs="Times New Roman"/>
          <w:snapToGrid w:val="0"/>
          <w:color w:val="000000"/>
          <w:szCs w:val="20"/>
        </w:rPr>
        <w:tab/>
        <w:t>24</w:t>
      </w:r>
      <w:r>
        <w:rPr>
          <w:rFonts w:eastAsia="Times New Roman" w:cs="Times New Roman"/>
          <w:snapToGrid w:val="0"/>
          <w:color w:val="000000"/>
          <w:szCs w:val="20"/>
        </w:rPr>
        <w:t>,000</w:t>
      </w:r>
    </w:p>
    <w:p w:rsidR="00762463" w:rsidRPr="00AA4F54" w:rsidP="000D3CCC" w14:paraId="16C2CBA8" w14:textId="359E6600">
      <w:pPr>
        <w:pStyle w:val="ListParagraph"/>
        <w:numPr>
          <w:ilvl w:val="0"/>
          <w:numId w:val="2"/>
        </w:numPr>
        <w:spacing w:line="240" w:lineRule="auto"/>
        <w:ind w:left="1080"/>
        <w:rPr>
          <w:rFonts w:eastAsia="Times New Roman" w:cs="Times New Roman"/>
          <w:snapToGrid w:val="0"/>
          <w:color w:val="000000"/>
          <w:szCs w:val="20"/>
        </w:rPr>
      </w:pPr>
      <w:r w:rsidRPr="004A65BB">
        <w:rPr>
          <w:rFonts w:eastAsia="Times New Roman" w:cs="Times New Roman"/>
          <w:snapToGrid w:val="0"/>
          <w:color w:val="000000"/>
          <w:szCs w:val="20"/>
        </w:rPr>
        <w:t>Total hours</w:t>
      </w:r>
      <w:r>
        <w:rPr>
          <w:rFonts w:eastAsia="Times New Roman" w:cs="Times New Roman"/>
          <w:snapToGrid w:val="0"/>
          <w:color w:val="000000"/>
          <w:szCs w:val="20"/>
        </w:rPr>
        <w:t xml:space="preserve"> annually</w:t>
      </w:r>
      <w:r w:rsidRPr="004A65BB">
        <w:rPr>
          <w:rFonts w:eastAsia="Times New Roman" w:cs="Times New Roman"/>
          <w:snapToGrid w:val="0"/>
          <w:color w:val="000000"/>
          <w:szCs w:val="20"/>
        </w:rPr>
        <w:t xml:space="preserve">: </w:t>
      </w:r>
      <w:r>
        <w:rPr>
          <w:rFonts w:eastAsia="Times New Roman" w:cs="Times New Roman"/>
          <w:snapToGrid w:val="0"/>
          <w:color w:val="000000"/>
          <w:szCs w:val="20"/>
        </w:rPr>
        <w:tab/>
      </w:r>
      <w:r>
        <w:rPr>
          <w:rFonts w:eastAsia="Times New Roman" w:cs="Times New Roman"/>
          <w:snapToGrid w:val="0"/>
          <w:color w:val="000000"/>
          <w:szCs w:val="20"/>
        </w:rPr>
        <w:tab/>
      </w:r>
      <w:r w:rsidR="006A5991">
        <w:rPr>
          <w:rFonts w:eastAsia="Times New Roman" w:cs="Times New Roman"/>
          <w:snapToGrid w:val="0"/>
          <w:color w:val="000000"/>
          <w:szCs w:val="20"/>
        </w:rPr>
        <w:t>10,080</w:t>
      </w:r>
      <w:r>
        <w:rPr>
          <w:rFonts w:eastAsia="Times New Roman" w:cs="Times New Roman"/>
          <w:snapToGrid w:val="0"/>
          <w:color w:val="000000"/>
          <w:szCs w:val="20"/>
        </w:rPr>
        <w:t xml:space="preserve"> hours</w:t>
      </w:r>
    </w:p>
    <w:p w:rsidR="00762463" w:rsidP="000D3CCC" w14:paraId="4A0B9D7C" w14:textId="77777777">
      <w:pPr>
        <w:spacing w:line="240" w:lineRule="auto"/>
        <w:rPr>
          <w:rFonts w:eastAsia="Times New Roman" w:cs="Times New Roman"/>
          <w:snapToGrid w:val="0"/>
          <w:color w:val="000000"/>
          <w:szCs w:val="20"/>
        </w:rPr>
      </w:pPr>
    </w:p>
    <w:p w:rsidR="002C35B2" w:rsidP="000D3CCC" w14:paraId="0FC3973E" w14:textId="77777777">
      <w:pPr>
        <w:spacing w:line="240" w:lineRule="auto"/>
        <w:rPr>
          <w:rFonts w:eastAsia="Times New Roman" w:cs="Times New Roman"/>
          <w:snapToGrid w:val="0"/>
          <w:color w:val="000000"/>
          <w:szCs w:val="20"/>
        </w:rPr>
      </w:pPr>
    </w:p>
    <w:p w:rsidR="006801E3" w:rsidRPr="0077019E" w:rsidP="000D3CCC" w14:paraId="784898E5" w14:textId="77777777">
      <w:pPr>
        <w:pStyle w:val="ListParagraph"/>
        <w:numPr>
          <w:ilvl w:val="0"/>
          <w:numId w:val="4"/>
        </w:numPr>
        <w:spacing w:line="240" w:lineRule="auto"/>
        <w:ind w:left="720" w:hanging="360"/>
        <w:rPr>
          <w:rFonts w:eastAsia="Times New Roman" w:cs="Times New Roman"/>
          <w:i/>
          <w:snapToGrid w:val="0"/>
          <w:color w:val="000000"/>
          <w:szCs w:val="20"/>
        </w:rPr>
      </w:pPr>
      <w:r w:rsidRPr="0077019E">
        <w:rPr>
          <w:rFonts w:eastAsia="Times New Roman" w:cs="Times New Roman"/>
          <w:i/>
          <w:snapToGrid w:val="0"/>
          <w:color w:val="000000"/>
          <w:szCs w:val="20"/>
        </w:rPr>
        <w:t>Pre-Testing of Survey Materials</w:t>
      </w:r>
    </w:p>
    <w:p w:rsidR="006801E3" w:rsidP="000D3CCC" w14:paraId="141E73AB" w14:textId="77777777">
      <w:pPr>
        <w:spacing w:line="240" w:lineRule="auto"/>
        <w:rPr>
          <w:rFonts w:eastAsia="Times New Roman" w:cs="Times New Roman"/>
          <w:snapToGrid w:val="0"/>
          <w:color w:val="000000"/>
          <w:szCs w:val="20"/>
        </w:rPr>
      </w:pPr>
    </w:p>
    <w:p w:rsidR="006801E3" w:rsidP="000D3CCC" w14:paraId="6F481EF1" w14:textId="72BB6D33">
      <w:pPr>
        <w:spacing w:line="240" w:lineRule="auto"/>
        <w:rPr>
          <w:rFonts w:eastAsia="Times New Roman" w:cs="Times New Roman"/>
          <w:snapToGrid w:val="0"/>
          <w:color w:val="000000"/>
          <w:szCs w:val="20"/>
        </w:rPr>
      </w:pPr>
      <w:r w:rsidRPr="00BD1EDE">
        <w:rPr>
          <w:rFonts w:eastAsia="Times New Roman" w:cs="Times New Roman"/>
          <w:snapToGrid w:val="0"/>
          <w:color w:val="000000"/>
          <w:szCs w:val="20"/>
        </w:rPr>
        <w:t xml:space="preserve">The estimated annualized hour burden associated with </w:t>
      </w:r>
      <w:r>
        <w:rPr>
          <w:rFonts w:eastAsia="Times New Roman" w:cs="Times New Roman"/>
          <w:snapToGrid w:val="0"/>
          <w:color w:val="000000"/>
          <w:szCs w:val="20"/>
        </w:rPr>
        <w:t>the pre-testi</w:t>
      </w:r>
      <w:r w:rsidR="00032495">
        <w:rPr>
          <w:rFonts w:eastAsia="Times New Roman" w:cs="Times New Roman"/>
          <w:snapToGrid w:val="0"/>
          <w:color w:val="000000"/>
          <w:szCs w:val="20"/>
        </w:rPr>
        <w:t xml:space="preserve">ng of the survey materials is </w:t>
      </w:r>
      <w:r w:rsidR="00C4557F">
        <w:rPr>
          <w:rFonts w:eastAsia="Times New Roman" w:cs="Times New Roman"/>
          <w:snapToGrid w:val="0"/>
          <w:color w:val="000000"/>
          <w:szCs w:val="20"/>
        </w:rPr>
        <w:t>5</w:t>
      </w:r>
      <w:r w:rsidR="00032495">
        <w:rPr>
          <w:rFonts w:eastAsia="Times New Roman" w:cs="Times New Roman"/>
          <w:snapToGrid w:val="0"/>
          <w:color w:val="000000"/>
          <w:szCs w:val="20"/>
        </w:rPr>
        <w:t>0</w:t>
      </w:r>
      <w:r w:rsidRPr="00BD1EDE">
        <w:rPr>
          <w:rFonts w:eastAsia="Times New Roman" w:cs="Times New Roman"/>
          <w:snapToGrid w:val="0"/>
          <w:color w:val="000000"/>
          <w:szCs w:val="20"/>
        </w:rPr>
        <w:t xml:space="preserve"> hours.</w:t>
      </w:r>
    </w:p>
    <w:p w:rsidR="006801E3" w:rsidP="000D3CCC" w14:paraId="3CD7E9C1" w14:textId="77777777">
      <w:pPr>
        <w:spacing w:line="240" w:lineRule="auto"/>
        <w:rPr>
          <w:rFonts w:eastAsia="Times New Roman" w:cs="Times New Roman"/>
          <w:snapToGrid w:val="0"/>
          <w:color w:val="000000"/>
          <w:szCs w:val="20"/>
        </w:rPr>
      </w:pPr>
    </w:p>
    <w:p w:rsidR="006801E3" w:rsidP="000D3CCC" w14:paraId="422F61A9" w14:textId="77777777">
      <w:pPr>
        <w:spacing w:line="240" w:lineRule="auto"/>
        <w:ind w:left="360"/>
        <w:rPr>
          <w:rFonts w:eastAsia="Times New Roman" w:cs="Times New Roman"/>
          <w:snapToGrid w:val="0"/>
          <w:color w:val="000000"/>
          <w:szCs w:val="20"/>
        </w:rPr>
      </w:pPr>
      <w:r>
        <w:rPr>
          <w:rFonts w:eastAsia="Times New Roman" w:cs="Times New Roman"/>
          <w:snapToGrid w:val="0"/>
          <w:color w:val="000000"/>
          <w:szCs w:val="20"/>
        </w:rPr>
        <w:t>Selected individuals participate in cognitive testing to pre-test the survey questionnaire and related materials:</w:t>
      </w:r>
    </w:p>
    <w:p w:rsidR="006801E3" w:rsidP="000D3CCC" w14:paraId="2EC2745A" w14:textId="77777777">
      <w:pPr>
        <w:spacing w:line="240" w:lineRule="auto"/>
        <w:rPr>
          <w:rFonts w:eastAsia="Times New Roman" w:cs="Times New Roman"/>
          <w:snapToGrid w:val="0"/>
          <w:color w:val="000000"/>
          <w:szCs w:val="20"/>
        </w:rPr>
      </w:pPr>
    </w:p>
    <w:p w:rsidR="006801E3" w:rsidP="000D3CCC" w14:paraId="74F66002" w14:textId="77777777">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Time per participant</w:t>
      </w:r>
      <w:r>
        <w:rPr>
          <w:rFonts w:eastAsia="Times New Roman" w:cs="Times New Roman"/>
          <w:snapToGrid w:val="0"/>
          <w:color w:val="000000"/>
          <w:szCs w:val="20"/>
        </w:rPr>
        <w:t xml:space="preserve">: </w:t>
      </w:r>
      <w:r>
        <w:rPr>
          <w:rFonts w:eastAsia="Times New Roman" w:cs="Times New Roman"/>
          <w:snapToGrid w:val="0"/>
          <w:color w:val="000000"/>
          <w:szCs w:val="20"/>
        </w:rPr>
        <w:tab/>
      </w:r>
      <w:r>
        <w:rPr>
          <w:rFonts w:eastAsia="Times New Roman" w:cs="Times New Roman"/>
          <w:snapToGrid w:val="0"/>
          <w:color w:val="000000"/>
          <w:szCs w:val="20"/>
        </w:rPr>
        <w:tab/>
      </w:r>
      <w:r>
        <w:rPr>
          <w:rFonts w:eastAsia="Times New Roman" w:cs="Times New Roman"/>
          <w:snapToGrid w:val="0"/>
          <w:color w:val="000000"/>
          <w:szCs w:val="20"/>
        </w:rPr>
        <w:t>1 hour</w:t>
      </w:r>
    </w:p>
    <w:p w:rsidR="006801E3" w:rsidRPr="00187C2A" w:rsidP="000D3CCC" w14:paraId="2ACE1939" w14:textId="46C7E187">
      <w:pPr>
        <w:pStyle w:val="ListParagraph"/>
        <w:numPr>
          <w:ilvl w:val="0"/>
          <w:numId w:val="5"/>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Total participants</w:t>
      </w:r>
      <w:r>
        <w:rPr>
          <w:rFonts w:eastAsia="Times New Roman" w:cs="Times New Roman"/>
          <w:snapToGrid w:val="0"/>
          <w:color w:val="000000"/>
          <w:szCs w:val="20"/>
        </w:rPr>
        <w:t xml:space="preserve"> annually:</w:t>
      </w:r>
      <w:r>
        <w:rPr>
          <w:rFonts w:eastAsia="Times New Roman" w:cs="Times New Roman"/>
          <w:snapToGrid w:val="0"/>
          <w:color w:val="000000"/>
          <w:szCs w:val="20"/>
        </w:rPr>
        <w:tab/>
      </w:r>
      <w:r w:rsidR="00C4557F">
        <w:rPr>
          <w:rFonts w:eastAsia="Times New Roman" w:cs="Times New Roman"/>
          <w:snapToGrid w:val="0"/>
          <w:color w:val="000000"/>
          <w:szCs w:val="20"/>
        </w:rPr>
        <w:t>5</w:t>
      </w:r>
      <w:r>
        <w:rPr>
          <w:rFonts w:eastAsia="Times New Roman" w:cs="Times New Roman"/>
          <w:snapToGrid w:val="0"/>
          <w:color w:val="000000"/>
          <w:szCs w:val="20"/>
        </w:rPr>
        <w:t>0</w:t>
      </w:r>
    </w:p>
    <w:p w:rsidR="00032495" w:rsidRPr="00187C2A" w:rsidP="000D3CCC" w14:paraId="3FAA7A25" w14:textId="64D55EA3">
      <w:pPr>
        <w:pStyle w:val="ListParagraph"/>
        <w:numPr>
          <w:ilvl w:val="0"/>
          <w:numId w:val="5"/>
        </w:numPr>
        <w:spacing w:line="240" w:lineRule="auto"/>
        <w:ind w:left="1080"/>
        <w:rPr>
          <w:rFonts w:eastAsia="Times New Roman" w:cs="Times New Roman"/>
          <w:snapToGrid w:val="0"/>
          <w:color w:val="000000"/>
          <w:szCs w:val="20"/>
        </w:rPr>
      </w:pPr>
      <w:r w:rsidRPr="00187C2A">
        <w:rPr>
          <w:rFonts w:eastAsia="Times New Roman" w:cs="Times New Roman"/>
          <w:snapToGrid w:val="0"/>
          <w:color w:val="000000"/>
          <w:szCs w:val="20"/>
        </w:rPr>
        <w:t xml:space="preserve">Total hours annually:  </w:t>
      </w:r>
      <w:r w:rsidRPr="00187C2A">
        <w:rPr>
          <w:rFonts w:eastAsia="Times New Roman" w:cs="Times New Roman"/>
          <w:snapToGrid w:val="0"/>
          <w:color w:val="000000"/>
          <w:szCs w:val="20"/>
        </w:rPr>
        <w:tab/>
      </w:r>
      <w:r w:rsidRPr="00187C2A">
        <w:rPr>
          <w:rFonts w:eastAsia="Times New Roman" w:cs="Times New Roman"/>
          <w:snapToGrid w:val="0"/>
          <w:color w:val="000000"/>
          <w:szCs w:val="20"/>
        </w:rPr>
        <w:tab/>
      </w:r>
      <w:r w:rsidR="00C4557F">
        <w:rPr>
          <w:rFonts w:eastAsia="Times New Roman" w:cs="Times New Roman"/>
          <w:snapToGrid w:val="0"/>
          <w:color w:val="000000"/>
          <w:szCs w:val="20"/>
        </w:rPr>
        <w:t>5</w:t>
      </w:r>
      <w:r w:rsidR="00187C2A">
        <w:rPr>
          <w:rFonts w:eastAsia="Times New Roman" w:cs="Times New Roman"/>
          <w:snapToGrid w:val="0"/>
          <w:color w:val="000000"/>
          <w:szCs w:val="20"/>
        </w:rPr>
        <w:t>0</w:t>
      </w:r>
      <w:r w:rsidRPr="00187C2A">
        <w:rPr>
          <w:rFonts w:eastAsia="Times New Roman" w:cs="Times New Roman"/>
          <w:snapToGrid w:val="0"/>
          <w:color w:val="000000"/>
          <w:szCs w:val="20"/>
        </w:rPr>
        <w:t xml:space="preserve"> hours</w:t>
      </w:r>
    </w:p>
    <w:p w:rsidR="0052797C" w:rsidP="000D3CCC" w14:paraId="0A1CC080" w14:textId="584D65B9">
      <w:pPr>
        <w:spacing w:line="240" w:lineRule="auto"/>
        <w:rPr>
          <w:rFonts w:eastAsia="Times New Roman" w:cs="Times New Roman"/>
          <w:snapToGrid w:val="0"/>
          <w:color w:val="000000"/>
          <w:szCs w:val="20"/>
        </w:rPr>
      </w:pPr>
    </w:p>
    <w:p w:rsidR="00CD5744" w:rsidP="000D3CCC" w14:paraId="2C445B6D" w14:textId="4B88CAF5">
      <w:pPr>
        <w:spacing w:line="240" w:lineRule="auto"/>
        <w:rPr>
          <w:rFonts w:eastAsia="Times New Roman" w:cs="Times New Roman"/>
          <w:snapToGrid w:val="0"/>
          <w:color w:val="000000"/>
          <w:szCs w:val="20"/>
        </w:rPr>
      </w:pPr>
    </w:p>
    <w:p w:rsidR="00854B60" w:rsidRPr="00854B60" w:rsidP="000D3CCC" w14:paraId="0C11A6ED"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13.  </w:t>
      </w:r>
      <w:r w:rsidRPr="007B5DD4" w:rsidR="00E82184">
        <w:rPr>
          <w:rFonts w:eastAsia="Times New Roman" w:cs="Times New Roman"/>
          <w:b/>
          <w:color w:val="000000"/>
          <w:szCs w:val="24"/>
        </w:rPr>
        <w:t>Estimated total annualized cost burden to respondents</w:t>
      </w:r>
    </w:p>
    <w:p w:rsidR="00475ED3" w:rsidP="000D3CCC" w14:paraId="1C3D7CF6" w14:textId="77777777">
      <w:pPr>
        <w:spacing w:line="240" w:lineRule="auto"/>
        <w:rPr>
          <w:rFonts w:eastAsia="Times New Roman" w:cs="Times New Roman"/>
          <w:snapToGrid w:val="0"/>
          <w:color w:val="000000"/>
          <w:szCs w:val="20"/>
        </w:rPr>
      </w:pPr>
    </w:p>
    <w:p w:rsidR="00E16400" w:rsidRPr="00164D42" w:rsidP="000D3CCC" w14:paraId="7DEF98F1" w14:textId="77777777">
      <w:pPr>
        <w:spacing w:line="240" w:lineRule="auto"/>
        <w:rPr>
          <w:rFonts w:eastAsia="Times New Roman" w:cs="Times New Roman"/>
          <w:szCs w:val="24"/>
        </w:rPr>
      </w:pPr>
      <w:r w:rsidRPr="007A7ABB">
        <w:rPr>
          <w:rFonts w:eastAsia="Times New Roman" w:cs="Times New Roman"/>
          <w:szCs w:val="24"/>
        </w:rPr>
        <w:t>FHFA has not identified any costs to respondents.</w:t>
      </w:r>
    </w:p>
    <w:p w:rsidR="00CD5744" w:rsidRPr="00854B60" w:rsidP="000D3CCC" w14:paraId="2A84DE1C" w14:textId="77777777">
      <w:pPr>
        <w:spacing w:line="240" w:lineRule="auto"/>
        <w:rPr>
          <w:rFonts w:eastAsia="Times New Roman" w:cs="Times New Roman"/>
          <w:snapToGrid w:val="0"/>
          <w:color w:val="000000"/>
          <w:szCs w:val="20"/>
        </w:rPr>
      </w:pPr>
    </w:p>
    <w:p w:rsidR="00854B60" w:rsidRPr="00854B60" w:rsidP="000D3CCC" w14:paraId="749CA84D"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14.  </w:t>
      </w:r>
      <w:r w:rsidRPr="007B5DD4" w:rsidR="00E82184">
        <w:rPr>
          <w:rFonts w:eastAsia="Times New Roman" w:cs="Times New Roman"/>
          <w:b/>
          <w:color w:val="000000"/>
          <w:szCs w:val="24"/>
        </w:rPr>
        <w:t>Estimated cost to the federal government</w:t>
      </w:r>
    </w:p>
    <w:p w:rsidR="00854B60" w:rsidRPr="00854B60" w:rsidP="000D3CCC" w14:paraId="38F18118" w14:textId="77777777">
      <w:pPr>
        <w:spacing w:line="240" w:lineRule="auto"/>
        <w:rPr>
          <w:rFonts w:eastAsia="Times New Roman" w:cs="Times New Roman"/>
          <w:snapToGrid w:val="0"/>
          <w:color w:val="000000"/>
          <w:szCs w:val="20"/>
        </w:rPr>
      </w:pPr>
    </w:p>
    <w:p w:rsidR="009F0FC2" w:rsidRPr="009F0FC2" w:rsidP="000D3CCC" w14:paraId="23F23795" w14:textId="7C0D6807">
      <w:pPr>
        <w:autoSpaceDE w:val="0"/>
        <w:autoSpaceDN w:val="0"/>
        <w:adjustRightInd w:val="0"/>
        <w:spacing w:line="240" w:lineRule="auto"/>
        <w:rPr>
          <w:rFonts w:eastAsia="Times New Roman" w:cs="Times New Roman"/>
          <w:snapToGrid w:val="0"/>
          <w:color w:val="000000"/>
          <w:szCs w:val="20"/>
        </w:rPr>
      </w:pPr>
      <w:r>
        <w:rPr>
          <w:rFonts w:eastAsia="Times New Roman" w:cs="Times New Roman"/>
          <w:snapToGrid w:val="0"/>
          <w:color w:val="000000"/>
          <w:szCs w:val="20"/>
        </w:rPr>
        <w:t>The estimated annual</w:t>
      </w:r>
      <w:r w:rsidRPr="009F0FC2">
        <w:rPr>
          <w:rFonts w:eastAsia="Times New Roman" w:cs="Times New Roman"/>
          <w:snapToGrid w:val="0"/>
          <w:color w:val="000000"/>
          <w:szCs w:val="20"/>
        </w:rPr>
        <w:t xml:space="preserve"> burden to the feder</w:t>
      </w:r>
      <w:r>
        <w:rPr>
          <w:rFonts w:eastAsia="Times New Roman" w:cs="Times New Roman"/>
          <w:snapToGrid w:val="0"/>
          <w:color w:val="000000"/>
          <w:szCs w:val="20"/>
        </w:rPr>
        <w:t xml:space="preserve">al </w:t>
      </w:r>
      <w:r w:rsidRPr="009215DF">
        <w:rPr>
          <w:rFonts w:eastAsia="Times New Roman" w:cs="Times New Roman"/>
          <w:snapToGrid w:val="0"/>
          <w:color w:val="000000"/>
          <w:szCs w:val="20"/>
        </w:rPr>
        <w:t>government is $</w:t>
      </w:r>
      <w:r w:rsidR="00A42775">
        <w:rPr>
          <w:rFonts w:eastAsia="Times New Roman" w:cs="Times New Roman"/>
          <w:snapToGrid w:val="0"/>
          <w:color w:val="000000"/>
          <w:szCs w:val="20"/>
        </w:rPr>
        <w:t>891,000</w:t>
      </w:r>
      <w:r w:rsidRPr="009215DF">
        <w:rPr>
          <w:rFonts w:eastAsia="Times New Roman" w:cs="Times New Roman"/>
          <w:snapToGrid w:val="0"/>
          <w:color w:val="000000"/>
          <w:szCs w:val="20"/>
        </w:rPr>
        <w:t xml:space="preserve"> and </w:t>
      </w:r>
      <w:r w:rsidRPr="009215DF" w:rsidR="006F58EE">
        <w:rPr>
          <w:rFonts w:eastAsia="Times New Roman" w:cs="Times New Roman"/>
          <w:snapToGrid w:val="0"/>
          <w:color w:val="000000"/>
          <w:szCs w:val="20"/>
        </w:rPr>
        <w:t>40</w:t>
      </w:r>
      <w:r w:rsidRPr="009215DF" w:rsidR="009215DF">
        <w:rPr>
          <w:rFonts w:eastAsia="Times New Roman" w:cs="Times New Roman"/>
          <w:snapToGrid w:val="0"/>
          <w:color w:val="000000"/>
          <w:szCs w:val="20"/>
        </w:rPr>
        <w:t>0</w:t>
      </w:r>
      <w:r w:rsidRPr="009215DF" w:rsidR="006F58EE">
        <w:rPr>
          <w:rFonts w:eastAsia="Times New Roman" w:cs="Times New Roman"/>
          <w:snapToGrid w:val="0"/>
          <w:color w:val="000000"/>
          <w:szCs w:val="20"/>
        </w:rPr>
        <w:t xml:space="preserve"> hours, calculated as follows:</w:t>
      </w:r>
    </w:p>
    <w:p w:rsidR="00A70F80" w:rsidRPr="00B25C61" w:rsidP="000D3CCC" w14:paraId="1E4B1C02" w14:textId="77777777">
      <w:pPr>
        <w:spacing w:line="240" w:lineRule="auto"/>
        <w:rPr>
          <w:rFonts w:eastAsia="Times New Roman" w:cs="Times New Roman"/>
          <w:snapToGrid w:val="0"/>
          <w:color w:val="000000"/>
          <w:szCs w:val="20"/>
        </w:rPr>
      </w:pPr>
    </w:p>
    <w:p w:rsidR="00A70F80" w:rsidRPr="00B25C61" w:rsidP="000D3CCC" w14:paraId="427E3A24" w14:textId="77777777">
      <w:pPr>
        <w:spacing w:line="240" w:lineRule="auto"/>
        <w:ind w:left="360"/>
        <w:rPr>
          <w:rFonts w:eastAsia="Times New Roman" w:cs="Times New Roman"/>
          <w:snapToGrid w:val="0"/>
          <w:color w:val="000000"/>
          <w:szCs w:val="20"/>
        </w:rPr>
      </w:pPr>
      <w:r w:rsidRPr="00B25C61">
        <w:rPr>
          <w:rFonts w:eastAsia="Times New Roman" w:cs="Times New Roman"/>
          <w:snapToGrid w:val="0"/>
          <w:color w:val="000000"/>
          <w:szCs w:val="20"/>
        </w:rPr>
        <w:t xml:space="preserve">FHFA </w:t>
      </w:r>
      <w:r w:rsidR="00E81FCA">
        <w:rPr>
          <w:rFonts w:eastAsia="Times New Roman" w:cs="Times New Roman"/>
          <w:snapToGrid w:val="0"/>
          <w:color w:val="000000"/>
          <w:szCs w:val="20"/>
        </w:rPr>
        <w:t xml:space="preserve">analyst embeds </w:t>
      </w:r>
      <w:r w:rsidR="00DB226A">
        <w:rPr>
          <w:rFonts w:eastAsia="Times New Roman" w:cs="Times New Roman"/>
          <w:snapToGrid w:val="0"/>
          <w:color w:val="000000"/>
          <w:szCs w:val="20"/>
        </w:rPr>
        <w:t>NSMO</w:t>
      </w:r>
      <w:r w:rsidR="00E81FCA">
        <w:rPr>
          <w:rFonts w:eastAsia="Times New Roman" w:cs="Times New Roman"/>
          <w:snapToGrid w:val="0"/>
          <w:color w:val="000000"/>
          <w:szCs w:val="20"/>
        </w:rPr>
        <w:t xml:space="preserve"> data into </w:t>
      </w:r>
      <w:r w:rsidR="003801CA">
        <w:rPr>
          <w:rFonts w:eastAsia="Times New Roman" w:cs="Times New Roman"/>
          <w:snapToGrid w:val="0"/>
          <w:color w:val="000000"/>
          <w:szCs w:val="20"/>
        </w:rPr>
        <w:t xml:space="preserve">a </w:t>
      </w:r>
      <w:r w:rsidR="00E81FCA">
        <w:rPr>
          <w:rFonts w:eastAsia="Times New Roman" w:cs="Times New Roman"/>
          <w:snapToGrid w:val="0"/>
          <w:color w:val="000000"/>
          <w:szCs w:val="20"/>
        </w:rPr>
        <w:t>query-based electronic database</w:t>
      </w:r>
      <w:r w:rsidR="002F7674">
        <w:rPr>
          <w:rFonts w:eastAsia="Times New Roman" w:cs="Times New Roman"/>
          <w:snapToGrid w:val="0"/>
          <w:color w:val="000000"/>
          <w:szCs w:val="20"/>
        </w:rPr>
        <w:t xml:space="preserve"> and</w:t>
      </w:r>
      <w:r w:rsidR="00740F38">
        <w:rPr>
          <w:rFonts w:eastAsia="Times New Roman" w:cs="Times New Roman"/>
          <w:snapToGrid w:val="0"/>
          <w:color w:val="000000"/>
          <w:szCs w:val="20"/>
        </w:rPr>
        <w:t xml:space="preserve"> carries out data cleaning, imputation, and non-response bias weighting</w:t>
      </w:r>
      <w:r w:rsidR="00E81FCA">
        <w:rPr>
          <w:rFonts w:eastAsia="Times New Roman" w:cs="Times New Roman"/>
          <w:snapToGrid w:val="0"/>
          <w:color w:val="000000"/>
          <w:szCs w:val="20"/>
        </w:rPr>
        <w:t>:</w:t>
      </w:r>
      <w:r w:rsidRPr="00B25C61">
        <w:rPr>
          <w:rFonts w:eastAsia="Times New Roman" w:cs="Times New Roman"/>
          <w:snapToGrid w:val="0"/>
          <w:color w:val="000000"/>
          <w:szCs w:val="20"/>
        </w:rPr>
        <w:t xml:space="preserve">  </w:t>
      </w:r>
    </w:p>
    <w:p w:rsidR="00A70F80" w:rsidRPr="00B25C61" w:rsidP="000D3CCC" w14:paraId="7F894081" w14:textId="77777777">
      <w:pPr>
        <w:spacing w:line="240" w:lineRule="auto"/>
        <w:rPr>
          <w:rFonts w:eastAsia="Times New Roman" w:cs="Times New Roman"/>
          <w:snapToGrid w:val="0"/>
          <w:color w:val="000000"/>
          <w:szCs w:val="20"/>
        </w:rPr>
      </w:pPr>
      <w:r w:rsidRPr="00B25C61">
        <w:rPr>
          <w:rFonts w:eastAsia="Times New Roman" w:cs="Times New Roman"/>
          <w:snapToGrid w:val="0"/>
          <w:color w:val="000000"/>
          <w:szCs w:val="20"/>
        </w:rPr>
        <w:t xml:space="preserve"> </w:t>
      </w:r>
    </w:p>
    <w:p w:rsidR="00A70F80" w:rsidRPr="00DA587C" w:rsidP="000D3CCC" w14:paraId="4F7C955D" w14:textId="77777777">
      <w:pPr>
        <w:pStyle w:val="ListParagraph"/>
        <w:numPr>
          <w:ilvl w:val="0"/>
          <w:numId w:val="1"/>
        </w:numPr>
        <w:spacing w:line="240" w:lineRule="auto"/>
        <w:ind w:left="1080"/>
        <w:rPr>
          <w:rFonts w:eastAsia="Times New Roman" w:cs="Times New Roman"/>
          <w:snapToGrid w:val="0"/>
          <w:color w:val="000000"/>
          <w:szCs w:val="20"/>
        </w:rPr>
      </w:pPr>
      <w:r>
        <w:rPr>
          <w:rFonts w:eastAsia="Times New Roman" w:cs="Times New Roman"/>
          <w:snapToGrid w:val="0"/>
          <w:color w:val="000000"/>
          <w:szCs w:val="20"/>
        </w:rPr>
        <w:t>Processing</w:t>
      </w:r>
      <w:r w:rsidRPr="002C6CDC">
        <w:rPr>
          <w:rFonts w:eastAsia="Times New Roman" w:cs="Times New Roman"/>
          <w:snapToGrid w:val="0"/>
          <w:color w:val="000000"/>
          <w:szCs w:val="20"/>
        </w:rPr>
        <w:t xml:space="preserve"> time</w:t>
      </w:r>
      <w:r w:rsidR="00093103">
        <w:rPr>
          <w:rFonts w:eastAsia="Times New Roman" w:cs="Times New Roman"/>
          <w:snapToGrid w:val="0"/>
          <w:color w:val="000000"/>
          <w:szCs w:val="20"/>
        </w:rPr>
        <w:t xml:space="preserve"> per survey</w:t>
      </w:r>
      <w:r w:rsidRPr="002C6CDC">
        <w:rPr>
          <w:rFonts w:eastAsia="Times New Roman" w:cs="Times New Roman"/>
          <w:snapToGrid w:val="0"/>
          <w:color w:val="000000"/>
          <w:szCs w:val="20"/>
        </w:rPr>
        <w:t xml:space="preserve">: </w:t>
      </w:r>
      <w:r w:rsidR="00093103">
        <w:rPr>
          <w:rFonts w:eastAsia="Times New Roman" w:cs="Times New Roman"/>
          <w:snapToGrid w:val="0"/>
          <w:color w:val="000000"/>
          <w:szCs w:val="20"/>
        </w:rPr>
        <w:tab/>
      </w:r>
      <w:r w:rsidRPr="00DA587C" w:rsidR="00093103">
        <w:rPr>
          <w:rFonts w:eastAsia="Times New Roman" w:cs="Times New Roman"/>
          <w:snapToGrid w:val="0"/>
          <w:color w:val="000000"/>
          <w:szCs w:val="20"/>
        </w:rPr>
        <w:t>10</w:t>
      </w:r>
      <w:r w:rsidRPr="00DA587C" w:rsidR="00740F38">
        <w:rPr>
          <w:rFonts w:eastAsia="Times New Roman" w:cs="Times New Roman"/>
          <w:snapToGrid w:val="0"/>
          <w:color w:val="000000"/>
          <w:szCs w:val="20"/>
        </w:rPr>
        <w:t>0</w:t>
      </w:r>
      <w:r w:rsidRPr="00DA587C" w:rsidR="00093103">
        <w:rPr>
          <w:rFonts w:eastAsia="Times New Roman" w:cs="Times New Roman"/>
          <w:snapToGrid w:val="0"/>
          <w:color w:val="000000"/>
          <w:szCs w:val="20"/>
        </w:rPr>
        <w:t xml:space="preserve"> hours</w:t>
      </w:r>
    </w:p>
    <w:p w:rsidR="00A70F80" w:rsidRPr="00DA587C" w:rsidP="000D3CCC" w14:paraId="797AFE67" w14:textId="77777777">
      <w:pPr>
        <w:pStyle w:val="ListParagraph"/>
        <w:numPr>
          <w:ilvl w:val="0"/>
          <w:numId w:val="1"/>
        </w:numPr>
        <w:spacing w:line="240" w:lineRule="auto"/>
        <w:ind w:left="1080"/>
        <w:rPr>
          <w:rFonts w:eastAsia="Times New Roman" w:cs="Times New Roman"/>
          <w:snapToGrid w:val="0"/>
          <w:color w:val="000000"/>
          <w:szCs w:val="20"/>
        </w:rPr>
      </w:pPr>
      <w:r w:rsidRPr="00DA587C">
        <w:rPr>
          <w:rFonts w:eastAsia="Times New Roman" w:cs="Times New Roman"/>
          <w:snapToGrid w:val="0"/>
          <w:color w:val="000000"/>
          <w:szCs w:val="20"/>
        </w:rPr>
        <w:t xml:space="preserve">Total </w:t>
      </w:r>
      <w:r w:rsidRPr="00DA587C" w:rsidR="002643C9">
        <w:rPr>
          <w:rFonts w:eastAsia="Times New Roman" w:cs="Times New Roman"/>
          <w:snapToGrid w:val="0"/>
          <w:color w:val="000000"/>
          <w:szCs w:val="20"/>
        </w:rPr>
        <w:t>surveys</w:t>
      </w:r>
      <w:r w:rsidRPr="00DA587C" w:rsidR="00093103">
        <w:rPr>
          <w:rFonts w:eastAsia="Times New Roman" w:cs="Times New Roman"/>
          <w:snapToGrid w:val="0"/>
          <w:color w:val="000000"/>
          <w:szCs w:val="20"/>
        </w:rPr>
        <w:t xml:space="preserve"> annually</w:t>
      </w:r>
      <w:r w:rsidRPr="00DA587C">
        <w:rPr>
          <w:rFonts w:eastAsia="Times New Roman" w:cs="Times New Roman"/>
          <w:snapToGrid w:val="0"/>
          <w:color w:val="000000"/>
          <w:szCs w:val="20"/>
        </w:rPr>
        <w:t xml:space="preserve">: </w:t>
      </w:r>
      <w:r w:rsidRPr="00DA587C" w:rsidR="00093103">
        <w:rPr>
          <w:rFonts w:eastAsia="Times New Roman" w:cs="Times New Roman"/>
          <w:snapToGrid w:val="0"/>
          <w:color w:val="000000"/>
          <w:szCs w:val="20"/>
        </w:rPr>
        <w:tab/>
      </w:r>
      <w:r w:rsidRPr="00DA587C" w:rsidR="00093103">
        <w:rPr>
          <w:rFonts w:eastAsia="Times New Roman" w:cs="Times New Roman"/>
          <w:snapToGrid w:val="0"/>
          <w:color w:val="000000"/>
          <w:szCs w:val="20"/>
        </w:rPr>
        <w:tab/>
        <w:t>4</w:t>
      </w:r>
    </w:p>
    <w:p w:rsidR="00A70F80" w:rsidRPr="00740F38" w:rsidP="000D3CCC" w14:paraId="7E7EABA7" w14:textId="77777777">
      <w:pPr>
        <w:pStyle w:val="ListParagraph"/>
        <w:numPr>
          <w:ilvl w:val="0"/>
          <w:numId w:val="1"/>
        </w:numPr>
        <w:spacing w:line="240" w:lineRule="auto"/>
        <w:ind w:left="1080"/>
        <w:rPr>
          <w:rFonts w:eastAsia="Times New Roman" w:cs="Times New Roman"/>
          <w:snapToGrid w:val="0"/>
          <w:color w:val="000000"/>
          <w:szCs w:val="20"/>
        </w:rPr>
      </w:pPr>
      <w:r w:rsidRPr="00740F38">
        <w:rPr>
          <w:rFonts w:eastAsia="Times New Roman" w:cs="Times New Roman"/>
          <w:snapToGrid w:val="0"/>
          <w:color w:val="000000"/>
          <w:szCs w:val="20"/>
        </w:rPr>
        <w:t xml:space="preserve">Total hours: </w:t>
      </w:r>
      <w:r w:rsidRPr="00740F38" w:rsidR="00093103">
        <w:rPr>
          <w:rFonts w:eastAsia="Times New Roman" w:cs="Times New Roman"/>
          <w:snapToGrid w:val="0"/>
          <w:color w:val="000000"/>
          <w:szCs w:val="20"/>
        </w:rPr>
        <w:tab/>
      </w:r>
      <w:r w:rsidRPr="00740F38" w:rsidR="00093103">
        <w:rPr>
          <w:rFonts w:eastAsia="Times New Roman" w:cs="Times New Roman"/>
          <w:snapToGrid w:val="0"/>
          <w:color w:val="000000"/>
          <w:szCs w:val="20"/>
        </w:rPr>
        <w:tab/>
      </w:r>
      <w:r w:rsidRPr="00740F38" w:rsidR="00093103">
        <w:rPr>
          <w:rFonts w:eastAsia="Times New Roman" w:cs="Times New Roman"/>
          <w:snapToGrid w:val="0"/>
          <w:color w:val="000000"/>
          <w:szCs w:val="20"/>
        </w:rPr>
        <w:tab/>
      </w:r>
      <w:r w:rsidRPr="00740F38" w:rsidR="00E81FCA">
        <w:rPr>
          <w:rFonts w:eastAsia="Times New Roman" w:cs="Times New Roman"/>
          <w:snapToGrid w:val="0"/>
          <w:color w:val="000000"/>
          <w:szCs w:val="20"/>
        </w:rPr>
        <w:t>40</w:t>
      </w:r>
      <w:r w:rsidR="00740F38">
        <w:rPr>
          <w:rFonts w:eastAsia="Times New Roman" w:cs="Times New Roman"/>
          <w:snapToGrid w:val="0"/>
          <w:color w:val="000000"/>
          <w:szCs w:val="20"/>
        </w:rPr>
        <w:t>0</w:t>
      </w:r>
    </w:p>
    <w:p w:rsidR="00A70F80" w:rsidRPr="00740F38" w:rsidP="000D3CCC" w14:paraId="5C8C17C8" w14:textId="295CC6CF">
      <w:pPr>
        <w:pStyle w:val="ListParagraph"/>
        <w:numPr>
          <w:ilvl w:val="0"/>
          <w:numId w:val="1"/>
        </w:numPr>
        <w:spacing w:line="240" w:lineRule="auto"/>
        <w:ind w:left="1080"/>
        <w:rPr>
          <w:rFonts w:eastAsia="Times New Roman" w:cs="Times New Roman"/>
          <w:snapToGrid w:val="0"/>
          <w:color w:val="000000"/>
          <w:szCs w:val="20"/>
        </w:rPr>
      </w:pPr>
      <w:r w:rsidRPr="00740F38">
        <w:rPr>
          <w:rFonts w:eastAsia="Times New Roman" w:cs="Times New Roman"/>
          <w:snapToGrid w:val="0"/>
          <w:color w:val="000000"/>
          <w:szCs w:val="20"/>
        </w:rPr>
        <w:t xml:space="preserve">Hourly rate: </w:t>
      </w:r>
      <w:r w:rsidRPr="00740F38" w:rsidR="00093103">
        <w:rPr>
          <w:rFonts w:eastAsia="Times New Roman" w:cs="Times New Roman"/>
          <w:snapToGrid w:val="0"/>
          <w:color w:val="000000"/>
          <w:szCs w:val="20"/>
        </w:rPr>
        <w:tab/>
      </w:r>
      <w:r w:rsidRPr="00740F38" w:rsidR="00093103">
        <w:rPr>
          <w:rFonts w:eastAsia="Times New Roman" w:cs="Times New Roman"/>
          <w:snapToGrid w:val="0"/>
          <w:color w:val="000000"/>
          <w:szCs w:val="20"/>
        </w:rPr>
        <w:tab/>
      </w:r>
      <w:r w:rsidRPr="00740F38" w:rsidR="00093103">
        <w:rPr>
          <w:rFonts w:eastAsia="Times New Roman" w:cs="Times New Roman"/>
          <w:snapToGrid w:val="0"/>
          <w:color w:val="000000"/>
          <w:szCs w:val="20"/>
        </w:rPr>
        <w:tab/>
      </w:r>
      <w:r w:rsidR="00740F38">
        <w:rPr>
          <w:rFonts w:eastAsia="Times New Roman" w:cs="Times New Roman"/>
          <w:snapToGrid w:val="0"/>
          <w:color w:val="000000"/>
          <w:szCs w:val="20"/>
        </w:rPr>
        <w:t>$</w:t>
      </w:r>
      <w:r w:rsidR="00831BB3">
        <w:rPr>
          <w:rFonts w:eastAsia="Times New Roman" w:cs="Times New Roman"/>
          <w:snapToGrid w:val="0"/>
          <w:color w:val="000000"/>
          <w:szCs w:val="20"/>
        </w:rPr>
        <w:t>9</w:t>
      </w:r>
      <w:r w:rsidR="00E3038E">
        <w:rPr>
          <w:rFonts w:eastAsia="Times New Roman" w:cs="Times New Roman"/>
          <w:snapToGrid w:val="0"/>
          <w:color w:val="000000"/>
          <w:szCs w:val="20"/>
        </w:rPr>
        <w:t>0</w:t>
      </w:r>
      <w:r w:rsidRPr="00740F38" w:rsidR="00E3038E">
        <w:rPr>
          <w:rFonts w:eastAsia="Times New Roman" w:cs="Times New Roman"/>
          <w:snapToGrid w:val="0"/>
          <w:color w:val="000000"/>
          <w:szCs w:val="20"/>
        </w:rPr>
        <w:t xml:space="preserve"> </w:t>
      </w:r>
      <w:r w:rsidRPr="00740F38">
        <w:rPr>
          <w:rFonts w:eastAsia="Times New Roman" w:cs="Times New Roman"/>
          <w:snapToGrid w:val="0"/>
          <w:color w:val="000000"/>
          <w:szCs w:val="20"/>
        </w:rPr>
        <w:t xml:space="preserve">(includes salary, benefits, and overhead) </w:t>
      </w:r>
    </w:p>
    <w:p w:rsidR="002643C9" w:rsidRPr="00740F38" w:rsidP="000D3CCC" w14:paraId="05794613" w14:textId="6743CD30">
      <w:pPr>
        <w:pStyle w:val="ListParagraph"/>
        <w:numPr>
          <w:ilvl w:val="0"/>
          <w:numId w:val="1"/>
        </w:numPr>
        <w:spacing w:line="240" w:lineRule="auto"/>
        <w:ind w:left="1080"/>
        <w:rPr>
          <w:rFonts w:eastAsia="Times New Roman" w:cs="Times New Roman"/>
          <w:snapToGrid w:val="0"/>
          <w:color w:val="000000"/>
          <w:szCs w:val="20"/>
        </w:rPr>
      </w:pPr>
      <w:r w:rsidRPr="00740F38">
        <w:rPr>
          <w:rFonts w:eastAsia="Times New Roman" w:cs="Times New Roman"/>
          <w:snapToGrid w:val="0"/>
          <w:color w:val="000000"/>
          <w:szCs w:val="20"/>
        </w:rPr>
        <w:t xml:space="preserve">Total cost: </w:t>
      </w:r>
      <w:r w:rsidRPr="00740F38" w:rsidR="00206148">
        <w:rPr>
          <w:rFonts w:eastAsia="Times New Roman" w:cs="Times New Roman"/>
          <w:snapToGrid w:val="0"/>
          <w:color w:val="000000"/>
          <w:szCs w:val="20"/>
        </w:rPr>
        <w:tab/>
      </w:r>
      <w:r w:rsidRPr="00740F38" w:rsidR="00206148">
        <w:rPr>
          <w:rFonts w:eastAsia="Times New Roman" w:cs="Times New Roman"/>
          <w:snapToGrid w:val="0"/>
          <w:color w:val="000000"/>
          <w:szCs w:val="20"/>
        </w:rPr>
        <w:tab/>
      </w:r>
      <w:r w:rsidRPr="00740F38" w:rsidR="00206148">
        <w:rPr>
          <w:rFonts w:eastAsia="Times New Roman" w:cs="Times New Roman"/>
          <w:snapToGrid w:val="0"/>
          <w:color w:val="000000"/>
          <w:szCs w:val="20"/>
        </w:rPr>
        <w:tab/>
      </w:r>
      <w:r w:rsidRPr="00740F38" w:rsidR="00206148">
        <w:rPr>
          <w:rFonts w:eastAsia="Times New Roman" w:cs="Times New Roman"/>
          <w:snapToGrid w:val="0"/>
          <w:color w:val="000000"/>
          <w:szCs w:val="20"/>
        </w:rPr>
        <w:tab/>
      </w:r>
      <w:r w:rsidR="009215DF">
        <w:rPr>
          <w:rFonts w:eastAsia="Times New Roman" w:cs="Times New Roman"/>
          <w:snapToGrid w:val="0"/>
          <w:color w:val="000000"/>
          <w:szCs w:val="20"/>
        </w:rPr>
        <w:t>$</w:t>
      </w:r>
      <w:r w:rsidR="00E3038E">
        <w:rPr>
          <w:rFonts w:eastAsia="Times New Roman" w:cs="Times New Roman"/>
          <w:snapToGrid w:val="0"/>
          <w:color w:val="000000"/>
          <w:szCs w:val="20"/>
        </w:rPr>
        <w:t>3</w:t>
      </w:r>
      <w:r w:rsidR="00831BB3">
        <w:rPr>
          <w:rFonts w:eastAsia="Times New Roman" w:cs="Times New Roman"/>
          <w:snapToGrid w:val="0"/>
          <w:color w:val="000000"/>
          <w:szCs w:val="20"/>
        </w:rPr>
        <w:t>6</w:t>
      </w:r>
      <w:r w:rsidR="00E3038E">
        <w:rPr>
          <w:rFonts w:eastAsia="Times New Roman" w:cs="Times New Roman"/>
          <w:snapToGrid w:val="0"/>
          <w:color w:val="000000"/>
          <w:szCs w:val="20"/>
        </w:rPr>
        <w:t>,000</w:t>
      </w:r>
    </w:p>
    <w:p w:rsidR="002643C9" w:rsidRPr="00740F38" w:rsidP="000D3CCC" w14:paraId="18820864" w14:textId="77777777">
      <w:pPr>
        <w:spacing w:line="240" w:lineRule="auto"/>
        <w:rPr>
          <w:rFonts w:eastAsia="Times New Roman" w:cs="Times New Roman"/>
          <w:snapToGrid w:val="0"/>
          <w:color w:val="000000"/>
          <w:szCs w:val="20"/>
        </w:rPr>
      </w:pPr>
    </w:p>
    <w:p w:rsidR="007B5DD4" w:rsidP="000D3CCC" w14:paraId="4F88B4BA" w14:textId="6687A4D7">
      <w:pPr>
        <w:autoSpaceDE w:val="0"/>
        <w:autoSpaceDN w:val="0"/>
        <w:adjustRightInd w:val="0"/>
        <w:spacing w:line="240" w:lineRule="auto"/>
        <w:rPr>
          <w:rFonts w:eastAsia="Times New Roman" w:cs="Times New Roman"/>
          <w:snapToGrid w:val="0"/>
          <w:color w:val="000000"/>
          <w:szCs w:val="20"/>
        </w:rPr>
      </w:pPr>
      <w:r w:rsidRPr="00740F38">
        <w:rPr>
          <w:rFonts w:eastAsia="Times New Roman" w:cs="Times New Roman"/>
          <w:snapToGrid w:val="0"/>
          <w:color w:val="000000"/>
          <w:szCs w:val="20"/>
        </w:rPr>
        <w:t>In addition, a</w:t>
      </w:r>
      <w:r w:rsidRPr="00740F38" w:rsidR="00E81FCA">
        <w:rPr>
          <w:rFonts w:eastAsia="Times New Roman" w:cs="Times New Roman"/>
          <w:snapToGrid w:val="0"/>
          <w:color w:val="000000"/>
          <w:szCs w:val="20"/>
        </w:rPr>
        <w:t>pproximately $</w:t>
      </w:r>
      <w:r w:rsidR="00B6137F">
        <w:rPr>
          <w:rFonts w:eastAsia="Times New Roman" w:cs="Times New Roman"/>
          <w:snapToGrid w:val="0"/>
          <w:color w:val="000000"/>
          <w:szCs w:val="20"/>
        </w:rPr>
        <w:t>8</w:t>
      </w:r>
      <w:r w:rsidR="00646541">
        <w:rPr>
          <w:rFonts w:eastAsia="Times New Roman" w:cs="Times New Roman"/>
          <w:snapToGrid w:val="0"/>
          <w:color w:val="000000"/>
          <w:szCs w:val="20"/>
        </w:rPr>
        <w:t>89</w:t>
      </w:r>
      <w:r w:rsidR="00713BCA">
        <w:rPr>
          <w:rFonts w:eastAsia="Times New Roman" w:cs="Times New Roman"/>
          <w:snapToGrid w:val="0"/>
          <w:color w:val="000000"/>
          <w:szCs w:val="20"/>
        </w:rPr>
        <w:t>,000</w:t>
      </w:r>
      <w:r w:rsidRPr="00740F38" w:rsidR="00E81FCA">
        <w:rPr>
          <w:rFonts w:eastAsia="Times New Roman" w:cs="Times New Roman"/>
          <w:snapToGrid w:val="0"/>
          <w:color w:val="000000"/>
          <w:szCs w:val="20"/>
        </w:rPr>
        <w:t xml:space="preserve"> will be paid annually to the contractor hired to conduct the surveys.</w:t>
      </w:r>
      <w:r w:rsidRPr="00740F38" w:rsidR="003C0974">
        <w:rPr>
          <w:rFonts w:eastAsia="Times New Roman" w:cs="Times New Roman"/>
          <w:snapToGrid w:val="0"/>
          <w:color w:val="000000"/>
          <w:szCs w:val="20"/>
        </w:rPr>
        <w:t xml:space="preserve">  Of this,</w:t>
      </w:r>
      <w:r w:rsidRPr="00740F38" w:rsidR="00CA4A8E">
        <w:rPr>
          <w:rFonts w:eastAsia="Times New Roman" w:cs="Times New Roman"/>
          <w:snapToGrid w:val="0"/>
          <w:color w:val="000000"/>
          <w:szCs w:val="20"/>
        </w:rPr>
        <w:t xml:space="preserve"> </w:t>
      </w:r>
      <w:r w:rsidRPr="00740F38" w:rsidR="003C0974">
        <w:rPr>
          <w:rFonts w:eastAsia="Times New Roman" w:cs="Times New Roman"/>
          <w:snapToGrid w:val="0"/>
          <w:color w:val="000000"/>
          <w:szCs w:val="20"/>
        </w:rPr>
        <w:t>approximately</w:t>
      </w:r>
      <w:r w:rsidRPr="00740F38" w:rsidR="00CA4A8E">
        <w:rPr>
          <w:rFonts w:eastAsia="Times New Roman" w:cs="Times New Roman"/>
          <w:snapToGrid w:val="0"/>
          <w:color w:val="000000"/>
          <w:szCs w:val="20"/>
        </w:rPr>
        <w:t xml:space="preserve"> </w:t>
      </w:r>
      <w:r w:rsidRPr="00740F38" w:rsidR="003C0974">
        <w:rPr>
          <w:rFonts w:eastAsia="Times New Roman" w:cs="Times New Roman"/>
          <w:snapToGrid w:val="0"/>
          <w:color w:val="000000"/>
          <w:szCs w:val="20"/>
        </w:rPr>
        <w:t>$</w:t>
      </w:r>
      <w:r w:rsidR="00B6137F">
        <w:rPr>
          <w:rFonts w:eastAsia="Times New Roman" w:cs="Times New Roman"/>
          <w:snapToGrid w:val="0"/>
          <w:color w:val="000000"/>
          <w:szCs w:val="20"/>
        </w:rPr>
        <w:t>3</w:t>
      </w:r>
      <w:r w:rsidR="00646541">
        <w:rPr>
          <w:rFonts w:eastAsia="Times New Roman" w:cs="Times New Roman"/>
          <w:snapToGrid w:val="0"/>
          <w:color w:val="000000"/>
          <w:szCs w:val="20"/>
        </w:rPr>
        <w:t>3</w:t>
      </w:r>
      <w:r w:rsidR="00B6137F">
        <w:rPr>
          <w:rFonts w:eastAsia="Times New Roman" w:cs="Times New Roman"/>
          <w:snapToGrid w:val="0"/>
          <w:color w:val="000000"/>
          <w:szCs w:val="20"/>
        </w:rPr>
        <w:t>5</w:t>
      </w:r>
      <w:r w:rsidR="00713BCA">
        <w:rPr>
          <w:rFonts w:eastAsia="Times New Roman" w:cs="Times New Roman"/>
          <w:snapToGrid w:val="0"/>
          <w:color w:val="000000"/>
          <w:szCs w:val="20"/>
        </w:rPr>
        <w:t xml:space="preserve">,000 </w:t>
      </w:r>
      <w:r w:rsidRPr="00740F38" w:rsidR="004C5DBC">
        <w:rPr>
          <w:rFonts w:eastAsia="Times New Roman" w:cs="Times New Roman"/>
          <w:snapToGrid w:val="0"/>
          <w:color w:val="000000"/>
          <w:szCs w:val="20"/>
        </w:rPr>
        <w:t>will be</w:t>
      </w:r>
      <w:r w:rsidRPr="00740F38" w:rsidR="003C0974">
        <w:rPr>
          <w:rFonts w:eastAsia="Times New Roman" w:cs="Times New Roman"/>
          <w:snapToGrid w:val="0"/>
          <w:color w:val="000000"/>
          <w:szCs w:val="20"/>
        </w:rPr>
        <w:t xml:space="preserve"> attributable to</w:t>
      </w:r>
      <w:r w:rsidRPr="00740F38" w:rsidR="004C5DBC">
        <w:rPr>
          <w:rFonts w:eastAsia="Times New Roman" w:cs="Times New Roman"/>
          <w:snapToGrid w:val="0"/>
          <w:color w:val="000000"/>
          <w:szCs w:val="20"/>
        </w:rPr>
        <w:t xml:space="preserve"> the </w:t>
      </w:r>
      <w:r w:rsidRPr="00740F38" w:rsidR="00CA4A8E">
        <w:rPr>
          <w:rFonts w:eastAsia="Times New Roman" w:cs="Times New Roman"/>
          <w:snapToGrid w:val="0"/>
          <w:color w:val="000000"/>
          <w:szCs w:val="20"/>
        </w:rPr>
        <w:t xml:space="preserve">cash </w:t>
      </w:r>
      <w:r w:rsidRPr="00740F38" w:rsidR="004C5DBC">
        <w:rPr>
          <w:rFonts w:eastAsia="Times New Roman" w:cs="Times New Roman"/>
          <w:snapToGrid w:val="0"/>
          <w:color w:val="000000"/>
          <w:szCs w:val="20"/>
        </w:rPr>
        <w:t>incentive payments to survey recipients</w:t>
      </w:r>
      <w:r w:rsidRPr="00740F38" w:rsidR="003C0974">
        <w:rPr>
          <w:rFonts w:eastAsia="Times New Roman" w:cs="Times New Roman"/>
          <w:snapToGrid w:val="0"/>
          <w:color w:val="000000"/>
          <w:szCs w:val="20"/>
        </w:rPr>
        <w:t>; approximately $</w:t>
      </w:r>
      <w:r w:rsidR="00B6137F">
        <w:rPr>
          <w:rFonts w:eastAsia="Times New Roman" w:cs="Times New Roman"/>
          <w:snapToGrid w:val="0"/>
          <w:color w:val="000000"/>
          <w:szCs w:val="20"/>
        </w:rPr>
        <w:t>400</w:t>
      </w:r>
      <w:r w:rsidR="00713BCA">
        <w:rPr>
          <w:rFonts w:eastAsia="Times New Roman" w:cs="Times New Roman"/>
          <w:snapToGrid w:val="0"/>
          <w:color w:val="000000"/>
          <w:szCs w:val="20"/>
        </w:rPr>
        <w:t>,000</w:t>
      </w:r>
      <w:r w:rsidRPr="00740F38" w:rsidR="003C0974">
        <w:rPr>
          <w:rFonts w:eastAsia="Times New Roman" w:cs="Times New Roman"/>
          <w:snapToGrid w:val="0"/>
          <w:color w:val="000000"/>
          <w:szCs w:val="20"/>
        </w:rPr>
        <w:t xml:space="preserve"> will be for printing </w:t>
      </w:r>
      <w:r w:rsidR="00713BCA">
        <w:rPr>
          <w:rFonts w:eastAsia="Times New Roman" w:cs="Times New Roman"/>
          <w:snapToGrid w:val="0"/>
          <w:color w:val="000000"/>
          <w:szCs w:val="20"/>
        </w:rPr>
        <w:t xml:space="preserve">and assembly </w:t>
      </w:r>
      <w:r w:rsidRPr="00740F38" w:rsidR="003C0974">
        <w:rPr>
          <w:rFonts w:eastAsia="Times New Roman" w:cs="Times New Roman"/>
          <w:snapToGrid w:val="0"/>
          <w:color w:val="000000"/>
          <w:szCs w:val="20"/>
        </w:rPr>
        <w:t>costs; approximately $</w:t>
      </w:r>
      <w:r w:rsidR="00713BCA">
        <w:rPr>
          <w:rFonts w:eastAsia="Times New Roman" w:cs="Times New Roman"/>
          <w:snapToGrid w:val="0"/>
          <w:color w:val="000000"/>
          <w:szCs w:val="20"/>
        </w:rPr>
        <w:t>1</w:t>
      </w:r>
      <w:r w:rsidR="00646541">
        <w:rPr>
          <w:rFonts w:eastAsia="Times New Roman" w:cs="Times New Roman"/>
          <w:snapToGrid w:val="0"/>
          <w:color w:val="000000"/>
          <w:szCs w:val="20"/>
        </w:rPr>
        <w:t>3</w:t>
      </w:r>
      <w:r w:rsidR="00B6137F">
        <w:rPr>
          <w:rFonts w:eastAsia="Times New Roman" w:cs="Times New Roman"/>
          <w:snapToGrid w:val="0"/>
          <w:color w:val="000000"/>
          <w:szCs w:val="20"/>
        </w:rPr>
        <w:t>5</w:t>
      </w:r>
      <w:r w:rsidR="00713BCA">
        <w:rPr>
          <w:rFonts w:eastAsia="Times New Roman" w:cs="Times New Roman"/>
          <w:snapToGrid w:val="0"/>
          <w:color w:val="000000"/>
          <w:szCs w:val="20"/>
        </w:rPr>
        <w:t>,000</w:t>
      </w:r>
      <w:r w:rsidRPr="00740F38" w:rsidR="003C0974">
        <w:rPr>
          <w:rFonts w:eastAsia="Times New Roman" w:cs="Times New Roman"/>
          <w:snapToGrid w:val="0"/>
          <w:color w:val="000000"/>
          <w:szCs w:val="20"/>
        </w:rPr>
        <w:t xml:space="preserve"> will be for postage costs</w:t>
      </w:r>
      <w:r w:rsidR="00C32884">
        <w:rPr>
          <w:rFonts w:eastAsia="Times New Roman" w:cs="Times New Roman"/>
          <w:snapToGrid w:val="0"/>
          <w:color w:val="000000"/>
          <w:szCs w:val="20"/>
        </w:rPr>
        <w:t>; and approximately $</w:t>
      </w:r>
      <w:r w:rsidR="00646541">
        <w:rPr>
          <w:rFonts w:eastAsia="Times New Roman" w:cs="Times New Roman"/>
          <w:snapToGrid w:val="0"/>
          <w:color w:val="000000"/>
          <w:szCs w:val="20"/>
        </w:rPr>
        <w:t>10</w:t>
      </w:r>
      <w:r w:rsidR="00C32884">
        <w:rPr>
          <w:rFonts w:eastAsia="Times New Roman" w:cs="Times New Roman"/>
          <w:snapToGrid w:val="0"/>
          <w:color w:val="000000"/>
          <w:szCs w:val="20"/>
        </w:rPr>
        <w:t>,000 will be for other fixed costs</w:t>
      </w:r>
      <w:r w:rsidRPr="00740F38" w:rsidR="003C0974">
        <w:rPr>
          <w:rFonts w:eastAsia="Times New Roman" w:cs="Times New Roman"/>
          <w:snapToGrid w:val="0"/>
          <w:color w:val="000000"/>
          <w:szCs w:val="20"/>
        </w:rPr>
        <w:t>.</w:t>
      </w:r>
    </w:p>
    <w:p w:rsidR="00F25808" w:rsidP="000D3CCC" w14:paraId="4A8A1996" w14:textId="77777777">
      <w:pPr>
        <w:autoSpaceDE w:val="0"/>
        <w:autoSpaceDN w:val="0"/>
        <w:adjustRightInd w:val="0"/>
        <w:spacing w:line="240" w:lineRule="auto"/>
        <w:rPr>
          <w:rFonts w:eastAsia="Times New Roman" w:cs="Times New Roman"/>
          <w:snapToGrid w:val="0"/>
          <w:color w:val="000000"/>
          <w:szCs w:val="20"/>
        </w:rPr>
      </w:pPr>
    </w:p>
    <w:p w:rsidR="00F25808" w:rsidRPr="008E6915" w:rsidP="000D3CCC" w14:paraId="2F047D6A" w14:textId="775E7822">
      <w:pPr>
        <w:autoSpaceDE w:val="0"/>
        <w:autoSpaceDN w:val="0"/>
        <w:adjustRightInd w:val="0"/>
        <w:spacing w:line="240" w:lineRule="auto"/>
        <w:rPr>
          <w:rFonts w:eastAsia="Times New Roman" w:cs="Times New Roman"/>
          <w:color w:val="000000"/>
          <w:szCs w:val="24"/>
        </w:rPr>
      </w:pPr>
      <w:r>
        <w:rPr>
          <w:rFonts w:eastAsia="Times New Roman" w:cs="Times New Roman"/>
          <w:snapToGrid w:val="0"/>
          <w:color w:val="000000"/>
          <w:szCs w:val="20"/>
        </w:rPr>
        <w:t>$</w:t>
      </w:r>
      <w:r w:rsidR="00713BCA">
        <w:rPr>
          <w:rFonts w:eastAsia="Times New Roman" w:cs="Times New Roman"/>
          <w:snapToGrid w:val="0"/>
          <w:color w:val="000000"/>
          <w:szCs w:val="20"/>
        </w:rPr>
        <w:t>3</w:t>
      </w:r>
      <w:r w:rsidR="00831BB3">
        <w:rPr>
          <w:rFonts w:eastAsia="Times New Roman" w:cs="Times New Roman"/>
          <w:snapToGrid w:val="0"/>
          <w:color w:val="000000"/>
          <w:szCs w:val="20"/>
        </w:rPr>
        <w:t>6</w:t>
      </w:r>
      <w:r w:rsidR="00713BCA">
        <w:rPr>
          <w:rFonts w:eastAsia="Times New Roman" w:cs="Times New Roman"/>
          <w:snapToGrid w:val="0"/>
          <w:color w:val="000000"/>
          <w:szCs w:val="20"/>
        </w:rPr>
        <w:t>,000</w:t>
      </w:r>
      <w:r>
        <w:rPr>
          <w:rFonts w:eastAsia="Times New Roman" w:cs="Times New Roman"/>
          <w:snapToGrid w:val="0"/>
          <w:color w:val="000000"/>
          <w:szCs w:val="20"/>
        </w:rPr>
        <w:t xml:space="preserve"> (hourly cost) + $</w:t>
      </w:r>
      <w:r w:rsidR="00B6137F">
        <w:rPr>
          <w:rFonts w:eastAsia="Times New Roman" w:cs="Times New Roman"/>
          <w:snapToGrid w:val="0"/>
          <w:color w:val="000000"/>
          <w:szCs w:val="20"/>
        </w:rPr>
        <w:t>8</w:t>
      </w:r>
      <w:r w:rsidR="00646541">
        <w:rPr>
          <w:rFonts w:eastAsia="Times New Roman" w:cs="Times New Roman"/>
          <w:snapToGrid w:val="0"/>
          <w:color w:val="000000"/>
          <w:szCs w:val="20"/>
        </w:rPr>
        <w:t>80</w:t>
      </w:r>
      <w:r w:rsidR="00713BCA">
        <w:rPr>
          <w:rFonts w:eastAsia="Times New Roman" w:cs="Times New Roman"/>
          <w:snapToGrid w:val="0"/>
          <w:color w:val="000000"/>
          <w:szCs w:val="20"/>
        </w:rPr>
        <w:t>,000</w:t>
      </w:r>
      <w:r>
        <w:rPr>
          <w:rFonts w:eastAsia="Times New Roman" w:cs="Times New Roman"/>
          <w:snapToGrid w:val="0"/>
          <w:color w:val="000000"/>
          <w:szCs w:val="20"/>
        </w:rPr>
        <w:t xml:space="preserve"> (paid to subcontractor) = $</w:t>
      </w:r>
      <w:r w:rsidR="00646541">
        <w:rPr>
          <w:rFonts w:eastAsia="Times New Roman" w:cs="Times New Roman"/>
          <w:snapToGrid w:val="0"/>
          <w:color w:val="000000"/>
          <w:szCs w:val="20"/>
        </w:rPr>
        <w:t>916</w:t>
      </w:r>
      <w:r w:rsidR="00B6137F">
        <w:rPr>
          <w:rFonts w:eastAsia="Times New Roman" w:cs="Times New Roman"/>
          <w:snapToGrid w:val="0"/>
          <w:color w:val="000000"/>
          <w:szCs w:val="20"/>
        </w:rPr>
        <w:t>,000</w:t>
      </w:r>
    </w:p>
    <w:p w:rsidR="00CE4E95" w:rsidP="000D3CCC" w14:paraId="7ADB02C9" w14:textId="2D87258D">
      <w:pPr>
        <w:autoSpaceDE w:val="0"/>
        <w:autoSpaceDN w:val="0"/>
        <w:adjustRightInd w:val="0"/>
        <w:spacing w:line="240" w:lineRule="auto"/>
        <w:rPr>
          <w:rFonts w:eastAsia="Times New Roman" w:cs="Times New Roman"/>
          <w:color w:val="000000"/>
          <w:szCs w:val="24"/>
        </w:rPr>
      </w:pPr>
    </w:p>
    <w:p w:rsidR="00CE4E95" w:rsidRPr="008E6915" w:rsidP="000D3CCC" w14:paraId="34B86D43" w14:textId="77777777">
      <w:pPr>
        <w:autoSpaceDE w:val="0"/>
        <w:autoSpaceDN w:val="0"/>
        <w:adjustRightInd w:val="0"/>
        <w:spacing w:line="240" w:lineRule="auto"/>
        <w:rPr>
          <w:rFonts w:eastAsia="Times New Roman" w:cs="Times New Roman"/>
          <w:color w:val="000000"/>
          <w:szCs w:val="24"/>
        </w:rPr>
      </w:pPr>
    </w:p>
    <w:p w:rsidR="00854B60" w:rsidRPr="00854B60" w:rsidP="000D3CCC" w14:paraId="3330DC50" w14:textId="77777777">
      <w:pPr>
        <w:autoSpaceDE w:val="0"/>
        <w:autoSpaceDN w:val="0"/>
        <w:adjustRightInd w:val="0"/>
        <w:spacing w:line="240" w:lineRule="auto"/>
        <w:rPr>
          <w:rFonts w:eastAsia="Times New Roman" w:cs="Times New Roman"/>
          <w:b/>
          <w:color w:val="000000"/>
          <w:szCs w:val="24"/>
          <w:u w:val="single"/>
        </w:rPr>
      </w:pPr>
      <w:r w:rsidRPr="00854B60">
        <w:rPr>
          <w:rFonts w:eastAsia="Times New Roman" w:cs="Times New Roman"/>
          <w:b/>
          <w:color w:val="000000"/>
          <w:szCs w:val="24"/>
        </w:rPr>
        <w:t xml:space="preserve">15.  </w:t>
      </w:r>
      <w:r w:rsidRPr="007B5DD4" w:rsidR="00E82184">
        <w:rPr>
          <w:rFonts w:eastAsia="Times New Roman" w:cs="Times New Roman"/>
          <w:b/>
          <w:color w:val="000000"/>
          <w:szCs w:val="24"/>
        </w:rPr>
        <w:t>Reasons for change in burden</w:t>
      </w:r>
    </w:p>
    <w:p w:rsidR="00B25C61" w:rsidP="000D3CCC" w14:paraId="7480A899" w14:textId="77777777">
      <w:pPr>
        <w:spacing w:line="240" w:lineRule="auto"/>
        <w:rPr>
          <w:rFonts w:eastAsia="Times New Roman" w:cs="Times New Roman"/>
          <w:snapToGrid w:val="0"/>
          <w:color w:val="000000"/>
          <w:szCs w:val="20"/>
        </w:rPr>
      </w:pPr>
    </w:p>
    <w:p w:rsidR="000F3F6F" w:rsidP="000D3CCC" w14:paraId="199FEFB3" w14:textId="10CE27C3">
      <w:pPr>
        <w:autoSpaceDE w:val="0"/>
        <w:autoSpaceDN w:val="0"/>
        <w:adjustRightInd w:val="0"/>
        <w:spacing w:line="240" w:lineRule="auto"/>
        <w:rPr>
          <w:rFonts w:eastAsia="Times New Roman" w:cs="Times New Roman"/>
          <w:b/>
          <w:color w:val="000000"/>
          <w:szCs w:val="24"/>
        </w:rPr>
      </w:pPr>
      <w:r>
        <w:rPr>
          <w:rFonts w:eastAsia="Times New Roman" w:cs="Times New Roman"/>
          <w:snapToGrid w:val="0"/>
          <w:color w:val="000000"/>
          <w:szCs w:val="20"/>
        </w:rPr>
        <w:t>Th</w:t>
      </w:r>
      <w:r w:rsidR="00411FC0">
        <w:rPr>
          <w:rFonts w:eastAsia="Times New Roman" w:cs="Times New Roman"/>
          <w:snapToGrid w:val="0"/>
          <w:color w:val="000000"/>
          <w:szCs w:val="20"/>
        </w:rPr>
        <w:t xml:space="preserve">is is a new request, therefore there is no change in burden. </w:t>
      </w:r>
    </w:p>
    <w:p w:rsidR="00CD5744" w:rsidP="000D3CCC" w14:paraId="7DD75CAB" w14:textId="77777777">
      <w:pPr>
        <w:autoSpaceDE w:val="0"/>
        <w:autoSpaceDN w:val="0"/>
        <w:adjustRightInd w:val="0"/>
        <w:spacing w:line="240" w:lineRule="auto"/>
        <w:rPr>
          <w:rFonts w:eastAsia="Times New Roman" w:cs="Times New Roman"/>
          <w:b/>
          <w:color w:val="000000"/>
          <w:szCs w:val="24"/>
        </w:rPr>
      </w:pPr>
    </w:p>
    <w:p w:rsidR="00944491" w:rsidRPr="001D3D65" w:rsidP="001D3D65" w14:paraId="68F38EEB" w14:textId="05915006">
      <w:pPr>
        <w:autoSpaceDE w:val="0"/>
        <w:autoSpaceDN w:val="0"/>
        <w:adjustRightInd w:val="0"/>
        <w:spacing w:line="240" w:lineRule="auto"/>
        <w:rPr>
          <w:rFonts w:eastAsia="Times New Roman" w:cs="Times New Roman"/>
          <w:color w:val="000000"/>
          <w:szCs w:val="24"/>
        </w:rPr>
      </w:pPr>
      <w:r w:rsidRPr="00854B60">
        <w:rPr>
          <w:rFonts w:eastAsia="Times New Roman" w:cs="Times New Roman"/>
          <w:b/>
          <w:color w:val="000000"/>
          <w:szCs w:val="24"/>
        </w:rPr>
        <w:t xml:space="preserve">16.  </w:t>
      </w:r>
      <w:r w:rsidRPr="0034458F" w:rsidR="00E82184">
        <w:rPr>
          <w:rFonts w:eastAsia="Times New Roman" w:cs="Times New Roman"/>
          <w:b/>
          <w:color w:val="000000"/>
          <w:szCs w:val="24"/>
        </w:rPr>
        <w:t>Plans for tabulation, statistical analysis and publication</w:t>
      </w:r>
    </w:p>
    <w:p w:rsidR="0057111D" w:rsidP="000D3CCC" w14:paraId="5173B715" w14:textId="77777777">
      <w:pPr>
        <w:spacing w:line="240" w:lineRule="auto"/>
        <w:rPr>
          <w:rFonts w:eastAsia="Times New Roman" w:cs="Times New Roman"/>
          <w:snapToGrid w:val="0"/>
          <w:color w:val="000000"/>
          <w:szCs w:val="20"/>
        </w:rPr>
      </w:pPr>
    </w:p>
    <w:p w:rsidR="00E61DAD" w:rsidRPr="008C799D" w:rsidP="000D3CCC" w14:paraId="6DFAC01E" w14:textId="428CD089">
      <w:pPr>
        <w:spacing w:line="240" w:lineRule="auto"/>
        <w:rPr>
          <w:rFonts w:eastAsia="Times New Roman" w:cs="Times New Roman"/>
          <w:snapToGrid w:val="0"/>
          <w:szCs w:val="20"/>
          <w:highlight w:val="yellow"/>
        </w:rPr>
      </w:pPr>
      <w:r w:rsidRPr="002606E6">
        <w:rPr>
          <w:rFonts w:eastAsia="Times New Roman" w:cs="Times New Roman"/>
          <w:snapToGrid w:val="0"/>
          <w:szCs w:val="20"/>
        </w:rPr>
        <w:t xml:space="preserve">On </w:t>
      </w:r>
      <w:r>
        <w:rPr>
          <w:rFonts w:eastAsia="Times New Roman" w:cs="Times New Roman"/>
          <w:snapToGrid w:val="0"/>
          <w:szCs w:val="20"/>
        </w:rPr>
        <w:t>April 18</w:t>
      </w:r>
      <w:r w:rsidRPr="002606E6">
        <w:rPr>
          <w:rFonts w:eastAsia="Times New Roman" w:cs="Times New Roman"/>
          <w:snapToGrid w:val="0"/>
          <w:szCs w:val="20"/>
        </w:rPr>
        <w:t>, 201</w:t>
      </w:r>
      <w:r>
        <w:rPr>
          <w:rFonts w:eastAsia="Times New Roman" w:cs="Times New Roman"/>
          <w:snapToGrid w:val="0"/>
          <w:szCs w:val="20"/>
        </w:rPr>
        <w:t>8</w:t>
      </w:r>
      <w:r w:rsidRPr="002606E6">
        <w:rPr>
          <w:rFonts w:eastAsia="Times New Roman" w:cs="Times New Roman"/>
          <w:snapToGrid w:val="0"/>
          <w:szCs w:val="20"/>
        </w:rPr>
        <w:t>, FHFA and CFPB released aggregate data from the 6,</w:t>
      </w:r>
      <w:r>
        <w:rPr>
          <w:rFonts w:eastAsia="Times New Roman" w:cs="Times New Roman"/>
          <w:snapToGrid w:val="0"/>
          <w:szCs w:val="20"/>
        </w:rPr>
        <w:t>285</w:t>
      </w:r>
      <w:r w:rsidRPr="002606E6">
        <w:rPr>
          <w:rFonts w:eastAsia="Times New Roman" w:cs="Times New Roman"/>
          <w:snapToGrid w:val="0"/>
          <w:szCs w:val="20"/>
        </w:rPr>
        <w:t xml:space="preserve"> responses pertaining to borrowers who obtained a mortgage in 201</w:t>
      </w:r>
      <w:r>
        <w:rPr>
          <w:rFonts w:eastAsia="Times New Roman" w:cs="Times New Roman"/>
          <w:snapToGrid w:val="0"/>
          <w:szCs w:val="20"/>
        </w:rPr>
        <w:t>6</w:t>
      </w:r>
      <w:r w:rsidRPr="002606E6">
        <w:rPr>
          <w:rFonts w:eastAsia="Times New Roman" w:cs="Times New Roman"/>
          <w:snapToGrid w:val="0"/>
          <w:szCs w:val="20"/>
        </w:rPr>
        <w:t xml:space="preserve"> and whose loans were reported to Experian.  </w:t>
      </w:r>
      <w:r>
        <w:rPr>
          <w:rFonts w:eastAsia="Times New Roman" w:cs="Times New Roman"/>
          <w:snapToGrid w:val="0"/>
          <w:szCs w:val="20"/>
        </w:rPr>
        <w:t>The</w:t>
      </w:r>
      <w:r w:rsidRPr="002606E6">
        <w:rPr>
          <w:rFonts w:eastAsia="Times New Roman" w:cs="Times New Roman"/>
          <w:snapToGrid w:val="0"/>
          <w:szCs w:val="20"/>
        </w:rPr>
        <w:t xml:space="preserve"> </w:t>
      </w:r>
      <w:r w:rsidR="00473DA1">
        <w:rPr>
          <w:rFonts w:eastAsia="Times New Roman" w:cs="Times New Roman"/>
          <w:snapToGrid w:val="0"/>
          <w:szCs w:val="20"/>
        </w:rPr>
        <w:t>data</w:t>
      </w:r>
      <w:r w:rsidRPr="002606E6">
        <w:rPr>
          <w:rFonts w:eastAsia="Times New Roman" w:cs="Times New Roman"/>
          <w:snapToGrid w:val="0"/>
          <w:szCs w:val="20"/>
        </w:rPr>
        <w:t xml:space="preserve"> provide an overview of the mortgage market and borrowers’ experiences in 201</w:t>
      </w:r>
      <w:r>
        <w:rPr>
          <w:rFonts w:eastAsia="Times New Roman" w:cs="Times New Roman"/>
          <w:snapToGrid w:val="0"/>
          <w:szCs w:val="20"/>
        </w:rPr>
        <w:t>6</w:t>
      </w:r>
      <w:r w:rsidRPr="002606E6">
        <w:rPr>
          <w:rFonts w:eastAsia="Times New Roman" w:cs="Times New Roman"/>
          <w:snapToGrid w:val="0"/>
          <w:szCs w:val="20"/>
        </w:rPr>
        <w:t>.  These unweighted responses were about one-third of the sample drawn from mortgages originated in 201</w:t>
      </w:r>
      <w:r>
        <w:rPr>
          <w:rFonts w:eastAsia="Times New Roman" w:cs="Times New Roman"/>
          <w:snapToGrid w:val="0"/>
          <w:szCs w:val="20"/>
        </w:rPr>
        <w:t>6</w:t>
      </w:r>
      <w:r w:rsidRPr="002606E6">
        <w:rPr>
          <w:rFonts w:eastAsia="Times New Roman" w:cs="Times New Roman"/>
          <w:snapToGrid w:val="0"/>
          <w:szCs w:val="20"/>
        </w:rPr>
        <w:t>.</w:t>
      </w:r>
      <w:r w:rsidR="008C799D">
        <w:rPr>
          <w:rFonts w:eastAsia="Times New Roman" w:cs="Times New Roman"/>
          <w:snapToGrid w:val="0"/>
          <w:szCs w:val="20"/>
        </w:rPr>
        <w:t xml:space="preserve">  </w:t>
      </w:r>
      <w:r w:rsidR="005A2CA3">
        <w:t xml:space="preserve">In November 2018 FHFA and CFPB started releasing additional </w:t>
      </w:r>
      <w:r w:rsidRPr="0042320E" w:rsidR="0042320E">
        <w:rPr>
          <w:rFonts w:eastAsia="Times New Roman" w:cs="Times New Roman"/>
          <w:snapToGrid w:val="0"/>
          <w:color w:val="000000"/>
          <w:szCs w:val="20"/>
        </w:rPr>
        <w:t xml:space="preserve">loan-level data for public </w:t>
      </w:r>
      <w:r w:rsidRPr="0042320E" w:rsidR="0042320E">
        <w:rPr>
          <w:rFonts w:eastAsia="Times New Roman" w:cs="Times New Roman"/>
          <w:snapToGrid w:val="0"/>
          <w:color w:val="000000"/>
          <w:szCs w:val="20"/>
        </w:rPr>
        <w:t>use collected through the NSMO</w:t>
      </w:r>
      <w:r w:rsidR="005A2CA3">
        <w:rPr>
          <w:rFonts w:eastAsia="Times New Roman" w:cs="Times New Roman"/>
          <w:snapToGrid w:val="0"/>
          <w:color w:val="000000"/>
          <w:szCs w:val="20"/>
        </w:rPr>
        <w:t xml:space="preserve">.  </w:t>
      </w:r>
      <w:r w:rsidR="005A2CA3">
        <w:t xml:space="preserve">There have been </w:t>
      </w:r>
      <w:r w:rsidR="00C7112D">
        <w:t>five</w:t>
      </w:r>
      <w:r w:rsidR="005A2CA3">
        <w:t xml:space="preserve"> subsequent updated releases since that time, </w:t>
      </w:r>
      <w:r w:rsidR="009C4DBD">
        <w:rPr>
          <w:rFonts w:eastAsia="Times New Roman" w:cs="Times New Roman"/>
          <w:snapToGrid w:val="0"/>
          <w:color w:val="000000"/>
          <w:szCs w:val="20"/>
        </w:rPr>
        <w:t>with the most re</w:t>
      </w:r>
      <w:r w:rsidR="00831BB3">
        <w:rPr>
          <w:rFonts w:eastAsia="Times New Roman" w:cs="Times New Roman"/>
          <w:snapToGrid w:val="0"/>
          <w:color w:val="000000"/>
          <w:szCs w:val="20"/>
        </w:rPr>
        <w:t>cent</w:t>
      </w:r>
      <w:r w:rsidR="009C4DBD">
        <w:rPr>
          <w:rFonts w:eastAsia="Times New Roman" w:cs="Times New Roman"/>
          <w:snapToGrid w:val="0"/>
          <w:color w:val="000000"/>
          <w:szCs w:val="20"/>
        </w:rPr>
        <w:t xml:space="preserve"> release on </w:t>
      </w:r>
      <w:r w:rsidR="00C84359">
        <w:rPr>
          <w:rFonts w:eastAsia="Times New Roman" w:cs="Times New Roman"/>
          <w:snapToGrid w:val="0"/>
          <w:color w:val="000000"/>
          <w:szCs w:val="20"/>
        </w:rPr>
        <w:t>July 1, 2024</w:t>
      </w:r>
      <w:r w:rsidRPr="0042320E" w:rsidR="0042320E">
        <w:rPr>
          <w:rFonts w:eastAsia="Times New Roman" w:cs="Times New Roman"/>
          <w:snapToGrid w:val="0"/>
          <w:color w:val="000000"/>
          <w:szCs w:val="20"/>
        </w:rPr>
        <w:t>.</w:t>
      </w:r>
      <w:r>
        <w:rPr>
          <w:rStyle w:val="FootnoteReference"/>
          <w:rFonts w:eastAsia="Times New Roman" w:cs="Times New Roman"/>
          <w:snapToGrid w:val="0"/>
          <w:color w:val="000000"/>
          <w:szCs w:val="20"/>
        </w:rPr>
        <w:footnoteReference w:id="13"/>
      </w:r>
      <w:r w:rsidRPr="0042320E" w:rsidR="0042320E">
        <w:rPr>
          <w:rFonts w:eastAsia="Times New Roman" w:cs="Times New Roman"/>
          <w:snapToGrid w:val="0"/>
          <w:color w:val="000000"/>
          <w:szCs w:val="20"/>
        </w:rPr>
        <w:t xml:space="preserve">  </w:t>
      </w:r>
      <w:r w:rsidRPr="00131793" w:rsidR="00A43D20">
        <w:rPr>
          <w:rFonts w:eastAsia="Times New Roman" w:cs="Times New Roman"/>
          <w:snapToGrid w:val="0"/>
          <w:color w:val="000000"/>
          <w:szCs w:val="20"/>
        </w:rPr>
        <w:t>The analytical techniques used</w:t>
      </w:r>
      <w:r w:rsidRPr="00131793" w:rsidR="008D560F">
        <w:rPr>
          <w:rFonts w:eastAsia="Times New Roman" w:cs="Times New Roman"/>
          <w:snapToGrid w:val="0"/>
          <w:color w:val="000000"/>
          <w:szCs w:val="20"/>
        </w:rPr>
        <w:t xml:space="preserve"> in preparing the data are discussed in detail in Part B of this Supporting Statement</w:t>
      </w:r>
      <w:r w:rsidR="002B4495">
        <w:rPr>
          <w:rFonts w:eastAsia="Times New Roman" w:cs="Times New Roman"/>
          <w:snapToGrid w:val="0"/>
          <w:color w:val="000000"/>
          <w:szCs w:val="20"/>
        </w:rPr>
        <w:t>.</w:t>
      </w:r>
    </w:p>
    <w:p w:rsidR="00851FC2" w:rsidRPr="00131793" w:rsidP="000D3CCC" w14:paraId="47A9380F" w14:textId="77777777">
      <w:pPr>
        <w:spacing w:line="240" w:lineRule="auto"/>
        <w:rPr>
          <w:rFonts w:eastAsia="Times New Roman" w:cs="Times New Roman"/>
          <w:snapToGrid w:val="0"/>
          <w:color w:val="000000"/>
          <w:szCs w:val="20"/>
        </w:rPr>
      </w:pPr>
    </w:p>
    <w:p w:rsidR="00953B2E" w:rsidP="000D3CCC" w14:paraId="41D86659" w14:textId="075A8D34">
      <w:pPr>
        <w:spacing w:line="240" w:lineRule="auto"/>
        <w:rPr>
          <w:rFonts w:eastAsia="Times New Roman" w:cs="Times New Roman"/>
          <w:snapToGrid w:val="0"/>
          <w:color w:val="000000"/>
          <w:szCs w:val="20"/>
        </w:rPr>
      </w:pPr>
      <w:r w:rsidRPr="00131793">
        <w:rPr>
          <w:rFonts w:eastAsia="Times New Roman" w:cs="Times New Roman"/>
          <w:snapToGrid w:val="0"/>
          <w:color w:val="000000"/>
          <w:szCs w:val="20"/>
        </w:rPr>
        <w:t>Going forward, FHFA</w:t>
      </w:r>
      <w:r w:rsidRPr="00131793" w:rsidR="00A4022C">
        <w:rPr>
          <w:rFonts w:eastAsia="Times New Roman" w:cs="Times New Roman"/>
          <w:snapToGrid w:val="0"/>
          <w:color w:val="000000"/>
          <w:szCs w:val="20"/>
        </w:rPr>
        <w:t xml:space="preserve"> and CFPB plan to publish similar </w:t>
      </w:r>
      <w:r w:rsidRPr="00131793" w:rsidR="00870ECC">
        <w:rPr>
          <w:rFonts w:eastAsia="Times New Roman" w:cs="Times New Roman"/>
          <w:snapToGrid w:val="0"/>
          <w:color w:val="000000"/>
          <w:szCs w:val="20"/>
        </w:rPr>
        <w:t>data</w:t>
      </w:r>
      <w:r w:rsidRPr="00131793" w:rsidR="00A4022C">
        <w:rPr>
          <w:rFonts w:eastAsia="Times New Roman" w:cs="Times New Roman"/>
          <w:snapToGrid w:val="0"/>
          <w:color w:val="000000"/>
          <w:szCs w:val="20"/>
        </w:rPr>
        <w:t xml:space="preserve"> annually, with each</w:t>
      </w:r>
      <w:r w:rsidRPr="00131793" w:rsidR="00AD054B">
        <w:rPr>
          <w:rFonts w:eastAsia="Times New Roman" w:cs="Times New Roman"/>
          <w:snapToGrid w:val="0"/>
          <w:color w:val="000000"/>
          <w:szCs w:val="20"/>
        </w:rPr>
        <w:t xml:space="preserve"> presenting NSMO data pertaining to borrowers who obtained a mortgage during a particular calendar year.  </w:t>
      </w:r>
      <w:r w:rsidRPr="00131793" w:rsidR="00F35491">
        <w:rPr>
          <w:rFonts w:eastAsia="Times New Roman" w:cs="Times New Roman"/>
          <w:snapToGrid w:val="0"/>
          <w:color w:val="000000"/>
          <w:szCs w:val="20"/>
        </w:rPr>
        <w:t>The agencies expect to release</w:t>
      </w:r>
      <w:r w:rsidRPr="00131793" w:rsidR="00824B49">
        <w:rPr>
          <w:rFonts w:eastAsia="Times New Roman" w:cs="Times New Roman"/>
          <w:snapToGrid w:val="0"/>
          <w:color w:val="000000"/>
          <w:szCs w:val="20"/>
        </w:rPr>
        <w:t xml:space="preserve"> reports on NSMO data</w:t>
      </w:r>
      <w:r w:rsidRPr="00131793" w:rsidR="00E3146B">
        <w:rPr>
          <w:rFonts w:eastAsia="Times New Roman" w:cs="Times New Roman"/>
          <w:snapToGrid w:val="0"/>
          <w:color w:val="000000"/>
          <w:szCs w:val="20"/>
        </w:rPr>
        <w:t xml:space="preserve"> for loans originated in </w:t>
      </w:r>
      <w:r w:rsidR="00B16BA6">
        <w:rPr>
          <w:rFonts w:eastAsia="Times New Roman" w:cs="Times New Roman"/>
          <w:snapToGrid w:val="0"/>
          <w:color w:val="000000"/>
          <w:szCs w:val="20"/>
        </w:rPr>
        <w:t>202</w:t>
      </w:r>
      <w:r w:rsidR="00C7112D">
        <w:rPr>
          <w:rFonts w:eastAsia="Times New Roman" w:cs="Times New Roman"/>
          <w:snapToGrid w:val="0"/>
          <w:color w:val="000000"/>
          <w:szCs w:val="20"/>
        </w:rPr>
        <w:t>2</w:t>
      </w:r>
      <w:r w:rsidR="005B2889">
        <w:rPr>
          <w:rFonts w:eastAsia="Times New Roman" w:cs="Times New Roman"/>
          <w:snapToGrid w:val="0"/>
          <w:color w:val="000000"/>
          <w:szCs w:val="20"/>
        </w:rPr>
        <w:t xml:space="preserve"> and 2023</w:t>
      </w:r>
      <w:r w:rsidR="000A44DD">
        <w:rPr>
          <w:rFonts w:eastAsia="Times New Roman" w:cs="Times New Roman"/>
          <w:snapToGrid w:val="0"/>
          <w:color w:val="000000"/>
          <w:szCs w:val="20"/>
        </w:rPr>
        <w:t xml:space="preserve"> in 202</w:t>
      </w:r>
      <w:r w:rsidR="00C7112D">
        <w:rPr>
          <w:rFonts w:eastAsia="Times New Roman" w:cs="Times New Roman"/>
          <w:snapToGrid w:val="0"/>
          <w:color w:val="000000"/>
          <w:szCs w:val="20"/>
        </w:rPr>
        <w:t>5</w:t>
      </w:r>
      <w:r w:rsidR="001F28B3">
        <w:rPr>
          <w:rFonts w:eastAsia="Times New Roman" w:cs="Times New Roman"/>
          <w:snapToGrid w:val="0"/>
          <w:color w:val="000000"/>
          <w:szCs w:val="20"/>
        </w:rPr>
        <w:t>,</w:t>
      </w:r>
      <w:r w:rsidRPr="00131793" w:rsidR="00E3146B">
        <w:rPr>
          <w:rFonts w:eastAsia="Times New Roman" w:cs="Times New Roman"/>
          <w:snapToGrid w:val="0"/>
          <w:color w:val="000000"/>
          <w:szCs w:val="20"/>
        </w:rPr>
        <w:t xml:space="preserve"> and </w:t>
      </w:r>
      <w:r w:rsidRPr="00131793" w:rsidR="0094714A">
        <w:rPr>
          <w:rFonts w:eastAsia="Times New Roman" w:cs="Times New Roman"/>
          <w:snapToGrid w:val="0"/>
          <w:color w:val="000000"/>
          <w:szCs w:val="20"/>
        </w:rPr>
        <w:t>subsequent years approximately 24 months</w:t>
      </w:r>
      <w:r w:rsidRPr="00131793" w:rsidR="00E3146B">
        <w:rPr>
          <w:rFonts w:eastAsia="Times New Roman" w:cs="Times New Roman"/>
          <w:snapToGrid w:val="0"/>
          <w:color w:val="000000"/>
          <w:szCs w:val="20"/>
        </w:rPr>
        <w:t xml:space="preserve"> after the end of the calendar year to which the data pertains.</w:t>
      </w:r>
    </w:p>
    <w:p w:rsidR="00553470" w:rsidP="000D3CCC" w14:paraId="791E6481" w14:textId="1E02A70B">
      <w:pPr>
        <w:spacing w:line="240" w:lineRule="auto"/>
        <w:rPr>
          <w:rFonts w:eastAsia="Times New Roman" w:cs="Times New Roman"/>
          <w:snapToGrid w:val="0"/>
          <w:color w:val="000000"/>
          <w:szCs w:val="20"/>
        </w:rPr>
      </w:pPr>
    </w:p>
    <w:p w:rsidR="00553470" w:rsidP="000D3CCC" w14:paraId="66CF2656" w14:textId="77796914">
      <w:pPr>
        <w:spacing w:line="240" w:lineRule="auto"/>
        <w:rPr>
          <w:rFonts w:eastAsia="Times New Roman" w:cs="Times New Roman"/>
          <w:snapToGrid w:val="0"/>
          <w:color w:val="000000"/>
          <w:szCs w:val="20"/>
        </w:rPr>
      </w:pPr>
      <w:r>
        <w:rPr>
          <w:rFonts w:eastAsia="Times New Roman" w:cs="Times New Roman"/>
          <w:snapToGrid w:val="0"/>
          <w:color w:val="000000"/>
          <w:szCs w:val="20"/>
        </w:rPr>
        <w:t xml:space="preserve">NSMO data releases and technical documentation are </w:t>
      </w:r>
      <w:r w:rsidR="003849DA">
        <w:rPr>
          <w:rFonts w:eastAsia="Times New Roman" w:cs="Times New Roman"/>
          <w:snapToGrid w:val="0"/>
          <w:color w:val="000000"/>
          <w:szCs w:val="20"/>
        </w:rPr>
        <w:t xml:space="preserve">made </w:t>
      </w:r>
      <w:r>
        <w:rPr>
          <w:rFonts w:eastAsia="Times New Roman" w:cs="Times New Roman"/>
          <w:snapToGrid w:val="0"/>
          <w:color w:val="000000"/>
          <w:szCs w:val="20"/>
        </w:rPr>
        <w:t xml:space="preserve">available </w:t>
      </w:r>
      <w:r w:rsidRPr="00553470">
        <w:rPr>
          <w:rFonts w:eastAsia="Times New Roman" w:cs="Times New Roman"/>
          <w:snapToGrid w:val="0"/>
          <w:color w:val="000000"/>
          <w:szCs w:val="20"/>
        </w:rPr>
        <w:t xml:space="preserve">on FHFA’s </w:t>
      </w:r>
      <w:r>
        <w:rPr>
          <w:rFonts w:eastAsia="Times New Roman" w:cs="Times New Roman"/>
          <w:snapToGrid w:val="0"/>
          <w:color w:val="000000"/>
          <w:szCs w:val="20"/>
        </w:rPr>
        <w:t xml:space="preserve">public </w:t>
      </w:r>
      <w:r w:rsidRPr="00553470">
        <w:rPr>
          <w:rFonts w:eastAsia="Times New Roman" w:cs="Times New Roman"/>
          <w:snapToGrid w:val="0"/>
          <w:color w:val="000000"/>
          <w:szCs w:val="20"/>
        </w:rPr>
        <w:t>website</w:t>
      </w:r>
      <w:r>
        <w:rPr>
          <w:rFonts w:eastAsia="Times New Roman" w:cs="Times New Roman"/>
          <w:snapToGrid w:val="0"/>
          <w:color w:val="000000"/>
          <w:szCs w:val="20"/>
        </w:rPr>
        <w:t xml:space="preserve"> at:  </w:t>
      </w:r>
      <w:hyperlink r:id="rId10" w:history="1">
        <w:r w:rsidRPr="00553470">
          <w:rPr>
            <w:rStyle w:val="Hyperlink"/>
            <w:rFonts w:eastAsia="Times New Roman" w:cs="Times New Roman"/>
            <w:snapToGrid w:val="0"/>
            <w:szCs w:val="20"/>
          </w:rPr>
          <w:t>https://www.fhfa.gov/nsmodata</w:t>
        </w:r>
      </w:hyperlink>
      <w:r w:rsidRPr="00553470">
        <w:rPr>
          <w:rFonts w:eastAsia="Times New Roman" w:cs="Times New Roman"/>
          <w:snapToGrid w:val="0"/>
          <w:color w:val="000000"/>
          <w:szCs w:val="20"/>
        </w:rPr>
        <w:t>.</w:t>
      </w:r>
    </w:p>
    <w:p w:rsidR="001F04F2" w:rsidP="000D3CCC" w14:paraId="25DB4870" w14:textId="49C81DAB">
      <w:pPr>
        <w:spacing w:line="240" w:lineRule="auto"/>
        <w:rPr>
          <w:rFonts w:eastAsia="Times New Roman" w:cs="Times New Roman"/>
          <w:snapToGrid w:val="0"/>
          <w:color w:val="000000"/>
          <w:szCs w:val="20"/>
        </w:rPr>
      </w:pPr>
    </w:p>
    <w:p w:rsidR="00CD5744" w:rsidRPr="00854B60" w:rsidP="000D3CCC" w14:paraId="1D2707AF" w14:textId="77777777">
      <w:pPr>
        <w:spacing w:line="240" w:lineRule="auto"/>
        <w:rPr>
          <w:rFonts w:eastAsia="Times New Roman" w:cs="Times New Roman"/>
          <w:snapToGrid w:val="0"/>
          <w:color w:val="000000"/>
          <w:szCs w:val="20"/>
        </w:rPr>
      </w:pPr>
    </w:p>
    <w:p w:rsidR="00854B60" w:rsidRPr="00854B60" w:rsidP="000D3CCC" w14:paraId="6876BDF0" w14:textId="77777777">
      <w:pPr>
        <w:autoSpaceDE w:val="0"/>
        <w:autoSpaceDN w:val="0"/>
        <w:adjustRightInd w:val="0"/>
        <w:spacing w:line="240" w:lineRule="auto"/>
        <w:ind w:left="450" w:hanging="450"/>
        <w:rPr>
          <w:rFonts w:eastAsia="Times New Roman" w:cs="Times New Roman"/>
          <w:b/>
          <w:color w:val="000000"/>
          <w:szCs w:val="24"/>
          <w:u w:val="single"/>
        </w:rPr>
      </w:pPr>
      <w:r w:rsidRPr="00854B60">
        <w:rPr>
          <w:rFonts w:eastAsia="Times New Roman" w:cs="Times New Roman"/>
          <w:b/>
          <w:color w:val="000000"/>
          <w:szCs w:val="24"/>
        </w:rPr>
        <w:t xml:space="preserve">17.  </w:t>
      </w:r>
      <w:r w:rsidR="0034458F">
        <w:rPr>
          <w:rFonts w:eastAsia="Times New Roman" w:cs="Times New Roman"/>
          <w:b/>
          <w:color w:val="000000"/>
          <w:szCs w:val="24"/>
        </w:rPr>
        <w:tab/>
      </w:r>
      <w:r w:rsidRPr="0034458F" w:rsidR="00E82184">
        <w:rPr>
          <w:rFonts w:eastAsia="Times New Roman" w:cs="Times New Roman"/>
          <w:b/>
          <w:color w:val="000000"/>
          <w:szCs w:val="24"/>
        </w:rPr>
        <w:t xml:space="preserve">If seeking approval to not display the expiration date for </w:t>
      </w:r>
      <w:r w:rsidR="00E82184">
        <w:rPr>
          <w:rFonts w:eastAsia="Times New Roman" w:cs="Times New Roman"/>
          <w:b/>
          <w:color w:val="000000"/>
          <w:szCs w:val="24"/>
        </w:rPr>
        <w:t>OMB</w:t>
      </w:r>
      <w:r w:rsidRPr="0034458F" w:rsidR="00E82184">
        <w:rPr>
          <w:rFonts w:eastAsia="Times New Roman" w:cs="Times New Roman"/>
          <w:b/>
          <w:color w:val="000000"/>
          <w:szCs w:val="24"/>
        </w:rPr>
        <w:t xml:space="preserve"> approval of the information collection, explain the reasons why display would be inappropriate</w:t>
      </w:r>
    </w:p>
    <w:p w:rsidR="00854B60" w:rsidRPr="00854B60" w:rsidP="000D3CCC" w14:paraId="2E618471" w14:textId="77777777">
      <w:pPr>
        <w:spacing w:line="240" w:lineRule="auto"/>
        <w:rPr>
          <w:rFonts w:eastAsia="Times New Roman" w:cs="Times New Roman"/>
          <w:snapToGrid w:val="0"/>
          <w:color w:val="000000"/>
          <w:szCs w:val="20"/>
        </w:rPr>
      </w:pPr>
    </w:p>
    <w:p w:rsidR="009F0FC2" w:rsidRPr="009F0FC2" w:rsidP="000D3CCC" w14:paraId="6E22BE3C" w14:textId="77777777">
      <w:pPr>
        <w:autoSpaceDE w:val="0"/>
        <w:autoSpaceDN w:val="0"/>
        <w:adjustRightInd w:val="0"/>
        <w:spacing w:line="240" w:lineRule="auto"/>
        <w:rPr>
          <w:rFonts w:eastAsia="Times New Roman" w:cs="Times New Roman"/>
          <w:snapToGrid w:val="0"/>
          <w:color w:val="000000"/>
          <w:szCs w:val="20"/>
        </w:rPr>
      </w:pPr>
      <w:r w:rsidRPr="009F0FC2">
        <w:rPr>
          <w:rFonts w:eastAsia="Times New Roman" w:cs="Times New Roman"/>
          <w:snapToGrid w:val="0"/>
          <w:color w:val="000000"/>
          <w:szCs w:val="20"/>
        </w:rPr>
        <w:t xml:space="preserve">FHFA </w:t>
      </w:r>
      <w:r w:rsidR="00171D9E">
        <w:rPr>
          <w:rFonts w:eastAsia="Times New Roman" w:cs="Times New Roman"/>
          <w:snapToGrid w:val="0"/>
          <w:color w:val="000000"/>
          <w:szCs w:val="20"/>
        </w:rPr>
        <w:t xml:space="preserve">will </w:t>
      </w:r>
      <w:r w:rsidR="001A0413">
        <w:rPr>
          <w:rFonts w:eastAsia="Times New Roman" w:cs="Times New Roman"/>
          <w:snapToGrid w:val="0"/>
          <w:color w:val="000000"/>
          <w:szCs w:val="20"/>
        </w:rPr>
        <w:t>display the expiration date for</w:t>
      </w:r>
      <w:r w:rsidRPr="009F0FC2">
        <w:rPr>
          <w:rFonts w:eastAsia="Times New Roman" w:cs="Times New Roman"/>
          <w:snapToGrid w:val="0"/>
          <w:color w:val="000000"/>
          <w:szCs w:val="20"/>
        </w:rPr>
        <w:t xml:space="preserve"> OMB approval.</w:t>
      </w:r>
    </w:p>
    <w:p w:rsidR="00582DE7" w:rsidP="000D3CCC" w14:paraId="45E9062C" w14:textId="056C7666">
      <w:pPr>
        <w:autoSpaceDE w:val="0"/>
        <w:autoSpaceDN w:val="0"/>
        <w:adjustRightInd w:val="0"/>
        <w:spacing w:line="240" w:lineRule="auto"/>
        <w:rPr>
          <w:rFonts w:eastAsia="Times New Roman" w:cs="Times New Roman"/>
          <w:snapToGrid w:val="0"/>
          <w:color w:val="000000"/>
          <w:szCs w:val="20"/>
        </w:rPr>
      </w:pPr>
    </w:p>
    <w:p w:rsidR="00CD5744" w:rsidP="000D3CCC" w14:paraId="2D06DA88" w14:textId="09C5BE16">
      <w:pPr>
        <w:autoSpaceDE w:val="0"/>
        <w:autoSpaceDN w:val="0"/>
        <w:adjustRightInd w:val="0"/>
        <w:spacing w:line="240" w:lineRule="auto"/>
        <w:rPr>
          <w:rFonts w:eastAsia="Times New Roman" w:cs="Times New Roman"/>
          <w:snapToGrid w:val="0"/>
          <w:color w:val="000000"/>
          <w:szCs w:val="20"/>
        </w:rPr>
      </w:pPr>
    </w:p>
    <w:p w:rsidR="00854B60" w:rsidRPr="00854B60" w:rsidP="000D3CCC" w14:paraId="179EA1ED" w14:textId="77777777">
      <w:pPr>
        <w:autoSpaceDE w:val="0"/>
        <w:autoSpaceDN w:val="0"/>
        <w:adjustRightInd w:val="0"/>
        <w:spacing w:line="240" w:lineRule="auto"/>
        <w:ind w:left="450" w:hanging="450"/>
        <w:rPr>
          <w:rFonts w:eastAsia="Times New Roman" w:cs="Times New Roman"/>
          <w:color w:val="000000"/>
          <w:szCs w:val="24"/>
        </w:rPr>
      </w:pPr>
      <w:r w:rsidRPr="00854B60">
        <w:rPr>
          <w:rFonts w:eastAsia="Times New Roman" w:cs="Times New Roman"/>
          <w:b/>
          <w:color w:val="000000"/>
          <w:szCs w:val="24"/>
        </w:rPr>
        <w:t xml:space="preserve">18.  </w:t>
      </w:r>
      <w:r w:rsidR="0034458F">
        <w:rPr>
          <w:rFonts w:eastAsia="Times New Roman" w:cs="Times New Roman"/>
          <w:b/>
          <w:color w:val="000000"/>
          <w:szCs w:val="24"/>
        </w:rPr>
        <w:tab/>
      </w:r>
      <w:r w:rsidRPr="0034458F" w:rsidR="00E82184">
        <w:rPr>
          <w:rFonts w:eastAsia="Times New Roman" w:cs="Times New Roman"/>
          <w:b/>
          <w:color w:val="000000"/>
          <w:szCs w:val="24"/>
        </w:rPr>
        <w:t>Explain each exception to the topics of the certification statement identified in “certification for paperwork reduction act submission</w:t>
      </w:r>
      <w:r w:rsidRPr="00854B60" w:rsidR="00E82184">
        <w:rPr>
          <w:rFonts w:eastAsia="Times New Roman" w:cs="Times New Roman"/>
          <w:color w:val="000000"/>
          <w:szCs w:val="24"/>
        </w:rPr>
        <w:t>.”</w:t>
      </w:r>
    </w:p>
    <w:p w:rsidR="00854B60" w:rsidRPr="00854B60" w:rsidP="000D3CCC" w14:paraId="3BB6AFB4" w14:textId="77777777">
      <w:pPr>
        <w:autoSpaceDE w:val="0"/>
        <w:autoSpaceDN w:val="0"/>
        <w:adjustRightInd w:val="0"/>
        <w:spacing w:line="240" w:lineRule="auto"/>
        <w:rPr>
          <w:rFonts w:eastAsia="Times New Roman" w:cs="Times New Roman"/>
          <w:color w:val="000000"/>
          <w:szCs w:val="24"/>
        </w:rPr>
      </w:pPr>
    </w:p>
    <w:p w:rsidR="00164D42" w:rsidP="000D3CCC" w14:paraId="6A7F657A" w14:textId="77777777">
      <w:pPr>
        <w:autoSpaceDE w:val="0"/>
        <w:autoSpaceDN w:val="0"/>
        <w:adjustRightInd w:val="0"/>
        <w:spacing w:line="240" w:lineRule="auto"/>
        <w:rPr>
          <w:rFonts w:eastAsia="Times New Roman" w:cs="Times New Roman"/>
          <w:color w:val="000000"/>
          <w:szCs w:val="24"/>
        </w:rPr>
      </w:pPr>
      <w:r w:rsidRPr="009F0FC2">
        <w:rPr>
          <w:rFonts w:eastAsia="Times New Roman" w:cs="Times New Roman"/>
          <w:color w:val="000000"/>
          <w:szCs w:val="24"/>
        </w:rPr>
        <w:t xml:space="preserve">There are no exceptions to the topics of the certification statement identified in the “Certification </w:t>
      </w:r>
      <w:r w:rsidR="001A0413">
        <w:rPr>
          <w:rFonts w:eastAsia="Times New Roman" w:cs="Times New Roman"/>
          <w:color w:val="000000"/>
          <w:szCs w:val="24"/>
        </w:rPr>
        <w:t>for Pape</w:t>
      </w:r>
      <w:r w:rsidR="008E467F">
        <w:rPr>
          <w:rFonts w:eastAsia="Times New Roman" w:cs="Times New Roman"/>
          <w:color w:val="000000"/>
          <w:szCs w:val="24"/>
        </w:rPr>
        <w:t>rwork Reduction Act Submission.</w:t>
      </w:r>
      <w:r w:rsidR="001B721B">
        <w:rPr>
          <w:rFonts w:eastAsia="Times New Roman" w:cs="Times New Roman"/>
          <w:color w:val="000000"/>
          <w:szCs w:val="24"/>
        </w:rPr>
        <w:t>”</w:t>
      </w:r>
    </w:p>
    <w:p w:rsidR="0038664C" w:rsidRPr="000C7818" w:rsidP="000D3CCC" w14:paraId="3464F866" w14:textId="77777777">
      <w:pPr>
        <w:autoSpaceDE w:val="0"/>
        <w:autoSpaceDN w:val="0"/>
        <w:adjustRightInd w:val="0"/>
        <w:spacing w:line="240" w:lineRule="auto"/>
        <w:rPr>
          <w:rFonts w:eastAsia="Times New Roman" w:cs="Times New Roman"/>
          <w:color w:val="000000"/>
          <w:szCs w:val="24"/>
        </w:rPr>
      </w:pPr>
    </w:p>
    <w:p w:rsidR="0094714A" w14:paraId="209A3D4B" w14:textId="77777777">
      <w:pPr>
        <w:rPr>
          <w:rFonts w:eastAsia="Times New Roman" w:cs="Times New Roman"/>
          <w:b/>
          <w:bCs/>
          <w:szCs w:val="24"/>
        </w:rPr>
      </w:pPr>
      <w:r>
        <w:rPr>
          <w:rFonts w:eastAsia="Times New Roman" w:cs="Times New Roman"/>
          <w:b/>
          <w:bCs/>
          <w:szCs w:val="24"/>
        </w:rPr>
        <w:br w:type="page"/>
      </w:r>
    </w:p>
    <w:p w:rsidR="007B5DD4" w:rsidRPr="007B5DD4" w:rsidP="000D3CCC" w14:paraId="582E30B9" w14:textId="1727619E">
      <w:pPr>
        <w:spacing w:line="240" w:lineRule="auto"/>
        <w:ind w:right="193"/>
        <w:rPr>
          <w:rFonts w:eastAsia="Times New Roman" w:cs="Times New Roman"/>
          <w:b/>
          <w:bCs/>
          <w:szCs w:val="24"/>
        </w:rPr>
      </w:pPr>
      <w:r w:rsidRPr="007B5DD4">
        <w:rPr>
          <w:rFonts w:eastAsia="Times New Roman" w:cs="Times New Roman"/>
          <w:b/>
          <w:bCs/>
          <w:szCs w:val="24"/>
        </w:rPr>
        <w:t>B.  COLLECTIONS OF INFORMATION INVOLVING STATISTICAL METHODS</w:t>
      </w:r>
    </w:p>
    <w:p w:rsidR="007B5DD4" w:rsidP="000D3CCC" w14:paraId="7F10182C" w14:textId="77777777">
      <w:pPr>
        <w:spacing w:line="240" w:lineRule="auto"/>
        <w:ind w:right="193"/>
        <w:rPr>
          <w:rFonts w:eastAsia="Times New Roman" w:cs="Times New Roman"/>
          <w:b/>
          <w:bCs/>
          <w:szCs w:val="24"/>
        </w:rPr>
      </w:pPr>
    </w:p>
    <w:p w:rsidR="00744D1B" w:rsidRPr="00744D1B" w:rsidP="000D3CCC" w14:paraId="277C5090" w14:textId="77777777">
      <w:pPr>
        <w:autoSpaceDE w:val="0"/>
        <w:autoSpaceDN w:val="0"/>
        <w:adjustRightInd w:val="0"/>
        <w:spacing w:line="240" w:lineRule="auto"/>
        <w:ind w:left="540"/>
        <w:rPr>
          <w:rFonts w:eastAsia="Times New Roman" w:cs="Times New Roman"/>
          <w:b/>
          <w:color w:val="000000"/>
          <w:szCs w:val="24"/>
        </w:rPr>
      </w:pPr>
      <w:r w:rsidRPr="00A73379">
        <w:rPr>
          <w:rFonts w:eastAsia="Times New Roman" w:cs="Times New Roman"/>
          <w:b/>
          <w:szCs w:val="24"/>
        </w:rPr>
        <w:t xml:space="preserve">Question </w:t>
      </w:r>
      <w:r w:rsidRPr="00A73379">
        <w:rPr>
          <w:rFonts w:eastAsia="Times New Roman" w:cs="Times New Roman"/>
          <w:b/>
          <w:color w:val="000000"/>
          <w:szCs w:val="24"/>
        </w:rPr>
        <w:t>1.</w:t>
      </w:r>
      <w:r w:rsidR="00021B90">
        <w:rPr>
          <w:rFonts w:eastAsia="Times New Roman" w:cs="Times New Roman"/>
          <w:b/>
          <w:color w:val="000000"/>
          <w:szCs w:val="24"/>
        </w:rPr>
        <w:t xml:space="preserve"> </w:t>
      </w:r>
      <w:r w:rsidRPr="00A73379">
        <w:rPr>
          <w:rFonts w:eastAsia="Times New Roman" w:cs="Times New Roman"/>
          <w:b/>
          <w:color w:val="000000"/>
          <w:szCs w:val="24"/>
        </w:rPr>
        <w:t xml:space="preserve"> Describe (including a numerical </w:t>
      </w:r>
      <w:r w:rsidRPr="00424E41">
        <w:rPr>
          <w:rFonts w:eastAsia="Times New Roman" w:cs="Times New Roman"/>
          <w:b/>
          <w:color w:val="000000"/>
          <w:szCs w:val="24"/>
        </w:rPr>
        <w:t>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Pr="00424E41" w:rsidR="00A73379">
        <w:rPr>
          <w:rFonts w:eastAsia="Times New Roman" w:cs="Times New Roman"/>
          <w:b/>
          <w:color w:val="000000"/>
          <w:szCs w:val="24"/>
        </w:rPr>
        <w:t xml:space="preserve"> </w:t>
      </w:r>
      <w:r w:rsidRPr="00424E41">
        <w:rPr>
          <w:rFonts w:eastAsia="Times New Roman" w:cs="Times New Roman"/>
          <w:b/>
          <w:color w:val="000000"/>
          <w:szCs w:val="24"/>
        </w:rPr>
        <w:t xml:space="preserve"> Indicate expected response rates for the collection as a whole.  If the collection had been conducted previously, include the actual response rate achieved during the last collection.</w:t>
      </w:r>
    </w:p>
    <w:p w:rsidR="002D286D" w:rsidP="000D3CCC" w14:paraId="672B7276" w14:textId="77777777">
      <w:pPr>
        <w:spacing w:line="240" w:lineRule="auto"/>
        <w:rPr>
          <w:rFonts w:eastAsia="Times New Roman" w:cs="Times New Roman"/>
          <w:color w:val="000000"/>
          <w:szCs w:val="24"/>
        </w:rPr>
      </w:pPr>
    </w:p>
    <w:p w:rsidR="00F94945" w:rsidP="000D3CCC" w14:paraId="08D30405" w14:textId="54AC535A">
      <w:pPr>
        <w:spacing w:line="240" w:lineRule="auto"/>
        <w:rPr>
          <w:szCs w:val="24"/>
        </w:rPr>
      </w:pPr>
      <w:r w:rsidRPr="00D36AD4">
        <w:rPr>
          <w:rFonts w:eastAsia="Times New Roman" w:cs="Times New Roman"/>
          <w:color w:val="000000"/>
          <w:szCs w:val="24"/>
        </w:rPr>
        <w:t xml:space="preserve">The </w:t>
      </w:r>
      <w:r w:rsidR="00DB226A">
        <w:rPr>
          <w:rFonts w:eastAsia="Times New Roman" w:cs="Times New Roman"/>
          <w:color w:val="000000"/>
          <w:szCs w:val="24"/>
        </w:rPr>
        <w:t>NSMO</w:t>
      </w:r>
      <w:r w:rsidR="00873CB7">
        <w:rPr>
          <w:rFonts w:eastAsia="Times New Roman" w:cs="Times New Roman"/>
          <w:color w:val="000000"/>
          <w:szCs w:val="24"/>
        </w:rPr>
        <w:t xml:space="preserve"> represent</w:t>
      </w:r>
      <w:r w:rsidR="00FC1799">
        <w:rPr>
          <w:rFonts w:eastAsia="Times New Roman" w:cs="Times New Roman"/>
          <w:color w:val="000000"/>
          <w:szCs w:val="24"/>
        </w:rPr>
        <w:t>s</w:t>
      </w:r>
      <w:r w:rsidR="00873CB7">
        <w:rPr>
          <w:rFonts w:eastAsia="Times New Roman" w:cs="Times New Roman"/>
          <w:color w:val="000000"/>
          <w:szCs w:val="24"/>
        </w:rPr>
        <w:t xml:space="preserve"> a universe of</w:t>
      </w:r>
      <w:r w:rsidRPr="00D36AD4">
        <w:rPr>
          <w:rFonts w:eastAsia="Times New Roman" w:cs="Times New Roman"/>
          <w:color w:val="000000"/>
          <w:szCs w:val="24"/>
        </w:rPr>
        <w:t xml:space="preserve"> </w:t>
      </w:r>
      <w:r w:rsidR="00602D4A">
        <w:rPr>
          <w:rFonts w:eastAsia="Times New Roman" w:cs="Times New Roman"/>
          <w:color w:val="000000"/>
          <w:szCs w:val="24"/>
        </w:rPr>
        <w:t>6</w:t>
      </w:r>
      <w:r w:rsidRPr="00D36AD4" w:rsidR="00AC6D67">
        <w:rPr>
          <w:rFonts w:eastAsia="Times New Roman" w:cs="Times New Roman"/>
          <w:color w:val="000000"/>
          <w:szCs w:val="24"/>
        </w:rPr>
        <w:t xml:space="preserve"> </w:t>
      </w:r>
      <w:r w:rsidRPr="00D36AD4">
        <w:rPr>
          <w:rFonts w:eastAsia="Times New Roman" w:cs="Times New Roman"/>
          <w:color w:val="000000"/>
          <w:szCs w:val="24"/>
        </w:rPr>
        <w:t xml:space="preserve">to </w:t>
      </w:r>
      <w:r w:rsidR="008D735C">
        <w:rPr>
          <w:rFonts w:eastAsia="Times New Roman" w:cs="Times New Roman"/>
          <w:color w:val="000000"/>
          <w:szCs w:val="24"/>
        </w:rPr>
        <w:t>13</w:t>
      </w:r>
      <w:r w:rsidRPr="00D36AD4">
        <w:rPr>
          <w:rFonts w:eastAsia="Times New Roman" w:cs="Times New Roman"/>
          <w:color w:val="000000"/>
          <w:szCs w:val="24"/>
        </w:rPr>
        <w:t xml:space="preserve"> m</w:t>
      </w:r>
      <w:r w:rsidR="001D0E6C">
        <w:rPr>
          <w:rFonts w:eastAsia="Times New Roman" w:cs="Times New Roman"/>
          <w:color w:val="000000"/>
          <w:szCs w:val="24"/>
        </w:rPr>
        <w:t>illion</w:t>
      </w:r>
      <w:r w:rsidR="00B60DE0">
        <w:rPr>
          <w:rFonts w:eastAsia="Times New Roman" w:cs="Times New Roman"/>
          <w:color w:val="000000"/>
          <w:szCs w:val="24"/>
        </w:rPr>
        <w:t xml:space="preserve"> </w:t>
      </w:r>
      <w:r w:rsidR="008D735C">
        <w:rPr>
          <w:rFonts w:eastAsia="Times New Roman" w:cs="Times New Roman"/>
          <w:color w:val="000000"/>
          <w:szCs w:val="24"/>
        </w:rPr>
        <w:t xml:space="preserve">loans per year that are </w:t>
      </w:r>
      <w:r w:rsidR="006F354E">
        <w:rPr>
          <w:rFonts w:eastAsia="Times New Roman" w:cs="Times New Roman"/>
          <w:color w:val="000000"/>
          <w:szCs w:val="24"/>
        </w:rPr>
        <w:t>recently</w:t>
      </w:r>
      <w:r w:rsidR="008009B7">
        <w:rPr>
          <w:rFonts w:eastAsia="Times New Roman" w:cs="Times New Roman"/>
          <w:color w:val="000000"/>
          <w:szCs w:val="24"/>
        </w:rPr>
        <w:t xml:space="preserve"> originated</w:t>
      </w:r>
      <w:r w:rsidR="001D0E6C">
        <w:rPr>
          <w:rFonts w:eastAsia="Times New Roman" w:cs="Times New Roman"/>
          <w:color w:val="000000"/>
          <w:szCs w:val="24"/>
        </w:rPr>
        <w:t xml:space="preserve"> </w:t>
      </w:r>
      <w:r w:rsidRPr="006F41DA" w:rsidR="006F41DA">
        <w:rPr>
          <w:rFonts w:eastAsia="Times New Roman" w:cs="Times New Roman"/>
          <w:color w:val="000000"/>
          <w:szCs w:val="24"/>
        </w:rPr>
        <w:t>closed-end first-lien mortgage loans</w:t>
      </w:r>
      <w:r w:rsidR="00424E41">
        <w:rPr>
          <w:rFonts w:eastAsia="Times New Roman" w:cs="Times New Roman"/>
          <w:color w:val="000000"/>
          <w:szCs w:val="24"/>
        </w:rPr>
        <w:t xml:space="preserve"> on single-family residential property</w:t>
      </w:r>
      <w:r w:rsidRPr="006F41DA" w:rsidR="006F41DA">
        <w:rPr>
          <w:rFonts w:eastAsia="Times New Roman" w:cs="Times New Roman"/>
          <w:color w:val="000000"/>
          <w:szCs w:val="24"/>
        </w:rPr>
        <w:t xml:space="preserve"> </w:t>
      </w:r>
      <w:r w:rsidR="001D0E6C">
        <w:rPr>
          <w:rFonts w:eastAsia="Times New Roman" w:cs="Times New Roman"/>
          <w:color w:val="000000"/>
          <w:szCs w:val="24"/>
        </w:rPr>
        <w:t xml:space="preserve">that are </w:t>
      </w:r>
      <w:r w:rsidR="00453369">
        <w:rPr>
          <w:rFonts w:eastAsia="Times New Roman" w:cs="Times New Roman"/>
          <w:color w:val="000000"/>
          <w:szCs w:val="24"/>
        </w:rPr>
        <w:t xml:space="preserve">newly </w:t>
      </w:r>
      <w:r w:rsidR="006D1B46">
        <w:rPr>
          <w:rFonts w:eastAsia="Times New Roman" w:cs="Times New Roman"/>
          <w:color w:val="000000"/>
          <w:szCs w:val="24"/>
        </w:rPr>
        <w:t>reported to Experian</w:t>
      </w:r>
      <w:r w:rsidR="002A71D0">
        <w:rPr>
          <w:rFonts w:eastAsia="Times New Roman" w:cs="Times New Roman"/>
          <w:color w:val="000000"/>
          <w:szCs w:val="24"/>
        </w:rPr>
        <w:t>.  A</w:t>
      </w:r>
      <w:r w:rsidRPr="00D36AD4">
        <w:rPr>
          <w:rFonts w:eastAsia="Times New Roman" w:cs="Times New Roman"/>
          <w:color w:val="000000"/>
          <w:szCs w:val="24"/>
        </w:rPr>
        <w:t xml:space="preserve"> 1-in-20 simple rand</w:t>
      </w:r>
      <w:r w:rsidR="00B60DE0">
        <w:rPr>
          <w:rFonts w:eastAsia="Times New Roman" w:cs="Times New Roman"/>
          <w:color w:val="000000"/>
          <w:szCs w:val="24"/>
        </w:rPr>
        <w:t>om sample</w:t>
      </w:r>
      <w:r w:rsidRPr="00D36AD4">
        <w:rPr>
          <w:rFonts w:eastAsia="Times New Roman" w:cs="Times New Roman"/>
          <w:color w:val="000000"/>
          <w:szCs w:val="24"/>
        </w:rPr>
        <w:t xml:space="preserve"> </w:t>
      </w:r>
      <w:r w:rsidR="00B11AC9">
        <w:rPr>
          <w:rFonts w:eastAsia="Times New Roman" w:cs="Times New Roman"/>
          <w:color w:val="000000"/>
          <w:szCs w:val="24"/>
        </w:rPr>
        <w:t>of those</w:t>
      </w:r>
      <w:r w:rsidRPr="00D36AD4">
        <w:rPr>
          <w:rFonts w:eastAsia="Times New Roman" w:cs="Times New Roman"/>
          <w:color w:val="000000"/>
          <w:szCs w:val="24"/>
        </w:rPr>
        <w:t xml:space="preserve"> mortgages</w:t>
      </w:r>
      <w:r w:rsidR="00E73F51">
        <w:rPr>
          <w:rFonts w:eastAsia="Times New Roman" w:cs="Times New Roman"/>
          <w:color w:val="000000"/>
          <w:szCs w:val="24"/>
        </w:rPr>
        <w:t xml:space="preserve"> </w:t>
      </w:r>
      <w:r w:rsidR="00FC1799">
        <w:rPr>
          <w:rFonts w:eastAsia="Times New Roman" w:cs="Times New Roman"/>
          <w:color w:val="000000"/>
          <w:szCs w:val="24"/>
        </w:rPr>
        <w:t>are</w:t>
      </w:r>
      <w:r w:rsidR="00E73F51">
        <w:rPr>
          <w:rFonts w:eastAsia="Times New Roman" w:cs="Times New Roman"/>
          <w:color w:val="000000"/>
          <w:szCs w:val="24"/>
        </w:rPr>
        <w:t xml:space="preserve"> added to the National Mortgage Database </w:t>
      </w:r>
      <w:r w:rsidR="00B11AC9">
        <w:rPr>
          <w:rFonts w:eastAsia="Times New Roman" w:cs="Times New Roman"/>
          <w:color w:val="000000"/>
          <w:szCs w:val="24"/>
        </w:rPr>
        <w:t>each quarter</w:t>
      </w:r>
      <w:r w:rsidR="00BB3832">
        <w:rPr>
          <w:rFonts w:eastAsia="Times New Roman" w:cs="Times New Roman"/>
          <w:color w:val="000000"/>
          <w:szCs w:val="24"/>
        </w:rPr>
        <w:t>, resulting in</w:t>
      </w:r>
      <w:r w:rsidR="004B05AA">
        <w:rPr>
          <w:rFonts w:eastAsia="Times New Roman" w:cs="Times New Roman"/>
          <w:color w:val="000000"/>
          <w:szCs w:val="24"/>
        </w:rPr>
        <w:t xml:space="preserve"> </w:t>
      </w:r>
      <w:r w:rsidR="00FC1799">
        <w:rPr>
          <w:rFonts w:eastAsia="Times New Roman" w:cs="Times New Roman"/>
          <w:color w:val="000000"/>
          <w:szCs w:val="24"/>
        </w:rPr>
        <w:t>approximately</w:t>
      </w:r>
      <w:r w:rsidR="00B60DE0">
        <w:rPr>
          <w:rFonts w:eastAsia="Times New Roman" w:cs="Times New Roman"/>
          <w:color w:val="000000"/>
          <w:szCs w:val="24"/>
        </w:rPr>
        <w:t xml:space="preserve"> </w:t>
      </w:r>
      <w:r w:rsidR="00B8041C">
        <w:rPr>
          <w:rFonts w:eastAsia="Times New Roman" w:cs="Times New Roman"/>
          <w:color w:val="000000"/>
          <w:szCs w:val="24"/>
        </w:rPr>
        <w:t>44,000</w:t>
      </w:r>
      <w:r w:rsidR="00602D4A">
        <w:rPr>
          <w:rFonts w:eastAsia="Times New Roman" w:cs="Times New Roman"/>
          <w:color w:val="000000"/>
          <w:szCs w:val="24"/>
        </w:rPr>
        <w:t>,</w:t>
      </w:r>
      <w:r w:rsidR="00B60DE0">
        <w:rPr>
          <w:rFonts w:eastAsia="Times New Roman" w:cs="Times New Roman"/>
          <w:color w:val="000000"/>
          <w:szCs w:val="24"/>
        </w:rPr>
        <w:t xml:space="preserve">000 to </w:t>
      </w:r>
      <w:r w:rsidR="00B8041C">
        <w:rPr>
          <w:rFonts w:eastAsia="Times New Roman" w:cs="Times New Roman"/>
          <w:color w:val="000000"/>
          <w:szCs w:val="24"/>
        </w:rPr>
        <w:t>197</w:t>
      </w:r>
      <w:r w:rsidR="00B60DE0">
        <w:rPr>
          <w:rFonts w:eastAsia="Times New Roman" w:cs="Times New Roman"/>
          <w:color w:val="000000"/>
          <w:szCs w:val="24"/>
        </w:rPr>
        <w:t>,000</w:t>
      </w:r>
      <w:r w:rsidR="00DF3421">
        <w:rPr>
          <w:rFonts w:eastAsia="Times New Roman" w:cs="Times New Roman"/>
          <w:color w:val="000000"/>
          <w:szCs w:val="24"/>
        </w:rPr>
        <w:t xml:space="preserve"> </w:t>
      </w:r>
      <w:r w:rsidR="00B60DE0">
        <w:rPr>
          <w:rFonts w:eastAsia="Times New Roman" w:cs="Times New Roman"/>
          <w:color w:val="000000"/>
          <w:szCs w:val="24"/>
        </w:rPr>
        <w:t>loans being added quarterly</w:t>
      </w:r>
      <w:r w:rsidR="00B11AC9">
        <w:rPr>
          <w:rFonts w:eastAsia="Times New Roman" w:cs="Times New Roman"/>
          <w:color w:val="000000"/>
          <w:szCs w:val="24"/>
        </w:rPr>
        <w:t xml:space="preserve"> and</w:t>
      </w:r>
      <w:r w:rsidR="00FC1799">
        <w:rPr>
          <w:rFonts w:eastAsia="Times New Roman" w:cs="Times New Roman"/>
          <w:color w:val="000000"/>
          <w:szCs w:val="24"/>
        </w:rPr>
        <w:t xml:space="preserve"> </w:t>
      </w:r>
      <w:r w:rsidR="00B8041C">
        <w:rPr>
          <w:rFonts w:eastAsia="Times New Roman" w:cs="Times New Roman"/>
          <w:color w:val="000000"/>
          <w:szCs w:val="24"/>
        </w:rPr>
        <w:t>276</w:t>
      </w:r>
      <w:r w:rsidR="00BB3832">
        <w:rPr>
          <w:rFonts w:eastAsia="Times New Roman" w:cs="Times New Roman"/>
          <w:color w:val="000000"/>
          <w:szCs w:val="24"/>
        </w:rPr>
        <w:t xml:space="preserve">,000 to </w:t>
      </w:r>
      <w:r w:rsidR="00DF2EA9">
        <w:rPr>
          <w:rFonts w:eastAsia="Times New Roman" w:cs="Times New Roman"/>
          <w:color w:val="000000"/>
          <w:szCs w:val="24"/>
        </w:rPr>
        <w:t>6</w:t>
      </w:r>
      <w:r w:rsidR="00B8041C">
        <w:rPr>
          <w:rFonts w:eastAsia="Times New Roman" w:cs="Times New Roman"/>
          <w:color w:val="000000"/>
          <w:szCs w:val="24"/>
        </w:rPr>
        <w:t>69</w:t>
      </w:r>
      <w:r w:rsidR="00107C5C">
        <w:rPr>
          <w:rFonts w:eastAsia="Times New Roman" w:cs="Times New Roman"/>
          <w:color w:val="000000"/>
          <w:szCs w:val="24"/>
        </w:rPr>
        <w:t>,000</w:t>
      </w:r>
      <w:r w:rsidR="00BB3832">
        <w:rPr>
          <w:rFonts w:eastAsia="Times New Roman" w:cs="Times New Roman"/>
          <w:color w:val="000000"/>
          <w:szCs w:val="24"/>
        </w:rPr>
        <w:t xml:space="preserve"> </w:t>
      </w:r>
      <w:r w:rsidR="00B11AC9">
        <w:rPr>
          <w:rFonts w:eastAsia="Times New Roman" w:cs="Times New Roman"/>
          <w:color w:val="000000"/>
          <w:szCs w:val="24"/>
        </w:rPr>
        <w:t xml:space="preserve">loans </w:t>
      </w:r>
      <w:r w:rsidR="00DF3421">
        <w:rPr>
          <w:rFonts w:eastAsia="Times New Roman" w:cs="Times New Roman"/>
          <w:color w:val="000000"/>
          <w:szCs w:val="24"/>
        </w:rPr>
        <w:t xml:space="preserve">being added </w:t>
      </w:r>
      <w:r w:rsidR="00BB3832">
        <w:rPr>
          <w:rFonts w:eastAsia="Times New Roman" w:cs="Times New Roman"/>
          <w:color w:val="000000"/>
          <w:szCs w:val="24"/>
        </w:rPr>
        <w:t>annually</w:t>
      </w:r>
      <w:r w:rsidR="004B05AA">
        <w:rPr>
          <w:rFonts w:eastAsia="Times New Roman" w:cs="Times New Roman"/>
          <w:color w:val="000000"/>
          <w:szCs w:val="24"/>
        </w:rPr>
        <w:t xml:space="preserve">. </w:t>
      </w:r>
      <w:r w:rsidRPr="00D36AD4">
        <w:rPr>
          <w:rFonts w:eastAsia="Times New Roman" w:cs="Times New Roman"/>
          <w:color w:val="000000"/>
          <w:szCs w:val="24"/>
        </w:rPr>
        <w:t xml:space="preserve"> </w:t>
      </w:r>
      <w:r w:rsidR="006F354E">
        <w:rPr>
          <w:rFonts w:eastAsia="Times New Roman" w:cs="Times New Roman"/>
          <w:color w:val="000000"/>
          <w:szCs w:val="24"/>
        </w:rPr>
        <w:t>F</w:t>
      </w:r>
      <w:r w:rsidR="004B05AA">
        <w:rPr>
          <w:szCs w:val="24"/>
        </w:rPr>
        <w:t>o</w:t>
      </w:r>
      <w:r w:rsidR="00C67833">
        <w:rPr>
          <w:szCs w:val="24"/>
        </w:rPr>
        <w:t xml:space="preserve">r </w:t>
      </w:r>
      <w:r w:rsidR="002E0989">
        <w:rPr>
          <w:szCs w:val="24"/>
        </w:rPr>
        <w:t xml:space="preserve">each of </w:t>
      </w:r>
      <w:r w:rsidR="00C67833">
        <w:rPr>
          <w:szCs w:val="24"/>
        </w:rPr>
        <w:t xml:space="preserve">the </w:t>
      </w:r>
      <w:r w:rsidR="001C236F">
        <w:rPr>
          <w:szCs w:val="24"/>
        </w:rPr>
        <w:t>forty-</w:t>
      </w:r>
      <w:r w:rsidR="00B34528">
        <w:rPr>
          <w:szCs w:val="24"/>
        </w:rPr>
        <w:t>two</w:t>
      </w:r>
      <w:r w:rsidR="00882E48">
        <w:rPr>
          <w:szCs w:val="24"/>
        </w:rPr>
        <w:t xml:space="preserve"> </w:t>
      </w:r>
      <w:r w:rsidR="00C67833">
        <w:rPr>
          <w:szCs w:val="24"/>
        </w:rPr>
        <w:t>quarterly waves of the NSMO that have been mailed to date</w:t>
      </w:r>
      <w:r w:rsidR="002E0989">
        <w:rPr>
          <w:szCs w:val="24"/>
        </w:rPr>
        <w:t>, FHFA has</w:t>
      </w:r>
      <w:r w:rsidR="00C67833">
        <w:rPr>
          <w:szCs w:val="24"/>
        </w:rPr>
        <w:t xml:space="preserve"> selected</w:t>
      </w:r>
      <w:r w:rsidR="004B05AA">
        <w:rPr>
          <w:szCs w:val="24"/>
        </w:rPr>
        <w:t xml:space="preserve"> </w:t>
      </w:r>
      <w:r w:rsidR="00DF0353">
        <w:rPr>
          <w:szCs w:val="24"/>
        </w:rPr>
        <w:t xml:space="preserve">a </w:t>
      </w:r>
      <w:r w:rsidR="00D135CA">
        <w:rPr>
          <w:szCs w:val="24"/>
        </w:rPr>
        <w:t>random sample</w:t>
      </w:r>
      <w:r w:rsidR="00BB0CFE">
        <w:rPr>
          <w:szCs w:val="24"/>
        </w:rPr>
        <w:t xml:space="preserve"> of </w:t>
      </w:r>
      <w:r w:rsidR="00DF0353">
        <w:rPr>
          <w:szCs w:val="24"/>
        </w:rPr>
        <w:t xml:space="preserve">6,000 </w:t>
      </w:r>
      <w:r w:rsidR="00BB0CFE">
        <w:rPr>
          <w:szCs w:val="24"/>
        </w:rPr>
        <w:t>loans</w:t>
      </w:r>
      <w:r w:rsidR="004B05AA">
        <w:rPr>
          <w:szCs w:val="24"/>
        </w:rPr>
        <w:t xml:space="preserve"> </w:t>
      </w:r>
      <w:r w:rsidR="00BB0CFE">
        <w:rPr>
          <w:szCs w:val="24"/>
        </w:rPr>
        <w:t>from one or more</w:t>
      </w:r>
      <w:r w:rsidRPr="002E0989" w:rsidR="002E0989">
        <w:rPr>
          <w:szCs w:val="24"/>
        </w:rPr>
        <w:t xml:space="preserve"> </w:t>
      </w:r>
      <w:r w:rsidR="00BB0CFE">
        <w:rPr>
          <w:szCs w:val="24"/>
        </w:rPr>
        <w:t xml:space="preserve">recent </w:t>
      </w:r>
      <w:r w:rsidRPr="002E0989" w:rsidR="002E0989">
        <w:rPr>
          <w:szCs w:val="24"/>
        </w:rPr>
        <w:t>quarterly update</w:t>
      </w:r>
      <w:r w:rsidR="00BB0CFE">
        <w:rPr>
          <w:szCs w:val="24"/>
        </w:rPr>
        <w:t>s</w:t>
      </w:r>
      <w:r w:rsidRPr="002E0989" w:rsidR="002E0989">
        <w:rPr>
          <w:szCs w:val="24"/>
        </w:rPr>
        <w:t xml:space="preserve"> of the National Mortgage Database</w:t>
      </w:r>
      <w:r w:rsidR="00C35A2D">
        <w:rPr>
          <w:szCs w:val="24"/>
        </w:rPr>
        <w:t>.</w:t>
      </w:r>
      <w:r w:rsidR="00F15AAA">
        <w:rPr>
          <w:szCs w:val="24"/>
        </w:rPr>
        <w:t xml:space="preserve">  This represents</w:t>
      </w:r>
      <w:r w:rsidR="000B0DC7">
        <w:rPr>
          <w:szCs w:val="24"/>
        </w:rPr>
        <w:t xml:space="preserve"> an approximately 1-in-300 sample of the universe.</w:t>
      </w:r>
    </w:p>
    <w:p w:rsidR="00F94945" w:rsidP="000D3CCC" w14:paraId="224DDD8E" w14:textId="77777777">
      <w:pPr>
        <w:spacing w:line="240" w:lineRule="auto"/>
        <w:rPr>
          <w:szCs w:val="24"/>
        </w:rPr>
      </w:pPr>
    </w:p>
    <w:p w:rsidR="002D2EB8" w:rsidP="00624191" w14:paraId="2052F8E5" w14:textId="39EDB491">
      <w:pPr>
        <w:spacing w:line="240" w:lineRule="auto"/>
      </w:pPr>
      <w:r>
        <w:t xml:space="preserve">For each quarterly survey FHFA randomly </w:t>
      </w:r>
      <w:r w:rsidR="000B0DC7">
        <w:t>select</w:t>
      </w:r>
      <w:r w:rsidR="00177511">
        <w:t>s</w:t>
      </w:r>
      <w:r w:rsidRPr="00635768">
        <w:t xml:space="preserve"> </w:t>
      </w:r>
      <w:r w:rsidR="00F10489">
        <w:t xml:space="preserve">a sample of </w:t>
      </w:r>
      <w:r w:rsidRPr="00635768">
        <w:t xml:space="preserve">approximately 6,000 </w:t>
      </w:r>
      <w:r w:rsidR="00A76F63">
        <w:t xml:space="preserve">mortgage </w:t>
      </w:r>
      <w:r w:rsidRPr="00635768">
        <w:t xml:space="preserve">loans </w:t>
      </w:r>
      <w:r w:rsidR="00F10489">
        <w:t>from those reported to Experian during the preceding quarter</w:t>
      </w:r>
      <w:r w:rsidR="005F421A">
        <w:t xml:space="preserve"> and </w:t>
      </w:r>
      <w:r w:rsidR="00F10489">
        <w:t>newly added to the National Mortgage D</w:t>
      </w:r>
      <w:r w:rsidR="00976E80">
        <w:t>atabase</w:t>
      </w:r>
      <w:r w:rsidRPr="005F421A" w:rsidR="005F421A">
        <w:t>, with the</w:t>
      </w:r>
      <w:r w:rsidR="00A76F63">
        <w:t xml:space="preserve"> additional conditions that the loans</w:t>
      </w:r>
      <w:r w:rsidRPr="005F421A" w:rsidR="005F421A">
        <w:t xml:space="preserve"> must have been reported to Experian within a year of origination and that the borrowers must not have been selected for an earlier NSMO survey.  </w:t>
      </w:r>
      <w:r w:rsidR="00BC716F">
        <w:t>As of this writing, the NSMO survey is currently on wave</w:t>
      </w:r>
      <w:r w:rsidR="003849DA">
        <w:t xml:space="preserve"> </w:t>
      </w:r>
      <w:r w:rsidR="00637C8B">
        <w:t>4</w:t>
      </w:r>
      <w:r w:rsidR="00B34528">
        <w:t>3</w:t>
      </w:r>
      <w:r w:rsidRPr="00B600EF" w:rsidR="00B600EF">
        <w:t xml:space="preserve"> (</w:t>
      </w:r>
      <w:r w:rsidRPr="009C7EE3" w:rsidR="00B600EF">
        <w:t xml:space="preserve">mailed on </w:t>
      </w:r>
      <w:r w:rsidR="00B34528">
        <w:t>August</w:t>
      </w:r>
      <w:r w:rsidR="00E022C2">
        <w:t xml:space="preserve"> </w:t>
      </w:r>
      <w:r w:rsidR="005F1917">
        <w:t>1</w:t>
      </w:r>
      <w:r w:rsidR="00B34528">
        <w:t>9</w:t>
      </w:r>
      <w:r w:rsidRPr="009C7EE3" w:rsidR="00B600EF">
        <w:t>, 202</w:t>
      </w:r>
      <w:r w:rsidR="00637C8B">
        <w:t>4</w:t>
      </w:r>
      <w:r w:rsidRPr="009C7EE3" w:rsidR="00B600EF">
        <w:t>)</w:t>
      </w:r>
      <w:r w:rsidRPr="009C7EE3" w:rsidR="00BC716F">
        <w:t>.  Table 1 s</w:t>
      </w:r>
      <w:r w:rsidR="00BC716F">
        <w:t>hows the survey field periods to</w:t>
      </w:r>
      <w:r w:rsidR="004125C9">
        <w:t xml:space="preserve"> wave 3</w:t>
      </w:r>
      <w:r w:rsidR="00B34528">
        <w:t>9</w:t>
      </w:r>
      <w:r w:rsidR="00BC716F">
        <w:t xml:space="preserve">. </w:t>
      </w:r>
    </w:p>
    <w:p w:rsidR="00BC716F" w:rsidP="00602B60" w14:paraId="38CA6408" w14:textId="22BE48CA">
      <w:pPr>
        <w:spacing w:line="240" w:lineRule="auto"/>
      </w:pPr>
    </w:p>
    <w:p w:rsidR="004C66F6" w:rsidP="00602B60" w14:paraId="78FB31B7" w14:textId="57AF2C7F">
      <w:pPr>
        <w:spacing w:line="240" w:lineRule="auto"/>
      </w:pPr>
    </w:p>
    <w:p w:rsidR="004C66F6" w:rsidP="00602B60" w14:paraId="764AD714" w14:textId="302A1D64">
      <w:pPr>
        <w:spacing w:line="240" w:lineRule="auto"/>
      </w:pPr>
    </w:p>
    <w:p w:rsidR="004C66F6" w:rsidP="00602B60" w14:paraId="5AB65A5F" w14:textId="20B5CE92">
      <w:pPr>
        <w:spacing w:line="240" w:lineRule="auto"/>
      </w:pPr>
    </w:p>
    <w:p w:rsidR="004C66F6" w:rsidP="00602B60" w14:paraId="79C28BA1" w14:textId="3773A277">
      <w:pPr>
        <w:spacing w:line="240" w:lineRule="auto"/>
      </w:pPr>
    </w:p>
    <w:p w:rsidR="004C66F6" w:rsidP="00602B60" w14:paraId="6A2C762F" w14:textId="46BEE9CD">
      <w:pPr>
        <w:spacing w:line="240" w:lineRule="auto"/>
      </w:pPr>
    </w:p>
    <w:p w:rsidR="004C66F6" w:rsidP="00602B60" w14:paraId="251C3990" w14:textId="46D905DB">
      <w:pPr>
        <w:spacing w:line="240" w:lineRule="auto"/>
      </w:pPr>
    </w:p>
    <w:p w:rsidR="004C66F6" w:rsidP="00602B60" w14:paraId="0EC27369" w14:textId="54D2363F">
      <w:pPr>
        <w:spacing w:line="240" w:lineRule="auto"/>
      </w:pPr>
    </w:p>
    <w:p w:rsidR="004C66F6" w:rsidP="00602B60" w14:paraId="1F77E415" w14:textId="5575C142">
      <w:pPr>
        <w:spacing w:line="240" w:lineRule="auto"/>
      </w:pPr>
    </w:p>
    <w:p w:rsidR="004C66F6" w:rsidP="00602B60" w14:paraId="2183F3B2" w14:textId="5E28AAA9">
      <w:pPr>
        <w:spacing w:line="240" w:lineRule="auto"/>
      </w:pPr>
    </w:p>
    <w:p w:rsidR="004C66F6" w:rsidP="00602B60" w14:paraId="5927FBAC" w14:textId="6DEECD00">
      <w:pPr>
        <w:spacing w:line="240" w:lineRule="auto"/>
      </w:pPr>
    </w:p>
    <w:p w:rsidR="004C66F6" w:rsidP="00602B60" w14:paraId="7D3B58D4" w14:textId="68CBC981">
      <w:pPr>
        <w:spacing w:line="240" w:lineRule="auto"/>
      </w:pPr>
    </w:p>
    <w:p w:rsidR="004C66F6" w:rsidP="00602B60" w14:paraId="6CFE49E1" w14:textId="72652BC7">
      <w:pPr>
        <w:spacing w:line="240" w:lineRule="auto"/>
      </w:pPr>
    </w:p>
    <w:p w:rsidR="004C66F6" w:rsidP="00602B60" w14:paraId="2E4D78FD" w14:textId="6D2759F3">
      <w:pPr>
        <w:spacing w:line="240" w:lineRule="auto"/>
      </w:pPr>
    </w:p>
    <w:p w:rsidR="004C66F6" w:rsidP="00602B60" w14:paraId="19B2A987" w14:textId="761E6965">
      <w:pPr>
        <w:spacing w:line="240" w:lineRule="auto"/>
      </w:pPr>
    </w:p>
    <w:p w:rsidR="004C66F6" w:rsidP="00602B60" w14:paraId="07BE413B" w14:textId="28D91986">
      <w:pPr>
        <w:spacing w:line="240" w:lineRule="auto"/>
      </w:pPr>
    </w:p>
    <w:p w:rsidR="004C66F6" w:rsidP="00602B60" w14:paraId="2BB50026" w14:textId="59D37CCF">
      <w:pPr>
        <w:spacing w:line="240" w:lineRule="auto"/>
      </w:pPr>
    </w:p>
    <w:p w:rsidR="004C66F6" w:rsidP="00602B60" w14:paraId="2167E439" w14:textId="29AB1C13">
      <w:pPr>
        <w:spacing w:line="240" w:lineRule="auto"/>
      </w:pPr>
    </w:p>
    <w:p w:rsidR="004C66F6" w:rsidP="00602B60" w14:paraId="2460D5AD" w14:textId="77777777">
      <w:pPr>
        <w:spacing w:line="240" w:lineRule="auto"/>
      </w:pPr>
    </w:p>
    <w:tbl>
      <w:tblPr>
        <w:tblW w:w="6855" w:type="dxa"/>
        <w:tblInd w:w="114" w:type="dxa"/>
        <w:tblCellMar>
          <w:left w:w="0" w:type="dxa"/>
          <w:right w:w="0" w:type="dxa"/>
        </w:tblCellMar>
        <w:tblLook w:val="0000"/>
      </w:tblPr>
      <w:tblGrid>
        <w:gridCol w:w="855"/>
        <w:gridCol w:w="3350"/>
        <w:gridCol w:w="1440"/>
        <w:gridCol w:w="1210"/>
      </w:tblGrid>
      <w:tr w14:paraId="27625AA7" w14:textId="77777777" w:rsidTr="006121D4">
        <w:tblPrEx>
          <w:tblW w:w="6855" w:type="dxa"/>
          <w:tblInd w:w="114" w:type="dxa"/>
          <w:tblCellMar>
            <w:left w:w="0" w:type="dxa"/>
            <w:right w:w="0" w:type="dxa"/>
          </w:tblCellMar>
          <w:tblLook w:val="0000"/>
        </w:tblPrEx>
        <w:trPr>
          <w:trHeight w:val="299"/>
        </w:trPr>
        <w:tc>
          <w:tcPr>
            <w:tcW w:w="6855" w:type="dxa"/>
            <w:gridSpan w:val="4"/>
            <w:tcBorders>
              <w:top w:val="none" w:sz="6" w:space="0" w:color="auto"/>
              <w:left w:val="none" w:sz="6" w:space="0" w:color="auto"/>
              <w:bottom w:val="single" w:sz="4" w:space="0" w:color="auto"/>
              <w:right w:val="none" w:sz="6" w:space="0" w:color="auto"/>
            </w:tcBorders>
          </w:tcPr>
          <w:p w:rsidR="006121D4" w:rsidRPr="006121D4" w:rsidP="006121D4" w14:paraId="5338069B" w14:textId="5812F72C">
            <w:pPr>
              <w:kinsoku w:val="0"/>
              <w:overflowPunct w:val="0"/>
              <w:autoSpaceDE w:val="0"/>
              <w:autoSpaceDN w:val="0"/>
              <w:adjustRightInd w:val="0"/>
              <w:spacing w:before="29" w:line="251" w:lineRule="exact"/>
              <w:ind w:left="1941"/>
              <w:rPr>
                <w:rFonts w:ascii="Arial" w:hAnsi="Arial" w:cs="Arial"/>
                <w:b/>
                <w:bCs/>
                <w:color w:val="1F487C"/>
                <w:sz w:val="22"/>
              </w:rPr>
            </w:pPr>
          </w:p>
        </w:tc>
      </w:tr>
      <w:tr w14:paraId="65F364A0" w14:textId="77777777" w:rsidTr="006121D4">
        <w:tblPrEx>
          <w:tblW w:w="6855" w:type="dxa"/>
          <w:tblInd w:w="114" w:type="dxa"/>
          <w:tblCellMar>
            <w:left w:w="0" w:type="dxa"/>
            <w:right w:w="0" w:type="dxa"/>
          </w:tblCellMar>
          <w:tblLook w:val="0000"/>
        </w:tblPrEx>
        <w:trPr>
          <w:trHeight w:val="302"/>
        </w:trPr>
        <w:tc>
          <w:tcPr>
            <w:tcW w:w="6855" w:type="dxa"/>
            <w:gridSpan w:val="4"/>
            <w:tcBorders>
              <w:top w:val="single" w:sz="4" w:space="0" w:color="auto"/>
              <w:left w:val="single" w:sz="4" w:space="0" w:color="auto"/>
              <w:bottom w:val="single" w:sz="4" w:space="0" w:color="auto"/>
              <w:right w:val="single" w:sz="4" w:space="0" w:color="auto"/>
            </w:tcBorders>
            <w:vAlign w:val="center"/>
          </w:tcPr>
          <w:p w:rsidR="006121D4" w:rsidRPr="006121D4" w:rsidP="001B5359" w14:paraId="75DACCE5" w14:textId="03FB96A9">
            <w:pPr>
              <w:kinsoku w:val="0"/>
              <w:overflowPunct w:val="0"/>
              <w:autoSpaceDE w:val="0"/>
              <w:autoSpaceDN w:val="0"/>
              <w:adjustRightInd w:val="0"/>
              <w:spacing w:line="240" w:lineRule="auto"/>
              <w:ind w:right="130"/>
              <w:jc w:val="center"/>
              <w:rPr>
                <w:rFonts w:ascii="Arial" w:hAnsi="Arial" w:cs="Arial"/>
                <w:b/>
                <w:bCs/>
                <w:color w:val="1F487C"/>
                <w:spacing w:val="-2"/>
                <w:sz w:val="18"/>
                <w:szCs w:val="18"/>
              </w:rPr>
            </w:pPr>
            <w:r w:rsidRPr="006121D4">
              <w:rPr>
                <w:rFonts w:ascii="Arial" w:hAnsi="Arial" w:cs="Arial"/>
                <w:b/>
                <w:bCs/>
                <w:color w:val="1F487C"/>
                <w:sz w:val="22"/>
              </w:rPr>
              <w:t xml:space="preserve">Table </w:t>
            </w:r>
            <w:r w:rsidR="001B5359">
              <w:rPr>
                <w:rFonts w:ascii="Arial" w:hAnsi="Arial" w:cs="Arial"/>
                <w:b/>
                <w:bCs/>
                <w:color w:val="1F487C"/>
                <w:sz w:val="22"/>
              </w:rPr>
              <w:t>1</w:t>
            </w:r>
            <w:r w:rsidRPr="006121D4">
              <w:rPr>
                <w:rFonts w:ascii="Arial" w:hAnsi="Arial" w:cs="Arial"/>
                <w:b/>
                <w:bCs/>
                <w:color w:val="1F487C"/>
                <w:sz w:val="22"/>
              </w:rPr>
              <w:t>. Survey Field Periods</w:t>
            </w:r>
          </w:p>
        </w:tc>
      </w:tr>
      <w:tr w14:paraId="1E686FE7" w14:textId="77777777" w:rsidTr="006121D4">
        <w:tblPrEx>
          <w:tblW w:w="6855" w:type="dxa"/>
          <w:tblInd w:w="114" w:type="dxa"/>
          <w:tblCellMar>
            <w:left w:w="0" w:type="dxa"/>
            <w:right w:w="0" w:type="dxa"/>
          </w:tblCellMar>
          <w:tblLook w:val="0000"/>
        </w:tblPrEx>
        <w:trPr>
          <w:trHeight w:val="302"/>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49867F7F" w14:textId="77777777">
            <w:pPr>
              <w:kinsoku w:val="0"/>
              <w:overflowPunct w:val="0"/>
              <w:autoSpaceDE w:val="0"/>
              <w:autoSpaceDN w:val="0"/>
              <w:adjustRightInd w:val="0"/>
              <w:spacing w:line="240" w:lineRule="auto"/>
              <w:rPr>
                <w:rFonts w:cs="Times New Roman"/>
                <w:sz w:val="18"/>
                <w:szCs w:val="18"/>
              </w:rPr>
            </w:pPr>
          </w:p>
          <w:p w:rsidR="006121D4" w:rsidRPr="006121D4" w:rsidP="006121D4" w14:paraId="4BCB3CFF" w14:textId="47D5FEFB">
            <w:pPr>
              <w:kinsoku w:val="0"/>
              <w:overflowPunct w:val="0"/>
              <w:autoSpaceDE w:val="0"/>
              <w:autoSpaceDN w:val="0"/>
              <w:adjustRightInd w:val="0"/>
              <w:spacing w:line="240" w:lineRule="auto"/>
              <w:jc w:val="center"/>
              <w:rPr>
                <w:rFonts w:cs="Times New Roman"/>
                <w:sz w:val="18"/>
                <w:szCs w:val="18"/>
              </w:rPr>
            </w:pPr>
            <w:r w:rsidRPr="006121D4">
              <w:rPr>
                <w:rFonts w:ascii="Arial" w:hAnsi="Arial" w:cs="Arial"/>
                <w:b/>
                <w:bCs/>
                <w:color w:val="1F487C"/>
                <w:spacing w:val="-4"/>
                <w:sz w:val="18"/>
                <w:szCs w:val="18"/>
              </w:rPr>
              <w:t>Wave</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77A3C6D6" w14:textId="77777777">
            <w:pPr>
              <w:kinsoku w:val="0"/>
              <w:overflowPunct w:val="0"/>
              <w:autoSpaceDE w:val="0"/>
              <w:autoSpaceDN w:val="0"/>
              <w:adjustRightInd w:val="0"/>
              <w:spacing w:line="240" w:lineRule="auto"/>
              <w:rPr>
                <w:rFonts w:cs="Times New Roman"/>
                <w:sz w:val="18"/>
                <w:szCs w:val="18"/>
              </w:rPr>
            </w:pPr>
          </w:p>
          <w:p w:rsidR="006121D4" w:rsidRPr="006121D4" w:rsidP="006121D4" w14:paraId="4EEFEA7D" w14:textId="610FEFE8">
            <w:pPr>
              <w:kinsoku w:val="0"/>
              <w:overflowPunct w:val="0"/>
              <w:autoSpaceDE w:val="0"/>
              <w:autoSpaceDN w:val="0"/>
              <w:adjustRightInd w:val="0"/>
              <w:spacing w:line="240" w:lineRule="auto"/>
              <w:jc w:val="center"/>
              <w:rPr>
                <w:rFonts w:cs="Times New Roman"/>
                <w:sz w:val="18"/>
                <w:szCs w:val="18"/>
              </w:rPr>
            </w:pPr>
            <w:r w:rsidRPr="006121D4">
              <w:rPr>
                <w:rFonts w:ascii="Arial" w:hAnsi="Arial" w:cs="Arial"/>
                <w:b/>
                <w:bCs/>
                <w:color w:val="1F487C"/>
                <w:sz w:val="18"/>
                <w:szCs w:val="18"/>
              </w:rPr>
              <w:t>Survey Field Dates</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65038DCE" w14:textId="3B739456">
            <w:pPr>
              <w:kinsoku w:val="0"/>
              <w:overflowPunct w:val="0"/>
              <w:autoSpaceDE w:val="0"/>
              <w:autoSpaceDN w:val="0"/>
              <w:adjustRightInd w:val="0"/>
              <w:spacing w:before="104" w:line="240" w:lineRule="auto"/>
              <w:ind w:left="385" w:right="320" w:hanging="60"/>
              <w:rPr>
                <w:rFonts w:ascii="Arial" w:hAnsi="Arial" w:cs="Arial"/>
                <w:b/>
                <w:bCs/>
                <w:color w:val="1F487C"/>
                <w:spacing w:val="-2"/>
                <w:sz w:val="18"/>
                <w:szCs w:val="18"/>
              </w:rPr>
            </w:pPr>
            <w:r w:rsidRPr="006121D4">
              <w:rPr>
                <w:rFonts w:ascii="Arial" w:hAnsi="Arial" w:cs="Arial"/>
                <w:b/>
                <w:bCs/>
                <w:color w:val="1F487C"/>
                <w:spacing w:val="-2"/>
                <w:sz w:val="18"/>
                <w:szCs w:val="18"/>
              </w:rPr>
              <w:t>Calendar Quarter</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54641437" w14:textId="5C0E8726">
            <w:pPr>
              <w:kinsoku w:val="0"/>
              <w:overflowPunct w:val="0"/>
              <w:autoSpaceDE w:val="0"/>
              <w:autoSpaceDN w:val="0"/>
              <w:adjustRightInd w:val="0"/>
              <w:spacing w:before="104" w:line="240" w:lineRule="auto"/>
              <w:ind w:left="429" w:right="134" w:hanging="70"/>
              <w:rPr>
                <w:rFonts w:ascii="Arial" w:hAnsi="Arial" w:cs="Arial"/>
                <w:b/>
                <w:bCs/>
                <w:color w:val="1F487C"/>
                <w:spacing w:val="-2"/>
                <w:sz w:val="18"/>
                <w:szCs w:val="18"/>
              </w:rPr>
            </w:pPr>
            <w:r w:rsidRPr="006121D4">
              <w:rPr>
                <w:rFonts w:ascii="Arial" w:hAnsi="Arial" w:cs="Arial"/>
                <w:b/>
                <w:bCs/>
                <w:color w:val="1F487C"/>
                <w:spacing w:val="-2"/>
                <w:sz w:val="18"/>
                <w:szCs w:val="18"/>
              </w:rPr>
              <w:t>Surveys Mailed</w:t>
            </w:r>
          </w:p>
        </w:tc>
      </w:tr>
      <w:tr w14:paraId="7A398231"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45683CA5"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1</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4AEB5CB5"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April to June 2014</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425072A1"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2014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34A7364" w14:textId="77777777">
            <w:pPr>
              <w:kinsoku w:val="0"/>
              <w:overflowPunct w:val="0"/>
              <w:autoSpaceDE w:val="0"/>
              <w:autoSpaceDN w:val="0"/>
              <w:adjustRightInd w:val="0"/>
              <w:spacing w:before="21" w:line="240" w:lineRule="auto"/>
              <w:ind w:left="219"/>
              <w:jc w:val="center"/>
              <w:rPr>
                <w:rFonts w:ascii="Arial" w:hAnsi="Arial" w:cs="Arial"/>
                <w:spacing w:val="-2"/>
                <w:sz w:val="18"/>
                <w:szCs w:val="18"/>
              </w:rPr>
            </w:pPr>
            <w:r w:rsidRPr="006121D4">
              <w:rPr>
                <w:rFonts w:ascii="Arial" w:hAnsi="Arial" w:cs="Arial"/>
                <w:spacing w:val="-2"/>
                <w:sz w:val="18"/>
                <w:szCs w:val="18"/>
              </w:rPr>
              <w:t>15,000</w:t>
            </w:r>
          </w:p>
        </w:tc>
      </w:tr>
      <w:tr w14:paraId="492293E6"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0B447ADB"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2</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5D29CA25"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June to August 2014</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273CDC30"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2014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64D7E2BF"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3,000</w:t>
            </w:r>
          </w:p>
        </w:tc>
      </w:tr>
      <w:tr w14:paraId="4D8133DB"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4E90C894"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236BB06E"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2014</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755C3D8E"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2014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6EB2695E"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5,992</w:t>
            </w:r>
          </w:p>
        </w:tc>
      </w:tr>
      <w:tr w14:paraId="51FD87D5"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70AF4A5F"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4</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0FC51B58"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2014 to February 2015</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17B6CA20"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2014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5A74E838"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5,795</w:t>
            </w:r>
          </w:p>
        </w:tc>
      </w:tr>
      <w:tr w14:paraId="4F577275"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0650C7E8"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5</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411B45E"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2015</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164176FB"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2015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687E462F"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5,925</w:t>
            </w:r>
          </w:p>
        </w:tc>
      </w:tr>
      <w:tr w14:paraId="474F9740"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68CED63B"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6</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1FD8C91"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2015</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57068F89"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2015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31BD5416"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4,428</w:t>
            </w:r>
          </w:p>
        </w:tc>
      </w:tr>
      <w:tr w14:paraId="4389CA66"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536A421F"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7</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2E77913B"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2015</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C0B427A"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2015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17020516"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7,352</w:t>
            </w:r>
          </w:p>
        </w:tc>
      </w:tr>
      <w:tr w14:paraId="5A3EE8AD"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82687BE"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8</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93251F4"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2015 to February 2016</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A7EAD85"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2015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8D3A3C8"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5,913</w:t>
            </w:r>
          </w:p>
        </w:tc>
      </w:tr>
      <w:tr w14:paraId="090C8AA3"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A711774" w14:textId="77777777">
            <w:pPr>
              <w:kinsoku w:val="0"/>
              <w:overflowPunct w:val="0"/>
              <w:autoSpaceDE w:val="0"/>
              <w:autoSpaceDN w:val="0"/>
              <w:adjustRightInd w:val="0"/>
              <w:spacing w:before="21" w:line="240" w:lineRule="auto"/>
              <w:ind w:left="2" w:right="95"/>
              <w:jc w:val="center"/>
              <w:rPr>
                <w:rFonts w:ascii="Arial" w:hAnsi="Arial" w:cs="Arial"/>
                <w:spacing w:val="-10"/>
                <w:sz w:val="18"/>
                <w:szCs w:val="18"/>
              </w:rPr>
            </w:pPr>
            <w:r w:rsidRPr="006121D4">
              <w:rPr>
                <w:rFonts w:ascii="Arial" w:hAnsi="Arial" w:cs="Arial"/>
                <w:spacing w:val="-10"/>
                <w:sz w:val="18"/>
                <w:szCs w:val="18"/>
              </w:rPr>
              <w:t>9</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F9D987B"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2016</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7BEF6A44"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2016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ACCACC3"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5,907</w:t>
            </w:r>
          </w:p>
        </w:tc>
      </w:tr>
      <w:tr w14:paraId="5975B724"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412F41DE"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10</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4CFEB365"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2016</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62350A0C"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2016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7CF5ED4"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5,885</w:t>
            </w:r>
          </w:p>
        </w:tc>
      </w:tr>
      <w:tr w14:paraId="52B433DF"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3FFCEE6"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11</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57B119D5"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2016</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4038D6C6"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2016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5F942DF7"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5,904</w:t>
            </w:r>
          </w:p>
        </w:tc>
      </w:tr>
      <w:tr w14:paraId="41204989"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6636D55D"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12</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0A44B71"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2016 to February 2017</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19EF1528"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2016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040B509D"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5,919</w:t>
            </w:r>
          </w:p>
        </w:tc>
      </w:tr>
      <w:tr w14:paraId="19D1BE80"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0EB1F6F2"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13</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5C5B6426"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2017</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91DF586"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2017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4D60E8D9"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5,910</w:t>
            </w:r>
          </w:p>
        </w:tc>
      </w:tr>
      <w:tr w14:paraId="1EC8AE7D"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E85FD08"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14</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548EF28"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2017</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2A0B7D71"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2017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15D81C77"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5,804</w:t>
            </w:r>
          </w:p>
        </w:tc>
      </w:tr>
      <w:tr w14:paraId="10BE7B57"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3DAC02A"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15</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4A0ABB10"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2017</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18B72A4F"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2017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45DED5D7"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5,809</w:t>
            </w:r>
          </w:p>
        </w:tc>
      </w:tr>
      <w:tr w14:paraId="6795C674"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768E7119"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16</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5195CAA3"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2017 to February 2018</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7A8BA11C"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2017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59B09D77"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5,707</w:t>
            </w:r>
          </w:p>
        </w:tc>
      </w:tr>
      <w:tr w14:paraId="1F592D99"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77EB4361"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17</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784C804"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2018</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5BFA0AF5"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2018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2833A1D"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5,755</w:t>
            </w:r>
          </w:p>
        </w:tc>
      </w:tr>
      <w:tr w14:paraId="51074E52"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B370FDD"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18</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4A685D7D"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April to July 2018</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20D753D6"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2018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7FB800E5"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5,773</w:t>
            </w:r>
          </w:p>
        </w:tc>
      </w:tr>
      <w:tr w14:paraId="2D6F7315"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205486D1"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19</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5C4D066"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2018</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4A7BB60A"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2018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0703876F"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5,759</w:t>
            </w:r>
          </w:p>
        </w:tc>
      </w:tr>
      <w:tr w14:paraId="125CE3F7"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279ECA97"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20</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1CED428"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2018 to February 2019</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46ADB914"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2018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11A21719"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5,770</w:t>
            </w:r>
          </w:p>
        </w:tc>
      </w:tr>
      <w:tr w14:paraId="19DD6B6B"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0A231F5"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21</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39633276"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2019</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2D93A406"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2019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140834C7"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5,746</w:t>
            </w:r>
          </w:p>
        </w:tc>
      </w:tr>
      <w:tr w14:paraId="0AB34C54"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5E6EB964"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22</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58CB2325"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2019</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041018EA"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2019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78986DA5"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5,720</w:t>
            </w:r>
          </w:p>
        </w:tc>
      </w:tr>
      <w:tr w14:paraId="223B51C6"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B83EFE2"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23</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2F9681E0"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2019</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C0140DF"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2019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17228454"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5,737</w:t>
            </w:r>
          </w:p>
        </w:tc>
      </w:tr>
      <w:tr w14:paraId="59D3E074"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58BCE8CD"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24</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23BF270"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2019 to February 2020</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0D09718"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2019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4D41367B"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5,676</w:t>
            </w:r>
          </w:p>
        </w:tc>
      </w:tr>
      <w:tr w14:paraId="708B9BA3"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0569ED4"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25</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0617F8F2"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2020</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60B60BCB"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2020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42EF4735"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5,698</w:t>
            </w:r>
          </w:p>
        </w:tc>
      </w:tr>
      <w:tr w14:paraId="1AAEE04D"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6DE9ED2"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26</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57FB9A1"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2020</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60011912"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2020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52BC199"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5,676</w:t>
            </w:r>
          </w:p>
        </w:tc>
      </w:tr>
      <w:tr w14:paraId="20745D23"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41DFBC05"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27</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3F3CE1AF"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2020</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1DAAD68F"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2020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3DF5F993"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5,694</w:t>
            </w:r>
          </w:p>
        </w:tc>
      </w:tr>
      <w:tr w14:paraId="39495FCC"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2B25CE4D"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28</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468177E"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November 2020 to February 2021</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085A2D78"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2020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068F0F44"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5,658</w:t>
            </w:r>
          </w:p>
        </w:tc>
      </w:tr>
      <w:tr w14:paraId="377E60B4"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4EECE282"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29</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70BA876A"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2021</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EE9E6D1"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2021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2E48BCC3"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5,646</w:t>
            </w:r>
          </w:p>
        </w:tc>
      </w:tr>
      <w:tr w14:paraId="35EE7291"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0650A765"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30</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5F32848A"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2021</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30137A79"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2021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764E53B6"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5,650</w:t>
            </w:r>
          </w:p>
        </w:tc>
      </w:tr>
      <w:tr w14:paraId="55B284E3" w14:textId="77777777" w:rsidTr="006121D4">
        <w:tblPrEx>
          <w:tblW w:w="6855" w:type="dxa"/>
          <w:tblInd w:w="114" w:type="dxa"/>
          <w:tblCellMar>
            <w:left w:w="0" w:type="dxa"/>
            <w:right w:w="0" w:type="dxa"/>
          </w:tblCellMar>
          <w:tblLook w:val="0000"/>
        </w:tblPrEx>
        <w:trPr>
          <w:trHeight w:val="249"/>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7ADEB7C"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31</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062FC07A"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2021</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70F7C649"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2021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6C7EC0AC"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5,675</w:t>
            </w:r>
          </w:p>
        </w:tc>
      </w:tr>
      <w:tr w14:paraId="47368E8F"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CA0E2CA"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32</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03292F8F"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2021 to February 2022</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5E12420F"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2021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7D7D33BB"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5,650</w:t>
            </w:r>
          </w:p>
        </w:tc>
      </w:tr>
      <w:tr w14:paraId="1824F85F"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1307E715"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33</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3138D005"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February to May 2022</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6B911CEA"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2022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390F39B0"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5,676</w:t>
            </w:r>
          </w:p>
        </w:tc>
      </w:tr>
      <w:tr w14:paraId="5C4A9B55"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5D590969"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34</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3BCAE420"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2022</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719E7770"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2022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6758FF64"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5,681</w:t>
            </w:r>
          </w:p>
        </w:tc>
      </w:tr>
      <w:tr w14:paraId="3BAAE327"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535FD52"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35</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73440CC6"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2022</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14AB0DE8"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2022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01412812"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5,667</w:t>
            </w:r>
          </w:p>
        </w:tc>
      </w:tr>
      <w:tr w14:paraId="62CD484C"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25D913E1"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36</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13DC7356"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November 2022 to February 2023</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0B41607E"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2022 Quarter 4</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661F88BB"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5,681</w:t>
            </w:r>
          </w:p>
        </w:tc>
      </w:tr>
      <w:tr w14:paraId="1F7CA3A8"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785B67B1"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37</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65A5FA91"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February to May 2023</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2B8A83E3"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2023 Quarter 1</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7BF274ED"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5,669</w:t>
            </w:r>
          </w:p>
        </w:tc>
      </w:tr>
      <w:tr w14:paraId="7E91D354"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0B9F2BBE"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38</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745DC4FA" w14:textId="77777777">
            <w:pPr>
              <w:kinsoku w:val="0"/>
              <w:overflowPunct w:val="0"/>
              <w:autoSpaceDE w:val="0"/>
              <w:autoSpaceDN w:val="0"/>
              <w:adjustRightInd w:val="0"/>
              <w:spacing w:before="21" w:line="240" w:lineRule="auto"/>
              <w:ind w:left="1" w:right="1"/>
              <w:jc w:val="center"/>
              <w:rPr>
                <w:rFonts w:ascii="Arial" w:hAnsi="Arial" w:cs="Arial"/>
                <w:sz w:val="18"/>
                <w:szCs w:val="18"/>
              </w:rPr>
            </w:pPr>
            <w:r w:rsidRPr="006121D4">
              <w:rPr>
                <w:rFonts w:ascii="Arial" w:hAnsi="Arial" w:cs="Arial"/>
                <w:sz w:val="18"/>
                <w:szCs w:val="18"/>
              </w:rPr>
              <w:t>May to August 2023</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4C5AAA6C"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2023 Quarter 2</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4D48D7F6"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5,699</w:t>
            </w:r>
          </w:p>
        </w:tc>
      </w:tr>
      <w:tr w14:paraId="370AB7DF"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B652AFD" w14:textId="77777777">
            <w:pPr>
              <w:kinsoku w:val="0"/>
              <w:overflowPunct w:val="0"/>
              <w:autoSpaceDE w:val="0"/>
              <w:autoSpaceDN w:val="0"/>
              <w:adjustRightInd w:val="0"/>
              <w:spacing w:before="21" w:line="240" w:lineRule="auto"/>
              <w:ind w:right="95"/>
              <w:jc w:val="center"/>
              <w:rPr>
                <w:rFonts w:ascii="Arial" w:hAnsi="Arial" w:cs="Arial"/>
                <w:spacing w:val="-6"/>
                <w:sz w:val="18"/>
                <w:szCs w:val="18"/>
              </w:rPr>
            </w:pPr>
            <w:r w:rsidRPr="006121D4">
              <w:rPr>
                <w:rFonts w:ascii="Arial" w:hAnsi="Arial" w:cs="Arial"/>
                <w:spacing w:val="-6"/>
                <w:sz w:val="18"/>
                <w:szCs w:val="18"/>
              </w:rPr>
              <w:t>39</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332EEDEC" w14:textId="77777777">
            <w:pPr>
              <w:kinsoku w:val="0"/>
              <w:overflowPunct w:val="0"/>
              <w:autoSpaceDE w:val="0"/>
              <w:autoSpaceDN w:val="0"/>
              <w:adjustRightInd w:val="0"/>
              <w:spacing w:before="21" w:line="240" w:lineRule="auto"/>
              <w:ind w:right="1"/>
              <w:jc w:val="center"/>
              <w:rPr>
                <w:rFonts w:ascii="Arial" w:hAnsi="Arial" w:cs="Arial"/>
                <w:sz w:val="18"/>
                <w:szCs w:val="18"/>
              </w:rPr>
            </w:pPr>
            <w:r w:rsidRPr="006121D4">
              <w:rPr>
                <w:rFonts w:ascii="Arial" w:hAnsi="Arial" w:cs="Arial"/>
                <w:sz w:val="18"/>
                <w:szCs w:val="18"/>
              </w:rPr>
              <w:t>August to November 2023</w:t>
            </w: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2A6A518D" w14:textId="77777777">
            <w:pPr>
              <w:kinsoku w:val="0"/>
              <w:overflowPunct w:val="0"/>
              <w:autoSpaceDE w:val="0"/>
              <w:autoSpaceDN w:val="0"/>
              <w:adjustRightInd w:val="0"/>
              <w:spacing w:before="21" w:line="240" w:lineRule="auto"/>
              <w:jc w:val="center"/>
              <w:rPr>
                <w:rFonts w:ascii="Arial" w:hAnsi="Arial" w:cs="Arial"/>
                <w:sz w:val="18"/>
                <w:szCs w:val="18"/>
              </w:rPr>
            </w:pPr>
            <w:r w:rsidRPr="006121D4">
              <w:rPr>
                <w:rFonts w:ascii="Arial" w:hAnsi="Arial" w:cs="Arial"/>
                <w:sz w:val="18"/>
                <w:szCs w:val="18"/>
              </w:rPr>
              <w:t>2023 Quarter 3</w:t>
            </w: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4BC74764" w14:textId="77777777">
            <w:pPr>
              <w:kinsoku w:val="0"/>
              <w:overflowPunct w:val="0"/>
              <w:autoSpaceDE w:val="0"/>
              <w:autoSpaceDN w:val="0"/>
              <w:adjustRightInd w:val="0"/>
              <w:spacing w:before="21" w:line="240" w:lineRule="auto"/>
              <w:ind w:left="219" w:right="1"/>
              <w:jc w:val="center"/>
              <w:rPr>
                <w:rFonts w:ascii="Arial" w:hAnsi="Arial" w:cs="Arial"/>
                <w:spacing w:val="-2"/>
                <w:sz w:val="18"/>
                <w:szCs w:val="18"/>
              </w:rPr>
            </w:pPr>
            <w:r w:rsidRPr="006121D4">
              <w:rPr>
                <w:rFonts w:ascii="Arial" w:hAnsi="Arial" w:cs="Arial"/>
                <w:spacing w:val="-2"/>
                <w:sz w:val="18"/>
                <w:szCs w:val="18"/>
              </w:rPr>
              <w:t>5,712</w:t>
            </w:r>
          </w:p>
        </w:tc>
      </w:tr>
      <w:tr w14:paraId="47D1FA01" w14:textId="77777777" w:rsidTr="006121D4">
        <w:tblPrEx>
          <w:tblW w:w="6855" w:type="dxa"/>
          <w:tblInd w:w="114" w:type="dxa"/>
          <w:tblCellMar>
            <w:left w:w="0" w:type="dxa"/>
            <w:right w:w="0" w:type="dxa"/>
          </w:tblCellMar>
          <w:tblLook w:val="0000"/>
        </w:tblPrEx>
        <w:trPr>
          <w:trHeight w:val="250"/>
        </w:trPr>
        <w:tc>
          <w:tcPr>
            <w:tcW w:w="855" w:type="dxa"/>
            <w:tcBorders>
              <w:top w:val="single" w:sz="4" w:space="0" w:color="auto"/>
              <w:left w:val="single" w:sz="4" w:space="0" w:color="auto"/>
              <w:bottom w:val="single" w:sz="4" w:space="0" w:color="auto"/>
              <w:right w:val="single" w:sz="4" w:space="0" w:color="auto"/>
            </w:tcBorders>
          </w:tcPr>
          <w:p w:rsidR="006121D4" w:rsidRPr="006121D4" w:rsidP="006121D4" w14:paraId="313CB91C" w14:textId="77777777">
            <w:pPr>
              <w:kinsoku w:val="0"/>
              <w:overflowPunct w:val="0"/>
              <w:autoSpaceDE w:val="0"/>
              <w:autoSpaceDN w:val="0"/>
              <w:adjustRightInd w:val="0"/>
              <w:spacing w:before="21" w:line="240" w:lineRule="auto"/>
              <w:ind w:left="1" w:right="95"/>
              <w:jc w:val="center"/>
              <w:rPr>
                <w:rFonts w:ascii="Arial" w:hAnsi="Arial" w:cs="Arial"/>
                <w:spacing w:val="-2"/>
                <w:sz w:val="18"/>
                <w:szCs w:val="18"/>
              </w:rPr>
            </w:pPr>
            <w:r w:rsidRPr="006121D4">
              <w:rPr>
                <w:rFonts w:ascii="Arial" w:hAnsi="Arial" w:cs="Arial"/>
                <w:spacing w:val="-2"/>
                <w:sz w:val="18"/>
                <w:szCs w:val="18"/>
              </w:rPr>
              <w:t>Total</w:t>
            </w:r>
          </w:p>
        </w:tc>
        <w:tc>
          <w:tcPr>
            <w:tcW w:w="3350" w:type="dxa"/>
            <w:tcBorders>
              <w:top w:val="single" w:sz="4" w:space="0" w:color="auto"/>
              <w:left w:val="single" w:sz="4" w:space="0" w:color="auto"/>
              <w:bottom w:val="single" w:sz="4" w:space="0" w:color="auto"/>
              <w:right w:val="single" w:sz="4" w:space="0" w:color="auto"/>
            </w:tcBorders>
          </w:tcPr>
          <w:p w:rsidR="006121D4" w:rsidRPr="006121D4" w:rsidP="006121D4" w14:paraId="01962B83" w14:textId="77777777">
            <w:pPr>
              <w:kinsoku w:val="0"/>
              <w:overflowPunct w:val="0"/>
              <w:autoSpaceDE w:val="0"/>
              <w:autoSpaceDN w:val="0"/>
              <w:adjustRightInd w:val="0"/>
              <w:spacing w:line="240" w:lineRule="auto"/>
              <w:rPr>
                <w:rFonts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6121D4" w:rsidRPr="006121D4" w:rsidP="006121D4" w14:paraId="790FE6E0" w14:textId="77777777">
            <w:pPr>
              <w:kinsoku w:val="0"/>
              <w:overflowPunct w:val="0"/>
              <w:autoSpaceDE w:val="0"/>
              <w:autoSpaceDN w:val="0"/>
              <w:adjustRightInd w:val="0"/>
              <w:spacing w:line="240" w:lineRule="auto"/>
              <w:rPr>
                <w:rFonts w:cs="Times New Roman"/>
                <w:sz w:val="18"/>
                <w:szCs w:val="18"/>
              </w:rPr>
            </w:pPr>
          </w:p>
        </w:tc>
        <w:tc>
          <w:tcPr>
            <w:tcW w:w="1210" w:type="dxa"/>
            <w:tcBorders>
              <w:top w:val="single" w:sz="4" w:space="0" w:color="auto"/>
              <w:left w:val="single" w:sz="4" w:space="0" w:color="auto"/>
              <w:bottom w:val="single" w:sz="4" w:space="0" w:color="auto"/>
              <w:right w:val="single" w:sz="4" w:space="0" w:color="auto"/>
            </w:tcBorders>
          </w:tcPr>
          <w:p w:rsidR="006121D4" w:rsidRPr="006121D4" w:rsidP="006121D4" w14:paraId="7219189B" w14:textId="77777777">
            <w:pPr>
              <w:kinsoku w:val="0"/>
              <w:overflowPunct w:val="0"/>
              <w:autoSpaceDE w:val="0"/>
              <w:autoSpaceDN w:val="0"/>
              <w:adjustRightInd w:val="0"/>
              <w:spacing w:before="21" w:line="240" w:lineRule="auto"/>
              <w:ind w:left="219"/>
              <w:jc w:val="center"/>
              <w:rPr>
                <w:rFonts w:ascii="Arial" w:hAnsi="Arial" w:cs="Arial"/>
                <w:spacing w:val="-2"/>
                <w:sz w:val="18"/>
                <w:szCs w:val="18"/>
              </w:rPr>
            </w:pPr>
            <w:r w:rsidRPr="006121D4">
              <w:rPr>
                <w:rFonts w:ascii="Arial" w:hAnsi="Arial" w:cs="Arial"/>
                <w:spacing w:val="-2"/>
                <w:sz w:val="18"/>
                <w:szCs w:val="18"/>
              </w:rPr>
              <w:t>231,318</w:t>
            </w:r>
          </w:p>
        </w:tc>
      </w:tr>
    </w:tbl>
    <w:p w:rsidR="00743060" w:rsidP="00BC716F" w14:paraId="5AFA0528" w14:textId="77777777">
      <w:pPr>
        <w:pStyle w:val="BodyText"/>
        <w:tabs>
          <w:tab w:val="left" w:pos="9540"/>
        </w:tabs>
        <w:ind w:right="40"/>
      </w:pPr>
    </w:p>
    <w:p w:rsidR="00AC4301" w:rsidP="00AC4301" w14:paraId="28582DB4" w14:textId="5AF8A317">
      <w:pPr>
        <w:spacing w:line="240" w:lineRule="auto"/>
      </w:pPr>
      <w:r>
        <w:t xml:space="preserve">As shown in Table 2, NSMO typically samples about 6,000 new mortgage originations each quarter.  Over </w:t>
      </w:r>
      <w:r w:rsidR="00944833">
        <w:t>35</w:t>
      </w:r>
      <w:r>
        <w:t xml:space="preserve"> waves for which FHFA has received data from Experian, </w:t>
      </w:r>
      <w:r w:rsidR="00B34528">
        <w:t>28</w:t>
      </w:r>
      <w:r>
        <w:t xml:space="preserve"> percent of the </w:t>
      </w:r>
      <w:r>
        <w:t xml:space="preserve">surveys mailed to borrowers of sampled mortgages were completed and </w:t>
      </w:r>
      <w:r w:rsidR="00944833">
        <w:t>5</w:t>
      </w:r>
      <w:r w:rsidR="00B34528">
        <w:t>7</w:t>
      </w:r>
      <w:r>
        <w:t xml:space="preserve"> percent of completed surveys were received by mail. </w:t>
      </w:r>
    </w:p>
    <w:p w:rsidR="00191098" w14:paraId="6BEF1C10" w14:textId="59536993"/>
    <w:p w:rsidR="00F23A8C" w14:paraId="70061DC4" w14:textId="35B0E197"/>
    <w:p w:rsidR="00F23A8C" w14:paraId="5DCB1B38" w14:textId="2F55ADCE"/>
    <w:p w:rsidR="00F23A8C" w14:paraId="04F98338" w14:textId="0E619BB5"/>
    <w:p w:rsidR="00F23A8C" w14:paraId="519F2FF1" w14:textId="38865894"/>
    <w:p w:rsidR="00F23A8C" w14:paraId="1500FEB5" w14:textId="095F4161"/>
    <w:p w:rsidR="00F23A8C" w14:paraId="265BD572" w14:textId="31F22058"/>
    <w:p w:rsidR="004C66F6" w14:paraId="30CFA949" w14:textId="299E1CC7"/>
    <w:p w:rsidR="004C66F6" w14:paraId="31C2CE2B" w14:textId="2372FFF4"/>
    <w:p w:rsidR="004C66F6" w14:paraId="0DD1EAF1" w14:textId="18418C13"/>
    <w:p w:rsidR="004C66F6" w14:paraId="25A78647" w14:textId="48D5227A"/>
    <w:p w:rsidR="004C66F6" w14:paraId="33987C9C" w14:textId="06EE71E4"/>
    <w:p w:rsidR="004C66F6" w14:paraId="0493FABE" w14:textId="0D265319"/>
    <w:p w:rsidR="004C66F6" w14:paraId="124E8D7F" w14:textId="75D3ED62"/>
    <w:p w:rsidR="004C66F6" w14:paraId="5E46C5BB" w14:textId="24867441"/>
    <w:p w:rsidR="004C66F6" w14:paraId="5526B35C" w14:textId="1969DF71"/>
    <w:p w:rsidR="004C66F6" w14:paraId="0DADC334" w14:textId="43953ED8"/>
    <w:p w:rsidR="004C66F6" w14:paraId="4F98C5CD" w14:textId="218606E6"/>
    <w:p w:rsidR="004C66F6" w14:paraId="2DC365D8" w14:textId="4E1DCB6E"/>
    <w:p w:rsidR="004C66F6" w14:paraId="68121253" w14:textId="77777777"/>
    <w:p w:rsidR="004C66F6" w14:paraId="790F0F0E" w14:textId="77777777"/>
    <w:p w:rsidR="003F6423" w14:paraId="365451A3" w14:textId="77777777"/>
    <w:tbl>
      <w:tblPr>
        <w:tblW w:w="9600" w:type="dxa"/>
        <w:tblLook w:val="04A0"/>
      </w:tblPr>
      <w:tblGrid>
        <w:gridCol w:w="960"/>
        <w:gridCol w:w="1027"/>
        <w:gridCol w:w="960"/>
        <w:gridCol w:w="960"/>
        <w:gridCol w:w="1027"/>
        <w:gridCol w:w="960"/>
        <w:gridCol w:w="960"/>
        <w:gridCol w:w="960"/>
        <w:gridCol w:w="960"/>
        <w:gridCol w:w="960"/>
      </w:tblGrid>
      <w:tr w14:paraId="350C2FB1" w14:textId="77777777" w:rsidTr="00F23A8C">
        <w:tblPrEx>
          <w:tblW w:w="9600" w:type="dxa"/>
          <w:tblLook w:val="04A0"/>
        </w:tblPrEx>
        <w:trPr>
          <w:trHeight w:hRule="exact" w:val="302"/>
        </w:trPr>
        <w:tc>
          <w:tcPr>
            <w:tcW w:w="9600" w:type="dxa"/>
            <w:gridSpan w:val="10"/>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23A8C" w:rsidRPr="00F82ED8" w:rsidP="00F23A8C" w14:paraId="62E2E230" w14:textId="3AEC1C60">
            <w:pPr>
              <w:spacing w:line="240" w:lineRule="auto"/>
              <w:jc w:val="center"/>
              <w:rPr>
                <w:rFonts w:ascii="Arial" w:hAnsi="Arial" w:cs="Arial"/>
                <w:b/>
                <w:bCs/>
                <w:color w:val="1F497D"/>
              </w:rPr>
            </w:pPr>
            <w:bookmarkStart w:id="5" w:name="_Hlk128638135"/>
            <w:r w:rsidRPr="00F82ED8">
              <w:rPr>
                <w:rFonts w:ascii="Arial" w:hAnsi="Arial" w:cs="Arial"/>
                <w:b/>
                <w:bCs/>
                <w:color w:val="1F497D"/>
              </w:rPr>
              <w:t xml:space="preserve">Table </w:t>
            </w:r>
            <w:r>
              <w:rPr>
                <w:rFonts w:ascii="Arial" w:hAnsi="Arial" w:cs="Arial"/>
                <w:b/>
                <w:bCs/>
                <w:color w:val="1F497D"/>
              </w:rPr>
              <w:t>2</w:t>
            </w:r>
            <w:r w:rsidRPr="00F82ED8">
              <w:rPr>
                <w:rFonts w:ascii="Arial" w:hAnsi="Arial" w:cs="Arial"/>
                <w:b/>
                <w:bCs/>
                <w:color w:val="1F497D"/>
              </w:rPr>
              <w:t>. Survey Samples and Returns</w:t>
            </w:r>
          </w:p>
        </w:tc>
      </w:tr>
      <w:tr w14:paraId="5341E40D" w14:textId="77777777" w:rsidTr="00A47C1E">
        <w:tblPrEx>
          <w:tblW w:w="9600" w:type="dxa"/>
          <w:tblLook w:val="04A0"/>
        </w:tblPrEx>
        <w:trPr>
          <w:trHeight w:val="300"/>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2F8E747D"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Wave</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0717BB6D"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 xml:space="preserve"> Average Sampling Weight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347DFA2C"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Surveys Mailed</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5FF33EF4"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Postal Non-Delivery</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11C2EFBC"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Surveys Delivered</w:t>
            </w:r>
          </w:p>
        </w:tc>
        <w:tc>
          <w:tcPr>
            <w:tcW w:w="3840" w:type="dxa"/>
            <w:gridSpan w:val="4"/>
            <w:tcBorders>
              <w:top w:val="single" w:sz="8" w:space="0" w:color="auto"/>
              <w:left w:val="nil"/>
              <w:bottom w:val="single" w:sz="8" w:space="0" w:color="auto"/>
              <w:right w:val="single" w:sz="8" w:space="0" w:color="000000"/>
            </w:tcBorders>
            <w:shd w:val="clear" w:color="000000" w:fill="FFFFFF"/>
            <w:noWrap/>
            <w:vAlign w:val="center"/>
            <w:hideMark/>
          </w:tcPr>
          <w:p w:rsidR="00F23A8C" w:rsidRPr="00F82ED8" w:rsidP="00F23A8C" w14:paraId="7E73B1A5"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Surveys Completed</w:t>
            </w:r>
          </w:p>
        </w:tc>
        <w:tc>
          <w:tcPr>
            <w:tcW w:w="960" w:type="dxa"/>
            <w:vMerge w:val="restart"/>
            <w:tcBorders>
              <w:top w:val="nil"/>
              <w:left w:val="nil"/>
              <w:bottom w:val="single" w:sz="8" w:space="0" w:color="000000"/>
              <w:right w:val="single" w:sz="8" w:space="0" w:color="auto"/>
            </w:tcBorders>
            <w:shd w:val="clear" w:color="000000" w:fill="FFFFFF"/>
            <w:vAlign w:val="center"/>
            <w:hideMark/>
          </w:tcPr>
          <w:p w:rsidR="00F23A8C" w:rsidRPr="00F82ED8" w:rsidP="00F23A8C" w14:paraId="3773098B"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Opt-Out</w:t>
            </w:r>
          </w:p>
        </w:tc>
      </w:tr>
      <w:tr w14:paraId="0694371F" w14:textId="77777777" w:rsidTr="00A47C1E">
        <w:tblPrEx>
          <w:tblW w:w="9600" w:type="dxa"/>
          <w:tblLook w:val="04A0"/>
        </w:tblPrEx>
        <w:trPr>
          <w:trHeight w:val="470"/>
        </w:trPr>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21D6964C"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4050B7B4"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73A442EA"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7FA7F2A1"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691412C8" w14:textId="77777777">
            <w:pPr>
              <w:spacing w:line="240" w:lineRule="auto"/>
              <w:rPr>
                <w:rFonts w:ascii="Arial" w:hAnsi="Arial" w:cs="Arial"/>
                <w:b/>
                <w:bCs/>
                <w:color w:val="1F497D"/>
                <w:sz w:val="18"/>
                <w:szCs w:val="18"/>
              </w:rPr>
            </w:pP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42216C15"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Total</w:t>
            </w: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173C2AE9"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By Mail</w:t>
            </w: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7A46F8D8"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Online English</w:t>
            </w: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0FC56C42"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Online Spanish</w:t>
            </w:r>
          </w:p>
        </w:tc>
        <w:tc>
          <w:tcPr>
            <w:tcW w:w="960" w:type="dxa"/>
            <w:vMerge/>
            <w:tcBorders>
              <w:top w:val="nil"/>
              <w:left w:val="nil"/>
              <w:bottom w:val="single" w:sz="8" w:space="0" w:color="000000"/>
              <w:right w:val="single" w:sz="8" w:space="0" w:color="auto"/>
            </w:tcBorders>
            <w:vAlign w:val="center"/>
            <w:hideMark/>
          </w:tcPr>
          <w:p w:rsidR="00F23A8C" w:rsidRPr="00F82ED8" w:rsidP="00F23A8C" w14:paraId="23D6E822" w14:textId="77777777">
            <w:pPr>
              <w:spacing w:line="240" w:lineRule="auto"/>
              <w:rPr>
                <w:rFonts w:ascii="Arial" w:hAnsi="Arial" w:cs="Arial"/>
                <w:b/>
                <w:bCs/>
                <w:color w:val="1F497D"/>
                <w:sz w:val="18"/>
                <w:szCs w:val="18"/>
              </w:rPr>
            </w:pPr>
          </w:p>
        </w:tc>
      </w:tr>
      <w:tr w14:paraId="4257E99B"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7F1360C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57474D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464.21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FB2CE3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15,000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99F099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53F195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14,782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0BC807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5,793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A98345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4,410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C1D87E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1,360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3F4C5D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056F09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169</w:t>
            </w:r>
          </w:p>
        </w:tc>
      </w:tr>
      <w:tr w14:paraId="69ABC279"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41A9AD9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5760C6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296.14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CC6468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3,000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D8D4A1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06131E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2,963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BC4059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1,076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A17652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858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E91115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E54087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8D54B0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31</w:t>
            </w:r>
          </w:p>
        </w:tc>
      </w:tr>
      <w:tr w14:paraId="15D7FB85"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7D509CF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8A3412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280.96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A06FAF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5,992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8D5A28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6C7F62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5,882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039D32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2,073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565B15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1,534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95054D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524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9D3322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63762D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40</w:t>
            </w:r>
          </w:p>
        </w:tc>
      </w:tr>
      <w:tr w14:paraId="2D3556F4"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19D8EB3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1C57FC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263.63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0C35EA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5,795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2137F2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1016AB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5,709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E66A26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2,020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2701EC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1,496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25AAE3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BD929B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5237B1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53</w:t>
            </w:r>
          </w:p>
        </w:tc>
      </w:tr>
      <w:tr w14:paraId="317AA620"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72559A5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90E00C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247.32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941773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5,925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F86478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D73C14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5,799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CCA2DC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2,089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34A667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1,567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8488D0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520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2567A0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A93C1B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39</w:t>
            </w:r>
          </w:p>
        </w:tc>
      </w:tr>
      <w:tr w14:paraId="3AA8AA08"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4943F90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FB4A45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238.92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0112C3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4,428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DDA23E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4A1352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4,390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781154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1,489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E190A4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1,133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1ACDB7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353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F6CB77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8C6B8B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31</w:t>
            </w:r>
          </w:p>
        </w:tc>
      </w:tr>
      <w:tr w14:paraId="158B81AE"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738FCA2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E4BEEF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297.</w:t>
            </w:r>
            <w:r>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21AA89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7,352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3C240E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E40E9F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7,205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B5C488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2,494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E5630F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1,744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BA04A3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744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F4D0B4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9B7A6E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39</w:t>
            </w:r>
          </w:p>
        </w:tc>
      </w:tr>
      <w:tr w14:paraId="47544C45"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23FAB0E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36051D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326.97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130CED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5,913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87B11B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463D25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488C9F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1,899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EB7EBD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1,305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0DF16B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977E14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70AE08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24</w:t>
            </w:r>
          </w:p>
        </w:tc>
      </w:tr>
      <w:tr w14:paraId="784F2563"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07FED9D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6F8FB9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292.31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8D8461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5,907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C06AF3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77C7AF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D853E9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1,824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BF65B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1,230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8AD501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BE5F73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048EA3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42</w:t>
            </w:r>
          </w:p>
        </w:tc>
      </w:tr>
      <w:tr w14:paraId="087066F6"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0F5A312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21BF46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253.27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57B70A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5,885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9D85B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51FAF8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5,787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B9D6CD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1,765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16540A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1,148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46F457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607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BC9333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0BF5D7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36</w:t>
            </w:r>
          </w:p>
        </w:tc>
      </w:tr>
      <w:tr w14:paraId="6F852305"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5B2A939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B6D698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278.27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F76B0D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5,904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76C176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8CAB3D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5,732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3622EB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1,733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8A847F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1,097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ADD2B2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627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1CCD33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9CF448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w:t>
            </w:r>
          </w:p>
        </w:tc>
      </w:tr>
      <w:tr w14:paraId="6E382F29"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619D5C3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CE6BAD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343.76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A9B7BD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5,919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9E9B7F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6449EE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190177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1,778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FE2435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1,078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63E698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687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36227D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7A05DB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w:t>
            </w:r>
          </w:p>
        </w:tc>
      </w:tr>
      <w:tr w14:paraId="50D5F250"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7C76377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E3BE9D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363.21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B879E5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CD1A43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196293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5,783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8B9507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1,885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850EBB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1,197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3701A2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675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EA762D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687BFC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32</w:t>
            </w:r>
          </w:p>
        </w:tc>
      </w:tr>
      <w:tr w14:paraId="08C9CA6E"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3ABDD4F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FA08CE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318.55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D4B67F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5,804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0DF6E7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69D332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5,697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7C139C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1,681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AD2C3B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1,085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2AA8CE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3EC0DB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1D6641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w:t>
            </w:r>
          </w:p>
        </w:tc>
      </w:tr>
      <w:tr w14:paraId="784D92B7"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406780C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DC5241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270.61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F059A1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5,809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4F505C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6EB575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5,673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D83943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1,537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BD96DA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765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F51571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760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E86237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B0C0CA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24</w:t>
            </w:r>
          </w:p>
        </w:tc>
      </w:tr>
      <w:tr w14:paraId="314BA694"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53027DF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1A6BCB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305.24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4A20EA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5,707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819A8B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69375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5,543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E7DB2F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1,507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7469E6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757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B37502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738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40B8CC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A23FA7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w:t>
            </w:r>
          </w:p>
        </w:tc>
      </w:tr>
      <w:tr w14:paraId="733489DC"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3E425A5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29004D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304.31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A1641A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5,755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2E2BC6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F628F7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5,643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327809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1,647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D7DB51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879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A9A0E9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762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32DECC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3E0694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45</w:t>
            </w:r>
          </w:p>
        </w:tc>
      </w:tr>
      <w:tr w14:paraId="586AFBDB"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4199A36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E1F52A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262.93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2B2CA8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5,773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00F77A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C6F064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A4FE6B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1,536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6530B6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AE8E06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711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2F5D0E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B5BB63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32</w:t>
            </w:r>
          </w:p>
        </w:tc>
      </w:tr>
      <w:tr w14:paraId="2C0D072B"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1B4CD52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D9A15C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266.84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B42609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5,759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C81417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242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5B9A20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5,517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D892BE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1,464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265019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760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7FB208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695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81B9BA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62E5F5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w:t>
            </w:r>
          </w:p>
        </w:tc>
      </w:tr>
      <w:tr w14:paraId="537D401B"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0AD8BFA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83E65D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284.50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CD64EC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5,770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4985E4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206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4651ED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5,564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65DB4B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1,396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3E9AAF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762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650963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627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C9F25E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07CEC2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w:t>
            </w:r>
          </w:p>
        </w:tc>
      </w:tr>
      <w:tr w14:paraId="685DA1FF"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071129C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87C475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266.12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2C9366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5,746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C392C4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251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864098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5,495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0CECEF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1,511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8E7DAA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777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1BB7C6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719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0A139F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4388BF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w:t>
            </w:r>
          </w:p>
        </w:tc>
      </w:tr>
      <w:tr w14:paraId="07994F47"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6B1CA0B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44F11C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213.35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86901A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5,720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F70B2F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219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18E850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5,501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392021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1,405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367B83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757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D13560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630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9D7EC8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9B159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w:t>
            </w:r>
          </w:p>
        </w:tc>
      </w:tr>
      <w:tr w14:paraId="2B6D1977"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1F831A7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39AAEC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262.92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030E66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5,737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F0502B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235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E472BB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5,502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B6596A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w:t>
            </w:r>
            <w:r>
              <w:rPr>
                <w:rFonts w:ascii="Arial" w:hAnsi="Arial" w:cs="Arial"/>
                <w:color w:val="000000"/>
                <w:sz w:val="18"/>
                <w:szCs w:val="18"/>
              </w:rPr>
              <w:t>41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3523A5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w:t>
            </w:r>
            <w:r>
              <w:rPr>
                <w:rFonts w:ascii="Arial" w:hAnsi="Arial" w:cs="Arial"/>
                <w:color w:val="000000"/>
                <w:sz w:val="18"/>
                <w:szCs w:val="18"/>
              </w:rPr>
              <w:t>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495377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579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B7D562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25ED70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w:t>
            </w:r>
          </w:p>
        </w:tc>
      </w:tr>
      <w:tr w14:paraId="0292A87E"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1376BAD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24</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4CEB281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346.01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46EE87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5,676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DD8970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r>
              <w:rPr>
                <w:rFonts w:ascii="Arial" w:hAnsi="Arial" w:cs="Arial"/>
                <w:color w:val="000000"/>
                <w:sz w:val="18"/>
                <w:szCs w:val="18"/>
              </w:rPr>
              <w:t>92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926251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5,4</w:t>
            </w:r>
            <w:r>
              <w:rPr>
                <w:rFonts w:ascii="Arial" w:hAnsi="Arial" w:cs="Arial"/>
                <w:color w:val="000000"/>
                <w:sz w:val="18"/>
                <w:szCs w:val="18"/>
              </w:rPr>
              <w:t>84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7696C0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r>
              <w:rPr>
                <w:rFonts w:ascii="Arial" w:hAnsi="Arial" w:cs="Arial"/>
                <w:color w:val="000000"/>
                <w:sz w:val="18"/>
                <w:szCs w:val="18"/>
              </w:rPr>
              <w:t>268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262E4E6" w14:textId="77777777">
            <w:pPr>
              <w:spacing w:line="240" w:lineRule="auto"/>
              <w:jc w:val="center"/>
              <w:rPr>
                <w:rFonts w:ascii="Arial" w:hAnsi="Arial" w:cs="Arial"/>
                <w:color w:val="000000"/>
                <w:sz w:val="18"/>
                <w:szCs w:val="18"/>
              </w:rPr>
            </w:pPr>
            <w:r>
              <w:rPr>
                <w:rFonts w:ascii="Arial" w:hAnsi="Arial" w:cs="Arial"/>
                <w:color w:val="000000"/>
                <w:sz w:val="18"/>
                <w:szCs w:val="18"/>
              </w:rPr>
              <w:t>615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6F40B8A" w14:textId="77777777">
            <w:pPr>
              <w:spacing w:line="240" w:lineRule="auto"/>
              <w:jc w:val="center"/>
              <w:rPr>
                <w:rFonts w:ascii="Arial" w:hAnsi="Arial" w:cs="Arial"/>
                <w:color w:val="000000"/>
                <w:sz w:val="18"/>
                <w:szCs w:val="18"/>
              </w:rPr>
            </w:pPr>
            <w:r>
              <w:rPr>
                <w:rFonts w:ascii="Arial" w:hAnsi="Arial" w:cs="Arial"/>
                <w:color w:val="000000"/>
                <w:sz w:val="18"/>
                <w:szCs w:val="18"/>
              </w:rPr>
              <w:t>648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B6BB1FC" w14:textId="77777777">
            <w:pPr>
              <w:spacing w:line="240" w:lineRule="auto"/>
              <w:jc w:val="center"/>
              <w:rPr>
                <w:rFonts w:ascii="Arial" w:hAnsi="Arial" w:cs="Arial"/>
                <w:color w:val="000000"/>
                <w:sz w:val="18"/>
                <w:szCs w:val="18"/>
              </w:rPr>
            </w:pPr>
            <w:r>
              <w:rPr>
                <w:rFonts w:ascii="Arial" w:hAnsi="Arial" w:cs="Arial"/>
                <w:color w:val="000000"/>
                <w:sz w:val="18"/>
                <w:szCs w:val="18"/>
              </w:rPr>
              <w:t>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D97C5F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w:t>
            </w:r>
            <w:r>
              <w:rPr>
                <w:rFonts w:ascii="Arial" w:hAnsi="Arial" w:cs="Arial"/>
                <w:color w:val="000000"/>
                <w:sz w:val="18"/>
                <w:szCs w:val="18"/>
              </w:rPr>
              <w:t>1</w:t>
            </w:r>
          </w:p>
        </w:tc>
      </w:tr>
      <w:tr w14:paraId="54B06885"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4F56A4B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25</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49FAE4F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398.60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92FB83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w:t>
            </w:r>
            <w:r>
              <w:rPr>
                <w:rFonts w:ascii="Arial" w:hAnsi="Arial" w:cs="Arial"/>
                <w:color w:val="000000"/>
                <w:sz w:val="18"/>
                <w:szCs w:val="18"/>
              </w:rPr>
              <w:t>698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6BA1A6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r>
              <w:rPr>
                <w:rFonts w:ascii="Arial" w:hAnsi="Arial" w:cs="Arial"/>
                <w:color w:val="000000"/>
                <w:sz w:val="18"/>
                <w:szCs w:val="18"/>
              </w:rPr>
              <w:t>39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C948D4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5,559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9FCDA4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1,780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44F78F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771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7E07006" w14:textId="77777777">
            <w:pPr>
              <w:spacing w:line="240" w:lineRule="auto"/>
              <w:jc w:val="center"/>
              <w:rPr>
                <w:rFonts w:ascii="Arial" w:hAnsi="Arial" w:cs="Arial"/>
                <w:color w:val="000000"/>
                <w:sz w:val="18"/>
                <w:szCs w:val="18"/>
              </w:rPr>
            </w:pPr>
            <w:r>
              <w:rPr>
                <w:rFonts w:ascii="Arial" w:hAnsi="Arial" w:cs="Arial"/>
                <w:color w:val="000000"/>
                <w:sz w:val="18"/>
                <w:szCs w:val="18"/>
              </w:rPr>
              <w:t>998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8367D4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D710A9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27</w:t>
            </w:r>
          </w:p>
        </w:tc>
      </w:tr>
      <w:tr w14:paraId="5256D8DC"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0EA6A77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2A7317F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364.62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C6BE84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5,67</w:t>
            </w:r>
            <w:r>
              <w:rPr>
                <w:rFonts w:ascii="Arial" w:hAnsi="Arial" w:cs="Arial"/>
                <w:color w:val="000000"/>
                <w:sz w:val="18"/>
                <w:szCs w:val="18"/>
              </w:rPr>
              <w:t>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2BABB70" w14:textId="77777777">
            <w:pPr>
              <w:spacing w:line="240" w:lineRule="auto"/>
              <w:jc w:val="center"/>
              <w:rPr>
                <w:rFonts w:ascii="Arial" w:hAnsi="Arial" w:cs="Arial"/>
                <w:color w:val="000000"/>
                <w:sz w:val="18"/>
                <w:szCs w:val="18"/>
              </w:rPr>
            </w:pPr>
            <w:r>
              <w:rPr>
                <w:rFonts w:ascii="Arial" w:hAnsi="Arial" w:cs="Arial"/>
                <w:color w:val="000000"/>
                <w:sz w:val="18"/>
                <w:szCs w:val="18"/>
              </w:rPr>
              <w:t>117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0B5BB1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5,559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6D8121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1,743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A3ACBE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666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CAE4B04" w14:textId="77777777">
            <w:pPr>
              <w:spacing w:line="240" w:lineRule="auto"/>
              <w:jc w:val="center"/>
              <w:rPr>
                <w:rFonts w:ascii="Arial" w:hAnsi="Arial" w:cs="Arial"/>
                <w:color w:val="000000"/>
                <w:sz w:val="18"/>
                <w:szCs w:val="18"/>
              </w:rPr>
            </w:pPr>
            <w:r>
              <w:rPr>
                <w:rFonts w:ascii="Arial" w:hAnsi="Arial" w:cs="Arial"/>
                <w:color w:val="000000"/>
                <w:sz w:val="18"/>
                <w:szCs w:val="18"/>
              </w:rPr>
              <w:t>1,068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580C553" w14:textId="77777777">
            <w:pPr>
              <w:spacing w:line="240" w:lineRule="auto"/>
              <w:jc w:val="center"/>
              <w:rPr>
                <w:rFonts w:ascii="Arial" w:hAnsi="Arial" w:cs="Arial"/>
                <w:color w:val="000000"/>
                <w:sz w:val="18"/>
                <w:szCs w:val="18"/>
              </w:rPr>
            </w:pPr>
            <w:r>
              <w:rPr>
                <w:rFonts w:ascii="Arial" w:hAnsi="Arial" w:cs="Arial"/>
                <w:color w:val="000000"/>
                <w:sz w:val="18"/>
                <w:szCs w:val="18"/>
              </w:rPr>
              <w:t>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81ED82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23</w:t>
            </w:r>
          </w:p>
        </w:tc>
      </w:tr>
    </w:tbl>
    <w:p w:rsidR="00F23A8C" w:rsidP="00F23A8C" w14:paraId="68CA4C75" w14:textId="77777777">
      <w:pPr>
        <w:pStyle w:val="BodyText"/>
        <w:spacing w:line="240" w:lineRule="auto"/>
      </w:pPr>
    </w:p>
    <w:p w:rsidR="00F23A8C" w:rsidP="00F23A8C" w14:paraId="33E40ADB" w14:textId="7C0F64CE">
      <w:pPr>
        <w:pStyle w:val="BodyText"/>
        <w:spacing w:line="240" w:lineRule="auto"/>
      </w:pPr>
    </w:p>
    <w:p w:rsidR="00F23A8C" w:rsidP="00F23A8C" w14:paraId="759B2A0B" w14:textId="4DD6BC39">
      <w:pPr>
        <w:pStyle w:val="BodyText"/>
        <w:spacing w:line="240" w:lineRule="auto"/>
      </w:pPr>
    </w:p>
    <w:p w:rsidR="00F23A8C" w:rsidP="00F23A8C" w14:paraId="41FFC5AD" w14:textId="0C4F5811">
      <w:pPr>
        <w:pStyle w:val="BodyText"/>
        <w:spacing w:line="240" w:lineRule="auto"/>
      </w:pPr>
    </w:p>
    <w:p w:rsidR="00F23A8C" w:rsidP="00F23A8C" w14:paraId="5AF22BF6" w14:textId="178D6784">
      <w:pPr>
        <w:pStyle w:val="BodyText"/>
        <w:spacing w:line="240" w:lineRule="auto"/>
      </w:pPr>
    </w:p>
    <w:p w:rsidR="00F23A8C" w:rsidP="00F23A8C" w14:paraId="26C9030E" w14:textId="0886EA3C">
      <w:pPr>
        <w:pStyle w:val="BodyText"/>
        <w:spacing w:line="240" w:lineRule="auto"/>
      </w:pPr>
    </w:p>
    <w:p w:rsidR="00F23A8C" w:rsidP="00F23A8C" w14:paraId="3AD4B17A" w14:textId="0CA95935">
      <w:pPr>
        <w:pStyle w:val="BodyText"/>
        <w:spacing w:line="240" w:lineRule="auto"/>
      </w:pPr>
    </w:p>
    <w:p w:rsidR="00F23A8C" w:rsidP="00F23A8C" w14:paraId="57D00F75" w14:textId="77777777">
      <w:pPr>
        <w:pStyle w:val="BodyText"/>
        <w:spacing w:line="240" w:lineRule="auto"/>
      </w:pPr>
    </w:p>
    <w:p w:rsidR="00F23A8C" w:rsidP="00F23A8C" w14:paraId="4E81520B" w14:textId="77777777">
      <w:pPr>
        <w:pStyle w:val="BodyText"/>
        <w:spacing w:line="240" w:lineRule="auto"/>
      </w:pPr>
    </w:p>
    <w:p w:rsidR="003F6423" w:rsidP="00F23A8C" w14:paraId="51D4388B" w14:textId="77777777">
      <w:pPr>
        <w:pStyle w:val="BodyText"/>
        <w:spacing w:line="240" w:lineRule="auto"/>
      </w:pPr>
    </w:p>
    <w:tbl>
      <w:tblPr>
        <w:tblW w:w="9600" w:type="dxa"/>
        <w:tblLook w:val="04A0"/>
      </w:tblPr>
      <w:tblGrid>
        <w:gridCol w:w="960"/>
        <w:gridCol w:w="1027"/>
        <w:gridCol w:w="960"/>
        <w:gridCol w:w="960"/>
        <w:gridCol w:w="1027"/>
        <w:gridCol w:w="960"/>
        <w:gridCol w:w="960"/>
        <w:gridCol w:w="960"/>
        <w:gridCol w:w="960"/>
        <w:gridCol w:w="960"/>
      </w:tblGrid>
      <w:tr w14:paraId="61A6452E" w14:textId="77777777" w:rsidTr="00A47C1E">
        <w:tblPrEx>
          <w:tblW w:w="9600" w:type="dxa"/>
          <w:tblLook w:val="04A0"/>
        </w:tblPrEx>
        <w:trPr>
          <w:trHeight w:val="300"/>
        </w:trPr>
        <w:tc>
          <w:tcPr>
            <w:tcW w:w="9600" w:type="dxa"/>
            <w:gridSpan w:val="10"/>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23A8C" w:rsidRPr="00F82ED8" w:rsidP="00F23A8C" w14:paraId="52354BB5" w14:textId="0F095D54">
            <w:pPr>
              <w:spacing w:line="240" w:lineRule="auto"/>
              <w:jc w:val="center"/>
              <w:rPr>
                <w:rFonts w:ascii="Arial" w:hAnsi="Arial" w:cs="Arial"/>
                <w:b/>
                <w:bCs/>
                <w:color w:val="1F497D"/>
              </w:rPr>
            </w:pPr>
            <w:r w:rsidRPr="00F82ED8">
              <w:rPr>
                <w:rFonts w:ascii="Arial" w:hAnsi="Arial" w:cs="Arial"/>
                <w:b/>
                <w:bCs/>
                <w:color w:val="1F497D"/>
              </w:rPr>
              <w:t xml:space="preserve">Table </w:t>
            </w:r>
            <w:r>
              <w:rPr>
                <w:rFonts w:ascii="Arial" w:hAnsi="Arial" w:cs="Arial"/>
                <w:b/>
                <w:bCs/>
                <w:color w:val="1F497D"/>
              </w:rPr>
              <w:t>2</w:t>
            </w:r>
            <w:r w:rsidRPr="00F82ED8">
              <w:rPr>
                <w:rFonts w:ascii="Arial" w:hAnsi="Arial" w:cs="Arial"/>
                <w:b/>
                <w:bCs/>
                <w:color w:val="1F497D"/>
              </w:rPr>
              <w:t>. Survey Samples and Returns (continued)</w:t>
            </w:r>
          </w:p>
        </w:tc>
      </w:tr>
      <w:tr w14:paraId="29236A0E" w14:textId="77777777" w:rsidTr="00A47C1E">
        <w:tblPrEx>
          <w:tblW w:w="9600" w:type="dxa"/>
          <w:tblLook w:val="04A0"/>
        </w:tblPrEx>
        <w:trPr>
          <w:trHeight w:val="300"/>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42B8DB2A"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Wave</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48BCB1D9"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 xml:space="preserve"> Average Sampling Weight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09FFB8A3"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Surveys Mailed</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325B00C9"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Postal Non-Delivery</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A8C" w:rsidRPr="00F82ED8" w:rsidP="00F23A8C" w14:paraId="6839E201"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Surveys Delivered</w:t>
            </w:r>
          </w:p>
        </w:tc>
        <w:tc>
          <w:tcPr>
            <w:tcW w:w="3840" w:type="dxa"/>
            <w:gridSpan w:val="4"/>
            <w:tcBorders>
              <w:top w:val="single" w:sz="8" w:space="0" w:color="auto"/>
              <w:left w:val="nil"/>
              <w:bottom w:val="single" w:sz="8" w:space="0" w:color="auto"/>
              <w:right w:val="single" w:sz="8" w:space="0" w:color="000000"/>
            </w:tcBorders>
            <w:shd w:val="clear" w:color="000000" w:fill="FFFFFF"/>
            <w:noWrap/>
            <w:vAlign w:val="center"/>
            <w:hideMark/>
          </w:tcPr>
          <w:p w:rsidR="00F23A8C" w:rsidRPr="00F82ED8" w:rsidP="00F23A8C" w14:paraId="0FA0290B"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Surveys Completed</w:t>
            </w:r>
          </w:p>
        </w:tc>
        <w:tc>
          <w:tcPr>
            <w:tcW w:w="960" w:type="dxa"/>
            <w:vMerge w:val="restart"/>
            <w:tcBorders>
              <w:top w:val="nil"/>
              <w:left w:val="nil"/>
              <w:bottom w:val="single" w:sz="8" w:space="0" w:color="000000"/>
              <w:right w:val="single" w:sz="8" w:space="0" w:color="auto"/>
            </w:tcBorders>
            <w:shd w:val="clear" w:color="000000" w:fill="FFFFFF"/>
            <w:vAlign w:val="center"/>
            <w:hideMark/>
          </w:tcPr>
          <w:p w:rsidR="00F23A8C" w:rsidRPr="00F82ED8" w:rsidP="00F23A8C" w14:paraId="0E5334F6"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Opt-Out</w:t>
            </w:r>
          </w:p>
        </w:tc>
      </w:tr>
      <w:tr w14:paraId="5BCDEAC6" w14:textId="77777777" w:rsidTr="00A47C1E">
        <w:tblPrEx>
          <w:tblW w:w="9600" w:type="dxa"/>
          <w:tblLook w:val="04A0"/>
        </w:tblPrEx>
        <w:trPr>
          <w:trHeight w:val="470"/>
        </w:trPr>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4EA866C3"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2D7B3237"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6A42269E"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06D075E9"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F23A8C" w:rsidRPr="00F82ED8" w:rsidP="00F23A8C" w14:paraId="06481E73" w14:textId="77777777">
            <w:pPr>
              <w:spacing w:line="240" w:lineRule="auto"/>
              <w:rPr>
                <w:rFonts w:ascii="Arial" w:hAnsi="Arial" w:cs="Arial"/>
                <w:b/>
                <w:bCs/>
                <w:color w:val="1F497D"/>
                <w:sz w:val="18"/>
                <w:szCs w:val="18"/>
              </w:rPr>
            </w:pP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17C4DB1A"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Total</w:t>
            </w: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76162632"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By Mail</w:t>
            </w: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4AC43D61"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Online English</w:t>
            </w:r>
          </w:p>
        </w:tc>
        <w:tc>
          <w:tcPr>
            <w:tcW w:w="960" w:type="dxa"/>
            <w:tcBorders>
              <w:top w:val="nil"/>
              <w:left w:val="nil"/>
              <w:bottom w:val="single" w:sz="8" w:space="0" w:color="auto"/>
              <w:right w:val="single" w:sz="8" w:space="0" w:color="auto"/>
            </w:tcBorders>
            <w:shd w:val="clear" w:color="000000" w:fill="FFFFFF"/>
            <w:vAlign w:val="center"/>
            <w:hideMark/>
          </w:tcPr>
          <w:p w:rsidR="00F23A8C" w:rsidRPr="00F82ED8" w:rsidP="00F23A8C" w14:paraId="65739DC2" w14:textId="77777777">
            <w:pPr>
              <w:spacing w:line="240" w:lineRule="auto"/>
              <w:jc w:val="center"/>
              <w:rPr>
                <w:rFonts w:ascii="Arial" w:hAnsi="Arial" w:cs="Arial"/>
                <w:b/>
                <w:bCs/>
                <w:color w:val="1F497D"/>
                <w:sz w:val="18"/>
                <w:szCs w:val="18"/>
              </w:rPr>
            </w:pPr>
            <w:r w:rsidRPr="00F82ED8">
              <w:rPr>
                <w:rFonts w:ascii="Arial" w:hAnsi="Arial" w:cs="Arial"/>
                <w:b/>
                <w:bCs/>
                <w:color w:val="1F497D"/>
                <w:sz w:val="18"/>
                <w:szCs w:val="18"/>
              </w:rPr>
              <w:t>Online Spanish</w:t>
            </w:r>
          </w:p>
        </w:tc>
        <w:tc>
          <w:tcPr>
            <w:tcW w:w="960" w:type="dxa"/>
            <w:vMerge/>
            <w:tcBorders>
              <w:top w:val="nil"/>
              <w:left w:val="nil"/>
              <w:bottom w:val="single" w:sz="8" w:space="0" w:color="000000"/>
              <w:right w:val="single" w:sz="8" w:space="0" w:color="auto"/>
            </w:tcBorders>
            <w:vAlign w:val="center"/>
            <w:hideMark/>
          </w:tcPr>
          <w:p w:rsidR="00F23A8C" w:rsidRPr="00F82ED8" w:rsidP="00F23A8C" w14:paraId="1F780E6B" w14:textId="77777777">
            <w:pPr>
              <w:spacing w:line="240" w:lineRule="auto"/>
              <w:rPr>
                <w:rFonts w:ascii="Arial" w:hAnsi="Arial" w:cs="Arial"/>
                <w:b/>
                <w:bCs/>
                <w:color w:val="1F497D"/>
                <w:sz w:val="18"/>
                <w:szCs w:val="18"/>
              </w:rPr>
            </w:pPr>
          </w:p>
        </w:tc>
      </w:tr>
      <w:tr w14:paraId="2C201662"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05B487D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27</w:t>
            </w:r>
          </w:p>
        </w:tc>
        <w:bookmarkStart w:id="6" w:name="RANGE!C35"/>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79CC421B" w14:textId="77777777">
            <w:pPr>
              <w:spacing w:line="240" w:lineRule="auto"/>
              <w:jc w:val="center"/>
              <w:rPr>
                <w:rFonts w:ascii="Arial" w:hAnsi="Arial" w:cs="Arial"/>
                <w:color w:val="000000"/>
                <w:sz w:val="18"/>
                <w:szCs w:val="18"/>
              </w:rPr>
            </w:pPr>
            <w:hyperlink r:id="rId11" w:anchor="RANGE!B48" w:history="1">
              <w:r w:rsidRPr="00F82ED8">
                <w:rPr>
                  <w:rFonts w:ascii="Arial" w:hAnsi="Arial" w:cs="Arial"/>
                  <w:color w:val="000000"/>
                  <w:sz w:val="18"/>
                  <w:szCs w:val="18"/>
                </w:rPr>
                <w:t>606.49</w:t>
              </w:r>
            </w:hyperlink>
            <w:bookmarkEnd w:id="6"/>
            <w:r>
              <w:rPr>
                <w:rStyle w:val="FootnoteReference"/>
                <w:rFonts w:ascii="Arial" w:hAnsi="Arial" w:cs="Arial"/>
                <w:color w:val="000000"/>
                <w:sz w:val="18"/>
                <w:szCs w:val="18"/>
              </w:rPr>
              <w:footnoteReference w:id="14"/>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C11017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5,69</w:t>
            </w:r>
            <w:r>
              <w:rPr>
                <w:rFonts w:ascii="Arial" w:hAnsi="Arial" w:cs="Arial"/>
                <w:color w:val="000000"/>
                <w:sz w:val="18"/>
                <w:szCs w:val="18"/>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3711AC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w:t>
            </w:r>
            <w:r>
              <w:rPr>
                <w:rFonts w:ascii="Arial" w:hAnsi="Arial" w:cs="Arial"/>
                <w:color w:val="000000"/>
                <w:sz w:val="18"/>
                <w:szCs w:val="18"/>
              </w:rPr>
              <w:t>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51E00A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5,603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B0B691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1,821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FCABB0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717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F76773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w:t>
            </w:r>
            <w:r>
              <w:rPr>
                <w:rFonts w:ascii="Arial" w:hAnsi="Arial" w:cs="Arial"/>
                <w:color w:val="000000"/>
                <w:sz w:val="18"/>
                <w:szCs w:val="18"/>
              </w:rPr>
              <w:t>92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EC8CB0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r>
              <w:rPr>
                <w:rFonts w:ascii="Arial" w:hAnsi="Arial" w:cs="Arial"/>
                <w:color w:val="000000"/>
                <w:sz w:val="18"/>
                <w:szCs w:val="18"/>
              </w:rPr>
              <w:t>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820C48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19</w:t>
            </w:r>
          </w:p>
        </w:tc>
      </w:tr>
      <w:tr w14:paraId="6914B3EF"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66076EF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28</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4637D60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586.42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71A0F5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5,658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DCBB68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r>
              <w:rPr>
                <w:rFonts w:ascii="Arial" w:hAnsi="Arial" w:cs="Arial"/>
                <w:color w:val="000000"/>
                <w:sz w:val="18"/>
                <w:szCs w:val="18"/>
              </w:rPr>
              <w:t>17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B253F4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w:t>
            </w:r>
            <w:r>
              <w:rPr>
                <w:rFonts w:ascii="Arial" w:hAnsi="Arial" w:cs="Arial"/>
                <w:color w:val="000000"/>
                <w:sz w:val="18"/>
                <w:szCs w:val="18"/>
              </w:rPr>
              <w:t>41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EF9DE3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2CE9FC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D446D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1,178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9ADC2A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A123F5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w:t>
            </w:r>
          </w:p>
        </w:tc>
      </w:tr>
      <w:tr w14:paraId="701B0D9E"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3A8C" w:rsidRPr="00F82ED8" w:rsidP="00F23A8C" w14:paraId="5A47D50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29</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10C45B6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626.20</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57F2C9B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5,64</w:t>
            </w:r>
            <w:r>
              <w:rPr>
                <w:rFonts w:ascii="Arial" w:hAnsi="Arial" w:cs="Arial"/>
                <w:color w:val="000000"/>
                <w:sz w:val="18"/>
                <w:szCs w:val="18"/>
              </w:rPr>
              <w:t>6</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183263A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w:t>
            </w:r>
            <w:r>
              <w:rPr>
                <w:rFonts w:ascii="Arial" w:hAnsi="Arial" w:cs="Arial"/>
                <w:color w:val="000000"/>
                <w:sz w:val="18"/>
                <w:szCs w:val="18"/>
              </w:rPr>
              <w:t>4</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6024D6A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5,522</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004BA33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1,761</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70C1CAC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677</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558C0A0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1,077</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786AAF4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2FD3EC4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w:t>
            </w:r>
          </w:p>
        </w:tc>
      </w:tr>
      <w:tr w14:paraId="7522CC5F"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58E6535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30</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1718350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629.72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6B63FA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5,65</w:t>
            </w: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8B3DC4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w:t>
            </w:r>
            <w:r>
              <w:rPr>
                <w:rFonts w:ascii="Arial" w:hAnsi="Arial" w:cs="Arial"/>
                <w:color w:val="000000"/>
                <w:sz w:val="18"/>
                <w:szCs w:val="18"/>
              </w:rPr>
              <w:t>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71672F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5,504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3468D5C" w14:textId="0B755289">
            <w:pPr>
              <w:spacing w:line="240" w:lineRule="auto"/>
              <w:jc w:val="center"/>
              <w:rPr>
                <w:rFonts w:ascii="Arial" w:hAnsi="Arial" w:cs="Arial"/>
                <w:color w:val="000000"/>
                <w:sz w:val="18"/>
                <w:szCs w:val="18"/>
              </w:rPr>
            </w:pPr>
            <w:r w:rsidRPr="00F82ED8">
              <w:rPr>
                <w:rFonts w:ascii="Arial" w:hAnsi="Arial" w:cs="Arial"/>
                <w:color w:val="000000"/>
                <w:sz w:val="18"/>
                <w:szCs w:val="18"/>
              </w:rPr>
              <w:t>1,576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4A9CB68"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646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0ED051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916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FE9E31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AB9634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22</w:t>
            </w:r>
          </w:p>
        </w:tc>
      </w:tr>
      <w:tr w14:paraId="65E60777"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5307451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31</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58F2181C"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621.</w:t>
            </w:r>
            <w:r>
              <w:rPr>
                <w:rFonts w:ascii="Arial" w:hAnsi="Arial" w:cs="Arial"/>
                <w:color w:val="000000"/>
                <w:sz w:val="18"/>
                <w:szCs w:val="18"/>
              </w:rPr>
              <w:t>31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A93D01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5,67</w:t>
            </w:r>
            <w:r>
              <w:rPr>
                <w:rFonts w:ascii="Arial" w:hAnsi="Arial" w:cs="Arial"/>
                <w:color w:val="000000"/>
                <w:sz w:val="18"/>
                <w:szCs w:val="18"/>
              </w:rPr>
              <w:t>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3A243F0"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w:t>
            </w:r>
            <w:r>
              <w:rPr>
                <w:rFonts w:ascii="Arial" w:hAnsi="Arial" w:cs="Arial"/>
                <w:color w:val="000000"/>
                <w:sz w:val="18"/>
                <w:szCs w:val="18"/>
              </w:rPr>
              <w:t>69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31542A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5,506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1A9D87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1,458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E1BC4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E018781"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877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BB815E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02C7DE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19</w:t>
            </w:r>
          </w:p>
        </w:tc>
      </w:tr>
      <w:tr w14:paraId="0373290F"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44B93B3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32</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1120B44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509.98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EB0A35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5,650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97820F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18</w:t>
            </w:r>
            <w:r>
              <w:rPr>
                <w:rFonts w:ascii="Arial" w:hAnsi="Arial" w:cs="Arial"/>
                <w:color w:val="000000"/>
                <w:sz w:val="18"/>
                <w:szCs w:val="18"/>
              </w:rPr>
              <w:t>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09693E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5,46</w:t>
            </w:r>
            <w:r>
              <w:rPr>
                <w:rFonts w:ascii="Arial" w:hAnsi="Arial" w:cs="Arial"/>
                <w:color w:val="000000"/>
                <w:sz w:val="18"/>
                <w:szCs w:val="18"/>
              </w:rPr>
              <w:t>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BB5DB4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1,415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AA9965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6F8A0B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852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B3AF0B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F315AB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22</w:t>
            </w:r>
          </w:p>
        </w:tc>
      </w:tr>
      <w:tr w14:paraId="59B87D44"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73FAC57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33</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7677509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463.01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A5B4DD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w:t>
            </w:r>
            <w:r>
              <w:rPr>
                <w:rFonts w:ascii="Arial" w:hAnsi="Arial" w:cs="Arial"/>
                <w:color w:val="000000"/>
                <w:sz w:val="18"/>
                <w:szCs w:val="18"/>
              </w:rPr>
              <w:t>76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BC6896C" w14:textId="77777777">
            <w:pPr>
              <w:spacing w:line="240" w:lineRule="auto"/>
              <w:jc w:val="center"/>
              <w:rPr>
                <w:rFonts w:ascii="Arial" w:hAnsi="Arial" w:cs="Arial"/>
                <w:color w:val="000000"/>
                <w:sz w:val="18"/>
                <w:szCs w:val="18"/>
              </w:rPr>
            </w:pPr>
            <w:r>
              <w:rPr>
                <w:rFonts w:ascii="Arial" w:hAnsi="Arial" w:cs="Arial"/>
                <w:color w:val="000000"/>
                <w:sz w:val="18"/>
                <w:szCs w:val="18"/>
              </w:rPr>
              <w:t>198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A92DD4A"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5,478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F40067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1,482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645185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720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3C386E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748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F1B998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0DD6D57"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26</w:t>
            </w:r>
          </w:p>
        </w:tc>
      </w:tr>
      <w:tr w14:paraId="11636452"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15AA91AB"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34</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4BA2F92E"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468.72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63E2C0F"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5,68</w:t>
            </w:r>
            <w:r>
              <w:rPr>
                <w:rFonts w:ascii="Arial" w:hAnsi="Arial" w:cs="Arial"/>
                <w:color w:val="000000"/>
                <w:sz w:val="18"/>
                <w:szCs w:val="18"/>
              </w:rPr>
              <w:t>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A2D06D3"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16</w:t>
            </w:r>
            <w:r>
              <w:rPr>
                <w:rFonts w:ascii="Arial" w:hAnsi="Arial" w:cs="Arial"/>
                <w:color w:val="000000"/>
                <w:sz w:val="18"/>
                <w:szCs w:val="18"/>
              </w:rPr>
              <w:t>1</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C6BC285"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5,520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D121114"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1,253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925FEE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596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1B117E6"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643</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1EE9192"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8535EA9"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28</w:t>
            </w:r>
          </w:p>
        </w:tc>
      </w:tr>
      <w:tr w14:paraId="2D4F73A8"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F23A8C" w:rsidRPr="00F82ED8" w:rsidP="00F23A8C" w14:paraId="2D0C58FC" w14:textId="77777777">
            <w:pPr>
              <w:spacing w:line="240" w:lineRule="auto"/>
              <w:jc w:val="center"/>
              <w:rPr>
                <w:rFonts w:ascii="Arial" w:hAnsi="Arial" w:cs="Arial"/>
                <w:color w:val="000000"/>
                <w:sz w:val="18"/>
                <w:szCs w:val="18"/>
              </w:rPr>
            </w:pPr>
            <w:r>
              <w:rPr>
                <w:rFonts w:ascii="Arial" w:hAnsi="Arial" w:cs="Arial"/>
                <w:color w:val="000000"/>
                <w:sz w:val="18"/>
                <w:szCs w:val="18"/>
              </w:rPr>
              <w:t>35</w:t>
            </w:r>
          </w:p>
        </w:tc>
        <w:tc>
          <w:tcPr>
            <w:tcW w:w="960" w:type="dxa"/>
            <w:tcBorders>
              <w:top w:val="nil"/>
              <w:left w:val="nil"/>
              <w:bottom w:val="single" w:sz="8" w:space="0" w:color="auto"/>
              <w:right w:val="single" w:sz="8" w:space="0" w:color="auto"/>
            </w:tcBorders>
            <w:shd w:val="clear" w:color="auto" w:fill="auto"/>
            <w:noWrap/>
            <w:vAlign w:val="center"/>
          </w:tcPr>
          <w:p w:rsidR="00F23A8C" w:rsidRPr="00F82ED8" w:rsidP="00F23A8C" w14:paraId="4DBE820E" w14:textId="77777777">
            <w:pPr>
              <w:spacing w:line="240" w:lineRule="auto"/>
              <w:jc w:val="center"/>
              <w:rPr>
                <w:rFonts w:ascii="Arial" w:hAnsi="Arial" w:cs="Arial"/>
                <w:color w:val="000000"/>
                <w:sz w:val="18"/>
                <w:szCs w:val="18"/>
              </w:rPr>
            </w:pPr>
            <w:r>
              <w:rPr>
                <w:rFonts w:ascii="Arial" w:hAnsi="Arial" w:cs="Arial"/>
                <w:color w:val="000000"/>
                <w:sz w:val="18"/>
                <w:szCs w:val="18"/>
              </w:rPr>
              <w:t>352.82</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20902A01" w14:textId="77777777">
            <w:pPr>
              <w:spacing w:line="240" w:lineRule="auto"/>
              <w:jc w:val="center"/>
              <w:rPr>
                <w:rFonts w:ascii="Arial" w:hAnsi="Arial" w:cs="Arial"/>
                <w:color w:val="000000"/>
                <w:sz w:val="18"/>
                <w:szCs w:val="18"/>
              </w:rPr>
            </w:pPr>
            <w:r>
              <w:rPr>
                <w:rFonts w:ascii="Arial" w:hAnsi="Arial" w:cs="Arial"/>
                <w:color w:val="000000"/>
                <w:sz w:val="18"/>
                <w:szCs w:val="18"/>
              </w:rPr>
              <w:t>5,667</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55A836D0" w14:textId="77777777">
            <w:pPr>
              <w:spacing w:line="240" w:lineRule="auto"/>
              <w:jc w:val="center"/>
              <w:rPr>
                <w:rFonts w:ascii="Arial" w:hAnsi="Arial" w:cs="Arial"/>
                <w:color w:val="000000"/>
                <w:sz w:val="18"/>
                <w:szCs w:val="18"/>
              </w:rPr>
            </w:pPr>
            <w:r>
              <w:rPr>
                <w:rFonts w:ascii="Arial" w:hAnsi="Arial" w:cs="Arial"/>
                <w:color w:val="000000"/>
                <w:sz w:val="18"/>
                <w:szCs w:val="18"/>
              </w:rPr>
              <w:t>208</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314BAA39" w14:textId="77777777">
            <w:pPr>
              <w:spacing w:line="240" w:lineRule="auto"/>
              <w:jc w:val="center"/>
              <w:rPr>
                <w:rFonts w:ascii="Arial" w:hAnsi="Arial" w:cs="Arial"/>
                <w:color w:val="000000"/>
                <w:sz w:val="18"/>
                <w:szCs w:val="18"/>
              </w:rPr>
            </w:pPr>
            <w:r>
              <w:rPr>
                <w:rFonts w:ascii="Arial" w:hAnsi="Arial" w:cs="Arial"/>
                <w:color w:val="000000"/>
                <w:sz w:val="18"/>
                <w:szCs w:val="18"/>
              </w:rPr>
              <w:t>5,459</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3ECE0C52" w14:textId="77777777">
            <w:pPr>
              <w:spacing w:line="240" w:lineRule="auto"/>
              <w:jc w:val="center"/>
              <w:rPr>
                <w:rFonts w:ascii="Arial" w:hAnsi="Arial" w:cs="Arial"/>
                <w:color w:val="000000"/>
                <w:sz w:val="18"/>
                <w:szCs w:val="18"/>
              </w:rPr>
            </w:pPr>
            <w:r>
              <w:rPr>
                <w:rFonts w:ascii="Arial" w:hAnsi="Arial" w:cs="Arial"/>
                <w:color w:val="000000"/>
                <w:sz w:val="18"/>
                <w:szCs w:val="18"/>
              </w:rPr>
              <w:t>1,270</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01BB87CD" w14:textId="77777777">
            <w:pPr>
              <w:spacing w:line="240" w:lineRule="auto"/>
              <w:jc w:val="center"/>
              <w:rPr>
                <w:rFonts w:ascii="Arial" w:hAnsi="Arial" w:cs="Arial"/>
                <w:color w:val="000000"/>
                <w:sz w:val="18"/>
                <w:szCs w:val="18"/>
              </w:rPr>
            </w:pPr>
            <w:r>
              <w:rPr>
                <w:rFonts w:ascii="Arial" w:hAnsi="Arial" w:cs="Arial"/>
                <w:color w:val="000000"/>
                <w:sz w:val="18"/>
                <w:szCs w:val="18"/>
              </w:rPr>
              <w:t>540</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12556711" w14:textId="77777777">
            <w:pPr>
              <w:spacing w:line="240" w:lineRule="auto"/>
              <w:jc w:val="center"/>
              <w:rPr>
                <w:rFonts w:ascii="Arial" w:hAnsi="Arial" w:cs="Arial"/>
                <w:color w:val="000000"/>
                <w:sz w:val="18"/>
                <w:szCs w:val="18"/>
              </w:rPr>
            </w:pPr>
            <w:r>
              <w:rPr>
                <w:rFonts w:ascii="Arial" w:hAnsi="Arial" w:cs="Arial"/>
                <w:color w:val="000000"/>
                <w:sz w:val="18"/>
                <w:szCs w:val="18"/>
              </w:rPr>
              <w:t>711</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715FB55E" w14:textId="77777777">
            <w:pPr>
              <w:spacing w:line="240" w:lineRule="auto"/>
              <w:jc w:val="center"/>
              <w:rPr>
                <w:rFonts w:ascii="Arial" w:hAnsi="Arial" w:cs="Arial"/>
                <w:color w:val="000000"/>
                <w:sz w:val="18"/>
                <w:szCs w:val="18"/>
              </w:rPr>
            </w:pPr>
            <w:r>
              <w:rPr>
                <w:rFonts w:ascii="Arial" w:hAnsi="Arial" w:cs="Arial"/>
                <w:color w:val="000000"/>
                <w:sz w:val="18"/>
                <w:szCs w:val="18"/>
              </w:rPr>
              <w:t>19</w:t>
            </w:r>
          </w:p>
        </w:tc>
        <w:tc>
          <w:tcPr>
            <w:tcW w:w="960" w:type="dxa"/>
            <w:tcBorders>
              <w:top w:val="nil"/>
              <w:left w:val="nil"/>
              <w:bottom w:val="single" w:sz="8" w:space="0" w:color="auto"/>
              <w:right w:val="single" w:sz="8" w:space="0" w:color="auto"/>
            </w:tcBorders>
            <w:shd w:val="clear" w:color="000000" w:fill="FFFFFF"/>
            <w:noWrap/>
            <w:vAlign w:val="center"/>
          </w:tcPr>
          <w:p w:rsidR="00F23A8C" w:rsidRPr="00F82ED8" w:rsidP="00F23A8C" w14:paraId="7FBDBED8" w14:textId="77777777">
            <w:pPr>
              <w:spacing w:line="240" w:lineRule="auto"/>
              <w:jc w:val="center"/>
              <w:rPr>
                <w:rFonts w:ascii="Arial" w:hAnsi="Arial" w:cs="Arial"/>
                <w:color w:val="000000"/>
                <w:sz w:val="18"/>
                <w:szCs w:val="18"/>
              </w:rPr>
            </w:pPr>
            <w:r>
              <w:rPr>
                <w:rFonts w:ascii="Arial" w:hAnsi="Arial" w:cs="Arial"/>
                <w:color w:val="000000"/>
                <w:sz w:val="18"/>
                <w:szCs w:val="18"/>
              </w:rPr>
              <w:t>23</w:t>
            </w:r>
          </w:p>
        </w:tc>
      </w:tr>
      <w:tr w14:paraId="0B04F9B7"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353296" w:rsidP="00F23A8C" w14:paraId="73AFAA5B" w14:textId="628D1C50">
            <w:pPr>
              <w:spacing w:line="240" w:lineRule="auto"/>
              <w:jc w:val="center"/>
              <w:rPr>
                <w:rFonts w:ascii="Arial" w:hAnsi="Arial" w:cs="Arial"/>
                <w:color w:val="000000"/>
                <w:sz w:val="18"/>
                <w:szCs w:val="18"/>
              </w:rPr>
            </w:pPr>
            <w:r>
              <w:rPr>
                <w:rFonts w:ascii="Arial" w:hAnsi="Arial" w:cs="Arial"/>
                <w:color w:val="000000"/>
                <w:sz w:val="18"/>
                <w:szCs w:val="18"/>
              </w:rPr>
              <w:t>36</w:t>
            </w:r>
          </w:p>
        </w:tc>
        <w:tc>
          <w:tcPr>
            <w:tcW w:w="960" w:type="dxa"/>
            <w:tcBorders>
              <w:top w:val="nil"/>
              <w:left w:val="nil"/>
              <w:bottom w:val="single" w:sz="8" w:space="0" w:color="auto"/>
              <w:right w:val="single" w:sz="8" w:space="0" w:color="auto"/>
            </w:tcBorders>
            <w:shd w:val="clear" w:color="auto" w:fill="auto"/>
            <w:noWrap/>
            <w:vAlign w:val="center"/>
          </w:tcPr>
          <w:p w:rsidR="00353296" w:rsidP="00F23A8C" w14:paraId="352764BD" w14:textId="6BDA9EBB">
            <w:pPr>
              <w:spacing w:line="240" w:lineRule="auto"/>
              <w:jc w:val="center"/>
              <w:rPr>
                <w:rFonts w:ascii="Arial" w:hAnsi="Arial" w:cs="Arial"/>
                <w:color w:val="000000"/>
                <w:sz w:val="18"/>
                <w:szCs w:val="18"/>
              </w:rPr>
            </w:pPr>
            <w:r>
              <w:rPr>
                <w:rFonts w:ascii="Arial" w:hAnsi="Arial" w:cs="Arial"/>
                <w:color w:val="000000"/>
                <w:sz w:val="18"/>
                <w:szCs w:val="18"/>
              </w:rPr>
              <w:t>258.50</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3506DEB" w14:textId="4193D7D5">
            <w:pPr>
              <w:spacing w:line="240" w:lineRule="auto"/>
              <w:jc w:val="center"/>
              <w:rPr>
                <w:rFonts w:ascii="Arial" w:hAnsi="Arial" w:cs="Arial"/>
                <w:color w:val="000000"/>
                <w:sz w:val="18"/>
                <w:szCs w:val="18"/>
              </w:rPr>
            </w:pPr>
            <w:r>
              <w:rPr>
                <w:rFonts w:ascii="Arial" w:hAnsi="Arial" w:cs="Arial"/>
                <w:color w:val="000000"/>
                <w:sz w:val="18"/>
                <w:szCs w:val="18"/>
              </w:rPr>
              <w:t>5,681</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7F95A03E" w14:textId="557A70D1">
            <w:pPr>
              <w:spacing w:line="240" w:lineRule="auto"/>
              <w:jc w:val="center"/>
              <w:rPr>
                <w:rFonts w:ascii="Arial" w:hAnsi="Arial" w:cs="Arial"/>
                <w:color w:val="000000"/>
                <w:sz w:val="18"/>
                <w:szCs w:val="18"/>
              </w:rPr>
            </w:pPr>
            <w:r>
              <w:rPr>
                <w:rFonts w:ascii="Arial" w:hAnsi="Arial" w:cs="Arial"/>
                <w:color w:val="000000"/>
                <w:sz w:val="18"/>
                <w:szCs w:val="18"/>
              </w:rPr>
              <w:t>265</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2A315C7E" w14:textId="12C59D6D">
            <w:pPr>
              <w:spacing w:line="240" w:lineRule="auto"/>
              <w:jc w:val="center"/>
              <w:rPr>
                <w:rFonts w:ascii="Arial" w:hAnsi="Arial" w:cs="Arial"/>
                <w:color w:val="000000"/>
                <w:sz w:val="18"/>
                <w:szCs w:val="18"/>
              </w:rPr>
            </w:pPr>
            <w:r>
              <w:rPr>
                <w:rFonts w:ascii="Arial" w:hAnsi="Arial" w:cs="Arial"/>
                <w:color w:val="000000"/>
                <w:sz w:val="18"/>
                <w:szCs w:val="18"/>
              </w:rPr>
              <w:t>5</w:t>
            </w:r>
            <w:r w:rsidR="003F6423">
              <w:rPr>
                <w:rFonts w:ascii="Arial" w:hAnsi="Arial" w:cs="Arial"/>
                <w:color w:val="000000"/>
                <w:sz w:val="18"/>
                <w:szCs w:val="18"/>
              </w:rPr>
              <w:t>,</w:t>
            </w:r>
            <w:r>
              <w:rPr>
                <w:rFonts w:ascii="Arial" w:hAnsi="Arial" w:cs="Arial"/>
                <w:color w:val="000000"/>
                <w:sz w:val="18"/>
                <w:szCs w:val="18"/>
              </w:rPr>
              <w:t>416</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2B60BE4" w14:textId="382A7312">
            <w:pPr>
              <w:spacing w:line="240" w:lineRule="auto"/>
              <w:jc w:val="center"/>
              <w:rPr>
                <w:rFonts w:ascii="Arial" w:hAnsi="Arial" w:cs="Arial"/>
                <w:color w:val="000000"/>
                <w:sz w:val="18"/>
                <w:szCs w:val="18"/>
              </w:rPr>
            </w:pPr>
            <w:r>
              <w:rPr>
                <w:rFonts w:ascii="Arial" w:hAnsi="Arial" w:cs="Arial"/>
                <w:color w:val="000000"/>
                <w:sz w:val="18"/>
                <w:szCs w:val="18"/>
              </w:rPr>
              <w:t>1,181</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5CF2F38E" w14:textId="64B44405">
            <w:pPr>
              <w:spacing w:line="240" w:lineRule="auto"/>
              <w:jc w:val="center"/>
              <w:rPr>
                <w:rFonts w:ascii="Arial" w:hAnsi="Arial" w:cs="Arial"/>
                <w:color w:val="000000"/>
                <w:sz w:val="18"/>
                <w:szCs w:val="18"/>
              </w:rPr>
            </w:pPr>
            <w:r>
              <w:rPr>
                <w:rFonts w:ascii="Arial" w:hAnsi="Arial" w:cs="Arial"/>
                <w:color w:val="000000"/>
                <w:sz w:val="18"/>
                <w:szCs w:val="18"/>
              </w:rPr>
              <w:t>415</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6F768498" w14:textId="07CE29A4">
            <w:pPr>
              <w:spacing w:line="240" w:lineRule="auto"/>
              <w:jc w:val="center"/>
              <w:rPr>
                <w:rFonts w:ascii="Arial" w:hAnsi="Arial" w:cs="Arial"/>
                <w:color w:val="000000"/>
                <w:sz w:val="18"/>
                <w:szCs w:val="18"/>
              </w:rPr>
            </w:pPr>
            <w:r>
              <w:rPr>
                <w:rFonts w:ascii="Arial" w:hAnsi="Arial" w:cs="Arial"/>
                <w:color w:val="000000"/>
                <w:sz w:val="18"/>
                <w:szCs w:val="18"/>
              </w:rPr>
              <w:t>755</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30C9BEA5" w14:textId="69CBA356">
            <w:pPr>
              <w:spacing w:line="240" w:lineRule="auto"/>
              <w:jc w:val="center"/>
              <w:rPr>
                <w:rFonts w:ascii="Arial" w:hAnsi="Arial" w:cs="Arial"/>
                <w:color w:val="000000"/>
                <w:sz w:val="18"/>
                <w:szCs w:val="18"/>
              </w:rPr>
            </w:pPr>
            <w:r>
              <w:rPr>
                <w:rFonts w:ascii="Arial" w:hAnsi="Arial" w:cs="Arial"/>
                <w:color w:val="000000"/>
                <w:sz w:val="18"/>
                <w:szCs w:val="18"/>
              </w:rPr>
              <w:t>11</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6A38A7F" w14:textId="4EE1CB10">
            <w:pPr>
              <w:spacing w:line="240" w:lineRule="auto"/>
              <w:jc w:val="center"/>
              <w:rPr>
                <w:rFonts w:ascii="Arial" w:hAnsi="Arial" w:cs="Arial"/>
                <w:color w:val="000000"/>
                <w:sz w:val="18"/>
                <w:szCs w:val="18"/>
              </w:rPr>
            </w:pPr>
            <w:r>
              <w:rPr>
                <w:rFonts w:ascii="Arial" w:hAnsi="Arial" w:cs="Arial"/>
                <w:color w:val="000000"/>
                <w:sz w:val="18"/>
                <w:szCs w:val="18"/>
              </w:rPr>
              <w:t>19</w:t>
            </w:r>
          </w:p>
        </w:tc>
      </w:tr>
      <w:tr w14:paraId="08F42205"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353296" w:rsidP="00F23A8C" w14:paraId="53819004" w14:textId="1997B9BE">
            <w:pPr>
              <w:spacing w:line="240" w:lineRule="auto"/>
              <w:jc w:val="center"/>
              <w:rPr>
                <w:rFonts w:ascii="Arial" w:hAnsi="Arial" w:cs="Arial"/>
                <w:color w:val="000000"/>
                <w:sz w:val="18"/>
                <w:szCs w:val="18"/>
              </w:rPr>
            </w:pPr>
            <w:r>
              <w:rPr>
                <w:rFonts w:ascii="Arial" w:hAnsi="Arial" w:cs="Arial"/>
                <w:color w:val="000000"/>
                <w:sz w:val="18"/>
                <w:szCs w:val="18"/>
              </w:rPr>
              <w:t>37</w:t>
            </w:r>
          </w:p>
        </w:tc>
        <w:tc>
          <w:tcPr>
            <w:tcW w:w="960" w:type="dxa"/>
            <w:tcBorders>
              <w:top w:val="nil"/>
              <w:left w:val="nil"/>
              <w:bottom w:val="single" w:sz="8" w:space="0" w:color="auto"/>
              <w:right w:val="single" w:sz="8" w:space="0" w:color="auto"/>
            </w:tcBorders>
            <w:shd w:val="clear" w:color="auto" w:fill="auto"/>
            <w:noWrap/>
            <w:vAlign w:val="center"/>
          </w:tcPr>
          <w:p w:rsidR="00353296" w:rsidP="00F23A8C" w14:paraId="2C7ED7E6" w14:textId="2D30507B">
            <w:pPr>
              <w:spacing w:line="240" w:lineRule="auto"/>
              <w:jc w:val="center"/>
              <w:rPr>
                <w:rFonts w:ascii="Arial" w:hAnsi="Arial" w:cs="Arial"/>
                <w:color w:val="000000"/>
                <w:sz w:val="18"/>
                <w:szCs w:val="18"/>
              </w:rPr>
            </w:pPr>
            <w:r>
              <w:rPr>
                <w:rFonts w:ascii="Arial" w:hAnsi="Arial" w:cs="Arial"/>
                <w:color w:val="000000"/>
                <w:sz w:val="18"/>
                <w:szCs w:val="18"/>
              </w:rPr>
              <w:t>205.64</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192D625B" w14:textId="48AFDF11">
            <w:pPr>
              <w:spacing w:line="240" w:lineRule="auto"/>
              <w:jc w:val="center"/>
              <w:rPr>
                <w:rFonts w:ascii="Arial" w:hAnsi="Arial" w:cs="Arial"/>
                <w:color w:val="000000"/>
                <w:sz w:val="18"/>
                <w:szCs w:val="18"/>
              </w:rPr>
            </w:pPr>
            <w:r>
              <w:rPr>
                <w:rFonts w:ascii="Arial" w:hAnsi="Arial" w:cs="Arial"/>
                <w:color w:val="000000"/>
                <w:sz w:val="18"/>
                <w:szCs w:val="18"/>
              </w:rPr>
              <w:t>5,669</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7D2301B1" w14:textId="1B228C3E">
            <w:pPr>
              <w:spacing w:line="240" w:lineRule="auto"/>
              <w:jc w:val="center"/>
              <w:rPr>
                <w:rFonts w:ascii="Arial" w:hAnsi="Arial" w:cs="Arial"/>
                <w:color w:val="000000"/>
                <w:sz w:val="18"/>
                <w:szCs w:val="18"/>
              </w:rPr>
            </w:pPr>
            <w:r>
              <w:rPr>
                <w:rFonts w:ascii="Arial" w:hAnsi="Arial" w:cs="Arial"/>
                <w:color w:val="000000"/>
                <w:sz w:val="18"/>
                <w:szCs w:val="18"/>
              </w:rPr>
              <w:t>264</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304CBD3" w14:textId="50145E1F">
            <w:pPr>
              <w:spacing w:line="240" w:lineRule="auto"/>
              <w:jc w:val="center"/>
              <w:rPr>
                <w:rFonts w:ascii="Arial" w:hAnsi="Arial" w:cs="Arial"/>
                <w:color w:val="000000"/>
                <w:sz w:val="18"/>
                <w:szCs w:val="18"/>
              </w:rPr>
            </w:pPr>
            <w:r>
              <w:rPr>
                <w:rFonts w:ascii="Arial" w:hAnsi="Arial" w:cs="Arial"/>
                <w:color w:val="000000"/>
                <w:sz w:val="18"/>
                <w:szCs w:val="18"/>
              </w:rPr>
              <w:t>5,405</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2A0C467B" w14:textId="10B5D138">
            <w:pPr>
              <w:spacing w:line="240" w:lineRule="auto"/>
              <w:jc w:val="center"/>
              <w:rPr>
                <w:rFonts w:ascii="Arial" w:hAnsi="Arial" w:cs="Arial"/>
                <w:color w:val="000000"/>
                <w:sz w:val="18"/>
                <w:szCs w:val="18"/>
              </w:rPr>
            </w:pPr>
            <w:r>
              <w:rPr>
                <w:rFonts w:ascii="Arial" w:hAnsi="Arial" w:cs="Arial"/>
                <w:color w:val="000000"/>
                <w:sz w:val="18"/>
                <w:szCs w:val="18"/>
              </w:rPr>
              <w:t>1,088</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33F89495" w14:textId="7FADF377">
            <w:pPr>
              <w:spacing w:line="240" w:lineRule="auto"/>
              <w:jc w:val="center"/>
              <w:rPr>
                <w:rFonts w:ascii="Arial" w:hAnsi="Arial" w:cs="Arial"/>
                <w:color w:val="000000"/>
                <w:sz w:val="18"/>
                <w:szCs w:val="18"/>
              </w:rPr>
            </w:pPr>
            <w:r>
              <w:rPr>
                <w:rFonts w:ascii="Arial" w:hAnsi="Arial" w:cs="Arial"/>
                <w:color w:val="000000"/>
                <w:sz w:val="18"/>
                <w:szCs w:val="18"/>
              </w:rPr>
              <w:t>440</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6268DEEF" w14:textId="3757E860">
            <w:pPr>
              <w:spacing w:line="240" w:lineRule="auto"/>
              <w:jc w:val="center"/>
              <w:rPr>
                <w:rFonts w:ascii="Arial" w:hAnsi="Arial" w:cs="Arial"/>
                <w:color w:val="000000"/>
                <w:sz w:val="18"/>
                <w:szCs w:val="18"/>
              </w:rPr>
            </w:pPr>
            <w:r>
              <w:rPr>
                <w:rFonts w:ascii="Arial" w:hAnsi="Arial" w:cs="Arial"/>
                <w:color w:val="000000"/>
                <w:sz w:val="18"/>
                <w:szCs w:val="18"/>
              </w:rPr>
              <w:t>637</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6C3D699D" w14:textId="6EF7CC88">
            <w:pPr>
              <w:spacing w:line="240" w:lineRule="auto"/>
              <w:jc w:val="center"/>
              <w:rPr>
                <w:rFonts w:ascii="Arial" w:hAnsi="Arial" w:cs="Arial"/>
                <w:color w:val="000000"/>
                <w:sz w:val="18"/>
                <w:szCs w:val="18"/>
              </w:rPr>
            </w:pPr>
            <w:r>
              <w:rPr>
                <w:rFonts w:ascii="Arial" w:hAnsi="Arial" w:cs="Arial"/>
                <w:color w:val="000000"/>
                <w:sz w:val="18"/>
                <w:szCs w:val="18"/>
              </w:rPr>
              <w:t>11</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0B09905E" w14:textId="3045E1E3">
            <w:pPr>
              <w:spacing w:line="240" w:lineRule="auto"/>
              <w:jc w:val="center"/>
              <w:rPr>
                <w:rFonts w:ascii="Arial" w:hAnsi="Arial" w:cs="Arial"/>
                <w:color w:val="000000"/>
                <w:sz w:val="18"/>
                <w:szCs w:val="18"/>
              </w:rPr>
            </w:pPr>
            <w:r>
              <w:rPr>
                <w:rFonts w:ascii="Arial" w:hAnsi="Arial" w:cs="Arial"/>
                <w:color w:val="000000"/>
                <w:sz w:val="18"/>
                <w:szCs w:val="18"/>
              </w:rPr>
              <w:t>20</w:t>
            </w:r>
          </w:p>
        </w:tc>
      </w:tr>
      <w:tr w14:paraId="495137F1"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353296" w:rsidP="00F23A8C" w14:paraId="5944BAC0" w14:textId="39B6AD23">
            <w:pPr>
              <w:spacing w:line="240" w:lineRule="auto"/>
              <w:jc w:val="center"/>
              <w:rPr>
                <w:rFonts w:ascii="Arial" w:hAnsi="Arial" w:cs="Arial"/>
                <w:color w:val="000000"/>
                <w:sz w:val="18"/>
                <w:szCs w:val="18"/>
              </w:rPr>
            </w:pPr>
            <w:r>
              <w:rPr>
                <w:rFonts w:ascii="Arial" w:hAnsi="Arial" w:cs="Arial"/>
                <w:color w:val="000000"/>
                <w:sz w:val="18"/>
                <w:szCs w:val="18"/>
              </w:rPr>
              <w:t>38</w:t>
            </w:r>
          </w:p>
        </w:tc>
        <w:tc>
          <w:tcPr>
            <w:tcW w:w="960" w:type="dxa"/>
            <w:tcBorders>
              <w:top w:val="nil"/>
              <w:left w:val="nil"/>
              <w:bottom w:val="single" w:sz="8" w:space="0" w:color="auto"/>
              <w:right w:val="single" w:sz="8" w:space="0" w:color="auto"/>
            </w:tcBorders>
            <w:shd w:val="clear" w:color="auto" w:fill="auto"/>
            <w:noWrap/>
            <w:vAlign w:val="center"/>
          </w:tcPr>
          <w:p w:rsidR="00353296" w:rsidP="00F23A8C" w14:paraId="3CBD3C61" w14:textId="46CB7926">
            <w:pPr>
              <w:spacing w:line="240" w:lineRule="auto"/>
              <w:jc w:val="center"/>
              <w:rPr>
                <w:rFonts w:ascii="Arial" w:hAnsi="Arial" w:cs="Arial"/>
                <w:color w:val="000000"/>
                <w:sz w:val="18"/>
                <w:szCs w:val="18"/>
              </w:rPr>
            </w:pPr>
            <w:r>
              <w:rPr>
                <w:rFonts w:ascii="Arial" w:hAnsi="Arial" w:cs="Arial"/>
                <w:color w:val="000000"/>
                <w:sz w:val="18"/>
                <w:szCs w:val="18"/>
              </w:rPr>
              <w:t>165.57</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2C22CE8" w14:textId="45455685">
            <w:pPr>
              <w:spacing w:line="240" w:lineRule="auto"/>
              <w:jc w:val="center"/>
              <w:rPr>
                <w:rFonts w:ascii="Arial" w:hAnsi="Arial" w:cs="Arial"/>
                <w:color w:val="000000"/>
                <w:sz w:val="18"/>
                <w:szCs w:val="18"/>
              </w:rPr>
            </w:pPr>
            <w:r>
              <w:rPr>
                <w:rFonts w:ascii="Arial" w:hAnsi="Arial" w:cs="Arial"/>
                <w:color w:val="000000"/>
                <w:sz w:val="18"/>
                <w:szCs w:val="18"/>
              </w:rPr>
              <w:t>5,699</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2E4187B0" w14:textId="479CFBAE">
            <w:pPr>
              <w:spacing w:line="240" w:lineRule="auto"/>
              <w:jc w:val="center"/>
              <w:rPr>
                <w:rFonts w:ascii="Arial" w:hAnsi="Arial" w:cs="Arial"/>
                <w:color w:val="000000"/>
                <w:sz w:val="18"/>
                <w:szCs w:val="18"/>
              </w:rPr>
            </w:pPr>
            <w:r>
              <w:rPr>
                <w:rFonts w:ascii="Arial" w:hAnsi="Arial" w:cs="Arial"/>
                <w:color w:val="000000"/>
                <w:sz w:val="18"/>
                <w:szCs w:val="18"/>
              </w:rPr>
              <w:t>377</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22FF48C0" w14:textId="1D570263">
            <w:pPr>
              <w:spacing w:line="240" w:lineRule="auto"/>
              <w:jc w:val="center"/>
              <w:rPr>
                <w:rFonts w:ascii="Arial" w:hAnsi="Arial" w:cs="Arial"/>
                <w:color w:val="000000"/>
                <w:sz w:val="18"/>
                <w:szCs w:val="18"/>
              </w:rPr>
            </w:pPr>
            <w:r>
              <w:rPr>
                <w:rFonts w:ascii="Arial" w:hAnsi="Arial" w:cs="Arial"/>
                <w:color w:val="000000"/>
                <w:sz w:val="18"/>
                <w:szCs w:val="18"/>
              </w:rPr>
              <w:t>5,322</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3696B11D" w14:textId="44759D5A">
            <w:pPr>
              <w:spacing w:line="240" w:lineRule="auto"/>
              <w:jc w:val="center"/>
              <w:rPr>
                <w:rFonts w:ascii="Arial" w:hAnsi="Arial" w:cs="Arial"/>
                <w:color w:val="000000"/>
                <w:sz w:val="18"/>
                <w:szCs w:val="18"/>
              </w:rPr>
            </w:pPr>
            <w:r>
              <w:rPr>
                <w:rFonts w:ascii="Arial" w:hAnsi="Arial" w:cs="Arial"/>
                <w:color w:val="000000"/>
                <w:sz w:val="18"/>
                <w:szCs w:val="18"/>
              </w:rPr>
              <w:t>1,107</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E156453" w14:textId="6AA9D086">
            <w:pPr>
              <w:spacing w:line="240" w:lineRule="auto"/>
              <w:jc w:val="center"/>
              <w:rPr>
                <w:rFonts w:ascii="Arial" w:hAnsi="Arial" w:cs="Arial"/>
                <w:color w:val="000000"/>
                <w:sz w:val="18"/>
                <w:szCs w:val="18"/>
              </w:rPr>
            </w:pPr>
            <w:r>
              <w:rPr>
                <w:rFonts w:ascii="Arial" w:hAnsi="Arial" w:cs="Arial"/>
                <w:color w:val="000000"/>
                <w:sz w:val="18"/>
                <w:szCs w:val="18"/>
              </w:rPr>
              <w:t>492</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25B6A63C" w14:textId="0EAC3A9D">
            <w:pPr>
              <w:spacing w:line="240" w:lineRule="auto"/>
              <w:jc w:val="center"/>
              <w:rPr>
                <w:rFonts w:ascii="Arial" w:hAnsi="Arial" w:cs="Arial"/>
                <w:color w:val="000000"/>
                <w:sz w:val="18"/>
                <w:szCs w:val="18"/>
              </w:rPr>
            </w:pPr>
            <w:r>
              <w:rPr>
                <w:rFonts w:ascii="Arial" w:hAnsi="Arial" w:cs="Arial"/>
                <w:color w:val="000000"/>
                <w:sz w:val="18"/>
                <w:szCs w:val="18"/>
              </w:rPr>
              <w:t>602</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6B141CB8" w14:textId="2879F9B1">
            <w:pPr>
              <w:spacing w:line="240" w:lineRule="auto"/>
              <w:jc w:val="center"/>
              <w:rPr>
                <w:rFonts w:ascii="Arial" w:hAnsi="Arial" w:cs="Arial"/>
                <w:color w:val="000000"/>
                <w:sz w:val="18"/>
                <w:szCs w:val="18"/>
              </w:rPr>
            </w:pPr>
            <w:r>
              <w:rPr>
                <w:rFonts w:ascii="Arial" w:hAnsi="Arial" w:cs="Arial"/>
                <w:color w:val="000000"/>
                <w:sz w:val="18"/>
                <w:szCs w:val="18"/>
              </w:rPr>
              <w:t>14</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7D9E9F46" w14:textId="6731D1B0">
            <w:pPr>
              <w:spacing w:line="240" w:lineRule="auto"/>
              <w:jc w:val="center"/>
              <w:rPr>
                <w:rFonts w:ascii="Arial" w:hAnsi="Arial" w:cs="Arial"/>
                <w:color w:val="000000"/>
                <w:sz w:val="18"/>
                <w:szCs w:val="18"/>
              </w:rPr>
            </w:pPr>
            <w:r>
              <w:rPr>
                <w:rFonts w:ascii="Arial" w:hAnsi="Arial" w:cs="Arial"/>
                <w:color w:val="000000"/>
                <w:sz w:val="18"/>
                <w:szCs w:val="18"/>
              </w:rPr>
              <w:t>11</w:t>
            </w:r>
          </w:p>
        </w:tc>
      </w:tr>
      <w:tr w14:paraId="4D00276A"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353296" w:rsidP="00F23A8C" w14:paraId="1B6F70D7" w14:textId="5F88BBFC">
            <w:pPr>
              <w:spacing w:line="240" w:lineRule="auto"/>
              <w:jc w:val="center"/>
              <w:rPr>
                <w:rFonts w:ascii="Arial" w:hAnsi="Arial" w:cs="Arial"/>
                <w:color w:val="000000"/>
                <w:sz w:val="18"/>
                <w:szCs w:val="18"/>
              </w:rPr>
            </w:pPr>
            <w:r>
              <w:rPr>
                <w:rFonts w:ascii="Arial" w:hAnsi="Arial" w:cs="Arial"/>
                <w:color w:val="000000"/>
                <w:sz w:val="18"/>
                <w:szCs w:val="18"/>
              </w:rPr>
              <w:t>39</w:t>
            </w:r>
          </w:p>
        </w:tc>
        <w:tc>
          <w:tcPr>
            <w:tcW w:w="960" w:type="dxa"/>
            <w:tcBorders>
              <w:top w:val="nil"/>
              <w:left w:val="nil"/>
              <w:bottom w:val="single" w:sz="8" w:space="0" w:color="auto"/>
              <w:right w:val="single" w:sz="8" w:space="0" w:color="auto"/>
            </w:tcBorders>
            <w:shd w:val="clear" w:color="auto" w:fill="auto"/>
            <w:noWrap/>
            <w:vAlign w:val="center"/>
          </w:tcPr>
          <w:p w:rsidR="00353296" w:rsidP="00F23A8C" w14:paraId="1D48B403" w14:textId="253527D0">
            <w:pPr>
              <w:spacing w:line="240" w:lineRule="auto"/>
              <w:jc w:val="center"/>
              <w:rPr>
                <w:rFonts w:ascii="Arial" w:hAnsi="Arial" w:cs="Arial"/>
                <w:color w:val="000000"/>
                <w:sz w:val="18"/>
                <w:szCs w:val="18"/>
              </w:rPr>
            </w:pPr>
            <w:r>
              <w:rPr>
                <w:rFonts w:ascii="Arial" w:hAnsi="Arial" w:cs="Arial"/>
                <w:color w:val="000000"/>
                <w:sz w:val="18"/>
                <w:szCs w:val="18"/>
              </w:rPr>
              <w:t>178.94</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092E8AA5" w14:textId="01745E22">
            <w:pPr>
              <w:spacing w:line="240" w:lineRule="auto"/>
              <w:jc w:val="center"/>
              <w:rPr>
                <w:rFonts w:ascii="Arial" w:hAnsi="Arial" w:cs="Arial"/>
                <w:color w:val="000000"/>
                <w:sz w:val="18"/>
                <w:szCs w:val="18"/>
              </w:rPr>
            </w:pPr>
            <w:r>
              <w:rPr>
                <w:rFonts w:ascii="Arial" w:hAnsi="Arial" w:cs="Arial"/>
                <w:color w:val="000000"/>
                <w:sz w:val="18"/>
                <w:szCs w:val="18"/>
              </w:rPr>
              <w:t>5,712</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59898E38" w14:textId="233FFFEE">
            <w:pPr>
              <w:spacing w:line="240" w:lineRule="auto"/>
              <w:jc w:val="center"/>
              <w:rPr>
                <w:rFonts w:ascii="Arial" w:hAnsi="Arial" w:cs="Arial"/>
                <w:color w:val="000000"/>
                <w:sz w:val="18"/>
                <w:szCs w:val="18"/>
              </w:rPr>
            </w:pPr>
            <w:r>
              <w:rPr>
                <w:rFonts w:ascii="Arial" w:hAnsi="Arial" w:cs="Arial"/>
                <w:color w:val="000000"/>
                <w:sz w:val="18"/>
                <w:szCs w:val="18"/>
              </w:rPr>
              <w:t>357</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0D21CF9E" w14:textId="1C657E3E">
            <w:pPr>
              <w:spacing w:line="240" w:lineRule="auto"/>
              <w:jc w:val="center"/>
              <w:rPr>
                <w:rFonts w:ascii="Arial" w:hAnsi="Arial" w:cs="Arial"/>
                <w:color w:val="000000"/>
                <w:sz w:val="18"/>
                <w:szCs w:val="18"/>
              </w:rPr>
            </w:pPr>
            <w:r>
              <w:rPr>
                <w:rFonts w:ascii="Arial" w:hAnsi="Arial" w:cs="Arial"/>
                <w:color w:val="000000"/>
                <w:sz w:val="18"/>
                <w:szCs w:val="18"/>
              </w:rPr>
              <w:t>5,355</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652688A2" w14:textId="6051EEFB">
            <w:pPr>
              <w:spacing w:line="240" w:lineRule="auto"/>
              <w:jc w:val="center"/>
              <w:rPr>
                <w:rFonts w:ascii="Arial" w:hAnsi="Arial" w:cs="Arial"/>
                <w:color w:val="000000"/>
                <w:sz w:val="18"/>
                <w:szCs w:val="18"/>
              </w:rPr>
            </w:pPr>
            <w:r>
              <w:rPr>
                <w:rFonts w:ascii="Arial" w:hAnsi="Arial" w:cs="Arial"/>
                <w:color w:val="000000"/>
                <w:sz w:val="18"/>
                <w:szCs w:val="18"/>
              </w:rPr>
              <w:t>1,099</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12549D73" w14:textId="21B00C56">
            <w:pPr>
              <w:spacing w:line="240" w:lineRule="auto"/>
              <w:jc w:val="center"/>
              <w:rPr>
                <w:rFonts w:ascii="Arial" w:hAnsi="Arial" w:cs="Arial"/>
                <w:color w:val="000000"/>
                <w:sz w:val="18"/>
                <w:szCs w:val="18"/>
              </w:rPr>
            </w:pPr>
            <w:r>
              <w:rPr>
                <w:rFonts w:ascii="Arial" w:hAnsi="Arial" w:cs="Arial"/>
                <w:color w:val="000000"/>
                <w:sz w:val="18"/>
                <w:szCs w:val="18"/>
              </w:rPr>
              <w:t>486</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5328FC26" w14:textId="46E95922">
            <w:pPr>
              <w:spacing w:line="240" w:lineRule="auto"/>
              <w:jc w:val="center"/>
              <w:rPr>
                <w:rFonts w:ascii="Arial" w:hAnsi="Arial" w:cs="Arial"/>
                <w:color w:val="000000"/>
                <w:sz w:val="18"/>
                <w:szCs w:val="18"/>
              </w:rPr>
            </w:pPr>
            <w:r>
              <w:rPr>
                <w:rFonts w:ascii="Arial" w:hAnsi="Arial" w:cs="Arial"/>
                <w:color w:val="000000"/>
                <w:sz w:val="18"/>
                <w:szCs w:val="18"/>
              </w:rPr>
              <w:t>592</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665E208F" w14:textId="76990726">
            <w:pPr>
              <w:spacing w:line="240" w:lineRule="auto"/>
              <w:jc w:val="center"/>
              <w:rPr>
                <w:rFonts w:ascii="Arial" w:hAnsi="Arial" w:cs="Arial"/>
                <w:color w:val="000000"/>
                <w:sz w:val="18"/>
                <w:szCs w:val="18"/>
              </w:rPr>
            </w:pPr>
            <w:r>
              <w:rPr>
                <w:rFonts w:ascii="Arial" w:hAnsi="Arial" w:cs="Arial"/>
                <w:color w:val="000000"/>
                <w:sz w:val="18"/>
                <w:szCs w:val="18"/>
              </w:rPr>
              <w:t>21</w:t>
            </w:r>
          </w:p>
        </w:tc>
        <w:tc>
          <w:tcPr>
            <w:tcW w:w="960" w:type="dxa"/>
            <w:tcBorders>
              <w:top w:val="nil"/>
              <w:left w:val="nil"/>
              <w:bottom w:val="single" w:sz="8" w:space="0" w:color="auto"/>
              <w:right w:val="single" w:sz="8" w:space="0" w:color="auto"/>
            </w:tcBorders>
            <w:shd w:val="clear" w:color="000000" w:fill="FFFFFF"/>
            <w:noWrap/>
            <w:vAlign w:val="center"/>
          </w:tcPr>
          <w:p w:rsidR="00353296" w:rsidP="00F23A8C" w14:paraId="4413F739" w14:textId="082537FC">
            <w:pPr>
              <w:spacing w:line="240" w:lineRule="auto"/>
              <w:jc w:val="center"/>
              <w:rPr>
                <w:rFonts w:ascii="Arial" w:hAnsi="Arial" w:cs="Arial"/>
                <w:color w:val="000000"/>
                <w:sz w:val="18"/>
                <w:szCs w:val="18"/>
              </w:rPr>
            </w:pPr>
            <w:r>
              <w:rPr>
                <w:rFonts w:ascii="Arial" w:hAnsi="Arial" w:cs="Arial"/>
                <w:color w:val="000000"/>
                <w:sz w:val="18"/>
                <w:szCs w:val="18"/>
              </w:rPr>
              <w:t>13</w:t>
            </w:r>
          </w:p>
        </w:tc>
      </w:tr>
      <w:tr w14:paraId="360744AC" w14:textId="77777777" w:rsidTr="00F23A8C">
        <w:tblPrEx>
          <w:tblW w:w="9600"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F23A8C" w:rsidRPr="00F82ED8" w:rsidP="00F23A8C" w14:paraId="5C14D25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F23A8C" w:rsidRPr="00F82ED8" w:rsidP="00F23A8C" w14:paraId="25D72DED" w14:textId="77777777">
            <w:pPr>
              <w:spacing w:line="240" w:lineRule="auto"/>
              <w:jc w:val="center"/>
              <w:rPr>
                <w:rFonts w:ascii="Arial" w:hAnsi="Arial" w:cs="Arial"/>
                <w:color w:val="000000"/>
                <w:sz w:val="18"/>
                <w:szCs w:val="18"/>
              </w:rPr>
            </w:pPr>
            <w:r w:rsidRPr="00F82ED8">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B09A567" w14:textId="1F808B7C">
            <w:pPr>
              <w:spacing w:line="240" w:lineRule="auto"/>
              <w:jc w:val="center"/>
              <w:rPr>
                <w:rFonts w:ascii="Arial" w:hAnsi="Arial" w:cs="Arial"/>
                <w:color w:val="000000"/>
                <w:sz w:val="18"/>
                <w:szCs w:val="18"/>
              </w:rPr>
            </w:pPr>
            <w:r>
              <w:rPr>
                <w:rFonts w:ascii="Arial" w:hAnsi="Arial" w:cs="Arial"/>
                <w:color w:val="000000"/>
                <w:sz w:val="18"/>
                <w:szCs w:val="18"/>
              </w:rPr>
              <w:t>231,318</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C1B451F" w14:textId="2A409784">
            <w:pPr>
              <w:spacing w:line="240" w:lineRule="auto"/>
              <w:jc w:val="center"/>
              <w:rPr>
                <w:rFonts w:ascii="Arial" w:hAnsi="Arial" w:cs="Arial"/>
                <w:color w:val="000000"/>
                <w:sz w:val="18"/>
                <w:szCs w:val="18"/>
              </w:rPr>
            </w:pPr>
            <w:r>
              <w:rPr>
                <w:rFonts w:ascii="Arial" w:hAnsi="Arial" w:cs="Arial"/>
                <w:color w:val="000000"/>
                <w:sz w:val="18"/>
                <w:szCs w:val="18"/>
              </w:rPr>
              <w:t>6,522</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D3794E5" w14:textId="3D836E4E">
            <w:pPr>
              <w:spacing w:line="240" w:lineRule="auto"/>
              <w:jc w:val="center"/>
              <w:rPr>
                <w:rFonts w:ascii="Arial" w:hAnsi="Arial" w:cs="Arial"/>
                <w:color w:val="000000"/>
                <w:sz w:val="18"/>
                <w:szCs w:val="18"/>
              </w:rPr>
            </w:pPr>
            <w:r>
              <w:rPr>
                <w:rFonts w:ascii="Arial" w:hAnsi="Arial" w:cs="Arial"/>
                <w:color w:val="000000"/>
                <w:sz w:val="18"/>
                <w:szCs w:val="18"/>
              </w:rPr>
              <w:t>224,796</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857FED7" w14:textId="690D5CAE">
            <w:pPr>
              <w:spacing w:line="240" w:lineRule="auto"/>
              <w:jc w:val="center"/>
              <w:rPr>
                <w:rFonts w:ascii="Arial" w:hAnsi="Arial" w:cs="Arial"/>
                <w:color w:val="000000"/>
                <w:sz w:val="18"/>
                <w:szCs w:val="18"/>
              </w:rPr>
            </w:pPr>
            <w:r>
              <w:rPr>
                <w:rFonts w:ascii="Arial" w:hAnsi="Arial" w:cs="Arial"/>
                <w:color w:val="000000"/>
                <w:sz w:val="18"/>
                <w:szCs w:val="18"/>
              </w:rPr>
              <w:t>65,897</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2D85C4B" w14:textId="7FBB8065">
            <w:pPr>
              <w:spacing w:line="240" w:lineRule="auto"/>
              <w:jc w:val="center"/>
              <w:rPr>
                <w:rFonts w:ascii="Arial" w:hAnsi="Arial" w:cs="Arial"/>
                <w:color w:val="000000"/>
                <w:sz w:val="18"/>
                <w:szCs w:val="18"/>
              </w:rPr>
            </w:pPr>
            <w:r>
              <w:rPr>
                <w:rFonts w:ascii="Arial" w:hAnsi="Arial" w:cs="Arial"/>
                <w:color w:val="000000"/>
                <w:sz w:val="18"/>
                <w:szCs w:val="18"/>
              </w:rPr>
              <w:t>37,265</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1596917" w14:textId="2E7D26C2">
            <w:pPr>
              <w:spacing w:line="240" w:lineRule="auto"/>
              <w:jc w:val="center"/>
              <w:rPr>
                <w:rFonts w:ascii="Arial" w:hAnsi="Arial" w:cs="Arial"/>
                <w:color w:val="000000"/>
                <w:sz w:val="18"/>
                <w:szCs w:val="18"/>
              </w:rPr>
            </w:pPr>
            <w:r>
              <w:rPr>
                <w:rFonts w:ascii="Arial" w:hAnsi="Arial" w:cs="Arial"/>
                <w:color w:val="000000"/>
                <w:sz w:val="18"/>
                <w:szCs w:val="18"/>
              </w:rPr>
              <w:t>28,199</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2E21418B" w14:textId="3E63C0A2">
            <w:pPr>
              <w:spacing w:line="240" w:lineRule="auto"/>
              <w:jc w:val="center"/>
              <w:rPr>
                <w:rFonts w:ascii="Arial" w:hAnsi="Arial" w:cs="Arial"/>
                <w:color w:val="000000"/>
                <w:sz w:val="18"/>
                <w:szCs w:val="18"/>
              </w:rPr>
            </w:pPr>
            <w:r>
              <w:rPr>
                <w:rFonts w:ascii="Arial" w:hAnsi="Arial" w:cs="Arial"/>
                <w:color w:val="000000"/>
                <w:sz w:val="18"/>
                <w:szCs w:val="18"/>
              </w:rPr>
              <w:t>434</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CDC2F16" w14:textId="201EF1F8">
            <w:pPr>
              <w:spacing w:line="240" w:lineRule="auto"/>
              <w:jc w:val="center"/>
              <w:rPr>
                <w:rFonts w:ascii="Arial" w:hAnsi="Arial" w:cs="Arial"/>
                <w:color w:val="000000"/>
                <w:sz w:val="18"/>
                <w:szCs w:val="18"/>
              </w:rPr>
            </w:pPr>
            <w:r>
              <w:rPr>
                <w:rFonts w:ascii="Arial" w:hAnsi="Arial" w:cs="Arial"/>
                <w:color w:val="000000"/>
                <w:sz w:val="18"/>
                <w:szCs w:val="18"/>
              </w:rPr>
              <w:t>1,166</w:t>
            </w:r>
          </w:p>
        </w:tc>
      </w:tr>
      <w:tr w14:paraId="13B4B82C" w14:textId="77777777" w:rsidTr="00A47C1E">
        <w:tblPrEx>
          <w:tblW w:w="9600" w:type="dxa"/>
          <w:tblLook w:val="04A0"/>
        </w:tblPrEx>
        <w:trPr>
          <w:trHeight w:val="493"/>
        </w:trPr>
        <w:tc>
          <w:tcPr>
            <w:tcW w:w="19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23A8C" w:rsidRPr="00F82ED8" w:rsidP="00F23A8C" w14:paraId="4FE2409E" w14:textId="77777777">
            <w:pPr>
              <w:spacing w:line="240" w:lineRule="auto"/>
              <w:rPr>
                <w:rFonts w:ascii="Arial" w:hAnsi="Arial" w:cs="Arial"/>
                <w:b/>
                <w:bCs/>
                <w:i/>
                <w:iCs/>
                <w:color w:val="000000"/>
                <w:sz w:val="18"/>
                <w:szCs w:val="18"/>
              </w:rPr>
            </w:pPr>
            <w:r w:rsidRPr="00F82ED8">
              <w:rPr>
                <w:rFonts w:ascii="Arial" w:hAnsi="Arial" w:cs="Arial"/>
                <w:b/>
                <w:bCs/>
                <w:i/>
                <w:iCs/>
                <w:color w:val="000000"/>
                <w:sz w:val="18"/>
                <w:szCs w:val="18"/>
              </w:rPr>
              <w:t>Percent of Mailed Surveys</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5D5C7D6" w14:textId="77777777">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100.00%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65603FCC" w14:textId="43D5C2BC">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2.</w:t>
            </w:r>
            <w:r w:rsidR="001D4F56">
              <w:rPr>
                <w:rFonts w:ascii="Arial" w:hAnsi="Arial" w:cs="Arial"/>
                <w:b/>
                <w:bCs/>
                <w:i/>
                <w:iCs/>
                <w:color w:val="000000"/>
                <w:sz w:val="18"/>
                <w:szCs w:val="18"/>
              </w:rPr>
              <w:t>8</w:t>
            </w:r>
            <w:r>
              <w:rPr>
                <w:rFonts w:ascii="Arial" w:hAnsi="Arial" w:cs="Arial"/>
                <w:b/>
                <w:bCs/>
                <w:i/>
                <w:iCs/>
                <w:color w:val="000000"/>
                <w:sz w:val="18"/>
                <w:szCs w:val="18"/>
              </w:rPr>
              <w:t>2</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87C53E5" w14:textId="613FECA2">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97.</w:t>
            </w:r>
            <w:r w:rsidR="001D4F56">
              <w:rPr>
                <w:rFonts w:ascii="Arial" w:hAnsi="Arial" w:cs="Arial"/>
                <w:b/>
                <w:bCs/>
                <w:i/>
                <w:iCs/>
                <w:color w:val="000000"/>
                <w:sz w:val="18"/>
                <w:szCs w:val="18"/>
              </w:rPr>
              <w:t>1</w:t>
            </w:r>
            <w:r>
              <w:rPr>
                <w:rFonts w:ascii="Arial" w:hAnsi="Arial" w:cs="Arial"/>
                <w:b/>
                <w:bCs/>
                <w:i/>
                <w:iCs/>
                <w:color w:val="000000"/>
                <w:sz w:val="18"/>
                <w:szCs w:val="18"/>
              </w:rPr>
              <w:t>8</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4AB496B" w14:textId="0009EDA4">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2</w:t>
            </w:r>
            <w:r w:rsidR="001D4F56">
              <w:rPr>
                <w:rFonts w:ascii="Arial" w:hAnsi="Arial" w:cs="Arial"/>
                <w:b/>
                <w:bCs/>
                <w:i/>
                <w:iCs/>
                <w:color w:val="000000"/>
                <w:sz w:val="18"/>
                <w:szCs w:val="18"/>
              </w:rPr>
              <w:t>8</w:t>
            </w:r>
            <w:r w:rsidRPr="00F82ED8">
              <w:rPr>
                <w:rFonts w:ascii="Arial" w:hAnsi="Arial" w:cs="Arial"/>
                <w:b/>
                <w:bCs/>
                <w:i/>
                <w:iCs/>
                <w:color w:val="000000"/>
                <w:sz w:val="18"/>
                <w:szCs w:val="18"/>
              </w:rPr>
              <w:t>.</w:t>
            </w:r>
            <w:r>
              <w:rPr>
                <w:rFonts w:ascii="Arial" w:hAnsi="Arial" w:cs="Arial"/>
                <w:b/>
                <w:bCs/>
                <w:i/>
                <w:iCs/>
                <w:color w:val="000000"/>
                <w:sz w:val="18"/>
                <w:szCs w:val="18"/>
              </w:rPr>
              <w:t>4</w:t>
            </w:r>
            <w:r w:rsidR="001D4F56">
              <w:rPr>
                <w:rFonts w:ascii="Arial" w:hAnsi="Arial" w:cs="Arial"/>
                <w:b/>
                <w:bCs/>
                <w:i/>
                <w:iCs/>
                <w:color w:val="000000"/>
                <w:sz w:val="18"/>
                <w:szCs w:val="18"/>
              </w:rPr>
              <w:t>9</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0A2C3D74" w14:textId="4D2CEAB3">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1</w:t>
            </w:r>
            <w:r>
              <w:rPr>
                <w:rFonts w:ascii="Arial" w:hAnsi="Arial" w:cs="Arial"/>
                <w:b/>
                <w:bCs/>
                <w:i/>
                <w:iCs/>
                <w:color w:val="000000"/>
                <w:sz w:val="18"/>
                <w:szCs w:val="18"/>
              </w:rPr>
              <w:t>6.</w:t>
            </w:r>
            <w:r w:rsidR="001D4F56">
              <w:rPr>
                <w:rFonts w:ascii="Arial" w:hAnsi="Arial" w:cs="Arial"/>
                <w:b/>
                <w:bCs/>
                <w:i/>
                <w:iCs/>
                <w:color w:val="000000"/>
                <w:sz w:val="18"/>
                <w:szCs w:val="18"/>
              </w:rPr>
              <w:t>11</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5E3E4BBA" w14:textId="29769EE1">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12.</w:t>
            </w:r>
            <w:r w:rsidR="001D4F56">
              <w:rPr>
                <w:rFonts w:ascii="Arial" w:hAnsi="Arial" w:cs="Arial"/>
                <w:b/>
                <w:bCs/>
                <w:i/>
                <w:iCs/>
                <w:color w:val="000000"/>
                <w:sz w:val="18"/>
                <w:szCs w:val="18"/>
              </w:rPr>
              <w:t>19</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16EC0E71" w14:textId="63930605">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0.1</w:t>
            </w:r>
            <w:r w:rsidR="001D4F56">
              <w:rPr>
                <w:rFonts w:ascii="Arial" w:hAnsi="Arial" w:cs="Arial"/>
                <w:b/>
                <w:bCs/>
                <w:i/>
                <w:iCs/>
                <w:color w:val="000000"/>
                <w:sz w:val="18"/>
                <w:szCs w:val="18"/>
              </w:rPr>
              <w:t>9</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8F2BFCB" w14:textId="28C11D29">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0.5</w:t>
            </w:r>
            <w:r w:rsidR="001D4F56">
              <w:rPr>
                <w:rFonts w:ascii="Arial" w:hAnsi="Arial" w:cs="Arial"/>
                <w:b/>
                <w:bCs/>
                <w:i/>
                <w:iCs/>
                <w:color w:val="000000"/>
                <w:sz w:val="18"/>
                <w:szCs w:val="18"/>
              </w:rPr>
              <w:t>0</w:t>
            </w:r>
            <w:r w:rsidRPr="00F82ED8">
              <w:rPr>
                <w:rFonts w:ascii="Arial" w:hAnsi="Arial" w:cs="Arial"/>
                <w:b/>
                <w:bCs/>
                <w:i/>
                <w:iCs/>
                <w:color w:val="000000"/>
                <w:sz w:val="18"/>
                <w:szCs w:val="18"/>
              </w:rPr>
              <w:t>%</w:t>
            </w:r>
          </w:p>
        </w:tc>
      </w:tr>
      <w:tr w14:paraId="722C45F6" w14:textId="77777777" w:rsidTr="00A47C1E">
        <w:tblPrEx>
          <w:tblW w:w="9600" w:type="dxa"/>
          <w:tblLook w:val="04A0"/>
        </w:tblPrEx>
        <w:trPr>
          <w:trHeight w:val="300"/>
        </w:trPr>
        <w:tc>
          <w:tcPr>
            <w:tcW w:w="480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F23A8C" w:rsidRPr="00F82ED8" w:rsidP="00F23A8C" w14:paraId="170A3958" w14:textId="77777777">
            <w:pPr>
              <w:spacing w:line="240" w:lineRule="auto"/>
              <w:rPr>
                <w:rFonts w:ascii="Arial" w:hAnsi="Arial" w:cs="Arial"/>
                <w:b/>
                <w:bCs/>
                <w:i/>
                <w:iCs/>
                <w:color w:val="000000"/>
                <w:sz w:val="18"/>
                <w:szCs w:val="18"/>
              </w:rPr>
            </w:pPr>
            <w:r w:rsidRPr="00F82ED8">
              <w:rPr>
                <w:rFonts w:ascii="Arial" w:hAnsi="Arial" w:cs="Arial"/>
                <w:b/>
                <w:bCs/>
                <w:i/>
                <w:iCs/>
                <w:color w:val="000000"/>
                <w:sz w:val="18"/>
                <w:szCs w:val="18"/>
              </w:rPr>
              <w:t>Percent of Completed Surveys</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E4691C6" w14:textId="77777777">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100.00%</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74534A98" w14:textId="33EFEBBB">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5</w:t>
            </w:r>
            <w:r w:rsidR="001D4F56">
              <w:rPr>
                <w:rFonts w:ascii="Arial" w:hAnsi="Arial" w:cs="Arial"/>
                <w:b/>
                <w:bCs/>
                <w:i/>
                <w:iCs/>
                <w:color w:val="000000"/>
                <w:sz w:val="18"/>
                <w:szCs w:val="18"/>
              </w:rPr>
              <w:t>6</w:t>
            </w:r>
            <w:r>
              <w:rPr>
                <w:rFonts w:ascii="Arial" w:hAnsi="Arial" w:cs="Arial"/>
                <w:b/>
                <w:bCs/>
                <w:i/>
                <w:iCs/>
                <w:color w:val="000000"/>
                <w:sz w:val="18"/>
                <w:szCs w:val="18"/>
              </w:rPr>
              <w:t>.</w:t>
            </w:r>
            <w:r w:rsidR="001D4F56">
              <w:rPr>
                <w:rFonts w:ascii="Arial" w:hAnsi="Arial" w:cs="Arial"/>
                <w:b/>
                <w:bCs/>
                <w:i/>
                <w:iCs/>
                <w:color w:val="000000"/>
                <w:sz w:val="18"/>
                <w:szCs w:val="18"/>
              </w:rPr>
              <w:t>55</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A619830" w14:textId="51B4B668">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4</w:t>
            </w:r>
            <w:r w:rsidR="001D4F56">
              <w:rPr>
                <w:rFonts w:ascii="Arial" w:hAnsi="Arial" w:cs="Arial"/>
                <w:b/>
                <w:bCs/>
                <w:i/>
                <w:iCs/>
                <w:color w:val="000000"/>
                <w:sz w:val="18"/>
                <w:szCs w:val="18"/>
              </w:rPr>
              <w:t>2</w:t>
            </w:r>
            <w:r>
              <w:rPr>
                <w:rFonts w:ascii="Arial" w:hAnsi="Arial" w:cs="Arial"/>
                <w:b/>
                <w:bCs/>
                <w:i/>
                <w:iCs/>
                <w:color w:val="000000"/>
                <w:sz w:val="18"/>
                <w:szCs w:val="18"/>
              </w:rPr>
              <w:t>.7</w:t>
            </w:r>
            <w:r w:rsidR="001D4F56">
              <w:rPr>
                <w:rFonts w:ascii="Arial" w:hAnsi="Arial" w:cs="Arial"/>
                <w:b/>
                <w:bCs/>
                <w:i/>
                <w:iCs/>
                <w:color w:val="000000"/>
                <w:sz w:val="18"/>
                <w:szCs w:val="18"/>
              </w:rPr>
              <w:t>9</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4D1843BA" w14:textId="093F3269">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0.</w:t>
            </w:r>
            <w:r>
              <w:rPr>
                <w:rFonts w:ascii="Arial" w:hAnsi="Arial" w:cs="Arial"/>
                <w:b/>
                <w:bCs/>
                <w:i/>
                <w:iCs/>
                <w:color w:val="000000"/>
                <w:sz w:val="18"/>
                <w:szCs w:val="18"/>
              </w:rPr>
              <w:t>6</w:t>
            </w:r>
            <w:r w:rsidR="001D4F56">
              <w:rPr>
                <w:rFonts w:ascii="Arial" w:hAnsi="Arial" w:cs="Arial"/>
                <w:b/>
                <w:bCs/>
                <w:i/>
                <w:iCs/>
                <w:color w:val="000000"/>
                <w:sz w:val="18"/>
                <w:szCs w:val="18"/>
              </w:rPr>
              <w:t>6</w:t>
            </w:r>
            <w:r w:rsidRPr="00F82ED8">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F23A8C" w:rsidRPr="00F82ED8" w:rsidP="00F23A8C" w14:paraId="36EB0BB1" w14:textId="77777777">
            <w:pPr>
              <w:spacing w:line="240" w:lineRule="auto"/>
              <w:jc w:val="center"/>
              <w:rPr>
                <w:rFonts w:ascii="Arial" w:hAnsi="Arial" w:cs="Arial"/>
                <w:b/>
                <w:bCs/>
                <w:i/>
                <w:iCs/>
                <w:color w:val="000000"/>
                <w:sz w:val="18"/>
                <w:szCs w:val="18"/>
              </w:rPr>
            </w:pPr>
            <w:r w:rsidRPr="00F82ED8">
              <w:rPr>
                <w:rFonts w:ascii="Arial" w:hAnsi="Arial" w:cs="Arial"/>
                <w:b/>
                <w:bCs/>
                <w:i/>
                <w:iCs/>
                <w:color w:val="000000"/>
                <w:sz w:val="18"/>
                <w:szCs w:val="18"/>
              </w:rPr>
              <w:t>NA</w:t>
            </w:r>
          </w:p>
        </w:tc>
      </w:tr>
      <w:bookmarkEnd w:id="5"/>
    </w:tbl>
    <w:p w:rsidR="00743060" w:rsidP="001336A8" w14:paraId="077FBF2B" w14:textId="77777777">
      <w:pPr>
        <w:pStyle w:val="BodyText"/>
        <w:spacing w:after="0"/>
      </w:pPr>
    </w:p>
    <w:p w:rsidR="00180B3F" w:rsidP="001336A8" w14:paraId="69DA2856" w14:textId="73923CFD">
      <w:pPr>
        <w:pStyle w:val="BodyText"/>
        <w:spacing w:after="0" w:line="240" w:lineRule="auto"/>
      </w:pPr>
      <w:r>
        <w:t xml:space="preserve">In 2014, the first year of the survey, a modified version was conducted for the first three waves in April, June, and September.  Wave 1 (April) included a sample of 15,000 mortgages.  This was a catch-up period to cover </w:t>
      </w:r>
      <w:r w:rsidR="00E01AB9">
        <w:t>mortgages</w:t>
      </w:r>
      <w:r>
        <w:t xml:space="preserve"> originated in 2013 and newly reported to Experian in the archives for June, September and December 2013.</w:t>
      </w:r>
      <w:r w:rsidR="00624191">
        <w:t xml:space="preserve">  </w:t>
      </w:r>
      <w:r>
        <w:t xml:space="preserve">Wave 2 (June) included 3,000 surveys and was for mortgages that were originated in 2013 and newly reported to Experian between January and March 2014.  For </w:t>
      </w:r>
      <w:r w:rsidR="003C02D4">
        <w:t>w</w:t>
      </w:r>
      <w:r>
        <w:t>ave 3 (August), Westat mailed out 6,000 surveys representing mortgages that were originated in 2013 and reported to Experian between March and June 2014 within a year of origination as well as any mortgages originated in 2014 and reported to Experian between January and June 2014.</w:t>
      </w:r>
      <w:r w:rsidR="00624191">
        <w:t xml:space="preserve">  </w:t>
      </w:r>
    </w:p>
    <w:p w:rsidR="00180B3F" w:rsidP="001336A8" w14:paraId="4BB8CC3D" w14:textId="77777777">
      <w:pPr>
        <w:pStyle w:val="BodyText"/>
        <w:spacing w:after="0" w:line="240" w:lineRule="auto"/>
      </w:pPr>
    </w:p>
    <w:p w:rsidR="000C008D" w:rsidP="001336A8" w14:paraId="49A2FD02" w14:textId="01CFC84B">
      <w:pPr>
        <w:pStyle w:val="BodyText"/>
        <w:spacing w:after="0" w:line="240" w:lineRule="auto"/>
      </w:pPr>
      <w:r>
        <w:t>W</w:t>
      </w:r>
      <w:r>
        <w:t>ave</w:t>
      </w:r>
      <w:r>
        <w:t xml:space="preserve"> 4</w:t>
      </w:r>
      <w:r>
        <w:t xml:space="preserve">, mailed in November 2014, was the first sample that is comparable to subsequent surveys.  It comprised </w:t>
      </w:r>
      <w:r w:rsidR="008F1A78">
        <w:t xml:space="preserve">sample </w:t>
      </w:r>
      <w:r>
        <w:t>mortgage</w:t>
      </w:r>
      <w:r w:rsidR="008F1A78">
        <w:t>s</w:t>
      </w:r>
      <w:r>
        <w:t xml:space="preserve"> newly reported to Experian in the most recent quarter (July to September 2014) that was reported within a year of origination.  It is also the first wave </w:t>
      </w:r>
      <w:r>
        <w:t>for which</w:t>
      </w:r>
      <w:r>
        <w:t xml:space="preserve"> Experian eliminated potential sample cases deemed to not have legitimate addresses or names prior to mailing.  Other than slight changes to two questions, the questionnaire was unchanged from prior waves.  This same questionnaire was used for </w:t>
      </w:r>
      <w:r w:rsidR="003C02D4">
        <w:t>w</w:t>
      </w:r>
      <w:r>
        <w:t>ave 5.</w:t>
      </w:r>
    </w:p>
    <w:p w:rsidR="00180B3F" w:rsidP="001336A8" w14:paraId="169CD296" w14:textId="77777777">
      <w:pPr>
        <w:pStyle w:val="BodyText"/>
        <w:spacing w:after="0" w:line="240" w:lineRule="auto"/>
      </w:pPr>
    </w:p>
    <w:p w:rsidR="000C008D" w:rsidP="00AB07FE" w14:paraId="712C87B7" w14:textId="678A2772">
      <w:pPr>
        <w:pStyle w:val="BodyText"/>
        <w:spacing w:after="0" w:line="240" w:lineRule="auto"/>
      </w:pPr>
      <w:r>
        <w:t xml:space="preserve">Initial analysis of data from the first four waves of the survey </w:t>
      </w:r>
      <w:r w:rsidRPr="00021D01" w:rsidR="00021D01">
        <w:t>suggested that respondents may have frequently misunderstood or misinterpreted some of the questions</w:t>
      </w:r>
      <w:r w:rsidR="00021D01">
        <w:t>,</w:t>
      </w:r>
      <w:r w:rsidRPr="00021D01" w:rsidR="00021D01">
        <w:t xml:space="preserve"> </w:t>
      </w:r>
      <w:r>
        <w:t>prompt</w:t>
      </w:r>
      <w:r w:rsidR="00021D01">
        <w:t>ing</w:t>
      </w:r>
      <w:r>
        <w:t xml:space="preserve"> major revisions to the questionnaire</w:t>
      </w:r>
      <w:r w:rsidRPr="00021D01" w:rsidR="00021D01">
        <w:t xml:space="preserve"> for part of </w:t>
      </w:r>
      <w:r w:rsidR="003C02D4">
        <w:t>w</w:t>
      </w:r>
      <w:r w:rsidRPr="00021D01" w:rsidR="00021D01">
        <w:t xml:space="preserve">ave 6 and all of </w:t>
      </w:r>
      <w:r w:rsidR="003C02D4">
        <w:t>w</w:t>
      </w:r>
      <w:r w:rsidRPr="00021D01" w:rsidR="00021D01">
        <w:t xml:space="preserve">ave 7 (users should be aware of </w:t>
      </w:r>
      <w:r w:rsidRPr="00021D01" w:rsidR="00021D01">
        <w:t>these interpretation inconsistencies when using data from the earlier waves)</w:t>
      </w:r>
      <w:r>
        <w:t>.</w:t>
      </w:r>
      <w:r w:rsidR="00C24A0A">
        <w:t xml:space="preserve">  For </w:t>
      </w:r>
      <w:r w:rsidR="003C02D4">
        <w:t>w</w:t>
      </w:r>
      <w:r w:rsidR="00C24A0A">
        <w:t>ave 6, surveys for</w:t>
      </w:r>
      <w:r w:rsidR="00021D01">
        <w:t xml:space="preserve"> m</w:t>
      </w:r>
      <w:r>
        <w:t>ortgages that were originated in 2014 were mailed on the established schedule and using the original questionnaire;</w:t>
      </w:r>
      <w:r w:rsidR="00C24A0A">
        <w:t xml:space="preserve"> surveys for </w:t>
      </w:r>
      <w:r>
        <w:t xml:space="preserve">mortgages originated in 2015 were held back to be mailed with </w:t>
      </w:r>
      <w:r w:rsidR="003C02D4">
        <w:t>w</w:t>
      </w:r>
      <w:r>
        <w:t>ave 7</w:t>
      </w:r>
      <w:r w:rsidR="00C24A0A">
        <w:t xml:space="preserve">, using the </w:t>
      </w:r>
      <w:r w:rsidRPr="00C24A0A" w:rsidR="00C24A0A">
        <w:t>new questionnair</w:t>
      </w:r>
      <w:r w:rsidR="00C24A0A">
        <w:t>e</w:t>
      </w:r>
      <w:r>
        <w:t>.</w:t>
      </w:r>
    </w:p>
    <w:p w:rsidR="000C008D" w:rsidP="00AB07FE" w14:paraId="545F6F84" w14:textId="77777777">
      <w:pPr>
        <w:pStyle w:val="BodyText"/>
        <w:spacing w:after="0" w:line="240" w:lineRule="auto"/>
      </w:pPr>
    </w:p>
    <w:p w:rsidR="005621DA" w:rsidP="00F77231" w14:paraId="68175DAC" w14:textId="5DD4DAEF">
      <w:pPr>
        <w:pStyle w:val="BodyText"/>
        <w:spacing w:after="0" w:line="240" w:lineRule="auto"/>
      </w:pPr>
      <w:r>
        <w:t xml:space="preserve">Wave 7 consisted of three samples drawn independently.  The first were those 1,236 respondents selected for </w:t>
      </w:r>
      <w:r w:rsidR="003C02D4">
        <w:t>w</w:t>
      </w:r>
      <w:r>
        <w:t>ave 6 with loans originated in 2015.  The second were 4,981 respondents with mortgages newly reported to Experian between April and June 2015 (the normal quarterly sample frame).  Finally, a special sample of 1,142 borrowers residing in “remote rural” counties as defined using a USDA criterion with 2014 loan originations reporting to Experian within a year of origination was selected.  Each subsample was assigned a different sample weight.</w:t>
      </w:r>
      <w:r w:rsidR="009C7975">
        <w:t xml:space="preserve">  </w:t>
      </w:r>
      <w:r w:rsidRPr="00197D45">
        <w:t xml:space="preserve">All subsequent waves of the survey </w:t>
      </w:r>
      <w:r w:rsidR="007C0C78">
        <w:t xml:space="preserve">have included </w:t>
      </w:r>
      <w:r w:rsidRPr="00197D45">
        <w:t>only the regular sample</w:t>
      </w:r>
      <w:r w:rsidR="007C0C78">
        <w:t>,</w:t>
      </w:r>
      <w:r w:rsidRPr="00197D45">
        <w:t xml:space="preserve"> mailed on-schedule.</w:t>
      </w:r>
    </w:p>
    <w:p w:rsidR="005621DA" w:rsidP="00F77231" w14:paraId="0CF617DD" w14:textId="77777777">
      <w:pPr>
        <w:pStyle w:val="BodyText"/>
        <w:spacing w:after="0" w:line="240" w:lineRule="auto"/>
      </w:pPr>
    </w:p>
    <w:p w:rsidR="000C008D" w:rsidP="00745587" w14:paraId="2D0635ED" w14:textId="5FC792DE">
      <w:pPr>
        <w:pStyle w:val="BodyText"/>
        <w:spacing w:after="0" w:line="240" w:lineRule="auto"/>
      </w:pPr>
      <w:r w:rsidRPr="00C81A56">
        <w:t xml:space="preserve">Returned questionnaires and online responses were evaluated to determine the set of usable responses.  Table </w:t>
      </w:r>
      <w:r w:rsidRPr="00C81A56" w:rsidR="00D01BA3">
        <w:t>3</w:t>
      </w:r>
      <w:r w:rsidRPr="00C81A56">
        <w:t xml:space="preserve"> summarizes the results of this analysis through the </w:t>
      </w:r>
      <w:r w:rsidR="00DE681F">
        <w:t>3</w:t>
      </w:r>
      <w:r w:rsidR="00DC103E">
        <w:t>4</w:t>
      </w:r>
      <w:r w:rsidRPr="00C81A56">
        <w:t xml:space="preserve"> waves which have been completely processed</w:t>
      </w:r>
      <w:r>
        <w:t xml:space="preserve"> and </w:t>
      </w:r>
      <w:r w:rsidR="001123BB">
        <w:t>indicates</w:t>
      </w:r>
      <w:r>
        <w:t xml:space="preserve"> the four criteria for rejecting a completed questionnaire.</w:t>
      </w:r>
    </w:p>
    <w:p w:rsidR="000C008D" w:rsidP="006F3586" w14:paraId="40E21614" w14:textId="0F86908A">
      <w:pPr>
        <w:pStyle w:val="BodyText"/>
        <w:spacing w:after="0" w:line="240" w:lineRule="auto"/>
      </w:pPr>
    </w:p>
    <w:p w:rsidR="00F041F1" w:rsidP="006F3586" w14:paraId="3863CA30" w14:textId="675054EC">
      <w:pPr>
        <w:pStyle w:val="BodyText"/>
        <w:spacing w:after="0" w:line="240" w:lineRule="auto"/>
      </w:pPr>
    </w:p>
    <w:p w:rsidR="00F041F1" w:rsidP="006F3586" w14:paraId="0FD6D880" w14:textId="403C5628">
      <w:pPr>
        <w:pStyle w:val="BodyText"/>
        <w:spacing w:after="0" w:line="240" w:lineRule="auto"/>
      </w:pPr>
    </w:p>
    <w:p w:rsidR="00F041F1" w:rsidP="006F3586" w14:paraId="65C20416" w14:textId="5F23ABBD">
      <w:pPr>
        <w:pStyle w:val="BodyText"/>
        <w:spacing w:after="0" w:line="240" w:lineRule="auto"/>
      </w:pPr>
    </w:p>
    <w:p w:rsidR="00F041F1" w:rsidP="006F3586" w14:paraId="76805324" w14:textId="340271FB">
      <w:pPr>
        <w:pStyle w:val="BodyText"/>
        <w:spacing w:after="0" w:line="240" w:lineRule="auto"/>
      </w:pPr>
    </w:p>
    <w:p w:rsidR="00F041F1" w:rsidP="006F3586" w14:paraId="5CDB8538" w14:textId="6C92A9C8">
      <w:pPr>
        <w:pStyle w:val="BodyText"/>
        <w:spacing w:after="0" w:line="240" w:lineRule="auto"/>
      </w:pPr>
    </w:p>
    <w:p w:rsidR="00F041F1" w:rsidP="006F3586" w14:paraId="518841D6" w14:textId="73528309">
      <w:pPr>
        <w:pStyle w:val="BodyText"/>
        <w:spacing w:after="0" w:line="240" w:lineRule="auto"/>
      </w:pPr>
    </w:p>
    <w:p w:rsidR="00F041F1" w:rsidP="006F3586" w14:paraId="3F79D75F" w14:textId="40482EF4">
      <w:pPr>
        <w:pStyle w:val="BodyText"/>
        <w:spacing w:after="0" w:line="240" w:lineRule="auto"/>
      </w:pPr>
    </w:p>
    <w:p w:rsidR="00F041F1" w:rsidP="006F3586" w14:paraId="2C3E1F82" w14:textId="664B8209">
      <w:pPr>
        <w:pStyle w:val="BodyText"/>
        <w:spacing w:after="0" w:line="240" w:lineRule="auto"/>
      </w:pPr>
    </w:p>
    <w:p w:rsidR="00F041F1" w:rsidP="006F3586" w14:paraId="79C87BDE" w14:textId="1B44E35E">
      <w:pPr>
        <w:pStyle w:val="BodyText"/>
        <w:spacing w:after="0" w:line="240" w:lineRule="auto"/>
      </w:pPr>
    </w:p>
    <w:p w:rsidR="00F041F1" w:rsidP="006F3586" w14:paraId="3CD36065" w14:textId="1425D4F7">
      <w:pPr>
        <w:pStyle w:val="BodyText"/>
        <w:spacing w:after="0" w:line="240" w:lineRule="auto"/>
      </w:pPr>
    </w:p>
    <w:p w:rsidR="00F041F1" w:rsidP="006F3586" w14:paraId="0A67CC25" w14:textId="4B0F54B3">
      <w:pPr>
        <w:pStyle w:val="BodyText"/>
        <w:spacing w:after="0" w:line="240" w:lineRule="auto"/>
      </w:pPr>
    </w:p>
    <w:p w:rsidR="00F041F1" w:rsidP="006F3586" w14:paraId="263125C7" w14:textId="46831976">
      <w:pPr>
        <w:pStyle w:val="BodyText"/>
        <w:spacing w:after="0" w:line="240" w:lineRule="auto"/>
      </w:pPr>
    </w:p>
    <w:p w:rsidR="00F041F1" w:rsidP="006F3586" w14:paraId="2E74995D" w14:textId="4A2C41ED">
      <w:pPr>
        <w:pStyle w:val="BodyText"/>
        <w:spacing w:after="0" w:line="240" w:lineRule="auto"/>
      </w:pPr>
    </w:p>
    <w:p w:rsidR="00F041F1" w:rsidP="006F3586" w14:paraId="1EEA0355" w14:textId="128E8C61">
      <w:pPr>
        <w:pStyle w:val="BodyText"/>
        <w:spacing w:after="0" w:line="240" w:lineRule="auto"/>
      </w:pPr>
    </w:p>
    <w:p w:rsidR="00F041F1" w:rsidP="006F3586" w14:paraId="01AC1712" w14:textId="41FDB8FF">
      <w:pPr>
        <w:pStyle w:val="BodyText"/>
        <w:spacing w:after="0" w:line="240" w:lineRule="auto"/>
      </w:pPr>
    </w:p>
    <w:p w:rsidR="00F041F1" w:rsidP="006F3586" w14:paraId="3DAEF5F7" w14:textId="7C1EE1B7">
      <w:pPr>
        <w:pStyle w:val="BodyText"/>
        <w:spacing w:after="0" w:line="240" w:lineRule="auto"/>
      </w:pPr>
    </w:p>
    <w:p w:rsidR="00F041F1" w:rsidP="006F3586" w14:paraId="47C61347" w14:textId="14DE76EB">
      <w:pPr>
        <w:pStyle w:val="BodyText"/>
        <w:spacing w:after="0" w:line="240" w:lineRule="auto"/>
      </w:pPr>
    </w:p>
    <w:p w:rsidR="00F041F1" w:rsidP="006F3586" w14:paraId="3584CCF8" w14:textId="42B81764">
      <w:pPr>
        <w:pStyle w:val="BodyText"/>
        <w:spacing w:after="0" w:line="240" w:lineRule="auto"/>
      </w:pPr>
    </w:p>
    <w:p w:rsidR="00F041F1" w:rsidP="006F3586" w14:paraId="2B66343E" w14:textId="0AEEEAFE">
      <w:pPr>
        <w:pStyle w:val="BodyText"/>
        <w:spacing w:after="0" w:line="240" w:lineRule="auto"/>
      </w:pPr>
    </w:p>
    <w:p w:rsidR="00F041F1" w:rsidP="006F3586" w14:paraId="0AB9DC28" w14:textId="173FA1C2">
      <w:pPr>
        <w:pStyle w:val="BodyText"/>
        <w:spacing w:after="0" w:line="240" w:lineRule="auto"/>
      </w:pPr>
    </w:p>
    <w:p w:rsidR="00F041F1" w:rsidP="006F3586" w14:paraId="7F2D3DEE" w14:textId="05ADC4FB">
      <w:pPr>
        <w:pStyle w:val="BodyText"/>
        <w:spacing w:after="0" w:line="240" w:lineRule="auto"/>
      </w:pPr>
    </w:p>
    <w:p w:rsidR="00F041F1" w:rsidP="006F3586" w14:paraId="766A8BD9" w14:textId="70840CA6">
      <w:pPr>
        <w:pStyle w:val="BodyText"/>
        <w:spacing w:after="0" w:line="240" w:lineRule="auto"/>
      </w:pPr>
    </w:p>
    <w:p w:rsidR="00F041F1" w:rsidP="006F3586" w14:paraId="14E63039" w14:textId="5DD4AE2E">
      <w:pPr>
        <w:pStyle w:val="BodyText"/>
        <w:spacing w:after="0" w:line="240" w:lineRule="auto"/>
      </w:pPr>
    </w:p>
    <w:p w:rsidR="00F041F1" w:rsidP="006F3586" w14:paraId="432B12BF" w14:textId="667B02C6">
      <w:pPr>
        <w:pStyle w:val="BodyText"/>
        <w:spacing w:after="0" w:line="240" w:lineRule="auto"/>
      </w:pPr>
    </w:p>
    <w:p w:rsidR="00F041F1" w:rsidP="006F3586" w14:paraId="18265A85" w14:textId="126B6C12">
      <w:pPr>
        <w:pStyle w:val="BodyText"/>
        <w:spacing w:after="0" w:line="240" w:lineRule="auto"/>
      </w:pPr>
    </w:p>
    <w:p w:rsidR="00F041F1" w:rsidP="006F3586" w14:paraId="3E1DBA84" w14:textId="15893AD7">
      <w:pPr>
        <w:pStyle w:val="BodyText"/>
        <w:spacing w:after="0" w:line="240" w:lineRule="auto"/>
      </w:pPr>
    </w:p>
    <w:p w:rsidR="00C918CC" w:rsidP="006F3586" w14:paraId="22743E54" w14:textId="77777777">
      <w:pPr>
        <w:pStyle w:val="BodyText"/>
        <w:spacing w:after="0" w:line="240" w:lineRule="auto"/>
      </w:pPr>
    </w:p>
    <w:p w:rsidR="00F041F1" w:rsidP="006F3586" w14:paraId="4CA2F843" w14:textId="231AF7FC">
      <w:pPr>
        <w:pStyle w:val="BodyText"/>
        <w:spacing w:after="0" w:line="240" w:lineRule="auto"/>
      </w:pPr>
    </w:p>
    <w:p w:rsidR="00F041F1" w:rsidP="006F3586" w14:paraId="5CA849A0" w14:textId="77777777">
      <w:pPr>
        <w:pStyle w:val="BodyText"/>
        <w:spacing w:after="0" w:line="240" w:lineRule="auto"/>
      </w:pPr>
    </w:p>
    <w:tbl>
      <w:tblPr>
        <w:tblW w:w="7227" w:type="dxa"/>
        <w:tblLook w:val="04A0"/>
      </w:tblPr>
      <w:tblGrid>
        <w:gridCol w:w="960"/>
        <w:gridCol w:w="1007"/>
        <w:gridCol w:w="1027"/>
        <w:gridCol w:w="1077"/>
        <w:gridCol w:w="960"/>
        <w:gridCol w:w="960"/>
        <w:gridCol w:w="1236"/>
      </w:tblGrid>
      <w:tr w14:paraId="4CD6B2D5" w14:textId="77777777" w:rsidTr="00363F65">
        <w:tblPrEx>
          <w:tblW w:w="7227" w:type="dxa"/>
          <w:tblLook w:val="04A0"/>
        </w:tblPrEx>
        <w:trPr>
          <w:trHeight w:hRule="exact" w:val="302"/>
        </w:trPr>
        <w:tc>
          <w:tcPr>
            <w:tcW w:w="7227"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63F65" w:rsidRPr="0092784B" w:rsidP="00997539" w14:paraId="79828B30" w14:textId="77777777">
            <w:pPr>
              <w:spacing w:line="240" w:lineRule="auto"/>
              <w:jc w:val="center"/>
              <w:rPr>
                <w:rFonts w:ascii="Arial" w:hAnsi="Arial" w:cs="Arial"/>
                <w:b/>
                <w:bCs/>
                <w:color w:val="1F497D"/>
              </w:rPr>
            </w:pPr>
            <w:r w:rsidRPr="0092784B">
              <w:rPr>
                <w:rFonts w:ascii="Arial" w:hAnsi="Arial" w:cs="Arial"/>
                <w:b/>
                <w:bCs/>
                <w:color w:val="1F497D"/>
              </w:rPr>
              <w:t xml:space="preserve">Table </w:t>
            </w:r>
            <w:r>
              <w:rPr>
                <w:rFonts w:ascii="Arial" w:hAnsi="Arial" w:cs="Arial"/>
                <w:b/>
                <w:bCs/>
                <w:color w:val="1F497D"/>
              </w:rPr>
              <w:t>3</w:t>
            </w:r>
            <w:r w:rsidRPr="0092784B">
              <w:rPr>
                <w:rFonts w:ascii="Arial" w:hAnsi="Arial" w:cs="Arial"/>
                <w:b/>
                <w:bCs/>
                <w:color w:val="1F497D"/>
              </w:rPr>
              <w:t>. Usable Survey Responses</w:t>
            </w:r>
          </w:p>
        </w:tc>
      </w:tr>
      <w:tr w14:paraId="44AD09DC" w14:textId="77777777" w:rsidTr="00363F65">
        <w:tblPrEx>
          <w:tblW w:w="7227" w:type="dxa"/>
          <w:tblLook w:val="04A0"/>
        </w:tblPrEx>
        <w:trPr>
          <w:trHeight w:hRule="exact" w:val="302"/>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63F65" w:rsidRPr="0092784B" w:rsidP="00997539" w14:paraId="63977F8D"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Survey Wave</w:t>
            </w:r>
          </w:p>
        </w:tc>
        <w:tc>
          <w:tcPr>
            <w:tcW w:w="100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63F65" w:rsidRPr="0092784B" w:rsidP="00997539" w14:paraId="46052CD3"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Returned</w:t>
            </w:r>
          </w:p>
        </w:tc>
        <w:tc>
          <w:tcPr>
            <w:tcW w:w="4024" w:type="dxa"/>
            <w:gridSpan w:val="4"/>
            <w:tcBorders>
              <w:top w:val="single" w:sz="8" w:space="0" w:color="auto"/>
              <w:left w:val="nil"/>
              <w:bottom w:val="single" w:sz="8" w:space="0" w:color="auto"/>
              <w:right w:val="single" w:sz="8" w:space="0" w:color="000000"/>
            </w:tcBorders>
            <w:shd w:val="clear" w:color="000000" w:fill="FFFFFF"/>
            <w:noWrap/>
            <w:vAlign w:val="center"/>
            <w:hideMark/>
          </w:tcPr>
          <w:p w:rsidR="00363F65" w:rsidRPr="0092784B" w:rsidP="00997539" w14:paraId="4F956402" w14:textId="77777777">
            <w:pPr>
              <w:spacing w:line="240" w:lineRule="auto"/>
              <w:jc w:val="center"/>
              <w:rPr>
                <w:rFonts w:ascii="Arial" w:hAnsi="Arial" w:cs="Arial"/>
                <w:b/>
                <w:bCs/>
                <w:color w:val="1F497D"/>
                <w:sz w:val="20"/>
                <w:szCs w:val="20"/>
              </w:rPr>
            </w:pPr>
            <w:r w:rsidRPr="0092784B">
              <w:rPr>
                <w:rFonts w:ascii="Arial" w:hAnsi="Arial" w:cs="Arial"/>
                <w:b/>
                <w:bCs/>
                <w:color w:val="1F497D"/>
                <w:sz w:val="20"/>
                <w:szCs w:val="20"/>
              </w:rPr>
              <w:t>Not Usable</w:t>
            </w:r>
          </w:p>
        </w:tc>
        <w:tc>
          <w:tcPr>
            <w:tcW w:w="1236" w:type="dxa"/>
            <w:tcBorders>
              <w:top w:val="single" w:sz="8" w:space="0" w:color="auto"/>
              <w:left w:val="nil"/>
              <w:bottom w:val="single" w:sz="8" w:space="0" w:color="auto"/>
              <w:right w:val="single" w:sz="8" w:space="0" w:color="000000"/>
            </w:tcBorders>
            <w:shd w:val="clear" w:color="000000" w:fill="FFFFFF"/>
            <w:vAlign w:val="center"/>
            <w:hideMark/>
          </w:tcPr>
          <w:p w:rsidR="00363F65" w:rsidRPr="0092784B" w:rsidP="00997539" w14:paraId="0FF57D68"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Usable</w:t>
            </w:r>
          </w:p>
        </w:tc>
      </w:tr>
      <w:tr w14:paraId="13EBABA8" w14:textId="77777777" w:rsidTr="00363F65">
        <w:tblPrEx>
          <w:tblW w:w="7227" w:type="dxa"/>
          <w:tblLook w:val="04A0"/>
        </w:tblPrEx>
        <w:trPr>
          <w:trHeight w:val="20"/>
        </w:trPr>
        <w:tc>
          <w:tcPr>
            <w:tcW w:w="960" w:type="dxa"/>
            <w:vMerge/>
            <w:tcBorders>
              <w:top w:val="nil"/>
              <w:left w:val="single" w:sz="8" w:space="0" w:color="auto"/>
              <w:bottom w:val="single" w:sz="8" w:space="0" w:color="000000"/>
              <w:right w:val="single" w:sz="8" w:space="0" w:color="auto"/>
            </w:tcBorders>
            <w:vAlign w:val="center"/>
            <w:hideMark/>
          </w:tcPr>
          <w:p w:rsidR="00363F65" w:rsidRPr="0092784B" w:rsidP="00997539" w14:paraId="3D600574" w14:textId="77777777">
            <w:pPr>
              <w:spacing w:line="240" w:lineRule="auto"/>
              <w:rPr>
                <w:rFonts w:ascii="Arial" w:hAnsi="Arial" w:cs="Arial"/>
                <w:b/>
                <w:bCs/>
                <w:color w:val="1F497D"/>
                <w:sz w:val="18"/>
                <w:szCs w:val="18"/>
              </w:rPr>
            </w:pPr>
          </w:p>
        </w:tc>
        <w:tc>
          <w:tcPr>
            <w:tcW w:w="1007" w:type="dxa"/>
            <w:vMerge/>
            <w:tcBorders>
              <w:top w:val="nil"/>
              <w:left w:val="single" w:sz="8" w:space="0" w:color="auto"/>
              <w:bottom w:val="single" w:sz="8" w:space="0" w:color="000000"/>
              <w:right w:val="single" w:sz="8" w:space="0" w:color="auto"/>
            </w:tcBorders>
            <w:vAlign w:val="center"/>
            <w:hideMark/>
          </w:tcPr>
          <w:p w:rsidR="00363F65" w:rsidRPr="0092784B" w:rsidP="00997539" w14:paraId="27BE0663" w14:textId="77777777">
            <w:pPr>
              <w:spacing w:line="240" w:lineRule="auto"/>
              <w:rPr>
                <w:rFonts w:ascii="Arial" w:hAnsi="Arial" w:cs="Arial"/>
                <w:b/>
                <w:bCs/>
                <w:color w:val="1F497D"/>
                <w:sz w:val="18"/>
                <w:szCs w:val="18"/>
              </w:rPr>
            </w:pPr>
          </w:p>
        </w:tc>
        <w:tc>
          <w:tcPr>
            <w:tcW w:w="10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63F65" w:rsidRPr="0092784B" w:rsidP="00997539" w14:paraId="4007D63D"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Duplicate or Ineligible</w:t>
            </w:r>
          </w:p>
        </w:tc>
        <w:tc>
          <w:tcPr>
            <w:tcW w:w="10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63F65" w:rsidRPr="0092784B" w:rsidP="00997539" w14:paraId="07B2A693"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Answered "No" to Q1</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63F65" w:rsidRPr="0092784B" w:rsidP="00997539" w14:paraId="6BAD02A8"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Did Not Finish Survey</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63F65" w:rsidRPr="0092784B" w:rsidP="00997539" w14:paraId="674BDC24"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Wrong Loan</w:t>
            </w:r>
          </w:p>
        </w:tc>
        <w:tc>
          <w:tcPr>
            <w:tcW w:w="1236" w:type="dxa"/>
            <w:tcBorders>
              <w:top w:val="nil"/>
              <w:left w:val="nil"/>
              <w:bottom w:val="nil"/>
              <w:right w:val="single" w:sz="8" w:space="0" w:color="auto"/>
            </w:tcBorders>
            <w:shd w:val="clear" w:color="000000" w:fill="FFFFFF"/>
            <w:vAlign w:val="center"/>
            <w:hideMark/>
          </w:tcPr>
          <w:p w:rsidR="00363F65" w:rsidRPr="0092784B" w:rsidP="00997539" w14:paraId="64494DAF"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 </w:t>
            </w:r>
          </w:p>
        </w:tc>
      </w:tr>
      <w:tr w14:paraId="4A2AC010" w14:textId="77777777" w:rsidTr="00363F65">
        <w:tblPrEx>
          <w:tblW w:w="7227" w:type="dxa"/>
          <w:tblLook w:val="04A0"/>
        </w:tblPrEx>
        <w:trPr>
          <w:trHeight w:val="20"/>
        </w:trPr>
        <w:tc>
          <w:tcPr>
            <w:tcW w:w="960" w:type="dxa"/>
            <w:vMerge/>
            <w:tcBorders>
              <w:top w:val="nil"/>
              <w:left w:val="single" w:sz="8" w:space="0" w:color="auto"/>
              <w:bottom w:val="single" w:sz="8" w:space="0" w:color="000000"/>
              <w:right w:val="single" w:sz="8" w:space="0" w:color="auto"/>
            </w:tcBorders>
            <w:vAlign w:val="center"/>
            <w:hideMark/>
          </w:tcPr>
          <w:p w:rsidR="00363F65" w:rsidRPr="0092784B" w:rsidP="00997539" w14:paraId="53250859" w14:textId="77777777">
            <w:pPr>
              <w:spacing w:line="240" w:lineRule="auto"/>
              <w:rPr>
                <w:rFonts w:ascii="Arial" w:hAnsi="Arial" w:cs="Arial"/>
                <w:b/>
                <w:bCs/>
                <w:color w:val="1F497D"/>
                <w:sz w:val="18"/>
                <w:szCs w:val="18"/>
              </w:rPr>
            </w:pPr>
          </w:p>
        </w:tc>
        <w:tc>
          <w:tcPr>
            <w:tcW w:w="1007" w:type="dxa"/>
            <w:vMerge/>
            <w:tcBorders>
              <w:top w:val="nil"/>
              <w:left w:val="single" w:sz="8" w:space="0" w:color="auto"/>
              <w:bottom w:val="single" w:sz="8" w:space="0" w:color="000000"/>
              <w:right w:val="single" w:sz="8" w:space="0" w:color="auto"/>
            </w:tcBorders>
            <w:vAlign w:val="center"/>
            <w:hideMark/>
          </w:tcPr>
          <w:p w:rsidR="00363F65" w:rsidRPr="0092784B" w:rsidP="00997539" w14:paraId="4EBE20A3" w14:textId="77777777">
            <w:pPr>
              <w:spacing w:line="240" w:lineRule="auto"/>
              <w:rPr>
                <w:rFonts w:ascii="Arial" w:hAnsi="Arial" w:cs="Arial"/>
                <w:b/>
                <w:bCs/>
                <w:color w:val="1F497D"/>
                <w:sz w:val="18"/>
                <w:szCs w:val="18"/>
              </w:rPr>
            </w:pPr>
          </w:p>
        </w:tc>
        <w:tc>
          <w:tcPr>
            <w:tcW w:w="1027" w:type="dxa"/>
            <w:vMerge/>
            <w:tcBorders>
              <w:top w:val="nil"/>
              <w:left w:val="single" w:sz="8" w:space="0" w:color="auto"/>
              <w:bottom w:val="single" w:sz="8" w:space="0" w:color="000000"/>
              <w:right w:val="single" w:sz="8" w:space="0" w:color="auto"/>
            </w:tcBorders>
            <w:vAlign w:val="center"/>
            <w:hideMark/>
          </w:tcPr>
          <w:p w:rsidR="00363F65" w:rsidRPr="0092784B" w:rsidP="00997539" w14:paraId="6EF6F30A" w14:textId="77777777">
            <w:pPr>
              <w:spacing w:line="240" w:lineRule="auto"/>
              <w:rPr>
                <w:rFonts w:ascii="Arial" w:hAnsi="Arial" w:cs="Arial"/>
                <w:b/>
                <w:bCs/>
                <w:color w:val="1F497D"/>
                <w:sz w:val="18"/>
                <w:szCs w:val="18"/>
              </w:rPr>
            </w:pPr>
          </w:p>
        </w:tc>
        <w:tc>
          <w:tcPr>
            <w:tcW w:w="1077" w:type="dxa"/>
            <w:vMerge/>
            <w:tcBorders>
              <w:top w:val="nil"/>
              <w:left w:val="single" w:sz="8" w:space="0" w:color="auto"/>
              <w:bottom w:val="single" w:sz="8" w:space="0" w:color="000000"/>
              <w:right w:val="single" w:sz="8" w:space="0" w:color="auto"/>
            </w:tcBorders>
            <w:vAlign w:val="center"/>
            <w:hideMark/>
          </w:tcPr>
          <w:p w:rsidR="00363F65" w:rsidRPr="0092784B" w:rsidP="00997539" w14:paraId="12D6C112"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63F65" w:rsidRPr="0092784B" w:rsidP="00997539" w14:paraId="53B97B85"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363F65" w:rsidRPr="0092784B" w:rsidP="00997539" w14:paraId="0DC48F10" w14:textId="77777777">
            <w:pPr>
              <w:spacing w:line="240" w:lineRule="auto"/>
              <w:rPr>
                <w:rFonts w:ascii="Arial" w:hAnsi="Arial" w:cs="Arial"/>
                <w:b/>
                <w:bCs/>
                <w:color w:val="1F497D"/>
                <w:sz w:val="18"/>
                <w:szCs w:val="18"/>
              </w:rPr>
            </w:pPr>
          </w:p>
        </w:tc>
        <w:tc>
          <w:tcPr>
            <w:tcW w:w="1236" w:type="dxa"/>
            <w:tcBorders>
              <w:top w:val="nil"/>
              <w:left w:val="nil"/>
              <w:bottom w:val="single" w:sz="8" w:space="0" w:color="auto"/>
              <w:right w:val="single" w:sz="8" w:space="0" w:color="auto"/>
            </w:tcBorders>
            <w:shd w:val="clear" w:color="000000" w:fill="FFFFFF"/>
            <w:vAlign w:val="center"/>
            <w:hideMark/>
          </w:tcPr>
          <w:p w:rsidR="00363F65" w:rsidRPr="0092784B" w:rsidP="00997539" w14:paraId="48B101F3"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Unweighted</w:t>
            </w:r>
          </w:p>
        </w:tc>
      </w:tr>
      <w:tr w14:paraId="7A808C26"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65170D10"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05D043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5,792</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B769C6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91</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05BC62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737</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7BCDCE16"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1680ED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216</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300F0B47"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4,621</w:t>
            </w:r>
          </w:p>
        </w:tc>
      </w:tr>
      <w:tr w14:paraId="01C07E11"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308D9A8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36DBEF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1,07</w:t>
            </w:r>
            <w:r>
              <w:rPr>
                <w:rFonts w:ascii="Arial" w:hAnsi="Arial" w:cs="Arial"/>
                <w:color w:val="000000"/>
                <w:sz w:val="18"/>
                <w:szCs w:val="18"/>
              </w:rPr>
              <w:t>6</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644359E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6DDB74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8</w:t>
            </w:r>
            <w:r>
              <w:rPr>
                <w:rFonts w:ascii="Arial" w:hAnsi="Arial" w:cs="Arial"/>
                <w:color w:val="000000"/>
                <w:sz w:val="18"/>
                <w:szCs w:val="18"/>
              </w:rPr>
              <w:t>5</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02CD2B5D"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16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40538F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38</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2767660D"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922</w:t>
            </w:r>
          </w:p>
        </w:tc>
      </w:tr>
      <w:tr w14:paraId="2647084F"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50B1071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26946E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2,073</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BD13AE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41</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4CE3C0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108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26E1157C"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36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401FA2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58</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7AE6AEA3"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1,830</w:t>
            </w:r>
          </w:p>
        </w:tc>
      </w:tr>
      <w:tr w14:paraId="306C9D71"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0E1682F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0AADD0E" w14:textId="77777777">
            <w:pPr>
              <w:spacing w:line="240" w:lineRule="auto"/>
              <w:jc w:val="center"/>
              <w:rPr>
                <w:rFonts w:ascii="Arial" w:hAnsi="Arial" w:cs="Arial"/>
                <w:color w:val="000000"/>
                <w:sz w:val="18"/>
                <w:szCs w:val="18"/>
              </w:rPr>
            </w:pPr>
            <w:r>
              <w:rPr>
                <w:rFonts w:ascii="Arial" w:hAnsi="Arial" w:cs="Arial"/>
                <w:color w:val="000000"/>
                <w:sz w:val="18"/>
                <w:szCs w:val="18"/>
              </w:rPr>
              <w:t>2,020</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5EF12B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123</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FADCBE6" w14:textId="77777777">
            <w:pPr>
              <w:spacing w:line="240" w:lineRule="auto"/>
              <w:jc w:val="center"/>
              <w:rPr>
                <w:rFonts w:ascii="Arial" w:hAnsi="Arial" w:cs="Arial"/>
                <w:color w:val="000000"/>
                <w:sz w:val="18"/>
                <w:szCs w:val="18"/>
              </w:rPr>
            </w:pPr>
            <w:r>
              <w:rPr>
                <w:rFonts w:ascii="Arial" w:hAnsi="Arial" w:cs="Arial"/>
                <w:color w:val="000000"/>
                <w:sz w:val="18"/>
                <w:szCs w:val="18"/>
              </w:rPr>
              <w:t>131</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09741318"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46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50D3FB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63</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2851E13E"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1,657</w:t>
            </w:r>
          </w:p>
        </w:tc>
      </w:tr>
      <w:tr w14:paraId="383EAF11"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51E0B72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4DEB7A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2,089</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F3901E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41</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90B9CA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3D860F1C"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46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AFE677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62</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CD4D05E"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1,859</w:t>
            </w:r>
          </w:p>
        </w:tc>
      </w:tr>
      <w:tr w14:paraId="3C92AF58"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57CEEB2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820180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1,48</w:t>
            </w:r>
            <w:r>
              <w:rPr>
                <w:rFonts w:ascii="Arial" w:hAnsi="Arial" w:cs="Arial"/>
                <w:color w:val="000000"/>
                <w:sz w:val="18"/>
                <w:szCs w:val="18"/>
              </w:rPr>
              <w:t>9</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2477F3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117</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BE9432B" w14:textId="77777777">
            <w:pPr>
              <w:spacing w:line="240" w:lineRule="auto"/>
              <w:jc w:val="center"/>
              <w:rPr>
                <w:rFonts w:ascii="Arial" w:hAnsi="Arial" w:cs="Arial"/>
                <w:color w:val="000000"/>
                <w:sz w:val="18"/>
                <w:szCs w:val="18"/>
              </w:rPr>
            </w:pPr>
            <w:r>
              <w:rPr>
                <w:rFonts w:ascii="Arial" w:hAnsi="Arial" w:cs="Arial"/>
                <w:color w:val="000000"/>
                <w:sz w:val="18"/>
                <w:szCs w:val="18"/>
              </w:rPr>
              <w:t>70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4EC293B3"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29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9A9140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50</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0671BD11"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1,223</w:t>
            </w:r>
          </w:p>
        </w:tc>
      </w:tr>
      <w:tr w14:paraId="05DAE7A0"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625D87A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7</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92AE75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2,494</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DF9D93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73</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50FAA7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142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350B5EA3"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03A710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96</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2D0EDCE8"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2,105</w:t>
            </w:r>
          </w:p>
        </w:tc>
      </w:tr>
      <w:tr w14:paraId="32C86126"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39F48FAF"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8</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6390D0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1,899</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5B4D6C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46</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5A13EA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72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15EC7D42"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28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C8E0D7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59</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0A85D4F"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1,694</w:t>
            </w:r>
          </w:p>
        </w:tc>
      </w:tr>
      <w:tr w14:paraId="432FFB5F"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4C43BB9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9</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D810A1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1,824</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A6DEE7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42</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6618B8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07331E34"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27</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F1A680A"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37</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4316157C"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1,650</w:t>
            </w:r>
          </w:p>
        </w:tc>
      </w:tr>
      <w:tr w14:paraId="7D269F41"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22CB4A8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10</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6BF6B67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1,765</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2C1FCF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63</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7138480"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84</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62CEEF73"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40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7C4FD8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58</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1B3EC2FE"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1,520</w:t>
            </w:r>
          </w:p>
        </w:tc>
      </w:tr>
      <w:tr w14:paraId="317298B7"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4DB881A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11</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A52425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1,733</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0C74A8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43</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8824DB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92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39EB71CB"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38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8794CB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37</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0081E041"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1,523</w:t>
            </w:r>
          </w:p>
        </w:tc>
      </w:tr>
      <w:tr w14:paraId="42267B1F"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145981E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8D86B5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1,778</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199EB10" w14:textId="067C1A8C">
            <w:pPr>
              <w:spacing w:line="240" w:lineRule="auto"/>
              <w:jc w:val="center"/>
              <w:rPr>
                <w:rFonts w:ascii="Arial" w:hAnsi="Arial" w:cs="Arial"/>
                <w:color w:val="000000"/>
                <w:sz w:val="18"/>
                <w:szCs w:val="18"/>
              </w:rPr>
            </w:pPr>
            <w:r w:rsidRPr="0092784B">
              <w:rPr>
                <w:rFonts w:ascii="Arial" w:hAnsi="Arial" w:cs="Arial"/>
                <w:color w:val="000000"/>
                <w:sz w:val="18"/>
                <w:szCs w:val="18"/>
              </w:rPr>
              <w:t>6</w:t>
            </w:r>
            <w:r w:rsidR="00376DD5">
              <w:rPr>
                <w:rFonts w:ascii="Arial" w:hAnsi="Arial" w:cs="Arial"/>
                <w:color w:val="000000"/>
                <w:sz w:val="18"/>
                <w:szCs w:val="18"/>
              </w:rPr>
              <w:t>2</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8DBA4D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101</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1D50D39C"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49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0D2BDFF"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50</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FCFAD8F" w14:textId="25FAA7BA">
            <w:pPr>
              <w:spacing w:line="240" w:lineRule="auto"/>
              <w:jc w:val="center"/>
              <w:rPr>
                <w:rFonts w:ascii="Arial" w:hAnsi="Arial" w:cs="Arial"/>
                <w:color w:val="000000"/>
                <w:sz w:val="18"/>
                <w:szCs w:val="18"/>
              </w:rPr>
            </w:pPr>
            <w:r w:rsidRPr="00A533A1">
              <w:rPr>
                <w:rFonts w:ascii="Arial" w:hAnsi="Arial" w:cs="Arial"/>
                <w:color w:val="000000"/>
                <w:sz w:val="18"/>
                <w:szCs w:val="18"/>
              </w:rPr>
              <w:t>1,51</w:t>
            </w:r>
            <w:r>
              <w:rPr>
                <w:rFonts w:ascii="Arial" w:hAnsi="Arial" w:cs="Arial"/>
                <w:color w:val="000000"/>
                <w:sz w:val="18"/>
                <w:szCs w:val="18"/>
              </w:rPr>
              <w:t>6</w:t>
            </w:r>
          </w:p>
        </w:tc>
      </w:tr>
      <w:tr w14:paraId="20BF9B04"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594E3A9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13</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92B778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1,885</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395050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50</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6EEC3F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102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10E0E68D"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52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EF9607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54</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5FF60294"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1,627</w:t>
            </w:r>
          </w:p>
        </w:tc>
      </w:tr>
      <w:tr w14:paraId="6462ACFA"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71AAAAE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14</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B6BB14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1,681</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D7C6B0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55</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9229F8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604F7395"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52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6311FE0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44</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444B701E"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1,464</w:t>
            </w:r>
          </w:p>
        </w:tc>
      </w:tr>
      <w:tr w14:paraId="617A9732"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3892E0D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5C77E4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1,537</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144472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35</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36A899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136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192D71AD"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F6EB69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33</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555F1ADA"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1,255</w:t>
            </w:r>
          </w:p>
        </w:tc>
      </w:tr>
      <w:tr w14:paraId="20DBAB1A"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37074F7A"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16</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E80CDE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1,507</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E67841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33</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4440FA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115</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421A09BC"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BF43960" w14:textId="77777777">
            <w:pPr>
              <w:spacing w:line="240" w:lineRule="auto"/>
              <w:jc w:val="center"/>
              <w:rPr>
                <w:rFonts w:ascii="Arial" w:hAnsi="Arial" w:cs="Arial"/>
                <w:color w:val="000000"/>
                <w:sz w:val="18"/>
                <w:szCs w:val="18"/>
              </w:rPr>
            </w:pPr>
            <w:r>
              <w:rPr>
                <w:rFonts w:ascii="Arial" w:hAnsi="Arial" w:cs="Arial"/>
                <w:color w:val="000000"/>
                <w:sz w:val="18"/>
                <w:szCs w:val="18"/>
              </w:rPr>
              <w:t>26</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34A0E09"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1,263</w:t>
            </w:r>
          </w:p>
        </w:tc>
      </w:tr>
      <w:tr w14:paraId="410015A4"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263FC2B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71D97C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1,647</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554C16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31</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F8D507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4B556F60"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62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79E96E9" w14:textId="77777777">
            <w:pPr>
              <w:spacing w:line="240" w:lineRule="auto"/>
              <w:jc w:val="center"/>
              <w:rPr>
                <w:rFonts w:ascii="Arial" w:hAnsi="Arial" w:cs="Arial"/>
                <w:color w:val="000000"/>
                <w:sz w:val="18"/>
                <w:szCs w:val="18"/>
              </w:rPr>
            </w:pPr>
            <w:r>
              <w:rPr>
                <w:rFonts w:ascii="Arial" w:hAnsi="Arial" w:cs="Arial"/>
                <w:color w:val="000000"/>
                <w:sz w:val="18"/>
                <w:szCs w:val="18"/>
              </w:rPr>
              <w:t>34</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0A1024BE"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1,394</w:t>
            </w:r>
          </w:p>
        </w:tc>
      </w:tr>
      <w:tr w14:paraId="43398851"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3B4B078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18</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86C7C7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1,536</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4EECFF3" w14:textId="13001297">
            <w:pPr>
              <w:spacing w:line="240" w:lineRule="auto"/>
              <w:jc w:val="center"/>
              <w:rPr>
                <w:rFonts w:ascii="Arial" w:hAnsi="Arial" w:cs="Arial"/>
                <w:color w:val="000000"/>
                <w:sz w:val="18"/>
                <w:szCs w:val="18"/>
              </w:rPr>
            </w:pPr>
            <w:r w:rsidRPr="0092784B">
              <w:rPr>
                <w:rFonts w:ascii="Arial" w:hAnsi="Arial" w:cs="Arial"/>
                <w:color w:val="000000"/>
                <w:sz w:val="18"/>
                <w:szCs w:val="18"/>
              </w:rPr>
              <w:t>2</w:t>
            </w:r>
            <w:r w:rsidR="00376DD5">
              <w:rPr>
                <w:rFonts w:ascii="Arial" w:hAnsi="Arial" w:cs="Arial"/>
                <w:color w:val="000000"/>
                <w:sz w:val="18"/>
                <w:szCs w:val="18"/>
              </w:rPr>
              <w:t>9</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8AC490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113</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647ABB1B"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60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368D6A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34</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7800527B" w14:textId="77E6ED53">
            <w:pPr>
              <w:spacing w:line="240" w:lineRule="auto"/>
              <w:jc w:val="center"/>
              <w:rPr>
                <w:rFonts w:ascii="Arial" w:hAnsi="Arial" w:cs="Arial"/>
                <w:color w:val="000000"/>
                <w:sz w:val="18"/>
                <w:szCs w:val="18"/>
              </w:rPr>
            </w:pPr>
            <w:r w:rsidRPr="00A533A1">
              <w:rPr>
                <w:rFonts w:ascii="Arial" w:hAnsi="Arial" w:cs="Arial"/>
                <w:color w:val="000000"/>
                <w:sz w:val="18"/>
                <w:szCs w:val="18"/>
              </w:rPr>
              <w:t>1,30</w:t>
            </w:r>
            <w:r>
              <w:rPr>
                <w:rFonts w:ascii="Arial" w:hAnsi="Arial" w:cs="Arial"/>
                <w:color w:val="000000"/>
                <w:sz w:val="18"/>
                <w:szCs w:val="18"/>
              </w:rPr>
              <w:t>0</w:t>
            </w:r>
          </w:p>
        </w:tc>
      </w:tr>
      <w:tr w14:paraId="1DE0281D"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112F6B30"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19</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632FC92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1,464</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B44F0A1" w14:textId="1C0FB0EF">
            <w:pPr>
              <w:spacing w:line="240" w:lineRule="auto"/>
              <w:jc w:val="center"/>
              <w:rPr>
                <w:rFonts w:ascii="Arial" w:hAnsi="Arial" w:cs="Arial"/>
                <w:color w:val="000000"/>
                <w:sz w:val="18"/>
                <w:szCs w:val="18"/>
              </w:rPr>
            </w:pPr>
            <w:r w:rsidRPr="0092784B">
              <w:rPr>
                <w:rFonts w:ascii="Arial" w:hAnsi="Arial" w:cs="Arial"/>
                <w:color w:val="000000"/>
                <w:sz w:val="18"/>
                <w:szCs w:val="18"/>
              </w:rPr>
              <w:t>4</w:t>
            </w:r>
            <w:r w:rsidR="00376DD5">
              <w:rPr>
                <w:rFonts w:ascii="Arial" w:hAnsi="Arial" w:cs="Arial"/>
                <w:color w:val="000000"/>
                <w:sz w:val="18"/>
                <w:szCs w:val="18"/>
              </w:rPr>
              <w:t>1</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ED015F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101</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6FE6CD5D"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59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4614A9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31</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2376782A" w14:textId="2A9B03EA">
            <w:pPr>
              <w:spacing w:line="240" w:lineRule="auto"/>
              <w:jc w:val="center"/>
              <w:rPr>
                <w:rFonts w:ascii="Arial" w:hAnsi="Arial" w:cs="Arial"/>
                <w:color w:val="000000"/>
                <w:sz w:val="18"/>
                <w:szCs w:val="18"/>
              </w:rPr>
            </w:pPr>
            <w:r w:rsidRPr="00A533A1">
              <w:rPr>
                <w:rFonts w:ascii="Arial" w:hAnsi="Arial" w:cs="Arial"/>
                <w:color w:val="000000"/>
                <w:sz w:val="18"/>
                <w:szCs w:val="18"/>
              </w:rPr>
              <w:t>1,23</w:t>
            </w:r>
            <w:r>
              <w:rPr>
                <w:rFonts w:ascii="Arial" w:hAnsi="Arial" w:cs="Arial"/>
                <w:color w:val="000000"/>
                <w:sz w:val="18"/>
                <w:szCs w:val="18"/>
              </w:rPr>
              <w:t>2</w:t>
            </w:r>
          </w:p>
        </w:tc>
      </w:tr>
      <w:tr w14:paraId="0473B4A7"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3B6F90A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20</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20CAE9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1,396</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B925D25" w14:textId="04968715">
            <w:pPr>
              <w:spacing w:line="240" w:lineRule="auto"/>
              <w:jc w:val="center"/>
              <w:rPr>
                <w:rFonts w:ascii="Arial" w:hAnsi="Arial" w:cs="Arial"/>
                <w:color w:val="000000"/>
                <w:sz w:val="18"/>
                <w:szCs w:val="18"/>
              </w:rPr>
            </w:pPr>
            <w:r>
              <w:rPr>
                <w:rFonts w:ascii="Arial" w:hAnsi="Arial" w:cs="Arial"/>
                <w:color w:val="000000"/>
                <w:sz w:val="18"/>
                <w:szCs w:val="18"/>
              </w:rPr>
              <w:t>40</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90C5E89"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114</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2A937E9E"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66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76D4CD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24</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372A8F7B" w14:textId="3604E422">
            <w:pPr>
              <w:spacing w:line="240" w:lineRule="auto"/>
              <w:jc w:val="center"/>
              <w:rPr>
                <w:rFonts w:ascii="Arial" w:hAnsi="Arial" w:cs="Arial"/>
                <w:color w:val="000000"/>
                <w:sz w:val="18"/>
                <w:szCs w:val="18"/>
              </w:rPr>
            </w:pPr>
            <w:r w:rsidRPr="00A533A1">
              <w:rPr>
                <w:rFonts w:ascii="Arial" w:hAnsi="Arial" w:cs="Arial"/>
                <w:color w:val="000000"/>
                <w:sz w:val="18"/>
                <w:szCs w:val="18"/>
              </w:rPr>
              <w:t>1,15</w:t>
            </w:r>
            <w:r>
              <w:rPr>
                <w:rFonts w:ascii="Arial" w:hAnsi="Arial" w:cs="Arial"/>
                <w:color w:val="000000"/>
                <w:sz w:val="18"/>
                <w:szCs w:val="18"/>
              </w:rPr>
              <w:t>2</w:t>
            </w:r>
          </w:p>
        </w:tc>
      </w:tr>
      <w:tr w14:paraId="3A4A5A60"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65E61D8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21</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808442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1,511</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02B39CE" w14:textId="5154D985">
            <w:pPr>
              <w:spacing w:line="240" w:lineRule="auto"/>
              <w:jc w:val="center"/>
              <w:rPr>
                <w:rFonts w:ascii="Arial" w:hAnsi="Arial" w:cs="Arial"/>
                <w:color w:val="000000"/>
                <w:sz w:val="18"/>
                <w:szCs w:val="18"/>
              </w:rPr>
            </w:pPr>
            <w:r w:rsidRPr="0092784B">
              <w:rPr>
                <w:rFonts w:ascii="Arial" w:hAnsi="Arial" w:cs="Arial"/>
                <w:color w:val="000000"/>
                <w:sz w:val="18"/>
                <w:szCs w:val="18"/>
              </w:rPr>
              <w:t>6</w:t>
            </w:r>
            <w:r w:rsidR="00D92CFF">
              <w:rPr>
                <w:rFonts w:ascii="Arial" w:hAnsi="Arial" w:cs="Arial"/>
                <w:color w:val="000000"/>
                <w:sz w:val="18"/>
                <w:szCs w:val="18"/>
              </w:rPr>
              <w:t>7</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55538B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125</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016D12F5"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82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07D0060"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23</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68437D3" w14:textId="2DA0C0F4">
            <w:pPr>
              <w:spacing w:line="240" w:lineRule="auto"/>
              <w:jc w:val="center"/>
              <w:rPr>
                <w:rFonts w:ascii="Arial" w:hAnsi="Arial" w:cs="Arial"/>
                <w:color w:val="000000"/>
                <w:sz w:val="18"/>
                <w:szCs w:val="18"/>
              </w:rPr>
            </w:pPr>
            <w:r w:rsidRPr="00A533A1">
              <w:rPr>
                <w:rFonts w:ascii="Arial" w:hAnsi="Arial" w:cs="Arial"/>
                <w:color w:val="000000"/>
                <w:sz w:val="18"/>
                <w:szCs w:val="18"/>
              </w:rPr>
              <w:t>1,21</w:t>
            </w:r>
            <w:r w:rsidR="00376DD5">
              <w:rPr>
                <w:rFonts w:ascii="Arial" w:hAnsi="Arial" w:cs="Arial"/>
                <w:color w:val="000000"/>
                <w:sz w:val="18"/>
                <w:szCs w:val="18"/>
              </w:rPr>
              <w:t>4</w:t>
            </w:r>
          </w:p>
        </w:tc>
      </w:tr>
      <w:tr w14:paraId="77D61C90"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5179D5D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22</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A0D5F1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1,405</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E05C1D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39</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DEAD9D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75B48497"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56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94F937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23</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CD9D4FC"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1,161</w:t>
            </w:r>
          </w:p>
        </w:tc>
      </w:tr>
      <w:tr w14:paraId="3E24822E"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6C12BE6A"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23</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61FDD5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1,241</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F7A7386" w14:textId="3A39DC4F">
            <w:pPr>
              <w:spacing w:line="240" w:lineRule="auto"/>
              <w:jc w:val="center"/>
              <w:rPr>
                <w:rFonts w:ascii="Arial" w:hAnsi="Arial" w:cs="Arial"/>
                <w:color w:val="000000"/>
                <w:sz w:val="18"/>
                <w:szCs w:val="18"/>
              </w:rPr>
            </w:pPr>
            <w:r w:rsidRPr="0092784B">
              <w:rPr>
                <w:rFonts w:ascii="Arial" w:hAnsi="Arial" w:cs="Arial"/>
                <w:color w:val="000000"/>
                <w:sz w:val="18"/>
                <w:szCs w:val="18"/>
              </w:rPr>
              <w:t>3</w:t>
            </w:r>
            <w:r w:rsidR="00D92CFF">
              <w:rPr>
                <w:rFonts w:ascii="Arial" w:hAnsi="Arial" w:cs="Arial"/>
                <w:color w:val="000000"/>
                <w:sz w:val="18"/>
                <w:szCs w:val="18"/>
              </w:rPr>
              <w:t>3</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7AEA24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86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5193C239"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49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C8EF56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32</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03692B17" w14:textId="13359D51">
            <w:pPr>
              <w:spacing w:line="240" w:lineRule="auto"/>
              <w:jc w:val="center"/>
              <w:rPr>
                <w:rFonts w:ascii="Arial" w:hAnsi="Arial" w:cs="Arial"/>
                <w:color w:val="000000"/>
                <w:sz w:val="18"/>
                <w:szCs w:val="18"/>
              </w:rPr>
            </w:pPr>
            <w:r w:rsidRPr="00A533A1">
              <w:rPr>
                <w:rFonts w:ascii="Arial" w:hAnsi="Arial" w:cs="Arial"/>
                <w:color w:val="000000"/>
                <w:sz w:val="18"/>
                <w:szCs w:val="18"/>
              </w:rPr>
              <w:t>1,04</w:t>
            </w:r>
            <w:r w:rsidR="00376DD5">
              <w:rPr>
                <w:rFonts w:ascii="Arial" w:hAnsi="Arial" w:cs="Arial"/>
                <w:color w:val="000000"/>
                <w:sz w:val="18"/>
                <w:szCs w:val="18"/>
              </w:rPr>
              <w:t>1</w:t>
            </w:r>
          </w:p>
        </w:tc>
      </w:tr>
      <w:tr w14:paraId="57C616B4"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19A2EA9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24</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A0F62F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1,268</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B53DCE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57</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B4EF8A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5FA57A2D"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6A4CFEF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37</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26DD414A"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1,036</w:t>
            </w:r>
          </w:p>
        </w:tc>
      </w:tr>
      <w:tr w14:paraId="2A82E91E"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6561D91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25</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5D2688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1,780</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400D1B8"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30</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E7A4F31"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55</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453CF25A"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73</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E2A419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63</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4622D7A1"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1,559</w:t>
            </w:r>
          </w:p>
        </w:tc>
      </w:tr>
      <w:tr w14:paraId="4997FFF6"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7B35E4B5"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26</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D93F886"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1,743</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0B227CA"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27</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DAD349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18C683C2"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66</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12B95E3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81</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6C60AC1D"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1,530</w:t>
            </w:r>
          </w:p>
        </w:tc>
      </w:tr>
      <w:tr w14:paraId="33DC64AC"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67436AEA"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27</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069781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1,821</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0930BF1C"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15</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E2043DB"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54</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26D7E241"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430FAC35" w14:textId="3441EAB2">
            <w:pPr>
              <w:spacing w:line="240" w:lineRule="auto"/>
              <w:jc w:val="center"/>
              <w:rPr>
                <w:rFonts w:ascii="Arial" w:hAnsi="Arial" w:cs="Arial"/>
                <w:color w:val="000000"/>
                <w:sz w:val="18"/>
                <w:szCs w:val="18"/>
              </w:rPr>
            </w:pPr>
            <w:r w:rsidRPr="0092784B">
              <w:rPr>
                <w:rFonts w:ascii="Arial" w:hAnsi="Arial" w:cs="Arial"/>
                <w:color w:val="000000"/>
                <w:sz w:val="18"/>
                <w:szCs w:val="18"/>
              </w:rPr>
              <w:t>9</w:t>
            </w:r>
            <w:r w:rsidR="00C918CC">
              <w:rPr>
                <w:rFonts w:ascii="Arial" w:hAnsi="Arial" w:cs="Arial"/>
                <w:color w:val="000000"/>
                <w:sz w:val="18"/>
                <w:szCs w:val="18"/>
              </w:rPr>
              <w:t>6</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4B4E49DD" w14:textId="6ED25FE8">
            <w:pPr>
              <w:spacing w:line="240" w:lineRule="auto"/>
              <w:jc w:val="center"/>
              <w:rPr>
                <w:rFonts w:ascii="Arial" w:hAnsi="Arial" w:cs="Arial"/>
                <w:color w:val="000000"/>
                <w:sz w:val="18"/>
                <w:szCs w:val="18"/>
              </w:rPr>
            </w:pPr>
            <w:r w:rsidRPr="00A533A1">
              <w:rPr>
                <w:rFonts w:ascii="Arial" w:hAnsi="Arial" w:cs="Arial"/>
                <w:color w:val="000000"/>
                <w:sz w:val="18"/>
                <w:szCs w:val="18"/>
              </w:rPr>
              <w:t>1,58</w:t>
            </w:r>
            <w:r w:rsidR="00376DD5">
              <w:rPr>
                <w:rFonts w:ascii="Arial" w:hAnsi="Arial" w:cs="Arial"/>
                <w:color w:val="000000"/>
                <w:sz w:val="18"/>
                <w:szCs w:val="18"/>
              </w:rPr>
              <w:t>6</w:t>
            </w:r>
          </w:p>
        </w:tc>
      </w:tr>
      <w:tr w14:paraId="362DAB43"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290EF693"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28</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3E1621F2"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1,752</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22111C2" w14:textId="2D950884">
            <w:pPr>
              <w:spacing w:line="240" w:lineRule="auto"/>
              <w:jc w:val="center"/>
              <w:rPr>
                <w:rFonts w:ascii="Arial" w:hAnsi="Arial" w:cs="Arial"/>
                <w:color w:val="000000"/>
                <w:sz w:val="18"/>
                <w:szCs w:val="18"/>
              </w:rPr>
            </w:pPr>
            <w:r w:rsidRPr="0092784B">
              <w:rPr>
                <w:rFonts w:ascii="Arial" w:hAnsi="Arial" w:cs="Arial"/>
                <w:color w:val="000000"/>
                <w:sz w:val="18"/>
                <w:szCs w:val="18"/>
              </w:rPr>
              <w:t>2</w:t>
            </w:r>
            <w:r w:rsidR="00D92CFF">
              <w:rPr>
                <w:rFonts w:ascii="Arial" w:hAnsi="Arial" w:cs="Arial"/>
                <w:color w:val="000000"/>
                <w:sz w:val="18"/>
                <w:szCs w:val="18"/>
              </w:rPr>
              <w:t>2</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9B33F4D"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52</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6C9068AD"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79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7B0CB0DA" w14:textId="1AF7472A">
            <w:pPr>
              <w:spacing w:line="240" w:lineRule="auto"/>
              <w:jc w:val="center"/>
              <w:rPr>
                <w:rFonts w:ascii="Arial" w:hAnsi="Arial" w:cs="Arial"/>
                <w:color w:val="000000"/>
                <w:sz w:val="18"/>
                <w:szCs w:val="18"/>
              </w:rPr>
            </w:pPr>
            <w:r w:rsidRPr="0092784B">
              <w:rPr>
                <w:rFonts w:ascii="Arial" w:hAnsi="Arial" w:cs="Arial"/>
                <w:color w:val="000000"/>
                <w:sz w:val="18"/>
                <w:szCs w:val="18"/>
              </w:rPr>
              <w:t>7</w:t>
            </w:r>
            <w:r w:rsidR="00C918CC">
              <w:rPr>
                <w:rFonts w:ascii="Arial" w:hAnsi="Arial" w:cs="Arial"/>
                <w:color w:val="000000"/>
                <w:sz w:val="18"/>
                <w:szCs w:val="18"/>
              </w:rPr>
              <w:t>6</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30E98CB7" w14:textId="472ECE60">
            <w:pPr>
              <w:spacing w:line="240" w:lineRule="auto"/>
              <w:jc w:val="center"/>
              <w:rPr>
                <w:rFonts w:ascii="Arial" w:hAnsi="Arial" w:cs="Arial"/>
                <w:color w:val="000000"/>
                <w:sz w:val="18"/>
                <w:szCs w:val="18"/>
              </w:rPr>
            </w:pPr>
            <w:r w:rsidRPr="00A533A1">
              <w:rPr>
                <w:rFonts w:ascii="Arial" w:hAnsi="Arial" w:cs="Arial"/>
                <w:color w:val="000000"/>
                <w:sz w:val="18"/>
                <w:szCs w:val="18"/>
              </w:rPr>
              <w:t>1,52</w:t>
            </w:r>
            <w:r w:rsidR="00376DD5">
              <w:rPr>
                <w:rFonts w:ascii="Arial" w:hAnsi="Arial" w:cs="Arial"/>
                <w:color w:val="000000"/>
                <w:sz w:val="18"/>
                <w:szCs w:val="18"/>
              </w:rPr>
              <w:t>3</w:t>
            </w:r>
          </w:p>
        </w:tc>
      </w:tr>
      <w:tr w14:paraId="0EB47916"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63F65" w:rsidRPr="0092784B" w:rsidP="00997539" w14:paraId="110FF6BE"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29</w:t>
            </w:r>
          </w:p>
        </w:tc>
        <w:tc>
          <w:tcPr>
            <w:tcW w:w="100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2C79A2DA"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1,761</w:t>
            </w:r>
          </w:p>
        </w:tc>
        <w:tc>
          <w:tcPr>
            <w:tcW w:w="102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1695824"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17</w:t>
            </w:r>
          </w:p>
        </w:tc>
        <w:tc>
          <w:tcPr>
            <w:tcW w:w="1077"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16739D7"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39</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160468" w:rsidP="00997539" w14:paraId="0022C201" w14:textId="77777777">
            <w:pPr>
              <w:spacing w:line="240" w:lineRule="auto"/>
              <w:jc w:val="center"/>
              <w:rPr>
                <w:rFonts w:ascii="Arial" w:hAnsi="Arial" w:cs="Arial"/>
                <w:color w:val="000000"/>
                <w:sz w:val="18"/>
                <w:szCs w:val="18"/>
              </w:rPr>
            </w:pPr>
            <w:r w:rsidRPr="00160468">
              <w:rPr>
                <w:rFonts w:ascii="Arial" w:hAnsi="Arial" w:cs="Arial"/>
                <w:color w:val="000000"/>
                <w:sz w:val="18"/>
                <w:szCs w:val="18"/>
              </w:rPr>
              <w:t>80</w:t>
            </w:r>
          </w:p>
        </w:tc>
        <w:tc>
          <w:tcPr>
            <w:tcW w:w="960" w:type="dxa"/>
            <w:tcBorders>
              <w:top w:val="nil"/>
              <w:left w:val="nil"/>
              <w:bottom w:val="single" w:sz="8" w:space="0" w:color="auto"/>
              <w:right w:val="single" w:sz="8" w:space="0" w:color="auto"/>
            </w:tcBorders>
            <w:shd w:val="clear" w:color="000000" w:fill="FFFFFF"/>
            <w:noWrap/>
            <w:vAlign w:val="center"/>
            <w:hideMark/>
          </w:tcPr>
          <w:p w:rsidR="00363F65" w:rsidRPr="0092784B" w:rsidP="00997539" w14:paraId="50794C1F" w14:textId="77777777">
            <w:pPr>
              <w:spacing w:line="240" w:lineRule="auto"/>
              <w:jc w:val="center"/>
              <w:rPr>
                <w:rFonts w:ascii="Arial" w:hAnsi="Arial" w:cs="Arial"/>
                <w:color w:val="000000"/>
                <w:sz w:val="18"/>
                <w:szCs w:val="18"/>
              </w:rPr>
            </w:pPr>
            <w:r w:rsidRPr="0092784B">
              <w:rPr>
                <w:rFonts w:ascii="Arial" w:hAnsi="Arial" w:cs="Arial"/>
                <w:color w:val="000000"/>
                <w:sz w:val="18"/>
                <w:szCs w:val="18"/>
              </w:rPr>
              <w:t>67</w:t>
            </w:r>
          </w:p>
        </w:tc>
        <w:tc>
          <w:tcPr>
            <w:tcW w:w="1236" w:type="dxa"/>
            <w:tcBorders>
              <w:top w:val="nil"/>
              <w:left w:val="nil"/>
              <w:bottom w:val="single" w:sz="8" w:space="0" w:color="auto"/>
              <w:right w:val="single" w:sz="8" w:space="0" w:color="auto"/>
            </w:tcBorders>
            <w:shd w:val="clear" w:color="000000" w:fill="FFFFFF"/>
            <w:noWrap/>
            <w:vAlign w:val="center"/>
            <w:hideMark/>
          </w:tcPr>
          <w:p w:rsidR="00363F65" w:rsidRPr="00A533A1" w:rsidP="00997539" w14:paraId="586A1E19" w14:textId="77777777">
            <w:pPr>
              <w:spacing w:line="240" w:lineRule="auto"/>
              <w:jc w:val="center"/>
              <w:rPr>
                <w:rFonts w:ascii="Arial" w:hAnsi="Arial" w:cs="Arial"/>
                <w:color w:val="000000"/>
                <w:sz w:val="18"/>
                <w:szCs w:val="18"/>
              </w:rPr>
            </w:pPr>
            <w:r w:rsidRPr="00A533A1">
              <w:rPr>
                <w:rFonts w:ascii="Arial" w:hAnsi="Arial" w:cs="Arial"/>
                <w:color w:val="000000"/>
                <w:sz w:val="18"/>
                <w:szCs w:val="18"/>
              </w:rPr>
              <w:t>1,558</w:t>
            </w:r>
          </w:p>
        </w:tc>
      </w:tr>
      <w:tr w14:paraId="689344DB"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376DD5" w:rsidRPr="0092784B" w:rsidP="00376DD5" w14:paraId="6B705467" w14:textId="15099348">
            <w:pPr>
              <w:spacing w:line="240" w:lineRule="auto"/>
              <w:jc w:val="center"/>
              <w:rPr>
                <w:rFonts w:ascii="Arial" w:hAnsi="Arial" w:cs="Arial"/>
                <w:color w:val="000000"/>
                <w:sz w:val="18"/>
                <w:szCs w:val="18"/>
              </w:rPr>
            </w:pPr>
            <w:r w:rsidRPr="0092784B">
              <w:rPr>
                <w:rFonts w:ascii="Arial" w:hAnsi="Arial" w:cs="Arial"/>
                <w:color w:val="000000"/>
                <w:sz w:val="18"/>
                <w:szCs w:val="18"/>
              </w:rPr>
              <w:t>30</w:t>
            </w:r>
          </w:p>
        </w:tc>
        <w:tc>
          <w:tcPr>
            <w:tcW w:w="1007" w:type="dxa"/>
            <w:tcBorders>
              <w:top w:val="nil"/>
              <w:left w:val="nil"/>
              <w:bottom w:val="single" w:sz="8" w:space="0" w:color="auto"/>
              <w:right w:val="single" w:sz="8" w:space="0" w:color="auto"/>
            </w:tcBorders>
            <w:shd w:val="clear" w:color="000000" w:fill="FFFFFF"/>
            <w:noWrap/>
            <w:vAlign w:val="center"/>
          </w:tcPr>
          <w:p w:rsidR="00376DD5" w:rsidRPr="0092784B" w:rsidP="00376DD5" w14:paraId="4F62D44D" w14:textId="2B63FC89">
            <w:pPr>
              <w:spacing w:line="240" w:lineRule="auto"/>
              <w:jc w:val="center"/>
              <w:rPr>
                <w:rFonts w:ascii="Arial" w:hAnsi="Arial" w:cs="Arial"/>
                <w:color w:val="000000"/>
                <w:sz w:val="18"/>
                <w:szCs w:val="18"/>
              </w:rPr>
            </w:pPr>
            <w:r w:rsidRPr="0092784B">
              <w:rPr>
                <w:rFonts w:ascii="Arial" w:hAnsi="Arial" w:cs="Arial"/>
                <w:color w:val="000000"/>
                <w:sz w:val="18"/>
                <w:szCs w:val="18"/>
              </w:rPr>
              <w:t>1,576</w:t>
            </w:r>
          </w:p>
        </w:tc>
        <w:tc>
          <w:tcPr>
            <w:tcW w:w="1027" w:type="dxa"/>
            <w:tcBorders>
              <w:top w:val="nil"/>
              <w:left w:val="nil"/>
              <w:bottom w:val="single" w:sz="8" w:space="0" w:color="auto"/>
              <w:right w:val="single" w:sz="8" w:space="0" w:color="auto"/>
            </w:tcBorders>
            <w:shd w:val="clear" w:color="000000" w:fill="FFFFFF"/>
            <w:noWrap/>
            <w:vAlign w:val="center"/>
          </w:tcPr>
          <w:p w:rsidR="00376DD5" w:rsidRPr="0092784B" w:rsidP="00376DD5" w14:paraId="1D776292" w14:textId="15E58D49">
            <w:pPr>
              <w:spacing w:line="240" w:lineRule="auto"/>
              <w:jc w:val="center"/>
              <w:rPr>
                <w:rFonts w:ascii="Arial" w:hAnsi="Arial" w:cs="Arial"/>
                <w:color w:val="000000"/>
                <w:sz w:val="18"/>
                <w:szCs w:val="18"/>
              </w:rPr>
            </w:pPr>
            <w:r w:rsidRPr="0092784B">
              <w:rPr>
                <w:rFonts w:ascii="Arial" w:hAnsi="Arial" w:cs="Arial"/>
                <w:color w:val="000000"/>
                <w:sz w:val="18"/>
                <w:szCs w:val="18"/>
              </w:rPr>
              <w:t>1</w:t>
            </w:r>
            <w:r w:rsidR="00D92CFF">
              <w:rPr>
                <w:rFonts w:ascii="Arial" w:hAnsi="Arial" w:cs="Arial"/>
                <w:color w:val="000000"/>
                <w:sz w:val="18"/>
                <w:szCs w:val="18"/>
              </w:rPr>
              <w:t>3</w:t>
            </w:r>
          </w:p>
        </w:tc>
        <w:tc>
          <w:tcPr>
            <w:tcW w:w="1077" w:type="dxa"/>
            <w:tcBorders>
              <w:top w:val="nil"/>
              <w:left w:val="nil"/>
              <w:bottom w:val="single" w:sz="8" w:space="0" w:color="auto"/>
              <w:right w:val="single" w:sz="8" w:space="0" w:color="auto"/>
            </w:tcBorders>
            <w:shd w:val="clear" w:color="000000" w:fill="FFFFFF"/>
            <w:noWrap/>
            <w:vAlign w:val="center"/>
          </w:tcPr>
          <w:p w:rsidR="00376DD5" w:rsidRPr="0092784B" w:rsidP="00376DD5" w14:paraId="080D314A" w14:textId="5163D957">
            <w:pPr>
              <w:spacing w:line="240" w:lineRule="auto"/>
              <w:jc w:val="center"/>
              <w:rPr>
                <w:rFonts w:ascii="Arial" w:hAnsi="Arial" w:cs="Arial"/>
                <w:color w:val="000000"/>
                <w:sz w:val="18"/>
                <w:szCs w:val="18"/>
              </w:rPr>
            </w:pPr>
            <w:r w:rsidRPr="0092784B">
              <w:rPr>
                <w:rFonts w:ascii="Arial" w:hAnsi="Arial" w:cs="Arial"/>
                <w:color w:val="000000"/>
                <w:sz w:val="18"/>
                <w:szCs w:val="18"/>
              </w:rPr>
              <w:t>41</w:t>
            </w:r>
          </w:p>
        </w:tc>
        <w:tc>
          <w:tcPr>
            <w:tcW w:w="960" w:type="dxa"/>
            <w:tcBorders>
              <w:top w:val="nil"/>
              <w:left w:val="nil"/>
              <w:bottom w:val="single" w:sz="8" w:space="0" w:color="auto"/>
              <w:right w:val="single" w:sz="8" w:space="0" w:color="auto"/>
            </w:tcBorders>
            <w:shd w:val="clear" w:color="000000" w:fill="FFFFFF"/>
            <w:noWrap/>
            <w:vAlign w:val="center"/>
          </w:tcPr>
          <w:p w:rsidR="00376DD5" w:rsidRPr="00160468" w:rsidP="00376DD5" w14:paraId="7D28AAD6" w14:textId="0539527D">
            <w:pPr>
              <w:spacing w:line="240" w:lineRule="auto"/>
              <w:jc w:val="center"/>
              <w:rPr>
                <w:rFonts w:ascii="Arial" w:hAnsi="Arial" w:cs="Arial"/>
                <w:color w:val="000000"/>
                <w:sz w:val="18"/>
                <w:szCs w:val="18"/>
              </w:rPr>
            </w:pPr>
            <w:r>
              <w:rPr>
                <w:rFonts w:ascii="Arial" w:hAnsi="Arial" w:cs="Arial"/>
                <w:color w:val="000000"/>
                <w:sz w:val="18"/>
                <w:szCs w:val="18"/>
              </w:rPr>
              <w:t>52</w:t>
            </w:r>
          </w:p>
        </w:tc>
        <w:tc>
          <w:tcPr>
            <w:tcW w:w="960" w:type="dxa"/>
            <w:tcBorders>
              <w:top w:val="nil"/>
              <w:left w:val="nil"/>
              <w:bottom w:val="single" w:sz="8" w:space="0" w:color="auto"/>
              <w:right w:val="single" w:sz="8" w:space="0" w:color="auto"/>
            </w:tcBorders>
            <w:shd w:val="clear" w:color="000000" w:fill="FFFFFF"/>
            <w:noWrap/>
            <w:vAlign w:val="center"/>
          </w:tcPr>
          <w:p w:rsidR="00376DD5" w:rsidRPr="0092784B" w:rsidP="00376DD5" w14:paraId="1C2ED479" w14:textId="768D7D64">
            <w:pPr>
              <w:spacing w:line="240" w:lineRule="auto"/>
              <w:jc w:val="center"/>
              <w:rPr>
                <w:rFonts w:ascii="Arial" w:hAnsi="Arial" w:cs="Arial"/>
                <w:color w:val="000000"/>
                <w:sz w:val="18"/>
                <w:szCs w:val="18"/>
              </w:rPr>
            </w:pPr>
            <w:r w:rsidRPr="0092784B">
              <w:rPr>
                <w:rFonts w:ascii="Arial" w:hAnsi="Arial" w:cs="Arial"/>
                <w:color w:val="000000"/>
                <w:sz w:val="18"/>
                <w:szCs w:val="18"/>
              </w:rPr>
              <w:t>9</w:t>
            </w:r>
            <w:r w:rsidR="008E16EA">
              <w:rPr>
                <w:rFonts w:ascii="Arial" w:hAnsi="Arial" w:cs="Arial"/>
                <w:color w:val="000000"/>
                <w:sz w:val="18"/>
                <w:szCs w:val="18"/>
              </w:rPr>
              <w:t>5</w:t>
            </w:r>
          </w:p>
        </w:tc>
        <w:tc>
          <w:tcPr>
            <w:tcW w:w="1236" w:type="dxa"/>
            <w:tcBorders>
              <w:top w:val="nil"/>
              <w:left w:val="nil"/>
              <w:bottom w:val="single" w:sz="8" w:space="0" w:color="auto"/>
              <w:right w:val="single" w:sz="8" w:space="0" w:color="auto"/>
            </w:tcBorders>
            <w:shd w:val="clear" w:color="000000" w:fill="FFFFFF"/>
            <w:noWrap/>
            <w:vAlign w:val="center"/>
          </w:tcPr>
          <w:p w:rsidR="00376DD5" w:rsidRPr="00A533A1" w:rsidP="00376DD5" w14:paraId="4B99DBD5" w14:textId="6694E467">
            <w:pPr>
              <w:spacing w:line="240" w:lineRule="auto"/>
              <w:jc w:val="center"/>
              <w:rPr>
                <w:rFonts w:ascii="Arial" w:hAnsi="Arial" w:cs="Arial"/>
                <w:color w:val="000000"/>
                <w:sz w:val="18"/>
                <w:szCs w:val="18"/>
              </w:rPr>
            </w:pPr>
            <w:r w:rsidRPr="00A533A1">
              <w:rPr>
                <w:rFonts w:ascii="Arial" w:hAnsi="Arial" w:cs="Arial"/>
                <w:color w:val="000000"/>
                <w:sz w:val="18"/>
                <w:szCs w:val="18"/>
              </w:rPr>
              <w:t>1,3</w:t>
            </w:r>
            <w:r>
              <w:rPr>
                <w:rFonts w:ascii="Arial" w:hAnsi="Arial" w:cs="Arial"/>
                <w:color w:val="000000"/>
                <w:sz w:val="18"/>
                <w:szCs w:val="18"/>
              </w:rPr>
              <w:t>75</w:t>
            </w:r>
          </w:p>
        </w:tc>
      </w:tr>
      <w:tr w14:paraId="47D58407"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8E16EA" w:rsidP="008E16EA" w14:paraId="3F23B78C" w14:textId="65DDC923">
            <w:pPr>
              <w:spacing w:line="240" w:lineRule="auto"/>
              <w:jc w:val="center"/>
              <w:rPr>
                <w:rFonts w:ascii="Arial" w:hAnsi="Arial" w:cs="Arial"/>
                <w:color w:val="000000"/>
                <w:sz w:val="18"/>
                <w:szCs w:val="18"/>
              </w:rPr>
            </w:pPr>
            <w:r>
              <w:rPr>
                <w:rFonts w:ascii="Arial" w:hAnsi="Arial" w:cs="Arial"/>
                <w:color w:val="000000"/>
                <w:sz w:val="18"/>
                <w:szCs w:val="18"/>
              </w:rPr>
              <w:t>31</w:t>
            </w:r>
          </w:p>
        </w:tc>
        <w:tc>
          <w:tcPr>
            <w:tcW w:w="1007" w:type="dxa"/>
            <w:tcBorders>
              <w:top w:val="nil"/>
              <w:left w:val="nil"/>
              <w:bottom w:val="single" w:sz="8" w:space="0" w:color="auto"/>
              <w:right w:val="single" w:sz="8" w:space="0" w:color="auto"/>
            </w:tcBorders>
            <w:shd w:val="clear" w:color="000000" w:fill="FFFFFF"/>
            <w:noWrap/>
            <w:vAlign w:val="center"/>
          </w:tcPr>
          <w:p w:rsidR="008E16EA" w:rsidRPr="0092784B" w:rsidP="008E16EA" w14:paraId="58454967" w14:textId="7136FA85">
            <w:pPr>
              <w:spacing w:line="240" w:lineRule="auto"/>
              <w:jc w:val="center"/>
              <w:rPr>
                <w:rFonts w:ascii="Arial" w:hAnsi="Arial" w:cs="Arial"/>
                <w:color w:val="000000"/>
                <w:sz w:val="18"/>
                <w:szCs w:val="18"/>
              </w:rPr>
            </w:pPr>
            <w:r>
              <w:rPr>
                <w:rFonts w:ascii="Arial" w:hAnsi="Arial" w:cs="Arial"/>
                <w:color w:val="000000"/>
                <w:sz w:val="18"/>
                <w:szCs w:val="18"/>
              </w:rPr>
              <w:t>1,458</w:t>
            </w:r>
          </w:p>
        </w:tc>
        <w:tc>
          <w:tcPr>
            <w:tcW w:w="1027" w:type="dxa"/>
            <w:tcBorders>
              <w:top w:val="nil"/>
              <w:left w:val="nil"/>
              <w:bottom w:val="single" w:sz="8" w:space="0" w:color="auto"/>
              <w:right w:val="single" w:sz="8" w:space="0" w:color="auto"/>
            </w:tcBorders>
            <w:shd w:val="clear" w:color="000000" w:fill="FFFFFF"/>
            <w:noWrap/>
            <w:vAlign w:val="center"/>
          </w:tcPr>
          <w:p w:rsidR="008E16EA" w:rsidRPr="0092784B" w:rsidP="008E16EA" w14:paraId="751DE28F" w14:textId="36331CB4">
            <w:pPr>
              <w:spacing w:line="240" w:lineRule="auto"/>
              <w:jc w:val="center"/>
              <w:rPr>
                <w:rFonts w:ascii="Arial" w:hAnsi="Arial" w:cs="Arial"/>
                <w:color w:val="000000"/>
                <w:sz w:val="18"/>
                <w:szCs w:val="18"/>
              </w:rPr>
            </w:pPr>
            <w:r>
              <w:rPr>
                <w:rFonts w:ascii="Arial" w:hAnsi="Arial" w:cs="Arial"/>
                <w:color w:val="000000"/>
                <w:sz w:val="18"/>
                <w:szCs w:val="18"/>
              </w:rPr>
              <w:t>23</w:t>
            </w:r>
          </w:p>
        </w:tc>
        <w:tc>
          <w:tcPr>
            <w:tcW w:w="1077" w:type="dxa"/>
            <w:tcBorders>
              <w:top w:val="nil"/>
              <w:left w:val="nil"/>
              <w:bottom w:val="single" w:sz="8" w:space="0" w:color="auto"/>
              <w:right w:val="single" w:sz="8" w:space="0" w:color="auto"/>
            </w:tcBorders>
            <w:shd w:val="clear" w:color="000000" w:fill="FFFFFF"/>
            <w:noWrap/>
            <w:vAlign w:val="center"/>
          </w:tcPr>
          <w:p w:rsidR="008E16EA" w:rsidRPr="0092784B" w:rsidP="008E16EA" w14:paraId="1689889B" w14:textId="703268CF">
            <w:pPr>
              <w:spacing w:line="240" w:lineRule="auto"/>
              <w:jc w:val="center"/>
              <w:rPr>
                <w:rFonts w:ascii="Arial" w:hAnsi="Arial" w:cs="Arial"/>
                <w:color w:val="000000"/>
                <w:sz w:val="18"/>
                <w:szCs w:val="18"/>
              </w:rPr>
            </w:pPr>
            <w:r w:rsidRPr="0092784B">
              <w:rPr>
                <w:rFonts w:ascii="Arial" w:hAnsi="Arial" w:cs="Arial"/>
                <w:color w:val="000000"/>
                <w:sz w:val="18"/>
                <w:szCs w:val="18"/>
              </w:rPr>
              <w:t>4</w:t>
            </w:r>
            <w:r>
              <w:rPr>
                <w:rFonts w:ascii="Arial" w:hAnsi="Arial" w:cs="Arial"/>
                <w:color w:val="000000"/>
                <w:sz w:val="18"/>
                <w:szCs w:val="18"/>
              </w:rPr>
              <w:t>7</w:t>
            </w:r>
          </w:p>
        </w:tc>
        <w:tc>
          <w:tcPr>
            <w:tcW w:w="960" w:type="dxa"/>
            <w:tcBorders>
              <w:top w:val="nil"/>
              <w:left w:val="nil"/>
              <w:bottom w:val="single" w:sz="8" w:space="0" w:color="auto"/>
              <w:right w:val="single" w:sz="8" w:space="0" w:color="auto"/>
            </w:tcBorders>
            <w:shd w:val="clear" w:color="000000" w:fill="FFFFFF"/>
            <w:noWrap/>
            <w:vAlign w:val="center"/>
          </w:tcPr>
          <w:p w:rsidR="008E16EA" w:rsidRPr="00160468" w:rsidP="008E16EA" w14:paraId="354A5124" w14:textId="3B92EAA6">
            <w:pPr>
              <w:spacing w:line="240" w:lineRule="auto"/>
              <w:jc w:val="center"/>
              <w:rPr>
                <w:rFonts w:ascii="Arial" w:hAnsi="Arial" w:cs="Arial"/>
                <w:color w:val="000000"/>
                <w:sz w:val="18"/>
                <w:szCs w:val="18"/>
              </w:rPr>
            </w:pPr>
            <w:r>
              <w:rPr>
                <w:rFonts w:ascii="Arial" w:hAnsi="Arial" w:cs="Arial"/>
                <w:color w:val="000000"/>
                <w:sz w:val="18"/>
                <w:szCs w:val="18"/>
              </w:rPr>
              <w:t>49</w:t>
            </w:r>
          </w:p>
        </w:tc>
        <w:tc>
          <w:tcPr>
            <w:tcW w:w="960" w:type="dxa"/>
            <w:tcBorders>
              <w:top w:val="nil"/>
              <w:left w:val="nil"/>
              <w:bottom w:val="single" w:sz="8" w:space="0" w:color="auto"/>
              <w:right w:val="single" w:sz="8" w:space="0" w:color="auto"/>
            </w:tcBorders>
            <w:shd w:val="clear" w:color="000000" w:fill="FFFFFF"/>
            <w:noWrap/>
            <w:vAlign w:val="center"/>
          </w:tcPr>
          <w:p w:rsidR="008E16EA" w:rsidRPr="0092784B" w:rsidP="008E16EA" w14:paraId="7F1799B5" w14:textId="30CC0951">
            <w:pPr>
              <w:spacing w:line="240" w:lineRule="auto"/>
              <w:jc w:val="center"/>
              <w:rPr>
                <w:rFonts w:ascii="Arial" w:hAnsi="Arial" w:cs="Arial"/>
                <w:color w:val="000000"/>
                <w:sz w:val="18"/>
                <w:szCs w:val="18"/>
              </w:rPr>
            </w:pPr>
            <w:r>
              <w:rPr>
                <w:rFonts w:ascii="Arial" w:hAnsi="Arial" w:cs="Arial"/>
                <w:color w:val="000000"/>
                <w:sz w:val="18"/>
                <w:szCs w:val="18"/>
              </w:rPr>
              <w:t>71</w:t>
            </w:r>
          </w:p>
        </w:tc>
        <w:tc>
          <w:tcPr>
            <w:tcW w:w="1236" w:type="dxa"/>
            <w:tcBorders>
              <w:top w:val="nil"/>
              <w:left w:val="nil"/>
              <w:bottom w:val="single" w:sz="8" w:space="0" w:color="auto"/>
              <w:right w:val="single" w:sz="8" w:space="0" w:color="auto"/>
            </w:tcBorders>
            <w:shd w:val="clear" w:color="000000" w:fill="FFFFFF"/>
            <w:noWrap/>
            <w:vAlign w:val="center"/>
          </w:tcPr>
          <w:p w:rsidR="008E16EA" w:rsidRPr="00A533A1" w:rsidP="008E16EA" w14:paraId="4770A778" w14:textId="2D46F349">
            <w:pPr>
              <w:spacing w:line="240" w:lineRule="auto"/>
              <w:jc w:val="center"/>
              <w:rPr>
                <w:rFonts w:ascii="Arial" w:hAnsi="Arial" w:cs="Arial"/>
                <w:color w:val="000000"/>
                <w:sz w:val="18"/>
                <w:szCs w:val="18"/>
              </w:rPr>
            </w:pPr>
            <w:r w:rsidRPr="00A533A1">
              <w:rPr>
                <w:rFonts w:ascii="Arial" w:hAnsi="Arial" w:cs="Arial"/>
                <w:color w:val="000000"/>
                <w:sz w:val="18"/>
                <w:szCs w:val="18"/>
              </w:rPr>
              <w:t>1,</w:t>
            </w:r>
            <w:r>
              <w:rPr>
                <w:rFonts w:ascii="Arial" w:hAnsi="Arial" w:cs="Arial"/>
                <w:color w:val="000000"/>
                <w:sz w:val="18"/>
                <w:szCs w:val="18"/>
              </w:rPr>
              <w:t>268</w:t>
            </w:r>
          </w:p>
        </w:tc>
      </w:tr>
      <w:tr w14:paraId="57F9F4BA"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8E16EA" w:rsidP="008E16EA" w14:paraId="68B04887" w14:textId="54EE4728">
            <w:pPr>
              <w:spacing w:line="240" w:lineRule="auto"/>
              <w:jc w:val="center"/>
              <w:rPr>
                <w:rFonts w:ascii="Arial" w:hAnsi="Arial" w:cs="Arial"/>
                <w:color w:val="000000"/>
                <w:sz w:val="18"/>
                <w:szCs w:val="18"/>
              </w:rPr>
            </w:pPr>
            <w:r>
              <w:rPr>
                <w:rFonts w:ascii="Arial" w:hAnsi="Arial" w:cs="Arial"/>
                <w:color w:val="000000"/>
                <w:sz w:val="18"/>
                <w:szCs w:val="18"/>
              </w:rPr>
              <w:t>32</w:t>
            </w:r>
          </w:p>
        </w:tc>
        <w:tc>
          <w:tcPr>
            <w:tcW w:w="1007" w:type="dxa"/>
            <w:tcBorders>
              <w:top w:val="nil"/>
              <w:left w:val="nil"/>
              <w:bottom w:val="single" w:sz="8" w:space="0" w:color="auto"/>
              <w:right w:val="single" w:sz="8" w:space="0" w:color="auto"/>
            </w:tcBorders>
            <w:shd w:val="clear" w:color="000000" w:fill="FFFFFF"/>
            <w:noWrap/>
            <w:vAlign w:val="center"/>
          </w:tcPr>
          <w:p w:rsidR="008E16EA" w:rsidRPr="0092784B" w:rsidP="008E16EA" w14:paraId="4DDB49B2" w14:textId="14470C13">
            <w:pPr>
              <w:spacing w:line="240" w:lineRule="auto"/>
              <w:jc w:val="center"/>
              <w:rPr>
                <w:rFonts w:ascii="Arial" w:hAnsi="Arial" w:cs="Arial"/>
                <w:color w:val="000000"/>
                <w:sz w:val="18"/>
                <w:szCs w:val="18"/>
              </w:rPr>
            </w:pPr>
            <w:r>
              <w:rPr>
                <w:rFonts w:ascii="Arial" w:hAnsi="Arial" w:cs="Arial"/>
                <w:color w:val="000000"/>
                <w:sz w:val="18"/>
                <w:szCs w:val="18"/>
              </w:rPr>
              <w:t>1,415</w:t>
            </w:r>
          </w:p>
        </w:tc>
        <w:tc>
          <w:tcPr>
            <w:tcW w:w="1027" w:type="dxa"/>
            <w:tcBorders>
              <w:top w:val="nil"/>
              <w:left w:val="nil"/>
              <w:bottom w:val="single" w:sz="8" w:space="0" w:color="auto"/>
              <w:right w:val="single" w:sz="8" w:space="0" w:color="auto"/>
            </w:tcBorders>
            <w:shd w:val="clear" w:color="000000" w:fill="FFFFFF"/>
            <w:noWrap/>
            <w:vAlign w:val="center"/>
          </w:tcPr>
          <w:p w:rsidR="008E16EA" w:rsidRPr="0092784B" w:rsidP="008E16EA" w14:paraId="70A705A8" w14:textId="0DB262DF">
            <w:pPr>
              <w:spacing w:line="240" w:lineRule="auto"/>
              <w:jc w:val="center"/>
              <w:rPr>
                <w:rFonts w:ascii="Arial" w:hAnsi="Arial" w:cs="Arial"/>
                <w:color w:val="000000"/>
                <w:sz w:val="18"/>
                <w:szCs w:val="18"/>
              </w:rPr>
            </w:pPr>
            <w:r w:rsidRPr="0092784B">
              <w:rPr>
                <w:rFonts w:ascii="Arial" w:hAnsi="Arial" w:cs="Arial"/>
                <w:color w:val="000000"/>
                <w:sz w:val="18"/>
                <w:szCs w:val="18"/>
              </w:rPr>
              <w:t>1</w:t>
            </w:r>
            <w:r>
              <w:rPr>
                <w:rFonts w:ascii="Arial" w:hAnsi="Arial" w:cs="Arial"/>
                <w:color w:val="000000"/>
                <w:sz w:val="18"/>
                <w:szCs w:val="18"/>
              </w:rPr>
              <w:t>6</w:t>
            </w:r>
          </w:p>
        </w:tc>
        <w:tc>
          <w:tcPr>
            <w:tcW w:w="1077" w:type="dxa"/>
            <w:tcBorders>
              <w:top w:val="nil"/>
              <w:left w:val="nil"/>
              <w:bottom w:val="single" w:sz="8" w:space="0" w:color="auto"/>
              <w:right w:val="single" w:sz="8" w:space="0" w:color="auto"/>
            </w:tcBorders>
            <w:shd w:val="clear" w:color="000000" w:fill="FFFFFF"/>
            <w:noWrap/>
            <w:vAlign w:val="center"/>
          </w:tcPr>
          <w:p w:rsidR="008E16EA" w:rsidRPr="0092784B" w:rsidP="008E16EA" w14:paraId="5290EF9F" w14:textId="68B53FDA">
            <w:pPr>
              <w:spacing w:line="240" w:lineRule="auto"/>
              <w:jc w:val="center"/>
              <w:rPr>
                <w:rFonts w:ascii="Arial" w:hAnsi="Arial" w:cs="Arial"/>
                <w:color w:val="000000"/>
                <w:sz w:val="18"/>
                <w:szCs w:val="18"/>
              </w:rPr>
            </w:pPr>
            <w:r w:rsidRPr="0092784B">
              <w:rPr>
                <w:rFonts w:ascii="Arial" w:hAnsi="Arial" w:cs="Arial"/>
                <w:color w:val="000000"/>
                <w:sz w:val="18"/>
                <w:szCs w:val="18"/>
              </w:rPr>
              <w:t>4</w:t>
            </w: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000000" w:fill="FFFFFF"/>
            <w:noWrap/>
            <w:vAlign w:val="center"/>
          </w:tcPr>
          <w:p w:rsidR="008E16EA" w:rsidRPr="00160468" w:rsidP="008E16EA" w14:paraId="1D458EB1" w14:textId="7D735017">
            <w:pPr>
              <w:spacing w:line="240" w:lineRule="auto"/>
              <w:jc w:val="center"/>
              <w:rPr>
                <w:rFonts w:ascii="Arial" w:hAnsi="Arial" w:cs="Arial"/>
                <w:color w:val="000000"/>
                <w:sz w:val="18"/>
                <w:szCs w:val="18"/>
              </w:rPr>
            </w:pPr>
            <w:r>
              <w:rPr>
                <w:rFonts w:ascii="Arial" w:hAnsi="Arial" w:cs="Arial"/>
                <w:color w:val="000000"/>
                <w:sz w:val="18"/>
                <w:szCs w:val="18"/>
              </w:rPr>
              <w:t>58</w:t>
            </w:r>
          </w:p>
        </w:tc>
        <w:tc>
          <w:tcPr>
            <w:tcW w:w="960" w:type="dxa"/>
            <w:tcBorders>
              <w:top w:val="nil"/>
              <w:left w:val="nil"/>
              <w:bottom w:val="single" w:sz="8" w:space="0" w:color="auto"/>
              <w:right w:val="single" w:sz="8" w:space="0" w:color="auto"/>
            </w:tcBorders>
            <w:shd w:val="clear" w:color="000000" w:fill="FFFFFF"/>
            <w:noWrap/>
            <w:vAlign w:val="center"/>
          </w:tcPr>
          <w:p w:rsidR="008E16EA" w:rsidRPr="0092784B" w:rsidP="008E16EA" w14:paraId="107FCD4F" w14:textId="47CECDC9">
            <w:pPr>
              <w:spacing w:line="240" w:lineRule="auto"/>
              <w:jc w:val="center"/>
              <w:rPr>
                <w:rFonts w:ascii="Arial" w:hAnsi="Arial" w:cs="Arial"/>
                <w:color w:val="000000"/>
                <w:sz w:val="18"/>
                <w:szCs w:val="18"/>
              </w:rPr>
            </w:pPr>
            <w:r>
              <w:rPr>
                <w:rFonts w:ascii="Arial" w:hAnsi="Arial" w:cs="Arial"/>
                <w:color w:val="000000"/>
                <w:sz w:val="18"/>
                <w:szCs w:val="18"/>
              </w:rPr>
              <w:t>73</w:t>
            </w:r>
          </w:p>
        </w:tc>
        <w:tc>
          <w:tcPr>
            <w:tcW w:w="1236" w:type="dxa"/>
            <w:tcBorders>
              <w:top w:val="nil"/>
              <w:left w:val="nil"/>
              <w:bottom w:val="single" w:sz="8" w:space="0" w:color="auto"/>
              <w:right w:val="single" w:sz="8" w:space="0" w:color="auto"/>
            </w:tcBorders>
            <w:shd w:val="clear" w:color="000000" w:fill="FFFFFF"/>
            <w:noWrap/>
            <w:vAlign w:val="center"/>
          </w:tcPr>
          <w:p w:rsidR="008E16EA" w:rsidRPr="00A533A1" w:rsidP="008E16EA" w14:paraId="11F3FB3C" w14:textId="64CDEC1A">
            <w:pPr>
              <w:spacing w:line="240" w:lineRule="auto"/>
              <w:jc w:val="center"/>
              <w:rPr>
                <w:rFonts w:ascii="Arial" w:hAnsi="Arial" w:cs="Arial"/>
                <w:color w:val="000000"/>
                <w:sz w:val="18"/>
                <w:szCs w:val="18"/>
              </w:rPr>
            </w:pPr>
            <w:r w:rsidRPr="00A533A1">
              <w:rPr>
                <w:rFonts w:ascii="Arial" w:hAnsi="Arial" w:cs="Arial"/>
                <w:color w:val="000000"/>
                <w:sz w:val="18"/>
                <w:szCs w:val="18"/>
              </w:rPr>
              <w:t>1,</w:t>
            </w:r>
            <w:r>
              <w:rPr>
                <w:rFonts w:ascii="Arial" w:hAnsi="Arial" w:cs="Arial"/>
                <w:color w:val="000000"/>
                <w:sz w:val="18"/>
                <w:szCs w:val="18"/>
              </w:rPr>
              <w:t>228</w:t>
            </w:r>
          </w:p>
        </w:tc>
      </w:tr>
      <w:tr w14:paraId="2D268ECB" w14:textId="77777777" w:rsidTr="00363F6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8E16EA" w:rsidP="008E16EA" w14:paraId="04D2EF42" w14:textId="4EEBEC0A">
            <w:pPr>
              <w:spacing w:line="240" w:lineRule="auto"/>
              <w:jc w:val="center"/>
              <w:rPr>
                <w:rFonts w:ascii="Arial" w:hAnsi="Arial" w:cs="Arial"/>
                <w:color w:val="000000"/>
                <w:sz w:val="18"/>
                <w:szCs w:val="18"/>
              </w:rPr>
            </w:pPr>
            <w:r>
              <w:rPr>
                <w:rFonts w:ascii="Arial" w:hAnsi="Arial" w:cs="Arial"/>
                <w:color w:val="000000"/>
                <w:sz w:val="18"/>
                <w:szCs w:val="18"/>
              </w:rPr>
              <w:t>33</w:t>
            </w:r>
          </w:p>
        </w:tc>
        <w:tc>
          <w:tcPr>
            <w:tcW w:w="1007" w:type="dxa"/>
            <w:tcBorders>
              <w:top w:val="nil"/>
              <w:left w:val="nil"/>
              <w:bottom w:val="single" w:sz="8" w:space="0" w:color="auto"/>
              <w:right w:val="single" w:sz="8" w:space="0" w:color="auto"/>
            </w:tcBorders>
            <w:shd w:val="clear" w:color="000000" w:fill="FFFFFF"/>
            <w:noWrap/>
            <w:vAlign w:val="center"/>
          </w:tcPr>
          <w:p w:rsidR="008E16EA" w:rsidRPr="0092784B" w:rsidP="008E16EA" w14:paraId="2B3174A5" w14:textId="6C922D54">
            <w:pPr>
              <w:spacing w:line="240" w:lineRule="auto"/>
              <w:jc w:val="center"/>
              <w:rPr>
                <w:rFonts w:ascii="Arial" w:hAnsi="Arial" w:cs="Arial"/>
                <w:color w:val="000000"/>
                <w:sz w:val="18"/>
                <w:szCs w:val="18"/>
              </w:rPr>
            </w:pPr>
            <w:r w:rsidRPr="0092784B">
              <w:rPr>
                <w:rFonts w:ascii="Arial" w:hAnsi="Arial" w:cs="Arial"/>
                <w:color w:val="000000"/>
                <w:sz w:val="18"/>
                <w:szCs w:val="18"/>
              </w:rPr>
              <w:t>1,</w:t>
            </w:r>
            <w:r>
              <w:rPr>
                <w:rFonts w:ascii="Arial" w:hAnsi="Arial" w:cs="Arial"/>
                <w:color w:val="000000"/>
                <w:sz w:val="18"/>
                <w:szCs w:val="18"/>
              </w:rPr>
              <w:t>482</w:t>
            </w:r>
          </w:p>
        </w:tc>
        <w:tc>
          <w:tcPr>
            <w:tcW w:w="1027" w:type="dxa"/>
            <w:tcBorders>
              <w:top w:val="nil"/>
              <w:left w:val="nil"/>
              <w:bottom w:val="single" w:sz="8" w:space="0" w:color="auto"/>
              <w:right w:val="single" w:sz="8" w:space="0" w:color="auto"/>
            </w:tcBorders>
            <w:shd w:val="clear" w:color="000000" w:fill="FFFFFF"/>
            <w:noWrap/>
            <w:vAlign w:val="center"/>
          </w:tcPr>
          <w:p w:rsidR="008E16EA" w:rsidRPr="0092784B" w:rsidP="008E16EA" w14:paraId="2354A43A" w14:textId="64222C10">
            <w:pPr>
              <w:spacing w:line="240" w:lineRule="auto"/>
              <w:jc w:val="center"/>
              <w:rPr>
                <w:rFonts w:ascii="Arial" w:hAnsi="Arial" w:cs="Arial"/>
                <w:color w:val="000000"/>
                <w:sz w:val="18"/>
                <w:szCs w:val="18"/>
              </w:rPr>
            </w:pPr>
            <w:r w:rsidRPr="0092784B">
              <w:rPr>
                <w:rFonts w:ascii="Arial" w:hAnsi="Arial" w:cs="Arial"/>
                <w:color w:val="000000"/>
                <w:sz w:val="18"/>
                <w:szCs w:val="18"/>
              </w:rPr>
              <w:t>1</w:t>
            </w:r>
            <w:r>
              <w:rPr>
                <w:rFonts w:ascii="Arial" w:hAnsi="Arial" w:cs="Arial"/>
                <w:color w:val="000000"/>
                <w:sz w:val="18"/>
                <w:szCs w:val="18"/>
              </w:rPr>
              <w:t>6</w:t>
            </w:r>
          </w:p>
        </w:tc>
        <w:tc>
          <w:tcPr>
            <w:tcW w:w="1077" w:type="dxa"/>
            <w:tcBorders>
              <w:top w:val="nil"/>
              <w:left w:val="nil"/>
              <w:bottom w:val="single" w:sz="8" w:space="0" w:color="auto"/>
              <w:right w:val="single" w:sz="8" w:space="0" w:color="auto"/>
            </w:tcBorders>
            <w:shd w:val="clear" w:color="000000" w:fill="FFFFFF"/>
            <w:noWrap/>
            <w:vAlign w:val="center"/>
          </w:tcPr>
          <w:p w:rsidR="008E16EA" w:rsidRPr="0092784B" w:rsidP="008E16EA" w14:paraId="012D0716" w14:textId="329018D9">
            <w:pPr>
              <w:spacing w:line="240" w:lineRule="auto"/>
              <w:jc w:val="center"/>
              <w:rPr>
                <w:rFonts w:ascii="Arial" w:hAnsi="Arial" w:cs="Arial"/>
                <w:color w:val="000000"/>
                <w:sz w:val="18"/>
                <w:szCs w:val="18"/>
              </w:rPr>
            </w:pPr>
            <w:r>
              <w:rPr>
                <w:rFonts w:ascii="Arial" w:hAnsi="Arial" w:cs="Arial"/>
                <w:color w:val="000000"/>
                <w:sz w:val="18"/>
                <w:szCs w:val="18"/>
              </w:rPr>
              <w:t>58</w:t>
            </w:r>
          </w:p>
        </w:tc>
        <w:tc>
          <w:tcPr>
            <w:tcW w:w="960" w:type="dxa"/>
            <w:tcBorders>
              <w:top w:val="nil"/>
              <w:left w:val="nil"/>
              <w:bottom w:val="single" w:sz="8" w:space="0" w:color="auto"/>
              <w:right w:val="single" w:sz="8" w:space="0" w:color="auto"/>
            </w:tcBorders>
            <w:shd w:val="clear" w:color="000000" w:fill="FFFFFF"/>
            <w:noWrap/>
            <w:vAlign w:val="center"/>
          </w:tcPr>
          <w:p w:rsidR="008E16EA" w:rsidRPr="00160468" w:rsidP="008E16EA" w14:paraId="37758B71" w14:textId="36A1AFB2">
            <w:pPr>
              <w:spacing w:line="240" w:lineRule="auto"/>
              <w:jc w:val="center"/>
              <w:rPr>
                <w:rFonts w:ascii="Arial" w:hAnsi="Arial" w:cs="Arial"/>
                <w:color w:val="000000"/>
                <w:sz w:val="18"/>
                <w:szCs w:val="18"/>
              </w:rPr>
            </w:pPr>
            <w:r>
              <w:rPr>
                <w:rFonts w:ascii="Arial" w:hAnsi="Arial" w:cs="Arial"/>
                <w:color w:val="000000"/>
                <w:sz w:val="18"/>
                <w:szCs w:val="18"/>
              </w:rPr>
              <w:t>39</w:t>
            </w:r>
          </w:p>
        </w:tc>
        <w:tc>
          <w:tcPr>
            <w:tcW w:w="960" w:type="dxa"/>
            <w:tcBorders>
              <w:top w:val="nil"/>
              <w:left w:val="nil"/>
              <w:bottom w:val="single" w:sz="8" w:space="0" w:color="auto"/>
              <w:right w:val="single" w:sz="8" w:space="0" w:color="auto"/>
            </w:tcBorders>
            <w:shd w:val="clear" w:color="000000" w:fill="FFFFFF"/>
            <w:noWrap/>
            <w:vAlign w:val="center"/>
          </w:tcPr>
          <w:p w:rsidR="008E16EA" w:rsidRPr="0092784B" w:rsidP="008E16EA" w14:paraId="33734D96" w14:textId="6C76D684">
            <w:pPr>
              <w:spacing w:line="240" w:lineRule="auto"/>
              <w:jc w:val="center"/>
              <w:rPr>
                <w:rFonts w:ascii="Arial" w:hAnsi="Arial" w:cs="Arial"/>
                <w:color w:val="000000"/>
                <w:sz w:val="18"/>
                <w:szCs w:val="18"/>
              </w:rPr>
            </w:pPr>
            <w:r>
              <w:rPr>
                <w:rFonts w:ascii="Arial" w:hAnsi="Arial" w:cs="Arial"/>
                <w:color w:val="000000"/>
                <w:sz w:val="18"/>
                <w:szCs w:val="18"/>
              </w:rPr>
              <w:t>61</w:t>
            </w:r>
          </w:p>
        </w:tc>
        <w:tc>
          <w:tcPr>
            <w:tcW w:w="1236" w:type="dxa"/>
            <w:tcBorders>
              <w:top w:val="nil"/>
              <w:left w:val="nil"/>
              <w:bottom w:val="single" w:sz="8" w:space="0" w:color="auto"/>
              <w:right w:val="single" w:sz="8" w:space="0" w:color="auto"/>
            </w:tcBorders>
            <w:shd w:val="clear" w:color="000000" w:fill="FFFFFF"/>
            <w:noWrap/>
            <w:vAlign w:val="center"/>
          </w:tcPr>
          <w:p w:rsidR="008E16EA" w:rsidRPr="00A533A1" w:rsidP="008E16EA" w14:paraId="69744922" w14:textId="13272ABB">
            <w:pPr>
              <w:spacing w:line="240" w:lineRule="auto"/>
              <w:jc w:val="center"/>
              <w:rPr>
                <w:rFonts w:ascii="Arial" w:hAnsi="Arial" w:cs="Arial"/>
                <w:color w:val="000000"/>
                <w:sz w:val="18"/>
                <w:szCs w:val="18"/>
              </w:rPr>
            </w:pPr>
            <w:r w:rsidRPr="00A533A1">
              <w:rPr>
                <w:rFonts w:ascii="Arial" w:hAnsi="Arial" w:cs="Arial"/>
                <w:color w:val="000000"/>
                <w:sz w:val="18"/>
                <w:szCs w:val="18"/>
              </w:rPr>
              <w:t>1,3</w:t>
            </w:r>
            <w:r>
              <w:rPr>
                <w:rFonts w:ascii="Arial" w:hAnsi="Arial" w:cs="Arial"/>
                <w:color w:val="000000"/>
                <w:sz w:val="18"/>
                <w:szCs w:val="18"/>
              </w:rPr>
              <w:t>0</w:t>
            </w:r>
            <w:r w:rsidR="00C918CC">
              <w:rPr>
                <w:rFonts w:ascii="Arial" w:hAnsi="Arial" w:cs="Arial"/>
                <w:color w:val="000000"/>
                <w:sz w:val="18"/>
                <w:szCs w:val="18"/>
              </w:rPr>
              <w:t>8</w:t>
            </w:r>
          </w:p>
        </w:tc>
      </w:tr>
      <w:tr w14:paraId="3AB467ED" w14:textId="77777777" w:rsidTr="00376DD5">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tcPr>
          <w:p w:rsidR="008E16EA" w:rsidRPr="0092784B" w:rsidP="008E16EA" w14:paraId="3C96064D" w14:textId="472F09B5">
            <w:pPr>
              <w:spacing w:line="240" w:lineRule="auto"/>
              <w:jc w:val="center"/>
              <w:rPr>
                <w:rFonts w:ascii="Arial" w:hAnsi="Arial" w:cs="Arial"/>
                <w:color w:val="000000"/>
                <w:sz w:val="18"/>
                <w:szCs w:val="18"/>
              </w:rPr>
            </w:pPr>
            <w:r>
              <w:rPr>
                <w:rFonts w:ascii="Arial" w:hAnsi="Arial" w:cs="Arial"/>
                <w:color w:val="000000"/>
                <w:sz w:val="18"/>
                <w:szCs w:val="18"/>
              </w:rPr>
              <w:t>34</w:t>
            </w:r>
          </w:p>
        </w:tc>
        <w:tc>
          <w:tcPr>
            <w:tcW w:w="1007" w:type="dxa"/>
            <w:tcBorders>
              <w:top w:val="nil"/>
              <w:left w:val="nil"/>
              <w:bottom w:val="single" w:sz="8" w:space="0" w:color="auto"/>
              <w:right w:val="single" w:sz="8" w:space="0" w:color="auto"/>
            </w:tcBorders>
            <w:shd w:val="clear" w:color="000000" w:fill="FFFFFF"/>
            <w:noWrap/>
            <w:vAlign w:val="center"/>
          </w:tcPr>
          <w:p w:rsidR="008E16EA" w:rsidRPr="0092784B" w:rsidP="008E16EA" w14:paraId="627C927C" w14:textId="3F0F5F88">
            <w:pPr>
              <w:spacing w:line="240" w:lineRule="auto"/>
              <w:jc w:val="center"/>
              <w:rPr>
                <w:rFonts w:ascii="Arial" w:hAnsi="Arial" w:cs="Arial"/>
                <w:color w:val="000000"/>
                <w:sz w:val="18"/>
                <w:szCs w:val="18"/>
              </w:rPr>
            </w:pPr>
            <w:r w:rsidRPr="0092784B">
              <w:rPr>
                <w:rFonts w:ascii="Arial" w:hAnsi="Arial" w:cs="Arial"/>
                <w:color w:val="000000"/>
                <w:sz w:val="18"/>
                <w:szCs w:val="18"/>
              </w:rPr>
              <w:t>1,</w:t>
            </w:r>
            <w:r>
              <w:rPr>
                <w:rFonts w:ascii="Arial" w:hAnsi="Arial" w:cs="Arial"/>
                <w:color w:val="000000"/>
                <w:sz w:val="18"/>
                <w:szCs w:val="18"/>
              </w:rPr>
              <w:t>253</w:t>
            </w:r>
          </w:p>
        </w:tc>
        <w:tc>
          <w:tcPr>
            <w:tcW w:w="1027" w:type="dxa"/>
            <w:tcBorders>
              <w:top w:val="nil"/>
              <w:left w:val="nil"/>
              <w:bottom w:val="single" w:sz="8" w:space="0" w:color="auto"/>
              <w:right w:val="single" w:sz="8" w:space="0" w:color="auto"/>
            </w:tcBorders>
            <w:shd w:val="clear" w:color="000000" w:fill="FFFFFF"/>
            <w:noWrap/>
            <w:vAlign w:val="center"/>
          </w:tcPr>
          <w:p w:rsidR="008E16EA" w:rsidRPr="0092784B" w:rsidP="008E16EA" w14:paraId="600C8912" w14:textId="45E16FC8">
            <w:pPr>
              <w:spacing w:line="240" w:lineRule="auto"/>
              <w:jc w:val="center"/>
              <w:rPr>
                <w:rFonts w:ascii="Arial" w:hAnsi="Arial" w:cs="Arial"/>
                <w:color w:val="000000"/>
                <w:sz w:val="18"/>
                <w:szCs w:val="18"/>
              </w:rPr>
            </w:pPr>
            <w:r>
              <w:rPr>
                <w:rFonts w:ascii="Arial" w:hAnsi="Arial" w:cs="Arial"/>
                <w:color w:val="000000"/>
                <w:sz w:val="18"/>
                <w:szCs w:val="18"/>
              </w:rPr>
              <w:t>28</w:t>
            </w:r>
          </w:p>
        </w:tc>
        <w:tc>
          <w:tcPr>
            <w:tcW w:w="1077" w:type="dxa"/>
            <w:tcBorders>
              <w:top w:val="nil"/>
              <w:left w:val="nil"/>
              <w:bottom w:val="single" w:sz="8" w:space="0" w:color="auto"/>
              <w:right w:val="single" w:sz="8" w:space="0" w:color="auto"/>
            </w:tcBorders>
            <w:shd w:val="clear" w:color="000000" w:fill="FFFFFF"/>
            <w:noWrap/>
            <w:vAlign w:val="center"/>
          </w:tcPr>
          <w:p w:rsidR="008E16EA" w:rsidRPr="0092784B" w:rsidP="008E16EA" w14:paraId="5BF35233" w14:textId="78B376FF">
            <w:pPr>
              <w:spacing w:line="240" w:lineRule="auto"/>
              <w:jc w:val="center"/>
              <w:rPr>
                <w:rFonts w:ascii="Arial" w:hAnsi="Arial" w:cs="Arial"/>
                <w:color w:val="000000"/>
                <w:sz w:val="18"/>
                <w:szCs w:val="18"/>
              </w:rPr>
            </w:pPr>
            <w:r>
              <w:rPr>
                <w:rFonts w:ascii="Arial" w:hAnsi="Arial" w:cs="Arial"/>
                <w:color w:val="000000"/>
                <w:sz w:val="18"/>
                <w:szCs w:val="18"/>
              </w:rPr>
              <w:t>38</w:t>
            </w:r>
          </w:p>
        </w:tc>
        <w:tc>
          <w:tcPr>
            <w:tcW w:w="960" w:type="dxa"/>
            <w:tcBorders>
              <w:top w:val="nil"/>
              <w:left w:val="nil"/>
              <w:bottom w:val="single" w:sz="8" w:space="0" w:color="auto"/>
              <w:right w:val="single" w:sz="8" w:space="0" w:color="auto"/>
            </w:tcBorders>
            <w:shd w:val="clear" w:color="000000" w:fill="FFFFFF"/>
            <w:noWrap/>
            <w:vAlign w:val="center"/>
          </w:tcPr>
          <w:p w:rsidR="008E16EA" w:rsidRPr="00160468" w:rsidP="008E16EA" w14:paraId="20A5667D" w14:textId="316F9B6A">
            <w:pPr>
              <w:spacing w:line="240" w:lineRule="auto"/>
              <w:jc w:val="center"/>
              <w:rPr>
                <w:rFonts w:ascii="Arial" w:hAnsi="Arial" w:cs="Arial"/>
                <w:color w:val="000000"/>
                <w:sz w:val="18"/>
                <w:szCs w:val="18"/>
              </w:rPr>
            </w:pPr>
            <w:r>
              <w:rPr>
                <w:rFonts w:ascii="Arial" w:hAnsi="Arial" w:cs="Arial"/>
                <w:color w:val="000000"/>
                <w:sz w:val="18"/>
                <w:szCs w:val="18"/>
              </w:rPr>
              <w:t>23</w:t>
            </w:r>
          </w:p>
        </w:tc>
        <w:tc>
          <w:tcPr>
            <w:tcW w:w="960" w:type="dxa"/>
            <w:tcBorders>
              <w:top w:val="nil"/>
              <w:left w:val="nil"/>
              <w:bottom w:val="single" w:sz="8" w:space="0" w:color="auto"/>
              <w:right w:val="single" w:sz="8" w:space="0" w:color="auto"/>
            </w:tcBorders>
            <w:shd w:val="clear" w:color="000000" w:fill="FFFFFF"/>
            <w:noWrap/>
            <w:vAlign w:val="center"/>
          </w:tcPr>
          <w:p w:rsidR="008E16EA" w:rsidRPr="0092784B" w:rsidP="008E16EA" w14:paraId="04599BD6" w14:textId="330D39BB">
            <w:pPr>
              <w:spacing w:line="240" w:lineRule="auto"/>
              <w:jc w:val="center"/>
              <w:rPr>
                <w:rFonts w:ascii="Arial" w:hAnsi="Arial" w:cs="Arial"/>
                <w:color w:val="000000"/>
                <w:sz w:val="18"/>
                <w:szCs w:val="18"/>
              </w:rPr>
            </w:pPr>
            <w:r>
              <w:rPr>
                <w:rFonts w:ascii="Arial" w:hAnsi="Arial" w:cs="Arial"/>
                <w:color w:val="000000"/>
                <w:sz w:val="18"/>
                <w:szCs w:val="18"/>
              </w:rPr>
              <w:t>68</w:t>
            </w:r>
          </w:p>
        </w:tc>
        <w:tc>
          <w:tcPr>
            <w:tcW w:w="1236" w:type="dxa"/>
            <w:tcBorders>
              <w:top w:val="nil"/>
              <w:left w:val="nil"/>
              <w:bottom w:val="single" w:sz="8" w:space="0" w:color="auto"/>
              <w:right w:val="single" w:sz="8" w:space="0" w:color="auto"/>
            </w:tcBorders>
            <w:shd w:val="clear" w:color="000000" w:fill="FFFFFF"/>
            <w:noWrap/>
            <w:vAlign w:val="center"/>
          </w:tcPr>
          <w:p w:rsidR="008E16EA" w:rsidRPr="00A533A1" w:rsidP="008E16EA" w14:paraId="7CBC0CB9" w14:textId="3E13FDBE">
            <w:pPr>
              <w:spacing w:line="240" w:lineRule="auto"/>
              <w:jc w:val="center"/>
              <w:rPr>
                <w:rFonts w:ascii="Arial" w:hAnsi="Arial" w:cs="Arial"/>
                <w:color w:val="000000"/>
                <w:sz w:val="18"/>
                <w:szCs w:val="18"/>
              </w:rPr>
            </w:pPr>
            <w:r w:rsidRPr="00A533A1">
              <w:rPr>
                <w:rFonts w:ascii="Arial" w:hAnsi="Arial" w:cs="Arial"/>
                <w:color w:val="000000"/>
                <w:sz w:val="18"/>
                <w:szCs w:val="18"/>
              </w:rPr>
              <w:t>1,</w:t>
            </w:r>
            <w:r>
              <w:rPr>
                <w:rFonts w:ascii="Arial" w:hAnsi="Arial" w:cs="Arial"/>
                <w:color w:val="000000"/>
                <w:sz w:val="18"/>
                <w:szCs w:val="18"/>
              </w:rPr>
              <w:t>096</w:t>
            </w:r>
          </w:p>
        </w:tc>
      </w:tr>
    </w:tbl>
    <w:p w:rsidR="00867F27" w:rsidP="00997539" w14:paraId="44DD2102" w14:textId="5F15C3EF">
      <w:pPr>
        <w:spacing w:line="240" w:lineRule="auto"/>
        <w:rPr>
          <w:color w:val="212121"/>
        </w:rPr>
      </w:pPr>
    </w:p>
    <w:p w:rsidR="00997539" w:rsidP="00997539" w14:paraId="610AA33B" w14:textId="7024EE7D">
      <w:pPr>
        <w:spacing w:line="240" w:lineRule="auto"/>
        <w:rPr>
          <w:color w:val="212121"/>
        </w:rPr>
      </w:pPr>
    </w:p>
    <w:p w:rsidR="00997539" w:rsidP="00997539" w14:paraId="53DE2C5E" w14:textId="3F1D591D">
      <w:pPr>
        <w:spacing w:line="240" w:lineRule="auto"/>
        <w:rPr>
          <w:color w:val="212121"/>
        </w:rPr>
      </w:pPr>
    </w:p>
    <w:p w:rsidR="00F041F1" w:rsidP="00997539" w14:paraId="63F08D24" w14:textId="77777777">
      <w:pPr>
        <w:spacing w:line="240" w:lineRule="auto"/>
        <w:rPr>
          <w:color w:val="212121"/>
        </w:rPr>
      </w:pPr>
    </w:p>
    <w:p w:rsidR="00997539" w:rsidP="00997539" w14:paraId="27CF55AB" w14:textId="77777777">
      <w:pPr>
        <w:spacing w:line="240" w:lineRule="auto"/>
        <w:rPr>
          <w:color w:val="212121"/>
        </w:rPr>
      </w:pPr>
    </w:p>
    <w:tbl>
      <w:tblPr>
        <w:tblW w:w="7227" w:type="dxa"/>
        <w:tblLook w:val="04A0"/>
      </w:tblPr>
      <w:tblGrid>
        <w:gridCol w:w="960"/>
        <w:gridCol w:w="1007"/>
        <w:gridCol w:w="1027"/>
        <w:gridCol w:w="1077"/>
        <w:gridCol w:w="960"/>
        <w:gridCol w:w="960"/>
        <w:gridCol w:w="1236"/>
      </w:tblGrid>
      <w:tr w14:paraId="52BA782B" w14:textId="77777777" w:rsidTr="008E16EA">
        <w:tblPrEx>
          <w:tblW w:w="7227" w:type="dxa"/>
          <w:tblLook w:val="04A0"/>
        </w:tblPrEx>
        <w:trPr>
          <w:trHeight w:hRule="exact" w:val="302"/>
        </w:trPr>
        <w:tc>
          <w:tcPr>
            <w:tcW w:w="7227"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8E16EA" w:rsidRPr="0092784B" w:rsidP="00997539" w14:paraId="4AAEACA8" w14:textId="77777777">
            <w:pPr>
              <w:spacing w:line="240" w:lineRule="auto"/>
              <w:jc w:val="center"/>
              <w:rPr>
                <w:rFonts w:ascii="Arial" w:hAnsi="Arial" w:cs="Arial"/>
                <w:b/>
                <w:bCs/>
                <w:color w:val="1F497D"/>
              </w:rPr>
            </w:pPr>
            <w:r w:rsidRPr="0092784B">
              <w:rPr>
                <w:rFonts w:ascii="Arial" w:hAnsi="Arial" w:cs="Arial"/>
                <w:b/>
                <w:bCs/>
                <w:color w:val="1F497D"/>
              </w:rPr>
              <w:t xml:space="preserve">Table </w:t>
            </w:r>
            <w:r>
              <w:rPr>
                <w:rFonts w:ascii="Arial" w:hAnsi="Arial" w:cs="Arial"/>
                <w:b/>
                <w:bCs/>
                <w:color w:val="1F497D"/>
              </w:rPr>
              <w:t>3</w:t>
            </w:r>
            <w:r w:rsidRPr="0092784B">
              <w:rPr>
                <w:rFonts w:ascii="Arial" w:hAnsi="Arial" w:cs="Arial"/>
                <w:b/>
                <w:bCs/>
                <w:color w:val="1F497D"/>
              </w:rPr>
              <w:t>. Usable Survey Responses</w:t>
            </w:r>
          </w:p>
        </w:tc>
      </w:tr>
      <w:tr w14:paraId="16B02FC8" w14:textId="77777777" w:rsidTr="008E16EA">
        <w:tblPrEx>
          <w:tblW w:w="7227" w:type="dxa"/>
          <w:tblLook w:val="04A0"/>
        </w:tblPrEx>
        <w:trPr>
          <w:trHeight w:hRule="exact" w:val="302"/>
        </w:trPr>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E16EA" w:rsidRPr="0092784B" w:rsidP="00997539" w14:paraId="56A0EE66"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Survey Wave</w:t>
            </w:r>
          </w:p>
        </w:tc>
        <w:tc>
          <w:tcPr>
            <w:tcW w:w="100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E16EA" w:rsidRPr="0092784B" w:rsidP="00997539" w14:paraId="76E6A4A8"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Returned</w:t>
            </w:r>
          </w:p>
        </w:tc>
        <w:tc>
          <w:tcPr>
            <w:tcW w:w="4024" w:type="dxa"/>
            <w:gridSpan w:val="4"/>
            <w:tcBorders>
              <w:top w:val="single" w:sz="8" w:space="0" w:color="auto"/>
              <w:left w:val="nil"/>
              <w:bottom w:val="single" w:sz="8" w:space="0" w:color="auto"/>
              <w:right w:val="single" w:sz="8" w:space="0" w:color="000000"/>
            </w:tcBorders>
            <w:shd w:val="clear" w:color="000000" w:fill="FFFFFF"/>
            <w:noWrap/>
            <w:vAlign w:val="center"/>
            <w:hideMark/>
          </w:tcPr>
          <w:p w:rsidR="008E16EA" w:rsidRPr="0092784B" w:rsidP="00997539" w14:paraId="0947A690" w14:textId="77777777">
            <w:pPr>
              <w:spacing w:line="240" w:lineRule="auto"/>
              <w:jc w:val="center"/>
              <w:rPr>
                <w:rFonts w:ascii="Arial" w:hAnsi="Arial" w:cs="Arial"/>
                <w:b/>
                <w:bCs/>
                <w:color w:val="1F497D"/>
                <w:sz w:val="20"/>
                <w:szCs w:val="20"/>
              </w:rPr>
            </w:pPr>
            <w:r w:rsidRPr="0092784B">
              <w:rPr>
                <w:rFonts w:ascii="Arial" w:hAnsi="Arial" w:cs="Arial"/>
                <w:b/>
                <w:bCs/>
                <w:color w:val="1F497D"/>
                <w:sz w:val="20"/>
                <w:szCs w:val="20"/>
              </w:rPr>
              <w:t>Not Usable</w:t>
            </w:r>
          </w:p>
        </w:tc>
        <w:tc>
          <w:tcPr>
            <w:tcW w:w="1236" w:type="dxa"/>
            <w:tcBorders>
              <w:top w:val="single" w:sz="8" w:space="0" w:color="auto"/>
              <w:left w:val="nil"/>
              <w:bottom w:val="single" w:sz="8" w:space="0" w:color="auto"/>
              <w:right w:val="single" w:sz="8" w:space="0" w:color="000000"/>
            </w:tcBorders>
            <w:shd w:val="clear" w:color="000000" w:fill="FFFFFF"/>
            <w:vAlign w:val="center"/>
            <w:hideMark/>
          </w:tcPr>
          <w:p w:rsidR="008E16EA" w:rsidRPr="0092784B" w:rsidP="00997539" w14:paraId="4E3B4A3A"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Usable</w:t>
            </w:r>
          </w:p>
        </w:tc>
      </w:tr>
      <w:tr w14:paraId="419CE71E" w14:textId="77777777" w:rsidTr="008E16EA">
        <w:tblPrEx>
          <w:tblW w:w="7227" w:type="dxa"/>
          <w:tblLook w:val="04A0"/>
        </w:tblPrEx>
        <w:trPr>
          <w:trHeight w:val="315"/>
        </w:trPr>
        <w:tc>
          <w:tcPr>
            <w:tcW w:w="960" w:type="dxa"/>
            <w:vMerge/>
            <w:tcBorders>
              <w:top w:val="nil"/>
              <w:left w:val="single" w:sz="8" w:space="0" w:color="auto"/>
              <w:bottom w:val="single" w:sz="8" w:space="0" w:color="000000"/>
              <w:right w:val="single" w:sz="8" w:space="0" w:color="auto"/>
            </w:tcBorders>
            <w:vAlign w:val="center"/>
            <w:hideMark/>
          </w:tcPr>
          <w:p w:rsidR="008E16EA" w:rsidRPr="0092784B" w:rsidP="00997539" w14:paraId="0025C37B" w14:textId="77777777">
            <w:pPr>
              <w:spacing w:line="240" w:lineRule="auto"/>
              <w:rPr>
                <w:rFonts w:ascii="Arial" w:hAnsi="Arial" w:cs="Arial"/>
                <w:b/>
                <w:bCs/>
                <w:color w:val="1F497D"/>
                <w:sz w:val="18"/>
                <w:szCs w:val="18"/>
              </w:rPr>
            </w:pPr>
          </w:p>
        </w:tc>
        <w:tc>
          <w:tcPr>
            <w:tcW w:w="1007" w:type="dxa"/>
            <w:vMerge/>
            <w:tcBorders>
              <w:top w:val="nil"/>
              <w:left w:val="single" w:sz="8" w:space="0" w:color="auto"/>
              <w:bottom w:val="single" w:sz="8" w:space="0" w:color="000000"/>
              <w:right w:val="single" w:sz="8" w:space="0" w:color="auto"/>
            </w:tcBorders>
            <w:vAlign w:val="center"/>
            <w:hideMark/>
          </w:tcPr>
          <w:p w:rsidR="008E16EA" w:rsidRPr="0092784B" w:rsidP="00997539" w14:paraId="43C90586" w14:textId="77777777">
            <w:pPr>
              <w:spacing w:line="240" w:lineRule="auto"/>
              <w:rPr>
                <w:rFonts w:ascii="Arial" w:hAnsi="Arial" w:cs="Arial"/>
                <w:b/>
                <w:bCs/>
                <w:color w:val="1F497D"/>
                <w:sz w:val="18"/>
                <w:szCs w:val="18"/>
              </w:rPr>
            </w:pPr>
          </w:p>
        </w:tc>
        <w:tc>
          <w:tcPr>
            <w:tcW w:w="10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E16EA" w:rsidRPr="0092784B" w:rsidP="00997539" w14:paraId="11E5B63B"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Duplicate or Ineligible</w:t>
            </w:r>
          </w:p>
        </w:tc>
        <w:tc>
          <w:tcPr>
            <w:tcW w:w="10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E16EA" w:rsidRPr="0092784B" w:rsidP="00997539" w14:paraId="348CC169"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Answered "No" to Q1</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E16EA" w:rsidRPr="0092784B" w:rsidP="00997539" w14:paraId="16E4BA08"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Did Not Finish Survey</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E16EA" w:rsidRPr="0092784B" w:rsidP="00997539" w14:paraId="5FC1730F"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Wrong Loan</w:t>
            </w:r>
          </w:p>
        </w:tc>
        <w:tc>
          <w:tcPr>
            <w:tcW w:w="1236" w:type="dxa"/>
            <w:tcBorders>
              <w:top w:val="nil"/>
              <w:left w:val="nil"/>
              <w:bottom w:val="nil"/>
              <w:right w:val="single" w:sz="8" w:space="0" w:color="auto"/>
            </w:tcBorders>
            <w:shd w:val="clear" w:color="000000" w:fill="FFFFFF"/>
            <w:vAlign w:val="center"/>
            <w:hideMark/>
          </w:tcPr>
          <w:p w:rsidR="008E16EA" w:rsidRPr="0092784B" w:rsidP="00997539" w14:paraId="1B680275"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 </w:t>
            </w:r>
          </w:p>
        </w:tc>
      </w:tr>
      <w:tr w14:paraId="52FFA5F5" w14:textId="77777777" w:rsidTr="008E16EA">
        <w:tblPrEx>
          <w:tblW w:w="7227" w:type="dxa"/>
          <w:tblLook w:val="04A0"/>
        </w:tblPrEx>
        <w:trPr>
          <w:trHeight w:val="286"/>
        </w:trPr>
        <w:tc>
          <w:tcPr>
            <w:tcW w:w="960" w:type="dxa"/>
            <w:vMerge/>
            <w:tcBorders>
              <w:top w:val="nil"/>
              <w:left w:val="single" w:sz="8" w:space="0" w:color="auto"/>
              <w:bottom w:val="single" w:sz="8" w:space="0" w:color="000000"/>
              <w:right w:val="single" w:sz="8" w:space="0" w:color="auto"/>
            </w:tcBorders>
            <w:vAlign w:val="center"/>
            <w:hideMark/>
          </w:tcPr>
          <w:p w:rsidR="008E16EA" w:rsidRPr="0092784B" w:rsidP="00997539" w14:paraId="3B5B4982" w14:textId="77777777">
            <w:pPr>
              <w:spacing w:line="240" w:lineRule="auto"/>
              <w:rPr>
                <w:rFonts w:ascii="Arial" w:hAnsi="Arial" w:cs="Arial"/>
                <w:b/>
                <w:bCs/>
                <w:color w:val="1F497D"/>
                <w:sz w:val="18"/>
                <w:szCs w:val="18"/>
              </w:rPr>
            </w:pPr>
          </w:p>
        </w:tc>
        <w:tc>
          <w:tcPr>
            <w:tcW w:w="1007" w:type="dxa"/>
            <w:vMerge/>
            <w:tcBorders>
              <w:top w:val="nil"/>
              <w:left w:val="single" w:sz="8" w:space="0" w:color="auto"/>
              <w:bottom w:val="single" w:sz="8" w:space="0" w:color="000000"/>
              <w:right w:val="single" w:sz="8" w:space="0" w:color="auto"/>
            </w:tcBorders>
            <w:vAlign w:val="center"/>
            <w:hideMark/>
          </w:tcPr>
          <w:p w:rsidR="008E16EA" w:rsidRPr="0092784B" w:rsidP="00997539" w14:paraId="381FDFC3" w14:textId="77777777">
            <w:pPr>
              <w:spacing w:line="240" w:lineRule="auto"/>
              <w:rPr>
                <w:rFonts w:ascii="Arial" w:hAnsi="Arial" w:cs="Arial"/>
                <w:b/>
                <w:bCs/>
                <w:color w:val="1F497D"/>
                <w:sz w:val="18"/>
                <w:szCs w:val="18"/>
              </w:rPr>
            </w:pPr>
          </w:p>
        </w:tc>
        <w:tc>
          <w:tcPr>
            <w:tcW w:w="1027" w:type="dxa"/>
            <w:vMerge/>
            <w:tcBorders>
              <w:top w:val="nil"/>
              <w:left w:val="single" w:sz="8" w:space="0" w:color="auto"/>
              <w:bottom w:val="single" w:sz="8" w:space="0" w:color="000000"/>
              <w:right w:val="single" w:sz="8" w:space="0" w:color="auto"/>
            </w:tcBorders>
            <w:vAlign w:val="center"/>
            <w:hideMark/>
          </w:tcPr>
          <w:p w:rsidR="008E16EA" w:rsidRPr="0092784B" w:rsidP="00997539" w14:paraId="39D80605" w14:textId="77777777">
            <w:pPr>
              <w:spacing w:line="240" w:lineRule="auto"/>
              <w:rPr>
                <w:rFonts w:ascii="Arial" w:hAnsi="Arial" w:cs="Arial"/>
                <w:b/>
                <w:bCs/>
                <w:color w:val="1F497D"/>
                <w:sz w:val="18"/>
                <w:szCs w:val="18"/>
              </w:rPr>
            </w:pPr>
          </w:p>
        </w:tc>
        <w:tc>
          <w:tcPr>
            <w:tcW w:w="1077" w:type="dxa"/>
            <w:vMerge/>
            <w:tcBorders>
              <w:top w:val="nil"/>
              <w:left w:val="single" w:sz="8" w:space="0" w:color="auto"/>
              <w:bottom w:val="single" w:sz="8" w:space="0" w:color="000000"/>
              <w:right w:val="single" w:sz="8" w:space="0" w:color="auto"/>
            </w:tcBorders>
            <w:vAlign w:val="center"/>
            <w:hideMark/>
          </w:tcPr>
          <w:p w:rsidR="008E16EA" w:rsidRPr="0092784B" w:rsidP="00997539" w14:paraId="2F6BC0EA"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8E16EA" w:rsidRPr="0092784B" w:rsidP="00997539" w14:paraId="53D49557" w14:textId="77777777">
            <w:pPr>
              <w:spacing w:line="240" w:lineRule="auto"/>
              <w:rPr>
                <w:rFonts w:ascii="Arial" w:hAnsi="Arial" w:cs="Arial"/>
                <w:b/>
                <w:bCs/>
                <w:color w:val="1F497D"/>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8E16EA" w:rsidRPr="0092784B" w:rsidP="00997539" w14:paraId="1D721D9F" w14:textId="77777777">
            <w:pPr>
              <w:spacing w:line="240" w:lineRule="auto"/>
              <w:rPr>
                <w:rFonts w:ascii="Arial" w:hAnsi="Arial" w:cs="Arial"/>
                <w:b/>
                <w:bCs/>
                <w:color w:val="1F497D"/>
                <w:sz w:val="18"/>
                <w:szCs w:val="18"/>
              </w:rPr>
            </w:pPr>
          </w:p>
        </w:tc>
        <w:tc>
          <w:tcPr>
            <w:tcW w:w="1236" w:type="dxa"/>
            <w:tcBorders>
              <w:top w:val="nil"/>
              <w:left w:val="nil"/>
              <w:bottom w:val="single" w:sz="8" w:space="0" w:color="auto"/>
              <w:right w:val="single" w:sz="8" w:space="0" w:color="auto"/>
            </w:tcBorders>
            <w:shd w:val="clear" w:color="000000" w:fill="FFFFFF"/>
            <w:vAlign w:val="center"/>
            <w:hideMark/>
          </w:tcPr>
          <w:p w:rsidR="008E16EA" w:rsidRPr="0092784B" w:rsidP="00997539" w14:paraId="3DE72FA2" w14:textId="77777777">
            <w:pPr>
              <w:spacing w:line="240" w:lineRule="auto"/>
              <w:jc w:val="center"/>
              <w:rPr>
                <w:rFonts w:ascii="Arial" w:hAnsi="Arial" w:cs="Arial"/>
                <w:b/>
                <w:bCs/>
                <w:color w:val="1F497D"/>
                <w:sz w:val="18"/>
                <w:szCs w:val="18"/>
              </w:rPr>
            </w:pPr>
            <w:r w:rsidRPr="0092784B">
              <w:rPr>
                <w:rFonts w:ascii="Arial" w:hAnsi="Arial" w:cs="Arial"/>
                <w:b/>
                <w:bCs/>
                <w:color w:val="1F497D"/>
                <w:sz w:val="18"/>
                <w:szCs w:val="18"/>
              </w:rPr>
              <w:t>Unweighted</w:t>
            </w:r>
          </w:p>
        </w:tc>
      </w:tr>
      <w:tr w14:paraId="2FB27533" w14:textId="77777777" w:rsidTr="008E16EA">
        <w:tblPrEx>
          <w:tblW w:w="7227" w:type="dxa"/>
          <w:tblLook w:val="04A0"/>
        </w:tblPrEx>
        <w:trPr>
          <w:trHeight w:hRule="exact" w:val="302"/>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8E16EA" w:rsidRPr="0092784B" w:rsidP="00997539" w14:paraId="348E79C0" w14:textId="77777777">
            <w:pPr>
              <w:spacing w:line="240" w:lineRule="auto"/>
              <w:jc w:val="center"/>
              <w:rPr>
                <w:rFonts w:ascii="Arial" w:hAnsi="Arial" w:cs="Arial"/>
                <w:b/>
                <w:bCs/>
                <w:color w:val="000000"/>
                <w:sz w:val="18"/>
                <w:szCs w:val="18"/>
              </w:rPr>
            </w:pPr>
            <w:r w:rsidRPr="0092784B">
              <w:rPr>
                <w:rFonts w:ascii="Arial" w:hAnsi="Arial" w:cs="Arial"/>
                <w:b/>
                <w:bCs/>
                <w:color w:val="000000"/>
                <w:sz w:val="18"/>
                <w:szCs w:val="18"/>
              </w:rPr>
              <w:t>Total</w:t>
            </w:r>
          </w:p>
        </w:tc>
        <w:tc>
          <w:tcPr>
            <w:tcW w:w="1007"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58E19B1B" w14:textId="1C8E3F45">
            <w:pPr>
              <w:spacing w:line="240" w:lineRule="auto"/>
              <w:jc w:val="center"/>
              <w:rPr>
                <w:rFonts w:ascii="Arial" w:hAnsi="Arial" w:cs="Arial"/>
                <w:color w:val="000000"/>
                <w:sz w:val="18"/>
                <w:szCs w:val="18"/>
              </w:rPr>
            </w:pPr>
            <w:r>
              <w:rPr>
                <w:rFonts w:ascii="Arial" w:hAnsi="Arial" w:cs="Arial"/>
                <w:color w:val="000000"/>
                <w:sz w:val="18"/>
                <w:szCs w:val="18"/>
              </w:rPr>
              <w:t>60,151</w:t>
            </w:r>
          </w:p>
        </w:tc>
        <w:tc>
          <w:tcPr>
            <w:tcW w:w="1027"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62084B46" w14:textId="3336D7A8">
            <w:pPr>
              <w:spacing w:line="240" w:lineRule="auto"/>
              <w:jc w:val="center"/>
              <w:rPr>
                <w:rFonts w:ascii="Arial" w:hAnsi="Arial" w:cs="Arial"/>
                <w:color w:val="000000"/>
                <w:sz w:val="18"/>
                <w:szCs w:val="18"/>
              </w:rPr>
            </w:pPr>
            <w:r w:rsidRPr="0092784B">
              <w:rPr>
                <w:rFonts w:ascii="Arial" w:hAnsi="Arial" w:cs="Arial"/>
                <w:color w:val="000000"/>
                <w:sz w:val="18"/>
                <w:szCs w:val="18"/>
              </w:rPr>
              <w:t>1,</w:t>
            </w:r>
            <w:r>
              <w:rPr>
                <w:rFonts w:ascii="Arial" w:hAnsi="Arial" w:cs="Arial"/>
                <w:color w:val="000000"/>
                <w:sz w:val="18"/>
                <w:szCs w:val="18"/>
              </w:rPr>
              <w:t>474</w:t>
            </w:r>
          </w:p>
        </w:tc>
        <w:tc>
          <w:tcPr>
            <w:tcW w:w="1077"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733CAEEB" w14:textId="05593733">
            <w:pPr>
              <w:spacing w:line="240" w:lineRule="auto"/>
              <w:jc w:val="center"/>
              <w:rPr>
                <w:rFonts w:ascii="Arial" w:hAnsi="Arial" w:cs="Arial"/>
                <w:color w:val="000000"/>
                <w:sz w:val="18"/>
                <w:szCs w:val="18"/>
              </w:rPr>
            </w:pPr>
            <w:r w:rsidRPr="0092784B">
              <w:rPr>
                <w:rFonts w:ascii="Arial" w:hAnsi="Arial" w:cs="Arial"/>
                <w:color w:val="000000"/>
                <w:sz w:val="18"/>
                <w:szCs w:val="18"/>
              </w:rPr>
              <w:t>3,</w:t>
            </w:r>
            <w:r>
              <w:rPr>
                <w:rFonts w:ascii="Arial" w:hAnsi="Arial" w:cs="Arial"/>
                <w:color w:val="000000"/>
                <w:sz w:val="18"/>
                <w:szCs w:val="18"/>
              </w:rPr>
              <w:t>504</w:t>
            </w:r>
          </w:p>
        </w:tc>
        <w:tc>
          <w:tcPr>
            <w:tcW w:w="960" w:type="dxa"/>
            <w:tcBorders>
              <w:top w:val="nil"/>
              <w:left w:val="nil"/>
              <w:bottom w:val="single" w:sz="8" w:space="0" w:color="auto"/>
              <w:right w:val="single" w:sz="8" w:space="0" w:color="auto"/>
            </w:tcBorders>
            <w:shd w:val="clear" w:color="000000" w:fill="FFFFFF"/>
            <w:noWrap/>
            <w:vAlign w:val="center"/>
            <w:hideMark/>
          </w:tcPr>
          <w:p w:rsidR="008E16EA" w:rsidRPr="00160468" w:rsidP="00997539" w14:paraId="7A0F5C30" w14:textId="07924DCD">
            <w:pPr>
              <w:spacing w:line="240" w:lineRule="auto"/>
              <w:jc w:val="center"/>
              <w:rPr>
                <w:rFonts w:ascii="Arial" w:hAnsi="Arial" w:cs="Arial"/>
                <w:color w:val="000000"/>
                <w:sz w:val="18"/>
                <w:szCs w:val="18"/>
              </w:rPr>
            </w:pPr>
            <w:r>
              <w:rPr>
                <w:rFonts w:ascii="Arial" w:hAnsi="Arial" w:cs="Arial"/>
                <w:color w:val="000000"/>
                <w:sz w:val="18"/>
                <w:szCs w:val="18"/>
              </w:rPr>
              <w:t>1,913</w:t>
            </w:r>
          </w:p>
        </w:tc>
        <w:tc>
          <w:tcPr>
            <w:tcW w:w="960"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3A509027" w14:textId="6AF2AE56">
            <w:pPr>
              <w:spacing w:line="240" w:lineRule="auto"/>
              <w:jc w:val="center"/>
              <w:rPr>
                <w:rFonts w:ascii="Arial" w:hAnsi="Arial" w:cs="Arial"/>
                <w:color w:val="000000"/>
                <w:sz w:val="18"/>
                <w:szCs w:val="18"/>
              </w:rPr>
            </w:pPr>
            <w:r w:rsidRPr="0092784B">
              <w:rPr>
                <w:rFonts w:ascii="Arial" w:hAnsi="Arial" w:cs="Arial"/>
                <w:color w:val="000000"/>
                <w:sz w:val="18"/>
                <w:szCs w:val="18"/>
              </w:rPr>
              <w:t>1,</w:t>
            </w:r>
            <w:r>
              <w:rPr>
                <w:rFonts w:ascii="Arial" w:hAnsi="Arial" w:cs="Arial"/>
                <w:color w:val="000000"/>
                <w:sz w:val="18"/>
                <w:szCs w:val="18"/>
              </w:rPr>
              <w:t>970</w:t>
            </w:r>
          </w:p>
        </w:tc>
        <w:tc>
          <w:tcPr>
            <w:tcW w:w="1236" w:type="dxa"/>
            <w:tcBorders>
              <w:top w:val="nil"/>
              <w:left w:val="nil"/>
              <w:bottom w:val="single" w:sz="8" w:space="0" w:color="auto"/>
              <w:right w:val="single" w:sz="8" w:space="0" w:color="auto"/>
            </w:tcBorders>
            <w:shd w:val="clear" w:color="000000" w:fill="FFFFFF"/>
            <w:noWrap/>
            <w:vAlign w:val="center"/>
            <w:hideMark/>
          </w:tcPr>
          <w:p w:rsidR="008E16EA" w:rsidRPr="00A533A1" w:rsidP="00997539" w14:paraId="3FB7059B" w14:textId="0E65992B">
            <w:pPr>
              <w:spacing w:line="240" w:lineRule="auto"/>
              <w:jc w:val="center"/>
              <w:rPr>
                <w:rFonts w:ascii="Arial" w:hAnsi="Arial" w:cs="Arial"/>
                <w:color w:val="000000"/>
                <w:sz w:val="18"/>
                <w:szCs w:val="18"/>
              </w:rPr>
            </w:pPr>
            <w:r>
              <w:rPr>
                <w:rFonts w:ascii="Arial" w:hAnsi="Arial" w:cs="Arial"/>
                <w:color w:val="000000"/>
                <w:sz w:val="18"/>
                <w:szCs w:val="18"/>
              </w:rPr>
              <w:t>51,290</w:t>
            </w:r>
          </w:p>
        </w:tc>
      </w:tr>
      <w:tr w14:paraId="43ECF577" w14:textId="77777777" w:rsidTr="008E16EA">
        <w:tblPrEx>
          <w:tblW w:w="7227" w:type="dxa"/>
          <w:tblLook w:val="04A0"/>
        </w:tblPrEx>
        <w:trPr>
          <w:trHeight w:val="432"/>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8E16EA" w:rsidRPr="0092784B" w:rsidP="00997539" w14:paraId="6C46DF72" w14:textId="77777777">
            <w:pPr>
              <w:spacing w:line="240" w:lineRule="auto"/>
              <w:jc w:val="center"/>
              <w:rPr>
                <w:rFonts w:ascii="Arial" w:hAnsi="Arial" w:cs="Arial"/>
                <w:b/>
                <w:bCs/>
                <w:i/>
                <w:iCs/>
                <w:color w:val="000000"/>
                <w:sz w:val="18"/>
                <w:szCs w:val="18"/>
              </w:rPr>
            </w:pPr>
            <w:r w:rsidRPr="0092784B">
              <w:rPr>
                <w:rFonts w:ascii="Arial" w:hAnsi="Arial" w:cs="Arial"/>
                <w:b/>
                <w:bCs/>
                <w:i/>
                <w:iCs/>
                <w:color w:val="000000"/>
                <w:sz w:val="18"/>
                <w:szCs w:val="18"/>
              </w:rPr>
              <w:t>Percent of Mailed Surveys</w:t>
            </w:r>
          </w:p>
        </w:tc>
        <w:tc>
          <w:tcPr>
            <w:tcW w:w="1007"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75F701E9" w14:textId="78008231">
            <w:pPr>
              <w:spacing w:line="240" w:lineRule="auto"/>
              <w:jc w:val="center"/>
              <w:rPr>
                <w:rFonts w:ascii="Arial" w:hAnsi="Arial" w:cs="Arial"/>
                <w:b/>
                <w:bCs/>
                <w:i/>
                <w:iCs/>
                <w:color w:val="000000"/>
                <w:sz w:val="18"/>
                <w:szCs w:val="18"/>
              </w:rPr>
            </w:pPr>
            <w:r>
              <w:rPr>
                <w:rFonts w:ascii="Arial" w:hAnsi="Arial" w:cs="Arial"/>
                <w:b/>
                <w:bCs/>
                <w:i/>
                <w:iCs/>
                <w:color w:val="000000"/>
                <w:sz w:val="18"/>
                <w:szCs w:val="18"/>
              </w:rPr>
              <w:t>29.65</w:t>
            </w:r>
            <w:r w:rsidRPr="0092784B">
              <w:rPr>
                <w:rFonts w:ascii="Arial" w:hAnsi="Arial" w:cs="Arial"/>
                <w:b/>
                <w:bCs/>
                <w:i/>
                <w:iCs/>
                <w:color w:val="000000"/>
                <w:sz w:val="18"/>
                <w:szCs w:val="18"/>
              </w:rPr>
              <w:t>%</w:t>
            </w:r>
          </w:p>
        </w:tc>
        <w:tc>
          <w:tcPr>
            <w:tcW w:w="1027"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20113E42" w14:textId="7F59B3DD">
            <w:pPr>
              <w:spacing w:line="240" w:lineRule="auto"/>
              <w:jc w:val="center"/>
              <w:rPr>
                <w:rFonts w:ascii="Arial" w:hAnsi="Arial" w:cs="Arial"/>
                <w:b/>
                <w:bCs/>
                <w:i/>
                <w:iCs/>
                <w:color w:val="000000"/>
                <w:sz w:val="18"/>
                <w:szCs w:val="18"/>
              </w:rPr>
            </w:pPr>
            <w:r w:rsidRPr="0092784B">
              <w:rPr>
                <w:rFonts w:ascii="Arial" w:hAnsi="Arial" w:cs="Arial"/>
                <w:b/>
                <w:bCs/>
                <w:i/>
                <w:iCs/>
                <w:color w:val="000000"/>
                <w:sz w:val="18"/>
                <w:szCs w:val="18"/>
              </w:rPr>
              <w:t>0.7</w:t>
            </w:r>
            <w:r w:rsidR="00C87A20">
              <w:rPr>
                <w:rFonts w:ascii="Arial" w:hAnsi="Arial" w:cs="Arial"/>
                <w:b/>
                <w:bCs/>
                <w:i/>
                <w:iCs/>
                <w:color w:val="000000"/>
                <w:sz w:val="18"/>
                <w:szCs w:val="18"/>
              </w:rPr>
              <w:t>3</w:t>
            </w:r>
            <w:r w:rsidRPr="0092784B">
              <w:rPr>
                <w:rFonts w:ascii="Arial" w:hAnsi="Arial" w:cs="Arial"/>
                <w:b/>
                <w:bCs/>
                <w:i/>
                <w:iCs/>
                <w:color w:val="000000"/>
                <w:sz w:val="18"/>
                <w:szCs w:val="18"/>
              </w:rPr>
              <w:t>%</w:t>
            </w:r>
          </w:p>
        </w:tc>
        <w:tc>
          <w:tcPr>
            <w:tcW w:w="1077"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508E3222" w14:textId="37A7247D">
            <w:pPr>
              <w:spacing w:line="240" w:lineRule="auto"/>
              <w:jc w:val="center"/>
              <w:rPr>
                <w:rFonts w:ascii="Arial" w:hAnsi="Arial" w:cs="Arial"/>
                <w:b/>
                <w:bCs/>
                <w:i/>
                <w:iCs/>
                <w:color w:val="000000"/>
                <w:sz w:val="18"/>
                <w:szCs w:val="18"/>
              </w:rPr>
            </w:pPr>
            <w:r w:rsidRPr="0092784B">
              <w:rPr>
                <w:rFonts w:ascii="Arial" w:hAnsi="Arial" w:cs="Arial"/>
                <w:b/>
                <w:bCs/>
                <w:i/>
                <w:iCs/>
                <w:color w:val="000000"/>
                <w:sz w:val="18"/>
                <w:szCs w:val="18"/>
              </w:rPr>
              <w:t>1.</w:t>
            </w:r>
            <w:r w:rsidR="00C87A20">
              <w:rPr>
                <w:rFonts w:ascii="Arial" w:hAnsi="Arial" w:cs="Arial"/>
                <w:b/>
                <w:bCs/>
                <w:i/>
                <w:iCs/>
                <w:color w:val="000000"/>
                <w:sz w:val="18"/>
                <w:szCs w:val="18"/>
              </w:rPr>
              <w:t>73</w:t>
            </w:r>
            <w:r w:rsidRPr="0092784B">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7A26191E" w14:textId="7E89E5D2">
            <w:pPr>
              <w:spacing w:line="240" w:lineRule="auto"/>
              <w:jc w:val="center"/>
              <w:rPr>
                <w:rFonts w:ascii="Arial" w:hAnsi="Arial" w:cs="Arial"/>
                <w:b/>
                <w:bCs/>
                <w:i/>
                <w:iCs/>
                <w:color w:val="000000"/>
                <w:sz w:val="18"/>
                <w:szCs w:val="18"/>
              </w:rPr>
            </w:pPr>
            <w:r>
              <w:rPr>
                <w:rFonts w:ascii="Arial" w:hAnsi="Arial" w:cs="Arial"/>
                <w:b/>
                <w:bCs/>
                <w:i/>
                <w:iCs/>
                <w:color w:val="000000"/>
                <w:sz w:val="18"/>
                <w:szCs w:val="18"/>
              </w:rPr>
              <w:t>.94</w:t>
            </w:r>
            <w:r w:rsidRPr="0092784B">
              <w:rPr>
                <w:rFonts w:ascii="Arial" w:hAnsi="Arial" w:cs="Arial"/>
                <w:b/>
                <w:bCs/>
                <w:i/>
                <w:iCs/>
                <w:color w:val="000000"/>
                <w:sz w:val="18"/>
                <w:szCs w:val="18"/>
              </w:rPr>
              <w:t>%</w:t>
            </w:r>
          </w:p>
        </w:tc>
        <w:tc>
          <w:tcPr>
            <w:tcW w:w="960" w:type="dxa"/>
            <w:tcBorders>
              <w:top w:val="nil"/>
              <w:left w:val="nil"/>
              <w:bottom w:val="single" w:sz="8" w:space="0" w:color="auto"/>
              <w:right w:val="single" w:sz="8" w:space="0" w:color="auto"/>
            </w:tcBorders>
            <w:shd w:val="clear" w:color="000000" w:fill="FFFFFF"/>
            <w:noWrap/>
            <w:vAlign w:val="center"/>
            <w:hideMark/>
          </w:tcPr>
          <w:p w:rsidR="008E16EA" w:rsidRPr="0092784B" w:rsidP="00997539" w14:paraId="229E7AC7" w14:textId="152872A6">
            <w:pPr>
              <w:spacing w:line="240" w:lineRule="auto"/>
              <w:jc w:val="center"/>
              <w:rPr>
                <w:rFonts w:ascii="Arial" w:hAnsi="Arial" w:cs="Arial"/>
                <w:b/>
                <w:bCs/>
                <w:i/>
                <w:iCs/>
                <w:color w:val="000000"/>
                <w:sz w:val="18"/>
                <w:szCs w:val="18"/>
              </w:rPr>
            </w:pPr>
            <w:r w:rsidRPr="0092784B">
              <w:rPr>
                <w:rFonts w:ascii="Arial" w:hAnsi="Arial" w:cs="Arial"/>
                <w:b/>
                <w:bCs/>
                <w:i/>
                <w:iCs/>
                <w:color w:val="000000"/>
                <w:sz w:val="18"/>
                <w:szCs w:val="18"/>
              </w:rPr>
              <w:t>0.9</w:t>
            </w:r>
            <w:r w:rsidR="00C87A20">
              <w:rPr>
                <w:rFonts w:ascii="Arial" w:hAnsi="Arial" w:cs="Arial"/>
                <w:b/>
                <w:bCs/>
                <w:i/>
                <w:iCs/>
                <w:color w:val="000000"/>
                <w:sz w:val="18"/>
                <w:szCs w:val="18"/>
              </w:rPr>
              <w:t>7</w:t>
            </w:r>
            <w:r w:rsidRPr="0092784B">
              <w:rPr>
                <w:rFonts w:ascii="Arial" w:hAnsi="Arial" w:cs="Arial"/>
                <w:b/>
                <w:bCs/>
                <w:i/>
                <w:iCs/>
                <w:color w:val="000000"/>
                <w:sz w:val="18"/>
                <w:szCs w:val="18"/>
              </w:rPr>
              <w:t>%</w:t>
            </w:r>
          </w:p>
        </w:tc>
        <w:tc>
          <w:tcPr>
            <w:tcW w:w="1236" w:type="dxa"/>
            <w:tcBorders>
              <w:top w:val="nil"/>
              <w:left w:val="nil"/>
              <w:bottom w:val="single" w:sz="8" w:space="0" w:color="auto"/>
              <w:right w:val="single" w:sz="8" w:space="0" w:color="auto"/>
            </w:tcBorders>
            <w:shd w:val="clear" w:color="000000" w:fill="FFFFFF"/>
            <w:noWrap/>
            <w:vAlign w:val="center"/>
            <w:hideMark/>
          </w:tcPr>
          <w:p w:rsidR="008E16EA" w:rsidRPr="00A533A1" w:rsidP="00997539" w14:paraId="34D8E6E8" w14:textId="0F889942">
            <w:pPr>
              <w:spacing w:line="240" w:lineRule="auto"/>
              <w:jc w:val="center"/>
              <w:rPr>
                <w:rFonts w:ascii="Arial" w:hAnsi="Arial" w:cs="Arial"/>
                <w:b/>
                <w:bCs/>
                <w:i/>
                <w:iCs/>
                <w:color w:val="000000"/>
                <w:sz w:val="18"/>
                <w:szCs w:val="18"/>
              </w:rPr>
            </w:pPr>
            <w:r>
              <w:rPr>
                <w:rFonts w:ascii="Arial" w:hAnsi="Arial" w:cs="Arial"/>
                <w:b/>
                <w:bCs/>
                <w:i/>
                <w:iCs/>
                <w:color w:val="000000"/>
                <w:sz w:val="18"/>
                <w:szCs w:val="18"/>
              </w:rPr>
              <w:t>25.28</w:t>
            </w:r>
            <w:r w:rsidRPr="00A533A1">
              <w:rPr>
                <w:rFonts w:ascii="Arial" w:hAnsi="Arial" w:cs="Arial"/>
                <w:b/>
                <w:bCs/>
                <w:i/>
                <w:iCs/>
                <w:color w:val="000000"/>
                <w:sz w:val="18"/>
                <w:szCs w:val="18"/>
              </w:rPr>
              <w:t>%</w:t>
            </w:r>
          </w:p>
        </w:tc>
      </w:tr>
    </w:tbl>
    <w:p w:rsidR="00867F27" w:rsidP="006F3586" w14:paraId="1E2F2234" w14:textId="77777777">
      <w:pPr>
        <w:pStyle w:val="BodyText"/>
        <w:spacing w:after="0" w:line="240" w:lineRule="auto"/>
      </w:pPr>
    </w:p>
    <w:p w:rsidR="000C008D" w:rsidP="00A36666" w14:paraId="3C75E484" w14:textId="5C9383DA">
      <w:pPr>
        <w:pStyle w:val="BodyText"/>
        <w:spacing w:after="0" w:line="240" w:lineRule="auto"/>
      </w:pPr>
      <w:r>
        <w:t>The first category of unusable surveys comes from respondents whose sample loans were ultimately removed from</w:t>
      </w:r>
      <w:r w:rsidR="00F3780F">
        <w:t xml:space="preserve"> the</w:t>
      </w:r>
      <w:r>
        <w:t xml:space="preserve"> NMDB after the survey had been executed</w:t>
      </w:r>
      <w:r w:rsidR="00F3780F">
        <w:t>,</w:t>
      </w:r>
      <w:r>
        <w:t xml:space="preserve"> either because the</w:t>
      </w:r>
      <w:r w:rsidR="00F3780F">
        <w:t xml:space="preserve"> loans</w:t>
      </w:r>
      <w:r>
        <w:t xml:space="preserve"> were deemed to have duplicate trade lines and </w:t>
      </w:r>
      <w:r w:rsidR="00F3780F">
        <w:t>did not</w:t>
      </w:r>
      <w:r>
        <w:t xml:space="preserve"> meet the criteria for remaining in</w:t>
      </w:r>
      <w:r w:rsidR="00F3780F">
        <w:t xml:space="preserve"> the</w:t>
      </w:r>
      <w:r>
        <w:t xml:space="preserve"> NMDB</w:t>
      </w:r>
      <w:r w:rsidR="00F3780F">
        <w:t>,</w:t>
      </w:r>
      <w:r>
        <w:t xml:space="preserve"> or </w:t>
      </w:r>
      <w:r w:rsidR="00F3780F">
        <w:t>because</w:t>
      </w:r>
      <w:r>
        <w:t xml:space="preserve"> the sample loan was determined to be a second and not a first mortgage.  In some instances, the survey response itself led to the removal, as margin notes or comments indicated that the loan was a second lien.  This was a particular problem in </w:t>
      </w:r>
      <w:r w:rsidR="00A36666">
        <w:t>w</w:t>
      </w:r>
      <w:r>
        <w:t>ave 4.</w:t>
      </w:r>
    </w:p>
    <w:p w:rsidR="000C008D" w:rsidP="00A36666" w14:paraId="11CC8156" w14:textId="77777777">
      <w:pPr>
        <w:pStyle w:val="BodyText"/>
        <w:spacing w:after="0" w:line="240" w:lineRule="auto"/>
      </w:pPr>
    </w:p>
    <w:p w:rsidR="000C008D" w:rsidP="00A36666" w14:paraId="6D8A6A80" w14:textId="087557A6">
      <w:pPr>
        <w:pStyle w:val="BodyText"/>
        <w:spacing w:after="0" w:line="240" w:lineRule="auto"/>
      </w:pPr>
      <w:r>
        <w:t xml:space="preserve">The second </w:t>
      </w:r>
      <w:r w:rsidR="00CD1560">
        <w:t>category</w:t>
      </w:r>
      <w:r>
        <w:t xml:space="preserve"> is a “no” response to the first question (Q1).  Q1 is used as a screener question to confirm that the survey respondent took out a mortgage during the reporting period</w:t>
      </w:r>
      <w:r w:rsidR="00CD1560">
        <w:t xml:space="preserve"> as suggested by</w:t>
      </w:r>
      <w:r>
        <w:t xml:space="preserve"> Experian</w:t>
      </w:r>
      <w:r w:rsidR="00CD1560">
        <w:t>’s</w:t>
      </w:r>
      <w:r>
        <w:t xml:space="preserve"> records.  In </w:t>
      </w:r>
      <w:r w:rsidR="00A36666">
        <w:t>w</w:t>
      </w:r>
      <w:r w:rsidR="00CD1560">
        <w:t>ave 1</w:t>
      </w:r>
      <w:r>
        <w:t>, a surprisingly high number of respondents (738) said that they had not taken out a mortgage.  An analysis of these responses suggests that many people did not consider a refinance a “new” mortgage.</w:t>
      </w:r>
      <w:r w:rsidR="003717A0">
        <w:t xml:space="preserve">  </w:t>
      </w:r>
      <w:r>
        <w:t xml:space="preserve">Consequently, in </w:t>
      </w:r>
      <w:r w:rsidR="00A36666">
        <w:t>w</w:t>
      </w:r>
      <w:r>
        <w:t>ave 2, the wording of Q1 was changed to add the phrase “including any mortgage refinances.</w:t>
      </w:r>
      <w:r w:rsidR="003717A0">
        <w:t>”</w:t>
      </w:r>
      <w:r>
        <w:t xml:space="preserve">  With this change, the share of “no” responses to Q1 decreased from 13 percent to 8 percent.</w:t>
      </w:r>
    </w:p>
    <w:p w:rsidR="000C008D" w:rsidP="00A36666" w14:paraId="72249B6C" w14:textId="77777777">
      <w:pPr>
        <w:pStyle w:val="BodyText"/>
        <w:spacing w:after="0" w:line="240" w:lineRule="auto"/>
      </w:pPr>
    </w:p>
    <w:p w:rsidR="000C008D" w:rsidP="00A36666" w14:paraId="016B5FDF" w14:textId="3C04E90D">
      <w:pPr>
        <w:pStyle w:val="BodyText"/>
        <w:spacing w:after="0" w:line="240" w:lineRule="auto"/>
      </w:pPr>
      <w:r>
        <w:t xml:space="preserve">The </w:t>
      </w:r>
      <w:r w:rsidR="003717A0">
        <w:t>third category</w:t>
      </w:r>
      <w:r>
        <w:t xml:space="preserve"> eliminates breakoffs, defined as </w:t>
      </w:r>
      <w:r w:rsidR="003717A0">
        <w:t>questionnaires</w:t>
      </w:r>
      <w:r>
        <w:t xml:space="preserve"> for which the respondent did not answer almost all questions from the middle of the survey through the end</w:t>
      </w:r>
      <w:r w:rsidR="003717A0">
        <w:t>,</w:t>
      </w:r>
      <w:r>
        <w:t xml:space="preserve"> or answered less than 50 percent of the questions</w:t>
      </w:r>
      <w:r w:rsidR="003717A0">
        <w:t xml:space="preserve"> overall</w:t>
      </w:r>
      <w:r>
        <w:t xml:space="preserve">.  </w:t>
      </w:r>
    </w:p>
    <w:p w:rsidR="000C008D" w:rsidP="00A36666" w14:paraId="0F499534" w14:textId="77777777">
      <w:pPr>
        <w:pStyle w:val="BodyText"/>
        <w:spacing w:after="0" w:line="240" w:lineRule="auto"/>
      </w:pPr>
    </w:p>
    <w:p w:rsidR="000C008D" w:rsidP="00A36666" w14:paraId="14ED9F4C" w14:textId="03472E7F">
      <w:pPr>
        <w:pStyle w:val="BodyText"/>
        <w:spacing w:after="0" w:line="240" w:lineRule="auto"/>
      </w:pPr>
      <w:r>
        <w:t xml:space="preserve">The </w:t>
      </w:r>
      <w:r w:rsidR="003717A0">
        <w:t>fourth</w:t>
      </w:r>
      <w:r>
        <w:t xml:space="preserve"> </w:t>
      </w:r>
      <w:r w:rsidR="003717A0">
        <w:t>category</w:t>
      </w:r>
      <w:r>
        <w:t xml:space="preserve"> </w:t>
      </w:r>
      <w:r w:rsidR="003717A0">
        <w:t>i</w:t>
      </w:r>
      <w:r>
        <w:t xml:space="preserve">s for respondents who provided information on the wrong loan.  </w:t>
      </w:r>
      <w:r w:rsidR="003717A0">
        <w:t>Although t</w:t>
      </w:r>
      <w:r>
        <w:t xml:space="preserve">he sampling frame </w:t>
      </w:r>
      <w:r w:rsidR="003717A0">
        <w:t>i</w:t>
      </w:r>
      <w:r>
        <w:t>s tied to a particular loan associated with the borrower</w:t>
      </w:r>
      <w:r w:rsidR="003717A0">
        <w:t>, t</w:t>
      </w:r>
      <w:r>
        <w:t>he questionnaire</w:t>
      </w:r>
      <w:r w:rsidR="003717A0">
        <w:t xml:space="preserve"> </w:t>
      </w:r>
      <w:r>
        <w:t>d</w:t>
      </w:r>
      <w:r w:rsidR="003717A0">
        <w:t>oes</w:t>
      </w:r>
      <w:r>
        <w:t xml:space="preserve"> not refer explicitly to that loan.  Instead, respondents who ha</w:t>
      </w:r>
      <w:r w:rsidR="009554CF">
        <w:t>ve</w:t>
      </w:r>
      <w:r>
        <w:t xml:space="preserve"> taken out multiple loans during the reference period </w:t>
      </w:r>
      <w:r w:rsidR="009554CF">
        <w:t>a</w:t>
      </w:r>
      <w:r>
        <w:t>re asked to report on the “most recent</w:t>
      </w:r>
      <w:r w:rsidR="009554CF">
        <w:t>,</w:t>
      </w:r>
      <w:r>
        <w:t>”</w:t>
      </w:r>
      <w:r w:rsidR="009554CF">
        <w:t xml:space="preserve"> which, i</w:t>
      </w:r>
      <w:r>
        <w:t xml:space="preserve">n some instances, </w:t>
      </w:r>
      <w:r w:rsidR="009554CF">
        <w:t>has</w:t>
      </w:r>
      <w:r>
        <w:t xml:space="preserve"> not</w:t>
      </w:r>
      <w:r w:rsidR="009554CF">
        <w:t xml:space="preserve"> been</w:t>
      </w:r>
      <w:r>
        <w:t xml:space="preserve"> the sample loan.  This was a particular problem in </w:t>
      </w:r>
      <w:r w:rsidR="00A36666">
        <w:t>w</w:t>
      </w:r>
      <w:r>
        <w:t xml:space="preserve">ave 1 which, as a “catch up” survey, had a relatively long reference period.  Also, some respondents who have refinanced their mortgage </w:t>
      </w:r>
      <w:r w:rsidR="009554CF">
        <w:t xml:space="preserve">have </w:t>
      </w:r>
      <w:r>
        <w:t>report</w:t>
      </w:r>
      <w:r w:rsidR="009554CF">
        <w:t>ed</w:t>
      </w:r>
      <w:r>
        <w:t xml:space="preserve"> on the original home purchase mortgage rather than the refinance.  Finally,</w:t>
      </w:r>
      <w:r w:rsidR="009554CF">
        <w:t xml:space="preserve"> </w:t>
      </w:r>
      <w:r>
        <w:t xml:space="preserve">it appears that </w:t>
      </w:r>
      <w:r w:rsidR="009554CF">
        <w:t xml:space="preserve">in a few instances </w:t>
      </w:r>
      <w:r>
        <w:t xml:space="preserve">the survey </w:t>
      </w:r>
      <w:r w:rsidR="009554CF">
        <w:t>has been s</w:t>
      </w:r>
      <w:r>
        <w:t>ent to the wrong person, with answers bearing no resemblance to the sample loan features as characterized by Experian records.  In each of th</w:t>
      </w:r>
      <w:r w:rsidR="009554CF">
        <w:t>o</w:t>
      </w:r>
      <w:r>
        <w:t xml:space="preserve">se circumstances the survey response was removed from the data set used for analysis.  </w:t>
      </w:r>
    </w:p>
    <w:p w:rsidR="000C008D" w:rsidP="00A36666" w14:paraId="7B04D673" w14:textId="77777777">
      <w:pPr>
        <w:pStyle w:val="BodyText"/>
        <w:spacing w:after="0" w:line="240" w:lineRule="auto"/>
      </w:pPr>
    </w:p>
    <w:p w:rsidR="00132F17" w:rsidRPr="009C7EE3" w:rsidP="009C7EE3" w14:paraId="1741CB4C" w14:textId="650CD497">
      <w:pPr>
        <w:pStyle w:val="BodyText"/>
        <w:spacing w:after="0" w:line="240" w:lineRule="auto"/>
        <w:rPr>
          <w:szCs w:val="24"/>
        </w:rPr>
      </w:pPr>
      <w:r>
        <w:t xml:space="preserve">Overall, for the first </w:t>
      </w:r>
      <w:r w:rsidR="00DE681F">
        <w:t>3</w:t>
      </w:r>
      <w:r w:rsidR="00DC103E">
        <w:t>4</w:t>
      </w:r>
      <w:r>
        <w:t xml:space="preserve"> waves </w:t>
      </w:r>
      <w:r w:rsidR="00DC103E">
        <w:t>51,290</w:t>
      </w:r>
      <w:r>
        <w:t xml:space="preserve"> usable responses were obtained from </w:t>
      </w:r>
      <w:r w:rsidR="00DC103E">
        <w:t>60,151</w:t>
      </w:r>
      <w:r>
        <w:t xml:space="preserve"> returned surveys.  This resulted in a usable response rate of </w:t>
      </w:r>
      <w:r w:rsidR="00B210CB">
        <w:t>25.28</w:t>
      </w:r>
      <w:r>
        <w:t>% out of the mailed-out questionnaires.</w:t>
      </w:r>
    </w:p>
    <w:p w:rsidR="000072C9" w:rsidP="006F3586" w14:paraId="4AF20E4A" w14:textId="77777777">
      <w:pPr>
        <w:spacing w:line="240" w:lineRule="auto"/>
        <w:rPr>
          <w:rFonts w:eastAsia="Times New Roman" w:cs="Times New Roman"/>
          <w:b/>
          <w:color w:val="000000"/>
          <w:szCs w:val="24"/>
        </w:rPr>
      </w:pPr>
    </w:p>
    <w:p w:rsidR="00DC762E" w:rsidP="000072C9" w14:paraId="79673770" w14:textId="77777777">
      <w:pPr>
        <w:spacing w:line="240" w:lineRule="auto"/>
        <w:rPr>
          <w:rFonts w:eastAsia="Times New Roman" w:cs="Times New Roman"/>
          <w:b/>
          <w:color w:val="000000"/>
          <w:szCs w:val="24"/>
        </w:rPr>
      </w:pPr>
    </w:p>
    <w:p w:rsidR="00567422" w:rsidRPr="004373D2" w:rsidP="000D3CCC" w14:paraId="77F38252" w14:textId="44E3FCD4">
      <w:pPr>
        <w:spacing w:line="240" w:lineRule="auto"/>
        <w:ind w:left="540"/>
        <w:rPr>
          <w:rFonts w:eastAsia="Times New Roman" w:cs="Times New Roman"/>
          <w:szCs w:val="24"/>
        </w:rPr>
      </w:pPr>
      <w:r w:rsidRPr="00744D1B">
        <w:rPr>
          <w:rFonts w:eastAsia="Times New Roman" w:cs="Times New Roman"/>
          <w:b/>
          <w:color w:val="000000"/>
          <w:szCs w:val="24"/>
        </w:rPr>
        <w:t>Question 2. Describe the procedures fo</w:t>
      </w:r>
      <w:r>
        <w:rPr>
          <w:rFonts w:eastAsia="Times New Roman" w:cs="Times New Roman"/>
          <w:b/>
          <w:color w:val="000000"/>
          <w:szCs w:val="24"/>
        </w:rPr>
        <w:t>r the collection of information, including</w:t>
      </w:r>
      <w:r w:rsidR="005A2FFF">
        <w:rPr>
          <w:rFonts w:eastAsia="Times New Roman" w:cs="Times New Roman"/>
          <w:b/>
          <w:noProof/>
          <w:color w:val="000000"/>
          <w:szCs w:val="20"/>
        </w:rPr>
        <w:t>:</w:t>
      </w:r>
    </w:p>
    <w:p w:rsidR="00A3507D" w:rsidRPr="00567422" w:rsidP="000D3CCC" w14:paraId="53DB754E" w14:textId="77777777">
      <w:pPr>
        <w:pStyle w:val="ListParagraph"/>
        <w:numPr>
          <w:ilvl w:val="0"/>
          <w:numId w:val="3"/>
        </w:numPr>
        <w:spacing w:line="240" w:lineRule="auto"/>
        <w:rPr>
          <w:rFonts w:eastAsia="Times New Roman" w:cs="Times New Roman"/>
          <w:b/>
          <w:color w:val="000000"/>
          <w:szCs w:val="24"/>
        </w:rPr>
      </w:pPr>
      <w:r w:rsidRPr="00567422">
        <w:rPr>
          <w:rFonts w:eastAsia="Times New Roman" w:cs="Times New Roman"/>
          <w:b/>
          <w:color w:val="000000"/>
          <w:szCs w:val="24"/>
        </w:rPr>
        <w:t>Statistical methodology for stratification and sample selection,</w:t>
      </w:r>
    </w:p>
    <w:p w:rsidR="00A3507D" w:rsidRPr="00A3507D" w:rsidP="000D3CCC" w14:paraId="2530125F" w14:textId="77777777">
      <w:pPr>
        <w:numPr>
          <w:ilvl w:val="0"/>
          <w:numId w:val="3"/>
        </w:numPr>
        <w:spacing w:line="240" w:lineRule="auto"/>
        <w:rPr>
          <w:rFonts w:eastAsia="Times New Roman" w:cs="Times New Roman"/>
          <w:b/>
          <w:color w:val="000000"/>
          <w:szCs w:val="24"/>
        </w:rPr>
      </w:pPr>
      <w:r w:rsidRPr="00A3507D">
        <w:rPr>
          <w:rFonts w:eastAsia="Times New Roman" w:cs="Times New Roman"/>
          <w:b/>
          <w:color w:val="000000"/>
          <w:szCs w:val="24"/>
        </w:rPr>
        <w:t>Estimation procedure,</w:t>
      </w:r>
    </w:p>
    <w:p w:rsidR="00A3507D" w:rsidRPr="00A3507D" w:rsidP="000D3CCC" w14:paraId="403D829B" w14:textId="77777777">
      <w:pPr>
        <w:numPr>
          <w:ilvl w:val="0"/>
          <w:numId w:val="3"/>
        </w:numPr>
        <w:spacing w:line="240" w:lineRule="auto"/>
        <w:rPr>
          <w:rFonts w:eastAsia="Times New Roman" w:cs="Times New Roman"/>
          <w:b/>
          <w:color w:val="000000"/>
          <w:szCs w:val="24"/>
        </w:rPr>
      </w:pPr>
      <w:r w:rsidRPr="00A3507D">
        <w:rPr>
          <w:rFonts w:eastAsia="Times New Roman" w:cs="Times New Roman"/>
          <w:b/>
          <w:color w:val="000000"/>
          <w:szCs w:val="24"/>
        </w:rPr>
        <w:t>Degree of accuracy needed for the purpose described in the justification,</w:t>
      </w:r>
    </w:p>
    <w:p w:rsidR="00A3507D" w:rsidRPr="00A3507D" w:rsidP="000D3CCC" w14:paraId="12C841B6" w14:textId="77777777">
      <w:pPr>
        <w:numPr>
          <w:ilvl w:val="0"/>
          <w:numId w:val="3"/>
        </w:numPr>
        <w:spacing w:line="240" w:lineRule="auto"/>
        <w:rPr>
          <w:rFonts w:eastAsia="Times New Roman" w:cs="Times New Roman"/>
          <w:b/>
          <w:color w:val="000000"/>
          <w:szCs w:val="24"/>
        </w:rPr>
      </w:pPr>
      <w:r w:rsidRPr="00A3507D">
        <w:rPr>
          <w:rFonts w:eastAsia="Times New Roman" w:cs="Times New Roman"/>
          <w:b/>
          <w:color w:val="000000"/>
          <w:szCs w:val="24"/>
        </w:rPr>
        <w:t>Unusual problems requiring specialized sampling procedures, and</w:t>
      </w:r>
    </w:p>
    <w:p w:rsidR="00A3507D" w:rsidRPr="00A3507D" w:rsidP="000D3CCC" w14:paraId="278DAEF2" w14:textId="77777777">
      <w:pPr>
        <w:numPr>
          <w:ilvl w:val="0"/>
          <w:numId w:val="3"/>
        </w:numPr>
        <w:spacing w:line="240" w:lineRule="auto"/>
        <w:rPr>
          <w:rFonts w:eastAsia="Times New Roman" w:cs="Times New Roman"/>
          <w:b/>
          <w:color w:val="000000"/>
          <w:szCs w:val="24"/>
        </w:rPr>
      </w:pPr>
      <w:r w:rsidRPr="00A3507D">
        <w:rPr>
          <w:rFonts w:eastAsia="Times New Roman" w:cs="Times New Roman"/>
          <w:b/>
          <w:color w:val="000000"/>
          <w:szCs w:val="24"/>
        </w:rPr>
        <w:t>Any use of periodic (less frequently than annual) data collection cycles to reduce burden.</w:t>
      </w:r>
    </w:p>
    <w:p w:rsidR="00744D1B" w:rsidRPr="00744D1B" w:rsidP="000D3CCC" w14:paraId="017D4CDD" w14:textId="77777777">
      <w:pPr>
        <w:spacing w:line="240" w:lineRule="auto"/>
        <w:rPr>
          <w:rFonts w:eastAsia="Times New Roman" w:cs="Times New Roman"/>
          <w:szCs w:val="24"/>
        </w:rPr>
      </w:pPr>
    </w:p>
    <w:p w:rsidR="00CB7B21" w:rsidP="0075333A" w14:paraId="3EFA70AF" w14:textId="77777777">
      <w:pPr>
        <w:spacing w:line="240" w:lineRule="auto"/>
        <w:rPr>
          <w:rFonts w:eastAsia="Times New Roman" w:cs="Times New Roman"/>
          <w:color w:val="000000"/>
          <w:szCs w:val="24"/>
        </w:rPr>
      </w:pPr>
      <w:r>
        <w:rPr>
          <w:rFonts w:eastAsia="Times New Roman" w:cs="Times New Roman"/>
          <w:color w:val="000000"/>
          <w:szCs w:val="24"/>
        </w:rPr>
        <w:t>Data for</w:t>
      </w:r>
      <w:r w:rsidRPr="00873CB7" w:rsidR="00873CB7">
        <w:rPr>
          <w:rFonts w:eastAsia="Times New Roman" w:cs="Times New Roman"/>
          <w:color w:val="000000"/>
          <w:szCs w:val="24"/>
        </w:rPr>
        <w:t xml:space="preserve"> the </w:t>
      </w:r>
      <w:r w:rsidR="00DB226A">
        <w:rPr>
          <w:rFonts w:eastAsia="Times New Roman" w:cs="Times New Roman"/>
          <w:color w:val="000000"/>
          <w:szCs w:val="24"/>
        </w:rPr>
        <w:t>NSMO</w:t>
      </w:r>
      <w:r w:rsidRPr="00873CB7" w:rsidR="00873CB7">
        <w:rPr>
          <w:rFonts w:eastAsia="Times New Roman" w:cs="Times New Roman"/>
          <w:color w:val="000000"/>
          <w:szCs w:val="24"/>
        </w:rPr>
        <w:t xml:space="preserve"> </w:t>
      </w:r>
      <w:r w:rsidR="007842B3">
        <w:rPr>
          <w:rFonts w:eastAsia="Times New Roman" w:cs="Times New Roman"/>
          <w:color w:val="000000"/>
          <w:szCs w:val="24"/>
        </w:rPr>
        <w:t>is</w:t>
      </w:r>
      <w:r>
        <w:rPr>
          <w:rFonts w:eastAsia="Times New Roman" w:cs="Times New Roman"/>
          <w:color w:val="000000"/>
          <w:szCs w:val="24"/>
        </w:rPr>
        <w:t xml:space="preserve"> collected through a</w:t>
      </w:r>
      <w:r w:rsidRPr="00873CB7" w:rsidR="00873CB7">
        <w:rPr>
          <w:rFonts w:eastAsia="Times New Roman" w:cs="Times New Roman"/>
          <w:color w:val="000000"/>
          <w:szCs w:val="24"/>
        </w:rPr>
        <w:t xml:space="preserve"> single-blind mail survey format.  The survey’s sample selection is discussed earlier in Question 1.  The </w:t>
      </w:r>
      <w:r w:rsidR="00DB226A">
        <w:rPr>
          <w:rFonts w:eastAsia="Times New Roman" w:cs="Times New Roman"/>
          <w:color w:val="000000"/>
          <w:szCs w:val="24"/>
        </w:rPr>
        <w:t>NSMO</w:t>
      </w:r>
      <w:r w:rsidRPr="00873CB7" w:rsidR="00873CB7">
        <w:rPr>
          <w:rFonts w:eastAsia="Times New Roman" w:cs="Times New Roman"/>
          <w:color w:val="000000"/>
          <w:szCs w:val="24"/>
        </w:rPr>
        <w:t xml:space="preserve"> is a simple, random sample</w:t>
      </w:r>
      <w:r w:rsidR="005B3A4C">
        <w:rPr>
          <w:rFonts w:eastAsia="Times New Roman" w:cs="Times New Roman"/>
          <w:color w:val="000000"/>
          <w:szCs w:val="24"/>
        </w:rPr>
        <w:t xml:space="preserve"> of mortgage originations and is not stratified</w:t>
      </w:r>
      <w:r w:rsidRPr="00873CB7" w:rsidR="00873CB7">
        <w:rPr>
          <w:rFonts w:eastAsia="Times New Roman" w:cs="Times New Roman"/>
          <w:color w:val="000000"/>
          <w:szCs w:val="24"/>
        </w:rPr>
        <w:t xml:space="preserve">.  </w:t>
      </w:r>
      <w:r w:rsidRPr="005B3A4C" w:rsidR="005B3A4C">
        <w:rPr>
          <w:rFonts w:eastAsia="Times New Roman" w:cs="Times New Roman"/>
          <w:color w:val="000000"/>
          <w:szCs w:val="24"/>
        </w:rPr>
        <w:t xml:space="preserve">Alternatives designed for stratifying, clustering, or cut-off samples were not considered.  While subpopulations are of interest, the key purpose of the survey is to gather information on the origination characteristics of the sampled borrowers.  </w:t>
      </w:r>
      <w:r w:rsidR="00425817">
        <w:rPr>
          <w:rFonts w:eastAsia="Times New Roman" w:cs="Times New Roman"/>
          <w:color w:val="000000"/>
          <w:szCs w:val="24"/>
        </w:rPr>
        <w:t>No estimation</w:t>
      </w:r>
      <w:r w:rsidRPr="00873CB7" w:rsidR="00873CB7">
        <w:rPr>
          <w:rFonts w:eastAsia="Times New Roman" w:cs="Times New Roman"/>
          <w:color w:val="000000"/>
          <w:szCs w:val="24"/>
        </w:rPr>
        <w:t xml:space="preserve"> procedures are needed in interpreting the survey responses.  Similarly</w:t>
      </w:r>
      <w:r w:rsidR="005B3A4C">
        <w:rPr>
          <w:rFonts w:eastAsia="Times New Roman" w:cs="Times New Roman"/>
          <w:color w:val="000000"/>
          <w:szCs w:val="24"/>
        </w:rPr>
        <w:t>,</w:t>
      </w:r>
      <w:r w:rsidRPr="00873CB7" w:rsidR="00873CB7">
        <w:rPr>
          <w:rFonts w:eastAsia="Times New Roman" w:cs="Times New Roman"/>
          <w:color w:val="000000"/>
          <w:szCs w:val="24"/>
        </w:rPr>
        <w:t xml:space="preserve"> no hypotheses are being tested and no unusual problems exist that require specialized sampling procedures</w:t>
      </w:r>
      <w:r w:rsidRPr="00A26DC9" w:rsidR="00A26DC9">
        <w:rPr>
          <w:rFonts w:eastAsia="Times New Roman" w:cs="Times New Roman"/>
          <w:color w:val="000000"/>
          <w:szCs w:val="24"/>
        </w:rPr>
        <w:t>.</w:t>
      </w:r>
    </w:p>
    <w:p w:rsidR="00664D60" w:rsidP="00664D60" w14:paraId="6245F9B6" w14:textId="77777777">
      <w:pPr>
        <w:spacing w:line="240" w:lineRule="auto"/>
        <w:rPr>
          <w:b/>
          <w:color w:val="000000"/>
        </w:rPr>
      </w:pPr>
    </w:p>
    <w:p w:rsidR="00664D60" w:rsidRPr="00664D60" w:rsidP="00664D60" w14:paraId="27AD7635" w14:textId="77777777">
      <w:pPr>
        <w:spacing w:line="240" w:lineRule="auto"/>
        <w:rPr>
          <w:b/>
          <w:color w:val="000000"/>
        </w:rPr>
      </w:pPr>
    </w:p>
    <w:p w:rsidR="00744D1B" w:rsidRPr="00744D1B" w:rsidP="000D3CCC" w14:paraId="2BB4DF2E" w14:textId="7562DA3F">
      <w:pPr>
        <w:autoSpaceDE w:val="0"/>
        <w:autoSpaceDN w:val="0"/>
        <w:adjustRightInd w:val="0"/>
        <w:spacing w:line="240" w:lineRule="auto"/>
        <w:ind w:left="540"/>
        <w:rPr>
          <w:rFonts w:eastAsia="Times New Roman" w:cs="Times New Roman"/>
          <w:b/>
          <w:color w:val="000000"/>
          <w:szCs w:val="24"/>
        </w:rPr>
      </w:pPr>
      <w:r w:rsidRPr="00744D1B">
        <w:rPr>
          <w:rFonts w:eastAsia="Times New Roman" w:cs="Times New Roman"/>
          <w:b/>
          <w:color w:val="000000"/>
          <w:szCs w:val="24"/>
        </w:rPr>
        <w:t>Question 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5333A" w:rsidRPr="00744D1B" w:rsidP="000D3CCC" w14:paraId="19677890" w14:textId="77777777">
      <w:pPr>
        <w:spacing w:line="240" w:lineRule="auto"/>
        <w:rPr>
          <w:rFonts w:eastAsia="Times New Roman" w:cs="Times New Roman"/>
          <w:color w:val="000000"/>
          <w:szCs w:val="24"/>
        </w:rPr>
      </w:pPr>
    </w:p>
    <w:p w:rsidR="00783BA8" w:rsidRPr="00783BA8" w:rsidP="000D3CCC" w14:paraId="3188E6E8" w14:textId="77777777">
      <w:pPr>
        <w:spacing w:line="240" w:lineRule="auto"/>
        <w:ind w:left="360"/>
        <w:rPr>
          <w:rFonts w:eastAsia="Times New Roman" w:cs="Times New Roman"/>
          <w:i/>
          <w:color w:val="000000"/>
          <w:szCs w:val="24"/>
          <w:u w:val="single"/>
        </w:rPr>
      </w:pPr>
      <w:r w:rsidRPr="00783BA8">
        <w:rPr>
          <w:rFonts w:eastAsia="Times New Roman" w:cs="Times New Roman"/>
          <w:i/>
          <w:color w:val="000000"/>
          <w:szCs w:val="24"/>
          <w:u w:val="single"/>
        </w:rPr>
        <w:t>Methods Used to Maximize Response Rates</w:t>
      </w:r>
    </w:p>
    <w:p w:rsidR="00783BA8" w:rsidP="000D3CCC" w14:paraId="6C0F2DC4" w14:textId="77777777">
      <w:pPr>
        <w:spacing w:line="240" w:lineRule="auto"/>
        <w:rPr>
          <w:rFonts w:eastAsia="Times New Roman" w:cs="Times New Roman"/>
          <w:color w:val="000000"/>
          <w:szCs w:val="24"/>
        </w:rPr>
      </w:pPr>
    </w:p>
    <w:p w:rsidR="00D25B30" w:rsidP="008A3F0E" w14:paraId="1D5BB017" w14:textId="0496A5C4">
      <w:pPr>
        <w:spacing w:line="240" w:lineRule="auto"/>
        <w:rPr>
          <w:rFonts w:eastAsia="Times New Roman" w:cs="Times New Roman"/>
          <w:color w:val="000000"/>
          <w:szCs w:val="24"/>
        </w:rPr>
      </w:pPr>
      <w:r w:rsidRPr="0056411A">
        <w:rPr>
          <w:rFonts w:eastAsia="Times New Roman" w:cs="Times New Roman"/>
          <w:color w:val="000000"/>
          <w:szCs w:val="24"/>
        </w:rPr>
        <w:t>The methodology for National Mortgage Database, including the NSM</w:t>
      </w:r>
      <w:r>
        <w:rPr>
          <w:rFonts w:eastAsia="Times New Roman" w:cs="Times New Roman"/>
          <w:color w:val="000000"/>
          <w:szCs w:val="24"/>
        </w:rPr>
        <w:t>O</w:t>
      </w:r>
      <w:r w:rsidRPr="0056411A">
        <w:rPr>
          <w:rFonts w:eastAsia="Times New Roman" w:cs="Times New Roman"/>
          <w:color w:val="000000"/>
          <w:szCs w:val="24"/>
        </w:rPr>
        <w:t xml:space="preserve">, </w:t>
      </w:r>
      <w:r>
        <w:rPr>
          <w:rFonts w:eastAsia="Times New Roman" w:cs="Times New Roman"/>
          <w:color w:val="000000"/>
          <w:szCs w:val="24"/>
        </w:rPr>
        <w:t>was initially</w:t>
      </w:r>
      <w:r w:rsidRPr="0056411A">
        <w:rPr>
          <w:rFonts w:eastAsia="Times New Roman" w:cs="Times New Roman"/>
          <w:color w:val="000000"/>
          <w:szCs w:val="24"/>
        </w:rPr>
        <w:t xml:space="preserve"> based upon methodology that was developed and tested during a series of three surveys funded and carried out by Freddie Mac between 2010 and 2012.  </w:t>
      </w:r>
      <w:r w:rsidR="00026E8A">
        <w:rPr>
          <w:rFonts w:eastAsia="Times New Roman" w:cs="Times New Roman"/>
          <w:color w:val="000000"/>
          <w:szCs w:val="24"/>
        </w:rPr>
        <w:t>After achieving a response rate of just 12 percent on its initial pilot survey in 2010</w:t>
      </w:r>
      <w:r w:rsidR="00F40D6A">
        <w:rPr>
          <w:rFonts w:eastAsia="Times New Roman" w:cs="Times New Roman"/>
          <w:color w:val="000000"/>
          <w:szCs w:val="24"/>
        </w:rPr>
        <w:t xml:space="preserve">, </w:t>
      </w:r>
      <w:r w:rsidR="00026E8A">
        <w:rPr>
          <w:rFonts w:eastAsia="Times New Roman" w:cs="Times New Roman"/>
          <w:color w:val="000000"/>
          <w:szCs w:val="24"/>
        </w:rPr>
        <w:t xml:space="preserve">Freddie </w:t>
      </w:r>
      <w:r w:rsidR="004A6015">
        <w:rPr>
          <w:rFonts w:eastAsia="Times New Roman" w:cs="Times New Roman"/>
          <w:color w:val="000000"/>
          <w:szCs w:val="24"/>
        </w:rPr>
        <w:t>Mac retained Dr. Don A. Dillman</w:t>
      </w:r>
      <w:r w:rsidR="00026E8A">
        <w:rPr>
          <w:rFonts w:eastAsia="Times New Roman" w:cs="Times New Roman"/>
          <w:color w:val="000000"/>
          <w:szCs w:val="24"/>
        </w:rPr>
        <w:t xml:space="preserve"> of Washington State University,</w:t>
      </w:r>
      <w:r w:rsidR="00D7770E">
        <w:rPr>
          <w:rFonts w:eastAsia="Times New Roman" w:cs="Times New Roman"/>
          <w:color w:val="000000"/>
          <w:szCs w:val="24"/>
        </w:rPr>
        <w:t xml:space="preserve"> </w:t>
      </w:r>
      <w:r w:rsidR="00B210CB">
        <w:rPr>
          <w:rFonts w:eastAsia="Times New Roman" w:cs="Times New Roman"/>
          <w:color w:val="000000"/>
          <w:szCs w:val="24"/>
        </w:rPr>
        <w:t xml:space="preserve">who was </w:t>
      </w:r>
      <w:r w:rsidRPr="004A6015" w:rsidR="004A6015">
        <w:rPr>
          <w:rFonts w:eastAsia="Times New Roman" w:cs="Times New Roman"/>
          <w:color w:val="000000"/>
          <w:szCs w:val="24"/>
        </w:rPr>
        <w:t>a leading expert in mail survey methods</w:t>
      </w:r>
      <w:r w:rsidR="00086587">
        <w:rPr>
          <w:rFonts w:eastAsia="Times New Roman" w:cs="Times New Roman"/>
          <w:color w:val="000000"/>
          <w:szCs w:val="24"/>
        </w:rPr>
        <w:t>,</w:t>
      </w:r>
      <w:r w:rsidRPr="004A6015" w:rsidR="004A6015">
        <w:rPr>
          <w:rFonts w:eastAsia="Times New Roman" w:cs="Times New Roman"/>
          <w:color w:val="000000"/>
          <w:szCs w:val="24"/>
        </w:rPr>
        <w:t xml:space="preserve"> </w:t>
      </w:r>
      <w:r w:rsidR="00086587">
        <w:rPr>
          <w:rFonts w:eastAsia="Times New Roman" w:cs="Times New Roman"/>
          <w:color w:val="000000"/>
          <w:szCs w:val="24"/>
        </w:rPr>
        <w:t>to provide</w:t>
      </w:r>
      <w:r w:rsidR="00D7770E">
        <w:rPr>
          <w:rFonts w:eastAsia="Times New Roman" w:cs="Times New Roman"/>
          <w:color w:val="000000"/>
          <w:szCs w:val="24"/>
        </w:rPr>
        <w:t xml:space="preserve"> input</w:t>
      </w:r>
      <w:r w:rsidR="00086587">
        <w:rPr>
          <w:rFonts w:eastAsia="Times New Roman" w:cs="Times New Roman"/>
          <w:color w:val="000000"/>
          <w:szCs w:val="24"/>
        </w:rPr>
        <w:t xml:space="preserve"> on ways</w:t>
      </w:r>
      <w:r w:rsidR="00D7770E">
        <w:rPr>
          <w:rFonts w:eastAsia="Times New Roman" w:cs="Times New Roman"/>
          <w:color w:val="000000"/>
          <w:szCs w:val="24"/>
        </w:rPr>
        <w:t xml:space="preserve"> to maximize</w:t>
      </w:r>
      <w:r w:rsidR="00086587">
        <w:rPr>
          <w:rFonts w:eastAsia="Times New Roman" w:cs="Times New Roman"/>
          <w:color w:val="000000"/>
          <w:szCs w:val="24"/>
        </w:rPr>
        <w:t xml:space="preserve"> </w:t>
      </w:r>
      <w:r w:rsidR="00D7770E">
        <w:rPr>
          <w:rFonts w:eastAsia="Times New Roman" w:cs="Times New Roman"/>
          <w:color w:val="000000"/>
          <w:szCs w:val="24"/>
        </w:rPr>
        <w:t>re</w:t>
      </w:r>
      <w:r w:rsidR="002A40F4">
        <w:rPr>
          <w:rFonts w:eastAsia="Times New Roman" w:cs="Times New Roman"/>
          <w:color w:val="000000"/>
          <w:szCs w:val="24"/>
        </w:rPr>
        <w:t>spons</w:t>
      </w:r>
      <w:r w:rsidR="00086587">
        <w:rPr>
          <w:rFonts w:eastAsia="Times New Roman" w:cs="Times New Roman"/>
          <w:color w:val="000000"/>
          <w:szCs w:val="24"/>
        </w:rPr>
        <w:t>e rate</w:t>
      </w:r>
      <w:r w:rsidR="00B475ED">
        <w:rPr>
          <w:rFonts w:eastAsia="Times New Roman" w:cs="Times New Roman"/>
          <w:color w:val="000000"/>
          <w:szCs w:val="24"/>
        </w:rPr>
        <w:t xml:space="preserve">. </w:t>
      </w:r>
      <w:r w:rsidR="002A40F4">
        <w:rPr>
          <w:rFonts w:eastAsia="Times New Roman" w:cs="Times New Roman"/>
          <w:color w:val="000000"/>
          <w:szCs w:val="24"/>
        </w:rPr>
        <w:t xml:space="preserve"> </w:t>
      </w:r>
      <w:r>
        <w:rPr>
          <w:rFonts w:eastAsia="Times New Roman" w:cs="Times New Roman"/>
          <w:color w:val="000000"/>
          <w:szCs w:val="24"/>
        </w:rPr>
        <w:t>Dr</w:t>
      </w:r>
      <w:r w:rsidR="00B475ED">
        <w:rPr>
          <w:rFonts w:eastAsia="Times New Roman" w:cs="Times New Roman"/>
          <w:color w:val="000000"/>
          <w:szCs w:val="24"/>
        </w:rPr>
        <w:t>.</w:t>
      </w:r>
      <w:r w:rsidR="00126137">
        <w:rPr>
          <w:rFonts w:eastAsia="Times New Roman" w:cs="Times New Roman"/>
          <w:color w:val="000000"/>
          <w:szCs w:val="24"/>
        </w:rPr>
        <w:t xml:space="preserve"> Dillman</w:t>
      </w:r>
      <w:r w:rsidR="00086587">
        <w:rPr>
          <w:rFonts w:eastAsia="Times New Roman" w:cs="Times New Roman"/>
          <w:color w:val="000000"/>
          <w:szCs w:val="24"/>
        </w:rPr>
        <w:t xml:space="preserve"> provided</w:t>
      </w:r>
      <w:r w:rsidRPr="00E1290F" w:rsidR="00E1290F">
        <w:rPr>
          <w:rFonts w:eastAsia="Times New Roman" w:cs="Times New Roman"/>
          <w:color w:val="000000"/>
          <w:szCs w:val="24"/>
        </w:rPr>
        <w:t xml:space="preserve"> recomme</w:t>
      </w:r>
      <w:r w:rsidR="00086587">
        <w:rPr>
          <w:rFonts w:eastAsia="Times New Roman" w:cs="Times New Roman"/>
          <w:color w:val="000000"/>
          <w:szCs w:val="24"/>
        </w:rPr>
        <w:t>ndations in three critical areas</w:t>
      </w:r>
      <w:r w:rsidRPr="00E1290F" w:rsidR="00E1290F">
        <w:rPr>
          <w:rFonts w:eastAsia="Times New Roman" w:cs="Times New Roman"/>
          <w:color w:val="000000"/>
          <w:szCs w:val="24"/>
        </w:rPr>
        <w:t>:</w:t>
      </w:r>
      <w:r w:rsidR="0058742B">
        <w:rPr>
          <w:rFonts w:eastAsia="Times New Roman" w:cs="Times New Roman"/>
          <w:color w:val="000000"/>
          <w:szCs w:val="24"/>
        </w:rPr>
        <w:t xml:space="preserve"> </w:t>
      </w:r>
      <w:r w:rsidRPr="00E1290F" w:rsidR="00E1290F">
        <w:rPr>
          <w:rFonts w:eastAsia="Times New Roman" w:cs="Times New Roman"/>
          <w:color w:val="000000"/>
          <w:szCs w:val="24"/>
        </w:rPr>
        <w:t xml:space="preserve"> </w:t>
      </w:r>
      <w:r w:rsidR="0058742B">
        <w:rPr>
          <w:rFonts w:eastAsia="Times New Roman" w:cs="Times New Roman"/>
          <w:color w:val="000000"/>
          <w:szCs w:val="24"/>
        </w:rPr>
        <w:t xml:space="preserve">(1) </w:t>
      </w:r>
      <w:r w:rsidRPr="00E1290F" w:rsidR="00E1290F">
        <w:rPr>
          <w:rFonts w:eastAsia="Times New Roman" w:cs="Times New Roman"/>
          <w:color w:val="000000"/>
          <w:szCs w:val="24"/>
        </w:rPr>
        <w:t>the execution/implementation</w:t>
      </w:r>
      <w:r w:rsidR="00086587">
        <w:rPr>
          <w:rFonts w:eastAsia="Times New Roman" w:cs="Times New Roman"/>
          <w:color w:val="000000"/>
          <w:szCs w:val="24"/>
        </w:rPr>
        <w:t xml:space="preserve"> of the survey</w:t>
      </w:r>
      <w:r w:rsidRPr="00E1290F" w:rsidR="00E1290F">
        <w:rPr>
          <w:rFonts w:eastAsia="Times New Roman" w:cs="Times New Roman"/>
          <w:color w:val="000000"/>
          <w:szCs w:val="24"/>
        </w:rPr>
        <w:t xml:space="preserve">; </w:t>
      </w:r>
      <w:r w:rsidR="0058742B">
        <w:rPr>
          <w:rFonts w:eastAsia="Times New Roman" w:cs="Times New Roman"/>
          <w:color w:val="000000"/>
          <w:szCs w:val="24"/>
        </w:rPr>
        <w:t xml:space="preserve">(2) </w:t>
      </w:r>
      <w:r w:rsidRPr="00E1290F" w:rsidR="00E1290F">
        <w:rPr>
          <w:rFonts w:eastAsia="Times New Roman" w:cs="Times New Roman"/>
          <w:color w:val="000000"/>
          <w:szCs w:val="24"/>
        </w:rPr>
        <w:t xml:space="preserve">the communications package; and </w:t>
      </w:r>
      <w:r w:rsidR="0058742B">
        <w:rPr>
          <w:rFonts w:eastAsia="Times New Roman" w:cs="Times New Roman"/>
          <w:color w:val="000000"/>
          <w:szCs w:val="24"/>
        </w:rPr>
        <w:t xml:space="preserve">(3) </w:t>
      </w:r>
      <w:r w:rsidRPr="00E1290F" w:rsidR="00E1290F">
        <w:rPr>
          <w:rFonts w:eastAsia="Times New Roman" w:cs="Times New Roman"/>
          <w:color w:val="000000"/>
          <w:szCs w:val="24"/>
        </w:rPr>
        <w:t xml:space="preserve">the questionnaire content and format. </w:t>
      </w:r>
      <w:r w:rsidR="00620AEC">
        <w:rPr>
          <w:rFonts w:eastAsia="Times New Roman" w:cs="Times New Roman"/>
          <w:color w:val="000000"/>
          <w:szCs w:val="24"/>
        </w:rPr>
        <w:t xml:space="preserve"> </w:t>
      </w:r>
      <w:r w:rsidR="00086587">
        <w:rPr>
          <w:rFonts w:eastAsia="Times New Roman" w:cs="Times New Roman"/>
          <w:color w:val="000000"/>
          <w:szCs w:val="24"/>
        </w:rPr>
        <w:t xml:space="preserve">Freddie Mac adopted </w:t>
      </w:r>
      <w:r w:rsidR="00DC5371">
        <w:rPr>
          <w:rFonts w:eastAsia="Times New Roman" w:cs="Times New Roman"/>
          <w:color w:val="000000"/>
          <w:szCs w:val="24"/>
        </w:rPr>
        <w:t>Dr. Dillman’s recommendations in these areas</w:t>
      </w:r>
      <w:r w:rsidR="00DF6352">
        <w:rPr>
          <w:rFonts w:eastAsia="Times New Roman" w:cs="Times New Roman"/>
          <w:color w:val="000000"/>
          <w:szCs w:val="24"/>
        </w:rPr>
        <w:t xml:space="preserve"> </w:t>
      </w:r>
      <w:r w:rsidR="00891A43">
        <w:rPr>
          <w:rFonts w:eastAsia="Times New Roman" w:cs="Times New Roman"/>
          <w:color w:val="000000"/>
          <w:szCs w:val="24"/>
        </w:rPr>
        <w:t xml:space="preserve">and, in the second and third pilot surveys, achieved response rates of 60 and 45 percent, respectively.  FHFA adopted </w:t>
      </w:r>
      <w:r w:rsidR="003F06F6">
        <w:rPr>
          <w:rFonts w:eastAsia="Times New Roman" w:cs="Times New Roman"/>
          <w:color w:val="000000"/>
          <w:szCs w:val="24"/>
        </w:rPr>
        <w:t>those</w:t>
      </w:r>
      <w:r w:rsidR="00891A43">
        <w:rPr>
          <w:rFonts w:eastAsia="Times New Roman" w:cs="Times New Roman"/>
          <w:color w:val="000000"/>
          <w:szCs w:val="24"/>
        </w:rPr>
        <w:t xml:space="preserve"> recommendations for the NSMO and continues to consult with others</w:t>
      </w:r>
      <w:r w:rsidR="003F06F6">
        <w:rPr>
          <w:rFonts w:eastAsia="Times New Roman" w:cs="Times New Roman"/>
          <w:color w:val="000000"/>
          <w:szCs w:val="24"/>
        </w:rPr>
        <w:t xml:space="preserve"> in developing the survey</w:t>
      </w:r>
      <w:r w:rsidRPr="00620AEC" w:rsidR="00620AEC">
        <w:rPr>
          <w:rFonts w:eastAsia="Times New Roman" w:cs="Times New Roman"/>
          <w:color w:val="000000"/>
          <w:szCs w:val="24"/>
        </w:rPr>
        <w:t>.</w:t>
      </w:r>
    </w:p>
    <w:p w:rsidR="00D25B30" w:rsidP="008A3F0E" w14:paraId="617F2DCE" w14:textId="77777777">
      <w:pPr>
        <w:spacing w:line="240" w:lineRule="auto"/>
        <w:rPr>
          <w:rFonts w:eastAsia="Times New Roman" w:cs="Times New Roman"/>
          <w:color w:val="000000"/>
          <w:szCs w:val="24"/>
        </w:rPr>
      </w:pPr>
    </w:p>
    <w:p w:rsidR="00824D21" w:rsidRPr="00824D21" w:rsidP="008C70AA" w14:paraId="23AD5C35" w14:textId="304E5AFF">
      <w:pPr>
        <w:pStyle w:val="BodyText"/>
        <w:spacing w:after="0" w:line="240" w:lineRule="auto"/>
        <w:rPr>
          <w:rFonts w:eastAsia="Times New Roman" w:cs="Times New Roman"/>
          <w:color w:val="000000"/>
          <w:szCs w:val="24"/>
        </w:rPr>
      </w:pPr>
      <w:r>
        <w:rPr>
          <w:rFonts w:eastAsia="Times New Roman" w:cs="Times New Roman"/>
          <w:color w:val="000000"/>
          <w:szCs w:val="24"/>
        </w:rPr>
        <w:t>One important recommendation</w:t>
      </w:r>
      <w:r w:rsidR="008A3F0E">
        <w:rPr>
          <w:rFonts w:eastAsia="Times New Roman" w:cs="Times New Roman"/>
          <w:color w:val="000000"/>
          <w:szCs w:val="24"/>
        </w:rPr>
        <w:t xml:space="preserve"> that</w:t>
      </w:r>
      <w:r w:rsidR="00BF4A53">
        <w:rPr>
          <w:rFonts w:eastAsia="Times New Roman" w:cs="Times New Roman"/>
          <w:color w:val="000000"/>
          <w:szCs w:val="24"/>
        </w:rPr>
        <w:t xml:space="preserve"> FHFA</w:t>
      </w:r>
      <w:r>
        <w:rPr>
          <w:rFonts w:eastAsia="Times New Roman" w:cs="Times New Roman"/>
          <w:color w:val="000000"/>
          <w:szCs w:val="24"/>
        </w:rPr>
        <w:t xml:space="preserve"> </w:t>
      </w:r>
      <w:r w:rsidR="00FB08DB">
        <w:rPr>
          <w:rFonts w:eastAsia="Times New Roman" w:cs="Times New Roman"/>
          <w:color w:val="000000"/>
          <w:szCs w:val="24"/>
        </w:rPr>
        <w:t>adopted for the NSMO</w:t>
      </w:r>
      <w:r w:rsidR="00BF4A53">
        <w:rPr>
          <w:rFonts w:eastAsia="Times New Roman" w:cs="Times New Roman"/>
          <w:color w:val="000000"/>
          <w:szCs w:val="24"/>
        </w:rPr>
        <w:t xml:space="preserve"> </w:t>
      </w:r>
      <w:r w:rsidR="00EE3116">
        <w:rPr>
          <w:rFonts w:eastAsia="Times New Roman" w:cs="Times New Roman"/>
          <w:color w:val="000000"/>
          <w:szCs w:val="24"/>
        </w:rPr>
        <w:t xml:space="preserve">was to have </w:t>
      </w:r>
      <w:r w:rsidR="00C852FB">
        <w:rPr>
          <w:rFonts w:eastAsia="Times New Roman" w:cs="Times New Roman"/>
          <w:color w:val="000000"/>
          <w:szCs w:val="24"/>
        </w:rPr>
        <w:t>four planned mail</w:t>
      </w:r>
      <w:r w:rsidRPr="00D25B30" w:rsidR="00D25B30">
        <w:rPr>
          <w:rFonts w:eastAsia="Times New Roman" w:cs="Times New Roman"/>
          <w:color w:val="000000"/>
          <w:szCs w:val="24"/>
        </w:rPr>
        <w:t xml:space="preserve"> contacts</w:t>
      </w:r>
      <w:r w:rsidR="00C852FB">
        <w:rPr>
          <w:rFonts w:eastAsia="Times New Roman" w:cs="Times New Roman"/>
          <w:color w:val="000000"/>
          <w:szCs w:val="24"/>
        </w:rPr>
        <w:t xml:space="preserve"> with </w:t>
      </w:r>
      <w:r w:rsidR="00BF4A53">
        <w:rPr>
          <w:rFonts w:eastAsia="Times New Roman" w:cs="Times New Roman"/>
          <w:color w:val="000000"/>
          <w:szCs w:val="24"/>
        </w:rPr>
        <w:t>the survey recipients</w:t>
      </w:r>
      <w:r w:rsidRPr="00D25B30" w:rsidR="00D25B30">
        <w:rPr>
          <w:rFonts w:eastAsia="Times New Roman" w:cs="Times New Roman"/>
          <w:color w:val="000000"/>
          <w:szCs w:val="24"/>
        </w:rPr>
        <w:t xml:space="preserve">. </w:t>
      </w:r>
      <w:r w:rsidR="00D25B30">
        <w:rPr>
          <w:rFonts w:eastAsia="Times New Roman" w:cs="Times New Roman"/>
          <w:color w:val="000000"/>
          <w:szCs w:val="24"/>
        </w:rPr>
        <w:t xml:space="preserve"> </w:t>
      </w:r>
      <w:r>
        <w:rPr>
          <w:rFonts w:eastAsia="Times New Roman" w:cs="Times New Roman"/>
          <w:color w:val="000000"/>
          <w:szCs w:val="24"/>
        </w:rPr>
        <w:t>T</w:t>
      </w:r>
      <w:r w:rsidRPr="00824D21">
        <w:rPr>
          <w:rFonts w:eastAsia="Times New Roman" w:cs="Times New Roman"/>
          <w:color w:val="000000"/>
          <w:szCs w:val="24"/>
        </w:rPr>
        <w:t xml:space="preserve">he first contact consists of the questionnaire, an upfront </w:t>
      </w:r>
      <w:r>
        <w:rPr>
          <w:rFonts w:eastAsia="Times New Roman" w:cs="Times New Roman"/>
          <w:color w:val="000000"/>
          <w:szCs w:val="24"/>
        </w:rPr>
        <w:t>monetary</w:t>
      </w:r>
      <w:r w:rsidRPr="00824D21">
        <w:rPr>
          <w:rFonts w:eastAsia="Times New Roman" w:cs="Times New Roman"/>
          <w:color w:val="000000"/>
          <w:szCs w:val="24"/>
        </w:rPr>
        <w:t xml:space="preserve"> incentive</w:t>
      </w:r>
      <w:r>
        <w:rPr>
          <w:rFonts w:eastAsia="Times New Roman" w:cs="Times New Roman"/>
          <w:color w:val="000000"/>
          <w:szCs w:val="24"/>
        </w:rPr>
        <w:t xml:space="preserve"> (ten dollars</w:t>
      </w:r>
      <w:r w:rsidR="008F1A78">
        <w:rPr>
          <w:rFonts w:eastAsia="Times New Roman" w:cs="Times New Roman"/>
          <w:color w:val="000000"/>
          <w:szCs w:val="24"/>
        </w:rPr>
        <w:t xml:space="preserve"> in the current wave</w:t>
      </w:r>
      <w:r>
        <w:rPr>
          <w:rFonts w:eastAsia="Times New Roman" w:cs="Times New Roman"/>
          <w:color w:val="000000"/>
          <w:szCs w:val="24"/>
        </w:rPr>
        <w:t>)</w:t>
      </w:r>
      <w:r w:rsidRPr="00824D21">
        <w:rPr>
          <w:rFonts w:eastAsia="Times New Roman" w:cs="Times New Roman"/>
          <w:color w:val="000000"/>
          <w:szCs w:val="24"/>
        </w:rPr>
        <w:t>, and a cover letter</w:t>
      </w:r>
      <w:r w:rsidR="00C12668">
        <w:rPr>
          <w:rFonts w:eastAsia="Times New Roman" w:cs="Times New Roman"/>
          <w:color w:val="000000"/>
          <w:szCs w:val="24"/>
        </w:rPr>
        <w:t xml:space="preserve"> </w:t>
      </w:r>
      <w:r w:rsidR="00C12668">
        <w:t>with a</w:t>
      </w:r>
      <w:r w:rsidRPr="00D34F81" w:rsidR="00C12668">
        <w:t xml:space="preserve"> </w:t>
      </w:r>
      <w:r w:rsidR="00C12668">
        <w:t>promise of a future cash incentive upon receipt of a completed survey</w:t>
      </w:r>
      <w:r w:rsidRPr="00824D21">
        <w:rPr>
          <w:rFonts w:eastAsia="Times New Roman" w:cs="Times New Roman"/>
          <w:color w:val="000000"/>
          <w:szCs w:val="24"/>
        </w:rPr>
        <w:t xml:space="preserve">.  The second contact, a reminder letter </w:t>
      </w:r>
      <w:r w:rsidR="00C12668">
        <w:t>with a</w:t>
      </w:r>
      <w:r w:rsidRPr="00D34F81" w:rsidR="00C12668">
        <w:t xml:space="preserve"> </w:t>
      </w:r>
      <w:r w:rsidR="00C12668">
        <w:t>promise of a future cash incentive upon receipt of a completed survey</w:t>
      </w:r>
      <w:r w:rsidR="00C12668">
        <w:rPr>
          <w:rFonts w:eastAsia="Times New Roman" w:cs="Times New Roman"/>
          <w:color w:val="000000"/>
          <w:szCs w:val="24"/>
        </w:rPr>
        <w:t xml:space="preserve">, </w:t>
      </w:r>
      <w:r w:rsidRPr="00824D21">
        <w:rPr>
          <w:rFonts w:eastAsia="Times New Roman" w:cs="Times New Roman"/>
          <w:color w:val="000000"/>
          <w:szCs w:val="24"/>
        </w:rPr>
        <w:t>sent to all recipients, occurs in the second week of implementation.  The third contact, in the fifth week, is sent only to non-responders and includes a second reminder letter</w:t>
      </w:r>
      <w:r w:rsidR="00C12668">
        <w:rPr>
          <w:rFonts w:eastAsia="Times New Roman" w:cs="Times New Roman"/>
          <w:color w:val="000000"/>
          <w:szCs w:val="24"/>
        </w:rPr>
        <w:t xml:space="preserve"> </w:t>
      </w:r>
      <w:r w:rsidR="00C12668">
        <w:t>with a</w:t>
      </w:r>
      <w:r w:rsidRPr="00D34F81" w:rsidR="00C12668">
        <w:t xml:space="preserve"> </w:t>
      </w:r>
      <w:r w:rsidR="00C12668">
        <w:t>promise of a future cash incentive upon receipt of a completed survey</w:t>
      </w:r>
      <w:r w:rsidRPr="00824D21">
        <w:rPr>
          <w:rFonts w:eastAsia="Times New Roman" w:cs="Times New Roman"/>
          <w:color w:val="000000"/>
          <w:szCs w:val="24"/>
        </w:rPr>
        <w:t>,</w:t>
      </w:r>
      <w:r w:rsidR="00C12668">
        <w:rPr>
          <w:rFonts w:eastAsia="Times New Roman" w:cs="Times New Roman"/>
          <w:color w:val="000000"/>
          <w:szCs w:val="24"/>
        </w:rPr>
        <w:t xml:space="preserve"> and</w:t>
      </w:r>
      <w:r w:rsidRPr="00824D21">
        <w:rPr>
          <w:rFonts w:eastAsia="Times New Roman" w:cs="Times New Roman"/>
          <w:color w:val="000000"/>
          <w:szCs w:val="24"/>
        </w:rPr>
        <w:t xml:space="preserve"> another copy of the questionnaire</w:t>
      </w:r>
      <w:r w:rsidR="004B14C0">
        <w:rPr>
          <w:rFonts w:eastAsia="Times New Roman" w:cs="Times New Roman"/>
          <w:color w:val="000000"/>
          <w:szCs w:val="24"/>
        </w:rPr>
        <w:t>.</w:t>
      </w:r>
      <w:r w:rsidR="00274A38">
        <w:rPr>
          <w:rFonts w:eastAsia="Times New Roman" w:cs="Times New Roman"/>
          <w:color w:val="000000"/>
          <w:szCs w:val="24"/>
        </w:rPr>
        <w:t xml:space="preserve">  </w:t>
      </w:r>
      <w:r w:rsidRPr="00824D21">
        <w:rPr>
          <w:rFonts w:eastAsia="Times New Roman" w:cs="Times New Roman"/>
          <w:color w:val="000000"/>
          <w:szCs w:val="24"/>
        </w:rPr>
        <w:t>The final contact, a third reminder letter</w:t>
      </w:r>
      <w:r w:rsidR="00C12668">
        <w:rPr>
          <w:rFonts w:eastAsia="Times New Roman" w:cs="Times New Roman"/>
          <w:color w:val="000000"/>
          <w:szCs w:val="24"/>
        </w:rPr>
        <w:t xml:space="preserve"> </w:t>
      </w:r>
      <w:r w:rsidR="00C12668">
        <w:t>with a</w:t>
      </w:r>
      <w:r w:rsidRPr="00D34F81" w:rsidR="00C12668">
        <w:t xml:space="preserve"> </w:t>
      </w:r>
      <w:r w:rsidR="00C12668">
        <w:t>promise of a future cash incentive upon receipt of a completed survey</w:t>
      </w:r>
      <w:r w:rsidRPr="00824D21">
        <w:rPr>
          <w:rFonts w:eastAsia="Times New Roman" w:cs="Times New Roman"/>
          <w:color w:val="000000"/>
          <w:szCs w:val="24"/>
        </w:rPr>
        <w:t xml:space="preserve">, is sent in the seventh week to non-responders only.  A due date for returning </w:t>
      </w:r>
      <w:r w:rsidRPr="00824D21">
        <w:rPr>
          <w:rFonts w:eastAsia="Times New Roman" w:cs="Times New Roman"/>
          <w:color w:val="000000"/>
          <w:szCs w:val="24"/>
        </w:rPr>
        <w:t>the survey questionnaire is included in the last mailing, which closes the communication loop with all survey recipients.</w:t>
      </w:r>
      <w:r>
        <w:rPr>
          <w:color w:val="000000"/>
          <w:vertAlign w:val="superscript"/>
        </w:rPr>
        <w:footnoteReference w:id="15"/>
      </w:r>
      <w:r>
        <w:rPr>
          <w:rFonts w:eastAsia="Times New Roman" w:cs="Times New Roman"/>
          <w:color w:val="000000"/>
          <w:szCs w:val="24"/>
        </w:rPr>
        <w:t xml:space="preserve">  </w:t>
      </w:r>
    </w:p>
    <w:p w:rsidR="00824D21" w:rsidP="008C70AA" w14:paraId="2B9E6A40" w14:textId="77777777">
      <w:pPr>
        <w:pStyle w:val="BodyText"/>
        <w:spacing w:after="0" w:line="240" w:lineRule="auto"/>
        <w:rPr>
          <w:rFonts w:eastAsia="Times New Roman" w:cs="Times New Roman"/>
          <w:color w:val="000000"/>
          <w:szCs w:val="24"/>
        </w:rPr>
      </w:pPr>
    </w:p>
    <w:p w:rsidR="009D4232" w:rsidP="008C70AA" w14:paraId="3F18C61E" w14:textId="1CD8687A">
      <w:pPr>
        <w:pStyle w:val="BodyText"/>
        <w:spacing w:after="0" w:line="240" w:lineRule="auto"/>
      </w:pPr>
      <w:r>
        <w:rPr>
          <w:rFonts w:eastAsia="Times New Roman" w:cs="Times New Roman"/>
          <w:color w:val="000000"/>
          <w:szCs w:val="24"/>
        </w:rPr>
        <w:t xml:space="preserve">Recent waves of the survey </w:t>
      </w:r>
      <w:r w:rsidR="00824D21">
        <w:rPr>
          <w:rFonts w:eastAsia="Times New Roman" w:cs="Times New Roman"/>
          <w:color w:val="000000"/>
          <w:szCs w:val="24"/>
        </w:rPr>
        <w:t xml:space="preserve">have shown </w:t>
      </w:r>
      <w:r w:rsidR="006B7C68">
        <w:t>a slow but steady decline in the response rate, a problem facing many other surveys like NSMO.</w:t>
      </w:r>
      <w:r w:rsidR="008A3F0E">
        <w:t xml:space="preserve">  </w:t>
      </w:r>
      <w:r w:rsidRPr="00F6578B" w:rsidR="008C70AA">
        <w:t>During waves 22 through 2</w:t>
      </w:r>
      <w:r w:rsidR="00453369">
        <w:t>6</w:t>
      </w:r>
      <w:r w:rsidRPr="00F6578B" w:rsidR="008C70AA">
        <w:t xml:space="preserve">, experiments with survey methodology </w:t>
      </w:r>
      <w:r w:rsidR="00453369">
        <w:t>were</w:t>
      </w:r>
      <w:r w:rsidRPr="00F6578B" w:rsidR="008C70AA">
        <w:t xml:space="preserve"> conducted to address the issue of declining response rate.  In wave 22, one half of the usual 6,000 borrowers were randomly selected to receive a ten-dollar cash incentive with the first mailing instead of the five-dollar incentive the other half received</w:t>
      </w:r>
      <w:r w:rsidR="008C70AA">
        <w:t xml:space="preserve"> (and which had been the prevailing rate to that point)</w:t>
      </w:r>
      <w:r w:rsidRPr="00F6578B" w:rsidR="008C70AA">
        <w:t xml:space="preserve">.  In waves 23 and 24, one half of the borrowers received revised cover and reminder letters while the other half received the originals.  (Edits were made to the revised letters between waves 23 and 24 to boost response rates.)  </w:t>
      </w:r>
    </w:p>
    <w:p w:rsidR="009D4232" w:rsidP="008C70AA" w14:paraId="1627A527" w14:textId="77777777">
      <w:pPr>
        <w:pStyle w:val="BodyText"/>
        <w:spacing w:after="0" w:line="240" w:lineRule="auto"/>
      </w:pPr>
    </w:p>
    <w:p w:rsidR="00AA07EB" w:rsidP="007C06D7" w14:paraId="1D04884E" w14:textId="1D4410B8">
      <w:pPr>
        <w:spacing w:line="240" w:lineRule="auto"/>
      </w:pPr>
      <w:r w:rsidRPr="00F6578B">
        <w:t xml:space="preserve">In wave 25, all borrowers were sent an initial incentive of ten dollars.  In terms of the second incentive, one random half of the non-respondents </w:t>
      </w:r>
      <w:r w:rsidR="007335B2">
        <w:t>were</w:t>
      </w:r>
      <w:r w:rsidRPr="00F6578B">
        <w:t xml:space="preserve"> sent the five-dollar cash incentive as in previous waves and the other random half </w:t>
      </w:r>
      <w:r w:rsidR="007335B2">
        <w:t>were</w:t>
      </w:r>
      <w:r w:rsidRPr="00F6578B">
        <w:t xml:space="preserve"> sent a letter informing them that they </w:t>
      </w:r>
      <w:r w:rsidR="007335B2">
        <w:t>would</w:t>
      </w:r>
      <w:r w:rsidRPr="00F6578B">
        <w:t xml:space="preserve"> be sent a twenty-dollar incentive upon completion of the survey.  </w:t>
      </w:r>
      <w:r w:rsidR="009D4232">
        <w:t xml:space="preserve">In wave 26, </w:t>
      </w:r>
      <w:r w:rsidR="008F1A78">
        <w:t>one random half of the</w:t>
      </w:r>
      <w:r w:rsidR="009D4232">
        <w:t xml:space="preserve"> borrowers receive</w:t>
      </w:r>
      <w:r w:rsidR="007335B2">
        <w:t>d</w:t>
      </w:r>
      <w:r w:rsidR="009D4232">
        <w:t xml:space="preserve"> an initial incentive of five dollars </w:t>
      </w:r>
      <w:r w:rsidR="008F1A78">
        <w:rPr>
          <w:rFonts w:eastAsia="Times New Roman" w:cs="Times New Roman"/>
          <w:color w:val="000000"/>
          <w:szCs w:val="24"/>
        </w:rPr>
        <w:t>and the other random half receive</w:t>
      </w:r>
      <w:r w:rsidR="007335B2">
        <w:rPr>
          <w:rFonts w:eastAsia="Times New Roman" w:cs="Times New Roman"/>
          <w:color w:val="000000"/>
          <w:szCs w:val="24"/>
        </w:rPr>
        <w:t>d</w:t>
      </w:r>
      <w:r w:rsidR="008F1A78">
        <w:rPr>
          <w:rFonts w:eastAsia="Times New Roman" w:cs="Times New Roman"/>
          <w:color w:val="000000"/>
          <w:szCs w:val="24"/>
        </w:rPr>
        <w:t xml:space="preserve"> an initial incentive of ten dollars, but</w:t>
      </w:r>
      <w:r w:rsidR="009D4232">
        <w:t xml:space="preserve"> all non-respondents receive</w:t>
      </w:r>
      <w:r w:rsidR="007335B2">
        <w:t>d</w:t>
      </w:r>
      <w:r w:rsidRPr="00F6578B" w:rsidR="009D4232">
        <w:t xml:space="preserve"> a letter informing them that they </w:t>
      </w:r>
      <w:r w:rsidR="007335B2">
        <w:t>would</w:t>
      </w:r>
      <w:r w:rsidRPr="00F6578B" w:rsidR="009D4232">
        <w:t xml:space="preserve"> be sent a twenty-dollar incentive upon completion of the survey.  </w:t>
      </w:r>
      <w:r w:rsidR="00B22F78">
        <w:t xml:space="preserve"> The results of these experiments allowed the NMDB team to create a new incentive structure for waves 27</w:t>
      </w:r>
      <w:r w:rsidR="007C06D7">
        <w:t>-36</w:t>
      </w:r>
      <w:r w:rsidR="00B22F78">
        <w:t xml:space="preserve">, as discussed previously. All borrowers </w:t>
      </w:r>
      <w:r w:rsidR="007C06D7">
        <w:t>were</w:t>
      </w:r>
      <w:r w:rsidR="00B22F78">
        <w:t xml:space="preserve"> sent a $10 incentive in week one and, if they </w:t>
      </w:r>
      <w:r w:rsidR="007C06D7">
        <w:t>did</w:t>
      </w:r>
      <w:r w:rsidR="00882E48">
        <w:t xml:space="preserve"> no</w:t>
      </w:r>
      <w:r w:rsidR="007C06D7">
        <w:t>t</w:t>
      </w:r>
      <w:r w:rsidR="00B22F78">
        <w:t xml:space="preserve"> respond, </w:t>
      </w:r>
      <w:r w:rsidR="007C06D7">
        <w:t xml:space="preserve">were </w:t>
      </w:r>
      <w:r w:rsidR="00B22F78">
        <w:t>told in week five that they would receive $20 upon receipt of a completed survey.</w:t>
      </w:r>
      <w:r w:rsidR="007C06D7">
        <w:t xml:space="preserve">  </w:t>
      </w:r>
    </w:p>
    <w:p w:rsidR="00AA07EB" w:rsidP="007C06D7" w14:paraId="2A3241ED" w14:textId="77777777">
      <w:pPr>
        <w:spacing w:line="240" w:lineRule="auto"/>
      </w:pPr>
    </w:p>
    <w:p w:rsidR="00696ED6" w:rsidP="008C70AA" w14:paraId="20AA51A6" w14:textId="7721F8FA">
      <w:pPr>
        <w:spacing w:line="240" w:lineRule="auto"/>
        <w:rPr>
          <w:rFonts w:eastAsia="Times New Roman" w:cs="Times New Roman"/>
          <w:color w:val="000000"/>
          <w:szCs w:val="24"/>
        </w:rPr>
      </w:pPr>
      <w:r>
        <w:t xml:space="preserve">In waves 37-40, another round of experiments were conducted. </w:t>
      </w:r>
      <w:r w:rsidR="007C06D7">
        <w:rPr>
          <w:rFonts w:eastAsia="Times New Roman" w:cs="Times New Roman"/>
          <w:color w:val="000000"/>
          <w:szCs w:val="24"/>
        </w:rPr>
        <w:t>In wave 37 borrowers received the same incentives as in 27-36, but</w:t>
      </w:r>
      <w:r w:rsidR="00CF4ED7">
        <w:rPr>
          <w:rFonts w:eastAsia="Times New Roman" w:cs="Times New Roman"/>
          <w:color w:val="000000"/>
          <w:szCs w:val="24"/>
        </w:rPr>
        <w:t xml:space="preserve"> a random half</w:t>
      </w:r>
      <w:r w:rsidR="007C06D7">
        <w:rPr>
          <w:rFonts w:eastAsia="Times New Roman" w:cs="Times New Roman"/>
          <w:color w:val="000000"/>
          <w:szCs w:val="24"/>
        </w:rPr>
        <w:t xml:space="preserve"> received a different version of the letters in weeks 1 and 5. In wave 38, borrowers received the same incentives, but </w:t>
      </w:r>
      <w:r w:rsidR="00CF4ED7">
        <w:rPr>
          <w:rFonts w:eastAsia="Times New Roman" w:cs="Times New Roman"/>
          <w:color w:val="000000"/>
          <w:szCs w:val="24"/>
        </w:rPr>
        <w:t xml:space="preserve">a random half </w:t>
      </w:r>
      <w:r w:rsidR="007C06D7">
        <w:rPr>
          <w:rFonts w:eastAsia="Times New Roman" w:cs="Times New Roman"/>
          <w:color w:val="000000"/>
          <w:szCs w:val="24"/>
        </w:rPr>
        <w:t xml:space="preserve">also got a postcard before the first letter to alert borrowers the survey was coming.  In waves 39 and 40, all borrowers received a $10 cash payment, but one random half of the borrowers received an additional $20 for a completed survey after two contacts, and the other half received $20 for a completed survey from the initial contact.  </w:t>
      </w:r>
      <w:r w:rsidR="00CF4ED7">
        <w:rPr>
          <w:rFonts w:eastAsia="Times New Roman" w:cs="Times New Roman"/>
          <w:color w:val="000000"/>
          <w:szCs w:val="24"/>
        </w:rPr>
        <w:t>Starting in</w:t>
      </w:r>
      <w:r w:rsidR="007C06D7">
        <w:rPr>
          <w:rFonts w:eastAsia="Times New Roman" w:cs="Times New Roman"/>
          <w:color w:val="000000"/>
          <w:szCs w:val="24"/>
        </w:rPr>
        <w:t xml:space="preserve"> wave 41, all borrowers received a $10 cash payment and $20 for a completed survey from the initial contact.</w:t>
      </w:r>
      <w:r w:rsidR="00B210CB">
        <w:rPr>
          <w:rFonts w:eastAsia="Times New Roman" w:cs="Times New Roman"/>
          <w:color w:val="000000"/>
          <w:szCs w:val="24"/>
        </w:rPr>
        <w:t xml:space="preserve">  </w:t>
      </w:r>
      <w:r w:rsidR="005872EB">
        <w:rPr>
          <w:rFonts w:eastAsia="Times New Roman" w:cs="Times New Roman"/>
          <w:color w:val="000000"/>
          <w:szCs w:val="24"/>
        </w:rPr>
        <w:t>FHFA also</w:t>
      </w:r>
      <w:r w:rsidR="00B73202">
        <w:rPr>
          <w:rFonts w:eastAsia="Times New Roman" w:cs="Times New Roman"/>
          <w:color w:val="000000"/>
          <w:szCs w:val="24"/>
        </w:rPr>
        <w:t xml:space="preserve"> adopted </w:t>
      </w:r>
      <w:r w:rsidR="005872EB">
        <w:rPr>
          <w:rFonts w:eastAsia="Times New Roman" w:cs="Times New Roman"/>
          <w:color w:val="000000"/>
          <w:szCs w:val="24"/>
        </w:rPr>
        <w:t>two</w:t>
      </w:r>
      <w:r w:rsidR="0062738A">
        <w:rPr>
          <w:rFonts w:eastAsia="Times New Roman" w:cs="Times New Roman"/>
          <w:color w:val="000000"/>
          <w:szCs w:val="24"/>
        </w:rPr>
        <w:t xml:space="preserve"> of Dr. Dillman’s</w:t>
      </w:r>
      <w:r w:rsidR="005872EB">
        <w:rPr>
          <w:rFonts w:eastAsia="Times New Roman" w:cs="Times New Roman"/>
          <w:color w:val="000000"/>
          <w:szCs w:val="24"/>
        </w:rPr>
        <w:t xml:space="preserve"> </w:t>
      </w:r>
      <w:r w:rsidR="00B73202">
        <w:rPr>
          <w:rFonts w:eastAsia="Times New Roman" w:cs="Times New Roman"/>
          <w:color w:val="000000"/>
          <w:szCs w:val="24"/>
        </w:rPr>
        <w:t>recommendation</w:t>
      </w:r>
      <w:r w:rsidR="005872EB">
        <w:rPr>
          <w:rFonts w:eastAsia="Times New Roman" w:cs="Times New Roman"/>
          <w:color w:val="000000"/>
          <w:szCs w:val="24"/>
        </w:rPr>
        <w:t>s regarding</w:t>
      </w:r>
      <w:r w:rsidR="00B73202">
        <w:rPr>
          <w:rFonts w:eastAsia="Times New Roman" w:cs="Times New Roman"/>
          <w:color w:val="000000"/>
          <w:szCs w:val="24"/>
        </w:rPr>
        <w:t xml:space="preserve"> the </w:t>
      </w:r>
      <w:r w:rsidRPr="00D25B30" w:rsidR="00D25B30">
        <w:rPr>
          <w:rFonts w:eastAsia="Times New Roman" w:cs="Times New Roman"/>
          <w:color w:val="000000"/>
          <w:szCs w:val="24"/>
        </w:rPr>
        <w:t>communications package</w:t>
      </w:r>
      <w:r w:rsidR="00EF18AC">
        <w:rPr>
          <w:rFonts w:eastAsia="Times New Roman" w:cs="Times New Roman"/>
          <w:color w:val="000000"/>
          <w:szCs w:val="24"/>
        </w:rPr>
        <w:t>.</w:t>
      </w:r>
      <w:r w:rsidRPr="00D25B30" w:rsidR="00D25B30">
        <w:rPr>
          <w:rFonts w:eastAsia="Times New Roman" w:cs="Times New Roman"/>
          <w:color w:val="000000"/>
          <w:szCs w:val="24"/>
        </w:rPr>
        <w:t xml:space="preserve">  First, </w:t>
      </w:r>
      <w:r w:rsidR="00437776">
        <w:rPr>
          <w:rFonts w:eastAsia="Times New Roman" w:cs="Times New Roman"/>
          <w:color w:val="000000"/>
          <w:szCs w:val="24"/>
        </w:rPr>
        <w:t xml:space="preserve">all </w:t>
      </w:r>
      <w:r w:rsidR="0059055F">
        <w:rPr>
          <w:rFonts w:eastAsia="Times New Roman" w:cs="Times New Roman"/>
          <w:color w:val="000000"/>
          <w:szCs w:val="24"/>
        </w:rPr>
        <w:t xml:space="preserve">communications </w:t>
      </w:r>
      <w:r w:rsidR="00437776">
        <w:rPr>
          <w:rFonts w:eastAsia="Times New Roman" w:cs="Times New Roman"/>
          <w:color w:val="000000"/>
          <w:szCs w:val="24"/>
        </w:rPr>
        <w:t>have a</w:t>
      </w:r>
      <w:r w:rsidR="00044186">
        <w:rPr>
          <w:rFonts w:eastAsia="Times New Roman" w:cs="Times New Roman"/>
          <w:color w:val="000000"/>
          <w:szCs w:val="24"/>
        </w:rPr>
        <w:t xml:space="preserve"> </w:t>
      </w:r>
      <w:r w:rsidR="00373253">
        <w:rPr>
          <w:rFonts w:eastAsia="Times New Roman" w:cs="Times New Roman"/>
          <w:color w:val="000000"/>
          <w:szCs w:val="24"/>
        </w:rPr>
        <w:t>friendl</w:t>
      </w:r>
      <w:r w:rsidR="00E87967">
        <w:rPr>
          <w:rFonts w:eastAsia="Times New Roman" w:cs="Times New Roman"/>
          <w:color w:val="000000"/>
          <w:szCs w:val="24"/>
        </w:rPr>
        <w:t>y</w:t>
      </w:r>
      <w:r w:rsidR="00437776">
        <w:rPr>
          <w:rFonts w:eastAsia="Times New Roman" w:cs="Times New Roman"/>
          <w:color w:val="000000"/>
          <w:szCs w:val="24"/>
        </w:rPr>
        <w:t xml:space="preserve"> tone</w:t>
      </w:r>
      <w:r w:rsidR="00291B2B">
        <w:rPr>
          <w:rFonts w:eastAsia="Times New Roman" w:cs="Times New Roman"/>
          <w:color w:val="000000"/>
          <w:szCs w:val="24"/>
        </w:rPr>
        <w:t xml:space="preserve"> and</w:t>
      </w:r>
      <w:r w:rsidR="0059055F">
        <w:rPr>
          <w:rFonts w:eastAsia="Times New Roman" w:cs="Times New Roman"/>
          <w:color w:val="000000"/>
          <w:szCs w:val="24"/>
        </w:rPr>
        <w:t xml:space="preserve"> reflect</w:t>
      </w:r>
      <w:r w:rsidRPr="00D25B30" w:rsidR="00D25B30">
        <w:rPr>
          <w:rFonts w:eastAsia="Times New Roman" w:cs="Times New Roman"/>
          <w:color w:val="000000"/>
          <w:szCs w:val="24"/>
        </w:rPr>
        <w:t xml:space="preserve"> a personal and sincere request for help.  All corre</w:t>
      </w:r>
      <w:r w:rsidR="0059055F">
        <w:rPr>
          <w:rFonts w:eastAsia="Times New Roman" w:cs="Times New Roman"/>
          <w:color w:val="000000"/>
          <w:szCs w:val="24"/>
        </w:rPr>
        <w:t xml:space="preserve">spondence </w:t>
      </w:r>
      <w:r w:rsidR="00291B2B">
        <w:rPr>
          <w:rFonts w:eastAsia="Times New Roman" w:cs="Times New Roman"/>
          <w:color w:val="000000"/>
          <w:szCs w:val="24"/>
        </w:rPr>
        <w:t>i</w:t>
      </w:r>
      <w:r w:rsidR="007E71AE">
        <w:rPr>
          <w:rFonts w:eastAsia="Times New Roman" w:cs="Times New Roman"/>
          <w:color w:val="000000"/>
          <w:szCs w:val="24"/>
        </w:rPr>
        <w:t>s</w:t>
      </w:r>
      <w:r w:rsidR="00620AEC">
        <w:rPr>
          <w:rFonts w:eastAsia="Times New Roman" w:cs="Times New Roman"/>
          <w:color w:val="000000"/>
          <w:szCs w:val="24"/>
        </w:rPr>
        <w:t xml:space="preserve"> sig</w:t>
      </w:r>
      <w:r w:rsidR="00437776">
        <w:rPr>
          <w:rFonts w:eastAsia="Times New Roman" w:cs="Times New Roman"/>
          <w:color w:val="000000"/>
          <w:szCs w:val="24"/>
        </w:rPr>
        <w:t xml:space="preserve">ned by a senior official of both FHFA and CFPB </w:t>
      </w:r>
      <w:r w:rsidR="00620AEC">
        <w:rPr>
          <w:rFonts w:eastAsia="Times New Roman" w:cs="Times New Roman"/>
          <w:color w:val="000000"/>
          <w:szCs w:val="24"/>
        </w:rPr>
        <w:t>and includ</w:t>
      </w:r>
      <w:r>
        <w:rPr>
          <w:rFonts w:eastAsia="Times New Roman" w:cs="Times New Roman"/>
          <w:color w:val="000000"/>
          <w:szCs w:val="24"/>
        </w:rPr>
        <w:t>e</w:t>
      </w:r>
      <w:r w:rsidR="00291B2B">
        <w:rPr>
          <w:rFonts w:eastAsia="Times New Roman" w:cs="Times New Roman"/>
          <w:color w:val="000000"/>
          <w:szCs w:val="24"/>
        </w:rPr>
        <w:t>s</w:t>
      </w:r>
      <w:r w:rsidRPr="00D25B30" w:rsidR="00D25B30">
        <w:rPr>
          <w:rFonts w:eastAsia="Times New Roman" w:cs="Times New Roman"/>
          <w:color w:val="000000"/>
          <w:szCs w:val="24"/>
        </w:rPr>
        <w:t xml:space="preserve"> contact information for authenticity. </w:t>
      </w:r>
      <w:r w:rsidR="00620AEC">
        <w:rPr>
          <w:rFonts w:eastAsia="Times New Roman" w:cs="Times New Roman"/>
          <w:color w:val="000000"/>
          <w:szCs w:val="24"/>
        </w:rPr>
        <w:t xml:space="preserve"> </w:t>
      </w:r>
      <w:r w:rsidRPr="00D25B30" w:rsidR="00D25B30">
        <w:rPr>
          <w:rFonts w:eastAsia="Times New Roman" w:cs="Times New Roman"/>
          <w:color w:val="000000"/>
          <w:szCs w:val="24"/>
        </w:rPr>
        <w:t xml:space="preserve">Second, </w:t>
      </w:r>
      <w:r w:rsidR="00484E64">
        <w:rPr>
          <w:rFonts w:eastAsia="Times New Roman" w:cs="Times New Roman"/>
          <w:color w:val="000000"/>
          <w:szCs w:val="24"/>
        </w:rPr>
        <w:t>each</w:t>
      </w:r>
      <w:r w:rsidRPr="00D25B30" w:rsidR="00D25B30">
        <w:rPr>
          <w:rFonts w:eastAsia="Times New Roman" w:cs="Times New Roman"/>
          <w:color w:val="000000"/>
          <w:szCs w:val="24"/>
        </w:rPr>
        <w:t xml:space="preserve"> </w:t>
      </w:r>
      <w:r>
        <w:rPr>
          <w:rFonts w:eastAsia="Times New Roman" w:cs="Times New Roman"/>
          <w:color w:val="000000"/>
          <w:szCs w:val="24"/>
        </w:rPr>
        <w:t xml:space="preserve">questionnaire </w:t>
      </w:r>
      <w:r w:rsidR="00484E64">
        <w:rPr>
          <w:rFonts w:eastAsia="Times New Roman" w:cs="Times New Roman"/>
          <w:color w:val="000000"/>
          <w:szCs w:val="24"/>
        </w:rPr>
        <w:t>is</w:t>
      </w:r>
      <w:r>
        <w:rPr>
          <w:rFonts w:eastAsia="Times New Roman" w:cs="Times New Roman"/>
          <w:color w:val="000000"/>
          <w:szCs w:val="24"/>
        </w:rPr>
        <w:t xml:space="preserve"> mailed in a plain white </w:t>
      </w:r>
      <w:r w:rsidRPr="00D25B30" w:rsidR="00D25B30">
        <w:rPr>
          <w:rFonts w:eastAsia="Times New Roman" w:cs="Times New Roman"/>
          <w:color w:val="000000"/>
          <w:szCs w:val="24"/>
        </w:rPr>
        <w:t>envelope</w:t>
      </w:r>
      <w:r>
        <w:rPr>
          <w:rFonts w:eastAsia="Times New Roman" w:cs="Times New Roman"/>
          <w:color w:val="000000"/>
          <w:szCs w:val="24"/>
        </w:rPr>
        <w:t xml:space="preserve"> so as</w:t>
      </w:r>
      <w:r w:rsidRPr="00D25B30" w:rsidR="00D25B30">
        <w:rPr>
          <w:rFonts w:eastAsia="Times New Roman" w:cs="Times New Roman"/>
          <w:color w:val="000000"/>
          <w:szCs w:val="24"/>
        </w:rPr>
        <w:t xml:space="preserve"> not be </w:t>
      </w:r>
      <w:r>
        <w:rPr>
          <w:rFonts w:eastAsia="Times New Roman" w:cs="Times New Roman"/>
          <w:color w:val="000000"/>
          <w:szCs w:val="24"/>
        </w:rPr>
        <w:t>mis</w:t>
      </w:r>
      <w:r w:rsidRPr="00D25B30" w:rsidR="00D25B30">
        <w:rPr>
          <w:rFonts w:eastAsia="Times New Roman" w:cs="Times New Roman"/>
          <w:color w:val="000000"/>
          <w:szCs w:val="24"/>
        </w:rPr>
        <w:t>taken for “junk mail</w:t>
      </w:r>
      <w:r w:rsidR="00770506">
        <w:rPr>
          <w:rFonts w:eastAsia="Times New Roman" w:cs="Times New Roman"/>
          <w:color w:val="000000"/>
          <w:szCs w:val="24"/>
        </w:rPr>
        <w:t>.</w:t>
      </w:r>
      <w:r w:rsidRPr="00D25B30" w:rsidR="00D25B30">
        <w:rPr>
          <w:rFonts w:eastAsia="Times New Roman" w:cs="Times New Roman"/>
          <w:color w:val="000000"/>
          <w:szCs w:val="24"/>
        </w:rPr>
        <w:t>”</w:t>
      </w:r>
    </w:p>
    <w:p w:rsidR="00DF5087" w:rsidP="008C70AA" w14:paraId="410B0AAC" w14:textId="77777777">
      <w:pPr>
        <w:spacing w:line="240" w:lineRule="auto"/>
        <w:rPr>
          <w:rFonts w:eastAsia="Times New Roman" w:cs="Times New Roman"/>
          <w:color w:val="000000"/>
          <w:szCs w:val="24"/>
        </w:rPr>
      </w:pPr>
      <w:r w:rsidRPr="00E36626">
        <w:rPr>
          <w:rFonts w:eastAsia="Times New Roman" w:cs="Times New Roman"/>
          <w:color w:val="000000"/>
          <w:szCs w:val="24"/>
        </w:rPr>
        <w:t xml:space="preserve"> </w:t>
      </w:r>
    </w:p>
    <w:p w:rsidR="006C7A58" w:rsidP="008C70AA" w14:paraId="5FA544C2" w14:textId="10E3EEB7">
      <w:pPr>
        <w:spacing w:line="240" w:lineRule="auto"/>
        <w:rPr>
          <w:rFonts w:eastAsia="Times New Roman" w:cs="Times New Roman"/>
          <w:color w:val="000000"/>
          <w:szCs w:val="24"/>
        </w:rPr>
      </w:pPr>
      <w:r>
        <w:rPr>
          <w:rFonts w:eastAsia="Times New Roman" w:cs="Times New Roman"/>
          <w:color w:val="000000"/>
          <w:szCs w:val="24"/>
        </w:rPr>
        <w:t xml:space="preserve">To further increase response rates, survey recipients </w:t>
      </w:r>
      <w:r w:rsidR="00263191">
        <w:rPr>
          <w:rFonts w:eastAsia="Times New Roman" w:cs="Times New Roman"/>
          <w:color w:val="000000"/>
          <w:szCs w:val="24"/>
        </w:rPr>
        <w:t>a</w:t>
      </w:r>
      <w:r w:rsidR="00830A05">
        <w:rPr>
          <w:rFonts w:eastAsia="Times New Roman" w:cs="Times New Roman"/>
          <w:color w:val="000000"/>
          <w:szCs w:val="24"/>
        </w:rPr>
        <w:t>re</w:t>
      </w:r>
      <w:r>
        <w:rPr>
          <w:rFonts w:eastAsia="Times New Roman" w:cs="Times New Roman"/>
          <w:color w:val="000000"/>
          <w:szCs w:val="24"/>
        </w:rPr>
        <w:t xml:space="preserve"> given the option of completing the survey online in either English or Spanish.  </w:t>
      </w:r>
      <w:r w:rsidR="000647B6">
        <w:rPr>
          <w:rFonts w:eastAsia="Times New Roman" w:cs="Times New Roman"/>
          <w:color w:val="000000"/>
          <w:szCs w:val="24"/>
        </w:rPr>
        <w:t>The first mailing</w:t>
      </w:r>
      <w:r w:rsidR="00DF5087">
        <w:rPr>
          <w:rFonts w:eastAsia="Times New Roman" w:cs="Times New Roman"/>
          <w:color w:val="000000"/>
          <w:szCs w:val="24"/>
        </w:rPr>
        <w:t xml:space="preserve"> contain</w:t>
      </w:r>
      <w:r w:rsidR="000647B6">
        <w:rPr>
          <w:rFonts w:eastAsia="Times New Roman" w:cs="Times New Roman"/>
          <w:color w:val="000000"/>
          <w:szCs w:val="24"/>
        </w:rPr>
        <w:t>s</w:t>
      </w:r>
      <w:r w:rsidR="00DF5087">
        <w:rPr>
          <w:rFonts w:eastAsia="Times New Roman" w:cs="Times New Roman"/>
          <w:color w:val="000000"/>
          <w:szCs w:val="24"/>
        </w:rPr>
        <w:t xml:space="preserve"> an insert, in both English and Spanish, </w:t>
      </w:r>
      <w:r w:rsidR="00830A05">
        <w:rPr>
          <w:rFonts w:eastAsia="Times New Roman" w:cs="Times New Roman"/>
          <w:color w:val="000000"/>
          <w:szCs w:val="24"/>
        </w:rPr>
        <w:t>which</w:t>
      </w:r>
      <w:r w:rsidR="00DF5087">
        <w:rPr>
          <w:rFonts w:eastAsia="Times New Roman" w:cs="Times New Roman"/>
          <w:color w:val="000000"/>
          <w:szCs w:val="24"/>
        </w:rPr>
        <w:t xml:space="preserve"> inform</w:t>
      </w:r>
      <w:r w:rsidR="00830A05">
        <w:rPr>
          <w:rFonts w:eastAsia="Times New Roman" w:cs="Times New Roman"/>
          <w:color w:val="000000"/>
          <w:szCs w:val="24"/>
        </w:rPr>
        <w:t>s</w:t>
      </w:r>
      <w:r w:rsidR="00DF5087">
        <w:rPr>
          <w:rFonts w:eastAsia="Times New Roman" w:cs="Times New Roman"/>
          <w:color w:val="000000"/>
          <w:szCs w:val="24"/>
        </w:rPr>
        <w:t xml:space="preserve"> recipient</w:t>
      </w:r>
      <w:r w:rsidRPr="00E36626" w:rsidR="00E36626">
        <w:rPr>
          <w:rFonts w:eastAsia="Times New Roman" w:cs="Times New Roman"/>
          <w:color w:val="000000"/>
          <w:szCs w:val="24"/>
        </w:rPr>
        <w:t>s</w:t>
      </w:r>
      <w:r w:rsidR="00DF5087">
        <w:rPr>
          <w:rFonts w:eastAsia="Times New Roman" w:cs="Times New Roman"/>
          <w:color w:val="000000"/>
          <w:szCs w:val="24"/>
        </w:rPr>
        <w:t xml:space="preserve"> </w:t>
      </w:r>
      <w:r w:rsidR="00830A05">
        <w:rPr>
          <w:rFonts w:eastAsia="Times New Roman" w:cs="Times New Roman"/>
          <w:color w:val="000000"/>
          <w:szCs w:val="24"/>
        </w:rPr>
        <w:t>of the</w:t>
      </w:r>
      <w:r>
        <w:rPr>
          <w:rFonts w:eastAsia="Times New Roman" w:cs="Times New Roman"/>
          <w:color w:val="000000"/>
          <w:szCs w:val="24"/>
        </w:rPr>
        <w:t>se options and</w:t>
      </w:r>
      <w:r w:rsidR="00DF5087">
        <w:rPr>
          <w:rFonts w:eastAsia="Times New Roman" w:cs="Times New Roman"/>
          <w:color w:val="000000"/>
          <w:szCs w:val="24"/>
        </w:rPr>
        <w:t xml:space="preserve"> provide</w:t>
      </w:r>
      <w:r w:rsidR="00263191">
        <w:rPr>
          <w:rFonts w:eastAsia="Times New Roman" w:cs="Times New Roman"/>
          <w:color w:val="000000"/>
          <w:szCs w:val="24"/>
        </w:rPr>
        <w:t>s</w:t>
      </w:r>
      <w:r w:rsidR="00DF5087">
        <w:rPr>
          <w:rFonts w:eastAsia="Times New Roman" w:cs="Times New Roman"/>
          <w:color w:val="000000"/>
          <w:szCs w:val="24"/>
        </w:rPr>
        <w:t xml:space="preserve"> the web addresses to access the </w:t>
      </w:r>
      <w:r w:rsidR="00263191">
        <w:rPr>
          <w:rFonts w:eastAsia="Times New Roman" w:cs="Times New Roman"/>
          <w:color w:val="000000"/>
          <w:szCs w:val="24"/>
        </w:rPr>
        <w:t xml:space="preserve">appropriate </w:t>
      </w:r>
      <w:r w:rsidR="00DF5087">
        <w:rPr>
          <w:rFonts w:eastAsia="Times New Roman" w:cs="Times New Roman"/>
          <w:color w:val="000000"/>
          <w:szCs w:val="24"/>
        </w:rPr>
        <w:t>electronic versions of the survey.</w:t>
      </w:r>
    </w:p>
    <w:p w:rsidR="007335B2" w:rsidP="008C70AA" w14:paraId="1349A4DF" w14:textId="0B46AFF2">
      <w:pPr>
        <w:spacing w:line="240" w:lineRule="auto"/>
        <w:rPr>
          <w:rFonts w:eastAsia="Times New Roman" w:cs="Times New Roman"/>
          <w:color w:val="000000"/>
          <w:szCs w:val="24"/>
        </w:rPr>
      </w:pPr>
    </w:p>
    <w:p w:rsidR="00000558" w:rsidP="008A3F0E" w14:paraId="624BA795" w14:textId="77777777">
      <w:pPr>
        <w:spacing w:line="240" w:lineRule="auto"/>
        <w:rPr>
          <w:rFonts w:cs="Times New Roman"/>
          <w:color w:val="FF0000"/>
          <w:szCs w:val="24"/>
        </w:rPr>
      </w:pPr>
    </w:p>
    <w:p w:rsidR="003B5377" w:rsidRPr="00E60F75" w:rsidP="008A3F0E" w14:paraId="0B68E88E" w14:textId="77777777">
      <w:pPr>
        <w:spacing w:line="240" w:lineRule="auto"/>
        <w:ind w:left="360"/>
        <w:rPr>
          <w:rFonts w:cs="Times New Roman"/>
          <w:i/>
          <w:szCs w:val="24"/>
          <w:u w:val="single"/>
        </w:rPr>
      </w:pPr>
      <w:r>
        <w:rPr>
          <w:rFonts w:cs="Times New Roman"/>
          <w:i/>
          <w:szCs w:val="24"/>
          <w:u w:val="single"/>
        </w:rPr>
        <w:t>Data editing</w:t>
      </w:r>
    </w:p>
    <w:p w:rsidR="003B5377" w:rsidP="008A3F0E" w14:paraId="52AE58DD" w14:textId="77777777">
      <w:pPr>
        <w:spacing w:line="240" w:lineRule="auto"/>
        <w:rPr>
          <w:rFonts w:cs="Times New Roman"/>
          <w:color w:val="FF0000"/>
          <w:szCs w:val="24"/>
        </w:rPr>
      </w:pPr>
    </w:p>
    <w:p w:rsidR="002C6D65" w:rsidP="008A3F0E" w14:paraId="059408DB" w14:textId="4B3A2AC3">
      <w:pPr>
        <w:spacing w:line="240" w:lineRule="auto"/>
        <w:rPr>
          <w:rFonts w:cs="Times New Roman"/>
          <w:szCs w:val="24"/>
        </w:rPr>
      </w:pPr>
      <w:r w:rsidRPr="00A21B7D">
        <w:rPr>
          <w:rFonts w:cs="Times New Roman"/>
          <w:szCs w:val="24"/>
        </w:rPr>
        <w:t xml:space="preserve">The survey </w:t>
      </w:r>
      <w:r w:rsidR="00E83E42">
        <w:rPr>
          <w:rFonts w:cs="Times New Roman"/>
          <w:szCs w:val="24"/>
        </w:rPr>
        <w:t>responses, once delivered to FHFA’s</w:t>
      </w:r>
      <w:r w:rsidRPr="00A21B7D">
        <w:rPr>
          <w:rFonts w:cs="Times New Roman"/>
          <w:szCs w:val="24"/>
        </w:rPr>
        <w:t xml:space="preserve"> </w:t>
      </w:r>
      <w:r w:rsidR="00323EB3">
        <w:rPr>
          <w:rFonts w:cs="Times New Roman"/>
          <w:szCs w:val="24"/>
        </w:rPr>
        <w:t>National Mortgage Database</w:t>
      </w:r>
      <w:r w:rsidR="006A31DD">
        <w:rPr>
          <w:rFonts w:cs="Times New Roman"/>
          <w:szCs w:val="24"/>
        </w:rPr>
        <w:t xml:space="preserve"> Program</w:t>
      </w:r>
      <w:r w:rsidR="006D6AF2">
        <w:rPr>
          <w:rFonts w:cs="Times New Roman"/>
          <w:szCs w:val="24"/>
        </w:rPr>
        <w:t xml:space="preserve"> </w:t>
      </w:r>
      <w:r w:rsidRPr="00A21B7D">
        <w:rPr>
          <w:rFonts w:cs="Times New Roman"/>
          <w:szCs w:val="24"/>
        </w:rPr>
        <w:t>staff</w:t>
      </w:r>
      <w:r>
        <w:rPr>
          <w:rFonts w:cs="Times New Roman"/>
          <w:szCs w:val="24"/>
        </w:rPr>
        <w:t>,</w:t>
      </w:r>
      <w:r w:rsidRPr="00A21B7D">
        <w:rPr>
          <w:rFonts w:cs="Times New Roman"/>
          <w:szCs w:val="24"/>
        </w:rPr>
        <w:t xml:space="preserve"> </w:t>
      </w:r>
      <w:r>
        <w:rPr>
          <w:rFonts w:cs="Times New Roman"/>
          <w:szCs w:val="24"/>
        </w:rPr>
        <w:t>are subjected to</w:t>
      </w:r>
      <w:r w:rsidRPr="00A21B7D">
        <w:rPr>
          <w:rFonts w:cs="Times New Roman"/>
          <w:szCs w:val="24"/>
        </w:rPr>
        <w:t xml:space="preserve"> thorough editing and </w:t>
      </w:r>
      <w:r>
        <w:rPr>
          <w:rFonts w:cs="Times New Roman"/>
          <w:szCs w:val="24"/>
        </w:rPr>
        <w:t>review</w:t>
      </w:r>
      <w:r w:rsidRPr="00A21B7D">
        <w:rPr>
          <w:rFonts w:cs="Times New Roman"/>
          <w:szCs w:val="24"/>
        </w:rPr>
        <w:t>.  The initial phase consist</w:t>
      </w:r>
      <w:r>
        <w:rPr>
          <w:rFonts w:cs="Times New Roman"/>
          <w:szCs w:val="24"/>
        </w:rPr>
        <w:t>s</w:t>
      </w:r>
      <w:r w:rsidRPr="00A21B7D">
        <w:rPr>
          <w:rFonts w:cs="Times New Roman"/>
          <w:szCs w:val="24"/>
        </w:rPr>
        <w:t xml:space="preserve"> of standard </w:t>
      </w:r>
      <w:r w:rsidR="00E83E42">
        <w:rPr>
          <w:rFonts w:cs="Times New Roman"/>
          <w:szCs w:val="24"/>
        </w:rPr>
        <w:t xml:space="preserve">data </w:t>
      </w:r>
      <w:r w:rsidRPr="00A21B7D">
        <w:rPr>
          <w:rFonts w:cs="Times New Roman"/>
          <w:szCs w:val="24"/>
        </w:rPr>
        <w:t xml:space="preserve">editing—correcting numbers reported in the wrong </w:t>
      </w:r>
      <w:r>
        <w:rPr>
          <w:rFonts w:cs="Times New Roman"/>
          <w:szCs w:val="24"/>
        </w:rPr>
        <w:t>units</w:t>
      </w:r>
      <w:r w:rsidRPr="00A21B7D">
        <w:rPr>
          <w:rFonts w:cs="Times New Roman"/>
          <w:szCs w:val="24"/>
        </w:rPr>
        <w:t>, changing answers in responses based on margin notes and comments, assigning responses for questions with open-ended “other” responses, dealing with multiple responses to a question that calls for only one response</w:t>
      </w:r>
      <w:r>
        <w:rPr>
          <w:rFonts w:cs="Times New Roman"/>
          <w:szCs w:val="24"/>
        </w:rPr>
        <w:t>,</w:t>
      </w:r>
      <w:r w:rsidRPr="00A21B7D">
        <w:rPr>
          <w:rFonts w:cs="Times New Roman"/>
          <w:szCs w:val="24"/>
        </w:rPr>
        <w:t xml:space="preserve"> and deciding how to handle situations where respondents followed the wrong skip pattern.  </w:t>
      </w:r>
    </w:p>
    <w:p w:rsidR="002C6D65" w:rsidRPr="00A21B7D" w:rsidP="008A3F0E" w14:paraId="1B24629F" w14:textId="77777777">
      <w:pPr>
        <w:spacing w:line="240" w:lineRule="auto"/>
        <w:rPr>
          <w:rFonts w:cs="Times New Roman"/>
          <w:szCs w:val="24"/>
        </w:rPr>
      </w:pPr>
    </w:p>
    <w:p w:rsidR="002F0DB0" w:rsidP="008A3F0E" w14:paraId="209C608C" w14:textId="2D4620DB">
      <w:pPr>
        <w:pStyle w:val="BodyText"/>
        <w:spacing w:after="0" w:line="240" w:lineRule="auto"/>
      </w:pPr>
      <w:r>
        <w:t xml:space="preserve">One advantage that </w:t>
      </w:r>
      <w:r w:rsidR="007817E1">
        <w:t xml:space="preserve">the </w:t>
      </w:r>
      <w:r>
        <w:t>NSMO has over other surveys is the availability of credit and administrative data, much of which appears to be quite reliable.  These data can be used to assist in the editing and imputation process.  Four primary sources of such data are available in processing NSMO:</w:t>
      </w:r>
    </w:p>
    <w:p w:rsidR="00584FA8" w:rsidP="00192BCD" w14:paraId="7FE336C6" w14:textId="77777777">
      <w:pPr>
        <w:pStyle w:val="BodyText"/>
        <w:spacing w:after="0" w:line="240" w:lineRule="auto"/>
      </w:pPr>
    </w:p>
    <w:p w:rsidR="002F0DB0" w:rsidP="00192BCD" w14:paraId="2A308DE3" w14:textId="77777777">
      <w:pPr>
        <w:pStyle w:val="BodyText"/>
        <w:spacing w:after="0" w:line="240" w:lineRule="auto"/>
        <w:ind w:left="1080" w:hanging="360"/>
      </w:pPr>
      <w:r>
        <w:t xml:space="preserve">(1) credit data from Experian on sample loans; </w:t>
      </w:r>
    </w:p>
    <w:p w:rsidR="002F0DB0" w:rsidP="00192BCD" w14:paraId="23C00BB1" w14:textId="77777777">
      <w:pPr>
        <w:pStyle w:val="BodyText"/>
        <w:spacing w:after="0" w:line="240" w:lineRule="auto"/>
        <w:ind w:left="1080" w:hanging="360"/>
      </w:pPr>
      <w:r>
        <w:t xml:space="preserve">(2) data collected by Experian from other data sources on the survey respondents, including loan servicers and data companies; </w:t>
      </w:r>
    </w:p>
    <w:p w:rsidR="002F0DB0" w:rsidP="00192BCD" w14:paraId="198D510E" w14:textId="1BD52D1F">
      <w:pPr>
        <w:pStyle w:val="BodyText"/>
        <w:spacing w:after="0" w:line="240" w:lineRule="auto"/>
        <w:ind w:left="1080" w:hanging="360"/>
      </w:pPr>
      <w:r>
        <w:t xml:space="preserve">(3) information from matches to administrative loan files (Fannie Mae, Freddie Mac, Federal Housing Administration, Department of Veteran Affairs, Rural Housing Services, and Federal Home Loan Banks); and </w:t>
      </w:r>
    </w:p>
    <w:p w:rsidR="002F0DB0" w:rsidP="00192BCD" w14:paraId="5D6B5210" w14:textId="587B2659">
      <w:pPr>
        <w:pStyle w:val="BodyText"/>
        <w:spacing w:after="0" w:line="240" w:lineRule="auto"/>
        <w:ind w:left="1080" w:hanging="360"/>
      </w:pPr>
      <w:r>
        <w:t>(4) information for loans that could be matched to HMDA</w:t>
      </w:r>
      <w:r w:rsidR="007817E1">
        <w:t xml:space="preserve"> data</w:t>
      </w:r>
      <w:r>
        <w:t>.</w:t>
      </w:r>
      <w:r>
        <w:rPr>
          <w:rStyle w:val="FootnoteReference"/>
        </w:rPr>
        <w:footnoteReference w:id="16"/>
      </w:r>
    </w:p>
    <w:p w:rsidR="002F0DB0" w:rsidP="00192BCD" w14:paraId="793810B1" w14:textId="77777777">
      <w:pPr>
        <w:pStyle w:val="BodyText"/>
        <w:spacing w:after="0" w:line="240" w:lineRule="auto"/>
      </w:pPr>
    </w:p>
    <w:p w:rsidR="002F0DB0" w:rsidP="00192BCD" w14:paraId="76E5512E" w14:textId="77777777">
      <w:pPr>
        <w:pStyle w:val="BodyText"/>
        <w:spacing w:after="0" w:line="240" w:lineRule="auto"/>
      </w:pPr>
      <w:r>
        <w:t>The credit and administrative data are used to determine which borrower in the Experian data corresponded to the respondent (and spouse/partner of the respondent) in the survey and to infer the loan the respondent had in mind when answering the survey.  These data are also useful in determining if respondents correctly identified their loan as a home purchase loan or a refinance.</w:t>
      </w:r>
    </w:p>
    <w:p w:rsidR="002C6D65" w:rsidRPr="00A21B7D" w:rsidP="008A3F0E" w14:paraId="553B01C1" w14:textId="77777777">
      <w:pPr>
        <w:spacing w:line="240" w:lineRule="auto"/>
        <w:rPr>
          <w:rFonts w:cs="Times New Roman"/>
          <w:szCs w:val="24"/>
        </w:rPr>
      </w:pPr>
    </w:p>
    <w:p w:rsidR="0061697B" w:rsidRPr="0061697B" w:rsidP="008A3F0E" w14:paraId="53BF2E57" w14:textId="77777777">
      <w:pPr>
        <w:spacing w:line="240" w:lineRule="auto"/>
        <w:ind w:left="360"/>
        <w:rPr>
          <w:rFonts w:cs="Times New Roman"/>
          <w:i/>
          <w:szCs w:val="24"/>
          <w:u w:val="single"/>
        </w:rPr>
      </w:pPr>
      <w:r w:rsidRPr="0061697B">
        <w:rPr>
          <w:rFonts w:cs="Times New Roman"/>
          <w:i/>
          <w:szCs w:val="24"/>
          <w:u w:val="single"/>
        </w:rPr>
        <w:t>Imputation</w:t>
      </w:r>
    </w:p>
    <w:p w:rsidR="0061697B" w:rsidP="008A3F0E" w14:paraId="6861A8A7" w14:textId="77777777">
      <w:pPr>
        <w:spacing w:line="240" w:lineRule="auto"/>
        <w:rPr>
          <w:rFonts w:cs="Times New Roman"/>
          <w:szCs w:val="24"/>
        </w:rPr>
      </w:pPr>
    </w:p>
    <w:p w:rsidR="002F0DB0" w:rsidRPr="00972177" w:rsidP="00192BCD" w14:paraId="501DE057" w14:textId="48530C06">
      <w:pPr>
        <w:pStyle w:val="BodyText"/>
        <w:spacing w:after="0" w:line="240" w:lineRule="auto"/>
      </w:pPr>
      <w:r w:rsidRPr="004A220C">
        <w:t xml:space="preserve">After editing and cleaning the survey response data, </w:t>
      </w:r>
      <w:r>
        <w:t>missing responses are imputed</w:t>
      </w:r>
      <w:r w:rsidRPr="004A220C">
        <w:t xml:space="preserve"> using </w:t>
      </w:r>
      <w:r>
        <w:t xml:space="preserve">answers to related questions or </w:t>
      </w:r>
      <w:r w:rsidRPr="004A220C">
        <w:t>statistical models estimated based on credit and administrative data and answers to other questions in the survey</w:t>
      </w:r>
      <w:r>
        <w:t xml:space="preserve">.  </w:t>
      </w:r>
      <w:r w:rsidRPr="004A220C">
        <w:t xml:space="preserve">Imputations are </w:t>
      </w:r>
      <w:r>
        <w:t>designed</w:t>
      </w:r>
      <w:r w:rsidRPr="004A220C">
        <w:t xml:space="preserve"> to replicate the level of inherent inconsistencies between related variables in the actual (non-imputed) responses by the respondents</w:t>
      </w:r>
      <w:r>
        <w:t xml:space="preserve">.  </w:t>
      </w:r>
      <w:r w:rsidRPr="004A220C">
        <w:t>Actual responses are generally not changed (except in cases where they are edited as described above)</w:t>
      </w:r>
      <w:r>
        <w:t xml:space="preserve">.  </w:t>
      </w:r>
      <w:r w:rsidRPr="004A220C">
        <w:t>In order to preserve the original responses, the raw responses are retained with missing responses coded as such</w:t>
      </w:r>
      <w:r>
        <w:t xml:space="preserve">.  </w:t>
      </w:r>
      <w:r w:rsidRPr="004A220C">
        <w:t xml:space="preserve">A parallel set of variables (“X” variables) are constructed where all missing responses are imputed, and necessary responses are edited as </w:t>
      </w:r>
      <w:r w:rsidRPr="004A220C">
        <w:t>described above</w:t>
      </w:r>
      <w:r>
        <w:t xml:space="preserve">.  </w:t>
      </w:r>
      <w:r w:rsidRPr="004A220C">
        <w:t>Each instance in which an X variable differs from original responses is recorded by a shadow variable</w:t>
      </w:r>
      <w:r>
        <w:t xml:space="preserve"> (“J” variables)</w:t>
      </w:r>
      <w:r w:rsidRPr="004A220C">
        <w:t xml:space="preserve"> that indicate</w:t>
      </w:r>
      <w:r>
        <w:t>s</w:t>
      </w:r>
      <w:r w:rsidRPr="004A220C">
        <w:t xml:space="preserve"> the method and reason why the change was made</w:t>
      </w:r>
      <w:r>
        <w:t xml:space="preserve">.  </w:t>
      </w:r>
      <w:r w:rsidRPr="004A220C">
        <w:t xml:space="preserve">Missing responses typically total about 3 to 5 percent </w:t>
      </w:r>
      <w:r>
        <w:t xml:space="preserve">of responses </w:t>
      </w:r>
      <w:r w:rsidRPr="004A220C">
        <w:t>for most questions and only in a few instances were more than 10 percent</w:t>
      </w:r>
      <w:r>
        <w:t xml:space="preserve">.  </w:t>
      </w:r>
      <w:r w:rsidRPr="004A220C">
        <w:t>The X variables are not created when a directly comparable credit or administrative variable is available for all respondents (</w:t>
      </w:r>
      <w:r w:rsidRPr="004A220C">
        <w:rPr>
          <w:i/>
        </w:rPr>
        <w:t>e.g.</w:t>
      </w:r>
      <w:r w:rsidRPr="004A220C">
        <w:t>, loan amount, loan payment, number of co-signers) as comparable credit or administrative variables can be used in lieu of survey responses in analysis</w:t>
      </w:r>
      <w:r>
        <w:t xml:space="preserve">.  </w:t>
      </w:r>
      <w:r w:rsidRPr="004A220C">
        <w:t xml:space="preserve">Instead, </w:t>
      </w:r>
      <w:r w:rsidR="009A5FFE">
        <w:t xml:space="preserve">for a small number of </w:t>
      </w:r>
      <w:r w:rsidR="002F74F8">
        <w:t>variables</w:t>
      </w:r>
      <w:r w:rsidR="009A5FFE">
        <w:t xml:space="preserve">, </w:t>
      </w:r>
      <w:r w:rsidRPr="004A220C">
        <w:t>Z variables are created in their place to indicate whether the respondents answered the question.</w:t>
      </w:r>
    </w:p>
    <w:p w:rsidR="002F0DB0" w:rsidRPr="00972177" w:rsidP="00192BCD" w14:paraId="25343968" w14:textId="77777777">
      <w:pPr>
        <w:pStyle w:val="BodyText"/>
        <w:spacing w:after="0" w:line="240" w:lineRule="auto"/>
      </w:pPr>
    </w:p>
    <w:p w:rsidR="002F0DB0" w:rsidRPr="00972177" w:rsidP="00192BCD" w14:paraId="5F8B0F6A" w14:textId="77777777">
      <w:pPr>
        <w:pStyle w:val="BodyText"/>
        <w:spacing w:after="0" w:line="240" w:lineRule="auto"/>
      </w:pPr>
      <w:r>
        <w:t>The initial set of imputations are based on inferences drawn from patterns of response. P</w:t>
      </w:r>
      <w:r w:rsidRPr="00972177">
        <w:t>attern</w:t>
      </w:r>
      <w:r>
        <w:t>s</w:t>
      </w:r>
      <w:r w:rsidRPr="00972177">
        <w:t xml:space="preserve"> of missing responses sometimes provides an indication of how the respondent would have answered if they had taken the time to fill out all answers of a group</w:t>
      </w:r>
      <w:r>
        <w:t xml:space="preserve">.  </w:t>
      </w:r>
      <w:r w:rsidRPr="00972177">
        <w:t xml:space="preserve">For example, </w:t>
      </w:r>
      <w:r>
        <w:t>one question reads</w:t>
      </w:r>
      <w:r w:rsidRPr="00972177">
        <w:t>, “how important were each of the following…” and provide</w:t>
      </w:r>
      <w:r>
        <w:t>s</w:t>
      </w:r>
      <w:r w:rsidRPr="00972177">
        <w:t xml:space="preserve"> choices of important or not important</w:t>
      </w:r>
      <w:r>
        <w:t>.  S</w:t>
      </w:r>
      <w:r w:rsidRPr="00972177">
        <w:t xml:space="preserve">ome respondents only mark </w:t>
      </w:r>
      <w:r>
        <w:t>“</w:t>
      </w:r>
      <w:r w:rsidRPr="00972177">
        <w:t>important</w:t>
      </w:r>
      <w:r>
        <w:t>”</w:t>
      </w:r>
      <w:r w:rsidRPr="00972177">
        <w:t xml:space="preserve"> for the choices important to them</w:t>
      </w:r>
      <w:r>
        <w:t xml:space="preserve">.  </w:t>
      </w:r>
      <w:r w:rsidRPr="00972177">
        <w:t>Other respondents might only mark choices that are not important</w:t>
      </w:r>
      <w:r>
        <w:t xml:space="preserve">.  </w:t>
      </w:r>
      <w:r w:rsidRPr="00972177">
        <w:t xml:space="preserve">When all answers are in a group with only one side answered, the other answers </w:t>
      </w:r>
      <w:r>
        <w:t xml:space="preserve">are imputed </w:t>
      </w:r>
      <w:r w:rsidRPr="00972177">
        <w:t>as the opposite choice</w:t>
      </w:r>
      <w:r>
        <w:t xml:space="preserve">.  </w:t>
      </w:r>
      <w:r w:rsidRPr="00972177">
        <w:t>For example, when a respondent only marks choices that are important, the missing questions were imputed as not important</w:t>
      </w:r>
      <w:r>
        <w:t xml:space="preserve">.  </w:t>
      </w:r>
    </w:p>
    <w:p w:rsidR="002F0DB0" w:rsidRPr="00972177" w:rsidP="00192BCD" w14:paraId="74DB3E08" w14:textId="77777777">
      <w:pPr>
        <w:pStyle w:val="BodyText"/>
        <w:spacing w:after="0" w:line="240" w:lineRule="auto"/>
      </w:pPr>
    </w:p>
    <w:p w:rsidR="002F0DB0" w:rsidRPr="004A220C" w:rsidP="00192BCD" w14:paraId="19E7A1A9" w14:textId="2DE952D1">
      <w:pPr>
        <w:pStyle w:val="BodyText"/>
        <w:spacing w:after="0" w:line="240" w:lineRule="auto"/>
      </w:pPr>
      <w:r w:rsidRPr="00972177">
        <w:t xml:space="preserve">The survey skips do not always work for every respondent and </w:t>
      </w:r>
      <w:r w:rsidR="00571EDD">
        <w:t xml:space="preserve">some respondents miss </w:t>
      </w:r>
      <w:r w:rsidRPr="00972177">
        <w:t>the lead-in question</w:t>
      </w:r>
      <w:r>
        <w:t>.  The</w:t>
      </w:r>
      <w:r w:rsidRPr="00972177">
        <w:t xml:space="preserve"> answer</w:t>
      </w:r>
      <w:r>
        <w:t>s</w:t>
      </w:r>
      <w:r w:rsidRPr="00972177">
        <w:t xml:space="preserve"> to the lead-in question </w:t>
      </w:r>
      <w:r w:rsidR="00571EDD">
        <w:t>a</w:t>
      </w:r>
      <w:r>
        <w:t xml:space="preserve">re often imputed </w:t>
      </w:r>
      <w:r w:rsidRPr="00972177">
        <w:t>based on actual answers to the follow-up questions</w:t>
      </w:r>
      <w:r>
        <w:t xml:space="preserve">.  </w:t>
      </w:r>
      <w:r w:rsidRPr="00972177">
        <w:t xml:space="preserve">For example, </w:t>
      </w:r>
      <w:r>
        <w:t>one question reads</w:t>
      </w:r>
      <w:r w:rsidRPr="00972177">
        <w:t>, “how many different lenders/mortgage brokers did you end up applying to” and provide</w:t>
      </w:r>
      <w:r>
        <w:t>s</w:t>
      </w:r>
      <w:r w:rsidRPr="00972177">
        <w:t xml:space="preserve"> options for one to five</w:t>
      </w:r>
      <w:r>
        <w:t xml:space="preserve">.  </w:t>
      </w:r>
      <w:r w:rsidRPr="00972177">
        <w:t>When a respondent chooses one, they skip the next question about reasons they applied to more than one</w:t>
      </w:r>
      <w:r>
        <w:t xml:space="preserve">.  </w:t>
      </w:r>
      <w:r w:rsidRPr="00972177">
        <w:t>If the lead-in question was left blank, any yes answer</w:t>
      </w:r>
      <w:r>
        <w:t xml:space="preserve"> to the follow-up is considered</w:t>
      </w:r>
      <w:r w:rsidRPr="00972177">
        <w:t xml:space="preserve"> a </w:t>
      </w:r>
      <w:r>
        <w:t>reason</w:t>
      </w:r>
      <w:r w:rsidRPr="00972177">
        <w:t xml:space="preserve"> to impute that they applied to more than one lender</w:t>
      </w:r>
      <w:r>
        <w:t>.  All</w:t>
      </w:r>
      <w:r w:rsidRPr="00972177">
        <w:t xml:space="preserve"> </w:t>
      </w:r>
      <w:r>
        <w:t>“</w:t>
      </w:r>
      <w:r w:rsidRPr="00972177">
        <w:t>no</w:t>
      </w:r>
      <w:r>
        <w:t>”</w:t>
      </w:r>
      <w:r w:rsidRPr="00972177">
        <w:t xml:space="preserve"> answer</w:t>
      </w:r>
      <w:r>
        <w:t>s to the follow-up questions</w:t>
      </w:r>
      <w:r w:rsidRPr="00972177">
        <w:t xml:space="preserve"> mean</w:t>
      </w:r>
      <w:r>
        <w:t>s</w:t>
      </w:r>
      <w:r w:rsidRPr="00972177">
        <w:t xml:space="preserve"> that they probably only applied to one</w:t>
      </w:r>
      <w:r>
        <w:t xml:space="preserve"> lender.  </w:t>
      </w:r>
      <w:r w:rsidRPr="00972177">
        <w:t xml:space="preserve">When </w:t>
      </w:r>
      <w:r w:rsidR="00571EDD">
        <w:t xml:space="preserve">the respondent skips </w:t>
      </w:r>
      <w:r w:rsidRPr="00972177">
        <w:t>both a lead-in and follow-up question, both are imputed with one of the imputation models</w:t>
      </w:r>
      <w:r>
        <w:t xml:space="preserve">.  </w:t>
      </w:r>
    </w:p>
    <w:p w:rsidR="002F0DB0" w:rsidRPr="004A220C" w:rsidP="00192BCD" w14:paraId="66318178" w14:textId="77777777">
      <w:pPr>
        <w:pStyle w:val="BodyText"/>
        <w:spacing w:after="0" w:line="240" w:lineRule="auto"/>
      </w:pPr>
    </w:p>
    <w:p w:rsidR="002F0DB0" w:rsidRPr="004A220C" w:rsidP="00192BCD" w14:paraId="1440D7D3" w14:textId="77777777">
      <w:pPr>
        <w:pStyle w:val="BodyText"/>
        <w:spacing w:after="0" w:line="240" w:lineRule="auto"/>
      </w:pPr>
      <w:r w:rsidRPr="00637ECD">
        <w:t>Once these inferential imputations are taken care of, statistical models are used to impute the remaining missing answers</w:t>
      </w:r>
      <w:r>
        <w:t xml:space="preserve">.  </w:t>
      </w:r>
      <w:r w:rsidRPr="004A220C">
        <w:t>The most common type of question</w:t>
      </w:r>
      <w:r>
        <w:t xml:space="preserve"> in NSMO</w:t>
      </w:r>
      <w:r w:rsidRPr="004A220C">
        <w:t xml:space="preserve"> provides a simple yes or no answer</w:t>
      </w:r>
      <w:r>
        <w:t xml:space="preserve">.  </w:t>
      </w:r>
      <w:r w:rsidRPr="004A220C">
        <w:t>A binomial logistic model provides an estimated probability of a yes answer</w:t>
      </w:r>
      <w:r>
        <w:t>.  For</w:t>
      </w:r>
      <w:r w:rsidRPr="004A220C">
        <w:t xml:space="preserve"> some questions, such as the number of lenders or brokers the respondent seriously considered, the answers are in a logical order</w:t>
      </w:r>
      <w:r>
        <w:t xml:space="preserve">.  </w:t>
      </w:r>
      <w:r w:rsidRPr="004A220C">
        <w:t>For these types of questions, an ordered logistic model is used to determine the probability of each answer</w:t>
      </w:r>
      <w:r>
        <w:t>.  For</w:t>
      </w:r>
      <w:r w:rsidRPr="004A220C">
        <w:t xml:space="preserve"> other questions the order does not matter, and the answer choices are not related to the previous choice</w:t>
      </w:r>
      <w:r>
        <w:t xml:space="preserve">.  </w:t>
      </w:r>
      <w:r w:rsidRPr="004A220C">
        <w:t>For these questions, a multinomial logistic model is used, and the reference group is selected to be the most common answer</w:t>
      </w:r>
      <w:r>
        <w:t xml:space="preserve">.  </w:t>
      </w:r>
      <w:r w:rsidRPr="004A220C">
        <w:t>Again, the model produces a probability of each answer response</w:t>
      </w:r>
      <w:r>
        <w:t xml:space="preserve">.  </w:t>
      </w:r>
      <w:r w:rsidRPr="004A220C">
        <w:t>A random number is drawn with a different seed for every question and it is then compared to the probability of each response level</w:t>
      </w:r>
      <w:r>
        <w:t xml:space="preserve">.  </w:t>
      </w:r>
      <w:r w:rsidRPr="004A220C">
        <w:t>When the random number falls below the cumulative probability of an answer, that answer is used as the imputed response</w:t>
      </w:r>
      <w:r>
        <w:t xml:space="preserve">.  </w:t>
      </w:r>
      <w:r w:rsidRPr="004A220C">
        <w:t>This method injects some randomness to the imputed answers, but the goal is to provide a distribution of imputed answers that mimics the distribution of the answers where no imputation was necessary</w:t>
      </w:r>
      <w:r>
        <w:t xml:space="preserve">.  </w:t>
      </w:r>
    </w:p>
    <w:p w:rsidR="002F0DB0" w:rsidRPr="004A220C" w:rsidP="00192BCD" w14:paraId="16A47D77" w14:textId="77777777">
      <w:pPr>
        <w:pStyle w:val="BodyText"/>
        <w:spacing w:after="0" w:line="240" w:lineRule="auto"/>
      </w:pPr>
    </w:p>
    <w:p w:rsidR="002F0DB0" w:rsidRPr="004A220C" w:rsidP="00192BCD" w14:paraId="3F6E0078" w14:textId="49812CFA">
      <w:pPr>
        <w:pStyle w:val="BodyText"/>
        <w:spacing w:after="0" w:line="240" w:lineRule="auto"/>
      </w:pPr>
      <w:r w:rsidRPr="004A220C">
        <w:t>The dependent variable (</w:t>
      </w:r>
      <m:oMath>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i</m:t>
            </m:r>
          </m:sub>
        </m:sSub>
        <m:r>
          <w:rPr>
            <w:rFonts w:ascii="Cambria Math" w:hAnsi="Cambria Math"/>
            <w:vertAlign w:val="subscript"/>
          </w:rPr>
          <m:t>)</m:t>
        </m:r>
      </m:oMath>
      <w:r w:rsidRPr="004A220C">
        <w:t xml:space="preserve"> in all the models used is a value for the missing answer</w:t>
      </w:r>
      <w:r>
        <w:t xml:space="preserve">.  </w:t>
      </w:r>
      <w:r w:rsidRPr="004A220C">
        <w:t>The vector of characteristics (</w:t>
      </w:r>
      <m:oMath>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i</m:t>
            </m:r>
          </m:sub>
        </m:sSub>
        <m:r>
          <w:rPr>
            <w:rFonts w:ascii="Cambria Math" w:hAnsi="Cambria Math"/>
            <w:vertAlign w:val="subscript"/>
          </w:rPr>
          <m:t xml:space="preserve">) </m:t>
        </m:r>
      </m:oMath>
      <w:r w:rsidRPr="004A220C">
        <w:t>can include information from the credit files or answers to survey questions</w:t>
      </w:r>
      <w:r>
        <w:t xml:space="preserve">.  </w:t>
      </w:r>
      <w:r w:rsidRPr="004A220C">
        <w:t>Key demographic variables (age, gender, education, ethnicity, and income) are imputed first</w:t>
      </w:r>
      <w:r>
        <w:t xml:space="preserve">.  </w:t>
      </w:r>
      <w:r w:rsidRPr="004A220C">
        <w:t>For these variables, high quality administrative data are generally available and can be used directly to impute a value for the X variable</w:t>
      </w:r>
      <w:r>
        <w:t xml:space="preserve">.  </w:t>
      </w:r>
      <w:r w:rsidRPr="004A220C">
        <w:t>For example, lender-reported information provides high quality data on age</w:t>
      </w:r>
      <w:r>
        <w:t xml:space="preserve">.  </w:t>
      </w:r>
      <w:r w:rsidRPr="004A220C">
        <w:t>Administrative data also provide reliable information on race, income, and interest rate</w:t>
      </w:r>
      <w:r>
        <w:t xml:space="preserve">.  </w:t>
      </w:r>
      <w:r w:rsidRPr="004A220C">
        <w:t>HMDA data</w:t>
      </w:r>
      <w:r>
        <w:t xml:space="preserve"> </w:t>
      </w:r>
      <w:r w:rsidRPr="004A220C">
        <w:t>also provide reliable information on race, income, and gender.</w:t>
      </w:r>
    </w:p>
    <w:p w:rsidR="002F0DB0" w:rsidRPr="004A220C" w:rsidP="00192BCD" w14:paraId="7A14C4F2" w14:textId="77777777">
      <w:pPr>
        <w:pStyle w:val="BodyText"/>
        <w:spacing w:after="0" w:line="240" w:lineRule="auto"/>
      </w:pPr>
    </w:p>
    <w:p w:rsidR="002F0DB0" w:rsidRPr="00972177" w:rsidP="00192BCD" w14:paraId="09D47174" w14:textId="6614CCD3">
      <w:pPr>
        <w:pStyle w:val="BodyText"/>
        <w:spacing w:after="0" w:line="240" w:lineRule="auto"/>
      </w:pPr>
      <w:r w:rsidRPr="004A220C">
        <w:t xml:space="preserve">The initial </w:t>
      </w:r>
      <w:r>
        <w:t xml:space="preserve">statistical </w:t>
      </w:r>
      <w:r w:rsidRPr="004A220C">
        <w:t>imputation models first use all the respondents who provided answers using a standard set of predictors to provide an initial imputation</w:t>
      </w:r>
      <w:r>
        <w:t xml:space="preserve">. </w:t>
      </w:r>
      <w:r w:rsidR="00882E48">
        <w:t xml:space="preserve"> </w:t>
      </w:r>
      <w:r w:rsidRPr="004A220C">
        <w:t>Once the initial imputation values are established, the models are enhanced for any predictor that provides a good fit to the models and these models use actual and imputed values from all respondents</w:t>
      </w:r>
      <w:r>
        <w:t xml:space="preserve">.  </w:t>
      </w:r>
      <w:r w:rsidRPr="004A220C">
        <w:t>The missing values are imputed statistically using an iterative process where each subsequent run of the model uses the actual responses and the imputed responses from the previous run</w:t>
      </w:r>
      <w:r>
        <w:t xml:space="preserve">.  </w:t>
      </w:r>
      <w:r w:rsidRPr="004A220C">
        <w:t>Iterating in this way ensures that correlations among the imputed values will better reflect correlations among observations where responses were available.</w:t>
      </w:r>
    </w:p>
    <w:p w:rsidR="002F0DB0" w:rsidRPr="00972177" w:rsidP="00192BCD" w14:paraId="3611143B" w14:textId="77777777">
      <w:pPr>
        <w:pStyle w:val="BodyText"/>
        <w:spacing w:after="0" w:line="240" w:lineRule="auto"/>
      </w:pPr>
    </w:p>
    <w:p w:rsidR="002F0DB0" w:rsidRPr="004A220C" w:rsidP="00192BCD" w14:paraId="4841F1E7" w14:textId="6537D532">
      <w:pPr>
        <w:pStyle w:val="BodyText"/>
        <w:spacing w:after="0" w:line="240" w:lineRule="auto"/>
      </w:pPr>
      <w:r>
        <w:t>L</w:t>
      </w:r>
      <w:r w:rsidRPr="00972177">
        <w:t>ead-in question</w:t>
      </w:r>
      <w:r>
        <w:t>s are always imputed</w:t>
      </w:r>
      <w:r w:rsidRPr="00972177">
        <w:t xml:space="preserve"> before the follow-up question to keep the follow-up imputations consistent with the lead-in question.</w:t>
      </w:r>
    </w:p>
    <w:p w:rsidR="002F0DB0" w:rsidRPr="004A220C" w:rsidP="00192BCD" w14:paraId="24E9F5EC" w14:textId="77777777">
      <w:pPr>
        <w:pStyle w:val="BodyText"/>
        <w:spacing w:after="0" w:line="240" w:lineRule="auto"/>
      </w:pPr>
    </w:p>
    <w:p w:rsidR="002F0DB0" w:rsidRPr="004A220C" w:rsidP="00192BCD" w14:paraId="3E8C31C1" w14:textId="77777777">
      <w:pPr>
        <w:pStyle w:val="BodyText"/>
        <w:spacing w:after="0" w:line="240" w:lineRule="auto"/>
      </w:pPr>
      <w:r w:rsidRPr="004A220C">
        <w:t>As the recursive models run, the coefficient of each predictor variable in each model is tracked and compared with values from the previous runs</w:t>
      </w:r>
      <w:r>
        <w:t xml:space="preserve">.  </w:t>
      </w:r>
      <w:r w:rsidRPr="004A220C">
        <w:t>The recursive runs are only stopped when the coefficients have settled down with minimal changes in the last few runs</w:t>
      </w:r>
      <w:r>
        <w:t xml:space="preserve">.  </w:t>
      </w:r>
      <w:r w:rsidRPr="004A220C">
        <w:t>This ensures that the recursive effect on each model has fed into all the predictions of imputed values and stabilized.</w:t>
      </w:r>
    </w:p>
    <w:p w:rsidR="002F0DB0" w:rsidRPr="004A220C" w:rsidP="00192BCD" w14:paraId="235D9CD8" w14:textId="77777777">
      <w:pPr>
        <w:pStyle w:val="BodyText"/>
        <w:spacing w:after="0" w:line="240" w:lineRule="auto"/>
      </w:pPr>
    </w:p>
    <w:p w:rsidR="002F0DB0" w:rsidP="00192BCD" w14:paraId="5956DB3D" w14:textId="17F62F38">
      <w:pPr>
        <w:pStyle w:val="BodyText"/>
        <w:spacing w:after="0" w:line="240" w:lineRule="auto"/>
      </w:pPr>
      <w:r w:rsidRPr="004A220C">
        <w:t>To find the best model for each imputation, the last recursive run is selected, and the actual response is subtracted from the predicted value of the response</w:t>
      </w:r>
      <w:r>
        <w:t xml:space="preserve">.  </w:t>
      </w:r>
      <w:r w:rsidRPr="004A220C">
        <w:t>The difference represents the error term or the portion of the probability of a response that was not explained by the predictive variables</w:t>
      </w:r>
      <w:r>
        <w:t xml:space="preserve">.  </w:t>
      </w:r>
      <w:r w:rsidRPr="004A220C">
        <w:t>A large matrix of error terms is constructed, and the values are tested for correlation</w:t>
      </w:r>
      <w:r>
        <w:t xml:space="preserve">.  </w:t>
      </w:r>
      <w:r w:rsidRPr="004A220C">
        <w:t>Error terms with correlation</w:t>
      </w:r>
      <w:r>
        <w:t xml:space="preserve"> coefficient of over</w:t>
      </w:r>
      <w:r w:rsidRPr="004A220C">
        <w:t xml:space="preserve"> 0.30 get explored as possible indicators of new predictor variables</w:t>
      </w:r>
      <w:r>
        <w:t xml:space="preserve">.  </w:t>
      </w:r>
      <w:r w:rsidRPr="004A220C">
        <w:t>Each year, new predictors are placed into the recursive model</w:t>
      </w:r>
      <w:r>
        <w:t xml:space="preserve">.  </w:t>
      </w:r>
      <w:r w:rsidRPr="004A220C">
        <w:t>With improved models, the recursive runs are restarted until all the beta coefficients settle down again.</w:t>
      </w:r>
    </w:p>
    <w:p w:rsidR="00DD2D88" w:rsidP="00192BCD" w14:paraId="275C104B" w14:textId="77777777">
      <w:pPr>
        <w:pStyle w:val="BodyText"/>
        <w:spacing w:after="0" w:line="240" w:lineRule="auto"/>
      </w:pPr>
    </w:p>
    <w:p w:rsidR="004C1CEC" w:rsidRPr="00AB6971" w:rsidP="004C1CEC" w14:paraId="5EA84459" w14:textId="77777777">
      <w:pPr>
        <w:pStyle w:val="BodyText"/>
        <w:spacing w:after="0" w:line="240" w:lineRule="auto"/>
      </w:pPr>
    </w:p>
    <w:p w:rsidR="00811A00" w:rsidRPr="00A60B09" w:rsidP="008A3F0E" w14:paraId="27F6DF2C" w14:textId="77777777">
      <w:pPr>
        <w:spacing w:line="240" w:lineRule="auto"/>
        <w:ind w:left="360"/>
        <w:rPr>
          <w:rFonts w:cs="Times New Roman"/>
          <w:i/>
          <w:szCs w:val="24"/>
          <w:u w:val="single"/>
        </w:rPr>
      </w:pPr>
      <w:r w:rsidRPr="00A60B09">
        <w:rPr>
          <w:rFonts w:cs="Times New Roman"/>
          <w:i/>
          <w:szCs w:val="24"/>
          <w:u w:val="single"/>
        </w:rPr>
        <w:t>No</w:t>
      </w:r>
      <w:r w:rsidR="00975312">
        <w:rPr>
          <w:rFonts w:cs="Times New Roman"/>
          <w:i/>
          <w:szCs w:val="24"/>
          <w:u w:val="single"/>
        </w:rPr>
        <w:t>n-Response Weighting</w:t>
      </w:r>
    </w:p>
    <w:p w:rsidR="00811A00" w:rsidP="008A3F0E" w14:paraId="44DC640A" w14:textId="77777777">
      <w:pPr>
        <w:spacing w:line="240" w:lineRule="auto"/>
        <w:rPr>
          <w:rFonts w:cs="Times New Roman"/>
          <w:szCs w:val="24"/>
        </w:rPr>
      </w:pPr>
    </w:p>
    <w:p w:rsidR="00A56E10" w:rsidRPr="00862578" w:rsidP="008A3F0E" w14:paraId="2CC55FF1" w14:textId="5D8D9817">
      <w:pPr>
        <w:spacing w:line="240" w:lineRule="auto"/>
        <w:rPr>
          <w:szCs w:val="24"/>
        </w:rPr>
      </w:pPr>
      <w:r w:rsidRPr="00862578">
        <w:rPr>
          <w:szCs w:val="24"/>
        </w:rPr>
        <w:t>There are several ways calculations based on the NSMO raw survey responses may not be representative of the population as a whole</w:t>
      </w:r>
      <w:r>
        <w:rPr>
          <w:szCs w:val="24"/>
        </w:rPr>
        <w:t xml:space="preserve">.  </w:t>
      </w:r>
      <w:r w:rsidRPr="00862578">
        <w:rPr>
          <w:szCs w:val="24"/>
        </w:rPr>
        <w:t xml:space="preserve">First, as shown </w:t>
      </w:r>
      <w:r>
        <w:rPr>
          <w:szCs w:val="24"/>
        </w:rPr>
        <w:t xml:space="preserve">earlier </w:t>
      </w:r>
      <w:r w:rsidRPr="00862578">
        <w:rPr>
          <w:szCs w:val="24"/>
        </w:rPr>
        <w:t>in Table 2, the survey waves d</w:t>
      </w:r>
      <w:r>
        <w:rPr>
          <w:szCs w:val="24"/>
        </w:rPr>
        <w:t>o</w:t>
      </w:r>
      <w:r w:rsidRPr="00862578">
        <w:rPr>
          <w:szCs w:val="24"/>
        </w:rPr>
        <w:t xml:space="preserve"> not have the same sampling rates</w:t>
      </w:r>
      <w:r>
        <w:rPr>
          <w:szCs w:val="24"/>
        </w:rPr>
        <w:t xml:space="preserve">.  </w:t>
      </w:r>
      <w:r w:rsidRPr="00862578">
        <w:rPr>
          <w:szCs w:val="24"/>
        </w:rPr>
        <w:t xml:space="preserve">Second, only about </w:t>
      </w:r>
      <w:r>
        <w:rPr>
          <w:szCs w:val="24"/>
        </w:rPr>
        <w:t>one-</w:t>
      </w:r>
      <w:r w:rsidR="00E71C65">
        <w:rPr>
          <w:szCs w:val="24"/>
        </w:rPr>
        <w:t>fourth</w:t>
      </w:r>
      <w:r w:rsidRPr="00862578">
        <w:rPr>
          <w:szCs w:val="24"/>
        </w:rPr>
        <w:t xml:space="preserve"> of the sampled borrowers completed the survey</w:t>
      </w:r>
      <w:r w:rsidR="00E71C65">
        <w:rPr>
          <w:szCs w:val="24"/>
        </w:rPr>
        <w:t xml:space="preserve"> recently</w:t>
      </w:r>
      <w:r>
        <w:rPr>
          <w:szCs w:val="24"/>
        </w:rPr>
        <w:t xml:space="preserve">.  </w:t>
      </w:r>
      <w:r w:rsidRPr="00862578">
        <w:rPr>
          <w:szCs w:val="24"/>
        </w:rPr>
        <w:t>Commonly, in survey sampling, some individuals chosen for the sample are unwilling or unable to participate in the survey</w:t>
      </w:r>
      <w:r>
        <w:rPr>
          <w:szCs w:val="24"/>
        </w:rPr>
        <w:t xml:space="preserve">.  </w:t>
      </w:r>
      <w:r w:rsidRPr="00862578">
        <w:rPr>
          <w:szCs w:val="24"/>
        </w:rPr>
        <w:t>Non-response bias is the bias that results when respondents differ systematically from non-respondents</w:t>
      </w:r>
      <w:r>
        <w:rPr>
          <w:szCs w:val="24"/>
        </w:rPr>
        <w:t xml:space="preserve">.  </w:t>
      </w:r>
      <w:r w:rsidRPr="00862578">
        <w:rPr>
          <w:szCs w:val="24"/>
        </w:rPr>
        <w:t>A common method for mitigating possible non-response bias is to use weights to align the characteristics of respondents and the population more closely</w:t>
      </w:r>
      <w:r>
        <w:rPr>
          <w:szCs w:val="24"/>
        </w:rPr>
        <w:t xml:space="preserve">.  </w:t>
      </w:r>
      <w:r w:rsidRPr="00862578">
        <w:rPr>
          <w:szCs w:val="24"/>
        </w:rPr>
        <w:t>This is known as “non-response weighting.”  Such weights are generally calculated from statistical models.</w:t>
      </w:r>
      <w:r>
        <w:rPr>
          <w:szCs w:val="24"/>
        </w:rPr>
        <w:t xml:space="preserve">  Specifically, the non-response weights in NSMO </w:t>
      </w:r>
      <w:r>
        <w:rPr>
          <w:szCs w:val="24"/>
        </w:rPr>
        <w:t>are designed to “blow up” the usable sample to the total surveys mailed less duplicate and ineligible loans taken out of NMDB.</w:t>
      </w:r>
    </w:p>
    <w:p w:rsidR="00A56E10" w:rsidP="008A3F0E" w14:paraId="2AFE7B11" w14:textId="77777777">
      <w:pPr>
        <w:spacing w:line="240" w:lineRule="auto"/>
        <w:rPr>
          <w:szCs w:val="24"/>
        </w:rPr>
      </w:pPr>
    </w:p>
    <w:p w:rsidR="00A56E10" w:rsidP="008A3F0E" w14:paraId="7FC3FED5" w14:textId="77777777">
      <w:pPr>
        <w:spacing w:line="240" w:lineRule="auto"/>
        <w:rPr>
          <w:szCs w:val="24"/>
        </w:rPr>
      </w:pPr>
      <w:r w:rsidRPr="00862578">
        <w:rPr>
          <w:szCs w:val="24"/>
        </w:rPr>
        <w:t xml:space="preserve">Often, little is known about survey non-responders, </w:t>
      </w:r>
      <w:r>
        <w:rPr>
          <w:szCs w:val="24"/>
        </w:rPr>
        <w:t>so</w:t>
      </w:r>
      <w:r w:rsidRPr="00862578">
        <w:rPr>
          <w:szCs w:val="24"/>
        </w:rPr>
        <w:t xml:space="preserve"> the statistical models used to construct non-response weights are quite simplistic</w:t>
      </w:r>
      <w:r>
        <w:rPr>
          <w:szCs w:val="24"/>
        </w:rPr>
        <w:t xml:space="preserve">.  </w:t>
      </w:r>
      <w:r w:rsidRPr="00862578">
        <w:rPr>
          <w:szCs w:val="24"/>
        </w:rPr>
        <w:t>Compared with many other surveys, however, NSMO has extensive credit and administrative data on both responding and non-responding borrowers that can be used to estimate non-response weights.</w:t>
      </w:r>
    </w:p>
    <w:p w:rsidR="00A56E10" w:rsidP="008A3F0E" w14:paraId="1D143268" w14:textId="77777777">
      <w:pPr>
        <w:spacing w:line="240" w:lineRule="auto"/>
        <w:rPr>
          <w:szCs w:val="24"/>
        </w:rPr>
      </w:pPr>
    </w:p>
    <w:p w:rsidR="00A56E10" w:rsidRPr="00862578" w:rsidP="008A3F0E" w14:paraId="2ADE9188" w14:textId="102A2BC4">
      <w:pPr>
        <w:spacing w:line="240" w:lineRule="auto"/>
        <w:rPr>
          <w:szCs w:val="24"/>
        </w:rPr>
      </w:pPr>
      <w:r w:rsidRPr="00862578">
        <w:rPr>
          <w:szCs w:val="24"/>
        </w:rPr>
        <w:t>Sample non-response weights are estimated with logistic models separately for each sample wave and within a wave for loans with a single borrower versus those with multiple borrowers</w:t>
      </w:r>
      <w:r>
        <w:rPr>
          <w:szCs w:val="24"/>
        </w:rPr>
        <w:t xml:space="preserve">.  </w:t>
      </w:r>
      <w:r w:rsidRPr="00862578">
        <w:rPr>
          <w:szCs w:val="24"/>
        </w:rPr>
        <w:t>The models estimate the probability of getting a usable response for each wave of the survey</w:t>
      </w:r>
      <w:r>
        <w:rPr>
          <w:szCs w:val="24"/>
        </w:rPr>
        <w:t xml:space="preserve">.  </w:t>
      </w:r>
      <w:r w:rsidRPr="00862578">
        <w:rPr>
          <w:szCs w:val="24"/>
        </w:rPr>
        <w:t xml:space="preserve">Key predictive variables included are loan amount, borrower age, the income </w:t>
      </w:r>
      <w:r>
        <w:rPr>
          <w:szCs w:val="24"/>
        </w:rPr>
        <w:t>relied upon for underwriting</w:t>
      </w:r>
      <w:r w:rsidRPr="00862578">
        <w:rPr>
          <w:szCs w:val="24"/>
        </w:rPr>
        <w:t xml:space="preserve">, </w:t>
      </w:r>
      <w:r>
        <w:rPr>
          <w:szCs w:val="24"/>
        </w:rPr>
        <w:t xml:space="preserve">the combined loan-to-value ratio, </w:t>
      </w:r>
      <w:r w:rsidRPr="00862578">
        <w:rPr>
          <w:szCs w:val="24"/>
        </w:rPr>
        <w:t xml:space="preserve">an indicator of whether it was a home purchase or refinance loan, </w:t>
      </w:r>
      <w:r>
        <w:rPr>
          <w:szCs w:val="24"/>
        </w:rPr>
        <w:t xml:space="preserve">and the interest rate spread over the prevailing prime interest rate at origination.  </w:t>
      </w:r>
      <w:r w:rsidRPr="00862578">
        <w:rPr>
          <w:szCs w:val="24"/>
        </w:rPr>
        <w:t>The models also control for credit score, for geography using Census Divisions, and for demographic characteristics on family composition, race, ethnicity, gender, and educational attainment.</w:t>
      </w:r>
    </w:p>
    <w:p w:rsidR="00A56E10" w:rsidP="008A3F0E" w14:paraId="3781C867" w14:textId="77777777">
      <w:pPr>
        <w:spacing w:line="240" w:lineRule="auto"/>
        <w:rPr>
          <w:szCs w:val="24"/>
        </w:rPr>
      </w:pPr>
    </w:p>
    <w:p w:rsidR="00A56E10" w:rsidRPr="00862578" w:rsidP="008A3F0E" w14:paraId="08F1E187" w14:textId="77777777">
      <w:pPr>
        <w:spacing w:line="240" w:lineRule="auto"/>
        <w:rPr>
          <w:szCs w:val="24"/>
        </w:rPr>
      </w:pPr>
      <w:r w:rsidRPr="00862578">
        <w:rPr>
          <w:szCs w:val="24"/>
        </w:rPr>
        <w:t xml:space="preserve">The model’s predicted probabilities of response were </w:t>
      </w:r>
      <w:r>
        <w:rPr>
          <w:szCs w:val="24"/>
        </w:rPr>
        <w:t xml:space="preserve">placed into 5 equal groups of 20 percent each.  </w:t>
      </w:r>
      <w:r w:rsidRPr="00862578">
        <w:rPr>
          <w:szCs w:val="24"/>
        </w:rPr>
        <w:t>The average of the response rates from each of these five groups was used to calculate a response weight as the inverse of these five average rates</w:t>
      </w:r>
      <w:r>
        <w:rPr>
          <w:szCs w:val="24"/>
        </w:rPr>
        <w:t xml:space="preserve">.  </w:t>
      </w:r>
      <w:r w:rsidRPr="00862578">
        <w:rPr>
          <w:szCs w:val="24"/>
        </w:rPr>
        <w:t>Once within-wave sample non-response weights are estimated, they are multiplied by the wave sample weight to provide an overall weight</w:t>
      </w:r>
      <w:r>
        <w:rPr>
          <w:szCs w:val="24"/>
        </w:rPr>
        <w:t xml:space="preserve">.  </w:t>
      </w:r>
    </w:p>
    <w:p w:rsidR="00A56E10" w:rsidP="008A3F0E" w14:paraId="42659DCF" w14:textId="77777777">
      <w:pPr>
        <w:spacing w:line="240" w:lineRule="auto"/>
        <w:rPr>
          <w:szCs w:val="24"/>
        </w:rPr>
      </w:pPr>
    </w:p>
    <w:p w:rsidR="001B03AD" w:rsidP="008E16EA" w14:paraId="02BC4B35" w14:textId="7BD1BF1B">
      <w:pPr>
        <w:spacing w:line="240" w:lineRule="auto"/>
        <w:rPr>
          <w:szCs w:val="24"/>
        </w:rPr>
      </w:pPr>
      <w:r w:rsidRPr="00862578">
        <w:rPr>
          <w:szCs w:val="24"/>
        </w:rPr>
        <w:t xml:space="preserve">Table </w:t>
      </w:r>
      <w:r>
        <w:rPr>
          <w:szCs w:val="24"/>
        </w:rPr>
        <w:t>4</w:t>
      </w:r>
      <w:r w:rsidRPr="00862578">
        <w:rPr>
          <w:szCs w:val="24"/>
        </w:rPr>
        <w:t xml:space="preserve"> demonstrates the effect of differential sampling weights for the first </w:t>
      </w:r>
      <w:r w:rsidR="00E022C2">
        <w:rPr>
          <w:szCs w:val="24"/>
        </w:rPr>
        <w:t>3</w:t>
      </w:r>
      <w:r w:rsidR="008719F9">
        <w:rPr>
          <w:szCs w:val="24"/>
        </w:rPr>
        <w:t>4</w:t>
      </w:r>
      <w:r w:rsidRPr="00862578">
        <w:rPr>
          <w:szCs w:val="24"/>
        </w:rPr>
        <w:t xml:space="preserve"> waves</w:t>
      </w:r>
      <w:r>
        <w:rPr>
          <w:szCs w:val="24"/>
        </w:rPr>
        <w:t xml:space="preserve">.  </w:t>
      </w:r>
      <w:r w:rsidRPr="00862578">
        <w:rPr>
          <w:szCs w:val="24"/>
        </w:rPr>
        <w:t>Column one shows the distribution among various demographic and loan categories of the raw survey responses</w:t>
      </w:r>
      <w:r>
        <w:rPr>
          <w:szCs w:val="24"/>
        </w:rPr>
        <w:t xml:space="preserve">.  </w:t>
      </w:r>
      <w:r w:rsidRPr="00862578">
        <w:rPr>
          <w:szCs w:val="24"/>
        </w:rPr>
        <w:t>Column two provides the distribution using estimated overall weights</w:t>
      </w:r>
      <w:r>
        <w:rPr>
          <w:szCs w:val="24"/>
        </w:rPr>
        <w:t xml:space="preserve">.  </w:t>
      </w:r>
      <w:r w:rsidRPr="00862578">
        <w:rPr>
          <w:szCs w:val="24"/>
        </w:rPr>
        <w:t>Finally, column three shows the average overall weight for each category.</w:t>
      </w:r>
    </w:p>
    <w:p w:rsidR="008E16EA" w:rsidRPr="008E16EA" w:rsidP="008E16EA" w14:paraId="1B9A98E6" w14:textId="77777777">
      <w:pPr>
        <w:spacing w:line="240" w:lineRule="auto"/>
        <w:rPr>
          <w:szCs w:val="24"/>
        </w:rPr>
      </w:pPr>
    </w:p>
    <w:tbl>
      <w:tblPr>
        <w:tblW w:w="0" w:type="auto"/>
        <w:tblInd w:w="100" w:type="dxa"/>
        <w:tblLayout w:type="fixed"/>
        <w:tblCellMar>
          <w:left w:w="0" w:type="dxa"/>
          <w:right w:w="0" w:type="dxa"/>
        </w:tblCellMar>
        <w:tblLook w:val="0000"/>
      </w:tblPr>
      <w:tblGrid>
        <w:gridCol w:w="3580"/>
        <w:gridCol w:w="2430"/>
        <w:gridCol w:w="1620"/>
        <w:gridCol w:w="1440"/>
      </w:tblGrid>
      <w:tr w14:paraId="7FC4C9F5" w14:textId="77777777" w:rsidTr="003A1F09">
        <w:tblPrEx>
          <w:tblW w:w="0" w:type="auto"/>
          <w:tblInd w:w="100" w:type="dxa"/>
          <w:tblLayout w:type="fixed"/>
          <w:tblCellMar>
            <w:left w:w="0" w:type="dxa"/>
            <w:right w:w="0" w:type="dxa"/>
          </w:tblCellMar>
          <w:tblLook w:val="0000"/>
        </w:tblPrEx>
        <w:trPr>
          <w:trHeight w:val="302"/>
        </w:trPr>
        <w:tc>
          <w:tcPr>
            <w:tcW w:w="9070" w:type="dxa"/>
            <w:gridSpan w:val="4"/>
            <w:tcBorders>
              <w:top w:val="single" w:sz="8" w:space="0" w:color="000000"/>
              <w:left w:val="single" w:sz="8" w:space="0" w:color="000000"/>
              <w:bottom w:val="single" w:sz="8" w:space="0" w:color="000000"/>
              <w:right w:val="single" w:sz="8" w:space="0" w:color="000000"/>
            </w:tcBorders>
            <w:vAlign w:val="center"/>
          </w:tcPr>
          <w:p w:rsidR="001B03AD" w:rsidP="003A1F09" w14:paraId="67B40230" w14:textId="0F49143C">
            <w:pPr>
              <w:pStyle w:val="BodyText"/>
              <w:kinsoku w:val="0"/>
              <w:overflowPunct w:val="0"/>
              <w:spacing w:before="40" w:after="0" w:line="240" w:lineRule="auto"/>
              <w:ind w:left="144" w:right="360" w:firstLine="864"/>
              <w:rPr>
                <w:b/>
                <w:bCs/>
                <w:color w:val="1F487C"/>
                <w:sz w:val="18"/>
                <w:szCs w:val="18"/>
              </w:rPr>
            </w:pPr>
            <w:r w:rsidRPr="00177E62">
              <w:rPr>
                <w:rFonts w:ascii="Arial" w:hAnsi="Arial" w:cs="Arial"/>
                <w:b/>
                <w:bCs/>
                <w:color w:val="1F497D"/>
              </w:rPr>
              <w:t xml:space="preserve">Table </w:t>
            </w:r>
            <w:r>
              <w:rPr>
                <w:rFonts w:ascii="Arial" w:hAnsi="Arial" w:cs="Arial"/>
                <w:b/>
                <w:bCs/>
                <w:color w:val="1F497D"/>
              </w:rPr>
              <w:t>4</w:t>
            </w:r>
            <w:r w:rsidRPr="00177E62">
              <w:rPr>
                <w:rFonts w:ascii="Arial" w:hAnsi="Arial" w:cs="Arial"/>
                <w:b/>
                <w:bCs/>
                <w:color w:val="1F497D"/>
              </w:rPr>
              <w:t>.  Overall Weights, 2013 - 202</w:t>
            </w:r>
            <w:r w:rsidR="003A1F09">
              <w:rPr>
                <w:rFonts w:ascii="Arial" w:hAnsi="Arial" w:cs="Arial"/>
                <w:b/>
                <w:bCs/>
                <w:color w:val="1F497D"/>
              </w:rPr>
              <w:t>1</w:t>
            </w:r>
            <w:r w:rsidRPr="00177E62">
              <w:rPr>
                <w:rFonts w:ascii="Arial" w:hAnsi="Arial" w:cs="Arial"/>
                <w:b/>
                <w:bCs/>
                <w:color w:val="1F497D"/>
              </w:rPr>
              <w:t xml:space="preserve"> Originations (Waves 1-3</w:t>
            </w:r>
            <w:r w:rsidR="003A1F09">
              <w:rPr>
                <w:rFonts w:ascii="Arial" w:hAnsi="Arial" w:cs="Arial"/>
                <w:b/>
                <w:bCs/>
                <w:color w:val="1F497D"/>
              </w:rPr>
              <w:t>4</w:t>
            </w:r>
            <w:r w:rsidRPr="00177E62">
              <w:rPr>
                <w:rFonts w:ascii="Arial" w:hAnsi="Arial" w:cs="Arial"/>
                <w:b/>
                <w:bCs/>
                <w:color w:val="1F497D"/>
              </w:rPr>
              <w:t>)</w:t>
            </w:r>
            <w:r w:rsidRPr="00177E62">
              <w:rPr>
                <w:color w:val="000000"/>
                <w:sz w:val="16"/>
                <w:szCs w:val="16"/>
              </w:rPr>
              <w:t> </w:t>
            </w:r>
          </w:p>
        </w:tc>
      </w:tr>
      <w:tr w14:paraId="0E0F2B92" w14:textId="77777777" w:rsidTr="008E16EA">
        <w:tblPrEx>
          <w:tblW w:w="0" w:type="auto"/>
          <w:tblInd w:w="100" w:type="dxa"/>
          <w:tblLayout w:type="fixed"/>
          <w:tblCellMar>
            <w:left w:w="0" w:type="dxa"/>
            <w:right w:w="0" w:type="dxa"/>
          </w:tblCellMar>
          <w:tblLook w:val="0000"/>
        </w:tblPrEx>
        <w:trPr>
          <w:trHeight w:val="302"/>
        </w:trPr>
        <w:tc>
          <w:tcPr>
            <w:tcW w:w="3580" w:type="dxa"/>
            <w:tcBorders>
              <w:top w:val="single" w:sz="8" w:space="0" w:color="000000"/>
              <w:left w:val="single" w:sz="8" w:space="0" w:color="000000"/>
              <w:bottom w:val="single" w:sz="8" w:space="0" w:color="000000"/>
              <w:right w:val="single" w:sz="8" w:space="0" w:color="000000"/>
            </w:tcBorders>
          </w:tcPr>
          <w:p w:rsidR="001B03AD" w:rsidP="001B03AD" w14:paraId="7D684FFD" w14:textId="77777777">
            <w:pPr>
              <w:pStyle w:val="TableParagraph"/>
              <w:kinsoku w:val="0"/>
              <w:overflowPunct w:val="0"/>
              <w:spacing w:before="0"/>
              <w:ind w:left="0"/>
              <w:jc w:val="left"/>
              <w:rPr>
                <w:rFonts w:ascii="Times New Roman" w:hAnsi="Times New Roman" w:cs="Times New Roman"/>
                <w:sz w:val="18"/>
                <w:szCs w:val="18"/>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1B03AD" w:rsidP="001B03AD" w14:paraId="4CAAD42F" w14:textId="77777777">
            <w:pPr>
              <w:pStyle w:val="TableParagraph"/>
              <w:kinsoku w:val="0"/>
              <w:overflowPunct w:val="0"/>
              <w:spacing w:before="40"/>
              <w:ind w:left="193" w:hanging="26"/>
              <w:rPr>
                <w:b/>
                <w:bCs/>
                <w:color w:val="1F487C"/>
                <w:spacing w:val="-2"/>
                <w:sz w:val="18"/>
                <w:szCs w:val="18"/>
              </w:rPr>
            </w:pPr>
            <w:r>
              <w:rPr>
                <w:b/>
                <w:bCs/>
                <w:color w:val="1F487C"/>
                <w:spacing w:val="-2"/>
                <w:sz w:val="18"/>
                <w:szCs w:val="18"/>
              </w:rPr>
              <w:t>Unweighted</w:t>
            </w:r>
          </w:p>
          <w:p w:rsidR="008E16EA" w:rsidP="001B03AD" w14:paraId="25D19399" w14:textId="25052850">
            <w:pPr>
              <w:pStyle w:val="TableParagraph"/>
              <w:kinsoku w:val="0"/>
              <w:overflowPunct w:val="0"/>
              <w:spacing w:before="40"/>
              <w:ind w:left="193" w:hanging="26"/>
              <w:rPr>
                <w:b/>
                <w:bCs/>
                <w:color w:val="1F487C"/>
                <w:spacing w:val="-2"/>
                <w:sz w:val="18"/>
                <w:szCs w:val="18"/>
              </w:rPr>
            </w:pPr>
            <w:r>
              <w:rPr>
                <w:b/>
                <w:bCs/>
                <w:color w:val="1F487C"/>
                <w:spacing w:val="-2"/>
                <w:sz w:val="18"/>
                <w:szCs w:val="18"/>
              </w:rPr>
              <w:t>Percentage</w:t>
            </w:r>
          </w:p>
        </w:tc>
        <w:tc>
          <w:tcPr>
            <w:tcW w:w="1620" w:type="dxa"/>
            <w:tcBorders>
              <w:top w:val="single" w:sz="8" w:space="0" w:color="000000"/>
              <w:left w:val="single" w:sz="8" w:space="0" w:color="000000"/>
              <w:bottom w:val="single" w:sz="8" w:space="0" w:color="000000"/>
              <w:right w:val="single" w:sz="8" w:space="0" w:color="000000"/>
            </w:tcBorders>
            <w:vAlign w:val="center"/>
          </w:tcPr>
          <w:p w:rsidR="001B03AD" w:rsidP="001B03AD" w14:paraId="599BF4B9" w14:textId="77777777">
            <w:pPr>
              <w:pStyle w:val="TableParagraph"/>
              <w:kinsoku w:val="0"/>
              <w:overflowPunct w:val="0"/>
              <w:spacing w:before="40"/>
              <w:ind w:left="142" w:firstLine="80"/>
              <w:rPr>
                <w:b/>
                <w:bCs/>
                <w:color w:val="1F487C"/>
                <w:spacing w:val="-2"/>
                <w:sz w:val="18"/>
                <w:szCs w:val="18"/>
              </w:rPr>
            </w:pPr>
            <w:r>
              <w:rPr>
                <w:b/>
                <w:bCs/>
                <w:color w:val="1F487C"/>
                <w:spacing w:val="-2"/>
                <w:sz w:val="18"/>
                <w:szCs w:val="18"/>
              </w:rPr>
              <w:t>Weighted</w:t>
            </w:r>
          </w:p>
          <w:p w:rsidR="008E16EA" w:rsidP="001B03AD" w14:paraId="741823A1" w14:textId="54A03A58">
            <w:pPr>
              <w:pStyle w:val="TableParagraph"/>
              <w:kinsoku w:val="0"/>
              <w:overflowPunct w:val="0"/>
              <w:spacing w:before="40"/>
              <w:ind w:left="142" w:firstLine="80"/>
              <w:rPr>
                <w:b/>
                <w:bCs/>
                <w:color w:val="1F487C"/>
                <w:spacing w:val="-2"/>
                <w:sz w:val="18"/>
                <w:szCs w:val="18"/>
              </w:rPr>
            </w:pPr>
            <w:r>
              <w:rPr>
                <w:b/>
                <w:bCs/>
                <w:color w:val="1F487C"/>
                <w:spacing w:val="-2"/>
                <w:sz w:val="18"/>
                <w:szCs w:val="18"/>
              </w:rPr>
              <w:t>Percentage</w:t>
            </w:r>
          </w:p>
        </w:tc>
        <w:tc>
          <w:tcPr>
            <w:tcW w:w="1440" w:type="dxa"/>
            <w:tcBorders>
              <w:top w:val="single" w:sz="8" w:space="0" w:color="000000"/>
              <w:left w:val="single" w:sz="8" w:space="0" w:color="000000"/>
              <w:bottom w:val="single" w:sz="8" w:space="0" w:color="000000"/>
              <w:right w:val="single" w:sz="8" w:space="0" w:color="000000"/>
            </w:tcBorders>
            <w:vAlign w:val="center"/>
          </w:tcPr>
          <w:p w:rsidR="001B03AD" w:rsidP="001B03AD" w14:paraId="6EB6D893" w14:textId="77777777">
            <w:pPr>
              <w:pStyle w:val="TableParagraph"/>
              <w:kinsoku w:val="0"/>
              <w:overflowPunct w:val="0"/>
              <w:spacing w:before="40"/>
              <w:ind w:left="144" w:right="360"/>
              <w:rPr>
                <w:b/>
                <w:bCs/>
                <w:color w:val="1F487C"/>
                <w:sz w:val="18"/>
                <w:szCs w:val="18"/>
              </w:rPr>
            </w:pPr>
            <w:r>
              <w:rPr>
                <w:b/>
                <w:bCs/>
                <w:color w:val="1F487C"/>
                <w:sz w:val="18"/>
                <w:szCs w:val="18"/>
              </w:rPr>
              <w:t>Average</w:t>
            </w:r>
          </w:p>
          <w:p w:rsidR="008E16EA" w:rsidP="001B03AD" w14:paraId="5D1BC987" w14:textId="29F85E86">
            <w:pPr>
              <w:pStyle w:val="TableParagraph"/>
              <w:kinsoku w:val="0"/>
              <w:overflowPunct w:val="0"/>
              <w:spacing w:before="40"/>
              <w:ind w:left="144" w:right="360"/>
              <w:rPr>
                <w:b/>
                <w:bCs/>
                <w:color w:val="1F487C"/>
                <w:sz w:val="18"/>
                <w:szCs w:val="18"/>
              </w:rPr>
            </w:pPr>
            <w:r>
              <w:rPr>
                <w:b/>
                <w:bCs/>
                <w:color w:val="1F487C"/>
                <w:sz w:val="18"/>
                <w:szCs w:val="18"/>
              </w:rPr>
              <w:t>Weight</w:t>
            </w:r>
          </w:p>
        </w:tc>
      </w:tr>
      <w:tr w14:paraId="74EE05D9" w14:textId="77777777" w:rsidTr="008E16EA">
        <w:tblPrEx>
          <w:tblW w:w="0" w:type="auto"/>
          <w:tblInd w:w="100" w:type="dxa"/>
          <w:tblLayout w:type="fixed"/>
          <w:tblCellMar>
            <w:left w:w="0" w:type="dxa"/>
            <w:right w:w="0" w:type="dxa"/>
          </w:tblCellMar>
          <w:tblLook w:val="0000"/>
        </w:tblPrEx>
        <w:trPr>
          <w:trHeight w:val="258"/>
        </w:trPr>
        <w:tc>
          <w:tcPr>
            <w:tcW w:w="3580" w:type="dxa"/>
            <w:tcBorders>
              <w:top w:val="single" w:sz="8" w:space="0" w:color="000000"/>
              <w:left w:val="single" w:sz="8" w:space="0" w:color="000000"/>
              <w:bottom w:val="none" w:sz="6" w:space="0" w:color="auto"/>
              <w:right w:val="single" w:sz="8" w:space="0" w:color="000000"/>
            </w:tcBorders>
          </w:tcPr>
          <w:p w:rsidR="001B03AD" w:rsidP="001B03AD" w14:paraId="3B84AE58" w14:textId="77777777">
            <w:pPr>
              <w:pStyle w:val="TableParagraph"/>
              <w:kinsoku w:val="0"/>
              <w:overflowPunct w:val="0"/>
              <w:spacing w:before="24"/>
              <w:ind w:left="107"/>
              <w:jc w:val="left"/>
              <w:rPr>
                <w:b/>
                <w:bCs/>
                <w:sz w:val="18"/>
                <w:szCs w:val="18"/>
              </w:rPr>
            </w:pPr>
            <w:r>
              <w:rPr>
                <w:b/>
                <w:bCs/>
                <w:sz w:val="18"/>
                <w:szCs w:val="18"/>
              </w:rPr>
              <w:t>Loan Category</w:t>
            </w:r>
          </w:p>
        </w:tc>
        <w:tc>
          <w:tcPr>
            <w:tcW w:w="2430" w:type="dxa"/>
            <w:tcBorders>
              <w:top w:val="single" w:sz="8" w:space="0" w:color="000000"/>
              <w:left w:val="single" w:sz="8" w:space="0" w:color="000000"/>
              <w:bottom w:val="none" w:sz="6" w:space="0" w:color="auto"/>
              <w:right w:val="single" w:sz="8" w:space="0" w:color="000000"/>
            </w:tcBorders>
          </w:tcPr>
          <w:p w:rsidR="001B03AD" w:rsidP="001B03AD" w14:paraId="6C214700" w14:textId="77777777">
            <w:pPr>
              <w:pStyle w:val="TableParagraph"/>
              <w:kinsoku w:val="0"/>
              <w:overflowPunct w:val="0"/>
              <w:spacing w:before="0"/>
              <w:ind w:left="0"/>
              <w:jc w:val="left"/>
              <w:rPr>
                <w:rFonts w:ascii="Times New Roman" w:hAnsi="Times New Roman" w:cs="Times New Roman"/>
                <w:sz w:val="18"/>
                <w:szCs w:val="18"/>
              </w:rPr>
            </w:pPr>
          </w:p>
        </w:tc>
        <w:tc>
          <w:tcPr>
            <w:tcW w:w="1620" w:type="dxa"/>
            <w:tcBorders>
              <w:top w:val="single" w:sz="8" w:space="0" w:color="000000"/>
              <w:left w:val="single" w:sz="8" w:space="0" w:color="000000"/>
              <w:bottom w:val="none" w:sz="6" w:space="0" w:color="auto"/>
              <w:right w:val="single" w:sz="8" w:space="0" w:color="000000"/>
            </w:tcBorders>
          </w:tcPr>
          <w:p w:rsidR="001B03AD" w:rsidP="001B03AD" w14:paraId="53ADAD74" w14:textId="77777777">
            <w:pPr>
              <w:pStyle w:val="TableParagraph"/>
              <w:kinsoku w:val="0"/>
              <w:overflowPunct w:val="0"/>
              <w:spacing w:before="0"/>
              <w:ind w:left="0"/>
              <w:jc w:val="left"/>
              <w:rPr>
                <w:rFonts w:ascii="Times New Roman" w:hAnsi="Times New Roman" w:cs="Times New Roman"/>
                <w:sz w:val="18"/>
                <w:szCs w:val="18"/>
              </w:rPr>
            </w:pPr>
          </w:p>
        </w:tc>
        <w:tc>
          <w:tcPr>
            <w:tcW w:w="1440" w:type="dxa"/>
            <w:tcBorders>
              <w:top w:val="single" w:sz="8" w:space="0" w:color="000000"/>
              <w:left w:val="single" w:sz="8" w:space="0" w:color="000000"/>
              <w:bottom w:val="none" w:sz="6" w:space="0" w:color="auto"/>
              <w:right w:val="single" w:sz="8" w:space="0" w:color="000000"/>
            </w:tcBorders>
          </w:tcPr>
          <w:p w:rsidR="001B03AD" w:rsidP="001B03AD" w14:paraId="48E42F0E" w14:textId="77777777">
            <w:pPr>
              <w:pStyle w:val="TableParagraph"/>
              <w:kinsoku w:val="0"/>
              <w:overflowPunct w:val="0"/>
              <w:spacing w:before="0"/>
              <w:ind w:left="0"/>
              <w:jc w:val="left"/>
              <w:rPr>
                <w:rFonts w:ascii="Times New Roman" w:hAnsi="Times New Roman" w:cs="Times New Roman"/>
                <w:sz w:val="18"/>
                <w:szCs w:val="18"/>
              </w:rPr>
            </w:pPr>
          </w:p>
        </w:tc>
      </w:tr>
      <w:tr w14:paraId="590D8AB6"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6A6346E6" w14:textId="77777777">
            <w:pPr>
              <w:pStyle w:val="TableParagraph"/>
              <w:kinsoku w:val="0"/>
              <w:overflowPunct w:val="0"/>
              <w:spacing w:before="21"/>
              <w:ind w:left="287"/>
              <w:jc w:val="left"/>
              <w:rPr>
                <w:spacing w:val="-2"/>
                <w:sz w:val="18"/>
                <w:szCs w:val="18"/>
              </w:rPr>
            </w:pPr>
            <w:r>
              <w:rPr>
                <w:spacing w:val="-2"/>
                <w:sz w:val="18"/>
                <w:szCs w:val="18"/>
              </w:rPr>
              <w:t>Purchase</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7DA3C323" w14:textId="77777777">
            <w:pPr>
              <w:pStyle w:val="TableParagraph"/>
              <w:kinsoku w:val="0"/>
              <w:overflowPunct w:val="0"/>
              <w:spacing w:before="21"/>
              <w:rPr>
                <w:spacing w:val="-2"/>
                <w:sz w:val="18"/>
                <w:szCs w:val="18"/>
              </w:rPr>
            </w:pPr>
            <w:r>
              <w:rPr>
                <w:spacing w:val="-2"/>
                <w:sz w:val="18"/>
                <w:szCs w:val="18"/>
              </w:rPr>
              <w:t>46.30%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0E8210E6" w14:textId="77777777">
            <w:pPr>
              <w:pStyle w:val="TableParagraph"/>
              <w:kinsoku w:val="0"/>
              <w:overflowPunct w:val="0"/>
              <w:spacing w:before="21"/>
              <w:ind w:left="16" w:right="1"/>
              <w:rPr>
                <w:spacing w:val="-2"/>
                <w:sz w:val="18"/>
                <w:szCs w:val="18"/>
              </w:rPr>
            </w:pPr>
            <w:r>
              <w:rPr>
                <w:spacing w:val="-2"/>
                <w:sz w:val="18"/>
                <w:szCs w:val="18"/>
              </w:rPr>
              <w:t>46.50%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2ECF12B6" w14:textId="77777777">
            <w:pPr>
              <w:pStyle w:val="TableParagraph"/>
              <w:kinsoku w:val="0"/>
              <w:overflowPunct w:val="0"/>
              <w:spacing w:before="21"/>
              <w:ind w:right="2"/>
              <w:rPr>
                <w:spacing w:val="-2"/>
                <w:sz w:val="18"/>
                <w:szCs w:val="18"/>
              </w:rPr>
            </w:pPr>
            <w:r>
              <w:rPr>
                <w:spacing w:val="-2"/>
                <w:sz w:val="18"/>
                <w:szCs w:val="18"/>
              </w:rPr>
              <w:t>1,426</w:t>
            </w:r>
          </w:p>
        </w:tc>
      </w:tr>
      <w:tr w14:paraId="22C53CFD" w14:textId="77777777" w:rsidTr="008E16EA">
        <w:tblPrEx>
          <w:tblW w:w="0" w:type="auto"/>
          <w:tblInd w:w="100" w:type="dxa"/>
          <w:tblLayout w:type="fixed"/>
          <w:tblCellMar>
            <w:left w:w="0" w:type="dxa"/>
            <w:right w:w="0" w:type="dxa"/>
          </w:tblCellMar>
          <w:tblLook w:val="0000"/>
        </w:tblPrEx>
        <w:trPr>
          <w:trHeight w:val="242"/>
        </w:trPr>
        <w:tc>
          <w:tcPr>
            <w:tcW w:w="3580" w:type="dxa"/>
            <w:tcBorders>
              <w:top w:val="none" w:sz="6" w:space="0" w:color="auto"/>
              <w:left w:val="single" w:sz="8" w:space="0" w:color="000000"/>
              <w:bottom w:val="none" w:sz="6" w:space="0" w:color="auto"/>
              <w:right w:val="single" w:sz="8" w:space="0" w:color="000000"/>
            </w:tcBorders>
          </w:tcPr>
          <w:p w:rsidR="001B03AD" w:rsidP="001B03AD" w14:paraId="778F439A" w14:textId="77777777">
            <w:pPr>
              <w:pStyle w:val="TableParagraph"/>
              <w:kinsoku w:val="0"/>
              <w:overflowPunct w:val="0"/>
              <w:spacing w:line="202" w:lineRule="exact"/>
              <w:ind w:left="287"/>
              <w:jc w:val="left"/>
              <w:rPr>
                <w:spacing w:val="-2"/>
                <w:sz w:val="18"/>
                <w:szCs w:val="18"/>
              </w:rPr>
            </w:pPr>
            <w:r>
              <w:rPr>
                <w:spacing w:val="-2"/>
                <w:sz w:val="18"/>
                <w:szCs w:val="18"/>
              </w:rPr>
              <w:t>Refinance</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E2162D4" w14:textId="77777777">
            <w:pPr>
              <w:pStyle w:val="TableParagraph"/>
              <w:kinsoku w:val="0"/>
              <w:overflowPunct w:val="0"/>
              <w:spacing w:line="202" w:lineRule="exact"/>
              <w:rPr>
                <w:spacing w:val="-2"/>
                <w:sz w:val="18"/>
                <w:szCs w:val="18"/>
              </w:rPr>
            </w:pPr>
            <w:r>
              <w:rPr>
                <w:spacing w:val="-2"/>
                <w:sz w:val="18"/>
                <w:szCs w:val="18"/>
              </w:rPr>
              <w:t>49.90%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71D950D4" w14:textId="77777777">
            <w:pPr>
              <w:pStyle w:val="TableParagraph"/>
              <w:kinsoku w:val="0"/>
              <w:overflowPunct w:val="0"/>
              <w:spacing w:line="202" w:lineRule="exact"/>
              <w:ind w:left="16" w:right="1"/>
              <w:rPr>
                <w:spacing w:val="-2"/>
                <w:sz w:val="18"/>
                <w:szCs w:val="18"/>
              </w:rPr>
            </w:pPr>
            <w:r>
              <w:rPr>
                <w:spacing w:val="-2"/>
                <w:sz w:val="18"/>
                <w:szCs w:val="18"/>
              </w:rPr>
              <w:t>49.80%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8FED1D9" w14:textId="77777777">
            <w:pPr>
              <w:pStyle w:val="TableParagraph"/>
              <w:kinsoku w:val="0"/>
              <w:overflowPunct w:val="0"/>
              <w:spacing w:line="202" w:lineRule="exact"/>
              <w:ind w:right="2"/>
              <w:rPr>
                <w:spacing w:val="-2"/>
                <w:sz w:val="18"/>
                <w:szCs w:val="18"/>
              </w:rPr>
            </w:pPr>
            <w:r>
              <w:rPr>
                <w:spacing w:val="-2"/>
                <w:sz w:val="18"/>
                <w:szCs w:val="18"/>
              </w:rPr>
              <w:t>1,415</w:t>
            </w:r>
          </w:p>
        </w:tc>
      </w:tr>
      <w:tr w14:paraId="1E321994" w14:textId="77777777" w:rsidTr="008E16EA">
        <w:tblPrEx>
          <w:tblW w:w="0" w:type="auto"/>
          <w:tblInd w:w="100" w:type="dxa"/>
          <w:tblLayout w:type="fixed"/>
          <w:tblCellMar>
            <w:left w:w="0" w:type="dxa"/>
            <w:right w:w="0" w:type="dxa"/>
          </w:tblCellMar>
          <w:tblLook w:val="0000"/>
        </w:tblPrEx>
        <w:trPr>
          <w:trHeight w:val="487"/>
        </w:trPr>
        <w:tc>
          <w:tcPr>
            <w:tcW w:w="3580" w:type="dxa"/>
            <w:tcBorders>
              <w:top w:val="none" w:sz="6" w:space="0" w:color="auto"/>
              <w:left w:val="single" w:sz="8" w:space="0" w:color="000000"/>
              <w:bottom w:val="none" w:sz="6" w:space="0" w:color="auto"/>
              <w:right w:val="single" w:sz="8" w:space="0" w:color="000000"/>
            </w:tcBorders>
          </w:tcPr>
          <w:p w:rsidR="001B03AD" w:rsidP="001B03AD" w14:paraId="03C17082" w14:textId="77777777">
            <w:pPr>
              <w:pStyle w:val="TableParagraph"/>
              <w:kinsoku w:val="0"/>
              <w:overflowPunct w:val="0"/>
              <w:spacing w:before="41"/>
              <w:ind w:left="436" w:right="470" w:hanging="149"/>
              <w:jc w:val="left"/>
              <w:rPr>
                <w:sz w:val="18"/>
                <w:szCs w:val="18"/>
              </w:rPr>
            </w:pPr>
            <w:r>
              <w:rPr>
                <w:sz w:val="18"/>
                <w:szCs w:val="18"/>
              </w:rPr>
              <w:t>Other</w:t>
            </w:r>
            <w:r>
              <w:rPr>
                <w:spacing w:val="-6"/>
                <w:sz w:val="18"/>
                <w:szCs w:val="18"/>
              </w:rPr>
              <w:t xml:space="preserve"> </w:t>
            </w:r>
            <w:r>
              <w:rPr>
                <w:sz w:val="18"/>
                <w:szCs w:val="18"/>
              </w:rPr>
              <w:t>(i.e.</w:t>
            </w:r>
            <w:r>
              <w:rPr>
                <w:spacing w:val="-6"/>
                <w:sz w:val="18"/>
                <w:szCs w:val="18"/>
              </w:rPr>
              <w:t xml:space="preserve"> </w:t>
            </w:r>
            <w:r>
              <w:rPr>
                <w:sz w:val="18"/>
                <w:szCs w:val="18"/>
              </w:rPr>
              <w:t>bought</w:t>
            </w:r>
            <w:r>
              <w:rPr>
                <w:spacing w:val="-6"/>
                <w:sz w:val="18"/>
                <w:szCs w:val="18"/>
              </w:rPr>
              <w:t xml:space="preserve"> </w:t>
            </w:r>
            <w:r>
              <w:rPr>
                <w:sz w:val="18"/>
                <w:szCs w:val="18"/>
              </w:rPr>
              <w:t>out</w:t>
            </w:r>
            <w:r>
              <w:rPr>
                <w:spacing w:val="-6"/>
                <w:sz w:val="18"/>
                <w:szCs w:val="18"/>
              </w:rPr>
              <w:t xml:space="preserve"> </w:t>
            </w:r>
            <w:r>
              <w:rPr>
                <w:sz w:val="18"/>
                <w:szCs w:val="18"/>
              </w:rPr>
              <w:t>co-borrower,</w:t>
            </w:r>
            <w:r>
              <w:rPr>
                <w:spacing w:val="-6"/>
                <w:sz w:val="18"/>
                <w:szCs w:val="18"/>
              </w:rPr>
              <w:t xml:space="preserve"> </w:t>
            </w:r>
            <w:r>
              <w:rPr>
                <w:sz w:val="18"/>
                <w:szCs w:val="18"/>
              </w:rPr>
              <w:t>put</w:t>
            </w:r>
            <w:r>
              <w:rPr>
                <w:spacing w:val="-6"/>
                <w:sz w:val="18"/>
                <w:szCs w:val="18"/>
              </w:rPr>
              <w:t xml:space="preserve"> </w:t>
            </w:r>
            <w:r>
              <w:rPr>
                <w:sz w:val="18"/>
                <w:szCs w:val="18"/>
              </w:rPr>
              <w:t>loan</w:t>
            </w:r>
            <w:r>
              <w:rPr>
                <w:spacing w:val="-5"/>
                <w:sz w:val="18"/>
                <w:szCs w:val="18"/>
              </w:rPr>
              <w:t xml:space="preserve"> </w:t>
            </w:r>
            <w:r>
              <w:rPr>
                <w:sz w:val="18"/>
                <w:szCs w:val="18"/>
              </w:rPr>
              <w:t>on mortgage-free property)</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2F05E05A" w14:textId="77777777">
            <w:pPr>
              <w:pStyle w:val="TableParagraph"/>
              <w:kinsoku w:val="0"/>
              <w:overflowPunct w:val="0"/>
              <w:spacing w:before="9"/>
              <w:ind w:right="1"/>
              <w:rPr>
                <w:spacing w:val="-4"/>
                <w:sz w:val="18"/>
                <w:szCs w:val="18"/>
              </w:rPr>
            </w:pPr>
            <w:r>
              <w:rPr>
                <w:spacing w:val="-4"/>
                <w:sz w:val="18"/>
                <w:szCs w:val="18"/>
              </w:rPr>
              <w:t>3.80%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0F7CAE38" w14:textId="77777777">
            <w:pPr>
              <w:pStyle w:val="TableParagraph"/>
              <w:kinsoku w:val="0"/>
              <w:overflowPunct w:val="0"/>
              <w:spacing w:before="9"/>
              <w:ind w:left="16" w:right="1"/>
              <w:rPr>
                <w:spacing w:val="-4"/>
                <w:sz w:val="18"/>
                <w:szCs w:val="18"/>
              </w:rPr>
            </w:pPr>
            <w:r>
              <w:rPr>
                <w:spacing w:val="-4"/>
                <w:sz w:val="18"/>
                <w:szCs w:val="18"/>
              </w:rPr>
              <w:t>3.70%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D3465CC" w14:textId="77777777">
            <w:pPr>
              <w:pStyle w:val="TableParagraph"/>
              <w:kinsoku w:val="0"/>
              <w:overflowPunct w:val="0"/>
              <w:spacing w:before="9"/>
              <w:ind w:right="2"/>
              <w:rPr>
                <w:spacing w:val="-2"/>
                <w:sz w:val="18"/>
                <w:szCs w:val="18"/>
              </w:rPr>
            </w:pPr>
            <w:r>
              <w:rPr>
                <w:spacing w:val="-2"/>
                <w:sz w:val="18"/>
                <w:szCs w:val="18"/>
              </w:rPr>
              <w:t>1,359</w:t>
            </w:r>
          </w:p>
        </w:tc>
      </w:tr>
      <w:tr w14:paraId="17AAC4A8" w14:textId="77777777" w:rsidTr="008E16EA">
        <w:tblPrEx>
          <w:tblW w:w="0" w:type="auto"/>
          <w:tblInd w:w="100" w:type="dxa"/>
          <w:tblLayout w:type="fixed"/>
          <w:tblCellMar>
            <w:left w:w="0" w:type="dxa"/>
            <w:right w:w="0" w:type="dxa"/>
          </w:tblCellMar>
          <w:tblLook w:val="0000"/>
        </w:tblPrEx>
        <w:trPr>
          <w:trHeight w:val="514"/>
        </w:trPr>
        <w:tc>
          <w:tcPr>
            <w:tcW w:w="3580" w:type="dxa"/>
            <w:tcBorders>
              <w:top w:val="none" w:sz="6" w:space="0" w:color="auto"/>
              <w:left w:val="single" w:sz="8" w:space="0" w:color="000000"/>
              <w:bottom w:val="none" w:sz="6" w:space="0" w:color="auto"/>
              <w:right w:val="single" w:sz="8" w:space="0" w:color="000000"/>
            </w:tcBorders>
          </w:tcPr>
          <w:p w:rsidR="001B03AD" w:rsidP="001B03AD" w14:paraId="030C0DC6" w14:textId="77777777">
            <w:pPr>
              <w:pStyle w:val="TableParagraph"/>
              <w:kinsoku w:val="0"/>
              <w:overflowPunct w:val="0"/>
              <w:spacing w:before="72"/>
              <w:ind w:left="0"/>
              <w:jc w:val="left"/>
              <w:rPr>
                <w:b/>
                <w:bCs/>
                <w:sz w:val="18"/>
                <w:szCs w:val="18"/>
              </w:rPr>
            </w:pPr>
          </w:p>
          <w:p w:rsidR="001B03AD" w:rsidP="001B03AD" w14:paraId="00791197" w14:textId="77777777">
            <w:pPr>
              <w:pStyle w:val="TableParagraph"/>
              <w:kinsoku w:val="0"/>
              <w:overflowPunct w:val="0"/>
              <w:spacing w:before="1"/>
              <w:ind w:left="107"/>
              <w:jc w:val="left"/>
              <w:rPr>
                <w:b/>
                <w:bCs/>
                <w:sz w:val="18"/>
                <w:szCs w:val="18"/>
              </w:rPr>
            </w:pPr>
            <w:r>
              <w:rPr>
                <w:b/>
                <w:bCs/>
                <w:sz w:val="18"/>
                <w:szCs w:val="18"/>
              </w:rPr>
              <w:t>Loan Size</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3FA48B39" w14:textId="77777777">
            <w:pPr>
              <w:pStyle w:val="TableParagraph"/>
              <w:kinsoku w:val="0"/>
              <w:overflowPunct w:val="0"/>
              <w:spacing w:before="25"/>
              <w:ind w:right="2"/>
              <w:rPr>
                <w:spacing w:val="-2"/>
                <w:sz w:val="18"/>
                <w:szCs w:val="18"/>
              </w:rPr>
            </w:pPr>
            <w:r>
              <w:rPr>
                <w:spacing w:val="-2"/>
                <w:sz w:val="18"/>
                <w:szCs w:val="18"/>
              </w:rPr>
              <w:t>100.00%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267DF17B" w14:textId="77777777">
            <w:pPr>
              <w:pStyle w:val="TableParagraph"/>
              <w:kinsoku w:val="0"/>
              <w:overflowPunct w:val="0"/>
              <w:spacing w:before="25"/>
              <w:ind w:left="16"/>
              <w:rPr>
                <w:spacing w:val="-2"/>
                <w:sz w:val="18"/>
                <w:szCs w:val="18"/>
              </w:rPr>
            </w:pPr>
            <w:r>
              <w:rPr>
                <w:spacing w:val="-2"/>
                <w:sz w:val="18"/>
                <w:szCs w:val="18"/>
              </w:rPr>
              <w:t>100.00%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48A5B202" w14:textId="77777777">
            <w:pPr>
              <w:pStyle w:val="TableParagraph"/>
              <w:kinsoku w:val="0"/>
              <w:overflowPunct w:val="0"/>
              <w:spacing w:before="0"/>
              <w:ind w:left="0"/>
              <w:jc w:val="left"/>
              <w:rPr>
                <w:rFonts w:ascii="Times New Roman" w:hAnsi="Times New Roman" w:cs="Times New Roman"/>
                <w:sz w:val="18"/>
                <w:szCs w:val="18"/>
              </w:rPr>
            </w:pPr>
          </w:p>
        </w:tc>
      </w:tr>
      <w:tr w14:paraId="53B6D8FD"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0D4710EA" w14:textId="77777777">
            <w:pPr>
              <w:pStyle w:val="TableParagraph"/>
              <w:kinsoku w:val="0"/>
              <w:overflowPunct w:val="0"/>
              <w:spacing w:before="21"/>
              <w:ind w:left="287"/>
              <w:jc w:val="left"/>
              <w:rPr>
                <w:sz w:val="18"/>
                <w:szCs w:val="18"/>
              </w:rPr>
            </w:pPr>
            <w:r>
              <w:rPr>
                <w:sz w:val="18"/>
                <w:szCs w:val="18"/>
              </w:rPr>
              <w:t>Less than $50,000</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7A60971A" w14:textId="77777777">
            <w:pPr>
              <w:pStyle w:val="TableParagraph"/>
              <w:kinsoku w:val="0"/>
              <w:overflowPunct w:val="0"/>
              <w:spacing w:before="21"/>
              <w:ind w:right="1"/>
              <w:rPr>
                <w:spacing w:val="-4"/>
                <w:sz w:val="18"/>
                <w:szCs w:val="18"/>
              </w:rPr>
            </w:pPr>
            <w:r>
              <w:rPr>
                <w:spacing w:val="-4"/>
                <w:sz w:val="18"/>
                <w:szCs w:val="18"/>
              </w:rPr>
              <w:t>2.10%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691C631" w14:textId="77777777">
            <w:pPr>
              <w:pStyle w:val="TableParagraph"/>
              <w:kinsoku w:val="0"/>
              <w:overflowPunct w:val="0"/>
              <w:spacing w:before="21"/>
              <w:ind w:left="16" w:right="1"/>
              <w:rPr>
                <w:spacing w:val="-4"/>
                <w:sz w:val="18"/>
                <w:szCs w:val="18"/>
              </w:rPr>
            </w:pPr>
            <w:r>
              <w:rPr>
                <w:spacing w:val="-4"/>
                <w:sz w:val="18"/>
                <w:szCs w:val="18"/>
              </w:rPr>
              <w:t>2.00%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016D287C" w14:textId="77777777">
            <w:pPr>
              <w:pStyle w:val="TableParagraph"/>
              <w:kinsoku w:val="0"/>
              <w:overflowPunct w:val="0"/>
              <w:spacing w:before="21"/>
              <w:ind w:right="2"/>
              <w:rPr>
                <w:spacing w:val="-2"/>
                <w:sz w:val="18"/>
                <w:szCs w:val="18"/>
              </w:rPr>
            </w:pPr>
            <w:r>
              <w:rPr>
                <w:spacing w:val="-2"/>
                <w:sz w:val="18"/>
                <w:szCs w:val="18"/>
              </w:rPr>
              <w:t>1,348</w:t>
            </w:r>
          </w:p>
        </w:tc>
      </w:tr>
      <w:tr w14:paraId="4D90E083"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28AF47BE" w14:textId="77777777">
            <w:pPr>
              <w:pStyle w:val="TableParagraph"/>
              <w:kinsoku w:val="0"/>
              <w:overflowPunct w:val="0"/>
              <w:ind w:left="287"/>
              <w:jc w:val="left"/>
              <w:rPr>
                <w:sz w:val="18"/>
                <w:szCs w:val="18"/>
              </w:rPr>
            </w:pPr>
            <w:r>
              <w:rPr>
                <w:sz w:val="18"/>
                <w:szCs w:val="18"/>
              </w:rPr>
              <w:t>$50,000 to $99,999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675FFD31" w14:textId="77777777">
            <w:pPr>
              <w:pStyle w:val="TableParagraph"/>
              <w:kinsoku w:val="0"/>
              <w:overflowPunct w:val="0"/>
              <w:rPr>
                <w:spacing w:val="-2"/>
                <w:sz w:val="18"/>
                <w:szCs w:val="18"/>
              </w:rPr>
            </w:pPr>
            <w:r>
              <w:rPr>
                <w:spacing w:val="-2"/>
                <w:sz w:val="18"/>
                <w:szCs w:val="18"/>
              </w:rPr>
              <w:t>11.60%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8813157" w14:textId="77777777">
            <w:pPr>
              <w:pStyle w:val="TableParagraph"/>
              <w:kinsoku w:val="0"/>
              <w:overflowPunct w:val="0"/>
              <w:ind w:left="16" w:right="1"/>
              <w:rPr>
                <w:spacing w:val="-2"/>
                <w:sz w:val="18"/>
                <w:szCs w:val="18"/>
              </w:rPr>
            </w:pPr>
            <w:r>
              <w:rPr>
                <w:spacing w:val="-2"/>
                <w:sz w:val="18"/>
                <w:szCs w:val="18"/>
              </w:rPr>
              <w:t>10.60%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F4ED011" w14:textId="77777777">
            <w:pPr>
              <w:pStyle w:val="TableParagraph"/>
              <w:kinsoku w:val="0"/>
              <w:overflowPunct w:val="0"/>
              <w:ind w:right="2"/>
              <w:rPr>
                <w:spacing w:val="-2"/>
                <w:sz w:val="18"/>
                <w:szCs w:val="18"/>
              </w:rPr>
            </w:pPr>
            <w:r>
              <w:rPr>
                <w:spacing w:val="-2"/>
                <w:sz w:val="18"/>
                <w:szCs w:val="18"/>
              </w:rPr>
              <w:t>1,300</w:t>
            </w:r>
          </w:p>
        </w:tc>
      </w:tr>
      <w:tr w14:paraId="314DA48F"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4A01CE3E" w14:textId="77777777">
            <w:pPr>
              <w:pStyle w:val="TableParagraph"/>
              <w:kinsoku w:val="0"/>
              <w:overflowPunct w:val="0"/>
              <w:spacing w:before="21"/>
              <w:ind w:left="287"/>
              <w:jc w:val="left"/>
              <w:rPr>
                <w:sz w:val="18"/>
                <w:szCs w:val="18"/>
              </w:rPr>
            </w:pPr>
            <w:r>
              <w:rPr>
                <w:sz w:val="18"/>
                <w:szCs w:val="18"/>
              </w:rPr>
              <w:t>$100,000 to $149,999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251F365" w14:textId="77777777">
            <w:pPr>
              <w:pStyle w:val="TableParagraph"/>
              <w:kinsoku w:val="0"/>
              <w:overflowPunct w:val="0"/>
              <w:spacing w:before="21"/>
              <w:rPr>
                <w:spacing w:val="-2"/>
                <w:sz w:val="18"/>
                <w:szCs w:val="18"/>
              </w:rPr>
            </w:pPr>
            <w:r>
              <w:rPr>
                <w:spacing w:val="-2"/>
                <w:sz w:val="18"/>
                <w:szCs w:val="18"/>
              </w:rPr>
              <w:t>17.90%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5CF33F7C" w14:textId="77777777">
            <w:pPr>
              <w:pStyle w:val="TableParagraph"/>
              <w:kinsoku w:val="0"/>
              <w:overflowPunct w:val="0"/>
              <w:spacing w:before="21"/>
              <w:ind w:left="16" w:right="1"/>
              <w:rPr>
                <w:spacing w:val="-2"/>
                <w:sz w:val="18"/>
                <w:szCs w:val="18"/>
              </w:rPr>
            </w:pPr>
            <w:r>
              <w:rPr>
                <w:spacing w:val="-2"/>
                <w:sz w:val="18"/>
                <w:szCs w:val="18"/>
              </w:rPr>
              <w:t>17.00%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7AD7510F" w14:textId="77777777">
            <w:pPr>
              <w:pStyle w:val="TableParagraph"/>
              <w:kinsoku w:val="0"/>
              <w:overflowPunct w:val="0"/>
              <w:spacing w:before="21"/>
              <w:ind w:right="2"/>
              <w:rPr>
                <w:spacing w:val="-2"/>
                <w:sz w:val="18"/>
                <w:szCs w:val="18"/>
              </w:rPr>
            </w:pPr>
            <w:r>
              <w:rPr>
                <w:spacing w:val="-2"/>
                <w:sz w:val="18"/>
                <w:szCs w:val="18"/>
              </w:rPr>
              <w:t>1,346</w:t>
            </w:r>
          </w:p>
        </w:tc>
      </w:tr>
      <w:tr w14:paraId="4910ECF4"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0AAEE263" w14:textId="77777777">
            <w:pPr>
              <w:pStyle w:val="TableParagraph"/>
              <w:kinsoku w:val="0"/>
              <w:overflowPunct w:val="0"/>
              <w:ind w:left="287"/>
              <w:jc w:val="left"/>
              <w:rPr>
                <w:sz w:val="18"/>
                <w:szCs w:val="18"/>
              </w:rPr>
            </w:pPr>
            <w:r>
              <w:rPr>
                <w:sz w:val="18"/>
                <w:szCs w:val="18"/>
              </w:rPr>
              <w:t>$150,000 to $199,999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722F9AAC" w14:textId="77777777">
            <w:pPr>
              <w:pStyle w:val="TableParagraph"/>
              <w:kinsoku w:val="0"/>
              <w:overflowPunct w:val="0"/>
              <w:rPr>
                <w:spacing w:val="-2"/>
                <w:sz w:val="18"/>
                <w:szCs w:val="18"/>
              </w:rPr>
            </w:pPr>
            <w:r>
              <w:rPr>
                <w:spacing w:val="-2"/>
                <w:sz w:val="18"/>
                <w:szCs w:val="18"/>
              </w:rPr>
              <w:t>16.80%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274DA6DB" w14:textId="77777777">
            <w:pPr>
              <w:pStyle w:val="TableParagraph"/>
              <w:kinsoku w:val="0"/>
              <w:overflowPunct w:val="0"/>
              <w:ind w:left="16" w:right="1"/>
              <w:rPr>
                <w:spacing w:val="-2"/>
                <w:sz w:val="18"/>
                <w:szCs w:val="18"/>
              </w:rPr>
            </w:pPr>
            <w:r>
              <w:rPr>
                <w:spacing w:val="-2"/>
                <w:sz w:val="18"/>
                <w:szCs w:val="18"/>
              </w:rPr>
              <w:t>16.50%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6906E876" w14:textId="77777777">
            <w:pPr>
              <w:pStyle w:val="TableParagraph"/>
              <w:kinsoku w:val="0"/>
              <w:overflowPunct w:val="0"/>
              <w:ind w:right="2"/>
              <w:rPr>
                <w:spacing w:val="-2"/>
                <w:sz w:val="18"/>
                <w:szCs w:val="18"/>
              </w:rPr>
            </w:pPr>
            <w:r>
              <w:rPr>
                <w:spacing w:val="-2"/>
                <w:sz w:val="18"/>
                <w:szCs w:val="18"/>
              </w:rPr>
              <w:t>1,392</w:t>
            </w:r>
          </w:p>
        </w:tc>
      </w:tr>
      <w:tr w14:paraId="49D0A04D"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295F30AC" w14:textId="77777777">
            <w:pPr>
              <w:pStyle w:val="TableParagraph"/>
              <w:kinsoku w:val="0"/>
              <w:overflowPunct w:val="0"/>
              <w:spacing w:before="21"/>
              <w:ind w:left="287"/>
              <w:jc w:val="left"/>
              <w:rPr>
                <w:sz w:val="18"/>
                <w:szCs w:val="18"/>
              </w:rPr>
            </w:pPr>
            <w:r>
              <w:rPr>
                <w:sz w:val="18"/>
                <w:szCs w:val="18"/>
              </w:rPr>
              <w:t>$200,000 to $249,999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3DAFCC4" w14:textId="77777777">
            <w:pPr>
              <w:pStyle w:val="TableParagraph"/>
              <w:kinsoku w:val="0"/>
              <w:overflowPunct w:val="0"/>
              <w:spacing w:before="21"/>
              <w:rPr>
                <w:spacing w:val="-2"/>
                <w:sz w:val="18"/>
                <w:szCs w:val="18"/>
              </w:rPr>
            </w:pPr>
            <w:r>
              <w:rPr>
                <w:spacing w:val="-2"/>
                <w:sz w:val="18"/>
                <w:szCs w:val="18"/>
              </w:rPr>
              <w:t>13.70%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431FD394" w14:textId="77777777">
            <w:pPr>
              <w:pStyle w:val="TableParagraph"/>
              <w:kinsoku w:val="0"/>
              <w:overflowPunct w:val="0"/>
              <w:spacing w:before="21"/>
              <w:ind w:left="16" w:right="1"/>
              <w:rPr>
                <w:spacing w:val="-2"/>
                <w:sz w:val="18"/>
                <w:szCs w:val="18"/>
              </w:rPr>
            </w:pPr>
            <w:r>
              <w:rPr>
                <w:spacing w:val="-2"/>
                <w:sz w:val="18"/>
                <w:szCs w:val="18"/>
              </w:rPr>
              <w:t>13.80%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704AF94" w14:textId="77777777">
            <w:pPr>
              <w:pStyle w:val="TableParagraph"/>
              <w:kinsoku w:val="0"/>
              <w:overflowPunct w:val="0"/>
              <w:spacing w:before="21"/>
              <w:ind w:right="2"/>
              <w:rPr>
                <w:spacing w:val="-2"/>
                <w:sz w:val="18"/>
                <w:szCs w:val="18"/>
              </w:rPr>
            </w:pPr>
            <w:r>
              <w:rPr>
                <w:spacing w:val="-2"/>
                <w:sz w:val="18"/>
                <w:szCs w:val="18"/>
              </w:rPr>
              <w:t>1,424</w:t>
            </w:r>
          </w:p>
        </w:tc>
      </w:tr>
      <w:tr w14:paraId="53BAC777"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63A27426" w14:textId="77777777">
            <w:pPr>
              <w:pStyle w:val="TableParagraph"/>
              <w:kinsoku w:val="0"/>
              <w:overflowPunct w:val="0"/>
              <w:ind w:left="287"/>
              <w:jc w:val="left"/>
              <w:rPr>
                <w:sz w:val="18"/>
                <w:szCs w:val="18"/>
              </w:rPr>
            </w:pPr>
            <w:r>
              <w:rPr>
                <w:sz w:val="18"/>
                <w:szCs w:val="18"/>
              </w:rPr>
              <w:t>$250,000 to $299,999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6A4ECF43" w14:textId="77777777">
            <w:pPr>
              <w:pStyle w:val="TableParagraph"/>
              <w:kinsoku w:val="0"/>
              <w:overflowPunct w:val="0"/>
              <w:rPr>
                <w:spacing w:val="-2"/>
                <w:sz w:val="18"/>
                <w:szCs w:val="18"/>
              </w:rPr>
            </w:pPr>
            <w:r>
              <w:rPr>
                <w:spacing w:val="-2"/>
                <w:sz w:val="18"/>
                <w:szCs w:val="18"/>
              </w:rPr>
              <w:t>10.60%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C722809" w14:textId="77777777">
            <w:pPr>
              <w:pStyle w:val="TableParagraph"/>
              <w:kinsoku w:val="0"/>
              <w:overflowPunct w:val="0"/>
              <w:ind w:left="16" w:right="1"/>
              <w:rPr>
                <w:spacing w:val="-2"/>
                <w:sz w:val="18"/>
                <w:szCs w:val="18"/>
              </w:rPr>
            </w:pPr>
            <w:r>
              <w:rPr>
                <w:spacing w:val="-2"/>
                <w:sz w:val="18"/>
                <w:szCs w:val="18"/>
              </w:rPr>
              <w:t>10.60%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7276D448" w14:textId="77777777">
            <w:pPr>
              <w:pStyle w:val="TableParagraph"/>
              <w:kinsoku w:val="0"/>
              <w:overflowPunct w:val="0"/>
              <w:ind w:right="2"/>
              <w:rPr>
                <w:spacing w:val="-2"/>
                <w:sz w:val="18"/>
                <w:szCs w:val="18"/>
              </w:rPr>
            </w:pPr>
            <w:r>
              <w:rPr>
                <w:spacing w:val="-2"/>
                <w:sz w:val="18"/>
                <w:szCs w:val="18"/>
              </w:rPr>
              <w:t>1,418</w:t>
            </w:r>
          </w:p>
        </w:tc>
      </w:tr>
      <w:tr w14:paraId="31415C27"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3F82FD11" w14:textId="77777777">
            <w:pPr>
              <w:pStyle w:val="TableParagraph"/>
              <w:kinsoku w:val="0"/>
              <w:overflowPunct w:val="0"/>
              <w:spacing w:before="21"/>
              <w:ind w:left="287"/>
              <w:jc w:val="left"/>
              <w:rPr>
                <w:sz w:val="18"/>
                <w:szCs w:val="18"/>
              </w:rPr>
            </w:pPr>
            <w:r>
              <w:rPr>
                <w:sz w:val="18"/>
                <w:szCs w:val="18"/>
              </w:rPr>
              <w:t>$300,000 to $349,999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1F33510A" w14:textId="77777777">
            <w:pPr>
              <w:pStyle w:val="TableParagraph"/>
              <w:kinsoku w:val="0"/>
              <w:overflowPunct w:val="0"/>
              <w:spacing w:before="21"/>
              <w:ind w:right="1"/>
              <w:rPr>
                <w:spacing w:val="-4"/>
                <w:sz w:val="18"/>
                <w:szCs w:val="18"/>
              </w:rPr>
            </w:pPr>
            <w:r>
              <w:rPr>
                <w:spacing w:val="-4"/>
                <w:sz w:val="18"/>
                <w:szCs w:val="18"/>
              </w:rPr>
              <w:t>7.90%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0EB8BAA3" w14:textId="77777777">
            <w:pPr>
              <w:pStyle w:val="TableParagraph"/>
              <w:kinsoku w:val="0"/>
              <w:overflowPunct w:val="0"/>
              <w:spacing w:before="21"/>
              <w:ind w:left="16" w:right="1"/>
              <w:rPr>
                <w:spacing w:val="-4"/>
                <w:sz w:val="18"/>
                <w:szCs w:val="18"/>
              </w:rPr>
            </w:pPr>
            <w:r>
              <w:rPr>
                <w:spacing w:val="-4"/>
                <w:sz w:val="18"/>
                <w:szCs w:val="18"/>
              </w:rPr>
              <w:t>8.20%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5FDCB610" w14:textId="77777777">
            <w:pPr>
              <w:pStyle w:val="TableParagraph"/>
              <w:kinsoku w:val="0"/>
              <w:overflowPunct w:val="0"/>
              <w:spacing w:before="21"/>
              <w:ind w:right="2"/>
              <w:rPr>
                <w:spacing w:val="-2"/>
                <w:sz w:val="18"/>
                <w:szCs w:val="18"/>
              </w:rPr>
            </w:pPr>
            <w:r>
              <w:rPr>
                <w:spacing w:val="-2"/>
                <w:sz w:val="18"/>
                <w:szCs w:val="18"/>
              </w:rPr>
              <w:t>1,478</w:t>
            </w:r>
          </w:p>
        </w:tc>
      </w:tr>
      <w:tr w14:paraId="5E2B127B"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337923ED" w14:textId="77777777">
            <w:pPr>
              <w:pStyle w:val="TableParagraph"/>
              <w:kinsoku w:val="0"/>
              <w:overflowPunct w:val="0"/>
              <w:ind w:left="287"/>
              <w:jc w:val="left"/>
              <w:rPr>
                <w:sz w:val="18"/>
                <w:szCs w:val="18"/>
              </w:rPr>
            </w:pPr>
            <w:r>
              <w:rPr>
                <w:sz w:val="18"/>
                <w:szCs w:val="18"/>
              </w:rPr>
              <w:t>$350,000 to $399,999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9641A2E" w14:textId="77777777">
            <w:pPr>
              <w:pStyle w:val="TableParagraph"/>
              <w:kinsoku w:val="0"/>
              <w:overflowPunct w:val="0"/>
              <w:ind w:right="1"/>
              <w:rPr>
                <w:spacing w:val="-4"/>
                <w:sz w:val="18"/>
                <w:szCs w:val="18"/>
              </w:rPr>
            </w:pPr>
            <w:r>
              <w:rPr>
                <w:spacing w:val="-4"/>
                <w:sz w:val="18"/>
                <w:szCs w:val="18"/>
              </w:rPr>
              <w:t>5.60%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204D43CF" w14:textId="77777777">
            <w:pPr>
              <w:pStyle w:val="TableParagraph"/>
              <w:kinsoku w:val="0"/>
              <w:overflowPunct w:val="0"/>
              <w:ind w:left="16" w:right="1"/>
              <w:rPr>
                <w:spacing w:val="-4"/>
                <w:sz w:val="18"/>
                <w:szCs w:val="18"/>
              </w:rPr>
            </w:pPr>
            <w:r>
              <w:rPr>
                <w:spacing w:val="-4"/>
                <w:sz w:val="18"/>
                <w:szCs w:val="18"/>
              </w:rPr>
              <w:t>5.80%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4F2F21A8" w14:textId="77777777">
            <w:pPr>
              <w:pStyle w:val="TableParagraph"/>
              <w:kinsoku w:val="0"/>
              <w:overflowPunct w:val="0"/>
              <w:ind w:right="2"/>
              <w:rPr>
                <w:spacing w:val="-2"/>
                <w:sz w:val="18"/>
                <w:szCs w:val="18"/>
              </w:rPr>
            </w:pPr>
            <w:r>
              <w:rPr>
                <w:spacing w:val="-2"/>
                <w:sz w:val="18"/>
                <w:szCs w:val="18"/>
              </w:rPr>
              <w:t>1,486</w:t>
            </w:r>
          </w:p>
        </w:tc>
      </w:tr>
      <w:tr w14:paraId="087D455D"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3570DA77" w14:textId="77777777">
            <w:pPr>
              <w:pStyle w:val="TableParagraph"/>
              <w:kinsoku w:val="0"/>
              <w:overflowPunct w:val="0"/>
              <w:spacing w:before="21"/>
              <w:ind w:left="287"/>
              <w:jc w:val="left"/>
              <w:rPr>
                <w:sz w:val="18"/>
                <w:szCs w:val="18"/>
              </w:rPr>
            </w:pPr>
            <w:r>
              <w:rPr>
                <w:sz w:val="18"/>
                <w:szCs w:val="18"/>
              </w:rPr>
              <w:t>$400,000 or more</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579E2A5" w14:textId="77777777">
            <w:pPr>
              <w:pStyle w:val="TableParagraph"/>
              <w:kinsoku w:val="0"/>
              <w:overflowPunct w:val="0"/>
              <w:spacing w:before="21"/>
              <w:rPr>
                <w:spacing w:val="-2"/>
                <w:sz w:val="18"/>
                <w:szCs w:val="18"/>
              </w:rPr>
            </w:pPr>
            <w:r>
              <w:rPr>
                <w:spacing w:val="-2"/>
                <w:sz w:val="18"/>
                <w:szCs w:val="18"/>
              </w:rPr>
              <w:t>13.90%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FF89E7E" w14:textId="77777777">
            <w:pPr>
              <w:pStyle w:val="TableParagraph"/>
              <w:kinsoku w:val="0"/>
              <w:overflowPunct w:val="0"/>
              <w:spacing w:before="21"/>
              <w:ind w:left="16" w:right="1"/>
              <w:rPr>
                <w:spacing w:val="-2"/>
                <w:sz w:val="18"/>
                <w:szCs w:val="18"/>
              </w:rPr>
            </w:pPr>
            <w:r>
              <w:rPr>
                <w:spacing w:val="-2"/>
                <w:sz w:val="18"/>
                <w:szCs w:val="18"/>
              </w:rPr>
              <w:t>15.50%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2FE53DB6" w14:textId="77777777">
            <w:pPr>
              <w:pStyle w:val="TableParagraph"/>
              <w:kinsoku w:val="0"/>
              <w:overflowPunct w:val="0"/>
              <w:spacing w:before="21"/>
              <w:ind w:right="2"/>
              <w:rPr>
                <w:spacing w:val="-2"/>
                <w:sz w:val="18"/>
                <w:szCs w:val="18"/>
              </w:rPr>
            </w:pPr>
            <w:r>
              <w:rPr>
                <w:spacing w:val="-2"/>
                <w:sz w:val="18"/>
                <w:szCs w:val="18"/>
              </w:rPr>
              <w:t>1,581</w:t>
            </w:r>
          </w:p>
        </w:tc>
      </w:tr>
      <w:tr w14:paraId="5ABB30C2" w14:textId="77777777" w:rsidTr="008E16EA">
        <w:tblPrEx>
          <w:tblW w:w="0" w:type="auto"/>
          <w:tblInd w:w="100" w:type="dxa"/>
          <w:tblLayout w:type="fixed"/>
          <w:tblCellMar>
            <w:left w:w="0" w:type="dxa"/>
            <w:right w:w="0" w:type="dxa"/>
          </w:tblCellMar>
          <w:tblLook w:val="0000"/>
        </w:tblPrEx>
        <w:trPr>
          <w:trHeight w:val="510"/>
        </w:trPr>
        <w:tc>
          <w:tcPr>
            <w:tcW w:w="3580" w:type="dxa"/>
            <w:tcBorders>
              <w:top w:val="none" w:sz="6" w:space="0" w:color="auto"/>
              <w:left w:val="single" w:sz="8" w:space="0" w:color="000000"/>
              <w:bottom w:val="none" w:sz="6" w:space="0" w:color="auto"/>
              <w:right w:val="single" w:sz="8" w:space="0" w:color="000000"/>
            </w:tcBorders>
          </w:tcPr>
          <w:p w:rsidR="001B03AD" w:rsidP="001B03AD" w14:paraId="48DAB6E2" w14:textId="77777777">
            <w:pPr>
              <w:pStyle w:val="TableParagraph"/>
              <w:kinsoku w:val="0"/>
              <w:overflowPunct w:val="0"/>
              <w:spacing w:before="69"/>
              <w:ind w:left="0"/>
              <w:jc w:val="left"/>
              <w:rPr>
                <w:b/>
                <w:bCs/>
                <w:sz w:val="18"/>
                <w:szCs w:val="18"/>
              </w:rPr>
            </w:pPr>
          </w:p>
          <w:p w:rsidR="001B03AD" w:rsidP="001B03AD" w14:paraId="09A6DB7D" w14:textId="77777777">
            <w:pPr>
              <w:pStyle w:val="TableParagraph"/>
              <w:kinsoku w:val="0"/>
              <w:overflowPunct w:val="0"/>
              <w:spacing w:before="0"/>
              <w:ind w:left="107"/>
              <w:jc w:val="left"/>
              <w:rPr>
                <w:b/>
                <w:bCs/>
                <w:sz w:val="18"/>
                <w:szCs w:val="18"/>
              </w:rPr>
            </w:pPr>
            <w:r>
              <w:rPr>
                <w:b/>
                <w:bCs/>
                <w:sz w:val="18"/>
                <w:szCs w:val="18"/>
              </w:rPr>
              <w:t>Mortgage Term to Maturity</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613F06A7" w14:textId="77777777">
            <w:pPr>
              <w:pStyle w:val="TableParagraph"/>
              <w:kinsoku w:val="0"/>
              <w:overflowPunct w:val="0"/>
              <w:ind w:right="2"/>
              <w:rPr>
                <w:spacing w:val="-2"/>
                <w:sz w:val="18"/>
                <w:szCs w:val="18"/>
              </w:rPr>
            </w:pPr>
            <w:r>
              <w:rPr>
                <w:spacing w:val="-2"/>
                <w:sz w:val="18"/>
                <w:szCs w:val="18"/>
              </w:rPr>
              <w:t>100.00%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49EF1001" w14:textId="77777777">
            <w:pPr>
              <w:pStyle w:val="TableParagraph"/>
              <w:kinsoku w:val="0"/>
              <w:overflowPunct w:val="0"/>
              <w:ind w:left="16"/>
              <w:rPr>
                <w:spacing w:val="-2"/>
                <w:sz w:val="18"/>
                <w:szCs w:val="18"/>
              </w:rPr>
            </w:pPr>
            <w:r>
              <w:rPr>
                <w:spacing w:val="-2"/>
                <w:sz w:val="18"/>
                <w:szCs w:val="18"/>
              </w:rPr>
              <w:t>100.00%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7345E04F" w14:textId="77777777">
            <w:pPr>
              <w:pStyle w:val="TableParagraph"/>
              <w:kinsoku w:val="0"/>
              <w:overflowPunct w:val="0"/>
              <w:spacing w:before="0"/>
              <w:ind w:left="0"/>
              <w:jc w:val="left"/>
              <w:rPr>
                <w:rFonts w:ascii="Times New Roman" w:hAnsi="Times New Roman" w:cs="Times New Roman"/>
                <w:sz w:val="18"/>
                <w:szCs w:val="18"/>
              </w:rPr>
            </w:pPr>
          </w:p>
        </w:tc>
      </w:tr>
      <w:tr w14:paraId="26E3B5C6"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5A4A5845" w14:textId="77777777">
            <w:pPr>
              <w:pStyle w:val="TableParagraph"/>
              <w:kinsoku w:val="0"/>
              <w:overflowPunct w:val="0"/>
              <w:ind w:left="287"/>
              <w:jc w:val="left"/>
              <w:rPr>
                <w:sz w:val="18"/>
                <w:szCs w:val="18"/>
              </w:rPr>
            </w:pPr>
            <w:r>
              <w:rPr>
                <w:sz w:val="18"/>
                <w:szCs w:val="18"/>
              </w:rPr>
              <w:t>Less than 15 Years</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71292814" w14:textId="77777777">
            <w:pPr>
              <w:pStyle w:val="TableParagraph"/>
              <w:kinsoku w:val="0"/>
              <w:overflowPunct w:val="0"/>
              <w:ind w:right="1"/>
              <w:rPr>
                <w:spacing w:val="-4"/>
                <w:sz w:val="18"/>
                <w:szCs w:val="18"/>
              </w:rPr>
            </w:pPr>
            <w:r>
              <w:rPr>
                <w:spacing w:val="-4"/>
                <w:sz w:val="18"/>
                <w:szCs w:val="18"/>
              </w:rPr>
              <w:t>3.70%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52F37F60" w14:textId="77777777">
            <w:pPr>
              <w:pStyle w:val="TableParagraph"/>
              <w:kinsoku w:val="0"/>
              <w:overflowPunct w:val="0"/>
              <w:ind w:left="16" w:right="1"/>
              <w:rPr>
                <w:spacing w:val="-4"/>
                <w:sz w:val="18"/>
                <w:szCs w:val="18"/>
              </w:rPr>
            </w:pPr>
            <w:r>
              <w:rPr>
                <w:spacing w:val="-4"/>
                <w:sz w:val="18"/>
                <w:szCs w:val="18"/>
              </w:rPr>
              <w:t>3.00%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626A664E" w14:textId="77777777">
            <w:pPr>
              <w:pStyle w:val="TableParagraph"/>
              <w:kinsoku w:val="0"/>
              <w:overflowPunct w:val="0"/>
              <w:ind w:right="2"/>
              <w:rPr>
                <w:spacing w:val="-2"/>
                <w:sz w:val="18"/>
                <w:szCs w:val="18"/>
              </w:rPr>
            </w:pPr>
            <w:r>
              <w:rPr>
                <w:spacing w:val="-2"/>
                <w:sz w:val="18"/>
                <w:szCs w:val="18"/>
              </w:rPr>
              <w:t>1,168</w:t>
            </w:r>
          </w:p>
        </w:tc>
      </w:tr>
      <w:tr w14:paraId="1332FE95"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08C134F1" w14:textId="77777777">
            <w:pPr>
              <w:pStyle w:val="TableParagraph"/>
              <w:kinsoku w:val="0"/>
              <w:overflowPunct w:val="0"/>
              <w:spacing w:before="21"/>
              <w:ind w:left="287"/>
              <w:jc w:val="left"/>
              <w:rPr>
                <w:sz w:val="18"/>
                <w:szCs w:val="18"/>
              </w:rPr>
            </w:pPr>
            <w:r>
              <w:rPr>
                <w:sz w:val="18"/>
                <w:szCs w:val="18"/>
              </w:rPr>
              <w:t>15 Years</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7718A404" w14:textId="77777777">
            <w:pPr>
              <w:pStyle w:val="TableParagraph"/>
              <w:kinsoku w:val="0"/>
              <w:overflowPunct w:val="0"/>
              <w:spacing w:before="21"/>
              <w:rPr>
                <w:spacing w:val="-2"/>
                <w:sz w:val="18"/>
                <w:szCs w:val="18"/>
              </w:rPr>
            </w:pPr>
            <w:r>
              <w:rPr>
                <w:spacing w:val="-2"/>
                <w:sz w:val="18"/>
                <w:szCs w:val="18"/>
              </w:rPr>
              <w:t>15.60%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07591C93" w14:textId="77777777">
            <w:pPr>
              <w:pStyle w:val="TableParagraph"/>
              <w:kinsoku w:val="0"/>
              <w:overflowPunct w:val="0"/>
              <w:spacing w:before="21"/>
              <w:ind w:left="16" w:right="1"/>
              <w:rPr>
                <w:spacing w:val="-2"/>
                <w:sz w:val="18"/>
                <w:szCs w:val="18"/>
              </w:rPr>
            </w:pPr>
            <w:r>
              <w:rPr>
                <w:spacing w:val="-2"/>
                <w:sz w:val="18"/>
                <w:szCs w:val="18"/>
              </w:rPr>
              <w:t>14.20%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00A9F545" w14:textId="77777777">
            <w:pPr>
              <w:pStyle w:val="TableParagraph"/>
              <w:kinsoku w:val="0"/>
              <w:overflowPunct w:val="0"/>
              <w:spacing w:before="21"/>
              <w:ind w:right="2"/>
              <w:rPr>
                <w:spacing w:val="-2"/>
                <w:sz w:val="18"/>
                <w:szCs w:val="18"/>
              </w:rPr>
            </w:pPr>
            <w:r>
              <w:rPr>
                <w:spacing w:val="-2"/>
                <w:sz w:val="18"/>
                <w:szCs w:val="18"/>
              </w:rPr>
              <w:t>1,284</w:t>
            </w:r>
          </w:p>
        </w:tc>
      </w:tr>
      <w:tr w14:paraId="10BA08F0"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265D5B8B" w14:textId="77777777">
            <w:pPr>
              <w:pStyle w:val="TableParagraph"/>
              <w:kinsoku w:val="0"/>
              <w:overflowPunct w:val="0"/>
              <w:ind w:left="287"/>
              <w:jc w:val="left"/>
              <w:rPr>
                <w:sz w:val="18"/>
                <w:szCs w:val="18"/>
              </w:rPr>
            </w:pPr>
            <w:r>
              <w:rPr>
                <w:sz w:val="18"/>
                <w:szCs w:val="18"/>
              </w:rPr>
              <w:t>Between 15 and 30 Years</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668DB86D" w14:textId="77777777">
            <w:pPr>
              <w:pStyle w:val="TableParagraph"/>
              <w:kinsoku w:val="0"/>
              <w:overflowPunct w:val="0"/>
              <w:ind w:right="1"/>
              <w:rPr>
                <w:spacing w:val="-4"/>
                <w:sz w:val="18"/>
                <w:szCs w:val="18"/>
              </w:rPr>
            </w:pPr>
            <w:r>
              <w:rPr>
                <w:spacing w:val="-4"/>
                <w:sz w:val="18"/>
                <w:szCs w:val="18"/>
              </w:rPr>
              <w:t>6.80%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5E91662" w14:textId="77777777">
            <w:pPr>
              <w:pStyle w:val="TableParagraph"/>
              <w:kinsoku w:val="0"/>
              <w:overflowPunct w:val="0"/>
              <w:ind w:left="16" w:right="1"/>
              <w:rPr>
                <w:spacing w:val="-4"/>
                <w:sz w:val="18"/>
                <w:szCs w:val="18"/>
              </w:rPr>
            </w:pPr>
            <w:r>
              <w:rPr>
                <w:spacing w:val="-4"/>
                <w:sz w:val="18"/>
                <w:szCs w:val="18"/>
              </w:rPr>
              <w:t>7.10%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A0C9B99" w14:textId="77777777">
            <w:pPr>
              <w:pStyle w:val="TableParagraph"/>
              <w:kinsoku w:val="0"/>
              <w:overflowPunct w:val="0"/>
              <w:ind w:right="2"/>
              <w:rPr>
                <w:spacing w:val="-2"/>
                <w:sz w:val="18"/>
                <w:szCs w:val="18"/>
              </w:rPr>
            </w:pPr>
            <w:r>
              <w:rPr>
                <w:spacing w:val="-2"/>
                <w:sz w:val="18"/>
                <w:szCs w:val="18"/>
              </w:rPr>
              <w:t>1,480</w:t>
            </w:r>
          </w:p>
        </w:tc>
      </w:tr>
      <w:tr w14:paraId="439AFBD4"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4BF5962F" w14:textId="77777777">
            <w:pPr>
              <w:pStyle w:val="TableParagraph"/>
              <w:kinsoku w:val="0"/>
              <w:overflowPunct w:val="0"/>
              <w:spacing w:before="21"/>
              <w:ind w:left="287"/>
              <w:jc w:val="left"/>
              <w:rPr>
                <w:sz w:val="18"/>
                <w:szCs w:val="18"/>
              </w:rPr>
            </w:pPr>
            <w:r>
              <w:rPr>
                <w:sz w:val="18"/>
                <w:szCs w:val="18"/>
              </w:rPr>
              <w:t>30 Years or More</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278F6F5A" w14:textId="77777777">
            <w:pPr>
              <w:pStyle w:val="TableParagraph"/>
              <w:kinsoku w:val="0"/>
              <w:overflowPunct w:val="0"/>
              <w:spacing w:before="21"/>
              <w:rPr>
                <w:spacing w:val="-2"/>
                <w:sz w:val="18"/>
                <w:szCs w:val="18"/>
              </w:rPr>
            </w:pPr>
            <w:r>
              <w:rPr>
                <w:spacing w:val="-2"/>
                <w:sz w:val="18"/>
                <w:szCs w:val="18"/>
              </w:rPr>
              <w:t>73.90%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44AFA736" w14:textId="77777777">
            <w:pPr>
              <w:pStyle w:val="TableParagraph"/>
              <w:kinsoku w:val="0"/>
              <w:overflowPunct w:val="0"/>
              <w:spacing w:before="21"/>
              <w:ind w:left="16" w:right="1"/>
              <w:rPr>
                <w:spacing w:val="-2"/>
                <w:sz w:val="18"/>
                <w:szCs w:val="18"/>
              </w:rPr>
            </w:pPr>
            <w:r>
              <w:rPr>
                <w:spacing w:val="-2"/>
                <w:sz w:val="18"/>
                <w:szCs w:val="18"/>
              </w:rPr>
              <w:t>75.70%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21AEA274" w14:textId="77777777">
            <w:pPr>
              <w:pStyle w:val="TableParagraph"/>
              <w:kinsoku w:val="0"/>
              <w:overflowPunct w:val="0"/>
              <w:spacing w:before="21"/>
              <w:ind w:right="2"/>
              <w:rPr>
                <w:spacing w:val="-2"/>
                <w:sz w:val="18"/>
                <w:szCs w:val="18"/>
              </w:rPr>
            </w:pPr>
            <w:r>
              <w:rPr>
                <w:spacing w:val="-2"/>
                <w:sz w:val="18"/>
                <w:szCs w:val="18"/>
              </w:rPr>
              <w:t>1,452</w:t>
            </w:r>
          </w:p>
        </w:tc>
      </w:tr>
      <w:tr w14:paraId="6BF127ED" w14:textId="77777777" w:rsidTr="008E16EA">
        <w:tblPrEx>
          <w:tblW w:w="0" w:type="auto"/>
          <w:tblInd w:w="100" w:type="dxa"/>
          <w:tblLayout w:type="fixed"/>
          <w:tblCellMar>
            <w:left w:w="0" w:type="dxa"/>
            <w:right w:w="0" w:type="dxa"/>
          </w:tblCellMar>
          <w:tblLook w:val="0000"/>
        </w:tblPrEx>
        <w:trPr>
          <w:trHeight w:val="510"/>
        </w:trPr>
        <w:tc>
          <w:tcPr>
            <w:tcW w:w="3580" w:type="dxa"/>
            <w:tcBorders>
              <w:top w:val="none" w:sz="6" w:space="0" w:color="auto"/>
              <w:left w:val="single" w:sz="8" w:space="0" w:color="000000"/>
              <w:bottom w:val="none" w:sz="6" w:space="0" w:color="auto"/>
              <w:right w:val="single" w:sz="8" w:space="0" w:color="000000"/>
            </w:tcBorders>
          </w:tcPr>
          <w:p w:rsidR="001B03AD" w:rsidP="001B03AD" w14:paraId="2BBBDCFE" w14:textId="77777777">
            <w:pPr>
              <w:pStyle w:val="TableParagraph"/>
              <w:kinsoku w:val="0"/>
              <w:overflowPunct w:val="0"/>
              <w:spacing w:before="69"/>
              <w:ind w:left="0"/>
              <w:jc w:val="left"/>
              <w:rPr>
                <w:b/>
                <w:bCs/>
                <w:sz w:val="18"/>
                <w:szCs w:val="18"/>
              </w:rPr>
            </w:pPr>
          </w:p>
          <w:p w:rsidR="001B03AD" w:rsidP="001B03AD" w14:paraId="6119C21B" w14:textId="77777777">
            <w:pPr>
              <w:pStyle w:val="TableParagraph"/>
              <w:kinsoku w:val="0"/>
              <w:overflowPunct w:val="0"/>
              <w:spacing w:before="0"/>
              <w:ind w:left="107"/>
              <w:jc w:val="left"/>
              <w:rPr>
                <w:b/>
                <w:bCs/>
                <w:sz w:val="18"/>
                <w:szCs w:val="18"/>
              </w:rPr>
            </w:pPr>
            <w:r>
              <w:rPr>
                <w:b/>
                <w:bCs/>
                <w:sz w:val="18"/>
                <w:szCs w:val="18"/>
              </w:rPr>
              <w:t>Loan to Value (LTV) Ratio at Origination</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34386ABD" w14:textId="77777777">
            <w:pPr>
              <w:pStyle w:val="TableParagraph"/>
              <w:kinsoku w:val="0"/>
              <w:overflowPunct w:val="0"/>
              <w:ind w:right="2"/>
              <w:rPr>
                <w:spacing w:val="-2"/>
                <w:sz w:val="18"/>
                <w:szCs w:val="18"/>
              </w:rPr>
            </w:pPr>
            <w:r>
              <w:rPr>
                <w:spacing w:val="-2"/>
                <w:sz w:val="18"/>
                <w:szCs w:val="18"/>
              </w:rPr>
              <w:t>100.00%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7363A1D5" w14:textId="77777777">
            <w:pPr>
              <w:pStyle w:val="TableParagraph"/>
              <w:kinsoku w:val="0"/>
              <w:overflowPunct w:val="0"/>
              <w:ind w:left="16"/>
              <w:rPr>
                <w:spacing w:val="-2"/>
                <w:sz w:val="18"/>
                <w:szCs w:val="18"/>
              </w:rPr>
            </w:pPr>
            <w:r>
              <w:rPr>
                <w:spacing w:val="-2"/>
                <w:sz w:val="18"/>
                <w:szCs w:val="18"/>
              </w:rPr>
              <w:t>100.00%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50446C07" w14:textId="77777777">
            <w:pPr>
              <w:pStyle w:val="TableParagraph"/>
              <w:kinsoku w:val="0"/>
              <w:overflowPunct w:val="0"/>
              <w:spacing w:before="0"/>
              <w:ind w:left="0"/>
              <w:jc w:val="left"/>
              <w:rPr>
                <w:rFonts w:ascii="Times New Roman" w:hAnsi="Times New Roman" w:cs="Times New Roman"/>
                <w:sz w:val="18"/>
                <w:szCs w:val="18"/>
              </w:rPr>
            </w:pPr>
          </w:p>
        </w:tc>
      </w:tr>
      <w:tr w14:paraId="0F0418D0"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1D9591B5" w14:textId="77777777">
            <w:pPr>
              <w:pStyle w:val="TableParagraph"/>
              <w:kinsoku w:val="0"/>
              <w:overflowPunct w:val="0"/>
              <w:ind w:left="287"/>
              <w:jc w:val="left"/>
              <w:rPr>
                <w:sz w:val="18"/>
                <w:szCs w:val="18"/>
              </w:rPr>
            </w:pPr>
            <w:r>
              <w:rPr>
                <w:sz w:val="18"/>
                <w:szCs w:val="18"/>
              </w:rPr>
              <w:t>Less than 75%</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0E0381BB" w14:textId="77777777">
            <w:pPr>
              <w:pStyle w:val="TableParagraph"/>
              <w:kinsoku w:val="0"/>
              <w:overflowPunct w:val="0"/>
              <w:rPr>
                <w:spacing w:val="-2"/>
                <w:sz w:val="18"/>
                <w:szCs w:val="18"/>
              </w:rPr>
            </w:pPr>
            <w:r>
              <w:rPr>
                <w:spacing w:val="-2"/>
                <w:sz w:val="18"/>
                <w:szCs w:val="18"/>
              </w:rPr>
              <w:t>41.70%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3794A685" w14:textId="77777777">
            <w:pPr>
              <w:pStyle w:val="TableParagraph"/>
              <w:kinsoku w:val="0"/>
              <w:overflowPunct w:val="0"/>
              <w:ind w:left="16" w:right="1"/>
              <w:rPr>
                <w:spacing w:val="-2"/>
                <w:sz w:val="18"/>
                <w:szCs w:val="18"/>
              </w:rPr>
            </w:pPr>
            <w:r>
              <w:rPr>
                <w:spacing w:val="-2"/>
                <w:sz w:val="18"/>
                <w:szCs w:val="18"/>
              </w:rPr>
              <w:t>39.80%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5CC51003" w14:textId="77777777">
            <w:pPr>
              <w:pStyle w:val="TableParagraph"/>
              <w:kinsoku w:val="0"/>
              <w:overflowPunct w:val="0"/>
              <w:ind w:right="2"/>
              <w:rPr>
                <w:spacing w:val="-2"/>
                <w:sz w:val="18"/>
                <w:szCs w:val="18"/>
              </w:rPr>
            </w:pPr>
            <w:r>
              <w:rPr>
                <w:spacing w:val="-2"/>
                <w:sz w:val="18"/>
                <w:szCs w:val="18"/>
              </w:rPr>
              <w:t>1,352</w:t>
            </w:r>
          </w:p>
        </w:tc>
      </w:tr>
      <w:tr w14:paraId="5335257C"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2B388F3F" w14:textId="77777777">
            <w:pPr>
              <w:pStyle w:val="TableParagraph"/>
              <w:kinsoku w:val="0"/>
              <w:overflowPunct w:val="0"/>
              <w:spacing w:before="21"/>
              <w:ind w:left="287"/>
              <w:jc w:val="left"/>
              <w:rPr>
                <w:sz w:val="18"/>
                <w:szCs w:val="18"/>
              </w:rPr>
            </w:pPr>
            <w:r>
              <w:rPr>
                <w:sz w:val="18"/>
                <w:szCs w:val="18"/>
              </w:rPr>
              <w:t>75% to 79%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33DC39C1" w14:textId="77777777">
            <w:pPr>
              <w:pStyle w:val="TableParagraph"/>
              <w:kinsoku w:val="0"/>
              <w:overflowPunct w:val="0"/>
              <w:spacing w:before="21"/>
              <w:rPr>
                <w:spacing w:val="-2"/>
                <w:sz w:val="18"/>
                <w:szCs w:val="18"/>
              </w:rPr>
            </w:pPr>
            <w:r>
              <w:rPr>
                <w:spacing w:val="-2"/>
                <w:sz w:val="18"/>
                <w:szCs w:val="18"/>
              </w:rPr>
              <w:t>11.60%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22A08119" w14:textId="77777777">
            <w:pPr>
              <w:pStyle w:val="TableParagraph"/>
              <w:kinsoku w:val="0"/>
              <w:overflowPunct w:val="0"/>
              <w:spacing w:before="21"/>
              <w:ind w:left="16" w:right="1"/>
              <w:rPr>
                <w:spacing w:val="-2"/>
                <w:sz w:val="18"/>
                <w:szCs w:val="18"/>
              </w:rPr>
            </w:pPr>
            <w:r>
              <w:rPr>
                <w:spacing w:val="-2"/>
                <w:sz w:val="18"/>
                <w:szCs w:val="18"/>
              </w:rPr>
              <w:t>11.20%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028569B6" w14:textId="77777777">
            <w:pPr>
              <w:pStyle w:val="TableParagraph"/>
              <w:kinsoku w:val="0"/>
              <w:overflowPunct w:val="0"/>
              <w:spacing w:before="21"/>
              <w:ind w:right="2"/>
              <w:rPr>
                <w:spacing w:val="-2"/>
                <w:sz w:val="18"/>
                <w:szCs w:val="18"/>
              </w:rPr>
            </w:pPr>
            <w:r>
              <w:rPr>
                <w:spacing w:val="-2"/>
                <w:sz w:val="18"/>
                <w:szCs w:val="18"/>
              </w:rPr>
              <w:t>1,371</w:t>
            </w:r>
          </w:p>
        </w:tc>
      </w:tr>
      <w:tr w14:paraId="4495215E"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38EBF2FF" w14:textId="77777777">
            <w:pPr>
              <w:pStyle w:val="TableParagraph"/>
              <w:kinsoku w:val="0"/>
              <w:overflowPunct w:val="0"/>
              <w:ind w:left="287"/>
              <w:jc w:val="left"/>
              <w:rPr>
                <w:spacing w:val="-4"/>
                <w:sz w:val="18"/>
                <w:szCs w:val="18"/>
              </w:rPr>
            </w:pPr>
            <w:r>
              <w:rPr>
                <w:spacing w:val="-4"/>
                <w:sz w:val="18"/>
                <w:szCs w:val="18"/>
              </w:rPr>
              <w:t>80%</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ED5EF29" w14:textId="77777777">
            <w:pPr>
              <w:pStyle w:val="TableParagraph"/>
              <w:kinsoku w:val="0"/>
              <w:overflowPunct w:val="0"/>
              <w:ind w:right="1"/>
              <w:rPr>
                <w:spacing w:val="-4"/>
                <w:sz w:val="18"/>
                <w:szCs w:val="18"/>
              </w:rPr>
            </w:pPr>
            <w:r>
              <w:rPr>
                <w:spacing w:val="-4"/>
                <w:sz w:val="18"/>
                <w:szCs w:val="18"/>
              </w:rPr>
              <w:t>9.70%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0044DF86" w14:textId="77777777">
            <w:pPr>
              <w:pStyle w:val="TableParagraph"/>
              <w:kinsoku w:val="0"/>
              <w:overflowPunct w:val="0"/>
              <w:ind w:left="16" w:right="1"/>
              <w:rPr>
                <w:spacing w:val="-4"/>
                <w:sz w:val="18"/>
                <w:szCs w:val="18"/>
              </w:rPr>
            </w:pPr>
            <w:r>
              <w:rPr>
                <w:spacing w:val="-4"/>
                <w:sz w:val="18"/>
                <w:szCs w:val="18"/>
              </w:rPr>
              <w:t>9.30%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6D3FD32C" w14:textId="77777777">
            <w:pPr>
              <w:pStyle w:val="TableParagraph"/>
              <w:kinsoku w:val="0"/>
              <w:overflowPunct w:val="0"/>
              <w:ind w:right="2"/>
              <w:rPr>
                <w:spacing w:val="-2"/>
                <w:sz w:val="18"/>
                <w:szCs w:val="18"/>
              </w:rPr>
            </w:pPr>
            <w:r>
              <w:rPr>
                <w:spacing w:val="-2"/>
                <w:sz w:val="18"/>
                <w:szCs w:val="18"/>
              </w:rPr>
              <w:t>1,366</w:t>
            </w:r>
          </w:p>
        </w:tc>
      </w:tr>
      <w:tr w14:paraId="08D50DE6"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282DE80B" w14:textId="77777777">
            <w:pPr>
              <w:pStyle w:val="TableParagraph"/>
              <w:kinsoku w:val="0"/>
              <w:overflowPunct w:val="0"/>
              <w:spacing w:before="21"/>
              <w:ind w:left="287"/>
              <w:jc w:val="left"/>
              <w:rPr>
                <w:sz w:val="18"/>
                <w:szCs w:val="18"/>
              </w:rPr>
            </w:pPr>
            <w:r>
              <w:rPr>
                <w:sz w:val="18"/>
                <w:szCs w:val="18"/>
              </w:rPr>
              <w:t>81% to 89%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042BC01F" w14:textId="77777777">
            <w:pPr>
              <w:pStyle w:val="TableParagraph"/>
              <w:kinsoku w:val="0"/>
              <w:overflowPunct w:val="0"/>
              <w:spacing w:before="21"/>
              <w:ind w:right="1"/>
              <w:rPr>
                <w:spacing w:val="-4"/>
                <w:sz w:val="18"/>
                <w:szCs w:val="18"/>
              </w:rPr>
            </w:pPr>
            <w:r>
              <w:rPr>
                <w:spacing w:val="-4"/>
                <w:sz w:val="18"/>
                <w:szCs w:val="18"/>
              </w:rPr>
              <w:t>8.90%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1D761BBD" w14:textId="77777777">
            <w:pPr>
              <w:pStyle w:val="TableParagraph"/>
              <w:kinsoku w:val="0"/>
              <w:overflowPunct w:val="0"/>
              <w:spacing w:before="21"/>
              <w:ind w:left="16" w:right="1"/>
              <w:rPr>
                <w:spacing w:val="-4"/>
                <w:sz w:val="18"/>
                <w:szCs w:val="18"/>
              </w:rPr>
            </w:pPr>
            <w:r>
              <w:rPr>
                <w:spacing w:val="-4"/>
                <w:sz w:val="18"/>
                <w:szCs w:val="18"/>
              </w:rPr>
              <w:t>8.90%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5712D728" w14:textId="77777777">
            <w:pPr>
              <w:pStyle w:val="TableParagraph"/>
              <w:kinsoku w:val="0"/>
              <w:overflowPunct w:val="0"/>
              <w:spacing w:before="21"/>
              <w:ind w:right="2"/>
              <w:rPr>
                <w:spacing w:val="-2"/>
                <w:sz w:val="18"/>
                <w:szCs w:val="18"/>
              </w:rPr>
            </w:pPr>
            <w:r>
              <w:rPr>
                <w:spacing w:val="-2"/>
                <w:sz w:val="18"/>
                <w:szCs w:val="18"/>
              </w:rPr>
              <w:t>1,421</w:t>
            </w:r>
          </w:p>
        </w:tc>
      </w:tr>
      <w:tr w14:paraId="027BF6E1"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7082E766" w14:textId="77777777">
            <w:pPr>
              <w:pStyle w:val="TableParagraph"/>
              <w:kinsoku w:val="0"/>
              <w:overflowPunct w:val="0"/>
              <w:ind w:left="287"/>
              <w:jc w:val="left"/>
              <w:rPr>
                <w:sz w:val="18"/>
                <w:szCs w:val="18"/>
              </w:rPr>
            </w:pPr>
            <w:r>
              <w:rPr>
                <w:sz w:val="18"/>
                <w:szCs w:val="18"/>
              </w:rPr>
              <w:t>90% or More</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68F432C2" w14:textId="77777777">
            <w:pPr>
              <w:pStyle w:val="TableParagraph"/>
              <w:kinsoku w:val="0"/>
              <w:overflowPunct w:val="0"/>
              <w:rPr>
                <w:spacing w:val="-2"/>
                <w:sz w:val="18"/>
                <w:szCs w:val="18"/>
              </w:rPr>
            </w:pPr>
            <w:r>
              <w:rPr>
                <w:spacing w:val="-2"/>
                <w:sz w:val="18"/>
                <w:szCs w:val="18"/>
              </w:rPr>
              <w:t>28.10%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7B4C1C4E" w14:textId="77777777">
            <w:pPr>
              <w:pStyle w:val="TableParagraph"/>
              <w:kinsoku w:val="0"/>
              <w:overflowPunct w:val="0"/>
              <w:ind w:left="16" w:right="1"/>
              <w:rPr>
                <w:spacing w:val="-2"/>
                <w:sz w:val="18"/>
                <w:szCs w:val="18"/>
              </w:rPr>
            </w:pPr>
            <w:r>
              <w:rPr>
                <w:spacing w:val="-2"/>
                <w:sz w:val="18"/>
                <w:szCs w:val="18"/>
              </w:rPr>
              <w:t>30.80%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1E6E8C1" w14:textId="77777777">
            <w:pPr>
              <w:pStyle w:val="TableParagraph"/>
              <w:kinsoku w:val="0"/>
              <w:overflowPunct w:val="0"/>
              <w:ind w:right="2"/>
              <w:rPr>
                <w:spacing w:val="-2"/>
                <w:sz w:val="18"/>
                <w:szCs w:val="18"/>
              </w:rPr>
            </w:pPr>
            <w:r>
              <w:rPr>
                <w:spacing w:val="-2"/>
                <w:sz w:val="18"/>
                <w:szCs w:val="18"/>
              </w:rPr>
              <w:t>1,550</w:t>
            </w:r>
          </w:p>
        </w:tc>
      </w:tr>
      <w:tr w14:paraId="4497A3C0" w14:textId="77777777" w:rsidTr="008E16EA">
        <w:tblPrEx>
          <w:tblW w:w="0" w:type="auto"/>
          <w:tblInd w:w="100" w:type="dxa"/>
          <w:tblLayout w:type="fixed"/>
          <w:tblCellMar>
            <w:left w:w="0" w:type="dxa"/>
            <w:right w:w="0" w:type="dxa"/>
          </w:tblCellMar>
          <w:tblLook w:val="0000"/>
        </w:tblPrEx>
        <w:trPr>
          <w:trHeight w:val="510"/>
        </w:trPr>
        <w:tc>
          <w:tcPr>
            <w:tcW w:w="3580" w:type="dxa"/>
            <w:tcBorders>
              <w:top w:val="none" w:sz="6" w:space="0" w:color="auto"/>
              <w:left w:val="single" w:sz="8" w:space="0" w:color="000000"/>
              <w:bottom w:val="none" w:sz="6" w:space="0" w:color="auto"/>
              <w:right w:val="single" w:sz="8" w:space="0" w:color="000000"/>
            </w:tcBorders>
          </w:tcPr>
          <w:p w:rsidR="001B03AD" w:rsidP="001B03AD" w14:paraId="68BAC325" w14:textId="77777777">
            <w:pPr>
              <w:pStyle w:val="TableParagraph"/>
              <w:kinsoku w:val="0"/>
              <w:overflowPunct w:val="0"/>
              <w:spacing w:before="68"/>
              <w:ind w:left="0"/>
              <w:jc w:val="left"/>
              <w:rPr>
                <w:b/>
                <w:bCs/>
                <w:sz w:val="18"/>
                <w:szCs w:val="18"/>
              </w:rPr>
            </w:pPr>
          </w:p>
          <w:p w:rsidR="001B03AD" w:rsidP="001B03AD" w14:paraId="5FDD3F21" w14:textId="77777777">
            <w:pPr>
              <w:pStyle w:val="TableParagraph"/>
              <w:kinsoku w:val="0"/>
              <w:overflowPunct w:val="0"/>
              <w:spacing w:before="0"/>
              <w:ind w:left="107"/>
              <w:jc w:val="left"/>
              <w:rPr>
                <w:b/>
                <w:bCs/>
                <w:sz w:val="18"/>
                <w:szCs w:val="18"/>
              </w:rPr>
            </w:pPr>
            <w:r>
              <w:rPr>
                <w:b/>
                <w:bCs/>
                <w:sz w:val="18"/>
                <w:szCs w:val="18"/>
              </w:rPr>
              <w:t>Respondent Credit Score (VantageScore® 3.0)</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45CBB9EB" w14:textId="77777777">
            <w:pPr>
              <w:pStyle w:val="TableParagraph"/>
              <w:kinsoku w:val="0"/>
              <w:overflowPunct w:val="0"/>
              <w:spacing w:before="21"/>
              <w:ind w:right="2"/>
              <w:rPr>
                <w:spacing w:val="-2"/>
                <w:sz w:val="18"/>
                <w:szCs w:val="18"/>
              </w:rPr>
            </w:pPr>
            <w:r>
              <w:rPr>
                <w:spacing w:val="-2"/>
                <w:sz w:val="18"/>
                <w:szCs w:val="18"/>
              </w:rPr>
              <w:t>100.00%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33A8398C" w14:textId="77777777">
            <w:pPr>
              <w:pStyle w:val="TableParagraph"/>
              <w:kinsoku w:val="0"/>
              <w:overflowPunct w:val="0"/>
              <w:spacing w:before="21"/>
              <w:ind w:left="16"/>
              <w:rPr>
                <w:spacing w:val="-2"/>
                <w:sz w:val="18"/>
                <w:szCs w:val="18"/>
              </w:rPr>
            </w:pPr>
            <w:r>
              <w:rPr>
                <w:spacing w:val="-2"/>
                <w:sz w:val="18"/>
                <w:szCs w:val="18"/>
              </w:rPr>
              <w:t>100.00%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57B48D25" w14:textId="77777777">
            <w:pPr>
              <w:pStyle w:val="TableParagraph"/>
              <w:kinsoku w:val="0"/>
              <w:overflowPunct w:val="0"/>
              <w:spacing w:before="0"/>
              <w:ind w:left="0"/>
              <w:jc w:val="left"/>
              <w:rPr>
                <w:rFonts w:ascii="Times New Roman" w:hAnsi="Times New Roman" w:cs="Times New Roman"/>
                <w:sz w:val="18"/>
                <w:szCs w:val="18"/>
              </w:rPr>
            </w:pPr>
          </w:p>
        </w:tc>
      </w:tr>
      <w:tr w14:paraId="380F71D5"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0871D864" w14:textId="77777777">
            <w:pPr>
              <w:pStyle w:val="TableParagraph"/>
              <w:kinsoku w:val="0"/>
              <w:overflowPunct w:val="0"/>
              <w:spacing w:before="21"/>
              <w:ind w:left="287"/>
              <w:jc w:val="left"/>
              <w:rPr>
                <w:sz w:val="18"/>
                <w:szCs w:val="18"/>
              </w:rPr>
            </w:pPr>
            <w:r>
              <w:rPr>
                <w:sz w:val="18"/>
                <w:szCs w:val="18"/>
              </w:rPr>
              <w:t>Lower than 620</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12872D6D" w14:textId="77777777">
            <w:pPr>
              <w:pStyle w:val="TableParagraph"/>
              <w:kinsoku w:val="0"/>
              <w:overflowPunct w:val="0"/>
              <w:spacing w:before="21"/>
              <w:ind w:right="1"/>
              <w:rPr>
                <w:spacing w:val="-4"/>
                <w:sz w:val="18"/>
                <w:szCs w:val="18"/>
              </w:rPr>
            </w:pPr>
            <w:r>
              <w:rPr>
                <w:spacing w:val="-4"/>
                <w:sz w:val="18"/>
                <w:szCs w:val="18"/>
              </w:rPr>
              <w:t>4.60%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6E671CE" w14:textId="77777777">
            <w:pPr>
              <w:pStyle w:val="TableParagraph"/>
              <w:kinsoku w:val="0"/>
              <w:overflowPunct w:val="0"/>
              <w:spacing w:before="21"/>
              <w:ind w:left="16" w:right="1"/>
              <w:rPr>
                <w:spacing w:val="-4"/>
                <w:sz w:val="18"/>
                <w:szCs w:val="18"/>
              </w:rPr>
            </w:pPr>
            <w:r>
              <w:rPr>
                <w:spacing w:val="-4"/>
                <w:sz w:val="18"/>
                <w:szCs w:val="18"/>
              </w:rPr>
              <w:t>6.00%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1A8E96B" w14:textId="77777777">
            <w:pPr>
              <w:pStyle w:val="TableParagraph"/>
              <w:kinsoku w:val="0"/>
              <w:overflowPunct w:val="0"/>
              <w:spacing w:before="21"/>
              <w:ind w:right="2"/>
              <w:rPr>
                <w:spacing w:val="-2"/>
                <w:sz w:val="18"/>
                <w:szCs w:val="18"/>
              </w:rPr>
            </w:pPr>
            <w:r>
              <w:rPr>
                <w:spacing w:val="-2"/>
                <w:sz w:val="18"/>
                <w:szCs w:val="18"/>
              </w:rPr>
              <w:t>1,853</w:t>
            </w:r>
          </w:p>
        </w:tc>
      </w:tr>
      <w:tr w14:paraId="0A75EFD2"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438EC88D" w14:textId="77777777">
            <w:pPr>
              <w:pStyle w:val="TableParagraph"/>
              <w:kinsoku w:val="0"/>
              <w:overflowPunct w:val="0"/>
              <w:ind w:left="287"/>
              <w:jc w:val="left"/>
              <w:rPr>
                <w:sz w:val="18"/>
                <w:szCs w:val="18"/>
              </w:rPr>
            </w:pPr>
            <w:r>
              <w:rPr>
                <w:sz w:val="18"/>
                <w:szCs w:val="18"/>
              </w:rPr>
              <w:t>620 to 639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57B0B0B3" w14:textId="77777777">
            <w:pPr>
              <w:pStyle w:val="TableParagraph"/>
              <w:kinsoku w:val="0"/>
              <w:overflowPunct w:val="0"/>
              <w:ind w:right="1"/>
              <w:rPr>
                <w:spacing w:val="-4"/>
                <w:sz w:val="18"/>
                <w:szCs w:val="18"/>
              </w:rPr>
            </w:pPr>
            <w:r>
              <w:rPr>
                <w:spacing w:val="-4"/>
                <w:sz w:val="18"/>
                <w:szCs w:val="18"/>
              </w:rPr>
              <w:t>3.00%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307796F3" w14:textId="77777777">
            <w:pPr>
              <w:pStyle w:val="TableParagraph"/>
              <w:kinsoku w:val="0"/>
              <w:overflowPunct w:val="0"/>
              <w:ind w:left="16" w:right="1"/>
              <w:rPr>
                <w:spacing w:val="-4"/>
                <w:sz w:val="18"/>
                <w:szCs w:val="18"/>
              </w:rPr>
            </w:pPr>
            <w:r>
              <w:rPr>
                <w:spacing w:val="-4"/>
                <w:sz w:val="18"/>
                <w:szCs w:val="18"/>
              </w:rPr>
              <w:t>3.80%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76E6AC89" w14:textId="77777777">
            <w:pPr>
              <w:pStyle w:val="TableParagraph"/>
              <w:kinsoku w:val="0"/>
              <w:overflowPunct w:val="0"/>
              <w:ind w:right="2"/>
              <w:rPr>
                <w:spacing w:val="-2"/>
                <w:sz w:val="18"/>
                <w:szCs w:val="18"/>
              </w:rPr>
            </w:pPr>
            <w:r>
              <w:rPr>
                <w:spacing w:val="-2"/>
                <w:sz w:val="18"/>
                <w:szCs w:val="18"/>
              </w:rPr>
              <w:t>1,808</w:t>
            </w:r>
          </w:p>
        </w:tc>
      </w:tr>
      <w:tr w14:paraId="1D93DF6F"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697DFC11" w14:textId="77777777">
            <w:pPr>
              <w:pStyle w:val="TableParagraph"/>
              <w:kinsoku w:val="0"/>
              <w:overflowPunct w:val="0"/>
              <w:spacing w:before="21"/>
              <w:ind w:left="287"/>
              <w:jc w:val="left"/>
              <w:rPr>
                <w:sz w:val="18"/>
                <w:szCs w:val="18"/>
              </w:rPr>
            </w:pPr>
            <w:r>
              <w:rPr>
                <w:sz w:val="18"/>
                <w:szCs w:val="18"/>
              </w:rPr>
              <w:t>640 to 659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213BFB88" w14:textId="77777777">
            <w:pPr>
              <w:pStyle w:val="TableParagraph"/>
              <w:kinsoku w:val="0"/>
              <w:overflowPunct w:val="0"/>
              <w:spacing w:before="21"/>
              <w:ind w:right="1"/>
              <w:rPr>
                <w:spacing w:val="-4"/>
                <w:sz w:val="18"/>
                <w:szCs w:val="18"/>
              </w:rPr>
            </w:pPr>
            <w:r>
              <w:rPr>
                <w:spacing w:val="-4"/>
                <w:sz w:val="18"/>
                <w:szCs w:val="18"/>
              </w:rPr>
              <w:t>4.50%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152D64B4" w14:textId="77777777">
            <w:pPr>
              <w:pStyle w:val="TableParagraph"/>
              <w:kinsoku w:val="0"/>
              <w:overflowPunct w:val="0"/>
              <w:spacing w:before="21"/>
              <w:ind w:left="16" w:right="1"/>
              <w:rPr>
                <w:spacing w:val="-4"/>
                <w:sz w:val="18"/>
                <w:szCs w:val="18"/>
              </w:rPr>
            </w:pPr>
            <w:r>
              <w:rPr>
                <w:spacing w:val="-4"/>
                <w:sz w:val="18"/>
                <w:szCs w:val="18"/>
              </w:rPr>
              <w:t>5.70%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097D0E22" w14:textId="77777777">
            <w:pPr>
              <w:pStyle w:val="TableParagraph"/>
              <w:kinsoku w:val="0"/>
              <w:overflowPunct w:val="0"/>
              <w:spacing w:before="21"/>
              <w:ind w:right="2"/>
              <w:rPr>
                <w:spacing w:val="-2"/>
                <w:sz w:val="18"/>
                <w:szCs w:val="18"/>
              </w:rPr>
            </w:pPr>
            <w:r>
              <w:rPr>
                <w:spacing w:val="-2"/>
                <w:sz w:val="18"/>
                <w:szCs w:val="18"/>
              </w:rPr>
              <w:t>1,772</w:t>
            </w:r>
          </w:p>
        </w:tc>
      </w:tr>
      <w:tr w14:paraId="1E6B5944"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4CEF57D3" w14:textId="77777777">
            <w:pPr>
              <w:pStyle w:val="TableParagraph"/>
              <w:kinsoku w:val="0"/>
              <w:overflowPunct w:val="0"/>
              <w:ind w:left="287"/>
              <w:jc w:val="left"/>
              <w:rPr>
                <w:sz w:val="18"/>
                <w:szCs w:val="18"/>
              </w:rPr>
            </w:pPr>
            <w:r>
              <w:rPr>
                <w:sz w:val="18"/>
                <w:szCs w:val="18"/>
              </w:rPr>
              <w:t>660 to 679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150923D4" w14:textId="77777777">
            <w:pPr>
              <w:pStyle w:val="TableParagraph"/>
              <w:kinsoku w:val="0"/>
              <w:overflowPunct w:val="0"/>
              <w:ind w:right="1"/>
              <w:rPr>
                <w:spacing w:val="-4"/>
                <w:sz w:val="18"/>
                <w:szCs w:val="18"/>
              </w:rPr>
            </w:pPr>
            <w:r>
              <w:rPr>
                <w:spacing w:val="-4"/>
                <w:sz w:val="18"/>
                <w:szCs w:val="18"/>
              </w:rPr>
              <w:t>5.20%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1AB03E41" w14:textId="77777777">
            <w:pPr>
              <w:pStyle w:val="TableParagraph"/>
              <w:kinsoku w:val="0"/>
              <w:overflowPunct w:val="0"/>
              <w:ind w:left="16" w:right="1"/>
              <w:rPr>
                <w:spacing w:val="-4"/>
                <w:sz w:val="18"/>
                <w:szCs w:val="18"/>
              </w:rPr>
            </w:pPr>
            <w:r>
              <w:rPr>
                <w:spacing w:val="-4"/>
                <w:sz w:val="18"/>
                <w:szCs w:val="18"/>
              </w:rPr>
              <w:t>6.20%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76510CF7" w14:textId="77777777">
            <w:pPr>
              <w:pStyle w:val="TableParagraph"/>
              <w:kinsoku w:val="0"/>
              <w:overflowPunct w:val="0"/>
              <w:ind w:right="2"/>
              <w:rPr>
                <w:spacing w:val="-2"/>
                <w:sz w:val="18"/>
                <w:szCs w:val="18"/>
              </w:rPr>
            </w:pPr>
            <w:r>
              <w:rPr>
                <w:spacing w:val="-2"/>
                <w:sz w:val="18"/>
                <w:szCs w:val="18"/>
              </w:rPr>
              <w:t>1,680</w:t>
            </w:r>
          </w:p>
        </w:tc>
      </w:tr>
      <w:tr w14:paraId="265DB555"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174C5129" w14:textId="77777777">
            <w:pPr>
              <w:pStyle w:val="TableParagraph"/>
              <w:kinsoku w:val="0"/>
              <w:overflowPunct w:val="0"/>
              <w:spacing w:before="21"/>
              <w:ind w:left="287"/>
              <w:jc w:val="left"/>
              <w:rPr>
                <w:sz w:val="18"/>
                <w:szCs w:val="18"/>
              </w:rPr>
            </w:pPr>
            <w:r>
              <w:rPr>
                <w:sz w:val="18"/>
                <w:szCs w:val="18"/>
              </w:rPr>
              <w:t>680 to 699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65D241FF" w14:textId="77777777">
            <w:pPr>
              <w:pStyle w:val="TableParagraph"/>
              <w:kinsoku w:val="0"/>
              <w:overflowPunct w:val="0"/>
              <w:spacing w:before="21"/>
              <w:ind w:right="1"/>
              <w:rPr>
                <w:spacing w:val="-4"/>
                <w:sz w:val="18"/>
                <w:szCs w:val="18"/>
              </w:rPr>
            </w:pPr>
            <w:r>
              <w:rPr>
                <w:spacing w:val="-4"/>
                <w:sz w:val="18"/>
                <w:szCs w:val="18"/>
              </w:rPr>
              <w:t>5.90%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4E3AC501" w14:textId="77777777">
            <w:pPr>
              <w:pStyle w:val="TableParagraph"/>
              <w:kinsoku w:val="0"/>
              <w:overflowPunct w:val="0"/>
              <w:spacing w:before="21"/>
              <w:ind w:left="16" w:right="1"/>
              <w:rPr>
                <w:spacing w:val="-4"/>
                <w:sz w:val="18"/>
                <w:szCs w:val="18"/>
              </w:rPr>
            </w:pPr>
            <w:r>
              <w:rPr>
                <w:spacing w:val="-4"/>
                <w:sz w:val="18"/>
                <w:szCs w:val="18"/>
              </w:rPr>
              <w:t>6.70%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3FA48A62" w14:textId="77777777">
            <w:pPr>
              <w:pStyle w:val="TableParagraph"/>
              <w:kinsoku w:val="0"/>
              <w:overflowPunct w:val="0"/>
              <w:spacing w:before="21"/>
              <w:ind w:right="2"/>
              <w:rPr>
                <w:spacing w:val="-2"/>
                <w:sz w:val="18"/>
                <w:szCs w:val="18"/>
              </w:rPr>
            </w:pPr>
            <w:r>
              <w:rPr>
                <w:spacing w:val="-2"/>
                <w:sz w:val="18"/>
                <w:szCs w:val="18"/>
              </w:rPr>
              <w:t>1,605</w:t>
            </w:r>
          </w:p>
        </w:tc>
      </w:tr>
      <w:tr w14:paraId="26C99229"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74024EA6" w14:textId="77777777">
            <w:pPr>
              <w:pStyle w:val="TableParagraph"/>
              <w:kinsoku w:val="0"/>
              <w:overflowPunct w:val="0"/>
              <w:ind w:left="287"/>
              <w:jc w:val="left"/>
              <w:rPr>
                <w:sz w:val="18"/>
                <w:szCs w:val="18"/>
              </w:rPr>
            </w:pPr>
            <w:r>
              <w:rPr>
                <w:sz w:val="18"/>
                <w:szCs w:val="18"/>
              </w:rPr>
              <w:t>700 to 719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17902F2B" w14:textId="77777777">
            <w:pPr>
              <w:pStyle w:val="TableParagraph"/>
              <w:kinsoku w:val="0"/>
              <w:overflowPunct w:val="0"/>
              <w:ind w:right="1"/>
              <w:rPr>
                <w:spacing w:val="-4"/>
                <w:sz w:val="18"/>
                <w:szCs w:val="18"/>
              </w:rPr>
            </w:pPr>
            <w:r>
              <w:rPr>
                <w:spacing w:val="-4"/>
                <w:sz w:val="18"/>
                <w:szCs w:val="18"/>
              </w:rPr>
              <w:t>7.10%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116E37A7" w14:textId="77777777">
            <w:pPr>
              <w:pStyle w:val="TableParagraph"/>
              <w:kinsoku w:val="0"/>
              <w:overflowPunct w:val="0"/>
              <w:ind w:left="16" w:right="1"/>
              <w:rPr>
                <w:spacing w:val="-4"/>
                <w:sz w:val="18"/>
                <w:szCs w:val="18"/>
              </w:rPr>
            </w:pPr>
            <w:r>
              <w:rPr>
                <w:spacing w:val="-4"/>
                <w:sz w:val="18"/>
                <w:szCs w:val="18"/>
              </w:rPr>
              <w:t>7.80%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4C59A988" w14:textId="77777777">
            <w:pPr>
              <w:pStyle w:val="TableParagraph"/>
              <w:kinsoku w:val="0"/>
              <w:overflowPunct w:val="0"/>
              <w:ind w:right="2"/>
              <w:rPr>
                <w:spacing w:val="-2"/>
                <w:sz w:val="18"/>
                <w:szCs w:val="18"/>
              </w:rPr>
            </w:pPr>
            <w:r>
              <w:rPr>
                <w:spacing w:val="-2"/>
                <w:sz w:val="18"/>
                <w:szCs w:val="18"/>
              </w:rPr>
              <w:t>1,569</w:t>
            </w:r>
          </w:p>
        </w:tc>
      </w:tr>
      <w:tr w14:paraId="166C70EC" w14:textId="77777777" w:rsidTr="008E16EA">
        <w:tblPrEx>
          <w:tblW w:w="0" w:type="auto"/>
          <w:tblInd w:w="100" w:type="dxa"/>
          <w:tblLayout w:type="fixed"/>
          <w:tblCellMar>
            <w:left w:w="0" w:type="dxa"/>
            <w:right w:w="0" w:type="dxa"/>
          </w:tblCellMar>
          <w:tblLook w:val="0000"/>
        </w:tblPrEx>
        <w:trPr>
          <w:trHeight w:val="255"/>
        </w:trPr>
        <w:tc>
          <w:tcPr>
            <w:tcW w:w="3580" w:type="dxa"/>
            <w:tcBorders>
              <w:top w:val="none" w:sz="6" w:space="0" w:color="auto"/>
              <w:left w:val="single" w:sz="8" w:space="0" w:color="000000"/>
              <w:bottom w:val="none" w:sz="6" w:space="0" w:color="auto"/>
              <w:right w:val="single" w:sz="8" w:space="0" w:color="000000"/>
            </w:tcBorders>
          </w:tcPr>
          <w:p w:rsidR="001B03AD" w:rsidP="001B03AD" w14:paraId="1DF8FAE0" w14:textId="77777777">
            <w:pPr>
              <w:pStyle w:val="TableParagraph"/>
              <w:kinsoku w:val="0"/>
              <w:overflowPunct w:val="0"/>
              <w:spacing w:before="21"/>
              <w:ind w:left="287"/>
              <w:jc w:val="left"/>
              <w:rPr>
                <w:sz w:val="18"/>
                <w:szCs w:val="18"/>
              </w:rPr>
            </w:pPr>
            <w:r>
              <w:rPr>
                <w:sz w:val="18"/>
                <w:szCs w:val="18"/>
              </w:rPr>
              <w:t>720 to 739</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73BD1DE4" w14:textId="77777777">
            <w:pPr>
              <w:pStyle w:val="TableParagraph"/>
              <w:kinsoku w:val="0"/>
              <w:overflowPunct w:val="0"/>
              <w:spacing w:before="21"/>
              <w:ind w:right="1"/>
              <w:rPr>
                <w:spacing w:val="-4"/>
                <w:sz w:val="18"/>
                <w:szCs w:val="18"/>
              </w:rPr>
            </w:pPr>
            <w:r>
              <w:rPr>
                <w:spacing w:val="-4"/>
                <w:sz w:val="18"/>
                <w:szCs w:val="18"/>
              </w:rPr>
              <w:t>9.00%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3930AEB6" w14:textId="77777777">
            <w:pPr>
              <w:pStyle w:val="TableParagraph"/>
              <w:kinsoku w:val="0"/>
              <w:overflowPunct w:val="0"/>
              <w:spacing w:before="21"/>
              <w:ind w:left="16" w:right="1"/>
              <w:rPr>
                <w:spacing w:val="-4"/>
                <w:sz w:val="18"/>
                <w:szCs w:val="18"/>
              </w:rPr>
            </w:pPr>
            <w:r>
              <w:rPr>
                <w:spacing w:val="-4"/>
                <w:sz w:val="18"/>
                <w:szCs w:val="18"/>
              </w:rPr>
              <w:t>9.40%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1BAB51C3" w14:textId="77777777">
            <w:pPr>
              <w:pStyle w:val="TableParagraph"/>
              <w:kinsoku w:val="0"/>
              <w:overflowPunct w:val="0"/>
              <w:spacing w:before="21"/>
              <w:ind w:right="2"/>
              <w:rPr>
                <w:spacing w:val="-2"/>
                <w:sz w:val="18"/>
                <w:szCs w:val="18"/>
              </w:rPr>
            </w:pPr>
            <w:r>
              <w:rPr>
                <w:spacing w:val="-2"/>
                <w:sz w:val="18"/>
                <w:szCs w:val="18"/>
              </w:rPr>
              <w:t>1,492</w:t>
            </w:r>
          </w:p>
        </w:tc>
      </w:tr>
      <w:tr w14:paraId="0D247486" w14:textId="77777777" w:rsidTr="008E16EA">
        <w:tblPrEx>
          <w:tblW w:w="0" w:type="auto"/>
          <w:tblInd w:w="100" w:type="dxa"/>
          <w:tblLayout w:type="fixed"/>
          <w:tblCellMar>
            <w:left w:w="0" w:type="dxa"/>
            <w:right w:w="0" w:type="dxa"/>
          </w:tblCellMar>
          <w:tblLook w:val="0000"/>
        </w:tblPrEx>
        <w:trPr>
          <w:trHeight w:val="258"/>
        </w:trPr>
        <w:tc>
          <w:tcPr>
            <w:tcW w:w="3580" w:type="dxa"/>
            <w:tcBorders>
              <w:top w:val="none" w:sz="6" w:space="0" w:color="auto"/>
              <w:left w:val="single" w:sz="8" w:space="0" w:color="000000"/>
              <w:bottom w:val="none" w:sz="6" w:space="0" w:color="auto"/>
              <w:right w:val="single" w:sz="8" w:space="0" w:color="000000"/>
            </w:tcBorders>
          </w:tcPr>
          <w:p w:rsidR="001B03AD" w:rsidP="001B03AD" w14:paraId="5934C15C" w14:textId="77777777">
            <w:pPr>
              <w:pStyle w:val="TableParagraph"/>
              <w:kinsoku w:val="0"/>
              <w:overflowPunct w:val="0"/>
              <w:ind w:left="287"/>
              <w:jc w:val="left"/>
              <w:rPr>
                <w:sz w:val="18"/>
                <w:szCs w:val="18"/>
              </w:rPr>
            </w:pPr>
            <w:r>
              <w:rPr>
                <w:sz w:val="18"/>
                <w:szCs w:val="18"/>
              </w:rPr>
              <w:t>740 or Higher</w:t>
            </w:r>
          </w:p>
        </w:tc>
        <w:tc>
          <w:tcPr>
            <w:tcW w:w="2430" w:type="dxa"/>
            <w:tcBorders>
              <w:top w:val="none" w:sz="6" w:space="0" w:color="auto"/>
              <w:left w:val="single" w:sz="8" w:space="0" w:color="000000"/>
              <w:bottom w:val="none" w:sz="6" w:space="0" w:color="auto"/>
              <w:right w:val="single" w:sz="8" w:space="0" w:color="000000"/>
            </w:tcBorders>
          </w:tcPr>
          <w:p w:rsidR="001B03AD" w:rsidP="001B03AD" w14:paraId="57EAC607" w14:textId="77777777">
            <w:pPr>
              <w:pStyle w:val="TableParagraph"/>
              <w:kinsoku w:val="0"/>
              <w:overflowPunct w:val="0"/>
              <w:rPr>
                <w:spacing w:val="-2"/>
                <w:sz w:val="18"/>
                <w:szCs w:val="18"/>
              </w:rPr>
            </w:pPr>
            <w:r>
              <w:rPr>
                <w:spacing w:val="-2"/>
                <w:sz w:val="18"/>
                <w:szCs w:val="18"/>
              </w:rPr>
              <w:t>60.70%</w:t>
            </w:r>
          </w:p>
        </w:tc>
        <w:tc>
          <w:tcPr>
            <w:tcW w:w="1620" w:type="dxa"/>
            <w:tcBorders>
              <w:top w:val="none" w:sz="6" w:space="0" w:color="auto"/>
              <w:left w:val="single" w:sz="8" w:space="0" w:color="000000"/>
              <w:bottom w:val="none" w:sz="6" w:space="0" w:color="auto"/>
              <w:right w:val="single" w:sz="8" w:space="0" w:color="000000"/>
            </w:tcBorders>
          </w:tcPr>
          <w:p w:rsidR="001B03AD" w:rsidP="001B03AD" w14:paraId="64BBF20D" w14:textId="77777777">
            <w:pPr>
              <w:pStyle w:val="TableParagraph"/>
              <w:kinsoku w:val="0"/>
              <w:overflowPunct w:val="0"/>
              <w:ind w:left="16" w:right="1"/>
              <w:rPr>
                <w:spacing w:val="-2"/>
                <w:sz w:val="18"/>
                <w:szCs w:val="18"/>
              </w:rPr>
            </w:pPr>
            <w:r>
              <w:rPr>
                <w:spacing w:val="-2"/>
                <w:sz w:val="18"/>
                <w:szCs w:val="18"/>
              </w:rPr>
              <w:t>54.40%</w:t>
            </w:r>
          </w:p>
        </w:tc>
        <w:tc>
          <w:tcPr>
            <w:tcW w:w="1440" w:type="dxa"/>
            <w:tcBorders>
              <w:top w:val="none" w:sz="6" w:space="0" w:color="auto"/>
              <w:left w:val="single" w:sz="8" w:space="0" w:color="000000"/>
              <w:bottom w:val="none" w:sz="6" w:space="0" w:color="auto"/>
              <w:right w:val="single" w:sz="8" w:space="0" w:color="000000"/>
            </w:tcBorders>
          </w:tcPr>
          <w:p w:rsidR="001B03AD" w:rsidP="001B03AD" w14:paraId="1941D210" w14:textId="77777777">
            <w:pPr>
              <w:pStyle w:val="TableParagraph"/>
              <w:kinsoku w:val="0"/>
              <w:overflowPunct w:val="0"/>
              <w:ind w:right="2"/>
              <w:rPr>
                <w:spacing w:val="-2"/>
                <w:sz w:val="18"/>
                <w:szCs w:val="18"/>
              </w:rPr>
            </w:pPr>
            <w:r>
              <w:rPr>
                <w:spacing w:val="-2"/>
                <w:sz w:val="18"/>
                <w:szCs w:val="18"/>
              </w:rPr>
              <w:t>1,270</w:t>
            </w:r>
          </w:p>
        </w:tc>
      </w:tr>
      <w:tr w14:paraId="132254FF" w14:textId="77777777" w:rsidTr="008E16EA">
        <w:tblPrEx>
          <w:tblW w:w="0" w:type="auto"/>
          <w:tblInd w:w="100" w:type="dxa"/>
          <w:tblLayout w:type="fixed"/>
          <w:tblCellMar>
            <w:left w:w="0" w:type="dxa"/>
            <w:right w:w="0" w:type="dxa"/>
          </w:tblCellMar>
          <w:tblLook w:val="0000"/>
        </w:tblPrEx>
        <w:trPr>
          <w:trHeight w:val="264"/>
        </w:trPr>
        <w:tc>
          <w:tcPr>
            <w:tcW w:w="3580" w:type="dxa"/>
            <w:tcBorders>
              <w:top w:val="none" w:sz="6" w:space="0" w:color="auto"/>
              <w:left w:val="single" w:sz="8" w:space="0" w:color="000000"/>
              <w:bottom w:val="single" w:sz="8" w:space="0" w:color="000000"/>
              <w:right w:val="single" w:sz="8" w:space="0" w:color="000000"/>
            </w:tcBorders>
          </w:tcPr>
          <w:p w:rsidR="001B03AD" w:rsidP="001B03AD" w14:paraId="4A9701CF" w14:textId="77777777">
            <w:pPr>
              <w:pStyle w:val="TableParagraph"/>
              <w:kinsoku w:val="0"/>
              <w:overflowPunct w:val="0"/>
              <w:spacing w:before="0"/>
              <w:ind w:left="0"/>
              <w:jc w:val="left"/>
              <w:rPr>
                <w:rFonts w:ascii="Times New Roman" w:hAnsi="Times New Roman" w:cs="Times New Roman"/>
                <w:sz w:val="18"/>
                <w:szCs w:val="18"/>
              </w:rPr>
            </w:pPr>
          </w:p>
        </w:tc>
        <w:tc>
          <w:tcPr>
            <w:tcW w:w="2430" w:type="dxa"/>
            <w:tcBorders>
              <w:top w:val="none" w:sz="6" w:space="0" w:color="auto"/>
              <w:left w:val="single" w:sz="8" w:space="0" w:color="000000"/>
              <w:bottom w:val="single" w:sz="8" w:space="0" w:color="000000"/>
              <w:right w:val="single" w:sz="8" w:space="0" w:color="000000"/>
            </w:tcBorders>
          </w:tcPr>
          <w:p w:rsidR="001B03AD" w:rsidP="001B03AD" w14:paraId="1E2D46D5" w14:textId="77777777">
            <w:pPr>
              <w:pStyle w:val="TableParagraph"/>
              <w:kinsoku w:val="0"/>
              <w:overflowPunct w:val="0"/>
              <w:spacing w:before="25"/>
              <w:ind w:right="2"/>
              <w:rPr>
                <w:spacing w:val="-2"/>
                <w:sz w:val="18"/>
                <w:szCs w:val="18"/>
              </w:rPr>
            </w:pPr>
            <w:r>
              <w:rPr>
                <w:spacing w:val="-2"/>
                <w:sz w:val="18"/>
                <w:szCs w:val="18"/>
              </w:rPr>
              <w:t>100.00%</w:t>
            </w:r>
          </w:p>
        </w:tc>
        <w:tc>
          <w:tcPr>
            <w:tcW w:w="1620" w:type="dxa"/>
            <w:tcBorders>
              <w:top w:val="none" w:sz="6" w:space="0" w:color="auto"/>
              <w:left w:val="single" w:sz="8" w:space="0" w:color="000000"/>
              <w:bottom w:val="single" w:sz="8" w:space="0" w:color="000000"/>
              <w:right w:val="single" w:sz="8" w:space="0" w:color="000000"/>
            </w:tcBorders>
          </w:tcPr>
          <w:p w:rsidR="001B03AD" w:rsidP="001B03AD" w14:paraId="4A030AAE" w14:textId="77777777">
            <w:pPr>
              <w:pStyle w:val="TableParagraph"/>
              <w:kinsoku w:val="0"/>
              <w:overflowPunct w:val="0"/>
              <w:spacing w:before="25"/>
              <w:ind w:left="16"/>
              <w:rPr>
                <w:spacing w:val="-2"/>
                <w:sz w:val="18"/>
                <w:szCs w:val="18"/>
              </w:rPr>
            </w:pPr>
            <w:r>
              <w:rPr>
                <w:spacing w:val="-2"/>
                <w:sz w:val="18"/>
                <w:szCs w:val="18"/>
              </w:rPr>
              <w:t>100.00%</w:t>
            </w:r>
          </w:p>
        </w:tc>
        <w:tc>
          <w:tcPr>
            <w:tcW w:w="1440" w:type="dxa"/>
            <w:tcBorders>
              <w:top w:val="none" w:sz="6" w:space="0" w:color="auto"/>
              <w:left w:val="single" w:sz="8" w:space="0" w:color="000000"/>
              <w:bottom w:val="single" w:sz="8" w:space="0" w:color="000000"/>
              <w:right w:val="single" w:sz="8" w:space="0" w:color="000000"/>
            </w:tcBorders>
          </w:tcPr>
          <w:p w:rsidR="001B03AD" w:rsidP="001B03AD" w14:paraId="71BDA2FA" w14:textId="77777777">
            <w:pPr>
              <w:pStyle w:val="TableParagraph"/>
              <w:kinsoku w:val="0"/>
              <w:overflowPunct w:val="0"/>
              <w:spacing w:before="0"/>
              <w:ind w:left="0"/>
              <w:jc w:val="left"/>
              <w:rPr>
                <w:rFonts w:ascii="Times New Roman" w:hAnsi="Times New Roman" w:cs="Times New Roman"/>
                <w:sz w:val="18"/>
                <w:szCs w:val="18"/>
              </w:rPr>
            </w:pPr>
          </w:p>
        </w:tc>
      </w:tr>
    </w:tbl>
    <w:p w:rsidR="004C1CEC" w:rsidRPr="00744D1B" w:rsidP="000D3CCC" w14:paraId="1C2FB6CD" w14:textId="77777777">
      <w:pPr>
        <w:spacing w:line="240" w:lineRule="auto"/>
        <w:rPr>
          <w:rFonts w:eastAsia="Times New Roman" w:cs="Times New Roman"/>
          <w:color w:val="000000"/>
          <w:szCs w:val="24"/>
        </w:rPr>
      </w:pPr>
    </w:p>
    <w:p w:rsidR="00744D1B" w:rsidRPr="00744D1B" w:rsidP="000D3CCC" w14:paraId="71F1762D" w14:textId="77777777">
      <w:pPr>
        <w:spacing w:line="240" w:lineRule="auto"/>
        <w:ind w:left="720"/>
        <w:rPr>
          <w:rFonts w:eastAsia="Times New Roman" w:cs="Times New Roman"/>
          <w:b/>
          <w:color w:val="000000"/>
          <w:szCs w:val="24"/>
        </w:rPr>
      </w:pPr>
      <w:r w:rsidRPr="00744D1B">
        <w:rPr>
          <w:rFonts w:eastAsia="Times New Roman" w:cs="Times New Roman"/>
          <w:b/>
          <w:color w:val="000000"/>
          <w:szCs w:val="24"/>
        </w:rPr>
        <w:t xml:space="preserve">Question 4. Describe any tests of procedures or methods to be undertaken. </w:t>
      </w:r>
      <w:r w:rsidR="00C56585">
        <w:rPr>
          <w:rFonts w:eastAsia="Times New Roman" w:cs="Times New Roman"/>
          <w:b/>
          <w:color w:val="000000"/>
          <w:szCs w:val="24"/>
        </w:rPr>
        <w:t xml:space="preserve"> </w:t>
      </w:r>
      <w:r w:rsidRPr="00744D1B">
        <w:rPr>
          <w:rFonts w:eastAsia="Times New Roman" w:cs="Times New Roman"/>
          <w:b/>
          <w:color w:val="000000"/>
          <w:szCs w:val="24"/>
        </w:rPr>
        <w:t xml:space="preserve">Testing is encouraged as an effective means of refining collections of information to minimize burden and improve utility. </w:t>
      </w:r>
      <w:r w:rsidR="00823877">
        <w:rPr>
          <w:rFonts w:eastAsia="Times New Roman" w:cs="Times New Roman"/>
          <w:b/>
          <w:color w:val="000000"/>
          <w:szCs w:val="24"/>
        </w:rPr>
        <w:t xml:space="preserve"> </w:t>
      </w:r>
      <w:r w:rsidRPr="00744D1B">
        <w:rPr>
          <w:rFonts w:eastAsia="Times New Roman" w:cs="Times New Roman"/>
          <w:b/>
          <w:color w:val="000000"/>
          <w:szCs w:val="24"/>
        </w:rPr>
        <w:t xml:space="preserve">Tests must be approved if they call for answers to identical questions from 10 or more respondents. </w:t>
      </w:r>
      <w:r w:rsidR="00823877">
        <w:rPr>
          <w:rFonts w:eastAsia="Times New Roman" w:cs="Times New Roman"/>
          <w:b/>
          <w:color w:val="000000"/>
          <w:szCs w:val="24"/>
        </w:rPr>
        <w:t xml:space="preserve"> </w:t>
      </w:r>
      <w:r w:rsidRPr="00744D1B">
        <w:rPr>
          <w:rFonts w:eastAsia="Times New Roman" w:cs="Times New Roman"/>
          <w:b/>
          <w:color w:val="000000"/>
          <w:szCs w:val="24"/>
        </w:rPr>
        <w:t>A proposed test or set of tests may be submitted for approval separately or in combination with the main collection of information.</w:t>
      </w:r>
    </w:p>
    <w:p w:rsidR="00744D1B" w:rsidRPr="00744D1B" w:rsidP="000D3CCC" w14:paraId="574F96DB" w14:textId="77777777">
      <w:pPr>
        <w:spacing w:line="240" w:lineRule="auto"/>
        <w:rPr>
          <w:rFonts w:eastAsia="Times New Roman" w:cs="Times New Roman"/>
          <w:color w:val="000000"/>
          <w:szCs w:val="24"/>
        </w:rPr>
      </w:pPr>
    </w:p>
    <w:p w:rsidR="00E35933" w:rsidRPr="00F04E99" w:rsidP="000D3CCC" w14:paraId="235B28CD" w14:textId="0A219E99">
      <w:pPr>
        <w:autoSpaceDE w:val="0"/>
        <w:autoSpaceDN w:val="0"/>
        <w:adjustRightInd w:val="0"/>
        <w:spacing w:line="240" w:lineRule="auto"/>
        <w:rPr>
          <w:rFonts w:eastAsia="Times New Roman" w:cs="Times New Roman"/>
          <w:snapToGrid w:val="0"/>
          <w:color w:val="000000"/>
          <w:szCs w:val="20"/>
        </w:rPr>
      </w:pPr>
      <w:r>
        <w:rPr>
          <w:rFonts w:eastAsia="Times New Roman" w:cs="Times New Roman"/>
          <w:snapToGrid w:val="0"/>
          <w:color w:val="000000"/>
          <w:szCs w:val="20"/>
        </w:rPr>
        <w:t xml:space="preserve">FHFA will use information collected </w:t>
      </w:r>
      <w:r w:rsidR="00754050">
        <w:rPr>
          <w:rFonts w:eastAsia="Times New Roman" w:cs="Times New Roman"/>
          <w:snapToGrid w:val="0"/>
          <w:color w:val="000000"/>
          <w:szCs w:val="20"/>
        </w:rPr>
        <w:t>from</w:t>
      </w:r>
      <w:r>
        <w:rPr>
          <w:rFonts w:eastAsia="Times New Roman" w:cs="Times New Roman"/>
          <w:snapToGrid w:val="0"/>
          <w:color w:val="000000"/>
          <w:szCs w:val="20"/>
        </w:rPr>
        <w:t xml:space="preserve"> the </w:t>
      </w:r>
      <w:r w:rsidR="00CB283B">
        <w:rPr>
          <w:rFonts w:eastAsia="Times New Roman" w:cs="Times New Roman"/>
          <w:snapToGrid w:val="0"/>
          <w:color w:val="000000"/>
          <w:szCs w:val="20"/>
        </w:rPr>
        <w:t>cognitive testing participants</w:t>
      </w:r>
      <w:r w:rsidR="006D6AF2">
        <w:rPr>
          <w:rFonts w:eastAsia="Times New Roman" w:cs="Times New Roman"/>
          <w:snapToGrid w:val="0"/>
          <w:color w:val="000000"/>
          <w:szCs w:val="20"/>
        </w:rPr>
        <w:t xml:space="preserve"> to assist the Agency</w:t>
      </w:r>
      <w:r w:rsidRPr="00611770">
        <w:rPr>
          <w:rFonts w:eastAsia="Times New Roman" w:cs="Times New Roman"/>
          <w:snapToGrid w:val="0"/>
          <w:color w:val="000000"/>
          <w:szCs w:val="20"/>
        </w:rPr>
        <w:t xml:space="preserve"> in drafting and modifying the survey questions and instr</w:t>
      </w:r>
      <w:r w:rsidR="006D6AF2">
        <w:rPr>
          <w:rFonts w:eastAsia="Times New Roman" w:cs="Times New Roman"/>
          <w:snapToGrid w:val="0"/>
          <w:color w:val="000000"/>
          <w:szCs w:val="20"/>
        </w:rPr>
        <w:t xml:space="preserve">uctions, as well as the related </w:t>
      </w:r>
      <w:r w:rsidRPr="00611770">
        <w:rPr>
          <w:rFonts w:eastAsia="Times New Roman" w:cs="Times New Roman"/>
          <w:snapToGrid w:val="0"/>
          <w:color w:val="000000"/>
          <w:szCs w:val="20"/>
        </w:rPr>
        <w:t xml:space="preserve">communications, to read in the way that will be most readily understood by the </w:t>
      </w:r>
      <w:r>
        <w:rPr>
          <w:rFonts w:eastAsia="Times New Roman" w:cs="Times New Roman"/>
          <w:snapToGrid w:val="0"/>
          <w:color w:val="000000"/>
          <w:szCs w:val="20"/>
        </w:rPr>
        <w:t xml:space="preserve">survey </w:t>
      </w:r>
      <w:r w:rsidRPr="00611770">
        <w:rPr>
          <w:rFonts w:eastAsia="Times New Roman" w:cs="Times New Roman"/>
          <w:snapToGrid w:val="0"/>
          <w:color w:val="000000"/>
          <w:szCs w:val="20"/>
        </w:rPr>
        <w:t>respondents</w:t>
      </w:r>
      <w:r>
        <w:rPr>
          <w:rFonts w:eastAsia="Times New Roman" w:cs="Times New Roman"/>
          <w:snapToGrid w:val="0"/>
          <w:color w:val="000000"/>
          <w:szCs w:val="20"/>
        </w:rPr>
        <w:t xml:space="preserve"> and that will be </w:t>
      </w:r>
      <w:r w:rsidRPr="00C92A72">
        <w:rPr>
          <w:rFonts w:eastAsia="Times New Roman" w:cs="Times New Roman"/>
          <w:snapToGrid w:val="0"/>
          <w:color w:val="000000"/>
          <w:szCs w:val="20"/>
        </w:rPr>
        <w:t xml:space="preserve">most likely to elicit usable responses.  Such information will also be used to help the </w:t>
      </w:r>
      <w:r w:rsidRPr="00C92A72" w:rsidR="00CB283B">
        <w:rPr>
          <w:rFonts w:eastAsia="Times New Roman" w:cs="Times New Roman"/>
          <w:snapToGrid w:val="0"/>
          <w:color w:val="000000"/>
          <w:szCs w:val="20"/>
        </w:rPr>
        <w:t>A</w:t>
      </w:r>
      <w:r w:rsidRPr="00C92A72">
        <w:rPr>
          <w:rFonts w:eastAsia="Times New Roman" w:cs="Times New Roman"/>
          <w:snapToGrid w:val="0"/>
          <w:color w:val="000000"/>
          <w:szCs w:val="20"/>
        </w:rPr>
        <w:t xml:space="preserve">gency decide how best to organize and format the survey questionnaire.  </w:t>
      </w:r>
    </w:p>
    <w:p w:rsidR="003818BF" w:rsidP="000D3CCC" w14:paraId="0FC4FB41" w14:textId="27CE923C">
      <w:pPr>
        <w:spacing w:line="240" w:lineRule="auto"/>
        <w:rPr>
          <w:rFonts w:eastAsia="Times New Roman" w:cs="Times New Roman"/>
          <w:color w:val="000000"/>
          <w:szCs w:val="24"/>
        </w:rPr>
      </w:pPr>
    </w:p>
    <w:p w:rsidR="00A55EE6" w:rsidRPr="00F04E99" w:rsidP="000D3CCC" w14:paraId="3ACCE156" w14:textId="77777777">
      <w:pPr>
        <w:spacing w:line="240" w:lineRule="auto"/>
        <w:rPr>
          <w:rFonts w:eastAsia="Times New Roman" w:cs="Times New Roman"/>
          <w:color w:val="000000"/>
          <w:szCs w:val="24"/>
        </w:rPr>
      </w:pPr>
    </w:p>
    <w:p w:rsidR="00744D1B" w:rsidRPr="00F04E99" w:rsidP="000D3CCC" w14:paraId="54DF0CD5" w14:textId="77777777">
      <w:pPr>
        <w:autoSpaceDE w:val="0"/>
        <w:autoSpaceDN w:val="0"/>
        <w:adjustRightInd w:val="0"/>
        <w:spacing w:line="240" w:lineRule="auto"/>
        <w:ind w:left="562"/>
        <w:rPr>
          <w:rFonts w:eastAsia="Times New Roman" w:cs="Times New Roman"/>
          <w:b/>
          <w:color w:val="000000"/>
          <w:szCs w:val="24"/>
        </w:rPr>
      </w:pPr>
      <w:r w:rsidRPr="00F04E99">
        <w:rPr>
          <w:rFonts w:eastAsia="Times New Roman" w:cs="Times New Roman"/>
          <w:b/>
          <w:color w:val="000000"/>
          <w:szCs w:val="24"/>
        </w:rPr>
        <w:t>Question 5. Provide the name and telephone number of individuals consulted on statistical aspects of the design and the name of the agency unit, contractor(s), grantee(s), or other person(s) who will actually collect and/or analyze the information for the agency.</w:t>
      </w:r>
    </w:p>
    <w:p w:rsidR="00BB45DC" w:rsidRPr="00F04E99" w:rsidP="000D3CCC" w14:paraId="0BFC390C" w14:textId="77777777">
      <w:pPr>
        <w:spacing w:line="240" w:lineRule="auto"/>
        <w:rPr>
          <w:rFonts w:eastAsia="Times New Roman" w:cs="Times New Roman"/>
          <w:color w:val="000000"/>
          <w:szCs w:val="24"/>
        </w:rPr>
      </w:pPr>
    </w:p>
    <w:p w:rsidR="00E35933" w:rsidP="000D3CCC" w14:paraId="662549E3" w14:textId="4C3C0027">
      <w:pPr>
        <w:spacing w:line="240" w:lineRule="auto"/>
        <w:rPr>
          <w:rFonts w:eastAsia="Times New Roman" w:cs="Times New Roman"/>
          <w:snapToGrid w:val="0"/>
          <w:color w:val="000000"/>
          <w:szCs w:val="20"/>
        </w:rPr>
      </w:pPr>
      <w:r w:rsidRPr="00F04E99">
        <w:rPr>
          <w:rFonts w:eastAsia="Times New Roman" w:cs="Times New Roman"/>
          <w:snapToGrid w:val="0"/>
          <w:color w:val="000000"/>
          <w:szCs w:val="20"/>
        </w:rPr>
        <w:t xml:space="preserve">The names of and contact information for individual stakeholders from FHFA, CFPB, and Experian, including those who were consulted on statistical aspects of the design and who will </w:t>
      </w:r>
      <w:r w:rsidRPr="00F04E99">
        <w:rPr>
          <w:rFonts w:eastAsia="Times New Roman" w:cs="Times New Roman"/>
          <w:snapToGrid w:val="0"/>
          <w:color w:val="000000"/>
          <w:szCs w:val="20"/>
        </w:rPr>
        <w:t>analyze the data, appear in the list included as</w:t>
      </w:r>
      <w:r w:rsidRPr="00F04E99" w:rsidR="00232B17">
        <w:rPr>
          <w:rFonts w:eastAsia="Times New Roman" w:cs="Times New Roman"/>
          <w:snapToGrid w:val="0"/>
          <w:color w:val="000000"/>
          <w:szCs w:val="20"/>
        </w:rPr>
        <w:t xml:space="preserve"> </w:t>
      </w:r>
      <w:r w:rsidR="00FD7507">
        <w:rPr>
          <w:rFonts w:eastAsia="Times New Roman" w:cs="Times New Roman"/>
          <w:snapToGrid w:val="0"/>
          <w:color w:val="000000"/>
          <w:szCs w:val="20"/>
        </w:rPr>
        <w:t xml:space="preserve">Attachment </w:t>
      </w:r>
      <w:r w:rsidR="00830E8C">
        <w:rPr>
          <w:rFonts w:eastAsia="Times New Roman" w:cs="Times New Roman"/>
          <w:snapToGrid w:val="0"/>
          <w:color w:val="000000"/>
          <w:szCs w:val="20"/>
        </w:rPr>
        <w:t>6</w:t>
      </w:r>
      <w:r w:rsidRPr="00F04E99">
        <w:rPr>
          <w:rFonts w:eastAsia="Times New Roman" w:cs="Times New Roman"/>
          <w:snapToGrid w:val="0"/>
          <w:color w:val="000000"/>
          <w:szCs w:val="20"/>
        </w:rPr>
        <w:t>.  FHFA also consulted with the following:</w:t>
      </w:r>
      <w:r w:rsidRPr="0064563A">
        <w:rPr>
          <w:rFonts w:eastAsia="Times New Roman" w:cs="Times New Roman"/>
          <w:snapToGrid w:val="0"/>
          <w:color w:val="000000"/>
          <w:szCs w:val="20"/>
        </w:rPr>
        <w:t xml:space="preserve">  </w:t>
      </w:r>
    </w:p>
    <w:p w:rsidR="00E35933" w:rsidP="000D3CCC" w14:paraId="3F908313" w14:textId="77777777">
      <w:pPr>
        <w:spacing w:line="240" w:lineRule="auto"/>
        <w:rPr>
          <w:rFonts w:eastAsia="Times New Roman" w:cs="Times New Roman"/>
          <w:snapToGrid w:val="0"/>
          <w:color w:val="000000"/>
          <w:szCs w:val="20"/>
        </w:rPr>
      </w:pPr>
    </w:p>
    <w:p w:rsidR="00E35933" w:rsidP="00A058C2" w14:paraId="2601422D" w14:textId="05B137F8">
      <w:pPr>
        <w:spacing w:line="240" w:lineRule="auto"/>
        <w:ind w:left="360"/>
        <w:rPr>
          <w:rFonts w:eastAsia="Times New Roman" w:cs="Times New Roman"/>
          <w:snapToGrid w:val="0"/>
          <w:color w:val="000000"/>
          <w:szCs w:val="20"/>
        </w:rPr>
      </w:pPr>
      <w:r>
        <w:rPr>
          <w:rFonts w:eastAsia="Times New Roman" w:cs="Times New Roman"/>
          <w:snapToGrid w:val="0"/>
          <w:color w:val="000000"/>
          <w:szCs w:val="20"/>
        </w:rPr>
        <w:t xml:space="preserve">Dr. </w:t>
      </w:r>
      <w:r w:rsidRPr="00AE25AF">
        <w:rPr>
          <w:rFonts w:eastAsia="Times New Roman" w:cs="Times New Roman"/>
          <w:snapToGrid w:val="0"/>
          <w:color w:val="000000"/>
          <w:szCs w:val="20"/>
        </w:rPr>
        <w:t xml:space="preserve">Mick </w:t>
      </w:r>
      <w:r>
        <w:rPr>
          <w:rFonts w:eastAsia="Times New Roman" w:cs="Times New Roman"/>
          <w:snapToGrid w:val="0"/>
          <w:color w:val="000000"/>
          <w:szCs w:val="20"/>
        </w:rPr>
        <w:t>P</w:t>
      </w:r>
      <w:r w:rsidRPr="00AE25AF">
        <w:rPr>
          <w:rFonts w:eastAsia="Times New Roman" w:cs="Times New Roman"/>
          <w:snapToGrid w:val="0"/>
          <w:color w:val="000000"/>
          <w:szCs w:val="20"/>
        </w:rPr>
        <w:t xml:space="preserve">. Couper </w:t>
      </w:r>
    </w:p>
    <w:p w:rsidR="00E35933" w:rsidP="00A058C2" w14:paraId="19547CC3" w14:textId="77777777">
      <w:pPr>
        <w:spacing w:line="240" w:lineRule="auto"/>
        <w:ind w:left="360"/>
        <w:rPr>
          <w:rFonts w:eastAsia="Times New Roman" w:cs="Times New Roman"/>
          <w:snapToGrid w:val="0"/>
          <w:color w:val="000000"/>
          <w:szCs w:val="20"/>
        </w:rPr>
      </w:pPr>
      <w:r>
        <w:rPr>
          <w:rFonts w:eastAsia="Times New Roman" w:cs="Times New Roman"/>
          <w:snapToGrid w:val="0"/>
          <w:color w:val="000000"/>
          <w:szCs w:val="20"/>
        </w:rPr>
        <w:t>Survey Research Center and the Institute for Social Research</w:t>
      </w:r>
    </w:p>
    <w:p w:rsidR="00E35933" w:rsidP="00A058C2" w14:paraId="5942F218" w14:textId="77777777">
      <w:pPr>
        <w:spacing w:line="240" w:lineRule="auto"/>
        <w:ind w:left="360"/>
      </w:pPr>
      <w:r w:rsidRPr="00AE25AF">
        <w:rPr>
          <w:rFonts w:eastAsia="Times New Roman" w:cs="Times New Roman"/>
          <w:snapToGrid w:val="0"/>
          <w:color w:val="000000"/>
          <w:szCs w:val="20"/>
        </w:rPr>
        <w:t>University of Michigan</w:t>
      </w:r>
    </w:p>
    <w:p w:rsidR="00E35933" w:rsidP="00A058C2" w14:paraId="784E77D4" w14:textId="77777777">
      <w:pPr>
        <w:spacing w:line="240" w:lineRule="auto"/>
        <w:ind w:left="360"/>
      </w:pPr>
      <w:r>
        <w:t xml:space="preserve">426 Thompson Street </w:t>
      </w:r>
    </w:p>
    <w:p w:rsidR="00E35933" w:rsidP="00A058C2" w14:paraId="7557FC8B" w14:textId="77777777">
      <w:pPr>
        <w:spacing w:line="240" w:lineRule="auto"/>
        <w:ind w:left="360"/>
      </w:pPr>
      <w:r>
        <w:t xml:space="preserve">Ann Arbor, MI 48104 </w:t>
      </w:r>
    </w:p>
    <w:p w:rsidR="00E35933" w:rsidP="00A058C2" w14:paraId="4B805C81" w14:textId="77777777">
      <w:pPr>
        <w:spacing w:line="240" w:lineRule="auto"/>
        <w:ind w:left="360"/>
      </w:pPr>
      <w:r>
        <w:t>(734) 647-3577</w:t>
      </w:r>
    </w:p>
    <w:p w:rsidR="00E35933" w:rsidRPr="00AE25AF" w:rsidP="00A058C2" w14:paraId="16698C05" w14:textId="77777777">
      <w:pPr>
        <w:spacing w:line="240" w:lineRule="auto"/>
        <w:ind w:left="360"/>
        <w:rPr>
          <w:rFonts w:eastAsia="Times New Roman" w:cs="Times New Roman"/>
          <w:snapToGrid w:val="0"/>
          <w:color w:val="000000"/>
          <w:szCs w:val="20"/>
        </w:rPr>
      </w:pPr>
    </w:p>
    <w:p w:rsidR="00E35933" w:rsidRPr="007024AF" w:rsidP="00A058C2" w14:paraId="6A2D5668" w14:textId="77777777">
      <w:pPr>
        <w:spacing w:line="240" w:lineRule="auto"/>
        <w:ind w:left="360"/>
      </w:pPr>
      <w:r>
        <w:t xml:space="preserve">Dr. </w:t>
      </w:r>
      <w:r w:rsidRPr="007024AF">
        <w:t>Don A. Dillman</w:t>
      </w:r>
      <w:r w:rsidRPr="007024AF">
        <w:br/>
        <w:t>Department of Sociology and </w:t>
      </w:r>
      <w:r>
        <w:t>t</w:t>
      </w:r>
      <w:r w:rsidRPr="007024AF">
        <w:t>he Social &amp; Economic Sciences Research Center</w:t>
      </w:r>
      <w:r w:rsidRPr="007024AF">
        <w:br/>
        <w:t>Washington State University </w:t>
      </w:r>
      <w:r w:rsidRPr="007024AF">
        <w:br/>
        <w:t>Pullman, WA 99164-4014 </w:t>
      </w:r>
      <w:r w:rsidRPr="007024AF">
        <w:br/>
        <w:t>(509) 335</w:t>
      </w:r>
      <w:r>
        <w:rPr>
          <w:b/>
          <w:bCs/>
        </w:rPr>
        <w:t>-</w:t>
      </w:r>
      <w:r>
        <w:rPr>
          <w:bCs/>
        </w:rPr>
        <w:t>1511</w:t>
      </w:r>
      <w:r w:rsidRPr="007024AF">
        <w:rPr>
          <w:b/>
          <w:bCs/>
        </w:rPr>
        <w:t> </w:t>
      </w:r>
    </w:p>
    <w:p w:rsidR="00E35933" w:rsidP="000D3CCC" w14:paraId="6858D5A1" w14:textId="3CDEC900">
      <w:pPr>
        <w:pStyle w:val="ListParagraph"/>
        <w:autoSpaceDE w:val="0"/>
        <w:autoSpaceDN w:val="0"/>
        <w:adjustRightInd w:val="0"/>
        <w:spacing w:line="240" w:lineRule="auto"/>
        <w:ind w:left="360"/>
        <w:rPr>
          <w:b/>
        </w:rPr>
      </w:pPr>
    </w:p>
    <w:p w:rsidR="00727268" w:rsidRPr="004C66F6" w:rsidP="00533203" w14:paraId="6C0C7704" w14:textId="0BD00EB3">
      <w:pPr>
        <w:spacing w:line="240" w:lineRule="auto"/>
        <w:ind w:left="360"/>
        <w:rPr>
          <w:rFonts w:cs="Times New Roman"/>
          <w:szCs w:val="24"/>
        </w:rPr>
      </w:pPr>
      <w:r w:rsidRPr="004C66F6">
        <w:rPr>
          <w:rFonts w:cs="Times New Roman"/>
          <w:szCs w:val="24"/>
        </w:rPr>
        <w:t>Darby Steiger, M.A., M.P.P.</w:t>
      </w:r>
    </w:p>
    <w:p w:rsidR="00533203" w:rsidRPr="002E3170" w:rsidP="00533203" w14:paraId="14D17F19" w14:textId="445AD790">
      <w:pPr>
        <w:spacing w:line="240" w:lineRule="auto"/>
        <w:ind w:left="360"/>
      </w:pPr>
      <w:r w:rsidRPr="002E3170">
        <w:t xml:space="preserve">Westat </w:t>
      </w:r>
    </w:p>
    <w:p w:rsidR="00533203" w:rsidRPr="002E3170" w:rsidP="00533203" w14:paraId="44059A94" w14:textId="77777777">
      <w:pPr>
        <w:spacing w:line="240" w:lineRule="auto"/>
        <w:ind w:left="360"/>
      </w:pPr>
      <w:r w:rsidRPr="002E3170">
        <w:t>1600 Research Blvd,</w:t>
      </w:r>
    </w:p>
    <w:p w:rsidR="00533203" w:rsidRPr="00232B17" w:rsidP="00533203" w14:paraId="2607F7F5" w14:textId="77777777">
      <w:pPr>
        <w:spacing w:line="240" w:lineRule="auto"/>
        <w:ind w:left="360"/>
      </w:pPr>
      <w:r w:rsidRPr="002E3170">
        <w:t>Rockville, MD 20850</w:t>
      </w:r>
    </w:p>
    <w:p w:rsidR="00533203" w:rsidP="000D3CCC" w14:paraId="49D1E881" w14:textId="77777777">
      <w:pPr>
        <w:pStyle w:val="ListParagraph"/>
        <w:autoSpaceDE w:val="0"/>
        <w:autoSpaceDN w:val="0"/>
        <w:adjustRightInd w:val="0"/>
        <w:spacing w:line="240" w:lineRule="auto"/>
        <w:ind w:left="360"/>
        <w:rPr>
          <w:b/>
        </w:rPr>
      </w:pPr>
    </w:p>
    <w:p w:rsidR="00E35933" w:rsidP="000D3CCC" w14:paraId="362D55DB" w14:textId="77777777">
      <w:pPr>
        <w:spacing w:line="240" w:lineRule="auto"/>
      </w:pPr>
      <w:r>
        <w:t xml:space="preserve">The subcontractor hired by Experian to carry out the survey and the </w:t>
      </w:r>
      <w:r w:rsidR="00A058C2">
        <w:t>cognitive testing</w:t>
      </w:r>
      <w:r>
        <w:t xml:space="preserve"> is:</w:t>
      </w:r>
    </w:p>
    <w:p w:rsidR="00E35933" w:rsidP="000D3CCC" w14:paraId="044374A6" w14:textId="77777777">
      <w:pPr>
        <w:spacing w:line="240" w:lineRule="auto"/>
      </w:pPr>
    </w:p>
    <w:p w:rsidR="00E35933" w:rsidRPr="002E3170" w:rsidP="00A058C2" w14:paraId="2ADEBFB9" w14:textId="766A31EB">
      <w:pPr>
        <w:spacing w:line="240" w:lineRule="auto"/>
        <w:ind w:left="360"/>
      </w:pPr>
      <w:r w:rsidRPr="002E3170">
        <w:t xml:space="preserve">Westat </w:t>
      </w:r>
    </w:p>
    <w:p w:rsidR="00E35933" w:rsidRPr="002E3170" w:rsidP="00A058C2" w14:paraId="3E6DF79F" w14:textId="672E03C9">
      <w:pPr>
        <w:spacing w:line="240" w:lineRule="auto"/>
        <w:ind w:left="360"/>
      </w:pPr>
      <w:r w:rsidRPr="002E3170">
        <w:t>1600 Research Blvd,</w:t>
      </w:r>
    </w:p>
    <w:p w:rsidR="001051F0" w:rsidRPr="00232B17" w:rsidP="001051F0" w14:paraId="1BC15951" w14:textId="6B542E47">
      <w:pPr>
        <w:spacing w:line="240" w:lineRule="auto"/>
        <w:ind w:left="360"/>
      </w:pPr>
      <w:r w:rsidRPr="002E3170">
        <w:t>Rockville, MD 20850</w:t>
      </w:r>
    </w:p>
    <w:p w:rsidR="00744D1B" w:rsidP="001051F0" w14:paraId="7D57053D" w14:textId="149974D9">
      <w:pPr>
        <w:spacing w:line="240" w:lineRule="auto"/>
      </w:pPr>
    </w:p>
    <w:p w:rsidR="005F43E3" w:rsidP="001051F0" w14:paraId="5E246F6A" w14:textId="323F971C">
      <w:pPr>
        <w:spacing w:line="240" w:lineRule="auto"/>
      </w:pPr>
    </w:p>
    <w:p w:rsidR="003B1685" w:rsidP="001051F0" w14:paraId="4C94D7F3" w14:textId="77777777">
      <w:pPr>
        <w:spacing w:line="240" w:lineRule="auto"/>
      </w:pPr>
    </w:p>
    <w:p w:rsidR="005F43E3" w:rsidRPr="003B1685" w:rsidP="001051F0" w14:paraId="5A9BD405" w14:textId="4BA7F1D4">
      <w:pPr>
        <w:spacing w:line="240" w:lineRule="auto"/>
        <w:rPr>
          <w:b/>
          <w:bCs/>
        </w:rPr>
      </w:pPr>
      <w:r w:rsidRPr="003B1685">
        <w:rPr>
          <w:b/>
          <w:bCs/>
          <w:u w:val="single"/>
        </w:rPr>
        <w:t>List of Attachments</w:t>
      </w:r>
      <w:r w:rsidRPr="003B1685">
        <w:rPr>
          <w:b/>
          <w:bCs/>
        </w:rPr>
        <w:t>:</w:t>
      </w:r>
    </w:p>
    <w:p w:rsidR="005F43E3" w:rsidP="001051F0" w14:paraId="04F52D48" w14:textId="4CD6DFC6">
      <w:pPr>
        <w:spacing w:line="240" w:lineRule="auto"/>
      </w:pPr>
    </w:p>
    <w:p w:rsidR="005F43E3" w:rsidRPr="008D1C89" w:rsidP="00DD23F3" w14:paraId="6A5386BE" w14:textId="1EB397D3">
      <w:pPr>
        <w:pStyle w:val="ListParagraph"/>
        <w:numPr>
          <w:ilvl w:val="0"/>
          <w:numId w:val="9"/>
        </w:numPr>
        <w:spacing w:after="120" w:line="240" w:lineRule="auto"/>
        <w:contextualSpacing w:val="0"/>
      </w:pPr>
      <w:r w:rsidRPr="008D1C89">
        <w:t>NSMO questionnaire for 202</w:t>
      </w:r>
      <w:r w:rsidRPr="008D1C89" w:rsidR="00DF6605">
        <w:t>4</w:t>
      </w:r>
      <w:r w:rsidRPr="008D1C89" w:rsidR="00CD5B2B">
        <w:t xml:space="preserve"> Q</w:t>
      </w:r>
      <w:r w:rsidR="005F69A1">
        <w:t>3</w:t>
      </w:r>
      <w:r w:rsidRPr="008D1C89">
        <w:t xml:space="preserve"> (mailed </w:t>
      </w:r>
      <w:r w:rsidR="005F69A1">
        <w:t>August</w:t>
      </w:r>
      <w:r w:rsidRPr="008D1C89" w:rsidR="005F1917">
        <w:t xml:space="preserve"> 1</w:t>
      </w:r>
      <w:r w:rsidR="005F69A1">
        <w:t>9</w:t>
      </w:r>
      <w:r w:rsidRPr="008D1C89">
        <w:t xml:space="preserve"> , 202</w:t>
      </w:r>
      <w:r w:rsidRPr="008D1C89" w:rsidR="00DF6605">
        <w:t>4</w:t>
      </w:r>
      <w:r w:rsidRPr="008D1C89">
        <w:t>)</w:t>
      </w:r>
    </w:p>
    <w:p w:rsidR="005F43E3" w:rsidRPr="008D1C89" w:rsidP="00DD23F3" w14:paraId="76B88A8D" w14:textId="2540FDC9">
      <w:pPr>
        <w:pStyle w:val="ListParagraph"/>
        <w:numPr>
          <w:ilvl w:val="0"/>
          <w:numId w:val="9"/>
        </w:numPr>
        <w:spacing w:after="120" w:line="240" w:lineRule="auto"/>
        <w:contextualSpacing w:val="0"/>
      </w:pPr>
      <w:r w:rsidRPr="008D1C89">
        <w:t xml:space="preserve">60-day PRA Notice published at </w:t>
      </w:r>
      <w:r w:rsidRPr="008D1C89" w:rsidR="008D1C89">
        <w:t>89 FR 53086 (June 25, 2024).</w:t>
      </w:r>
    </w:p>
    <w:p w:rsidR="00752298" w:rsidRPr="00752298" w:rsidP="00DD23F3" w14:paraId="3CC45DC0" w14:textId="312B8A07">
      <w:pPr>
        <w:pStyle w:val="ListParagraph"/>
        <w:numPr>
          <w:ilvl w:val="0"/>
          <w:numId w:val="9"/>
        </w:numPr>
        <w:spacing w:after="120" w:line="240" w:lineRule="auto"/>
        <w:contextualSpacing w:val="0"/>
        <w:rPr>
          <w:bCs/>
        </w:rPr>
      </w:pPr>
      <w:r>
        <w:rPr>
          <w:bCs/>
        </w:rPr>
        <w:t>National Mortgage Database System of Record Act Notices</w:t>
      </w:r>
      <w:r>
        <w:rPr>
          <w:bCs/>
        </w:rPr>
        <w:t>:</w:t>
      </w:r>
    </w:p>
    <w:p w:rsidR="00752298" w:rsidP="00DD23F3" w14:paraId="09CAA3AF" w14:textId="17C42EC0">
      <w:pPr>
        <w:pStyle w:val="ListParagraph"/>
        <w:numPr>
          <w:ilvl w:val="1"/>
          <w:numId w:val="9"/>
        </w:numPr>
        <w:spacing w:after="120" w:line="240" w:lineRule="auto"/>
        <w:contextualSpacing w:val="0"/>
        <w:rPr>
          <w:bCs/>
        </w:rPr>
      </w:pPr>
      <w:r>
        <w:t>SORN</w:t>
      </w:r>
      <w:r w:rsidR="00951486">
        <w:t xml:space="preserve"> published at </w:t>
      </w:r>
      <w:r w:rsidRPr="00951486" w:rsidR="00951486">
        <w:rPr>
          <w:bCs/>
        </w:rPr>
        <w:t>80 FR 52275 (Aug. 28, 2015)</w:t>
      </w:r>
    </w:p>
    <w:p w:rsidR="00951486" w:rsidRPr="00951486" w:rsidP="00DD23F3" w14:paraId="203276E4" w14:textId="174FC4B7">
      <w:pPr>
        <w:pStyle w:val="ListParagraph"/>
        <w:numPr>
          <w:ilvl w:val="1"/>
          <w:numId w:val="9"/>
        </w:numPr>
        <w:spacing w:after="120" w:line="240" w:lineRule="auto"/>
        <w:contextualSpacing w:val="0"/>
        <w:rPr>
          <w:bCs/>
        </w:rPr>
      </w:pPr>
      <w:r>
        <w:rPr>
          <w:bCs/>
        </w:rPr>
        <w:t>R</w:t>
      </w:r>
      <w:r w:rsidRPr="00752298">
        <w:rPr>
          <w:bCs/>
        </w:rPr>
        <w:t>evision</w:t>
      </w:r>
      <w:r>
        <w:rPr>
          <w:bCs/>
        </w:rPr>
        <w:t xml:space="preserve"> to SORN published at</w:t>
      </w:r>
      <w:r w:rsidRPr="00752298">
        <w:rPr>
          <w:bCs/>
        </w:rPr>
        <w:t xml:space="preserve"> </w:t>
      </w:r>
      <w:r w:rsidRPr="00951486">
        <w:rPr>
          <w:bCs/>
        </w:rPr>
        <w:t>81 FR 95595 (Dec. 28, 2016)</w:t>
      </w:r>
    </w:p>
    <w:p w:rsidR="00951486" w:rsidP="00DD23F3" w14:paraId="2FB3F6E0" w14:textId="375DFFE3">
      <w:pPr>
        <w:pStyle w:val="ListParagraph"/>
        <w:numPr>
          <w:ilvl w:val="0"/>
          <w:numId w:val="9"/>
        </w:numPr>
        <w:spacing w:after="120" w:line="240" w:lineRule="auto"/>
        <w:contextualSpacing w:val="0"/>
      </w:pPr>
      <w:r>
        <w:t>NSMO communication package (in English and Spanish) for 202</w:t>
      </w:r>
      <w:r w:rsidR="00DF6605">
        <w:t>4</w:t>
      </w:r>
      <w:r>
        <w:t xml:space="preserve"> Q</w:t>
      </w:r>
      <w:r w:rsidR="005F69A1">
        <w:t>3</w:t>
      </w:r>
    </w:p>
    <w:p w:rsidR="00032653" w:rsidRPr="00232B17" w:rsidP="00DD23F3" w14:paraId="42AA6EF3" w14:textId="17600824">
      <w:pPr>
        <w:pStyle w:val="ListParagraph"/>
        <w:numPr>
          <w:ilvl w:val="0"/>
          <w:numId w:val="9"/>
        </w:numPr>
        <w:spacing w:after="120" w:line="240" w:lineRule="auto"/>
        <w:contextualSpacing w:val="0"/>
      </w:pPr>
      <w:r>
        <w:t>List of National Mortgage Database stakeholders</w:t>
      </w:r>
    </w:p>
    <w:sectPr w:rsidSect="008D4384">
      <w:headerReference w:type="default" r:id="rId12"/>
      <w:footerReference w:type="default" r:id="rId13"/>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2"/>
      </w:rPr>
      <w:id w:val="118346947"/>
      <w:docPartObj>
        <w:docPartGallery w:val="Page Numbers (Bottom of Page)"/>
        <w:docPartUnique/>
      </w:docPartObj>
    </w:sdtPr>
    <w:sdtEndPr>
      <w:rPr>
        <w:noProof/>
      </w:rPr>
    </w:sdtEndPr>
    <w:sdtContent>
      <w:p w:rsidR="008C799D" w:rsidRPr="00C62DED" w:rsidP="00C62DED" w14:paraId="5BEA5174" w14:textId="77777777">
        <w:pPr>
          <w:pStyle w:val="Footer"/>
          <w:jc w:val="center"/>
          <w:rPr>
            <w:sz w:val="22"/>
          </w:rPr>
        </w:pPr>
      </w:p>
      <w:p w:rsidR="008C799D" w:rsidRPr="00C62DED" w:rsidP="00C62DED" w14:paraId="4743A7C8" w14:textId="6823AF1B">
        <w:pPr>
          <w:pStyle w:val="Footer"/>
          <w:jc w:val="center"/>
          <w:rPr>
            <w:sz w:val="22"/>
          </w:rPr>
        </w:pPr>
        <w:r w:rsidRPr="00C62DED">
          <w:rPr>
            <w:sz w:val="22"/>
          </w:rPr>
          <w:fldChar w:fldCharType="begin"/>
        </w:r>
        <w:r w:rsidRPr="00C62DED">
          <w:rPr>
            <w:sz w:val="22"/>
          </w:rPr>
          <w:instrText xml:space="preserve"> PAGE   \* MERGEFORMAT </w:instrText>
        </w:r>
        <w:r w:rsidRPr="00C62DED">
          <w:rPr>
            <w:sz w:val="22"/>
          </w:rPr>
          <w:fldChar w:fldCharType="separate"/>
        </w:r>
        <w:r>
          <w:rPr>
            <w:noProof/>
            <w:sz w:val="22"/>
          </w:rPr>
          <w:t>23</w:t>
        </w:r>
        <w:r w:rsidRPr="00C62DED">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799D" w:rsidP="00854B60" w14:paraId="223477E4" w14:textId="77777777">
      <w:pPr>
        <w:spacing w:line="240" w:lineRule="auto"/>
      </w:pPr>
      <w:r>
        <w:separator/>
      </w:r>
    </w:p>
  </w:footnote>
  <w:footnote w:type="continuationSeparator" w:id="1">
    <w:p w:rsidR="008C799D" w:rsidP="00854B60" w14:paraId="549D6347" w14:textId="77777777">
      <w:pPr>
        <w:spacing w:line="240" w:lineRule="auto"/>
      </w:pPr>
      <w:r>
        <w:continuationSeparator/>
      </w:r>
    </w:p>
  </w:footnote>
  <w:footnote w:type="continuationNotice" w:id="2">
    <w:p w:rsidR="008C799D" w14:paraId="6E01FB3A" w14:textId="77777777">
      <w:pPr>
        <w:spacing w:line="240" w:lineRule="auto"/>
      </w:pPr>
    </w:p>
  </w:footnote>
  <w:footnote w:id="3">
    <w:p w:rsidR="00186977" w:rsidP="00186977" w14:paraId="0509089D" w14:textId="2D39FF45">
      <w:pPr>
        <w:pStyle w:val="FootnoteText"/>
      </w:pPr>
      <w:r>
        <w:rPr>
          <w:rStyle w:val="FootnoteReference"/>
        </w:rPr>
        <w:footnoteRef/>
      </w:r>
      <w:r>
        <w:t xml:space="preserve"> </w:t>
      </w:r>
      <w:r w:rsidRPr="00764712">
        <w:t xml:space="preserve">The NSMO questionnaire sent out in the </w:t>
      </w:r>
      <w:r w:rsidR="008F3252">
        <w:t>third</w:t>
      </w:r>
      <w:r w:rsidRPr="00764712" w:rsidR="00AB7BCD">
        <w:t xml:space="preserve"> </w:t>
      </w:r>
      <w:r w:rsidRPr="00764712">
        <w:t>quarter of 202</w:t>
      </w:r>
      <w:r w:rsidR="00473123">
        <w:t>4</w:t>
      </w:r>
      <w:r w:rsidRPr="00764712">
        <w:t xml:space="preserve"> contained 96 questions.</w:t>
      </w:r>
    </w:p>
  </w:footnote>
  <w:footnote w:id="4">
    <w:p w:rsidR="00186977" w:rsidRPr="00DD3257" w:rsidP="00186977" w14:paraId="6E7C4F1B" w14:textId="77777777">
      <w:pPr>
        <w:pStyle w:val="FootnoteText"/>
        <w:rPr>
          <w:lang w:val="en"/>
        </w:rPr>
      </w:pPr>
      <w:r>
        <w:rPr>
          <w:rStyle w:val="FootnoteReference"/>
        </w:rPr>
        <w:footnoteRef/>
      </w:r>
      <w:r>
        <w:t xml:space="preserve"> </w:t>
      </w:r>
      <w:r w:rsidRPr="00DD3257">
        <w:rPr>
          <w:lang w:val="en"/>
        </w:rPr>
        <w:t>12 U.S.C. 4544</w:t>
      </w:r>
      <w:r>
        <w:rPr>
          <w:lang w:val="en"/>
        </w:rPr>
        <w:t>(c)</w:t>
      </w:r>
      <w:r w:rsidRPr="00DD3257">
        <w:rPr>
          <w:lang w:val="en"/>
        </w:rPr>
        <w:t>.</w:t>
      </w:r>
    </w:p>
  </w:footnote>
  <w:footnote w:id="5">
    <w:p w:rsidR="00186977" w:rsidP="00186977" w14:paraId="31F3B4F9" w14:textId="26A2399F">
      <w:pPr>
        <w:pStyle w:val="FootnoteText"/>
      </w:pPr>
      <w:r>
        <w:rPr>
          <w:rStyle w:val="FootnoteReference"/>
        </w:rPr>
        <w:footnoteRef/>
      </w:r>
      <w:r>
        <w:t xml:space="preserve"> OMB has assigned the ASMB </w:t>
      </w:r>
      <w:r w:rsidRPr="00D04170">
        <w:t xml:space="preserve">control no. 2590-0015, which expires on </w:t>
      </w:r>
      <w:r w:rsidRPr="00D04170" w:rsidR="003A0E5A">
        <w:t>August 31, 2027</w:t>
      </w:r>
      <w:r w:rsidRPr="00D04170">
        <w:t>.</w:t>
      </w:r>
    </w:p>
  </w:footnote>
  <w:footnote w:id="6">
    <w:p w:rsidR="00186977" w:rsidP="00186977" w14:paraId="6D72792A" w14:textId="77777777">
      <w:pPr>
        <w:pStyle w:val="FootnoteText"/>
      </w:pPr>
      <w:r>
        <w:rPr>
          <w:rStyle w:val="FootnoteReference"/>
        </w:rPr>
        <w:footnoteRef/>
      </w:r>
      <w:r>
        <w:t xml:space="preserve"> </w:t>
      </w:r>
      <w:r w:rsidRPr="006D7356">
        <w:t>The Fair Credit Report</w:t>
      </w:r>
      <w:r>
        <w:t xml:space="preserve">ing Act, 15 U.S.C. 1681 </w:t>
      </w:r>
      <w:r w:rsidRPr="00DF16E4">
        <w:rPr>
          <w:i/>
        </w:rPr>
        <w:t>et seq.</w:t>
      </w:r>
      <w:r w:rsidRPr="007C7C87">
        <w:t>,</w:t>
      </w:r>
      <w:r>
        <w:t xml:space="preserve"> requires</w:t>
      </w:r>
      <w:r w:rsidRPr="005D3569">
        <w:rPr>
          <w:bCs/>
        </w:rPr>
        <w:t xml:space="preserve"> that the survey process, because it utilizes borrower names and addresses drawn from credit reporting agency records, must be administered through Experian in order to maintain consumer privacy</w:t>
      </w:r>
      <w:r>
        <w:t>.</w:t>
      </w:r>
    </w:p>
  </w:footnote>
  <w:footnote w:id="7">
    <w:p w:rsidR="00AC1793" w:rsidP="00AC1793" w14:paraId="55A676E1" w14:textId="73026EC0">
      <w:pPr>
        <w:pStyle w:val="FootnoteText"/>
      </w:pPr>
      <w:r w:rsidRPr="004C66F6">
        <w:rPr>
          <w:rStyle w:val="FootnoteReference"/>
        </w:rPr>
        <w:footnoteRef/>
      </w:r>
      <w:r w:rsidRPr="004C66F6">
        <w:t xml:space="preserve"> The </w:t>
      </w:r>
      <w:r w:rsidR="00C84359">
        <w:t>July 2024</w:t>
      </w:r>
      <w:r w:rsidRPr="004C66F6">
        <w:t xml:space="preserve"> NSMO public use dataset can be accessed here:</w:t>
      </w:r>
      <w:r w:rsidRPr="00C84359" w:rsidR="00C84359">
        <w:rPr>
          <w:rStyle w:val="Hyperlink"/>
          <w:i/>
        </w:rPr>
        <w:t>https://www.fhfa.gov/data/national-survey-mortgage-originations-nsmo-public-use-file</w:t>
      </w:r>
      <w:r>
        <w:t>.</w:t>
      </w:r>
    </w:p>
  </w:footnote>
  <w:footnote w:id="8">
    <w:p w:rsidR="008C799D" w14:paraId="328A337E" w14:textId="12D87398">
      <w:pPr>
        <w:pStyle w:val="FootnoteText"/>
      </w:pPr>
      <w:r>
        <w:rPr>
          <w:rStyle w:val="FootnoteReference"/>
        </w:rPr>
        <w:footnoteRef/>
      </w:r>
      <w:r>
        <w:t xml:space="preserve"> </w:t>
      </w:r>
      <w:r w:rsidRPr="0019719A">
        <w:rPr>
          <w:i/>
        </w:rPr>
        <w:t>See</w:t>
      </w:r>
      <w:r>
        <w:t xml:space="preserve"> 12 U.S.C. </w:t>
      </w:r>
      <w:r w:rsidRPr="003635CF" w:rsidR="003635CF">
        <w:t>§ </w:t>
      </w:r>
      <w:r>
        <w:t>4544(c).</w:t>
      </w:r>
    </w:p>
  </w:footnote>
  <w:footnote w:id="9">
    <w:p w:rsidR="001C20A0" w:rsidP="001C20A0" w14:paraId="201BF7EE" w14:textId="68212815">
      <w:pPr>
        <w:pStyle w:val="FootnoteText"/>
      </w:pPr>
      <w:r>
        <w:rPr>
          <w:rStyle w:val="FootnoteReference"/>
        </w:rPr>
        <w:footnoteRef/>
      </w:r>
      <w:r>
        <w:t xml:space="preserve"> </w:t>
      </w:r>
      <w:r w:rsidRPr="00955946">
        <w:rPr>
          <w:i/>
        </w:rPr>
        <w:t>See</w:t>
      </w:r>
      <w:r>
        <w:t xml:space="preserve"> </w:t>
      </w:r>
      <w:bookmarkStart w:id="3" w:name="_Hlk36124488"/>
      <w:r w:rsidRPr="00A22FDB">
        <w:t>8</w:t>
      </w:r>
      <w:r w:rsidR="003C4A72">
        <w:t>9</w:t>
      </w:r>
      <w:r w:rsidRPr="00A22FDB">
        <w:t xml:space="preserve"> FR </w:t>
      </w:r>
      <w:r w:rsidR="003C4A72">
        <w:t>53086</w:t>
      </w:r>
      <w:r w:rsidRPr="00A22FDB">
        <w:t xml:space="preserve"> (</w:t>
      </w:r>
      <w:r w:rsidR="003C4A72">
        <w:t>June 25, 2024</w:t>
      </w:r>
      <w:r w:rsidRPr="00A22FDB">
        <w:t>)</w:t>
      </w:r>
      <w:bookmarkEnd w:id="3"/>
      <w:r w:rsidRPr="00A22FDB">
        <w:t>.</w:t>
      </w:r>
    </w:p>
  </w:footnote>
  <w:footnote w:id="10">
    <w:p w:rsidR="008C799D" w:rsidP="003352B4" w14:paraId="099047C0" w14:textId="62FD2226">
      <w:pPr>
        <w:pStyle w:val="FootnoteText"/>
      </w:pPr>
      <w:r>
        <w:rPr>
          <w:rStyle w:val="FootnoteReference"/>
        </w:rPr>
        <w:footnoteRef/>
      </w:r>
      <w:r>
        <w:t xml:space="preserve"> 5 U.S.C. </w:t>
      </w:r>
      <w:r w:rsidRPr="003635CF" w:rsidR="003635CF">
        <w:t>§ </w:t>
      </w:r>
      <w:r>
        <w:t>552a.</w:t>
      </w:r>
    </w:p>
  </w:footnote>
  <w:footnote w:id="11">
    <w:p w:rsidR="008C799D" w:rsidRPr="001C20A0" w:rsidP="003352B4" w14:paraId="21AB47FD" w14:textId="3CF20889">
      <w:pPr>
        <w:pStyle w:val="FootnoteText"/>
        <w:rPr>
          <w:bCs/>
        </w:rPr>
      </w:pPr>
      <w:r>
        <w:rPr>
          <w:rStyle w:val="FootnoteReference"/>
        </w:rPr>
        <w:footnoteRef/>
      </w:r>
      <w:r>
        <w:t xml:space="preserve"> </w:t>
      </w:r>
      <w:bookmarkStart w:id="4" w:name="_Hlk36124586"/>
      <w:r w:rsidRPr="00A00973">
        <w:rPr>
          <w:bCs/>
          <w:i/>
        </w:rPr>
        <w:t>See</w:t>
      </w:r>
      <w:r w:rsidRPr="00A00973">
        <w:rPr>
          <w:bCs/>
        </w:rPr>
        <w:t xml:space="preserve"> 80 FR 52275 (Aug. 28, 2015)</w:t>
      </w:r>
      <w:r>
        <w:rPr>
          <w:bCs/>
        </w:rPr>
        <w:t>; 81 FR 95595 (Dec. 28, 2016)</w:t>
      </w:r>
      <w:r w:rsidRPr="00A00973">
        <w:rPr>
          <w:bCs/>
        </w:rPr>
        <w:t xml:space="preserve">.  </w:t>
      </w:r>
      <w:r>
        <w:rPr>
          <w:bCs/>
        </w:rPr>
        <w:t>Copies of the current SORN</w:t>
      </w:r>
      <w:r w:rsidRPr="00583CB2">
        <w:rPr>
          <w:bCs/>
        </w:rPr>
        <w:t xml:space="preserve"> for</w:t>
      </w:r>
      <w:r>
        <w:rPr>
          <w:bCs/>
        </w:rPr>
        <w:t xml:space="preserve"> the National Mortgage Database and a subsequent revision</w:t>
      </w:r>
      <w:r w:rsidRPr="00583CB2">
        <w:rPr>
          <w:bCs/>
        </w:rPr>
        <w:t xml:space="preserve"> </w:t>
      </w:r>
      <w:r>
        <w:rPr>
          <w:bCs/>
        </w:rPr>
        <w:t xml:space="preserve">are included </w:t>
      </w:r>
      <w:r w:rsidRPr="003C542A">
        <w:rPr>
          <w:bCs/>
        </w:rPr>
        <w:t xml:space="preserve">as </w:t>
      </w:r>
      <w:r>
        <w:rPr>
          <w:bCs/>
        </w:rPr>
        <w:t xml:space="preserve">Attachment </w:t>
      </w:r>
      <w:r w:rsidR="00473DA1">
        <w:rPr>
          <w:bCs/>
        </w:rPr>
        <w:t>3</w:t>
      </w:r>
      <w:r w:rsidRPr="003C542A">
        <w:rPr>
          <w:bCs/>
        </w:rPr>
        <w:t>.</w:t>
      </w:r>
      <w:bookmarkEnd w:id="4"/>
    </w:p>
  </w:footnote>
  <w:footnote w:id="12">
    <w:p w:rsidR="008C799D" w:rsidRPr="001C20A0" w:rsidP="003352B4" w14:paraId="7938B1FD" w14:textId="0D54C195">
      <w:pPr>
        <w:pStyle w:val="FootnoteText"/>
        <w:rPr>
          <w:bCs/>
          <w:lang w:val="en"/>
        </w:rPr>
      </w:pPr>
      <w:r>
        <w:rPr>
          <w:rStyle w:val="FootnoteReference"/>
        </w:rPr>
        <w:footnoteRef/>
      </w:r>
      <w:r>
        <w:t xml:space="preserve"> </w:t>
      </w:r>
      <w:r w:rsidRPr="00645B2C">
        <w:rPr>
          <w:bCs/>
          <w:i/>
          <w:lang w:val="en"/>
        </w:rPr>
        <w:t>See</w:t>
      </w:r>
      <w:r>
        <w:rPr>
          <w:bCs/>
          <w:lang w:val="en"/>
        </w:rPr>
        <w:t xml:space="preserve"> 12 U.S.C. </w:t>
      </w:r>
      <w:r w:rsidRPr="003635CF" w:rsidR="003635CF">
        <w:rPr>
          <w:bCs/>
        </w:rPr>
        <w:t>§§ </w:t>
      </w:r>
      <w:r>
        <w:rPr>
          <w:bCs/>
          <w:lang w:val="en"/>
        </w:rPr>
        <w:t>4544(c)(3),</w:t>
      </w:r>
      <w:r w:rsidRPr="00645B2C">
        <w:rPr>
          <w:bCs/>
          <w:lang w:val="en"/>
        </w:rPr>
        <w:t xml:space="preserve"> (4).</w:t>
      </w:r>
    </w:p>
  </w:footnote>
  <w:footnote w:id="13">
    <w:p w:rsidR="008C799D" w14:paraId="50E314D1" w14:textId="00C3FDFA">
      <w:pPr>
        <w:pStyle w:val="FootnoteText"/>
      </w:pPr>
      <w:r>
        <w:rPr>
          <w:rStyle w:val="FootnoteReference"/>
        </w:rPr>
        <w:footnoteRef/>
      </w:r>
      <w:r>
        <w:t xml:space="preserve"> The </w:t>
      </w:r>
      <w:r w:rsidR="00C84359">
        <w:t>July 2024</w:t>
      </w:r>
      <w:r w:rsidR="00473DA1">
        <w:t xml:space="preserve"> release is</w:t>
      </w:r>
      <w:r>
        <w:t xml:space="preserve"> available at:  </w:t>
      </w:r>
      <w:r w:rsidRPr="00C84359" w:rsidR="00C84359">
        <w:t>https://www.fhfa.gov/data/national-survey-mortgage-originations-nsmo-public-use-file</w:t>
      </w:r>
      <w:r>
        <w:t>.</w:t>
      </w:r>
    </w:p>
    <w:p w:rsidR="008C799D" w14:paraId="79781930" w14:textId="77777777">
      <w:pPr>
        <w:pStyle w:val="FootnoteText"/>
      </w:pPr>
    </w:p>
  </w:footnote>
  <w:footnote w:id="14">
    <w:p w:rsidR="00F23A8C" w:rsidP="00F23A8C" w14:paraId="2784E535" w14:textId="77777777">
      <w:pPr>
        <w:pStyle w:val="FootnoteText"/>
      </w:pPr>
      <w:r>
        <w:rPr>
          <w:rStyle w:val="FootnoteReference"/>
        </w:rPr>
        <w:footnoteRef/>
      </w:r>
      <w:r>
        <w:t xml:space="preserve"> </w:t>
      </w:r>
      <w:r w:rsidRPr="00F82ED8">
        <w:t>The average sampling weight increased in 2020 due to the unusually large volume of originations in that year.</w:t>
      </w:r>
    </w:p>
  </w:footnote>
  <w:footnote w:id="15">
    <w:p w:rsidR="008C799D" w:rsidP="00824D21" w14:paraId="7AF605AE" w14:textId="3524F4BD">
      <w:pPr>
        <w:pStyle w:val="FootnoteText"/>
      </w:pPr>
      <w:r>
        <w:rPr>
          <w:rStyle w:val="FootnoteReference"/>
        </w:rPr>
        <w:footnoteRef/>
      </w:r>
      <w:r>
        <w:t xml:space="preserve"> Copies of the </w:t>
      </w:r>
      <w:r w:rsidR="00A45522">
        <w:t>five</w:t>
      </w:r>
      <w:r>
        <w:t xml:space="preserve"> letters (in both English and Spanish) comprising the NSMO communications package used for the </w:t>
      </w:r>
      <w:r w:rsidR="005F69A1">
        <w:t>August</w:t>
      </w:r>
      <w:r>
        <w:t xml:space="preserve"> 202</w:t>
      </w:r>
      <w:r w:rsidR="00756A32">
        <w:t>4</w:t>
      </w:r>
      <w:r>
        <w:t xml:space="preserve"> survey mailing are included as Attachment </w:t>
      </w:r>
      <w:r w:rsidR="005F341B">
        <w:t>4</w:t>
      </w:r>
      <w:r>
        <w:t>.</w:t>
      </w:r>
    </w:p>
    <w:p w:rsidR="008C799D" w:rsidP="00824D21" w14:paraId="4B44D56D" w14:textId="77777777">
      <w:pPr>
        <w:pStyle w:val="FootnoteText"/>
      </w:pPr>
    </w:p>
  </w:footnote>
  <w:footnote w:id="16">
    <w:p w:rsidR="008C799D" w:rsidP="002F0DB0" w14:paraId="56684DB7" w14:textId="2E2391B2">
      <w:pPr>
        <w:pStyle w:val="FootnoteText"/>
      </w:pPr>
      <w:r>
        <w:rPr>
          <w:rStyle w:val="FootnoteReference"/>
        </w:rPr>
        <w:footnoteRef/>
      </w:r>
      <w:r>
        <w:t xml:space="preserve"> Merges with most administrative files are conducted behind a firewall at Experian using borrower name, address, date of birth and Social Security number to ensure the highest quality match accuracy (neither FHFA nor CFPB staff ever receive such information).  However, merging of the NMDB data with the HMDA data and the Federal Home Loan Bank loan files have to rely on variables common to both datasets, including the original loan balance, the opening date of the mortgage and the general location of the property (census tract or state/county) but not property address or borrower </w:t>
      </w:r>
      <w:r w:rsidRPr="00192BCD">
        <w:t xml:space="preserve">name.  Unfortunately, mortgage servicers report the billing address of the mortgage borrowers to Experian, but this is not necessarily the property address, particularly for mortgages on non-owner-occupied properties.  Those, when converted to a census tract for matching </w:t>
      </w:r>
      <w:r>
        <w:t>the address</w:t>
      </w:r>
      <w:r w:rsidR="00D75DBC">
        <w:t>,</w:t>
      </w:r>
      <w:r w:rsidRPr="00192BCD">
        <w:t xml:space="preserve"> may be incorrect.  Thus, HMDA merges are less accurate than those employing directly identifying information such as name and Social</w:t>
      </w:r>
      <w:r>
        <w:t xml:space="preserve"> Security number because the latter are less reliant on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99D" w:rsidRPr="006F3586" w:rsidP="006F3586" w14:paraId="4D38EB0B" w14:textId="55D2B1A7">
    <w:pPr>
      <w:pStyle w:val="Header"/>
      <w:jc w:val="center"/>
      <w:rPr>
        <w:b/>
        <w:bCs/>
      </w:rPr>
    </w:pPr>
    <w:r w:rsidRPr="006F3586">
      <w:rPr>
        <w:b/>
        <w:bCs/>
      </w:rPr>
      <w:t>CONTROLLED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5311B"/>
    <w:multiLevelType w:val="hybridMultilevel"/>
    <w:tmpl w:val="1CDA1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768A4"/>
    <w:multiLevelType w:val="hybridMultilevel"/>
    <w:tmpl w:val="E0C0E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2E43DB"/>
    <w:multiLevelType w:val="hybridMultilevel"/>
    <w:tmpl w:val="EFC60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643FF1"/>
    <w:multiLevelType w:val="hybridMultilevel"/>
    <w:tmpl w:val="93F495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4B46EA"/>
    <w:multiLevelType w:val="hybridMultilevel"/>
    <w:tmpl w:val="04360C4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8E67DC"/>
    <w:multiLevelType w:val="hybridMultilevel"/>
    <w:tmpl w:val="68501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63D40"/>
    <w:multiLevelType w:val="hybridMultilevel"/>
    <w:tmpl w:val="E0C22D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A030EC6"/>
    <w:multiLevelType w:val="hybridMultilevel"/>
    <w:tmpl w:val="08367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603FF3"/>
    <w:multiLevelType w:val="hybridMultilevel"/>
    <w:tmpl w:val="2ED4C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3AB2E7C"/>
    <w:multiLevelType w:val="hybridMultilevel"/>
    <w:tmpl w:val="233E5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1814532">
    <w:abstractNumId w:val="1"/>
  </w:num>
  <w:num w:numId="2" w16cid:durableId="423039449">
    <w:abstractNumId w:val="0"/>
  </w:num>
  <w:num w:numId="3" w16cid:durableId="885339312">
    <w:abstractNumId w:val="6"/>
  </w:num>
  <w:num w:numId="4" w16cid:durableId="2023320253">
    <w:abstractNumId w:val="4"/>
  </w:num>
  <w:num w:numId="5" w16cid:durableId="86508507">
    <w:abstractNumId w:val="7"/>
  </w:num>
  <w:num w:numId="6" w16cid:durableId="185291821">
    <w:abstractNumId w:val="2"/>
  </w:num>
  <w:num w:numId="7" w16cid:durableId="419524718">
    <w:abstractNumId w:val="9"/>
  </w:num>
  <w:num w:numId="8" w16cid:durableId="1093547922">
    <w:abstractNumId w:val="8"/>
  </w:num>
  <w:num w:numId="9" w16cid:durableId="1145001735">
    <w:abstractNumId w:val="3"/>
  </w:num>
  <w:num w:numId="10" w16cid:durableId="54510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AB"/>
    <w:rsid w:val="000003AC"/>
    <w:rsid w:val="00000558"/>
    <w:rsid w:val="00003944"/>
    <w:rsid w:val="00003A88"/>
    <w:rsid w:val="00003D9E"/>
    <w:rsid w:val="00005326"/>
    <w:rsid w:val="00005B09"/>
    <w:rsid w:val="00006AE3"/>
    <w:rsid w:val="000072C9"/>
    <w:rsid w:val="0001041B"/>
    <w:rsid w:val="00014257"/>
    <w:rsid w:val="00014514"/>
    <w:rsid w:val="000179A6"/>
    <w:rsid w:val="00021B90"/>
    <w:rsid w:val="00021D01"/>
    <w:rsid w:val="00021D24"/>
    <w:rsid w:val="000220B0"/>
    <w:rsid w:val="00022ED3"/>
    <w:rsid w:val="0002363F"/>
    <w:rsid w:val="00024629"/>
    <w:rsid w:val="00025A5D"/>
    <w:rsid w:val="00026BFF"/>
    <w:rsid w:val="00026D2A"/>
    <w:rsid w:val="00026E8A"/>
    <w:rsid w:val="00031F72"/>
    <w:rsid w:val="00032495"/>
    <w:rsid w:val="00032653"/>
    <w:rsid w:val="00036356"/>
    <w:rsid w:val="0004145B"/>
    <w:rsid w:val="00041790"/>
    <w:rsid w:val="0004388F"/>
    <w:rsid w:val="00044186"/>
    <w:rsid w:val="00045FF3"/>
    <w:rsid w:val="00047312"/>
    <w:rsid w:val="00047B9D"/>
    <w:rsid w:val="00055EB9"/>
    <w:rsid w:val="000560DA"/>
    <w:rsid w:val="000623DB"/>
    <w:rsid w:val="00064722"/>
    <w:rsid w:val="000647B6"/>
    <w:rsid w:val="00066EBB"/>
    <w:rsid w:val="0006725A"/>
    <w:rsid w:val="000721F7"/>
    <w:rsid w:val="00074673"/>
    <w:rsid w:val="0007583D"/>
    <w:rsid w:val="00075D94"/>
    <w:rsid w:val="00077902"/>
    <w:rsid w:val="00080C66"/>
    <w:rsid w:val="0008124F"/>
    <w:rsid w:val="0008181A"/>
    <w:rsid w:val="000855E7"/>
    <w:rsid w:val="00086587"/>
    <w:rsid w:val="00086625"/>
    <w:rsid w:val="00087901"/>
    <w:rsid w:val="00092FAF"/>
    <w:rsid w:val="00093103"/>
    <w:rsid w:val="000934B7"/>
    <w:rsid w:val="00096349"/>
    <w:rsid w:val="00096BEF"/>
    <w:rsid w:val="00096D08"/>
    <w:rsid w:val="000A1032"/>
    <w:rsid w:val="000A18D8"/>
    <w:rsid w:val="000A37C1"/>
    <w:rsid w:val="000A44DD"/>
    <w:rsid w:val="000A4FB6"/>
    <w:rsid w:val="000A65B9"/>
    <w:rsid w:val="000B0DC7"/>
    <w:rsid w:val="000B7B82"/>
    <w:rsid w:val="000C008D"/>
    <w:rsid w:val="000C07DB"/>
    <w:rsid w:val="000C0954"/>
    <w:rsid w:val="000C0F48"/>
    <w:rsid w:val="000C1C2B"/>
    <w:rsid w:val="000C275F"/>
    <w:rsid w:val="000C3373"/>
    <w:rsid w:val="000C42B6"/>
    <w:rsid w:val="000C48E9"/>
    <w:rsid w:val="000C4D86"/>
    <w:rsid w:val="000C5ED3"/>
    <w:rsid w:val="000C726C"/>
    <w:rsid w:val="000C7818"/>
    <w:rsid w:val="000D0D08"/>
    <w:rsid w:val="000D1392"/>
    <w:rsid w:val="000D2D38"/>
    <w:rsid w:val="000D33E4"/>
    <w:rsid w:val="000D34A1"/>
    <w:rsid w:val="000D3CCC"/>
    <w:rsid w:val="000D3F56"/>
    <w:rsid w:val="000D4EF6"/>
    <w:rsid w:val="000D57C0"/>
    <w:rsid w:val="000D6141"/>
    <w:rsid w:val="000D7687"/>
    <w:rsid w:val="000E2368"/>
    <w:rsid w:val="000E4754"/>
    <w:rsid w:val="000E4839"/>
    <w:rsid w:val="000E4FD9"/>
    <w:rsid w:val="000E5B0B"/>
    <w:rsid w:val="000E5F8E"/>
    <w:rsid w:val="000E616C"/>
    <w:rsid w:val="000E7687"/>
    <w:rsid w:val="000F027E"/>
    <w:rsid w:val="000F086E"/>
    <w:rsid w:val="000F0CB3"/>
    <w:rsid w:val="000F1239"/>
    <w:rsid w:val="000F3F6F"/>
    <w:rsid w:val="000F62BE"/>
    <w:rsid w:val="000F6F88"/>
    <w:rsid w:val="000F77F8"/>
    <w:rsid w:val="00100BD9"/>
    <w:rsid w:val="00101C8B"/>
    <w:rsid w:val="00101FBD"/>
    <w:rsid w:val="0010235D"/>
    <w:rsid w:val="0010417E"/>
    <w:rsid w:val="001051F0"/>
    <w:rsid w:val="0010547E"/>
    <w:rsid w:val="001062F8"/>
    <w:rsid w:val="00107C5C"/>
    <w:rsid w:val="00107FAF"/>
    <w:rsid w:val="00111062"/>
    <w:rsid w:val="001123BB"/>
    <w:rsid w:val="00112C61"/>
    <w:rsid w:val="00113654"/>
    <w:rsid w:val="00113910"/>
    <w:rsid w:val="001152F8"/>
    <w:rsid w:val="00115AD5"/>
    <w:rsid w:val="00115FA4"/>
    <w:rsid w:val="0011609D"/>
    <w:rsid w:val="0012069D"/>
    <w:rsid w:val="00121EBE"/>
    <w:rsid w:val="0012228D"/>
    <w:rsid w:val="00122979"/>
    <w:rsid w:val="001230B8"/>
    <w:rsid w:val="0012492F"/>
    <w:rsid w:val="00125064"/>
    <w:rsid w:val="00125385"/>
    <w:rsid w:val="00126137"/>
    <w:rsid w:val="001261FD"/>
    <w:rsid w:val="001305AC"/>
    <w:rsid w:val="00130BAB"/>
    <w:rsid w:val="00131793"/>
    <w:rsid w:val="0013235B"/>
    <w:rsid w:val="00132F17"/>
    <w:rsid w:val="00132FCD"/>
    <w:rsid w:val="001336A8"/>
    <w:rsid w:val="001341E8"/>
    <w:rsid w:val="00136348"/>
    <w:rsid w:val="00136FE6"/>
    <w:rsid w:val="0013731E"/>
    <w:rsid w:val="00141252"/>
    <w:rsid w:val="00144403"/>
    <w:rsid w:val="0014499B"/>
    <w:rsid w:val="00144B3E"/>
    <w:rsid w:val="00145D71"/>
    <w:rsid w:val="001504BB"/>
    <w:rsid w:val="001504E5"/>
    <w:rsid w:val="00153B72"/>
    <w:rsid w:val="00154527"/>
    <w:rsid w:val="00154A95"/>
    <w:rsid w:val="00157D8C"/>
    <w:rsid w:val="00160243"/>
    <w:rsid w:val="00160468"/>
    <w:rsid w:val="00162CF7"/>
    <w:rsid w:val="00163383"/>
    <w:rsid w:val="00163CB8"/>
    <w:rsid w:val="00164D42"/>
    <w:rsid w:val="00166AA0"/>
    <w:rsid w:val="001676DB"/>
    <w:rsid w:val="00167B16"/>
    <w:rsid w:val="0017123E"/>
    <w:rsid w:val="00171D9E"/>
    <w:rsid w:val="00177511"/>
    <w:rsid w:val="0017758F"/>
    <w:rsid w:val="00177999"/>
    <w:rsid w:val="00177E62"/>
    <w:rsid w:val="00180B3F"/>
    <w:rsid w:val="0018136E"/>
    <w:rsid w:val="001818F3"/>
    <w:rsid w:val="00181AC0"/>
    <w:rsid w:val="00181E5D"/>
    <w:rsid w:val="0018256A"/>
    <w:rsid w:val="00182B9B"/>
    <w:rsid w:val="00182F0D"/>
    <w:rsid w:val="00183056"/>
    <w:rsid w:val="00183383"/>
    <w:rsid w:val="00185324"/>
    <w:rsid w:val="00186153"/>
    <w:rsid w:val="00186977"/>
    <w:rsid w:val="00187C2A"/>
    <w:rsid w:val="00190419"/>
    <w:rsid w:val="00190711"/>
    <w:rsid w:val="00190A38"/>
    <w:rsid w:val="00191098"/>
    <w:rsid w:val="00192BCD"/>
    <w:rsid w:val="00192EBF"/>
    <w:rsid w:val="001943E2"/>
    <w:rsid w:val="00195706"/>
    <w:rsid w:val="00195D9E"/>
    <w:rsid w:val="00196ED3"/>
    <w:rsid w:val="0019719A"/>
    <w:rsid w:val="00197C10"/>
    <w:rsid w:val="00197D45"/>
    <w:rsid w:val="00197ED6"/>
    <w:rsid w:val="001A0413"/>
    <w:rsid w:val="001A08F3"/>
    <w:rsid w:val="001A26A2"/>
    <w:rsid w:val="001A3C40"/>
    <w:rsid w:val="001A4985"/>
    <w:rsid w:val="001A6828"/>
    <w:rsid w:val="001B03AD"/>
    <w:rsid w:val="001B0477"/>
    <w:rsid w:val="001B052D"/>
    <w:rsid w:val="001B2129"/>
    <w:rsid w:val="001B2F7C"/>
    <w:rsid w:val="001B3469"/>
    <w:rsid w:val="001B4D4C"/>
    <w:rsid w:val="001B5359"/>
    <w:rsid w:val="001B5E7B"/>
    <w:rsid w:val="001B6EF3"/>
    <w:rsid w:val="001B7212"/>
    <w:rsid w:val="001B721B"/>
    <w:rsid w:val="001C010D"/>
    <w:rsid w:val="001C10E3"/>
    <w:rsid w:val="001C1155"/>
    <w:rsid w:val="001C20A0"/>
    <w:rsid w:val="001C236F"/>
    <w:rsid w:val="001C508B"/>
    <w:rsid w:val="001C5A89"/>
    <w:rsid w:val="001C77FC"/>
    <w:rsid w:val="001C7C8C"/>
    <w:rsid w:val="001D046D"/>
    <w:rsid w:val="001D05FA"/>
    <w:rsid w:val="001D0E6C"/>
    <w:rsid w:val="001D253A"/>
    <w:rsid w:val="001D2B21"/>
    <w:rsid w:val="001D2D99"/>
    <w:rsid w:val="001D39CF"/>
    <w:rsid w:val="001D3D0B"/>
    <w:rsid w:val="001D3D65"/>
    <w:rsid w:val="001D41B4"/>
    <w:rsid w:val="001D4F56"/>
    <w:rsid w:val="001D50E2"/>
    <w:rsid w:val="001D57CE"/>
    <w:rsid w:val="001D57EB"/>
    <w:rsid w:val="001D5AF8"/>
    <w:rsid w:val="001E1949"/>
    <w:rsid w:val="001E29D8"/>
    <w:rsid w:val="001E434A"/>
    <w:rsid w:val="001E48C4"/>
    <w:rsid w:val="001E7309"/>
    <w:rsid w:val="001E745F"/>
    <w:rsid w:val="001F04F2"/>
    <w:rsid w:val="001F0CC6"/>
    <w:rsid w:val="001F28B3"/>
    <w:rsid w:val="001F3612"/>
    <w:rsid w:val="001F4F7D"/>
    <w:rsid w:val="001F5126"/>
    <w:rsid w:val="001F61CF"/>
    <w:rsid w:val="001F7F01"/>
    <w:rsid w:val="0020008F"/>
    <w:rsid w:val="00200D2E"/>
    <w:rsid w:val="0020111E"/>
    <w:rsid w:val="0020246A"/>
    <w:rsid w:val="00202FEA"/>
    <w:rsid w:val="00203A79"/>
    <w:rsid w:val="0020562C"/>
    <w:rsid w:val="00206148"/>
    <w:rsid w:val="00206248"/>
    <w:rsid w:val="00206490"/>
    <w:rsid w:val="002068BD"/>
    <w:rsid w:val="00206C18"/>
    <w:rsid w:val="00207F04"/>
    <w:rsid w:val="002119AE"/>
    <w:rsid w:val="00212723"/>
    <w:rsid w:val="00213DA9"/>
    <w:rsid w:val="00214E0A"/>
    <w:rsid w:val="002164FA"/>
    <w:rsid w:val="002168FD"/>
    <w:rsid w:val="002225B8"/>
    <w:rsid w:val="00222947"/>
    <w:rsid w:val="002233B8"/>
    <w:rsid w:val="0022598B"/>
    <w:rsid w:val="002265B1"/>
    <w:rsid w:val="00230AE9"/>
    <w:rsid w:val="00230E0C"/>
    <w:rsid w:val="00231056"/>
    <w:rsid w:val="00231C51"/>
    <w:rsid w:val="00232159"/>
    <w:rsid w:val="002329F3"/>
    <w:rsid w:val="00232B17"/>
    <w:rsid w:val="0023477C"/>
    <w:rsid w:val="00234C72"/>
    <w:rsid w:val="00235423"/>
    <w:rsid w:val="0023622E"/>
    <w:rsid w:val="00236797"/>
    <w:rsid w:val="0023706E"/>
    <w:rsid w:val="00237EBD"/>
    <w:rsid w:val="0024179D"/>
    <w:rsid w:val="00241A84"/>
    <w:rsid w:val="0024257E"/>
    <w:rsid w:val="00242C30"/>
    <w:rsid w:val="00242CE0"/>
    <w:rsid w:val="0025163D"/>
    <w:rsid w:val="002519D5"/>
    <w:rsid w:val="00252DA0"/>
    <w:rsid w:val="0025343F"/>
    <w:rsid w:val="00254459"/>
    <w:rsid w:val="00254D23"/>
    <w:rsid w:val="00256A70"/>
    <w:rsid w:val="00256E74"/>
    <w:rsid w:val="002606E6"/>
    <w:rsid w:val="00260A7E"/>
    <w:rsid w:val="002612B2"/>
    <w:rsid w:val="00262DFA"/>
    <w:rsid w:val="00263191"/>
    <w:rsid w:val="00263459"/>
    <w:rsid w:val="00263A29"/>
    <w:rsid w:val="002643C9"/>
    <w:rsid w:val="00264555"/>
    <w:rsid w:val="00264586"/>
    <w:rsid w:val="00266C9D"/>
    <w:rsid w:val="0027042F"/>
    <w:rsid w:val="002726D6"/>
    <w:rsid w:val="00272DBB"/>
    <w:rsid w:val="00274A38"/>
    <w:rsid w:val="0027569B"/>
    <w:rsid w:val="00275B20"/>
    <w:rsid w:val="00277570"/>
    <w:rsid w:val="00277673"/>
    <w:rsid w:val="002832DE"/>
    <w:rsid w:val="002837E9"/>
    <w:rsid w:val="00284BE5"/>
    <w:rsid w:val="00287F04"/>
    <w:rsid w:val="00290D9F"/>
    <w:rsid w:val="0029181A"/>
    <w:rsid w:val="00291B2B"/>
    <w:rsid w:val="00292D92"/>
    <w:rsid w:val="00294D02"/>
    <w:rsid w:val="00294D76"/>
    <w:rsid w:val="00295217"/>
    <w:rsid w:val="00296EA5"/>
    <w:rsid w:val="00297B89"/>
    <w:rsid w:val="002A346B"/>
    <w:rsid w:val="002A40F4"/>
    <w:rsid w:val="002A4989"/>
    <w:rsid w:val="002A4A69"/>
    <w:rsid w:val="002A5639"/>
    <w:rsid w:val="002A71D0"/>
    <w:rsid w:val="002A7971"/>
    <w:rsid w:val="002A7B19"/>
    <w:rsid w:val="002B1283"/>
    <w:rsid w:val="002B2823"/>
    <w:rsid w:val="002B4495"/>
    <w:rsid w:val="002B47D2"/>
    <w:rsid w:val="002B499B"/>
    <w:rsid w:val="002B56BC"/>
    <w:rsid w:val="002B56DB"/>
    <w:rsid w:val="002C1469"/>
    <w:rsid w:val="002C1F27"/>
    <w:rsid w:val="002C2863"/>
    <w:rsid w:val="002C2A78"/>
    <w:rsid w:val="002C31FD"/>
    <w:rsid w:val="002C3460"/>
    <w:rsid w:val="002C35B2"/>
    <w:rsid w:val="002C3B1C"/>
    <w:rsid w:val="002C3CAC"/>
    <w:rsid w:val="002C4BDF"/>
    <w:rsid w:val="002C56C2"/>
    <w:rsid w:val="002C6910"/>
    <w:rsid w:val="002C6A18"/>
    <w:rsid w:val="002C6CDC"/>
    <w:rsid w:val="002C6D65"/>
    <w:rsid w:val="002C7592"/>
    <w:rsid w:val="002D0863"/>
    <w:rsid w:val="002D145E"/>
    <w:rsid w:val="002D2148"/>
    <w:rsid w:val="002D286D"/>
    <w:rsid w:val="002D2EB8"/>
    <w:rsid w:val="002D47B7"/>
    <w:rsid w:val="002D5F62"/>
    <w:rsid w:val="002E0989"/>
    <w:rsid w:val="002E1BEA"/>
    <w:rsid w:val="002E3170"/>
    <w:rsid w:val="002E4D51"/>
    <w:rsid w:val="002E531C"/>
    <w:rsid w:val="002E5D2D"/>
    <w:rsid w:val="002E71B7"/>
    <w:rsid w:val="002F0DB0"/>
    <w:rsid w:val="002F3BF2"/>
    <w:rsid w:val="002F6B17"/>
    <w:rsid w:val="002F6EC8"/>
    <w:rsid w:val="002F74F8"/>
    <w:rsid w:val="002F757E"/>
    <w:rsid w:val="002F7674"/>
    <w:rsid w:val="00300758"/>
    <w:rsid w:val="0030189F"/>
    <w:rsid w:val="00301B9E"/>
    <w:rsid w:val="00301BEB"/>
    <w:rsid w:val="00301C3E"/>
    <w:rsid w:val="00301EF0"/>
    <w:rsid w:val="00302EA2"/>
    <w:rsid w:val="00302F1D"/>
    <w:rsid w:val="00303116"/>
    <w:rsid w:val="00304054"/>
    <w:rsid w:val="00304384"/>
    <w:rsid w:val="00305630"/>
    <w:rsid w:val="00306E1D"/>
    <w:rsid w:val="00307B3F"/>
    <w:rsid w:val="00312999"/>
    <w:rsid w:val="00315338"/>
    <w:rsid w:val="00315986"/>
    <w:rsid w:val="00316612"/>
    <w:rsid w:val="003169FA"/>
    <w:rsid w:val="003221B4"/>
    <w:rsid w:val="003221DE"/>
    <w:rsid w:val="0032383F"/>
    <w:rsid w:val="00323EB3"/>
    <w:rsid w:val="003241BB"/>
    <w:rsid w:val="00333776"/>
    <w:rsid w:val="003352B4"/>
    <w:rsid w:val="00337F35"/>
    <w:rsid w:val="00340D6B"/>
    <w:rsid w:val="003415FA"/>
    <w:rsid w:val="003417BD"/>
    <w:rsid w:val="00342874"/>
    <w:rsid w:val="00343527"/>
    <w:rsid w:val="003441A7"/>
    <w:rsid w:val="0034458F"/>
    <w:rsid w:val="003447B2"/>
    <w:rsid w:val="00352CBB"/>
    <w:rsid w:val="00353296"/>
    <w:rsid w:val="00354127"/>
    <w:rsid w:val="003545C9"/>
    <w:rsid w:val="00356EB7"/>
    <w:rsid w:val="00360FF9"/>
    <w:rsid w:val="003618E5"/>
    <w:rsid w:val="003635CF"/>
    <w:rsid w:val="00363F65"/>
    <w:rsid w:val="00364014"/>
    <w:rsid w:val="00365AFB"/>
    <w:rsid w:val="00366772"/>
    <w:rsid w:val="00370CBE"/>
    <w:rsid w:val="0037136A"/>
    <w:rsid w:val="003717A0"/>
    <w:rsid w:val="0037239F"/>
    <w:rsid w:val="00373253"/>
    <w:rsid w:val="00373984"/>
    <w:rsid w:val="0037468A"/>
    <w:rsid w:val="00374AC6"/>
    <w:rsid w:val="00375A40"/>
    <w:rsid w:val="0037676C"/>
    <w:rsid w:val="00376DD5"/>
    <w:rsid w:val="00377D04"/>
    <w:rsid w:val="003801CA"/>
    <w:rsid w:val="00380260"/>
    <w:rsid w:val="003818BF"/>
    <w:rsid w:val="003830A6"/>
    <w:rsid w:val="00383DDB"/>
    <w:rsid w:val="003849DA"/>
    <w:rsid w:val="003858A6"/>
    <w:rsid w:val="0038664C"/>
    <w:rsid w:val="00386EEF"/>
    <w:rsid w:val="00391440"/>
    <w:rsid w:val="0039170B"/>
    <w:rsid w:val="0039226F"/>
    <w:rsid w:val="0039316F"/>
    <w:rsid w:val="00393C23"/>
    <w:rsid w:val="0039409D"/>
    <w:rsid w:val="00394635"/>
    <w:rsid w:val="003947B5"/>
    <w:rsid w:val="0039538C"/>
    <w:rsid w:val="003A0E5A"/>
    <w:rsid w:val="003A1446"/>
    <w:rsid w:val="003A1F09"/>
    <w:rsid w:val="003A31F9"/>
    <w:rsid w:val="003A44C8"/>
    <w:rsid w:val="003A4A46"/>
    <w:rsid w:val="003A58E1"/>
    <w:rsid w:val="003A5D98"/>
    <w:rsid w:val="003A6BA4"/>
    <w:rsid w:val="003A7AD6"/>
    <w:rsid w:val="003B0F77"/>
    <w:rsid w:val="003B11B4"/>
    <w:rsid w:val="003B1685"/>
    <w:rsid w:val="003B2137"/>
    <w:rsid w:val="003B3189"/>
    <w:rsid w:val="003B35FB"/>
    <w:rsid w:val="003B3D1C"/>
    <w:rsid w:val="003B5053"/>
    <w:rsid w:val="003B5377"/>
    <w:rsid w:val="003B551C"/>
    <w:rsid w:val="003B585A"/>
    <w:rsid w:val="003B7153"/>
    <w:rsid w:val="003B7964"/>
    <w:rsid w:val="003C02D4"/>
    <w:rsid w:val="003C0974"/>
    <w:rsid w:val="003C2801"/>
    <w:rsid w:val="003C4A72"/>
    <w:rsid w:val="003C542A"/>
    <w:rsid w:val="003D0578"/>
    <w:rsid w:val="003D0686"/>
    <w:rsid w:val="003D12DB"/>
    <w:rsid w:val="003D18B1"/>
    <w:rsid w:val="003D1DD6"/>
    <w:rsid w:val="003D2946"/>
    <w:rsid w:val="003D51C0"/>
    <w:rsid w:val="003D5223"/>
    <w:rsid w:val="003D7068"/>
    <w:rsid w:val="003D7A65"/>
    <w:rsid w:val="003E07A4"/>
    <w:rsid w:val="003E101B"/>
    <w:rsid w:val="003E17E5"/>
    <w:rsid w:val="003E1917"/>
    <w:rsid w:val="003E215B"/>
    <w:rsid w:val="003E2EE6"/>
    <w:rsid w:val="003E5C72"/>
    <w:rsid w:val="003E5D50"/>
    <w:rsid w:val="003E62AD"/>
    <w:rsid w:val="003E70E3"/>
    <w:rsid w:val="003E7BDB"/>
    <w:rsid w:val="003F02CC"/>
    <w:rsid w:val="003F06F6"/>
    <w:rsid w:val="003F4803"/>
    <w:rsid w:val="003F6148"/>
    <w:rsid w:val="003F6423"/>
    <w:rsid w:val="003F7E01"/>
    <w:rsid w:val="004002CA"/>
    <w:rsid w:val="004016FD"/>
    <w:rsid w:val="00401DDC"/>
    <w:rsid w:val="004027D8"/>
    <w:rsid w:val="00402948"/>
    <w:rsid w:val="00403E7E"/>
    <w:rsid w:val="004041D6"/>
    <w:rsid w:val="004058A6"/>
    <w:rsid w:val="00407A24"/>
    <w:rsid w:val="00410CFA"/>
    <w:rsid w:val="00411161"/>
    <w:rsid w:val="004111D7"/>
    <w:rsid w:val="00411A55"/>
    <w:rsid w:val="00411FC0"/>
    <w:rsid w:val="004125C9"/>
    <w:rsid w:val="004138F3"/>
    <w:rsid w:val="00414424"/>
    <w:rsid w:val="0041540F"/>
    <w:rsid w:val="00415B55"/>
    <w:rsid w:val="0041627A"/>
    <w:rsid w:val="00416AAF"/>
    <w:rsid w:val="00417B90"/>
    <w:rsid w:val="00420906"/>
    <w:rsid w:val="00420D98"/>
    <w:rsid w:val="004226E0"/>
    <w:rsid w:val="00423023"/>
    <w:rsid w:val="004231EC"/>
    <w:rsid w:val="0042320E"/>
    <w:rsid w:val="004243E7"/>
    <w:rsid w:val="00424A59"/>
    <w:rsid w:val="00424C1B"/>
    <w:rsid w:val="00424E41"/>
    <w:rsid w:val="00425817"/>
    <w:rsid w:val="004266FF"/>
    <w:rsid w:val="0042776A"/>
    <w:rsid w:val="00430C27"/>
    <w:rsid w:val="00431C3A"/>
    <w:rsid w:val="0043371D"/>
    <w:rsid w:val="00434A13"/>
    <w:rsid w:val="00435304"/>
    <w:rsid w:val="00435C61"/>
    <w:rsid w:val="004363D9"/>
    <w:rsid w:val="004373A0"/>
    <w:rsid w:val="004373D2"/>
    <w:rsid w:val="00437776"/>
    <w:rsid w:val="0044053A"/>
    <w:rsid w:val="00440C8A"/>
    <w:rsid w:val="0044147A"/>
    <w:rsid w:val="00441BA7"/>
    <w:rsid w:val="00443DF5"/>
    <w:rsid w:val="00445AA8"/>
    <w:rsid w:val="004460CF"/>
    <w:rsid w:val="00446D13"/>
    <w:rsid w:val="00447284"/>
    <w:rsid w:val="00450FEA"/>
    <w:rsid w:val="00453369"/>
    <w:rsid w:val="00453F97"/>
    <w:rsid w:val="0045743A"/>
    <w:rsid w:val="00457CFE"/>
    <w:rsid w:val="00457D59"/>
    <w:rsid w:val="00460FC8"/>
    <w:rsid w:val="00461E37"/>
    <w:rsid w:val="00462433"/>
    <w:rsid w:val="0046320E"/>
    <w:rsid w:val="00464862"/>
    <w:rsid w:val="00465162"/>
    <w:rsid w:val="0046738D"/>
    <w:rsid w:val="00467924"/>
    <w:rsid w:val="00470149"/>
    <w:rsid w:val="004720DD"/>
    <w:rsid w:val="00473123"/>
    <w:rsid w:val="00473DA1"/>
    <w:rsid w:val="00475942"/>
    <w:rsid w:val="00475ED3"/>
    <w:rsid w:val="004760B2"/>
    <w:rsid w:val="0047616C"/>
    <w:rsid w:val="00476BA5"/>
    <w:rsid w:val="00477AB5"/>
    <w:rsid w:val="004800F2"/>
    <w:rsid w:val="0048221F"/>
    <w:rsid w:val="004824D7"/>
    <w:rsid w:val="004831FD"/>
    <w:rsid w:val="004833CB"/>
    <w:rsid w:val="00484E64"/>
    <w:rsid w:val="004852F0"/>
    <w:rsid w:val="00486038"/>
    <w:rsid w:val="004966AC"/>
    <w:rsid w:val="004A06E2"/>
    <w:rsid w:val="004A07F6"/>
    <w:rsid w:val="004A0C96"/>
    <w:rsid w:val="004A220C"/>
    <w:rsid w:val="004A2A98"/>
    <w:rsid w:val="004A47C7"/>
    <w:rsid w:val="004A49D3"/>
    <w:rsid w:val="004A6015"/>
    <w:rsid w:val="004A65BB"/>
    <w:rsid w:val="004A6B0B"/>
    <w:rsid w:val="004B05AA"/>
    <w:rsid w:val="004B05D0"/>
    <w:rsid w:val="004B132D"/>
    <w:rsid w:val="004B14C0"/>
    <w:rsid w:val="004B4287"/>
    <w:rsid w:val="004B5145"/>
    <w:rsid w:val="004B60DE"/>
    <w:rsid w:val="004B622A"/>
    <w:rsid w:val="004B68F1"/>
    <w:rsid w:val="004C0291"/>
    <w:rsid w:val="004C0BDA"/>
    <w:rsid w:val="004C1001"/>
    <w:rsid w:val="004C1CEC"/>
    <w:rsid w:val="004C24E4"/>
    <w:rsid w:val="004C3549"/>
    <w:rsid w:val="004C5B89"/>
    <w:rsid w:val="004C5DBC"/>
    <w:rsid w:val="004C66F6"/>
    <w:rsid w:val="004C68CB"/>
    <w:rsid w:val="004D1026"/>
    <w:rsid w:val="004D2D2B"/>
    <w:rsid w:val="004D3FC5"/>
    <w:rsid w:val="004D42C5"/>
    <w:rsid w:val="004D4EE9"/>
    <w:rsid w:val="004E0F38"/>
    <w:rsid w:val="004E1A75"/>
    <w:rsid w:val="004E4AEB"/>
    <w:rsid w:val="004E7473"/>
    <w:rsid w:val="004E79D1"/>
    <w:rsid w:val="004E7B47"/>
    <w:rsid w:val="004F0A7F"/>
    <w:rsid w:val="004F1207"/>
    <w:rsid w:val="004F20A4"/>
    <w:rsid w:val="004F3008"/>
    <w:rsid w:val="004F3DEB"/>
    <w:rsid w:val="004F46C3"/>
    <w:rsid w:val="004F54BB"/>
    <w:rsid w:val="004F6B96"/>
    <w:rsid w:val="004F6C51"/>
    <w:rsid w:val="005011CD"/>
    <w:rsid w:val="00501E45"/>
    <w:rsid w:val="00503562"/>
    <w:rsid w:val="00504BEF"/>
    <w:rsid w:val="00506363"/>
    <w:rsid w:val="00507CEF"/>
    <w:rsid w:val="00510818"/>
    <w:rsid w:val="00510D42"/>
    <w:rsid w:val="00511A23"/>
    <w:rsid w:val="0051290D"/>
    <w:rsid w:val="00512D85"/>
    <w:rsid w:val="00513774"/>
    <w:rsid w:val="005154EB"/>
    <w:rsid w:val="00515761"/>
    <w:rsid w:val="00515FE6"/>
    <w:rsid w:val="00516070"/>
    <w:rsid w:val="00516732"/>
    <w:rsid w:val="0051683E"/>
    <w:rsid w:val="00520ECE"/>
    <w:rsid w:val="00522747"/>
    <w:rsid w:val="00523E29"/>
    <w:rsid w:val="00525799"/>
    <w:rsid w:val="00525CD8"/>
    <w:rsid w:val="0052622A"/>
    <w:rsid w:val="00526E7A"/>
    <w:rsid w:val="005276A2"/>
    <w:rsid w:val="0052797C"/>
    <w:rsid w:val="00530D51"/>
    <w:rsid w:val="00533203"/>
    <w:rsid w:val="0053338C"/>
    <w:rsid w:val="00533C7D"/>
    <w:rsid w:val="005347E9"/>
    <w:rsid w:val="005362FC"/>
    <w:rsid w:val="00536EEC"/>
    <w:rsid w:val="0054045C"/>
    <w:rsid w:val="0054065E"/>
    <w:rsid w:val="00540720"/>
    <w:rsid w:val="00540A85"/>
    <w:rsid w:val="0054153A"/>
    <w:rsid w:val="00541560"/>
    <w:rsid w:val="0054312A"/>
    <w:rsid w:val="00543AB2"/>
    <w:rsid w:val="005442AE"/>
    <w:rsid w:val="00544AE1"/>
    <w:rsid w:val="00544E26"/>
    <w:rsid w:val="00545AA8"/>
    <w:rsid w:val="00547229"/>
    <w:rsid w:val="00550232"/>
    <w:rsid w:val="00551BA6"/>
    <w:rsid w:val="00552E63"/>
    <w:rsid w:val="00553470"/>
    <w:rsid w:val="005540D2"/>
    <w:rsid w:val="00554329"/>
    <w:rsid w:val="0055448A"/>
    <w:rsid w:val="005621DA"/>
    <w:rsid w:val="005626C3"/>
    <w:rsid w:val="00562BBB"/>
    <w:rsid w:val="0056411A"/>
    <w:rsid w:val="005654C2"/>
    <w:rsid w:val="00566AD1"/>
    <w:rsid w:val="005670B8"/>
    <w:rsid w:val="00567422"/>
    <w:rsid w:val="00567F2E"/>
    <w:rsid w:val="0057111D"/>
    <w:rsid w:val="00571EDD"/>
    <w:rsid w:val="00574270"/>
    <w:rsid w:val="005747FD"/>
    <w:rsid w:val="00575E5F"/>
    <w:rsid w:val="00576D40"/>
    <w:rsid w:val="00577263"/>
    <w:rsid w:val="00580F70"/>
    <w:rsid w:val="00581C0C"/>
    <w:rsid w:val="00582DE7"/>
    <w:rsid w:val="00583CB2"/>
    <w:rsid w:val="00584FA8"/>
    <w:rsid w:val="00585362"/>
    <w:rsid w:val="00585C43"/>
    <w:rsid w:val="005872EB"/>
    <w:rsid w:val="0058742B"/>
    <w:rsid w:val="00587F87"/>
    <w:rsid w:val="0059055F"/>
    <w:rsid w:val="0059084A"/>
    <w:rsid w:val="005924CC"/>
    <w:rsid w:val="00593A58"/>
    <w:rsid w:val="005958F3"/>
    <w:rsid w:val="00595C90"/>
    <w:rsid w:val="00597573"/>
    <w:rsid w:val="00597C34"/>
    <w:rsid w:val="005A15C1"/>
    <w:rsid w:val="005A2CA3"/>
    <w:rsid w:val="005A2FFF"/>
    <w:rsid w:val="005B117D"/>
    <w:rsid w:val="005B2889"/>
    <w:rsid w:val="005B35CE"/>
    <w:rsid w:val="005B370E"/>
    <w:rsid w:val="005B3A4C"/>
    <w:rsid w:val="005B3F82"/>
    <w:rsid w:val="005B4D44"/>
    <w:rsid w:val="005B62D3"/>
    <w:rsid w:val="005B64B0"/>
    <w:rsid w:val="005B79D2"/>
    <w:rsid w:val="005C2171"/>
    <w:rsid w:val="005C3568"/>
    <w:rsid w:val="005C4DB2"/>
    <w:rsid w:val="005C6FA5"/>
    <w:rsid w:val="005D1F95"/>
    <w:rsid w:val="005D3371"/>
    <w:rsid w:val="005D3569"/>
    <w:rsid w:val="005D500D"/>
    <w:rsid w:val="005E05AC"/>
    <w:rsid w:val="005E1F22"/>
    <w:rsid w:val="005E1F8F"/>
    <w:rsid w:val="005E3328"/>
    <w:rsid w:val="005E3B50"/>
    <w:rsid w:val="005E58A3"/>
    <w:rsid w:val="005E615B"/>
    <w:rsid w:val="005E73BB"/>
    <w:rsid w:val="005F04D2"/>
    <w:rsid w:val="005F0C35"/>
    <w:rsid w:val="005F1100"/>
    <w:rsid w:val="005F1917"/>
    <w:rsid w:val="005F23F7"/>
    <w:rsid w:val="005F2430"/>
    <w:rsid w:val="005F2BAC"/>
    <w:rsid w:val="005F304E"/>
    <w:rsid w:val="005F341B"/>
    <w:rsid w:val="005F3617"/>
    <w:rsid w:val="005F3CEE"/>
    <w:rsid w:val="005F421A"/>
    <w:rsid w:val="005F43E3"/>
    <w:rsid w:val="005F46F0"/>
    <w:rsid w:val="005F4CD3"/>
    <w:rsid w:val="005F5774"/>
    <w:rsid w:val="005F5BC1"/>
    <w:rsid w:val="005F5D4E"/>
    <w:rsid w:val="005F69A1"/>
    <w:rsid w:val="005F7232"/>
    <w:rsid w:val="005F77A8"/>
    <w:rsid w:val="00602B60"/>
    <w:rsid w:val="00602D4A"/>
    <w:rsid w:val="00604204"/>
    <w:rsid w:val="0060432E"/>
    <w:rsid w:val="00604969"/>
    <w:rsid w:val="006058E1"/>
    <w:rsid w:val="00606E3B"/>
    <w:rsid w:val="00610A3A"/>
    <w:rsid w:val="006111F6"/>
    <w:rsid w:val="00611770"/>
    <w:rsid w:val="006121D4"/>
    <w:rsid w:val="0061238E"/>
    <w:rsid w:val="006138CF"/>
    <w:rsid w:val="00614F2E"/>
    <w:rsid w:val="00615BF7"/>
    <w:rsid w:val="00615CB0"/>
    <w:rsid w:val="0061697B"/>
    <w:rsid w:val="006200D1"/>
    <w:rsid w:val="00620947"/>
    <w:rsid w:val="00620A85"/>
    <w:rsid w:val="00620AEC"/>
    <w:rsid w:val="00621EC6"/>
    <w:rsid w:val="00623FAB"/>
    <w:rsid w:val="00624191"/>
    <w:rsid w:val="006242B6"/>
    <w:rsid w:val="00625E8A"/>
    <w:rsid w:val="006264F2"/>
    <w:rsid w:val="00626996"/>
    <w:rsid w:val="0062738A"/>
    <w:rsid w:val="00627CEC"/>
    <w:rsid w:val="00631450"/>
    <w:rsid w:val="00631DBA"/>
    <w:rsid w:val="00634A95"/>
    <w:rsid w:val="00634B73"/>
    <w:rsid w:val="006352F6"/>
    <w:rsid w:val="00635768"/>
    <w:rsid w:val="006359CB"/>
    <w:rsid w:val="00635DF1"/>
    <w:rsid w:val="006364A7"/>
    <w:rsid w:val="00637C8B"/>
    <w:rsid w:val="00637ECD"/>
    <w:rsid w:val="00640BD8"/>
    <w:rsid w:val="00641603"/>
    <w:rsid w:val="006432EE"/>
    <w:rsid w:val="00643D96"/>
    <w:rsid w:val="00644C68"/>
    <w:rsid w:val="0064563A"/>
    <w:rsid w:val="0064590A"/>
    <w:rsid w:val="00645B2C"/>
    <w:rsid w:val="00646541"/>
    <w:rsid w:val="0064768E"/>
    <w:rsid w:val="006522FB"/>
    <w:rsid w:val="00654F62"/>
    <w:rsid w:val="006555C2"/>
    <w:rsid w:val="00655A5F"/>
    <w:rsid w:val="00656FAA"/>
    <w:rsid w:val="00661811"/>
    <w:rsid w:val="00661DA8"/>
    <w:rsid w:val="0066280A"/>
    <w:rsid w:val="00662E00"/>
    <w:rsid w:val="00664D60"/>
    <w:rsid w:val="00664E07"/>
    <w:rsid w:val="00665A3F"/>
    <w:rsid w:val="00665C4A"/>
    <w:rsid w:val="006664E1"/>
    <w:rsid w:val="006700BB"/>
    <w:rsid w:val="006701BF"/>
    <w:rsid w:val="00670DA6"/>
    <w:rsid w:val="00675ECE"/>
    <w:rsid w:val="0067642E"/>
    <w:rsid w:val="00677E76"/>
    <w:rsid w:val="006801E3"/>
    <w:rsid w:val="00680284"/>
    <w:rsid w:val="006808BA"/>
    <w:rsid w:val="00684B18"/>
    <w:rsid w:val="00685A28"/>
    <w:rsid w:val="00690D08"/>
    <w:rsid w:val="006938CB"/>
    <w:rsid w:val="0069504D"/>
    <w:rsid w:val="0069519E"/>
    <w:rsid w:val="006954A5"/>
    <w:rsid w:val="00696ED6"/>
    <w:rsid w:val="006A20BF"/>
    <w:rsid w:val="006A2350"/>
    <w:rsid w:val="006A30A3"/>
    <w:rsid w:val="006A31DD"/>
    <w:rsid w:val="006A53FA"/>
    <w:rsid w:val="006A5991"/>
    <w:rsid w:val="006A7AA0"/>
    <w:rsid w:val="006B5FB2"/>
    <w:rsid w:val="006B60D3"/>
    <w:rsid w:val="006B7C68"/>
    <w:rsid w:val="006C11C2"/>
    <w:rsid w:val="006C2C83"/>
    <w:rsid w:val="006C40FB"/>
    <w:rsid w:val="006C7A58"/>
    <w:rsid w:val="006D05A5"/>
    <w:rsid w:val="006D06E7"/>
    <w:rsid w:val="006D0D36"/>
    <w:rsid w:val="006D1B46"/>
    <w:rsid w:val="006D3648"/>
    <w:rsid w:val="006D582E"/>
    <w:rsid w:val="006D5C06"/>
    <w:rsid w:val="006D6AF2"/>
    <w:rsid w:val="006D7356"/>
    <w:rsid w:val="006D744F"/>
    <w:rsid w:val="006E30BC"/>
    <w:rsid w:val="006E31BF"/>
    <w:rsid w:val="006E3365"/>
    <w:rsid w:val="006E3616"/>
    <w:rsid w:val="006E6101"/>
    <w:rsid w:val="006E6908"/>
    <w:rsid w:val="006E70FF"/>
    <w:rsid w:val="006F02A3"/>
    <w:rsid w:val="006F10B4"/>
    <w:rsid w:val="006F1176"/>
    <w:rsid w:val="006F2D00"/>
    <w:rsid w:val="006F354E"/>
    <w:rsid w:val="006F3586"/>
    <w:rsid w:val="006F41DA"/>
    <w:rsid w:val="006F58EE"/>
    <w:rsid w:val="006F7142"/>
    <w:rsid w:val="007024AF"/>
    <w:rsid w:val="00702752"/>
    <w:rsid w:val="0070381C"/>
    <w:rsid w:val="00706D82"/>
    <w:rsid w:val="007070DF"/>
    <w:rsid w:val="00707AD7"/>
    <w:rsid w:val="00707F9B"/>
    <w:rsid w:val="007123BB"/>
    <w:rsid w:val="00713BCA"/>
    <w:rsid w:val="00713E1A"/>
    <w:rsid w:val="007146DB"/>
    <w:rsid w:val="00714738"/>
    <w:rsid w:val="007148B5"/>
    <w:rsid w:val="00715DF2"/>
    <w:rsid w:val="00716B45"/>
    <w:rsid w:val="00716DC8"/>
    <w:rsid w:val="00716E94"/>
    <w:rsid w:val="0072008C"/>
    <w:rsid w:val="0072029E"/>
    <w:rsid w:val="00720DFD"/>
    <w:rsid w:val="00720F16"/>
    <w:rsid w:val="00721BFF"/>
    <w:rsid w:val="007263B7"/>
    <w:rsid w:val="00727268"/>
    <w:rsid w:val="007302A7"/>
    <w:rsid w:val="00730F67"/>
    <w:rsid w:val="00731719"/>
    <w:rsid w:val="007335B2"/>
    <w:rsid w:val="007338F1"/>
    <w:rsid w:val="00733F55"/>
    <w:rsid w:val="00734D40"/>
    <w:rsid w:val="00734E85"/>
    <w:rsid w:val="007358D1"/>
    <w:rsid w:val="007373F0"/>
    <w:rsid w:val="007403B1"/>
    <w:rsid w:val="0074089B"/>
    <w:rsid w:val="00740F38"/>
    <w:rsid w:val="00741802"/>
    <w:rsid w:val="00741BFF"/>
    <w:rsid w:val="00741C54"/>
    <w:rsid w:val="00742512"/>
    <w:rsid w:val="00742685"/>
    <w:rsid w:val="00743060"/>
    <w:rsid w:val="007431AD"/>
    <w:rsid w:val="00743968"/>
    <w:rsid w:val="00744218"/>
    <w:rsid w:val="00744B87"/>
    <w:rsid w:val="00744CB6"/>
    <w:rsid w:val="00744D1B"/>
    <w:rsid w:val="0074550E"/>
    <w:rsid w:val="00745587"/>
    <w:rsid w:val="00747ECF"/>
    <w:rsid w:val="0075067F"/>
    <w:rsid w:val="00751BE8"/>
    <w:rsid w:val="00752298"/>
    <w:rsid w:val="0075333A"/>
    <w:rsid w:val="007535C0"/>
    <w:rsid w:val="00754050"/>
    <w:rsid w:val="0075537C"/>
    <w:rsid w:val="007566D4"/>
    <w:rsid w:val="00756A32"/>
    <w:rsid w:val="007617A8"/>
    <w:rsid w:val="00761FEE"/>
    <w:rsid w:val="00762463"/>
    <w:rsid w:val="00763848"/>
    <w:rsid w:val="00764712"/>
    <w:rsid w:val="00764810"/>
    <w:rsid w:val="00765CE3"/>
    <w:rsid w:val="0076661F"/>
    <w:rsid w:val="00767181"/>
    <w:rsid w:val="007673DC"/>
    <w:rsid w:val="007675C6"/>
    <w:rsid w:val="0076795F"/>
    <w:rsid w:val="00767F0D"/>
    <w:rsid w:val="0077019E"/>
    <w:rsid w:val="00770506"/>
    <w:rsid w:val="007707CA"/>
    <w:rsid w:val="00770C71"/>
    <w:rsid w:val="00772E23"/>
    <w:rsid w:val="007746BF"/>
    <w:rsid w:val="007749C8"/>
    <w:rsid w:val="00774C65"/>
    <w:rsid w:val="007757E1"/>
    <w:rsid w:val="0077735D"/>
    <w:rsid w:val="007810C2"/>
    <w:rsid w:val="007814B9"/>
    <w:rsid w:val="007817E1"/>
    <w:rsid w:val="00781FE7"/>
    <w:rsid w:val="00783BA8"/>
    <w:rsid w:val="007842B3"/>
    <w:rsid w:val="00784FC4"/>
    <w:rsid w:val="00786242"/>
    <w:rsid w:val="00793509"/>
    <w:rsid w:val="00793E00"/>
    <w:rsid w:val="0079458C"/>
    <w:rsid w:val="007947A2"/>
    <w:rsid w:val="0079531D"/>
    <w:rsid w:val="00795D3A"/>
    <w:rsid w:val="007A09BC"/>
    <w:rsid w:val="007A12E6"/>
    <w:rsid w:val="007A1D34"/>
    <w:rsid w:val="007A2631"/>
    <w:rsid w:val="007A2C1F"/>
    <w:rsid w:val="007A31AB"/>
    <w:rsid w:val="007A4838"/>
    <w:rsid w:val="007A773A"/>
    <w:rsid w:val="007A7ABB"/>
    <w:rsid w:val="007B0F05"/>
    <w:rsid w:val="007B1DE2"/>
    <w:rsid w:val="007B2BCA"/>
    <w:rsid w:val="007B30C6"/>
    <w:rsid w:val="007B358A"/>
    <w:rsid w:val="007B39DA"/>
    <w:rsid w:val="007B3EFD"/>
    <w:rsid w:val="007B4578"/>
    <w:rsid w:val="007B47FD"/>
    <w:rsid w:val="007B4E7D"/>
    <w:rsid w:val="007B5DD4"/>
    <w:rsid w:val="007B606C"/>
    <w:rsid w:val="007B62DC"/>
    <w:rsid w:val="007B63C5"/>
    <w:rsid w:val="007B6D8B"/>
    <w:rsid w:val="007B740E"/>
    <w:rsid w:val="007C06D7"/>
    <w:rsid w:val="007C0C78"/>
    <w:rsid w:val="007C2AF7"/>
    <w:rsid w:val="007C2CF1"/>
    <w:rsid w:val="007C3084"/>
    <w:rsid w:val="007C3F8A"/>
    <w:rsid w:val="007C64CD"/>
    <w:rsid w:val="007C77AE"/>
    <w:rsid w:val="007C7C87"/>
    <w:rsid w:val="007D4825"/>
    <w:rsid w:val="007E0568"/>
    <w:rsid w:val="007E06B3"/>
    <w:rsid w:val="007E1A3A"/>
    <w:rsid w:val="007E2172"/>
    <w:rsid w:val="007E291F"/>
    <w:rsid w:val="007E4BA5"/>
    <w:rsid w:val="007E5267"/>
    <w:rsid w:val="007E59AE"/>
    <w:rsid w:val="007E6609"/>
    <w:rsid w:val="007E67ED"/>
    <w:rsid w:val="007E6D3F"/>
    <w:rsid w:val="007E6DA8"/>
    <w:rsid w:val="007E71AE"/>
    <w:rsid w:val="007F0495"/>
    <w:rsid w:val="007F1064"/>
    <w:rsid w:val="007F3E54"/>
    <w:rsid w:val="007F45C9"/>
    <w:rsid w:val="007F5352"/>
    <w:rsid w:val="007F5803"/>
    <w:rsid w:val="007F591F"/>
    <w:rsid w:val="007F63F2"/>
    <w:rsid w:val="007F6B20"/>
    <w:rsid w:val="008009B7"/>
    <w:rsid w:val="00800B21"/>
    <w:rsid w:val="00800FC4"/>
    <w:rsid w:val="00802D9D"/>
    <w:rsid w:val="00803007"/>
    <w:rsid w:val="00803361"/>
    <w:rsid w:val="00803C9B"/>
    <w:rsid w:val="00806FEE"/>
    <w:rsid w:val="00811A00"/>
    <w:rsid w:val="00812030"/>
    <w:rsid w:val="00812945"/>
    <w:rsid w:val="00813A52"/>
    <w:rsid w:val="008153C9"/>
    <w:rsid w:val="00817070"/>
    <w:rsid w:val="00822F77"/>
    <w:rsid w:val="008232B1"/>
    <w:rsid w:val="00823877"/>
    <w:rsid w:val="008244B3"/>
    <w:rsid w:val="00824B49"/>
    <w:rsid w:val="00824D21"/>
    <w:rsid w:val="00826E46"/>
    <w:rsid w:val="00830A05"/>
    <w:rsid w:val="00830E8C"/>
    <w:rsid w:val="008312B6"/>
    <w:rsid w:val="00831BB3"/>
    <w:rsid w:val="008356D0"/>
    <w:rsid w:val="00837500"/>
    <w:rsid w:val="00837A58"/>
    <w:rsid w:val="00837DD7"/>
    <w:rsid w:val="008404EB"/>
    <w:rsid w:val="008425AC"/>
    <w:rsid w:val="00847F5A"/>
    <w:rsid w:val="00850FA3"/>
    <w:rsid w:val="00851FC2"/>
    <w:rsid w:val="0085303A"/>
    <w:rsid w:val="00853324"/>
    <w:rsid w:val="00854B60"/>
    <w:rsid w:val="00855A81"/>
    <w:rsid w:val="00857179"/>
    <w:rsid w:val="00857A30"/>
    <w:rsid w:val="0086157A"/>
    <w:rsid w:val="00862578"/>
    <w:rsid w:val="008646C9"/>
    <w:rsid w:val="00866B01"/>
    <w:rsid w:val="00867EBE"/>
    <w:rsid w:val="00867F27"/>
    <w:rsid w:val="00870485"/>
    <w:rsid w:val="00870ECC"/>
    <w:rsid w:val="008719F9"/>
    <w:rsid w:val="00873CB7"/>
    <w:rsid w:val="00874096"/>
    <w:rsid w:val="00875631"/>
    <w:rsid w:val="00876558"/>
    <w:rsid w:val="00877711"/>
    <w:rsid w:val="008807C6"/>
    <w:rsid w:val="00882E48"/>
    <w:rsid w:val="0088348B"/>
    <w:rsid w:val="00883E59"/>
    <w:rsid w:val="00884B3B"/>
    <w:rsid w:val="00885951"/>
    <w:rsid w:val="008900E6"/>
    <w:rsid w:val="00890128"/>
    <w:rsid w:val="008908DF"/>
    <w:rsid w:val="00891A43"/>
    <w:rsid w:val="00891B92"/>
    <w:rsid w:val="0089318F"/>
    <w:rsid w:val="00893C75"/>
    <w:rsid w:val="00893F05"/>
    <w:rsid w:val="008955C3"/>
    <w:rsid w:val="0089596A"/>
    <w:rsid w:val="008977B9"/>
    <w:rsid w:val="008A0308"/>
    <w:rsid w:val="008A0D28"/>
    <w:rsid w:val="008A1D35"/>
    <w:rsid w:val="008A339B"/>
    <w:rsid w:val="008A3F0E"/>
    <w:rsid w:val="008A427B"/>
    <w:rsid w:val="008A47B2"/>
    <w:rsid w:val="008A4E5F"/>
    <w:rsid w:val="008A5A96"/>
    <w:rsid w:val="008A6B0E"/>
    <w:rsid w:val="008A6D93"/>
    <w:rsid w:val="008A7FDE"/>
    <w:rsid w:val="008B02ED"/>
    <w:rsid w:val="008B2307"/>
    <w:rsid w:val="008B28FD"/>
    <w:rsid w:val="008B2DC7"/>
    <w:rsid w:val="008B2E07"/>
    <w:rsid w:val="008B3877"/>
    <w:rsid w:val="008B3F54"/>
    <w:rsid w:val="008B4246"/>
    <w:rsid w:val="008B4580"/>
    <w:rsid w:val="008B60DA"/>
    <w:rsid w:val="008B6589"/>
    <w:rsid w:val="008B77DC"/>
    <w:rsid w:val="008B789F"/>
    <w:rsid w:val="008C0662"/>
    <w:rsid w:val="008C2064"/>
    <w:rsid w:val="008C25EB"/>
    <w:rsid w:val="008C30D5"/>
    <w:rsid w:val="008C5777"/>
    <w:rsid w:val="008C6239"/>
    <w:rsid w:val="008C70AA"/>
    <w:rsid w:val="008C760D"/>
    <w:rsid w:val="008C799D"/>
    <w:rsid w:val="008D0D6A"/>
    <w:rsid w:val="008D1C89"/>
    <w:rsid w:val="008D21FF"/>
    <w:rsid w:val="008D35D1"/>
    <w:rsid w:val="008D37CF"/>
    <w:rsid w:val="008D4384"/>
    <w:rsid w:val="008D46C4"/>
    <w:rsid w:val="008D4D50"/>
    <w:rsid w:val="008D511C"/>
    <w:rsid w:val="008D53AE"/>
    <w:rsid w:val="008D560F"/>
    <w:rsid w:val="008D638C"/>
    <w:rsid w:val="008D6B1A"/>
    <w:rsid w:val="008D735C"/>
    <w:rsid w:val="008D7B8A"/>
    <w:rsid w:val="008D7E72"/>
    <w:rsid w:val="008D7E96"/>
    <w:rsid w:val="008E0D3A"/>
    <w:rsid w:val="008E1675"/>
    <w:rsid w:val="008E16EA"/>
    <w:rsid w:val="008E2982"/>
    <w:rsid w:val="008E2C4A"/>
    <w:rsid w:val="008E3551"/>
    <w:rsid w:val="008E3C6C"/>
    <w:rsid w:val="008E467F"/>
    <w:rsid w:val="008E5B9A"/>
    <w:rsid w:val="008E6598"/>
    <w:rsid w:val="008E68EA"/>
    <w:rsid w:val="008E6915"/>
    <w:rsid w:val="008E7115"/>
    <w:rsid w:val="008F00F1"/>
    <w:rsid w:val="008F0803"/>
    <w:rsid w:val="008F1602"/>
    <w:rsid w:val="008F1A78"/>
    <w:rsid w:val="008F3252"/>
    <w:rsid w:val="008F3917"/>
    <w:rsid w:val="008F3F64"/>
    <w:rsid w:val="008F4FA0"/>
    <w:rsid w:val="008F591F"/>
    <w:rsid w:val="008F5F45"/>
    <w:rsid w:val="008F6943"/>
    <w:rsid w:val="008F76BF"/>
    <w:rsid w:val="00900B21"/>
    <w:rsid w:val="009033B4"/>
    <w:rsid w:val="00906C1A"/>
    <w:rsid w:val="0090798F"/>
    <w:rsid w:val="00911DE9"/>
    <w:rsid w:val="00912D7A"/>
    <w:rsid w:val="00913FF2"/>
    <w:rsid w:val="00916789"/>
    <w:rsid w:val="0091682C"/>
    <w:rsid w:val="00917864"/>
    <w:rsid w:val="00920FFB"/>
    <w:rsid w:val="009215DF"/>
    <w:rsid w:val="00921909"/>
    <w:rsid w:val="00922F17"/>
    <w:rsid w:val="00923C81"/>
    <w:rsid w:val="0092594D"/>
    <w:rsid w:val="0092784B"/>
    <w:rsid w:val="00927FB6"/>
    <w:rsid w:val="009300EA"/>
    <w:rsid w:val="00930196"/>
    <w:rsid w:val="00931DFF"/>
    <w:rsid w:val="009322E9"/>
    <w:rsid w:val="00933FFA"/>
    <w:rsid w:val="0093572F"/>
    <w:rsid w:val="009368DF"/>
    <w:rsid w:val="00941A33"/>
    <w:rsid w:val="00942B31"/>
    <w:rsid w:val="009437B9"/>
    <w:rsid w:val="0094394F"/>
    <w:rsid w:val="00944491"/>
    <w:rsid w:val="00944833"/>
    <w:rsid w:val="00944D04"/>
    <w:rsid w:val="0094714A"/>
    <w:rsid w:val="00947214"/>
    <w:rsid w:val="00950182"/>
    <w:rsid w:val="00951486"/>
    <w:rsid w:val="00951B69"/>
    <w:rsid w:val="00952A86"/>
    <w:rsid w:val="00953A4A"/>
    <w:rsid w:val="00953B2E"/>
    <w:rsid w:val="00953CE8"/>
    <w:rsid w:val="00953DA4"/>
    <w:rsid w:val="00953F07"/>
    <w:rsid w:val="00954113"/>
    <w:rsid w:val="00954BFA"/>
    <w:rsid w:val="009554CF"/>
    <w:rsid w:val="00955946"/>
    <w:rsid w:val="00956354"/>
    <w:rsid w:val="009576EF"/>
    <w:rsid w:val="0095783A"/>
    <w:rsid w:val="00957B90"/>
    <w:rsid w:val="00960C8F"/>
    <w:rsid w:val="009642AC"/>
    <w:rsid w:val="0096437C"/>
    <w:rsid w:val="00964AD7"/>
    <w:rsid w:val="009665FF"/>
    <w:rsid w:val="00971498"/>
    <w:rsid w:val="009718FA"/>
    <w:rsid w:val="00972177"/>
    <w:rsid w:val="009726A5"/>
    <w:rsid w:val="00973D74"/>
    <w:rsid w:val="0097408E"/>
    <w:rsid w:val="009746BA"/>
    <w:rsid w:val="00974F9D"/>
    <w:rsid w:val="00975312"/>
    <w:rsid w:val="00976E80"/>
    <w:rsid w:val="009808AA"/>
    <w:rsid w:val="00982F5B"/>
    <w:rsid w:val="009831A9"/>
    <w:rsid w:val="00983F1B"/>
    <w:rsid w:val="009840BE"/>
    <w:rsid w:val="00984336"/>
    <w:rsid w:val="00984FB0"/>
    <w:rsid w:val="00985124"/>
    <w:rsid w:val="0098655F"/>
    <w:rsid w:val="00986BDB"/>
    <w:rsid w:val="009871B2"/>
    <w:rsid w:val="00990642"/>
    <w:rsid w:val="00991252"/>
    <w:rsid w:val="00992A60"/>
    <w:rsid w:val="00997539"/>
    <w:rsid w:val="0099796A"/>
    <w:rsid w:val="009A04B5"/>
    <w:rsid w:val="009A12C2"/>
    <w:rsid w:val="009A2CCB"/>
    <w:rsid w:val="009A3487"/>
    <w:rsid w:val="009A433A"/>
    <w:rsid w:val="009A53D5"/>
    <w:rsid w:val="009A5FFE"/>
    <w:rsid w:val="009A78BF"/>
    <w:rsid w:val="009A7BE6"/>
    <w:rsid w:val="009A7D76"/>
    <w:rsid w:val="009B11D3"/>
    <w:rsid w:val="009B151D"/>
    <w:rsid w:val="009B294E"/>
    <w:rsid w:val="009B4108"/>
    <w:rsid w:val="009B589C"/>
    <w:rsid w:val="009B6668"/>
    <w:rsid w:val="009B74C6"/>
    <w:rsid w:val="009B7900"/>
    <w:rsid w:val="009B7EE7"/>
    <w:rsid w:val="009C0355"/>
    <w:rsid w:val="009C1A22"/>
    <w:rsid w:val="009C28BD"/>
    <w:rsid w:val="009C29B0"/>
    <w:rsid w:val="009C4927"/>
    <w:rsid w:val="009C4A0D"/>
    <w:rsid w:val="009C4DBD"/>
    <w:rsid w:val="009C5125"/>
    <w:rsid w:val="009C6122"/>
    <w:rsid w:val="009C7975"/>
    <w:rsid w:val="009C7EE3"/>
    <w:rsid w:val="009D0BB7"/>
    <w:rsid w:val="009D0C83"/>
    <w:rsid w:val="009D3545"/>
    <w:rsid w:val="009D381B"/>
    <w:rsid w:val="009D4232"/>
    <w:rsid w:val="009D48EE"/>
    <w:rsid w:val="009D5289"/>
    <w:rsid w:val="009D7879"/>
    <w:rsid w:val="009E1B22"/>
    <w:rsid w:val="009E1F15"/>
    <w:rsid w:val="009E2357"/>
    <w:rsid w:val="009E26D9"/>
    <w:rsid w:val="009E370C"/>
    <w:rsid w:val="009E5831"/>
    <w:rsid w:val="009E6F09"/>
    <w:rsid w:val="009F02E1"/>
    <w:rsid w:val="009F0FC2"/>
    <w:rsid w:val="00A00973"/>
    <w:rsid w:val="00A015C3"/>
    <w:rsid w:val="00A01FB4"/>
    <w:rsid w:val="00A020DC"/>
    <w:rsid w:val="00A0214E"/>
    <w:rsid w:val="00A052F2"/>
    <w:rsid w:val="00A05572"/>
    <w:rsid w:val="00A058C2"/>
    <w:rsid w:val="00A06EC0"/>
    <w:rsid w:val="00A0747C"/>
    <w:rsid w:val="00A07719"/>
    <w:rsid w:val="00A13DB7"/>
    <w:rsid w:val="00A17179"/>
    <w:rsid w:val="00A20B50"/>
    <w:rsid w:val="00A21B7D"/>
    <w:rsid w:val="00A22952"/>
    <w:rsid w:val="00A22E0C"/>
    <w:rsid w:val="00A22FDB"/>
    <w:rsid w:val="00A23D26"/>
    <w:rsid w:val="00A251D3"/>
    <w:rsid w:val="00A25B9B"/>
    <w:rsid w:val="00A26DC9"/>
    <w:rsid w:val="00A30CBD"/>
    <w:rsid w:val="00A3295C"/>
    <w:rsid w:val="00A32C64"/>
    <w:rsid w:val="00A32D90"/>
    <w:rsid w:val="00A33560"/>
    <w:rsid w:val="00A34F8B"/>
    <w:rsid w:val="00A3507D"/>
    <w:rsid w:val="00A35638"/>
    <w:rsid w:val="00A35E00"/>
    <w:rsid w:val="00A36666"/>
    <w:rsid w:val="00A3745F"/>
    <w:rsid w:val="00A374D4"/>
    <w:rsid w:val="00A4022C"/>
    <w:rsid w:val="00A411C7"/>
    <w:rsid w:val="00A41F81"/>
    <w:rsid w:val="00A4230B"/>
    <w:rsid w:val="00A42775"/>
    <w:rsid w:val="00A43881"/>
    <w:rsid w:val="00A43D20"/>
    <w:rsid w:val="00A4513A"/>
    <w:rsid w:val="00A45522"/>
    <w:rsid w:val="00A4606A"/>
    <w:rsid w:val="00A523A2"/>
    <w:rsid w:val="00A53345"/>
    <w:rsid w:val="00A533A1"/>
    <w:rsid w:val="00A55EAD"/>
    <w:rsid w:val="00A55EE6"/>
    <w:rsid w:val="00A56D8B"/>
    <w:rsid w:val="00A56E10"/>
    <w:rsid w:val="00A57662"/>
    <w:rsid w:val="00A60B09"/>
    <w:rsid w:val="00A6203B"/>
    <w:rsid w:val="00A644CB"/>
    <w:rsid w:val="00A6476F"/>
    <w:rsid w:val="00A702A6"/>
    <w:rsid w:val="00A70F80"/>
    <w:rsid w:val="00A71001"/>
    <w:rsid w:val="00A72744"/>
    <w:rsid w:val="00A72E15"/>
    <w:rsid w:val="00A73379"/>
    <w:rsid w:val="00A7361C"/>
    <w:rsid w:val="00A73DC0"/>
    <w:rsid w:val="00A75296"/>
    <w:rsid w:val="00A756FD"/>
    <w:rsid w:val="00A766EE"/>
    <w:rsid w:val="00A76F63"/>
    <w:rsid w:val="00A7765E"/>
    <w:rsid w:val="00A80BB4"/>
    <w:rsid w:val="00A81A1A"/>
    <w:rsid w:val="00A81AC7"/>
    <w:rsid w:val="00A82796"/>
    <w:rsid w:val="00A8332A"/>
    <w:rsid w:val="00A83DB6"/>
    <w:rsid w:val="00A8470F"/>
    <w:rsid w:val="00A858A7"/>
    <w:rsid w:val="00A8594C"/>
    <w:rsid w:val="00A90AA7"/>
    <w:rsid w:val="00A92A67"/>
    <w:rsid w:val="00A93816"/>
    <w:rsid w:val="00A958DC"/>
    <w:rsid w:val="00A95A83"/>
    <w:rsid w:val="00A96265"/>
    <w:rsid w:val="00A97AE6"/>
    <w:rsid w:val="00AA07EB"/>
    <w:rsid w:val="00AA0BC0"/>
    <w:rsid w:val="00AA3171"/>
    <w:rsid w:val="00AA41E3"/>
    <w:rsid w:val="00AA4D06"/>
    <w:rsid w:val="00AA4F54"/>
    <w:rsid w:val="00AA5BB6"/>
    <w:rsid w:val="00AA6AC9"/>
    <w:rsid w:val="00AA6CA6"/>
    <w:rsid w:val="00AA7812"/>
    <w:rsid w:val="00AA7D2E"/>
    <w:rsid w:val="00AB07FE"/>
    <w:rsid w:val="00AB26EC"/>
    <w:rsid w:val="00AB380B"/>
    <w:rsid w:val="00AB3B44"/>
    <w:rsid w:val="00AB6157"/>
    <w:rsid w:val="00AB666C"/>
    <w:rsid w:val="00AB6971"/>
    <w:rsid w:val="00AB6B18"/>
    <w:rsid w:val="00AB6BC7"/>
    <w:rsid w:val="00AB7A39"/>
    <w:rsid w:val="00AB7BCD"/>
    <w:rsid w:val="00AC02B0"/>
    <w:rsid w:val="00AC06CD"/>
    <w:rsid w:val="00AC1793"/>
    <w:rsid w:val="00AC3388"/>
    <w:rsid w:val="00AC4301"/>
    <w:rsid w:val="00AC5655"/>
    <w:rsid w:val="00AC5E28"/>
    <w:rsid w:val="00AC6D67"/>
    <w:rsid w:val="00AC7AED"/>
    <w:rsid w:val="00AD054B"/>
    <w:rsid w:val="00AD4411"/>
    <w:rsid w:val="00AD60DF"/>
    <w:rsid w:val="00AD7094"/>
    <w:rsid w:val="00AD7599"/>
    <w:rsid w:val="00AE25AF"/>
    <w:rsid w:val="00AE5002"/>
    <w:rsid w:val="00AE5B3A"/>
    <w:rsid w:val="00AE6F55"/>
    <w:rsid w:val="00AE76C4"/>
    <w:rsid w:val="00AF3E05"/>
    <w:rsid w:val="00AF5C00"/>
    <w:rsid w:val="00AF6922"/>
    <w:rsid w:val="00B01477"/>
    <w:rsid w:val="00B0159D"/>
    <w:rsid w:val="00B01A7A"/>
    <w:rsid w:val="00B0284B"/>
    <w:rsid w:val="00B039E6"/>
    <w:rsid w:val="00B03A28"/>
    <w:rsid w:val="00B05150"/>
    <w:rsid w:val="00B05DED"/>
    <w:rsid w:val="00B068C5"/>
    <w:rsid w:val="00B07BBF"/>
    <w:rsid w:val="00B07D0F"/>
    <w:rsid w:val="00B11AC9"/>
    <w:rsid w:val="00B11F91"/>
    <w:rsid w:val="00B123C1"/>
    <w:rsid w:val="00B12428"/>
    <w:rsid w:val="00B12FFC"/>
    <w:rsid w:val="00B14069"/>
    <w:rsid w:val="00B157A8"/>
    <w:rsid w:val="00B15A9F"/>
    <w:rsid w:val="00B15D60"/>
    <w:rsid w:val="00B1660C"/>
    <w:rsid w:val="00B16BA6"/>
    <w:rsid w:val="00B209EB"/>
    <w:rsid w:val="00B210CB"/>
    <w:rsid w:val="00B21893"/>
    <w:rsid w:val="00B219F8"/>
    <w:rsid w:val="00B22A52"/>
    <w:rsid w:val="00B22F78"/>
    <w:rsid w:val="00B2329F"/>
    <w:rsid w:val="00B23A1A"/>
    <w:rsid w:val="00B24443"/>
    <w:rsid w:val="00B24E65"/>
    <w:rsid w:val="00B25C61"/>
    <w:rsid w:val="00B2624F"/>
    <w:rsid w:val="00B27E5C"/>
    <w:rsid w:val="00B311F7"/>
    <w:rsid w:val="00B32488"/>
    <w:rsid w:val="00B32903"/>
    <w:rsid w:val="00B330D0"/>
    <w:rsid w:val="00B33141"/>
    <w:rsid w:val="00B33966"/>
    <w:rsid w:val="00B34528"/>
    <w:rsid w:val="00B37F16"/>
    <w:rsid w:val="00B400FA"/>
    <w:rsid w:val="00B4060C"/>
    <w:rsid w:val="00B437D9"/>
    <w:rsid w:val="00B44005"/>
    <w:rsid w:val="00B452FB"/>
    <w:rsid w:val="00B473D9"/>
    <w:rsid w:val="00B475ED"/>
    <w:rsid w:val="00B501FC"/>
    <w:rsid w:val="00B5024C"/>
    <w:rsid w:val="00B5051F"/>
    <w:rsid w:val="00B529FF"/>
    <w:rsid w:val="00B5459F"/>
    <w:rsid w:val="00B55AC7"/>
    <w:rsid w:val="00B55B9D"/>
    <w:rsid w:val="00B57160"/>
    <w:rsid w:val="00B576FA"/>
    <w:rsid w:val="00B600EF"/>
    <w:rsid w:val="00B60DE0"/>
    <w:rsid w:val="00B6137F"/>
    <w:rsid w:val="00B64033"/>
    <w:rsid w:val="00B6426E"/>
    <w:rsid w:val="00B6460F"/>
    <w:rsid w:val="00B66916"/>
    <w:rsid w:val="00B71B6C"/>
    <w:rsid w:val="00B7273A"/>
    <w:rsid w:val="00B73202"/>
    <w:rsid w:val="00B736D1"/>
    <w:rsid w:val="00B74405"/>
    <w:rsid w:val="00B7468C"/>
    <w:rsid w:val="00B75780"/>
    <w:rsid w:val="00B77334"/>
    <w:rsid w:val="00B8041C"/>
    <w:rsid w:val="00B80728"/>
    <w:rsid w:val="00B81909"/>
    <w:rsid w:val="00B8292B"/>
    <w:rsid w:val="00B82CC1"/>
    <w:rsid w:val="00B82FB4"/>
    <w:rsid w:val="00B83A5F"/>
    <w:rsid w:val="00B83C53"/>
    <w:rsid w:val="00B90BA7"/>
    <w:rsid w:val="00B91D90"/>
    <w:rsid w:val="00B97554"/>
    <w:rsid w:val="00BA2D42"/>
    <w:rsid w:val="00BA36A7"/>
    <w:rsid w:val="00BA52F5"/>
    <w:rsid w:val="00BA5ABB"/>
    <w:rsid w:val="00BB0CFE"/>
    <w:rsid w:val="00BB1ACC"/>
    <w:rsid w:val="00BB2541"/>
    <w:rsid w:val="00BB3582"/>
    <w:rsid w:val="00BB3832"/>
    <w:rsid w:val="00BB45DC"/>
    <w:rsid w:val="00BB55FF"/>
    <w:rsid w:val="00BB582C"/>
    <w:rsid w:val="00BB6136"/>
    <w:rsid w:val="00BB7413"/>
    <w:rsid w:val="00BB7D46"/>
    <w:rsid w:val="00BC062A"/>
    <w:rsid w:val="00BC21F0"/>
    <w:rsid w:val="00BC4996"/>
    <w:rsid w:val="00BC5948"/>
    <w:rsid w:val="00BC5B57"/>
    <w:rsid w:val="00BC716F"/>
    <w:rsid w:val="00BD1C34"/>
    <w:rsid w:val="00BD1EDE"/>
    <w:rsid w:val="00BD2664"/>
    <w:rsid w:val="00BD30B3"/>
    <w:rsid w:val="00BD3143"/>
    <w:rsid w:val="00BD33BB"/>
    <w:rsid w:val="00BD415F"/>
    <w:rsid w:val="00BD44FF"/>
    <w:rsid w:val="00BD570E"/>
    <w:rsid w:val="00BD6106"/>
    <w:rsid w:val="00BD7761"/>
    <w:rsid w:val="00BE133B"/>
    <w:rsid w:val="00BE187C"/>
    <w:rsid w:val="00BE3464"/>
    <w:rsid w:val="00BE4627"/>
    <w:rsid w:val="00BE4F32"/>
    <w:rsid w:val="00BE621E"/>
    <w:rsid w:val="00BE7AAC"/>
    <w:rsid w:val="00BF120A"/>
    <w:rsid w:val="00BF2879"/>
    <w:rsid w:val="00BF4621"/>
    <w:rsid w:val="00BF4A53"/>
    <w:rsid w:val="00BF4FEE"/>
    <w:rsid w:val="00BF50C4"/>
    <w:rsid w:val="00BF6555"/>
    <w:rsid w:val="00C00723"/>
    <w:rsid w:val="00C00D75"/>
    <w:rsid w:val="00C01589"/>
    <w:rsid w:val="00C031D6"/>
    <w:rsid w:val="00C037DB"/>
    <w:rsid w:val="00C073AF"/>
    <w:rsid w:val="00C123FE"/>
    <w:rsid w:val="00C12655"/>
    <w:rsid w:val="00C12668"/>
    <w:rsid w:val="00C12948"/>
    <w:rsid w:val="00C14D51"/>
    <w:rsid w:val="00C15E8B"/>
    <w:rsid w:val="00C16AE8"/>
    <w:rsid w:val="00C214E2"/>
    <w:rsid w:val="00C2241B"/>
    <w:rsid w:val="00C2339D"/>
    <w:rsid w:val="00C24A0A"/>
    <w:rsid w:val="00C253B1"/>
    <w:rsid w:val="00C26089"/>
    <w:rsid w:val="00C266B1"/>
    <w:rsid w:val="00C27C44"/>
    <w:rsid w:val="00C27D7C"/>
    <w:rsid w:val="00C303EA"/>
    <w:rsid w:val="00C321E8"/>
    <w:rsid w:val="00C32884"/>
    <w:rsid w:val="00C3584D"/>
    <w:rsid w:val="00C35A2D"/>
    <w:rsid w:val="00C405E9"/>
    <w:rsid w:val="00C40AEA"/>
    <w:rsid w:val="00C40CE3"/>
    <w:rsid w:val="00C4557F"/>
    <w:rsid w:val="00C461C5"/>
    <w:rsid w:val="00C46341"/>
    <w:rsid w:val="00C465A1"/>
    <w:rsid w:val="00C47967"/>
    <w:rsid w:val="00C47E3A"/>
    <w:rsid w:val="00C5115D"/>
    <w:rsid w:val="00C51B91"/>
    <w:rsid w:val="00C51BE8"/>
    <w:rsid w:val="00C526D4"/>
    <w:rsid w:val="00C52706"/>
    <w:rsid w:val="00C5319B"/>
    <w:rsid w:val="00C5411E"/>
    <w:rsid w:val="00C5501D"/>
    <w:rsid w:val="00C56585"/>
    <w:rsid w:val="00C57929"/>
    <w:rsid w:val="00C6011A"/>
    <w:rsid w:val="00C60D94"/>
    <w:rsid w:val="00C620C7"/>
    <w:rsid w:val="00C62656"/>
    <w:rsid w:val="00C62DED"/>
    <w:rsid w:val="00C63D90"/>
    <w:rsid w:val="00C6420C"/>
    <w:rsid w:val="00C661EA"/>
    <w:rsid w:val="00C66975"/>
    <w:rsid w:val="00C67833"/>
    <w:rsid w:val="00C70089"/>
    <w:rsid w:val="00C7112D"/>
    <w:rsid w:val="00C744E9"/>
    <w:rsid w:val="00C752AB"/>
    <w:rsid w:val="00C75500"/>
    <w:rsid w:val="00C80DF5"/>
    <w:rsid w:val="00C811CA"/>
    <w:rsid w:val="00C81A56"/>
    <w:rsid w:val="00C8211E"/>
    <w:rsid w:val="00C823F4"/>
    <w:rsid w:val="00C82844"/>
    <w:rsid w:val="00C82D55"/>
    <w:rsid w:val="00C840BB"/>
    <w:rsid w:val="00C84359"/>
    <w:rsid w:val="00C84626"/>
    <w:rsid w:val="00C852FB"/>
    <w:rsid w:val="00C86EA8"/>
    <w:rsid w:val="00C87A20"/>
    <w:rsid w:val="00C87CF7"/>
    <w:rsid w:val="00C9017C"/>
    <w:rsid w:val="00C90C81"/>
    <w:rsid w:val="00C912C9"/>
    <w:rsid w:val="00C918CC"/>
    <w:rsid w:val="00C922E5"/>
    <w:rsid w:val="00C92A72"/>
    <w:rsid w:val="00C92A73"/>
    <w:rsid w:val="00C92CBC"/>
    <w:rsid w:val="00C93F75"/>
    <w:rsid w:val="00C94E7E"/>
    <w:rsid w:val="00C96103"/>
    <w:rsid w:val="00C97846"/>
    <w:rsid w:val="00CA059E"/>
    <w:rsid w:val="00CA1C1D"/>
    <w:rsid w:val="00CA2F04"/>
    <w:rsid w:val="00CA3A25"/>
    <w:rsid w:val="00CA4724"/>
    <w:rsid w:val="00CA4A8E"/>
    <w:rsid w:val="00CA50A9"/>
    <w:rsid w:val="00CA5DB1"/>
    <w:rsid w:val="00CA6597"/>
    <w:rsid w:val="00CA6731"/>
    <w:rsid w:val="00CA6B9C"/>
    <w:rsid w:val="00CB1891"/>
    <w:rsid w:val="00CB2057"/>
    <w:rsid w:val="00CB283B"/>
    <w:rsid w:val="00CB28BA"/>
    <w:rsid w:val="00CB2B28"/>
    <w:rsid w:val="00CB2FF7"/>
    <w:rsid w:val="00CB3078"/>
    <w:rsid w:val="00CB35D0"/>
    <w:rsid w:val="00CB3D14"/>
    <w:rsid w:val="00CB49ED"/>
    <w:rsid w:val="00CB5607"/>
    <w:rsid w:val="00CB617C"/>
    <w:rsid w:val="00CB7B21"/>
    <w:rsid w:val="00CC1F70"/>
    <w:rsid w:val="00CC2353"/>
    <w:rsid w:val="00CC2465"/>
    <w:rsid w:val="00CC3A49"/>
    <w:rsid w:val="00CC42FF"/>
    <w:rsid w:val="00CC6745"/>
    <w:rsid w:val="00CC759F"/>
    <w:rsid w:val="00CC7C5F"/>
    <w:rsid w:val="00CD07D5"/>
    <w:rsid w:val="00CD1551"/>
    <w:rsid w:val="00CD1560"/>
    <w:rsid w:val="00CD3077"/>
    <w:rsid w:val="00CD3859"/>
    <w:rsid w:val="00CD492D"/>
    <w:rsid w:val="00CD4AFA"/>
    <w:rsid w:val="00CD5744"/>
    <w:rsid w:val="00CD5B2B"/>
    <w:rsid w:val="00CD5C19"/>
    <w:rsid w:val="00CD6520"/>
    <w:rsid w:val="00CD657E"/>
    <w:rsid w:val="00CD66A4"/>
    <w:rsid w:val="00CD700A"/>
    <w:rsid w:val="00CD710F"/>
    <w:rsid w:val="00CE215C"/>
    <w:rsid w:val="00CE388F"/>
    <w:rsid w:val="00CE4E95"/>
    <w:rsid w:val="00CE58DD"/>
    <w:rsid w:val="00CE5C62"/>
    <w:rsid w:val="00CF0ACD"/>
    <w:rsid w:val="00CF1525"/>
    <w:rsid w:val="00CF2252"/>
    <w:rsid w:val="00CF4DE6"/>
    <w:rsid w:val="00CF4ED7"/>
    <w:rsid w:val="00CF5319"/>
    <w:rsid w:val="00D00F80"/>
    <w:rsid w:val="00D01BA3"/>
    <w:rsid w:val="00D03FCC"/>
    <w:rsid w:val="00D04170"/>
    <w:rsid w:val="00D050C3"/>
    <w:rsid w:val="00D0644A"/>
    <w:rsid w:val="00D0691A"/>
    <w:rsid w:val="00D0703C"/>
    <w:rsid w:val="00D07E03"/>
    <w:rsid w:val="00D10A31"/>
    <w:rsid w:val="00D135CA"/>
    <w:rsid w:val="00D13698"/>
    <w:rsid w:val="00D13A83"/>
    <w:rsid w:val="00D13B8C"/>
    <w:rsid w:val="00D15CA2"/>
    <w:rsid w:val="00D20A97"/>
    <w:rsid w:val="00D20B6E"/>
    <w:rsid w:val="00D232D1"/>
    <w:rsid w:val="00D236A5"/>
    <w:rsid w:val="00D23ED3"/>
    <w:rsid w:val="00D25095"/>
    <w:rsid w:val="00D25B1C"/>
    <w:rsid w:val="00D25B30"/>
    <w:rsid w:val="00D26588"/>
    <w:rsid w:val="00D26970"/>
    <w:rsid w:val="00D27E71"/>
    <w:rsid w:val="00D316AC"/>
    <w:rsid w:val="00D3187F"/>
    <w:rsid w:val="00D31E0A"/>
    <w:rsid w:val="00D31EB1"/>
    <w:rsid w:val="00D33C26"/>
    <w:rsid w:val="00D33E74"/>
    <w:rsid w:val="00D34F81"/>
    <w:rsid w:val="00D36AD4"/>
    <w:rsid w:val="00D373D0"/>
    <w:rsid w:val="00D401DA"/>
    <w:rsid w:val="00D40C37"/>
    <w:rsid w:val="00D41F58"/>
    <w:rsid w:val="00D42FC2"/>
    <w:rsid w:val="00D46877"/>
    <w:rsid w:val="00D46E23"/>
    <w:rsid w:val="00D47EC4"/>
    <w:rsid w:val="00D50E2A"/>
    <w:rsid w:val="00D5158A"/>
    <w:rsid w:val="00D530AB"/>
    <w:rsid w:val="00D53A52"/>
    <w:rsid w:val="00D5450F"/>
    <w:rsid w:val="00D56990"/>
    <w:rsid w:val="00D57840"/>
    <w:rsid w:val="00D6041A"/>
    <w:rsid w:val="00D60480"/>
    <w:rsid w:val="00D622EB"/>
    <w:rsid w:val="00D63091"/>
    <w:rsid w:val="00D643CC"/>
    <w:rsid w:val="00D64FC1"/>
    <w:rsid w:val="00D67BC8"/>
    <w:rsid w:val="00D67DB6"/>
    <w:rsid w:val="00D709A3"/>
    <w:rsid w:val="00D73CFD"/>
    <w:rsid w:val="00D747C4"/>
    <w:rsid w:val="00D75866"/>
    <w:rsid w:val="00D75DBC"/>
    <w:rsid w:val="00D7770E"/>
    <w:rsid w:val="00D83884"/>
    <w:rsid w:val="00D83A95"/>
    <w:rsid w:val="00D84AFC"/>
    <w:rsid w:val="00D85976"/>
    <w:rsid w:val="00D86B12"/>
    <w:rsid w:val="00D87BA3"/>
    <w:rsid w:val="00D90802"/>
    <w:rsid w:val="00D90AE5"/>
    <w:rsid w:val="00D92328"/>
    <w:rsid w:val="00D92CFF"/>
    <w:rsid w:val="00D92E36"/>
    <w:rsid w:val="00D934F0"/>
    <w:rsid w:val="00DA0638"/>
    <w:rsid w:val="00DA0961"/>
    <w:rsid w:val="00DA15E0"/>
    <w:rsid w:val="00DA1C7B"/>
    <w:rsid w:val="00DA2108"/>
    <w:rsid w:val="00DA355A"/>
    <w:rsid w:val="00DA4178"/>
    <w:rsid w:val="00DA587C"/>
    <w:rsid w:val="00DA79B7"/>
    <w:rsid w:val="00DB1021"/>
    <w:rsid w:val="00DB1765"/>
    <w:rsid w:val="00DB226A"/>
    <w:rsid w:val="00DB2B50"/>
    <w:rsid w:val="00DB7A49"/>
    <w:rsid w:val="00DC0850"/>
    <w:rsid w:val="00DC103E"/>
    <w:rsid w:val="00DC1D6F"/>
    <w:rsid w:val="00DC1FAA"/>
    <w:rsid w:val="00DC5371"/>
    <w:rsid w:val="00DC5956"/>
    <w:rsid w:val="00DC5DD2"/>
    <w:rsid w:val="00DC6AA6"/>
    <w:rsid w:val="00DC7285"/>
    <w:rsid w:val="00DC762E"/>
    <w:rsid w:val="00DD04FC"/>
    <w:rsid w:val="00DD23F3"/>
    <w:rsid w:val="00DD275F"/>
    <w:rsid w:val="00DD2D88"/>
    <w:rsid w:val="00DD3217"/>
    <w:rsid w:val="00DD3257"/>
    <w:rsid w:val="00DD4BAA"/>
    <w:rsid w:val="00DD5C7A"/>
    <w:rsid w:val="00DD6D8C"/>
    <w:rsid w:val="00DE0949"/>
    <w:rsid w:val="00DE1EA1"/>
    <w:rsid w:val="00DE3432"/>
    <w:rsid w:val="00DE5151"/>
    <w:rsid w:val="00DE568F"/>
    <w:rsid w:val="00DE65A2"/>
    <w:rsid w:val="00DE681F"/>
    <w:rsid w:val="00DE6987"/>
    <w:rsid w:val="00DF0353"/>
    <w:rsid w:val="00DF0AF6"/>
    <w:rsid w:val="00DF123C"/>
    <w:rsid w:val="00DF16E4"/>
    <w:rsid w:val="00DF2EA9"/>
    <w:rsid w:val="00DF3421"/>
    <w:rsid w:val="00DF46A1"/>
    <w:rsid w:val="00DF4FFB"/>
    <w:rsid w:val="00DF5087"/>
    <w:rsid w:val="00DF6352"/>
    <w:rsid w:val="00DF6605"/>
    <w:rsid w:val="00DF6ABE"/>
    <w:rsid w:val="00DF7CFB"/>
    <w:rsid w:val="00E01807"/>
    <w:rsid w:val="00E01AB9"/>
    <w:rsid w:val="00E022C2"/>
    <w:rsid w:val="00E03A13"/>
    <w:rsid w:val="00E04093"/>
    <w:rsid w:val="00E074E9"/>
    <w:rsid w:val="00E07A4E"/>
    <w:rsid w:val="00E07C7C"/>
    <w:rsid w:val="00E121EF"/>
    <w:rsid w:val="00E1290F"/>
    <w:rsid w:val="00E1360F"/>
    <w:rsid w:val="00E14AF8"/>
    <w:rsid w:val="00E16400"/>
    <w:rsid w:val="00E16F05"/>
    <w:rsid w:val="00E21ED1"/>
    <w:rsid w:val="00E22EC8"/>
    <w:rsid w:val="00E23554"/>
    <w:rsid w:val="00E23CA8"/>
    <w:rsid w:val="00E251CF"/>
    <w:rsid w:val="00E26EA6"/>
    <w:rsid w:val="00E27B27"/>
    <w:rsid w:val="00E3038E"/>
    <w:rsid w:val="00E3146B"/>
    <w:rsid w:val="00E314B8"/>
    <w:rsid w:val="00E31AF4"/>
    <w:rsid w:val="00E32597"/>
    <w:rsid w:val="00E34782"/>
    <w:rsid w:val="00E35933"/>
    <w:rsid w:val="00E35957"/>
    <w:rsid w:val="00E35A95"/>
    <w:rsid w:val="00E36626"/>
    <w:rsid w:val="00E40840"/>
    <w:rsid w:val="00E40A1F"/>
    <w:rsid w:val="00E42DA6"/>
    <w:rsid w:val="00E43D91"/>
    <w:rsid w:val="00E44719"/>
    <w:rsid w:val="00E44783"/>
    <w:rsid w:val="00E46619"/>
    <w:rsid w:val="00E471DE"/>
    <w:rsid w:val="00E47993"/>
    <w:rsid w:val="00E51EB7"/>
    <w:rsid w:val="00E522B1"/>
    <w:rsid w:val="00E54876"/>
    <w:rsid w:val="00E553C0"/>
    <w:rsid w:val="00E55861"/>
    <w:rsid w:val="00E56F97"/>
    <w:rsid w:val="00E5758F"/>
    <w:rsid w:val="00E609B7"/>
    <w:rsid w:val="00E60F75"/>
    <w:rsid w:val="00E61613"/>
    <w:rsid w:val="00E61DAD"/>
    <w:rsid w:val="00E637FD"/>
    <w:rsid w:val="00E64424"/>
    <w:rsid w:val="00E65379"/>
    <w:rsid w:val="00E66A56"/>
    <w:rsid w:val="00E708C0"/>
    <w:rsid w:val="00E70AAA"/>
    <w:rsid w:val="00E70C7A"/>
    <w:rsid w:val="00E7139A"/>
    <w:rsid w:val="00E71C65"/>
    <w:rsid w:val="00E72080"/>
    <w:rsid w:val="00E722EB"/>
    <w:rsid w:val="00E73650"/>
    <w:rsid w:val="00E73F51"/>
    <w:rsid w:val="00E75EFF"/>
    <w:rsid w:val="00E7644F"/>
    <w:rsid w:val="00E8004F"/>
    <w:rsid w:val="00E81FCA"/>
    <w:rsid w:val="00E82184"/>
    <w:rsid w:val="00E837F6"/>
    <w:rsid w:val="00E83E42"/>
    <w:rsid w:val="00E84D92"/>
    <w:rsid w:val="00E8518E"/>
    <w:rsid w:val="00E85A8E"/>
    <w:rsid w:val="00E87279"/>
    <w:rsid w:val="00E87967"/>
    <w:rsid w:val="00E90109"/>
    <w:rsid w:val="00E91038"/>
    <w:rsid w:val="00E91774"/>
    <w:rsid w:val="00E91A24"/>
    <w:rsid w:val="00E923BA"/>
    <w:rsid w:val="00E9240C"/>
    <w:rsid w:val="00E935AB"/>
    <w:rsid w:val="00E961AB"/>
    <w:rsid w:val="00E96F0C"/>
    <w:rsid w:val="00E96F17"/>
    <w:rsid w:val="00EA1FA9"/>
    <w:rsid w:val="00EA26A6"/>
    <w:rsid w:val="00EA29E3"/>
    <w:rsid w:val="00EA2E55"/>
    <w:rsid w:val="00EA42D2"/>
    <w:rsid w:val="00EA499A"/>
    <w:rsid w:val="00EA54F2"/>
    <w:rsid w:val="00EA5CED"/>
    <w:rsid w:val="00EA658D"/>
    <w:rsid w:val="00EA72A2"/>
    <w:rsid w:val="00EA78A4"/>
    <w:rsid w:val="00EB10BB"/>
    <w:rsid w:val="00EB2C1A"/>
    <w:rsid w:val="00EB561B"/>
    <w:rsid w:val="00EC1A25"/>
    <w:rsid w:val="00EC1E13"/>
    <w:rsid w:val="00EC42DD"/>
    <w:rsid w:val="00EC5F7D"/>
    <w:rsid w:val="00EC6AB5"/>
    <w:rsid w:val="00EC7C54"/>
    <w:rsid w:val="00EC7C89"/>
    <w:rsid w:val="00EC7D64"/>
    <w:rsid w:val="00ED05EA"/>
    <w:rsid w:val="00ED0AC4"/>
    <w:rsid w:val="00ED0D75"/>
    <w:rsid w:val="00ED12CA"/>
    <w:rsid w:val="00ED1D37"/>
    <w:rsid w:val="00ED2ED7"/>
    <w:rsid w:val="00ED40D0"/>
    <w:rsid w:val="00ED421D"/>
    <w:rsid w:val="00ED61D8"/>
    <w:rsid w:val="00ED73D3"/>
    <w:rsid w:val="00EE1ED0"/>
    <w:rsid w:val="00EE3116"/>
    <w:rsid w:val="00EE432C"/>
    <w:rsid w:val="00EE4F78"/>
    <w:rsid w:val="00EE53C4"/>
    <w:rsid w:val="00EE5584"/>
    <w:rsid w:val="00EE598C"/>
    <w:rsid w:val="00EE5FAD"/>
    <w:rsid w:val="00EE68FF"/>
    <w:rsid w:val="00EF06FE"/>
    <w:rsid w:val="00EF18AC"/>
    <w:rsid w:val="00EF1C20"/>
    <w:rsid w:val="00EF473C"/>
    <w:rsid w:val="00EF6C8D"/>
    <w:rsid w:val="00EF6F6A"/>
    <w:rsid w:val="00F00D40"/>
    <w:rsid w:val="00F01732"/>
    <w:rsid w:val="00F02A20"/>
    <w:rsid w:val="00F02CB4"/>
    <w:rsid w:val="00F02CD9"/>
    <w:rsid w:val="00F03879"/>
    <w:rsid w:val="00F041F1"/>
    <w:rsid w:val="00F04E99"/>
    <w:rsid w:val="00F053D7"/>
    <w:rsid w:val="00F074A2"/>
    <w:rsid w:val="00F07833"/>
    <w:rsid w:val="00F10489"/>
    <w:rsid w:val="00F10661"/>
    <w:rsid w:val="00F1173D"/>
    <w:rsid w:val="00F1189B"/>
    <w:rsid w:val="00F11AFC"/>
    <w:rsid w:val="00F11C0A"/>
    <w:rsid w:val="00F12ADB"/>
    <w:rsid w:val="00F13800"/>
    <w:rsid w:val="00F15744"/>
    <w:rsid w:val="00F15A07"/>
    <w:rsid w:val="00F15AAA"/>
    <w:rsid w:val="00F16440"/>
    <w:rsid w:val="00F20781"/>
    <w:rsid w:val="00F21B77"/>
    <w:rsid w:val="00F23A8C"/>
    <w:rsid w:val="00F25636"/>
    <w:rsid w:val="00F25808"/>
    <w:rsid w:val="00F25AB5"/>
    <w:rsid w:val="00F25F0D"/>
    <w:rsid w:val="00F261B2"/>
    <w:rsid w:val="00F26EC6"/>
    <w:rsid w:val="00F30576"/>
    <w:rsid w:val="00F3148A"/>
    <w:rsid w:val="00F31DF1"/>
    <w:rsid w:val="00F3261E"/>
    <w:rsid w:val="00F35491"/>
    <w:rsid w:val="00F373DB"/>
    <w:rsid w:val="00F3780F"/>
    <w:rsid w:val="00F40D6A"/>
    <w:rsid w:val="00F415D8"/>
    <w:rsid w:val="00F4165B"/>
    <w:rsid w:val="00F4423B"/>
    <w:rsid w:val="00F44AE2"/>
    <w:rsid w:val="00F44EC6"/>
    <w:rsid w:val="00F46559"/>
    <w:rsid w:val="00F50D09"/>
    <w:rsid w:val="00F549B3"/>
    <w:rsid w:val="00F54AC6"/>
    <w:rsid w:val="00F56AAF"/>
    <w:rsid w:val="00F6017F"/>
    <w:rsid w:val="00F622BD"/>
    <w:rsid w:val="00F622BE"/>
    <w:rsid w:val="00F62BAD"/>
    <w:rsid w:val="00F6578B"/>
    <w:rsid w:val="00F667C2"/>
    <w:rsid w:val="00F66BF5"/>
    <w:rsid w:val="00F66E65"/>
    <w:rsid w:val="00F67009"/>
    <w:rsid w:val="00F671A1"/>
    <w:rsid w:val="00F70DAB"/>
    <w:rsid w:val="00F72490"/>
    <w:rsid w:val="00F7439A"/>
    <w:rsid w:val="00F745D0"/>
    <w:rsid w:val="00F75AA6"/>
    <w:rsid w:val="00F76B3A"/>
    <w:rsid w:val="00F77231"/>
    <w:rsid w:val="00F77BFF"/>
    <w:rsid w:val="00F77DCD"/>
    <w:rsid w:val="00F81F15"/>
    <w:rsid w:val="00F82ED8"/>
    <w:rsid w:val="00F84D13"/>
    <w:rsid w:val="00F857C3"/>
    <w:rsid w:val="00F90CF7"/>
    <w:rsid w:val="00F9189D"/>
    <w:rsid w:val="00F92911"/>
    <w:rsid w:val="00F92CE4"/>
    <w:rsid w:val="00F933BE"/>
    <w:rsid w:val="00F94945"/>
    <w:rsid w:val="00F95860"/>
    <w:rsid w:val="00F97457"/>
    <w:rsid w:val="00F978B2"/>
    <w:rsid w:val="00FA03E4"/>
    <w:rsid w:val="00FA18BA"/>
    <w:rsid w:val="00FA23BF"/>
    <w:rsid w:val="00FA580C"/>
    <w:rsid w:val="00FA5E23"/>
    <w:rsid w:val="00FB08DB"/>
    <w:rsid w:val="00FB0B55"/>
    <w:rsid w:val="00FB20E4"/>
    <w:rsid w:val="00FB2120"/>
    <w:rsid w:val="00FB2852"/>
    <w:rsid w:val="00FB2AF6"/>
    <w:rsid w:val="00FB479B"/>
    <w:rsid w:val="00FB6728"/>
    <w:rsid w:val="00FB6BC9"/>
    <w:rsid w:val="00FB7494"/>
    <w:rsid w:val="00FC02B9"/>
    <w:rsid w:val="00FC0422"/>
    <w:rsid w:val="00FC0E41"/>
    <w:rsid w:val="00FC158F"/>
    <w:rsid w:val="00FC1799"/>
    <w:rsid w:val="00FC1A13"/>
    <w:rsid w:val="00FC245A"/>
    <w:rsid w:val="00FC2C42"/>
    <w:rsid w:val="00FC2E54"/>
    <w:rsid w:val="00FC35C6"/>
    <w:rsid w:val="00FC4059"/>
    <w:rsid w:val="00FC47C0"/>
    <w:rsid w:val="00FC4D5C"/>
    <w:rsid w:val="00FC596B"/>
    <w:rsid w:val="00FC7528"/>
    <w:rsid w:val="00FC7F85"/>
    <w:rsid w:val="00FD0E18"/>
    <w:rsid w:val="00FD0F41"/>
    <w:rsid w:val="00FD31F6"/>
    <w:rsid w:val="00FD3835"/>
    <w:rsid w:val="00FD3B73"/>
    <w:rsid w:val="00FD40CD"/>
    <w:rsid w:val="00FD4D75"/>
    <w:rsid w:val="00FD52C3"/>
    <w:rsid w:val="00FD6C86"/>
    <w:rsid w:val="00FD749C"/>
    <w:rsid w:val="00FD7507"/>
    <w:rsid w:val="00FE02CD"/>
    <w:rsid w:val="00FE1E4E"/>
    <w:rsid w:val="00FE2D29"/>
    <w:rsid w:val="00FE3F58"/>
    <w:rsid w:val="00FE507A"/>
    <w:rsid w:val="00FE553D"/>
    <w:rsid w:val="00FE5F37"/>
    <w:rsid w:val="00FE7349"/>
    <w:rsid w:val="00FF07AB"/>
    <w:rsid w:val="00FF18B7"/>
    <w:rsid w:val="00FF1DC2"/>
    <w:rsid w:val="00FF3D9C"/>
    <w:rsid w:val="00FF63AB"/>
    <w:rsid w:val="00FF76D7"/>
    <w:rsid w:val="00FF7768"/>
    <w:rsid w:val="00FF78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61D632"/>
  <w15:docId w15:val="{D1308220-6319-4491-A33E-6CC3BFDE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752AB"/>
    <w:pPr>
      <w:spacing w:after="120"/>
    </w:pPr>
  </w:style>
  <w:style w:type="character" w:customStyle="1" w:styleId="BodyTextChar">
    <w:name w:val="Body Text Char"/>
    <w:basedOn w:val="DefaultParagraphFont"/>
    <w:link w:val="BodyText"/>
    <w:uiPriority w:val="99"/>
    <w:rsid w:val="00C752AB"/>
  </w:style>
  <w:style w:type="character" w:styleId="Hyperlink">
    <w:name w:val="Hyperlink"/>
    <w:rsid w:val="00854B60"/>
    <w:rPr>
      <w:color w:val="0000FF"/>
      <w:u w:val="single"/>
    </w:rPr>
  </w:style>
  <w:style w:type="paragraph" w:styleId="FootnoteText">
    <w:name w:val="footnote text"/>
    <w:basedOn w:val="Normal"/>
    <w:link w:val="FootnoteTextChar"/>
    <w:uiPriority w:val="99"/>
    <w:rsid w:val="00854B60"/>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54B60"/>
    <w:rPr>
      <w:rFonts w:eastAsia="Times New Roman" w:cs="Times New Roman"/>
      <w:sz w:val="20"/>
      <w:szCs w:val="20"/>
    </w:rPr>
  </w:style>
  <w:style w:type="character" w:styleId="FootnoteReference">
    <w:name w:val="footnote reference"/>
    <w:uiPriority w:val="99"/>
    <w:rsid w:val="00854B60"/>
    <w:rPr>
      <w:vertAlign w:val="superscript"/>
    </w:rPr>
  </w:style>
  <w:style w:type="character" w:styleId="FollowedHyperlink">
    <w:name w:val="FollowedHyperlink"/>
    <w:basedOn w:val="DefaultParagraphFont"/>
    <w:uiPriority w:val="99"/>
    <w:semiHidden/>
    <w:unhideWhenUsed/>
    <w:rsid w:val="003A44C8"/>
    <w:rPr>
      <w:color w:val="800080" w:themeColor="followedHyperlink"/>
      <w:u w:val="single"/>
    </w:rPr>
  </w:style>
  <w:style w:type="paragraph" w:styleId="BalloonText">
    <w:name w:val="Balloon Text"/>
    <w:basedOn w:val="Normal"/>
    <w:link w:val="BalloonTextChar"/>
    <w:uiPriority w:val="99"/>
    <w:semiHidden/>
    <w:unhideWhenUsed/>
    <w:rsid w:val="00062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DB"/>
    <w:rPr>
      <w:rFonts w:ascii="Tahoma" w:hAnsi="Tahoma" w:cs="Tahoma"/>
      <w:sz w:val="16"/>
      <w:szCs w:val="16"/>
    </w:rPr>
  </w:style>
  <w:style w:type="character" w:styleId="CommentReference">
    <w:name w:val="annotation reference"/>
    <w:basedOn w:val="DefaultParagraphFont"/>
    <w:unhideWhenUsed/>
    <w:rsid w:val="000623DB"/>
    <w:rPr>
      <w:sz w:val="16"/>
      <w:szCs w:val="16"/>
    </w:rPr>
  </w:style>
  <w:style w:type="paragraph" w:styleId="CommentText">
    <w:name w:val="annotation text"/>
    <w:basedOn w:val="Normal"/>
    <w:link w:val="CommentTextChar"/>
    <w:uiPriority w:val="99"/>
    <w:unhideWhenUsed/>
    <w:rsid w:val="000623DB"/>
    <w:pPr>
      <w:spacing w:line="240" w:lineRule="auto"/>
    </w:pPr>
    <w:rPr>
      <w:sz w:val="20"/>
      <w:szCs w:val="20"/>
    </w:rPr>
  </w:style>
  <w:style w:type="character" w:customStyle="1" w:styleId="CommentTextChar">
    <w:name w:val="Comment Text Char"/>
    <w:basedOn w:val="DefaultParagraphFont"/>
    <w:link w:val="CommentText"/>
    <w:uiPriority w:val="99"/>
    <w:rsid w:val="000623DB"/>
    <w:rPr>
      <w:sz w:val="20"/>
      <w:szCs w:val="20"/>
    </w:rPr>
  </w:style>
  <w:style w:type="paragraph" w:styleId="CommentSubject">
    <w:name w:val="annotation subject"/>
    <w:basedOn w:val="CommentText"/>
    <w:next w:val="CommentText"/>
    <w:link w:val="CommentSubjectChar"/>
    <w:uiPriority w:val="99"/>
    <w:semiHidden/>
    <w:unhideWhenUsed/>
    <w:rsid w:val="000623DB"/>
    <w:rPr>
      <w:b/>
      <w:bCs/>
    </w:rPr>
  </w:style>
  <w:style w:type="character" w:customStyle="1" w:styleId="CommentSubjectChar">
    <w:name w:val="Comment Subject Char"/>
    <w:basedOn w:val="CommentTextChar"/>
    <w:link w:val="CommentSubject"/>
    <w:uiPriority w:val="99"/>
    <w:semiHidden/>
    <w:rsid w:val="000623DB"/>
    <w:rPr>
      <w:b/>
      <w:bCs/>
      <w:sz w:val="20"/>
      <w:szCs w:val="20"/>
    </w:rPr>
  </w:style>
  <w:style w:type="paragraph" w:styleId="ListParagraph">
    <w:name w:val="List Paragraph"/>
    <w:basedOn w:val="Normal"/>
    <w:uiPriority w:val="34"/>
    <w:qFormat/>
    <w:rsid w:val="00CB3078"/>
    <w:pPr>
      <w:ind w:left="720"/>
      <w:contextualSpacing/>
    </w:pPr>
  </w:style>
  <w:style w:type="paragraph" w:styleId="Revision">
    <w:name w:val="Revision"/>
    <w:hidden/>
    <w:uiPriority w:val="99"/>
    <w:semiHidden/>
    <w:rsid w:val="00690D08"/>
    <w:pPr>
      <w:spacing w:line="240" w:lineRule="auto"/>
    </w:pPr>
  </w:style>
  <w:style w:type="paragraph" w:styleId="Header">
    <w:name w:val="header"/>
    <w:basedOn w:val="Normal"/>
    <w:link w:val="HeaderChar"/>
    <w:uiPriority w:val="99"/>
    <w:unhideWhenUsed/>
    <w:rsid w:val="00D26588"/>
    <w:pPr>
      <w:tabs>
        <w:tab w:val="center" w:pos="4680"/>
        <w:tab w:val="right" w:pos="9360"/>
      </w:tabs>
      <w:spacing w:line="240" w:lineRule="auto"/>
    </w:pPr>
  </w:style>
  <w:style w:type="character" w:customStyle="1" w:styleId="HeaderChar">
    <w:name w:val="Header Char"/>
    <w:basedOn w:val="DefaultParagraphFont"/>
    <w:link w:val="Header"/>
    <w:uiPriority w:val="99"/>
    <w:rsid w:val="00D26588"/>
  </w:style>
  <w:style w:type="paragraph" w:styleId="Footer">
    <w:name w:val="footer"/>
    <w:basedOn w:val="Normal"/>
    <w:link w:val="FooterChar"/>
    <w:uiPriority w:val="99"/>
    <w:unhideWhenUsed/>
    <w:rsid w:val="00D26588"/>
    <w:pPr>
      <w:tabs>
        <w:tab w:val="center" w:pos="4680"/>
        <w:tab w:val="right" w:pos="9360"/>
      </w:tabs>
      <w:spacing w:line="240" w:lineRule="auto"/>
    </w:pPr>
  </w:style>
  <w:style w:type="character" w:customStyle="1" w:styleId="FooterChar">
    <w:name w:val="Footer Char"/>
    <w:basedOn w:val="DefaultParagraphFont"/>
    <w:link w:val="Footer"/>
    <w:uiPriority w:val="99"/>
    <w:rsid w:val="00D26588"/>
  </w:style>
  <w:style w:type="paragraph" w:styleId="NormalWeb">
    <w:name w:val="Normal (Web)"/>
    <w:basedOn w:val="Normal"/>
    <w:uiPriority w:val="99"/>
    <w:semiHidden/>
    <w:unhideWhenUsed/>
    <w:rsid w:val="004A47C7"/>
    <w:rPr>
      <w:rFonts w:cs="Times New Roman"/>
      <w:szCs w:val="24"/>
    </w:rPr>
  </w:style>
  <w:style w:type="paragraph" w:styleId="BodyTextIndent3">
    <w:name w:val="Body Text Indent 3"/>
    <w:basedOn w:val="Normal"/>
    <w:link w:val="BodyTextIndent3Char"/>
    <w:uiPriority w:val="99"/>
    <w:semiHidden/>
    <w:unhideWhenUsed/>
    <w:rsid w:val="00FC15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C158F"/>
    <w:rPr>
      <w:sz w:val="16"/>
      <w:szCs w:val="16"/>
    </w:rPr>
  </w:style>
  <w:style w:type="table" w:styleId="TableGrid">
    <w:name w:val="Table Grid"/>
    <w:basedOn w:val="TableNormal"/>
    <w:uiPriority w:val="59"/>
    <w:rsid w:val="00FF7768"/>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8E1"/>
    <w:rPr>
      <w:color w:val="605E5C"/>
      <w:shd w:val="clear" w:color="auto" w:fill="E1DFDD"/>
    </w:rPr>
  </w:style>
  <w:style w:type="paragraph" w:customStyle="1" w:styleId="TableParagraph">
    <w:name w:val="Table Paragraph"/>
    <w:basedOn w:val="Normal"/>
    <w:uiPriority w:val="1"/>
    <w:qFormat/>
    <w:rsid w:val="00743060"/>
    <w:pPr>
      <w:autoSpaceDE w:val="0"/>
      <w:autoSpaceDN w:val="0"/>
      <w:adjustRightInd w:val="0"/>
      <w:spacing w:before="46" w:line="240" w:lineRule="auto"/>
      <w:ind w:left="180" w:right="359"/>
      <w:jc w:val="center"/>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hfa.gov/nsmodata" TargetMode="External" /><Relationship Id="rId11" Type="http://schemas.openxmlformats.org/officeDocument/2006/relationships/hyperlink" Target="file:///C:\Users\sullivanr\AppData\Local\Microsoft\Windows\INetCache\Content.MSO\CD5FD44C.xls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092653C5114048BB4062E7F62A0BF3" ma:contentTypeVersion="0" ma:contentTypeDescription="Create a new document." ma:contentTypeScope="" ma:versionID="806e9ae6c0a9d723136bd0019c8751e0">
  <xsd:schema xmlns:xsd="http://www.w3.org/2001/XMLSchema" xmlns:xs="http://www.w3.org/2001/XMLSchema" xmlns:p="http://schemas.microsoft.com/office/2006/metadata/properties" targetNamespace="http://schemas.microsoft.com/office/2006/metadata/properties" ma:root="true" ma:fieldsID="1e1dc27185869094906a168146f8b2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C7AFC-22A8-4366-BDBB-441E0EEA4C12}">
  <ds:schemaRefs>
    <ds:schemaRef ds:uri="http://schemas.openxmlformats.org/officeDocument/2006/bibliography"/>
  </ds:schemaRefs>
</ds:datastoreItem>
</file>

<file path=customXml/itemProps2.xml><?xml version="1.0" encoding="utf-8"?>
<ds:datastoreItem xmlns:ds="http://schemas.openxmlformats.org/officeDocument/2006/customXml" ds:itemID="{31002EEC-5FB8-4391-8C0E-E977A5B6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07E825-A681-4417-9C55-DAC71F467AB1}">
  <ds:schemaRefs>
    <ds:schemaRef ds:uri="http://schemas.microsoft.com/sharepoint/v3/contenttype/forms"/>
  </ds:schemaRefs>
</ds:datastoreItem>
</file>

<file path=customXml/itemProps4.xml><?xml version="1.0" encoding="utf-8"?>
<ds:datastoreItem xmlns:ds="http://schemas.openxmlformats.org/officeDocument/2006/customXml" ds:itemID="{ADB7B934-801E-4E1F-AEAF-EB2EDE346192}">
  <ds:schemaRef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8898</Words>
  <Characters>50723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59502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raudenbushe</dc:creator>
  <cp:lastModifiedBy>Conaway, Jacqueline</cp:lastModifiedBy>
  <cp:revision>3</cp:revision>
  <cp:lastPrinted>2020-03-04T14:54:00Z</cp:lastPrinted>
  <dcterms:created xsi:type="dcterms:W3CDTF">2024-08-27T10:33:00Z</dcterms:created>
  <dcterms:modified xsi:type="dcterms:W3CDTF">2024-08-30T11:02:00Z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0x01010028092653C5114048BB4062E7F62A0BF3</vt:lpwstr>
  </property>
</Properties>
</file>