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1E47" w14:paraId="00676020" w14:textId="77777777">
      <w:pPr>
        <w:suppressAutoHyphens/>
        <w:jc w:val="center"/>
        <w:rPr>
          <w:rFonts w:ascii="Times New Roman" w:hAnsi="Times New Roman"/>
          <w:b/>
        </w:rPr>
      </w:pPr>
      <w:r>
        <w:rPr>
          <w:rFonts w:ascii="Times New Roman" w:hAnsi="Times New Roman"/>
          <w:b/>
        </w:rPr>
        <w:t>SUPPORTING STATEMENT FOR NEW AND</w:t>
      </w:r>
    </w:p>
    <w:p w:rsidR="00871E47" w14:paraId="00676021" w14:textId="77777777">
      <w:pPr>
        <w:suppressAutoHyphens/>
        <w:spacing w:after="240"/>
        <w:jc w:val="center"/>
        <w:rPr>
          <w:rFonts w:ascii="Times New Roman" w:hAnsi="Times New Roman"/>
          <w:b/>
        </w:rPr>
      </w:pPr>
      <w:r>
        <w:rPr>
          <w:rFonts w:ascii="Times New Roman" w:hAnsi="Times New Roman"/>
          <w:b/>
        </w:rPr>
        <w:t>REVISED INFORMATION COLLECTIONS</w:t>
      </w:r>
    </w:p>
    <w:p w:rsidR="00871E47" w14:paraId="00676023" w14:textId="2AABAD76">
      <w:pPr>
        <w:tabs>
          <w:tab w:val="center" w:pos="4680"/>
        </w:tabs>
        <w:suppressAutoHyphens/>
        <w:spacing w:after="240"/>
        <w:jc w:val="center"/>
        <w:rPr>
          <w:rFonts w:ascii="Times New Roman" w:hAnsi="Times New Roman"/>
          <w:b/>
        </w:rPr>
      </w:pPr>
      <w:r>
        <w:rPr>
          <w:rFonts w:ascii="Times New Roman" w:hAnsi="Times New Roman"/>
          <w:b/>
        </w:rPr>
        <w:t>OMB CONTROL NUMBER 3038-</w:t>
      </w:r>
      <w:r w:rsidR="005F3B35">
        <w:rPr>
          <w:rFonts w:ascii="Times New Roman" w:hAnsi="Times New Roman"/>
          <w:b/>
        </w:rPr>
        <w:t>009</w:t>
      </w:r>
      <w:r w:rsidR="009A439E">
        <w:rPr>
          <w:rFonts w:ascii="Times New Roman" w:hAnsi="Times New Roman"/>
          <w:b/>
        </w:rPr>
        <w:t>4</w:t>
      </w:r>
    </w:p>
    <w:p w:rsidR="00551D12" w:rsidRPr="00AC76D9" w14:paraId="4142E9F7" w14:textId="316C368A">
      <w:pPr>
        <w:tabs>
          <w:tab w:val="center" w:pos="4680"/>
        </w:tabs>
        <w:suppressAutoHyphens/>
        <w:spacing w:after="240"/>
        <w:jc w:val="center"/>
        <w:rPr>
          <w:rFonts w:ascii="Times New Roman" w:hAnsi="Times New Roman"/>
          <w:b/>
        </w:rPr>
      </w:pPr>
      <w:r w:rsidRPr="00AC76D9">
        <w:rPr>
          <w:rFonts w:ascii="Times New Roman" w:hAnsi="Times New Roman"/>
          <w:b/>
        </w:rPr>
        <w:t>(Clearing Member Risk Management)</w:t>
      </w:r>
    </w:p>
    <w:p w:rsidR="00871E47" w:rsidP="00261FEC" w14:paraId="00676024" w14:textId="77777777">
      <w:pPr>
        <w:pStyle w:val="Heading1"/>
        <w:keepNext w:val="0"/>
        <w:spacing w:after="240"/>
        <w:rPr>
          <w:rFonts w:ascii="Times New Roman" w:hAnsi="Times New Roman"/>
          <w:szCs w:val="24"/>
        </w:rPr>
      </w:pPr>
      <w:r>
        <w:rPr>
          <w:rFonts w:ascii="Times New Roman" w:hAnsi="Times New Roman"/>
          <w:szCs w:val="24"/>
        </w:rPr>
        <w:t>Justification</w:t>
      </w:r>
    </w:p>
    <w:p w:rsidR="00871E47" w:rsidP="00261FEC" w14:paraId="00676026" w14:textId="77777777">
      <w:pPr>
        <w:tabs>
          <w:tab w:val="left" w:pos="-720"/>
        </w:tabs>
        <w:spacing w:after="240"/>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60080" w:rsidP="00261FEC" w14:paraId="3ACD3470" w14:textId="6925F23A">
      <w:pPr>
        <w:pStyle w:val="Default"/>
        <w:spacing w:after="240"/>
        <w:jc w:val="both"/>
        <w:rPr>
          <w:rFonts w:ascii="Times New Roman" w:hAnsi="Times New Roman" w:cs="Times New Roman"/>
        </w:rPr>
      </w:pPr>
      <w:r w:rsidRPr="009A439E">
        <w:rPr>
          <w:rFonts w:ascii="Times New Roman" w:hAnsi="Times New Roman" w:cs="Times New Roman"/>
        </w:rPr>
        <w:t xml:space="preserve">Section 3(b) of the </w:t>
      </w:r>
      <w:r w:rsidR="00C06E9A">
        <w:rPr>
          <w:rFonts w:ascii="Times New Roman" w:hAnsi="Times New Roman" w:cs="Times New Roman"/>
        </w:rPr>
        <w:t xml:space="preserve">Commodity Exchange Act (“CEA or </w:t>
      </w:r>
      <w:r w:rsidRPr="009A439E">
        <w:rPr>
          <w:rFonts w:ascii="Times New Roman" w:hAnsi="Times New Roman" w:cs="Times New Roman"/>
        </w:rPr>
        <w:t>Act</w:t>
      </w:r>
      <w:r w:rsidR="00C06E9A">
        <w:rPr>
          <w:rFonts w:ascii="Times New Roman" w:hAnsi="Times New Roman" w:cs="Times New Roman"/>
        </w:rPr>
        <w:t>”)</w:t>
      </w:r>
      <w:r w:rsidR="00717989">
        <w:rPr>
          <w:rFonts w:ascii="Times New Roman" w:hAnsi="Times New Roman" w:cs="Times New Roman"/>
        </w:rPr>
        <w:t xml:space="preserve"> </w:t>
      </w:r>
      <w:r w:rsidRPr="009A439E" w:rsidR="00717989">
        <w:rPr>
          <w:rFonts w:ascii="Times New Roman" w:hAnsi="Times New Roman" w:cs="Times New Roman"/>
        </w:rPr>
        <w:t>provides that one of the purposes</w:t>
      </w:r>
      <w:r w:rsidR="00717989">
        <w:rPr>
          <w:rFonts w:ascii="Times New Roman" w:hAnsi="Times New Roman" w:cs="Times New Roman"/>
        </w:rPr>
        <w:t xml:space="preserve"> of the Act</w:t>
      </w:r>
      <w:r w:rsidRPr="009A439E">
        <w:rPr>
          <w:rFonts w:ascii="Times New Roman" w:hAnsi="Times New Roman" w:cs="Times New Roman"/>
        </w:rPr>
        <w:t xml:space="preserve"> is to ensure the financial integrity of all transactions subject to the Act and to avoid systemic risk</w:t>
      </w:r>
      <w:r w:rsidR="00C86121">
        <w:rPr>
          <w:rFonts w:ascii="Times New Roman" w:hAnsi="Times New Roman" w:cs="Times New Roman"/>
        </w:rPr>
        <w:t>s</w:t>
      </w:r>
      <w:r w:rsidRPr="009A439E">
        <w:rPr>
          <w:rFonts w:ascii="Times New Roman" w:hAnsi="Times New Roman" w:cs="Times New Roman"/>
        </w:rPr>
        <w:t>.  Section 8</w:t>
      </w:r>
      <w:r w:rsidRPr="009A439E">
        <w:rPr>
          <w:rFonts w:ascii="Times New Roman" w:hAnsi="Times New Roman" w:cs="Times New Roman"/>
        </w:rPr>
        <w:t>a(</w:t>
      </w:r>
      <w:r w:rsidRPr="009A439E">
        <w:rPr>
          <w:rFonts w:ascii="Times New Roman" w:hAnsi="Times New Roman" w:cs="Times New Roman"/>
        </w:rPr>
        <w:t xml:space="preserve">5) </w:t>
      </w:r>
      <w:r w:rsidR="008B05A9">
        <w:rPr>
          <w:rFonts w:ascii="Times New Roman" w:hAnsi="Times New Roman" w:cs="Times New Roman"/>
        </w:rPr>
        <w:t xml:space="preserve">of the Act </w:t>
      </w:r>
      <w:r w:rsidRPr="009A439E">
        <w:rPr>
          <w:rFonts w:ascii="Times New Roman" w:hAnsi="Times New Roman" w:cs="Times New Roman"/>
        </w:rPr>
        <w:t xml:space="preserve">authorizes the </w:t>
      </w:r>
      <w:r w:rsidR="008B05A9">
        <w:rPr>
          <w:rFonts w:ascii="Times New Roman" w:hAnsi="Times New Roman" w:cs="Times New Roman"/>
        </w:rPr>
        <w:t xml:space="preserve">Commodity Futures Trading </w:t>
      </w:r>
      <w:r w:rsidRPr="009A439E">
        <w:rPr>
          <w:rFonts w:ascii="Times New Roman" w:hAnsi="Times New Roman" w:cs="Times New Roman"/>
        </w:rPr>
        <w:t xml:space="preserve">Commission </w:t>
      </w:r>
      <w:r w:rsidR="008B05A9">
        <w:rPr>
          <w:rFonts w:ascii="Times New Roman" w:hAnsi="Times New Roman" w:cs="Times New Roman"/>
        </w:rPr>
        <w:t xml:space="preserve">(“Commission”) </w:t>
      </w:r>
      <w:r w:rsidRPr="009A439E">
        <w:rPr>
          <w:rFonts w:ascii="Times New Roman" w:hAnsi="Times New Roman" w:cs="Times New Roman"/>
        </w:rPr>
        <w:t>to promulgate such regulations that it believes are reasonably necessary to effectuate any of the provisions or to accomplish any of the purposes of the Act.  Risk management systems are critical to the avoidance of systemic risks.</w:t>
      </w:r>
      <w:r w:rsidR="00C06E9A">
        <w:rPr>
          <w:rFonts w:ascii="Times New Roman" w:hAnsi="Times New Roman" w:cs="Times New Roman"/>
        </w:rPr>
        <w:t xml:space="preserve">  </w:t>
      </w:r>
    </w:p>
    <w:p w:rsidR="006A66B5" w:rsidP="00261FEC" w14:paraId="1B690B7D" w14:textId="0F87E064">
      <w:pPr>
        <w:pStyle w:val="Default"/>
        <w:spacing w:after="240"/>
        <w:jc w:val="both"/>
        <w:rPr>
          <w:rFonts w:ascii="Times New Roman" w:hAnsi="Times New Roman" w:cs="Times New Roman"/>
        </w:rPr>
      </w:pPr>
      <w:r w:rsidRPr="009A439E">
        <w:rPr>
          <w:rFonts w:ascii="Times New Roman" w:hAnsi="Times New Roman" w:cs="Times New Roman"/>
        </w:rPr>
        <w:t xml:space="preserve">Section 4d </w:t>
      </w:r>
      <w:r>
        <w:rPr>
          <w:rFonts w:ascii="Times New Roman" w:hAnsi="Times New Roman" w:cs="Times New Roman"/>
        </w:rPr>
        <w:t xml:space="preserve">of the Act </w:t>
      </w:r>
      <w:r w:rsidRPr="009A439E">
        <w:rPr>
          <w:rFonts w:ascii="Times New Roman" w:hAnsi="Times New Roman" w:cs="Times New Roman"/>
        </w:rPr>
        <w:t xml:space="preserve">requires </w:t>
      </w:r>
      <w:r>
        <w:rPr>
          <w:rFonts w:ascii="Times New Roman" w:hAnsi="Times New Roman" w:cs="Times New Roman"/>
        </w:rPr>
        <w:t>futures commission merchants (“</w:t>
      </w:r>
      <w:r w:rsidRPr="009A439E">
        <w:rPr>
          <w:rFonts w:ascii="Times New Roman" w:hAnsi="Times New Roman" w:cs="Times New Roman"/>
        </w:rPr>
        <w:t>FCMs</w:t>
      </w:r>
      <w:r>
        <w:rPr>
          <w:rFonts w:ascii="Times New Roman" w:hAnsi="Times New Roman" w:cs="Times New Roman"/>
        </w:rPr>
        <w:t>”)</w:t>
      </w:r>
      <w:r w:rsidRPr="009A439E">
        <w:rPr>
          <w:rFonts w:ascii="Times New Roman" w:hAnsi="Times New Roman" w:cs="Times New Roman"/>
        </w:rPr>
        <w:t xml:space="preserve"> to register with the Commission.  It further requires FCMs to segregate customer funds.  Section 4f</w:t>
      </w:r>
      <w:r>
        <w:rPr>
          <w:rFonts w:ascii="Times New Roman" w:hAnsi="Times New Roman" w:cs="Times New Roman"/>
        </w:rPr>
        <w:t xml:space="preserve"> of the Act</w:t>
      </w:r>
      <w:r w:rsidRPr="009A439E">
        <w:rPr>
          <w:rFonts w:ascii="Times New Roman" w:hAnsi="Times New Roman" w:cs="Times New Roman"/>
        </w:rPr>
        <w:t xml:space="preserve"> requires FCMs to maintain certain levels of capital.  Section 4g </w:t>
      </w:r>
      <w:r>
        <w:rPr>
          <w:rFonts w:ascii="Times New Roman" w:hAnsi="Times New Roman" w:cs="Times New Roman"/>
        </w:rPr>
        <w:t xml:space="preserve">of the Act </w:t>
      </w:r>
      <w:r w:rsidRPr="009A439E">
        <w:rPr>
          <w:rFonts w:ascii="Times New Roman" w:hAnsi="Times New Roman" w:cs="Times New Roman"/>
        </w:rPr>
        <w:t>establishes reporting and recordkeeping requirements for FCMs.</w:t>
      </w:r>
    </w:p>
    <w:p w:rsidR="006867A2" w:rsidP="00261FEC" w14:paraId="5883D45B" w14:textId="1BF6AE97">
      <w:pPr>
        <w:pStyle w:val="Default"/>
        <w:spacing w:after="240"/>
        <w:jc w:val="both"/>
        <w:rPr>
          <w:rFonts w:ascii="Times New Roman" w:hAnsi="Times New Roman" w:cs="Times New Roman"/>
        </w:rPr>
      </w:pPr>
      <w:r w:rsidRPr="009A439E">
        <w:rPr>
          <w:rFonts w:ascii="Times New Roman" w:hAnsi="Times New Roman" w:cs="Times New Roman"/>
        </w:rPr>
        <w:t xml:space="preserve">Section 4s(j)(2) requires each </w:t>
      </w:r>
      <w:r w:rsidR="001E4338">
        <w:rPr>
          <w:rFonts w:ascii="Times New Roman" w:hAnsi="Times New Roman" w:cs="Times New Roman"/>
        </w:rPr>
        <w:t>swap dealer (“</w:t>
      </w:r>
      <w:r w:rsidRPr="009A439E">
        <w:rPr>
          <w:rFonts w:ascii="Times New Roman" w:hAnsi="Times New Roman" w:cs="Times New Roman"/>
        </w:rPr>
        <w:t>SD</w:t>
      </w:r>
      <w:r w:rsidR="001E4338">
        <w:rPr>
          <w:rFonts w:ascii="Times New Roman" w:hAnsi="Times New Roman" w:cs="Times New Roman"/>
        </w:rPr>
        <w:t>”)</w:t>
      </w:r>
      <w:r w:rsidRPr="009A439E">
        <w:rPr>
          <w:rFonts w:ascii="Times New Roman" w:hAnsi="Times New Roman" w:cs="Times New Roman"/>
        </w:rPr>
        <w:t xml:space="preserve"> and </w:t>
      </w:r>
      <w:r w:rsidR="001E4338">
        <w:rPr>
          <w:rFonts w:ascii="Times New Roman" w:hAnsi="Times New Roman" w:cs="Times New Roman"/>
        </w:rPr>
        <w:t>major swap participant (“</w:t>
      </w:r>
      <w:r w:rsidRPr="009A439E">
        <w:rPr>
          <w:rFonts w:ascii="Times New Roman" w:hAnsi="Times New Roman" w:cs="Times New Roman"/>
        </w:rPr>
        <w:t>MSP</w:t>
      </w:r>
      <w:r w:rsidR="001E4338">
        <w:rPr>
          <w:rFonts w:ascii="Times New Roman" w:hAnsi="Times New Roman" w:cs="Times New Roman"/>
        </w:rPr>
        <w:t>”)</w:t>
      </w:r>
      <w:r w:rsidRPr="009A439E">
        <w:rPr>
          <w:rFonts w:ascii="Times New Roman" w:hAnsi="Times New Roman" w:cs="Times New Roman"/>
        </w:rPr>
        <w:t xml:space="preserve"> to have risk management systems adequate for managing its</w:t>
      </w:r>
      <w:r w:rsidR="00846C9B">
        <w:rPr>
          <w:rFonts w:ascii="Times New Roman" w:hAnsi="Times New Roman" w:cs="Times New Roman"/>
        </w:rPr>
        <w:t xml:space="preserve"> day-to-day </w:t>
      </w:r>
      <w:r w:rsidRPr="009A439E">
        <w:rPr>
          <w:rFonts w:ascii="Times New Roman" w:hAnsi="Times New Roman" w:cs="Times New Roman"/>
        </w:rPr>
        <w:t xml:space="preserve">business.  Section 4s(j)(4) requires each SD and MSP to have internal systems and procedures </w:t>
      </w:r>
      <w:r w:rsidR="000F19A1">
        <w:rPr>
          <w:rFonts w:ascii="Times New Roman" w:hAnsi="Times New Roman" w:cs="Times New Roman"/>
        </w:rPr>
        <w:t xml:space="preserve">to obtain any necessary information </w:t>
      </w:r>
      <w:r w:rsidRPr="009A439E">
        <w:rPr>
          <w:rFonts w:ascii="Times New Roman" w:hAnsi="Times New Roman" w:cs="Times New Roman"/>
        </w:rPr>
        <w:t>to perform any of the functions set forth in Section 4s.</w:t>
      </w:r>
    </w:p>
    <w:p w:rsidR="009A439E" w:rsidP="00261FEC" w14:paraId="62F0FA94" w14:textId="6F78D72C">
      <w:pPr>
        <w:pStyle w:val="Default"/>
        <w:spacing w:after="240"/>
        <w:jc w:val="both"/>
        <w:rPr>
          <w:rFonts w:ascii="Times New Roman" w:hAnsi="Times New Roman" w:cs="Times New Roman"/>
        </w:rPr>
      </w:pPr>
      <w:r w:rsidRPr="009A439E">
        <w:rPr>
          <w:rFonts w:ascii="Times New Roman" w:hAnsi="Times New Roman" w:cs="Times New Roman"/>
        </w:rPr>
        <w:t xml:space="preserve">Pursuant to these provisions, the Commission adopted </w:t>
      </w:r>
      <w:r w:rsidR="00AA3D10">
        <w:rPr>
          <w:rFonts w:ascii="Times New Roman" w:hAnsi="Times New Roman" w:cs="Times New Roman"/>
        </w:rPr>
        <w:t>Commission regulation</w:t>
      </w:r>
      <w:r w:rsidRPr="009A439E">
        <w:rPr>
          <w:rFonts w:ascii="Times New Roman" w:hAnsi="Times New Roman" w:cs="Times New Roman"/>
        </w:rPr>
        <w:t xml:space="preserve"> 1.73 which applies to clearing members that are FCMs and </w:t>
      </w:r>
      <w:r w:rsidR="00AA3D10">
        <w:rPr>
          <w:rFonts w:ascii="Times New Roman" w:hAnsi="Times New Roman" w:cs="Times New Roman"/>
        </w:rPr>
        <w:t>Commission regulation</w:t>
      </w:r>
      <w:r w:rsidRPr="009A439E">
        <w:rPr>
          <w:rFonts w:ascii="Times New Roman" w:hAnsi="Times New Roman" w:cs="Times New Roman"/>
        </w:rPr>
        <w:t xml:space="preserve"> 23.609 which applies to clearing members that are SDs or MSPs.  These provisions require these clearing members to have procedures to limit the financial risks they incur </w:t>
      </w:r>
      <w:r w:rsidRPr="009A439E">
        <w:rPr>
          <w:rFonts w:ascii="Times New Roman" w:hAnsi="Times New Roman" w:cs="Times New Roman"/>
        </w:rPr>
        <w:t>as a result of</w:t>
      </w:r>
      <w:r w:rsidRPr="009A439E">
        <w:rPr>
          <w:rFonts w:ascii="Times New Roman" w:hAnsi="Times New Roman" w:cs="Times New Roman"/>
        </w:rPr>
        <w:t xml:space="preserve"> clearing trades and </w:t>
      </w:r>
      <w:r w:rsidR="008F1D1E">
        <w:rPr>
          <w:rFonts w:ascii="Times New Roman" w:hAnsi="Times New Roman" w:cs="Times New Roman"/>
        </w:rPr>
        <w:t xml:space="preserve">to maintain sufficient </w:t>
      </w:r>
      <w:r w:rsidRPr="009A439E">
        <w:rPr>
          <w:rFonts w:ascii="Times New Roman" w:hAnsi="Times New Roman" w:cs="Times New Roman"/>
        </w:rPr>
        <w:t xml:space="preserve">liquid resources to meet obligations.  </w:t>
      </w:r>
    </w:p>
    <w:p w:rsidR="009A439E" w:rsidP="00261FEC" w14:paraId="18D0D0AC" w14:textId="4173393E">
      <w:pPr>
        <w:pStyle w:val="Default"/>
        <w:spacing w:after="240"/>
        <w:jc w:val="both"/>
        <w:rPr>
          <w:rFonts w:ascii="Times New Roman" w:hAnsi="Times New Roman" w:cs="Times New Roman"/>
        </w:rPr>
      </w:pPr>
      <w:r w:rsidRPr="009A439E">
        <w:rPr>
          <w:rFonts w:ascii="Times New Roman" w:hAnsi="Times New Roman" w:cs="Times New Roman"/>
        </w:rPr>
        <w:t>The regulations require clearing members</w:t>
      </w:r>
      <w:r w:rsidR="007F0EDF">
        <w:rPr>
          <w:rFonts w:ascii="Times New Roman" w:hAnsi="Times New Roman" w:cs="Times New Roman"/>
        </w:rPr>
        <w:t>,</w:t>
      </w:r>
      <w:r w:rsidRPr="009A439E">
        <w:rPr>
          <w:rFonts w:ascii="Times New Roman" w:hAnsi="Times New Roman" w:cs="Times New Roman"/>
        </w:rPr>
        <w:t xml:space="preserve"> </w:t>
      </w:r>
      <w:r w:rsidR="007F0EDF">
        <w:rPr>
          <w:rFonts w:ascii="Times New Roman" w:hAnsi="Times New Roman" w:cs="Times New Roman"/>
        </w:rPr>
        <w:t xml:space="preserve">who are FCMs, SDs, or MSPs, </w:t>
      </w:r>
      <w:r w:rsidRPr="009A439E">
        <w:rPr>
          <w:rFonts w:ascii="Times New Roman" w:hAnsi="Times New Roman" w:cs="Times New Roman"/>
        </w:rPr>
        <w:t>to:</w:t>
      </w:r>
    </w:p>
    <w:p w:rsidR="000A2B2F" w:rsidP="00261FEC" w14:paraId="6A96C3D6" w14:textId="77777777">
      <w:pPr>
        <w:pStyle w:val="Default"/>
        <w:spacing w:after="240"/>
        <w:rPr>
          <w:rFonts w:ascii="Times New Roman" w:hAnsi="Times New Roman" w:cs="Times New Roman"/>
        </w:rPr>
      </w:pPr>
      <w:r w:rsidRPr="009A439E">
        <w:rPr>
          <w:rFonts w:ascii="Times New Roman" w:hAnsi="Times New Roman" w:cs="Times New Roman"/>
        </w:rPr>
        <w:t>(1) establish risk-based limits based on position size, order size, margin requirements, or similar factors</w:t>
      </w:r>
      <w:r w:rsidR="00EE7818">
        <w:rPr>
          <w:rFonts w:ascii="Times New Roman" w:hAnsi="Times New Roman" w:cs="Times New Roman"/>
        </w:rPr>
        <w:t>, and f</w:t>
      </w:r>
      <w:r w:rsidR="00271938">
        <w:rPr>
          <w:rFonts w:ascii="Times New Roman" w:hAnsi="Times New Roman" w:cs="Times New Roman"/>
        </w:rPr>
        <w:t xml:space="preserve">or FCMs, risk-based limits must be established for the proprietary account and in each customer </w:t>
      </w:r>
      <w:r w:rsidR="00271938">
        <w:rPr>
          <w:rFonts w:ascii="Times New Roman" w:hAnsi="Times New Roman" w:cs="Times New Roman"/>
        </w:rPr>
        <w:t>account</w:t>
      </w:r>
      <w:r w:rsidRPr="009A439E">
        <w:rPr>
          <w:rFonts w:ascii="Times New Roman" w:hAnsi="Times New Roman" w:cs="Times New Roman"/>
        </w:rPr>
        <w:t>;</w:t>
      </w:r>
    </w:p>
    <w:p w:rsidR="009A439E" w:rsidRPr="009A439E" w:rsidP="00261FEC" w14:paraId="036B76A1" w14:textId="34E3D2FE">
      <w:pPr>
        <w:pStyle w:val="Default"/>
        <w:spacing w:after="240"/>
        <w:rPr>
          <w:rFonts w:ascii="Times New Roman" w:hAnsi="Times New Roman" w:cs="Times New Roman"/>
        </w:rPr>
      </w:pPr>
      <w:r w:rsidRPr="009A439E">
        <w:rPr>
          <w:rFonts w:ascii="Times New Roman" w:hAnsi="Times New Roman" w:cs="Times New Roman"/>
        </w:rPr>
        <w:t xml:space="preserve">(2) screen orders for compliance with the risk-based </w:t>
      </w:r>
      <w:r w:rsidRPr="009A439E">
        <w:rPr>
          <w:rFonts w:ascii="Times New Roman" w:hAnsi="Times New Roman" w:cs="Times New Roman"/>
        </w:rPr>
        <w:t>limits;</w:t>
      </w:r>
    </w:p>
    <w:p w:rsidR="009A439E" w:rsidRPr="009A439E" w:rsidP="00261FEC" w14:paraId="4CB2B735" w14:textId="6194A1C8">
      <w:pPr>
        <w:pStyle w:val="Default"/>
        <w:spacing w:after="240"/>
        <w:rPr>
          <w:rFonts w:ascii="Times New Roman" w:hAnsi="Times New Roman" w:cs="Times New Roman"/>
        </w:rPr>
      </w:pPr>
      <w:r w:rsidRPr="009A439E">
        <w:rPr>
          <w:rFonts w:ascii="Times New Roman" w:hAnsi="Times New Roman" w:cs="Times New Roman"/>
        </w:rPr>
        <w:t xml:space="preserve">(3) monitor for adherence to the risk-based limits intra-day and </w:t>
      </w:r>
      <w:r w:rsidRPr="009A439E">
        <w:rPr>
          <w:rFonts w:ascii="Times New Roman" w:hAnsi="Times New Roman" w:cs="Times New Roman"/>
        </w:rPr>
        <w:t>overnight;</w:t>
      </w:r>
    </w:p>
    <w:p w:rsidR="00851C73" w:rsidP="00261FEC" w14:paraId="7A418AE3" w14:textId="77777777">
      <w:pPr>
        <w:pStyle w:val="Default"/>
        <w:spacing w:after="240"/>
        <w:rPr>
          <w:rFonts w:ascii="Times New Roman" w:hAnsi="Times New Roman" w:cs="Times New Roman"/>
        </w:rPr>
      </w:pPr>
      <w:r w:rsidRPr="009A439E">
        <w:rPr>
          <w:rFonts w:ascii="Times New Roman" w:hAnsi="Times New Roman" w:cs="Times New Roman"/>
        </w:rPr>
        <w:t xml:space="preserve">(4) conduct stress tests </w:t>
      </w:r>
      <w:r w:rsidR="00FF1E95">
        <w:rPr>
          <w:rFonts w:ascii="Times New Roman" w:hAnsi="Times New Roman" w:cs="Times New Roman"/>
        </w:rPr>
        <w:t xml:space="preserve">under extreme but plausible conditions of all positions at least once per </w:t>
      </w:r>
      <w:r w:rsidR="00FF1E95">
        <w:rPr>
          <w:rFonts w:ascii="Times New Roman" w:hAnsi="Times New Roman" w:cs="Times New Roman"/>
        </w:rPr>
        <w:t>week</w:t>
      </w:r>
      <w:r w:rsidR="00EE7818">
        <w:rPr>
          <w:rFonts w:ascii="Times New Roman" w:hAnsi="Times New Roman" w:cs="Times New Roman"/>
        </w:rPr>
        <w:t>, and for</w:t>
      </w:r>
      <w:r w:rsidR="00B60994">
        <w:rPr>
          <w:rFonts w:ascii="Times New Roman" w:hAnsi="Times New Roman" w:cs="Times New Roman"/>
        </w:rPr>
        <w:t xml:space="preserve"> FCMs, the stress tests must be </w:t>
      </w:r>
      <w:r w:rsidR="007F4A51">
        <w:rPr>
          <w:rFonts w:ascii="Times New Roman" w:hAnsi="Times New Roman" w:cs="Times New Roman"/>
        </w:rPr>
        <w:t>conducted</w:t>
      </w:r>
      <w:r w:rsidR="00B60994">
        <w:rPr>
          <w:rFonts w:ascii="Times New Roman" w:hAnsi="Times New Roman" w:cs="Times New Roman"/>
        </w:rPr>
        <w:t xml:space="preserve"> for all positions in the proprietary account and in each customer account that cou</w:t>
      </w:r>
      <w:r w:rsidR="008F4ACE">
        <w:rPr>
          <w:rFonts w:ascii="Times New Roman" w:hAnsi="Times New Roman" w:cs="Times New Roman"/>
        </w:rPr>
        <w:t xml:space="preserve">ld </w:t>
      </w:r>
      <w:r w:rsidR="00B60994">
        <w:rPr>
          <w:rFonts w:ascii="Times New Roman" w:hAnsi="Times New Roman" w:cs="Times New Roman"/>
        </w:rPr>
        <w:t xml:space="preserve">pose material risk to the </w:t>
      </w:r>
      <w:r w:rsidR="00B60994">
        <w:rPr>
          <w:rFonts w:ascii="Times New Roman" w:hAnsi="Times New Roman" w:cs="Times New Roman"/>
        </w:rPr>
        <w:t>FCM</w:t>
      </w:r>
      <w:r w:rsidRPr="009A439E">
        <w:rPr>
          <w:rFonts w:ascii="Times New Roman" w:hAnsi="Times New Roman" w:cs="Times New Roman"/>
        </w:rPr>
        <w:t>;</w:t>
      </w:r>
    </w:p>
    <w:p w:rsidR="009A439E" w:rsidRPr="009A439E" w:rsidP="00261FEC" w14:paraId="3D0F9728" w14:textId="4D4F72AD">
      <w:pPr>
        <w:pStyle w:val="Default"/>
        <w:spacing w:after="240"/>
        <w:rPr>
          <w:rFonts w:ascii="Times New Roman" w:hAnsi="Times New Roman" w:cs="Times New Roman"/>
        </w:rPr>
      </w:pPr>
      <w:r w:rsidRPr="009A439E">
        <w:rPr>
          <w:rFonts w:ascii="Times New Roman" w:hAnsi="Times New Roman" w:cs="Times New Roman"/>
        </w:rPr>
        <w:t xml:space="preserve">(5) evaluate its ability to meet initial margin requirements at least once per </w:t>
      </w:r>
      <w:r w:rsidRPr="009A439E">
        <w:rPr>
          <w:rFonts w:ascii="Times New Roman" w:hAnsi="Times New Roman" w:cs="Times New Roman"/>
        </w:rPr>
        <w:t>week;</w:t>
      </w:r>
    </w:p>
    <w:p w:rsidR="009A439E" w:rsidRPr="009A439E" w:rsidP="00261FEC" w14:paraId="1A269BB2" w14:textId="2364F384">
      <w:pPr>
        <w:pStyle w:val="Default"/>
        <w:spacing w:after="240"/>
        <w:jc w:val="both"/>
        <w:rPr>
          <w:rFonts w:ascii="Times New Roman" w:hAnsi="Times New Roman" w:cs="Times New Roman"/>
        </w:rPr>
      </w:pPr>
      <w:r w:rsidRPr="009A439E">
        <w:rPr>
          <w:rFonts w:ascii="Times New Roman" w:hAnsi="Times New Roman" w:cs="Times New Roman"/>
        </w:rPr>
        <w:t xml:space="preserve">(6) evaluate its ability to meet variation margin requirements in cash at least once per </w:t>
      </w:r>
      <w:r w:rsidRPr="009A439E">
        <w:rPr>
          <w:rFonts w:ascii="Times New Roman" w:hAnsi="Times New Roman" w:cs="Times New Roman"/>
        </w:rPr>
        <w:t>week;</w:t>
      </w:r>
    </w:p>
    <w:p w:rsidR="009A439E" w:rsidRPr="009A439E" w:rsidP="00261FEC" w14:paraId="562FBE0D" w14:textId="6873B502">
      <w:pPr>
        <w:pStyle w:val="Default"/>
        <w:spacing w:after="240"/>
        <w:rPr>
          <w:rFonts w:ascii="Times New Roman" w:hAnsi="Times New Roman" w:cs="Times New Roman"/>
        </w:rPr>
      </w:pPr>
      <w:r w:rsidRPr="009A439E">
        <w:rPr>
          <w:rFonts w:ascii="Times New Roman" w:hAnsi="Times New Roman" w:cs="Times New Roman"/>
        </w:rPr>
        <w:t>(7) evaluate its ability to liquidate the positions it clears</w:t>
      </w:r>
      <w:r w:rsidR="000645B1">
        <w:rPr>
          <w:rFonts w:ascii="Times New Roman" w:hAnsi="Times New Roman" w:cs="Times New Roman"/>
        </w:rPr>
        <w:t>,</w:t>
      </w:r>
      <w:r w:rsidRPr="009A439E">
        <w:rPr>
          <w:rFonts w:ascii="Times New Roman" w:hAnsi="Times New Roman" w:cs="Times New Roman"/>
        </w:rPr>
        <w:t xml:space="preserve"> in an orderly manner, and estimate the cost of the liquidation</w:t>
      </w:r>
      <w:r w:rsidR="00EE7818">
        <w:rPr>
          <w:rFonts w:ascii="Times New Roman" w:hAnsi="Times New Roman" w:cs="Times New Roman"/>
        </w:rPr>
        <w:t>, and for FCMs,</w:t>
      </w:r>
      <w:r w:rsidR="00140F08">
        <w:rPr>
          <w:rFonts w:ascii="Times New Roman" w:hAnsi="Times New Roman" w:cs="Times New Roman"/>
        </w:rPr>
        <w:t xml:space="preserve"> the evaluation must be done at least once per quarter</w:t>
      </w:r>
      <w:r w:rsidR="00BA5D7C">
        <w:rPr>
          <w:rFonts w:ascii="Times New Roman" w:hAnsi="Times New Roman" w:cs="Times New Roman"/>
        </w:rPr>
        <w:t xml:space="preserve"> </w:t>
      </w:r>
      <w:r w:rsidRPr="00BA5D7C" w:rsidR="00BA5D7C">
        <w:rPr>
          <w:rFonts w:ascii="Times New Roman" w:hAnsi="Times New Roman" w:cs="Times New Roman"/>
        </w:rPr>
        <w:t>and conducted for all positions in the proprietary and customer accounts</w:t>
      </w:r>
      <w:r w:rsidRPr="009A439E">
        <w:rPr>
          <w:rFonts w:ascii="Times New Roman" w:hAnsi="Times New Roman" w:cs="Times New Roman"/>
        </w:rPr>
        <w:t>; and</w:t>
      </w:r>
    </w:p>
    <w:p w:rsidR="009A439E" w:rsidRPr="009A439E" w:rsidP="00261FEC" w14:paraId="0C2E5B3E" w14:textId="2140FFC7">
      <w:pPr>
        <w:pStyle w:val="Default"/>
        <w:spacing w:after="240"/>
        <w:jc w:val="both"/>
        <w:rPr>
          <w:rFonts w:ascii="Times New Roman" w:hAnsi="Times New Roman" w:cs="Times New Roman"/>
        </w:rPr>
      </w:pPr>
      <w:r w:rsidRPr="009A439E">
        <w:rPr>
          <w:rFonts w:ascii="Times New Roman" w:hAnsi="Times New Roman" w:cs="Times New Roman"/>
        </w:rPr>
        <w:t xml:space="preserve">(8) test all lines of credit at least once per </w:t>
      </w:r>
      <w:r w:rsidR="00653E6B">
        <w:rPr>
          <w:rFonts w:ascii="Times New Roman" w:hAnsi="Times New Roman" w:cs="Times New Roman"/>
        </w:rPr>
        <w:t>year</w:t>
      </w:r>
      <w:r w:rsidRPr="009A439E">
        <w:rPr>
          <w:rFonts w:ascii="Times New Roman" w:hAnsi="Times New Roman" w:cs="Times New Roman"/>
        </w:rPr>
        <w:t>.</w:t>
      </w:r>
    </w:p>
    <w:p w:rsidR="009A439E" w:rsidRPr="009A439E" w:rsidP="00261FEC" w14:paraId="4AB10214" w14:textId="1552B6A9">
      <w:pPr>
        <w:pStyle w:val="Default"/>
        <w:spacing w:after="240"/>
        <w:jc w:val="both"/>
        <w:rPr>
          <w:rFonts w:ascii="Times New Roman" w:hAnsi="Times New Roman" w:cs="Times New Roman"/>
        </w:rPr>
      </w:pPr>
      <w:r w:rsidRPr="009A439E">
        <w:rPr>
          <w:rFonts w:ascii="Times New Roman" w:hAnsi="Times New Roman" w:cs="Times New Roman"/>
        </w:rPr>
        <w:t xml:space="preserve">Each of these items has been observed by Commission staff as an element of an existing sound risk management program at an </w:t>
      </w:r>
      <w:r w:rsidR="004E71B6">
        <w:rPr>
          <w:rFonts w:ascii="Times New Roman" w:hAnsi="Times New Roman" w:cs="Times New Roman"/>
        </w:rPr>
        <w:t xml:space="preserve">FCM, </w:t>
      </w:r>
      <w:r w:rsidRPr="009A439E">
        <w:rPr>
          <w:rFonts w:ascii="Times New Roman" w:hAnsi="Times New Roman" w:cs="Times New Roman"/>
        </w:rPr>
        <w:t xml:space="preserve">SD, </w:t>
      </w:r>
      <w:r w:rsidR="004E71B6">
        <w:rPr>
          <w:rFonts w:ascii="Times New Roman" w:hAnsi="Times New Roman" w:cs="Times New Roman"/>
        </w:rPr>
        <w:t xml:space="preserve">or </w:t>
      </w:r>
      <w:r w:rsidRPr="009A439E">
        <w:rPr>
          <w:rFonts w:ascii="Times New Roman" w:hAnsi="Times New Roman" w:cs="Times New Roman"/>
        </w:rPr>
        <w:t xml:space="preserve">MSP.  The Commission regulations require each </w:t>
      </w:r>
      <w:bookmarkStart w:id="0" w:name="_Hlk189031637"/>
      <w:r w:rsidR="003E353F">
        <w:rPr>
          <w:rFonts w:ascii="Times New Roman" w:hAnsi="Times New Roman" w:cs="Times New Roman"/>
        </w:rPr>
        <w:t xml:space="preserve">FCM, SD, or MSP </w:t>
      </w:r>
      <w:bookmarkEnd w:id="0"/>
      <w:r w:rsidRPr="009A439E">
        <w:rPr>
          <w:rFonts w:ascii="Times New Roman" w:hAnsi="Times New Roman" w:cs="Times New Roman"/>
        </w:rPr>
        <w:t xml:space="preserve">clearing member to establish written procedures to comply with </w:t>
      </w:r>
      <w:r w:rsidR="00275AAB">
        <w:rPr>
          <w:rFonts w:ascii="Times New Roman" w:hAnsi="Times New Roman" w:cs="Times New Roman"/>
        </w:rPr>
        <w:t>these</w:t>
      </w:r>
      <w:r w:rsidRPr="009A439E" w:rsidR="00275AAB">
        <w:rPr>
          <w:rFonts w:ascii="Times New Roman" w:hAnsi="Times New Roman" w:cs="Times New Roman"/>
        </w:rPr>
        <w:t xml:space="preserve"> </w:t>
      </w:r>
      <w:r w:rsidRPr="009A439E">
        <w:rPr>
          <w:rFonts w:ascii="Times New Roman" w:hAnsi="Times New Roman" w:cs="Times New Roman"/>
        </w:rPr>
        <w:t>regulation</w:t>
      </w:r>
      <w:r w:rsidR="00275AAB">
        <w:rPr>
          <w:rFonts w:ascii="Times New Roman" w:hAnsi="Times New Roman" w:cs="Times New Roman"/>
        </w:rPr>
        <w:t>s</w:t>
      </w:r>
      <w:r w:rsidRPr="009A439E">
        <w:rPr>
          <w:rFonts w:ascii="Times New Roman" w:hAnsi="Times New Roman" w:cs="Times New Roman"/>
        </w:rPr>
        <w:t xml:space="preserve"> and to keep records documenting its compliance.</w:t>
      </w:r>
    </w:p>
    <w:p w:rsidR="00836BA0" w:rsidP="00261FEC" w14:paraId="0067602D" w14:textId="5557F5D3">
      <w:pPr>
        <w:widowControl w:val="0"/>
        <w:spacing w:after="240"/>
        <w:jc w:val="both"/>
        <w:rPr>
          <w:rFonts w:ascii="Times New Roman" w:hAnsi="Times New Roman"/>
        </w:rPr>
      </w:pPr>
      <w:r w:rsidRPr="00E00E56">
        <w:rPr>
          <w:rFonts w:ascii="Times New Roman" w:hAnsi="Times New Roman"/>
        </w:rPr>
        <w:t xml:space="preserve">As discussed further below, the additional information collection burden arising from the regulations primarily is restricted to the costs associated with the affected registrants’ obligation to </w:t>
      </w:r>
      <w:r w:rsidRPr="001E00AD">
        <w:rPr>
          <w:rFonts w:ascii="Times New Roman" w:hAnsi="Times New Roman"/>
        </w:rPr>
        <w:t>maintain record</w:t>
      </w:r>
      <w:r w:rsidRPr="001E00AD" w:rsidR="001E00AD">
        <w:rPr>
          <w:rFonts w:ascii="Times New Roman" w:hAnsi="Times New Roman"/>
        </w:rPr>
        <w:t xml:space="preserve">s related to clearing documentation between the customer and </w:t>
      </w:r>
      <w:r>
        <w:rPr>
          <w:rFonts w:ascii="Times New Roman" w:hAnsi="Times New Roman"/>
        </w:rPr>
        <w:t>the customer’s</w:t>
      </w:r>
      <w:r w:rsidRPr="001E00AD" w:rsidR="001E00AD">
        <w:rPr>
          <w:rFonts w:ascii="Times New Roman" w:hAnsi="Times New Roman"/>
        </w:rPr>
        <w:t xml:space="preserve"> clearing member</w:t>
      </w:r>
      <w:r>
        <w:rPr>
          <w:rFonts w:ascii="Times New Roman" w:hAnsi="Times New Roman"/>
        </w:rPr>
        <w:t>.</w:t>
      </w:r>
    </w:p>
    <w:p w:rsidR="00E00E56" w:rsidP="00851C73" w14:paraId="0067602F" w14:textId="6327DC0D">
      <w:pPr>
        <w:widowControl w:val="0"/>
        <w:spacing w:after="240"/>
        <w:jc w:val="both"/>
        <w:rPr>
          <w:rFonts w:ascii="Times New Roman" w:hAnsi="Times New Roman"/>
        </w:rPr>
      </w:pPr>
      <w:r w:rsidRPr="00E00E56">
        <w:rPr>
          <w:rFonts w:ascii="Times New Roman" w:hAnsi="Times New Roman"/>
        </w:rPr>
        <w:t>The information collection obligations imposed by the</w:t>
      </w:r>
      <w:r w:rsidR="002E37FA">
        <w:rPr>
          <w:rFonts w:ascii="Times New Roman" w:hAnsi="Times New Roman"/>
        </w:rPr>
        <w:t>se</w:t>
      </w:r>
      <w:r w:rsidRPr="00E00E56">
        <w:rPr>
          <w:rFonts w:ascii="Times New Roman" w:hAnsi="Times New Roman"/>
        </w:rPr>
        <w:t xml:space="preserve"> regulations are necessary to implement certain provisions of the CEA, including ensuring that registrants exercise effective risk management and for the efficient operation of </w:t>
      </w:r>
      <w:r w:rsidR="001E4338">
        <w:rPr>
          <w:rFonts w:ascii="Times New Roman" w:hAnsi="Times New Roman"/>
        </w:rPr>
        <w:t>clearing member risk management at</w:t>
      </w:r>
      <w:r w:rsidRPr="00E00E56">
        <w:rPr>
          <w:rFonts w:ascii="Times New Roman" w:hAnsi="Times New Roman"/>
        </w:rPr>
        <w:t xml:space="preserve"> </w:t>
      </w:r>
      <w:r w:rsidR="00515410">
        <w:rPr>
          <w:rFonts w:ascii="Times New Roman" w:hAnsi="Times New Roman"/>
        </w:rPr>
        <w:t xml:space="preserve">FCMs, </w:t>
      </w:r>
      <w:r w:rsidRPr="00E00E56">
        <w:rPr>
          <w:rFonts w:ascii="Times New Roman" w:hAnsi="Times New Roman"/>
        </w:rPr>
        <w:t xml:space="preserve">SDs, </w:t>
      </w:r>
      <w:r w:rsidR="00515410">
        <w:rPr>
          <w:rFonts w:ascii="Times New Roman" w:hAnsi="Times New Roman"/>
        </w:rPr>
        <w:t xml:space="preserve">and </w:t>
      </w:r>
      <w:r w:rsidRPr="00E00E56">
        <w:rPr>
          <w:rFonts w:ascii="Times New Roman" w:hAnsi="Times New Roman"/>
        </w:rPr>
        <w:t>MSPs</w:t>
      </w:r>
      <w:r w:rsidR="00AB6D35">
        <w:rPr>
          <w:rFonts w:ascii="Times New Roman" w:hAnsi="Times New Roman"/>
        </w:rPr>
        <w:t xml:space="preserve"> that are clearing members</w:t>
      </w:r>
      <w:r w:rsidRPr="00E00E56">
        <w:rPr>
          <w:rFonts w:ascii="Times New Roman" w:hAnsi="Times New Roman"/>
        </w:rPr>
        <w:t xml:space="preserve">, </w:t>
      </w:r>
      <w:r w:rsidR="001E4338">
        <w:rPr>
          <w:rFonts w:ascii="Times New Roman" w:hAnsi="Times New Roman"/>
        </w:rPr>
        <w:t>in order to</w:t>
      </w:r>
      <w:r w:rsidR="001E4338">
        <w:rPr>
          <w:rFonts w:ascii="Times New Roman" w:hAnsi="Times New Roman"/>
        </w:rPr>
        <w:t xml:space="preserve"> maintain financial stability at</w:t>
      </w:r>
      <w:r w:rsidR="00F25429">
        <w:rPr>
          <w:rFonts w:ascii="Times New Roman" w:hAnsi="Times New Roman"/>
        </w:rPr>
        <w:t xml:space="preserve"> derivatives clearing organizations</w:t>
      </w:r>
      <w:r w:rsidRPr="00E00E56">
        <w:rPr>
          <w:rFonts w:ascii="Times New Roman" w:hAnsi="Times New Roman"/>
        </w:rPr>
        <w:t xml:space="preserve"> </w:t>
      </w:r>
      <w:r w:rsidR="00F25429">
        <w:rPr>
          <w:rFonts w:ascii="Times New Roman" w:hAnsi="Times New Roman"/>
        </w:rPr>
        <w:t>(“</w:t>
      </w:r>
      <w:r w:rsidRPr="00E00E56">
        <w:rPr>
          <w:rFonts w:ascii="Times New Roman" w:hAnsi="Times New Roman"/>
        </w:rPr>
        <w:t>DCOs</w:t>
      </w:r>
      <w:r w:rsidR="00F25429">
        <w:rPr>
          <w:rFonts w:ascii="Times New Roman" w:hAnsi="Times New Roman"/>
        </w:rPr>
        <w:t>”)</w:t>
      </w:r>
      <w:r w:rsidRPr="00E00E56">
        <w:rPr>
          <w:rFonts w:ascii="Times New Roman" w:hAnsi="Times New Roman"/>
        </w:rPr>
        <w:t>.</w:t>
      </w:r>
    </w:p>
    <w:p w:rsidR="00871E47" w:rsidP="00851C73" w14:paraId="00676031" w14:textId="5DA9E098">
      <w:pPr>
        <w:tabs>
          <w:tab w:val="left" w:pos="-720"/>
        </w:tabs>
        <w:spacing w:after="240"/>
        <w:ind w:left="720" w:hanging="720"/>
        <w:jc w:val="both"/>
        <w:rPr>
          <w:rFonts w:ascii="Times New Roman" w:hAnsi="Times New Roman"/>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871E47" w:rsidP="00213A1A" w14:paraId="00676033" w14:textId="2C8A8807">
      <w:pPr>
        <w:pStyle w:val="Default"/>
        <w:spacing w:after="240"/>
        <w:jc w:val="both"/>
        <w:rPr>
          <w:rFonts w:ascii="Times New Roman" w:hAnsi="Times New Roman"/>
        </w:rPr>
      </w:pPr>
      <w:r>
        <w:rPr>
          <w:rFonts w:ascii="Times New Roman" w:hAnsi="Times New Roman"/>
        </w:rPr>
        <w:t xml:space="preserve">The regulations </w:t>
      </w:r>
      <w:r w:rsidR="00B57E8F">
        <w:rPr>
          <w:rFonts w:ascii="Times New Roman" w:hAnsi="Times New Roman"/>
        </w:rPr>
        <w:t>are</w:t>
      </w:r>
      <w:r>
        <w:rPr>
          <w:rFonts w:ascii="Times New Roman" w:hAnsi="Times New Roman"/>
        </w:rPr>
        <w:t xml:space="preserve"> an important part of the Commission’s regulatory program for </w:t>
      </w:r>
      <w:r w:rsidR="00717CFF">
        <w:rPr>
          <w:rFonts w:ascii="Times New Roman" w:hAnsi="Times New Roman"/>
        </w:rPr>
        <w:t xml:space="preserve">FCMs, </w:t>
      </w:r>
      <w:r w:rsidR="00F25429">
        <w:rPr>
          <w:rFonts w:ascii="Times New Roman" w:hAnsi="Times New Roman"/>
        </w:rPr>
        <w:t>SDs</w:t>
      </w:r>
      <w:r w:rsidRPr="0018668F" w:rsidR="0018668F">
        <w:rPr>
          <w:rFonts w:ascii="Times New Roman" w:hAnsi="Times New Roman"/>
        </w:rPr>
        <w:t>,</w:t>
      </w:r>
      <w:r w:rsidRPr="0018668F">
        <w:rPr>
          <w:rFonts w:ascii="Times New Roman" w:hAnsi="Times New Roman"/>
        </w:rPr>
        <w:t xml:space="preserve"> </w:t>
      </w:r>
      <w:r w:rsidR="00F25429">
        <w:rPr>
          <w:rFonts w:ascii="Times New Roman" w:hAnsi="Times New Roman"/>
        </w:rPr>
        <w:t>MSP</w:t>
      </w:r>
      <w:r w:rsidRPr="0018668F">
        <w:rPr>
          <w:rFonts w:ascii="Times New Roman" w:hAnsi="Times New Roman"/>
        </w:rPr>
        <w:t>s</w:t>
      </w:r>
      <w:r w:rsidR="0018668F">
        <w:rPr>
          <w:rFonts w:ascii="Times New Roman" w:hAnsi="Times New Roman"/>
        </w:rPr>
        <w:t xml:space="preserve">, and </w:t>
      </w:r>
      <w:r w:rsidR="00F25429">
        <w:rPr>
          <w:rFonts w:ascii="Times New Roman" w:hAnsi="Times New Roman"/>
        </w:rPr>
        <w:t>DCO</w:t>
      </w:r>
      <w:r w:rsidR="0018668F">
        <w:rPr>
          <w:rFonts w:ascii="Times New Roman" w:hAnsi="Times New Roman"/>
        </w:rPr>
        <w:t>s</w:t>
      </w:r>
      <w:r>
        <w:rPr>
          <w:rFonts w:ascii="Times New Roman" w:hAnsi="Times New Roman"/>
        </w:rPr>
        <w:t xml:space="preserve">.  The information required to be </w:t>
      </w:r>
      <w:r w:rsidR="00793A4A">
        <w:rPr>
          <w:rFonts w:ascii="Times New Roman" w:hAnsi="Times New Roman"/>
        </w:rPr>
        <w:t xml:space="preserve">collected and </w:t>
      </w:r>
      <w:r>
        <w:rPr>
          <w:rFonts w:ascii="Times New Roman" w:hAnsi="Times New Roman"/>
        </w:rPr>
        <w:t xml:space="preserve">preserved </w:t>
      </w:r>
      <w:r w:rsidR="00793A4A">
        <w:rPr>
          <w:rFonts w:ascii="Times New Roman" w:hAnsi="Times New Roman"/>
        </w:rPr>
        <w:t xml:space="preserve">is </w:t>
      </w:r>
      <w:r>
        <w:rPr>
          <w:rFonts w:ascii="Times New Roman" w:hAnsi="Times New Roman"/>
        </w:rPr>
        <w:t>used by representatives of the Commission to ensure compliance with the CEA and applicable Commission regulations.</w:t>
      </w:r>
    </w:p>
    <w:p w:rsidR="00871E47" w:rsidP="00261FEC" w14:paraId="00676034" w14:textId="77777777">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71E47" w:rsidP="00261FEC" w14:paraId="00676035" w14:textId="11B6CA28">
      <w:pPr>
        <w:tabs>
          <w:tab w:val="left" w:pos="-720"/>
          <w:tab w:val="left" w:pos="0"/>
        </w:tabs>
        <w:spacing w:after="240"/>
        <w:jc w:val="both"/>
        <w:rPr>
          <w:rFonts w:ascii="Times New Roman" w:hAnsi="Times New Roman"/>
        </w:rPr>
      </w:pPr>
      <w:r w:rsidRPr="00CB268D">
        <w:rPr>
          <w:rFonts w:ascii="Times New Roman" w:hAnsi="Times New Roman"/>
        </w:rPr>
        <w:t xml:space="preserve">The regulations require that recordkeeping generally be performed in accordance with Commission regulation 1.31, which permits the use of electronic </w:t>
      </w:r>
      <w:r w:rsidR="00F90B95">
        <w:rPr>
          <w:rFonts w:ascii="Times New Roman" w:hAnsi="Times New Roman"/>
        </w:rPr>
        <w:t>regulatory records</w:t>
      </w:r>
      <w:r w:rsidRPr="00CB268D">
        <w:rPr>
          <w:rFonts w:ascii="Times New Roman" w:hAnsi="Times New Roman"/>
        </w:rPr>
        <w:t>.</w:t>
      </w:r>
    </w:p>
    <w:p w:rsidR="00871E47" w:rsidP="00261FEC" w14:paraId="00676036" w14:textId="77777777">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71E47" w:rsidP="00261FEC" w14:paraId="00676037" w14:textId="2B1504D0">
      <w:pPr>
        <w:tabs>
          <w:tab w:val="left" w:pos="-720"/>
        </w:tabs>
        <w:spacing w:after="240"/>
        <w:jc w:val="both"/>
        <w:rPr>
          <w:rFonts w:ascii="Times New Roman" w:hAnsi="Times New Roman"/>
        </w:rPr>
      </w:pPr>
      <w:r>
        <w:rPr>
          <w:rFonts w:ascii="Times New Roman" w:hAnsi="Times New Roman"/>
        </w:rPr>
        <w:t xml:space="preserve">The regulations were designed to require </w:t>
      </w:r>
      <w:r w:rsidR="007F3028">
        <w:rPr>
          <w:rFonts w:ascii="Times New Roman" w:hAnsi="Times New Roman"/>
        </w:rPr>
        <w:t xml:space="preserve">FCMs, </w:t>
      </w:r>
      <w:r>
        <w:rPr>
          <w:rFonts w:ascii="Times New Roman" w:hAnsi="Times New Roman"/>
        </w:rPr>
        <w:t xml:space="preserve">SDs, </w:t>
      </w:r>
      <w:r w:rsidR="007F3028">
        <w:rPr>
          <w:rFonts w:ascii="Times New Roman" w:hAnsi="Times New Roman"/>
        </w:rPr>
        <w:t xml:space="preserve">and </w:t>
      </w:r>
      <w:r>
        <w:rPr>
          <w:rFonts w:ascii="Times New Roman" w:hAnsi="Times New Roman"/>
        </w:rPr>
        <w:t xml:space="preserve">MSPs to collect and preserve certain information </w:t>
      </w:r>
      <w:r w:rsidR="007964F6">
        <w:rPr>
          <w:rFonts w:ascii="Times New Roman" w:hAnsi="Times New Roman"/>
        </w:rPr>
        <w:t>as part of the new compliance regime established for</w:t>
      </w:r>
      <w:r w:rsidRPr="00CB268D" w:rsidR="009B4E2E">
        <w:rPr>
          <w:rFonts w:ascii="Times New Roman" w:hAnsi="Times New Roman"/>
        </w:rPr>
        <w:t xml:space="preserve"> new categories of registrants under the Dodd-Frank Act.  Accordingly, the required information is not already collected by the Commission for any other purpose.  It also is not collected by any other agency or available for public disclosure through any other source.</w:t>
      </w:r>
      <w:r w:rsidR="009B4E2E">
        <w:rPr>
          <w:rFonts w:ascii="Times New Roman" w:hAnsi="Times New Roman"/>
        </w:rPr>
        <w:t xml:space="preserve"> </w:t>
      </w:r>
    </w:p>
    <w:p w:rsidR="00871E47" w:rsidP="00261FEC" w14:paraId="00676038" w14:textId="77777777">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rsidR="00871E47" w:rsidP="00261FEC" w14:paraId="00676039" w14:textId="5991319C">
      <w:pPr>
        <w:tabs>
          <w:tab w:val="left" w:pos="-720"/>
        </w:tabs>
        <w:spacing w:after="240"/>
        <w:jc w:val="both"/>
        <w:rPr>
          <w:rFonts w:ascii="Times New Roman" w:hAnsi="Times New Roman"/>
        </w:rPr>
      </w:pPr>
      <w:r>
        <w:rPr>
          <w:rFonts w:ascii="Times New Roman" w:hAnsi="Times New Roman"/>
        </w:rPr>
        <w:t>The collection of the required information does not involve any small businesses or small entities.</w:t>
      </w:r>
    </w:p>
    <w:p w:rsidR="00871E47" w:rsidP="00261FEC" w14:paraId="0067603A" w14:textId="77777777">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871E47" w:rsidP="00261FEC" w14:paraId="0067603C" w14:textId="5B8E05A7">
      <w:pPr>
        <w:pStyle w:val="Default"/>
        <w:spacing w:after="240"/>
        <w:jc w:val="both"/>
        <w:rPr>
          <w:rFonts w:ascii="Times New Roman" w:hAnsi="Times New Roman" w:cs="Times New Roman"/>
        </w:rPr>
      </w:pPr>
      <w:r>
        <w:rPr>
          <w:rFonts w:ascii="Times New Roman" w:hAnsi="Times New Roman" w:cs="Times New Roman"/>
        </w:rPr>
        <w:t>Failure to maintain the records required by the</w:t>
      </w:r>
      <w:r w:rsidR="00924151">
        <w:rPr>
          <w:rFonts w:ascii="Times New Roman" w:hAnsi="Times New Roman" w:cs="Times New Roman"/>
        </w:rPr>
        <w:t xml:space="preserve">se </w:t>
      </w:r>
      <w:r>
        <w:rPr>
          <w:rFonts w:ascii="Times New Roman" w:hAnsi="Times New Roman" w:cs="Times New Roman"/>
        </w:rPr>
        <w:t xml:space="preserve">regulations would adversely affect the Commission’s ability to ensure that </w:t>
      </w:r>
      <w:r w:rsidR="000737CC">
        <w:rPr>
          <w:rFonts w:ascii="Times New Roman" w:hAnsi="Times New Roman" w:cs="Times New Roman"/>
        </w:rPr>
        <w:t xml:space="preserve">FCMs, </w:t>
      </w:r>
      <w:r w:rsidR="00924151">
        <w:rPr>
          <w:rFonts w:ascii="Times New Roman" w:hAnsi="Times New Roman" w:cs="Times New Roman"/>
        </w:rPr>
        <w:t>SDs</w:t>
      </w:r>
      <w:r w:rsidRPr="00CB268D" w:rsidR="00CB268D">
        <w:rPr>
          <w:rFonts w:ascii="Times New Roman" w:hAnsi="Times New Roman" w:cs="Times New Roman"/>
        </w:rPr>
        <w:t>,</w:t>
      </w:r>
      <w:r w:rsidRPr="00CB268D">
        <w:rPr>
          <w:rFonts w:ascii="Times New Roman" w:hAnsi="Times New Roman" w:cs="Times New Roman"/>
        </w:rPr>
        <w:t xml:space="preserve"> </w:t>
      </w:r>
      <w:r w:rsidR="00924151">
        <w:rPr>
          <w:rFonts w:ascii="Times New Roman" w:hAnsi="Times New Roman" w:cs="Times New Roman"/>
        </w:rPr>
        <w:t>MSP</w:t>
      </w:r>
      <w:r w:rsidRPr="00CB268D">
        <w:rPr>
          <w:rFonts w:ascii="Times New Roman" w:hAnsi="Times New Roman" w:cs="Times New Roman"/>
        </w:rPr>
        <w:t>s</w:t>
      </w:r>
      <w:r w:rsidR="00CB268D">
        <w:rPr>
          <w:rFonts w:ascii="Times New Roman" w:hAnsi="Times New Roman" w:cs="Times New Roman"/>
        </w:rPr>
        <w:t xml:space="preserve">, and </w:t>
      </w:r>
      <w:r w:rsidR="00924151">
        <w:rPr>
          <w:rFonts w:ascii="Times New Roman" w:hAnsi="Times New Roman" w:cs="Times New Roman"/>
        </w:rPr>
        <w:t>DCOs</w:t>
      </w:r>
      <w:r>
        <w:rPr>
          <w:rFonts w:ascii="Times New Roman" w:hAnsi="Times New Roman" w:cs="Times New Roman"/>
        </w:rPr>
        <w:t xml:space="preserve"> comply with their </w:t>
      </w:r>
      <w:r w:rsidR="00CB268D">
        <w:rPr>
          <w:rFonts w:ascii="Times New Roman" w:hAnsi="Times New Roman" w:cs="Times New Roman"/>
        </w:rPr>
        <w:t>recordkeeping and documentation</w:t>
      </w:r>
      <w:r>
        <w:rPr>
          <w:rFonts w:ascii="Times New Roman" w:hAnsi="Times New Roman" w:cs="Times New Roman"/>
        </w:rPr>
        <w:t xml:space="preserve"> obligations under the CEA and Commission regulations.  </w:t>
      </w:r>
      <w:r w:rsidRPr="0018668F">
        <w:rPr>
          <w:rFonts w:ascii="Times New Roman" w:hAnsi="Times New Roman" w:cs="Times New Roman"/>
        </w:rPr>
        <w:t>Failure to comply with the</w:t>
      </w:r>
      <w:r w:rsidR="00924151">
        <w:rPr>
          <w:rFonts w:ascii="Times New Roman" w:hAnsi="Times New Roman" w:cs="Times New Roman"/>
        </w:rPr>
        <w:t>se</w:t>
      </w:r>
      <w:r w:rsidRPr="0018668F">
        <w:rPr>
          <w:rFonts w:ascii="Times New Roman" w:hAnsi="Times New Roman" w:cs="Times New Roman"/>
        </w:rPr>
        <w:t xml:space="preserve"> </w:t>
      </w:r>
      <w:r w:rsidRPr="0018668F" w:rsidR="00CB268D">
        <w:rPr>
          <w:rFonts w:ascii="Times New Roman" w:hAnsi="Times New Roman" w:cs="Times New Roman"/>
        </w:rPr>
        <w:t>recordkeeping and</w:t>
      </w:r>
      <w:r w:rsidRPr="0018668F">
        <w:rPr>
          <w:rFonts w:ascii="Times New Roman" w:hAnsi="Times New Roman" w:cs="Times New Roman"/>
        </w:rPr>
        <w:t xml:space="preserve"> </w:t>
      </w:r>
      <w:r w:rsidR="00924151">
        <w:rPr>
          <w:rFonts w:ascii="Times New Roman" w:hAnsi="Times New Roman" w:cs="Times New Roman"/>
        </w:rPr>
        <w:t xml:space="preserve">documentation </w:t>
      </w:r>
      <w:r w:rsidRPr="0018668F">
        <w:rPr>
          <w:rFonts w:ascii="Times New Roman" w:hAnsi="Times New Roman" w:cs="Times New Roman"/>
        </w:rPr>
        <w:t>requirements would pr</w:t>
      </w:r>
      <w:r w:rsidR="00924151">
        <w:rPr>
          <w:rFonts w:ascii="Times New Roman" w:hAnsi="Times New Roman" w:cs="Times New Roman"/>
        </w:rPr>
        <w:t>event</w:t>
      </w:r>
      <w:r w:rsidRPr="0018668F">
        <w:rPr>
          <w:rFonts w:ascii="Times New Roman" w:hAnsi="Times New Roman" w:cs="Times New Roman"/>
        </w:rPr>
        <w:t xml:space="preserve"> the Commission from </w:t>
      </w:r>
      <w:r w:rsidR="0018668F">
        <w:rPr>
          <w:rFonts w:ascii="Times New Roman" w:hAnsi="Times New Roman" w:cs="Times New Roman"/>
        </w:rPr>
        <w:t xml:space="preserve">ensuring that registrants exercise </w:t>
      </w:r>
      <w:r w:rsidRPr="0018668F" w:rsidR="0018668F">
        <w:rPr>
          <w:rFonts w:ascii="Times New Roman" w:hAnsi="Times New Roman" w:cs="Times New Roman"/>
        </w:rPr>
        <w:t>effective</w:t>
      </w:r>
      <w:r w:rsidR="00924151">
        <w:rPr>
          <w:rFonts w:ascii="Times New Roman" w:hAnsi="Times New Roman" w:cs="Times New Roman"/>
        </w:rPr>
        <w:t xml:space="preserve"> clearing member</w:t>
      </w:r>
      <w:r w:rsidRPr="0018668F" w:rsidR="0018668F">
        <w:rPr>
          <w:rFonts w:ascii="Times New Roman" w:hAnsi="Times New Roman" w:cs="Times New Roman"/>
        </w:rPr>
        <w:t xml:space="preserve"> risk management </w:t>
      </w:r>
      <w:r w:rsidR="00924151">
        <w:rPr>
          <w:rFonts w:ascii="Times New Roman" w:hAnsi="Times New Roman" w:cs="Times New Roman"/>
        </w:rPr>
        <w:t>at</w:t>
      </w:r>
      <w:r w:rsidRPr="0018668F" w:rsidR="0018668F">
        <w:rPr>
          <w:rFonts w:ascii="Times New Roman" w:hAnsi="Times New Roman" w:cs="Times New Roman"/>
        </w:rPr>
        <w:t xml:space="preserve"> </w:t>
      </w:r>
      <w:r w:rsidR="00BC22FC">
        <w:rPr>
          <w:rFonts w:ascii="Times New Roman" w:hAnsi="Times New Roman" w:cs="Times New Roman"/>
        </w:rPr>
        <w:t xml:space="preserve">FCMs, </w:t>
      </w:r>
      <w:r w:rsidRPr="0018668F" w:rsidR="0018668F">
        <w:rPr>
          <w:rFonts w:ascii="Times New Roman" w:hAnsi="Times New Roman" w:cs="Times New Roman"/>
        </w:rPr>
        <w:t>SDs, MSPs, and DCOs</w:t>
      </w:r>
      <w:r w:rsidRPr="0018668F">
        <w:rPr>
          <w:rFonts w:ascii="Times New Roman" w:hAnsi="Times New Roman" w:cs="Times New Roman"/>
        </w:rPr>
        <w:t>.</w:t>
      </w:r>
    </w:p>
    <w:p w:rsidR="00871E47" w:rsidP="00261FEC" w14:paraId="0067603D" w14:textId="7777777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871E47" w:rsidP="00261FEC" w14:paraId="0067603E"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report information to the agency more often than </w:t>
      </w:r>
      <w:r>
        <w:rPr>
          <w:rFonts w:ascii="Times New Roman" w:hAnsi="Times New Roman"/>
          <w:b/>
        </w:rPr>
        <w:t>quarterly;</w:t>
      </w:r>
    </w:p>
    <w:p w:rsidR="00871E47" w:rsidP="00261FEC" w14:paraId="0067603F" w14:textId="727BAD02">
      <w:pPr>
        <w:tabs>
          <w:tab w:val="left" w:pos="-720"/>
          <w:tab w:val="left" w:pos="0"/>
          <w:tab w:val="left" w:pos="720"/>
        </w:tabs>
        <w:spacing w:after="240"/>
        <w:jc w:val="both"/>
        <w:rPr>
          <w:rFonts w:ascii="Times New Roman" w:hAnsi="Times New Roman"/>
        </w:rPr>
      </w:pPr>
      <w:r>
        <w:rPr>
          <w:rFonts w:ascii="Times New Roman" w:hAnsi="Times New Roman"/>
        </w:rPr>
        <w:t xml:space="preserve">This </w:t>
      </w:r>
      <w:r w:rsidRPr="00CB268D">
        <w:rPr>
          <w:rFonts w:ascii="Times New Roman" w:hAnsi="Times New Roman"/>
        </w:rPr>
        <w:t>question does not apply.</w:t>
      </w:r>
      <w:r>
        <w:rPr>
          <w:rFonts w:ascii="Times New Roman" w:hAnsi="Times New Roman"/>
        </w:rPr>
        <w:t xml:space="preserve"> </w:t>
      </w:r>
      <w:r w:rsidR="001F5653">
        <w:rPr>
          <w:rFonts w:ascii="Times New Roman" w:hAnsi="Times New Roman"/>
        </w:rPr>
        <w:t>The regulations do not require respondents to report information to the agency more often than quarterly.</w:t>
      </w:r>
    </w:p>
    <w:p w:rsidR="00871E47" w:rsidP="00261FEC" w14:paraId="00676040"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71E47" w:rsidP="00261FEC" w14:paraId="00676041" w14:textId="67CBED1D">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r w:rsidR="001F5653">
        <w:rPr>
          <w:rFonts w:ascii="Times New Roman" w:hAnsi="Times New Roman"/>
        </w:rPr>
        <w:t>The regulations do not require respondents to prepare a written response in fewer than 30 days after receipt.</w:t>
      </w:r>
    </w:p>
    <w:p w:rsidR="00871E47" w:rsidP="00261FEC" w14:paraId="00676042"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submit more that an original and two copies of any </w:t>
      </w:r>
      <w:r>
        <w:rPr>
          <w:rFonts w:ascii="Times New Roman" w:hAnsi="Times New Roman"/>
          <w:b/>
        </w:rPr>
        <w:t>document;</w:t>
      </w:r>
    </w:p>
    <w:p w:rsidR="00871E47" w:rsidP="00261FEC" w14:paraId="00676043" w14:textId="77B4DA1A">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r w:rsidR="001F5653">
        <w:rPr>
          <w:rFonts w:ascii="Times New Roman" w:hAnsi="Times New Roman"/>
        </w:rPr>
        <w:t xml:space="preserve"> The regulations do not require the submission of multiple copies of required documents. </w:t>
      </w:r>
    </w:p>
    <w:p w:rsidR="00871E47" w:rsidP="00261FEC" w14:paraId="00676044"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retain records other than health, medical, government contract, grant-in-aid, or tax records, for more than three </w:t>
      </w:r>
      <w:r>
        <w:rPr>
          <w:rFonts w:ascii="Times New Roman" w:hAnsi="Times New Roman"/>
          <w:b/>
        </w:rPr>
        <w:t>years;</w:t>
      </w:r>
    </w:p>
    <w:p w:rsidR="006B7F99" w:rsidRPr="00F32B73" w:rsidP="00261FEC" w14:paraId="744F1FB6" w14:textId="7A15358F">
      <w:pPr>
        <w:tabs>
          <w:tab w:val="left" w:pos="-720"/>
          <w:tab w:val="left" w:pos="0"/>
          <w:tab w:val="left" w:pos="720"/>
        </w:tabs>
        <w:spacing w:after="240"/>
        <w:jc w:val="both"/>
        <w:rPr>
          <w:rFonts w:ascii="Times New Roman" w:hAnsi="Times New Roman"/>
        </w:rPr>
      </w:pPr>
      <w:r w:rsidRPr="00F32B73">
        <w:rPr>
          <w:rFonts w:ascii="Times New Roman" w:hAnsi="Times New Roman"/>
        </w:rPr>
        <w:t xml:space="preserve">Commission Regulation 1.31(b) expressly requires that books and records required to be kept by the CEA or Commission regulations be retained for certain specific periods.  Other than with respect to oral communications, the shortest of these periods is five years from the date of creation. All such books and records shall be open to inspection by any representative of the Commission or the U.S. Department of Justice. </w:t>
      </w:r>
    </w:p>
    <w:p w:rsidR="006B7F99" w:rsidRPr="006B7F99" w:rsidP="00261FEC" w14:paraId="145D1527" w14:textId="04CA6A21">
      <w:pPr>
        <w:pStyle w:val="ListParagraph"/>
        <w:numPr>
          <w:ilvl w:val="0"/>
          <w:numId w:val="1"/>
        </w:numPr>
        <w:tabs>
          <w:tab w:val="left" w:pos="-720"/>
          <w:tab w:val="left" w:pos="0"/>
          <w:tab w:val="left" w:pos="720"/>
        </w:tabs>
        <w:spacing w:after="240"/>
        <w:contextualSpacing w:val="0"/>
        <w:jc w:val="both"/>
        <w:rPr>
          <w:rFonts w:ascii="Times New Roman" w:hAnsi="Times New Roman"/>
        </w:rPr>
      </w:pPr>
      <w:r w:rsidRPr="006B7F99">
        <w:rPr>
          <w:rFonts w:ascii="Times New Roman" w:hAnsi="Times New Roman"/>
          <w:b/>
        </w:rPr>
        <w:t xml:space="preserve">in connection with a statistical survey, that is not designed to produce valid and reliable results that can be generalized to the universe of </w:t>
      </w:r>
      <w:r w:rsidRPr="006B7F99">
        <w:rPr>
          <w:rFonts w:ascii="Times New Roman" w:hAnsi="Times New Roman"/>
          <w:b/>
        </w:rPr>
        <w:t>study;</w:t>
      </w:r>
      <w:r w:rsidRPr="006B7F99">
        <w:rPr>
          <w:rFonts w:ascii="Times New Roman" w:hAnsi="Times New Roman"/>
          <w:b/>
        </w:rPr>
        <w:t xml:space="preserve"> </w:t>
      </w:r>
    </w:p>
    <w:p w:rsidR="006B7F99" w:rsidRPr="006B7F99" w:rsidP="00261FEC" w14:paraId="6C5C13ED" w14:textId="584A68D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require nor involve any statistical surveys.</w:t>
      </w:r>
    </w:p>
    <w:p w:rsidR="00871E47" w:rsidP="00261FEC" w14:paraId="00676049"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the use of a statistical data classification that has not been reviewed and approved by </w:t>
      </w:r>
      <w:r>
        <w:rPr>
          <w:rFonts w:ascii="Times New Roman" w:hAnsi="Times New Roman"/>
          <w:b/>
        </w:rPr>
        <w:t>OMB;</w:t>
      </w:r>
    </w:p>
    <w:p w:rsidR="00871E47" w:rsidP="00261FEC" w14:paraId="0067604A" w14:textId="22D54D54">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require nor involve the use of any statistical data classification.</w:t>
      </w:r>
    </w:p>
    <w:p w:rsidR="00871E47" w:rsidP="00261FEC" w14:paraId="0067604B"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871E47" w:rsidP="00261FEC" w14:paraId="0067604C" w14:textId="6C044A08">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require a pledge of confidentiality.</w:t>
      </w:r>
    </w:p>
    <w:p w:rsidR="00871E47" w:rsidP="00261FEC" w14:paraId="0067604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871E47" w:rsidP="00261FEC" w14:paraId="0067604E" w14:textId="09131166">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In any event, the Commission has </w:t>
      </w:r>
      <w:r w:rsidR="00C06E9A">
        <w:rPr>
          <w:rFonts w:ascii="Times New Roman" w:hAnsi="Times New Roman"/>
        </w:rPr>
        <w:t>procedures</w:t>
      </w:r>
      <w:r>
        <w:rPr>
          <w:rFonts w:ascii="Times New Roman" w:hAnsi="Times New Roman"/>
        </w:rPr>
        <w:t xml:space="preserve"> to protect the confidentiality of </w:t>
      </w:r>
      <w:r w:rsidR="00C06E9A">
        <w:rPr>
          <w:rFonts w:ascii="Times New Roman" w:hAnsi="Times New Roman"/>
        </w:rPr>
        <w:t>an applicant’s or registrant’s data.  These</w:t>
      </w:r>
      <w:r w:rsidR="00CB1142">
        <w:rPr>
          <w:rFonts w:ascii="Times New Roman" w:hAnsi="Times New Roman"/>
        </w:rPr>
        <w:t xml:space="preserve"> </w:t>
      </w:r>
      <w:r w:rsidR="00C06E9A">
        <w:rPr>
          <w:rFonts w:ascii="Times New Roman" w:hAnsi="Times New Roman"/>
        </w:rPr>
        <w:t>are set forth</w:t>
      </w:r>
      <w:r w:rsidR="00CB1142">
        <w:rPr>
          <w:rFonts w:ascii="Times New Roman" w:hAnsi="Times New Roman"/>
        </w:rPr>
        <w:t xml:space="preserve"> </w:t>
      </w:r>
      <w:r>
        <w:rPr>
          <w:rFonts w:ascii="Times New Roman" w:hAnsi="Times New Roman"/>
        </w:rPr>
        <w:t xml:space="preserve">in </w:t>
      </w:r>
      <w:r w:rsidR="00C06E9A">
        <w:rPr>
          <w:rFonts w:ascii="Times New Roman" w:hAnsi="Times New Roman"/>
        </w:rPr>
        <w:t>Commission</w:t>
      </w:r>
      <w:r w:rsidR="00B220CE">
        <w:rPr>
          <w:rFonts w:ascii="Times New Roman" w:hAnsi="Times New Roman"/>
        </w:rPr>
        <w:t xml:space="preserve"> </w:t>
      </w:r>
      <w:r w:rsidR="00C06E9A">
        <w:rPr>
          <w:rFonts w:ascii="Times New Roman" w:hAnsi="Times New Roman"/>
        </w:rPr>
        <w:t>regulations at part</w:t>
      </w:r>
      <w:r w:rsidR="00E10259">
        <w:rPr>
          <w:rFonts w:ascii="Times New Roman" w:hAnsi="Times New Roman"/>
        </w:rPr>
        <w:t>s</w:t>
      </w:r>
      <w:r w:rsidR="00C06E9A">
        <w:rPr>
          <w:rFonts w:ascii="Times New Roman" w:hAnsi="Times New Roman"/>
        </w:rPr>
        <w:t xml:space="preserve"> 145</w:t>
      </w:r>
      <w:r w:rsidR="00E10259">
        <w:rPr>
          <w:rFonts w:ascii="Times New Roman" w:hAnsi="Times New Roman"/>
        </w:rPr>
        <w:t xml:space="preserve"> and 147</w:t>
      </w:r>
      <w:r w:rsidR="00C06E9A">
        <w:rPr>
          <w:rFonts w:ascii="Times New Roman" w:hAnsi="Times New Roman"/>
        </w:rPr>
        <w:t xml:space="preserve"> of title 17 of the Code of Federal Regulations</w:t>
      </w:r>
      <w:r w:rsidR="00655144">
        <w:rPr>
          <w:rFonts w:ascii="Times New Roman" w:hAnsi="Times New Roman"/>
        </w:rPr>
        <w:t>.</w:t>
      </w:r>
    </w:p>
    <w:p w:rsidR="00871E47" w:rsidP="00261FEC" w14:paraId="0067604F" w14:textId="111D2BF6">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w:t>
      </w:r>
      <w:r>
        <w:rPr>
          <w:rFonts w:ascii="Times New Roman" w:hAnsi="Times New Roman"/>
          <w:b/>
        </w:rPr>
        <w:t>publication</w:t>
      </w:r>
      <w:r>
        <w:rPr>
          <w:rFonts w:ascii="Times New Roman" w:hAnsi="Times New Roman"/>
          <w:b/>
        </w:rPr>
        <w:t xml:space="preserve">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517DFC" w:rsidR="00517DFC">
        <w:t xml:space="preserve"> </w:t>
      </w:r>
      <w:r w:rsidRPr="00517DFC" w:rsidR="00517DFC">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207B2" w:rsidP="00261FEC" w14:paraId="349F8151" w14:textId="0DA921A9">
      <w:pPr>
        <w:pStyle w:val="TOC6"/>
        <w:tabs>
          <w:tab w:val="clear" w:pos="9360"/>
        </w:tabs>
        <w:spacing w:after="240"/>
        <w:ind w:left="0" w:firstLine="0"/>
        <w:jc w:val="both"/>
        <w:rPr>
          <w:rFonts w:ascii="Times New Roman" w:hAnsi="Times New Roman"/>
          <w:szCs w:val="24"/>
        </w:rPr>
      </w:pPr>
      <w:r w:rsidRPr="00213A1A">
        <w:rPr>
          <w:rFonts w:ascii="Times New Roman" w:hAnsi="Times New Roman"/>
          <w:iCs/>
        </w:rPr>
        <w:t>The Commission published a</w:t>
      </w:r>
      <w:r w:rsidRPr="003702D4">
        <w:rPr>
          <w:rFonts w:ascii="Times New Roman" w:hAnsi="Times New Roman"/>
          <w:i/>
        </w:rPr>
        <w:t xml:space="preserve"> Notice of Intent to Extend Collection 3038-00</w:t>
      </w:r>
      <w:r>
        <w:rPr>
          <w:rFonts w:ascii="Times New Roman" w:hAnsi="Times New Roman"/>
          <w:i/>
        </w:rPr>
        <w:t>94</w:t>
      </w:r>
      <w:r w:rsidRPr="003702D4">
        <w:rPr>
          <w:rFonts w:ascii="Times New Roman" w:hAnsi="Times New Roman"/>
          <w:i/>
        </w:rPr>
        <w:t xml:space="preserve">: </w:t>
      </w:r>
      <w:r w:rsidRPr="003207B2">
        <w:rPr>
          <w:rFonts w:ascii="Times New Roman" w:hAnsi="Times New Roman"/>
          <w:i/>
        </w:rPr>
        <w:t>Clearing Member Risk Management</w:t>
      </w:r>
      <w:r>
        <w:rPr>
          <w:rFonts w:ascii="Times New Roman" w:hAnsi="Times New Roman"/>
          <w:i/>
        </w:rPr>
        <w:t xml:space="preserve">. </w:t>
      </w:r>
      <w:r w:rsidRPr="003C2005">
        <w:rPr>
          <w:rFonts w:ascii="Times New Roman" w:hAnsi="Times New Roman"/>
          <w:i/>
          <w:szCs w:val="24"/>
        </w:rPr>
        <w:t>See</w:t>
      </w:r>
      <w:r w:rsidRPr="003C2005">
        <w:rPr>
          <w:rFonts w:ascii="Times New Roman" w:hAnsi="Times New Roman"/>
          <w:szCs w:val="24"/>
        </w:rPr>
        <w:t xml:space="preserve"> </w:t>
      </w:r>
      <w:r w:rsidR="00B7427C">
        <w:rPr>
          <w:rFonts w:ascii="Times New Roman" w:hAnsi="Times New Roman"/>
          <w:szCs w:val="24"/>
        </w:rPr>
        <w:t>90</w:t>
      </w:r>
      <w:r w:rsidRPr="003C2005" w:rsidR="00B7427C">
        <w:rPr>
          <w:rFonts w:ascii="Times New Roman" w:hAnsi="Times New Roman"/>
          <w:szCs w:val="24"/>
        </w:rPr>
        <w:t xml:space="preserve"> </w:t>
      </w:r>
      <w:r w:rsidRPr="003C2005">
        <w:rPr>
          <w:rFonts w:ascii="Times New Roman" w:hAnsi="Times New Roman"/>
          <w:szCs w:val="24"/>
        </w:rPr>
        <w:t xml:space="preserve">FR </w:t>
      </w:r>
      <w:r w:rsidR="00B55124">
        <w:rPr>
          <w:rFonts w:ascii="Times New Roman" w:hAnsi="Times New Roman"/>
          <w:szCs w:val="24"/>
        </w:rPr>
        <w:t>8927</w:t>
      </w:r>
      <w:r w:rsidRPr="003C2005" w:rsidR="00B55124">
        <w:rPr>
          <w:rFonts w:ascii="Times New Roman" w:hAnsi="Times New Roman"/>
          <w:szCs w:val="24"/>
        </w:rPr>
        <w:t xml:space="preserve"> </w:t>
      </w:r>
      <w:r w:rsidRPr="003C2005">
        <w:rPr>
          <w:rFonts w:ascii="Times New Roman" w:hAnsi="Times New Roman"/>
          <w:szCs w:val="24"/>
        </w:rPr>
        <w:t>(</w:t>
      </w:r>
      <w:r w:rsidR="00B55124">
        <w:rPr>
          <w:rFonts w:ascii="Times New Roman" w:hAnsi="Times New Roman"/>
          <w:szCs w:val="24"/>
        </w:rPr>
        <w:t>Feb</w:t>
      </w:r>
      <w:r w:rsidR="003808D9">
        <w:rPr>
          <w:rFonts w:ascii="Times New Roman" w:hAnsi="Times New Roman"/>
          <w:szCs w:val="24"/>
        </w:rPr>
        <w:t>.</w:t>
      </w:r>
      <w:r w:rsidR="00B55124">
        <w:rPr>
          <w:rFonts w:ascii="Times New Roman" w:hAnsi="Times New Roman"/>
          <w:szCs w:val="24"/>
        </w:rPr>
        <w:t xml:space="preserve"> 4</w:t>
      </w:r>
      <w:r w:rsidRPr="003C2005">
        <w:rPr>
          <w:rFonts w:ascii="Times New Roman" w:hAnsi="Times New Roman"/>
          <w:szCs w:val="24"/>
        </w:rPr>
        <w:t xml:space="preserve">, 2025).  The notice provided a 60-day period during which the public was invited to comment on the information collection and the burdens imposed </w:t>
      </w:r>
      <w:r w:rsidRPr="003C2005">
        <w:rPr>
          <w:rFonts w:ascii="Times New Roman" w:hAnsi="Times New Roman"/>
          <w:szCs w:val="24"/>
        </w:rPr>
        <w:t>by it. The Commission did not receive any relevant comments on the 60-day Federal Register notice</w:t>
      </w:r>
      <w:r w:rsidR="002A0847">
        <w:rPr>
          <w:rFonts w:ascii="Times New Roman" w:hAnsi="Times New Roman"/>
          <w:szCs w:val="24"/>
        </w:rPr>
        <w:t>.</w:t>
      </w:r>
    </w:p>
    <w:p w:rsidR="00871E47" w:rsidP="00261FEC" w14:paraId="00676055" w14:textId="77777777">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rsidR="00871E47" w:rsidP="00261FEC" w14:paraId="00676056" w14:textId="6CEEDC4E">
      <w:pPr>
        <w:tabs>
          <w:tab w:val="left" w:pos="-720"/>
        </w:tabs>
        <w:spacing w:after="240"/>
        <w:jc w:val="both"/>
        <w:rPr>
          <w:rFonts w:ascii="Times New Roman" w:hAnsi="Times New Roman"/>
        </w:rPr>
      </w:pPr>
      <w:r>
        <w:rPr>
          <w:rFonts w:ascii="Times New Roman" w:hAnsi="Times New Roman"/>
        </w:rPr>
        <w:t xml:space="preserve">This question does not apply.  </w:t>
      </w:r>
      <w:r w:rsidR="00A86D42">
        <w:rPr>
          <w:rFonts w:ascii="Times New Roman" w:hAnsi="Times New Roman"/>
        </w:rPr>
        <w:t>The Commission has neither considered nor made any payment or gift to a respondent</w:t>
      </w:r>
      <w:r>
        <w:rPr>
          <w:rFonts w:ascii="Times New Roman" w:hAnsi="Times New Roman"/>
        </w:rPr>
        <w:t>.</w:t>
      </w:r>
    </w:p>
    <w:p w:rsidR="00871E47" w:rsidP="00261FEC" w14:paraId="00676057" w14:textId="77777777">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871E47" w:rsidP="00261FEC" w14:paraId="00676058" w14:textId="4C034589">
      <w:pPr>
        <w:tabs>
          <w:tab w:val="left" w:pos="-720"/>
          <w:tab w:val="left" w:pos="0"/>
          <w:tab w:val="left" w:pos="720"/>
        </w:tabs>
        <w:spacing w:after="240"/>
        <w:jc w:val="both"/>
        <w:rPr>
          <w:rFonts w:ascii="Times New Roman" w:hAnsi="Times New Roman"/>
        </w:rPr>
      </w:pPr>
      <w:r w:rsidRPr="00517DFC">
        <w:rPr>
          <w:rFonts w:ascii="Times New Roman" w:hAnsi="Times New Roman"/>
        </w:rPr>
        <w:t>The Commission does not provide respondents with an assurance of confidentiality</w:t>
      </w:r>
      <w:r w:rsidR="001C3B1D">
        <w:rPr>
          <w:rFonts w:ascii="Times New Roman" w:hAnsi="Times New Roman"/>
        </w:rPr>
        <w:t xml:space="preserve"> beyond that provided by applicable law</w:t>
      </w:r>
      <w:r w:rsidRPr="00517DFC">
        <w:rPr>
          <w:rFonts w:ascii="Times New Roman" w:hAnsi="Times New Roman"/>
        </w:rPr>
        <w:t xml:space="preserve">.  The Commission fully complies with section 8(a)(1) of the </w:t>
      </w:r>
      <w:r w:rsidR="001C3B1D">
        <w:rPr>
          <w:rFonts w:ascii="Times New Roman" w:hAnsi="Times New Roman"/>
        </w:rPr>
        <w:t>CEA</w:t>
      </w:r>
      <w:r w:rsidRPr="00517DFC">
        <w:rPr>
          <w:rFonts w:ascii="Times New Roman" w:hAnsi="Times New Roman"/>
        </w:rPr>
        <w:t>, which strictly prohibits the Commission, unless specifically authorized by the C</w:t>
      </w:r>
      <w:r w:rsidR="001C3B1D">
        <w:rPr>
          <w:rFonts w:ascii="Times New Roman" w:hAnsi="Times New Roman"/>
        </w:rPr>
        <w:t>EA</w:t>
      </w:r>
      <w:r w:rsidRPr="00517DFC">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an applicant’s or registrant’s data</w:t>
      </w:r>
      <w:r w:rsidR="003C1E0D">
        <w:rPr>
          <w:rFonts w:ascii="Times New Roman" w:hAnsi="Times New Roman"/>
        </w:rPr>
        <w:t xml:space="preserve"> set forth in parts 145 and 147 of the Code of Federal Regulations. </w:t>
      </w:r>
    </w:p>
    <w:p w:rsidR="00871E47" w:rsidP="00261FEC" w14:paraId="00676059" w14:textId="77777777">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71E47" w:rsidP="00261FEC" w14:paraId="0067605A" w14:textId="02CCF096">
      <w:pPr>
        <w:tabs>
          <w:tab w:val="left" w:pos="-720"/>
        </w:tabs>
        <w:spacing w:after="240"/>
        <w:jc w:val="both"/>
        <w:rPr>
          <w:rFonts w:ascii="Times New Roman" w:hAnsi="Times New Roman"/>
        </w:rPr>
      </w:pPr>
      <w:r>
        <w:rPr>
          <w:rFonts w:ascii="Times New Roman" w:hAnsi="Times New Roman"/>
        </w:rPr>
        <w:t>Thi</w:t>
      </w:r>
      <w:r w:rsidR="00DE645C">
        <w:rPr>
          <w:rFonts w:ascii="Times New Roman" w:hAnsi="Times New Roman"/>
        </w:rPr>
        <w:t>s question does not apply.  The</w:t>
      </w:r>
      <w:r>
        <w:rPr>
          <w:rFonts w:ascii="Times New Roman" w:hAnsi="Times New Roman"/>
        </w:rPr>
        <w:t xml:space="preserve"> regulations do not request nor require the provision of sensitive information, as that term is used in question 11.</w:t>
      </w:r>
    </w:p>
    <w:p w:rsidR="00871E47" w:rsidP="00261FEC" w14:paraId="0067605B" w14:textId="77777777">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71E47" w:rsidP="00261FEC" w14:paraId="0067605C"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71E47" w:rsidP="00261FEC" w14:paraId="0067605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871E47" w:rsidP="00261FEC" w14:paraId="0067605E"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F410D" w:rsidP="00261FEC" w14:paraId="1D4FE76C" w14:textId="336F1DB8">
      <w:pPr>
        <w:pStyle w:val="PlainText"/>
        <w:spacing w:after="240"/>
        <w:jc w:val="both"/>
        <w:rPr>
          <w:rFonts w:ascii="Times New Roman" w:hAnsi="Times New Roman"/>
          <w:color w:val="auto"/>
          <w:sz w:val="24"/>
          <w:szCs w:val="24"/>
        </w:rPr>
      </w:pPr>
      <w:r w:rsidRPr="00903801">
        <w:rPr>
          <w:rFonts w:ascii="Times New Roman" w:hAnsi="Times New Roman"/>
          <w:i/>
          <w:color w:val="auto"/>
          <w:sz w:val="24"/>
          <w:szCs w:val="24"/>
        </w:rPr>
        <w:t>See</w:t>
      </w:r>
      <w:r w:rsidRPr="00903801">
        <w:rPr>
          <w:rFonts w:ascii="Times New Roman" w:hAnsi="Times New Roman"/>
          <w:color w:val="auto"/>
          <w:sz w:val="24"/>
          <w:szCs w:val="24"/>
        </w:rPr>
        <w:t xml:space="preserve"> Attachment A.</w:t>
      </w:r>
    </w:p>
    <w:p w:rsidR="005F3B35" w:rsidP="00261FEC" w14:paraId="0067605F" w14:textId="141ECAA2">
      <w:pPr>
        <w:pStyle w:val="PlainText"/>
        <w:spacing w:after="240"/>
        <w:jc w:val="both"/>
        <w:rPr>
          <w:rFonts w:ascii="Times New Roman" w:hAnsi="Times New Roman"/>
          <w:color w:val="auto"/>
          <w:sz w:val="24"/>
          <w:szCs w:val="24"/>
        </w:rPr>
      </w:pPr>
      <w:r w:rsidRPr="004F0FDB">
        <w:rPr>
          <w:rFonts w:ascii="Times New Roman" w:hAnsi="Times New Roman"/>
          <w:color w:val="auto"/>
          <w:sz w:val="24"/>
          <w:szCs w:val="24"/>
        </w:rPr>
        <w:t xml:space="preserve">The annual burden associated with these regulations is estimated to be </w:t>
      </w:r>
      <w:r w:rsidRPr="004F0FDB" w:rsidR="00325E62">
        <w:rPr>
          <w:rFonts w:ascii="Times New Roman" w:hAnsi="Times New Roman"/>
          <w:color w:val="auto"/>
          <w:sz w:val="24"/>
          <w:szCs w:val="24"/>
        </w:rPr>
        <w:t>504</w:t>
      </w:r>
      <w:r w:rsidRPr="004F0FDB">
        <w:rPr>
          <w:rFonts w:ascii="Times New Roman" w:hAnsi="Times New Roman"/>
          <w:color w:val="auto"/>
          <w:sz w:val="24"/>
          <w:szCs w:val="24"/>
        </w:rPr>
        <w:t xml:space="preserve"> hours, at an annual cost of $</w:t>
      </w:r>
      <w:r w:rsidRPr="004F0FDB" w:rsidR="006826E2">
        <w:rPr>
          <w:rFonts w:ascii="Times New Roman" w:hAnsi="Times New Roman"/>
          <w:color w:val="auto"/>
          <w:sz w:val="24"/>
          <w:szCs w:val="24"/>
        </w:rPr>
        <w:t>50,400</w:t>
      </w:r>
      <w:r w:rsidRPr="004F0FDB">
        <w:rPr>
          <w:rFonts w:ascii="Times New Roman" w:hAnsi="Times New Roman"/>
          <w:color w:val="auto"/>
          <w:sz w:val="24"/>
          <w:szCs w:val="24"/>
        </w:rPr>
        <w:t xml:space="preserve"> for each FCM, SD, and MSP.  </w:t>
      </w:r>
      <w:r w:rsidRPr="004F0FDB" w:rsidR="009F21D6">
        <w:rPr>
          <w:rFonts w:ascii="Times New Roman" w:hAnsi="Times New Roman"/>
          <w:color w:val="auto"/>
          <w:sz w:val="24"/>
          <w:szCs w:val="24"/>
        </w:rPr>
        <w:t xml:space="preserve">In total, the Commission estimates that there are </w:t>
      </w:r>
      <w:r w:rsidRPr="004F0FDB" w:rsidR="000703EB">
        <w:rPr>
          <w:rFonts w:ascii="Times New Roman" w:hAnsi="Times New Roman"/>
          <w:color w:val="auto"/>
          <w:sz w:val="24"/>
          <w:szCs w:val="24"/>
        </w:rPr>
        <w:t>16</w:t>
      </w:r>
      <w:r w:rsidR="000703EB">
        <w:rPr>
          <w:rFonts w:ascii="Times New Roman" w:hAnsi="Times New Roman"/>
          <w:color w:val="auto"/>
          <w:sz w:val="24"/>
          <w:szCs w:val="24"/>
        </w:rPr>
        <w:t>7</w:t>
      </w:r>
      <w:r w:rsidRPr="004F0FDB" w:rsidR="000703EB">
        <w:rPr>
          <w:rFonts w:ascii="Times New Roman" w:hAnsi="Times New Roman"/>
          <w:color w:val="auto"/>
          <w:sz w:val="24"/>
          <w:szCs w:val="24"/>
        </w:rPr>
        <w:t xml:space="preserve"> </w:t>
      </w:r>
      <w:r w:rsidRPr="004F0FDB" w:rsidR="009F21D6">
        <w:rPr>
          <w:rFonts w:ascii="Times New Roman" w:hAnsi="Times New Roman"/>
          <w:color w:val="auto"/>
          <w:sz w:val="24"/>
          <w:szCs w:val="24"/>
        </w:rPr>
        <w:t>registrants/respondents</w:t>
      </w:r>
      <w:r w:rsidR="00253505">
        <w:rPr>
          <w:rFonts w:ascii="Times New Roman" w:hAnsi="Times New Roman"/>
          <w:color w:val="auto"/>
          <w:sz w:val="24"/>
          <w:szCs w:val="24"/>
        </w:rPr>
        <w:t>,</w:t>
      </w:r>
      <w:r w:rsidRPr="004F0FDB" w:rsidR="009F21D6">
        <w:rPr>
          <w:rFonts w:ascii="Times New Roman" w:hAnsi="Times New Roman"/>
          <w:color w:val="auto"/>
          <w:sz w:val="24"/>
          <w:szCs w:val="24"/>
        </w:rPr>
        <w:t xml:space="preserve"> and the aggregate total annual burden hours will equal </w:t>
      </w:r>
      <w:r w:rsidRPr="004F0FDB" w:rsidR="004F0FDB">
        <w:rPr>
          <w:rFonts w:ascii="Times New Roman" w:hAnsi="Times New Roman"/>
          <w:color w:val="auto"/>
          <w:sz w:val="24"/>
          <w:szCs w:val="24"/>
        </w:rPr>
        <w:t>84,</w:t>
      </w:r>
      <w:r w:rsidR="00A5691B">
        <w:rPr>
          <w:rFonts w:ascii="Times New Roman" w:hAnsi="Times New Roman"/>
          <w:color w:val="auto"/>
          <w:sz w:val="24"/>
          <w:szCs w:val="24"/>
        </w:rPr>
        <w:t>168</w:t>
      </w:r>
      <w:r w:rsidRPr="004F0FDB" w:rsidR="009F21D6">
        <w:rPr>
          <w:rFonts w:ascii="Times New Roman" w:hAnsi="Times New Roman"/>
          <w:color w:val="auto"/>
          <w:sz w:val="24"/>
          <w:szCs w:val="24"/>
        </w:rPr>
        <w:t xml:space="preserve">. </w:t>
      </w:r>
      <w:r w:rsidRPr="004F0FDB" w:rsidR="006A68E9">
        <w:rPr>
          <w:rFonts w:ascii="Times New Roman" w:hAnsi="Times New Roman"/>
          <w:color w:val="auto"/>
          <w:sz w:val="24"/>
          <w:szCs w:val="24"/>
        </w:rPr>
        <w:t xml:space="preserve"> </w:t>
      </w:r>
      <w:r w:rsidRPr="004F0FDB">
        <w:rPr>
          <w:rFonts w:ascii="Times New Roman" w:hAnsi="Times New Roman"/>
          <w:color w:val="auto"/>
          <w:sz w:val="24"/>
          <w:szCs w:val="24"/>
        </w:rPr>
        <w:t>Burden means the total time, effort, or financial resources expended by persons to generate, maintain, retain, disclose, or provide information to or for a federal agency.</w:t>
      </w:r>
      <w:r w:rsidR="00F52AD5">
        <w:rPr>
          <w:rFonts w:ascii="Times New Roman" w:hAnsi="Times New Roman"/>
          <w:color w:val="auto"/>
          <w:sz w:val="24"/>
          <w:szCs w:val="24"/>
        </w:rPr>
        <w:t xml:space="preserve">  </w:t>
      </w:r>
    </w:p>
    <w:p w:rsidR="005F3B35" w:rsidP="00261FEC" w14:paraId="00676061" w14:textId="2A96E3C6">
      <w:pPr>
        <w:pStyle w:val="PlainText"/>
        <w:spacing w:after="240"/>
        <w:rPr>
          <w:rFonts w:ascii="Times New Roman" w:hAnsi="Times New Roman"/>
          <w:color w:val="auto"/>
          <w:sz w:val="24"/>
          <w:szCs w:val="24"/>
        </w:rPr>
      </w:pPr>
      <w:r w:rsidRPr="005F3B35">
        <w:rPr>
          <w:rFonts w:ascii="Times New Roman" w:hAnsi="Times New Roman"/>
          <w:color w:val="auto"/>
          <w:sz w:val="24"/>
          <w:szCs w:val="24"/>
        </w:rPr>
        <w:t>Regulations 1.</w:t>
      </w:r>
      <w:r w:rsidRPr="005F3B35" w:rsidR="00776B90">
        <w:rPr>
          <w:rFonts w:ascii="Times New Roman" w:hAnsi="Times New Roman"/>
          <w:color w:val="auto"/>
          <w:sz w:val="24"/>
          <w:szCs w:val="24"/>
        </w:rPr>
        <w:t>7</w:t>
      </w:r>
      <w:r w:rsidR="00776B90">
        <w:rPr>
          <w:rFonts w:ascii="Times New Roman" w:hAnsi="Times New Roman"/>
          <w:color w:val="auto"/>
          <w:sz w:val="24"/>
          <w:szCs w:val="24"/>
        </w:rPr>
        <w:t>3</w:t>
      </w:r>
      <w:r w:rsidRPr="005F3B35" w:rsidR="00776B90">
        <w:rPr>
          <w:rFonts w:ascii="Times New Roman" w:hAnsi="Times New Roman"/>
          <w:color w:val="auto"/>
          <w:sz w:val="24"/>
          <w:szCs w:val="24"/>
        </w:rPr>
        <w:t xml:space="preserve"> </w:t>
      </w:r>
      <w:r w:rsidRPr="005F3B35">
        <w:rPr>
          <w:rFonts w:ascii="Times New Roman" w:hAnsi="Times New Roman"/>
          <w:color w:val="auto"/>
          <w:sz w:val="24"/>
          <w:szCs w:val="24"/>
        </w:rPr>
        <w:t>and 23.</w:t>
      </w:r>
      <w:r w:rsidRPr="005F3B35" w:rsidR="00776B90">
        <w:rPr>
          <w:rFonts w:ascii="Times New Roman" w:hAnsi="Times New Roman"/>
          <w:color w:val="auto"/>
          <w:sz w:val="24"/>
          <w:szCs w:val="24"/>
        </w:rPr>
        <w:t>60</w:t>
      </w:r>
      <w:r w:rsidR="00776B90">
        <w:rPr>
          <w:rFonts w:ascii="Times New Roman" w:hAnsi="Times New Roman"/>
          <w:color w:val="auto"/>
          <w:sz w:val="24"/>
          <w:szCs w:val="24"/>
        </w:rPr>
        <w:t>9</w:t>
      </w:r>
      <w:r w:rsidRPr="005F3B35" w:rsidR="00776B90">
        <w:rPr>
          <w:rFonts w:ascii="Times New Roman" w:hAnsi="Times New Roman"/>
          <w:color w:val="auto"/>
          <w:sz w:val="24"/>
          <w:szCs w:val="24"/>
        </w:rPr>
        <w:t xml:space="preserve"> </w:t>
      </w:r>
      <w:r w:rsidRPr="005F3B35">
        <w:rPr>
          <w:rFonts w:ascii="Times New Roman" w:hAnsi="Times New Roman"/>
          <w:color w:val="auto"/>
          <w:sz w:val="24"/>
          <w:szCs w:val="24"/>
        </w:rPr>
        <w:t xml:space="preserve">require each FCM, SD, and MSP to ensure compliance with these regulations.  Maintenance of contracts is prudent business </w:t>
      </w:r>
      <w:r w:rsidRPr="005F3B35" w:rsidR="00D34A62">
        <w:rPr>
          <w:rFonts w:ascii="Times New Roman" w:hAnsi="Times New Roman"/>
          <w:color w:val="auto"/>
          <w:sz w:val="24"/>
          <w:szCs w:val="24"/>
        </w:rPr>
        <w:t>practice,</w:t>
      </w:r>
      <w:r w:rsidRPr="005F3B35">
        <w:rPr>
          <w:rFonts w:ascii="Times New Roman" w:hAnsi="Times New Roman"/>
          <w:color w:val="auto"/>
          <w:sz w:val="24"/>
          <w:szCs w:val="24"/>
        </w:rPr>
        <w:t xml:space="preserve"> and the Commission anticipates that SDs and MSPs already maintain some form of this documentation.  Additionally, the Commission believes that much of the existing customer clearing documentation already complies with these rules, and therefore that compliance will require a minimal burden.</w:t>
      </w:r>
    </w:p>
    <w:p w:rsidR="00E22C8F" w:rsidP="00261FEC" w14:paraId="25BA8A4F" w14:textId="032EECFA">
      <w:pPr>
        <w:pStyle w:val="PlainText"/>
        <w:spacing w:after="240"/>
        <w:jc w:val="both"/>
        <w:rPr>
          <w:rFonts w:ascii="Times New Roman" w:hAnsi="Times New Roman"/>
          <w:color w:val="auto"/>
          <w:sz w:val="24"/>
          <w:szCs w:val="24"/>
        </w:rPr>
      </w:pPr>
      <w:r w:rsidRPr="00E22C8F">
        <w:rPr>
          <w:rFonts w:ascii="Times New Roman" w:hAnsi="Times New Roman"/>
          <w:color w:val="auto"/>
          <w:sz w:val="24"/>
          <w:szCs w:val="24"/>
        </w:rPr>
        <w:t>The annualized costs per affected registrant and in the aggregate were determined using an average salary of $100.00 per hour.  The Commission believes that this is an appropriate salary estimate for purposes of this regulation.</w:t>
      </w:r>
    </w:p>
    <w:p w:rsidR="00E22C8F" w:rsidP="00261FEC" w14:paraId="0058B89E" w14:textId="3F39BCCD">
      <w:pPr>
        <w:pStyle w:val="PlainText"/>
        <w:spacing w:after="240"/>
        <w:jc w:val="both"/>
        <w:rPr>
          <w:rFonts w:ascii="Times New Roman" w:hAnsi="Times New Roman"/>
          <w:color w:val="auto"/>
          <w:sz w:val="24"/>
          <w:szCs w:val="24"/>
        </w:rPr>
      </w:pPr>
      <w:r w:rsidRPr="00E22C8F">
        <w:rPr>
          <w:rFonts w:ascii="Times New Roman" w:hAnsi="Times New Roman"/>
          <w:color w:val="auto"/>
          <w:sz w:val="24"/>
          <w:szCs w:val="24"/>
        </w:rPr>
        <w:t>In support of this determination, the Commission notes that the salary estimate is based upon May 202</w:t>
      </w:r>
      <w:r w:rsidR="00746354">
        <w:rPr>
          <w:rFonts w:ascii="Times New Roman" w:hAnsi="Times New Roman"/>
          <w:color w:val="auto"/>
          <w:sz w:val="24"/>
          <w:szCs w:val="24"/>
        </w:rPr>
        <w:t>4</w:t>
      </w:r>
      <w:r w:rsidRPr="00E22C8F">
        <w:rPr>
          <w:rFonts w:ascii="Times New Roman" w:hAnsi="Times New Roman"/>
          <w:color w:val="auto"/>
          <w:sz w:val="24"/>
          <w:szCs w:val="24"/>
        </w:rPr>
        <w:t xml:space="preserve"> Bureau of Labor Statistics’ findings of National Occupation Employment and Wage Estimates, United States</w:t>
      </w:r>
      <w:r w:rsidR="00D37EC8">
        <w:rPr>
          <w:rFonts w:ascii="Times New Roman" w:hAnsi="Times New Roman"/>
          <w:color w:val="auto"/>
          <w:sz w:val="24"/>
          <w:szCs w:val="24"/>
        </w:rPr>
        <w:t xml:space="preserve"> (“BLS wage data”)</w:t>
      </w:r>
      <w:r w:rsidRPr="00E22C8F">
        <w:rPr>
          <w:rFonts w:ascii="Times New Roman" w:hAnsi="Times New Roman"/>
          <w:color w:val="auto"/>
          <w:sz w:val="24"/>
          <w:szCs w:val="24"/>
        </w:rPr>
        <w:t>, including the mean hourly wage of an employee under occupation code-</w:t>
      </w:r>
      <w:r w:rsidR="006D7520">
        <w:rPr>
          <w:rFonts w:ascii="Times New Roman" w:hAnsi="Times New Roman"/>
          <w:color w:val="auto"/>
          <w:sz w:val="24"/>
          <w:szCs w:val="24"/>
        </w:rPr>
        <w:t>2</w:t>
      </w:r>
      <w:r w:rsidRPr="00E22C8F">
        <w:rPr>
          <w:rFonts w:ascii="Times New Roman" w:hAnsi="Times New Roman"/>
          <w:color w:val="auto"/>
          <w:sz w:val="24"/>
          <w:szCs w:val="24"/>
        </w:rPr>
        <w:t>3-10</w:t>
      </w:r>
      <w:r w:rsidR="006D7520">
        <w:rPr>
          <w:rFonts w:ascii="Times New Roman" w:hAnsi="Times New Roman"/>
          <w:color w:val="auto"/>
          <w:sz w:val="24"/>
          <w:szCs w:val="24"/>
        </w:rPr>
        <w:t>11</w:t>
      </w:r>
      <w:r w:rsidRPr="00E22C8F">
        <w:rPr>
          <w:rFonts w:ascii="Times New Roman" w:hAnsi="Times New Roman"/>
          <w:color w:val="auto"/>
          <w:sz w:val="24"/>
          <w:szCs w:val="24"/>
        </w:rPr>
        <w:t>, “</w:t>
      </w:r>
      <w:r w:rsidR="00AA7745">
        <w:rPr>
          <w:rFonts w:ascii="Times New Roman" w:hAnsi="Times New Roman"/>
          <w:color w:val="auto"/>
          <w:sz w:val="24"/>
          <w:szCs w:val="24"/>
        </w:rPr>
        <w:t>Lawyers</w:t>
      </w:r>
      <w:r w:rsidRPr="00E22C8F">
        <w:rPr>
          <w:rFonts w:ascii="Times New Roman" w:hAnsi="Times New Roman"/>
          <w:color w:val="auto"/>
          <w:sz w:val="24"/>
          <w:szCs w:val="24"/>
        </w:rPr>
        <w:t xml:space="preserve">” </w:t>
      </w:r>
      <w:r w:rsidRPr="009C1C67" w:rsidR="009C1C67">
        <w:rPr>
          <w:rFonts w:ascii="Times New Roman" w:hAnsi="Times New Roman"/>
          <w:color w:val="auto"/>
          <w:sz w:val="24"/>
          <w:szCs w:val="24"/>
        </w:rPr>
        <w:t>that is employed by the “Securities and Commodity Contracts Intermediation and Brokerage Industry,” which is $128.34; the mean hourly wage of an employee under occupation code 11-3031, “Financial Managers,” in the same industry, which is $126.19; and the mean hourly wage of an employee under occupation code-13-1041, “Compliance Officers” in the same industry, which is $49.34</w:t>
      </w:r>
      <w:r w:rsidRPr="00E22C8F">
        <w:rPr>
          <w:rFonts w:ascii="Times New Roman" w:hAnsi="Times New Roman"/>
          <w:color w:val="auto"/>
          <w:sz w:val="24"/>
          <w:szCs w:val="24"/>
        </w:rPr>
        <w:t>.</w:t>
      </w:r>
      <w:r>
        <w:rPr>
          <w:rStyle w:val="FootnoteReference"/>
          <w:rFonts w:ascii="Times New Roman" w:hAnsi="Times New Roman"/>
          <w:color w:val="auto"/>
          <w:sz w:val="24"/>
          <w:szCs w:val="24"/>
        </w:rPr>
        <w:footnoteReference w:id="2"/>
      </w:r>
    </w:p>
    <w:p w:rsidR="00E22C8F" w:rsidRPr="005F3B35" w:rsidP="00261FEC" w14:paraId="3AB460CC" w14:textId="28F4BE6C">
      <w:pPr>
        <w:pStyle w:val="PlainText"/>
        <w:spacing w:after="240"/>
        <w:jc w:val="both"/>
        <w:rPr>
          <w:rFonts w:ascii="Times New Roman" w:hAnsi="Times New Roman"/>
          <w:color w:val="auto"/>
          <w:sz w:val="24"/>
          <w:szCs w:val="24"/>
        </w:rPr>
      </w:pPr>
      <w:r w:rsidRPr="00E22C8F">
        <w:rPr>
          <w:rFonts w:ascii="Times New Roman" w:hAnsi="Times New Roman"/>
          <w:color w:val="auto"/>
          <w:sz w:val="24"/>
          <w:szCs w:val="24"/>
        </w:rPr>
        <w:t xml:space="preserve">The Commission also notes that, the Commission took the foregoing data and then </w:t>
      </w:r>
      <w:r w:rsidR="00932E0B">
        <w:rPr>
          <w:rFonts w:ascii="Times New Roman" w:hAnsi="Times New Roman"/>
          <w:color w:val="auto"/>
          <w:sz w:val="24"/>
          <w:szCs w:val="24"/>
        </w:rPr>
        <w:t>estimated its</w:t>
      </w:r>
      <w:r w:rsidRPr="00E22C8F">
        <w:rPr>
          <w:rFonts w:ascii="Times New Roman" w:hAnsi="Times New Roman"/>
          <w:color w:val="auto"/>
          <w:sz w:val="24"/>
          <w:szCs w:val="24"/>
        </w:rPr>
        <w:t xml:space="preserve"> hourly wage in recognition of the fact that some respondents may be large financial institutions whose employees’ salaries may exceed the mean wage.  The Commission recognizes that some respondents may hire outside counsel with expertise in the various regulatory areas covered by the combined final regulations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p w:rsidR="005F3B35" w:rsidP="00261FEC" w14:paraId="0067606F" w14:textId="77777777">
      <w:pPr>
        <w:pStyle w:val="PlainText"/>
        <w:spacing w:after="240"/>
        <w:jc w:val="both"/>
        <w:rPr>
          <w:rFonts w:ascii="Times New Roman" w:hAnsi="Times New Roman"/>
          <w:color w:val="auto"/>
          <w:sz w:val="24"/>
          <w:szCs w:val="24"/>
        </w:rPr>
      </w:pPr>
      <w:r w:rsidRPr="005F3B35">
        <w:rPr>
          <w:rFonts w:ascii="Times New Roman" w:hAnsi="Times New Roman"/>
          <w:color w:val="auto"/>
          <w:sz w:val="24"/>
          <w:szCs w:val="24"/>
        </w:rPr>
        <w:t>Accordingly, the estimated hour burden was calculated as follows:</w:t>
      </w:r>
    </w:p>
    <w:p w:rsidR="005F3B35" w:rsidP="00261FEC" w14:paraId="00676070" w14:textId="77777777">
      <w:pPr>
        <w:pStyle w:val="PlainText"/>
        <w:spacing w:after="240"/>
        <w:jc w:val="both"/>
        <w:rPr>
          <w:rFonts w:ascii="Times New Roman" w:hAnsi="Times New Roman"/>
          <w:color w:val="auto"/>
          <w:sz w:val="24"/>
          <w:szCs w:val="24"/>
        </w:rPr>
      </w:pPr>
    </w:p>
    <w:p w:rsidR="00BB1F74" w:rsidRPr="00BE5309" w:rsidP="00261FEC" w14:paraId="337A31C3" w14:textId="61595065">
      <w:pPr>
        <w:pStyle w:val="PlainText"/>
        <w:spacing w:after="240"/>
        <w:jc w:val="both"/>
        <w:rPr>
          <w:rFonts w:ascii="Times New Roman" w:hAnsi="Times New Roman"/>
          <w:color w:val="auto"/>
          <w:sz w:val="24"/>
          <w:szCs w:val="24"/>
          <w:u w:val="single"/>
        </w:rPr>
      </w:pPr>
      <w:r w:rsidRPr="00BE5309">
        <w:rPr>
          <w:rFonts w:ascii="Times New Roman" w:hAnsi="Times New Roman"/>
          <w:color w:val="auto"/>
          <w:sz w:val="24"/>
          <w:szCs w:val="24"/>
          <w:u w:val="single"/>
        </w:rPr>
        <w:t>Position Risk Management Procedures for clearing FCMs:</w:t>
      </w:r>
    </w:p>
    <w:p w:rsidR="00BB1F74" w:rsidRPr="000069D9" w:rsidP="00261FEC" w14:paraId="71D3D423" w14:textId="2159A9B0">
      <w:pPr>
        <w:pStyle w:val="PlainText"/>
        <w:spacing w:after="240"/>
        <w:ind w:left="720"/>
        <w:jc w:val="both"/>
        <w:rPr>
          <w:rFonts w:ascii="Times New Roman" w:hAnsi="Times New Roman"/>
          <w:color w:val="auto"/>
          <w:sz w:val="24"/>
          <w:szCs w:val="24"/>
        </w:rPr>
      </w:pPr>
      <w:r w:rsidRPr="000069D9">
        <w:rPr>
          <w:rFonts w:ascii="Times New Roman" w:hAnsi="Times New Roman"/>
          <w:i/>
          <w:color w:val="auto"/>
          <w:sz w:val="24"/>
          <w:szCs w:val="24"/>
        </w:rPr>
        <w:t>Number of registrants/respondents</w:t>
      </w:r>
      <w:r w:rsidRPr="000069D9">
        <w:rPr>
          <w:rFonts w:ascii="Times New Roman" w:hAnsi="Times New Roman"/>
          <w:color w:val="auto"/>
          <w:sz w:val="24"/>
          <w:szCs w:val="24"/>
        </w:rPr>
        <w:t xml:space="preserve">:  </w:t>
      </w:r>
      <w:r w:rsidR="00456AF7">
        <w:rPr>
          <w:rFonts w:ascii="Times New Roman" w:hAnsi="Times New Roman"/>
          <w:color w:val="auto"/>
          <w:sz w:val="24"/>
          <w:szCs w:val="24"/>
        </w:rPr>
        <w:t>61</w:t>
      </w:r>
    </w:p>
    <w:p w:rsidR="00BB1F74" w:rsidRPr="000069D9" w:rsidP="00261FEC" w14:paraId="667E3BCC" w14:textId="5E4DCA1A">
      <w:pPr>
        <w:pStyle w:val="PlainText"/>
        <w:spacing w:after="240"/>
        <w:ind w:left="720"/>
        <w:jc w:val="both"/>
        <w:rPr>
          <w:rFonts w:ascii="Times New Roman" w:hAnsi="Times New Roman"/>
          <w:color w:val="auto"/>
          <w:sz w:val="24"/>
          <w:szCs w:val="24"/>
        </w:rPr>
      </w:pPr>
      <w:r w:rsidRPr="000069D9">
        <w:rPr>
          <w:rFonts w:ascii="Times New Roman" w:hAnsi="Times New Roman"/>
          <w:i/>
          <w:color w:val="auto"/>
          <w:sz w:val="24"/>
          <w:szCs w:val="24"/>
        </w:rPr>
        <w:t>Frequency of collection</w:t>
      </w:r>
      <w:r w:rsidRPr="000069D9">
        <w:rPr>
          <w:rFonts w:ascii="Times New Roman" w:hAnsi="Times New Roman"/>
          <w:color w:val="auto"/>
          <w:sz w:val="24"/>
          <w:szCs w:val="24"/>
        </w:rPr>
        <w:t>:  As needed</w:t>
      </w:r>
    </w:p>
    <w:p w:rsidR="00BB1F74" w:rsidRPr="000069D9" w:rsidP="00261FEC" w14:paraId="13C8EF55" w14:textId="77777777">
      <w:pPr>
        <w:pStyle w:val="PlainText"/>
        <w:spacing w:after="240"/>
        <w:ind w:left="720"/>
        <w:jc w:val="both"/>
        <w:rPr>
          <w:rFonts w:ascii="Times New Roman" w:hAnsi="Times New Roman"/>
          <w:color w:val="auto"/>
          <w:sz w:val="24"/>
          <w:szCs w:val="24"/>
        </w:rPr>
      </w:pPr>
      <w:r w:rsidRPr="000069D9">
        <w:rPr>
          <w:rFonts w:ascii="Times New Roman" w:hAnsi="Times New Roman"/>
          <w:i/>
          <w:color w:val="auto"/>
          <w:sz w:val="24"/>
          <w:szCs w:val="24"/>
        </w:rPr>
        <w:t>Estimated number of annual responses per registrant</w:t>
      </w:r>
      <w:r w:rsidRPr="000069D9">
        <w:rPr>
          <w:rFonts w:ascii="Times New Roman" w:hAnsi="Times New Roman"/>
          <w:color w:val="auto"/>
          <w:sz w:val="24"/>
          <w:szCs w:val="24"/>
        </w:rPr>
        <w:t>: 252 [252 trading days]</w:t>
      </w:r>
    </w:p>
    <w:p w:rsidR="00BB1F74" w:rsidRPr="000069D9" w:rsidP="00261FEC" w14:paraId="1E924AC6" w14:textId="3E92FD70">
      <w:pPr>
        <w:pStyle w:val="PlainText"/>
        <w:spacing w:after="240"/>
        <w:ind w:left="720"/>
        <w:jc w:val="both"/>
        <w:rPr>
          <w:rFonts w:ascii="Times New Roman" w:hAnsi="Times New Roman"/>
          <w:color w:val="auto"/>
          <w:sz w:val="24"/>
          <w:szCs w:val="24"/>
        </w:rPr>
      </w:pPr>
      <w:r w:rsidRPr="000069D9">
        <w:rPr>
          <w:rFonts w:ascii="Times New Roman" w:hAnsi="Times New Roman"/>
          <w:i/>
          <w:color w:val="auto"/>
          <w:sz w:val="24"/>
          <w:szCs w:val="24"/>
        </w:rPr>
        <w:t>Estimated aggregate number of annual responses</w:t>
      </w:r>
      <w:r w:rsidRPr="000069D9">
        <w:rPr>
          <w:rFonts w:ascii="Times New Roman" w:hAnsi="Times New Roman"/>
          <w:color w:val="auto"/>
          <w:sz w:val="24"/>
          <w:szCs w:val="24"/>
        </w:rPr>
        <w:t>:  15,</w:t>
      </w:r>
      <w:r w:rsidR="000703EB">
        <w:rPr>
          <w:rFonts w:ascii="Times New Roman" w:hAnsi="Times New Roman"/>
          <w:color w:val="auto"/>
          <w:sz w:val="24"/>
          <w:szCs w:val="24"/>
        </w:rPr>
        <w:t>372</w:t>
      </w:r>
      <w:r w:rsidRPr="000069D9" w:rsidR="000703EB">
        <w:rPr>
          <w:rFonts w:ascii="Times New Roman" w:hAnsi="Times New Roman"/>
          <w:color w:val="auto"/>
          <w:sz w:val="24"/>
          <w:szCs w:val="24"/>
        </w:rPr>
        <w:t xml:space="preserve"> </w:t>
      </w:r>
      <w:r w:rsidRPr="000069D9">
        <w:rPr>
          <w:rFonts w:ascii="Times New Roman" w:hAnsi="Times New Roman"/>
          <w:color w:val="auto"/>
          <w:sz w:val="24"/>
          <w:szCs w:val="24"/>
        </w:rPr>
        <w:t>[</w:t>
      </w:r>
      <w:r w:rsidRPr="000069D9" w:rsidR="000703EB">
        <w:rPr>
          <w:rFonts w:ascii="Times New Roman" w:hAnsi="Times New Roman"/>
          <w:color w:val="auto"/>
          <w:sz w:val="24"/>
          <w:szCs w:val="24"/>
        </w:rPr>
        <w:t>6</w:t>
      </w:r>
      <w:r w:rsidR="000703EB">
        <w:rPr>
          <w:rFonts w:ascii="Times New Roman" w:hAnsi="Times New Roman"/>
          <w:color w:val="auto"/>
          <w:sz w:val="24"/>
          <w:szCs w:val="24"/>
        </w:rPr>
        <w:t>1</w:t>
      </w:r>
      <w:r w:rsidRPr="000069D9" w:rsidR="000703EB">
        <w:rPr>
          <w:rFonts w:ascii="Times New Roman" w:hAnsi="Times New Roman"/>
          <w:color w:val="auto"/>
          <w:sz w:val="24"/>
          <w:szCs w:val="24"/>
        </w:rPr>
        <w:t xml:space="preserve"> </w:t>
      </w:r>
      <w:r w:rsidRPr="000069D9">
        <w:rPr>
          <w:rFonts w:ascii="Times New Roman" w:hAnsi="Times New Roman"/>
          <w:color w:val="auto"/>
          <w:sz w:val="24"/>
          <w:szCs w:val="24"/>
        </w:rPr>
        <w:t xml:space="preserve">registrants </w:t>
      </w:r>
      <w:r w:rsidR="00723939">
        <w:rPr>
          <w:rFonts w:ascii="Times New Roman" w:hAnsi="Times New Roman"/>
          <w:color w:val="auto"/>
          <w:sz w:val="24"/>
          <w:szCs w:val="24"/>
        </w:rPr>
        <w:t>×</w:t>
      </w:r>
      <w:r w:rsidRPr="000069D9">
        <w:rPr>
          <w:rFonts w:ascii="Times New Roman" w:hAnsi="Times New Roman"/>
          <w:color w:val="auto"/>
          <w:sz w:val="24"/>
          <w:szCs w:val="24"/>
        </w:rPr>
        <w:t xml:space="preserve"> 252 trading days]</w:t>
      </w:r>
    </w:p>
    <w:p w:rsidR="00BB1F74" w:rsidRPr="000069D9" w:rsidP="00261FEC" w14:paraId="6D4B5EED" w14:textId="4D7163F3">
      <w:pPr>
        <w:pStyle w:val="PlainText"/>
        <w:spacing w:after="240"/>
        <w:ind w:left="720"/>
        <w:jc w:val="both"/>
        <w:rPr>
          <w:rFonts w:ascii="Times New Roman" w:hAnsi="Times New Roman"/>
          <w:color w:val="auto"/>
          <w:sz w:val="24"/>
          <w:szCs w:val="24"/>
        </w:rPr>
      </w:pPr>
      <w:r w:rsidRPr="000069D9">
        <w:rPr>
          <w:rFonts w:ascii="Times New Roman" w:hAnsi="Times New Roman"/>
          <w:i/>
          <w:color w:val="auto"/>
          <w:sz w:val="24"/>
          <w:szCs w:val="24"/>
        </w:rPr>
        <w:t>Estimated annual hour burden per registrant</w:t>
      </w:r>
      <w:r w:rsidRPr="000069D9">
        <w:rPr>
          <w:rFonts w:ascii="Times New Roman" w:hAnsi="Times New Roman"/>
          <w:color w:val="auto"/>
          <w:sz w:val="24"/>
          <w:szCs w:val="24"/>
        </w:rPr>
        <w:t xml:space="preserve">:  504 hours [252 trading days </w:t>
      </w:r>
      <w:r w:rsidR="00723939">
        <w:rPr>
          <w:rFonts w:ascii="Times New Roman" w:hAnsi="Times New Roman"/>
          <w:color w:val="auto"/>
          <w:sz w:val="24"/>
          <w:szCs w:val="24"/>
        </w:rPr>
        <w:t>×</w:t>
      </w:r>
      <w:r w:rsidRPr="000069D9">
        <w:rPr>
          <w:rFonts w:ascii="Times New Roman" w:hAnsi="Times New Roman"/>
          <w:color w:val="auto"/>
          <w:sz w:val="24"/>
          <w:szCs w:val="24"/>
        </w:rPr>
        <w:t xml:space="preserve"> 2 hours per record]</w:t>
      </w:r>
    </w:p>
    <w:p w:rsidR="00BB1F74" w:rsidP="00261FEC" w14:paraId="7F85917F" w14:textId="42A71CC9">
      <w:pPr>
        <w:pStyle w:val="PlainText"/>
        <w:spacing w:after="240"/>
        <w:ind w:left="720"/>
        <w:jc w:val="both"/>
        <w:rPr>
          <w:rFonts w:ascii="Times New Roman" w:hAnsi="Times New Roman"/>
          <w:color w:val="auto"/>
          <w:sz w:val="24"/>
          <w:szCs w:val="24"/>
        </w:rPr>
      </w:pPr>
      <w:r w:rsidRPr="000069D9">
        <w:rPr>
          <w:rFonts w:ascii="Times New Roman" w:hAnsi="Times New Roman"/>
          <w:i/>
          <w:color w:val="auto"/>
          <w:sz w:val="24"/>
          <w:szCs w:val="24"/>
        </w:rPr>
        <w:t>Estimated aggregate annual hour burden</w:t>
      </w:r>
      <w:r w:rsidRPr="000069D9">
        <w:rPr>
          <w:rFonts w:ascii="Times New Roman" w:hAnsi="Times New Roman"/>
          <w:color w:val="auto"/>
          <w:sz w:val="24"/>
          <w:szCs w:val="24"/>
        </w:rPr>
        <w:t xml:space="preserve">:  </w:t>
      </w:r>
      <w:r w:rsidR="000703EB">
        <w:rPr>
          <w:rFonts w:ascii="Times New Roman" w:hAnsi="Times New Roman"/>
          <w:color w:val="auto"/>
          <w:sz w:val="24"/>
          <w:szCs w:val="24"/>
        </w:rPr>
        <w:t xml:space="preserve">30,744 </w:t>
      </w:r>
      <w:r w:rsidRPr="000069D9">
        <w:rPr>
          <w:rFonts w:ascii="Times New Roman" w:hAnsi="Times New Roman"/>
          <w:color w:val="auto"/>
          <w:sz w:val="24"/>
          <w:szCs w:val="24"/>
        </w:rPr>
        <w:t>burden hours [</w:t>
      </w:r>
      <w:r w:rsidRPr="000069D9" w:rsidR="000703EB">
        <w:rPr>
          <w:rFonts w:ascii="Times New Roman" w:hAnsi="Times New Roman"/>
          <w:color w:val="auto"/>
          <w:sz w:val="24"/>
          <w:szCs w:val="24"/>
        </w:rPr>
        <w:t>6</w:t>
      </w:r>
      <w:r w:rsidR="000703EB">
        <w:rPr>
          <w:rFonts w:ascii="Times New Roman" w:hAnsi="Times New Roman"/>
          <w:color w:val="auto"/>
          <w:sz w:val="24"/>
          <w:szCs w:val="24"/>
        </w:rPr>
        <w:t>1</w:t>
      </w:r>
      <w:r w:rsidRPr="000069D9" w:rsidR="000703EB">
        <w:rPr>
          <w:rFonts w:ascii="Times New Roman" w:hAnsi="Times New Roman"/>
          <w:color w:val="auto"/>
          <w:sz w:val="24"/>
          <w:szCs w:val="24"/>
        </w:rPr>
        <w:t xml:space="preserve"> </w:t>
      </w:r>
      <w:r w:rsidRPr="000069D9">
        <w:rPr>
          <w:rFonts w:ascii="Times New Roman" w:hAnsi="Times New Roman"/>
          <w:color w:val="auto"/>
          <w:sz w:val="24"/>
          <w:szCs w:val="24"/>
        </w:rPr>
        <w:t xml:space="preserve">registrants </w:t>
      </w:r>
      <w:r w:rsidR="00723939">
        <w:rPr>
          <w:rFonts w:ascii="Times New Roman" w:hAnsi="Times New Roman"/>
          <w:color w:val="auto"/>
          <w:sz w:val="24"/>
          <w:szCs w:val="24"/>
        </w:rPr>
        <w:t>×</w:t>
      </w:r>
      <w:r w:rsidRPr="000069D9">
        <w:rPr>
          <w:rFonts w:ascii="Times New Roman" w:hAnsi="Times New Roman"/>
          <w:color w:val="auto"/>
          <w:sz w:val="24"/>
          <w:szCs w:val="24"/>
        </w:rPr>
        <w:t xml:space="preserve"> 504 hours per registrant]</w:t>
      </w:r>
    </w:p>
    <w:p w:rsidR="00BB1F74" w:rsidP="00261FEC" w14:paraId="464EE044" w14:textId="075AD0C1">
      <w:pPr>
        <w:pStyle w:val="PlainText"/>
        <w:spacing w:after="240"/>
        <w:jc w:val="both"/>
        <w:rPr>
          <w:rFonts w:ascii="Times New Roman" w:hAnsi="Times New Roman"/>
          <w:color w:val="auto"/>
          <w:sz w:val="24"/>
          <w:szCs w:val="24"/>
        </w:rPr>
      </w:pPr>
      <w:r w:rsidRPr="0095076D">
        <w:rPr>
          <w:rFonts w:ascii="Times New Roman" w:hAnsi="Times New Roman"/>
          <w:color w:val="auto"/>
          <w:sz w:val="24"/>
          <w:szCs w:val="24"/>
          <w:u w:val="single"/>
        </w:rPr>
        <w:t>Position Risk Management Procedures for clearing SDs and MSPs:</w:t>
      </w:r>
      <w:r>
        <w:rPr>
          <w:rFonts w:ascii="Times New Roman" w:hAnsi="Times New Roman"/>
          <w:color w:val="auto"/>
          <w:sz w:val="24"/>
          <w:szCs w:val="24"/>
        </w:rPr>
        <w:t xml:space="preserve"> </w:t>
      </w:r>
    </w:p>
    <w:p w:rsidR="005F3B35" w:rsidRPr="00257160" w:rsidP="00261FEC" w14:paraId="00676072" w14:textId="70DCC1B6">
      <w:pPr>
        <w:pStyle w:val="PlainText"/>
        <w:spacing w:after="240"/>
        <w:ind w:left="720"/>
        <w:jc w:val="both"/>
        <w:rPr>
          <w:rFonts w:ascii="Times New Roman" w:hAnsi="Times New Roman"/>
          <w:color w:val="auto"/>
          <w:sz w:val="24"/>
          <w:szCs w:val="24"/>
        </w:rPr>
      </w:pPr>
      <w:r w:rsidRPr="00257160">
        <w:rPr>
          <w:rFonts w:ascii="Times New Roman" w:hAnsi="Times New Roman"/>
          <w:i/>
          <w:color w:val="auto"/>
          <w:sz w:val="24"/>
          <w:szCs w:val="24"/>
        </w:rPr>
        <w:t>Number of registrants</w:t>
      </w:r>
      <w:r w:rsidRPr="00257160" w:rsidR="00F52AD5">
        <w:rPr>
          <w:rFonts w:ascii="Times New Roman" w:hAnsi="Times New Roman"/>
          <w:i/>
          <w:color w:val="auto"/>
          <w:sz w:val="24"/>
          <w:szCs w:val="24"/>
        </w:rPr>
        <w:t>/respondents</w:t>
      </w:r>
      <w:r w:rsidRPr="00257160">
        <w:rPr>
          <w:rFonts w:ascii="Times New Roman" w:hAnsi="Times New Roman"/>
          <w:color w:val="auto"/>
          <w:sz w:val="24"/>
          <w:szCs w:val="24"/>
        </w:rPr>
        <w:t xml:space="preserve">:  </w:t>
      </w:r>
      <w:r w:rsidRPr="00257160" w:rsidR="00257160">
        <w:rPr>
          <w:rFonts w:ascii="Times New Roman" w:hAnsi="Times New Roman"/>
          <w:color w:val="auto"/>
          <w:sz w:val="24"/>
          <w:szCs w:val="24"/>
        </w:rPr>
        <w:t>106</w:t>
      </w:r>
    </w:p>
    <w:p w:rsidR="005F3B35" w:rsidRPr="00257160" w:rsidP="00261FEC" w14:paraId="00676073" w14:textId="694F2494">
      <w:pPr>
        <w:pStyle w:val="PlainText"/>
        <w:spacing w:after="240"/>
        <w:ind w:left="720"/>
        <w:jc w:val="both"/>
        <w:rPr>
          <w:rFonts w:ascii="Times New Roman" w:hAnsi="Times New Roman"/>
          <w:color w:val="auto"/>
          <w:sz w:val="24"/>
          <w:szCs w:val="24"/>
        </w:rPr>
      </w:pPr>
      <w:r w:rsidRPr="00257160">
        <w:rPr>
          <w:rFonts w:ascii="Times New Roman" w:hAnsi="Times New Roman"/>
          <w:i/>
          <w:color w:val="auto"/>
          <w:sz w:val="24"/>
          <w:szCs w:val="24"/>
        </w:rPr>
        <w:t>Frequency of collection</w:t>
      </w:r>
      <w:r w:rsidRPr="00257160">
        <w:rPr>
          <w:rFonts w:ascii="Times New Roman" w:hAnsi="Times New Roman"/>
          <w:color w:val="auto"/>
          <w:sz w:val="24"/>
          <w:szCs w:val="24"/>
        </w:rPr>
        <w:t xml:space="preserve">:  </w:t>
      </w:r>
      <w:r w:rsidRPr="00257160" w:rsidR="00855AF6">
        <w:rPr>
          <w:rFonts w:ascii="Times New Roman" w:hAnsi="Times New Roman"/>
          <w:color w:val="auto"/>
          <w:sz w:val="24"/>
          <w:szCs w:val="24"/>
        </w:rPr>
        <w:t>As needed</w:t>
      </w:r>
    </w:p>
    <w:p w:rsidR="005F3B35" w:rsidRPr="00257160" w:rsidP="00261FEC" w14:paraId="00676074" w14:textId="7D68C59A">
      <w:pPr>
        <w:pStyle w:val="PlainText"/>
        <w:spacing w:after="240"/>
        <w:ind w:left="720"/>
        <w:jc w:val="both"/>
        <w:rPr>
          <w:rFonts w:ascii="Times New Roman" w:hAnsi="Times New Roman"/>
          <w:color w:val="auto"/>
          <w:sz w:val="24"/>
          <w:szCs w:val="24"/>
        </w:rPr>
      </w:pPr>
      <w:r w:rsidRPr="00257160">
        <w:rPr>
          <w:rFonts w:ascii="Times New Roman" w:hAnsi="Times New Roman"/>
          <w:i/>
          <w:color w:val="auto"/>
          <w:sz w:val="24"/>
          <w:szCs w:val="24"/>
        </w:rPr>
        <w:t>Estimated number of annual responses per registrant</w:t>
      </w:r>
      <w:r w:rsidRPr="00257160">
        <w:rPr>
          <w:rFonts w:ascii="Times New Roman" w:hAnsi="Times New Roman"/>
          <w:color w:val="auto"/>
          <w:sz w:val="24"/>
          <w:szCs w:val="24"/>
        </w:rPr>
        <w:t xml:space="preserve">: </w:t>
      </w:r>
      <w:r w:rsidRPr="00257160" w:rsidR="00B220CE">
        <w:rPr>
          <w:rFonts w:ascii="Times New Roman" w:hAnsi="Times New Roman"/>
          <w:color w:val="auto"/>
          <w:sz w:val="24"/>
          <w:szCs w:val="24"/>
        </w:rPr>
        <w:t xml:space="preserve"> </w:t>
      </w:r>
      <w:r w:rsidRPr="00257160" w:rsidR="00114CB7">
        <w:rPr>
          <w:rFonts w:ascii="Times New Roman" w:hAnsi="Times New Roman"/>
          <w:color w:val="auto"/>
          <w:sz w:val="24"/>
          <w:szCs w:val="24"/>
        </w:rPr>
        <w:t>252</w:t>
      </w:r>
      <w:r w:rsidRPr="00257160" w:rsidR="00910235">
        <w:rPr>
          <w:rFonts w:ascii="Times New Roman" w:hAnsi="Times New Roman"/>
          <w:color w:val="auto"/>
          <w:sz w:val="24"/>
          <w:szCs w:val="24"/>
        </w:rPr>
        <w:t xml:space="preserve"> [252 trading days</w:t>
      </w:r>
      <w:r w:rsidRPr="00257160" w:rsidR="00EC7171">
        <w:rPr>
          <w:rFonts w:ascii="Times New Roman" w:hAnsi="Times New Roman"/>
          <w:color w:val="auto"/>
          <w:sz w:val="24"/>
          <w:szCs w:val="24"/>
        </w:rPr>
        <w:t xml:space="preserve"> per year, on average</w:t>
      </w:r>
      <w:r w:rsidRPr="00257160" w:rsidR="00910235">
        <w:rPr>
          <w:rFonts w:ascii="Times New Roman" w:hAnsi="Times New Roman"/>
          <w:color w:val="auto"/>
          <w:sz w:val="24"/>
          <w:szCs w:val="24"/>
        </w:rPr>
        <w:t>]</w:t>
      </w:r>
    </w:p>
    <w:p w:rsidR="005F3B35" w:rsidRPr="00257160" w:rsidP="00261FEC" w14:paraId="00676075" w14:textId="747BEE0F">
      <w:pPr>
        <w:pStyle w:val="PlainText"/>
        <w:spacing w:after="240"/>
        <w:ind w:left="720"/>
        <w:jc w:val="both"/>
        <w:rPr>
          <w:rFonts w:ascii="Times New Roman" w:hAnsi="Times New Roman"/>
          <w:color w:val="auto"/>
          <w:sz w:val="24"/>
          <w:szCs w:val="24"/>
        </w:rPr>
      </w:pPr>
      <w:r w:rsidRPr="00257160">
        <w:rPr>
          <w:rFonts w:ascii="Times New Roman" w:hAnsi="Times New Roman"/>
          <w:i/>
          <w:color w:val="auto"/>
          <w:sz w:val="24"/>
          <w:szCs w:val="24"/>
        </w:rPr>
        <w:t xml:space="preserve">Estimated aggregate </w:t>
      </w:r>
      <w:r w:rsidRPr="00257160" w:rsidR="0092317E">
        <w:rPr>
          <w:rFonts w:ascii="Times New Roman" w:hAnsi="Times New Roman"/>
          <w:i/>
          <w:color w:val="auto"/>
          <w:sz w:val="24"/>
          <w:szCs w:val="24"/>
        </w:rPr>
        <w:t>number of annual responses</w:t>
      </w:r>
      <w:r w:rsidRPr="00257160" w:rsidR="0092317E">
        <w:rPr>
          <w:rFonts w:ascii="Times New Roman" w:hAnsi="Times New Roman"/>
          <w:color w:val="auto"/>
          <w:sz w:val="24"/>
          <w:szCs w:val="24"/>
        </w:rPr>
        <w:t xml:space="preserve">:  </w:t>
      </w:r>
      <w:r w:rsidRPr="00257160" w:rsidR="00257160">
        <w:rPr>
          <w:rFonts w:ascii="Times New Roman" w:hAnsi="Times New Roman"/>
          <w:color w:val="auto"/>
          <w:sz w:val="24"/>
          <w:szCs w:val="24"/>
        </w:rPr>
        <w:t>26,712</w:t>
      </w:r>
      <w:r w:rsidRPr="00257160" w:rsidR="00910235">
        <w:rPr>
          <w:rFonts w:ascii="Times New Roman" w:hAnsi="Times New Roman"/>
          <w:color w:val="auto"/>
          <w:sz w:val="24"/>
          <w:szCs w:val="24"/>
        </w:rPr>
        <w:t xml:space="preserve"> [</w:t>
      </w:r>
      <w:r w:rsidRPr="00257160" w:rsidR="00257160">
        <w:rPr>
          <w:rFonts w:ascii="Times New Roman" w:hAnsi="Times New Roman"/>
          <w:color w:val="auto"/>
          <w:sz w:val="24"/>
          <w:szCs w:val="24"/>
        </w:rPr>
        <w:t xml:space="preserve">106 </w:t>
      </w:r>
      <w:r w:rsidRPr="00257160" w:rsidR="00910235">
        <w:rPr>
          <w:rFonts w:ascii="Times New Roman" w:hAnsi="Times New Roman"/>
          <w:color w:val="auto"/>
          <w:sz w:val="24"/>
          <w:szCs w:val="24"/>
        </w:rPr>
        <w:t xml:space="preserve">registrants </w:t>
      </w:r>
      <w:r w:rsidR="00573DDE">
        <w:rPr>
          <w:rFonts w:ascii="Times New Roman" w:hAnsi="Times New Roman"/>
          <w:color w:val="auto"/>
          <w:sz w:val="24"/>
          <w:szCs w:val="24"/>
        </w:rPr>
        <w:t>×</w:t>
      </w:r>
      <w:r w:rsidRPr="00257160" w:rsidR="00910235">
        <w:rPr>
          <w:rFonts w:ascii="Times New Roman" w:hAnsi="Times New Roman"/>
          <w:color w:val="auto"/>
          <w:sz w:val="24"/>
          <w:szCs w:val="24"/>
        </w:rPr>
        <w:t xml:space="preserve"> 252 trading days]</w:t>
      </w:r>
    </w:p>
    <w:p w:rsidR="005F3B35" w:rsidRPr="00257160" w:rsidP="00261FEC" w14:paraId="00676076" w14:textId="31115536">
      <w:pPr>
        <w:pStyle w:val="PlainText"/>
        <w:spacing w:after="240"/>
        <w:ind w:left="720"/>
        <w:jc w:val="both"/>
        <w:rPr>
          <w:rFonts w:ascii="Times New Roman" w:hAnsi="Times New Roman"/>
          <w:color w:val="auto"/>
          <w:sz w:val="24"/>
          <w:szCs w:val="24"/>
        </w:rPr>
      </w:pPr>
      <w:r w:rsidRPr="00257160">
        <w:rPr>
          <w:rFonts w:ascii="Times New Roman" w:hAnsi="Times New Roman"/>
          <w:i/>
          <w:color w:val="auto"/>
          <w:sz w:val="24"/>
          <w:szCs w:val="24"/>
        </w:rPr>
        <w:t>Estimated annual hour burden per registrant</w:t>
      </w:r>
      <w:r w:rsidRPr="00257160">
        <w:rPr>
          <w:rFonts w:ascii="Times New Roman" w:hAnsi="Times New Roman"/>
          <w:color w:val="auto"/>
          <w:sz w:val="24"/>
          <w:szCs w:val="24"/>
        </w:rPr>
        <w:t xml:space="preserve">:  </w:t>
      </w:r>
      <w:r w:rsidRPr="00257160" w:rsidR="00114CB7">
        <w:rPr>
          <w:rFonts w:ascii="Times New Roman" w:hAnsi="Times New Roman"/>
          <w:color w:val="auto"/>
          <w:sz w:val="24"/>
          <w:szCs w:val="24"/>
        </w:rPr>
        <w:t>504</w:t>
      </w:r>
      <w:r w:rsidRPr="00257160">
        <w:rPr>
          <w:rFonts w:ascii="Times New Roman" w:hAnsi="Times New Roman"/>
          <w:color w:val="auto"/>
          <w:sz w:val="24"/>
          <w:szCs w:val="24"/>
        </w:rPr>
        <w:t xml:space="preserve"> hours</w:t>
      </w:r>
      <w:r w:rsidRPr="00257160" w:rsidR="00910235">
        <w:rPr>
          <w:rFonts w:ascii="Times New Roman" w:hAnsi="Times New Roman"/>
          <w:color w:val="auto"/>
          <w:sz w:val="24"/>
          <w:szCs w:val="24"/>
        </w:rPr>
        <w:t xml:space="preserve"> [252 trading days </w:t>
      </w:r>
      <w:r w:rsidR="00573DDE">
        <w:rPr>
          <w:rFonts w:ascii="Times New Roman" w:hAnsi="Times New Roman"/>
          <w:color w:val="auto"/>
          <w:sz w:val="24"/>
          <w:szCs w:val="24"/>
        </w:rPr>
        <w:t>×</w:t>
      </w:r>
      <w:r w:rsidRPr="00257160" w:rsidR="00910235">
        <w:rPr>
          <w:rFonts w:ascii="Times New Roman" w:hAnsi="Times New Roman"/>
          <w:color w:val="auto"/>
          <w:sz w:val="24"/>
          <w:szCs w:val="24"/>
        </w:rPr>
        <w:t xml:space="preserve"> 2 hours per record]</w:t>
      </w:r>
    </w:p>
    <w:p w:rsidR="005F3B35" w:rsidP="00261FEC" w14:paraId="00676077" w14:textId="3B651A5D">
      <w:pPr>
        <w:pStyle w:val="PlainText"/>
        <w:spacing w:after="240"/>
        <w:ind w:left="720"/>
        <w:jc w:val="both"/>
        <w:rPr>
          <w:rFonts w:ascii="Times New Roman" w:hAnsi="Times New Roman"/>
          <w:color w:val="auto"/>
          <w:sz w:val="24"/>
          <w:szCs w:val="24"/>
        </w:rPr>
      </w:pPr>
      <w:r w:rsidRPr="00257160">
        <w:rPr>
          <w:rFonts w:ascii="Times New Roman" w:hAnsi="Times New Roman"/>
          <w:i/>
          <w:color w:val="auto"/>
          <w:sz w:val="24"/>
          <w:szCs w:val="24"/>
        </w:rPr>
        <w:t xml:space="preserve">Estimated aggregate annual hour </w:t>
      </w:r>
      <w:r w:rsidRPr="00257160" w:rsidR="0092317E">
        <w:rPr>
          <w:rFonts w:ascii="Times New Roman" w:hAnsi="Times New Roman"/>
          <w:i/>
          <w:color w:val="auto"/>
          <w:sz w:val="24"/>
          <w:szCs w:val="24"/>
        </w:rPr>
        <w:t>burden</w:t>
      </w:r>
      <w:r w:rsidRPr="00257160" w:rsidR="0092317E">
        <w:rPr>
          <w:rFonts w:ascii="Times New Roman" w:hAnsi="Times New Roman"/>
          <w:color w:val="auto"/>
          <w:sz w:val="24"/>
          <w:szCs w:val="24"/>
        </w:rPr>
        <w:t xml:space="preserve">:  </w:t>
      </w:r>
      <w:r w:rsidRPr="00257160" w:rsidR="00257160">
        <w:rPr>
          <w:rFonts w:ascii="Times New Roman" w:hAnsi="Times New Roman"/>
          <w:color w:val="auto"/>
          <w:sz w:val="24"/>
          <w:szCs w:val="24"/>
        </w:rPr>
        <w:t>53,424</w:t>
      </w:r>
      <w:r w:rsidRPr="00257160" w:rsidR="0092317E">
        <w:rPr>
          <w:rFonts w:ascii="Times New Roman" w:hAnsi="Times New Roman"/>
          <w:color w:val="auto"/>
          <w:sz w:val="24"/>
          <w:szCs w:val="24"/>
        </w:rPr>
        <w:t xml:space="preserve"> burden hours [</w:t>
      </w:r>
      <w:r w:rsidRPr="00257160" w:rsidR="00257160">
        <w:rPr>
          <w:rFonts w:ascii="Times New Roman" w:hAnsi="Times New Roman"/>
          <w:color w:val="auto"/>
          <w:sz w:val="24"/>
          <w:szCs w:val="24"/>
        </w:rPr>
        <w:t xml:space="preserve">106 </w:t>
      </w:r>
      <w:r w:rsidRPr="00257160">
        <w:rPr>
          <w:rFonts w:ascii="Times New Roman" w:hAnsi="Times New Roman"/>
          <w:color w:val="auto"/>
          <w:sz w:val="24"/>
          <w:szCs w:val="24"/>
        </w:rPr>
        <w:t xml:space="preserve">registrants </w:t>
      </w:r>
      <w:r w:rsidR="00573DDE">
        <w:rPr>
          <w:rFonts w:ascii="Times New Roman" w:hAnsi="Times New Roman"/>
          <w:color w:val="auto"/>
          <w:sz w:val="24"/>
          <w:szCs w:val="24"/>
        </w:rPr>
        <w:t>×</w:t>
      </w:r>
      <w:r w:rsidRPr="00257160">
        <w:rPr>
          <w:rFonts w:ascii="Times New Roman" w:hAnsi="Times New Roman"/>
          <w:color w:val="auto"/>
          <w:sz w:val="24"/>
          <w:szCs w:val="24"/>
        </w:rPr>
        <w:t xml:space="preserve"> </w:t>
      </w:r>
      <w:r w:rsidRPr="00257160" w:rsidR="00114CB7">
        <w:rPr>
          <w:rFonts w:ascii="Times New Roman" w:hAnsi="Times New Roman"/>
          <w:color w:val="auto"/>
          <w:sz w:val="24"/>
          <w:szCs w:val="24"/>
        </w:rPr>
        <w:t xml:space="preserve">504 </w:t>
      </w:r>
      <w:r w:rsidRPr="00257160">
        <w:rPr>
          <w:rFonts w:ascii="Times New Roman" w:hAnsi="Times New Roman"/>
          <w:color w:val="auto"/>
          <w:sz w:val="24"/>
          <w:szCs w:val="24"/>
        </w:rPr>
        <w:t>hours per registrant]</w:t>
      </w:r>
    </w:p>
    <w:p w:rsidR="00871E47" w:rsidP="00261FEC" w14:paraId="00676089" w14:textId="77777777">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871E47" w:rsidP="00261FEC" w14:paraId="0067608A"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r>
        <w:rPr>
          <w:rFonts w:ascii="Times New Roman" w:hAnsi="Times New Roman"/>
          <w:b/>
        </w:rPr>
        <w:t>take into account</w:t>
      </w:r>
      <w:r>
        <w:rPr>
          <w:rFonts w:ascii="Times New Roman" w:hAnsi="Times New Roman"/>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w:t>
      </w:r>
      <w:r>
        <w:rPr>
          <w:rFonts w:ascii="Times New Roman" w:hAnsi="Times New Roman"/>
          <w:b/>
        </w:rPr>
        <w:t>time period</w:t>
      </w:r>
      <w:r>
        <w:rPr>
          <w:rFonts w:ascii="Times New Roman" w:hAnsi="Times New Roman"/>
          <w:b/>
        </w:rPr>
        <w:t xml:space="preserve"> over which costs will be incurred.  Capital and start-up costs include, among other </w:t>
      </w:r>
      <w:r>
        <w:rPr>
          <w:rFonts w:ascii="Times New Roman" w:hAnsi="Times New Roman"/>
          <w:b/>
        </w:rPr>
        <w:t>items, preparations for collecting information such as purchasing computers and software, monitoring, sampling, drilling and testing equipment, and record storage facilities.</w:t>
      </w:r>
    </w:p>
    <w:p w:rsidR="00871E47" w:rsidP="00261FEC" w14:paraId="0067608B"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71E47" w:rsidP="00261FEC" w14:paraId="0067608C"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E2744" w:rsidP="00261FEC" w14:paraId="30435DD1" w14:textId="14BBF91B">
      <w:pPr>
        <w:spacing w:after="240"/>
        <w:jc w:val="both"/>
        <w:rPr>
          <w:rFonts w:ascii="Times New Roman" w:hAnsi="Times New Roman"/>
        </w:rPr>
      </w:pPr>
      <w:r w:rsidRPr="00702F04">
        <w:rPr>
          <w:rFonts w:ascii="Times New Roman" w:hAnsi="Times New Roman"/>
        </w:rPr>
        <w:t xml:space="preserve">See response to question 12 and Attachment A.  The information collection required by the regulations </w:t>
      </w:r>
      <w:r w:rsidR="000072AB">
        <w:rPr>
          <w:rFonts w:ascii="Times New Roman" w:hAnsi="Times New Roman"/>
        </w:rPr>
        <w:t>does</w:t>
      </w:r>
      <w:r w:rsidRPr="00702F04">
        <w:rPr>
          <w:rFonts w:ascii="Times New Roman" w:hAnsi="Times New Roman"/>
        </w:rPr>
        <w:t xml:space="preserve"> not involve any capital or start-up capital or operations or maintenance costs as the Commission anticipates that </w:t>
      </w:r>
      <w:r w:rsidR="009A56F5">
        <w:rPr>
          <w:rFonts w:ascii="Times New Roman" w:hAnsi="Times New Roman"/>
        </w:rPr>
        <w:t xml:space="preserve">FCMs, </w:t>
      </w:r>
      <w:r>
        <w:rPr>
          <w:rFonts w:ascii="Times New Roman" w:hAnsi="Times New Roman"/>
        </w:rPr>
        <w:t>SDs</w:t>
      </w:r>
      <w:r w:rsidRPr="00702F04">
        <w:rPr>
          <w:rFonts w:ascii="Times New Roman" w:hAnsi="Times New Roman"/>
        </w:rPr>
        <w:t xml:space="preserve">, </w:t>
      </w:r>
      <w:r>
        <w:rPr>
          <w:rFonts w:ascii="Times New Roman" w:hAnsi="Times New Roman"/>
        </w:rPr>
        <w:t>MSP</w:t>
      </w:r>
      <w:r w:rsidRPr="00702F04">
        <w:rPr>
          <w:rFonts w:ascii="Times New Roman" w:hAnsi="Times New Roman"/>
        </w:rPr>
        <w:t>s</w:t>
      </w:r>
      <w:r w:rsidRPr="00702F04" w:rsidR="00702F04">
        <w:rPr>
          <w:rFonts w:ascii="Times New Roman" w:hAnsi="Times New Roman"/>
        </w:rPr>
        <w:t>,</w:t>
      </w:r>
      <w:r w:rsidRPr="00702F04">
        <w:rPr>
          <w:rFonts w:ascii="Times New Roman" w:hAnsi="Times New Roman"/>
        </w:rPr>
        <w:t xml:space="preserve"> </w:t>
      </w:r>
      <w:r w:rsidRPr="00702F04" w:rsidR="00702F04">
        <w:rPr>
          <w:rFonts w:ascii="Times New Roman" w:hAnsi="Times New Roman"/>
        </w:rPr>
        <w:t xml:space="preserve">and </w:t>
      </w:r>
      <w:r>
        <w:rPr>
          <w:rFonts w:ascii="Times New Roman" w:hAnsi="Times New Roman"/>
        </w:rPr>
        <w:t>DCOs</w:t>
      </w:r>
      <w:r w:rsidRPr="00702F04">
        <w:rPr>
          <w:rFonts w:ascii="Times New Roman" w:hAnsi="Times New Roman"/>
        </w:rPr>
        <w:t xml:space="preserve"> already maintain sufficient compliance personnel and systems for the regulatory reporting and recordkeeping that would be required.</w:t>
      </w:r>
    </w:p>
    <w:p w:rsidR="00871E47" w:rsidP="00261FEC" w14:paraId="0067608F" w14:textId="77777777">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71E47" w:rsidP="00286801" w14:paraId="00676090" w14:textId="5EA1EF1C">
      <w:pPr>
        <w:tabs>
          <w:tab w:val="left" w:pos="-720"/>
        </w:tabs>
        <w:spacing w:after="240"/>
        <w:rPr>
          <w:rFonts w:ascii="Times New Roman" w:hAnsi="Times New Roman"/>
        </w:rPr>
      </w:pPr>
      <w:r>
        <w:rPr>
          <w:rFonts w:ascii="Times New Roman" w:hAnsi="Times New Roman"/>
        </w:rPr>
        <w:t>It is not anticipated that the regulations would impose any additional costs to the Federal Government.</w:t>
      </w:r>
    </w:p>
    <w:p w:rsidR="00871E47" w14:paraId="00676091" w14:textId="77777777">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D77987" w:rsidP="00D77987" w14:paraId="00676092" w14:textId="67EADDA6">
      <w:pPr>
        <w:tabs>
          <w:tab w:val="left" w:pos="-720"/>
        </w:tabs>
        <w:spacing w:after="240"/>
        <w:jc w:val="both"/>
        <w:rPr>
          <w:rFonts w:ascii="Times New Roman" w:hAnsi="Times New Roman"/>
        </w:rPr>
      </w:pPr>
      <w:r>
        <w:rPr>
          <w:rFonts w:ascii="Times New Roman" w:hAnsi="Times New Roman"/>
        </w:rPr>
        <w:t xml:space="preserve">There </w:t>
      </w:r>
      <w:r w:rsidRPr="002228BB">
        <w:rPr>
          <w:rFonts w:ascii="Times New Roman" w:hAnsi="Times New Roman"/>
        </w:rPr>
        <w:t>are no program changes</w:t>
      </w:r>
      <w:r w:rsidR="00EE2891">
        <w:rPr>
          <w:rFonts w:ascii="Times New Roman" w:hAnsi="Times New Roman"/>
        </w:rPr>
        <w:t xml:space="preserve"> or adjustments</w:t>
      </w:r>
      <w:r w:rsidRPr="002228BB">
        <w:rPr>
          <w:rFonts w:ascii="Times New Roman" w:hAnsi="Times New Roman"/>
        </w:rPr>
        <w:t xml:space="preserve">.  </w:t>
      </w:r>
      <w:r w:rsidR="00413A01">
        <w:rPr>
          <w:rFonts w:ascii="Times New Roman" w:hAnsi="Times New Roman"/>
        </w:rPr>
        <w:t>The</w:t>
      </w:r>
      <w:r w:rsidR="00EE2891">
        <w:rPr>
          <w:rFonts w:ascii="Times New Roman" w:hAnsi="Times New Roman"/>
        </w:rPr>
        <w:t xml:space="preserve"> </w:t>
      </w:r>
      <w:r w:rsidR="00CD084B">
        <w:rPr>
          <w:rFonts w:ascii="Times New Roman" w:hAnsi="Times New Roman"/>
        </w:rPr>
        <w:t xml:space="preserve">total </w:t>
      </w:r>
      <w:r w:rsidRPr="00CD44AC" w:rsidR="009E1DED">
        <w:rPr>
          <w:rFonts w:ascii="Times New Roman" w:hAnsi="Times New Roman"/>
        </w:rPr>
        <w:t>number of respondents</w:t>
      </w:r>
      <w:r w:rsidR="00EE2891">
        <w:rPr>
          <w:rFonts w:ascii="Times New Roman" w:hAnsi="Times New Roman"/>
        </w:rPr>
        <w:t xml:space="preserve"> has remained the same since the previous renewal</w:t>
      </w:r>
      <w:r w:rsidR="00413A01">
        <w:rPr>
          <w:rFonts w:ascii="Times New Roman" w:hAnsi="Times New Roman"/>
        </w:rPr>
        <w:t xml:space="preserve">. </w:t>
      </w:r>
      <w:r w:rsidR="007C30E5">
        <w:rPr>
          <w:rFonts w:ascii="Times New Roman" w:hAnsi="Times New Roman"/>
        </w:rPr>
        <w:t xml:space="preserve"> As a result, the Commission’s </w:t>
      </w:r>
      <w:r w:rsidR="00D0413C">
        <w:rPr>
          <w:rFonts w:ascii="Times New Roman" w:hAnsi="Times New Roman"/>
        </w:rPr>
        <w:t xml:space="preserve">hourly </w:t>
      </w:r>
      <w:r w:rsidR="007C30E5">
        <w:rPr>
          <w:rFonts w:ascii="Times New Roman" w:hAnsi="Times New Roman"/>
        </w:rPr>
        <w:t xml:space="preserve">burden estimates for this collection remain unchanged.  </w:t>
      </w:r>
      <w:r>
        <w:rPr>
          <w:rFonts w:ascii="Times New Roman" w:hAnsi="Times New Roman"/>
        </w:rPr>
        <w:t>There are 167 currently registered</w:t>
      </w:r>
      <w:r w:rsidR="00CD6C53">
        <w:rPr>
          <w:rFonts w:ascii="Times New Roman" w:hAnsi="Times New Roman"/>
        </w:rPr>
        <w:t xml:space="preserve"> </w:t>
      </w:r>
      <w:r w:rsidR="004C34B6">
        <w:rPr>
          <w:rFonts w:ascii="Times New Roman" w:hAnsi="Times New Roman"/>
        </w:rPr>
        <w:t xml:space="preserve">respondents. </w:t>
      </w:r>
      <w:r w:rsidR="007C30E5">
        <w:rPr>
          <w:rFonts w:ascii="Times New Roman" w:hAnsi="Times New Roman"/>
        </w:rPr>
        <w:t xml:space="preserve"> </w:t>
      </w:r>
      <w:r w:rsidR="004C34B6">
        <w:rPr>
          <w:rFonts w:ascii="Times New Roman" w:hAnsi="Times New Roman"/>
        </w:rPr>
        <w:t>Because</w:t>
      </w:r>
      <w:r w:rsidR="003F299C">
        <w:rPr>
          <w:rFonts w:ascii="Times New Roman" w:hAnsi="Times New Roman"/>
        </w:rPr>
        <w:t xml:space="preserve"> </w:t>
      </w:r>
      <w:r w:rsidR="00514770">
        <w:rPr>
          <w:rFonts w:ascii="Times New Roman" w:hAnsi="Times New Roman"/>
        </w:rPr>
        <w:t>there is no change</w:t>
      </w:r>
      <w:r w:rsidR="007C30E5">
        <w:rPr>
          <w:rFonts w:ascii="Times New Roman" w:hAnsi="Times New Roman"/>
        </w:rPr>
        <w:t xml:space="preserve"> in the total number of respondents</w:t>
      </w:r>
      <w:r w:rsidRPr="00CD44AC" w:rsidR="00660AEF">
        <w:rPr>
          <w:rFonts w:ascii="Times New Roman" w:hAnsi="Times New Roman"/>
        </w:rPr>
        <w:t xml:space="preserve">, the </w:t>
      </w:r>
      <w:r w:rsidR="007C30E5">
        <w:rPr>
          <w:rFonts w:ascii="Times New Roman" w:hAnsi="Times New Roman"/>
        </w:rPr>
        <w:t xml:space="preserve">Commission has retained its estimate of the </w:t>
      </w:r>
      <w:r w:rsidRPr="00CD44AC" w:rsidR="00660AEF">
        <w:rPr>
          <w:rFonts w:ascii="Times New Roman" w:hAnsi="Times New Roman"/>
        </w:rPr>
        <w:t xml:space="preserve">aggregate annual </w:t>
      </w:r>
      <w:r w:rsidR="003F299C">
        <w:rPr>
          <w:rFonts w:ascii="Times New Roman" w:hAnsi="Times New Roman"/>
        </w:rPr>
        <w:t xml:space="preserve">burden hours </w:t>
      </w:r>
      <w:r w:rsidR="007C30E5">
        <w:rPr>
          <w:rFonts w:ascii="Times New Roman" w:hAnsi="Times New Roman"/>
        </w:rPr>
        <w:t xml:space="preserve">for all respondents of </w:t>
      </w:r>
      <w:r w:rsidR="006433FB">
        <w:rPr>
          <w:rFonts w:ascii="Times New Roman" w:hAnsi="Times New Roman"/>
        </w:rPr>
        <w:t xml:space="preserve">84,168 </w:t>
      </w:r>
      <w:r w:rsidR="007C30E5">
        <w:rPr>
          <w:rFonts w:ascii="Times New Roman" w:hAnsi="Times New Roman"/>
        </w:rPr>
        <w:t>hours</w:t>
      </w:r>
      <w:r w:rsidR="00361FDE">
        <w:rPr>
          <w:rFonts w:ascii="Times New Roman" w:hAnsi="Times New Roman"/>
        </w:rPr>
        <w:t>.  The Commission has updated its estimate of associated labor costs based upon updated BLS wage data</w:t>
      </w:r>
      <w:r w:rsidR="00F13560">
        <w:rPr>
          <w:rFonts w:ascii="Times New Roman" w:hAnsi="Times New Roman"/>
        </w:rPr>
        <w:t xml:space="preserve"> and estimates that</w:t>
      </w:r>
      <w:r w:rsidR="006433FB">
        <w:rPr>
          <w:rFonts w:ascii="Times New Roman" w:hAnsi="Times New Roman"/>
        </w:rPr>
        <w:t xml:space="preserve"> the associated annual labor </w:t>
      </w:r>
      <w:r w:rsidRPr="00CD44AC" w:rsidR="00660AEF">
        <w:rPr>
          <w:rFonts w:ascii="Times New Roman" w:hAnsi="Times New Roman"/>
        </w:rPr>
        <w:t>cost</w:t>
      </w:r>
      <w:r w:rsidR="006433FB">
        <w:rPr>
          <w:rFonts w:ascii="Times New Roman" w:hAnsi="Times New Roman"/>
        </w:rPr>
        <w:t>s</w:t>
      </w:r>
      <w:r w:rsidR="00962A46">
        <w:rPr>
          <w:rFonts w:ascii="Times New Roman" w:hAnsi="Times New Roman"/>
        </w:rPr>
        <w:t xml:space="preserve"> </w:t>
      </w:r>
      <w:r w:rsidR="00AA7517">
        <w:rPr>
          <w:rFonts w:ascii="Times New Roman" w:hAnsi="Times New Roman"/>
        </w:rPr>
        <w:t>are</w:t>
      </w:r>
      <w:r w:rsidR="007839FA">
        <w:rPr>
          <w:rFonts w:ascii="Times New Roman" w:hAnsi="Times New Roman"/>
        </w:rPr>
        <w:t xml:space="preserve"> </w:t>
      </w:r>
      <w:r w:rsidR="00326E87">
        <w:rPr>
          <w:rFonts w:ascii="Times New Roman" w:hAnsi="Times New Roman"/>
        </w:rPr>
        <w:t>$8,</w:t>
      </w:r>
      <w:r w:rsidR="006D5217">
        <w:rPr>
          <w:rFonts w:ascii="Times New Roman" w:hAnsi="Times New Roman"/>
        </w:rPr>
        <w:t>416,800</w:t>
      </w:r>
      <w:r w:rsidR="00C90A2B">
        <w:rPr>
          <w:rFonts w:ascii="Times New Roman" w:hAnsi="Times New Roman"/>
        </w:rPr>
        <w:t>.</w:t>
      </w:r>
    </w:p>
    <w:p w:rsidR="00871E47" w14:paraId="00676093" w14:textId="7777777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 xml:space="preserve">For collection of information whose results are planned to be published for statistical use, outline plans for tabulation, statistical analysis, and publication.  Provide the time </w:t>
      </w:r>
      <w:r>
        <w:rPr>
          <w:rFonts w:ascii="Times New Roman" w:hAnsi="Times New Roman"/>
          <w:b/>
        </w:rPr>
        <w:t>schedule for the entire project, including beginning and ending dates of the collection of information, completion of report, publication dates, and other actions.</w:t>
      </w:r>
    </w:p>
    <w:p w:rsidR="00871E47" w14:paraId="00676094" w14:textId="77777777">
      <w:pPr>
        <w:tabs>
          <w:tab w:val="left" w:pos="-720"/>
        </w:tabs>
        <w:spacing w:after="240"/>
        <w:jc w:val="both"/>
        <w:rPr>
          <w:rFonts w:ascii="Times New Roman" w:hAnsi="Times New Roman"/>
        </w:rPr>
      </w:pPr>
      <w:r>
        <w:rPr>
          <w:rFonts w:ascii="Times New Roman" w:hAnsi="Times New Roman"/>
        </w:rPr>
        <w:t>This question does not apply.</w:t>
      </w:r>
    </w:p>
    <w:p w:rsidR="00871E47" w14:paraId="00676095" w14:textId="7777777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71E47" w14:paraId="00676096" w14:textId="77777777">
      <w:pPr>
        <w:tabs>
          <w:tab w:val="left" w:pos="-720"/>
        </w:tabs>
        <w:spacing w:after="240"/>
        <w:jc w:val="both"/>
        <w:rPr>
          <w:rFonts w:ascii="Times New Roman" w:hAnsi="Times New Roman"/>
        </w:rPr>
      </w:pPr>
      <w:r>
        <w:rPr>
          <w:rFonts w:ascii="Times New Roman" w:hAnsi="Times New Roman"/>
        </w:rPr>
        <w:t>This question does not apply.</w:t>
      </w:r>
    </w:p>
    <w:p w:rsidR="00871E47" w14:paraId="00676097" w14:textId="04F12928">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 xml:space="preserve">Explain each exception to the certification statement identified in Item 19, </w:t>
      </w:r>
      <w:r w:rsidR="00710448">
        <w:rPr>
          <w:rFonts w:ascii="Times New Roman" w:hAnsi="Times New Roman"/>
          <w:b/>
        </w:rPr>
        <w:t>“</w:t>
      </w:r>
      <w:r>
        <w:rPr>
          <w:rFonts w:ascii="Times New Roman" w:hAnsi="Times New Roman"/>
          <w:b/>
        </w:rPr>
        <w:t>Certification for Paperwork Reduction Act Submissions,</w:t>
      </w:r>
      <w:r w:rsidR="00710448">
        <w:rPr>
          <w:rFonts w:ascii="Times New Roman" w:hAnsi="Times New Roman"/>
          <w:b/>
        </w:rPr>
        <w:t>”</w:t>
      </w:r>
      <w:r>
        <w:rPr>
          <w:rFonts w:ascii="Times New Roman" w:hAnsi="Times New Roman"/>
          <w:b/>
        </w:rPr>
        <w:t xml:space="preserve"> of OMB Form 83-I.</w:t>
      </w:r>
    </w:p>
    <w:p w:rsidR="004D3578" w:rsidP="00CA25AA" w14:paraId="6CDFF186" w14:textId="0BAE3117">
      <w:pPr>
        <w:tabs>
          <w:tab w:val="left" w:pos="-720"/>
        </w:tabs>
        <w:spacing w:after="240"/>
        <w:jc w:val="both"/>
        <w:sectPr w:rsidSect="00871E47">
          <w:footerReference w:type="default" r:id="rId9"/>
          <w:pgSz w:w="12240" w:h="15840" w:code="1"/>
          <w:pgMar w:top="1440" w:right="1440" w:bottom="1440" w:left="1440" w:header="720" w:footer="720" w:gutter="0"/>
          <w:cols w:space="720"/>
          <w:docGrid w:linePitch="360"/>
        </w:sectPr>
      </w:pPr>
      <w:r>
        <w:rPr>
          <w:rFonts w:ascii="Times New Roman" w:hAnsi="Times New Roman"/>
        </w:rPr>
        <w:t>This question does not apply.</w:t>
      </w:r>
      <w:r>
        <w:br w:type="page"/>
      </w:r>
    </w:p>
    <w:p w:rsidR="00871E47" w:rsidRPr="00390D94" w:rsidP="00390D94" w14:paraId="0067609A" w14:textId="77777777">
      <w:pPr>
        <w:pStyle w:val="Title"/>
        <w:spacing w:after="120"/>
        <w:rPr>
          <w:sz w:val="24"/>
          <w:szCs w:val="24"/>
          <w:u w:val="single"/>
        </w:rPr>
      </w:pPr>
      <w:r w:rsidRPr="00390D94">
        <w:rPr>
          <w:sz w:val="24"/>
          <w:szCs w:val="24"/>
          <w:u w:val="single"/>
        </w:rPr>
        <w:t>Attachment A</w:t>
      </w:r>
    </w:p>
    <w:p w:rsidR="00871E47" w:rsidP="00390D94" w14:paraId="0067609B" w14:textId="701435F2">
      <w:pPr>
        <w:pStyle w:val="Title"/>
        <w:spacing w:after="120"/>
        <w:rPr>
          <w:sz w:val="24"/>
          <w:szCs w:val="24"/>
        </w:rPr>
      </w:pPr>
      <w:r w:rsidRPr="000B57C4">
        <w:rPr>
          <w:sz w:val="24"/>
          <w:szCs w:val="24"/>
        </w:rPr>
        <w:t>Clearing Member Risk Management</w:t>
      </w:r>
    </w:p>
    <w:p w:rsidR="00871E47" w:rsidRPr="00E61FB5" w:rsidP="00390D94" w14:paraId="0067609C" w14:textId="4990C4CD">
      <w:pPr>
        <w:pStyle w:val="Title"/>
        <w:spacing w:after="240"/>
        <w:rPr>
          <w:sz w:val="24"/>
          <w:szCs w:val="24"/>
        </w:rPr>
      </w:pPr>
      <w:r w:rsidRPr="00E61FB5">
        <w:rPr>
          <w:sz w:val="24"/>
          <w:szCs w:val="24"/>
        </w:rPr>
        <w:t>OMB Collection File 3038-</w:t>
      </w:r>
      <w:r w:rsidRPr="00E61FB5" w:rsidR="005F3B35">
        <w:rPr>
          <w:sz w:val="24"/>
          <w:szCs w:val="24"/>
        </w:rPr>
        <w:t>009</w:t>
      </w:r>
      <w:r w:rsidRPr="00E61FB5" w:rsidR="00776B90">
        <w:rPr>
          <w:sz w:val="24"/>
          <w:szCs w:val="24"/>
        </w:rPr>
        <w:t>4</w:t>
      </w:r>
    </w:p>
    <w:p w:rsidR="00871E47" w:rsidRPr="00E61FB5" w:rsidP="00390D94" w14:paraId="0067609D" w14:textId="49FDC406">
      <w:pPr>
        <w:pStyle w:val="Title"/>
        <w:spacing w:after="120"/>
        <w:rPr>
          <w:sz w:val="24"/>
          <w:szCs w:val="24"/>
        </w:rPr>
      </w:pPr>
      <w:r w:rsidRPr="00E61FB5">
        <w:rPr>
          <w:b w:val="0"/>
          <w:sz w:val="24"/>
          <w:szCs w:val="24"/>
        </w:rPr>
        <w:t>Number of Registrants</w:t>
      </w:r>
      <w:r w:rsidRPr="00E61FB5" w:rsidR="00165AD0">
        <w:rPr>
          <w:b w:val="0"/>
          <w:sz w:val="24"/>
          <w:szCs w:val="24"/>
        </w:rPr>
        <w:t>/Respondents</w:t>
      </w:r>
      <w:r w:rsidRPr="00E61FB5">
        <w:rPr>
          <w:b w:val="0"/>
          <w:sz w:val="24"/>
          <w:szCs w:val="24"/>
        </w:rPr>
        <w:t xml:space="preserve">:  </w:t>
      </w:r>
      <w:r w:rsidRPr="00E61FB5" w:rsidR="00CD6C53">
        <w:rPr>
          <w:b w:val="0"/>
          <w:sz w:val="24"/>
          <w:szCs w:val="24"/>
        </w:rPr>
        <w:t>16</w:t>
      </w:r>
      <w:r w:rsidR="00CD6C53">
        <w:rPr>
          <w:b w:val="0"/>
          <w:sz w:val="24"/>
          <w:szCs w:val="24"/>
        </w:rPr>
        <w:t>7</w:t>
      </w:r>
    </w:p>
    <w:p w:rsidR="00871E47" w:rsidRPr="00E61FB5" w:rsidP="00390D94" w14:paraId="0067609E" w14:textId="4CCDF8AD">
      <w:pPr>
        <w:pStyle w:val="Title"/>
        <w:tabs>
          <w:tab w:val="center" w:pos="7200"/>
        </w:tabs>
        <w:spacing w:after="120"/>
        <w:rPr>
          <w:b w:val="0"/>
          <w:sz w:val="24"/>
          <w:szCs w:val="24"/>
        </w:rPr>
      </w:pPr>
      <w:r w:rsidRPr="00E61FB5">
        <w:rPr>
          <w:b w:val="0"/>
          <w:sz w:val="24"/>
          <w:szCs w:val="24"/>
        </w:rPr>
        <w:t xml:space="preserve">Frequency of Recordkeeping/Reporting: </w:t>
      </w:r>
      <w:r w:rsidRPr="00E61FB5" w:rsidR="006A5A7B">
        <w:rPr>
          <w:b w:val="0"/>
          <w:sz w:val="24"/>
          <w:szCs w:val="24"/>
        </w:rPr>
        <w:t>A</w:t>
      </w:r>
      <w:r w:rsidRPr="00E61FB5">
        <w:rPr>
          <w:b w:val="0"/>
          <w:sz w:val="24"/>
          <w:szCs w:val="24"/>
        </w:rPr>
        <w:t>s needed</w:t>
      </w:r>
    </w:p>
    <w:p w:rsidR="00871E47" w:rsidRPr="00E61FB5" w:rsidP="00390D94" w14:paraId="0067609F" w14:textId="4449B632">
      <w:pPr>
        <w:spacing w:after="120"/>
        <w:jc w:val="center"/>
        <w:rPr>
          <w:rFonts w:ascii="Times New Roman" w:hAnsi="Times New Roman"/>
        </w:rPr>
      </w:pPr>
      <w:r w:rsidRPr="00E61FB5">
        <w:rPr>
          <w:rFonts w:ascii="Times New Roman" w:hAnsi="Times New Roman"/>
        </w:rPr>
        <w:t xml:space="preserve">Estimated Average Burden Hours Per Registrant: </w:t>
      </w:r>
      <w:r w:rsidRPr="00E61FB5" w:rsidR="00776B90">
        <w:rPr>
          <w:rFonts w:ascii="Times New Roman" w:hAnsi="Times New Roman"/>
        </w:rPr>
        <w:t>504</w:t>
      </w:r>
    </w:p>
    <w:p w:rsidR="00871E47" w:rsidRPr="00E61FB5" w:rsidP="00390D94" w14:paraId="006760A0" w14:textId="291D22DE">
      <w:pPr>
        <w:spacing w:after="120"/>
        <w:jc w:val="center"/>
        <w:rPr>
          <w:rFonts w:ascii="Times New Roman" w:hAnsi="Times New Roman"/>
        </w:rPr>
      </w:pPr>
      <w:r w:rsidRPr="00E61FB5">
        <w:rPr>
          <w:rFonts w:ascii="Times New Roman" w:hAnsi="Times New Roman"/>
        </w:rPr>
        <w:t xml:space="preserve">Estimated Aggregate Burden Hours:  </w:t>
      </w:r>
      <w:bookmarkStart w:id="1" w:name="_Hlk194991593"/>
      <w:r w:rsidR="00514770">
        <w:rPr>
          <w:rFonts w:ascii="Times New Roman" w:hAnsi="Times New Roman"/>
        </w:rPr>
        <w:t>84,168</w:t>
      </w:r>
      <w:bookmarkEnd w:id="1"/>
    </w:p>
    <w:p w:rsidR="00871E47" w:rsidRPr="00E61FB5" w:rsidP="00390D94" w14:paraId="006760A1" w14:textId="1B81336C">
      <w:pPr>
        <w:spacing w:after="120"/>
        <w:jc w:val="center"/>
        <w:rPr>
          <w:rFonts w:ascii="Times New Roman" w:hAnsi="Times New Roman"/>
        </w:rPr>
      </w:pPr>
      <w:r w:rsidRPr="00E61FB5">
        <w:rPr>
          <w:rFonts w:ascii="Times New Roman" w:hAnsi="Times New Roman"/>
        </w:rPr>
        <w:t>Estimated Annual Cost Per Registrant:   $</w:t>
      </w:r>
      <w:r w:rsidRPr="00E61FB5" w:rsidR="00660AEF">
        <w:rPr>
          <w:rFonts w:ascii="Times New Roman" w:hAnsi="Times New Roman"/>
        </w:rPr>
        <w:t>50,400</w:t>
      </w:r>
    </w:p>
    <w:p w:rsidR="00871E47" w:rsidRPr="00E61FB5" w:rsidP="00390D94" w14:paraId="006760A2" w14:textId="2E303E6A">
      <w:pPr>
        <w:spacing w:after="120"/>
        <w:jc w:val="center"/>
        <w:rPr>
          <w:rFonts w:ascii="Times New Roman" w:hAnsi="Times New Roman"/>
        </w:rPr>
      </w:pPr>
      <w:r w:rsidRPr="00E61FB5">
        <w:rPr>
          <w:rFonts w:ascii="Times New Roman" w:hAnsi="Times New Roman"/>
        </w:rPr>
        <w:t>Estimated Aggregate Annual Cost:   $</w:t>
      </w:r>
      <w:r w:rsidRPr="00E61FB5" w:rsidR="00E61FB5">
        <w:rPr>
          <w:rFonts w:ascii="Times New Roman" w:hAnsi="Times New Roman"/>
        </w:rPr>
        <w:t>8,</w:t>
      </w:r>
      <w:r w:rsidR="00514770">
        <w:rPr>
          <w:rFonts w:ascii="Times New Roman" w:hAnsi="Times New Roman"/>
        </w:rPr>
        <w:t>416,800</w:t>
      </w:r>
    </w:p>
    <w:p w:rsidR="00871E47" w:rsidP="00390D94" w14:paraId="006760A3" w14:textId="4AC069A9">
      <w:pPr>
        <w:spacing w:after="360"/>
        <w:jc w:val="center"/>
        <w:rPr>
          <w:rFonts w:ascii="Times New Roman" w:hAnsi="Times New Roman"/>
        </w:rPr>
      </w:pPr>
      <w:r w:rsidRPr="00C833F4">
        <w:rPr>
          <w:rFonts w:ascii="Times New Roman" w:hAnsi="Times New Roman"/>
        </w:rPr>
        <w:t>% of Responses Collected Electronically:  100%</w:t>
      </w:r>
    </w:p>
    <w:tbl>
      <w:tblPr>
        <w:tblStyle w:val="TableGrid"/>
        <w:tblW w:w="13581" w:type="dxa"/>
        <w:tblLayout w:type="fixed"/>
        <w:tblLook w:val="04A0"/>
      </w:tblPr>
      <w:tblGrid>
        <w:gridCol w:w="1414"/>
        <w:gridCol w:w="1341"/>
        <w:gridCol w:w="1560"/>
        <w:gridCol w:w="1530"/>
        <w:gridCol w:w="1530"/>
        <w:gridCol w:w="1260"/>
        <w:gridCol w:w="1260"/>
        <w:gridCol w:w="1260"/>
        <w:gridCol w:w="1170"/>
        <w:gridCol w:w="1256"/>
      </w:tblGrid>
      <w:tr w14:paraId="5FA43D44" w14:textId="77777777" w:rsidTr="00066796">
        <w:tblPrEx>
          <w:tblW w:w="13581" w:type="dxa"/>
          <w:tblLayout w:type="fixed"/>
          <w:tblLook w:val="04A0"/>
        </w:tblPrEx>
        <w:tc>
          <w:tcPr>
            <w:tcW w:w="1414" w:type="dxa"/>
          </w:tcPr>
          <w:p w:rsidR="005454A0" w:rsidRPr="00DE0D16" w:rsidP="005454A0" w14:paraId="05E7B423" w14:textId="77777777">
            <w:pPr>
              <w:jc w:val="center"/>
              <w:rPr>
                <w:rFonts w:ascii="Times New Roman" w:hAnsi="Times New Roman"/>
                <w:b/>
                <w:bCs/>
                <w:sz w:val="18"/>
                <w:szCs w:val="18"/>
              </w:rPr>
            </w:pPr>
            <w:r w:rsidRPr="00DE0D16">
              <w:rPr>
                <w:rFonts w:ascii="Times New Roman" w:hAnsi="Times New Roman"/>
                <w:b/>
                <w:bCs/>
                <w:sz w:val="18"/>
                <w:szCs w:val="18"/>
              </w:rPr>
              <w:t>1.</w:t>
            </w:r>
          </w:p>
          <w:p w:rsidR="005454A0" w:rsidRPr="00DE0D16" w:rsidP="005454A0" w14:paraId="258AEA86" w14:textId="58019574">
            <w:pPr>
              <w:jc w:val="center"/>
              <w:rPr>
                <w:rFonts w:ascii="Times New Roman" w:hAnsi="Times New Roman"/>
                <w:b/>
                <w:bCs/>
                <w:sz w:val="18"/>
                <w:szCs w:val="18"/>
              </w:rPr>
            </w:pPr>
            <w:r w:rsidRPr="00DE0D16">
              <w:rPr>
                <w:rFonts w:ascii="Times New Roman" w:hAnsi="Times New Roman"/>
                <w:b/>
                <w:bCs/>
                <w:sz w:val="18"/>
                <w:szCs w:val="18"/>
              </w:rPr>
              <w:t>Regulation(s)</w:t>
            </w:r>
          </w:p>
        </w:tc>
        <w:tc>
          <w:tcPr>
            <w:tcW w:w="1341" w:type="dxa"/>
          </w:tcPr>
          <w:p w:rsidR="005454A0" w:rsidRPr="00DE0D16" w:rsidP="005454A0" w14:paraId="14F52EEA" w14:textId="77777777">
            <w:pPr>
              <w:jc w:val="center"/>
              <w:rPr>
                <w:rFonts w:ascii="Times New Roman" w:hAnsi="Times New Roman"/>
                <w:b/>
                <w:bCs/>
                <w:sz w:val="18"/>
                <w:szCs w:val="18"/>
              </w:rPr>
            </w:pPr>
            <w:r w:rsidRPr="00DE0D16">
              <w:rPr>
                <w:rFonts w:ascii="Times New Roman" w:hAnsi="Times New Roman"/>
                <w:b/>
                <w:bCs/>
                <w:sz w:val="18"/>
                <w:szCs w:val="18"/>
              </w:rPr>
              <w:t>2.</w:t>
            </w:r>
          </w:p>
          <w:p w:rsidR="005454A0" w:rsidRPr="00DE0D16" w:rsidP="005454A0" w14:paraId="5D53E6A0" w14:textId="39AFD7EF">
            <w:pPr>
              <w:jc w:val="center"/>
              <w:rPr>
                <w:rFonts w:ascii="Times New Roman" w:hAnsi="Times New Roman"/>
                <w:b/>
                <w:bCs/>
                <w:sz w:val="18"/>
                <w:szCs w:val="18"/>
              </w:rPr>
            </w:pPr>
            <w:r w:rsidRPr="00DE0D16">
              <w:rPr>
                <w:rFonts w:ascii="Times New Roman" w:hAnsi="Times New Roman"/>
                <w:b/>
                <w:bCs/>
                <w:sz w:val="18"/>
                <w:szCs w:val="18"/>
              </w:rPr>
              <w:t>Estimated Number of Respondents</w:t>
            </w:r>
          </w:p>
        </w:tc>
        <w:tc>
          <w:tcPr>
            <w:tcW w:w="1560" w:type="dxa"/>
          </w:tcPr>
          <w:p w:rsidR="00DE0D16" w:rsidRPr="00DE0D16" w:rsidP="005454A0" w14:paraId="7A5CDB7F" w14:textId="77777777">
            <w:pPr>
              <w:jc w:val="center"/>
              <w:rPr>
                <w:rFonts w:ascii="Times New Roman" w:hAnsi="Times New Roman"/>
                <w:b/>
                <w:bCs/>
                <w:sz w:val="18"/>
                <w:szCs w:val="18"/>
              </w:rPr>
            </w:pPr>
            <w:r w:rsidRPr="00DE0D16">
              <w:rPr>
                <w:rFonts w:ascii="Times New Roman" w:hAnsi="Times New Roman"/>
                <w:b/>
                <w:bCs/>
                <w:sz w:val="18"/>
                <w:szCs w:val="18"/>
              </w:rPr>
              <w:t xml:space="preserve">3. </w:t>
            </w:r>
          </w:p>
          <w:p w:rsidR="005454A0" w:rsidRPr="00DE0D16" w:rsidP="005454A0" w14:paraId="76C3810E" w14:textId="41C33F36">
            <w:pPr>
              <w:jc w:val="center"/>
              <w:rPr>
                <w:rFonts w:ascii="Times New Roman" w:hAnsi="Times New Roman"/>
                <w:b/>
                <w:bCs/>
                <w:sz w:val="18"/>
                <w:szCs w:val="18"/>
              </w:rPr>
            </w:pPr>
            <w:r w:rsidRPr="00DE0D16">
              <w:rPr>
                <w:rFonts w:ascii="Times New Roman" w:hAnsi="Times New Roman"/>
                <w:b/>
                <w:bCs/>
                <w:sz w:val="18"/>
                <w:szCs w:val="18"/>
              </w:rPr>
              <w:t>Estimated Number of Reports by Each Respondent</w:t>
            </w:r>
          </w:p>
        </w:tc>
        <w:tc>
          <w:tcPr>
            <w:tcW w:w="1530" w:type="dxa"/>
          </w:tcPr>
          <w:p w:rsidR="005454A0" w:rsidRPr="00DE0D16" w:rsidP="005454A0" w14:paraId="1B9E70A5" w14:textId="77777777">
            <w:pPr>
              <w:jc w:val="center"/>
              <w:rPr>
                <w:rFonts w:ascii="Times New Roman" w:hAnsi="Times New Roman"/>
                <w:b/>
                <w:bCs/>
                <w:sz w:val="18"/>
                <w:szCs w:val="18"/>
              </w:rPr>
            </w:pPr>
            <w:r w:rsidRPr="00DE0D16">
              <w:rPr>
                <w:rFonts w:ascii="Times New Roman" w:hAnsi="Times New Roman"/>
                <w:b/>
                <w:bCs/>
                <w:sz w:val="18"/>
                <w:szCs w:val="18"/>
              </w:rPr>
              <w:t>4.</w:t>
            </w:r>
          </w:p>
          <w:p w:rsidR="005454A0" w:rsidRPr="00DE0D16" w:rsidP="005454A0" w14:paraId="453AFCBB" w14:textId="0DAED104">
            <w:pPr>
              <w:jc w:val="center"/>
              <w:rPr>
                <w:rFonts w:ascii="Times New Roman" w:hAnsi="Times New Roman"/>
                <w:b/>
                <w:bCs/>
                <w:sz w:val="18"/>
                <w:szCs w:val="18"/>
              </w:rPr>
            </w:pPr>
            <w:r w:rsidRPr="00DE0D16">
              <w:rPr>
                <w:rFonts w:ascii="Times New Roman" w:hAnsi="Times New Roman"/>
                <w:b/>
                <w:bCs/>
                <w:sz w:val="18"/>
                <w:szCs w:val="18"/>
              </w:rPr>
              <w:t xml:space="preserve">Estimated </w:t>
            </w:r>
            <w:r w:rsidRPr="00DE0D16" w:rsidR="00CE58B4">
              <w:rPr>
                <w:rFonts w:ascii="Times New Roman" w:hAnsi="Times New Roman"/>
                <w:b/>
                <w:bCs/>
                <w:sz w:val="18"/>
                <w:szCs w:val="18"/>
              </w:rPr>
              <w:t xml:space="preserve">Average </w:t>
            </w:r>
            <w:r w:rsidRPr="00DE0D16">
              <w:rPr>
                <w:rFonts w:ascii="Times New Roman" w:hAnsi="Times New Roman"/>
                <w:b/>
                <w:bCs/>
                <w:sz w:val="18"/>
                <w:szCs w:val="18"/>
              </w:rPr>
              <w:t>Number</w:t>
            </w:r>
            <w:r w:rsidRPr="00DE0D16">
              <w:rPr>
                <w:rFonts w:ascii="Times New Roman" w:hAnsi="Times New Roman"/>
                <w:b/>
                <w:bCs/>
                <w:sz w:val="18"/>
                <w:szCs w:val="18"/>
              </w:rPr>
              <w:t xml:space="preserve"> of Burden Hours per Response</w:t>
            </w:r>
          </w:p>
        </w:tc>
        <w:tc>
          <w:tcPr>
            <w:tcW w:w="1530" w:type="dxa"/>
          </w:tcPr>
          <w:p w:rsidR="005454A0" w:rsidRPr="00DE0D16" w:rsidP="005454A0" w14:paraId="73EA4B4F" w14:textId="77777777">
            <w:pPr>
              <w:jc w:val="center"/>
              <w:rPr>
                <w:rFonts w:ascii="Times New Roman" w:hAnsi="Times New Roman"/>
                <w:b/>
                <w:bCs/>
                <w:sz w:val="18"/>
                <w:szCs w:val="18"/>
              </w:rPr>
            </w:pPr>
            <w:r w:rsidRPr="00DE0D16">
              <w:rPr>
                <w:rFonts w:ascii="Times New Roman" w:hAnsi="Times New Roman"/>
                <w:b/>
                <w:bCs/>
                <w:sz w:val="18"/>
                <w:szCs w:val="18"/>
              </w:rPr>
              <w:t xml:space="preserve">5. </w:t>
            </w:r>
          </w:p>
          <w:p w:rsidR="005454A0" w:rsidRPr="00DE0D16" w:rsidP="005454A0" w14:paraId="5623ECBF" w14:textId="1AF99588">
            <w:pPr>
              <w:jc w:val="center"/>
              <w:rPr>
                <w:rFonts w:ascii="Times New Roman" w:hAnsi="Times New Roman"/>
                <w:b/>
                <w:bCs/>
                <w:sz w:val="18"/>
                <w:szCs w:val="18"/>
              </w:rPr>
            </w:pPr>
            <w:r w:rsidRPr="00DE0D16">
              <w:rPr>
                <w:rFonts w:ascii="Times New Roman" w:hAnsi="Times New Roman"/>
                <w:b/>
                <w:bCs/>
                <w:sz w:val="18"/>
                <w:szCs w:val="18"/>
              </w:rPr>
              <w:t xml:space="preserve">Annual </w:t>
            </w:r>
            <w:r w:rsidRPr="00DE0D16">
              <w:rPr>
                <w:rFonts w:ascii="Times New Roman" w:hAnsi="Times New Roman"/>
                <w:b/>
                <w:bCs/>
                <w:sz w:val="18"/>
                <w:szCs w:val="18"/>
              </w:rPr>
              <w:t>Number</w:t>
            </w:r>
            <w:r w:rsidRPr="00DE0D16">
              <w:rPr>
                <w:rFonts w:ascii="Times New Roman" w:hAnsi="Times New Roman"/>
                <w:b/>
                <w:bCs/>
                <w:sz w:val="18"/>
                <w:szCs w:val="18"/>
              </w:rPr>
              <w:t xml:space="preserve"> of Burden Hours per Respondent </w:t>
            </w:r>
          </w:p>
          <w:p w:rsidR="005454A0" w:rsidRPr="00DE0D16" w:rsidP="005454A0" w14:paraId="02FE7B83" w14:textId="4FA04524">
            <w:pPr>
              <w:jc w:val="center"/>
              <w:rPr>
                <w:rFonts w:ascii="Times New Roman" w:hAnsi="Times New Roman"/>
                <w:b/>
                <w:bCs/>
                <w:sz w:val="18"/>
                <w:szCs w:val="18"/>
              </w:rPr>
            </w:pPr>
            <w:r w:rsidRPr="00DE0D16">
              <w:rPr>
                <w:rFonts w:ascii="Times New Roman" w:hAnsi="Times New Roman"/>
                <w:b/>
                <w:bCs/>
                <w:sz w:val="18"/>
                <w:szCs w:val="18"/>
              </w:rPr>
              <w:t>(3</w:t>
            </w:r>
            <w:r w:rsidRPr="00390D94" w:rsidR="00390D94">
              <w:rPr>
                <w:rFonts w:ascii="Times New Roman" w:hAnsi="Times New Roman"/>
                <w:b/>
                <w:bCs/>
                <w:sz w:val="18"/>
                <w:szCs w:val="18"/>
              </w:rPr>
              <w:t>×</w:t>
            </w:r>
            <w:r w:rsidRPr="00DE0D16">
              <w:rPr>
                <w:rFonts w:ascii="Times New Roman" w:hAnsi="Times New Roman"/>
                <w:b/>
                <w:bCs/>
                <w:sz w:val="18"/>
                <w:szCs w:val="18"/>
              </w:rPr>
              <w:t>4)</w:t>
            </w:r>
          </w:p>
        </w:tc>
        <w:tc>
          <w:tcPr>
            <w:tcW w:w="1260" w:type="dxa"/>
          </w:tcPr>
          <w:p w:rsidR="005454A0" w:rsidRPr="00DE0D16" w:rsidP="005454A0" w14:paraId="2DCC5A16" w14:textId="77777777">
            <w:pPr>
              <w:jc w:val="center"/>
              <w:rPr>
                <w:rFonts w:ascii="Times New Roman" w:hAnsi="Times New Roman"/>
                <w:b/>
                <w:bCs/>
                <w:sz w:val="18"/>
                <w:szCs w:val="18"/>
              </w:rPr>
            </w:pPr>
            <w:r w:rsidRPr="00DE0D16">
              <w:rPr>
                <w:rFonts w:ascii="Times New Roman" w:hAnsi="Times New Roman"/>
                <w:b/>
                <w:bCs/>
                <w:sz w:val="18"/>
                <w:szCs w:val="18"/>
              </w:rPr>
              <w:t xml:space="preserve">6. </w:t>
            </w:r>
          </w:p>
          <w:p w:rsidR="00535F95" w:rsidRPr="00DE0D16" w:rsidP="005454A0" w14:paraId="77D50171" w14:textId="79C58D38">
            <w:pPr>
              <w:jc w:val="center"/>
              <w:rPr>
                <w:rFonts w:ascii="Times New Roman" w:hAnsi="Times New Roman"/>
                <w:b/>
                <w:bCs/>
                <w:sz w:val="18"/>
                <w:szCs w:val="18"/>
              </w:rPr>
            </w:pPr>
            <w:r w:rsidRPr="00DE0D16">
              <w:rPr>
                <w:rFonts w:ascii="Times New Roman" w:hAnsi="Times New Roman"/>
                <w:b/>
                <w:bCs/>
                <w:sz w:val="18"/>
                <w:szCs w:val="18"/>
              </w:rPr>
              <w:t>Estimated Average Burden Hour Cost</w:t>
            </w:r>
          </w:p>
        </w:tc>
        <w:tc>
          <w:tcPr>
            <w:tcW w:w="1260" w:type="dxa"/>
          </w:tcPr>
          <w:p w:rsidR="005454A0" w:rsidRPr="00DE0D16" w:rsidP="005454A0" w14:paraId="2EDA81D4" w14:textId="77777777">
            <w:pPr>
              <w:jc w:val="center"/>
              <w:rPr>
                <w:rFonts w:ascii="Times New Roman" w:hAnsi="Times New Roman"/>
                <w:b/>
                <w:bCs/>
                <w:sz w:val="18"/>
                <w:szCs w:val="18"/>
              </w:rPr>
            </w:pPr>
            <w:r w:rsidRPr="00DE0D16">
              <w:rPr>
                <w:rFonts w:ascii="Times New Roman" w:hAnsi="Times New Roman"/>
                <w:b/>
                <w:bCs/>
                <w:sz w:val="18"/>
                <w:szCs w:val="18"/>
              </w:rPr>
              <w:t xml:space="preserve">7. </w:t>
            </w:r>
          </w:p>
          <w:p w:rsidR="00535F95" w:rsidRPr="00DE0D16" w:rsidP="005454A0" w14:paraId="2913BA2B" w14:textId="77777777">
            <w:pPr>
              <w:jc w:val="center"/>
              <w:rPr>
                <w:rFonts w:ascii="Times New Roman" w:hAnsi="Times New Roman"/>
                <w:b/>
                <w:bCs/>
                <w:sz w:val="18"/>
                <w:szCs w:val="18"/>
              </w:rPr>
            </w:pPr>
            <w:r w:rsidRPr="00DE0D16">
              <w:rPr>
                <w:rFonts w:ascii="Times New Roman" w:hAnsi="Times New Roman"/>
                <w:b/>
                <w:bCs/>
                <w:sz w:val="18"/>
                <w:szCs w:val="18"/>
              </w:rPr>
              <w:t xml:space="preserve">Total Average Hour Burden Cost Per Respondent </w:t>
            </w:r>
          </w:p>
          <w:p w:rsidR="00535F95" w:rsidRPr="00DE0D16" w:rsidP="005454A0" w14:paraId="41A53660" w14:textId="482A808D">
            <w:pPr>
              <w:jc w:val="center"/>
              <w:rPr>
                <w:rFonts w:ascii="Times New Roman" w:hAnsi="Times New Roman"/>
                <w:b/>
                <w:bCs/>
                <w:sz w:val="18"/>
                <w:szCs w:val="18"/>
              </w:rPr>
            </w:pPr>
            <w:r w:rsidRPr="00DE0D16">
              <w:rPr>
                <w:rFonts w:ascii="Times New Roman" w:hAnsi="Times New Roman"/>
                <w:b/>
                <w:bCs/>
                <w:sz w:val="18"/>
                <w:szCs w:val="18"/>
              </w:rPr>
              <w:t>(5</w:t>
            </w:r>
            <w:r w:rsidRPr="00390D94" w:rsidR="00390D94">
              <w:rPr>
                <w:rFonts w:ascii="Times New Roman" w:hAnsi="Times New Roman"/>
                <w:b/>
                <w:bCs/>
                <w:sz w:val="18"/>
                <w:szCs w:val="18"/>
              </w:rPr>
              <w:t>×</w:t>
            </w:r>
            <w:r w:rsidRPr="00DE0D16">
              <w:rPr>
                <w:rFonts w:ascii="Times New Roman" w:hAnsi="Times New Roman"/>
                <w:b/>
                <w:bCs/>
                <w:sz w:val="18"/>
                <w:szCs w:val="18"/>
              </w:rPr>
              <w:t>6)</w:t>
            </w:r>
          </w:p>
        </w:tc>
        <w:tc>
          <w:tcPr>
            <w:tcW w:w="1260" w:type="dxa"/>
          </w:tcPr>
          <w:p w:rsidR="005454A0" w:rsidRPr="00DE0D16" w:rsidP="005454A0" w14:paraId="27C81C16" w14:textId="77777777">
            <w:pPr>
              <w:jc w:val="center"/>
              <w:rPr>
                <w:rFonts w:ascii="Times New Roman" w:hAnsi="Times New Roman"/>
                <w:b/>
                <w:bCs/>
                <w:sz w:val="18"/>
                <w:szCs w:val="18"/>
              </w:rPr>
            </w:pPr>
            <w:r w:rsidRPr="00DE0D16">
              <w:rPr>
                <w:rFonts w:ascii="Times New Roman" w:hAnsi="Times New Roman"/>
                <w:b/>
                <w:bCs/>
                <w:sz w:val="18"/>
                <w:szCs w:val="18"/>
              </w:rPr>
              <w:t>8.</w:t>
            </w:r>
          </w:p>
          <w:p w:rsidR="00535F95" w:rsidRPr="00DE0D16" w:rsidP="005454A0" w14:paraId="537E33B4" w14:textId="77777777">
            <w:pPr>
              <w:jc w:val="center"/>
              <w:rPr>
                <w:rFonts w:ascii="Times New Roman" w:hAnsi="Times New Roman"/>
                <w:b/>
                <w:bCs/>
                <w:sz w:val="18"/>
                <w:szCs w:val="18"/>
              </w:rPr>
            </w:pPr>
            <w:r w:rsidRPr="00DE0D16">
              <w:rPr>
                <w:rFonts w:ascii="Times New Roman" w:hAnsi="Times New Roman"/>
                <w:b/>
                <w:bCs/>
                <w:sz w:val="18"/>
                <w:szCs w:val="18"/>
              </w:rPr>
              <w:t xml:space="preserve">Total Annual Responses </w:t>
            </w:r>
          </w:p>
          <w:p w:rsidR="00535F95" w:rsidRPr="00DE0D16" w:rsidP="005454A0" w14:paraId="7A23E80C" w14:textId="0B0BEEFC">
            <w:pPr>
              <w:jc w:val="center"/>
              <w:rPr>
                <w:rFonts w:ascii="Times New Roman" w:hAnsi="Times New Roman"/>
                <w:b/>
                <w:bCs/>
                <w:sz w:val="18"/>
                <w:szCs w:val="18"/>
              </w:rPr>
            </w:pPr>
            <w:r w:rsidRPr="00DE0D16">
              <w:rPr>
                <w:rFonts w:ascii="Times New Roman" w:hAnsi="Times New Roman"/>
                <w:b/>
                <w:bCs/>
                <w:sz w:val="18"/>
                <w:szCs w:val="18"/>
              </w:rPr>
              <w:t>(2</w:t>
            </w:r>
            <w:r w:rsidRPr="00390D94" w:rsidR="00390D94">
              <w:rPr>
                <w:rFonts w:ascii="Times New Roman" w:hAnsi="Times New Roman"/>
                <w:b/>
                <w:bCs/>
                <w:sz w:val="18"/>
                <w:szCs w:val="18"/>
              </w:rPr>
              <w:t>×</w:t>
            </w:r>
            <w:r w:rsidRPr="00DE0D16">
              <w:rPr>
                <w:rFonts w:ascii="Times New Roman" w:hAnsi="Times New Roman"/>
                <w:b/>
                <w:bCs/>
                <w:sz w:val="18"/>
                <w:szCs w:val="18"/>
              </w:rPr>
              <w:t>3)</w:t>
            </w:r>
          </w:p>
        </w:tc>
        <w:tc>
          <w:tcPr>
            <w:tcW w:w="1170" w:type="dxa"/>
          </w:tcPr>
          <w:p w:rsidR="005454A0" w:rsidRPr="00DE0D16" w:rsidP="005454A0" w14:paraId="36326A2C" w14:textId="77777777">
            <w:pPr>
              <w:jc w:val="center"/>
              <w:rPr>
                <w:rFonts w:ascii="Times New Roman" w:hAnsi="Times New Roman"/>
                <w:b/>
                <w:bCs/>
                <w:sz w:val="18"/>
                <w:szCs w:val="18"/>
              </w:rPr>
            </w:pPr>
            <w:r w:rsidRPr="00DE0D16">
              <w:rPr>
                <w:rFonts w:ascii="Times New Roman" w:hAnsi="Times New Roman"/>
                <w:b/>
                <w:bCs/>
                <w:sz w:val="18"/>
                <w:szCs w:val="18"/>
              </w:rPr>
              <w:t xml:space="preserve">9. </w:t>
            </w:r>
          </w:p>
          <w:p w:rsidR="00535F95" w:rsidRPr="00DE0D16" w:rsidP="005454A0" w14:paraId="7F62888C" w14:textId="77777777">
            <w:pPr>
              <w:jc w:val="center"/>
              <w:rPr>
                <w:rFonts w:ascii="Times New Roman" w:hAnsi="Times New Roman"/>
                <w:b/>
                <w:bCs/>
                <w:sz w:val="18"/>
                <w:szCs w:val="18"/>
              </w:rPr>
            </w:pPr>
            <w:r w:rsidRPr="00DE0D16">
              <w:rPr>
                <w:rFonts w:ascii="Times New Roman" w:hAnsi="Times New Roman"/>
                <w:b/>
                <w:bCs/>
                <w:sz w:val="18"/>
                <w:szCs w:val="18"/>
              </w:rPr>
              <w:t>Total Annual Number of Burden Hours</w:t>
            </w:r>
          </w:p>
          <w:p w:rsidR="00535F95" w:rsidRPr="00DE0D16" w:rsidP="00390D94" w14:paraId="4E8A1922" w14:textId="7CB6D7AA">
            <w:pPr>
              <w:spacing w:after="240"/>
              <w:jc w:val="center"/>
              <w:rPr>
                <w:rFonts w:ascii="Times New Roman" w:hAnsi="Times New Roman"/>
                <w:b/>
                <w:bCs/>
                <w:sz w:val="18"/>
                <w:szCs w:val="18"/>
              </w:rPr>
            </w:pPr>
            <w:r w:rsidRPr="00DE0D16">
              <w:rPr>
                <w:rFonts w:ascii="Times New Roman" w:hAnsi="Times New Roman"/>
                <w:b/>
                <w:bCs/>
                <w:sz w:val="18"/>
                <w:szCs w:val="18"/>
              </w:rPr>
              <w:t>(2</w:t>
            </w:r>
            <w:r w:rsidRPr="00390D94" w:rsidR="00B349EF">
              <w:rPr>
                <w:rFonts w:ascii="Times New Roman" w:hAnsi="Times New Roman"/>
                <w:b/>
                <w:bCs/>
                <w:sz w:val="18"/>
                <w:szCs w:val="18"/>
              </w:rPr>
              <w:t>×</w:t>
            </w:r>
            <w:r w:rsidRPr="00DE0D16">
              <w:rPr>
                <w:rFonts w:ascii="Times New Roman" w:hAnsi="Times New Roman"/>
                <w:b/>
                <w:bCs/>
                <w:sz w:val="18"/>
                <w:szCs w:val="18"/>
              </w:rPr>
              <w:t>5)</w:t>
            </w:r>
          </w:p>
        </w:tc>
        <w:tc>
          <w:tcPr>
            <w:tcW w:w="1256" w:type="dxa"/>
          </w:tcPr>
          <w:p w:rsidR="005454A0" w:rsidRPr="00DE0D16" w:rsidP="005454A0" w14:paraId="24F1D412" w14:textId="77777777">
            <w:pPr>
              <w:jc w:val="center"/>
              <w:rPr>
                <w:rFonts w:ascii="Times New Roman" w:hAnsi="Times New Roman"/>
                <w:b/>
                <w:bCs/>
                <w:sz w:val="18"/>
                <w:szCs w:val="18"/>
              </w:rPr>
            </w:pPr>
            <w:r w:rsidRPr="00DE0D16">
              <w:rPr>
                <w:rFonts w:ascii="Times New Roman" w:hAnsi="Times New Roman"/>
                <w:b/>
                <w:bCs/>
                <w:sz w:val="18"/>
                <w:szCs w:val="18"/>
              </w:rPr>
              <w:t xml:space="preserve">10. </w:t>
            </w:r>
          </w:p>
          <w:p w:rsidR="00535F95" w:rsidRPr="00DE0D16" w:rsidP="005454A0" w14:paraId="7E3151D6" w14:textId="77777777">
            <w:pPr>
              <w:jc w:val="center"/>
              <w:rPr>
                <w:rFonts w:ascii="Times New Roman" w:hAnsi="Times New Roman"/>
                <w:b/>
                <w:bCs/>
                <w:sz w:val="18"/>
                <w:szCs w:val="18"/>
              </w:rPr>
            </w:pPr>
            <w:r w:rsidRPr="00DE0D16">
              <w:rPr>
                <w:rFonts w:ascii="Times New Roman" w:hAnsi="Times New Roman"/>
                <w:b/>
                <w:bCs/>
                <w:sz w:val="18"/>
                <w:szCs w:val="18"/>
              </w:rPr>
              <w:t xml:space="preserve">Total Annual Burden Hour Cost of All Responses </w:t>
            </w:r>
          </w:p>
          <w:p w:rsidR="00535F95" w:rsidRPr="00DE0D16" w:rsidP="005454A0" w14:paraId="22F30219" w14:textId="0F454FBA">
            <w:pPr>
              <w:jc w:val="center"/>
              <w:rPr>
                <w:rFonts w:ascii="Times New Roman" w:hAnsi="Times New Roman"/>
                <w:b/>
                <w:bCs/>
                <w:sz w:val="18"/>
                <w:szCs w:val="18"/>
              </w:rPr>
            </w:pPr>
            <w:r w:rsidRPr="00DE0D16">
              <w:rPr>
                <w:rFonts w:ascii="Times New Roman" w:hAnsi="Times New Roman"/>
                <w:b/>
                <w:bCs/>
                <w:sz w:val="18"/>
                <w:szCs w:val="18"/>
              </w:rPr>
              <w:t>(2</w:t>
            </w:r>
            <w:r w:rsidRPr="00390D94" w:rsidR="00DE480D">
              <w:rPr>
                <w:rFonts w:ascii="Times New Roman" w:hAnsi="Times New Roman"/>
                <w:b/>
                <w:bCs/>
                <w:sz w:val="18"/>
                <w:szCs w:val="18"/>
              </w:rPr>
              <w:t>×</w:t>
            </w:r>
            <w:r w:rsidRPr="00DE0D16">
              <w:rPr>
                <w:rFonts w:ascii="Times New Roman" w:hAnsi="Times New Roman"/>
                <w:b/>
                <w:bCs/>
                <w:sz w:val="18"/>
                <w:szCs w:val="18"/>
              </w:rPr>
              <w:t>7)</w:t>
            </w:r>
          </w:p>
        </w:tc>
      </w:tr>
      <w:tr w14:paraId="59BECD12" w14:textId="77777777" w:rsidTr="00932D47">
        <w:tblPrEx>
          <w:tblW w:w="13581" w:type="dxa"/>
          <w:tblLayout w:type="fixed"/>
          <w:tblLook w:val="04A0"/>
        </w:tblPrEx>
        <w:tc>
          <w:tcPr>
            <w:tcW w:w="13581" w:type="dxa"/>
            <w:gridSpan w:val="10"/>
          </w:tcPr>
          <w:p w:rsidR="004B2673" w:rsidRPr="00496A77" w:rsidP="00390D94" w14:paraId="436D78C4" w14:textId="784F3FBF">
            <w:pPr>
              <w:spacing w:before="120" w:after="120"/>
              <w:jc w:val="center"/>
              <w:rPr>
                <w:rFonts w:ascii="Times New Roman" w:hAnsi="Times New Roman"/>
                <w:b/>
                <w:bCs/>
                <w:sz w:val="18"/>
                <w:szCs w:val="18"/>
              </w:rPr>
            </w:pPr>
            <w:r w:rsidRPr="00496A77">
              <w:rPr>
                <w:rFonts w:ascii="Times New Roman" w:hAnsi="Times New Roman"/>
                <w:b/>
                <w:bCs/>
                <w:sz w:val="18"/>
                <w:szCs w:val="18"/>
              </w:rPr>
              <w:t>Recordkeeping</w:t>
            </w:r>
          </w:p>
        </w:tc>
      </w:tr>
      <w:tr w14:paraId="791B63F5" w14:textId="77777777" w:rsidTr="00066796">
        <w:tblPrEx>
          <w:tblW w:w="13581" w:type="dxa"/>
          <w:tblLayout w:type="fixed"/>
          <w:tblLook w:val="04A0"/>
        </w:tblPrEx>
        <w:tc>
          <w:tcPr>
            <w:tcW w:w="1414" w:type="dxa"/>
          </w:tcPr>
          <w:p w:rsidR="00D2495C" w:rsidP="00390D94" w14:paraId="3F728B73" w14:textId="3EE4C290">
            <w:pPr>
              <w:spacing w:after="120"/>
              <w:rPr>
                <w:rFonts w:ascii="Times New Roman" w:hAnsi="Times New Roman"/>
                <w:sz w:val="18"/>
                <w:szCs w:val="18"/>
              </w:rPr>
            </w:pPr>
            <w:r>
              <w:rPr>
                <w:rFonts w:ascii="Times New Roman" w:hAnsi="Times New Roman"/>
                <w:sz w:val="18"/>
                <w:szCs w:val="18"/>
              </w:rPr>
              <w:t>Position Risk Management Procedures for clearing FCMs</w:t>
            </w:r>
          </w:p>
        </w:tc>
        <w:tc>
          <w:tcPr>
            <w:tcW w:w="1341" w:type="dxa"/>
          </w:tcPr>
          <w:p w:rsidR="00D2495C" w:rsidP="00D2495C" w14:paraId="285C9179" w14:textId="0BD74353">
            <w:pPr>
              <w:jc w:val="both"/>
              <w:rPr>
                <w:rFonts w:ascii="Times New Roman" w:hAnsi="Times New Roman"/>
                <w:sz w:val="18"/>
                <w:szCs w:val="18"/>
              </w:rPr>
            </w:pPr>
            <w:r>
              <w:rPr>
                <w:rFonts w:ascii="Times New Roman" w:hAnsi="Times New Roman"/>
                <w:sz w:val="18"/>
                <w:szCs w:val="18"/>
              </w:rPr>
              <w:t>61</w:t>
            </w:r>
          </w:p>
        </w:tc>
        <w:tc>
          <w:tcPr>
            <w:tcW w:w="1560" w:type="dxa"/>
          </w:tcPr>
          <w:p w:rsidR="00D2495C" w:rsidP="00D2495C" w14:paraId="02459F82" w14:textId="12C5341D">
            <w:pPr>
              <w:jc w:val="both"/>
              <w:rPr>
                <w:rFonts w:ascii="Times New Roman" w:hAnsi="Times New Roman"/>
                <w:sz w:val="18"/>
                <w:szCs w:val="18"/>
              </w:rPr>
            </w:pPr>
            <w:r>
              <w:rPr>
                <w:rFonts w:ascii="Times New Roman" w:hAnsi="Times New Roman"/>
                <w:sz w:val="18"/>
                <w:szCs w:val="18"/>
              </w:rPr>
              <w:t>252</w:t>
            </w:r>
          </w:p>
        </w:tc>
        <w:tc>
          <w:tcPr>
            <w:tcW w:w="1530" w:type="dxa"/>
          </w:tcPr>
          <w:p w:rsidR="00D2495C" w:rsidP="00D2495C" w14:paraId="4404FBD1" w14:textId="326D0178">
            <w:pPr>
              <w:jc w:val="both"/>
              <w:rPr>
                <w:rFonts w:ascii="Times New Roman" w:hAnsi="Times New Roman"/>
                <w:sz w:val="18"/>
                <w:szCs w:val="18"/>
              </w:rPr>
            </w:pPr>
            <w:r>
              <w:rPr>
                <w:rFonts w:ascii="Times New Roman" w:hAnsi="Times New Roman"/>
                <w:sz w:val="18"/>
                <w:szCs w:val="18"/>
              </w:rPr>
              <w:t>2</w:t>
            </w:r>
          </w:p>
        </w:tc>
        <w:tc>
          <w:tcPr>
            <w:tcW w:w="1530" w:type="dxa"/>
          </w:tcPr>
          <w:p w:rsidR="00D2495C" w:rsidP="00D2495C" w14:paraId="0E3D669C" w14:textId="1ADE36A2">
            <w:pPr>
              <w:jc w:val="both"/>
              <w:rPr>
                <w:rFonts w:ascii="Times New Roman" w:hAnsi="Times New Roman"/>
                <w:sz w:val="18"/>
                <w:szCs w:val="18"/>
              </w:rPr>
            </w:pPr>
            <w:r>
              <w:rPr>
                <w:rFonts w:ascii="Times New Roman" w:hAnsi="Times New Roman"/>
                <w:sz w:val="18"/>
                <w:szCs w:val="18"/>
              </w:rPr>
              <w:t>504</w:t>
            </w:r>
          </w:p>
        </w:tc>
        <w:tc>
          <w:tcPr>
            <w:tcW w:w="1260" w:type="dxa"/>
          </w:tcPr>
          <w:p w:rsidR="00D2495C" w:rsidP="00D2495C" w14:paraId="64962571" w14:textId="59E296C1">
            <w:pPr>
              <w:jc w:val="both"/>
              <w:rPr>
                <w:rFonts w:ascii="Times New Roman" w:hAnsi="Times New Roman"/>
                <w:sz w:val="18"/>
                <w:szCs w:val="18"/>
              </w:rPr>
            </w:pPr>
            <w:r>
              <w:rPr>
                <w:rFonts w:ascii="Times New Roman" w:hAnsi="Times New Roman"/>
                <w:sz w:val="18"/>
                <w:szCs w:val="18"/>
              </w:rPr>
              <w:t>$100</w:t>
            </w:r>
          </w:p>
        </w:tc>
        <w:tc>
          <w:tcPr>
            <w:tcW w:w="1260" w:type="dxa"/>
          </w:tcPr>
          <w:p w:rsidR="00D2495C" w:rsidP="00D2495C" w14:paraId="6F2757C9" w14:textId="64BE42E7">
            <w:pPr>
              <w:jc w:val="both"/>
              <w:rPr>
                <w:rFonts w:ascii="Times New Roman" w:hAnsi="Times New Roman"/>
                <w:sz w:val="18"/>
                <w:szCs w:val="18"/>
              </w:rPr>
            </w:pPr>
            <w:r>
              <w:rPr>
                <w:rFonts w:ascii="Times New Roman" w:hAnsi="Times New Roman"/>
                <w:sz w:val="18"/>
                <w:szCs w:val="18"/>
              </w:rPr>
              <w:t>$50,400</w:t>
            </w:r>
          </w:p>
        </w:tc>
        <w:tc>
          <w:tcPr>
            <w:tcW w:w="1260" w:type="dxa"/>
          </w:tcPr>
          <w:p w:rsidR="00D2495C" w:rsidP="00D2495C" w14:paraId="535F9DE6" w14:textId="5C3E8052">
            <w:pPr>
              <w:jc w:val="both"/>
              <w:rPr>
                <w:rFonts w:ascii="Times New Roman" w:hAnsi="Times New Roman"/>
                <w:sz w:val="18"/>
                <w:szCs w:val="18"/>
              </w:rPr>
            </w:pPr>
            <w:r w:rsidRPr="003D2D9C">
              <w:rPr>
                <w:rFonts w:ascii="Times New Roman" w:hAnsi="Times New Roman"/>
                <w:sz w:val="18"/>
                <w:szCs w:val="18"/>
              </w:rPr>
              <w:t>15,372</w:t>
            </w:r>
          </w:p>
        </w:tc>
        <w:tc>
          <w:tcPr>
            <w:tcW w:w="1170" w:type="dxa"/>
          </w:tcPr>
          <w:p w:rsidR="00D2495C" w:rsidP="00D2495C" w14:paraId="16395F58" w14:textId="64CDBA54">
            <w:pPr>
              <w:jc w:val="both"/>
              <w:rPr>
                <w:rFonts w:ascii="Times New Roman" w:hAnsi="Times New Roman"/>
                <w:sz w:val="18"/>
                <w:szCs w:val="18"/>
              </w:rPr>
            </w:pPr>
            <w:r>
              <w:rPr>
                <w:rFonts w:ascii="Times New Roman" w:hAnsi="Times New Roman"/>
                <w:sz w:val="18"/>
                <w:szCs w:val="18"/>
              </w:rPr>
              <w:t>30,744</w:t>
            </w:r>
          </w:p>
        </w:tc>
        <w:tc>
          <w:tcPr>
            <w:tcW w:w="1256" w:type="dxa"/>
          </w:tcPr>
          <w:p w:rsidR="00D2495C" w:rsidP="00D2495C" w14:paraId="320B5DD4" w14:textId="437221F9">
            <w:pPr>
              <w:jc w:val="both"/>
              <w:rPr>
                <w:rFonts w:ascii="Times New Roman" w:hAnsi="Times New Roman"/>
                <w:sz w:val="18"/>
                <w:szCs w:val="18"/>
              </w:rPr>
            </w:pPr>
            <w:r>
              <w:rPr>
                <w:rFonts w:ascii="Times New Roman" w:hAnsi="Times New Roman"/>
                <w:sz w:val="18"/>
                <w:szCs w:val="18"/>
              </w:rPr>
              <w:t>$</w:t>
            </w:r>
            <w:r w:rsidR="005A2F2B">
              <w:t xml:space="preserve"> </w:t>
            </w:r>
            <w:r w:rsidRPr="005A2F2B" w:rsidR="005A2F2B">
              <w:rPr>
                <w:rFonts w:ascii="Times New Roman" w:hAnsi="Times New Roman"/>
                <w:sz w:val="18"/>
                <w:szCs w:val="18"/>
              </w:rPr>
              <w:t>3,074,400</w:t>
            </w:r>
            <w:r w:rsidR="005A2F2B">
              <w:rPr>
                <w:rFonts w:ascii="Times New Roman" w:hAnsi="Times New Roman"/>
                <w:sz w:val="18"/>
                <w:szCs w:val="18"/>
              </w:rPr>
              <w:t xml:space="preserve"> </w:t>
            </w:r>
          </w:p>
        </w:tc>
      </w:tr>
      <w:tr w14:paraId="75B75A8C" w14:textId="77777777" w:rsidTr="00066796">
        <w:tblPrEx>
          <w:tblW w:w="13581" w:type="dxa"/>
          <w:tblLayout w:type="fixed"/>
          <w:tblLook w:val="04A0"/>
        </w:tblPrEx>
        <w:tc>
          <w:tcPr>
            <w:tcW w:w="1414" w:type="dxa"/>
          </w:tcPr>
          <w:p w:rsidR="00D2495C" w:rsidRPr="00DE0D16" w:rsidP="00390D94" w14:paraId="3ACF3EC8" w14:textId="24DB2A3A">
            <w:pPr>
              <w:spacing w:after="120"/>
              <w:rPr>
                <w:rFonts w:ascii="Times New Roman" w:hAnsi="Times New Roman"/>
                <w:sz w:val="18"/>
                <w:szCs w:val="18"/>
              </w:rPr>
            </w:pPr>
            <w:r>
              <w:rPr>
                <w:rFonts w:ascii="Times New Roman" w:hAnsi="Times New Roman"/>
                <w:sz w:val="18"/>
                <w:szCs w:val="18"/>
              </w:rPr>
              <w:t>Position Risk Management Procedures for clearing SDs and MSPs</w:t>
            </w:r>
          </w:p>
        </w:tc>
        <w:tc>
          <w:tcPr>
            <w:tcW w:w="1341" w:type="dxa"/>
          </w:tcPr>
          <w:p w:rsidR="00D2495C" w:rsidRPr="00DE0D16" w:rsidP="00D2495C" w14:paraId="3BA859C5" w14:textId="6D8217FD">
            <w:pPr>
              <w:jc w:val="both"/>
              <w:rPr>
                <w:rFonts w:ascii="Times New Roman" w:hAnsi="Times New Roman"/>
                <w:sz w:val="18"/>
                <w:szCs w:val="18"/>
              </w:rPr>
            </w:pPr>
            <w:r>
              <w:rPr>
                <w:rFonts w:ascii="Times New Roman" w:hAnsi="Times New Roman"/>
                <w:sz w:val="18"/>
                <w:szCs w:val="18"/>
              </w:rPr>
              <w:t>106</w:t>
            </w:r>
          </w:p>
        </w:tc>
        <w:tc>
          <w:tcPr>
            <w:tcW w:w="1560" w:type="dxa"/>
          </w:tcPr>
          <w:p w:rsidR="00D2495C" w:rsidRPr="00DE0D16" w:rsidP="00D2495C" w14:paraId="4488AF9C" w14:textId="452A2185">
            <w:pPr>
              <w:jc w:val="both"/>
              <w:rPr>
                <w:rFonts w:ascii="Times New Roman" w:hAnsi="Times New Roman"/>
                <w:sz w:val="18"/>
                <w:szCs w:val="18"/>
              </w:rPr>
            </w:pPr>
            <w:r>
              <w:rPr>
                <w:rFonts w:ascii="Times New Roman" w:hAnsi="Times New Roman"/>
                <w:sz w:val="18"/>
                <w:szCs w:val="18"/>
              </w:rPr>
              <w:t>252</w:t>
            </w:r>
          </w:p>
        </w:tc>
        <w:tc>
          <w:tcPr>
            <w:tcW w:w="1530" w:type="dxa"/>
          </w:tcPr>
          <w:p w:rsidR="00D2495C" w:rsidRPr="00DE0D16" w:rsidP="00D2495C" w14:paraId="4AC5D3BB" w14:textId="778622A9">
            <w:pPr>
              <w:jc w:val="both"/>
              <w:rPr>
                <w:rFonts w:ascii="Times New Roman" w:hAnsi="Times New Roman"/>
                <w:sz w:val="18"/>
                <w:szCs w:val="18"/>
              </w:rPr>
            </w:pPr>
            <w:r>
              <w:rPr>
                <w:rFonts w:ascii="Times New Roman" w:hAnsi="Times New Roman"/>
                <w:sz w:val="18"/>
                <w:szCs w:val="18"/>
              </w:rPr>
              <w:t>2</w:t>
            </w:r>
          </w:p>
        </w:tc>
        <w:tc>
          <w:tcPr>
            <w:tcW w:w="1530" w:type="dxa"/>
          </w:tcPr>
          <w:p w:rsidR="00D2495C" w:rsidRPr="00DE0D16" w:rsidP="00D2495C" w14:paraId="22588188" w14:textId="4D65CF67">
            <w:pPr>
              <w:jc w:val="both"/>
              <w:rPr>
                <w:rFonts w:ascii="Times New Roman" w:hAnsi="Times New Roman"/>
                <w:sz w:val="18"/>
                <w:szCs w:val="18"/>
              </w:rPr>
            </w:pPr>
            <w:r>
              <w:rPr>
                <w:rFonts w:ascii="Times New Roman" w:hAnsi="Times New Roman"/>
                <w:sz w:val="18"/>
                <w:szCs w:val="18"/>
              </w:rPr>
              <w:t>504</w:t>
            </w:r>
          </w:p>
        </w:tc>
        <w:tc>
          <w:tcPr>
            <w:tcW w:w="1260" w:type="dxa"/>
          </w:tcPr>
          <w:p w:rsidR="00D2495C" w:rsidRPr="00DE0D16" w:rsidP="00D2495C" w14:paraId="386DF4A8" w14:textId="70156C9C">
            <w:pPr>
              <w:jc w:val="both"/>
              <w:rPr>
                <w:rFonts w:ascii="Times New Roman" w:hAnsi="Times New Roman"/>
                <w:sz w:val="18"/>
                <w:szCs w:val="18"/>
              </w:rPr>
            </w:pPr>
            <w:r>
              <w:rPr>
                <w:rFonts w:ascii="Times New Roman" w:hAnsi="Times New Roman"/>
                <w:sz w:val="18"/>
                <w:szCs w:val="18"/>
              </w:rPr>
              <w:t>$100</w:t>
            </w:r>
          </w:p>
        </w:tc>
        <w:tc>
          <w:tcPr>
            <w:tcW w:w="1260" w:type="dxa"/>
          </w:tcPr>
          <w:p w:rsidR="00D2495C" w:rsidRPr="00DE0D16" w:rsidP="00D2495C" w14:paraId="6D4F97FC" w14:textId="66703DEE">
            <w:pPr>
              <w:jc w:val="both"/>
              <w:rPr>
                <w:rFonts w:ascii="Times New Roman" w:hAnsi="Times New Roman"/>
                <w:sz w:val="18"/>
                <w:szCs w:val="18"/>
              </w:rPr>
            </w:pPr>
            <w:r>
              <w:rPr>
                <w:rFonts w:ascii="Times New Roman" w:hAnsi="Times New Roman"/>
                <w:sz w:val="18"/>
                <w:szCs w:val="18"/>
              </w:rPr>
              <w:t>$50,400</w:t>
            </w:r>
          </w:p>
        </w:tc>
        <w:tc>
          <w:tcPr>
            <w:tcW w:w="1260" w:type="dxa"/>
          </w:tcPr>
          <w:p w:rsidR="00D2495C" w:rsidRPr="00DE0D16" w:rsidP="00D2495C" w14:paraId="21869F47" w14:textId="70E3FABD">
            <w:pPr>
              <w:jc w:val="both"/>
              <w:rPr>
                <w:rFonts w:ascii="Times New Roman" w:hAnsi="Times New Roman"/>
                <w:sz w:val="18"/>
                <w:szCs w:val="18"/>
              </w:rPr>
            </w:pPr>
            <w:r>
              <w:rPr>
                <w:rFonts w:ascii="Times New Roman" w:hAnsi="Times New Roman"/>
                <w:sz w:val="18"/>
                <w:szCs w:val="18"/>
              </w:rPr>
              <w:t>26,712</w:t>
            </w:r>
          </w:p>
        </w:tc>
        <w:tc>
          <w:tcPr>
            <w:tcW w:w="1170" w:type="dxa"/>
          </w:tcPr>
          <w:p w:rsidR="00D2495C" w:rsidRPr="00DE0D16" w:rsidP="00D2495C" w14:paraId="44991CAB" w14:textId="3492FBF6">
            <w:pPr>
              <w:jc w:val="both"/>
              <w:rPr>
                <w:rFonts w:ascii="Times New Roman" w:hAnsi="Times New Roman"/>
                <w:sz w:val="18"/>
                <w:szCs w:val="18"/>
              </w:rPr>
            </w:pPr>
            <w:r>
              <w:rPr>
                <w:rFonts w:ascii="Times New Roman" w:hAnsi="Times New Roman"/>
                <w:sz w:val="18"/>
                <w:szCs w:val="18"/>
              </w:rPr>
              <w:t>53,424</w:t>
            </w:r>
          </w:p>
        </w:tc>
        <w:tc>
          <w:tcPr>
            <w:tcW w:w="1256" w:type="dxa"/>
          </w:tcPr>
          <w:p w:rsidR="00D2495C" w:rsidRPr="00DE0D16" w:rsidP="00D2495C" w14:paraId="40ED969A" w14:textId="42B35908">
            <w:pPr>
              <w:jc w:val="both"/>
              <w:rPr>
                <w:rFonts w:ascii="Times New Roman" w:hAnsi="Times New Roman"/>
                <w:sz w:val="18"/>
                <w:szCs w:val="18"/>
              </w:rPr>
            </w:pPr>
            <w:r>
              <w:rPr>
                <w:rFonts w:ascii="Times New Roman" w:hAnsi="Times New Roman"/>
                <w:sz w:val="18"/>
                <w:szCs w:val="18"/>
              </w:rPr>
              <w:t>$5,342,400</w:t>
            </w:r>
          </w:p>
        </w:tc>
      </w:tr>
      <w:tr w14:paraId="7D665579" w14:textId="77777777" w:rsidTr="00066796">
        <w:tblPrEx>
          <w:tblW w:w="13581" w:type="dxa"/>
          <w:tblLayout w:type="fixed"/>
          <w:tblLook w:val="04A0"/>
        </w:tblPrEx>
        <w:tc>
          <w:tcPr>
            <w:tcW w:w="1414" w:type="dxa"/>
          </w:tcPr>
          <w:p w:rsidR="00D2495C" w:rsidRPr="0083585F" w:rsidP="00390D94" w14:paraId="1FB9B7D3" w14:textId="58ECB308">
            <w:pPr>
              <w:spacing w:before="120" w:after="120"/>
              <w:rPr>
                <w:rFonts w:ascii="Times New Roman" w:hAnsi="Times New Roman"/>
                <w:b/>
                <w:bCs/>
                <w:sz w:val="18"/>
                <w:szCs w:val="18"/>
              </w:rPr>
            </w:pPr>
            <w:r w:rsidRPr="0083585F">
              <w:rPr>
                <w:rFonts w:ascii="Times New Roman" w:hAnsi="Times New Roman"/>
                <w:b/>
                <w:bCs/>
                <w:sz w:val="18"/>
                <w:szCs w:val="18"/>
              </w:rPr>
              <w:t>TOTALS:</w:t>
            </w:r>
          </w:p>
        </w:tc>
        <w:tc>
          <w:tcPr>
            <w:tcW w:w="1341" w:type="dxa"/>
          </w:tcPr>
          <w:p w:rsidR="00D2495C" w:rsidRPr="00163BDC" w:rsidP="00D2495C" w14:paraId="32CDE1E2" w14:textId="2FBBAB76">
            <w:pPr>
              <w:jc w:val="both"/>
              <w:rPr>
                <w:rFonts w:ascii="Times New Roman" w:hAnsi="Times New Roman"/>
                <w:b/>
                <w:bCs/>
                <w:sz w:val="18"/>
                <w:szCs w:val="18"/>
              </w:rPr>
            </w:pPr>
            <w:r w:rsidRPr="00163BDC">
              <w:rPr>
                <w:rFonts w:ascii="Times New Roman" w:hAnsi="Times New Roman"/>
                <w:b/>
                <w:bCs/>
                <w:sz w:val="18"/>
                <w:szCs w:val="18"/>
              </w:rPr>
              <w:t>167</w:t>
            </w:r>
          </w:p>
        </w:tc>
        <w:tc>
          <w:tcPr>
            <w:tcW w:w="1560" w:type="dxa"/>
          </w:tcPr>
          <w:p w:rsidR="00D2495C" w:rsidP="00D2495C" w14:paraId="1F5F78D7" w14:textId="77777777">
            <w:pPr>
              <w:jc w:val="both"/>
              <w:rPr>
                <w:rFonts w:ascii="Times New Roman" w:hAnsi="Times New Roman"/>
                <w:sz w:val="18"/>
                <w:szCs w:val="18"/>
              </w:rPr>
            </w:pPr>
          </w:p>
        </w:tc>
        <w:tc>
          <w:tcPr>
            <w:tcW w:w="1530" w:type="dxa"/>
          </w:tcPr>
          <w:p w:rsidR="00D2495C" w:rsidP="00D2495C" w14:paraId="2CAB8C80" w14:textId="77777777">
            <w:pPr>
              <w:jc w:val="both"/>
              <w:rPr>
                <w:rFonts w:ascii="Times New Roman" w:hAnsi="Times New Roman"/>
                <w:sz w:val="18"/>
                <w:szCs w:val="18"/>
              </w:rPr>
            </w:pPr>
          </w:p>
        </w:tc>
        <w:tc>
          <w:tcPr>
            <w:tcW w:w="1530" w:type="dxa"/>
          </w:tcPr>
          <w:p w:rsidR="00D2495C" w:rsidP="00D2495C" w14:paraId="4C39CD69" w14:textId="5084FAA9">
            <w:pPr>
              <w:jc w:val="both"/>
              <w:rPr>
                <w:rFonts w:ascii="Times New Roman" w:hAnsi="Times New Roman"/>
                <w:sz w:val="18"/>
                <w:szCs w:val="18"/>
              </w:rPr>
            </w:pPr>
          </w:p>
        </w:tc>
        <w:tc>
          <w:tcPr>
            <w:tcW w:w="1260" w:type="dxa"/>
          </w:tcPr>
          <w:p w:rsidR="00D2495C" w:rsidP="00D2495C" w14:paraId="608A16D9" w14:textId="77777777">
            <w:pPr>
              <w:jc w:val="both"/>
              <w:rPr>
                <w:rFonts w:ascii="Times New Roman" w:hAnsi="Times New Roman"/>
                <w:sz w:val="18"/>
                <w:szCs w:val="18"/>
              </w:rPr>
            </w:pPr>
          </w:p>
        </w:tc>
        <w:tc>
          <w:tcPr>
            <w:tcW w:w="1260" w:type="dxa"/>
          </w:tcPr>
          <w:p w:rsidR="00D2495C" w:rsidP="00D2495C" w14:paraId="2C9B7DA4" w14:textId="77777777">
            <w:pPr>
              <w:jc w:val="both"/>
              <w:rPr>
                <w:rFonts w:ascii="Times New Roman" w:hAnsi="Times New Roman"/>
                <w:sz w:val="18"/>
                <w:szCs w:val="18"/>
              </w:rPr>
            </w:pPr>
          </w:p>
        </w:tc>
        <w:tc>
          <w:tcPr>
            <w:tcW w:w="1260" w:type="dxa"/>
          </w:tcPr>
          <w:p w:rsidR="00D2495C" w:rsidRPr="0055128F" w:rsidP="00D2495C" w14:paraId="642FCB40" w14:textId="0C8E3829">
            <w:pPr>
              <w:jc w:val="both"/>
              <w:rPr>
                <w:rFonts w:ascii="Times New Roman" w:hAnsi="Times New Roman"/>
                <w:b/>
                <w:bCs/>
                <w:sz w:val="18"/>
                <w:szCs w:val="18"/>
              </w:rPr>
            </w:pPr>
            <w:r w:rsidRPr="00514770">
              <w:rPr>
                <w:rFonts w:ascii="Times New Roman" w:hAnsi="Times New Roman"/>
                <w:b/>
                <w:bCs/>
                <w:sz w:val="18"/>
                <w:szCs w:val="18"/>
              </w:rPr>
              <w:t>42,084</w:t>
            </w:r>
          </w:p>
        </w:tc>
        <w:tc>
          <w:tcPr>
            <w:tcW w:w="1170" w:type="dxa"/>
          </w:tcPr>
          <w:p w:rsidR="00D2495C" w:rsidRPr="0055128F" w:rsidP="00D2495C" w14:paraId="18954BD1" w14:textId="470D232F">
            <w:pPr>
              <w:jc w:val="both"/>
              <w:rPr>
                <w:rFonts w:ascii="Times New Roman" w:hAnsi="Times New Roman"/>
                <w:b/>
                <w:bCs/>
                <w:sz w:val="18"/>
                <w:szCs w:val="18"/>
              </w:rPr>
            </w:pPr>
            <w:r w:rsidRPr="00514770">
              <w:rPr>
                <w:rFonts w:ascii="Times New Roman" w:hAnsi="Times New Roman"/>
                <w:b/>
                <w:bCs/>
                <w:sz w:val="18"/>
                <w:szCs w:val="18"/>
              </w:rPr>
              <w:t>84,168</w:t>
            </w:r>
          </w:p>
        </w:tc>
        <w:tc>
          <w:tcPr>
            <w:tcW w:w="1256" w:type="dxa"/>
          </w:tcPr>
          <w:p w:rsidR="00D2495C" w:rsidRPr="0055128F" w:rsidP="00D2495C" w14:paraId="328A442E" w14:textId="3846204B">
            <w:pPr>
              <w:jc w:val="both"/>
              <w:rPr>
                <w:rFonts w:ascii="Times New Roman" w:hAnsi="Times New Roman"/>
                <w:b/>
                <w:bCs/>
                <w:sz w:val="18"/>
                <w:szCs w:val="18"/>
              </w:rPr>
            </w:pPr>
            <w:r w:rsidRPr="0055128F">
              <w:rPr>
                <w:rFonts w:ascii="Times New Roman" w:hAnsi="Times New Roman"/>
                <w:b/>
                <w:bCs/>
                <w:sz w:val="18"/>
                <w:szCs w:val="18"/>
              </w:rPr>
              <w:t>$</w:t>
            </w:r>
            <w:r w:rsidRPr="005A2F2B" w:rsidR="005A2F2B">
              <w:rPr>
                <w:rFonts w:ascii="Times New Roman" w:hAnsi="Times New Roman"/>
                <w:b/>
                <w:bCs/>
                <w:sz w:val="18"/>
                <w:szCs w:val="18"/>
              </w:rPr>
              <w:t>8,416,800</w:t>
            </w:r>
          </w:p>
        </w:tc>
      </w:tr>
    </w:tbl>
    <w:p w:rsidR="00871E47" w:rsidP="00575332" w14:paraId="006760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sectPr w:rsidSect="004D3578">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B35" w:rsidRPr="00B220CE" w14:paraId="006760D6" w14:textId="77777777">
    <w:pPr>
      <w:pStyle w:val="Footer"/>
      <w:jc w:val="center"/>
      <w:rPr>
        <w:rFonts w:ascii="Times New Roman" w:hAnsi="Times New Roman"/>
      </w:rPr>
    </w:pPr>
    <w:r w:rsidRPr="00B220CE">
      <w:rPr>
        <w:rFonts w:ascii="Times New Roman" w:hAnsi="Times New Roman"/>
      </w:rPr>
      <w:fldChar w:fldCharType="begin"/>
    </w:r>
    <w:r w:rsidRPr="00B220CE">
      <w:rPr>
        <w:rFonts w:ascii="Times New Roman" w:hAnsi="Times New Roman"/>
      </w:rPr>
      <w:instrText xml:space="preserve"> PAGE   \* MERGEFORMAT </w:instrText>
    </w:r>
    <w:r w:rsidRPr="00B220CE">
      <w:rPr>
        <w:rFonts w:ascii="Times New Roman" w:hAnsi="Times New Roman"/>
      </w:rPr>
      <w:fldChar w:fldCharType="separate"/>
    </w:r>
    <w:r w:rsidRPr="00B220CE" w:rsidR="00E4126A">
      <w:rPr>
        <w:rFonts w:ascii="Times New Roman" w:hAnsi="Times New Roman"/>
        <w:noProof/>
      </w:rPr>
      <w:t>1</w:t>
    </w:r>
    <w:r w:rsidRPr="00B220CE">
      <w:rPr>
        <w:rFonts w:ascii="Times New Roman" w:hAnsi="Times New Roman"/>
      </w:rPr>
      <w:fldChar w:fldCharType="end"/>
    </w:r>
  </w:p>
  <w:p w:rsidR="005F3B35" w14:paraId="006760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5676" w14:paraId="39217A53" w14:textId="77777777">
      <w:r>
        <w:separator/>
      </w:r>
    </w:p>
  </w:footnote>
  <w:footnote w:type="continuationSeparator" w:id="1">
    <w:p w:rsidR="008C5676" w14:paraId="4B3A4077" w14:textId="77777777">
      <w:r>
        <w:continuationSeparator/>
      </w:r>
    </w:p>
  </w:footnote>
  <w:footnote w:id="2">
    <w:p w:rsidR="00EA7E13" w:rsidRPr="000F5D5F" w14:paraId="63AA91DB" w14:textId="00E7D5E7">
      <w:pPr>
        <w:pStyle w:val="FootnoteText"/>
        <w:rPr>
          <w:sz w:val="20"/>
        </w:rPr>
      </w:pPr>
      <w:r w:rsidRPr="000F5D5F">
        <w:rPr>
          <w:rStyle w:val="FootnoteReference"/>
          <w:sz w:val="20"/>
        </w:rPr>
        <w:footnoteRef/>
      </w:r>
      <w:r w:rsidRPr="000F5D5F">
        <w:rPr>
          <w:sz w:val="20"/>
        </w:rPr>
        <w:t xml:space="preserve"> </w:t>
      </w:r>
      <w:r w:rsidRPr="000F5D5F" w:rsidR="000F5D5F">
        <w:rPr>
          <w:sz w:val="20"/>
        </w:rPr>
        <w:t>https://data.bls.gov/oes/#/industry/523000.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C36BBC"/>
    <w:multiLevelType w:val="hybridMultilevel"/>
    <w:tmpl w:val="9FE250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41108778">
    <w:abstractNumId w:val="1"/>
  </w:num>
  <w:num w:numId="2" w16cid:durableId="34086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7"/>
    <w:rsid w:val="00001202"/>
    <w:rsid w:val="000069D9"/>
    <w:rsid w:val="000072AB"/>
    <w:rsid w:val="00007511"/>
    <w:rsid w:val="00011865"/>
    <w:rsid w:val="000246AE"/>
    <w:rsid w:val="000307E6"/>
    <w:rsid w:val="00060055"/>
    <w:rsid w:val="000645B1"/>
    <w:rsid w:val="00065483"/>
    <w:rsid w:val="00066796"/>
    <w:rsid w:val="000703EB"/>
    <w:rsid w:val="00073008"/>
    <w:rsid w:val="000737CC"/>
    <w:rsid w:val="000746A2"/>
    <w:rsid w:val="0008221E"/>
    <w:rsid w:val="000A2B2F"/>
    <w:rsid w:val="000B25A6"/>
    <w:rsid w:val="000B44F1"/>
    <w:rsid w:val="000B57C4"/>
    <w:rsid w:val="000E1AD6"/>
    <w:rsid w:val="000E494B"/>
    <w:rsid w:val="000F19A1"/>
    <w:rsid w:val="000F511E"/>
    <w:rsid w:val="000F5D5F"/>
    <w:rsid w:val="001044A3"/>
    <w:rsid w:val="00114CB7"/>
    <w:rsid w:val="00116044"/>
    <w:rsid w:val="00122435"/>
    <w:rsid w:val="00135024"/>
    <w:rsid w:val="00137E3A"/>
    <w:rsid w:val="00140F08"/>
    <w:rsid w:val="00140FB1"/>
    <w:rsid w:val="00163BDC"/>
    <w:rsid w:val="00165AD0"/>
    <w:rsid w:val="00166783"/>
    <w:rsid w:val="00170086"/>
    <w:rsid w:val="0018668F"/>
    <w:rsid w:val="00190A33"/>
    <w:rsid w:val="00192F52"/>
    <w:rsid w:val="001966A3"/>
    <w:rsid w:val="001B64E6"/>
    <w:rsid w:val="001C1F83"/>
    <w:rsid w:val="001C3B1D"/>
    <w:rsid w:val="001D20D0"/>
    <w:rsid w:val="001D7CDB"/>
    <w:rsid w:val="001E00AD"/>
    <w:rsid w:val="001E4338"/>
    <w:rsid w:val="001F5653"/>
    <w:rsid w:val="001F6CB1"/>
    <w:rsid w:val="00202CAF"/>
    <w:rsid w:val="00211DA6"/>
    <w:rsid w:val="00213A1A"/>
    <w:rsid w:val="00214CF8"/>
    <w:rsid w:val="002228BB"/>
    <w:rsid w:val="002417C1"/>
    <w:rsid w:val="00253505"/>
    <w:rsid w:val="00255450"/>
    <w:rsid w:val="00257160"/>
    <w:rsid w:val="00261FEC"/>
    <w:rsid w:val="00263CDC"/>
    <w:rsid w:val="00265B80"/>
    <w:rsid w:val="00271938"/>
    <w:rsid w:val="00275AAB"/>
    <w:rsid w:val="00286801"/>
    <w:rsid w:val="002A0847"/>
    <w:rsid w:val="002A1651"/>
    <w:rsid w:val="002C6C5F"/>
    <w:rsid w:val="002D04C4"/>
    <w:rsid w:val="002E379E"/>
    <w:rsid w:val="002E37FA"/>
    <w:rsid w:val="002F0B16"/>
    <w:rsid w:val="002F7EC8"/>
    <w:rsid w:val="00317F5E"/>
    <w:rsid w:val="003207B2"/>
    <w:rsid w:val="00325E62"/>
    <w:rsid w:val="00326E87"/>
    <w:rsid w:val="003325A6"/>
    <w:rsid w:val="003573DA"/>
    <w:rsid w:val="00361FDE"/>
    <w:rsid w:val="00365528"/>
    <w:rsid w:val="003702D4"/>
    <w:rsid w:val="003808D9"/>
    <w:rsid w:val="00390927"/>
    <w:rsid w:val="00390D94"/>
    <w:rsid w:val="0039568D"/>
    <w:rsid w:val="003A23F8"/>
    <w:rsid w:val="003A2698"/>
    <w:rsid w:val="003A41FA"/>
    <w:rsid w:val="003C1E0D"/>
    <w:rsid w:val="003C2005"/>
    <w:rsid w:val="003C3917"/>
    <w:rsid w:val="003D0AEC"/>
    <w:rsid w:val="003D2D9C"/>
    <w:rsid w:val="003E1A3E"/>
    <w:rsid w:val="003E2744"/>
    <w:rsid w:val="003E353F"/>
    <w:rsid w:val="003F299C"/>
    <w:rsid w:val="0040545C"/>
    <w:rsid w:val="00413A01"/>
    <w:rsid w:val="00430C72"/>
    <w:rsid w:val="0043358F"/>
    <w:rsid w:val="00456AF7"/>
    <w:rsid w:val="0046122D"/>
    <w:rsid w:val="00490455"/>
    <w:rsid w:val="004930A6"/>
    <w:rsid w:val="00493CC9"/>
    <w:rsid w:val="00496A77"/>
    <w:rsid w:val="00497357"/>
    <w:rsid w:val="004A2055"/>
    <w:rsid w:val="004A5113"/>
    <w:rsid w:val="004B2673"/>
    <w:rsid w:val="004B3D3D"/>
    <w:rsid w:val="004C3104"/>
    <w:rsid w:val="004C34B6"/>
    <w:rsid w:val="004C5A6B"/>
    <w:rsid w:val="004D0554"/>
    <w:rsid w:val="004D3578"/>
    <w:rsid w:val="004E0B65"/>
    <w:rsid w:val="004E71B6"/>
    <w:rsid w:val="004F0FDB"/>
    <w:rsid w:val="004F5DED"/>
    <w:rsid w:val="004F708F"/>
    <w:rsid w:val="00500A32"/>
    <w:rsid w:val="0051072D"/>
    <w:rsid w:val="0051246B"/>
    <w:rsid w:val="00514770"/>
    <w:rsid w:val="00515410"/>
    <w:rsid w:val="00517DFC"/>
    <w:rsid w:val="00526A1E"/>
    <w:rsid w:val="005349CF"/>
    <w:rsid w:val="00535D5D"/>
    <w:rsid w:val="00535F95"/>
    <w:rsid w:val="005454A0"/>
    <w:rsid w:val="0055128F"/>
    <w:rsid w:val="00551D12"/>
    <w:rsid w:val="005631A3"/>
    <w:rsid w:val="005713DF"/>
    <w:rsid w:val="00573DDE"/>
    <w:rsid w:val="0057482A"/>
    <w:rsid w:val="00575332"/>
    <w:rsid w:val="00595B74"/>
    <w:rsid w:val="005A2F2B"/>
    <w:rsid w:val="005A3CFE"/>
    <w:rsid w:val="005D355C"/>
    <w:rsid w:val="005F3B35"/>
    <w:rsid w:val="005F6027"/>
    <w:rsid w:val="006007BD"/>
    <w:rsid w:val="00603481"/>
    <w:rsid w:val="006227A5"/>
    <w:rsid w:val="00635845"/>
    <w:rsid w:val="00642304"/>
    <w:rsid w:val="006433FB"/>
    <w:rsid w:val="00653E6B"/>
    <w:rsid w:val="00655144"/>
    <w:rsid w:val="006607E0"/>
    <w:rsid w:val="00660AEF"/>
    <w:rsid w:val="0066232E"/>
    <w:rsid w:val="006826E2"/>
    <w:rsid w:val="00686566"/>
    <w:rsid w:val="006867A2"/>
    <w:rsid w:val="00691274"/>
    <w:rsid w:val="00692142"/>
    <w:rsid w:val="00692FCF"/>
    <w:rsid w:val="006A5A7B"/>
    <w:rsid w:val="006A66B5"/>
    <w:rsid w:val="006A68E9"/>
    <w:rsid w:val="006B3121"/>
    <w:rsid w:val="006B7F99"/>
    <w:rsid w:val="006C765C"/>
    <w:rsid w:val="006D3E2F"/>
    <w:rsid w:val="006D5217"/>
    <w:rsid w:val="006D7520"/>
    <w:rsid w:val="00702F04"/>
    <w:rsid w:val="00710448"/>
    <w:rsid w:val="0071130B"/>
    <w:rsid w:val="007146B8"/>
    <w:rsid w:val="007154A6"/>
    <w:rsid w:val="00717989"/>
    <w:rsid w:val="00717CFF"/>
    <w:rsid w:val="00723939"/>
    <w:rsid w:val="0073387E"/>
    <w:rsid w:val="00746354"/>
    <w:rsid w:val="007528D1"/>
    <w:rsid w:val="0076213B"/>
    <w:rsid w:val="00776B90"/>
    <w:rsid w:val="007839FA"/>
    <w:rsid w:val="00791A02"/>
    <w:rsid w:val="00793A4A"/>
    <w:rsid w:val="007964F6"/>
    <w:rsid w:val="007C30E5"/>
    <w:rsid w:val="007D1B82"/>
    <w:rsid w:val="007F0EDF"/>
    <w:rsid w:val="007F3028"/>
    <w:rsid w:val="007F4A51"/>
    <w:rsid w:val="008010F6"/>
    <w:rsid w:val="00801B02"/>
    <w:rsid w:val="008253AB"/>
    <w:rsid w:val="0083316A"/>
    <w:rsid w:val="0083585F"/>
    <w:rsid w:val="00836BA0"/>
    <w:rsid w:val="00846C9B"/>
    <w:rsid w:val="00851C73"/>
    <w:rsid w:val="00855AF6"/>
    <w:rsid w:val="00871E47"/>
    <w:rsid w:val="00877974"/>
    <w:rsid w:val="00880297"/>
    <w:rsid w:val="00884527"/>
    <w:rsid w:val="00885D36"/>
    <w:rsid w:val="00890758"/>
    <w:rsid w:val="008962BD"/>
    <w:rsid w:val="008B05A9"/>
    <w:rsid w:val="008B2AC9"/>
    <w:rsid w:val="008C1526"/>
    <w:rsid w:val="008C5676"/>
    <w:rsid w:val="008E433F"/>
    <w:rsid w:val="008E7EF5"/>
    <w:rsid w:val="008F1D1E"/>
    <w:rsid w:val="008F2D88"/>
    <w:rsid w:val="008F4ACE"/>
    <w:rsid w:val="008F5E2B"/>
    <w:rsid w:val="008F7468"/>
    <w:rsid w:val="00903801"/>
    <w:rsid w:val="00910235"/>
    <w:rsid w:val="00913239"/>
    <w:rsid w:val="00920074"/>
    <w:rsid w:val="0092317E"/>
    <w:rsid w:val="00924151"/>
    <w:rsid w:val="00930C37"/>
    <w:rsid w:val="00932E0B"/>
    <w:rsid w:val="00935362"/>
    <w:rsid w:val="0095076D"/>
    <w:rsid w:val="009572AC"/>
    <w:rsid w:val="00962A46"/>
    <w:rsid w:val="00962FE3"/>
    <w:rsid w:val="0096311A"/>
    <w:rsid w:val="0097067A"/>
    <w:rsid w:val="00971240"/>
    <w:rsid w:val="00971B27"/>
    <w:rsid w:val="00972D3C"/>
    <w:rsid w:val="00986501"/>
    <w:rsid w:val="0098688F"/>
    <w:rsid w:val="0099294B"/>
    <w:rsid w:val="009A439E"/>
    <w:rsid w:val="009A56F5"/>
    <w:rsid w:val="009B429E"/>
    <w:rsid w:val="009B4E2E"/>
    <w:rsid w:val="009B7244"/>
    <w:rsid w:val="009C1C67"/>
    <w:rsid w:val="009D297D"/>
    <w:rsid w:val="009E111F"/>
    <w:rsid w:val="009E1DED"/>
    <w:rsid w:val="009F21D6"/>
    <w:rsid w:val="00A0663E"/>
    <w:rsid w:val="00A10D27"/>
    <w:rsid w:val="00A11742"/>
    <w:rsid w:val="00A12491"/>
    <w:rsid w:val="00A17557"/>
    <w:rsid w:val="00A241E2"/>
    <w:rsid w:val="00A26AA3"/>
    <w:rsid w:val="00A27608"/>
    <w:rsid w:val="00A360DD"/>
    <w:rsid w:val="00A44DBB"/>
    <w:rsid w:val="00A53724"/>
    <w:rsid w:val="00A5691B"/>
    <w:rsid w:val="00A63007"/>
    <w:rsid w:val="00A72981"/>
    <w:rsid w:val="00A74726"/>
    <w:rsid w:val="00A81D37"/>
    <w:rsid w:val="00A8516D"/>
    <w:rsid w:val="00A86D42"/>
    <w:rsid w:val="00AA3D10"/>
    <w:rsid w:val="00AA3D2F"/>
    <w:rsid w:val="00AA7517"/>
    <w:rsid w:val="00AA7745"/>
    <w:rsid w:val="00AB6D35"/>
    <w:rsid w:val="00AC76D9"/>
    <w:rsid w:val="00AE5C56"/>
    <w:rsid w:val="00B00202"/>
    <w:rsid w:val="00B0291E"/>
    <w:rsid w:val="00B16646"/>
    <w:rsid w:val="00B220CE"/>
    <w:rsid w:val="00B22146"/>
    <w:rsid w:val="00B349EF"/>
    <w:rsid w:val="00B4132C"/>
    <w:rsid w:val="00B53A13"/>
    <w:rsid w:val="00B55124"/>
    <w:rsid w:val="00B57E8F"/>
    <w:rsid w:val="00B60994"/>
    <w:rsid w:val="00B7373B"/>
    <w:rsid w:val="00B7427C"/>
    <w:rsid w:val="00BA07ED"/>
    <w:rsid w:val="00BA5D7C"/>
    <w:rsid w:val="00BB1F74"/>
    <w:rsid w:val="00BB2986"/>
    <w:rsid w:val="00BC22FC"/>
    <w:rsid w:val="00BD0651"/>
    <w:rsid w:val="00BD177B"/>
    <w:rsid w:val="00BD7EAD"/>
    <w:rsid w:val="00BE5309"/>
    <w:rsid w:val="00BE68FF"/>
    <w:rsid w:val="00C000AD"/>
    <w:rsid w:val="00C06E9A"/>
    <w:rsid w:val="00C5353B"/>
    <w:rsid w:val="00C55148"/>
    <w:rsid w:val="00C57247"/>
    <w:rsid w:val="00C60532"/>
    <w:rsid w:val="00C767CC"/>
    <w:rsid w:val="00C76A89"/>
    <w:rsid w:val="00C8274B"/>
    <w:rsid w:val="00C833F4"/>
    <w:rsid w:val="00C86121"/>
    <w:rsid w:val="00C90A2B"/>
    <w:rsid w:val="00C95471"/>
    <w:rsid w:val="00CA25AA"/>
    <w:rsid w:val="00CB1142"/>
    <w:rsid w:val="00CB268D"/>
    <w:rsid w:val="00CC3DF1"/>
    <w:rsid w:val="00CD084B"/>
    <w:rsid w:val="00CD44AC"/>
    <w:rsid w:val="00CD6C53"/>
    <w:rsid w:val="00CE22A1"/>
    <w:rsid w:val="00CE3FAB"/>
    <w:rsid w:val="00CE479D"/>
    <w:rsid w:val="00CE4C1F"/>
    <w:rsid w:val="00CE58B4"/>
    <w:rsid w:val="00CE6FC7"/>
    <w:rsid w:val="00CF410D"/>
    <w:rsid w:val="00CF6C1C"/>
    <w:rsid w:val="00CF6CD7"/>
    <w:rsid w:val="00CF7241"/>
    <w:rsid w:val="00D0413C"/>
    <w:rsid w:val="00D1488B"/>
    <w:rsid w:val="00D17A72"/>
    <w:rsid w:val="00D2495C"/>
    <w:rsid w:val="00D26329"/>
    <w:rsid w:val="00D34A62"/>
    <w:rsid w:val="00D37EC8"/>
    <w:rsid w:val="00D40A3D"/>
    <w:rsid w:val="00D45E56"/>
    <w:rsid w:val="00D465CA"/>
    <w:rsid w:val="00D72F66"/>
    <w:rsid w:val="00D77987"/>
    <w:rsid w:val="00D862E2"/>
    <w:rsid w:val="00D86794"/>
    <w:rsid w:val="00D932F3"/>
    <w:rsid w:val="00DB7D9E"/>
    <w:rsid w:val="00DE0D16"/>
    <w:rsid w:val="00DE480D"/>
    <w:rsid w:val="00DE645C"/>
    <w:rsid w:val="00E00E56"/>
    <w:rsid w:val="00E10259"/>
    <w:rsid w:val="00E20B95"/>
    <w:rsid w:val="00E22ADF"/>
    <w:rsid w:val="00E22C8F"/>
    <w:rsid w:val="00E36AD8"/>
    <w:rsid w:val="00E4126A"/>
    <w:rsid w:val="00E43C78"/>
    <w:rsid w:val="00E51AA6"/>
    <w:rsid w:val="00E5666E"/>
    <w:rsid w:val="00E60080"/>
    <w:rsid w:val="00E61FB5"/>
    <w:rsid w:val="00E77667"/>
    <w:rsid w:val="00E811AA"/>
    <w:rsid w:val="00EA7E13"/>
    <w:rsid w:val="00EC7171"/>
    <w:rsid w:val="00EC7519"/>
    <w:rsid w:val="00ED223E"/>
    <w:rsid w:val="00ED317D"/>
    <w:rsid w:val="00ED684C"/>
    <w:rsid w:val="00EE2891"/>
    <w:rsid w:val="00EE6E6B"/>
    <w:rsid w:val="00EE7818"/>
    <w:rsid w:val="00EF4082"/>
    <w:rsid w:val="00EF5E04"/>
    <w:rsid w:val="00EF6422"/>
    <w:rsid w:val="00EF68EF"/>
    <w:rsid w:val="00F0123F"/>
    <w:rsid w:val="00F03F5C"/>
    <w:rsid w:val="00F13560"/>
    <w:rsid w:val="00F159C0"/>
    <w:rsid w:val="00F25429"/>
    <w:rsid w:val="00F32B73"/>
    <w:rsid w:val="00F52AD5"/>
    <w:rsid w:val="00F57ACA"/>
    <w:rsid w:val="00F671CB"/>
    <w:rsid w:val="00F80EA2"/>
    <w:rsid w:val="00F90B95"/>
    <w:rsid w:val="00F93DE8"/>
    <w:rsid w:val="00FA05F5"/>
    <w:rsid w:val="00FC54A1"/>
    <w:rsid w:val="00FD0E3F"/>
    <w:rsid w:val="00FD505C"/>
    <w:rsid w:val="00FF1E95"/>
    <w:rsid w:val="00FF2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676020"/>
  <w15:docId w15:val="{72C2EBFC-4D52-4BBB-ACDF-C42DD2AC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rsid w:val="00871E47"/>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1 Char,fn Char,ft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 w:type="paragraph" w:styleId="BalloonText">
    <w:name w:val="Balloon Text"/>
    <w:basedOn w:val="Normal"/>
    <w:link w:val="BalloonTextChar"/>
    <w:rsid w:val="00776B90"/>
    <w:rPr>
      <w:rFonts w:ascii="Tahoma" w:hAnsi="Tahoma" w:cs="Tahoma"/>
      <w:sz w:val="16"/>
      <w:szCs w:val="16"/>
    </w:rPr>
  </w:style>
  <w:style w:type="character" w:customStyle="1" w:styleId="BalloonTextChar">
    <w:name w:val="Balloon Text Char"/>
    <w:basedOn w:val="DefaultParagraphFont"/>
    <w:link w:val="BalloonText"/>
    <w:rsid w:val="00776B90"/>
    <w:rPr>
      <w:rFonts w:ascii="Tahoma" w:hAnsi="Tahoma" w:cs="Tahoma"/>
      <w:sz w:val="16"/>
      <w:szCs w:val="16"/>
    </w:rPr>
  </w:style>
  <w:style w:type="character" w:styleId="CommentReference">
    <w:name w:val="annotation reference"/>
    <w:basedOn w:val="DefaultParagraphFont"/>
    <w:rsid w:val="00E43C78"/>
    <w:rPr>
      <w:sz w:val="16"/>
      <w:szCs w:val="16"/>
    </w:rPr>
  </w:style>
  <w:style w:type="paragraph" w:styleId="CommentText">
    <w:name w:val="annotation text"/>
    <w:basedOn w:val="Normal"/>
    <w:link w:val="CommentTextChar"/>
    <w:rsid w:val="00E43C78"/>
    <w:rPr>
      <w:sz w:val="20"/>
      <w:szCs w:val="20"/>
    </w:rPr>
  </w:style>
  <w:style w:type="character" w:customStyle="1" w:styleId="CommentTextChar">
    <w:name w:val="Comment Text Char"/>
    <w:basedOn w:val="DefaultParagraphFont"/>
    <w:link w:val="CommentText"/>
    <w:rsid w:val="00E43C78"/>
    <w:rPr>
      <w:rFonts w:ascii="Arial" w:hAnsi="Arial"/>
    </w:rPr>
  </w:style>
  <w:style w:type="paragraph" w:styleId="CommentSubject">
    <w:name w:val="annotation subject"/>
    <w:basedOn w:val="CommentText"/>
    <w:next w:val="CommentText"/>
    <w:link w:val="CommentSubjectChar"/>
    <w:rsid w:val="00E43C78"/>
    <w:rPr>
      <w:b/>
      <w:bCs/>
    </w:rPr>
  </w:style>
  <w:style w:type="character" w:customStyle="1" w:styleId="CommentSubjectChar">
    <w:name w:val="Comment Subject Char"/>
    <w:basedOn w:val="CommentTextChar"/>
    <w:link w:val="CommentSubject"/>
    <w:rsid w:val="00E43C78"/>
    <w:rPr>
      <w:rFonts w:ascii="Arial" w:hAnsi="Arial"/>
      <w:b/>
      <w:bCs/>
    </w:rPr>
  </w:style>
  <w:style w:type="character" w:styleId="Hyperlink">
    <w:name w:val="Hyperlink"/>
    <w:basedOn w:val="DefaultParagraphFont"/>
    <w:uiPriority w:val="99"/>
    <w:semiHidden/>
    <w:unhideWhenUsed/>
    <w:rsid w:val="00CE3FAB"/>
    <w:rPr>
      <w:color w:val="0000FF"/>
      <w:u w:val="single"/>
    </w:rPr>
  </w:style>
  <w:style w:type="paragraph" w:styleId="Revision">
    <w:name w:val="Revision"/>
    <w:hidden/>
    <w:uiPriority w:val="99"/>
    <w:semiHidden/>
    <w:rsid w:val="00551D12"/>
    <w:rPr>
      <w:rFonts w:ascii="Arial" w:hAnsi="Arial"/>
      <w:sz w:val="24"/>
      <w:szCs w:val="24"/>
    </w:rPr>
  </w:style>
  <w:style w:type="table" w:styleId="TableGrid">
    <w:name w:val="Table Grid"/>
    <w:basedOn w:val="TableNormal"/>
    <w:rsid w:val="00545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64F6A752C689F4FB0C4F50271F12630" ma:contentTypeVersion="3" ma:contentTypeDescription="Create a new document." ma:contentTypeScope="" ma:versionID="388c38df46f0436877e12fe9d14fb3cb">
  <xsd:schema xmlns:xsd="http://www.w3.org/2001/XMLSchema" xmlns:xs="http://www.w3.org/2001/XMLSchema" xmlns:p="http://schemas.microsoft.com/office/2006/metadata/properties" xmlns:ns3="808b604e-1bb8-4308-a31c-73b0071a6f24" targetNamespace="http://schemas.microsoft.com/office/2006/metadata/properties" ma:root="true" ma:fieldsID="82df91351a5a4efa960ad4ab62102b02" ns3:_="">
    <xsd:import namespace="808b604e-1bb8-4308-a31c-73b0071a6f2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b604e-1bb8-4308-a31c-73b0071a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A80E1-460B-4D2E-8796-52E016F413D3}">
  <ds:schemaRefs>
    <ds:schemaRef ds:uri="http://schemas.microsoft.com/sharepoint/v3/contenttype/forms"/>
  </ds:schemaRefs>
</ds:datastoreItem>
</file>

<file path=customXml/itemProps2.xml><?xml version="1.0" encoding="utf-8"?>
<ds:datastoreItem xmlns:ds="http://schemas.openxmlformats.org/officeDocument/2006/customXml" ds:itemID="{83DAA05F-5E8D-4F40-9609-5084F15BBD06}">
  <ds:schemaRefs>
    <ds:schemaRef ds:uri="http://schemas.openxmlformats.org/officeDocument/2006/bibliography"/>
  </ds:schemaRefs>
</ds:datastoreItem>
</file>

<file path=customXml/itemProps3.xml><?xml version="1.0" encoding="utf-8"?>
<ds:datastoreItem xmlns:ds="http://schemas.openxmlformats.org/officeDocument/2006/customXml" ds:itemID="{7F61D0DC-FCA2-4F1E-A26D-6D16F70C5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b604e-1bb8-4308-a31c-73b0071a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39106-7381-4EAD-8C46-CEE84FE917C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37</TotalTime>
  <Pages>10</Pages>
  <Words>3452</Words>
  <Characters>19441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Office of the General Counsel</cp:lastModifiedBy>
  <cp:revision>36</cp:revision>
  <cp:lastPrinted>2011-01-25T17:22:00Z</cp:lastPrinted>
  <dcterms:created xsi:type="dcterms:W3CDTF">2025-04-11T17:37:00Z</dcterms:created>
  <dcterms:modified xsi:type="dcterms:W3CDTF">2025-04-15T16:22:00Z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0x010100464F6A752C689F4FB0C4F50271F12630</vt:lpwstr>
  </property>
</Properties>
</file>