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0504B" w:rsidP="00942F50" w14:paraId="654C76C1" w14:textId="1A7BCD82">
      <w:pPr>
        <w:pStyle w:val="Heading1"/>
      </w:pPr>
      <w:r>
        <w:t>Paperwork Reduction Act</w:t>
      </w:r>
    </w:p>
    <w:p w:rsidR="0032021E" w:rsidP="00942F50" w14:paraId="55EBA30C" w14:textId="13880C4C">
      <w:pPr>
        <w:pStyle w:val="Heading1"/>
      </w:pPr>
      <w:r w:rsidRPr="0032021E">
        <w:t>A.</w:t>
      </w:r>
      <w:r w:rsidRPr="0032021E">
        <w:tab/>
        <w:t xml:space="preserve">Justification </w:t>
      </w:r>
    </w:p>
    <w:p w:rsidR="00942F50" w:rsidP="00B466D8" w14:paraId="7E5BF9DA" w14:textId="2D2740BF">
      <w:pPr>
        <w:pStyle w:val="Heading2"/>
      </w:pPr>
      <w:r w:rsidRPr="0032021E">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82282" w:rsidP="00D37D46" w14:paraId="04EAED11" w14:textId="7BD86C6D">
      <w:r>
        <w:t>The Final Rule</w:t>
      </w:r>
      <w:r w:rsidR="00A01336">
        <w:t xml:space="preserve"> (the rule)</w:t>
      </w:r>
      <w:r w:rsidR="009F2F3F">
        <w:t xml:space="preserve">, authorized by </w:t>
      </w:r>
      <w:r w:rsidR="006A352F">
        <w:t>section</w:t>
      </w:r>
      <w:r w:rsidR="003C1767">
        <w:t>s</w:t>
      </w:r>
      <w:r w:rsidR="006A352F">
        <w:t xml:space="preserve"> 14</w:t>
      </w:r>
      <w:r w:rsidR="003C1767">
        <w:t>(a) and (g)</w:t>
      </w:r>
      <w:r w:rsidR="006A352F">
        <w:t xml:space="preserve"> of the Consumer Product Safety Act (CPSA) (15 U.S.C. </w:t>
      </w:r>
      <w:r w:rsidR="003C1767">
        <w:t>2063(a)</w:t>
      </w:r>
      <w:r>
        <w:t xml:space="preserve"> </w:t>
      </w:r>
      <w:r w:rsidR="003C1767">
        <w:t xml:space="preserve">and (g)), </w:t>
      </w:r>
      <w:r w:rsidR="001372E1">
        <w:t xml:space="preserve">revises </w:t>
      </w:r>
      <w:r w:rsidR="0011519B">
        <w:t xml:space="preserve">16 C.F.R. part 1110, and </w:t>
      </w:r>
      <w:r>
        <w:t>contains information collection requirements that are subject to public comment and review by the Office of Management and Budget (OMB) under the PRA</w:t>
      </w:r>
      <w:r w:rsidR="000761A4">
        <w:t xml:space="preserve"> </w:t>
      </w:r>
      <w:r>
        <w:t xml:space="preserve">44 U.S.C. 3501–3521.  </w:t>
      </w:r>
    </w:p>
    <w:p w:rsidR="00D37D46" w:rsidP="00D37D46" w14:paraId="778BC56C" w14:textId="1698F490">
      <w:r>
        <w:t>The PRA requires an agency to publish the following information:</w:t>
      </w:r>
    </w:p>
    <w:p w:rsidR="00D37D46" w:rsidP="00D37D46" w14:paraId="4821B546" w14:textId="64B024BA">
      <w:pPr>
        <w:pStyle w:val="Bullet1"/>
      </w:pPr>
      <w:r>
        <w:t>a title for the collection of information;</w:t>
      </w:r>
    </w:p>
    <w:p w:rsidR="00D37D46" w:rsidP="00D37D46" w14:paraId="50340DC7" w14:textId="547DD341">
      <w:pPr>
        <w:pStyle w:val="Bullet1"/>
      </w:pPr>
      <w:r>
        <w:t>a summary of the collection of information;</w:t>
      </w:r>
    </w:p>
    <w:p w:rsidR="00D37D46" w:rsidP="00D37D46" w14:paraId="780172D7" w14:textId="7A1E3CBA">
      <w:pPr>
        <w:pStyle w:val="Bullet1"/>
      </w:pPr>
      <w:r>
        <w:t>a brief description of the need for the information and the proposed use of the information;</w:t>
      </w:r>
    </w:p>
    <w:p w:rsidR="00D37D46" w:rsidP="00D37D46" w14:paraId="6A9FA35B" w14:textId="750C9CC9">
      <w:pPr>
        <w:pStyle w:val="Bullet1"/>
      </w:pPr>
      <w:r>
        <w:t>a description of the likely respondents and proposed frequency of response to the collection of information;</w:t>
      </w:r>
    </w:p>
    <w:p w:rsidR="00D37D46" w:rsidP="00D37D46" w14:paraId="094AC0A4" w14:textId="7FE7B68A">
      <w:pPr>
        <w:pStyle w:val="Bullet1"/>
      </w:pPr>
      <w:r>
        <w:t>an estimate of the burden that will result from the collection of information; and</w:t>
      </w:r>
    </w:p>
    <w:p w:rsidR="00D37D46" w:rsidP="00D37D46" w14:paraId="13CCFA3F" w14:textId="7752BF25">
      <w:pPr>
        <w:pStyle w:val="Bullet1"/>
      </w:pPr>
      <w:r>
        <w:t>notice that comments may be submitted to OMB.</w:t>
      </w:r>
    </w:p>
    <w:p w:rsidR="00D37D46" w:rsidRPr="007561EF" w:rsidP="00F7681E" w14:paraId="39A8EBE0" w14:textId="58CCED74">
      <w:pPr>
        <w:rPr>
          <w:i/>
          <w:iCs/>
        </w:rPr>
      </w:pPr>
      <w:r w:rsidRPr="007561EF">
        <w:rPr>
          <w:i/>
          <w:iCs/>
        </w:rPr>
        <w:t xml:space="preserve">44 U.S.C. 3507(a)(1)(D).  </w:t>
      </w:r>
    </w:p>
    <w:p w:rsidR="00D37D46" w:rsidP="00D37D46" w14:paraId="206DB191" w14:textId="6B4B1079">
      <w:r>
        <w:t xml:space="preserve">This rule </w:t>
      </w:r>
      <w:r w:rsidR="006949D7">
        <w:t>revis</w:t>
      </w:r>
      <w:r>
        <w:t>ing</w:t>
      </w:r>
      <w:r w:rsidR="006949D7">
        <w:t xml:space="preserve"> </w:t>
      </w:r>
      <w:r w:rsidR="00D2180B">
        <w:t>part 1110</w:t>
      </w:r>
      <w:r>
        <w:t xml:space="preserve"> creates a new collection of information for certificates for non-children’s products </w:t>
      </w:r>
      <w:r w:rsidR="004B35CE">
        <w:t>(General Certificates of Confo</w:t>
      </w:r>
      <w:r w:rsidR="00B06214">
        <w:t xml:space="preserve">rmity or GCCs) </w:t>
      </w:r>
      <w:r>
        <w:t xml:space="preserve">and expands the existing collection for </w:t>
      </w:r>
      <w:r w:rsidR="00B06214">
        <w:t xml:space="preserve">children’s product certificates (CPCs), as </w:t>
      </w:r>
      <w:r w:rsidR="000D5DCB">
        <w:t xml:space="preserve">stated in </w:t>
      </w:r>
      <w:r w:rsidR="002065D3">
        <w:t xml:space="preserve">OMB Control No. 3041-0159 </w:t>
      </w:r>
      <w:r>
        <w:t xml:space="preserve">Third Party Testing of Children’s Products.  The Children’s Product OMB control number would expand to include eFiling </w:t>
      </w:r>
      <w:r w:rsidR="00B57855">
        <w:t>of</w:t>
      </w:r>
      <w:r>
        <w:t xml:space="preserve"> certificates</w:t>
      </w:r>
      <w:r w:rsidR="006469F5">
        <w:t xml:space="preserve"> (</w:t>
      </w:r>
      <w:r w:rsidR="00C55EF2">
        <w:t xml:space="preserve">as </w:t>
      </w:r>
      <w:r w:rsidR="006469F5">
        <w:t xml:space="preserve">described in </w:t>
      </w:r>
      <w:r w:rsidR="00CE656E">
        <w:t>No. 2 below)</w:t>
      </w:r>
      <w:r>
        <w:t xml:space="preserve"> for imported children’s products that are subject to a CPSC rule requiring certification.  </w:t>
      </w:r>
      <w:r w:rsidR="00D91EF5">
        <w:t xml:space="preserve">Staff </w:t>
      </w:r>
      <w:r>
        <w:t>update</w:t>
      </w:r>
      <w:r w:rsidR="00D91EF5">
        <w:t>s</w:t>
      </w:r>
      <w:r>
        <w:t xml:space="preserve"> and summarize</w:t>
      </w:r>
      <w:r w:rsidR="00D91EF5">
        <w:t>s</w:t>
      </w:r>
      <w:r>
        <w:t xml:space="preserve"> </w:t>
      </w:r>
      <w:r w:rsidR="00667A67">
        <w:t xml:space="preserve">the corresponding </w:t>
      </w:r>
      <w:r>
        <w:t xml:space="preserve">information here.  </w:t>
      </w:r>
    </w:p>
    <w:p w:rsidR="00020899" w:rsidP="00D37D46" w14:paraId="64205A8F" w14:textId="77777777"/>
    <w:p w:rsidR="0032021E" w:rsidP="00C50841" w14:paraId="54EC156C" w14:textId="1CCE86E7">
      <w:pPr>
        <w:pStyle w:val="Heading3"/>
      </w:pPr>
      <w:r>
        <w:t>Information to be collected</w:t>
      </w:r>
    </w:p>
    <w:p w:rsidR="00EE79E1" w:rsidP="00E21F2A" w14:paraId="50BC2799" w14:textId="5F8B7672">
      <w:r>
        <w:t>Under</w:t>
      </w:r>
      <w:r w:rsidR="0079693F">
        <w:t xml:space="preserve"> part 1110</w:t>
      </w:r>
      <w:r w:rsidR="007A595F">
        <w:t xml:space="preserve">, </w:t>
      </w:r>
      <w:r w:rsidR="00090A0F">
        <w:t xml:space="preserve">CPSC </w:t>
      </w:r>
      <w:r w:rsidR="008D279A">
        <w:t>collects</w:t>
      </w:r>
      <w:r w:rsidR="00090A0F">
        <w:t xml:space="preserve"> Certificates of Compliance </w:t>
      </w:r>
      <w:r w:rsidR="00EA56D3">
        <w:t xml:space="preserve">(certificates or COCs) </w:t>
      </w:r>
      <w:r w:rsidR="00090A0F">
        <w:t xml:space="preserve">for products subject to a </w:t>
      </w:r>
      <w:r w:rsidRPr="001E0989" w:rsidR="00CE1B2A">
        <w:rPr>
          <w:rFonts w:ascii="Arial" w:hAnsi="Arial" w:cs="Arial"/>
        </w:rPr>
        <w:t>consumer product safety rule</w:t>
      </w:r>
      <w:r w:rsidR="00F718CF">
        <w:rPr>
          <w:rFonts w:ascii="Arial" w:hAnsi="Arial" w:cs="Arial"/>
        </w:rPr>
        <w:t xml:space="preserve">, </w:t>
      </w:r>
      <w:r w:rsidRPr="001E0989" w:rsidR="00CE1B2A">
        <w:rPr>
          <w:rFonts w:ascii="Arial" w:hAnsi="Arial" w:cs="Arial"/>
        </w:rPr>
        <w:t xml:space="preserve">or </w:t>
      </w:r>
      <w:r w:rsidR="00F718CF">
        <w:rPr>
          <w:rFonts w:ascii="Arial" w:hAnsi="Arial" w:cs="Arial"/>
        </w:rPr>
        <w:t xml:space="preserve">a </w:t>
      </w:r>
      <w:r w:rsidRPr="001E0989" w:rsidR="00CE1B2A">
        <w:rPr>
          <w:rFonts w:ascii="Arial" w:hAnsi="Arial" w:cs="Arial"/>
        </w:rPr>
        <w:t xml:space="preserve">similar rule, ban, standard, or regulation under any other </w:t>
      </w:r>
      <w:r w:rsidR="00AB7C80">
        <w:rPr>
          <w:rFonts w:ascii="Arial" w:hAnsi="Arial" w:cs="Arial"/>
        </w:rPr>
        <w:t>statute</w:t>
      </w:r>
      <w:r w:rsidRPr="001E0989" w:rsidR="00CE1B2A">
        <w:rPr>
          <w:rFonts w:ascii="Arial" w:hAnsi="Arial" w:cs="Arial"/>
        </w:rPr>
        <w:t xml:space="preserve"> enforced by the Commission and which </w:t>
      </w:r>
      <w:r w:rsidR="00255BE1">
        <w:rPr>
          <w:rFonts w:ascii="Arial" w:hAnsi="Arial" w:cs="Arial"/>
        </w:rPr>
        <w:t>are</w:t>
      </w:r>
      <w:r w:rsidRPr="001E0989" w:rsidR="00255BE1">
        <w:rPr>
          <w:rFonts w:ascii="Arial" w:hAnsi="Arial" w:cs="Arial"/>
        </w:rPr>
        <w:t xml:space="preserve"> </w:t>
      </w:r>
      <w:r w:rsidRPr="001E0989" w:rsidR="00CE1B2A">
        <w:rPr>
          <w:rFonts w:ascii="Arial" w:hAnsi="Arial" w:cs="Arial"/>
        </w:rPr>
        <w:t>imported for consumption or warehousing</w:t>
      </w:r>
      <w:r w:rsidR="00CC3A78">
        <w:rPr>
          <w:rFonts w:ascii="Arial" w:hAnsi="Arial" w:cs="Arial"/>
        </w:rPr>
        <w:t>,</w:t>
      </w:r>
      <w:r w:rsidRPr="001E0989" w:rsidR="00CE1B2A">
        <w:rPr>
          <w:rFonts w:ascii="Arial" w:hAnsi="Arial" w:cs="Arial"/>
        </w:rPr>
        <w:t xml:space="preserve"> or distributed in commerce</w:t>
      </w:r>
      <w:r w:rsidR="005F4EB5">
        <w:rPr>
          <w:rFonts w:ascii="Arial" w:hAnsi="Arial" w:cs="Arial"/>
        </w:rPr>
        <w:t xml:space="preserve"> (CPSC regulated products)</w:t>
      </w:r>
      <w:r w:rsidR="00090A0F">
        <w:t xml:space="preserve">.  </w:t>
      </w:r>
      <w:r w:rsidR="00FA0A3C">
        <w:t xml:space="preserve">Since November 2008, as </w:t>
      </w:r>
      <w:r w:rsidR="00701A3F">
        <w:t>stated</w:t>
      </w:r>
      <w:r w:rsidR="00FA0A3C">
        <w:t xml:space="preserve"> </w:t>
      </w:r>
      <w:r w:rsidR="00701A3F">
        <w:t>in</w:t>
      </w:r>
      <w:r w:rsidR="00FA0A3C">
        <w:t xml:space="preserve"> section 14 of the CPSA</w:t>
      </w:r>
      <w:r w:rsidR="00586826">
        <w:t xml:space="preserve"> and the existing part 1110</w:t>
      </w:r>
      <w:r w:rsidR="002769CA">
        <w:t xml:space="preserve"> </w:t>
      </w:r>
      <w:r w:rsidR="00AA295E">
        <w:t xml:space="preserve">CPSC requires certificates </w:t>
      </w:r>
      <w:r w:rsidR="00563213">
        <w:t xml:space="preserve">and for them </w:t>
      </w:r>
      <w:r w:rsidR="00AA295E">
        <w:t xml:space="preserve">to </w:t>
      </w:r>
      <w:r w:rsidR="00586826">
        <w:t xml:space="preserve">either accompany the product or shipment, or to </w:t>
      </w:r>
      <w:r w:rsidR="00AA295E">
        <w:t xml:space="preserve">be provided </w:t>
      </w:r>
      <w:r w:rsidR="007D6EE9">
        <w:t xml:space="preserve">electronically </w:t>
      </w:r>
      <w:r w:rsidR="00921B02">
        <w:t xml:space="preserve">to CPSC </w:t>
      </w:r>
      <w:r w:rsidR="00AA295E">
        <w:t xml:space="preserve">within 24 hours of </w:t>
      </w:r>
      <w:r w:rsidR="007F509E">
        <w:t xml:space="preserve">a request.  </w:t>
      </w:r>
      <w:r w:rsidR="00EE4827">
        <w:t>This</w:t>
      </w:r>
      <w:r w:rsidR="00F73B1B">
        <w:t xml:space="preserve"> rule </w:t>
      </w:r>
      <w:r w:rsidR="001068F3">
        <w:t xml:space="preserve">adds </w:t>
      </w:r>
      <w:r w:rsidR="00AA295E">
        <w:t xml:space="preserve">a new reporting </w:t>
      </w:r>
      <w:r w:rsidR="001068F3">
        <w:t>requirement</w:t>
      </w:r>
      <w:r w:rsidR="008929EB">
        <w:t>, which consists of</w:t>
      </w:r>
      <w:r w:rsidR="001068F3">
        <w:t xml:space="preserve"> </w:t>
      </w:r>
      <w:r w:rsidR="001068F3">
        <w:t>electronically fil</w:t>
      </w:r>
      <w:r w:rsidR="008929EB">
        <w:t>ing</w:t>
      </w:r>
      <w:r w:rsidR="00D27C51">
        <w:t xml:space="preserve"> (eFi</w:t>
      </w:r>
      <w:r w:rsidR="007265F5">
        <w:t>l</w:t>
      </w:r>
      <w:r w:rsidR="008929EB">
        <w:t>ing</w:t>
      </w:r>
      <w:r w:rsidR="001D1C51">
        <w:t>)</w:t>
      </w:r>
      <w:r w:rsidR="001068F3">
        <w:t xml:space="preserve"> certificates </w:t>
      </w:r>
      <w:r w:rsidR="007C0B1C">
        <w:t xml:space="preserve">for imported products </w:t>
      </w:r>
      <w:r w:rsidR="001068F3">
        <w:t xml:space="preserve">with U.S. Customs and Border </w:t>
      </w:r>
      <w:r w:rsidR="001068F3">
        <w:t xml:space="preserve">Protection </w:t>
      </w:r>
      <w:r w:rsidR="004E0CCB">
        <w:t xml:space="preserve">(CBP) </w:t>
      </w:r>
      <w:r w:rsidR="007C0B1C">
        <w:t>at the time of entry</w:t>
      </w:r>
      <w:r w:rsidR="00090A0F">
        <w:t xml:space="preserve">.  </w:t>
      </w:r>
      <w:r w:rsidR="000D320D">
        <w:t>For GCCs, section 14 of the CPSA and part 1110 include requirements for</w:t>
      </w:r>
      <w:r w:rsidR="000D320D">
        <w:t xml:space="preserve"> </w:t>
      </w:r>
      <w:r w:rsidR="000D320D">
        <w:t xml:space="preserve">recordkeeping, disclosure to third parties, and reporting.  </w:t>
      </w:r>
      <w:r w:rsidR="005C113F">
        <w:t>Section 14</w:t>
      </w:r>
      <w:r w:rsidR="00D137EB">
        <w:t xml:space="preserve"> of the CPSA requires</w:t>
      </w:r>
      <w:r w:rsidR="005C113F">
        <w:t xml:space="preserve"> </w:t>
      </w:r>
      <w:r w:rsidR="15B896F1">
        <w:t>firms to create COCs, recordkeep</w:t>
      </w:r>
      <w:r w:rsidR="0E060DCE">
        <w:t xml:space="preserve"> information supporting certificates, and disclose the certificates to third</w:t>
      </w:r>
      <w:r w:rsidR="16A31368">
        <w:t xml:space="preserve"> </w:t>
      </w:r>
      <w:r w:rsidR="0E060DCE">
        <w:t xml:space="preserve">parties. </w:t>
      </w:r>
      <w:r w:rsidR="2C190573">
        <w:t>Part 1110’s new requirements are an additional two years of recordkeeping (for a total of</w:t>
      </w:r>
      <w:r w:rsidR="41665214">
        <w:t xml:space="preserve"> </w:t>
      </w:r>
      <w:r w:rsidR="2C190573">
        <w:t>five years</w:t>
      </w:r>
      <w:r w:rsidR="76ED1D1E">
        <w:t xml:space="preserve"> and an eFiling requirement for importers</w:t>
      </w:r>
      <w:r w:rsidR="2C190573">
        <w:t>)</w:t>
      </w:r>
      <w:r w:rsidR="53995394">
        <w:t>.</w:t>
      </w:r>
      <w:r w:rsidR="2C190573">
        <w:t xml:space="preserve"> </w:t>
      </w:r>
      <w:r w:rsidR="0E060DCE">
        <w:t xml:space="preserve"> </w:t>
      </w:r>
      <w:r w:rsidR="00A56D6D">
        <w:t xml:space="preserve">For </w:t>
      </w:r>
      <w:r w:rsidR="00090A0F">
        <w:t>CPCs</w:t>
      </w:r>
      <w:r w:rsidR="0081755E">
        <w:t>, the rule</w:t>
      </w:r>
      <w:r w:rsidR="00090A0F">
        <w:t xml:space="preserve"> </w:t>
      </w:r>
      <w:r w:rsidR="00090A0F">
        <w:t xml:space="preserve">only </w:t>
      </w:r>
      <w:r w:rsidR="0081755E">
        <w:t xml:space="preserve">adds eFiling as </w:t>
      </w:r>
      <w:r w:rsidR="00090A0F">
        <w:t>a reporting requirement</w:t>
      </w:r>
      <w:r w:rsidR="00BB2A95">
        <w:t>, because</w:t>
      </w:r>
      <w:r w:rsidR="00090A0F">
        <w:t xml:space="preserve"> </w:t>
      </w:r>
      <w:r w:rsidR="00090A0F">
        <w:t xml:space="preserve">the recordkeeping and disclosure </w:t>
      </w:r>
      <w:r w:rsidR="009A6F22">
        <w:t xml:space="preserve">requirements </w:t>
      </w:r>
      <w:r w:rsidR="00090A0F">
        <w:t xml:space="preserve">are covered under </w:t>
      </w:r>
      <w:r w:rsidR="00C868A6">
        <w:t>OMB Control No. 3041-0159</w:t>
      </w:r>
      <w:r>
        <w:rPr>
          <w:i/>
          <w:iCs/>
        </w:rPr>
        <w:t>.</w:t>
      </w:r>
      <w:r w:rsidRPr="00EE79E1">
        <w:t xml:space="preserve">  A brief</w:t>
      </w:r>
      <w:r>
        <w:t xml:space="preserve"> description of the</w:t>
      </w:r>
      <w:r w:rsidR="00DB13E3">
        <w:t xml:space="preserve"> requested</w:t>
      </w:r>
      <w:r>
        <w:t xml:space="preserve"> burden is as follows:</w:t>
      </w:r>
    </w:p>
    <w:p w:rsidR="00EE79E1" w:rsidP="00E21F2A" w14:paraId="19DF520D" w14:textId="5F206ECD">
      <w:pPr>
        <w:pStyle w:val="Bullet1"/>
      </w:pPr>
      <w:r w:rsidRPr="002049E6">
        <w:rPr>
          <w:i/>
          <w:iCs/>
        </w:rPr>
        <w:t>Certificates</w:t>
      </w:r>
      <w:r>
        <w:t xml:space="preserve">: </w:t>
      </w:r>
      <w:r w:rsidR="00E21F2A">
        <w:t xml:space="preserve">The burden associated with the creation of certificates (GCCs).  </w:t>
      </w:r>
    </w:p>
    <w:p w:rsidR="00EE79E1" w:rsidP="00E21F2A" w14:paraId="05899BEB" w14:textId="528D2E9F">
      <w:pPr>
        <w:pStyle w:val="Bullet1"/>
      </w:pPr>
      <w:r w:rsidRPr="002049E6">
        <w:rPr>
          <w:i/>
          <w:iCs/>
        </w:rPr>
        <w:t>Disclosure</w:t>
      </w:r>
      <w:r>
        <w:t>: The burden derived from disclosing certificate information and from furnishing the certificates to third parties (distributors and retailers)</w:t>
      </w:r>
      <w:r w:rsidR="00862653">
        <w:t xml:space="preserve"> (GCCs)</w:t>
      </w:r>
      <w:r>
        <w:t xml:space="preserve">.  </w:t>
      </w:r>
    </w:p>
    <w:p w:rsidR="00EE79E1" w:rsidP="00E21F2A" w14:paraId="04EC7E19" w14:textId="2D3B3745">
      <w:pPr>
        <w:pStyle w:val="Bullet1"/>
      </w:pPr>
      <w:r w:rsidRPr="002049E6">
        <w:rPr>
          <w:i/>
          <w:iCs/>
        </w:rPr>
        <w:t>Recordkeeping</w:t>
      </w:r>
      <w:r>
        <w:t>: The burden associated with the initial storage and routine maintenance of records, including records of the certificates and any supporting and testing documentation, for a period of five years</w:t>
      </w:r>
      <w:r w:rsidR="00862653">
        <w:t xml:space="preserve"> (GCCs)</w:t>
      </w:r>
      <w:r>
        <w:t xml:space="preserve">. </w:t>
      </w:r>
    </w:p>
    <w:p w:rsidR="00E21F2A" w:rsidP="00E21F2A" w14:paraId="6040461C" w14:textId="596EFD87">
      <w:pPr>
        <w:pStyle w:val="Bullet1"/>
      </w:pPr>
      <w:r w:rsidRPr="002049E6">
        <w:rPr>
          <w:i/>
          <w:iCs/>
        </w:rPr>
        <w:t>eFiling</w:t>
      </w:r>
      <w:r w:rsidR="002049E6">
        <w:t>:</w:t>
      </w:r>
      <w:r>
        <w:t xml:space="preserve"> The initial burden </w:t>
      </w:r>
      <w:r w:rsidR="006015B9">
        <w:t xml:space="preserve">on importers </w:t>
      </w:r>
      <w:r>
        <w:t xml:space="preserve">from electronically filing the certificates using either the CPSC-maintained Product Registry or the systems provided by the brokers that support importers’ activities, as well as the routine burden </w:t>
      </w:r>
      <w:r w:rsidR="006A2C5A">
        <w:t xml:space="preserve">of </w:t>
      </w:r>
      <w:r>
        <w:t>submitting associated Full or Reference PGA Message Sets</w:t>
      </w:r>
      <w:r w:rsidR="00FA5801">
        <w:t xml:space="preserve"> </w:t>
      </w:r>
      <w:r w:rsidR="00E4783F">
        <w:t>to</w:t>
      </w:r>
      <w:r w:rsidR="00FA5801">
        <w:t xml:space="preserve"> CBP</w:t>
      </w:r>
      <w:r w:rsidR="00862653">
        <w:t xml:space="preserve"> (GCCs and CPCs)</w:t>
      </w:r>
      <w:r>
        <w:t xml:space="preserve">.  </w:t>
      </w:r>
    </w:p>
    <w:p w:rsidR="00020899" w:rsidRPr="00E21F2A" w:rsidP="00020899" w14:paraId="79C47458" w14:textId="77777777">
      <w:pPr>
        <w:pStyle w:val="Bullet1"/>
        <w:numPr>
          <w:ilvl w:val="0"/>
          <w:numId w:val="0"/>
        </w:numPr>
        <w:ind w:left="216"/>
      </w:pPr>
    </w:p>
    <w:p w:rsidR="0032021E" w:rsidP="00B466D8" w14:paraId="7FFEAB45" w14:textId="5532BE37">
      <w:pPr>
        <w:pStyle w:val="Heading2"/>
      </w:pPr>
      <w:r>
        <w:t>Indicate how, by whom, and for what purpose the information is to be used. Except for a new collection, indicate the actual use the agency has made of the information received from the current collection.</w:t>
      </w:r>
    </w:p>
    <w:p w:rsidR="00751B2E" w:rsidP="00751B2E" w14:paraId="56DFADE0" w14:textId="2E460700">
      <w:r>
        <w:t xml:space="preserve">Certificates and the </w:t>
      </w:r>
      <w:r w:rsidR="00FF5C77">
        <w:t>information</w:t>
      </w:r>
      <w:r>
        <w:t xml:space="preserve"> on them </w:t>
      </w:r>
      <w:r w:rsidR="003107C3">
        <w:t>are</w:t>
      </w:r>
      <w:r>
        <w:t xml:space="preserve"> required by section </w:t>
      </w:r>
      <w:r w:rsidR="000E125E">
        <w:t xml:space="preserve">14 of the CPSA and part 1110.  </w:t>
      </w:r>
      <w:r w:rsidR="00FD404B">
        <w:t xml:space="preserve">Prior to the </w:t>
      </w:r>
      <w:r w:rsidR="000B59F0">
        <w:t xml:space="preserve">implementation of the </w:t>
      </w:r>
      <w:r w:rsidR="00FD404B">
        <w:t>rule</w:t>
      </w:r>
      <w:r w:rsidR="00BA01DA">
        <w:t xml:space="preserve">, </w:t>
      </w:r>
      <w:r w:rsidR="009A7F77">
        <w:t xml:space="preserve">staff request </w:t>
      </w:r>
      <w:r w:rsidR="00BA01DA">
        <w:t>c</w:t>
      </w:r>
      <w:r w:rsidR="00033CAA">
        <w:t xml:space="preserve">ertificates </w:t>
      </w:r>
      <w:r w:rsidR="009F5788">
        <w:t xml:space="preserve">for </w:t>
      </w:r>
      <w:r w:rsidR="00CE0C5F">
        <w:t>a subset of</w:t>
      </w:r>
      <w:r w:rsidR="00B009D8">
        <w:t xml:space="preserve"> targeted</w:t>
      </w:r>
      <w:r w:rsidR="00CE0C5F">
        <w:t xml:space="preserve"> </w:t>
      </w:r>
      <w:r w:rsidR="009F5788">
        <w:t xml:space="preserve">CPSC regulated products </w:t>
      </w:r>
      <w:r w:rsidR="008E547C">
        <w:t xml:space="preserve">to determine compliance with testing and certification </w:t>
      </w:r>
      <w:r w:rsidR="000C7E8E">
        <w:t xml:space="preserve">to </w:t>
      </w:r>
      <w:r w:rsidR="00375427">
        <w:t xml:space="preserve">CPSC </w:t>
      </w:r>
      <w:r w:rsidR="00E34C47">
        <w:t xml:space="preserve">statutes and </w:t>
      </w:r>
      <w:r w:rsidR="00375427">
        <w:t>r</w:t>
      </w:r>
      <w:r w:rsidR="00E34C47">
        <w:t>egulations</w:t>
      </w:r>
      <w:r w:rsidR="00375427">
        <w:t xml:space="preserve">.  The </w:t>
      </w:r>
      <w:r w:rsidR="00A91DB7">
        <w:t xml:space="preserve">eFiling requirement in the rule </w:t>
      </w:r>
      <w:r w:rsidR="00511D0E">
        <w:t>requires eFiling</w:t>
      </w:r>
      <w:r w:rsidR="00A30844">
        <w:t xml:space="preserve"> certificates for </w:t>
      </w:r>
      <w:r w:rsidR="009B16CA">
        <w:t xml:space="preserve">every </w:t>
      </w:r>
      <w:r w:rsidR="0028503B">
        <w:t xml:space="preserve">CPSC regulated </w:t>
      </w:r>
      <w:r w:rsidR="009B16CA">
        <w:t>product</w:t>
      </w:r>
      <w:r w:rsidR="002D2BB9">
        <w:t xml:space="preserve"> being imported</w:t>
      </w:r>
      <w:r w:rsidR="00773F33">
        <w:t>, which</w:t>
      </w:r>
      <w:r w:rsidR="00A91DB7">
        <w:t xml:space="preserve"> </w:t>
      </w:r>
      <w:r w:rsidR="003472A4">
        <w:t>allow</w:t>
      </w:r>
      <w:r w:rsidR="00DD6581">
        <w:t>s</w:t>
      </w:r>
      <w:r w:rsidR="00FF5C77">
        <w:t xml:space="preserve"> CPSC</w:t>
      </w:r>
      <w:r w:rsidR="00FF5C77">
        <w:t xml:space="preserve"> </w:t>
      </w:r>
      <w:r w:rsidR="00FF5C77">
        <w:t xml:space="preserve">to </w:t>
      </w:r>
      <w:r w:rsidR="00AC3C99">
        <w:t>use</w:t>
      </w:r>
      <w:r w:rsidR="00335B1B">
        <w:t xml:space="preserve"> </w:t>
      </w:r>
      <w:r w:rsidR="00AC3C99">
        <w:t xml:space="preserve">algorithms </w:t>
      </w:r>
      <w:r w:rsidR="003A6570">
        <w:t>for more precise targeting</w:t>
      </w:r>
      <w:r w:rsidR="00FF5C77">
        <w:t xml:space="preserve"> </w:t>
      </w:r>
      <w:r w:rsidR="004D2BBE">
        <w:t>and enforce</w:t>
      </w:r>
      <w:r w:rsidR="0094462D">
        <w:t>ment of</w:t>
      </w:r>
      <w:r w:rsidR="004D2BBE">
        <w:t xml:space="preserve"> </w:t>
      </w:r>
      <w:r w:rsidR="003A468C">
        <w:t xml:space="preserve">CPSC </w:t>
      </w:r>
      <w:r w:rsidR="004161C3">
        <w:t>rules</w:t>
      </w:r>
      <w:r w:rsidR="00BB56E1">
        <w:t xml:space="preserve"> on</w:t>
      </w:r>
      <w:r w:rsidR="003A468C">
        <w:t xml:space="preserve"> imported </w:t>
      </w:r>
      <w:r w:rsidR="00C05BD9">
        <w:t xml:space="preserve">regulated </w:t>
      </w:r>
      <w:r w:rsidR="00FF5C77">
        <w:t>products</w:t>
      </w:r>
      <w:r w:rsidR="00C21409">
        <w:t xml:space="preserve">, </w:t>
      </w:r>
      <w:r w:rsidR="008650CE">
        <w:t xml:space="preserve">and </w:t>
      </w:r>
      <w:r w:rsidR="00C21409">
        <w:t>aid</w:t>
      </w:r>
      <w:r w:rsidR="003D25D4">
        <w:t>s</w:t>
      </w:r>
      <w:r w:rsidR="00C21409">
        <w:t xml:space="preserve"> in </w:t>
      </w:r>
      <w:r w:rsidR="00022FED">
        <w:t xml:space="preserve">the prevention of </w:t>
      </w:r>
      <w:r w:rsidR="00963516">
        <w:t>import</w:t>
      </w:r>
      <w:r w:rsidR="00492DAF">
        <w:t>ation</w:t>
      </w:r>
      <w:r w:rsidR="00963516">
        <w:t xml:space="preserve"> and</w:t>
      </w:r>
      <w:r w:rsidR="00022FED">
        <w:t xml:space="preserve"> distribution of unsafe, violative products</w:t>
      </w:r>
      <w:r w:rsidR="00CC46C2">
        <w:t>.</w:t>
      </w:r>
    </w:p>
    <w:p w:rsidR="00020899" w:rsidRPr="00751B2E" w:rsidP="00751B2E" w14:paraId="61F78D95" w14:textId="77777777"/>
    <w:p w:rsidR="0032021E" w:rsidP="00B466D8" w14:paraId="67FD6A81" w14:textId="1AF09484">
      <w:pPr>
        <w:pStyle w:val="Heading2"/>
      </w:pPr>
      <w: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006F497D">
        <w:t>to adopt</w:t>
      </w:r>
      <w:r>
        <w:t xml:space="preserve"> this means of collection. Also describe any consideration of using information technology to reduce burden.</w:t>
      </w:r>
    </w:p>
    <w:p w:rsidR="00EB56EE" w:rsidP="00EB56EE" w14:paraId="05F3C4EA" w14:textId="51325298">
      <w:r>
        <w:t xml:space="preserve">Electronic means will be used to </w:t>
      </w:r>
      <w:r w:rsidR="22472607">
        <w:t>create</w:t>
      </w:r>
      <w:r w:rsidR="21505664">
        <w:t>,</w:t>
      </w:r>
      <w:r w:rsidR="22472607">
        <w:t xml:space="preserve"> </w:t>
      </w:r>
      <w:r w:rsidR="5CF52E67">
        <w:t xml:space="preserve">keep </w:t>
      </w:r>
      <w:r w:rsidR="22472607">
        <w:t>record</w:t>
      </w:r>
      <w:r w:rsidR="2BC3DA08">
        <w:t>s</w:t>
      </w:r>
      <w:r w:rsidR="21505664">
        <w:t>,</w:t>
      </w:r>
      <w:r w:rsidR="4113717F">
        <w:t xml:space="preserve"> and </w:t>
      </w:r>
      <w:r w:rsidR="22472607">
        <w:t xml:space="preserve">disclose certificates and the </w:t>
      </w:r>
      <w:r w:rsidR="7437AB2D">
        <w:t xml:space="preserve">documentation </w:t>
      </w:r>
      <w:r w:rsidR="22472607">
        <w:t>supporting certificate</w:t>
      </w:r>
      <w:r w:rsidR="2E7FEDCF">
        <w:t xml:space="preserve"> </w:t>
      </w:r>
      <w:r w:rsidR="22472607">
        <w:t xml:space="preserve">creation.  </w:t>
      </w:r>
      <w:r w:rsidR="216BC52A">
        <w:t>Certificates f</w:t>
      </w:r>
      <w:r w:rsidR="22472607">
        <w:t>or importe</w:t>
      </w:r>
      <w:r w:rsidR="216BC52A">
        <w:t xml:space="preserve">d </w:t>
      </w:r>
      <w:r w:rsidR="1B142F4F">
        <w:t xml:space="preserve">CPSC regulated </w:t>
      </w:r>
      <w:r w:rsidR="216BC52A">
        <w:t>products</w:t>
      </w:r>
      <w:r w:rsidR="660B2976">
        <w:t xml:space="preserve"> must</w:t>
      </w:r>
      <w:r w:rsidR="22472607">
        <w:t xml:space="preserve"> be eFiled </w:t>
      </w:r>
      <w:r w:rsidR="623A1748">
        <w:t xml:space="preserve">to allow for </w:t>
      </w:r>
      <w:r w:rsidR="2A64F66C">
        <w:t>an</w:t>
      </w:r>
      <w:r w:rsidR="623A1748">
        <w:t xml:space="preserve"> </w:t>
      </w:r>
      <w:r w:rsidR="260B9653">
        <w:t>automated review of certificate</w:t>
      </w:r>
      <w:r w:rsidR="5F61FA92">
        <w:t xml:space="preserve"> requirement</w:t>
      </w:r>
      <w:r w:rsidR="260B9653">
        <w:t>s</w:t>
      </w:r>
      <w:r w:rsidR="5E71C64D">
        <w:t xml:space="preserve"> and for </w:t>
      </w:r>
      <w:r w:rsidR="5A5858CD">
        <w:t xml:space="preserve">improved </w:t>
      </w:r>
      <w:r w:rsidR="5E71C64D">
        <w:t xml:space="preserve">targeting </w:t>
      </w:r>
      <w:r w:rsidR="5A5858CD">
        <w:t>of shipments</w:t>
      </w:r>
      <w:r w:rsidR="260B9653">
        <w:t>.</w:t>
      </w:r>
    </w:p>
    <w:p w:rsidR="00020899" w:rsidP="00EB56EE" w14:paraId="134E908D" w14:textId="77777777"/>
    <w:p w:rsidR="0032021E" w:rsidP="00B466D8" w14:paraId="7FEBBB30" w14:textId="3BF49042">
      <w:pPr>
        <w:pStyle w:val="Heading2"/>
      </w:pPr>
      <w:r>
        <w:t>Describe efforts to identify duplication. Show specifically why any similar information already available cannot be used or modified for use for the purposes described in Item 2 above.</w:t>
      </w:r>
    </w:p>
    <w:p w:rsidR="00D0055B" w:rsidP="00D0055B" w14:paraId="2F6BAEFF" w14:textId="1E0F81C3">
      <w:r>
        <w:t xml:space="preserve">The information collected is not duplicative.  Information found on </w:t>
      </w:r>
      <w:r w:rsidR="00464121">
        <w:t xml:space="preserve">a </w:t>
      </w:r>
      <w:r w:rsidR="0067726A">
        <w:t>GCC</w:t>
      </w:r>
      <w:r>
        <w:t xml:space="preserve"> </w:t>
      </w:r>
      <w:r>
        <w:t>is not collected anywhere before import</w:t>
      </w:r>
      <w:r w:rsidR="009205B4">
        <w:t xml:space="preserve">ation </w:t>
      </w:r>
      <w:r w:rsidR="001B5095">
        <w:t xml:space="preserve">or domestic distribution </w:t>
      </w:r>
      <w:r w:rsidR="009205B4">
        <w:t xml:space="preserve">of a </w:t>
      </w:r>
      <w:r w:rsidR="0048717D">
        <w:t xml:space="preserve">CPSC </w:t>
      </w:r>
      <w:r w:rsidR="001B5095">
        <w:t>regulated product</w:t>
      </w:r>
      <w:r>
        <w:t xml:space="preserve">. The information collection </w:t>
      </w:r>
      <w:r w:rsidR="009C6798">
        <w:t xml:space="preserve">related to eFiling </w:t>
      </w:r>
      <w:r w:rsidR="00A32BCD">
        <w:t xml:space="preserve">for CPCs and GCCs </w:t>
      </w:r>
      <w:r>
        <w:t xml:space="preserve">is needed to </w:t>
      </w:r>
      <w:r w:rsidR="009C6798">
        <w:t xml:space="preserve">aid in the </w:t>
      </w:r>
      <w:r>
        <w:t>interdict</w:t>
      </w:r>
      <w:r w:rsidR="009C6798">
        <w:t>ion</w:t>
      </w:r>
      <w:r>
        <w:t xml:space="preserve"> </w:t>
      </w:r>
      <w:r w:rsidR="009C6798">
        <w:t xml:space="preserve">of </w:t>
      </w:r>
      <w:r>
        <w:t>violative products at import before the</w:t>
      </w:r>
      <w:r w:rsidR="005673AF">
        <w:t>y</w:t>
      </w:r>
      <w:r>
        <w:t xml:space="preserve"> enter </w:t>
      </w:r>
      <w:r w:rsidR="00A32BCD">
        <w:t xml:space="preserve">United States </w:t>
      </w:r>
      <w:r>
        <w:t xml:space="preserve">commerce.  </w:t>
      </w:r>
      <w:r w:rsidR="00EA0333">
        <w:t xml:space="preserve">For GCCs, </w:t>
      </w:r>
      <w:r w:rsidR="00C37E10">
        <w:t>the revised rule</w:t>
      </w:r>
      <w:r>
        <w:t xml:space="preserve"> also </w:t>
      </w:r>
      <w:r w:rsidR="00D54643">
        <w:t>adds</w:t>
      </w:r>
      <w:r w:rsidR="00EA0333">
        <w:t xml:space="preserve"> two </w:t>
      </w:r>
      <w:r w:rsidR="00E77BE4">
        <w:t xml:space="preserve">more </w:t>
      </w:r>
      <w:r w:rsidR="00EA0333">
        <w:t>years</w:t>
      </w:r>
      <w:r w:rsidR="00D54643">
        <w:t xml:space="preserve"> </w:t>
      </w:r>
      <w:r w:rsidR="00741AA3">
        <w:t>of recordkeeping</w:t>
      </w:r>
      <w:r w:rsidR="00E77BE4">
        <w:t xml:space="preserve"> (requiring records to be maintained for 5 years instead of 3)</w:t>
      </w:r>
      <w:r w:rsidR="00741AA3">
        <w:t>.</w:t>
      </w:r>
      <w:r w:rsidR="00697653">
        <w:t xml:space="preserve"> </w:t>
      </w:r>
      <w:r w:rsidR="00A52836">
        <w:t xml:space="preserve"> </w:t>
      </w:r>
    </w:p>
    <w:p w:rsidR="00A52836" w:rsidP="00D0055B" w14:paraId="210A844E" w14:textId="77777777"/>
    <w:p w:rsidR="0032021E" w:rsidP="00B466D8" w14:paraId="117928F6" w14:textId="021C1F61">
      <w:pPr>
        <w:pStyle w:val="Heading2"/>
      </w:pPr>
      <w:r>
        <w:t>If the collection of information impacts small businesses or other small entities (Item 5 of OMB Form 83-I), describe any methods used to minimize burden.</w:t>
      </w:r>
    </w:p>
    <w:p w:rsidR="00874E41" w:rsidP="00874E41" w14:paraId="7CCB6D4D" w14:textId="733D9BB0">
      <w:r>
        <w:t>The</w:t>
      </w:r>
      <w:r w:rsidR="08211FCD">
        <w:t xml:space="preserve"> </w:t>
      </w:r>
      <w:r>
        <w:t xml:space="preserve">rule </w:t>
      </w:r>
      <w:r w:rsidR="0422A44D">
        <w:t>applies to domestic manufacturers</w:t>
      </w:r>
      <w:r w:rsidR="00B24F02">
        <w:t xml:space="preserve"> of general</w:t>
      </w:r>
      <w:r w:rsidR="00243627">
        <w:t>-</w:t>
      </w:r>
      <w:r w:rsidR="00B24F02">
        <w:t xml:space="preserve">use </w:t>
      </w:r>
      <w:r w:rsidR="005B7D7B">
        <w:t xml:space="preserve">(i.e. non-children’s) </w:t>
      </w:r>
      <w:r w:rsidR="00B24F02">
        <w:t>products</w:t>
      </w:r>
      <w:r w:rsidR="00F418F2">
        <w:t xml:space="preserve"> and </w:t>
      </w:r>
      <w:r w:rsidR="00F418F2">
        <w:t>all importers</w:t>
      </w:r>
      <w:r w:rsidR="00F418F2">
        <w:t xml:space="preserve"> </w:t>
      </w:r>
      <w:r w:rsidR="00243627">
        <w:t xml:space="preserve">that </w:t>
      </w:r>
      <w:r w:rsidR="00F418F2">
        <w:t xml:space="preserve">are </w:t>
      </w:r>
      <w:r w:rsidR="0422A44D">
        <w:t xml:space="preserve">required to issue certificates for </w:t>
      </w:r>
      <w:r w:rsidR="72D03328">
        <w:t>CPSC regulated products</w:t>
      </w:r>
      <w:r w:rsidR="0422A44D">
        <w:t>.</w:t>
      </w:r>
      <w:r w:rsidR="152CBD8C">
        <w:t xml:space="preserve">  </w:t>
      </w:r>
      <w:r w:rsidR="5D841725">
        <w:t>Note that the</w:t>
      </w:r>
      <w:r w:rsidR="7B701C14">
        <w:t xml:space="preserve"> eFiling requirements only </w:t>
      </w:r>
      <w:r w:rsidR="00393472">
        <w:t>appl</w:t>
      </w:r>
      <w:r w:rsidR="00393472">
        <w:t>y</w:t>
      </w:r>
      <w:r w:rsidR="00393472">
        <w:t xml:space="preserve"> </w:t>
      </w:r>
      <w:r w:rsidR="43BD43B0">
        <w:t>to importers</w:t>
      </w:r>
      <w:r w:rsidR="5D841725">
        <w:t xml:space="preserve">.  </w:t>
      </w:r>
      <w:r w:rsidR="152CBD8C">
        <w:t xml:space="preserve">CPSC estimates that there are as many as 273,061 small businesses subject to the rule (see Table A).  </w:t>
      </w:r>
      <w:r w:rsidR="6EBFC90D">
        <w:t xml:space="preserve">Small manufacturers are already subject to certificate and disclosure requirements for product safety rules and the </w:t>
      </w:r>
      <w:r w:rsidR="71F2A520">
        <w:t xml:space="preserve">additional </w:t>
      </w:r>
      <w:r w:rsidR="6EBFC90D">
        <w:t>recordkeeping is</w:t>
      </w:r>
      <w:r w:rsidR="77D44890">
        <w:t xml:space="preserve"> not burdensome.  Small importers will have t</w:t>
      </w:r>
      <w:r w:rsidR="7AC3792F">
        <w:t xml:space="preserve">he option of using the Product Registry to store, disclose, and eFile certificates.  </w:t>
      </w:r>
      <w:r w:rsidR="013AD916">
        <w:t xml:space="preserve">The Product Registry is maintained by CPSC and free </w:t>
      </w:r>
      <w:r w:rsidR="2D9CAF68">
        <w:t xml:space="preserve">for </w:t>
      </w:r>
      <w:r w:rsidR="3D523435">
        <w:t>importers to access.  This should reduce technology burden on small im</w:t>
      </w:r>
      <w:r w:rsidR="29193AB0">
        <w:t>porters.</w:t>
      </w:r>
    </w:p>
    <w:p w:rsidR="0015416E" w:rsidP="00874E41" w14:paraId="692E982D" w14:textId="77777777"/>
    <w:p w:rsidR="0015416E" w:rsidRPr="00A52836" w:rsidP="0015416E" w14:paraId="64D109BB" w14:textId="77777777">
      <w:pPr>
        <w:pStyle w:val="TableTitle"/>
      </w:pPr>
      <w:r w:rsidRPr="00A52836">
        <w:t xml:space="preserve">Table </w:t>
      </w:r>
      <w:r>
        <w:t>A</w:t>
      </w:r>
      <w:r w:rsidRPr="00A52836">
        <w:t>. Estimated Number of Small Businesses Impacted by the Rule</w:t>
      </w:r>
    </w:p>
    <w:tbl>
      <w:tblPr>
        <w:tblStyle w:val="CPSCLightBlueTableStyle"/>
        <w:tblW w:w="8660" w:type="dxa"/>
        <w:tblLayout w:type="fixed"/>
        <w:tblLook w:val="06A0"/>
      </w:tblPr>
      <w:tblGrid>
        <w:gridCol w:w="3050"/>
        <w:gridCol w:w="1870"/>
        <w:gridCol w:w="1870"/>
        <w:gridCol w:w="1870"/>
      </w:tblGrid>
      <w:tr w14:paraId="6C2B03E3" w14:textId="77777777">
        <w:tblPrEx>
          <w:tblW w:w="8660" w:type="dxa"/>
          <w:tblLayout w:type="fixed"/>
          <w:tblLook w:val="06A0"/>
        </w:tblPrEx>
        <w:trPr>
          <w:trHeight w:val="300"/>
        </w:trPr>
        <w:tc>
          <w:tcPr>
            <w:tcW w:w="3050" w:type="dxa"/>
          </w:tcPr>
          <w:p w:rsidR="0015416E" w:rsidRPr="00A52836" w14:paraId="426F3FAC" w14:textId="77777777">
            <w:pPr>
              <w:spacing w:after="160" w:line="259" w:lineRule="auto"/>
              <w:rPr>
                <w:sz w:val="20"/>
              </w:rPr>
            </w:pPr>
            <w:r w:rsidRPr="00A52836">
              <w:rPr>
                <w:sz w:val="20"/>
              </w:rPr>
              <w:t>Small Business</w:t>
            </w:r>
          </w:p>
        </w:tc>
        <w:tc>
          <w:tcPr>
            <w:tcW w:w="1870" w:type="dxa"/>
          </w:tcPr>
          <w:p w:rsidR="0015416E" w:rsidRPr="00A52836" w14:paraId="40EA832C" w14:textId="77777777">
            <w:pPr>
              <w:spacing w:after="160" w:line="259" w:lineRule="auto"/>
              <w:jc w:val="left"/>
              <w:rPr>
                <w:sz w:val="20"/>
              </w:rPr>
            </w:pPr>
            <w:r w:rsidRPr="00A52836">
              <w:rPr>
                <w:sz w:val="20"/>
              </w:rPr>
              <w:t>Non-children Products</w:t>
            </w:r>
          </w:p>
        </w:tc>
        <w:tc>
          <w:tcPr>
            <w:tcW w:w="1870" w:type="dxa"/>
          </w:tcPr>
          <w:p w:rsidR="0015416E" w:rsidRPr="00A52836" w14:paraId="7FB71914" w14:textId="77777777">
            <w:pPr>
              <w:spacing w:after="160" w:line="259" w:lineRule="auto"/>
              <w:jc w:val="left"/>
              <w:rPr>
                <w:sz w:val="20"/>
              </w:rPr>
            </w:pPr>
            <w:r w:rsidRPr="00A52836">
              <w:rPr>
                <w:sz w:val="20"/>
              </w:rPr>
              <w:t>Children Products</w:t>
            </w:r>
          </w:p>
        </w:tc>
        <w:tc>
          <w:tcPr>
            <w:tcW w:w="1870" w:type="dxa"/>
          </w:tcPr>
          <w:p w:rsidR="0015416E" w:rsidRPr="00A52836" w14:paraId="2E4A1C43" w14:textId="77777777">
            <w:pPr>
              <w:spacing w:after="160" w:line="259" w:lineRule="auto"/>
              <w:jc w:val="left"/>
              <w:rPr>
                <w:sz w:val="20"/>
              </w:rPr>
            </w:pPr>
            <w:r w:rsidRPr="00A52836">
              <w:rPr>
                <w:sz w:val="20"/>
              </w:rPr>
              <w:t>Total</w:t>
            </w:r>
          </w:p>
        </w:tc>
      </w:tr>
      <w:tr w14:paraId="73757B69" w14:textId="77777777">
        <w:tblPrEx>
          <w:tblW w:w="8660" w:type="dxa"/>
          <w:tblLayout w:type="fixed"/>
          <w:tblLook w:val="06A0"/>
        </w:tblPrEx>
        <w:trPr>
          <w:trHeight w:val="300"/>
        </w:trPr>
        <w:tc>
          <w:tcPr>
            <w:tcW w:w="3050" w:type="dxa"/>
          </w:tcPr>
          <w:p w:rsidR="0015416E" w:rsidRPr="00A52836" w14:paraId="49411B98" w14:textId="77777777">
            <w:pPr>
              <w:spacing w:after="160" w:line="259" w:lineRule="auto"/>
            </w:pPr>
            <w:r w:rsidRPr="00A52836">
              <w:t>Manufacturers</w:t>
            </w:r>
          </w:p>
        </w:tc>
        <w:tc>
          <w:tcPr>
            <w:tcW w:w="1870" w:type="dxa"/>
          </w:tcPr>
          <w:p w:rsidR="0015416E" w:rsidRPr="00A52836" w14:paraId="61CC6112" w14:textId="77777777">
            <w:pPr>
              <w:spacing w:after="160" w:line="259" w:lineRule="auto"/>
            </w:pPr>
            <w:r w:rsidRPr="00A52836">
              <w:t>7,771</w:t>
            </w:r>
          </w:p>
        </w:tc>
        <w:tc>
          <w:tcPr>
            <w:tcW w:w="1870" w:type="dxa"/>
          </w:tcPr>
          <w:p w:rsidR="0015416E" w:rsidRPr="00A52836" w14:paraId="78B4DAFC" w14:textId="77777777">
            <w:pPr>
              <w:spacing w:after="160" w:line="259" w:lineRule="auto"/>
            </w:pPr>
            <w:r w:rsidRPr="00A52836">
              <w:t>18,852</w:t>
            </w:r>
          </w:p>
        </w:tc>
        <w:tc>
          <w:tcPr>
            <w:tcW w:w="1870" w:type="dxa"/>
          </w:tcPr>
          <w:p w:rsidR="0015416E" w:rsidRPr="00A52836" w14:paraId="4D41E185" w14:textId="77777777">
            <w:pPr>
              <w:spacing w:after="160" w:line="259" w:lineRule="auto"/>
            </w:pPr>
            <w:r w:rsidRPr="00A52836">
              <w:t>26,623</w:t>
            </w:r>
          </w:p>
        </w:tc>
      </w:tr>
      <w:tr w14:paraId="627A0B16" w14:textId="77777777">
        <w:tblPrEx>
          <w:tblW w:w="8660" w:type="dxa"/>
          <w:tblLayout w:type="fixed"/>
          <w:tblLook w:val="06A0"/>
        </w:tblPrEx>
        <w:trPr>
          <w:trHeight w:val="300"/>
        </w:trPr>
        <w:tc>
          <w:tcPr>
            <w:tcW w:w="3050" w:type="dxa"/>
          </w:tcPr>
          <w:p w:rsidR="0015416E" w:rsidRPr="00A52836" w14:paraId="7D0C7203" w14:textId="77777777">
            <w:pPr>
              <w:spacing w:after="160" w:line="259" w:lineRule="auto"/>
            </w:pPr>
            <w:r w:rsidRPr="00A52836">
              <w:t>Importers</w:t>
            </w:r>
          </w:p>
        </w:tc>
        <w:tc>
          <w:tcPr>
            <w:tcW w:w="1870" w:type="dxa"/>
          </w:tcPr>
          <w:p w:rsidR="0015416E" w:rsidRPr="00A52836" w14:paraId="617EDB7E" w14:textId="77777777">
            <w:pPr>
              <w:spacing w:after="160" w:line="259" w:lineRule="auto"/>
            </w:pPr>
            <w:r w:rsidRPr="00A52836">
              <w:t>35,290</w:t>
            </w:r>
          </w:p>
        </w:tc>
        <w:tc>
          <w:tcPr>
            <w:tcW w:w="1870" w:type="dxa"/>
          </w:tcPr>
          <w:p w:rsidR="0015416E" w:rsidRPr="00A52836" w14:paraId="5AB75B18" w14:textId="77777777">
            <w:pPr>
              <w:spacing w:after="160" w:line="259" w:lineRule="auto"/>
            </w:pPr>
            <w:r w:rsidRPr="00A52836">
              <w:t>211,148</w:t>
            </w:r>
          </w:p>
        </w:tc>
        <w:tc>
          <w:tcPr>
            <w:tcW w:w="1870" w:type="dxa"/>
          </w:tcPr>
          <w:p w:rsidR="0015416E" w:rsidRPr="00A52836" w14:paraId="472E9E41" w14:textId="77777777">
            <w:pPr>
              <w:spacing w:after="160" w:line="259" w:lineRule="auto"/>
            </w:pPr>
            <w:r w:rsidRPr="00A52836">
              <w:t>246,438</w:t>
            </w:r>
          </w:p>
        </w:tc>
      </w:tr>
      <w:tr w14:paraId="3E41A421" w14:textId="77777777">
        <w:tblPrEx>
          <w:tblW w:w="8660" w:type="dxa"/>
          <w:tblLayout w:type="fixed"/>
          <w:tblLook w:val="06A0"/>
        </w:tblPrEx>
        <w:trPr>
          <w:trHeight w:val="300"/>
        </w:trPr>
        <w:tc>
          <w:tcPr>
            <w:tcW w:w="3050" w:type="dxa"/>
          </w:tcPr>
          <w:p w:rsidR="0015416E" w:rsidRPr="00A52836" w14:paraId="7F084546" w14:textId="77777777">
            <w:pPr>
              <w:spacing w:after="160" w:line="259" w:lineRule="auto"/>
              <w:rPr>
                <w:b/>
                <w:bCs/>
              </w:rPr>
            </w:pPr>
            <w:r w:rsidRPr="00A52836">
              <w:rPr>
                <w:b/>
                <w:bCs/>
              </w:rPr>
              <w:t>Number of Small Business</w:t>
            </w:r>
          </w:p>
        </w:tc>
        <w:tc>
          <w:tcPr>
            <w:tcW w:w="1870" w:type="dxa"/>
          </w:tcPr>
          <w:p w:rsidR="0015416E" w:rsidRPr="00A52836" w14:paraId="7B56790D" w14:textId="77777777">
            <w:pPr>
              <w:spacing w:after="160" w:line="259" w:lineRule="auto"/>
              <w:rPr>
                <w:b/>
                <w:bCs/>
              </w:rPr>
            </w:pPr>
            <w:r w:rsidRPr="00A52836">
              <w:rPr>
                <w:b/>
                <w:bCs/>
              </w:rPr>
              <w:t>43,061</w:t>
            </w:r>
          </w:p>
        </w:tc>
        <w:tc>
          <w:tcPr>
            <w:tcW w:w="1870" w:type="dxa"/>
          </w:tcPr>
          <w:p w:rsidR="0015416E" w:rsidRPr="00A52836" w14:paraId="3F6ED3D8" w14:textId="77777777">
            <w:pPr>
              <w:spacing w:after="160" w:line="259" w:lineRule="auto"/>
              <w:rPr>
                <w:b/>
                <w:bCs/>
              </w:rPr>
            </w:pPr>
            <w:r w:rsidRPr="00A52836">
              <w:rPr>
                <w:b/>
                <w:bCs/>
              </w:rPr>
              <w:t>230,000</w:t>
            </w:r>
          </w:p>
        </w:tc>
        <w:tc>
          <w:tcPr>
            <w:tcW w:w="1870" w:type="dxa"/>
          </w:tcPr>
          <w:p w:rsidR="0015416E" w:rsidRPr="00A52836" w14:paraId="19C1E382" w14:textId="77777777">
            <w:pPr>
              <w:spacing w:after="160" w:line="259" w:lineRule="auto"/>
              <w:rPr>
                <w:b/>
                <w:bCs/>
              </w:rPr>
            </w:pPr>
            <w:r w:rsidRPr="00A52836">
              <w:rPr>
                <w:b/>
                <w:bCs/>
              </w:rPr>
              <w:t>273,061</w:t>
            </w:r>
          </w:p>
        </w:tc>
      </w:tr>
    </w:tbl>
    <w:p w:rsidR="0015416E" w:rsidRPr="00874E41" w:rsidP="00874E41" w14:paraId="422A1E16" w14:textId="77777777"/>
    <w:p w:rsidR="0032021E" w:rsidP="00B466D8" w14:paraId="7025170B" w14:textId="4518D888">
      <w:pPr>
        <w:pStyle w:val="Heading2"/>
      </w:pPr>
      <w:r>
        <w:t xml:space="preserve">Describe the </w:t>
      </w:r>
      <w:r w:rsidR="005673AF">
        <w:t>consequences</w:t>
      </w:r>
      <w:r>
        <w:t xml:space="preserve"> to Federal program or policy activities if the collection is not conducted or is conducted less frequently, as well as any technical or legal obstacles to reducing burden.</w:t>
      </w:r>
    </w:p>
    <w:p w:rsidR="00EA3461" w:rsidP="00EA3461" w14:paraId="779FE4E2" w14:textId="18ACAE03">
      <w:r>
        <w:t>If the collection is not conducted</w:t>
      </w:r>
      <w:r w:rsidR="00BE089A">
        <w:t>,</w:t>
      </w:r>
      <w:r>
        <w:t xml:space="preserve"> CPSC will </w:t>
      </w:r>
      <w:r w:rsidR="00BE089A">
        <w:t>be unable to use certificates and certificate data to aid in the interdiction of consumer products that</w:t>
      </w:r>
      <w:r>
        <w:t xml:space="preserve"> violat</w:t>
      </w:r>
      <w:r w:rsidR="00BE089A">
        <w:t xml:space="preserve">e CPSC statutes and regulations </w:t>
      </w:r>
      <w:r>
        <w:t xml:space="preserve">at ports of entry.  </w:t>
      </w:r>
      <w:r w:rsidR="006F689F">
        <w:t xml:space="preserve">This </w:t>
      </w:r>
      <w:r w:rsidR="0027173F">
        <w:t xml:space="preserve">would </w:t>
      </w:r>
      <w:r w:rsidR="006A5027">
        <w:t>hinder CPSC’s risk assessment methodology (RAM) targeting</w:t>
      </w:r>
      <w:r w:rsidR="006F689F">
        <w:t xml:space="preserve"> </w:t>
      </w:r>
      <w:r w:rsidR="005D186D">
        <w:t>of non-complying product</w:t>
      </w:r>
      <w:r w:rsidR="000A7A06">
        <w:t>s</w:t>
      </w:r>
      <w:r w:rsidR="005D186D">
        <w:t xml:space="preserve"> and </w:t>
      </w:r>
      <w:r w:rsidR="006F689F">
        <w:t>increase</w:t>
      </w:r>
      <w:r w:rsidRPr="008D3E72" w:rsidR="008D3E72">
        <w:t xml:space="preserve"> delays for </w:t>
      </w:r>
      <w:r w:rsidR="00987149">
        <w:t xml:space="preserve">otherwise </w:t>
      </w:r>
      <w:r w:rsidRPr="008D3E72" w:rsidR="008D3E72">
        <w:t>compliant products</w:t>
      </w:r>
      <w:r w:rsidR="005D186D">
        <w:t xml:space="preserve">.  </w:t>
      </w:r>
      <w:r>
        <w:t>In the case that a violative product enters commerce</w:t>
      </w:r>
      <w:r w:rsidR="00A240A9">
        <w:t xml:space="preserve">, </w:t>
      </w:r>
      <w:r>
        <w:t xml:space="preserve">CPSC will have more difficulty investigating and recalling these products without the </w:t>
      </w:r>
      <w:r w:rsidR="004D3E6C">
        <w:t>automated collection of certificate data</w:t>
      </w:r>
      <w:r>
        <w:t xml:space="preserve">. </w:t>
      </w:r>
    </w:p>
    <w:p w:rsidR="00020899" w:rsidRPr="00EA3461" w:rsidP="00EA3461" w14:paraId="37C45539" w14:textId="77777777"/>
    <w:p w:rsidR="0032021E" w:rsidP="00B466D8" w14:paraId="59F1EB3E" w14:textId="5C6E603C">
      <w:pPr>
        <w:pStyle w:val="Heading2"/>
      </w:pPr>
      <w:r>
        <w:t>Explain any special circumstances that would cause an information collection to be conducted more often than quarterly or to prepare responses in fewer than 30 days.</w:t>
      </w:r>
    </w:p>
    <w:p w:rsidR="00565E3D" w:rsidP="00565E3D" w14:paraId="045E1D43" w14:textId="40FBB955">
      <w:r>
        <w:t xml:space="preserve">The information may be collected more than quarterly if </w:t>
      </w:r>
      <w:r w:rsidR="000A4CF1">
        <w:t>a</w:t>
      </w:r>
      <w:r>
        <w:t xml:space="preserve"> firm manufactures or imports goods more often than quarterly.  </w:t>
      </w:r>
      <w:r w:rsidR="002B02DF">
        <w:t xml:space="preserve">Pursuant to section 14 of the CPSA, </w:t>
      </w:r>
      <w:r w:rsidR="00E43D2B">
        <w:t>GCCs</w:t>
      </w:r>
      <w:r w:rsidR="00912488">
        <w:t xml:space="preserve"> </w:t>
      </w:r>
      <w:r w:rsidR="002B02DF">
        <w:t>must be created, based on a reasonable testing program or a test of each product,</w:t>
      </w:r>
      <w:r w:rsidR="00912488">
        <w:t xml:space="preserve"> for </w:t>
      </w:r>
      <w:r w:rsidR="00B476A1">
        <w:t xml:space="preserve">newly manufactured CPSC regulated products, </w:t>
      </w:r>
      <w:r w:rsidR="00E43D2B">
        <w:t xml:space="preserve">and when a material change to the product occurs.  CPCs </w:t>
      </w:r>
      <w:r w:rsidR="007B63CE">
        <w:t xml:space="preserve">must be created, based on </w:t>
      </w:r>
      <w:r w:rsidR="00524F4E">
        <w:t>testing by a CPSC-accepted third party laboratory</w:t>
      </w:r>
      <w:r w:rsidR="007B63CE">
        <w:t xml:space="preserve">, for newly manufactured CPSC regulated products, </w:t>
      </w:r>
      <w:r w:rsidR="00524F4E">
        <w:t xml:space="preserve">periodically, </w:t>
      </w:r>
      <w:r w:rsidR="007B63CE">
        <w:t>and when a material change to the product occurs</w:t>
      </w:r>
      <w:r w:rsidR="00653CA4">
        <w:t xml:space="preserve"> (covered by OMB Control No. 3041-0159)</w:t>
      </w:r>
      <w:r w:rsidR="007B63CE">
        <w:t xml:space="preserve">.  </w:t>
      </w:r>
      <w:r w:rsidR="00524F4E">
        <w:t xml:space="preserve">For imported </w:t>
      </w:r>
      <w:r w:rsidR="004156D3">
        <w:t xml:space="preserve">CPSC regulated products, </w:t>
      </w:r>
      <w:r w:rsidR="008157CE">
        <w:t>a</w:t>
      </w:r>
      <w:r w:rsidR="006240C5">
        <w:t xml:space="preserve"> </w:t>
      </w:r>
      <w:r w:rsidR="00FC0664">
        <w:t xml:space="preserve">certificate must be eFiled each time the product is imported for consumption or warehousing.  </w:t>
      </w:r>
      <w:r w:rsidR="00750805">
        <w:t>Accordingly</w:t>
      </w:r>
      <w:r w:rsidR="005673AF">
        <w:t>,</w:t>
      </w:r>
      <w:r>
        <w:t xml:space="preserve"> if the firm imports more often than </w:t>
      </w:r>
      <w:r w:rsidR="192D2BAC">
        <w:t xml:space="preserve">every </w:t>
      </w:r>
      <w:r>
        <w:t>30 days</w:t>
      </w:r>
      <w:r w:rsidR="000A4CF1">
        <w:t>,</w:t>
      </w:r>
      <w:r>
        <w:t xml:space="preserve"> then the firm would be required to eFile</w:t>
      </w:r>
      <w:r w:rsidR="002F17FF">
        <w:t xml:space="preserve"> i.e. </w:t>
      </w:r>
      <w:r>
        <w:t xml:space="preserve">report, more often than </w:t>
      </w:r>
      <w:r w:rsidR="2BC4B747">
        <w:t xml:space="preserve">every </w:t>
      </w:r>
      <w:r>
        <w:t xml:space="preserve">30 days.  </w:t>
      </w:r>
    </w:p>
    <w:p w:rsidR="00020899" w:rsidRPr="00565E3D" w:rsidP="00565E3D" w14:paraId="4270C285" w14:textId="77777777"/>
    <w:p w:rsidR="0032021E" w:rsidP="00B466D8" w14:paraId="30DA993E" w14:textId="7EBA102B">
      <w:pPr>
        <w:pStyle w:val="Heading2"/>
      </w:pPr>
      <w:r>
        <w:t xml:space="preserve">If applicable, provide a copy and identify the data and page number of </w:t>
      </w:r>
      <w:r w:rsidR="005673AF">
        <w:t>publications</w:t>
      </w:r>
      <w:r>
        <w:t xml:space="preserve"> in the Federal Register, summarize public comments received, and describe actions taken by the agency in response to these comments.  Specifically address comments received on cost and hour burden.  Also describe efforts to consult with </w:t>
      </w:r>
      <w:r w:rsidR="005673AF">
        <w:t>people</w:t>
      </w:r>
      <w:r>
        <w:t xml:space="preserve"> outside of the </w:t>
      </w:r>
      <w:r w:rsidR="005673AF">
        <w:t>agency</w:t>
      </w:r>
      <w:r>
        <w:t xml:space="preserve"> on the PRA.</w:t>
      </w:r>
    </w:p>
    <w:p w:rsidR="005D0E28" w:rsidP="0079667B" w14:paraId="00A4EA9A" w14:textId="77777777"/>
    <w:p w:rsidR="0079667B" w:rsidP="0079667B" w14:paraId="3C3FE2D2" w14:textId="4356B2F1">
      <w:r>
        <w:t xml:space="preserve">A supplemental notice of proposed rulemaking </w:t>
      </w:r>
      <w:r w:rsidR="00CD386A">
        <w:t xml:space="preserve">(SNPR) </w:t>
      </w:r>
      <w:r>
        <w:t xml:space="preserve">was published </w:t>
      </w:r>
      <w:r w:rsidR="00CD386A">
        <w:t>in the Federal Register (88 FR 85760) December 8, 2023.  CPSC received numerous comments</w:t>
      </w:r>
      <w:r w:rsidR="005D44B5">
        <w:t xml:space="preserve"> on </w:t>
      </w:r>
      <w:r w:rsidR="000A4CF1">
        <w:t xml:space="preserve">the </w:t>
      </w:r>
      <w:r w:rsidR="005673AF">
        <w:t>SNPR</w:t>
      </w:r>
      <w:r w:rsidR="006A5FC2">
        <w:t>.  The comments primarily concerned eFiling, in particular</w:t>
      </w:r>
      <w:r w:rsidR="00EB40A4">
        <w:t xml:space="preserve"> </w:t>
      </w:r>
      <w:r w:rsidR="005673AF">
        <w:t>the</w:t>
      </w:r>
      <w:r w:rsidR="006A5FC2">
        <w:t xml:space="preserve"> burden cost associated with eFiling including staffing, training, </w:t>
      </w:r>
      <w:r w:rsidR="009E016E">
        <w:t xml:space="preserve">technology, </w:t>
      </w:r>
      <w:r w:rsidR="006A5FC2">
        <w:t>startup costs, filing fees, and burden to small importers.  The comments were</w:t>
      </w:r>
      <w:r w:rsidR="00CD386A">
        <w:t xml:space="preserve"> </w:t>
      </w:r>
      <w:r w:rsidR="006A5FC2">
        <w:t xml:space="preserve">thoroughly </w:t>
      </w:r>
      <w:r w:rsidR="00CD386A">
        <w:t xml:space="preserve">addressed </w:t>
      </w:r>
      <w:r w:rsidR="005D44B5">
        <w:t xml:space="preserve">in </w:t>
      </w:r>
      <w:r w:rsidR="006A5FC2">
        <w:t>t</w:t>
      </w:r>
      <w:r w:rsidR="005D44B5">
        <w:t xml:space="preserve">he </w:t>
      </w:r>
      <w:r>
        <w:t>final rule notice published in the Federal Register (90 FR 1800) on January 8, 2025</w:t>
      </w:r>
      <w:r w:rsidR="005D44B5">
        <w:t>.</w:t>
      </w:r>
      <w:r>
        <w:t xml:space="preserve">  </w:t>
      </w:r>
    </w:p>
    <w:p w:rsidR="00020899" w:rsidRPr="0079667B" w:rsidP="0079667B" w14:paraId="1527F5DB" w14:textId="77777777"/>
    <w:p w:rsidR="0032021E" w:rsidP="00B466D8" w14:paraId="4D35B2B2" w14:textId="33CEA13B">
      <w:pPr>
        <w:pStyle w:val="Heading2"/>
      </w:pPr>
      <w:r>
        <w:t>Explain any decision to provide any payment or gift to respondents, other than remuneration of contractors or grantees.</w:t>
      </w:r>
    </w:p>
    <w:p w:rsidR="00363838" w:rsidP="00363838" w14:paraId="7FF8244C" w14:textId="7995DB6D">
      <w:r>
        <w:t>There are no plans to provide any payment or gift to respondents.</w:t>
      </w:r>
    </w:p>
    <w:p w:rsidR="00020899" w:rsidRPr="00363838" w:rsidP="00363838" w14:paraId="272DAF8F" w14:textId="77777777"/>
    <w:p w:rsidR="0032021E" w:rsidP="00B466D8" w14:paraId="201521F8" w14:textId="4BB7A4DB">
      <w:pPr>
        <w:pStyle w:val="Heading2"/>
      </w:pPr>
      <w:r>
        <w:t>Describe any assurance of confidentiality provided to respondents and the basis for the assurance in statute, regulation, or agency policy.</w:t>
      </w:r>
    </w:p>
    <w:p w:rsidR="00020899" w:rsidRPr="00FF20D2" w:rsidP="00870E70" w14:paraId="190122AA" w14:textId="520AFDF0">
      <w:r w:rsidRPr="00FD6C68">
        <w:t>The certificate data provided is secured by CPSC and neither the Product Registry nor RAM are publicly searchable databases.  The Product Registry has industry-standard security features like encryption and token authorization</w:t>
      </w:r>
      <w:r w:rsidR="009242CA">
        <w:t xml:space="preserve">.  </w:t>
      </w:r>
      <w:r w:rsidRPr="00FD6C68">
        <w:t>When a FOIA request is filed, importers, domestic manufacturers, and private labelers who are required to issue certificates are first given the opportunity to assert confidentiality before such information is released.  Manufacturer information on a certificate would not be released pursuant to a FOIA request as long as the certifier makes out that the information is confidential under section 6(a) of the CPSA</w:t>
      </w:r>
      <w:r w:rsidR="00465036">
        <w:t>.</w:t>
      </w:r>
      <w:r w:rsidR="00DB1981">
        <w:t xml:space="preserve">  </w:t>
      </w:r>
      <w:r w:rsidR="00465036">
        <w:t xml:space="preserve">For more information see </w:t>
      </w:r>
      <w:r w:rsidRPr="00465036" w:rsidR="00465036">
        <w:t>90 FR 1800, 1811 (comment response 19), and 1811 (comment response 49)</w:t>
      </w:r>
      <w:r w:rsidRPr="00706B62" w:rsidR="00706B62">
        <w:t>.</w:t>
      </w:r>
    </w:p>
    <w:p w:rsidR="0032021E" w:rsidP="00B466D8" w14:paraId="65C4EF9F" w14:textId="7D5A6BBD">
      <w:pPr>
        <w:pStyle w:val="Heading2"/>
      </w:pPr>
      <w:r>
        <w:t xml:space="preserve">Provide additional justification for any questions of a sensitive nature, such as sexual behavior and attitudes, religious beliefs, and other matters that are commonly considered private. </w:t>
      </w:r>
    </w:p>
    <w:p w:rsidR="00D93E7C" w:rsidP="00D93E7C" w14:paraId="17DB5DA1" w14:textId="5A774244">
      <w:r>
        <w:t>There are no questions of a sensitive nature.</w:t>
      </w:r>
    </w:p>
    <w:p w:rsidR="00020899" w:rsidRPr="00D93E7C" w:rsidP="00D93E7C" w14:paraId="7A1B4965" w14:textId="77777777"/>
    <w:p w:rsidR="00D93E7C" w:rsidP="00B466D8" w14:paraId="2F113D67" w14:textId="42A1245B">
      <w:pPr>
        <w:pStyle w:val="Heading2"/>
      </w:pPr>
      <w:r>
        <w:t>Provide estimates of the hour burden of the collection of information.</w:t>
      </w:r>
    </w:p>
    <w:p w:rsidR="00997813" w:rsidP="00997813" w14:paraId="2B4110C8" w14:textId="5341FCAC">
      <w:r>
        <w:t xml:space="preserve">Table </w:t>
      </w:r>
      <w:r w:rsidR="006060F5">
        <w:t>B</w:t>
      </w:r>
      <w:r>
        <w:t xml:space="preserve"> shows the </w:t>
      </w:r>
      <w:r w:rsidR="005D16C7">
        <w:t>an</w:t>
      </w:r>
      <w:r w:rsidR="00170817">
        <w:t xml:space="preserve">nual burden </w:t>
      </w:r>
      <w:r w:rsidR="00A95D54">
        <w:t>estimates</w:t>
      </w:r>
      <w:r w:rsidR="00170817">
        <w:t xml:space="preserve"> for </w:t>
      </w:r>
      <w:r w:rsidR="00144822">
        <w:t xml:space="preserve">the revised </w:t>
      </w:r>
      <w:r>
        <w:t>part 1110</w:t>
      </w:r>
      <w:r w:rsidR="00170817">
        <w:t xml:space="preserve">. </w:t>
      </w:r>
      <w:r>
        <w:t xml:space="preserve"> </w:t>
      </w:r>
      <w:r>
        <w:t xml:space="preserve">CPSC estimates that there may be 49,364 </w:t>
      </w:r>
      <w:r w:rsidR="00584A65">
        <w:t xml:space="preserve">general-use </w:t>
      </w:r>
      <w:r>
        <w:t xml:space="preserve">products firms subject to the Final Rule.  On average, these firms are expected to create 27 certificates per year, for a total of 1,333,982 certificates.  CPSC assumes each certificate will require 5 minutes of labor per certificate, which equates to 111,165 hours spent on their creation.  </w:t>
      </w:r>
    </w:p>
    <w:p w:rsidR="00997813" w:rsidP="00997813" w14:paraId="7A2DA065" w14:textId="77777777">
      <w:r>
        <w:t xml:space="preserve">These same firms must keep the records supporting the certificates for a period of five years.  CPSC assumes recordkeeping will take, on average, 1 minute for record creation and initial storage and an additional 15 seconds for the routine annual maintenance of the certificate record.  This annual burden comes to 27,791 hours (1.25 minutes / 60 × 1,333,982 certificates).  </w:t>
      </w:r>
    </w:p>
    <w:p w:rsidR="00997813" w:rsidP="00997813" w14:paraId="436F376E" w14:textId="435A3F5B">
      <w:r>
        <w:t>The firms must also disclose each certificate to retailers and distributors of the product upon request; thus, staff estimates an additional 0.25 hours (15 minutes) burden for third-party disclosure.  This sums to 333,495 hours (15 minutes / 60 × 1,333,982 certificates).</w:t>
      </w:r>
      <w:r>
        <w:rPr>
          <w:rStyle w:val="FootnoteReference"/>
          <w:rFonts w:eastAsia="Arial"/>
        </w:rPr>
        <w:footnoteReference w:id="3"/>
      </w:r>
    </w:p>
    <w:p w:rsidR="00997813" w:rsidP="00997813" w14:paraId="1CAE50CD" w14:textId="3A9EF541">
      <w:r>
        <w:t>CPSC estimates the number of responses for eFiling as 23,491,168.  The average filing takes roughly 22 seconds across filing modes.  This adds to an estimated eFiling burden of 144,487 hours (22 seconds / 3,600 × 23,491,168).</w:t>
      </w:r>
      <w:r>
        <w:rPr>
          <w:rStyle w:val="FootnoteReference"/>
          <w:rFonts w:eastAsia="Arial"/>
        </w:rPr>
        <w:footnoteReference w:id="4"/>
      </w:r>
      <w:r>
        <w:t xml:space="preserve">   </w:t>
      </w:r>
    </w:p>
    <w:p w:rsidR="00330D90" w:rsidP="00D93E7C" w14:paraId="2483F2E5" w14:textId="267C403B">
      <w:r>
        <w:t xml:space="preserve">The aggregate burden of the Final Rule for suppliers of </w:t>
      </w:r>
      <w:r w:rsidR="00E54C8E">
        <w:t>general-use</w:t>
      </w:r>
      <w:r>
        <w:t xml:space="preserve"> products is 616,939 hours and has a total cost of $26,102,580.  This estimate includes the burden imposed by statute, which non-children’s products suppliers would bear in absence of the Final Rule.  The net burden from the Final Rule – excluding the statutory burden – is 146,710 hours</w:t>
      </w:r>
      <w:r>
        <w:rPr>
          <w:rStyle w:val="FootnoteReference"/>
          <w:rFonts w:eastAsia="Arial"/>
        </w:rPr>
        <w:footnoteReference w:id="5"/>
      </w:r>
      <w:r w:rsidR="00752C8A">
        <w:t xml:space="preserve"> </w:t>
      </w:r>
      <w:r>
        <w:t>and the net cost is $5,217,007</w:t>
      </w:r>
      <w:r w:rsidR="00932869">
        <w:t>.</w:t>
      </w:r>
    </w:p>
    <w:p w:rsidR="003434D8" w:rsidP="0026135D" w14:paraId="1D168242" w14:textId="062A1342">
      <w:r>
        <w:t xml:space="preserve">Note that </w:t>
      </w:r>
      <w:r w:rsidR="00AF7EB0">
        <w:t>importers</w:t>
      </w:r>
      <w:r w:rsidR="00267B40">
        <w:t xml:space="preserve"> of </w:t>
      </w:r>
      <w:r w:rsidR="00AF7EB0">
        <w:t xml:space="preserve">children product’s </w:t>
      </w:r>
      <w:r w:rsidR="00267B40">
        <w:t xml:space="preserve">need only </w:t>
      </w:r>
      <w:r w:rsidR="005D53D6">
        <w:t xml:space="preserve">comply with the rule’s </w:t>
      </w:r>
      <w:r w:rsidR="002F0E14">
        <w:t xml:space="preserve">eFiling requirement </w:t>
      </w:r>
      <w:r w:rsidR="005D53D6">
        <w:t>for</w:t>
      </w:r>
      <w:r w:rsidR="002F0E14">
        <w:t xml:space="preserve"> CPCs</w:t>
      </w:r>
      <w:r w:rsidR="008D22E9">
        <w:t>,</w:t>
      </w:r>
      <w:r w:rsidR="002F0E14">
        <w:t xml:space="preserve"> as</w:t>
      </w:r>
      <w:r w:rsidR="003723FE">
        <w:t xml:space="preserve"> certificate creation, recordkeeping, and disclosure are covered by</w:t>
      </w:r>
      <w:r w:rsidR="002F0E14">
        <w:t xml:space="preserve"> </w:t>
      </w:r>
      <w:r w:rsidR="00DE3AED">
        <w:t>OMB 3041-0159</w:t>
      </w:r>
      <w:r w:rsidR="003723FE">
        <w:t>.</w:t>
      </w:r>
      <w:r w:rsidR="00AF4884">
        <w:t xml:space="preserve"> </w:t>
      </w:r>
      <w:r w:rsidR="00DA0703">
        <w:t xml:space="preserve">Table C </w:t>
      </w:r>
      <w:r w:rsidR="00FD1FE8">
        <w:t xml:space="preserve">displays the burden to importers of </w:t>
      </w:r>
      <w:r w:rsidR="00353CD8">
        <w:t>children’s</w:t>
      </w:r>
      <w:r w:rsidR="008D22E9">
        <w:t xml:space="preserve"> products.   </w:t>
      </w:r>
      <w:r w:rsidR="0026135D">
        <w:t xml:space="preserve">Staff </w:t>
      </w:r>
      <w:r w:rsidRPr="0026135D" w:rsidR="0026135D">
        <w:t>estimate that there are 224,000</w:t>
      </w:r>
      <w:r w:rsidR="00E34CC5">
        <w:t xml:space="preserve"> </w:t>
      </w:r>
      <w:r w:rsidRPr="0026135D" w:rsidR="0026135D">
        <w:t>importers supplying children’s products</w:t>
      </w:r>
      <w:r w:rsidR="00091F1B">
        <w:t xml:space="preserve">.  These firms will have an </w:t>
      </w:r>
      <w:r w:rsidRPr="0026135D" w:rsidR="0026135D">
        <w:t>average of 152 certificate filings per firm based on assumptions supported on data from the Division of Import Surveillance and the Beta Pilot</w:t>
      </w:r>
      <w:r w:rsidR="00091F1B">
        <w:t xml:space="preserve">.  </w:t>
      </w:r>
      <w:r w:rsidR="00D50817">
        <w:t>This</w:t>
      </w:r>
      <w:r w:rsidRPr="0026135D" w:rsidR="0026135D">
        <w:t xml:space="preserve"> means that 34,055,116 shipments related to imported children’s products would be annually required to eFile certificates, with an estimated eFiling burden of 209,462 hours.   This number only includes burden imposed by the Final Rule, so the net burden from the Final Rule is also 209,462 hours, and the cost of this additional burden from the Final Rule is $7,448,474.</w:t>
      </w:r>
    </w:p>
    <w:p w:rsidR="003434D8" w:rsidP="0026135D" w14:paraId="3A992F4F" w14:textId="77777777"/>
    <w:p w:rsidR="003434D8" w:rsidRPr="0036713E" w:rsidP="0026135D" w14:paraId="59B839AB" w14:textId="77777777"/>
    <w:p w:rsidR="00317BF9" w:rsidP="0036713E" w14:paraId="67FF06A0" w14:textId="62101008">
      <w:pPr>
        <w:pStyle w:val="TableTitle"/>
      </w:pPr>
      <w:r w:rsidRPr="00317BF9">
        <w:t xml:space="preserve">Table </w:t>
      </w:r>
      <w:r w:rsidR="004334A2">
        <w:t>B</w:t>
      </w:r>
      <w:r w:rsidRPr="00317BF9">
        <w:t>: Total Burden on Non-Children Products Covered by Part 1110</w:t>
      </w:r>
    </w:p>
    <w:tbl>
      <w:tblPr>
        <w:tblStyle w:val="CPSCLightBlueTableStyle"/>
        <w:tblW w:w="10394" w:type="dxa"/>
        <w:jc w:val="center"/>
        <w:tblLook w:val="04A0"/>
      </w:tblPr>
      <w:tblGrid>
        <w:gridCol w:w="1576"/>
        <w:gridCol w:w="1497"/>
        <w:gridCol w:w="1242"/>
        <w:gridCol w:w="1298"/>
        <w:gridCol w:w="1186"/>
        <w:gridCol w:w="1140"/>
        <w:gridCol w:w="1196"/>
        <w:gridCol w:w="1343"/>
      </w:tblGrid>
      <w:tr w14:paraId="3529A69A" w14:textId="77777777" w:rsidTr="00317BF9">
        <w:tblPrEx>
          <w:tblW w:w="10394" w:type="dxa"/>
          <w:jc w:val="center"/>
          <w:tblLook w:val="04A0"/>
        </w:tblPrEx>
        <w:trPr>
          <w:trHeight w:val="844"/>
          <w:jc w:val="center"/>
        </w:trPr>
        <w:tc>
          <w:tcPr>
            <w:tcW w:w="1562" w:type="dxa"/>
            <w:hideMark/>
          </w:tcPr>
          <w:p w:rsidR="00317BF9" w:rsidRPr="003E5836" w14:paraId="7779C9A6" w14:textId="77777777">
            <w:pPr>
              <w:keepNext/>
              <w:rPr>
                <w:b w:val="0"/>
                <w:bCs w:val="0"/>
                <w:color w:val="000000" w:themeColor="text1"/>
                <w:sz w:val="20"/>
              </w:rPr>
            </w:pPr>
            <w:r w:rsidRPr="3F60A196">
              <w:rPr>
                <w:color w:val="000000" w:themeColor="text1"/>
                <w:sz w:val="20"/>
              </w:rPr>
              <w:t>Total Burden</w:t>
            </w:r>
          </w:p>
        </w:tc>
        <w:tc>
          <w:tcPr>
            <w:tcW w:w="1483" w:type="dxa"/>
            <w:hideMark/>
          </w:tcPr>
          <w:p w:rsidR="00317BF9" w:rsidRPr="003E5836" w14:paraId="1639D2A1" w14:textId="77777777">
            <w:pPr>
              <w:keepNext/>
              <w:rPr>
                <w:b w:val="0"/>
                <w:bCs w:val="0"/>
                <w:color w:val="000000" w:themeColor="text1"/>
                <w:sz w:val="20"/>
              </w:rPr>
            </w:pPr>
            <w:r w:rsidRPr="3F60A196">
              <w:rPr>
                <w:color w:val="000000" w:themeColor="text1"/>
                <w:sz w:val="20"/>
              </w:rPr>
              <w:t>Respondents</w:t>
            </w:r>
          </w:p>
        </w:tc>
        <w:tc>
          <w:tcPr>
            <w:tcW w:w="1228" w:type="dxa"/>
            <w:hideMark/>
          </w:tcPr>
          <w:p w:rsidR="00317BF9" w:rsidRPr="003E5836" w14:paraId="43521E90" w14:textId="77777777">
            <w:pPr>
              <w:keepNext/>
              <w:rPr>
                <w:b w:val="0"/>
                <w:bCs w:val="0"/>
                <w:color w:val="000000" w:themeColor="text1"/>
                <w:sz w:val="20"/>
              </w:rPr>
            </w:pPr>
            <w:r w:rsidRPr="3F60A196">
              <w:rPr>
                <w:color w:val="000000" w:themeColor="text1"/>
                <w:sz w:val="20"/>
              </w:rPr>
              <w:t>Frequency of Response</w:t>
            </w:r>
          </w:p>
        </w:tc>
        <w:tc>
          <w:tcPr>
            <w:tcW w:w="1284" w:type="dxa"/>
            <w:hideMark/>
          </w:tcPr>
          <w:p w:rsidR="00317BF9" w:rsidRPr="003E5836" w14:paraId="406B5D5E" w14:textId="77777777">
            <w:pPr>
              <w:keepNext/>
              <w:rPr>
                <w:b w:val="0"/>
                <w:bCs w:val="0"/>
                <w:color w:val="000000" w:themeColor="text1"/>
                <w:sz w:val="20"/>
              </w:rPr>
            </w:pPr>
            <w:r w:rsidRPr="3F60A196">
              <w:rPr>
                <w:color w:val="000000" w:themeColor="text1"/>
                <w:sz w:val="20"/>
              </w:rPr>
              <w:t>Responses</w:t>
            </w:r>
          </w:p>
        </w:tc>
        <w:tc>
          <w:tcPr>
            <w:tcW w:w="1172" w:type="dxa"/>
            <w:hideMark/>
          </w:tcPr>
          <w:p w:rsidR="00317BF9" w:rsidRPr="003E5836" w14:paraId="71E9BDEE" w14:textId="77777777">
            <w:pPr>
              <w:keepNext/>
              <w:rPr>
                <w:b w:val="0"/>
                <w:bCs w:val="0"/>
                <w:color w:val="000000" w:themeColor="text1"/>
                <w:sz w:val="20"/>
              </w:rPr>
            </w:pPr>
            <w:r w:rsidRPr="3F60A196">
              <w:rPr>
                <w:color w:val="000000" w:themeColor="text1"/>
                <w:sz w:val="20"/>
              </w:rPr>
              <w:t>Response Time</w:t>
            </w:r>
          </w:p>
        </w:tc>
        <w:tc>
          <w:tcPr>
            <w:tcW w:w="1140" w:type="dxa"/>
            <w:hideMark/>
          </w:tcPr>
          <w:p w:rsidR="00317BF9" w:rsidRPr="003E5836" w14:paraId="2F284B0C" w14:textId="77777777">
            <w:pPr>
              <w:keepNext/>
              <w:rPr>
                <w:b w:val="0"/>
                <w:bCs w:val="0"/>
                <w:color w:val="000000" w:themeColor="text1"/>
                <w:sz w:val="20"/>
              </w:rPr>
            </w:pPr>
            <w:r w:rsidRPr="3F60A196">
              <w:rPr>
                <w:color w:val="000000" w:themeColor="text1"/>
                <w:sz w:val="20"/>
              </w:rPr>
              <w:t>Burden Hours</w:t>
            </w:r>
          </w:p>
        </w:tc>
        <w:tc>
          <w:tcPr>
            <w:tcW w:w="1196" w:type="dxa"/>
            <w:hideMark/>
          </w:tcPr>
          <w:p w:rsidR="00317BF9" w:rsidRPr="003E5836" w14:paraId="37D3E14E" w14:textId="77777777">
            <w:pPr>
              <w:keepNext/>
              <w:rPr>
                <w:b w:val="0"/>
                <w:bCs w:val="0"/>
                <w:color w:val="000000" w:themeColor="text1"/>
                <w:sz w:val="20"/>
              </w:rPr>
            </w:pPr>
            <w:r w:rsidRPr="3F60A196">
              <w:rPr>
                <w:color w:val="000000" w:themeColor="text1"/>
                <w:sz w:val="20"/>
              </w:rPr>
              <w:t>Cost per Burden Hour</w:t>
            </w:r>
            <w:r>
              <w:rPr>
                <w:rStyle w:val="FootnoteReference"/>
                <w:color w:val="000000" w:themeColor="text1"/>
                <w:sz w:val="20"/>
              </w:rPr>
              <w:footnoteReference w:id="6"/>
            </w:r>
          </w:p>
        </w:tc>
        <w:tc>
          <w:tcPr>
            <w:tcW w:w="1329" w:type="dxa"/>
            <w:hideMark/>
          </w:tcPr>
          <w:p w:rsidR="00317BF9" w:rsidRPr="003E5836" w14:paraId="56772DEC" w14:textId="77777777">
            <w:pPr>
              <w:keepNext/>
              <w:rPr>
                <w:b w:val="0"/>
                <w:bCs w:val="0"/>
                <w:color w:val="000000" w:themeColor="text1"/>
                <w:sz w:val="20"/>
              </w:rPr>
            </w:pPr>
            <w:r w:rsidRPr="3F60A196">
              <w:rPr>
                <w:color w:val="000000" w:themeColor="text1"/>
                <w:sz w:val="20"/>
              </w:rPr>
              <w:t>Total Cost of Burden</w:t>
            </w:r>
          </w:p>
        </w:tc>
      </w:tr>
      <w:tr w14:paraId="24BE3326" w14:textId="77777777" w:rsidTr="00317BF9">
        <w:tblPrEx>
          <w:tblW w:w="10394" w:type="dxa"/>
          <w:jc w:val="center"/>
          <w:tblLook w:val="04A0"/>
        </w:tblPrEx>
        <w:trPr>
          <w:trHeight w:val="229"/>
          <w:jc w:val="center"/>
        </w:trPr>
        <w:tc>
          <w:tcPr>
            <w:tcW w:w="10394" w:type="dxa"/>
            <w:gridSpan w:val="8"/>
            <w:noWrap/>
            <w:hideMark/>
          </w:tcPr>
          <w:p w:rsidR="00317BF9" w:rsidRPr="003E5836" w14:paraId="19E9430E" w14:textId="77777777">
            <w:pPr>
              <w:keepNext/>
              <w:rPr>
                <w:b/>
                <w:bCs/>
                <w:color w:val="000000" w:themeColor="text1"/>
                <w:u w:val="single"/>
              </w:rPr>
            </w:pPr>
            <w:r w:rsidRPr="3F60A196">
              <w:rPr>
                <w:b/>
                <w:bCs/>
                <w:color w:val="000000" w:themeColor="text1"/>
                <w:u w:val="single"/>
              </w:rPr>
              <w:t>Total</w:t>
            </w:r>
          </w:p>
        </w:tc>
      </w:tr>
      <w:tr w14:paraId="5FFCEC33" w14:textId="77777777" w:rsidTr="00317BF9">
        <w:tblPrEx>
          <w:tblW w:w="10394" w:type="dxa"/>
          <w:jc w:val="center"/>
          <w:tblLook w:val="04A0"/>
        </w:tblPrEx>
        <w:trPr>
          <w:trHeight w:val="302"/>
          <w:jc w:val="center"/>
        </w:trPr>
        <w:tc>
          <w:tcPr>
            <w:tcW w:w="1562" w:type="dxa"/>
            <w:hideMark/>
          </w:tcPr>
          <w:p w:rsidR="00317BF9" w:rsidRPr="003E5836" w14:paraId="2FBD0216" w14:textId="77777777">
            <w:pPr>
              <w:keepNext/>
              <w:rPr>
                <w:color w:val="000000" w:themeColor="text1"/>
              </w:rPr>
            </w:pPr>
            <w:r w:rsidRPr="3F60A196">
              <w:rPr>
                <w:color w:val="000000" w:themeColor="text1"/>
              </w:rPr>
              <w:t>Certificates</w:t>
            </w:r>
          </w:p>
        </w:tc>
        <w:tc>
          <w:tcPr>
            <w:tcW w:w="1483" w:type="dxa"/>
            <w:noWrap/>
          </w:tcPr>
          <w:p w:rsidR="00317BF9" w:rsidRPr="0014408F" w14:paraId="0105D233" w14:textId="77777777">
            <w:pPr>
              <w:keepNext/>
              <w:jc w:val="right"/>
              <w:rPr>
                <w:rFonts w:eastAsia="Arial"/>
                <w:color w:val="000000" w:themeColor="text1"/>
              </w:rPr>
            </w:pPr>
            <w:bookmarkStart w:id="0" w:name="_Hlk187754701"/>
            <w:r w:rsidRPr="0014408F">
              <w:rPr>
                <w:rFonts w:eastAsia="Arial"/>
                <w:color w:val="000000" w:themeColor="text1"/>
              </w:rPr>
              <w:t>49,364</w:t>
            </w:r>
            <w:bookmarkEnd w:id="0"/>
          </w:p>
        </w:tc>
        <w:tc>
          <w:tcPr>
            <w:tcW w:w="1228" w:type="dxa"/>
            <w:noWrap/>
          </w:tcPr>
          <w:p w:rsidR="00317BF9" w:rsidRPr="0014408F" w14:paraId="575D9796" w14:textId="77777777">
            <w:pPr>
              <w:keepNext/>
              <w:jc w:val="right"/>
              <w:rPr>
                <w:rFonts w:eastAsia="Arial"/>
                <w:color w:val="000000" w:themeColor="text1"/>
              </w:rPr>
            </w:pPr>
            <w:r w:rsidRPr="0014408F">
              <w:rPr>
                <w:rFonts w:eastAsia="Arial"/>
                <w:color w:val="000000" w:themeColor="text1"/>
              </w:rPr>
              <w:t>27.0</w:t>
            </w:r>
          </w:p>
        </w:tc>
        <w:tc>
          <w:tcPr>
            <w:tcW w:w="1284" w:type="dxa"/>
            <w:noWrap/>
          </w:tcPr>
          <w:p w:rsidR="00317BF9" w:rsidRPr="0014408F" w14:paraId="3C8D4403" w14:textId="77777777">
            <w:pPr>
              <w:keepNext/>
              <w:jc w:val="right"/>
              <w:rPr>
                <w:rFonts w:eastAsia="Arial"/>
                <w:color w:val="000000" w:themeColor="text1"/>
              </w:rPr>
            </w:pPr>
            <w:r w:rsidRPr="0014408F">
              <w:rPr>
                <w:rFonts w:eastAsia="Arial"/>
                <w:color w:val="000000" w:themeColor="text1"/>
              </w:rPr>
              <w:t>1,333,982</w:t>
            </w:r>
          </w:p>
        </w:tc>
        <w:tc>
          <w:tcPr>
            <w:tcW w:w="1172" w:type="dxa"/>
            <w:noWrap/>
          </w:tcPr>
          <w:p w:rsidR="00317BF9" w:rsidRPr="0014408F" w14:paraId="12770953" w14:textId="77777777">
            <w:pPr>
              <w:keepNext/>
              <w:jc w:val="right"/>
              <w:rPr>
                <w:rFonts w:eastAsia="Arial"/>
                <w:color w:val="000000" w:themeColor="text1"/>
              </w:rPr>
            </w:pPr>
            <w:r w:rsidRPr="0014408F">
              <w:rPr>
                <w:rFonts w:eastAsia="Arial"/>
                <w:color w:val="000000" w:themeColor="text1"/>
              </w:rPr>
              <w:t>0.0833</w:t>
            </w:r>
          </w:p>
        </w:tc>
        <w:tc>
          <w:tcPr>
            <w:tcW w:w="1140" w:type="dxa"/>
            <w:noWrap/>
          </w:tcPr>
          <w:p w:rsidR="00317BF9" w:rsidRPr="0014408F" w14:paraId="7BAD6DA5" w14:textId="77777777">
            <w:pPr>
              <w:keepNext/>
              <w:jc w:val="right"/>
              <w:rPr>
                <w:rFonts w:eastAsia="Arial"/>
                <w:color w:val="000000" w:themeColor="text1"/>
              </w:rPr>
            </w:pPr>
            <w:r w:rsidRPr="0014408F">
              <w:rPr>
                <w:rFonts w:eastAsia="Arial"/>
                <w:color w:val="000000" w:themeColor="text1"/>
              </w:rPr>
              <w:t>111,165</w:t>
            </w:r>
          </w:p>
        </w:tc>
        <w:tc>
          <w:tcPr>
            <w:tcW w:w="1196" w:type="dxa"/>
            <w:noWrap/>
          </w:tcPr>
          <w:p w:rsidR="00317BF9" w:rsidRPr="0014408F" w14:paraId="4754517F" w14:textId="77777777">
            <w:pPr>
              <w:keepNext/>
              <w:jc w:val="right"/>
              <w:rPr>
                <w:rFonts w:eastAsia="Arial"/>
                <w:color w:val="000000" w:themeColor="text1"/>
              </w:rPr>
            </w:pPr>
            <w:r w:rsidRPr="0014408F">
              <w:rPr>
                <w:rFonts w:eastAsia="Arial"/>
                <w:color w:val="000000" w:themeColor="text1"/>
              </w:rPr>
              <w:t>$73.02</w:t>
            </w:r>
          </w:p>
        </w:tc>
        <w:tc>
          <w:tcPr>
            <w:tcW w:w="1329" w:type="dxa"/>
            <w:noWrap/>
          </w:tcPr>
          <w:p w:rsidR="00317BF9" w:rsidRPr="0014408F" w14:paraId="08C74709" w14:textId="77777777">
            <w:pPr>
              <w:keepNext/>
              <w:jc w:val="right"/>
              <w:rPr>
                <w:rFonts w:eastAsia="Arial"/>
                <w:color w:val="000000" w:themeColor="text1"/>
              </w:rPr>
            </w:pPr>
            <w:r w:rsidRPr="0014408F">
              <w:rPr>
                <w:rFonts w:eastAsia="Arial"/>
                <w:color w:val="000000" w:themeColor="text1"/>
              </w:rPr>
              <w:t>$8,117,279</w:t>
            </w:r>
          </w:p>
        </w:tc>
      </w:tr>
      <w:tr w14:paraId="058722BA" w14:textId="77777777" w:rsidTr="00317BF9">
        <w:tblPrEx>
          <w:tblW w:w="10394" w:type="dxa"/>
          <w:jc w:val="center"/>
          <w:tblLook w:val="04A0"/>
        </w:tblPrEx>
        <w:trPr>
          <w:trHeight w:val="302"/>
          <w:jc w:val="center"/>
        </w:trPr>
        <w:tc>
          <w:tcPr>
            <w:tcW w:w="1562" w:type="dxa"/>
            <w:hideMark/>
          </w:tcPr>
          <w:p w:rsidR="00317BF9" w:rsidRPr="003E5836" w14:paraId="04FE48C2" w14:textId="77777777">
            <w:pPr>
              <w:keepNext/>
              <w:rPr>
                <w:color w:val="000000" w:themeColor="text1"/>
              </w:rPr>
            </w:pPr>
            <w:r w:rsidRPr="3F60A196">
              <w:rPr>
                <w:color w:val="000000" w:themeColor="text1"/>
              </w:rPr>
              <w:t>Disclosure</w:t>
            </w:r>
          </w:p>
        </w:tc>
        <w:tc>
          <w:tcPr>
            <w:tcW w:w="1483" w:type="dxa"/>
            <w:noWrap/>
          </w:tcPr>
          <w:p w:rsidR="00317BF9" w:rsidRPr="0014408F" w14:paraId="2A39E0FE" w14:textId="77777777">
            <w:pPr>
              <w:keepNext/>
              <w:jc w:val="right"/>
              <w:rPr>
                <w:rFonts w:eastAsia="Arial"/>
                <w:color w:val="000000" w:themeColor="text1"/>
              </w:rPr>
            </w:pPr>
            <w:r w:rsidRPr="0014408F">
              <w:rPr>
                <w:rFonts w:eastAsia="Arial"/>
                <w:color w:val="000000" w:themeColor="text1"/>
              </w:rPr>
              <w:t>49,364</w:t>
            </w:r>
          </w:p>
        </w:tc>
        <w:tc>
          <w:tcPr>
            <w:tcW w:w="1228" w:type="dxa"/>
            <w:noWrap/>
          </w:tcPr>
          <w:p w:rsidR="00317BF9" w:rsidRPr="0014408F" w14:paraId="097931B1" w14:textId="77777777">
            <w:pPr>
              <w:keepNext/>
              <w:jc w:val="right"/>
              <w:rPr>
                <w:rFonts w:eastAsia="Arial"/>
                <w:color w:val="000000" w:themeColor="text1"/>
              </w:rPr>
            </w:pPr>
            <w:r w:rsidRPr="0014408F">
              <w:rPr>
                <w:rFonts w:eastAsia="Arial"/>
                <w:color w:val="000000" w:themeColor="text1"/>
              </w:rPr>
              <w:t>27.0</w:t>
            </w:r>
          </w:p>
        </w:tc>
        <w:tc>
          <w:tcPr>
            <w:tcW w:w="1284" w:type="dxa"/>
            <w:noWrap/>
          </w:tcPr>
          <w:p w:rsidR="00317BF9" w:rsidRPr="0014408F" w14:paraId="0973F65F" w14:textId="77777777">
            <w:pPr>
              <w:keepNext/>
              <w:jc w:val="right"/>
              <w:rPr>
                <w:rFonts w:eastAsia="Arial"/>
                <w:color w:val="000000" w:themeColor="text1"/>
              </w:rPr>
            </w:pPr>
            <w:r w:rsidRPr="0014408F">
              <w:rPr>
                <w:rFonts w:eastAsia="Arial"/>
                <w:color w:val="000000" w:themeColor="text1"/>
              </w:rPr>
              <w:t>1,333,982</w:t>
            </w:r>
          </w:p>
        </w:tc>
        <w:tc>
          <w:tcPr>
            <w:tcW w:w="1172" w:type="dxa"/>
            <w:noWrap/>
          </w:tcPr>
          <w:p w:rsidR="00317BF9" w:rsidRPr="0014408F" w14:paraId="40BF4E4A" w14:textId="77777777">
            <w:pPr>
              <w:keepNext/>
              <w:jc w:val="right"/>
              <w:rPr>
                <w:rFonts w:eastAsia="Arial"/>
                <w:color w:val="000000" w:themeColor="text1"/>
              </w:rPr>
            </w:pPr>
            <w:r w:rsidRPr="0014408F">
              <w:rPr>
                <w:rFonts w:eastAsia="Arial"/>
                <w:color w:val="000000" w:themeColor="text1"/>
              </w:rPr>
              <w:t>0.2500</w:t>
            </w:r>
          </w:p>
        </w:tc>
        <w:tc>
          <w:tcPr>
            <w:tcW w:w="1140" w:type="dxa"/>
            <w:noWrap/>
          </w:tcPr>
          <w:p w:rsidR="00317BF9" w:rsidRPr="0014408F" w14:paraId="062B3412" w14:textId="77777777">
            <w:pPr>
              <w:keepNext/>
              <w:jc w:val="right"/>
              <w:rPr>
                <w:rFonts w:eastAsia="Arial"/>
                <w:color w:val="000000" w:themeColor="text1"/>
              </w:rPr>
            </w:pPr>
            <w:r w:rsidRPr="0014408F">
              <w:rPr>
                <w:rFonts w:eastAsia="Arial"/>
                <w:color w:val="000000" w:themeColor="text1"/>
              </w:rPr>
              <w:t>333,495</w:t>
            </w:r>
          </w:p>
        </w:tc>
        <w:tc>
          <w:tcPr>
            <w:tcW w:w="1196" w:type="dxa"/>
            <w:noWrap/>
          </w:tcPr>
          <w:p w:rsidR="00317BF9" w:rsidRPr="0014408F" w14:paraId="42793915" w14:textId="77777777">
            <w:pPr>
              <w:keepNext/>
              <w:jc w:val="right"/>
              <w:rPr>
                <w:rFonts w:eastAsia="Arial"/>
                <w:color w:val="000000" w:themeColor="text1"/>
              </w:rPr>
            </w:pPr>
            <w:r w:rsidRPr="0014408F">
              <w:rPr>
                <w:rFonts w:eastAsia="Arial"/>
                <w:color w:val="000000" w:themeColor="text1"/>
              </w:rPr>
              <w:t>$35.56</w:t>
            </w:r>
          </w:p>
        </w:tc>
        <w:tc>
          <w:tcPr>
            <w:tcW w:w="1329" w:type="dxa"/>
            <w:noWrap/>
          </w:tcPr>
          <w:p w:rsidR="00317BF9" w:rsidRPr="0014408F" w14:paraId="3F8FAA5A" w14:textId="77777777">
            <w:pPr>
              <w:keepNext/>
              <w:jc w:val="right"/>
              <w:rPr>
                <w:rFonts w:eastAsia="Arial"/>
                <w:color w:val="000000" w:themeColor="text1"/>
              </w:rPr>
            </w:pPr>
            <w:r w:rsidRPr="0014408F">
              <w:rPr>
                <w:rFonts w:eastAsia="Arial"/>
                <w:color w:val="000000" w:themeColor="text1"/>
              </w:rPr>
              <w:t>$11,859,097</w:t>
            </w:r>
          </w:p>
        </w:tc>
      </w:tr>
      <w:tr w14:paraId="1A0E483B" w14:textId="77777777" w:rsidTr="00317BF9">
        <w:tblPrEx>
          <w:tblW w:w="10394" w:type="dxa"/>
          <w:jc w:val="center"/>
          <w:tblLook w:val="04A0"/>
        </w:tblPrEx>
        <w:trPr>
          <w:trHeight w:val="302"/>
          <w:jc w:val="center"/>
        </w:trPr>
        <w:tc>
          <w:tcPr>
            <w:tcW w:w="1562" w:type="dxa"/>
            <w:hideMark/>
          </w:tcPr>
          <w:p w:rsidR="00317BF9" w:rsidRPr="003E5836" w14:paraId="2C4BFFDB" w14:textId="77777777">
            <w:pPr>
              <w:keepNext/>
              <w:rPr>
                <w:color w:val="000000" w:themeColor="text1"/>
              </w:rPr>
            </w:pPr>
            <w:r w:rsidRPr="3F60A196">
              <w:rPr>
                <w:color w:val="000000" w:themeColor="text1"/>
              </w:rPr>
              <w:t>Recordkeeping</w:t>
            </w:r>
          </w:p>
        </w:tc>
        <w:tc>
          <w:tcPr>
            <w:tcW w:w="1483" w:type="dxa"/>
            <w:noWrap/>
          </w:tcPr>
          <w:p w:rsidR="00317BF9" w:rsidRPr="0014408F" w14:paraId="7AA33691" w14:textId="77777777">
            <w:pPr>
              <w:keepNext/>
              <w:jc w:val="right"/>
              <w:rPr>
                <w:rFonts w:eastAsia="Arial"/>
                <w:color w:val="000000" w:themeColor="text1"/>
              </w:rPr>
            </w:pPr>
            <w:r w:rsidRPr="0014408F">
              <w:rPr>
                <w:rFonts w:eastAsia="Arial"/>
                <w:color w:val="000000" w:themeColor="text1"/>
              </w:rPr>
              <w:t>49,364</w:t>
            </w:r>
          </w:p>
        </w:tc>
        <w:tc>
          <w:tcPr>
            <w:tcW w:w="1228" w:type="dxa"/>
            <w:noWrap/>
          </w:tcPr>
          <w:p w:rsidR="00317BF9" w:rsidRPr="0014408F" w14:paraId="627159DA" w14:textId="77777777">
            <w:pPr>
              <w:keepNext/>
              <w:jc w:val="right"/>
              <w:rPr>
                <w:rFonts w:eastAsia="Arial"/>
                <w:color w:val="000000" w:themeColor="text1"/>
              </w:rPr>
            </w:pPr>
            <w:r w:rsidRPr="0014408F">
              <w:rPr>
                <w:rFonts w:eastAsia="Arial"/>
                <w:color w:val="000000" w:themeColor="text1"/>
              </w:rPr>
              <w:t>27.0</w:t>
            </w:r>
          </w:p>
        </w:tc>
        <w:tc>
          <w:tcPr>
            <w:tcW w:w="1284" w:type="dxa"/>
            <w:noWrap/>
          </w:tcPr>
          <w:p w:rsidR="00317BF9" w:rsidRPr="0014408F" w14:paraId="3190DFBB" w14:textId="77777777">
            <w:pPr>
              <w:keepNext/>
              <w:jc w:val="right"/>
              <w:rPr>
                <w:rFonts w:eastAsia="Arial"/>
                <w:color w:val="000000" w:themeColor="text1"/>
              </w:rPr>
            </w:pPr>
            <w:r w:rsidRPr="0014408F">
              <w:rPr>
                <w:rFonts w:eastAsia="Arial"/>
                <w:color w:val="000000" w:themeColor="text1"/>
              </w:rPr>
              <w:t>1,333,982</w:t>
            </w:r>
          </w:p>
        </w:tc>
        <w:tc>
          <w:tcPr>
            <w:tcW w:w="1172" w:type="dxa"/>
            <w:noWrap/>
          </w:tcPr>
          <w:p w:rsidR="00317BF9" w:rsidRPr="0014408F" w14:paraId="1DE3D31D" w14:textId="77777777">
            <w:pPr>
              <w:keepNext/>
              <w:jc w:val="right"/>
              <w:rPr>
                <w:rFonts w:eastAsia="Arial"/>
                <w:color w:val="000000" w:themeColor="text1"/>
              </w:rPr>
            </w:pPr>
            <w:r w:rsidRPr="0014408F">
              <w:rPr>
                <w:rFonts w:eastAsia="Arial"/>
                <w:color w:val="000000" w:themeColor="text1"/>
              </w:rPr>
              <w:t>0.0208</w:t>
            </w:r>
          </w:p>
        </w:tc>
        <w:tc>
          <w:tcPr>
            <w:tcW w:w="1140" w:type="dxa"/>
            <w:noWrap/>
          </w:tcPr>
          <w:p w:rsidR="00317BF9" w:rsidRPr="0014408F" w14:paraId="4826D2A1" w14:textId="77777777">
            <w:pPr>
              <w:keepNext/>
              <w:jc w:val="right"/>
              <w:rPr>
                <w:rFonts w:eastAsia="Arial"/>
                <w:color w:val="000000" w:themeColor="text1"/>
              </w:rPr>
            </w:pPr>
            <w:r w:rsidRPr="0014408F">
              <w:rPr>
                <w:rFonts w:eastAsia="Arial"/>
                <w:color w:val="000000" w:themeColor="text1"/>
              </w:rPr>
              <w:t>27,791</w:t>
            </w:r>
          </w:p>
        </w:tc>
        <w:tc>
          <w:tcPr>
            <w:tcW w:w="1196" w:type="dxa"/>
            <w:noWrap/>
          </w:tcPr>
          <w:p w:rsidR="00317BF9" w:rsidRPr="0014408F" w14:paraId="146B5530" w14:textId="77777777">
            <w:pPr>
              <w:keepNext/>
              <w:jc w:val="right"/>
              <w:rPr>
                <w:rFonts w:eastAsia="Arial"/>
                <w:color w:val="000000" w:themeColor="text1"/>
              </w:rPr>
            </w:pPr>
            <w:r w:rsidRPr="0014408F">
              <w:rPr>
                <w:rFonts w:eastAsia="Arial"/>
                <w:color w:val="000000" w:themeColor="text1"/>
              </w:rPr>
              <w:t>$35.56</w:t>
            </w:r>
          </w:p>
        </w:tc>
        <w:tc>
          <w:tcPr>
            <w:tcW w:w="1329" w:type="dxa"/>
            <w:noWrap/>
          </w:tcPr>
          <w:p w:rsidR="00317BF9" w:rsidRPr="0014408F" w14:paraId="74AFDF16" w14:textId="77777777">
            <w:pPr>
              <w:keepNext/>
              <w:jc w:val="right"/>
              <w:rPr>
                <w:rFonts w:eastAsia="Arial"/>
                <w:color w:val="000000" w:themeColor="text1"/>
              </w:rPr>
            </w:pPr>
            <w:r w:rsidRPr="0014408F">
              <w:rPr>
                <w:rFonts w:eastAsia="Arial"/>
                <w:color w:val="000000" w:themeColor="text1"/>
              </w:rPr>
              <w:t>$988,258</w:t>
            </w:r>
          </w:p>
        </w:tc>
      </w:tr>
      <w:tr w14:paraId="01F383AE" w14:textId="77777777" w:rsidTr="00317BF9">
        <w:tblPrEx>
          <w:tblW w:w="10394" w:type="dxa"/>
          <w:jc w:val="center"/>
          <w:tblLook w:val="04A0"/>
        </w:tblPrEx>
        <w:trPr>
          <w:trHeight w:val="302"/>
          <w:jc w:val="center"/>
        </w:trPr>
        <w:tc>
          <w:tcPr>
            <w:tcW w:w="1562" w:type="dxa"/>
            <w:hideMark/>
          </w:tcPr>
          <w:p w:rsidR="00317BF9" w:rsidRPr="003E5836" w14:paraId="30F5AF04" w14:textId="77777777">
            <w:pPr>
              <w:keepNext/>
              <w:rPr>
                <w:color w:val="000000" w:themeColor="text1"/>
              </w:rPr>
            </w:pPr>
            <w:r w:rsidRPr="3F60A196">
              <w:rPr>
                <w:color w:val="000000" w:themeColor="text1"/>
              </w:rPr>
              <w:t>eFiling</w:t>
            </w:r>
          </w:p>
        </w:tc>
        <w:tc>
          <w:tcPr>
            <w:tcW w:w="1483" w:type="dxa"/>
            <w:noWrap/>
          </w:tcPr>
          <w:p w:rsidR="00317BF9" w:rsidRPr="00CC12C0" w14:paraId="5C47ED0A" w14:textId="77777777">
            <w:pPr>
              <w:jc w:val="right"/>
              <w:rPr>
                <w:rFonts w:eastAsia="Arial"/>
                <w:color w:val="000000" w:themeColor="text1"/>
              </w:rPr>
            </w:pPr>
            <w:r w:rsidRPr="00094CDF">
              <w:rPr>
                <w:rFonts w:eastAsia="Arial"/>
                <w:color w:val="000000" w:themeColor="text1"/>
              </w:rPr>
              <w:t>40,665</w:t>
            </w:r>
          </w:p>
        </w:tc>
        <w:tc>
          <w:tcPr>
            <w:tcW w:w="1228" w:type="dxa"/>
            <w:noWrap/>
          </w:tcPr>
          <w:p w:rsidR="00317BF9" w:rsidRPr="00CC12C0" w14:paraId="4E5D8880" w14:textId="77777777">
            <w:pPr>
              <w:jc w:val="right"/>
              <w:rPr>
                <w:rFonts w:eastAsia="Arial"/>
                <w:color w:val="000000" w:themeColor="text1"/>
              </w:rPr>
            </w:pPr>
            <w:r w:rsidRPr="00094CDF">
              <w:rPr>
                <w:rFonts w:eastAsia="Arial"/>
                <w:color w:val="000000" w:themeColor="text1"/>
              </w:rPr>
              <w:t>577.7</w:t>
            </w:r>
          </w:p>
        </w:tc>
        <w:tc>
          <w:tcPr>
            <w:tcW w:w="1284" w:type="dxa"/>
            <w:noWrap/>
          </w:tcPr>
          <w:p w:rsidR="00317BF9" w:rsidRPr="00CC12C0" w14:paraId="754A779B" w14:textId="77777777">
            <w:pPr>
              <w:jc w:val="right"/>
              <w:rPr>
                <w:rFonts w:eastAsia="Arial"/>
                <w:color w:val="000000" w:themeColor="text1"/>
              </w:rPr>
            </w:pPr>
            <w:r w:rsidRPr="00094CDF">
              <w:rPr>
                <w:rFonts w:eastAsia="Arial"/>
                <w:color w:val="000000" w:themeColor="text1"/>
              </w:rPr>
              <w:t>23,491,168</w:t>
            </w:r>
          </w:p>
        </w:tc>
        <w:tc>
          <w:tcPr>
            <w:tcW w:w="1172" w:type="dxa"/>
            <w:noWrap/>
          </w:tcPr>
          <w:p w:rsidR="00317BF9" w:rsidRPr="00CC12C0" w14:paraId="44DB5EBC" w14:textId="77777777">
            <w:pPr>
              <w:jc w:val="right"/>
              <w:rPr>
                <w:rFonts w:eastAsia="Arial"/>
                <w:color w:val="000000" w:themeColor="text1"/>
              </w:rPr>
            </w:pPr>
            <w:r w:rsidRPr="00094CDF">
              <w:rPr>
                <w:color w:val="000000" w:themeColor="text1"/>
              </w:rPr>
              <w:t>0.006</w:t>
            </w:r>
            <w:r w:rsidRPr="451CE528">
              <w:rPr>
                <w:color w:val="000000" w:themeColor="text1"/>
              </w:rPr>
              <w:t>2</w:t>
            </w:r>
          </w:p>
        </w:tc>
        <w:tc>
          <w:tcPr>
            <w:tcW w:w="1140" w:type="dxa"/>
            <w:noWrap/>
          </w:tcPr>
          <w:p w:rsidR="00317BF9" w:rsidRPr="00CC12C0" w14:paraId="2ECE1BA7" w14:textId="77777777">
            <w:pPr>
              <w:jc w:val="right"/>
              <w:rPr>
                <w:rFonts w:eastAsia="Arial"/>
                <w:color w:val="000000" w:themeColor="text1"/>
              </w:rPr>
            </w:pPr>
            <w:r w:rsidRPr="00094CDF">
              <w:rPr>
                <w:rFonts w:eastAsia="Arial"/>
                <w:color w:val="000000" w:themeColor="text1"/>
              </w:rPr>
              <w:t>144,487</w:t>
            </w:r>
          </w:p>
        </w:tc>
        <w:tc>
          <w:tcPr>
            <w:tcW w:w="1196" w:type="dxa"/>
            <w:noWrap/>
          </w:tcPr>
          <w:p w:rsidR="00317BF9" w:rsidRPr="00CC12C0" w14:paraId="3407A8D7" w14:textId="77777777">
            <w:pPr>
              <w:jc w:val="right"/>
              <w:rPr>
                <w:rFonts w:eastAsia="Arial"/>
                <w:color w:val="000000" w:themeColor="text1"/>
              </w:rPr>
            </w:pPr>
            <w:r w:rsidRPr="00094CDF">
              <w:rPr>
                <w:rFonts w:eastAsia="Arial"/>
                <w:color w:val="000000" w:themeColor="text1"/>
              </w:rPr>
              <w:t>$35.56</w:t>
            </w:r>
          </w:p>
        </w:tc>
        <w:tc>
          <w:tcPr>
            <w:tcW w:w="1329" w:type="dxa"/>
            <w:noWrap/>
          </w:tcPr>
          <w:p w:rsidR="00317BF9" w:rsidRPr="00CC12C0" w14:paraId="24E50B69" w14:textId="77777777">
            <w:pPr>
              <w:jc w:val="right"/>
              <w:rPr>
                <w:rFonts w:eastAsia="Arial"/>
                <w:color w:val="000000" w:themeColor="text1"/>
              </w:rPr>
            </w:pPr>
            <w:r w:rsidRPr="00094CDF">
              <w:rPr>
                <w:rFonts w:eastAsia="Arial"/>
                <w:color w:val="000000" w:themeColor="text1"/>
              </w:rPr>
              <w:t>$5,137,946</w:t>
            </w:r>
          </w:p>
        </w:tc>
      </w:tr>
      <w:tr w14:paraId="3F45B1AE" w14:textId="77777777" w:rsidTr="00317BF9">
        <w:tblPrEx>
          <w:tblW w:w="10394" w:type="dxa"/>
          <w:jc w:val="center"/>
          <w:tblLook w:val="04A0"/>
        </w:tblPrEx>
        <w:trPr>
          <w:trHeight w:val="302"/>
          <w:jc w:val="center"/>
        </w:trPr>
        <w:tc>
          <w:tcPr>
            <w:tcW w:w="1562" w:type="dxa"/>
            <w:noWrap/>
            <w:hideMark/>
          </w:tcPr>
          <w:p w:rsidR="00317BF9" w:rsidRPr="003E5836" w14:paraId="760F5717" w14:textId="77777777">
            <w:pPr>
              <w:keepNext/>
              <w:rPr>
                <w:color w:val="000000" w:themeColor="text1"/>
              </w:rPr>
            </w:pPr>
            <w:r w:rsidRPr="3F60A196">
              <w:rPr>
                <w:color w:val="000000" w:themeColor="text1"/>
              </w:rPr>
              <w:t>Total</w:t>
            </w:r>
          </w:p>
        </w:tc>
        <w:tc>
          <w:tcPr>
            <w:tcW w:w="1483" w:type="dxa"/>
            <w:noWrap/>
          </w:tcPr>
          <w:p w:rsidR="00317BF9" w:rsidRPr="00CC12C0" w14:paraId="458D05FE" w14:textId="77777777">
            <w:pPr>
              <w:jc w:val="right"/>
              <w:rPr>
                <w:rFonts w:eastAsia="Arial"/>
                <w:color w:val="000000" w:themeColor="text1"/>
              </w:rPr>
            </w:pPr>
            <w:r w:rsidRPr="00094CDF">
              <w:rPr>
                <w:rFonts w:eastAsia="Arial"/>
                <w:color w:val="000000" w:themeColor="text1"/>
              </w:rPr>
              <w:t>49,364</w:t>
            </w:r>
          </w:p>
        </w:tc>
        <w:tc>
          <w:tcPr>
            <w:tcW w:w="1228" w:type="dxa"/>
            <w:noWrap/>
          </w:tcPr>
          <w:p w:rsidR="00317BF9" w:rsidRPr="00CC12C0" w14:paraId="4E2BBCC3" w14:textId="77777777">
            <w:pPr>
              <w:jc w:val="right"/>
              <w:rPr>
                <w:rFonts w:eastAsia="Arial"/>
                <w:color w:val="000000" w:themeColor="text1"/>
              </w:rPr>
            </w:pPr>
            <w:r w:rsidRPr="00094CDF">
              <w:rPr>
                <w:rFonts w:eastAsia="Arial"/>
                <w:color w:val="000000" w:themeColor="text1"/>
              </w:rPr>
              <w:t>557.0</w:t>
            </w:r>
          </w:p>
        </w:tc>
        <w:tc>
          <w:tcPr>
            <w:tcW w:w="1284" w:type="dxa"/>
            <w:noWrap/>
          </w:tcPr>
          <w:p w:rsidR="00317BF9" w:rsidRPr="00CC12C0" w14:paraId="7EF5565C" w14:textId="77777777">
            <w:pPr>
              <w:jc w:val="right"/>
              <w:rPr>
                <w:rFonts w:eastAsia="Arial"/>
                <w:color w:val="000000" w:themeColor="text1"/>
              </w:rPr>
            </w:pPr>
            <w:r w:rsidRPr="00094CDF">
              <w:rPr>
                <w:rFonts w:eastAsia="Arial"/>
                <w:color w:val="000000" w:themeColor="text1"/>
              </w:rPr>
              <w:t>27,493,113</w:t>
            </w:r>
          </w:p>
        </w:tc>
        <w:tc>
          <w:tcPr>
            <w:tcW w:w="1172" w:type="dxa"/>
            <w:noWrap/>
          </w:tcPr>
          <w:p w:rsidR="00317BF9" w:rsidRPr="00CC12C0" w14:paraId="24FEF93D" w14:textId="77777777">
            <w:pPr>
              <w:jc w:val="right"/>
              <w:rPr>
                <w:rFonts w:eastAsia="Arial"/>
                <w:color w:val="000000" w:themeColor="text1"/>
              </w:rPr>
            </w:pPr>
            <w:r w:rsidRPr="00094CDF">
              <w:rPr>
                <w:rFonts w:eastAsia="Arial"/>
                <w:color w:val="000000" w:themeColor="text1"/>
              </w:rPr>
              <w:t>0.0224</w:t>
            </w:r>
          </w:p>
        </w:tc>
        <w:tc>
          <w:tcPr>
            <w:tcW w:w="1140" w:type="dxa"/>
            <w:noWrap/>
          </w:tcPr>
          <w:p w:rsidR="00317BF9" w:rsidRPr="00CC12C0" w14:paraId="64AC6FB3" w14:textId="77777777">
            <w:pPr>
              <w:jc w:val="right"/>
              <w:rPr>
                <w:rFonts w:eastAsia="Arial"/>
                <w:color w:val="000000" w:themeColor="text1"/>
              </w:rPr>
            </w:pPr>
            <w:r w:rsidRPr="00094CDF">
              <w:rPr>
                <w:rFonts w:eastAsia="Arial"/>
                <w:color w:val="000000" w:themeColor="text1"/>
              </w:rPr>
              <w:t>616,939</w:t>
            </w:r>
          </w:p>
        </w:tc>
        <w:tc>
          <w:tcPr>
            <w:tcW w:w="1196" w:type="dxa"/>
            <w:noWrap/>
          </w:tcPr>
          <w:p w:rsidR="00317BF9" w:rsidRPr="00CC12C0" w14:paraId="46461E5D" w14:textId="77777777">
            <w:pPr>
              <w:jc w:val="right"/>
              <w:rPr>
                <w:rFonts w:eastAsia="Arial"/>
                <w:color w:val="000000" w:themeColor="text1"/>
              </w:rPr>
            </w:pPr>
            <w:r w:rsidRPr="00094CDF">
              <w:rPr>
                <w:rFonts w:eastAsia="Arial"/>
                <w:color w:val="000000" w:themeColor="text1"/>
              </w:rPr>
              <w:t>$42.31</w:t>
            </w:r>
          </w:p>
        </w:tc>
        <w:tc>
          <w:tcPr>
            <w:tcW w:w="1329" w:type="dxa"/>
            <w:noWrap/>
          </w:tcPr>
          <w:p w:rsidR="00317BF9" w:rsidRPr="00CC12C0" w14:paraId="0B07A4B0" w14:textId="77777777">
            <w:pPr>
              <w:jc w:val="right"/>
              <w:rPr>
                <w:rFonts w:eastAsia="Arial"/>
                <w:color w:val="000000" w:themeColor="text1"/>
              </w:rPr>
            </w:pPr>
            <w:r w:rsidRPr="00094CDF">
              <w:rPr>
                <w:rFonts w:eastAsia="Arial"/>
                <w:color w:val="000000" w:themeColor="text1"/>
              </w:rPr>
              <w:t>$26,102,580</w:t>
            </w:r>
          </w:p>
        </w:tc>
      </w:tr>
      <w:tr w14:paraId="6DE2EC1E" w14:textId="77777777" w:rsidTr="00317BF9">
        <w:tblPrEx>
          <w:tblW w:w="10394" w:type="dxa"/>
          <w:jc w:val="center"/>
          <w:tblLook w:val="04A0"/>
        </w:tblPrEx>
        <w:trPr>
          <w:trHeight w:val="302"/>
          <w:jc w:val="center"/>
        </w:trPr>
        <w:tc>
          <w:tcPr>
            <w:tcW w:w="10394" w:type="dxa"/>
            <w:gridSpan w:val="8"/>
            <w:noWrap/>
            <w:hideMark/>
          </w:tcPr>
          <w:p w:rsidR="00317BF9" w:rsidRPr="003E5836" w14:paraId="6FBE2D76" w14:textId="77777777">
            <w:pPr>
              <w:keepNext/>
              <w:rPr>
                <w:b/>
                <w:bCs/>
                <w:color w:val="000000" w:themeColor="text1"/>
              </w:rPr>
            </w:pPr>
            <w:r w:rsidRPr="3F60A196">
              <w:rPr>
                <w:b/>
                <w:bCs/>
                <w:color w:val="000000" w:themeColor="text1"/>
              </w:rPr>
              <w:t>Additional Burden from the Rule</w:t>
            </w:r>
          </w:p>
        </w:tc>
      </w:tr>
      <w:tr w14:paraId="46A5705C" w14:textId="77777777" w:rsidTr="00317BF9">
        <w:tblPrEx>
          <w:tblW w:w="10394" w:type="dxa"/>
          <w:jc w:val="center"/>
          <w:tblLook w:val="04A0"/>
        </w:tblPrEx>
        <w:trPr>
          <w:trHeight w:val="302"/>
          <w:jc w:val="center"/>
        </w:trPr>
        <w:tc>
          <w:tcPr>
            <w:tcW w:w="1562" w:type="dxa"/>
            <w:hideMark/>
          </w:tcPr>
          <w:p w:rsidR="00317BF9" w:rsidRPr="003E5836" w14:paraId="35893C9A" w14:textId="77777777">
            <w:pPr>
              <w:keepNext/>
              <w:rPr>
                <w:color w:val="000000" w:themeColor="text1"/>
              </w:rPr>
            </w:pPr>
            <w:r w:rsidRPr="3F60A196">
              <w:rPr>
                <w:color w:val="000000" w:themeColor="text1"/>
              </w:rPr>
              <w:t>Total</w:t>
            </w:r>
          </w:p>
        </w:tc>
        <w:tc>
          <w:tcPr>
            <w:tcW w:w="1483" w:type="dxa"/>
            <w:noWrap/>
            <w:hideMark/>
          </w:tcPr>
          <w:p w:rsidR="00317BF9" w:rsidRPr="00CC12C0" w14:paraId="6CE6A39A" w14:textId="77777777">
            <w:pPr>
              <w:jc w:val="right"/>
              <w:rPr>
                <w:rFonts w:eastAsia="Arial"/>
                <w:color w:val="000000" w:themeColor="text1"/>
              </w:rPr>
            </w:pPr>
            <w:r w:rsidRPr="00094CDF">
              <w:rPr>
                <w:rFonts w:eastAsia="Arial"/>
                <w:color w:val="000000" w:themeColor="text1"/>
              </w:rPr>
              <w:t>49,364</w:t>
            </w:r>
          </w:p>
        </w:tc>
        <w:tc>
          <w:tcPr>
            <w:tcW w:w="1228" w:type="dxa"/>
            <w:noWrap/>
            <w:hideMark/>
          </w:tcPr>
          <w:p w:rsidR="00317BF9" w:rsidRPr="00CC12C0" w14:paraId="671F4BF8" w14:textId="77777777">
            <w:pPr>
              <w:jc w:val="right"/>
              <w:rPr>
                <w:rFonts w:eastAsia="Arial"/>
                <w:color w:val="000000" w:themeColor="text1"/>
              </w:rPr>
            </w:pPr>
            <w:r w:rsidRPr="00094CDF">
              <w:rPr>
                <w:rFonts w:eastAsia="Arial"/>
                <w:color w:val="000000" w:themeColor="text1"/>
              </w:rPr>
              <w:t>475.9</w:t>
            </w:r>
          </w:p>
        </w:tc>
        <w:tc>
          <w:tcPr>
            <w:tcW w:w="1284" w:type="dxa"/>
            <w:noWrap/>
            <w:hideMark/>
          </w:tcPr>
          <w:p w:rsidR="00317BF9" w:rsidRPr="00CC12C0" w14:paraId="36B26134" w14:textId="77777777">
            <w:pPr>
              <w:jc w:val="right"/>
              <w:rPr>
                <w:rFonts w:eastAsia="Arial"/>
                <w:color w:val="000000" w:themeColor="text1"/>
              </w:rPr>
            </w:pPr>
            <w:r w:rsidRPr="00094CDF">
              <w:rPr>
                <w:rFonts w:eastAsia="Arial"/>
                <w:color w:val="000000" w:themeColor="text1"/>
              </w:rPr>
              <w:t>23,491,168</w:t>
            </w:r>
          </w:p>
        </w:tc>
        <w:tc>
          <w:tcPr>
            <w:tcW w:w="1172" w:type="dxa"/>
            <w:noWrap/>
            <w:hideMark/>
          </w:tcPr>
          <w:p w:rsidR="00317BF9" w:rsidRPr="00CC12C0" w14:paraId="7447E83F" w14:textId="77777777">
            <w:pPr>
              <w:jc w:val="right"/>
              <w:rPr>
                <w:rFonts w:eastAsia="Arial"/>
                <w:color w:val="000000" w:themeColor="text1"/>
              </w:rPr>
            </w:pPr>
            <w:r w:rsidRPr="00094CDF">
              <w:rPr>
                <w:rFonts w:eastAsia="Arial"/>
                <w:color w:val="000000" w:themeColor="text1"/>
              </w:rPr>
              <w:t>0.006245</w:t>
            </w:r>
          </w:p>
        </w:tc>
        <w:tc>
          <w:tcPr>
            <w:tcW w:w="1140" w:type="dxa"/>
            <w:noWrap/>
            <w:hideMark/>
          </w:tcPr>
          <w:p w:rsidR="00317BF9" w:rsidRPr="00CC12C0" w14:paraId="05A5A95C" w14:textId="77777777">
            <w:pPr>
              <w:jc w:val="right"/>
              <w:rPr>
                <w:rFonts w:eastAsia="Arial"/>
                <w:color w:val="000000" w:themeColor="text1"/>
              </w:rPr>
            </w:pPr>
            <w:r w:rsidRPr="00094CDF">
              <w:rPr>
                <w:rFonts w:eastAsia="Arial"/>
                <w:color w:val="000000" w:themeColor="text1"/>
              </w:rPr>
              <w:t>146,710</w:t>
            </w:r>
          </w:p>
        </w:tc>
        <w:tc>
          <w:tcPr>
            <w:tcW w:w="1196" w:type="dxa"/>
            <w:noWrap/>
            <w:hideMark/>
          </w:tcPr>
          <w:p w:rsidR="00317BF9" w:rsidRPr="00CC12C0" w14:paraId="3F5ED443" w14:textId="77777777">
            <w:pPr>
              <w:jc w:val="right"/>
              <w:rPr>
                <w:rFonts w:eastAsia="Arial"/>
                <w:color w:val="000000" w:themeColor="text1"/>
              </w:rPr>
            </w:pPr>
            <w:r w:rsidRPr="00094CDF">
              <w:rPr>
                <w:rFonts w:eastAsia="Arial"/>
                <w:color w:val="000000" w:themeColor="text1"/>
              </w:rPr>
              <w:t>$35.56</w:t>
            </w:r>
          </w:p>
        </w:tc>
        <w:tc>
          <w:tcPr>
            <w:tcW w:w="1329" w:type="dxa"/>
            <w:noWrap/>
            <w:hideMark/>
          </w:tcPr>
          <w:p w:rsidR="00317BF9" w:rsidRPr="00CC12C0" w14:paraId="3401DDC4" w14:textId="77777777">
            <w:pPr>
              <w:jc w:val="right"/>
              <w:rPr>
                <w:rFonts w:eastAsia="Arial"/>
                <w:color w:val="000000" w:themeColor="text1"/>
              </w:rPr>
            </w:pPr>
            <w:r w:rsidRPr="00094CDF">
              <w:rPr>
                <w:rFonts w:eastAsia="Arial"/>
                <w:color w:val="000000" w:themeColor="text1"/>
              </w:rPr>
              <w:t>$5,217,007</w:t>
            </w:r>
          </w:p>
        </w:tc>
      </w:tr>
      <w:tr w14:paraId="13152851" w14:textId="77777777" w:rsidTr="00317BF9">
        <w:tblPrEx>
          <w:tblW w:w="10394" w:type="dxa"/>
          <w:jc w:val="center"/>
          <w:tblLook w:val="04A0"/>
        </w:tblPrEx>
        <w:trPr>
          <w:trHeight w:val="302"/>
          <w:jc w:val="center"/>
        </w:trPr>
        <w:tc>
          <w:tcPr>
            <w:tcW w:w="10394" w:type="dxa"/>
            <w:gridSpan w:val="8"/>
            <w:noWrap/>
            <w:hideMark/>
          </w:tcPr>
          <w:p w:rsidR="00317BF9" w:rsidRPr="003E5836" w14:paraId="53D45030" w14:textId="77777777">
            <w:pPr>
              <w:keepNext/>
              <w:rPr>
                <w:b/>
                <w:bCs/>
                <w:color w:val="000000" w:themeColor="text1"/>
                <w:u w:val="single"/>
              </w:rPr>
            </w:pPr>
            <w:r w:rsidRPr="3F60A196">
              <w:rPr>
                <w:b/>
                <w:bCs/>
                <w:color w:val="000000" w:themeColor="text1"/>
                <w:u w:val="single"/>
              </w:rPr>
              <w:t>Manufacturers</w:t>
            </w:r>
          </w:p>
        </w:tc>
      </w:tr>
      <w:tr w14:paraId="5750C924" w14:textId="77777777" w:rsidTr="00317BF9">
        <w:tblPrEx>
          <w:tblW w:w="10394" w:type="dxa"/>
          <w:jc w:val="center"/>
          <w:tblLook w:val="04A0"/>
        </w:tblPrEx>
        <w:trPr>
          <w:trHeight w:val="302"/>
          <w:jc w:val="center"/>
        </w:trPr>
        <w:tc>
          <w:tcPr>
            <w:tcW w:w="1562" w:type="dxa"/>
            <w:hideMark/>
          </w:tcPr>
          <w:p w:rsidR="00317BF9" w:rsidRPr="003E5836" w14:paraId="2DB86DF7" w14:textId="77777777">
            <w:pPr>
              <w:keepNext/>
              <w:rPr>
                <w:color w:val="000000" w:themeColor="text1"/>
              </w:rPr>
            </w:pPr>
            <w:r w:rsidRPr="3F60A196">
              <w:rPr>
                <w:color w:val="000000" w:themeColor="text1"/>
              </w:rPr>
              <w:t>Certificates</w:t>
            </w:r>
          </w:p>
        </w:tc>
        <w:tc>
          <w:tcPr>
            <w:tcW w:w="1483" w:type="dxa"/>
            <w:noWrap/>
            <w:hideMark/>
          </w:tcPr>
          <w:p w:rsidR="00317BF9" w:rsidRPr="0014408F" w14:paraId="175F5B99" w14:textId="77777777">
            <w:pPr>
              <w:keepNext/>
              <w:jc w:val="right"/>
              <w:rPr>
                <w:rFonts w:eastAsia="Arial"/>
                <w:color w:val="000000" w:themeColor="text1"/>
              </w:rPr>
            </w:pPr>
            <w:r w:rsidRPr="0014408F">
              <w:rPr>
                <w:rFonts w:eastAsia="Arial"/>
                <w:color w:val="000000" w:themeColor="text1"/>
              </w:rPr>
              <w:t>8,699</w:t>
            </w:r>
          </w:p>
        </w:tc>
        <w:tc>
          <w:tcPr>
            <w:tcW w:w="1228" w:type="dxa"/>
            <w:noWrap/>
            <w:hideMark/>
          </w:tcPr>
          <w:p w:rsidR="00317BF9" w:rsidRPr="0014408F" w14:paraId="4049BF45" w14:textId="77777777">
            <w:pPr>
              <w:keepNext/>
              <w:jc w:val="right"/>
              <w:rPr>
                <w:rFonts w:eastAsia="Arial"/>
                <w:color w:val="000000" w:themeColor="text1"/>
              </w:rPr>
            </w:pPr>
            <w:r w:rsidRPr="0014408F">
              <w:rPr>
                <w:rFonts w:eastAsia="Arial"/>
                <w:color w:val="000000" w:themeColor="text1"/>
              </w:rPr>
              <w:t>44.2</w:t>
            </w:r>
          </w:p>
        </w:tc>
        <w:tc>
          <w:tcPr>
            <w:tcW w:w="1284" w:type="dxa"/>
            <w:noWrap/>
            <w:hideMark/>
          </w:tcPr>
          <w:p w:rsidR="00317BF9" w:rsidRPr="0014408F" w14:paraId="683B86DE" w14:textId="77777777">
            <w:pPr>
              <w:keepNext/>
              <w:jc w:val="right"/>
              <w:rPr>
                <w:rFonts w:eastAsia="Arial"/>
                <w:color w:val="000000" w:themeColor="text1"/>
              </w:rPr>
            </w:pPr>
            <w:r w:rsidRPr="0014408F">
              <w:rPr>
                <w:rFonts w:eastAsia="Arial"/>
                <w:color w:val="000000" w:themeColor="text1"/>
              </w:rPr>
              <w:t>384,095</w:t>
            </w:r>
          </w:p>
        </w:tc>
        <w:tc>
          <w:tcPr>
            <w:tcW w:w="1172" w:type="dxa"/>
            <w:noWrap/>
            <w:hideMark/>
          </w:tcPr>
          <w:p w:rsidR="00317BF9" w:rsidRPr="0014408F" w14:paraId="4EB1D375" w14:textId="77777777">
            <w:pPr>
              <w:keepNext/>
              <w:jc w:val="right"/>
              <w:rPr>
                <w:rFonts w:eastAsia="Arial"/>
                <w:color w:val="000000" w:themeColor="text1"/>
              </w:rPr>
            </w:pPr>
            <w:r w:rsidRPr="0014408F">
              <w:rPr>
                <w:rFonts w:eastAsia="Arial"/>
                <w:color w:val="000000" w:themeColor="text1"/>
              </w:rPr>
              <w:t>0.0833</w:t>
            </w:r>
          </w:p>
        </w:tc>
        <w:tc>
          <w:tcPr>
            <w:tcW w:w="1140" w:type="dxa"/>
            <w:noWrap/>
            <w:hideMark/>
          </w:tcPr>
          <w:p w:rsidR="00317BF9" w:rsidRPr="0014408F" w14:paraId="1709FD0F" w14:textId="77777777">
            <w:pPr>
              <w:keepNext/>
              <w:jc w:val="right"/>
              <w:rPr>
                <w:rFonts w:eastAsia="Arial"/>
                <w:color w:val="000000" w:themeColor="text1"/>
              </w:rPr>
            </w:pPr>
            <w:r w:rsidRPr="0014408F">
              <w:rPr>
                <w:rFonts w:eastAsia="Arial"/>
                <w:color w:val="000000" w:themeColor="text1"/>
              </w:rPr>
              <w:t>32,008</w:t>
            </w:r>
          </w:p>
        </w:tc>
        <w:tc>
          <w:tcPr>
            <w:tcW w:w="1196" w:type="dxa"/>
            <w:noWrap/>
            <w:hideMark/>
          </w:tcPr>
          <w:p w:rsidR="00317BF9" w:rsidRPr="0014408F" w14:paraId="753DDBD9" w14:textId="77777777">
            <w:pPr>
              <w:keepNext/>
              <w:jc w:val="right"/>
              <w:rPr>
                <w:rFonts w:eastAsia="Arial"/>
                <w:color w:val="000000" w:themeColor="text1"/>
              </w:rPr>
            </w:pPr>
            <w:r w:rsidRPr="0014408F">
              <w:rPr>
                <w:rFonts w:eastAsia="Arial"/>
                <w:color w:val="000000" w:themeColor="text1"/>
              </w:rPr>
              <w:t>$73.02</w:t>
            </w:r>
          </w:p>
        </w:tc>
        <w:tc>
          <w:tcPr>
            <w:tcW w:w="1329" w:type="dxa"/>
            <w:noWrap/>
            <w:hideMark/>
          </w:tcPr>
          <w:p w:rsidR="00317BF9" w:rsidRPr="0014408F" w14:paraId="612804E6" w14:textId="77777777">
            <w:pPr>
              <w:keepNext/>
              <w:jc w:val="right"/>
              <w:rPr>
                <w:rFonts w:eastAsia="Arial"/>
                <w:color w:val="000000" w:themeColor="text1"/>
              </w:rPr>
            </w:pPr>
            <w:r w:rsidRPr="0014408F">
              <w:rPr>
                <w:rFonts w:eastAsia="Arial"/>
                <w:color w:val="000000" w:themeColor="text1"/>
              </w:rPr>
              <w:t>$2,337,219</w:t>
            </w:r>
          </w:p>
        </w:tc>
      </w:tr>
      <w:tr w14:paraId="390E08CE" w14:textId="77777777" w:rsidTr="00317BF9">
        <w:tblPrEx>
          <w:tblW w:w="10394" w:type="dxa"/>
          <w:jc w:val="center"/>
          <w:tblLook w:val="04A0"/>
        </w:tblPrEx>
        <w:trPr>
          <w:trHeight w:val="302"/>
          <w:jc w:val="center"/>
        </w:trPr>
        <w:tc>
          <w:tcPr>
            <w:tcW w:w="1562" w:type="dxa"/>
            <w:hideMark/>
          </w:tcPr>
          <w:p w:rsidR="00317BF9" w:rsidRPr="003E5836" w14:paraId="51413EE5" w14:textId="77777777">
            <w:pPr>
              <w:keepNext/>
              <w:rPr>
                <w:color w:val="000000" w:themeColor="text1"/>
              </w:rPr>
            </w:pPr>
            <w:r w:rsidRPr="3F60A196">
              <w:rPr>
                <w:color w:val="000000" w:themeColor="text1"/>
              </w:rPr>
              <w:t>Disclosure</w:t>
            </w:r>
          </w:p>
        </w:tc>
        <w:tc>
          <w:tcPr>
            <w:tcW w:w="1483" w:type="dxa"/>
            <w:noWrap/>
            <w:hideMark/>
          </w:tcPr>
          <w:p w:rsidR="00317BF9" w:rsidRPr="0014408F" w14:paraId="4F16C8B5" w14:textId="77777777">
            <w:pPr>
              <w:keepNext/>
              <w:jc w:val="right"/>
              <w:rPr>
                <w:rFonts w:eastAsia="Arial"/>
                <w:color w:val="000000" w:themeColor="text1"/>
              </w:rPr>
            </w:pPr>
            <w:r w:rsidRPr="0014408F">
              <w:rPr>
                <w:rFonts w:eastAsia="Arial"/>
                <w:color w:val="000000" w:themeColor="text1"/>
              </w:rPr>
              <w:t>8,699</w:t>
            </w:r>
          </w:p>
        </w:tc>
        <w:tc>
          <w:tcPr>
            <w:tcW w:w="1228" w:type="dxa"/>
            <w:noWrap/>
            <w:hideMark/>
          </w:tcPr>
          <w:p w:rsidR="00317BF9" w:rsidRPr="0014408F" w14:paraId="381EA8B6" w14:textId="77777777">
            <w:pPr>
              <w:keepNext/>
              <w:jc w:val="right"/>
              <w:rPr>
                <w:rFonts w:eastAsia="Arial"/>
                <w:color w:val="000000" w:themeColor="text1"/>
              </w:rPr>
            </w:pPr>
            <w:r w:rsidRPr="0014408F">
              <w:rPr>
                <w:rFonts w:eastAsia="Arial"/>
                <w:color w:val="000000" w:themeColor="text1"/>
              </w:rPr>
              <w:t>44.2</w:t>
            </w:r>
          </w:p>
        </w:tc>
        <w:tc>
          <w:tcPr>
            <w:tcW w:w="1284" w:type="dxa"/>
            <w:noWrap/>
            <w:hideMark/>
          </w:tcPr>
          <w:p w:rsidR="00317BF9" w:rsidRPr="0014408F" w14:paraId="0B3B299C" w14:textId="77777777">
            <w:pPr>
              <w:keepNext/>
              <w:jc w:val="right"/>
              <w:rPr>
                <w:rFonts w:eastAsia="Arial"/>
                <w:color w:val="000000" w:themeColor="text1"/>
              </w:rPr>
            </w:pPr>
            <w:r w:rsidRPr="0014408F">
              <w:rPr>
                <w:rFonts w:eastAsia="Arial"/>
                <w:color w:val="000000" w:themeColor="text1"/>
              </w:rPr>
              <w:t>384,095</w:t>
            </w:r>
          </w:p>
        </w:tc>
        <w:tc>
          <w:tcPr>
            <w:tcW w:w="1172" w:type="dxa"/>
            <w:noWrap/>
            <w:hideMark/>
          </w:tcPr>
          <w:p w:rsidR="00317BF9" w:rsidRPr="0014408F" w14:paraId="77B7F0D4" w14:textId="77777777">
            <w:pPr>
              <w:keepNext/>
              <w:jc w:val="right"/>
              <w:rPr>
                <w:rFonts w:eastAsia="Arial"/>
                <w:color w:val="000000" w:themeColor="text1"/>
              </w:rPr>
            </w:pPr>
            <w:r w:rsidRPr="0014408F">
              <w:rPr>
                <w:rFonts w:eastAsia="Arial"/>
                <w:color w:val="000000" w:themeColor="text1"/>
              </w:rPr>
              <w:t>0.2500</w:t>
            </w:r>
          </w:p>
        </w:tc>
        <w:tc>
          <w:tcPr>
            <w:tcW w:w="1140" w:type="dxa"/>
            <w:noWrap/>
            <w:hideMark/>
          </w:tcPr>
          <w:p w:rsidR="00317BF9" w:rsidRPr="0014408F" w14:paraId="669EE6D4" w14:textId="77777777">
            <w:pPr>
              <w:keepNext/>
              <w:jc w:val="right"/>
              <w:rPr>
                <w:rFonts w:eastAsia="Arial"/>
                <w:color w:val="000000" w:themeColor="text1"/>
              </w:rPr>
            </w:pPr>
            <w:r w:rsidRPr="0014408F">
              <w:rPr>
                <w:rFonts w:eastAsia="Arial"/>
                <w:color w:val="000000" w:themeColor="text1"/>
              </w:rPr>
              <w:t>96,024</w:t>
            </w:r>
          </w:p>
        </w:tc>
        <w:tc>
          <w:tcPr>
            <w:tcW w:w="1196" w:type="dxa"/>
            <w:noWrap/>
            <w:hideMark/>
          </w:tcPr>
          <w:p w:rsidR="00317BF9" w:rsidRPr="0014408F" w14:paraId="790A4FEB" w14:textId="77777777">
            <w:pPr>
              <w:keepNext/>
              <w:jc w:val="right"/>
              <w:rPr>
                <w:rFonts w:eastAsia="Arial"/>
                <w:color w:val="000000" w:themeColor="text1"/>
              </w:rPr>
            </w:pPr>
            <w:r w:rsidRPr="0014408F">
              <w:rPr>
                <w:rFonts w:eastAsia="Arial"/>
                <w:color w:val="000000" w:themeColor="text1"/>
              </w:rPr>
              <w:t>$35.56</w:t>
            </w:r>
          </w:p>
        </w:tc>
        <w:tc>
          <w:tcPr>
            <w:tcW w:w="1329" w:type="dxa"/>
            <w:noWrap/>
            <w:hideMark/>
          </w:tcPr>
          <w:p w:rsidR="00317BF9" w:rsidRPr="0014408F" w14:paraId="1BA8E2B5" w14:textId="77777777">
            <w:pPr>
              <w:keepNext/>
              <w:jc w:val="right"/>
              <w:rPr>
                <w:rFonts w:eastAsia="Arial"/>
                <w:color w:val="000000" w:themeColor="text1"/>
              </w:rPr>
            </w:pPr>
            <w:r w:rsidRPr="0014408F">
              <w:rPr>
                <w:rFonts w:eastAsia="Arial"/>
                <w:color w:val="000000" w:themeColor="text1"/>
              </w:rPr>
              <w:t>$3,414,607</w:t>
            </w:r>
          </w:p>
        </w:tc>
      </w:tr>
      <w:tr w14:paraId="1B852170" w14:textId="77777777" w:rsidTr="00317BF9">
        <w:tblPrEx>
          <w:tblW w:w="10394" w:type="dxa"/>
          <w:jc w:val="center"/>
          <w:tblLook w:val="04A0"/>
        </w:tblPrEx>
        <w:trPr>
          <w:trHeight w:val="302"/>
          <w:jc w:val="center"/>
        </w:trPr>
        <w:tc>
          <w:tcPr>
            <w:tcW w:w="1562" w:type="dxa"/>
            <w:hideMark/>
          </w:tcPr>
          <w:p w:rsidR="00317BF9" w:rsidRPr="003E5836" w14:paraId="6A749283" w14:textId="77777777">
            <w:pPr>
              <w:keepNext/>
              <w:rPr>
                <w:color w:val="000000" w:themeColor="text1"/>
              </w:rPr>
            </w:pPr>
            <w:r w:rsidRPr="3F60A196">
              <w:rPr>
                <w:color w:val="000000" w:themeColor="text1"/>
              </w:rPr>
              <w:t>Recordkeeping</w:t>
            </w:r>
          </w:p>
        </w:tc>
        <w:tc>
          <w:tcPr>
            <w:tcW w:w="1483" w:type="dxa"/>
            <w:noWrap/>
            <w:hideMark/>
          </w:tcPr>
          <w:p w:rsidR="00317BF9" w:rsidRPr="0014408F" w14:paraId="152596F7" w14:textId="77777777">
            <w:pPr>
              <w:keepNext/>
              <w:jc w:val="right"/>
              <w:rPr>
                <w:rFonts w:eastAsia="Arial"/>
                <w:color w:val="000000" w:themeColor="text1"/>
              </w:rPr>
            </w:pPr>
            <w:r w:rsidRPr="0014408F">
              <w:rPr>
                <w:rFonts w:eastAsia="Arial"/>
                <w:color w:val="000000" w:themeColor="text1"/>
              </w:rPr>
              <w:t>8,699</w:t>
            </w:r>
          </w:p>
        </w:tc>
        <w:tc>
          <w:tcPr>
            <w:tcW w:w="1228" w:type="dxa"/>
            <w:noWrap/>
            <w:hideMark/>
          </w:tcPr>
          <w:p w:rsidR="00317BF9" w:rsidRPr="0014408F" w14:paraId="5E1D405E" w14:textId="77777777">
            <w:pPr>
              <w:keepNext/>
              <w:jc w:val="right"/>
              <w:rPr>
                <w:rFonts w:eastAsia="Arial"/>
                <w:color w:val="000000" w:themeColor="text1"/>
              </w:rPr>
            </w:pPr>
            <w:r w:rsidRPr="0014408F">
              <w:rPr>
                <w:rFonts w:eastAsia="Arial"/>
                <w:color w:val="000000" w:themeColor="text1"/>
              </w:rPr>
              <w:t>44.2</w:t>
            </w:r>
          </w:p>
        </w:tc>
        <w:tc>
          <w:tcPr>
            <w:tcW w:w="1284" w:type="dxa"/>
            <w:noWrap/>
            <w:hideMark/>
          </w:tcPr>
          <w:p w:rsidR="00317BF9" w:rsidRPr="0014408F" w14:paraId="233B50A9" w14:textId="77777777">
            <w:pPr>
              <w:keepNext/>
              <w:jc w:val="right"/>
              <w:rPr>
                <w:rFonts w:eastAsia="Arial"/>
                <w:color w:val="000000" w:themeColor="text1"/>
              </w:rPr>
            </w:pPr>
            <w:r w:rsidRPr="0014408F">
              <w:rPr>
                <w:rFonts w:eastAsia="Arial"/>
                <w:color w:val="000000" w:themeColor="text1"/>
              </w:rPr>
              <w:t>384,095</w:t>
            </w:r>
          </w:p>
        </w:tc>
        <w:tc>
          <w:tcPr>
            <w:tcW w:w="1172" w:type="dxa"/>
            <w:noWrap/>
            <w:hideMark/>
          </w:tcPr>
          <w:p w:rsidR="00317BF9" w:rsidRPr="0014408F" w14:paraId="35921632" w14:textId="77777777">
            <w:pPr>
              <w:keepNext/>
              <w:jc w:val="right"/>
              <w:rPr>
                <w:rFonts w:eastAsia="Arial"/>
                <w:color w:val="000000" w:themeColor="text1"/>
              </w:rPr>
            </w:pPr>
            <w:r w:rsidRPr="0014408F">
              <w:rPr>
                <w:rFonts w:eastAsia="Arial"/>
                <w:color w:val="000000" w:themeColor="text1"/>
              </w:rPr>
              <w:t>0.0208</w:t>
            </w:r>
          </w:p>
        </w:tc>
        <w:tc>
          <w:tcPr>
            <w:tcW w:w="1140" w:type="dxa"/>
            <w:noWrap/>
            <w:hideMark/>
          </w:tcPr>
          <w:p w:rsidR="00317BF9" w:rsidRPr="0014408F" w14:paraId="406A5BD9" w14:textId="77777777">
            <w:pPr>
              <w:keepNext/>
              <w:jc w:val="right"/>
              <w:rPr>
                <w:rFonts w:eastAsia="Arial"/>
                <w:color w:val="000000" w:themeColor="text1"/>
              </w:rPr>
            </w:pPr>
            <w:r w:rsidRPr="0014408F">
              <w:rPr>
                <w:rFonts w:eastAsia="Arial"/>
                <w:color w:val="000000" w:themeColor="text1"/>
              </w:rPr>
              <w:t>8,002</w:t>
            </w:r>
          </w:p>
        </w:tc>
        <w:tc>
          <w:tcPr>
            <w:tcW w:w="1196" w:type="dxa"/>
            <w:noWrap/>
            <w:hideMark/>
          </w:tcPr>
          <w:p w:rsidR="00317BF9" w:rsidRPr="0014408F" w14:paraId="4B526BF3" w14:textId="77777777">
            <w:pPr>
              <w:keepNext/>
              <w:jc w:val="right"/>
              <w:rPr>
                <w:rFonts w:eastAsia="Arial"/>
                <w:color w:val="000000" w:themeColor="text1"/>
              </w:rPr>
            </w:pPr>
            <w:r w:rsidRPr="0014408F">
              <w:rPr>
                <w:rFonts w:eastAsia="Arial"/>
                <w:color w:val="000000" w:themeColor="text1"/>
              </w:rPr>
              <w:t>$35.56</w:t>
            </w:r>
          </w:p>
        </w:tc>
        <w:tc>
          <w:tcPr>
            <w:tcW w:w="1329" w:type="dxa"/>
            <w:noWrap/>
            <w:hideMark/>
          </w:tcPr>
          <w:p w:rsidR="00317BF9" w:rsidRPr="0014408F" w14:paraId="34041422" w14:textId="77777777">
            <w:pPr>
              <w:keepNext/>
              <w:jc w:val="right"/>
              <w:rPr>
                <w:rFonts w:eastAsia="Arial"/>
                <w:color w:val="000000" w:themeColor="text1"/>
              </w:rPr>
            </w:pPr>
            <w:r w:rsidRPr="0014408F">
              <w:rPr>
                <w:rFonts w:eastAsia="Arial"/>
                <w:color w:val="000000" w:themeColor="text1"/>
              </w:rPr>
              <w:t>$284,551</w:t>
            </w:r>
          </w:p>
        </w:tc>
      </w:tr>
      <w:tr w14:paraId="4EA9F331" w14:textId="77777777" w:rsidTr="00317BF9">
        <w:tblPrEx>
          <w:tblW w:w="10394" w:type="dxa"/>
          <w:jc w:val="center"/>
          <w:tblLook w:val="04A0"/>
        </w:tblPrEx>
        <w:trPr>
          <w:trHeight w:val="302"/>
          <w:jc w:val="center"/>
        </w:trPr>
        <w:tc>
          <w:tcPr>
            <w:tcW w:w="1562" w:type="dxa"/>
            <w:hideMark/>
          </w:tcPr>
          <w:p w:rsidR="00317BF9" w:rsidRPr="003E5836" w14:paraId="5D608B4B" w14:textId="77777777">
            <w:pPr>
              <w:keepNext/>
              <w:rPr>
                <w:color w:val="000000" w:themeColor="text1"/>
              </w:rPr>
            </w:pPr>
            <w:r w:rsidRPr="3F60A196">
              <w:rPr>
                <w:color w:val="000000" w:themeColor="text1"/>
              </w:rPr>
              <w:t>eFiling</w:t>
            </w:r>
          </w:p>
        </w:tc>
        <w:tc>
          <w:tcPr>
            <w:tcW w:w="1483" w:type="dxa"/>
            <w:noWrap/>
            <w:hideMark/>
          </w:tcPr>
          <w:p w:rsidR="00317BF9" w:rsidRPr="00CC12C0" w14:paraId="5BCCB2A2" w14:textId="77777777">
            <w:pPr>
              <w:jc w:val="right"/>
              <w:rPr>
                <w:rFonts w:eastAsia="Arial"/>
                <w:color w:val="000000" w:themeColor="text1"/>
              </w:rPr>
            </w:pPr>
            <w:r w:rsidRPr="00094CDF">
              <w:rPr>
                <w:rFonts w:eastAsia="Arial"/>
                <w:color w:val="000000" w:themeColor="text1"/>
              </w:rPr>
              <w:t>0</w:t>
            </w:r>
          </w:p>
        </w:tc>
        <w:tc>
          <w:tcPr>
            <w:tcW w:w="1228" w:type="dxa"/>
            <w:noWrap/>
            <w:hideMark/>
          </w:tcPr>
          <w:p w:rsidR="00317BF9" w:rsidRPr="00CC12C0" w14:paraId="56EDCA64" w14:textId="77777777">
            <w:pPr>
              <w:jc w:val="right"/>
              <w:rPr>
                <w:rFonts w:eastAsia="Arial"/>
                <w:color w:val="000000" w:themeColor="text1"/>
              </w:rPr>
            </w:pPr>
            <w:r w:rsidRPr="00094CDF">
              <w:rPr>
                <w:rFonts w:eastAsia="Arial"/>
                <w:color w:val="000000" w:themeColor="text1"/>
              </w:rPr>
              <w:t>0.0</w:t>
            </w:r>
          </w:p>
        </w:tc>
        <w:tc>
          <w:tcPr>
            <w:tcW w:w="1284" w:type="dxa"/>
            <w:noWrap/>
            <w:hideMark/>
          </w:tcPr>
          <w:p w:rsidR="00317BF9" w:rsidRPr="00CC12C0" w14:paraId="7B7A3A7D" w14:textId="77777777">
            <w:pPr>
              <w:jc w:val="right"/>
              <w:rPr>
                <w:rFonts w:eastAsia="Arial"/>
                <w:color w:val="000000" w:themeColor="text1"/>
              </w:rPr>
            </w:pPr>
            <w:r w:rsidRPr="00094CDF">
              <w:rPr>
                <w:rFonts w:eastAsia="Arial"/>
                <w:color w:val="000000" w:themeColor="text1"/>
              </w:rPr>
              <w:t>0</w:t>
            </w:r>
          </w:p>
        </w:tc>
        <w:tc>
          <w:tcPr>
            <w:tcW w:w="1172" w:type="dxa"/>
            <w:noWrap/>
            <w:hideMark/>
          </w:tcPr>
          <w:p w:rsidR="00317BF9" w:rsidRPr="00CC12C0" w14:paraId="1B22B749" w14:textId="77777777">
            <w:pPr>
              <w:jc w:val="right"/>
              <w:rPr>
                <w:rFonts w:eastAsia="Arial"/>
                <w:color w:val="000000" w:themeColor="text1"/>
              </w:rPr>
            </w:pPr>
            <w:r w:rsidRPr="00094CDF">
              <w:rPr>
                <w:rFonts w:eastAsia="Arial"/>
                <w:color w:val="000000" w:themeColor="text1"/>
              </w:rPr>
              <w:t>0.0000</w:t>
            </w:r>
          </w:p>
        </w:tc>
        <w:tc>
          <w:tcPr>
            <w:tcW w:w="1140" w:type="dxa"/>
            <w:noWrap/>
            <w:hideMark/>
          </w:tcPr>
          <w:p w:rsidR="00317BF9" w:rsidRPr="00CC12C0" w14:paraId="1DDE3853" w14:textId="77777777">
            <w:pPr>
              <w:jc w:val="right"/>
              <w:rPr>
                <w:rFonts w:eastAsia="Arial"/>
                <w:color w:val="000000" w:themeColor="text1"/>
              </w:rPr>
            </w:pPr>
            <w:r w:rsidRPr="00094CDF">
              <w:rPr>
                <w:rFonts w:eastAsia="Arial"/>
                <w:color w:val="000000" w:themeColor="text1"/>
              </w:rPr>
              <w:t>0</w:t>
            </w:r>
          </w:p>
        </w:tc>
        <w:tc>
          <w:tcPr>
            <w:tcW w:w="1196" w:type="dxa"/>
            <w:noWrap/>
            <w:hideMark/>
          </w:tcPr>
          <w:p w:rsidR="00317BF9" w:rsidRPr="00CC12C0" w14:paraId="71238298" w14:textId="77777777">
            <w:pPr>
              <w:jc w:val="right"/>
              <w:rPr>
                <w:rFonts w:eastAsia="Arial"/>
                <w:color w:val="000000" w:themeColor="text1"/>
              </w:rPr>
            </w:pPr>
            <w:r w:rsidRPr="00094CDF">
              <w:rPr>
                <w:rFonts w:eastAsia="Arial"/>
                <w:color w:val="000000" w:themeColor="text1"/>
              </w:rPr>
              <w:t>$0.00</w:t>
            </w:r>
          </w:p>
        </w:tc>
        <w:tc>
          <w:tcPr>
            <w:tcW w:w="1329" w:type="dxa"/>
            <w:noWrap/>
            <w:hideMark/>
          </w:tcPr>
          <w:p w:rsidR="00317BF9" w:rsidRPr="00CC12C0" w14:paraId="7A55F521" w14:textId="77777777">
            <w:pPr>
              <w:jc w:val="right"/>
              <w:rPr>
                <w:rFonts w:eastAsia="Arial"/>
                <w:color w:val="000000" w:themeColor="text1"/>
              </w:rPr>
            </w:pPr>
            <w:r w:rsidRPr="00094CDF">
              <w:rPr>
                <w:rFonts w:eastAsia="Arial"/>
                <w:color w:val="000000" w:themeColor="text1"/>
              </w:rPr>
              <w:t>$0</w:t>
            </w:r>
          </w:p>
        </w:tc>
      </w:tr>
      <w:tr w14:paraId="211D544F" w14:textId="77777777" w:rsidTr="00317BF9">
        <w:tblPrEx>
          <w:tblW w:w="10394" w:type="dxa"/>
          <w:jc w:val="center"/>
          <w:tblLook w:val="04A0"/>
        </w:tblPrEx>
        <w:trPr>
          <w:trHeight w:val="302"/>
          <w:jc w:val="center"/>
        </w:trPr>
        <w:tc>
          <w:tcPr>
            <w:tcW w:w="1562" w:type="dxa"/>
            <w:noWrap/>
            <w:hideMark/>
          </w:tcPr>
          <w:p w:rsidR="00317BF9" w:rsidRPr="003E5836" w14:paraId="68E3708C" w14:textId="77777777">
            <w:pPr>
              <w:keepNext/>
              <w:rPr>
                <w:color w:val="000000" w:themeColor="text1"/>
              </w:rPr>
            </w:pPr>
            <w:r w:rsidRPr="3F60A196">
              <w:rPr>
                <w:color w:val="000000" w:themeColor="text1"/>
              </w:rPr>
              <w:t>Total</w:t>
            </w:r>
          </w:p>
        </w:tc>
        <w:tc>
          <w:tcPr>
            <w:tcW w:w="1483" w:type="dxa"/>
            <w:noWrap/>
            <w:hideMark/>
          </w:tcPr>
          <w:p w:rsidR="00317BF9" w:rsidRPr="00CC12C0" w14:paraId="78618B37" w14:textId="77777777">
            <w:pPr>
              <w:jc w:val="right"/>
              <w:rPr>
                <w:rFonts w:eastAsia="Arial"/>
                <w:color w:val="000000" w:themeColor="text1"/>
              </w:rPr>
            </w:pPr>
            <w:r w:rsidRPr="00094CDF">
              <w:rPr>
                <w:rFonts w:eastAsia="Arial"/>
                <w:color w:val="000000" w:themeColor="text1"/>
              </w:rPr>
              <w:t>8,699</w:t>
            </w:r>
          </w:p>
        </w:tc>
        <w:tc>
          <w:tcPr>
            <w:tcW w:w="1228" w:type="dxa"/>
            <w:noWrap/>
            <w:hideMark/>
          </w:tcPr>
          <w:p w:rsidR="00317BF9" w:rsidRPr="00CC12C0" w14:paraId="5126AD72" w14:textId="77777777">
            <w:pPr>
              <w:jc w:val="right"/>
              <w:rPr>
                <w:rFonts w:eastAsia="Arial"/>
                <w:color w:val="000000" w:themeColor="text1"/>
              </w:rPr>
            </w:pPr>
            <w:r w:rsidRPr="00094CDF">
              <w:rPr>
                <w:rFonts w:eastAsia="Arial"/>
                <w:color w:val="000000" w:themeColor="text1"/>
              </w:rPr>
              <w:t>132.5</w:t>
            </w:r>
          </w:p>
        </w:tc>
        <w:tc>
          <w:tcPr>
            <w:tcW w:w="1284" w:type="dxa"/>
            <w:noWrap/>
            <w:hideMark/>
          </w:tcPr>
          <w:p w:rsidR="00317BF9" w:rsidRPr="00CC12C0" w14:paraId="53D8E0FB" w14:textId="77777777">
            <w:pPr>
              <w:jc w:val="right"/>
              <w:rPr>
                <w:rFonts w:eastAsia="Arial"/>
                <w:color w:val="000000" w:themeColor="text1"/>
              </w:rPr>
            </w:pPr>
            <w:r w:rsidRPr="00094CDF">
              <w:rPr>
                <w:rFonts w:eastAsia="Arial"/>
                <w:color w:val="000000" w:themeColor="text1"/>
              </w:rPr>
              <w:t>1,152,286</w:t>
            </w:r>
          </w:p>
        </w:tc>
        <w:tc>
          <w:tcPr>
            <w:tcW w:w="1172" w:type="dxa"/>
            <w:noWrap/>
            <w:hideMark/>
          </w:tcPr>
          <w:p w:rsidR="00317BF9" w:rsidRPr="00CC12C0" w14:paraId="423BCC9C" w14:textId="77777777">
            <w:pPr>
              <w:jc w:val="right"/>
              <w:rPr>
                <w:rFonts w:eastAsia="Arial"/>
                <w:color w:val="000000" w:themeColor="text1"/>
              </w:rPr>
            </w:pPr>
            <w:r w:rsidRPr="00094CDF">
              <w:rPr>
                <w:rFonts w:eastAsia="Arial"/>
                <w:color w:val="000000" w:themeColor="text1"/>
              </w:rPr>
              <w:t>0.1181</w:t>
            </w:r>
          </w:p>
        </w:tc>
        <w:tc>
          <w:tcPr>
            <w:tcW w:w="1140" w:type="dxa"/>
            <w:noWrap/>
            <w:hideMark/>
          </w:tcPr>
          <w:p w:rsidR="00317BF9" w:rsidRPr="00CC12C0" w14:paraId="0B2544D5" w14:textId="77777777">
            <w:pPr>
              <w:jc w:val="right"/>
              <w:rPr>
                <w:rFonts w:eastAsia="Arial"/>
                <w:color w:val="000000" w:themeColor="text1"/>
              </w:rPr>
            </w:pPr>
            <w:r w:rsidRPr="00094CDF">
              <w:rPr>
                <w:rFonts w:eastAsia="Arial"/>
                <w:color w:val="000000" w:themeColor="text1"/>
              </w:rPr>
              <w:t>136,034</w:t>
            </w:r>
          </w:p>
        </w:tc>
        <w:tc>
          <w:tcPr>
            <w:tcW w:w="1196" w:type="dxa"/>
            <w:noWrap/>
            <w:hideMark/>
          </w:tcPr>
          <w:p w:rsidR="00317BF9" w:rsidRPr="00CC12C0" w14:paraId="2FCE4FC9" w14:textId="77777777">
            <w:pPr>
              <w:jc w:val="right"/>
              <w:rPr>
                <w:rFonts w:eastAsia="Arial"/>
                <w:color w:val="000000" w:themeColor="text1"/>
              </w:rPr>
            </w:pPr>
            <w:r w:rsidRPr="00094CDF">
              <w:rPr>
                <w:rFonts w:eastAsia="Arial"/>
                <w:color w:val="000000" w:themeColor="text1"/>
              </w:rPr>
              <w:t>$44.37</w:t>
            </w:r>
          </w:p>
        </w:tc>
        <w:tc>
          <w:tcPr>
            <w:tcW w:w="1329" w:type="dxa"/>
            <w:noWrap/>
            <w:hideMark/>
          </w:tcPr>
          <w:p w:rsidR="00317BF9" w:rsidRPr="00CC12C0" w14:paraId="18D79289" w14:textId="77777777">
            <w:pPr>
              <w:jc w:val="right"/>
              <w:rPr>
                <w:rFonts w:eastAsia="Arial"/>
                <w:color w:val="000000" w:themeColor="text1"/>
              </w:rPr>
            </w:pPr>
            <w:r w:rsidRPr="00094CDF">
              <w:rPr>
                <w:rFonts w:eastAsia="Arial"/>
                <w:color w:val="000000" w:themeColor="text1"/>
              </w:rPr>
              <w:t>$6,036,377</w:t>
            </w:r>
          </w:p>
        </w:tc>
      </w:tr>
      <w:tr w14:paraId="6C39925C" w14:textId="77777777" w:rsidTr="00317BF9">
        <w:tblPrEx>
          <w:tblW w:w="10394" w:type="dxa"/>
          <w:jc w:val="center"/>
          <w:tblLook w:val="04A0"/>
        </w:tblPrEx>
        <w:trPr>
          <w:trHeight w:val="302"/>
          <w:jc w:val="center"/>
        </w:trPr>
        <w:tc>
          <w:tcPr>
            <w:tcW w:w="10394" w:type="dxa"/>
            <w:gridSpan w:val="8"/>
            <w:noWrap/>
            <w:hideMark/>
          </w:tcPr>
          <w:p w:rsidR="00317BF9" w:rsidRPr="003E5836" w14:paraId="7D381990" w14:textId="77777777">
            <w:pPr>
              <w:keepNext/>
              <w:rPr>
                <w:b/>
                <w:bCs/>
                <w:color w:val="000000" w:themeColor="text1"/>
              </w:rPr>
            </w:pPr>
            <w:r w:rsidRPr="3F60A196">
              <w:rPr>
                <w:b/>
                <w:bCs/>
                <w:color w:val="000000" w:themeColor="text1"/>
              </w:rPr>
              <w:t>Additional Burden to Manufacturers</w:t>
            </w:r>
          </w:p>
        </w:tc>
      </w:tr>
      <w:tr w14:paraId="4475341A" w14:textId="77777777" w:rsidTr="00317BF9">
        <w:tblPrEx>
          <w:tblW w:w="10394" w:type="dxa"/>
          <w:jc w:val="center"/>
          <w:tblLook w:val="04A0"/>
        </w:tblPrEx>
        <w:trPr>
          <w:trHeight w:val="302"/>
          <w:jc w:val="center"/>
        </w:trPr>
        <w:tc>
          <w:tcPr>
            <w:tcW w:w="1562" w:type="dxa"/>
            <w:hideMark/>
          </w:tcPr>
          <w:p w:rsidR="00317BF9" w:rsidRPr="003E5836" w14:paraId="77B0C6BC" w14:textId="77777777">
            <w:pPr>
              <w:keepNext/>
              <w:rPr>
                <w:color w:val="000000" w:themeColor="text1"/>
              </w:rPr>
            </w:pPr>
            <w:r w:rsidRPr="3F60A196">
              <w:rPr>
                <w:color w:val="000000" w:themeColor="text1"/>
              </w:rPr>
              <w:t>Total</w:t>
            </w:r>
          </w:p>
        </w:tc>
        <w:tc>
          <w:tcPr>
            <w:tcW w:w="1483" w:type="dxa"/>
            <w:noWrap/>
            <w:hideMark/>
          </w:tcPr>
          <w:p w:rsidR="00317BF9" w:rsidRPr="00CC12C0" w14:paraId="53C5091D" w14:textId="77777777">
            <w:pPr>
              <w:jc w:val="right"/>
              <w:rPr>
                <w:rFonts w:eastAsia="Arial"/>
                <w:color w:val="000000" w:themeColor="text1"/>
              </w:rPr>
            </w:pPr>
            <w:r w:rsidRPr="00094CDF">
              <w:rPr>
                <w:rFonts w:eastAsia="Arial"/>
                <w:color w:val="000000" w:themeColor="text1"/>
              </w:rPr>
              <w:t>8,699</w:t>
            </w:r>
          </w:p>
        </w:tc>
        <w:tc>
          <w:tcPr>
            <w:tcW w:w="1228" w:type="dxa"/>
            <w:noWrap/>
            <w:hideMark/>
          </w:tcPr>
          <w:p w:rsidR="00317BF9" w:rsidRPr="00CC12C0" w14:paraId="48FB9040" w14:textId="77777777">
            <w:pPr>
              <w:jc w:val="right"/>
              <w:rPr>
                <w:rFonts w:eastAsia="Arial"/>
                <w:color w:val="000000" w:themeColor="text1"/>
              </w:rPr>
            </w:pPr>
            <w:r w:rsidRPr="00094CDF">
              <w:rPr>
                <w:rFonts w:eastAsia="Arial"/>
                <w:color w:val="000000" w:themeColor="text1"/>
              </w:rPr>
              <w:t>0.0</w:t>
            </w:r>
          </w:p>
        </w:tc>
        <w:tc>
          <w:tcPr>
            <w:tcW w:w="1284" w:type="dxa"/>
            <w:noWrap/>
            <w:hideMark/>
          </w:tcPr>
          <w:p w:rsidR="00317BF9" w:rsidRPr="00CC12C0" w14:paraId="75D9C49C" w14:textId="77777777">
            <w:pPr>
              <w:jc w:val="right"/>
              <w:rPr>
                <w:rFonts w:eastAsia="Arial"/>
                <w:color w:val="000000" w:themeColor="text1"/>
              </w:rPr>
            </w:pPr>
            <w:r w:rsidRPr="00094CDF">
              <w:rPr>
                <w:rFonts w:eastAsia="Arial"/>
                <w:color w:val="000000" w:themeColor="text1"/>
              </w:rPr>
              <w:t>0</w:t>
            </w:r>
          </w:p>
        </w:tc>
        <w:tc>
          <w:tcPr>
            <w:tcW w:w="1172" w:type="dxa"/>
            <w:noWrap/>
            <w:hideMark/>
          </w:tcPr>
          <w:p w:rsidR="00317BF9" w:rsidRPr="00CC12C0" w14:paraId="3E587AF3" w14:textId="77777777">
            <w:pPr>
              <w:jc w:val="right"/>
              <w:rPr>
                <w:rFonts w:eastAsia="Arial"/>
                <w:color w:val="000000" w:themeColor="text1"/>
              </w:rPr>
            </w:pPr>
            <w:r w:rsidRPr="00094CDF">
              <w:rPr>
                <w:rFonts w:eastAsia="Arial"/>
                <w:color w:val="000000" w:themeColor="text1"/>
              </w:rPr>
              <w:t>0.0000</w:t>
            </w:r>
          </w:p>
        </w:tc>
        <w:tc>
          <w:tcPr>
            <w:tcW w:w="1140" w:type="dxa"/>
            <w:noWrap/>
            <w:hideMark/>
          </w:tcPr>
          <w:p w:rsidR="00317BF9" w:rsidRPr="00CC12C0" w14:paraId="637193DE" w14:textId="77777777">
            <w:pPr>
              <w:jc w:val="right"/>
              <w:rPr>
                <w:rFonts w:eastAsia="Arial"/>
                <w:color w:val="000000" w:themeColor="text1"/>
              </w:rPr>
            </w:pPr>
            <w:r w:rsidRPr="00094CDF">
              <w:rPr>
                <w:rFonts w:eastAsia="Arial"/>
                <w:color w:val="000000" w:themeColor="text1"/>
              </w:rPr>
              <w:t>640</w:t>
            </w:r>
          </w:p>
        </w:tc>
        <w:tc>
          <w:tcPr>
            <w:tcW w:w="1196" w:type="dxa"/>
            <w:noWrap/>
            <w:hideMark/>
          </w:tcPr>
          <w:p w:rsidR="00317BF9" w:rsidRPr="00CC12C0" w14:paraId="17429274" w14:textId="77777777">
            <w:pPr>
              <w:jc w:val="right"/>
              <w:rPr>
                <w:rFonts w:eastAsia="Arial"/>
                <w:color w:val="000000" w:themeColor="text1"/>
              </w:rPr>
            </w:pPr>
            <w:r w:rsidRPr="00094CDF">
              <w:rPr>
                <w:rFonts w:eastAsia="Arial"/>
                <w:color w:val="000000" w:themeColor="text1"/>
              </w:rPr>
              <w:t>$35.56</w:t>
            </w:r>
          </w:p>
        </w:tc>
        <w:tc>
          <w:tcPr>
            <w:tcW w:w="1329" w:type="dxa"/>
            <w:noWrap/>
            <w:hideMark/>
          </w:tcPr>
          <w:p w:rsidR="00317BF9" w:rsidRPr="00CC12C0" w14:paraId="6FF927B5" w14:textId="77777777">
            <w:pPr>
              <w:jc w:val="right"/>
              <w:rPr>
                <w:rFonts w:eastAsia="Arial"/>
                <w:color w:val="000000" w:themeColor="text1"/>
              </w:rPr>
            </w:pPr>
            <w:r w:rsidRPr="00094CDF">
              <w:rPr>
                <w:rFonts w:eastAsia="Arial"/>
                <w:color w:val="000000" w:themeColor="text1"/>
              </w:rPr>
              <w:t>$22,764</w:t>
            </w:r>
          </w:p>
        </w:tc>
      </w:tr>
      <w:tr w14:paraId="022FDF55" w14:textId="77777777" w:rsidTr="00317BF9">
        <w:tblPrEx>
          <w:tblW w:w="10394" w:type="dxa"/>
          <w:jc w:val="center"/>
          <w:tblLook w:val="04A0"/>
        </w:tblPrEx>
        <w:trPr>
          <w:trHeight w:val="302"/>
          <w:jc w:val="center"/>
        </w:trPr>
        <w:tc>
          <w:tcPr>
            <w:tcW w:w="10394" w:type="dxa"/>
            <w:gridSpan w:val="8"/>
            <w:noWrap/>
            <w:hideMark/>
          </w:tcPr>
          <w:p w:rsidR="00317BF9" w:rsidRPr="003E5836" w14:paraId="5F5CB245" w14:textId="77777777">
            <w:pPr>
              <w:keepNext/>
              <w:rPr>
                <w:b/>
                <w:bCs/>
                <w:color w:val="000000" w:themeColor="text1"/>
                <w:u w:val="single"/>
              </w:rPr>
            </w:pPr>
            <w:r w:rsidRPr="3F60A196">
              <w:rPr>
                <w:b/>
                <w:bCs/>
                <w:color w:val="000000" w:themeColor="text1"/>
                <w:u w:val="single"/>
              </w:rPr>
              <w:t>Importers</w:t>
            </w:r>
          </w:p>
        </w:tc>
      </w:tr>
      <w:tr w14:paraId="3312850C" w14:textId="77777777" w:rsidTr="00317BF9">
        <w:tblPrEx>
          <w:tblW w:w="10394" w:type="dxa"/>
          <w:jc w:val="center"/>
          <w:tblLook w:val="04A0"/>
        </w:tblPrEx>
        <w:trPr>
          <w:trHeight w:val="302"/>
          <w:jc w:val="center"/>
        </w:trPr>
        <w:tc>
          <w:tcPr>
            <w:tcW w:w="1562" w:type="dxa"/>
            <w:hideMark/>
          </w:tcPr>
          <w:p w:rsidR="00317BF9" w:rsidRPr="003E5836" w14:paraId="01976054" w14:textId="77777777">
            <w:pPr>
              <w:keepNext/>
              <w:rPr>
                <w:color w:val="000000" w:themeColor="text1"/>
              </w:rPr>
            </w:pPr>
            <w:r w:rsidRPr="3F60A196">
              <w:rPr>
                <w:color w:val="000000" w:themeColor="text1"/>
              </w:rPr>
              <w:t>Certificates</w:t>
            </w:r>
          </w:p>
        </w:tc>
        <w:tc>
          <w:tcPr>
            <w:tcW w:w="1483" w:type="dxa"/>
            <w:noWrap/>
            <w:hideMark/>
          </w:tcPr>
          <w:p w:rsidR="00317BF9" w:rsidRPr="0014408F" w14:paraId="27571C95" w14:textId="77777777">
            <w:pPr>
              <w:keepNext/>
              <w:jc w:val="right"/>
              <w:rPr>
                <w:rFonts w:eastAsia="Arial"/>
                <w:color w:val="000000" w:themeColor="text1"/>
              </w:rPr>
            </w:pPr>
            <w:r w:rsidRPr="0014408F">
              <w:rPr>
                <w:rFonts w:eastAsia="Arial"/>
                <w:color w:val="000000" w:themeColor="text1"/>
              </w:rPr>
              <w:t>40,665</w:t>
            </w:r>
          </w:p>
        </w:tc>
        <w:tc>
          <w:tcPr>
            <w:tcW w:w="1228" w:type="dxa"/>
            <w:noWrap/>
            <w:hideMark/>
          </w:tcPr>
          <w:p w:rsidR="00317BF9" w:rsidRPr="0014408F" w14:paraId="53F05517" w14:textId="77777777">
            <w:pPr>
              <w:keepNext/>
              <w:jc w:val="right"/>
              <w:rPr>
                <w:rFonts w:eastAsia="Arial"/>
                <w:color w:val="000000" w:themeColor="text1"/>
              </w:rPr>
            </w:pPr>
            <w:r w:rsidRPr="0014408F">
              <w:rPr>
                <w:rFonts w:eastAsia="Arial"/>
                <w:color w:val="000000" w:themeColor="text1"/>
              </w:rPr>
              <w:t>23.4</w:t>
            </w:r>
          </w:p>
        </w:tc>
        <w:tc>
          <w:tcPr>
            <w:tcW w:w="1284" w:type="dxa"/>
            <w:noWrap/>
            <w:hideMark/>
          </w:tcPr>
          <w:p w:rsidR="00317BF9" w:rsidRPr="0014408F" w14:paraId="45FD3FAA" w14:textId="77777777">
            <w:pPr>
              <w:keepNext/>
              <w:jc w:val="right"/>
              <w:rPr>
                <w:rFonts w:eastAsia="Arial"/>
                <w:color w:val="000000" w:themeColor="text1"/>
              </w:rPr>
            </w:pPr>
            <w:r w:rsidRPr="0014408F">
              <w:rPr>
                <w:rFonts w:eastAsia="Arial"/>
                <w:color w:val="000000" w:themeColor="text1"/>
              </w:rPr>
              <w:t>949,886</w:t>
            </w:r>
          </w:p>
        </w:tc>
        <w:tc>
          <w:tcPr>
            <w:tcW w:w="1172" w:type="dxa"/>
            <w:noWrap/>
            <w:hideMark/>
          </w:tcPr>
          <w:p w:rsidR="00317BF9" w:rsidRPr="0014408F" w14:paraId="1F8038EC" w14:textId="77777777">
            <w:pPr>
              <w:keepNext/>
              <w:jc w:val="right"/>
              <w:rPr>
                <w:rFonts w:eastAsia="Arial"/>
                <w:color w:val="000000" w:themeColor="text1"/>
              </w:rPr>
            </w:pPr>
            <w:r w:rsidRPr="0014408F">
              <w:rPr>
                <w:rFonts w:eastAsia="Arial"/>
                <w:color w:val="000000" w:themeColor="text1"/>
              </w:rPr>
              <w:t>0.0833</w:t>
            </w:r>
          </w:p>
        </w:tc>
        <w:tc>
          <w:tcPr>
            <w:tcW w:w="1140" w:type="dxa"/>
            <w:noWrap/>
            <w:hideMark/>
          </w:tcPr>
          <w:p w:rsidR="00317BF9" w:rsidRPr="0014408F" w14:paraId="1514793F" w14:textId="77777777">
            <w:pPr>
              <w:keepNext/>
              <w:jc w:val="right"/>
              <w:rPr>
                <w:rFonts w:eastAsia="Arial"/>
                <w:color w:val="000000" w:themeColor="text1"/>
              </w:rPr>
            </w:pPr>
            <w:r w:rsidRPr="0014408F">
              <w:rPr>
                <w:rFonts w:eastAsia="Arial"/>
                <w:color w:val="000000" w:themeColor="text1"/>
              </w:rPr>
              <w:t>79,157</w:t>
            </w:r>
          </w:p>
        </w:tc>
        <w:tc>
          <w:tcPr>
            <w:tcW w:w="1196" w:type="dxa"/>
            <w:noWrap/>
            <w:hideMark/>
          </w:tcPr>
          <w:p w:rsidR="00317BF9" w:rsidRPr="0014408F" w14:paraId="4D7C329D" w14:textId="77777777">
            <w:pPr>
              <w:keepNext/>
              <w:jc w:val="right"/>
              <w:rPr>
                <w:rFonts w:eastAsia="Arial"/>
                <w:color w:val="000000" w:themeColor="text1"/>
              </w:rPr>
            </w:pPr>
            <w:r w:rsidRPr="0014408F">
              <w:rPr>
                <w:rFonts w:eastAsia="Arial"/>
                <w:color w:val="000000" w:themeColor="text1"/>
              </w:rPr>
              <w:t>$73.02</w:t>
            </w:r>
          </w:p>
        </w:tc>
        <w:tc>
          <w:tcPr>
            <w:tcW w:w="1329" w:type="dxa"/>
            <w:noWrap/>
            <w:hideMark/>
          </w:tcPr>
          <w:p w:rsidR="00317BF9" w:rsidRPr="0014408F" w14:paraId="30AE8AE0" w14:textId="77777777">
            <w:pPr>
              <w:keepNext/>
              <w:jc w:val="right"/>
              <w:rPr>
                <w:rFonts w:eastAsia="Arial"/>
                <w:color w:val="000000" w:themeColor="text1"/>
              </w:rPr>
            </w:pPr>
            <w:r w:rsidRPr="0014408F">
              <w:rPr>
                <w:rFonts w:eastAsia="Arial"/>
                <w:color w:val="000000" w:themeColor="text1"/>
              </w:rPr>
              <w:t>$5,780,059</w:t>
            </w:r>
          </w:p>
        </w:tc>
      </w:tr>
      <w:tr w14:paraId="170CE0B7" w14:textId="77777777" w:rsidTr="00317BF9">
        <w:tblPrEx>
          <w:tblW w:w="10394" w:type="dxa"/>
          <w:jc w:val="center"/>
          <w:tblLook w:val="04A0"/>
        </w:tblPrEx>
        <w:trPr>
          <w:trHeight w:val="302"/>
          <w:jc w:val="center"/>
        </w:trPr>
        <w:tc>
          <w:tcPr>
            <w:tcW w:w="1562" w:type="dxa"/>
            <w:hideMark/>
          </w:tcPr>
          <w:p w:rsidR="00317BF9" w:rsidRPr="003E5836" w14:paraId="6886F6BF" w14:textId="77777777">
            <w:pPr>
              <w:keepNext/>
              <w:rPr>
                <w:color w:val="000000" w:themeColor="text1"/>
              </w:rPr>
            </w:pPr>
            <w:r w:rsidRPr="3F60A196">
              <w:rPr>
                <w:color w:val="000000" w:themeColor="text1"/>
              </w:rPr>
              <w:t>Disclosure</w:t>
            </w:r>
          </w:p>
        </w:tc>
        <w:tc>
          <w:tcPr>
            <w:tcW w:w="1483" w:type="dxa"/>
            <w:noWrap/>
            <w:hideMark/>
          </w:tcPr>
          <w:p w:rsidR="00317BF9" w:rsidRPr="0014408F" w14:paraId="1CB4F1FA" w14:textId="77777777">
            <w:pPr>
              <w:keepNext/>
              <w:jc w:val="right"/>
              <w:rPr>
                <w:rFonts w:eastAsia="Arial"/>
                <w:color w:val="000000" w:themeColor="text1"/>
              </w:rPr>
            </w:pPr>
            <w:r w:rsidRPr="0014408F">
              <w:rPr>
                <w:rFonts w:eastAsia="Arial"/>
                <w:color w:val="000000" w:themeColor="text1"/>
              </w:rPr>
              <w:t>40,665</w:t>
            </w:r>
          </w:p>
        </w:tc>
        <w:tc>
          <w:tcPr>
            <w:tcW w:w="1228" w:type="dxa"/>
            <w:noWrap/>
            <w:hideMark/>
          </w:tcPr>
          <w:p w:rsidR="00317BF9" w:rsidRPr="0014408F" w14:paraId="64B3CF92" w14:textId="77777777">
            <w:pPr>
              <w:keepNext/>
              <w:jc w:val="right"/>
              <w:rPr>
                <w:rFonts w:eastAsia="Arial"/>
                <w:color w:val="000000" w:themeColor="text1"/>
              </w:rPr>
            </w:pPr>
            <w:r w:rsidRPr="0014408F">
              <w:rPr>
                <w:rFonts w:eastAsia="Arial"/>
                <w:color w:val="000000" w:themeColor="text1"/>
              </w:rPr>
              <w:t>23.4</w:t>
            </w:r>
          </w:p>
        </w:tc>
        <w:tc>
          <w:tcPr>
            <w:tcW w:w="1284" w:type="dxa"/>
            <w:noWrap/>
            <w:hideMark/>
          </w:tcPr>
          <w:p w:rsidR="00317BF9" w:rsidRPr="0014408F" w14:paraId="612F0661" w14:textId="77777777">
            <w:pPr>
              <w:keepNext/>
              <w:jc w:val="right"/>
              <w:rPr>
                <w:rFonts w:eastAsia="Arial"/>
                <w:color w:val="000000" w:themeColor="text1"/>
              </w:rPr>
            </w:pPr>
            <w:r w:rsidRPr="0014408F">
              <w:rPr>
                <w:rFonts w:eastAsia="Arial"/>
                <w:color w:val="000000" w:themeColor="text1"/>
              </w:rPr>
              <w:t>949,886</w:t>
            </w:r>
          </w:p>
        </w:tc>
        <w:tc>
          <w:tcPr>
            <w:tcW w:w="1172" w:type="dxa"/>
            <w:noWrap/>
            <w:hideMark/>
          </w:tcPr>
          <w:p w:rsidR="00317BF9" w:rsidRPr="0014408F" w14:paraId="6414981E" w14:textId="77777777">
            <w:pPr>
              <w:keepNext/>
              <w:jc w:val="right"/>
              <w:rPr>
                <w:rFonts w:eastAsia="Arial"/>
                <w:color w:val="000000" w:themeColor="text1"/>
              </w:rPr>
            </w:pPr>
            <w:r w:rsidRPr="0014408F">
              <w:rPr>
                <w:rFonts w:eastAsia="Arial"/>
                <w:color w:val="000000" w:themeColor="text1"/>
              </w:rPr>
              <w:t>0.2500</w:t>
            </w:r>
          </w:p>
        </w:tc>
        <w:tc>
          <w:tcPr>
            <w:tcW w:w="1140" w:type="dxa"/>
            <w:noWrap/>
            <w:hideMark/>
          </w:tcPr>
          <w:p w:rsidR="00317BF9" w:rsidRPr="0014408F" w14:paraId="051CB1C9" w14:textId="77777777">
            <w:pPr>
              <w:keepNext/>
              <w:jc w:val="right"/>
              <w:rPr>
                <w:rFonts w:eastAsia="Arial"/>
                <w:color w:val="000000" w:themeColor="text1"/>
              </w:rPr>
            </w:pPr>
            <w:r w:rsidRPr="0014408F">
              <w:rPr>
                <w:rFonts w:eastAsia="Arial"/>
                <w:color w:val="000000" w:themeColor="text1"/>
              </w:rPr>
              <w:t>237,472</w:t>
            </w:r>
          </w:p>
        </w:tc>
        <w:tc>
          <w:tcPr>
            <w:tcW w:w="1196" w:type="dxa"/>
            <w:noWrap/>
            <w:hideMark/>
          </w:tcPr>
          <w:p w:rsidR="00317BF9" w:rsidRPr="0014408F" w14:paraId="38DD1B4D" w14:textId="77777777">
            <w:pPr>
              <w:keepNext/>
              <w:jc w:val="right"/>
              <w:rPr>
                <w:rFonts w:eastAsia="Arial"/>
                <w:color w:val="000000" w:themeColor="text1"/>
              </w:rPr>
            </w:pPr>
            <w:r w:rsidRPr="0014408F">
              <w:rPr>
                <w:rFonts w:eastAsia="Arial"/>
                <w:color w:val="000000" w:themeColor="text1"/>
              </w:rPr>
              <w:t>$35.56</w:t>
            </w:r>
          </w:p>
        </w:tc>
        <w:tc>
          <w:tcPr>
            <w:tcW w:w="1329" w:type="dxa"/>
            <w:noWrap/>
            <w:hideMark/>
          </w:tcPr>
          <w:p w:rsidR="00317BF9" w:rsidRPr="0014408F" w14:paraId="156D240E" w14:textId="77777777">
            <w:pPr>
              <w:keepNext/>
              <w:jc w:val="right"/>
              <w:rPr>
                <w:rFonts w:eastAsia="Arial"/>
                <w:color w:val="000000" w:themeColor="text1"/>
              </w:rPr>
            </w:pPr>
            <w:r w:rsidRPr="0014408F">
              <w:rPr>
                <w:rFonts w:eastAsia="Arial"/>
                <w:color w:val="000000" w:themeColor="text1"/>
              </w:rPr>
              <w:t>$8,444,491</w:t>
            </w:r>
          </w:p>
        </w:tc>
      </w:tr>
      <w:tr w14:paraId="6CEB7DD4" w14:textId="77777777" w:rsidTr="00317BF9">
        <w:tblPrEx>
          <w:tblW w:w="10394" w:type="dxa"/>
          <w:jc w:val="center"/>
          <w:tblLook w:val="04A0"/>
        </w:tblPrEx>
        <w:trPr>
          <w:trHeight w:val="302"/>
          <w:jc w:val="center"/>
        </w:trPr>
        <w:tc>
          <w:tcPr>
            <w:tcW w:w="1562" w:type="dxa"/>
            <w:hideMark/>
          </w:tcPr>
          <w:p w:rsidR="00317BF9" w:rsidRPr="003E5836" w14:paraId="641585B9" w14:textId="77777777">
            <w:pPr>
              <w:keepNext/>
              <w:rPr>
                <w:color w:val="000000" w:themeColor="text1"/>
              </w:rPr>
            </w:pPr>
            <w:r w:rsidRPr="3F60A196">
              <w:rPr>
                <w:color w:val="000000" w:themeColor="text1"/>
              </w:rPr>
              <w:t>Recordkeeping</w:t>
            </w:r>
          </w:p>
        </w:tc>
        <w:tc>
          <w:tcPr>
            <w:tcW w:w="1483" w:type="dxa"/>
            <w:noWrap/>
            <w:hideMark/>
          </w:tcPr>
          <w:p w:rsidR="00317BF9" w:rsidRPr="0014408F" w14:paraId="28B801B8" w14:textId="77777777">
            <w:pPr>
              <w:keepNext/>
              <w:jc w:val="right"/>
              <w:rPr>
                <w:rFonts w:eastAsia="Arial"/>
                <w:color w:val="000000" w:themeColor="text1"/>
              </w:rPr>
            </w:pPr>
            <w:r w:rsidRPr="0014408F">
              <w:rPr>
                <w:rFonts w:eastAsia="Arial"/>
                <w:color w:val="000000" w:themeColor="text1"/>
              </w:rPr>
              <w:t>40,665</w:t>
            </w:r>
          </w:p>
        </w:tc>
        <w:tc>
          <w:tcPr>
            <w:tcW w:w="1228" w:type="dxa"/>
            <w:noWrap/>
            <w:hideMark/>
          </w:tcPr>
          <w:p w:rsidR="00317BF9" w:rsidRPr="0014408F" w14:paraId="3626BED2" w14:textId="77777777">
            <w:pPr>
              <w:keepNext/>
              <w:jc w:val="right"/>
              <w:rPr>
                <w:rFonts w:eastAsia="Arial"/>
                <w:color w:val="000000" w:themeColor="text1"/>
              </w:rPr>
            </w:pPr>
            <w:r w:rsidRPr="0014408F">
              <w:rPr>
                <w:rFonts w:eastAsia="Arial"/>
                <w:color w:val="000000" w:themeColor="text1"/>
              </w:rPr>
              <w:t>23.4</w:t>
            </w:r>
          </w:p>
        </w:tc>
        <w:tc>
          <w:tcPr>
            <w:tcW w:w="1284" w:type="dxa"/>
            <w:noWrap/>
            <w:hideMark/>
          </w:tcPr>
          <w:p w:rsidR="00317BF9" w:rsidRPr="0014408F" w14:paraId="07734301" w14:textId="77777777">
            <w:pPr>
              <w:keepNext/>
              <w:jc w:val="right"/>
              <w:rPr>
                <w:rFonts w:eastAsia="Arial"/>
                <w:color w:val="000000" w:themeColor="text1"/>
              </w:rPr>
            </w:pPr>
            <w:r w:rsidRPr="0014408F">
              <w:rPr>
                <w:rFonts w:eastAsia="Arial"/>
                <w:color w:val="000000" w:themeColor="text1"/>
              </w:rPr>
              <w:t>949,886</w:t>
            </w:r>
          </w:p>
        </w:tc>
        <w:tc>
          <w:tcPr>
            <w:tcW w:w="1172" w:type="dxa"/>
            <w:noWrap/>
            <w:hideMark/>
          </w:tcPr>
          <w:p w:rsidR="00317BF9" w:rsidRPr="0014408F" w14:paraId="6BDE2021" w14:textId="77777777">
            <w:pPr>
              <w:keepNext/>
              <w:jc w:val="right"/>
              <w:rPr>
                <w:rFonts w:eastAsia="Arial"/>
                <w:color w:val="000000" w:themeColor="text1"/>
              </w:rPr>
            </w:pPr>
            <w:r w:rsidRPr="0014408F">
              <w:rPr>
                <w:rFonts w:eastAsia="Arial"/>
                <w:color w:val="000000" w:themeColor="text1"/>
              </w:rPr>
              <w:t>0.0208</w:t>
            </w:r>
          </w:p>
        </w:tc>
        <w:tc>
          <w:tcPr>
            <w:tcW w:w="1140" w:type="dxa"/>
            <w:noWrap/>
            <w:hideMark/>
          </w:tcPr>
          <w:p w:rsidR="00317BF9" w:rsidRPr="0014408F" w14:paraId="4383769E" w14:textId="77777777">
            <w:pPr>
              <w:keepNext/>
              <w:jc w:val="right"/>
              <w:rPr>
                <w:rFonts w:eastAsia="Arial"/>
                <w:color w:val="000000" w:themeColor="text1"/>
              </w:rPr>
            </w:pPr>
            <w:r w:rsidRPr="0014408F">
              <w:rPr>
                <w:rFonts w:eastAsia="Arial"/>
                <w:color w:val="000000" w:themeColor="text1"/>
              </w:rPr>
              <w:t>19,789</w:t>
            </w:r>
          </w:p>
        </w:tc>
        <w:tc>
          <w:tcPr>
            <w:tcW w:w="1196" w:type="dxa"/>
            <w:noWrap/>
            <w:hideMark/>
          </w:tcPr>
          <w:p w:rsidR="00317BF9" w:rsidRPr="0014408F" w14:paraId="256A6324" w14:textId="77777777">
            <w:pPr>
              <w:keepNext/>
              <w:jc w:val="right"/>
              <w:rPr>
                <w:rFonts w:eastAsia="Arial"/>
                <w:color w:val="000000" w:themeColor="text1"/>
              </w:rPr>
            </w:pPr>
            <w:r w:rsidRPr="0014408F">
              <w:rPr>
                <w:rFonts w:eastAsia="Arial"/>
                <w:color w:val="000000" w:themeColor="text1"/>
              </w:rPr>
              <w:t>$35.56</w:t>
            </w:r>
          </w:p>
        </w:tc>
        <w:tc>
          <w:tcPr>
            <w:tcW w:w="1329" w:type="dxa"/>
            <w:noWrap/>
            <w:hideMark/>
          </w:tcPr>
          <w:p w:rsidR="00317BF9" w:rsidRPr="0014408F" w14:paraId="7D6A2A73" w14:textId="77777777">
            <w:pPr>
              <w:keepNext/>
              <w:jc w:val="right"/>
              <w:rPr>
                <w:rFonts w:eastAsia="Arial"/>
                <w:color w:val="000000" w:themeColor="text1"/>
              </w:rPr>
            </w:pPr>
            <w:r w:rsidRPr="0014408F">
              <w:rPr>
                <w:rFonts w:eastAsia="Arial"/>
                <w:color w:val="000000" w:themeColor="text1"/>
              </w:rPr>
              <w:t>$703,708</w:t>
            </w:r>
          </w:p>
        </w:tc>
      </w:tr>
      <w:tr w14:paraId="0CDC4B57" w14:textId="77777777" w:rsidTr="00317BF9">
        <w:tblPrEx>
          <w:tblW w:w="10394" w:type="dxa"/>
          <w:jc w:val="center"/>
          <w:tblLook w:val="04A0"/>
        </w:tblPrEx>
        <w:trPr>
          <w:trHeight w:val="302"/>
          <w:jc w:val="center"/>
        </w:trPr>
        <w:tc>
          <w:tcPr>
            <w:tcW w:w="1562" w:type="dxa"/>
            <w:hideMark/>
          </w:tcPr>
          <w:p w:rsidR="00317BF9" w:rsidRPr="003E5836" w14:paraId="21471831" w14:textId="77777777">
            <w:pPr>
              <w:keepNext/>
              <w:rPr>
                <w:color w:val="000000" w:themeColor="text1"/>
              </w:rPr>
            </w:pPr>
            <w:r w:rsidRPr="3F60A196">
              <w:rPr>
                <w:color w:val="000000" w:themeColor="text1"/>
              </w:rPr>
              <w:t>eFiling</w:t>
            </w:r>
          </w:p>
        </w:tc>
        <w:tc>
          <w:tcPr>
            <w:tcW w:w="1483" w:type="dxa"/>
            <w:noWrap/>
            <w:hideMark/>
          </w:tcPr>
          <w:p w:rsidR="00317BF9" w:rsidRPr="0014408F" w14:paraId="3F77D21D" w14:textId="77777777">
            <w:pPr>
              <w:keepNext/>
              <w:jc w:val="right"/>
              <w:rPr>
                <w:rFonts w:eastAsia="Arial"/>
                <w:color w:val="000000" w:themeColor="text1"/>
              </w:rPr>
            </w:pPr>
            <w:r w:rsidRPr="0014408F">
              <w:rPr>
                <w:rFonts w:eastAsia="Arial"/>
                <w:color w:val="000000" w:themeColor="text1"/>
              </w:rPr>
              <w:t>40,665</w:t>
            </w:r>
          </w:p>
        </w:tc>
        <w:tc>
          <w:tcPr>
            <w:tcW w:w="1228" w:type="dxa"/>
            <w:noWrap/>
            <w:hideMark/>
          </w:tcPr>
          <w:p w:rsidR="00317BF9" w:rsidRPr="0014408F" w14:paraId="72C472DB" w14:textId="77777777">
            <w:pPr>
              <w:keepNext/>
              <w:jc w:val="right"/>
              <w:rPr>
                <w:rFonts w:eastAsia="Arial"/>
                <w:color w:val="000000" w:themeColor="text1"/>
              </w:rPr>
            </w:pPr>
            <w:r w:rsidRPr="0014408F">
              <w:rPr>
                <w:rFonts w:eastAsia="Arial"/>
                <w:color w:val="000000" w:themeColor="text1"/>
              </w:rPr>
              <w:t>577.7</w:t>
            </w:r>
          </w:p>
        </w:tc>
        <w:tc>
          <w:tcPr>
            <w:tcW w:w="1284" w:type="dxa"/>
            <w:noWrap/>
            <w:hideMark/>
          </w:tcPr>
          <w:p w:rsidR="00317BF9" w:rsidRPr="0014408F" w14:paraId="757730F8" w14:textId="77777777">
            <w:pPr>
              <w:keepNext/>
              <w:jc w:val="right"/>
              <w:rPr>
                <w:rFonts w:eastAsia="Arial"/>
                <w:color w:val="000000" w:themeColor="text1"/>
              </w:rPr>
            </w:pPr>
            <w:r w:rsidRPr="0014408F">
              <w:rPr>
                <w:rFonts w:eastAsia="Arial"/>
                <w:color w:val="000000" w:themeColor="text1"/>
              </w:rPr>
              <w:t>23,491,168</w:t>
            </w:r>
          </w:p>
        </w:tc>
        <w:tc>
          <w:tcPr>
            <w:tcW w:w="1172" w:type="dxa"/>
            <w:noWrap/>
            <w:hideMark/>
          </w:tcPr>
          <w:p w:rsidR="00317BF9" w:rsidRPr="0014408F" w14:paraId="789E8C35" w14:textId="77777777">
            <w:pPr>
              <w:keepNext/>
              <w:jc w:val="right"/>
              <w:rPr>
                <w:rFonts w:eastAsia="Arial"/>
                <w:color w:val="000000" w:themeColor="text1"/>
              </w:rPr>
            </w:pPr>
            <w:r w:rsidRPr="0014408F">
              <w:rPr>
                <w:rFonts w:eastAsia="Arial"/>
                <w:color w:val="000000" w:themeColor="text1"/>
              </w:rPr>
              <w:t>0.0062</w:t>
            </w:r>
          </w:p>
        </w:tc>
        <w:tc>
          <w:tcPr>
            <w:tcW w:w="1140" w:type="dxa"/>
            <w:noWrap/>
            <w:hideMark/>
          </w:tcPr>
          <w:p w:rsidR="00317BF9" w:rsidRPr="0014408F" w14:paraId="7575BFAB" w14:textId="77777777">
            <w:pPr>
              <w:keepNext/>
              <w:jc w:val="right"/>
              <w:rPr>
                <w:rFonts w:eastAsia="Arial"/>
                <w:color w:val="000000" w:themeColor="text1"/>
              </w:rPr>
            </w:pPr>
            <w:r w:rsidRPr="0014408F">
              <w:rPr>
                <w:rFonts w:eastAsia="Arial"/>
                <w:color w:val="000000" w:themeColor="text1"/>
              </w:rPr>
              <w:t>144,487</w:t>
            </w:r>
          </w:p>
        </w:tc>
        <w:tc>
          <w:tcPr>
            <w:tcW w:w="1196" w:type="dxa"/>
            <w:noWrap/>
            <w:hideMark/>
          </w:tcPr>
          <w:p w:rsidR="00317BF9" w:rsidRPr="0014408F" w14:paraId="4146EB0C" w14:textId="77777777">
            <w:pPr>
              <w:keepNext/>
              <w:jc w:val="right"/>
              <w:rPr>
                <w:rFonts w:eastAsia="Arial"/>
                <w:color w:val="000000" w:themeColor="text1"/>
              </w:rPr>
            </w:pPr>
            <w:r w:rsidRPr="0014408F">
              <w:rPr>
                <w:rFonts w:eastAsia="Arial"/>
                <w:color w:val="000000" w:themeColor="text1"/>
              </w:rPr>
              <w:t>$35.56</w:t>
            </w:r>
          </w:p>
        </w:tc>
        <w:tc>
          <w:tcPr>
            <w:tcW w:w="1329" w:type="dxa"/>
            <w:noWrap/>
            <w:hideMark/>
          </w:tcPr>
          <w:p w:rsidR="00317BF9" w:rsidRPr="0014408F" w14:paraId="58B402CD" w14:textId="77777777">
            <w:pPr>
              <w:keepNext/>
              <w:jc w:val="right"/>
              <w:rPr>
                <w:rFonts w:eastAsia="Arial"/>
                <w:color w:val="000000" w:themeColor="text1"/>
              </w:rPr>
            </w:pPr>
            <w:r w:rsidRPr="0014408F">
              <w:rPr>
                <w:rFonts w:eastAsia="Arial"/>
                <w:color w:val="000000" w:themeColor="text1"/>
              </w:rPr>
              <w:t>$5,137,946</w:t>
            </w:r>
          </w:p>
        </w:tc>
      </w:tr>
      <w:tr w14:paraId="0CABF878" w14:textId="77777777" w:rsidTr="00317BF9">
        <w:tblPrEx>
          <w:tblW w:w="10394" w:type="dxa"/>
          <w:jc w:val="center"/>
          <w:tblLook w:val="04A0"/>
        </w:tblPrEx>
        <w:trPr>
          <w:trHeight w:val="302"/>
          <w:jc w:val="center"/>
        </w:trPr>
        <w:tc>
          <w:tcPr>
            <w:tcW w:w="1562" w:type="dxa"/>
            <w:noWrap/>
            <w:hideMark/>
          </w:tcPr>
          <w:p w:rsidR="00317BF9" w:rsidRPr="003E5836" w14:paraId="7A430C6A" w14:textId="77777777">
            <w:pPr>
              <w:keepNext/>
              <w:rPr>
                <w:color w:val="000000" w:themeColor="text1"/>
              </w:rPr>
            </w:pPr>
            <w:r w:rsidRPr="3F60A196">
              <w:rPr>
                <w:color w:val="000000" w:themeColor="text1"/>
              </w:rPr>
              <w:t>Total</w:t>
            </w:r>
          </w:p>
        </w:tc>
        <w:tc>
          <w:tcPr>
            <w:tcW w:w="1483" w:type="dxa"/>
            <w:noWrap/>
            <w:hideMark/>
          </w:tcPr>
          <w:p w:rsidR="00317BF9" w:rsidRPr="0014408F" w14:paraId="7940271B" w14:textId="77777777">
            <w:pPr>
              <w:keepNext/>
              <w:jc w:val="right"/>
              <w:rPr>
                <w:rFonts w:eastAsia="Arial"/>
                <w:color w:val="000000" w:themeColor="text1"/>
              </w:rPr>
            </w:pPr>
            <w:r w:rsidRPr="0014408F">
              <w:rPr>
                <w:rFonts w:eastAsia="Arial"/>
                <w:color w:val="000000" w:themeColor="text1"/>
              </w:rPr>
              <w:t>40,665</w:t>
            </w:r>
          </w:p>
        </w:tc>
        <w:tc>
          <w:tcPr>
            <w:tcW w:w="1228" w:type="dxa"/>
            <w:noWrap/>
            <w:hideMark/>
          </w:tcPr>
          <w:p w:rsidR="00317BF9" w:rsidRPr="0014408F" w14:paraId="2D292687" w14:textId="77777777">
            <w:pPr>
              <w:keepNext/>
              <w:jc w:val="right"/>
              <w:rPr>
                <w:rFonts w:eastAsia="Arial"/>
                <w:color w:val="000000" w:themeColor="text1"/>
              </w:rPr>
            </w:pPr>
            <w:r w:rsidRPr="0014408F">
              <w:rPr>
                <w:rFonts w:eastAsia="Arial"/>
                <w:color w:val="000000" w:themeColor="text1"/>
              </w:rPr>
              <w:t>647.8</w:t>
            </w:r>
          </w:p>
        </w:tc>
        <w:tc>
          <w:tcPr>
            <w:tcW w:w="1284" w:type="dxa"/>
            <w:noWrap/>
            <w:hideMark/>
          </w:tcPr>
          <w:p w:rsidR="00317BF9" w:rsidRPr="0014408F" w14:paraId="1EB7DC4A" w14:textId="77777777">
            <w:pPr>
              <w:keepNext/>
              <w:jc w:val="right"/>
              <w:rPr>
                <w:rFonts w:eastAsia="Arial"/>
                <w:color w:val="000000" w:themeColor="text1"/>
              </w:rPr>
            </w:pPr>
            <w:r w:rsidRPr="0014408F">
              <w:rPr>
                <w:rFonts w:eastAsia="Arial"/>
                <w:color w:val="000000" w:themeColor="text1"/>
              </w:rPr>
              <w:t>26,340,828</w:t>
            </w:r>
          </w:p>
        </w:tc>
        <w:tc>
          <w:tcPr>
            <w:tcW w:w="1172" w:type="dxa"/>
            <w:noWrap/>
            <w:hideMark/>
          </w:tcPr>
          <w:p w:rsidR="00317BF9" w:rsidRPr="0014408F" w14:paraId="0E8AD528" w14:textId="77777777">
            <w:pPr>
              <w:keepNext/>
              <w:jc w:val="right"/>
              <w:rPr>
                <w:rFonts w:eastAsia="Arial"/>
                <w:color w:val="000000" w:themeColor="text1"/>
              </w:rPr>
            </w:pPr>
            <w:r w:rsidRPr="0014408F">
              <w:rPr>
                <w:rFonts w:eastAsia="Arial"/>
                <w:color w:val="000000" w:themeColor="text1"/>
              </w:rPr>
              <w:t>0.0183</w:t>
            </w:r>
          </w:p>
        </w:tc>
        <w:tc>
          <w:tcPr>
            <w:tcW w:w="1140" w:type="dxa"/>
            <w:noWrap/>
            <w:hideMark/>
          </w:tcPr>
          <w:p w:rsidR="00317BF9" w:rsidRPr="0014408F" w14:paraId="7F2023F0" w14:textId="77777777">
            <w:pPr>
              <w:keepNext/>
              <w:jc w:val="right"/>
              <w:rPr>
                <w:rFonts w:eastAsia="Arial"/>
                <w:color w:val="000000" w:themeColor="text1"/>
              </w:rPr>
            </w:pPr>
            <w:r w:rsidRPr="0014408F">
              <w:rPr>
                <w:rFonts w:eastAsia="Arial"/>
                <w:color w:val="000000" w:themeColor="text1"/>
              </w:rPr>
              <w:t>480,905</w:t>
            </w:r>
          </w:p>
        </w:tc>
        <w:tc>
          <w:tcPr>
            <w:tcW w:w="1196" w:type="dxa"/>
            <w:noWrap/>
            <w:hideMark/>
          </w:tcPr>
          <w:p w:rsidR="00317BF9" w:rsidRPr="0014408F" w14:paraId="0F0FA82D" w14:textId="77777777">
            <w:pPr>
              <w:keepNext/>
              <w:jc w:val="right"/>
              <w:rPr>
                <w:rFonts w:eastAsia="Arial"/>
                <w:color w:val="000000" w:themeColor="text1"/>
              </w:rPr>
            </w:pPr>
            <w:r w:rsidRPr="0014408F">
              <w:rPr>
                <w:rFonts w:eastAsia="Arial"/>
                <w:color w:val="000000" w:themeColor="text1"/>
              </w:rPr>
              <w:t>$41.73</w:t>
            </w:r>
          </w:p>
        </w:tc>
        <w:tc>
          <w:tcPr>
            <w:tcW w:w="1329" w:type="dxa"/>
            <w:noWrap/>
            <w:hideMark/>
          </w:tcPr>
          <w:p w:rsidR="00317BF9" w:rsidRPr="0014408F" w14:paraId="66B36EBB" w14:textId="77777777">
            <w:pPr>
              <w:keepNext/>
              <w:jc w:val="right"/>
              <w:rPr>
                <w:rFonts w:eastAsia="Arial"/>
                <w:color w:val="000000" w:themeColor="text1"/>
              </w:rPr>
            </w:pPr>
            <w:r w:rsidRPr="0014408F">
              <w:rPr>
                <w:rFonts w:eastAsia="Arial"/>
                <w:color w:val="000000" w:themeColor="text1"/>
              </w:rPr>
              <w:t>$20,066,203</w:t>
            </w:r>
          </w:p>
        </w:tc>
      </w:tr>
      <w:tr w14:paraId="73A616B5" w14:textId="77777777" w:rsidTr="00317BF9">
        <w:tblPrEx>
          <w:tblW w:w="10394" w:type="dxa"/>
          <w:jc w:val="center"/>
          <w:tblLook w:val="04A0"/>
        </w:tblPrEx>
        <w:trPr>
          <w:trHeight w:val="302"/>
          <w:jc w:val="center"/>
        </w:trPr>
        <w:tc>
          <w:tcPr>
            <w:tcW w:w="10394" w:type="dxa"/>
            <w:gridSpan w:val="8"/>
            <w:noWrap/>
            <w:hideMark/>
          </w:tcPr>
          <w:p w:rsidR="00317BF9" w:rsidRPr="003E5836" w14:paraId="3C67C2B9" w14:textId="77777777">
            <w:pPr>
              <w:keepNext/>
              <w:rPr>
                <w:b/>
                <w:bCs/>
                <w:color w:val="000000" w:themeColor="text1"/>
              </w:rPr>
            </w:pPr>
            <w:r w:rsidRPr="3F60A196">
              <w:rPr>
                <w:b/>
                <w:bCs/>
                <w:color w:val="000000" w:themeColor="text1"/>
              </w:rPr>
              <w:t>Additional Burden to Importers</w:t>
            </w:r>
          </w:p>
        </w:tc>
      </w:tr>
      <w:tr w14:paraId="1F4789CA" w14:textId="77777777" w:rsidTr="00317BF9">
        <w:tblPrEx>
          <w:tblW w:w="10394" w:type="dxa"/>
          <w:jc w:val="center"/>
          <w:tblLook w:val="04A0"/>
        </w:tblPrEx>
        <w:trPr>
          <w:trHeight w:val="302"/>
          <w:jc w:val="center"/>
        </w:trPr>
        <w:tc>
          <w:tcPr>
            <w:tcW w:w="1562" w:type="dxa"/>
            <w:hideMark/>
          </w:tcPr>
          <w:p w:rsidR="00317BF9" w:rsidRPr="003E5836" w14:paraId="45C22659" w14:textId="77777777">
            <w:pPr>
              <w:keepNext/>
              <w:rPr>
                <w:color w:val="000000" w:themeColor="text1"/>
              </w:rPr>
            </w:pPr>
            <w:r w:rsidRPr="3F60A196">
              <w:rPr>
                <w:color w:val="000000" w:themeColor="text1"/>
              </w:rPr>
              <w:t>Total</w:t>
            </w:r>
          </w:p>
        </w:tc>
        <w:tc>
          <w:tcPr>
            <w:tcW w:w="1483" w:type="dxa"/>
            <w:noWrap/>
            <w:hideMark/>
          </w:tcPr>
          <w:p w:rsidR="00317BF9" w:rsidRPr="0014408F" w14:paraId="44460344" w14:textId="77777777">
            <w:pPr>
              <w:keepNext/>
              <w:jc w:val="right"/>
              <w:rPr>
                <w:rFonts w:eastAsia="Arial"/>
                <w:color w:val="000000" w:themeColor="text1"/>
              </w:rPr>
            </w:pPr>
            <w:bookmarkStart w:id="1" w:name="_Hlk187754310"/>
            <w:r w:rsidRPr="0014408F">
              <w:rPr>
                <w:rFonts w:eastAsia="Arial"/>
                <w:color w:val="000000" w:themeColor="text1"/>
              </w:rPr>
              <w:t>40,665</w:t>
            </w:r>
            <w:bookmarkEnd w:id="1"/>
          </w:p>
        </w:tc>
        <w:tc>
          <w:tcPr>
            <w:tcW w:w="1228" w:type="dxa"/>
            <w:noWrap/>
            <w:hideMark/>
          </w:tcPr>
          <w:p w:rsidR="00317BF9" w:rsidRPr="0014408F" w14:paraId="4CF826DD" w14:textId="77777777">
            <w:pPr>
              <w:keepNext/>
              <w:jc w:val="right"/>
              <w:rPr>
                <w:rFonts w:eastAsia="Arial"/>
                <w:color w:val="000000" w:themeColor="text1"/>
              </w:rPr>
            </w:pPr>
            <w:r w:rsidRPr="0014408F">
              <w:rPr>
                <w:rFonts w:eastAsia="Arial"/>
                <w:color w:val="000000" w:themeColor="text1"/>
              </w:rPr>
              <w:t>577.7</w:t>
            </w:r>
          </w:p>
        </w:tc>
        <w:tc>
          <w:tcPr>
            <w:tcW w:w="1284" w:type="dxa"/>
            <w:noWrap/>
            <w:hideMark/>
          </w:tcPr>
          <w:p w:rsidR="00317BF9" w:rsidRPr="0014408F" w14:paraId="66F7B9FC" w14:textId="77777777">
            <w:pPr>
              <w:keepNext/>
              <w:jc w:val="right"/>
              <w:rPr>
                <w:rFonts w:eastAsia="Arial"/>
                <w:color w:val="000000" w:themeColor="text1"/>
              </w:rPr>
            </w:pPr>
            <w:r w:rsidRPr="0014408F">
              <w:rPr>
                <w:rFonts w:eastAsia="Arial"/>
                <w:color w:val="000000" w:themeColor="text1"/>
              </w:rPr>
              <w:t>23,491,168</w:t>
            </w:r>
          </w:p>
        </w:tc>
        <w:tc>
          <w:tcPr>
            <w:tcW w:w="1172" w:type="dxa"/>
            <w:noWrap/>
            <w:hideMark/>
          </w:tcPr>
          <w:p w:rsidR="00317BF9" w:rsidRPr="0014408F" w14:paraId="48A6E03F" w14:textId="77777777">
            <w:pPr>
              <w:keepNext/>
              <w:jc w:val="right"/>
              <w:rPr>
                <w:rFonts w:eastAsia="Arial"/>
                <w:color w:val="000000" w:themeColor="text1"/>
              </w:rPr>
            </w:pPr>
            <w:r w:rsidRPr="0014408F">
              <w:rPr>
                <w:rFonts w:eastAsia="Arial"/>
                <w:color w:val="000000" w:themeColor="text1"/>
              </w:rPr>
              <w:t>0.0062</w:t>
            </w:r>
          </w:p>
        </w:tc>
        <w:tc>
          <w:tcPr>
            <w:tcW w:w="1140" w:type="dxa"/>
            <w:noWrap/>
            <w:hideMark/>
          </w:tcPr>
          <w:p w:rsidR="00317BF9" w:rsidRPr="0014408F" w14:paraId="44F5B9B6" w14:textId="77777777">
            <w:pPr>
              <w:keepNext/>
              <w:jc w:val="right"/>
              <w:rPr>
                <w:rFonts w:eastAsia="Arial"/>
                <w:color w:val="000000" w:themeColor="text1"/>
              </w:rPr>
            </w:pPr>
            <w:r w:rsidRPr="0014408F">
              <w:rPr>
                <w:rFonts w:eastAsia="Arial"/>
                <w:color w:val="000000" w:themeColor="text1"/>
              </w:rPr>
              <w:t>146,070</w:t>
            </w:r>
          </w:p>
        </w:tc>
        <w:tc>
          <w:tcPr>
            <w:tcW w:w="1196" w:type="dxa"/>
            <w:noWrap/>
            <w:hideMark/>
          </w:tcPr>
          <w:p w:rsidR="00317BF9" w:rsidRPr="0014408F" w14:paraId="21E25961" w14:textId="77777777">
            <w:pPr>
              <w:keepNext/>
              <w:jc w:val="right"/>
              <w:rPr>
                <w:rFonts w:eastAsia="Arial"/>
                <w:color w:val="000000" w:themeColor="text1"/>
              </w:rPr>
            </w:pPr>
            <w:r w:rsidRPr="0014408F">
              <w:rPr>
                <w:rFonts w:eastAsia="Arial"/>
                <w:color w:val="000000" w:themeColor="text1"/>
              </w:rPr>
              <w:t>$35.56</w:t>
            </w:r>
          </w:p>
        </w:tc>
        <w:tc>
          <w:tcPr>
            <w:tcW w:w="1329" w:type="dxa"/>
            <w:noWrap/>
            <w:hideMark/>
          </w:tcPr>
          <w:p w:rsidR="00317BF9" w:rsidRPr="0014408F" w14:paraId="038BA50D" w14:textId="77777777">
            <w:pPr>
              <w:keepNext/>
              <w:jc w:val="right"/>
              <w:rPr>
                <w:rFonts w:eastAsia="Arial"/>
                <w:color w:val="000000" w:themeColor="text1"/>
              </w:rPr>
            </w:pPr>
            <w:r w:rsidRPr="0014408F">
              <w:rPr>
                <w:rFonts w:eastAsia="Arial"/>
                <w:color w:val="000000" w:themeColor="text1"/>
              </w:rPr>
              <w:t>$5,194,243</w:t>
            </w:r>
          </w:p>
        </w:tc>
      </w:tr>
    </w:tbl>
    <w:p w:rsidR="00706F6B" w:rsidP="00D93E7C" w14:paraId="639BEB7A" w14:textId="77777777"/>
    <w:p w:rsidR="00781F94" w:rsidP="00D93E7C" w14:paraId="63AA0D7D" w14:textId="77777777"/>
    <w:p w:rsidR="00781F94" w:rsidP="0036713E" w14:paraId="0AD73ADA" w14:textId="36BABD3F">
      <w:pPr>
        <w:pStyle w:val="TableTitle"/>
      </w:pPr>
      <w:r w:rsidRPr="00C15A33">
        <w:t xml:space="preserve">Table </w:t>
      </w:r>
      <w:r>
        <w:t>C</w:t>
      </w:r>
      <w:r w:rsidRPr="00C15A33">
        <w:t>: eFiling Children’s Product Certificates (CPC)</w:t>
      </w:r>
    </w:p>
    <w:tbl>
      <w:tblPr>
        <w:tblStyle w:val="CPSCLightBlueTableStyle"/>
        <w:tblW w:w="10325" w:type="dxa"/>
        <w:tblLook w:val="04A0"/>
      </w:tblPr>
      <w:tblGrid>
        <w:gridCol w:w="1032"/>
        <w:gridCol w:w="1497"/>
        <w:gridCol w:w="1450"/>
        <w:gridCol w:w="1298"/>
        <w:gridCol w:w="1186"/>
        <w:gridCol w:w="1170"/>
        <w:gridCol w:w="1357"/>
        <w:gridCol w:w="1336"/>
      </w:tblGrid>
      <w:tr w14:paraId="496F647F" w14:textId="77777777" w:rsidTr="00781F94">
        <w:tblPrEx>
          <w:tblW w:w="10325" w:type="dxa"/>
          <w:tblLook w:val="04A0"/>
        </w:tblPrEx>
        <w:trPr>
          <w:trHeight w:val="557"/>
        </w:trPr>
        <w:tc>
          <w:tcPr>
            <w:tcW w:w="1127" w:type="dxa"/>
            <w:hideMark/>
          </w:tcPr>
          <w:p w:rsidR="00781F94" w:rsidRPr="0036713E" w:rsidP="0036713E" w14:paraId="57EF1C6D" w14:textId="77777777">
            <w:pPr>
              <w:keepNext/>
              <w:rPr>
                <w:color w:val="000000" w:themeColor="text1"/>
                <w:sz w:val="20"/>
              </w:rPr>
            </w:pPr>
            <w:r w:rsidRPr="0036713E">
              <w:rPr>
                <w:color w:val="000000" w:themeColor="text1"/>
                <w:sz w:val="20"/>
              </w:rPr>
              <w:t>Total Burden</w:t>
            </w:r>
          </w:p>
        </w:tc>
        <w:tc>
          <w:tcPr>
            <w:tcW w:w="1457" w:type="dxa"/>
            <w:hideMark/>
          </w:tcPr>
          <w:p w:rsidR="00781F94" w:rsidRPr="0036713E" w:rsidP="0036713E" w14:paraId="0B226A6D" w14:textId="77777777">
            <w:pPr>
              <w:keepNext/>
              <w:jc w:val="left"/>
              <w:rPr>
                <w:color w:val="000000" w:themeColor="text1"/>
                <w:sz w:val="20"/>
              </w:rPr>
            </w:pPr>
            <w:r w:rsidRPr="0036713E">
              <w:rPr>
                <w:color w:val="000000" w:themeColor="text1"/>
                <w:sz w:val="20"/>
              </w:rPr>
              <w:t>Respondents</w:t>
            </w:r>
          </w:p>
        </w:tc>
        <w:tc>
          <w:tcPr>
            <w:tcW w:w="1450" w:type="dxa"/>
            <w:hideMark/>
          </w:tcPr>
          <w:p w:rsidR="00781F94" w:rsidRPr="0036713E" w:rsidP="0036713E" w14:paraId="42598F7F" w14:textId="77777777">
            <w:pPr>
              <w:keepNext/>
              <w:jc w:val="left"/>
              <w:rPr>
                <w:color w:val="000000" w:themeColor="text1"/>
                <w:sz w:val="20"/>
              </w:rPr>
            </w:pPr>
            <w:r w:rsidRPr="0036713E">
              <w:rPr>
                <w:color w:val="000000" w:themeColor="text1"/>
                <w:sz w:val="20"/>
              </w:rPr>
              <w:t>Frequency of Response</w:t>
            </w:r>
          </w:p>
        </w:tc>
        <w:tc>
          <w:tcPr>
            <w:tcW w:w="1277" w:type="dxa"/>
            <w:hideMark/>
          </w:tcPr>
          <w:p w:rsidR="00781F94" w:rsidRPr="0036713E" w:rsidP="0036713E" w14:paraId="00E2C1F3" w14:textId="77777777">
            <w:pPr>
              <w:keepNext/>
              <w:jc w:val="left"/>
              <w:rPr>
                <w:color w:val="000000" w:themeColor="text1"/>
                <w:sz w:val="20"/>
              </w:rPr>
            </w:pPr>
            <w:r w:rsidRPr="0036713E">
              <w:rPr>
                <w:color w:val="000000" w:themeColor="text1"/>
                <w:sz w:val="20"/>
              </w:rPr>
              <w:t>Responses</w:t>
            </w:r>
          </w:p>
        </w:tc>
        <w:tc>
          <w:tcPr>
            <w:tcW w:w="1079" w:type="dxa"/>
            <w:hideMark/>
          </w:tcPr>
          <w:p w:rsidR="00781F94" w:rsidRPr="0036713E" w:rsidP="0036713E" w14:paraId="16372D58" w14:textId="77777777">
            <w:pPr>
              <w:keepNext/>
              <w:jc w:val="left"/>
              <w:rPr>
                <w:color w:val="000000" w:themeColor="text1"/>
                <w:sz w:val="20"/>
              </w:rPr>
            </w:pPr>
            <w:r w:rsidRPr="0036713E">
              <w:rPr>
                <w:color w:val="000000" w:themeColor="text1"/>
                <w:sz w:val="20"/>
              </w:rPr>
              <w:t>Response Time</w:t>
            </w:r>
          </w:p>
        </w:tc>
        <w:tc>
          <w:tcPr>
            <w:tcW w:w="1170" w:type="dxa"/>
            <w:hideMark/>
          </w:tcPr>
          <w:p w:rsidR="00781F94" w:rsidRPr="0036713E" w:rsidP="0036713E" w14:paraId="5DD346EF" w14:textId="77777777">
            <w:pPr>
              <w:keepNext/>
              <w:jc w:val="left"/>
              <w:rPr>
                <w:color w:val="000000" w:themeColor="text1"/>
                <w:sz w:val="20"/>
              </w:rPr>
            </w:pPr>
            <w:r w:rsidRPr="0036713E">
              <w:rPr>
                <w:color w:val="000000" w:themeColor="text1"/>
                <w:sz w:val="20"/>
              </w:rPr>
              <w:t>Burden Hours</w:t>
            </w:r>
          </w:p>
        </w:tc>
        <w:tc>
          <w:tcPr>
            <w:tcW w:w="1357" w:type="dxa"/>
            <w:hideMark/>
          </w:tcPr>
          <w:p w:rsidR="00781F94" w:rsidRPr="0036713E" w:rsidP="0036713E" w14:paraId="0D552C7C" w14:textId="77777777">
            <w:pPr>
              <w:keepNext/>
              <w:jc w:val="left"/>
              <w:rPr>
                <w:color w:val="000000" w:themeColor="text1"/>
                <w:sz w:val="20"/>
              </w:rPr>
            </w:pPr>
            <w:r w:rsidRPr="0036713E">
              <w:rPr>
                <w:color w:val="000000" w:themeColor="text1"/>
                <w:sz w:val="20"/>
              </w:rPr>
              <w:t>Cost per Burden Hour</w:t>
            </w:r>
            <w:r>
              <w:rPr>
                <w:color w:val="000000" w:themeColor="text1"/>
                <w:sz w:val="20"/>
              </w:rPr>
              <w:footnoteReference w:id="7"/>
            </w:r>
          </w:p>
        </w:tc>
        <w:tc>
          <w:tcPr>
            <w:tcW w:w="0" w:type="auto"/>
            <w:hideMark/>
          </w:tcPr>
          <w:p w:rsidR="00781F94" w:rsidRPr="0036713E" w:rsidP="0036713E" w14:paraId="17985130" w14:textId="77777777">
            <w:pPr>
              <w:keepNext/>
              <w:jc w:val="left"/>
              <w:rPr>
                <w:color w:val="000000" w:themeColor="text1"/>
                <w:sz w:val="20"/>
              </w:rPr>
            </w:pPr>
            <w:r w:rsidRPr="0036713E">
              <w:rPr>
                <w:color w:val="000000" w:themeColor="text1"/>
                <w:sz w:val="20"/>
              </w:rPr>
              <w:t>Total Cost of Burden</w:t>
            </w:r>
          </w:p>
        </w:tc>
      </w:tr>
      <w:tr w14:paraId="727610D9" w14:textId="77777777" w:rsidTr="00781F94">
        <w:tblPrEx>
          <w:tblW w:w="10325" w:type="dxa"/>
          <w:tblLook w:val="04A0"/>
        </w:tblPrEx>
        <w:trPr>
          <w:trHeight w:val="316"/>
        </w:trPr>
        <w:tc>
          <w:tcPr>
            <w:tcW w:w="1127" w:type="dxa"/>
            <w:hideMark/>
          </w:tcPr>
          <w:p w:rsidR="00781F94" w:rsidRPr="00781F94" w:rsidP="00781F94" w14:paraId="516F2F9B" w14:textId="77777777">
            <w:pPr>
              <w:spacing w:after="160" w:line="259" w:lineRule="auto"/>
            </w:pPr>
            <w:r w:rsidRPr="00781F94">
              <w:t>eFiling</w:t>
            </w:r>
          </w:p>
        </w:tc>
        <w:tc>
          <w:tcPr>
            <w:tcW w:w="1457" w:type="dxa"/>
            <w:noWrap/>
            <w:hideMark/>
          </w:tcPr>
          <w:p w:rsidR="00781F94" w:rsidRPr="00781F94" w:rsidP="00781F94" w14:paraId="3182347C" w14:textId="77777777">
            <w:pPr>
              <w:spacing w:after="160" w:line="259" w:lineRule="auto"/>
            </w:pPr>
            <w:r w:rsidRPr="00781F94">
              <w:t>224,000</w:t>
            </w:r>
          </w:p>
        </w:tc>
        <w:tc>
          <w:tcPr>
            <w:tcW w:w="1450" w:type="dxa"/>
            <w:noWrap/>
            <w:hideMark/>
          </w:tcPr>
          <w:p w:rsidR="00781F94" w:rsidRPr="00781F94" w:rsidP="00781F94" w14:paraId="6B245774" w14:textId="77777777">
            <w:pPr>
              <w:spacing w:after="160" w:line="259" w:lineRule="auto"/>
            </w:pPr>
            <w:r w:rsidRPr="00781F94">
              <w:t>152.0</w:t>
            </w:r>
          </w:p>
        </w:tc>
        <w:tc>
          <w:tcPr>
            <w:tcW w:w="1277" w:type="dxa"/>
            <w:noWrap/>
            <w:hideMark/>
          </w:tcPr>
          <w:p w:rsidR="00781F94" w:rsidRPr="00781F94" w:rsidP="00781F94" w14:paraId="6C3BF83F" w14:textId="77777777">
            <w:pPr>
              <w:spacing w:after="160" w:line="259" w:lineRule="auto"/>
            </w:pPr>
            <w:r w:rsidRPr="00781F94">
              <w:t>34,055,116</w:t>
            </w:r>
          </w:p>
        </w:tc>
        <w:tc>
          <w:tcPr>
            <w:tcW w:w="1079" w:type="dxa"/>
            <w:noWrap/>
            <w:hideMark/>
          </w:tcPr>
          <w:p w:rsidR="00781F94" w:rsidRPr="00781F94" w:rsidP="00781F94" w14:paraId="53AF7382" w14:textId="77777777">
            <w:pPr>
              <w:spacing w:after="160" w:line="259" w:lineRule="auto"/>
            </w:pPr>
            <w:r w:rsidRPr="00781F94">
              <w:t>0.0062</w:t>
            </w:r>
          </w:p>
        </w:tc>
        <w:tc>
          <w:tcPr>
            <w:tcW w:w="1170" w:type="dxa"/>
            <w:noWrap/>
            <w:hideMark/>
          </w:tcPr>
          <w:p w:rsidR="00781F94" w:rsidRPr="00781F94" w:rsidP="00781F94" w14:paraId="0CEF2E5A" w14:textId="77777777">
            <w:pPr>
              <w:spacing w:after="160" w:line="259" w:lineRule="auto"/>
            </w:pPr>
            <w:r w:rsidRPr="00781F94">
              <w:t>209,462</w:t>
            </w:r>
          </w:p>
        </w:tc>
        <w:tc>
          <w:tcPr>
            <w:tcW w:w="1357" w:type="dxa"/>
            <w:noWrap/>
            <w:hideMark/>
          </w:tcPr>
          <w:p w:rsidR="00781F94" w:rsidRPr="00781F94" w:rsidP="00781F94" w14:paraId="4ED1EA4B" w14:textId="77777777">
            <w:pPr>
              <w:spacing w:after="160" w:line="259" w:lineRule="auto"/>
            </w:pPr>
            <w:r w:rsidRPr="00781F94">
              <w:t>$35.56</w:t>
            </w:r>
          </w:p>
        </w:tc>
        <w:tc>
          <w:tcPr>
            <w:tcW w:w="0" w:type="auto"/>
            <w:noWrap/>
            <w:hideMark/>
          </w:tcPr>
          <w:p w:rsidR="00781F94" w:rsidRPr="00781F94" w:rsidP="00781F94" w14:paraId="6616108B" w14:textId="77777777">
            <w:pPr>
              <w:spacing w:after="160" w:line="259" w:lineRule="auto"/>
            </w:pPr>
            <w:r w:rsidRPr="00781F94">
              <w:t>$7,448,474</w:t>
            </w:r>
          </w:p>
        </w:tc>
      </w:tr>
      <w:tr w14:paraId="555B31FD" w14:textId="77777777" w:rsidTr="0036713E">
        <w:tblPrEx>
          <w:tblW w:w="10325" w:type="dxa"/>
          <w:tblLook w:val="04A0"/>
        </w:tblPrEx>
        <w:trPr>
          <w:trHeight w:val="350"/>
        </w:trPr>
        <w:tc>
          <w:tcPr>
            <w:tcW w:w="10325" w:type="dxa"/>
            <w:gridSpan w:val="8"/>
            <w:noWrap/>
            <w:hideMark/>
          </w:tcPr>
          <w:p w:rsidR="00781F94" w:rsidRPr="00781F94" w:rsidP="00781F94" w14:paraId="57C2559C" w14:textId="77777777">
            <w:pPr>
              <w:spacing w:after="160" w:line="259" w:lineRule="auto"/>
              <w:rPr>
                <w:b/>
                <w:bCs/>
              </w:rPr>
            </w:pPr>
            <w:r w:rsidRPr="00781F94">
              <w:rPr>
                <w:b/>
                <w:bCs/>
              </w:rPr>
              <w:t>Additional Burden from the Rule</w:t>
            </w:r>
          </w:p>
        </w:tc>
      </w:tr>
      <w:tr w14:paraId="17E8EC76" w14:textId="77777777" w:rsidTr="00781F94">
        <w:tblPrEx>
          <w:tblW w:w="10325" w:type="dxa"/>
          <w:tblLook w:val="04A0"/>
        </w:tblPrEx>
        <w:trPr>
          <w:trHeight w:val="316"/>
        </w:trPr>
        <w:tc>
          <w:tcPr>
            <w:tcW w:w="1127" w:type="dxa"/>
            <w:hideMark/>
          </w:tcPr>
          <w:p w:rsidR="00781F94" w:rsidRPr="00781F94" w:rsidP="00781F94" w14:paraId="26999B77" w14:textId="77777777">
            <w:pPr>
              <w:spacing w:after="160" w:line="259" w:lineRule="auto"/>
            </w:pPr>
            <w:r w:rsidRPr="00781F94">
              <w:t>Total</w:t>
            </w:r>
          </w:p>
        </w:tc>
        <w:tc>
          <w:tcPr>
            <w:tcW w:w="1457" w:type="dxa"/>
            <w:noWrap/>
            <w:hideMark/>
          </w:tcPr>
          <w:p w:rsidR="00781F94" w:rsidRPr="00781F94" w:rsidP="00781F94" w14:paraId="6DEDF4ED" w14:textId="77777777">
            <w:pPr>
              <w:spacing w:after="160" w:line="259" w:lineRule="auto"/>
            </w:pPr>
            <w:r w:rsidRPr="00781F94">
              <w:t>224,000</w:t>
            </w:r>
          </w:p>
        </w:tc>
        <w:tc>
          <w:tcPr>
            <w:tcW w:w="1450" w:type="dxa"/>
            <w:noWrap/>
            <w:hideMark/>
          </w:tcPr>
          <w:p w:rsidR="00781F94" w:rsidRPr="00781F94" w:rsidP="00781F94" w14:paraId="5CDA19FD" w14:textId="77777777">
            <w:pPr>
              <w:spacing w:after="160" w:line="259" w:lineRule="auto"/>
            </w:pPr>
            <w:r w:rsidRPr="00781F94">
              <w:t>152.0</w:t>
            </w:r>
          </w:p>
        </w:tc>
        <w:tc>
          <w:tcPr>
            <w:tcW w:w="1277" w:type="dxa"/>
            <w:noWrap/>
            <w:hideMark/>
          </w:tcPr>
          <w:p w:rsidR="00781F94" w:rsidRPr="00781F94" w:rsidP="00781F94" w14:paraId="3623DC59" w14:textId="77777777">
            <w:pPr>
              <w:spacing w:after="160" w:line="259" w:lineRule="auto"/>
            </w:pPr>
            <w:r w:rsidRPr="00781F94">
              <w:t>34,055,116</w:t>
            </w:r>
          </w:p>
        </w:tc>
        <w:tc>
          <w:tcPr>
            <w:tcW w:w="1079" w:type="dxa"/>
            <w:noWrap/>
            <w:hideMark/>
          </w:tcPr>
          <w:p w:rsidR="00781F94" w:rsidRPr="00781F94" w:rsidP="00781F94" w14:paraId="18C90938" w14:textId="77777777">
            <w:pPr>
              <w:spacing w:after="160" w:line="259" w:lineRule="auto"/>
            </w:pPr>
            <w:r w:rsidRPr="00781F94">
              <w:t>0.0062</w:t>
            </w:r>
          </w:p>
        </w:tc>
        <w:tc>
          <w:tcPr>
            <w:tcW w:w="1170" w:type="dxa"/>
            <w:noWrap/>
            <w:hideMark/>
          </w:tcPr>
          <w:p w:rsidR="00781F94" w:rsidRPr="00781F94" w:rsidP="00781F94" w14:paraId="7373565F" w14:textId="77777777">
            <w:pPr>
              <w:spacing w:after="160" w:line="259" w:lineRule="auto"/>
            </w:pPr>
            <w:r w:rsidRPr="00781F94">
              <w:t>209,462</w:t>
            </w:r>
          </w:p>
        </w:tc>
        <w:tc>
          <w:tcPr>
            <w:tcW w:w="1357" w:type="dxa"/>
            <w:noWrap/>
            <w:hideMark/>
          </w:tcPr>
          <w:p w:rsidR="00781F94" w:rsidRPr="00781F94" w:rsidP="00781F94" w14:paraId="2AC58116" w14:textId="77777777">
            <w:pPr>
              <w:spacing w:after="160" w:line="259" w:lineRule="auto"/>
            </w:pPr>
            <w:r w:rsidRPr="00781F94">
              <w:t>$35.56</w:t>
            </w:r>
          </w:p>
        </w:tc>
        <w:tc>
          <w:tcPr>
            <w:tcW w:w="0" w:type="auto"/>
            <w:noWrap/>
            <w:hideMark/>
          </w:tcPr>
          <w:p w:rsidR="00781F94" w:rsidRPr="00781F94" w:rsidP="00781F94" w14:paraId="75F5E528" w14:textId="77777777">
            <w:pPr>
              <w:spacing w:after="160" w:line="259" w:lineRule="auto"/>
            </w:pPr>
            <w:r w:rsidRPr="00781F94">
              <w:t>$7,448,474</w:t>
            </w:r>
          </w:p>
        </w:tc>
      </w:tr>
    </w:tbl>
    <w:p w:rsidR="00781F94" w:rsidRPr="00D93E7C" w:rsidP="00D93E7C" w14:paraId="7F8B85D2" w14:textId="77777777"/>
    <w:p w:rsidR="0032021E" w:rsidP="00B466D8" w14:paraId="0AFA2EC9" w14:textId="19A4647B">
      <w:pPr>
        <w:pStyle w:val="Heading2"/>
      </w:pPr>
      <w:r>
        <w:t>Provide an estimate of the total annual cost burden to respondents or record keepers resulting from the collection of information. (Do not include the cost of any hour burden shown in Items 12 and 14).</w:t>
      </w:r>
    </w:p>
    <w:p w:rsidR="00000135" w:rsidRPr="00000135" w:rsidP="00000135" w14:paraId="0026A9FF" w14:textId="37B600E2">
      <w:pPr>
        <w:pStyle w:val="Heading3"/>
      </w:pPr>
      <w:r w:rsidRPr="00000135">
        <w:t>Additional Costs</w:t>
      </w:r>
      <w:r w:rsidR="00702D64">
        <w:t xml:space="preserve"> to Respond</w:t>
      </w:r>
    </w:p>
    <w:p w:rsidR="00000135" w:rsidP="00000135" w14:paraId="66543AF4" w14:textId="0F5D7DD2">
      <w:r w:rsidRPr="00000135">
        <w:t xml:space="preserve">Public comments stated there were additional </w:t>
      </w:r>
      <w:r w:rsidR="000E004A">
        <w:t>eFil</w:t>
      </w:r>
      <w:r w:rsidR="00702D64">
        <w:t>ing costs</w:t>
      </w:r>
      <w:r w:rsidR="000E004A">
        <w:t xml:space="preserve"> </w:t>
      </w:r>
      <w:r w:rsidRPr="00000135">
        <w:t>not considered in the SNPR.  A</w:t>
      </w:r>
      <w:r w:rsidR="00BE0A75">
        <w:t>ccordingly</w:t>
      </w:r>
      <w:r w:rsidRPr="00000135">
        <w:t xml:space="preserve">, staff </w:t>
      </w:r>
      <w:r w:rsidR="00DA5D7D">
        <w:t>consider</w:t>
      </w:r>
      <w:r w:rsidR="00B85655">
        <w:t>ed</w:t>
      </w:r>
      <w:r w:rsidR="00DA5D7D">
        <w:t xml:space="preserve"> the following </w:t>
      </w:r>
      <w:r w:rsidRPr="00000135">
        <w:t>additional annual cost burden categories: (1) startup costs to account for the burden of organizational meetings, staff training, and setting up accounts and a data storage system to house the certificate data; (2) fees charged by brokers to file message sets with CBP</w:t>
      </w:r>
      <w:r w:rsidR="00306DAE">
        <w:t>.</w:t>
      </w:r>
      <w:r>
        <w:rPr>
          <w:rStyle w:val="FootnoteReference"/>
        </w:rPr>
        <w:footnoteReference w:id="8"/>
      </w:r>
      <w:r w:rsidRPr="00000135">
        <w:t xml:space="preserve"> </w:t>
      </w:r>
    </w:p>
    <w:p w:rsidR="00000135" w:rsidRPr="00000135" w:rsidP="00000135" w14:paraId="1CEC0B18" w14:textId="77777777"/>
    <w:p w:rsidR="00000135" w:rsidRPr="00000135" w:rsidP="00000135" w14:paraId="48669FFF" w14:textId="575FD1C8">
      <w:pPr>
        <w:pStyle w:val="Heading3"/>
      </w:pPr>
      <w:r w:rsidRPr="00000135">
        <w:t>Startup Burden Cost</w:t>
      </w:r>
    </w:p>
    <w:p w:rsidR="00000135" w:rsidRPr="00000135" w:rsidP="00000135" w14:paraId="2414DD71" w14:textId="398A4AE7">
      <w:r w:rsidRPr="00000135">
        <w:t>eFiling of certificates may require some importers to invest in a combination of new technologies and training or hiring staff to conduct eFiling activities.</w:t>
      </w:r>
      <w:r>
        <w:rPr>
          <w:rStyle w:val="FootnoteReference"/>
        </w:rPr>
        <w:footnoteReference w:id="9"/>
      </w:r>
      <w:r w:rsidRPr="00000135">
        <w:t xml:space="preserve">  Firms are also likely to train their staff </w:t>
      </w:r>
      <w:r w:rsidRPr="00000135" w:rsidR="005673AF">
        <w:t>in</w:t>
      </w:r>
      <w:r w:rsidRPr="00000135">
        <w:t xml:space="preserve"> the use of these new technologies and the updated processes that support the eFiling of certificates, including participating in meetings with their brokers, reading guidance documents, and communicating and distributing information. </w:t>
      </w:r>
    </w:p>
    <w:p w:rsidR="00000135" w:rsidRPr="00000135" w:rsidP="00000135" w14:paraId="4F800FCB" w14:textId="59D711EE">
      <w:r w:rsidRPr="00000135">
        <w:t xml:space="preserve">CPSC assumes that the average firm would invest 20 </w:t>
      </w:r>
      <w:r w:rsidRPr="00000135" w:rsidR="006F497D">
        <w:t>hours</w:t>
      </w:r>
      <w:r w:rsidRPr="00000135">
        <w:t xml:space="preserve"> in all startup activities.  More than 264</w:t>
      </w:r>
      <w:r w:rsidR="00CE3B93">
        <w:t xml:space="preserve">,000 </w:t>
      </w:r>
      <w:r w:rsidRPr="00000135">
        <w:t xml:space="preserve">importers will be involved in eFiling, so ample room exists for learning and cost improvements.  </w:t>
      </w:r>
    </w:p>
    <w:p w:rsidR="00000135" w:rsidRPr="00000135" w:rsidP="00000135" w14:paraId="7EEAAD1E" w14:textId="4B5DE7E8">
      <w:r w:rsidRPr="00000135">
        <w:t>The 20 hours of startup time converts to an average cost per firm of $1,086 using the average wage rate of management and administrative occupations.</w:t>
      </w:r>
      <w:r>
        <w:rPr>
          <w:vertAlign w:val="superscript"/>
        </w:rPr>
        <w:footnoteReference w:id="10"/>
      </w:r>
      <w:r w:rsidRPr="00000135">
        <w:t xml:space="preserve">  Annualizing the average startup cost per firm at a 2% discount rate over 30 years, the estimated annualized cost equivalent per firm is $48.48.  Table </w:t>
      </w:r>
      <w:r w:rsidR="00315557">
        <w:t>D</w:t>
      </w:r>
      <w:r w:rsidRPr="00000135" w:rsidR="00315557">
        <w:t xml:space="preserve"> </w:t>
      </w:r>
      <w:r w:rsidRPr="00000135">
        <w:t>presents a summary of estimated startup costs.</w:t>
      </w:r>
    </w:p>
    <w:p w:rsidR="00000135" w:rsidRPr="00000135" w:rsidP="00DF6A03" w14:paraId="0C0057F4" w14:textId="65D0D647">
      <w:pPr>
        <w:pStyle w:val="TableTitle"/>
      </w:pPr>
      <w:r w:rsidRPr="00000135">
        <w:t xml:space="preserve">Table </w:t>
      </w:r>
      <w:r w:rsidR="00315557">
        <w:t>D</w:t>
      </w:r>
      <w:r w:rsidR="00C15A33">
        <w:t xml:space="preserve"> </w:t>
      </w:r>
      <w:r w:rsidRPr="00000135">
        <w:t>eFiling Startup Costs</w:t>
      </w:r>
    </w:p>
    <w:tbl>
      <w:tblPr>
        <w:tblStyle w:val="CPSCLightBlueTableStyle"/>
        <w:tblW w:w="9093" w:type="dxa"/>
        <w:tblLook w:val="04A0"/>
      </w:tblPr>
      <w:tblGrid>
        <w:gridCol w:w="2041"/>
        <w:gridCol w:w="1323"/>
        <w:gridCol w:w="1429"/>
        <w:gridCol w:w="1495"/>
        <w:gridCol w:w="1363"/>
        <w:gridCol w:w="1709"/>
      </w:tblGrid>
      <w:tr w14:paraId="0D1CD3DA" w14:textId="77777777" w:rsidTr="00DF6A03">
        <w:tblPrEx>
          <w:tblW w:w="9093" w:type="dxa"/>
          <w:tblLook w:val="04A0"/>
        </w:tblPrEx>
        <w:tc>
          <w:tcPr>
            <w:tcW w:w="2065" w:type="dxa"/>
            <w:hideMark/>
          </w:tcPr>
          <w:p w:rsidR="00000135" w:rsidRPr="00000135" w:rsidP="00000135" w14:paraId="043AEF74" w14:textId="77777777">
            <w:pPr>
              <w:spacing w:after="160" w:line="259" w:lineRule="auto"/>
            </w:pPr>
            <w:r w:rsidRPr="00000135">
              <w:t>Additional Costs of Response</w:t>
            </w:r>
          </w:p>
        </w:tc>
        <w:tc>
          <w:tcPr>
            <w:tcW w:w="1250" w:type="dxa"/>
            <w:hideMark/>
          </w:tcPr>
          <w:p w:rsidR="00000135" w:rsidRPr="00000135" w:rsidP="00000135" w14:paraId="6400F760" w14:textId="77777777">
            <w:pPr>
              <w:spacing w:after="160" w:line="259" w:lineRule="auto"/>
              <w:jc w:val="left"/>
            </w:pPr>
            <w:r w:rsidRPr="00000135">
              <w:t>Importers</w:t>
            </w:r>
          </w:p>
        </w:tc>
        <w:tc>
          <w:tcPr>
            <w:tcW w:w="1350" w:type="dxa"/>
            <w:hideMark/>
          </w:tcPr>
          <w:p w:rsidR="00000135" w:rsidRPr="00000135" w:rsidP="00000135" w14:paraId="141F0D99" w14:textId="77777777">
            <w:pPr>
              <w:spacing w:after="160" w:line="259" w:lineRule="auto"/>
              <w:jc w:val="left"/>
            </w:pPr>
            <w:r w:rsidRPr="00000135">
              <w:t>Frequency of Response</w:t>
            </w:r>
          </w:p>
        </w:tc>
        <w:tc>
          <w:tcPr>
            <w:tcW w:w="1350" w:type="dxa"/>
            <w:hideMark/>
          </w:tcPr>
          <w:p w:rsidR="00000135" w:rsidRPr="00000135" w:rsidP="00000135" w14:paraId="06595365" w14:textId="77777777">
            <w:pPr>
              <w:spacing w:after="160" w:line="259" w:lineRule="auto"/>
              <w:jc w:val="left"/>
            </w:pPr>
            <w:r w:rsidRPr="00000135">
              <w:t>Responses</w:t>
            </w:r>
          </w:p>
        </w:tc>
        <w:tc>
          <w:tcPr>
            <w:tcW w:w="1350" w:type="dxa"/>
            <w:hideMark/>
          </w:tcPr>
          <w:p w:rsidR="00000135" w:rsidRPr="00000135" w:rsidP="00000135" w14:paraId="2BE0EEA2" w14:textId="77777777">
            <w:pPr>
              <w:spacing w:after="160" w:line="259" w:lineRule="auto"/>
              <w:jc w:val="left"/>
            </w:pPr>
            <w:r w:rsidRPr="00000135">
              <w:t>Cost per Response</w:t>
            </w:r>
          </w:p>
        </w:tc>
        <w:tc>
          <w:tcPr>
            <w:tcW w:w="1728" w:type="dxa"/>
            <w:hideMark/>
          </w:tcPr>
          <w:p w:rsidR="00000135" w:rsidRPr="00000135" w:rsidP="00000135" w14:paraId="6F2F8561" w14:textId="77777777">
            <w:pPr>
              <w:spacing w:after="160" w:line="259" w:lineRule="auto"/>
              <w:jc w:val="left"/>
            </w:pPr>
            <w:r w:rsidRPr="00000135">
              <w:t>Total Additional Costs</w:t>
            </w:r>
          </w:p>
        </w:tc>
      </w:tr>
      <w:tr w14:paraId="53E846BF" w14:textId="77777777" w:rsidTr="00DF6A03">
        <w:tblPrEx>
          <w:tblW w:w="9093" w:type="dxa"/>
          <w:tblLook w:val="04A0"/>
        </w:tblPrEx>
        <w:tc>
          <w:tcPr>
            <w:tcW w:w="2065" w:type="dxa"/>
            <w:noWrap/>
            <w:hideMark/>
          </w:tcPr>
          <w:p w:rsidR="00000135" w:rsidRPr="00000135" w:rsidP="00000135" w14:paraId="25F7FE2E" w14:textId="77777777">
            <w:pPr>
              <w:spacing w:after="160" w:line="259" w:lineRule="auto"/>
              <w:rPr>
                <w:b/>
                <w:bCs/>
              </w:rPr>
            </w:pPr>
            <w:r w:rsidRPr="00000135">
              <w:rPr>
                <w:b/>
                <w:bCs/>
              </w:rPr>
              <w:t>GCC Startup Burden</w:t>
            </w:r>
          </w:p>
        </w:tc>
        <w:tc>
          <w:tcPr>
            <w:tcW w:w="1250" w:type="dxa"/>
            <w:noWrap/>
            <w:hideMark/>
          </w:tcPr>
          <w:p w:rsidR="00000135" w:rsidRPr="00000135" w:rsidP="00000135" w14:paraId="35DEF617" w14:textId="77777777">
            <w:pPr>
              <w:spacing w:after="160" w:line="259" w:lineRule="auto"/>
            </w:pPr>
            <w:r w:rsidRPr="00000135">
              <w:t>40,665</w:t>
            </w:r>
          </w:p>
        </w:tc>
        <w:tc>
          <w:tcPr>
            <w:tcW w:w="1350" w:type="dxa"/>
            <w:noWrap/>
            <w:hideMark/>
          </w:tcPr>
          <w:p w:rsidR="00000135" w:rsidRPr="00000135" w:rsidP="00000135" w14:paraId="45939FDB" w14:textId="77777777">
            <w:pPr>
              <w:spacing w:after="160" w:line="259" w:lineRule="auto"/>
            </w:pPr>
            <w:r w:rsidRPr="00000135">
              <w:t>1</w:t>
            </w:r>
          </w:p>
        </w:tc>
        <w:tc>
          <w:tcPr>
            <w:tcW w:w="1350" w:type="dxa"/>
            <w:noWrap/>
            <w:hideMark/>
          </w:tcPr>
          <w:p w:rsidR="00000135" w:rsidRPr="00000135" w:rsidP="00000135" w14:paraId="4B6863AF" w14:textId="77777777">
            <w:pPr>
              <w:spacing w:after="160" w:line="259" w:lineRule="auto"/>
            </w:pPr>
            <w:r w:rsidRPr="00000135">
              <w:t>40,665</w:t>
            </w:r>
          </w:p>
        </w:tc>
        <w:tc>
          <w:tcPr>
            <w:tcW w:w="1350" w:type="dxa"/>
            <w:noWrap/>
            <w:hideMark/>
          </w:tcPr>
          <w:p w:rsidR="00000135" w:rsidRPr="00000135" w:rsidP="00000135" w14:paraId="7EC50337" w14:textId="77777777">
            <w:pPr>
              <w:spacing w:after="160" w:line="259" w:lineRule="auto"/>
            </w:pPr>
            <w:r w:rsidRPr="00000135">
              <w:t>$48.48</w:t>
            </w:r>
          </w:p>
        </w:tc>
        <w:tc>
          <w:tcPr>
            <w:tcW w:w="1728" w:type="dxa"/>
            <w:noWrap/>
            <w:hideMark/>
          </w:tcPr>
          <w:p w:rsidR="00000135" w:rsidRPr="00000135" w:rsidP="00000135" w14:paraId="67196298" w14:textId="77777777">
            <w:pPr>
              <w:spacing w:after="160" w:line="259" w:lineRule="auto"/>
            </w:pPr>
            <w:r w:rsidRPr="00000135">
              <w:t>$1,971,475</w:t>
            </w:r>
          </w:p>
        </w:tc>
      </w:tr>
      <w:tr w14:paraId="1249C663" w14:textId="77777777" w:rsidTr="00DF6A03">
        <w:tblPrEx>
          <w:tblW w:w="9093" w:type="dxa"/>
          <w:tblLook w:val="04A0"/>
        </w:tblPrEx>
        <w:trPr>
          <w:trHeight w:val="495"/>
        </w:trPr>
        <w:tc>
          <w:tcPr>
            <w:tcW w:w="2065" w:type="dxa"/>
            <w:noWrap/>
            <w:hideMark/>
          </w:tcPr>
          <w:p w:rsidR="00000135" w:rsidRPr="00000135" w:rsidP="00000135" w14:paraId="10EEEBF3" w14:textId="77777777">
            <w:pPr>
              <w:spacing w:after="160" w:line="259" w:lineRule="auto"/>
              <w:rPr>
                <w:b/>
                <w:bCs/>
              </w:rPr>
            </w:pPr>
            <w:r w:rsidRPr="00000135">
              <w:rPr>
                <w:b/>
                <w:bCs/>
              </w:rPr>
              <w:t>CPC Startup Burden</w:t>
            </w:r>
          </w:p>
        </w:tc>
        <w:tc>
          <w:tcPr>
            <w:tcW w:w="1250" w:type="dxa"/>
            <w:noWrap/>
            <w:hideMark/>
          </w:tcPr>
          <w:p w:rsidR="00000135" w:rsidRPr="00000135" w:rsidP="00000135" w14:paraId="38DE8598" w14:textId="77777777">
            <w:pPr>
              <w:spacing w:after="160" w:line="259" w:lineRule="auto"/>
            </w:pPr>
            <w:r w:rsidRPr="00000135">
              <w:t>224,000</w:t>
            </w:r>
          </w:p>
        </w:tc>
        <w:tc>
          <w:tcPr>
            <w:tcW w:w="1350" w:type="dxa"/>
            <w:noWrap/>
            <w:hideMark/>
          </w:tcPr>
          <w:p w:rsidR="00000135" w:rsidRPr="00000135" w:rsidP="00000135" w14:paraId="4BB7FA86" w14:textId="77777777">
            <w:pPr>
              <w:spacing w:after="160" w:line="259" w:lineRule="auto"/>
            </w:pPr>
            <w:r w:rsidRPr="00000135">
              <w:t>1</w:t>
            </w:r>
          </w:p>
        </w:tc>
        <w:tc>
          <w:tcPr>
            <w:tcW w:w="1350" w:type="dxa"/>
            <w:noWrap/>
            <w:hideMark/>
          </w:tcPr>
          <w:p w:rsidR="00000135" w:rsidRPr="00000135" w:rsidP="00000135" w14:paraId="6C12CC81" w14:textId="77777777">
            <w:pPr>
              <w:spacing w:after="160" w:line="259" w:lineRule="auto"/>
            </w:pPr>
            <w:r w:rsidRPr="00000135">
              <w:t>224,000</w:t>
            </w:r>
          </w:p>
        </w:tc>
        <w:tc>
          <w:tcPr>
            <w:tcW w:w="1350" w:type="dxa"/>
            <w:noWrap/>
            <w:hideMark/>
          </w:tcPr>
          <w:p w:rsidR="00000135" w:rsidRPr="00000135" w:rsidP="00000135" w14:paraId="283C6B4C" w14:textId="77777777">
            <w:pPr>
              <w:spacing w:after="160" w:line="259" w:lineRule="auto"/>
            </w:pPr>
            <w:r w:rsidRPr="00000135">
              <w:t>$48.48</w:t>
            </w:r>
          </w:p>
        </w:tc>
        <w:tc>
          <w:tcPr>
            <w:tcW w:w="1728" w:type="dxa"/>
            <w:noWrap/>
            <w:hideMark/>
          </w:tcPr>
          <w:p w:rsidR="00000135" w:rsidRPr="00000135" w:rsidP="00000135" w14:paraId="30ED14F5" w14:textId="77777777">
            <w:pPr>
              <w:spacing w:after="160" w:line="259" w:lineRule="auto"/>
            </w:pPr>
            <w:r w:rsidRPr="00000135">
              <w:t>$10,859,718</w:t>
            </w:r>
          </w:p>
        </w:tc>
      </w:tr>
      <w:tr w14:paraId="6C68C0E5" w14:textId="77777777" w:rsidTr="00DF6A03">
        <w:tblPrEx>
          <w:tblW w:w="9093" w:type="dxa"/>
          <w:tblLook w:val="04A0"/>
        </w:tblPrEx>
        <w:tc>
          <w:tcPr>
            <w:tcW w:w="2065" w:type="dxa"/>
            <w:noWrap/>
            <w:hideMark/>
          </w:tcPr>
          <w:p w:rsidR="00000135" w:rsidRPr="00000135" w:rsidP="00000135" w14:paraId="334C6D1A" w14:textId="77777777">
            <w:pPr>
              <w:spacing w:after="160" w:line="259" w:lineRule="auto"/>
              <w:rPr>
                <w:b/>
                <w:bCs/>
              </w:rPr>
            </w:pPr>
            <w:r w:rsidRPr="00000135">
              <w:rPr>
                <w:b/>
                <w:bCs/>
              </w:rPr>
              <w:t>Total</w:t>
            </w:r>
          </w:p>
        </w:tc>
        <w:tc>
          <w:tcPr>
            <w:tcW w:w="1250" w:type="dxa"/>
            <w:noWrap/>
            <w:hideMark/>
          </w:tcPr>
          <w:p w:rsidR="00000135" w:rsidRPr="00000135" w:rsidP="00000135" w14:paraId="16024D93" w14:textId="77777777">
            <w:pPr>
              <w:spacing w:after="160" w:line="259" w:lineRule="auto"/>
            </w:pPr>
            <w:r w:rsidRPr="00000135">
              <w:t>264,665</w:t>
            </w:r>
          </w:p>
        </w:tc>
        <w:tc>
          <w:tcPr>
            <w:tcW w:w="1350" w:type="dxa"/>
            <w:noWrap/>
            <w:hideMark/>
          </w:tcPr>
          <w:p w:rsidR="00000135" w:rsidRPr="00000135" w:rsidP="00000135" w14:paraId="7166ACAF" w14:textId="77777777">
            <w:pPr>
              <w:spacing w:after="160" w:line="259" w:lineRule="auto"/>
            </w:pPr>
            <w:r w:rsidRPr="00000135">
              <w:t>1</w:t>
            </w:r>
          </w:p>
        </w:tc>
        <w:tc>
          <w:tcPr>
            <w:tcW w:w="1350" w:type="dxa"/>
            <w:noWrap/>
            <w:hideMark/>
          </w:tcPr>
          <w:p w:rsidR="00000135" w:rsidRPr="00000135" w:rsidP="00000135" w14:paraId="0AFB9CD4" w14:textId="77777777">
            <w:pPr>
              <w:spacing w:after="160" w:line="259" w:lineRule="auto"/>
            </w:pPr>
            <w:r w:rsidRPr="00000135">
              <w:t>264,665</w:t>
            </w:r>
          </w:p>
        </w:tc>
        <w:tc>
          <w:tcPr>
            <w:tcW w:w="1350" w:type="dxa"/>
            <w:noWrap/>
            <w:hideMark/>
          </w:tcPr>
          <w:p w:rsidR="00000135" w:rsidRPr="00000135" w:rsidP="00000135" w14:paraId="71BC302D" w14:textId="77777777">
            <w:pPr>
              <w:spacing w:after="160" w:line="259" w:lineRule="auto"/>
            </w:pPr>
            <w:r w:rsidRPr="00000135">
              <w:t>$48.48</w:t>
            </w:r>
          </w:p>
        </w:tc>
        <w:tc>
          <w:tcPr>
            <w:tcW w:w="1728" w:type="dxa"/>
            <w:noWrap/>
            <w:hideMark/>
          </w:tcPr>
          <w:p w:rsidR="00000135" w:rsidRPr="00000135" w:rsidP="00000135" w14:paraId="5B913345" w14:textId="77777777">
            <w:pPr>
              <w:spacing w:after="160" w:line="259" w:lineRule="auto"/>
            </w:pPr>
            <w:r w:rsidRPr="00000135">
              <w:t>$12,831,194</w:t>
            </w:r>
          </w:p>
        </w:tc>
      </w:tr>
    </w:tbl>
    <w:p w:rsidR="00000135" w:rsidRPr="00000135" w:rsidP="00000135" w14:paraId="09BD0170" w14:textId="77777777">
      <w:r w:rsidRPr="00000135">
        <w:t>Note: Totals made not sum due to rounding.</w:t>
      </w:r>
    </w:p>
    <w:p w:rsidR="00000135" w:rsidRPr="00000135" w:rsidP="00000135" w14:paraId="32ECDD10" w14:textId="77777777">
      <w:pPr>
        <w:rPr>
          <w:b/>
          <w:bCs/>
        </w:rPr>
      </w:pPr>
    </w:p>
    <w:p w:rsidR="00000135" w:rsidRPr="00000135" w:rsidP="00000135" w14:paraId="43E96B34" w14:textId="77777777">
      <w:pPr>
        <w:pStyle w:val="Heading3"/>
      </w:pPr>
      <w:r w:rsidRPr="00000135">
        <w:t>Filing Fees</w:t>
      </w:r>
    </w:p>
    <w:p w:rsidR="00000135" w:rsidRPr="00000135" w:rsidP="00000135" w14:paraId="6CC2932A" w14:textId="797A2821">
      <w:r w:rsidRPr="00000135">
        <w:t xml:space="preserve">Many importers use import brokers to facilitate customs filings and reporting with the government.  Brokers typically charge a fee per entry or per entry line that is filed, and each entry line may contain one or more product certificates.  The fees that brokers charge vary with the complexity of the Message Set and with the number of Message Sets filed.  </w:t>
      </w:r>
    </w:p>
    <w:p w:rsidR="00000135" w:rsidP="00000135" w14:paraId="7F9493F6" w14:textId="552F8F2F">
      <w:r w:rsidRPr="00000135">
        <w:t xml:space="preserve">Table </w:t>
      </w:r>
      <w:r w:rsidR="00315557">
        <w:t>E</w:t>
      </w:r>
      <w:r w:rsidRPr="00000135" w:rsidR="00315557">
        <w:t xml:space="preserve"> </w:t>
      </w:r>
      <w:r w:rsidRPr="00000135">
        <w:t>presents an estimate of filing fees.  CPSC estimates importers of non-children’s products will file 19,697,612 annual message sets (Full and Reference Message Sets) for a fee.  At the average filing fee per certificate of $0.77, the expected fees for all GCCs are $15,167,162 in total.  CPSC also estimate that importers of children’s products will file 28,555,603, annual message sets and expect filing fees for CPCs to total $21,987,815 annually.  The estimated annual total filing fees paid by all filers is $37,154,976.</w:t>
      </w:r>
      <w:r>
        <w:rPr>
          <w:rStyle w:val="FootnoteReference"/>
        </w:rPr>
        <w:footnoteReference w:id="11"/>
      </w:r>
    </w:p>
    <w:p w:rsidR="00020899" w:rsidRPr="00000135" w:rsidP="00000135" w14:paraId="4D712118" w14:textId="77777777"/>
    <w:p w:rsidR="00000135" w:rsidRPr="00000135" w:rsidP="00D67718" w14:paraId="01FD3F2E" w14:textId="29322E0D">
      <w:pPr>
        <w:pStyle w:val="TableTitle"/>
      </w:pPr>
      <w:r w:rsidRPr="00000135">
        <w:t xml:space="preserve">Table </w:t>
      </w:r>
      <w:r w:rsidR="00315557">
        <w:t>E</w:t>
      </w:r>
      <w:r w:rsidRPr="00000135">
        <w:t>: Estimated Annual Filing Fees</w:t>
      </w:r>
    </w:p>
    <w:tbl>
      <w:tblPr>
        <w:tblStyle w:val="CPSCLightBlueTableStyle"/>
        <w:tblW w:w="9680" w:type="dxa"/>
        <w:tblLook w:val="04A0"/>
      </w:tblPr>
      <w:tblGrid>
        <w:gridCol w:w="2070"/>
        <w:gridCol w:w="1522"/>
        <w:gridCol w:w="1522"/>
        <w:gridCol w:w="1522"/>
        <w:gridCol w:w="1522"/>
        <w:gridCol w:w="1522"/>
      </w:tblGrid>
      <w:tr w14:paraId="2F0F16BA" w14:textId="77777777" w:rsidTr="00D67718">
        <w:tblPrEx>
          <w:tblW w:w="9680" w:type="dxa"/>
          <w:tblLook w:val="04A0"/>
        </w:tblPrEx>
        <w:trPr>
          <w:trHeight w:val="585"/>
        </w:trPr>
        <w:tc>
          <w:tcPr>
            <w:tcW w:w="2070" w:type="dxa"/>
            <w:hideMark/>
          </w:tcPr>
          <w:p w:rsidR="00000135" w:rsidRPr="00000135" w:rsidP="00000135" w14:paraId="6B6D7018" w14:textId="77777777">
            <w:pPr>
              <w:spacing w:after="160" w:line="259" w:lineRule="auto"/>
              <w:jc w:val="left"/>
            </w:pPr>
            <w:r w:rsidRPr="00000135">
              <w:t>Additional Cost</w:t>
            </w:r>
          </w:p>
        </w:tc>
        <w:tc>
          <w:tcPr>
            <w:tcW w:w="1522" w:type="dxa"/>
            <w:hideMark/>
          </w:tcPr>
          <w:p w:rsidR="00000135" w:rsidRPr="00000135" w:rsidP="00000135" w14:paraId="60724540" w14:textId="77777777">
            <w:pPr>
              <w:spacing w:after="160" w:line="259" w:lineRule="auto"/>
              <w:jc w:val="left"/>
            </w:pPr>
            <w:r w:rsidRPr="00000135">
              <w:t>Importers</w:t>
            </w:r>
          </w:p>
        </w:tc>
        <w:tc>
          <w:tcPr>
            <w:tcW w:w="1522" w:type="dxa"/>
            <w:hideMark/>
          </w:tcPr>
          <w:p w:rsidR="00000135" w:rsidRPr="00000135" w:rsidP="00000135" w14:paraId="1AD794D3" w14:textId="77777777">
            <w:pPr>
              <w:spacing w:after="160" w:line="259" w:lineRule="auto"/>
              <w:jc w:val="left"/>
            </w:pPr>
            <w:r w:rsidRPr="00000135">
              <w:t>Filings with a Fee</w:t>
            </w:r>
          </w:p>
        </w:tc>
        <w:tc>
          <w:tcPr>
            <w:tcW w:w="1522" w:type="dxa"/>
            <w:hideMark/>
          </w:tcPr>
          <w:p w:rsidR="00000135" w:rsidRPr="00000135" w:rsidP="00000135" w14:paraId="5B751DB2" w14:textId="77777777">
            <w:pPr>
              <w:spacing w:after="160" w:line="259" w:lineRule="auto"/>
              <w:jc w:val="left"/>
            </w:pPr>
            <w:r w:rsidRPr="00000135">
              <w:t>Responses</w:t>
            </w:r>
          </w:p>
        </w:tc>
        <w:tc>
          <w:tcPr>
            <w:tcW w:w="1522" w:type="dxa"/>
            <w:hideMark/>
          </w:tcPr>
          <w:p w:rsidR="00000135" w:rsidRPr="00000135" w:rsidP="00000135" w14:paraId="37011499" w14:textId="77777777">
            <w:pPr>
              <w:spacing w:after="160" w:line="259" w:lineRule="auto"/>
              <w:jc w:val="left"/>
            </w:pPr>
            <w:r w:rsidRPr="00000135">
              <w:t>Cost per Response</w:t>
            </w:r>
          </w:p>
        </w:tc>
        <w:tc>
          <w:tcPr>
            <w:tcW w:w="1522" w:type="dxa"/>
            <w:hideMark/>
          </w:tcPr>
          <w:p w:rsidR="00000135" w:rsidRPr="00000135" w:rsidP="00000135" w14:paraId="3F8010BE" w14:textId="77777777">
            <w:pPr>
              <w:spacing w:after="160" w:line="259" w:lineRule="auto"/>
              <w:jc w:val="left"/>
            </w:pPr>
            <w:r w:rsidRPr="00000135">
              <w:t>Total Filling Fees</w:t>
            </w:r>
          </w:p>
        </w:tc>
      </w:tr>
      <w:tr w14:paraId="5B627475" w14:textId="77777777" w:rsidTr="00D67718">
        <w:tblPrEx>
          <w:tblW w:w="9680" w:type="dxa"/>
          <w:tblLook w:val="04A0"/>
        </w:tblPrEx>
        <w:trPr>
          <w:trHeight w:val="288"/>
        </w:trPr>
        <w:tc>
          <w:tcPr>
            <w:tcW w:w="2070" w:type="dxa"/>
            <w:noWrap/>
            <w:hideMark/>
          </w:tcPr>
          <w:p w:rsidR="00000135" w:rsidRPr="00000135" w:rsidP="00000135" w14:paraId="70E79EE8" w14:textId="77777777">
            <w:pPr>
              <w:spacing w:after="160" w:line="259" w:lineRule="auto"/>
              <w:rPr>
                <w:b/>
              </w:rPr>
            </w:pPr>
            <w:r w:rsidRPr="00000135">
              <w:rPr>
                <w:b/>
              </w:rPr>
              <w:t>GCC Filing Fees</w:t>
            </w:r>
          </w:p>
        </w:tc>
        <w:tc>
          <w:tcPr>
            <w:tcW w:w="1522" w:type="dxa"/>
            <w:noWrap/>
            <w:hideMark/>
          </w:tcPr>
          <w:p w:rsidR="00000135" w:rsidRPr="00000135" w:rsidP="00000135" w14:paraId="00C8131C" w14:textId="77777777">
            <w:pPr>
              <w:spacing w:after="160" w:line="259" w:lineRule="auto"/>
            </w:pPr>
            <w:r w:rsidRPr="00000135">
              <w:t xml:space="preserve">40,665 </w:t>
            </w:r>
          </w:p>
        </w:tc>
        <w:tc>
          <w:tcPr>
            <w:tcW w:w="1522" w:type="dxa"/>
            <w:noWrap/>
            <w:hideMark/>
          </w:tcPr>
          <w:p w:rsidR="00000135" w:rsidRPr="00000135" w:rsidP="00000135" w14:paraId="1691D125" w14:textId="77777777">
            <w:pPr>
              <w:spacing w:after="160" w:line="259" w:lineRule="auto"/>
            </w:pPr>
            <w:r w:rsidRPr="00000135">
              <w:t xml:space="preserve">484 </w:t>
            </w:r>
          </w:p>
        </w:tc>
        <w:tc>
          <w:tcPr>
            <w:tcW w:w="1522" w:type="dxa"/>
            <w:noWrap/>
            <w:hideMark/>
          </w:tcPr>
          <w:p w:rsidR="00000135" w:rsidRPr="00000135" w:rsidP="00000135" w14:paraId="73114637" w14:textId="77777777">
            <w:pPr>
              <w:spacing w:after="160" w:line="259" w:lineRule="auto"/>
            </w:pPr>
            <w:r w:rsidRPr="00000135">
              <w:t xml:space="preserve">19,697,612 </w:t>
            </w:r>
          </w:p>
        </w:tc>
        <w:tc>
          <w:tcPr>
            <w:tcW w:w="1522" w:type="dxa"/>
            <w:noWrap/>
            <w:hideMark/>
          </w:tcPr>
          <w:p w:rsidR="00000135" w:rsidRPr="00000135" w:rsidP="00000135" w14:paraId="78BFA626" w14:textId="77777777">
            <w:pPr>
              <w:spacing w:after="160" w:line="259" w:lineRule="auto"/>
            </w:pPr>
            <w:r w:rsidRPr="00000135">
              <w:t xml:space="preserve">$0.77 </w:t>
            </w:r>
          </w:p>
        </w:tc>
        <w:tc>
          <w:tcPr>
            <w:tcW w:w="1522" w:type="dxa"/>
            <w:noWrap/>
            <w:hideMark/>
          </w:tcPr>
          <w:p w:rsidR="00000135" w:rsidRPr="00000135" w:rsidP="00000135" w14:paraId="6B55F344" w14:textId="77777777">
            <w:pPr>
              <w:spacing w:after="160" w:line="259" w:lineRule="auto"/>
            </w:pPr>
            <w:r w:rsidRPr="00000135">
              <w:t xml:space="preserve">$15,167,162 </w:t>
            </w:r>
          </w:p>
        </w:tc>
      </w:tr>
      <w:tr w14:paraId="59949955" w14:textId="77777777" w:rsidTr="00D67718">
        <w:tblPrEx>
          <w:tblW w:w="9680" w:type="dxa"/>
          <w:tblLook w:val="04A0"/>
        </w:tblPrEx>
        <w:trPr>
          <w:trHeight w:val="288"/>
        </w:trPr>
        <w:tc>
          <w:tcPr>
            <w:tcW w:w="2070" w:type="dxa"/>
            <w:noWrap/>
            <w:hideMark/>
          </w:tcPr>
          <w:p w:rsidR="00000135" w:rsidRPr="00000135" w:rsidP="00000135" w14:paraId="6B1A96FA" w14:textId="77777777">
            <w:pPr>
              <w:spacing w:after="160" w:line="259" w:lineRule="auto"/>
              <w:rPr>
                <w:b/>
              </w:rPr>
            </w:pPr>
            <w:r w:rsidRPr="00000135">
              <w:rPr>
                <w:b/>
              </w:rPr>
              <w:t>CPC Filings Fees</w:t>
            </w:r>
          </w:p>
        </w:tc>
        <w:tc>
          <w:tcPr>
            <w:tcW w:w="1522" w:type="dxa"/>
            <w:noWrap/>
            <w:hideMark/>
          </w:tcPr>
          <w:p w:rsidR="00000135" w:rsidRPr="00000135" w:rsidP="00000135" w14:paraId="761ED2ED" w14:textId="77777777">
            <w:pPr>
              <w:spacing w:after="160" w:line="259" w:lineRule="auto"/>
            </w:pPr>
            <w:r w:rsidRPr="00000135">
              <w:t xml:space="preserve">224,000 </w:t>
            </w:r>
          </w:p>
        </w:tc>
        <w:tc>
          <w:tcPr>
            <w:tcW w:w="1522" w:type="dxa"/>
            <w:noWrap/>
            <w:hideMark/>
          </w:tcPr>
          <w:p w:rsidR="00000135" w:rsidRPr="00000135" w:rsidP="00000135" w14:paraId="178ED3B3" w14:textId="77777777">
            <w:pPr>
              <w:spacing w:after="160" w:line="259" w:lineRule="auto"/>
            </w:pPr>
            <w:r w:rsidRPr="00000135">
              <w:t xml:space="preserve">127 </w:t>
            </w:r>
          </w:p>
        </w:tc>
        <w:tc>
          <w:tcPr>
            <w:tcW w:w="1522" w:type="dxa"/>
            <w:noWrap/>
            <w:hideMark/>
          </w:tcPr>
          <w:p w:rsidR="00000135" w:rsidRPr="00000135" w:rsidP="00000135" w14:paraId="5D5C2868" w14:textId="77777777">
            <w:pPr>
              <w:spacing w:after="160" w:line="259" w:lineRule="auto"/>
            </w:pPr>
            <w:r w:rsidRPr="00000135">
              <w:t xml:space="preserve">28,555,603 </w:t>
            </w:r>
          </w:p>
        </w:tc>
        <w:tc>
          <w:tcPr>
            <w:tcW w:w="1522" w:type="dxa"/>
            <w:noWrap/>
            <w:hideMark/>
          </w:tcPr>
          <w:p w:rsidR="00000135" w:rsidRPr="00000135" w:rsidP="00000135" w14:paraId="33870855" w14:textId="77777777">
            <w:pPr>
              <w:spacing w:after="160" w:line="259" w:lineRule="auto"/>
            </w:pPr>
            <w:r w:rsidRPr="00000135">
              <w:t xml:space="preserve">$0.77 </w:t>
            </w:r>
          </w:p>
        </w:tc>
        <w:tc>
          <w:tcPr>
            <w:tcW w:w="1522" w:type="dxa"/>
            <w:noWrap/>
            <w:hideMark/>
          </w:tcPr>
          <w:p w:rsidR="00000135" w:rsidRPr="00000135" w:rsidP="00000135" w14:paraId="5E576398" w14:textId="77777777">
            <w:pPr>
              <w:spacing w:after="160" w:line="259" w:lineRule="auto"/>
            </w:pPr>
            <w:r w:rsidRPr="00000135">
              <w:t xml:space="preserve">$21,987,815 </w:t>
            </w:r>
          </w:p>
        </w:tc>
      </w:tr>
      <w:tr w14:paraId="6A2D5D4A" w14:textId="77777777" w:rsidTr="00D67718">
        <w:tblPrEx>
          <w:tblW w:w="9680" w:type="dxa"/>
          <w:tblLook w:val="04A0"/>
        </w:tblPrEx>
        <w:trPr>
          <w:trHeight w:val="288"/>
        </w:trPr>
        <w:tc>
          <w:tcPr>
            <w:tcW w:w="2070" w:type="dxa"/>
            <w:noWrap/>
            <w:hideMark/>
          </w:tcPr>
          <w:p w:rsidR="00000135" w:rsidRPr="00000135" w:rsidP="00000135" w14:paraId="34CB26EC" w14:textId="77777777">
            <w:pPr>
              <w:spacing w:after="160" w:line="259" w:lineRule="auto"/>
              <w:rPr>
                <w:b/>
              </w:rPr>
            </w:pPr>
            <w:r w:rsidRPr="00000135">
              <w:rPr>
                <w:b/>
              </w:rPr>
              <w:t>All Importer Filings</w:t>
            </w:r>
          </w:p>
        </w:tc>
        <w:tc>
          <w:tcPr>
            <w:tcW w:w="1522" w:type="dxa"/>
            <w:noWrap/>
            <w:hideMark/>
          </w:tcPr>
          <w:p w:rsidR="00000135" w:rsidRPr="00000135" w:rsidP="00000135" w14:paraId="70A10BCA" w14:textId="77777777">
            <w:pPr>
              <w:spacing w:after="160" w:line="259" w:lineRule="auto"/>
            </w:pPr>
            <w:r w:rsidRPr="00000135">
              <w:t xml:space="preserve">264,665 </w:t>
            </w:r>
          </w:p>
        </w:tc>
        <w:tc>
          <w:tcPr>
            <w:tcW w:w="1522" w:type="dxa"/>
            <w:noWrap/>
            <w:hideMark/>
          </w:tcPr>
          <w:p w:rsidR="00000135" w:rsidRPr="00000135" w:rsidP="00000135" w14:paraId="6D4E3F56" w14:textId="77777777">
            <w:pPr>
              <w:spacing w:after="160" w:line="259" w:lineRule="auto"/>
            </w:pPr>
            <w:r w:rsidRPr="00000135">
              <w:t xml:space="preserve">182 </w:t>
            </w:r>
          </w:p>
        </w:tc>
        <w:tc>
          <w:tcPr>
            <w:tcW w:w="1522" w:type="dxa"/>
            <w:noWrap/>
            <w:hideMark/>
          </w:tcPr>
          <w:p w:rsidR="00000135" w:rsidRPr="00000135" w:rsidP="00000135" w14:paraId="6DE0C94A" w14:textId="77777777">
            <w:pPr>
              <w:spacing w:after="160" w:line="259" w:lineRule="auto"/>
            </w:pPr>
            <w:r w:rsidRPr="00000135">
              <w:t xml:space="preserve">48,253,216 </w:t>
            </w:r>
          </w:p>
        </w:tc>
        <w:tc>
          <w:tcPr>
            <w:tcW w:w="1522" w:type="dxa"/>
            <w:noWrap/>
            <w:hideMark/>
          </w:tcPr>
          <w:p w:rsidR="00000135" w:rsidRPr="00000135" w:rsidP="00000135" w14:paraId="6397103F" w14:textId="77777777">
            <w:pPr>
              <w:spacing w:after="160" w:line="259" w:lineRule="auto"/>
            </w:pPr>
            <w:r w:rsidRPr="00000135">
              <w:t xml:space="preserve">$0.77 </w:t>
            </w:r>
          </w:p>
        </w:tc>
        <w:tc>
          <w:tcPr>
            <w:tcW w:w="1522" w:type="dxa"/>
            <w:noWrap/>
            <w:hideMark/>
          </w:tcPr>
          <w:p w:rsidR="00000135" w:rsidRPr="00000135" w:rsidP="00000135" w14:paraId="35571E2C" w14:textId="77777777">
            <w:pPr>
              <w:spacing w:after="160" w:line="259" w:lineRule="auto"/>
            </w:pPr>
            <w:r w:rsidRPr="00000135">
              <w:t>$37,154,976</w:t>
            </w:r>
          </w:p>
        </w:tc>
      </w:tr>
    </w:tbl>
    <w:p w:rsidR="00614C15" w:rsidRPr="00614C15" w:rsidP="00614C15" w14:paraId="6EF93781" w14:textId="77777777"/>
    <w:p w:rsidR="0032021E" w:rsidP="00B466D8" w14:paraId="3AE1996E" w14:textId="5D2416EC">
      <w:pPr>
        <w:pStyle w:val="Heading2"/>
      </w:pPr>
      <w: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006F497D">
        <w:t>expenses</w:t>
      </w:r>
      <w:r>
        <w:t xml:space="preserve"> that would not have been incurred without this collection of information. Agencies also may aggregate cost estimates from Items 12, 13, and 14 in a single table.</w:t>
      </w:r>
    </w:p>
    <w:p w:rsidR="0076190D" w:rsidRPr="0076190D" w:rsidP="0076190D" w14:paraId="50081695" w14:textId="77777777">
      <w:r w:rsidRPr="0076190D">
        <w:t>The estimated annual cost of the information collection requirements to the federal government in Fiscal Year 2026 (October 1, 2025, through September 30, 2026) is approximately $1.2 million in 2024 dollars, which includes 2,080 staff hours to manage the eFiling program and $1 million in contracting costs.  This estimate for Fiscal Year 2026 is based in part on the annual salary for a mid-level salaried GS-13-5 employee in the Washington, DC metropolitan area (effective as of January 2024) which is $64.28 per hour.</w:t>
      </w:r>
      <w:r>
        <w:rPr>
          <w:vertAlign w:val="superscript"/>
        </w:rPr>
        <w:footnoteReference w:id="12"/>
      </w:r>
      <w:r w:rsidRPr="0076190D">
        <w:t xml:space="preserve">  This represents 67.7 percent of total compensation (U.S. Bureau of Labor Statistics, “Employer Costs for Employee Compensation,” March 2024, Table 2, percentage of wages and salaries for all civilian management, professional, and related employees.</w:t>
      </w:r>
      <w:r>
        <w:rPr>
          <w:vertAlign w:val="superscript"/>
        </w:rPr>
        <w:footnoteReference w:id="13"/>
      </w:r>
      <w:r w:rsidRPr="0076190D">
        <w:t xml:space="preserve">  Adding an additional 32.3 percent for benefits brings the average annual compensation for a mid-level salaried GS-13-5 employee to $94.94 per hour ($64.28 ÷ 0.677).  Assuming that approximately 2,080 hours will be required annually, this results in an annual labor cost of $197,477.10 ($94.98 per hour × 2,080 hours = $197,477) plus an annual contracting cost of $1,000,000 in IT development for an annual cost to the government of $</w:t>
      </w:r>
      <w:bookmarkStart w:id="4" w:name="_Hlk143113308"/>
      <w:r w:rsidRPr="0076190D">
        <w:t>1.</w:t>
      </w:r>
      <w:bookmarkEnd w:id="4"/>
      <w:r w:rsidRPr="0076190D">
        <w:t xml:space="preserve">2 million in Fiscal Year 2026.  Contracting costs are expected to decrease substantially thereafter.  Because eFiling will be fully functional and firms will be experienced with it, contractor support should only be required for ongoing operations and maintenance. </w:t>
      </w:r>
    </w:p>
    <w:p w:rsidR="00847B15" w:rsidRPr="00847B15" w:rsidP="00847B15" w14:paraId="5A97B7EB" w14:textId="77777777"/>
    <w:p w:rsidR="0032021E" w:rsidP="00B466D8" w14:paraId="7BC7E494" w14:textId="1515498B">
      <w:pPr>
        <w:pStyle w:val="Heading2"/>
      </w:pPr>
      <w:r>
        <w:t xml:space="preserve">Explain the reasons for any program changes or adjustments reporting in Items 13 or 14 of </w:t>
      </w:r>
      <w:r w:rsidR="006F497D">
        <w:t>OMB</w:t>
      </w:r>
      <w:r>
        <w:t xml:space="preserve"> Form 83-I.</w:t>
      </w:r>
    </w:p>
    <w:p w:rsidR="009369DC" w:rsidP="009369DC" w14:paraId="1EF84177" w14:textId="5BD07C99">
      <w:r>
        <w:t xml:space="preserve">There are no program changes or adjustments; this is a new collection of information.  </w:t>
      </w:r>
    </w:p>
    <w:p w:rsidR="00020899" w:rsidRPr="009369DC" w:rsidP="009369DC" w14:paraId="5123CA8C" w14:textId="77777777"/>
    <w:p w:rsidR="0032021E" w:rsidP="00B466D8" w14:paraId="3E98F6E1" w14:textId="4FF2F6A9">
      <w:pPr>
        <w:pStyle w:val="Heading2"/>
      </w:pPr>
      <w: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877C4" w:rsidP="000877C4" w14:paraId="30093A6D" w14:textId="61776285">
      <w:r>
        <w:t>The final rule (90 FR 1800) was published in the federal register January 8, 2025.</w:t>
      </w:r>
    </w:p>
    <w:p w:rsidR="00020899" w:rsidRPr="000877C4" w:rsidP="000877C4" w14:paraId="52592BE1" w14:textId="77777777"/>
    <w:p w:rsidR="0032021E" w:rsidP="00B466D8" w14:paraId="0D43EBFC" w14:textId="20ECB7C8">
      <w:pPr>
        <w:pStyle w:val="Heading2"/>
      </w:pPr>
      <w:r>
        <w:t>If seeking approval to not display the expiration date for OMB approval of the information collection, explain the reasons that display would be inappropriate.</w:t>
      </w:r>
    </w:p>
    <w:p w:rsidR="000877C4" w:rsidP="000877C4" w14:paraId="1B87ECCB" w14:textId="1A19538B">
      <w:r>
        <w:t>Not applicable.</w:t>
      </w:r>
    </w:p>
    <w:p w:rsidR="00020899" w:rsidRPr="000877C4" w:rsidP="000877C4" w14:paraId="79DEE6B2" w14:textId="77777777"/>
    <w:p w:rsidR="0032021E" w:rsidP="00B466D8" w14:paraId="3C946276" w14:textId="24B2CB86">
      <w:pPr>
        <w:pStyle w:val="Heading2"/>
      </w:pPr>
      <w:r>
        <w:t>Explain each exception to the certification statement identified in “Certification for Paperwork Reduction Act Submission,” of OMB 83-I.</w:t>
      </w:r>
      <w:bookmarkStart w:id="5" w:name="_Toc63083063"/>
      <w:bookmarkStart w:id="6" w:name="_Toc63083599"/>
      <w:bookmarkStart w:id="7" w:name="_Toc98770652"/>
    </w:p>
    <w:p w:rsidR="0032021E" w:rsidP="0032021E" w14:paraId="1393C424" w14:textId="43DF5640">
      <w:r w:rsidRPr="0036713E">
        <w:t>Not applicable.</w:t>
      </w:r>
    </w:p>
    <w:p w:rsidR="00760C5D" w:rsidP="0032021E" w14:paraId="0A85EB4D" w14:textId="77777777"/>
    <w:p w:rsidR="00760C5D" w:rsidRPr="0032021E" w:rsidP="00760C5D" w14:paraId="4D02C03D" w14:textId="5C8EAF2E">
      <w:pPr>
        <w:pStyle w:val="Heading1"/>
      </w:pPr>
      <w:r>
        <w:t>B.</w:t>
      </w:r>
      <w:r>
        <w:tab/>
      </w:r>
      <w:r w:rsidRPr="00760C5D">
        <w:t>Collections of Information Employing Statistical Methods.</w:t>
      </w:r>
      <w:r w:rsidRPr="0032021E">
        <w:t xml:space="preserve"> </w:t>
      </w:r>
    </w:p>
    <w:bookmarkEnd w:id="5"/>
    <w:bookmarkEnd w:id="6"/>
    <w:bookmarkEnd w:id="7"/>
    <w:p w:rsidR="00092981" w:rsidRPr="001F0C70" w:rsidP="001F0C70" w14:paraId="51F5E1C9" w14:textId="7D7F53A8">
      <w:pPr>
        <w:rPr>
          <w:bCs/>
        </w:rPr>
      </w:pPr>
      <w:r w:rsidRPr="00760C5D">
        <w:rPr>
          <w:rFonts w:asciiTheme="majorHAnsi" w:eastAsiaTheme="majorEastAsia" w:hAnsiTheme="majorHAnsi" w:cstheme="majorBidi"/>
          <w:bCs/>
          <w:color w:val="171717" w:themeColor="background2" w:themeShade="1A"/>
          <w:szCs w:val="24"/>
        </w:rPr>
        <w:t>CPSC will not employ a statistical methodology to collect this information.</w:t>
      </w:r>
    </w:p>
    <w:p w:rsidR="00E73A31" w:rsidP="00F4177B" w14:paraId="60E3C4B1" w14:textId="77777777">
      <w:pPr>
        <w:tabs>
          <w:tab w:val="left" w:pos="-1440"/>
          <w:tab w:val="left" w:pos="0"/>
        </w:tabs>
      </w:pPr>
    </w:p>
    <w:sectPr w:rsidSect="00BD4798">
      <w:footerReference w:type="defaul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0F92" w:rsidP="00473159" w14:paraId="01462C32" w14:textId="77777777">
    <w:pPr>
      <w:pStyle w:val="FooterText"/>
    </w:pPr>
  </w:p>
  <w:p w:rsidR="00EF0F92" w:rsidP="007E52C8" w14:paraId="7C1A1DE7" w14:textId="77777777">
    <w:pPr>
      <w:pStyle w:val="FooterText"/>
    </w:pPr>
  </w:p>
  <w:p w:rsidR="00EC1594" w:rsidP="007E52C8" w14:paraId="10FA24E9" w14:textId="7C911770">
    <w:pPr>
      <w:pStyle w:val="FooterText"/>
    </w:pPr>
    <w:r w:rsidRPr="00473159">
      <w:t>Supporting Statement for 16 CFR P</w:t>
    </w:r>
    <w:r w:rsidRPr="00473159" w:rsidR="004E39AE">
      <w:t>A</w:t>
    </w:r>
    <w:r w:rsidRPr="00473159">
      <w:t>RT 1110</w:t>
    </w:r>
    <w:r w:rsidRPr="00473159" w:rsidR="00DA196C">
      <w:t xml:space="preserve"> | </w:t>
    </w:r>
    <w:r w:rsidRPr="00473159">
      <w:t>January 8, 2025</w:t>
    </w:r>
    <w:r w:rsidRPr="00473159" w:rsidR="00DA196C">
      <w:t xml:space="preserve"> | cpsc.gov</w:t>
    </w:r>
  </w:p>
  <w:sdt>
    <w:sdtPr>
      <w:id w:val="1921138028"/>
      <w:docPartObj>
        <w:docPartGallery w:val="Page Numbers (Bottom of Page)"/>
        <w:docPartUnique/>
      </w:docPartObj>
    </w:sdtPr>
    <w:sdtEndPr>
      <w:rPr>
        <w:noProof/>
      </w:rPr>
    </w:sdtEndPr>
    <w:sdtContent>
      <w:p w:rsidR="00DA196C" w:rsidRPr="00DA196C" w:rsidP="007E52C8" w14:paraId="6766BEDB" w14:textId="77777777">
        <w:pPr>
          <w:pStyle w:val="FooterText"/>
        </w:pPr>
        <w:r>
          <w:fldChar w:fldCharType="begin"/>
        </w:r>
        <w:r>
          <w:instrText xml:space="preserve"> PAGE   \* MERGEFORMAT </w:instrText>
        </w:r>
        <w:r>
          <w:fldChar w:fldCharType="separate"/>
        </w:r>
        <w: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061CC" w:rsidP="00EC1594" w14:paraId="31B8F1D0" w14:textId="77777777">
      <w:pPr>
        <w:spacing w:after="0" w:line="240" w:lineRule="auto"/>
      </w:pPr>
      <w:r>
        <w:separator/>
      </w:r>
    </w:p>
  </w:footnote>
  <w:footnote w:type="continuationSeparator" w:id="1">
    <w:p w:rsidR="00E061CC" w:rsidP="00EC1594" w14:paraId="64E097C3" w14:textId="77777777">
      <w:pPr>
        <w:spacing w:after="0" w:line="240" w:lineRule="auto"/>
      </w:pPr>
      <w:r>
        <w:continuationSeparator/>
      </w:r>
    </w:p>
  </w:footnote>
  <w:footnote w:type="continuationNotice" w:id="2">
    <w:p w:rsidR="00E061CC" w14:paraId="67E3DBBD" w14:textId="77777777">
      <w:pPr>
        <w:spacing w:after="0" w:line="240" w:lineRule="auto"/>
      </w:pPr>
    </w:p>
  </w:footnote>
  <w:footnote w:id="3">
    <w:p w:rsidR="00A01FD3" w:rsidRPr="00CA7572" w:rsidP="00A01FD3" w14:paraId="597FBEAF" w14:textId="77777777">
      <w:pPr>
        <w:pStyle w:val="FootnoteText"/>
        <w:rPr>
          <w:rFonts w:cs="Arial"/>
          <w:sz w:val="18"/>
          <w:szCs w:val="18"/>
          <w:lang w:val="en-US"/>
        </w:rPr>
      </w:pPr>
      <w:r w:rsidRPr="00CA7572">
        <w:rPr>
          <w:rStyle w:val="FootnoteReference"/>
          <w:rFonts w:cs="Arial"/>
          <w:sz w:val="18"/>
          <w:szCs w:val="18"/>
        </w:rPr>
        <w:footnoteRef/>
      </w:r>
      <w:r w:rsidRPr="00CA7572">
        <w:rPr>
          <w:rFonts w:cs="Arial"/>
          <w:sz w:val="18"/>
          <w:szCs w:val="18"/>
        </w:rPr>
        <w:t xml:space="preserve"> Totals shown may not exactly match the product of component parts due to rounding. </w:t>
      </w:r>
    </w:p>
  </w:footnote>
  <w:footnote w:id="4">
    <w:p w:rsidR="0075764D" w:rsidRPr="00CA7572" w:rsidP="0075764D" w14:paraId="2B59BB63" w14:textId="77777777">
      <w:pPr>
        <w:pStyle w:val="FootnoteText"/>
        <w:rPr>
          <w:rFonts w:cs="Arial"/>
          <w:sz w:val="18"/>
          <w:szCs w:val="18"/>
        </w:rPr>
      </w:pPr>
      <w:r w:rsidRPr="00CA7572">
        <w:rPr>
          <w:rStyle w:val="FootnoteReference"/>
          <w:rFonts w:cs="Arial"/>
          <w:sz w:val="18"/>
          <w:szCs w:val="18"/>
        </w:rPr>
        <w:footnoteRef/>
      </w:r>
      <w:r w:rsidRPr="00CA7572">
        <w:rPr>
          <w:rFonts w:cs="Arial"/>
          <w:sz w:val="18"/>
          <w:szCs w:val="18"/>
        </w:rPr>
        <w:t xml:space="preserve"> The estimates from the equation may not match the total number of hours due to rounding.</w:t>
      </w:r>
    </w:p>
  </w:footnote>
  <w:footnote w:id="5">
    <w:p w:rsidR="00752C8A" w:rsidRPr="00CA7572" w:rsidP="00752C8A" w14:paraId="557BD5C1" w14:textId="77777777">
      <w:pPr>
        <w:pStyle w:val="FootnoteText"/>
        <w:rPr>
          <w:rFonts w:eastAsia="Arial" w:cs="Arial"/>
          <w:sz w:val="18"/>
          <w:szCs w:val="18"/>
        </w:rPr>
      </w:pPr>
      <w:r w:rsidRPr="00CA7572">
        <w:rPr>
          <w:rStyle w:val="FootnoteReference"/>
          <w:rFonts w:cs="Arial"/>
          <w:sz w:val="18"/>
          <w:szCs w:val="18"/>
          <w:lang w:val="en-US"/>
        </w:rPr>
        <w:footnoteRef/>
      </w:r>
      <w:r w:rsidRPr="00CA7572">
        <w:rPr>
          <w:rFonts w:cs="Arial"/>
          <w:sz w:val="18"/>
          <w:szCs w:val="18"/>
          <w:lang w:val="en-US"/>
        </w:rPr>
        <w:t xml:space="preserve"> </w:t>
      </w:r>
      <w:r w:rsidRPr="00CA7572">
        <w:rPr>
          <w:rFonts w:eastAsia="Arial" w:cs="Arial"/>
          <w:sz w:val="18"/>
          <w:szCs w:val="18"/>
          <w:lang w:val="en-US"/>
        </w:rPr>
        <w:t>This includes the entire eFiling burden of 144,487 hours and 2,223 hours of additional hours of recordkeeping due to the increase in the recordkeeping period of GCCs from 3 to 5 years.</w:t>
      </w:r>
    </w:p>
  </w:footnote>
  <w:footnote w:id="6">
    <w:p w:rsidR="00317BF9" w:rsidRPr="00CA7572" w:rsidP="00317BF9" w14:paraId="167DC85A" w14:textId="77777777">
      <w:pPr>
        <w:pStyle w:val="FootnoteText"/>
        <w:rPr>
          <w:rFonts w:eastAsia="Arial" w:cs="Arial"/>
          <w:sz w:val="18"/>
          <w:szCs w:val="18"/>
        </w:rPr>
      </w:pPr>
      <w:r w:rsidRPr="00CA7572">
        <w:rPr>
          <w:rStyle w:val="FootnoteReference"/>
          <w:rFonts w:cs="Arial"/>
          <w:sz w:val="18"/>
          <w:szCs w:val="18"/>
          <w:lang w:val="en-US"/>
        </w:rPr>
        <w:footnoteRef/>
      </w:r>
      <w:r w:rsidRPr="00CA7572">
        <w:rPr>
          <w:rFonts w:cs="Arial"/>
          <w:sz w:val="18"/>
          <w:szCs w:val="18"/>
          <w:lang w:val="en-US"/>
        </w:rPr>
        <w:t xml:space="preserve"> To estimate the cost of the hourly burden, CPSC staff used the hourly compensation</w:t>
      </w:r>
      <w:r w:rsidRPr="00CA7572">
        <w:rPr>
          <w:rFonts w:eastAsia="Arial" w:cs="Arial"/>
          <w:sz w:val="18"/>
          <w:szCs w:val="18"/>
          <w:lang w:val="en-US"/>
        </w:rPr>
        <w:t xml:space="preserve"> (benefits plus wage)</w:t>
      </w:r>
      <w:r w:rsidRPr="00CA7572">
        <w:rPr>
          <w:rFonts w:cs="Arial"/>
          <w:sz w:val="18"/>
          <w:szCs w:val="18"/>
          <w:lang w:val="en-US"/>
        </w:rPr>
        <w:t xml:space="preserve"> of management, professional, and related occupations in goods-producing industries for the production of certificates ($73.02), and the hourly </w:t>
      </w:r>
      <w:r w:rsidRPr="00CA7572">
        <w:rPr>
          <w:rFonts w:eastAsia="Arial" w:cs="Arial"/>
          <w:sz w:val="18"/>
          <w:szCs w:val="18"/>
          <w:lang w:val="en-US"/>
        </w:rPr>
        <w:t>compensation of office and administrative support occupations in good-producing industries for the disclosure, recordkeeping, and eFiling of certificates ($35.56).  These hourly compensation estimates were obtained from the report on “Employer Cost for Employee Compensation” prepared by the U.S. Bureau of Labor Statistics as of June 2024.  https://www.bls.gov/news.release/ecec.t04.htm.</w:t>
      </w:r>
    </w:p>
  </w:footnote>
  <w:footnote w:id="7">
    <w:p w:rsidR="00781F94" w:rsidP="00781F94" w14:paraId="45133A8F" w14:textId="77777777">
      <w:pPr>
        <w:pStyle w:val="FootnoteText"/>
      </w:pPr>
      <w:r w:rsidRPr="003353BB">
        <w:rPr>
          <w:rStyle w:val="FootnoteReference"/>
          <w:rFonts w:ascii="Times New Roman" w:hAnsi="Times New Roman"/>
        </w:rPr>
        <w:footnoteRef/>
      </w:r>
      <w:r w:rsidRPr="003353BB">
        <w:rPr>
          <w:rFonts w:ascii="Times New Roman" w:hAnsi="Times New Roman"/>
        </w:rPr>
        <w:t xml:space="preserve"> </w:t>
      </w:r>
      <w:r w:rsidRPr="003353BB">
        <w:rPr>
          <w:rFonts w:ascii="Times New Roman" w:hAnsi="Times New Roman"/>
        </w:rPr>
        <w:t>T</w:t>
      </w:r>
      <w:r w:rsidRPr="003353BB">
        <w:rPr>
          <w:rFonts w:ascii="Times New Roman" w:hAnsi="Times New Roman"/>
          <w:lang w:val="en-US"/>
        </w:rPr>
        <w:t>o estimate the cost of the hourly burden of eFiling, staff used the hourly compensation</w:t>
      </w:r>
      <w:r w:rsidRPr="003353BB">
        <w:rPr>
          <w:rFonts w:ascii="Times New Roman" w:eastAsia="Arial" w:hAnsi="Times New Roman"/>
          <w:lang w:val="en-US"/>
        </w:rPr>
        <w:t xml:space="preserve"> (benefits plus wage)</w:t>
      </w:r>
      <w:r w:rsidRPr="003353BB">
        <w:rPr>
          <w:rFonts w:ascii="Times New Roman" w:hAnsi="Times New Roman"/>
          <w:lang w:val="en-US"/>
        </w:rPr>
        <w:t xml:space="preserve"> of </w:t>
      </w:r>
      <w:r w:rsidRPr="003353BB">
        <w:rPr>
          <w:rFonts w:ascii="Times New Roman" w:eastAsia="Arial" w:hAnsi="Times New Roman"/>
          <w:lang w:val="en-US"/>
        </w:rPr>
        <w:t xml:space="preserve">office and administrative support occupations in good producing industries ($35.56).  This hourly compensation estimate was obtained from the report on </w:t>
      </w:r>
      <w:r>
        <w:rPr>
          <w:rFonts w:ascii="Times New Roman" w:eastAsia="Arial" w:hAnsi="Times New Roman"/>
          <w:lang w:val="en-US"/>
        </w:rPr>
        <w:t>“</w:t>
      </w:r>
      <w:r w:rsidRPr="003353BB">
        <w:rPr>
          <w:rFonts w:ascii="Times New Roman" w:eastAsia="Arial" w:hAnsi="Times New Roman"/>
          <w:lang w:val="en-US"/>
        </w:rPr>
        <w:t>Employer Cost for Employee Compensation</w:t>
      </w:r>
      <w:r>
        <w:rPr>
          <w:rFonts w:ascii="Times New Roman" w:eastAsia="Arial" w:hAnsi="Times New Roman"/>
          <w:lang w:val="en-US"/>
        </w:rPr>
        <w:t>”</w:t>
      </w:r>
      <w:r w:rsidRPr="003353BB">
        <w:rPr>
          <w:rFonts w:ascii="Times New Roman" w:eastAsia="Arial" w:hAnsi="Times New Roman"/>
          <w:lang w:val="en-US"/>
        </w:rPr>
        <w:t xml:space="preserve"> prepared by the U.S. Bureau of Labor Statistics as of June 2024.  https://www.bls.gov/news.release/ecec.t04.htm.</w:t>
      </w:r>
    </w:p>
  </w:footnote>
  <w:footnote w:id="8">
    <w:p w:rsidR="00306DAE" w:rsidRPr="00CA7572" w14:paraId="32037184" w14:textId="0FF369A0">
      <w:pPr>
        <w:pStyle w:val="FootnoteText"/>
        <w:rPr>
          <w:sz w:val="18"/>
          <w:szCs w:val="18"/>
          <w:lang w:val="en-US"/>
        </w:rPr>
      </w:pPr>
      <w:r w:rsidRPr="004E39AE">
        <w:rPr>
          <w:rStyle w:val="FootnoteReference"/>
          <w:sz w:val="18"/>
          <w:szCs w:val="18"/>
        </w:rPr>
        <w:footnoteRef/>
      </w:r>
      <w:r w:rsidRPr="004E39AE">
        <w:rPr>
          <w:sz w:val="18"/>
          <w:szCs w:val="18"/>
        </w:rPr>
        <w:t xml:space="preserve"> </w:t>
      </w:r>
      <w:r w:rsidRPr="00AA586C">
        <w:rPr>
          <w:sz w:val="18"/>
          <w:szCs w:val="18"/>
        </w:rPr>
        <w:t>Note that although burden from de minimis filings was raised in the SNPR, CPSC has insufficient information for a substantive burden analysis involving de minimis filings impacted by the Final Rule.  Therefore this section only includes startup costs and filing fees.</w:t>
      </w:r>
      <w:r w:rsidRPr="00CA7572">
        <w:rPr>
          <w:sz w:val="18"/>
          <w:szCs w:val="18"/>
        </w:rPr>
        <w:t xml:space="preserve">  </w:t>
      </w:r>
    </w:p>
  </w:footnote>
  <w:footnote w:id="9">
    <w:p w:rsidR="00B84B4A" w:rsidRPr="00F40F7F" w14:paraId="6B4C0488" w14:textId="37710B36">
      <w:pPr>
        <w:pStyle w:val="FootnoteText"/>
        <w:rPr>
          <w:sz w:val="18"/>
          <w:szCs w:val="18"/>
          <w:lang w:val="en-US"/>
        </w:rPr>
      </w:pPr>
      <w:r w:rsidRPr="00CA7572">
        <w:rPr>
          <w:rStyle w:val="FootnoteReference"/>
          <w:sz w:val="18"/>
          <w:szCs w:val="18"/>
        </w:rPr>
        <w:footnoteRef/>
      </w:r>
      <w:r w:rsidRPr="00F40F7F">
        <w:rPr>
          <w:sz w:val="18"/>
          <w:szCs w:val="18"/>
        </w:rPr>
        <w:t xml:space="preserve"> Technology investments may decrease the overall costs associated with managing certificate data, records, or entering products into the Product Registry or into a broker’s database.  Importers are not required to invest in this technology so technology costs are excluded from the burden estimates.</w:t>
      </w:r>
    </w:p>
  </w:footnote>
  <w:footnote w:id="10">
    <w:p w:rsidR="00000135" w:rsidRPr="00F40F7F" w:rsidP="00000135" w14:paraId="1D6C50E6" w14:textId="77777777">
      <w:pPr>
        <w:pStyle w:val="FootnoteText"/>
        <w:rPr>
          <w:sz w:val="18"/>
          <w:szCs w:val="18"/>
        </w:rPr>
      </w:pPr>
      <w:r w:rsidRPr="00F40F7F">
        <w:rPr>
          <w:rStyle w:val="FootnoteReference"/>
          <w:rFonts w:eastAsia="Arial"/>
          <w:sz w:val="18"/>
          <w:szCs w:val="18"/>
        </w:rPr>
        <w:footnoteRef/>
      </w:r>
      <w:r w:rsidRPr="00F40F7F">
        <w:rPr>
          <w:rStyle w:val="FootnoteReference"/>
          <w:rFonts w:eastAsia="Arial"/>
          <w:sz w:val="18"/>
          <w:szCs w:val="18"/>
        </w:rPr>
        <w:t xml:space="preserve"> </w:t>
      </w:r>
      <w:r w:rsidRPr="00F40F7F">
        <w:rPr>
          <w:sz w:val="18"/>
          <w:szCs w:val="18"/>
        </w:rPr>
        <w:t xml:space="preserve">As of June 2024, the hourly rate for management, professional, and related occupations at good producing industries was $73.02, while the hourly rate for office and administrative support occupations was $35.56.  CPSC assumes that the hours invested in startup activities are one-half managerial and one-half support staff at an average hourly rate of $54.29.  </w:t>
      </w:r>
    </w:p>
  </w:footnote>
  <w:footnote w:id="11">
    <w:p w:rsidR="008355CF" w:rsidRPr="00F9159B" w14:paraId="6E9A7794" w14:textId="639E04EB">
      <w:pPr>
        <w:pStyle w:val="FootnoteText"/>
        <w:rPr>
          <w:sz w:val="18"/>
          <w:szCs w:val="18"/>
          <w:lang w:val="en-US"/>
        </w:rPr>
      </w:pPr>
      <w:r w:rsidRPr="00F9159B">
        <w:rPr>
          <w:rStyle w:val="FootnoteReference"/>
          <w:sz w:val="18"/>
          <w:szCs w:val="18"/>
        </w:rPr>
        <w:footnoteRef/>
      </w:r>
      <w:r w:rsidRPr="00F9159B">
        <w:rPr>
          <w:sz w:val="18"/>
          <w:szCs w:val="18"/>
        </w:rPr>
        <w:t xml:space="preserve"> These totals exclude de minimis filings.</w:t>
      </w:r>
    </w:p>
  </w:footnote>
  <w:footnote w:id="12">
    <w:p w:rsidR="0076190D" w:rsidRPr="00F9159B" w:rsidP="0076190D" w14:paraId="615744D8" w14:textId="77777777">
      <w:pPr>
        <w:pStyle w:val="FootnoteText"/>
        <w:rPr>
          <w:sz w:val="18"/>
          <w:szCs w:val="18"/>
        </w:rPr>
      </w:pPr>
      <w:r w:rsidRPr="00F9159B">
        <w:rPr>
          <w:sz w:val="18"/>
          <w:szCs w:val="18"/>
          <w:vertAlign w:val="superscript"/>
        </w:rPr>
        <w:footnoteRef/>
      </w:r>
      <w:r w:rsidRPr="00F9159B">
        <w:rPr>
          <w:sz w:val="18"/>
          <w:szCs w:val="18"/>
        </w:rPr>
        <w:t xml:space="preserve"> $64.28 comes from rounding $64.275 = 133,692 a year / 2,080 hours per year. See https://www.opm.gov/policy-data-oversight/pay-leave/salaries-wages/salary-tables/pdf/2024/D</w:t>
      </w:r>
      <w:bookmarkStart w:id="2" w:name="_Hlt181626438"/>
      <w:bookmarkStart w:id="3" w:name="_Hlt181626439"/>
      <w:r w:rsidRPr="00F9159B">
        <w:rPr>
          <w:sz w:val="18"/>
          <w:szCs w:val="18"/>
        </w:rPr>
        <w:t>C</w:t>
      </w:r>
      <w:bookmarkEnd w:id="2"/>
      <w:bookmarkEnd w:id="3"/>
      <w:r w:rsidRPr="00F9159B">
        <w:rPr>
          <w:sz w:val="18"/>
          <w:szCs w:val="18"/>
        </w:rPr>
        <w:t>B.pdf.</w:t>
      </w:r>
    </w:p>
  </w:footnote>
  <w:footnote w:id="13">
    <w:p w:rsidR="0076190D" w:rsidRPr="00F9159B" w:rsidP="0076190D" w14:paraId="6BF8EFD4" w14:textId="77777777">
      <w:pPr>
        <w:pStyle w:val="FootnoteText"/>
        <w:rPr>
          <w:sz w:val="18"/>
          <w:szCs w:val="18"/>
        </w:rPr>
      </w:pPr>
      <w:r w:rsidRPr="00F9159B">
        <w:rPr>
          <w:sz w:val="18"/>
          <w:szCs w:val="18"/>
          <w:vertAlign w:val="superscript"/>
        </w:rPr>
        <w:footnoteRef/>
      </w:r>
      <w:r w:rsidRPr="00F9159B">
        <w:rPr>
          <w:sz w:val="18"/>
          <w:szCs w:val="18"/>
        </w:rPr>
        <w:t xml:space="preserve"> https://www.bls.gov/news.release/ecec.t02.htm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BB8ECFE2"/>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8"/>
    <w:multiLevelType w:val="singleLevel"/>
    <w:tmpl w:val="E0081208"/>
    <w:lvl w:ilvl="0">
      <w:start w:val="1"/>
      <w:numFmt w:val="decimal"/>
      <w:pStyle w:val="ListNumber"/>
      <w:lvlText w:val="%1."/>
      <w:lvlJc w:val="left"/>
      <w:pPr>
        <w:tabs>
          <w:tab w:val="num" w:pos="360"/>
        </w:tabs>
        <w:ind w:left="360" w:hanging="360"/>
      </w:pPr>
    </w:lvl>
  </w:abstractNum>
  <w:abstractNum w:abstractNumId="2">
    <w:nsid w:val="FFFFFF89"/>
    <w:multiLevelType w:val="singleLevel"/>
    <w:tmpl w:val="03C022E2"/>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2DE2F91"/>
    <w:multiLevelType w:val="hybridMultilevel"/>
    <w:tmpl w:val="1ACA2E06"/>
    <w:lvl w:ilvl="0">
      <w:start w:val="1"/>
      <w:numFmt w:val="bullet"/>
      <w:lvlText w:val=""/>
      <w:lvlJc w:val="left"/>
      <w:pPr>
        <w:ind w:left="1080" w:hanging="360"/>
      </w:pPr>
      <w:rPr>
        <w:rFonts w:ascii="Symbol" w:hAnsi="Symbol" w:hint="default"/>
        <w:color w:val="84D4EF"/>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E35362E"/>
    <w:multiLevelType w:val="hybridMultilevel"/>
    <w:tmpl w:val="24343880"/>
    <w:lvl w:ilvl="0">
      <w:start w:val="1"/>
      <w:numFmt w:val="decimal"/>
      <w:pStyle w:val="Heading2"/>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C9E1858"/>
    <w:multiLevelType w:val="hybridMultilevel"/>
    <w:tmpl w:val="A86CD62E"/>
    <w:lvl w:ilvl="0">
      <w:start w:val="1"/>
      <w:numFmt w:val="bullet"/>
      <w:pStyle w:val="Bullet2"/>
      <w:lvlText w:val=""/>
      <w:lvlJc w:val="left"/>
      <w:pPr>
        <w:ind w:left="720" w:hanging="360"/>
      </w:pPr>
      <w:rPr>
        <w:rFonts w:ascii="Symbol" w:hAnsi="Symbol" w:hint="default"/>
        <w:color w:val="84D4E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D800B8"/>
    <w:multiLevelType w:val="hybridMultilevel"/>
    <w:tmpl w:val="854AF490"/>
    <w:lvl w:ilvl="0">
      <w:start w:val="1"/>
      <w:numFmt w:val="bullet"/>
      <w:pStyle w:val="Bullet1"/>
      <w:lvlText w:val=""/>
      <w:lvlJc w:val="left"/>
      <w:pPr>
        <w:ind w:left="720" w:hanging="360"/>
      </w:pPr>
      <w:rPr>
        <w:rFonts w:ascii="Symbol" w:hAnsi="Symbol" w:hint="default"/>
        <w:color w:val="84D4E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8650C98"/>
    <w:multiLevelType w:val="hybridMultilevel"/>
    <w:tmpl w:val="114614D8"/>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D2A296A"/>
    <w:multiLevelType w:val="hybridMultilevel"/>
    <w:tmpl w:val="67DCB94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274824741">
    <w:abstractNumId w:val="2"/>
  </w:num>
  <w:num w:numId="2" w16cid:durableId="1284314492">
    <w:abstractNumId w:val="0"/>
  </w:num>
  <w:num w:numId="3" w16cid:durableId="385032396">
    <w:abstractNumId w:val="1"/>
  </w:num>
  <w:num w:numId="4" w16cid:durableId="908031476">
    <w:abstractNumId w:val="1"/>
    <w:lvlOverride w:ilvl="0">
      <w:startOverride w:val="1"/>
    </w:lvlOverride>
  </w:num>
  <w:num w:numId="5" w16cid:durableId="40638427">
    <w:abstractNumId w:val="1"/>
    <w:lvlOverride w:ilvl="0">
      <w:startOverride w:val="1"/>
    </w:lvlOverride>
  </w:num>
  <w:num w:numId="6" w16cid:durableId="122190684">
    <w:abstractNumId w:val="6"/>
  </w:num>
  <w:num w:numId="7" w16cid:durableId="1469861262">
    <w:abstractNumId w:val="3"/>
  </w:num>
  <w:num w:numId="8" w16cid:durableId="1916932240">
    <w:abstractNumId w:val="5"/>
  </w:num>
  <w:num w:numId="9" w16cid:durableId="1241909262">
    <w:abstractNumId w:val="4"/>
  </w:num>
  <w:num w:numId="10" w16cid:durableId="1147015071">
    <w:abstractNumId w:val="7"/>
  </w:num>
  <w:num w:numId="11" w16cid:durableId="7816111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DBD"/>
    <w:rsid w:val="00000135"/>
    <w:rsid w:val="0000687D"/>
    <w:rsid w:val="000121CA"/>
    <w:rsid w:val="00020899"/>
    <w:rsid w:val="00022FED"/>
    <w:rsid w:val="00025907"/>
    <w:rsid w:val="00026FF2"/>
    <w:rsid w:val="000306AC"/>
    <w:rsid w:val="00033CAA"/>
    <w:rsid w:val="00046690"/>
    <w:rsid w:val="00053D5E"/>
    <w:rsid w:val="00055812"/>
    <w:rsid w:val="0005669C"/>
    <w:rsid w:val="00057F45"/>
    <w:rsid w:val="000627A7"/>
    <w:rsid w:val="000657ED"/>
    <w:rsid w:val="000708E0"/>
    <w:rsid w:val="00073014"/>
    <w:rsid w:val="000761A4"/>
    <w:rsid w:val="00082F54"/>
    <w:rsid w:val="000877C4"/>
    <w:rsid w:val="00090A0F"/>
    <w:rsid w:val="000910B8"/>
    <w:rsid w:val="00091F1B"/>
    <w:rsid w:val="00092981"/>
    <w:rsid w:val="00094CDF"/>
    <w:rsid w:val="0009719F"/>
    <w:rsid w:val="000A4CF1"/>
    <w:rsid w:val="000A5CBD"/>
    <w:rsid w:val="000A72CA"/>
    <w:rsid w:val="000A7A06"/>
    <w:rsid w:val="000B11F9"/>
    <w:rsid w:val="000B15C8"/>
    <w:rsid w:val="000B4A3F"/>
    <w:rsid w:val="000B59F0"/>
    <w:rsid w:val="000C363D"/>
    <w:rsid w:val="000C3745"/>
    <w:rsid w:val="000C5306"/>
    <w:rsid w:val="000C573D"/>
    <w:rsid w:val="000C710B"/>
    <w:rsid w:val="000C7E8E"/>
    <w:rsid w:val="000D320D"/>
    <w:rsid w:val="000D5DCB"/>
    <w:rsid w:val="000E004A"/>
    <w:rsid w:val="000E01C3"/>
    <w:rsid w:val="000E090A"/>
    <w:rsid w:val="000E125E"/>
    <w:rsid w:val="000E4171"/>
    <w:rsid w:val="000E50B3"/>
    <w:rsid w:val="000F537C"/>
    <w:rsid w:val="000F5741"/>
    <w:rsid w:val="00102D16"/>
    <w:rsid w:val="0010551E"/>
    <w:rsid w:val="001068F3"/>
    <w:rsid w:val="00111067"/>
    <w:rsid w:val="001118A9"/>
    <w:rsid w:val="00111D8D"/>
    <w:rsid w:val="0011519B"/>
    <w:rsid w:val="00132CE6"/>
    <w:rsid w:val="001372E1"/>
    <w:rsid w:val="00142007"/>
    <w:rsid w:val="0014408F"/>
    <w:rsid w:val="00144822"/>
    <w:rsid w:val="00146EF6"/>
    <w:rsid w:val="001505A5"/>
    <w:rsid w:val="001533BB"/>
    <w:rsid w:val="0015416E"/>
    <w:rsid w:val="00154761"/>
    <w:rsid w:val="00163B11"/>
    <w:rsid w:val="00170817"/>
    <w:rsid w:val="00177499"/>
    <w:rsid w:val="001870F9"/>
    <w:rsid w:val="00195C7F"/>
    <w:rsid w:val="001A095F"/>
    <w:rsid w:val="001A2DD4"/>
    <w:rsid w:val="001B1B42"/>
    <w:rsid w:val="001B3A5F"/>
    <w:rsid w:val="001B5095"/>
    <w:rsid w:val="001B778A"/>
    <w:rsid w:val="001C2F37"/>
    <w:rsid w:val="001C6706"/>
    <w:rsid w:val="001C749A"/>
    <w:rsid w:val="001D1C51"/>
    <w:rsid w:val="001D360D"/>
    <w:rsid w:val="001E0653"/>
    <w:rsid w:val="001E0989"/>
    <w:rsid w:val="001E30DB"/>
    <w:rsid w:val="001E73DA"/>
    <w:rsid w:val="001F0C70"/>
    <w:rsid w:val="001F0EEF"/>
    <w:rsid w:val="001F1460"/>
    <w:rsid w:val="002027A1"/>
    <w:rsid w:val="002035DB"/>
    <w:rsid w:val="00203DBD"/>
    <w:rsid w:val="002049E6"/>
    <w:rsid w:val="00204BEB"/>
    <w:rsid w:val="002065D3"/>
    <w:rsid w:val="00207321"/>
    <w:rsid w:val="00214690"/>
    <w:rsid w:val="00216B61"/>
    <w:rsid w:val="00221BD5"/>
    <w:rsid w:val="00223C2C"/>
    <w:rsid w:val="002257E5"/>
    <w:rsid w:val="002271C5"/>
    <w:rsid w:val="00235908"/>
    <w:rsid w:val="0023642D"/>
    <w:rsid w:val="0023788A"/>
    <w:rsid w:val="00243052"/>
    <w:rsid w:val="00243627"/>
    <w:rsid w:val="002437F6"/>
    <w:rsid w:val="002454D7"/>
    <w:rsid w:val="002459D8"/>
    <w:rsid w:val="0024774F"/>
    <w:rsid w:val="00250DE7"/>
    <w:rsid w:val="002556C1"/>
    <w:rsid w:val="00255BE1"/>
    <w:rsid w:val="00257D9B"/>
    <w:rsid w:val="0026135D"/>
    <w:rsid w:val="0026368F"/>
    <w:rsid w:val="00267B40"/>
    <w:rsid w:val="0027173F"/>
    <w:rsid w:val="002769CA"/>
    <w:rsid w:val="0027749E"/>
    <w:rsid w:val="0028503B"/>
    <w:rsid w:val="002870DA"/>
    <w:rsid w:val="002B02DF"/>
    <w:rsid w:val="002C782F"/>
    <w:rsid w:val="002D120C"/>
    <w:rsid w:val="002D1748"/>
    <w:rsid w:val="002D2BB9"/>
    <w:rsid w:val="002E4F6F"/>
    <w:rsid w:val="002F0E14"/>
    <w:rsid w:val="002F1403"/>
    <w:rsid w:val="002F17FF"/>
    <w:rsid w:val="002F35CA"/>
    <w:rsid w:val="002F68FD"/>
    <w:rsid w:val="002F73F6"/>
    <w:rsid w:val="003015D1"/>
    <w:rsid w:val="00303FDD"/>
    <w:rsid w:val="00306DAE"/>
    <w:rsid w:val="003107C3"/>
    <w:rsid w:val="003111A4"/>
    <w:rsid w:val="00315245"/>
    <w:rsid w:val="00315482"/>
    <w:rsid w:val="00315557"/>
    <w:rsid w:val="00317BF9"/>
    <w:rsid w:val="0032021E"/>
    <w:rsid w:val="00321B5F"/>
    <w:rsid w:val="003223CE"/>
    <w:rsid w:val="00323D44"/>
    <w:rsid w:val="00327FA2"/>
    <w:rsid w:val="003304D9"/>
    <w:rsid w:val="00330D90"/>
    <w:rsid w:val="003313E7"/>
    <w:rsid w:val="0033409C"/>
    <w:rsid w:val="003353BB"/>
    <w:rsid w:val="00335B1B"/>
    <w:rsid w:val="003434D8"/>
    <w:rsid w:val="003472A4"/>
    <w:rsid w:val="00353CD8"/>
    <w:rsid w:val="00355068"/>
    <w:rsid w:val="00355A2C"/>
    <w:rsid w:val="00356AAF"/>
    <w:rsid w:val="00363838"/>
    <w:rsid w:val="00363C46"/>
    <w:rsid w:val="003661AC"/>
    <w:rsid w:val="003663E5"/>
    <w:rsid w:val="0036713E"/>
    <w:rsid w:val="003714BD"/>
    <w:rsid w:val="003723FE"/>
    <w:rsid w:val="00375427"/>
    <w:rsid w:val="00381383"/>
    <w:rsid w:val="00381C09"/>
    <w:rsid w:val="003830EC"/>
    <w:rsid w:val="00383761"/>
    <w:rsid w:val="00390F10"/>
    <w:rsid w:val="00393472"/>
    <w:rsid w:val="003A468C"/>
    <w:rsid w:val="003A6570"/>
    <w:rsid w:val="003B6E04"/>
    <w:rsid w:val="003C1767"/>
    <w:rsid w:val="003C3D6E"/>
    <w:rsid w:val="003D25D4"/>
    <w:rsid w:val="003E0330"/>
    <w:rsid w:val="003E4874"/>
    <w:rsid w:val="003E51ED"/>
    <w:rsid w:val="003E5836"/>
    <w:rsid w:val="003E7B70"/>
    <w:rsid w:val="003F17BC"/>
    <w:rsid w:val="003F7CF3"/>
    <w:rsid w:val="00402E2B"/>
    <w:rsid w:val="0040327C"/>
    <w:rsid w:val="00403ABC"/>
    <w:rsid w:val="00411691"/>
    <w:rsid w:val="00412BBA"/>
    <w:rsid w:val="004142C1"/>
    <w:rsid w:val="00414AE1"/>
    <w:rsid w:val="004156D3"/>
    <w:rsid w:val="004161C3"/>
    <w:rsid w:val="00420DF3"/>
    <w:rsid w:val="004252D7"/>
    <w:rsid w:val="00427DB8"/>
    <w:rsid w:val="00430D4D"/>
    <w:rsid w:val="004321F6"/>
    <w:rsid w:val="00432F82"/>
    <w:rsid w:val="00433105"/>
    <w:rsid w:val="004334A2"/>
    <w:rsid w:val="0043432A"/>
    <w:rsid w:val="004345A8"/>
    <w:rsid w:val="00434F06"/>
    <w:rsid w:val="00435704"/>
    <w:rsid w:val="0044209C"/>
    <w:rsid w:val="00443FFD"/>
    <w:rsid w:val="004461AD"/>
    <w:rsid w:val="00446E7B"/>
    <w:rsid w:val="00453926"/>
    <w:rsid w:val="004578C3"/>
    <w:rsid w:val="00464121"/>
    <w:rsid w:val="00465036"/>
    <w:rsid w:val="0046795A"/>
    <w:rsid w:val="0047053A"/>
    <w:rsid w:val="00470DB3"/>
    <w:rsid w:val="004726EA"/>
    <w:rsid w:val="00472B35"/>
    <w:rsid w:val="00473159"/>
    <w:rsid w:val="004740CC"/>
    <w:rsid w:val="0047433A"/>
    <w:rsid w:val="004762CE"/>
    <w:rsid w:val="00477204"/>
    <w:rsid w:val="00484882"/>
    <w:rsid w:val="00487160"/>
    <w:rsid w:val="0048717D"/>
    <w:rsid w:val="004929F5"/>
    <w:rsid w:val="00492DAF"/>
    <w:rsid w:val="00493377"/>
    <w:rsid w:val="00497074"/>
    <w:rsid w:val="004A4568"/>
    <w:rsid w:val="004A58D6"/>
    <w:rsid w:val="004A5F99"/>
    <w:rsid w:val="004A6D03"/>
    <w:rsid w:val="004B0784"/>
    <w:rsid w:val="004B17CE"/>
    <w:rsid w:val="004B280A"/>
    <w:rsid w:val="004B3278"/>
    <w:rsid w:val="004B35CE"/>
    <w:rsid w:val="004B5491"/>
    <w:rsid w:val="004C62F0"/>
    <w:rsid w:val="004D2BBE"/>
    <w:rsid w:val="004D3E6C"/>
    <w:rsid w:val="004D77FA"/>
    <w:rsid w:val="004E0A23"/>
    <w:rsid w:val="004E0CCB"/>
    <w:rsid w:val="004E125B"/>
    <w:rsid w:val="004E37F0"/>
    <w:rsid w:val="004E39AE"/>
    <w:rsid w:val="004F3092"/>
    <w:rsid w:val="004F68D2"/>
    <w:rsid w:val="004F7912"/>
    <w:rsid w:val="005008AA"/>
    <w:rsid w:val="005034B1"/>
    <w:rsid w:val="005069C0"/>
    <w:rsid w:val="00511B8B"/>
    <w:rsid w:val="00511D0E"/>
    <w:rsid w:val="00516FB5"/>
    <w:rsid w:val="00520567"/>
    <w:rsid w:val="00524F4E"/>
    <w:rsid w:val="005267CA"/>
    <w:rsid w:val="0053106B"/>
    <w:rsid w:val="00545D47"/>
    <w:rsid w:val="00547B2F"/>
    <w:rsid w:val="00550B89"/>
    <w:rsid w:val="00552342"/>
    <w:rsid w:val="005546B0"/>
    <w:rsid w:val="005568DD"/>
    <w:rsid w:val="00562F68"/>
    <w:rsid w:val="00563213"/>
    <w:rsid w:val="0056396A"/>
    <w:rsid w:val="00565E3D"/>
    <w:rsid w:val="005673AF"/>
    <w:rsid w:val="00567EE6"/>
    <w:rsid w:val="00581B78"/>
    <w:rsid w:val="0058342C"/>
    <w:rsid w:val="00584A65"/>
    <w:rsid w:val="00586826"/>
    <w:rsid w:val="00587A4B"/>
    <w:rsid w:val="00593CBD"/>
    <w:rsid w:val="00595A0C"/>
    <w:rsid w:val="005970AA"/>
    <w:rsid w:val="005A2203"/>
    <w:rsid w:val="005B23C8"/>
    <w:rsid w:val="005B31C7"/>
    <w:rsid w:val="005B4212"/>
    <w:rsid w:val="005B54BF"/>
    <w:rsid w:val="005B7D7B"/>
    <w:rsid w:val="005C113F"/>
    <w:rsid w:val="005C16B1"/>
    <w:rsid w:val="005C19BE"/>
    <w:rsid w:val="005C1E7F"/>
    <w:rsid w:val="005C3CB2"/>
    <w:rsid w:val="005C4E4B"/>
    <w:rsid w:val="005C55BA"/>
    <w:rsid w:val="005C6809"/>
    <w:rsid w:val="005D0E28"/>
    <w:rsid w:val="005D16C7"/>
    <w:rsid w:val="005D186D"/>
    <w:rsid w:val="005D44B5"/>
    <w:rsid w:val="005D4F72"/>
    <w:rsid w:val="005D53D6"/>
    <w:rsid w:val="005E3BCD"/>
    <w:rsid w:val="005E69CC"/>
    <w:rsid w:val="005E76A8"/>
    <w:rsid w:val="005F0E51"/>
    <w:rsid w:val="005F11A0"/>
    <w:rsid w:val="005F4E83"/>
    <w:rsid w:val="005F4EB5"/>
    <w:rsid w:val="005F5B0D"/>
    <w:rsid w:val="005F6EB9"/>
    <w:rsid w:val="005F7534"/>
    <w:rsid w:val="006015B9"/>
    <w:rsid w:val="0060249F"/>
    <w:rsid w:val="006048F3"/>
    <w:rsid w:val="006060F5"/>
    <w:rsid w:val="006100D9"/>
    <w:rsid w:val="006124B5"/>
    <w:rsid w:val="0061276B"/>
    <w:rsid w:val="00614C15"/>
    <w:rsid w:val="00614CF0"/>
    <w:rsid w:val="0061692B"/>
    <w:rsid w:val="00616C9D"/>
    <w:rsid w:val="00623117"/>
    <w:rsid w:val="006240C5"/>
    <w:rsid w:val="00624AAA"/>
    <w:rsid w:val="00627FAC"/>
    <w:rsid w:val="006307FB"/>
    <w:rsid w:val="006322B7"/>
    <w:rsid w:val="0063613F"/>
    <w:rsid w:val="00636370"/>
    <w:rsid w:val="00642494"/>
    <w:rsid w:val="006430DA"/>
    <w:rsid w:val="0064337C"/>
    <w:rsid w:val="00646704"/>
    <w:rsid w:val="006468BD"/>
    <w:rsid w:val="006469F5"/>
    <w:rsid w:val="00650CB6"/>
    <w:rsid w:val="00652914"/>
    <w:rsid w:val="00653869"/>
    <w:rsid w:val="00653CA4"/>
    <w:rsid w:val="00653FC2"/>
    <w:rsid w:val="00661F22"/>
    <w:rsid w:val="006628C8"/>
    <w:rsid w:val="00663A27"/>
    <w:rsid w:val="00664331"/>
    <w:rsid w:val="00667A67"/>
    <w:rsid w:val="00671047"/>
    <w:rsid w:val="00671494"/>
    <w:rsid w:val="00675666"/>
    <w:rsid w:val="0067726A"/>
    <w:rsid w:val="00681DB2"/>
    <w:rsid w:val="00684DFD"/>
    <w:rsid w:val="006949D7"/>
    <w:rsid w:val="00697653"/>
    <w:rsid w:val="00697919"/>
    <w:rsid w:val="006A2C5A"/>
    <w:rsid w:val="006A352F"/>
    <w:rsid w:val="006A3877"/>
    <w:rsid w:val="006A3AD7"/>
    <w:rsid w:val="006A5027"/>
    <w:rsid w:val="006A5FC2"/>
    <w:rsid w:val="006B0DEF"/>
    <w:rsid w:val="006B4939"/>
    <w:rsid w:val="006C5AD1"/>
    <w:rsid w:val="006D45D1"/>
    <w:rsid w:val="006E65C1"/>
    <w:rsid w:val="006F497D"/>
    <w:rsid w:val="006F4C5E"/>
    <w:rsid w:val="006F5C79"/>
    <w:rsid w:val="006F689F"/>
    <w:rsid w:val="00701A3F"/>
    <w:rsid w:val="00702D64"/>
    <w:rsid w:val="007064BA"/>
    <w:rsid w:val="00706861"/>
    <w:rsid w:val="00706B62"/>
    <w:rsid w:val="00706F6B"/>
    <w:rsid w:val="007103C8"/>
    <w:rsid w:val="007119A9"/>
    <w:rsid w:val="00711C6C"/>
    <w:rsid w:val="0072115F"/>
    <w:rsid w:val="00723098"/>
    <w:rsid w:val="0072619A"/>
    <w:rsid w:val="007265F5"/>
    <w:rsid w:val="00731408"/>
    <w:rsid w:val="00733615"/>
    <w:rsid w:val="00741AA3"/>
    <w:rsid w:val="00750805"/>
    <w:rsid w:val="00751B2E"/>
    <w:rsid w:val="00752C8A"/>
    <w:rsid w:val="007561EF"/>
    <w:rsid w:val="00757340"/>
    <w:rsid w:val="0075764D"/>
    <w:rsid w:val="00760C5D"/>
    <w:rsid w:val="00760E3B"/>
    <w:rsid w:val="007617FB"/>
    <w:rsid w:val="0076190D"/>
    <w:rsid w:val="00764F8C"/>
    <w:rsid w:val="00766976"/>
    <w:rsid w:val="00767D94"/>
    <w:rsid w:val="00773263"/>
    <w:rsid w:val="00773F33"/>
    <w:rsid w:val="007748D5"/>
    <w:rsid w:val="00777D58"/>
    <w:rsid w:val="00777E06"/>
    <w:rsid w:val="007811CB"/>
    <w:rsid w:val="00781F94"/>
    <w:rsid w:val="007868D4"/>
    <w:rsid w:val="00787B6A"/>
    <w:rsid w:val="0079028A"/>
    <w:rsid w:val="007917DE"/>
    <w:rsid w:val="00792F19"/>
    <w:rsid w:val="00793D14"/>
    <w:rsid w:val="0079667B"/>
    <w:rsid w:val="0079693F"/>
    <w:rsid w:val="00796C52"/>
    <w:rsid w:val="007A219D"/>
    <w:rsid w:val="007A595F"/>
    <w:rsid w:val="007B0511"/>
    <w:rsid w:val="007B5DED"/>
    <w:rsid w:val="007B63CE"/>
    <w:rsid w:val="007C0B1C"/>
    <w:rsid w:val="007C3B1B"/>
    <w:rsid w:val="007D4B4C"/>
    <w:rsid w:val="007D689B"/>
    <w:rsid w:val="007D6EE9"/>
    <w:rsid w:val="007E1A08"/>
    <w:rsid w:val="007E2612"/>
    <w:rsid w:val="007E52C8"/>
    <w:rsid w:val="007E6D92"/>
    <w:rsid w:val="007F03BB"/>
    <w:rsid w:val="007F24D6"/>
    <w:rsid w:val="007F492D"/>
    <w:rsid w:val="007F509E"/>
    <w:rsid w:val="007F5FE0"/>
    <w:rsid w:val="007F709B"/>
    <w:rsid w:val="007F7101"/>
    <w:rsid w:val="0080504B"/>
    <w:rsid w:val="008071D7"/>
    <w:rsid w:val="0081323A"/>
    <w:rsid w:val="008157CE"/>
    <w:rsid w:val="0081755E"/>
    <w:rsid w:val="0082309E"/>
    <w:rsid w:val="00827012"/>
    <w:rsid w:val="0083480E"/>
    <w:rsid w:val="00834CBB"/>
    <w:rsid w:val="008355CF"/>
    <w:rsid w:val="00843743"/>
    <w:rsid w:val="00847B15"/>
    <w:rsid w:val="00847DF0"/>
    <w:rsid w:val="008553BF"/>
    <w:rsid w:val="008563A1"/>
    <w:rsid w:val="0085692D"/>
    <w:rsid w:val="008609CD"/>
    <w:rsid w:val="00862653"/>
    <w:rsid w:val="008650CE"/>
    <w:rsid w:val="00865337"/>
    <w:rsid w:val="0086546C"/>
    <w:rsid w:val="00865930"/>
    <w:rsid w:val="00870E70"/>
    <w:rsid w:val="00874038"/>
    <w:rsid w:val="00874B9C"/>
    <w:rsid w:val="00874E41"/>
    <w:rsid w:val="00877662"/>
    <w:rsid w:val="00884522"/>
    <w:rsid w:val="00891779"/>
    <w:rsid w:val="008929EB"/>
    <w:rsid w:val="008A38E9"/>
    <w:rsid w:val="008A59B8"/>
    <w:rsid w:val="008A791E"/>
    <w:rsid w:val="008B160D"/>
    <w:rsid w:val="008B2E89"/>
    <w:rsid w:val="008B4811"/>
    <w:rsid w:val="008B5E40"/>
    <w:rsid w:val="008D22E9"/>
    <w:rsid w:val="008D279A"/>
    <w:rsid w:val="008D3E72"/>
    <w:rsid w:val="008E547C"/>
    <w:rsid w:val="008F4C51"/>
    <w:rsid w:val="00900055"/>
    <w:rsid w:val="00902E19"/>
    <w:rsid w:val="00905557"/>
    <w:rsid w:val="00912488"/>
    <w:rsid w:val="00914079"/>
    <w:rsid w:val="009205B4"/>
    <w:rsid w:val="00921B02"/>
    <w:rsid w:val="00924001"/>
    <w:rsid w:val="009242CA"/>
    <w:rsid w:val="00931054"/>
    <w:rsid w:val="00931E9F"/>
    <w:rsid w:val="00932869"/>
    <w:rsid w:val="00932C3D"/>
    <w:rsid w:val="009338E4"/>
    <w:rsid w:val="0093485E"/>
    <w:rsid w:val="00936211"/>
    <w:rsid w:val="0093683A"/>
    <w:rsid w:val="009369DC"/>
    <w:rsid w:val="00937BB1"/>
    <w:rsid w:val="00942864"/>
    <w:rsid w:val="00942F50"/>
    <w:rsid w:val="0094462D"/>
    <w:rsid w:val="0094739E"/>
    <w:rsid w:val="0094754D"/>
    <w:rsid w:val="00953D70"/>
    <w:rsid w:val="00955955"/>
    <w:rsid w:val="009619FC"/>
    <w:rsid w:val="00962DE6"/>
    <w:rsid w:val="00963516"/>
    <w:rsid w:val="00963ED2"/>
    <w:rsid w:val="00965F1B"/>
    <w:rsid w:val="00977BA0"/>
    <w:rsid w:val="009868CB"/>
    <w:rsid w:val="00987149"/>
    <w:rsid w:val="0099159B"/>
    <w:rsid w:val="00997813"/>
    <w:rsid w:val="009A02F8"/>
    <w:rsid w:val="009A15A0"/>
    <w:rsid w:val="009A6F22"/>
    <w:rsid w:val="009A7F77"/>
    <w:rsid w:val="009B16CA"/>
    <w:rsid w:val="009C444F"/>
    <w:rsid w:val="009C5618"/>
    <w:rsid w:val="009C6798"/>
    <w:rsid w:val="009D30A1"/>
    <w:rsid w:val="009D3AAA"/>
    <w:rsid w:val="009E016E"/>
    <w:rsid w:val="009E5AC3"/>
    <w:rsid w:val="009F2F3F"/>
    <w:rsid w:val="009F3155"/>
    <w:rsid w:val="009F368D"/>
    <w:rsid w:val="009F4DA5"/>
    <w:rsid w:val="009F5788"/>
    <w:rsid w:val="009F6F6C"/>
    <w:rsid w:val="00A01336"/>
    <w:rsid w:val="00A01A50"/>
    <w:rsid w:val="00A01FD3"/>
    <w:rsid w:val="00A042DC"/>
    <w:rsid w:val="00A153E6"/>
    <w:rsid w:val="00A2235E"/>
    <w:rsid w:val="00A22CF5"/>
    <w:rsid w:val="00A23906"/>
    <w:rsid w:val="00A240A9"/>
    <w:rsid w:val="00A24801"/>
    <w:rsid w:val="00A30844"/>
    <w:rsid w:val="00A32BCD"/>
    <w:rsid w:val="00A32D8A"/>
    <w:rsid w:val="00A343E1"/>
    <w:rsid w:val="00A42D78"/>
    <w:rsid w:val="00A52836"/>
    <w:rsid w:val="00A54C10"/>
    <w:rsid w:val="00A56D6D"/>
    <w:rsid w:val="00A608C1"/>
    <w:rsid w:val="00A6107F"/>
    <w:rsid w:val="00A63413"/>
    <w:rsid w:val="00A65B19"/>
    <w:rsid w:val="00A65F70"/>
    <w:rsid w:val="00A66044"/>
    <w:rsid w:val="00A665AD"/>
    <w:rsid w:val="00A66758"/>
    <w:rsid w:val="00A71D89"/>
    <w:rsid w:val="00A72B26"/>
    <w:rsid w:val="00A73C25"/>
    <w:rsid w:val="00A80188"/>
    <w:rsid w:val="00A819DC"/>
    <w:rsid w:val="00A84395"/>
    <w:rsid w:val="00A91DB7"/>
    <w:rsid w:val="00A942F2"/>
    <w:rsid w:val="00A95D54"/>
    <w:rsid w:val="00AA01D3"/>
    <w:rsid w:val="00AA057C"/>
    <w:rsid w:val="00AA295E"/>
    <w:rsid w:val="00AA586C"/>
    <w:rsid w:val="00AB25BA"/>
    <w:rsid w:val="00AB2C6A"/>
    <w:rsid w:val="00AB7C80"/>
    <w:rsid w:val="00AC31C8"/>
    <w:rsid w:val="00AC3C99"/>
    <w:rsid w:val="00AC6540"/>
    <w:rsid w:val="00AC66D1"/>
    <w:rsid w:val="00AC7BCD"/>
    <w:rsid w:val="00AD3098"/>
    <w:rsid w:val="00AD4758"/>
    <w:rsid w:val="00AD6A15"/>
    <w:rsid w:val="00AE5ECF"/>
    <w:rsid w:val="00AF1A97"/>
    <w:rsid w:val="00AF3FAB"/>
    <w:rsid w:val="00AF4025"/>
    <w:rsid w:val="00AF4884"/>
    <w:rsid w:val="00AF7EB0"/>
    <w:rsid w:val="00B009D8"/>
    <w:rsid w:val="00B046CC"/>
    <w:rsid w:val="00B05AD2"/>
    <w:rsid w:val="00B06214"/>
    <w:rsid w:val="00B163B1"/>
    <w:rsid w:val="00B16D00"/>
    <w:rsid w:val="00B23BAE"/>
    <w:rsid w:val="00B24F02"/>
    <w:rsid w:val="00B24FA0"/>
    <w:rsid w:val="00B26926"/>
    <w:rsid w:val="00B32C76"/>
    <w:rsid w:val="00B32D13"/>
    <w:rsid w:val="00B32D3C"/>
    <w:rsid w:val="00B41774"/>
    <w:rsid w:val="00B4395B"/>
    <w:rsid w:val="00B43AF2"/>
    <w:rsid w:val="00B44A24"/>
    <w:rsid w:val="00B45FF1"/>
    <w:rsid w:val="00B466D8"/>
    <w:rsid w:val="00B476A1"/>
    <w:rsid w:val="00B53A0A"/>
    <w:rsid w:val="00B55396"/>
    <w:rsid w:val="00B57855"/>
    <w:rsid w:val="00B61881"/>
    <w:rsid w:val="00B619A0"/>
    <w:rsid w:val="00B66605"/>
    <w:rsid w:val="00B67BC4"/>
    <w:rsid w:val="00B8226C"/>
    <w:rsid w:val="00B84B4A"/>
    <w:rsid w:val="00B85655"/>
    <w:rsid w:val="00B97066"/>
    <w:rsid w:val="00BA01DA"/>
    <w:rsid w:val="00BA2C87"/>
    <w:rsid w:val="00BA5FD8"/>
    <w:rsid w:val="00BB0430"/>
    <w:rsid w:val="00BB2A95"/>
    <w:rsid w:val="00BB56E1"/>
    <w:rsid w:val="00BB783A"/>
    <w:rsid w:val="00BC46EB"/>
    <w:rsid w:val="00BD4798"/>
    <w:rsid w:val="00BE089A"/>
    <w:rsid w:val="00BE0A75"/>
    <w:rsid w:val="00BE36AE"/>
    <w:rsid w:val="00BE6AAA"/>
    <w:rsid w:val="00BF085F"/>
    <w:rsid w:val="00BF3C23"/>
    <w:rsid w:val="00BF72EE"/>
    <w:rsid w:val="00C004CB"/>
    <w:rsid w:val="00C009F2"/>
    <w:rsid w:val="00C05BD9"/>
    <w:rsid w:val="00C15A33"/>
    <w:rsid w:val="00C21409"/>
    <w:rsid w:val="00C25712"/>
    <w:rsid w:val="00C2652E"/>
    <w:rsid w:val="00C30B07"/>
    <w:rsid w:val="00C341AA"/>
    <w:rsid w:val="00C37E10"/>
    <w:rsid w:val="00C412D7"/>
    <w:rsid w:val="00C44685"/>
    <w:rsid w:val="00C50841"/>
    <w:rsid w:val="00C5209E"/>
    <w:rsid w:val="00C55EF2"/>
    <w:rsid w:val="00C56BDB"/>
    <w:rsid w:val="00C571B3"/>
    <w:rsid w:val="00C64723"/>
    <w:rsid w:val="00C662CF"/>
    <w:rsid w:val="00C736E6"/>
    <w:rsid w:val="00C77F83"/>
    <w:rsid w:val="00C80142"/>
    <w:rsid w:val="00C806F3"/>
    <w:rsid w:val="00C84AE3"/>
    <w:rsid w:val="00C8544C"/>
    <w:rsid w:val="00C868A6"/>
    <w:rsid w:val="00C86AEF"/>
    <w:rsid w:val="00C929C2"/>
    <w:rsid w:val="00CA26B0"/>
    <w:rsid w:val="00CA2A33"/>
    <w:rsid w:val="00CA43B7"/>
    <w:rsid w:val="00CA7572"/>
    <w:rsid w:val="00CA76A5"/>
    <w:rsid w:val="00CB236E"/>
    <w:rsid w:val="00CB472B"/>
    <w:rsid w:val="00CB6AD9"/>
    <w:rsid w:val="00CC12C0"/>
    <w:rsid w:val="00CC3A78"/>
    <w:rsid w:val="00CC46C2"/>
    <w:rsid w:val="00CC7573"/>
    <w:rsid w:val="00CD386A"/>
    <w:rsid w:val="00CE0C5F"/>
    <w:rsid w:val="00CE1518"/>
    <w:rsid w:val="00CE1B2A"/>
    <w:rsid w:val="00CE2DB8"/>
    <w:rsid w:val="00CE3B93"/>
    <w:rsid w:val="00CE656E"/>
    <w:rsid w:val="00CE7055"/>
    <w:rsid w:val="00CF0B21"/>
    <w:rsid w:val="00CF3161"/>
    <w:rsid w:val="00D00321"/>
    <w:rsid w:val="00D0055B"/>
    <w:rsid w:val="00D04475"/>
    <w:rsid w:val="00D044F4"/>
    <w:rsid w:val="00D04E96"/>
    <w:rsid w:val="00D0563E"/>
    <w:rsid w:val="00D137EB"/>
    <w:rsid w:val="00D14AB1"/>
    <w:rsid w:val="00D16C04"/>
    <w:rsid w:val="00D2083D"/>
    <w:rsid w:val="00D20F2B"/>
    <w:rsid w:val="00D2180B"/>
    <w:rsid w:val="00D27C51"/>
    <w:rsid w:val="00D37D46"/>
    <w:rsid w:val="00D50041"/>
    <w:rsid w:val="00D50817"/>
    <w:rsid w:val="00D51142"/>
    <w:rsid w:val="00D51462"/>
    <w:rsid w:val="00D54643"/>
    <w:rsid w:val="00D637B4"/>
    <w:rsid w:val="00D6416C"/>
    <w:rsid w:val="00D67718"/>
    <w:rsid w:val="00D76515"/>
    <w:rsid w:val="00D86E86"/>
    <w:rsid w:val="00D870A5"/>
    <w:rsid w:val="00D91AEF"/>
    <w:rsid w:val="00D91EF5"/>
    <w:rsid w:val="00D93E7C"/>
    <w:rsid w:val="00DA0703"/>
    <w:rsid w:val="00DA0C81"/>
    <w:rsid w:val="00DA196C"/>
    <w:rsid w:val="00DA2180"/>
    <w:rsid w:val="00DA4E9B"/>
    <w:rsid w:val="00DA5D7D"/>
    <w:rsid w:val="00DA6261"/>
    <w:rsid w:val="00DA7855"/>
    <w:rsid w:val="00DA7D2B"/>
    <w:rsid w:val="00DB0FEB"/>
    <w:rsid w:val="00DB13E3"/>
    <w:rsid w:val="00DB1981"/>
    <w:rsid w:val="00DB5FEC"/>
    <w:rsid w:val="00DB68AE"/>
    <w:rsid w:val="00DC1852"/>
    <w:rsid w:val="00DD22EE"/>
    <w:rsid w:val="00DD6581"/>
    <w:rsid w:val="00DE3AED"/>
    <w:rsid w:val="00DF3EAE"/>
    <w:rsid w:val="00DF6A03"/>
    <w:rsid w:val="00E012F5"/>
    <w:rsid w:val="00E046C4"/>
    <w:rsid w:val="00E061CC"/>
    <w:rsid w:val="00E1529A"/>
    <w:rsid w:val="00E16EC3"/>
    <w:rsid w:val="00E211DA"/>
    <w:rsid w:val="00E21F2A"/>
    <w:rsid w:val="00E25804"/>
    <w:rsid w:val="00E34571"/>
    <w:rsid w:val="00E34C47"/>
    <w:rsid w:val="00E34CC5"/>
    <w:rsid w:val="00E34D1B"/>
    <w:rsid w:val="00E37046"/>
    <w:rsid w:val="00E37C47"/>
    <w:rsid w:val="00E37C4A"/>
    <w:rsid w:val="00E43D2B"/>
    <w:rsid w:val="00E466E0"/>
    <w:rsid w:val="00E47114"/>
    <w:rsid w:val="00E4783F"/>
    <w:rsid w:val="00E54C8E"/>
    <w:rsid w:val="00E5611E"/>
    <w:rsid w:val="00E6006B"/>
    <w:rsid w:val="00E6199D"/>
    <w:rsid w:val="00E647A7"/>
    <w:rsid w:val="00E726F2"/>
    <w:rsid w:val="00E73A31"/>
    <w:rsid w:val="00E74717"/>
    <w:rsid w:val="00E74B81"/>
    <w:rsid w:val="00E75634"/>
    <w:rsid w:val="00E75A65"/>
    <w:rsid w:val="00E77770"/>
    <w:rsid w:val="00E77BE4"/>
    <w:rsid w:val="00E8043F"/>
    <w:rsid w:val="00E81DEB"/>
    <w:rsid w:val="00E82282"/>
    <w:rsid w:val="00E82982"/>
    <w:rsid w:val="00E91207"/>
    <w:rsid w:val="00E925D1"/>
    <w:rsid w:val="00E94726"/>
    <w:rsid w:val="00E95854"/>
    <w:rsid w:val="00E9741A"/>
    <w:rsid w:val="00E974C3"/>
    <w:rsid w:val="00E97DDF"/>
    <w:rsid w:val="00EA0333"/>
    <w:rsid w:val="00EA037E"/>
    <w:rsid w:val="00EA3461"/>
    <w:rsid w:val="00EA56D3"/>
    <w:rsid w:val="00EB40A4"/>
    <w:rsid w:val="00EB56EE"/>
    <w:rsid w:val="00EB5BB7"/>
    <w:rsid w:val="00EC1594"/>
    <w:rsid w:val="00EC7ABF"/>
    <w:rsid w:val="00ED192E"/>
    <w:rsid w:val="00ED1AFA"/>
    <w:rsid w:val="00ED65FC"/>
    <w:rsid w:val="00EE1354"/>
    <w:rsid w:val="00EE3AF0"/>
    <w:rsid w:val="00EE4827"/>
    <w:rsid w:val="00EE4E12"/>
    <w:rsid w:val="00EE79E1"/>
    <w:rsid w:val="00EF0F92"/>
    <w:rsid w:val="00EF2217"/>
    <w:rsid w:val="00EF3C75"/>
    <w:rsid w:val="00EF5D2F"/>
    <w:rsid w:val="00F00B15"/>
    <w:rsid w:val="00F01D91"/>
    <w:rsid w:val="00F02304"/>
    <w:rsid w:val="00F03724"/>
    <w:rsid w:val="00F05E04"/>
    <w:rsid w:val="00F0736C"/>
    <w:rsid w:val="00F1206C"/>
    <w:rsid w:val="00F147CC"/>
    <w:rsid w:val="00F153DB"/>
    <w:rsid w:val="00F16CA6"/>
    <w:rsid w:val="00F25A6F"/>
    <w:rsid w:val="00F302B9"/>
    <w:rsid w:val="00F33872"/>
    <w:rsid w:val="00F34132"/>
    <w:rsid w:val="00F3418A"/>
    <w:rsid w:val="00F40F7F"/>
    <w:rsid w:val="00F4177B"/>
    <w:rsid w:val="00F418F2"/>
    <w:rsid w:val="00F42186"/>
    <w:rsid w:val="00F4296B"/>
    <w:rsid w:val="00F44C25"/>
    <w:rsid w:val="00F45145"/>
    <w:rsid w:val="00F47CAD"/>
    <w:rsid w:val="00F61484"/>
    <w:rsid w:val="00F637F7"/>
    <w:rsid w:val="00F64E66"/>
    <w:rsid w:val="00F67A23"/>
    <w:rsid w:val="00F70A0C"/>
    <w:rsid w:val="00F711F7"/>
    <w:rsid w:val="00F718CF"/>
    <w:rsid w:val="00F733EF"/>
    <w:rsid w:val="00F73B1B"/>
    <w:rsid w:val="00F740D9"/>
    <w:rsid w:val="00F74540"/>
    <w:rsid w:val="00F751AB"/>
    <w:rsid w:val="00F75F5B"/>
    <w:rsid w:val="00F7681E"/>
    <w:rsid w:val="00F77619"/>
    <w:rsid w:val="00F77C5E"/>
    <w:rsid w:val="00F84F86"/>
    <w:rsid w:val="00F87A8B"/>
    <w:rsid w:val="00F9159B"/>
    <w:rsid w:val="00F919E4"/>
    <w:rsid w:val="00FA0A3C"/>
    <w:rsid w:val="00FA1B78"/>
    <w:rsid w:val="00FA20C4"/>
    <w:rsid w:val="00FA5801"/>
    <w:rsid w:val="00FB1D0C"/>
    <w:rsid w:val="00FB2609"/>
    <w:rsid w:val="00FB35A5"/>
    <w:rsid w:val="00FB5AEE"/>
    <w:rsid w:val="00FB65FC"/>
    <w:rsid w:val="00FC0664"/>
    <w:rsid w:val="00FC2D74"/>
    <w:rsid w:val="00FC5991"/>
    <w:rsid w:val="00FC6FE0"/>
    <w:rsid w:val="00FD1FE8"/>
    <w:rsid w:val="00FD27C2"/>
    <w:rsid w:val="00FD404B"/>
    <w:rsid w:val="00FD4D2A"/>
    <w:rsid w:val="00FD6C68"/>
    <w:rsid w:val="00FE3F96"/>
    <w:rsid w:val="00FF0390"/>
    <w:rsid w:val="00FF20D2"/>
    <w:rsid w:val="00FF469A"/>
    <w:rsid w:val="00FF5C77"/>
    <w:rsid w:val="00FF6293"/>
    <w:rsid w:val="00FF6BD3"/>
    <w:rsid w:val="00FF7DB0"/>
    <w:rsid w:val="0139E1DA"/>
    <w:rsid w:val="013AD916"/>
    <w:rsid w:val="0422A44D"/>
    <w:rsid w:val="05B02A9C"/>
    <w:rsid w:val="08211FCD"/>
    <w:rsid w:val="0E060DCE"/>
    <w:rsid w:val="11B804F4"/>
    <w:rsid w:val="1467059B"/>
    <w:rsid w:val="152CBD8C"/>
    <w:rsid w:val="15B896F1"/>
    <w:rsid w:val="16A31368"/>
    <w:rsid w:val="192D2BAC"/>
    <w:rsid w:val="194B100B"/>
    <w:rsid w:val="1999C0EA"/>
    <w:rsid w:val="19B09992"/>
    <w:rsid w:val="1A13F011"/>
    <w:rsid w:val="1A2EA039"/>
    <w:rsid w:val="1A37AB3D"/>
    <w:rsid w:val="1B142F4F"/>
    <w:rsid w:val="1DF8C203"/>
    <w:rsid w:val="1F4FC46E"/>
    <w:rsid w:val="1F6D0139"/>
    <w:rsid w:val="21460497"/>
    <w:rsid w:val="21505664"/>
    <w:rsid w:val="216BC52A"/>
    <w:rsid w:val="22472607"/>
    <w:rsid w:val="260B9653"/>
    <w:rsid w:val="263570D0"/>
    <w:rsid w:val="2841909B"/>
    <w:rsid w:val="29193AB0"/>
    <w:rsid w:val="2A1F534B"/>
    <w:rsid w:val="2A64F66C"/>
    <w:rsid w:val="2BC3DA08"/>
    <w:rsid w:val="2BC4B747"/>
    <w:rsid w:val="2C190573"/>
    <w:rsid w:val="2D9CAF68"/>
    <w:rsid w:val="2DD987CE"/>
    <w:rsid w:val="2E7FEDCF"/>
    <w:rsid w:val="30AC8A61"/>
    <w:rsid w:val="30D97BBC"/>
    <w:rsid w:val="335CBB0E"/>
    <w:rsid w:val="34B5B613"/>
    <w:rsid w:val="3D523435"/>
    <w:rsid w:val="3E111D8E"/>
    <w:rsid w:val="3F60A196"/>
    <w:rsid w:val="4113717F"/>
    <w:rsid w:val="41665214"/>
    <w:rsid w:val="43023202"/>
    <w:rsid w:val="43BD43B0"/>
    <w:rsid w:val="43BF729D"/>
    <w:rsid w:val="451CE528"/>
    <w:rsid w:val="4D369F15"/>
    <w:rsid w:val="52CE88E0"/>
    <w:rsid w:val="535C73D8"/>
    <w:rsid w:val="53995394"/>
    <w:rsid w:val="540FACB2"/>
    <w:rsid w:val="556066A8"/>
    <w:rsid w:val="56181E0A"/>
    <w:rsid w:val="57532B46"/>
    <w:rsid w:val="57EF2B1A"/>
    <w:rsid w:val="594FD389"/>
    <w:rsid w:val="59A3F9D5"/>
    <w:rsid w:val="5A5858CD"/>
    <w:rsid w:val="5CF52E67"/>
    <w:rsid w:val="5D841725"/>
    <w:rsid w:val="5DF7C98D"/>
    <w:rsid w:val="5E2AA92B"/>
    <w:rsid w:val="5E71C64D"/>
    <w:rsid w:val="5F61FA92"/>
    <w:rsid w:val="623A1748"/>
    <w:rsid w:val="6564EEEF"/>
    <w:rsid w:val="660B2976"/>
    <w:rsid w:val="660F87AA"/>
    <w:rsid w:val="6817CBAF"/>
    <w:rsid w:val="6EBFC90D"/>
    <w:rsid w:val="70C9784B"/>
    <w:rsid w:val="71F2A520"/>
    <w:rsid w:val="72D03328"/>
    <w:rsid w:val="73765944"/>
    <w:rsid w:val="7437AB2D"/>
    <w:rsid w:val="76ED1D1E"/>
    <w:rsid w:val="77D44890"/>
    <w:rsid w:val="78AE57F5"/>
    <w:rsid w:val="7AC3792F"/>
    <w:rsid w:val="7B701C14"/>
    <w:rsid w:val="7DA42309"/>
    <w:rsid w:val="7E6454D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953B618"/>
  <w15:chartTrackingRefBased/>
  <w15:docId w15:val="{E9153E6F-AF37-4005-994D-E9084B23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42DC"/>
  </w:style>
  <w:style w:type="paragraph" w:styleId="Heading1">
    <w:name w:val="heading 1"/>
    <w:basedOn w:val="Normal"/>
    <w:next w:val="Normal"/>
    <w:link w:val="Heading1Char"/>
    <w:autoRedefine/>
    <w:uiPriority w:val="9"/>
    <w:qFormat/>
    <w:rsid w:val="007119A9"/>
    <w:pPr>
      <w:keepNext/>
      <w:keepLines/>
      <w:spacing w:before="480" w:after="120"/>
      <w:outlineLvl w:val="0"/>
    </w:pPr>
    <w:rPr>
      <w:rFonts w:asciiTheme="majorHAnsi" w:eastAsiaTheme="majorEastAsia" w:hAnsiTheme="majorHAnsi" w:cstheme="majorBidi"/>
      <w:b/>
      <w:color w:val="1D2758"/>
      <w:sz w:val="40"/>
      <w:szCs w:val="32"/>
    </w:rPr>
  </w:style>
  <w:style w:type="paragraph" w:styleId="Heading2">
    <w:name w:val="heading 2"/>
    <w:basedOn w:val="Normal"/>
    <w:next w:val="Normal"/>
    <w:link w:val="Heading2Char"/>
    <w:autoRedefine/>
    <w:uiPriority w:val="9"/>
    <w:unhideWhenUsed/>
    <w:qFormat/>
    <w:rsid w:val="00B466D8"/>
    <w:pPr>
      <w:keepNext/>
      <w:keepLines/>
      <w:numPr>
        <w:numId w:val="9"/>
      </w:numPr>
      <w:suppressAutoHyphens/>
      <w:spacing w:before="240" w:after="120"/>
      <w:ind w:left="360" w:hanging="360"/>
      <w:outlineLvl w:val="1"/>
    </w:pPr>
    <w:rPr>
      <w:rFonts w:ascii="Georgia" w:hAnsi="Georgia" w:eastAsiaTheme="majorEastAsia" w:cstheme="majorBidi"/>
      <w:color w:val="CF202F"/>
      <w:sz w:val="24"/>
      <w:szCs w:val="26"/>
      <w14:numForm w14:val="lining"/>
    </w:rPr>
  </w:style>
  <w:style w:type="paragraph" w:styleId="Heading3">
    <w:name w:val="heading 3"/>
    <w:basedOn w:val="Normal"/>
    <w:next w:val="Normal"/>
    <w:link w:val="Heading3Char"/>
    <w:autoRedefine/>
    <w:uiPriority w:val="9"/>
    <w:unhideWhenUsed/>
    <w:qFormat/>
    <w:rsid w:val="00CA2A33"/>
    <w:pPr>
      <w:keepNext/>
      <w:keepLines/>
      <w:spacing w:before="240" w:after="120"/>
      <w:outlineLvl w:val="2"/>
    </w:pPr>
    <w:rPr>
      <w:rFonts w:asciiTheme="majorHAnsi" w:eastAsiaTheme="majorEastAsia" w:hAnsiTheme="majorHAnsi" w:cstheme="majorBidi"/>
      <w:b/>
      <w:color w:val="171717" w:themeColor="background2" w:themeShade="1A"/>
      <w:szCs w:val="24"/>
    </w:rPr>
  </w:style>
  <w:style w:type="paragraph" w:styleId="Heading4">
    <w:name w:val="heading 4"/>
    <w:basedOn w:val="Normal"/>
    <w:next w:val="Normal"/>
    <w:link w:val="Heading4Char"/>
    <w:autoRedefine/>
    <w:uiPriority w:val="9"/>
    <w:unhideWhenUsed/>
    <w:qFormat/>
    <w:rsid w:val="00D16C04"/>
    <w:pPr>
      <w:keepNext/>
      <w:keepLines/>
      <w:spacing w:before="40" w:after="0"/>
      <w:outlineLvl w:val="3"/>
    </w:pPr>
    <w:rPr>
      <w:rFonts w:asciiTheme="majorHAnsi" w:eastAsiaTheme="majorEastAsia" w:hAnsiTheme="majorHAnsi" w:cstheme="majorBidi"/>
      <w:iCs/>
      <w:color w:val="CF202F"/>
    </w:rPr>
  </w:style>
  <w:style w:type="paragraph" w:styleId="Heading5">
    <w:name w:val="heading 5"/>
    <w:basedOn w:val="Normal"/>
    <w:next w:val="Normal"/>
    <w:link w:val="Heading5Char"/>
    <w:autoRedefine/>
    <w:uiPriority w:val="9"/>
    <w:unhideWhenUsed/>
    <w:qFormat/>
    <w:rsid w:val="001505A5"/>
    <w:pPr>
      <w:keepNext/>
      <w:keepLines/>
      <w:spacing w:after="0"/>
      <w:outlineLvl w:val="4"/>
    </w:pPr>
    <w:rPr>
      <w:rFonts w:asciiTheme="majorHAnsi" w:eastAsiaTheme="majorEastAsia" w:hAnsiTheme="majorHAnsi" w:cstheme="majorBidi"/>
      <w:color w:val="1D275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9A9"/>
    <w:rPr>
      <w:rFonts w:asciiTheme="majorHAnsi" w:eastAsiaTheme="majorEastAsia" w:hAnsiTheme="majorHAnsi" w:cstheme="majorBidi"/>
      <w:b/>
      <w:color w:val="1D2758"/>
      <w:sz w:val="40"/>
      <w:szCs w:val="32"/>
    </w:rPr>
  </w:style>
  <w:style w:type="character" w:customStyle="1" w:styleId="Heading2Char">
    <w:name w:val="Heading 2 Char"/>
    <w:basedOn w:val="DefaultParagraphFont"/>
    <w:link w:val="Heading2"/>
    <w:uiPriority w:val="9"/>
    <w:rsid w:val="00B466D8"/>
    <w:rPr>
      <w:rFonts w:ascii="Georgia" w:hAnsi="Georgia" w:eastAsiaTheme="majorEastAsia" w:cstheme="majorBidi"/>
      <w:color w:val="CF202F"/>
      <w:sz w:val="24"/>
      <w:szCs w:val="26"/>
      <w14:numForm w14:val="lining"/>
    </w:rPr>
  </w:style>
  <w:style w:type="character" w:customStyle="1" w:styleId="Heading3Char">
    <w:name w:val="Heading 3 Char"/>
    <w:basedOn w:val="DefaultParagraphFont"/>
    <w:link w:val="Heading3"/>
    <w:uiPriority w:val="9"/>
    <w:rsid w:val="00CA2A33"/>
    <w:rPr>
      <w:rFonts w:asciiTheme="majorHAnsi" w:eastAsiaTheme="majorEastAsia" w:hAnsiTheme="majorHAnsi" w:cstheme="majorBidi"/>
      <w:b/>
      <w:color w:val="171717" w:themeColor="background2" w:themeShade="1A"/>
      <w:szCs w:val="24"/>
    </w:rPr>
  </w:style>
  <w:style w:type="paragraph" w:styleId="Title">
    <w:name w:val="Title"/>
    <w:basedOn w:val="Normal"/>
    <w:next w:val="Normal"/>
    <w:link w:val="TitleChar"/>
    <w:autoRedefine/>
    <w:uiPriority w:val="10"/>
    <w:qFormat/>
    <w:rsid w:val="00F61484"/>
    <w:pPr>
      <w:spacing w:after="0" w:line="240" w:lineRule="auto"/>
      <w:contextualSpacing/>
    </w:pPr>
    <w:rPr>
      <w:rFonts w:asciiTheme="majorHAnsi" w:eastAsiaTheme="majorEastAsia" w:hAnsiTheme="majorHAnsi" w:cstheme="majorBidi"/>
      <w:b/>
      <w:color w:val="1D2758"/>
      <w:spacing w:val="-10"/>
      <w:kern w:val="28"/>
      <w:sz w:val="56"/>
      <w:szCs w:val="56"/>
    </w:rPr>
  </w:style>
  <w:style w:type="character" w:customStyle="1" w:styleId="TitleChar">
    <w:name w:val="Title Char"/>
    <w:basedOn w:val="DefaultParagraphFont"/>
    <w:link w:val="Title"/>
    <w:uiPriority w:val="10"/>
    <w:rsid w:val="00F61484"/>
    <w:rPr>
      <w:rFonts w:asciiTheme="majorHAnsi" w:eastAsiaTheme="majorEastAsia" w:hAnsiTheme="majorHAnsi" w:cstheme="majorBidi"/>
      <w:b/>
      <w:color w:val="1D2758"/>
      <w:spacing w:val="-10"/>
      <w:kern w:val="28"/>
      <w:sz w:val="56"/>
      <w:szCs w:val="56"/>
    </w:rPr>
  </w:style>
  <w:style w:type="paragraph" w:styleId="Subtitle">
    <w:name w:val="Subtitle"/>
    <w:basedOn w:val="Normal"/>
    <w:next w:val="Normal"/>
    <w:link w:val="SubtitleChar"/>
    <w:autoRedefine/>
    <w:uiPriority w:val="11"/>
    <w:qFormat/>
    <w:rsid w:val="00BA5FD8"/>
    <w:pPr>
      <w:numPr>
        <w:ilvl w:val="1"/>
      </w:numPr>
      <w:spacing w:before="240"/>
    </w:pPr>
    <w:rPr>
      <w:rFonts w:eastAsiaTheme="minorEastAsia"/>
      <w:color w:val="1D2758"/>
      <w:spacing w:val="15"/>
      <w:sz w:val="36"/>
    </w:rPr>
  </w:style>
  <w:style w:type="character" w:customStyle="1" w:styleId="SubtitleChar">
    <w:name w:val="Subtitle Char"/>
    <w:basedOn w:val="DefaultParagraphFont"/>
    <w:link w:val="Subtitle"/>
    <w:uiPriority w:val="11"/>
    <w:rsid w:val="00BA5FD8"/>
    <w:rPr>
      <w:rFonts w:eastAsiaTheme="minorEastAsia"/>
      <w:color w:val="1D2758"/>
      <w:spacing w:val="15"/>
      <w:sz w:val="36"/>
    </w:rPr>
  </w:style>
  <w:style w:type="character" w:styleId="SubtleEmphasis">
    <w:name w:val="Subtle Emphasis"/>
    <w:basedOn w:val="DefaultParagraphFont"/>
    <w:uiPriority w:val="19"/>
    <w:qFormat/>
    <w:rsid w:val="00AF4025"/>
    <w:rPr>
      <w:i/>
      <w:iCs/>
      <w:color w:val="171717" w:themeColor="background2" w:themeShade="1A"/>
    </w:rPr>
  </w:style>
  <w:style w:type="character" w:customStyle="1" w:styleId="Heading4Char">
    <w:name w:val="Heading 4 Char"/>
    <w:basedOn w:val="DefaultParagraphFont"/>
    <w:link w:val="Heading4"/>
    <w:uiPriority w:val="9"/>
    <w:rsid w:val="00D16C04"/>
    <w:rPr>
      <w:rFonts w:asciiTheme="majorHAnsi" w:eastAsiaTheme="majorEastAsia" w:hAnsiTheme="majorHAnsi" w:cstheme="majorBidi"/>
      <w:iCs/>
      <w:color w:val="CF202F"/>
    </w:rPr>
  </w:style>
  <w:style w:type="character" w:styleId="IntenseEmphasis">
    <w:name w:val="Intense Emphasis"/>
    <w:basedOn w:val="DefaultParagraphFont"/>
    <w:uiPriority w:val="21"/>
    <w:qFormat/>
    <w:rsid w:val="00F4177B"/>
    <w:rPr>
      <w:i/>
      <w:iCs/>
      <w:color w:val="171717" w:themeColor="background2" w:themeShade="1A"/>
    </w:rPr>
  </w:style>
  <w:style w:type="paragraph" w:styleId="IntenseQuote">
    <w:name w:val="Intense Quote"/>
    <w:basedOn w:val="Normal"/>
    <w:next w:val="Normal"/>
    <w:link w:val="IntenseQuoteChar"/>
    <w:autoRedefine/>
    <w:uiPriority w:val="30"/>
    <w:qFormat/>
    <w:rsid w:val="00F4177B"/>
    <w:pPr>
      <w:pBdr>
        <w:top w:val="single" w:sz="4" w:space="10" w:color="4472C4" w:themeColor="accent1"/>
        <w:bottom w:val="single" w:sz="4" w:space="10" w:color="4472C4" w:themeColor="accent1"/>
      </w:pBdr>
      <w:spacing w:before="360" w:after="360"/>
      <w:ind w:left="864" w:right="864"/>
      <w:jc w:val="center"/>
    </w:pPr>
    <w:rPr>
      <w:i/>
      <w:iCs/>
      <w:color w:val="171717" w:themeColor="background2" w:themeShade="1A"/>
    </w:rPr>
  </w:style>
  <w:style w:type="character" w:customStyle="1" w:styleId="IntenseQuoteChar">
    <w:name w:val="Intense Quote Char"/>
    <w:basedOn w:val="DefaultParagraphFont"/>
    <w:link w:val="IntenseQuote"/>
    <w:uiPriority w:val="30"/>
    <w:rsid w:val="00F4177B"/>
    <w:rPr>
      <w:i/>
      <w:iCs/>
      <w:color w:val="171717" w:themeColor="background2" w:themeShade="1A"/>
    </w:rPr>
  </w:style>
  <w:style w:type="character" w:styleId="IntenseReference">
    <w:name w:val="Intense Reference"/>
    <w:basedOn w:val="DefaultParagraphFont"/>
    <w:uiPriority w:val="32"/>
    <w:qFormat/>
    <w:rsid w:val="00F4177B"/>
    <w:rPr>
      <w:b/>
      <w:bCs/>
      <w:caps/>
      <w:smallCaps w:val="0"/>
      <w:color w:val="1D2758"/>
      <w:spacing w:val="5"/>
    </w:rPr>
  </w:style>
  <w:style w:type="paragraph" w:styleId="PlainText">
    <w:name w:val="Plain Text"/>
    <w:basedOn w:val="Normal"/>
    <w:link w:val="PlainTextChar"/>
    <w:uiPriority w:val="99"/>
    <w:semiHidden/>
    <w:unhideWhenUsed/>
    <w:rsid w:val="008B5E40"/>
    <w:pPr>
      <w:spacing w:after="0" w:line="240" w:lineRule="auto"/>
    </w:pPr>
    <w:rPr>
      <w:rFonts w:ascii="Arial" w:hAnsi="Arial"/>
      <w:szCs w:val="21"/>
    </w:rPr>
  </w:style>
  <w:style w:type="character" w:customStyle="1" w:styleId="PlainTextChar">
    <w:name w:val="Plain Text Char"/>
    <w:basedOn w:val="DefaultParagraphFont"/>
    <w:link w:val="PlainText"/>
    <w:uiPriority w:val="99"/>
    <w:semiHidden/>
    <w:rsid w:val="008B5E40"/>
    <w:rPr>
      <w:rFonts w:ascii="Arial" w:hAnsi="Arial"/>
      <w:szCs w:val="21"/>
    </w:rPr>
  </w:style>
  <w:style w:type="paragraph" w:customStyle="1" w:styleId="Bullet1">
    <w:name w:val="Bullet 1"/>
    <w:basedOn w:val="ListBullet"/>
    <w:link w:val="Bullet1Char"/>
    <w:autoRedefine/>
    <w:qFormat/>
    <w:rsid w:val="00891779"/>
    <w:pPr>
      <w:numPr>
        <w:numId w:val="6"/>
      </w:numPr>
      <w:ind w:left="216" w:hanging="216"/>
    </w:pPr>
  </w:style>
  <w:style w:type="paragraph" w:customStyle="1" w:styleId="Bullet2">
    <w:name w:val="Bullet 2"/>
    <w:basedOn w:val="ListBullet2"/>
    <w:link w:val="Bullet2Char"/>
    <w:autoRedefine/>
    <w:qFormat/>
    <w:rsid w:val="00F711F7"/>
    <w:pPr>
      <w:numPr>
        <w:numId w:val="8"/>
      </w:numPr>
      <w:ind w:left="576" w:hanging="216"/>
      <w:contextualSpacing w:val="0"/>
    </w:pPr>
  </w:style>
  <w:style w:type="paragraph" w:styleId="ListBullet">
    <w:name w:val="List Bullet"/>
    <w:basedOn w:val="Normal"/>
    <w:link w:val="ListBulletChar"/>
    <w:uiPriority w:val="99"/>
    <w:unhideWhenUsed/>
    <w:rsid w:val="008B5E40"/>
    <w:pPr>
      <w:numPr>
        <w:numId w:val="1"/>
      </w:numPr>
      <w:contextualSpacing/>
    </w:pPr>
  </w:style>
  <w:style w:type="character" w:customStyle="1" w:styleId="ListBulletChar">
    <w:name w:val="List Bullet Char"/>
    <w:basedOn w:val="DefaultParagraphFont"/>
    <w:link w:val="ListBullet"/>
    <w:uiPriority w:val="99"/>
    <w:semiHidden/>
    <w:rsid w:val="008B5E40"/>
  </w:style>
  <w:style w:type="character" w:customStyle="1" w:styleId="Bullet1Char">
    <w:name w:val="Bullet 1 Char"/>
    <w:basedOn w:val="ListBulletChar"/>
    <w:link w:val="Bullet1"/>
    <w:rsid w:val="00891779"/>
  </w:style>
  <w:style w:type="paragraph" w:customStyle="1" w:styleId="NumberedList">
    <w:name w:val="Numbered List"/>
    <w:basedOn w:val="ListNumber"/>
    <w:link w:val="NumberedListChar"/>
    <w:autoRedefine/>
    <w:qFormat/>
    <w:rsid w:val="008B5E40"/>
  </w:style>
  <w:style w:type="paragraph" w:styleId="ListBullet2">
    <w:name w:val="List Bullet 2"/>
    <w:basedOn w:val="Normal"/>
    <w:link w:val="ListBullet2Char"/>
    <w:uiPriority w:val="99"/>
    <w:semiHidden/>
    <w:unhideWhenUsed/>
    <w:rsid w:val="008B5E40"/>
    <w:pPr>
      <w:numPr>
        <w:numId w:val="2"/>
      </w:numPr>
      <w:contextualSpacing/>
    </w:pPr>
  </w:style>
  <w:style w:type="character" w:customStyle="1" w:styleId="ListBullet2Char">
    <w:name w:val="List Bullet 2 Char"/>
    <w:basedOn w:val="DefaultParagraphFont"/>
    <w:link w:val="ListBullet2"/>
    <w:uiPriority w:val="99"/>
    <w:semiHidden/>
    <w:rsid w:val="008B5E40"/>
  </w:style>
  <w:style w:type="character" w:customStyle="1" w:styleId="Bullet2Char">
    <w:name w:val="Bullet 2 Char"/>
    <w:basedOn w:val="ListBullet2Char"/>
    <w:link w:val="Bullet2"/>
    <w:rsid w:val="00F711F7"/>
  </w:style>
  <w:style w:type="character" w:styleId="Emphasis">
    <w:name w:val="Emphasis"/>
    <w:basedOn w:val="DefaultParagraphFont"/>
    <w:uiPriority w:val="20"/>
    <w:qFormat/>
    <w:rsid w:val="00CA2A33"/>
    <w:rPr>
      <w:i/>
      <w:iCs/>
    </w:rPr>
  </w:style>
  <w:style w:type="paragraph" w:styleId="ListNumber">
    <w:name w:val="List Number"/>
    <w:basedOn w:val="Normal"/>
    <w:link w:val="ListNumberChar"/>
    <w:uiPriority w:val="99"/>
    <w:unhideWhenUsed/>
    <w:rsid w:val="008B5E40"/>
    <w:pPr>
      <w:numPr>
        <w:numId w:val="3"/>
      </w:numPr>
      <w:contextualSpacing/>
    </w:pPr>
  </w:style>
  <w:style w:type="character" w:customStyle="1" w:styleId="ListNumberChar">
    <w:name w:val="List Number Char"/>
    <w:basedOn w:val="DefaultParagraphFont"/>
    <w:link w:val="ListNumber"/>
    <w:uiPriority w:val="99"/>
    <w:rsid w:val="008B5E40"/>
  </w:style>
  <w:style w:type="character" w:customStyle="1" w:styleId="NumberedListChar">
    <w:name w:val="Numbered List Char"/>
    <w:basedOn w:val="ListNumberChar"/>
    <w:link w:val="NumberedList"/>
    <w:rsid w:val="008B5E40"/>
  </w:style>
  <w:style w:type="paragraph" w:customStyle="1" w:styleId="CallOutBox">
    <w:name w:val="Call Out Box"/>
    <w:basedOn w:val="PlainText"/>
    <w:link w:val="CallOutBoxChar"/>
    <w:autoRedefine/>
    <w:qFormat/>
    <w:rsid w:val="00874038"/>
    <w:pPr>
      <w:keepNext/>
      <w:keepLines/>
      <w:pBdr>
        <w:top w:val="single" w:sz="48" w:space="1" w:color="84D4EF"/>
        <w:left w:val="single" w:sz="48" w:space="4" w:color="84D4EF"/>
        <w:bottom w:val="single" w:sz="48" w:space="1" w:color="84D4EF"/>
        <w:right w:val="single" w:sz="48" w:space="4" w:color="84D4EF"/>
      </w:pBdr>
      <w:shd w:val="clear" w:color="auto" w:fill="84D4EF"/>
      <w:spacing w:before="120" w:after="240"/>
      <w:ind w:left="216" w:right="216"/>
    </w:pPr>
  </w:style>
  <w:style w:type="character" w:customStyle="1" w:styleId="CallOutBoxChar">
    <w:name w:val="Call Out Box Char"/>
    <w:basedOn w:val="PlainTextChar"/>
    <w:link w:val="CallOutBox"/>
    <w:rsid w:val="00874038"/>
    <w:rPr>
      <w:rFonts w:ascii="Arial" w:hAnsi="Arial"/>
      <w:szCs w:val="21"/>
      <w:shd w:val="clear" w:color="auto" w:fill="84D4EF"/>
    </w:rPr>
  </w:style>
  <w:style w:type="paragraph" w:customStyle="1" w:styleId="CallOutBoxHeading">
    <w:name w:val="Call Out Box Heading"/>
    <w:basedOn w:val="CallOutBox"/>
    <w:link w:val="CallOutBoxHeadingChar"/>
    <w:autoRedefine/>
    <w:qFormat/>
    <w:rsid w:val="00235908"/>
    <w:pPr>
      <w:spacing w:after="0"/>
    </w:pPr>
    <w:rPr>
      <w:b/>
      <w:color w:val="1D2758"/>
      <w:sz w:val="28"/>
    </w:rPr>
  </w:style>
  <w:style w:type="paragraph" w:styleId="Header">
    <w:name w:val="header"/>
    <w:basedOn w:val="Normal"/>
    <w:link w:val="HeaderChar"/>
    <w:uiPriority w:val="99"/>
    <w:unhideWhenUsed/>
    <w:rsid w:val="00EC1594"/>
    <w:pPr>
      <w:tabs>
        <w:tab w:val="center" w:pos="4680"/>
        <w:tab w:val="right" w:pos="9360"/>
      </w:tabs>
      <w:spacing w:after="0" w:line="240" w:lineRule="auto"/>
    </w:pPr>
  </w:style>
  <w:style w:type="character" w:customStyle="1" w:styleId="CallOutBoxHeadingChar">
    <w:name w:val="Call Out Box Heading Char"/>
    <w:basedOn w:val="CallOutBoxChar"/>
    <w:link w:val="CallOutBoxHeading"/>
    <w:rsid w:val="00235908"/>
    <w:rPr>
      <w:rFonts w:ascii="Arial" w:hAnsi="Arial"/>
      <w:b/>
      <w:color w:val="1D2758"/>
      <w:sz w:val="28"/>
      <w:szCs w:val="21"/>
      <w:shd w:val="clear" w:color="auto" w:fill="84D4EF"/>
    </w:rPr>
  </w:style>
  <w:style w:type="character" w:customStyle="1" w:styleId="HeaderChar">
    <w:name w:val="Header Char"/>
    <w:basedOn w:val="DefaultParagraphFont"/>
    <w:link w:val="Header"/>
    <w:uiPriority w:val="99"/>
    <w:rsid w:val="00EC1594"/>
  </w:style>
  <w:style w:type="paragraph" w:styleId="Footer">
    <w:name w:val="footer"/>
    <w:basedOn w:val="Normal"/>
    <w:link w:val="FooterChar"/>
    <w:uiPriority w:val="99"/>
    <w:unhideWhenUsed/>
    <w:rsid w:val="00EC15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594"/>
  </w:style>
  <w:style w:type="paragraph" w:customStyle="1" w:styleId="FooterText">
    <w:name w:val="Footer Text"/>
    <w:basedOn w:val="Footer"/>
    <w:link w:val="FooterTextChar"/>
    <w:autoRedefine/>
    <w:qFormat/>
    <w:rsid w:val="000C710B"/>
    <w:pPr>
      <w:spacing w:line="480" w:lineRule="auto"/>
      <w:jc w:val="center"/>
    </w:pPr>
    <w:rPr>
      <w:b/>
      <w:color w:val="1D2758"/>
      <w:sz w:val="20"/>
      <w:u w:val="single"/>
    </w:rPr>
  </w:style>
  <w:style w:type="table" w:styleId="TableGrid">
    <w:name w:val="Table Grid"/>
    <w:basedOn w:val="TableNormal"/>
    <w:uiPriority w:val="39"/>
    <w:rsid w:val="007A2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TextChar">
    <w:name w:val="Footer Text Char"/>
    <w:basedOn w:val="FooterChar"/>
    <w:link w:val="FooterText"/>
    <w:rsid w:val="007E52C8"/>
    <w:rPr>
      <w:b/>
      <w:color w:val="1D2758"/>
      <w:sz w:val="20"/>
      <w:u w:val="single"/>
    </w:rPr>
  </w:style>
  <w:style w:type="paragraph" w:customStyle="1" w:styleId="TableHeader">
    <w:name w:val="Table Header"/>
    <w:basedOn w:val="Normal"/>
    <w:link w:val="TableHeaderChar"/>
    <w:autoRedefine/>
    <w:qFormat/>
    <w:rsid w:val="001B778A"/>
    <w:pPr>
      <w:spacing w:after="0" w:line="240" w:lineRule="auto"/>
      <w:jc w:val="center"/>
    </w:pPr>
    <w:rPr>
      <w:b/>
      <w:color w:val="1D2758"/>
      <w:sz w:val="20"/>
    </w:rPr>
  </w:style>
  <w:style w:type="paragraph" w:customStyle="1" w:styleId="TableBody">
    <w:name w:val="Table Body"/>
    <w:basedOn w:val="Normal"/>
    <w:link w:val="TableBodyChar"/>
    <w:qFormat/>
    <w:rsid w:val="00E81DEB"/>
    <w:pPr>
      <w:spacing w:after="0" w:line="240" w:lineRule="auto"/>
    </w:pPr>
    <w:rPr>
      <w:sz w:val="20"/>
      <w:szCs w:val="20"/>
    </w:rPr>
  </w:style>
  <w:style w:type="character" w:customStyle="1" w:styleId="TableHeaderChar">
    <w:name w:val="Table Header Char"/>
    <w:basedOn w:val="DefaultParagraphFont"/>
    <w:link w:val="TableHeader"/>
    <w:rsid w:val="001B778A"/>
    <w:rPr>
      <w:b/>
      <w:color w:val="1D2758"/>
      <w:sz w:val="20"/>
    </w:rPr>
  </w:style>
  <w:style w:type="paragraph" w:customStyle="1" w:styleId="TableBullet">
    <w:name w:val="Table Bullet"/>
    <w:basedOn w:val="Bullet1"/>
    <w:link w:val="TableBulletChar"/>
    <w:autoRedefine/>
    <w:qFormat/>
    <w:rsid w:val="00E91207"/>
    <w:pPr>
      <w:spacing w:after="0" w:line="240" w:lineRule="auto"/>
      <w:ind w:left="144" w:hanging="144"/>
    </w:pPr>
    <w:rPr>
      <w:sz w:val="20"/>
    </w:rPr>
  </w:style>
  <w:style w:type="character" w:customStyle="1" w:styleId="TableBodyChar">
    <w:name w:val="Table Body Char"/>
    <w:basedOn w:val="DefaultParagraphFont"/>
    <w:link w:val="TableBody"/>
    <w:rsid w:val="00E81DEB"/>
    <w:rPr>
      <w:sz w:val="20"/>
      <w:szCs w:val="20"/>
    </w:rPr>
  </w:style>
  <w:style w:type="table" w:customStyle="1" w:styleId="CPSCLightBlueTableStyle">
    <w:name w:val="CPSC Light Blue Table Style"/>
    <w:basedOn w:val="TableProfessional"/>
    <w:uiPriority w:val="99"/>
    <w:rsid w:val="00DB68AE"/>
    <w:pPr>
      <w:spacing w:after="0" w:line="240" w:lineRule="auto"/>
    </w:pPr>
    <w:rPr>
      <w:sz w:val="20"/>
      <w:szCs w:val="20"/>
      <w:lang w:eastAsia="ja-JP"/>
    </w:rPr>
    <w:tblPr>
      <w:tblBorders>
        <w:top w:val="single" w:sz="4" w:space="0" w:color="auto"/>
        <w:left w:val="none" w:sz="0" w:space="0" w:color="auto"/>
        <w:bottom w:val="single" w:sz="4" w:space="0" w:color="auto"/>
        <w:right w:val="none" w:sz="0" w:space="0" w:color="auto"/>
        <w:insideH w:val="single" w:sz="4" w:space="0" w:color="auto"/>
        <w:insideV w:val="none" w:sz="0" w:space="0" w:color="auto"/>
      </w:tblBorders>
      <w:tblCellMar>
        <w:left w:w="115" w:type="dxa"/>
        <w:right w:w="115" w:type="dxa"/>
      </w:tblCellMar>
    </w:tblPr>
    <w:tcPr>
      <w:shd w:val="clear" w:color="auto" w:fill="auto"/>
    </w:tcPr>
    <w:tblStylePr w:type="firstRow">
      <w:pPr>
        <w:jc w:val="center"/>
      </w:pPr>
      <w:rPr>
        <w:rFonts w:asciiTheme="majorHAnsi" w:hAnsiTheme="majorHAnsi"/>
        <w:b/>
        <w:bCs/>
        <w:color w:val="1D2758"/>
        <w:sz w:val="24"/>
      </w:rPr>
      <w:tblPr/>
      <w:tcPr>
        <w:tcBorders>
          <w:tl2br w:val="none" w:sz="0" w:space="0" w:color="auto"/>
          <w:tr2bl w:val="none" w:sz="0" w:space="0" w:color="auto"/>
        </w:tcBorders>
        <w:shd w:val="clear" w:color="auto" w:fill="84D4EF"/>
      </w:tcPr>
    </w:tblStylePr>
  </w:style>
  <w:style w:type="character" w:customStyle="1" w:styleId="TableBulletChar">
    <w:name w:val="Table Bullet Char"/>
    <w:basedOn w:val="Bullet1Char"/>
    <w:link w:val="TableBullet"/>
    <w:rsid w:val="00E91207"/>
    <w:rPr>
      <w:sz w:val="20"/>
    </w:rPr>
  </w:style>
  <w:style w:type="paragraph" w:customStyle="1" w:styleId="TableHeaderWhite">
    <w:name w:val="Table Header White"/>
    <w:basedOn w:val="TableHeader"/>
    <w:link w:val="TableHeaderWhiteChar"/>
    <w:autoRedefine/>
    <w:qFormat/>
    <w:rsid w:val="00C736E6"/>
    <w:rPr>
      <w:color w:val="FFFFFF" w:themeColor="background1"/>
    </w:rPr>
  </w:style>
  <w:style w:type="table" w:customStyle="1" w:styleId="CPSCDarkBlueTable">
    <w:name w:val="CPSC Dark Blue Table"/>
    <w:basedOn w:val="TableProfessional"/>
    <w:uiPriority w:val="99"/>
    <w:rsid w:val="00834CBB"/>
    <w:pPr>
      <w:spacing w:after="0" w:line="240" w:lineRule="auto"/>
    </w:pPr>
    <w:rPr>
      <w:sz w:val="20"/>
      <w:szCs w:val="20"/>
      <w:lang w:eastAsia="ja-JP"/>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tcPr>
    <w:tblStylePr w:type="firstRow">
      <w:pPr>
        <w:jc w:val="center"/>
      </w:pPr>
      <w:rPr>
        <w:rFonts w:asciiTheme="majorHAnsi" w:hAnsiTheme="majorHAnsi"/>
        <w:b/>
        <w:bCs/>
        <w:color w:val="FFFFFF" w:themeColor="background1"/>
        <w:sz w:val="24"/>
      </w:rPr>
      <w:tblPr/>
      <w:tcPr>
        <w:tcBorders>
          <w:top w:val="nil"/>
          <w:left w:val="nil"/>
          <w:bottom w:val="nil"/>
          <w:right w:val="nil"/>
          <w:insideH w:val="nil"/>
          <w:insideV w:val="nil"/>
          <w:tl2br w:val="nil"/>
          <w:tr2bl w:val="nil"/>
        </w:tcBorders>
        <w:shd w:val="clear" w:color="auto" w:fill="1D2758"/>
      </w:tcPr>
    </w:tblStylePr>
  </w:style>
  <w:style w:type="character" w:customStyle="1" w:styleId="TableHeaderWhiteChar">
    <w:name w:val="Table Header White Char"/>
    <w:basedOn w:val="TableHeaderChar"/>
    <w:link w:val="TableHeaderWhite"/>
    <w:rsid w:val="00C736E6"/>
    <w:rPr>
      <w:b/>
      <w:color w:val="FFFFFF" w:themeColor="background1"/>
      <w:sz w:val="20"/>
    </w:rPr>
  </w:style>
  <w:style w:type="table" w:styleId="TableProfessional">
    <w:name w:val="Table Professional"/>
    <w:basedOn w:val="TableNormal"/>
    <w:uiPriority w:val="99"/>
    <w:semiHidden/>
    <w:unhideWhenUsed/>
    <w:rsid w:val="006B0DE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TableTitle">
    <w:name w:val="Table Title"/>
    <w:basedOn w:val="Normal"/>
    <w:link w:val="TableTitleChar"/>
    <w:autoRedefine/>
    <w:qFormat/>
    <w:rsid w:val="00A665AD"/>
    <w:pPr>
      <w:keepNext/>
      <w:keepLines/>
    </w:pPr>
    <w:rPr>
      <w:b/>
      <w:color w:val="1D2758"/>
      <w:sz w:val="24"/>
    </w:rPr>
  </w:style>
  <w:style w:type="character" w:customStyle="1" w:styleId="TableTitleChar">
    <w:name w:val="Table Title Char"/>
    <w:basedOn w:val="DefaultParagraphFont"/>
    <w:link w:val="TableTitle"/>
    <w:rsid w:val="00A665AD"/>
    <w:rPr>
      <w:b/>
      <w:color w:val="1D2758"/>
      <w:sz w:val="24"/>
    </w:rPr>
  </w:style>
  <w:style w:type="paragraph" w:styleId="Caption">
    <w:name w:val="caption"/>
    <w:aliases w:val="Figure Title"/>
    <w:basedOn w:val="Normal"/>
    <w:next w:val="Normal"/>
    <w:autoRedefine/>
    <w:uiPriority w:val="35"/>
    <w:unhideWhenUsed/>
    <w:qFormat/>
    <w:rsid w:val="00796C52"/>
    <w:pPr>
      <w:keepNext/>
      <w:keepLines/>
      <w:suppressAutoHyphens/>
      <w:spacing w:after="200" w:line="240" w:lineRule="auto"/>
    </w:pPr>
    <w:rPr>
      <w:b/>
      <w:iCs/>
      <w:color w:val="CF202F"/>
      <w:szCs w:val="18"/>
    </w:rPr>
  </w:style>
  <w:style w:type="paragraph" w:styleId="TOCHeading">
    <w:name w:val="TOC Heading"/>
    <w:basedOn w:val="Heading1"/>
    <w:next w:val="Normal"/>
    <w:autoRedefine/>
    <w:uiPriority w:val="39"/>
    <w:unhideWhenUsed/>
    <w:qFormat/>
    <w:rsid w:val="002D120C"/>
    <w:pPr>
      <w:spacing w:before="240" w:after="0"/>
      <w:outlineLvl w:val="9"/>
    </w:pPr>
  </w:style>
  <w:style w:type="paragraph" w:styleId="TOC2">
    <w:name w:val="toc 2"/>
    <w:basedOn w:val="Normal"/>
    <w:next w:val="Normal"/>
    <w:autoRedefine/>
    <w:uiPriority w:val="39"/>
    <w:unhideWhenUsed/>
    <w:rsid w:val="007F7101"/>
    <w:pPr>
      <w:tabs>
        <w:tab w:val="right" w:leader="dot" w:pos="9350"/>
      </w:tabs>
      <w:spacing w:after="100"/>
      <w:ind w:left="220"/>
    </w:pPr>
    <w:rPr>
      <w:rFonts w:eastAsiaTheme="minorEastAsia" w:cs="Times New Roman"/>
      <w:noProof/>
    </w:rPr>
  </w:style>
  <w:style w:type="paragraph" w:styleId="TOC1">
    <w:name w:val="toc 1"/>
    <w:basedOn w:val="Normal"/>
    <w:next w:val="Normal"/>
    <w:autoRedefine/>
    <w:uiPriority w:val="39"/>
    <w:unhideWhenUsed/>
    <w:qFormat/>
    <w:rsid w:val="007F7101"/>
    <w:pPr>
      <w:tabs>
        <w:tab w:val="right" w:leader="dot" w:pos="9350"/>
      </w:tabs>
      <w:spacing w:before="240" w:after="100"/>
    </w:pPr>
    <w:rPr>
      <w:rFonts w:eastAsiaTheme="minorEastAsia" w:cs="Times New Roman"/>
      <w:b/>
      <w:noProof/>
    </w:rPr>
  </w:style>
  <w:style w:type="paragraph" w:styleId="TOC3">
    <w:name w:val="toc 3"/>
    <w:basedOn w:val="Normal"/>
    <w:next w:val="Normal"/>
    <w:autoRedefine/>
    <w:uiPriority w:val="39"/>
    <w:unhideWhenUsed/>
    <w:rsid w:val="009619FC"/>
    <w:pPr>
      <w:spacing w:after="100"/>
      <w:ind w:left="440"/>
    </w:pPr>
    <w:rPr>
      <w:rFonts w:eastAsiaTheme="minorEastAsia" w:cs="Times New Roman"/>
    </w:rPr>
  </w:style>
  <w:style w:type="character" w:styleId="Hyperlink">
    <w:name w:val="Hyperlink"/>
    <w:basedOn w:val="DefaultParagraphFont"/>
    <w:uiPriority w:val="99"/>
    <w:unhideWhenUsed/>
    <w:rsid w:val="009619FC"/>
    <w:rPr>
      <w:color w:val="0563C1" w:themeColor="hyperlink"/>
      <w:u w:val="single"/>
    </w:rPr>
  </w:style>
  <w:style w:type="character" w:customStyle="1" w:styleId="Heading5Char">
    <w:name w:val="Heading 5 Char"/>
    <w:basedOn w:val="DefaultParagraphFont"/>
    <w:link w:val="Heading5"/>
    <w:uiPriority w:val="9"/>
    <w:rsid w:val="001505A5"/>
    <w:rPr>
      <w:rFonts w:asciiTheme="majorHAnsi" w:eastAsiaTheme="majorEastAsia" w:hAnsiTheme="majorHAnsi" w:cstheme="majorBidi"/>
      <w:color w:val="1D2758"/>
    </w:rPr>
  </w:style>
  <w:style w:type="paragraph" w:customStyle="1" w:styleId="PositionTitle">
    <w:name w:val="Position Title"/>
    <w:basedOn w:val="Heading5"/>
    <w:link w:val="PositionTitleChar"/>
    <w:autoRedefine/>
    <w:qFormat/>
    <w:rsid w:val="00412BBA"/>
    <w:pPr>
      <w:spacing w:after="240"/>
    </w:pPr>
    <w:rPr>
      <w:rFonts w:ascii="Georgia" w:hAnsi="Georgia"/>
      <w:i/>
      <w:color w:val="CF202F"/>
    </w:rPr>
  </w:style>
  <w:style w:type="paragraph" w:customStyle="1" w:styleId="AuthorName">
    <w:name w:val="Author Name"/>
    <w:link w:val="AuthorNameChar"/>
    <w:autoRedefine/>
    <w:qFormat/>
    <w:rsid w:val="00223C2C"/>
    <w:pPr>
      <w:spacing w:before="360"/>
    </w:pPr>
    <w:rPr>
      <w:rFonts w:ascii="Georgia" w:hAnsi="Georgia" w:eastAsiaTheme="majorEastAsia" w:cstheme="majorBidi"/>
      <w:color w:val="CF202F"/>
      <w:sz w:val="24"/>
      <w:szCs w:val="26"/>
    </w:rPr>
  </w:style>
  <w:style w:type="character" w:customStyle="1" w:styleId="PositionTitleChar">
    <w:name w:val="Position Title Char"/>
    <w:basedOn w:val="Heading5Char"/>
    <w:link w:val="PositionTitle"/>
    <w:rsid w:val="00412BBA"/>
    <w:rPr>
      <w:rFonts w:ascii="Georgia" w:hAnsi="Georgia" w:eastAsiaTheme="majorEastAsia" w:cstheme="majorBidi"/>
      <w:i/>
      <w:color w:val="CF202F"/>
    </w:rPr>
  </w:style>
  <w:style w:type="paragraph" w:customStyle="1" w:styleId="TOCTitle">
    <w:name w:val="TOC Title"/>
    <w:link w:val="TOCTitleChar"/>
    <w:autoRedefine/>
    <w:qFormat/>
    <w:rsid w:val="007119A9"/>
    <w:rPr>
      <w:rFonts w:asciiTheme="majorHAnsi" w:eastAsiaTheme="majorEastAsia" w:hAnsiTheme="majorHAnsi" w:cstheme="majorBidi"/>
      <w:b/>
      <w:color w:val="1D2758"/>
      <w:sz w:val="40"/>
      <w:szCs w:val="32"/>
    </w:rPr>
  </w:style>
  <w:style w:type="character" w:customStyle="1" w:styleId="AuthorNameChar">
    <w:name w:val="Author Name Char"/>
    <w:basedOn w:val="Heading2Char"/>
    <w:link w:val="AuthorName"/>
    <w:rsid w:val="00223C2C"/>
    <w:rPr>
      <w:rFonts w:ascii="Georgia" w:hAnsi="Georgia" w:eastAsiaTheme="majorEastAsia" w:cstheme="majorBidi"/>
      <w:color w:val="CF202F"/>
      <w:sz w:val="24"/>
      <w:szCs w:val="26"/>
      <w14:numForm w14:val="lining"/>
    </w:rPr>
  </w:style>
  <w:style w:type="character" w:customStyle="1" w:styleId="TOCTitleChar">
    <w:name w:val="TOC Title Char"/>
    <w:basedOn w:val="Heading1Char"/>
    <w:link w:val="TOCTitle"/>
    <w:rsid w:val="007119A9"/>
    <w:rPr>
      <w:rFonts w:asciiTheme="majorHAnsi" w:eastAsiaTheme="majorEastAsia" w:hAnsiTheme="majorHAnsi" w:cstheme="majorBidi"/>
      <w:b/>
      <w:color w:val="1D2758"/>
      <w:sz w:val="40"/>
      <w:szCs w:val="32"/>
    </w:rPr>
  </w:style>
  <w:style w:type="paragraph" w:customStyle="1" w:styleId="CPSCDisclaimerText">
    <w:name w:val="CPSC Disclaimer Text"/>
    <w:basedOn w:val="Normal"/>
    <w:link w:val="CPSCDisclaimerTextChar"/>
    <w:qFormat/>
    <w:rsid w:val="00EC7ABF"/>
    <w:rPr>
      <w:rFonts w:ascii="Arial" w:eastAsia="Times New Roman" w:hAnsi="Arial" w:cs="Arial"/>
      <w:i/>
      <w:color w:val="1D2758"/>
      <w:sz w:val="18"/>
      <w:szCs w:val="18"/>
    </w:rPr>
  </w:style>
  <w:style w:type="character" w:customStyle="1" w:styleId="CPSCDisclaimerTextChar">
    <w:name w:val="CPSC Disclaimer Text Char"/>
    <w:basedOn w:val="DefaultParagraphFont"/>
    <w:link w:val="CPSCDisclaimerText"/>
    <w:rsid w:val="00EC7ABF"/>
    <w:rPr>
      <w:rFonts w:ascii="Arial" w:eastAsia="Times New Roman" w:hAnsi="Arial" w:cs="Arial"/>
      <w:i/>
      <w:color w:val="1D2758"/>
      <w:sz w:val="18"/>
      <w:szCs w:val="18"/>
    </w:rPr>
  </w:style>
  <w:style w:type="paragraph" w:styleId="TOC4">
    <w:name w:val="toc 4"/>
    <w:basedOn w:val="Normal"/>
    <w:next w:val="Normal"/>
    <w:autoRedefine/>
    <w:uiPriority w:val="39"/>
    <w:semiHidden/>
    <w:unhideWhenUsed/>
    <w:rsid w:val="007F7101"/>
    <w:pPr>
      <w:spacing w:after="100"/>
      <w:ind w:left="660"/>
    </w:pPr>
  </w:style>
  <w:style w:type="paragraph" w:styleId="ListParagraph">
    <w:name w:val="List Paragraph"/>
    <w:basedOn w:val="Normal"/>
    <w:uiPriority w:val="34"/>
    <w:qFormat/>
    <w:rsid w:val="00751B2E"/>
    <w:pPr>
      <w:ind w:left="720"/>
      <w:contextualSpacing/>
    </w:pPr>
  </w:style>
  <w:style w:type="character" w:styleId="CommentReference">
    <w:name w:val="annotation reference"/>
    <w:basedOn w:val="DefaultParagraphFont"/>
    <w:uiPriority w:val="99"/>
    <w:semiHidden/>
    <w:unhideWhenUsed/>
    <w:rsid w:val="009E016E"/>
    <w:rPr>
      <w:sz w:val="16"/>
      <w:szCs w:val="16"/>
    </w:rPr>
  </w:style>
  <w:style w:type="paragraph" w:styleId="CommentText">
    <w:name w:val="annotation text"/>
    <w:basedOn w:val="Normal"/>
    <w:link w:val="CommentTextChar"/>
    <w:uiPriority w:val="99"/>
    <w:unhideWhenUsed/>
    <w:rsid w:val="009E016E"/>
    <w:pPr>
      <w:spacing w:line="240" w:lineRule="auto"/>
    </w:pPr>
    <w:rPr>
      <w:sz w:val="20"/>
      <w:szCs w:val="20"/>
    </w:rPr>
  </w:style>
  <w:style w:type="character" w:customStyle="1" w:styleId="CommentTextChar">
    <w:name w:val="Comment Text Char"/>
    <w:basedOn w:val="DefaultParagraphFont"/>
    <w:link w:val="CommentText"/>
    <w:uiPriority w:val="99"/>
    <w:rsid w:val="009E016E"/>
    <w:rPr>
      <w:sz w:val="20"/>
      <w:szCs w:val="20"/>
    </w:rPr>
  </w:style>
  <w:style w:type="paragraph" w:styleId="CommentSubject">
    <w:name w:val="annotation subject"/>
    <w:basedOn w:val="CommentText"/>
    <w:next w:val="CommentText"/>
    <w:link w:val="CommentSubjectChar"/>
    <w:uiPriority w:val="99"/>
    <w:semiHidden/>
    <w:unhideWhenUsed/>
    <w:rsid w:val="009E016E"/>
    <w:rPr>
      <w:b/>
      <w:bCs/>
    </w:rPr>
  </w:style>
  <w:style w:type="character" w:customStyle="1" w:styleId="CommentSubjectChar">
    <w:name w:val="Comment Subject Char"/>
    <w:basedOn w:val="CommentTextChar"/>
    <w:link w:val="CommentSubject"/>
    <w:uiPriority w:val="99"/>
    <w:semiHidden/>
    <w:rsid w:val="009E016E"/>
    <w:rPr>
      <w:b/>
      <w:bCs/>
      <w:sz w:val="20"/>
      <w:szCs w:val="20"/>
    </w:rPr>
  </w:style>
  <w:style w:type="character" w:styleId="FootnoteReference">
    <w:name w:val="footnote reference"/>
    <w:uiPriority w:val="99"/>
    <w:rsid w:val="00317BF9"/>
    <w:rPr>
      <w:vertAlign w:val="superscript"/>
    </w:rPr>
  </w:style>
  <w:style w:type="paragraph" w:styleId="FootnoteText">
    <w:name w:val="footnote text"/>
    <w:basedOn w:val="Normal"/>
    <w:link w:val="FootnoteTextChar"/>
    <w:uiPriority w:val="99"/>
    <w:rsid w:val="00317BF9"/>
    <w:pPr>
      <w:spacing w:after="0" w:line="240" w:lineRule="auto"/>
    </w:pPr>
    <w:rPr>
      <w:rFonts w:ascii="Arial" w:eastAsia="Times New Roman" w:hAnsi="Arial" w:cs="Times New Roman"/>
      <w:sz w:val="20"/>
      <w:szCs w:val="20"/>
      <w:lang w:val="x-none" w:eastAsia="x-none"/>
    </w:rPr>
  </w:style>
  <w:style w:type="character" w:customStyle="1" w:styleId="FootnoteTextChar">
    <w:name w:val="Footnote Text Char"/>
    <w:basedOn w:val="DefaultParagraphFont"/>
    <w:link w:val="FootnoteText"/>
    <w:uiPriority w:val="99"/>
    <w:rsid w:val="00317BF9"/>
    <w:rPr>
      <w:rFonts w:ascii="Arial" w:eastAsia="Times New Roman" w:hAnsi="Arial" w:cs="Times New Roman"/>
      <w:sz w:val="20"/>
      <w:szCs w:val="20"/>
      <w:lang w:val="x-none" w:eastAsia="x-none"/>
    </w:rPr>
  </w:style>
  <w:style w:type="paragraph" w:styleId="Revision">
    <w:name w:val="Revision"/>
    <w:hidden/>
    <w:uiPriority w:val="99"/>
    <w:semiHidden/>
    <w:rsid w:val="003661AC"/>
    <w:pPr>
      <w:spacing w:after="0" w:line="240" w:lineRule="auto"/>
    </w:pPr>
  </w:style>
  <w:style w:type="character" w:styleId="Mention">
    <w:name w:val="Mention"/>
    <w:basedOn w:val="DefaultParagraphFont"/>
    <w:uiPriority w:val="99"/>
    <w:unhideWhenUsed/>
    <w:rsid w:val="000627A7"/>
    <w:rPr>
      <w:color w:val="2B579A"/>
      <w:shd w:val="clear" w:color="auto" w:fill="E1DFDD"/>
    </w:rPr>
  </w:style>
  <w:style w:type="character" w:styleId="UnresolvedMention">
    <w:name w:val="Unresolved Mention"/>
    <w:basedOn w:val="DefaultParagraphFont"/>
    <w:uiPriority w:val="99"/>
    <w:semiHidden/>
    <w:unhideWhenUsed/>
    <w:rsid w:val="000627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df818a-5f9c-4c43-a0ad-cfc419950f01">
      <Terms xmlns="http://schemas.microsoft.com/office/infopath/2007/PartnerControls"/>
    </lcf76f155ced4ddcb4097134ff3c332f>
    <TaxCatchAll xmlns="e26bce84-032d-4246-9689-426d14b10d21" xsi:nil="true"/>
    <PublishingExpirationDate xmlns="http://schemas.microsoft.com/sharepoint/v3" xsi:nil="true"/>
    <PublishingStartDate xmlns="http://schemas.microsoft.com/sharepoint/v3" xsi:nil="true"/>
    <ExpirationDate xmlns="fddf818a-5f9c-4c43-a0ad-cfc419950f0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20A4B4AE3B804897A145FF838B3E17" ma:contentTypeVersion="19" ma:contentTypeDescription="Create a new document." ma:contentTypeScope="" ma:versionID="85853593ed8703acf192289b98658782">
  <xsd:schema xmlns:xsd="http://www.w3.org/2001/XMLSchema" xmlns:xs="http://www.w3.org/2001/XMLSchema" xmlns:p="http://schemas.microsoft.com/office/2006/metadata/properties" xmlns:ns1="http://schemas.microsoft.com/sharepoint/v3" xmlns:ns2="fddf818a-5f9c-4c43-a0ad-cfc419950f01" xmlns:ns3="5543a251-b5db-4dfb-8fc6-8121fead7242" xmlns:ns4="e26bce84-032d-4246-9689-426d14b10d21" targetNamespace="http://schemas.microsoft.com/office/2006/metadata/properties" ma:root="true" ma:fieldsID="4df8c092168de31266bb3ab9fe23c12d" ns1:_="" ns2:_="" ns3:_="" ns4:_="">
    <xsd:import namespace="http://schemas.microsoft.com/sharepoint/v3"/>
    <xsd:import namespace="fddf818a-5f9c-4c43-a0ad-cfc419950f01"/>
    <xsd:import namespace="5543a251-b5db-4dfb-8fc6-8121fead7242"/>
    <xsd:import namespace="e26bce84-032d-4246-9689-426d14b10d21"/>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element ref="ns2:Expiration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df818a-5f9c-4c43-a0ad-cfc419950f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1d931de-ee36-4d41-a9cf-aa0650e9c15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ExpirationDate" ma:index="21" nillable="true" ma:displayName="Expiration Date" ma:description="The date the OMB Control Number expires." ma:format="DateOnly" ma:internalName="ExpirationDate">
      <xsd:simpleType>
        <xsd:restriction base="dms:DateTim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3a251-b5db-4dfb-8fc6-8121fead72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bce84-032d-4246-9689-426d14b10d2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0dd66a-78ef-4fe3-9217-686ffe902fa8}" ma:internalName="TaxCatchAll" ma:showField="CatchAllData" ma:web="e26bce84-032d-4246-9689-426d14b10d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7FC7D-1883-46B7-8C81-A3F288377F04}">
  <ds:schemaRefs>
    <ds:schemaRef ds:uri="http://schemas.openxmlformats.org/officeDocument/2006/bibliography"/>
  </ds:schemaRefs>
</ds:datastoreItem>
</file>

<file path=customXml/itemProps2.xml><?xml version="1.0" encoding="utf-8"?>
<ds:datastoreItem xmlns:ds="http://schemas.openxmlformats.org/officeDocument/2006/customXml" ds:itemID="{FBD38469-9FDE-4ACC-AA08-2D2FD4E5BB43}">
  <ds:schemaRefs>
    <ds:schemaRef ds:uri="http://www.w3.org/XML/1998/namespace"/>
    <ds:schemaRef ds:uri="http://schemas.microsoft.com/sharepoint/v3"/>
    <ds:schemaRef ds:uri="http://schemas.microsoft.com/office/2006/documentManagement/types"/>
    <ds:schemaRef ds:uri="fddf818a-5f9c-4c43-a0ad-cfc419950f01"/>
    <ds:schemaRef ds:uri="http://purl.org/dc/elements/1.1/"/>
    <ds:schemaRef ds:uri="http://schemas.openxmlformats.org/package/2006/metadata/core-properties"/>
    <ds:schemaRef ds:uri="e26bce84-032d-4246-9689-426d14b10d21"/>
    <ds:schemaRef ds:uri="http://purl.org/dc/terms/"/>
    <ds:schemaRef ds:uri="http://schemas.microsoft.com/office/2006/metadata/properties"/>
    <ds:schemaRef ds:uri="http://schemas.microsoft.com/office/infopath/2007/PartnerControls"/>
    <ds:schemaRef ds:uri="5543a251-b5db-4dfb-8fc6-8121fead7242"/>
    <ds:schemaRef ds:uri="http://purl.org/dc/dcmitype/"/>
  </ds:schemaRefs>
</ds:datastoreItem>
</file>

<file path=customXml/itemProps3.xml><?xml version="1.0" encoding="utf-8"?>
<ds:datastoreItem xmlns:ds="http://schemas.openxmlformats.org/officeDocument/2006/customXml" ds:itemID="{515A2B3A-17B8-4CF1-B3F3-904173D5A6E5}">
  <ds:schemaRefs>
    <ds:schemaRef ds:uri="http://schemas.microsoft.com/sharepoint/v3/contenttype/forms"/>
  </ds:schemaRefs>
</ds:datastoreItem>
</file>

<file path=customXml/itemProps4.xml><?xml version="1.0" encoding="utf-8"?>
<ds:datastoreItem xmlns:ds="http://schemas.openxmlformats.org/officeDocument/2006/customXml" ds:itemID="{CE33691B-1EC8-4D80-92A7-E5671A7E3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df818a-5f9c-4c43-a0ad-cfc419950f01"/>
    <ds:schemaRef ds:uri="5543a251-b5db-4dfb-8fc6-8121fead7242"/>
    <ds:schemaRef ds:uri="e26bce84-032d-4246-9689-426d14b10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11</Pages>
  <Words>3288</Words>
  <Characters>18745</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US CPSC</Company>
  <LinksUpToDate>false</LinksUpToDate>
  <CharactersWithSpaces>21990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Bretford</dc:creator>
  <cp:lastModifiedBy>Griffin, Bretford</cp:lastModifiedBy>
  <cp:revision>414</cp:revision>
  <dcterms:created xsi:type="dcterms:W3CDTF">2025-01-13T21:57:00Z</dcterms:created>
  <dcterms:modified xsi:type="dcterms:W3CDTF">2025-01-23T21:06:00Z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0x010100FB20A4B4AE3B804897A145FF838B3E17</vt:lpwstr>
  </property>
  <property fmtid="{D5CDD505-2E9C-101B-9397-08002B2CF9AE}" pid="3" name="MediaServiceImageTags">
    <vt:lpwstr/>
  </property>
  <property fmtid="{D5CDD505-2E9C-101B-9397-08002B2CF9AE}" pid="4" name="_MarkAsFinal">
    <vt:bool>true</vt:bool>
  </property>
</Properties>
</file>