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5AE4F17A"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915517" w:rsidP="00915517" w14:paraId="1C10C03F" w14:textId="77777777">
      <w:pPr>
        <w:widowControl/>
        <w:tabs>
          <w:tab w:val="center" w:pos="5112"/>
        </w:tabs>
        <w:jc w:val="center"/>
        <w:rPr>
          <w:rFonts w:ascii="Times New Roman" w:hAnsi="Times New Roman"/>
        </w:rPr>
      </w:pPr>
      <w:r>
        <w:rPr>
          <w:rFonts w:ascii="Times New Roman" w:hAnsi="Times New Roman"/>
        </w:rPr>
        <w:t>APPLICATION FOR CONSENT TO EXERCISE TRUST POWERS</w:t>
      </w:r>
    </w:p>
    <w:p w:rsidR="00C40A1A" w:rsidRPr="00C40A1A" w:rsidP="00915517" w14:paraId="49ABEC14"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Pr>
          <w:rFonts w:ascii="Times New Roman" w:hAnsi="Times New Roman"/>
          <w:szCs w:val="24"/>
        </w:rPr>
        <w:t>025</w:t>
      </w:r>
      <w:r w:rsidRPr="00C40A1A">
        <w:rPr>
          <w:rFonts w:ascii="Times New Roman" w:hAnsi="Times New Roman"/>
          <w:szCs w:val="24"/>
        </w:rPr>
        <w:t>)</w:t>
      </w:r>
    </w:p>
    <w:p w:rsidR="00F146F1" w14:paraId="638CA822"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261B1DA2"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794C9E4C"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0B61D0A2" w14:textId="77777777">
      <w:pPr>
        <w:widowControl/>
        <w:autoSpaceDE w:val="0"/>
        <w:autoSpaceDN w:val="0"/>
        <w:adjustRightInd w:val="0"/>
        <w:rPr>
          <w:rFonts w:ascii="Times New Roman" w:hAnsi="Times New Roman"/>
          <w:szCs w:val="24"/>
        </w:rPr>
      </w:pPr>
    </w:p>
    <w:p w:rsidR="00B10980" w:rsidRPr="00C40A1A" w:rsidP="00C40A1A" w14:paraId="428D969E" w14:textId="31EBECEC">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seeking OMB approval to </w:t>
      </w:r>
      <w:r w:rsidR="006F2A7D">
        <w:rPr>
          <w:rFonts w:ascii="Times New Roman" w:hAnsi="Times New Roman"/>
          <w:szCs w:val="24"/>
        </w:rPr>
        <w:t>extend</w:t>
      </w:r>
      <w:r>
        <w:rPr>
          <w:rFonts w:ascii="Times New Roman" w:hAnsi="Times New Roman"/>
          <w:szCs w:val="24"/>
        </w:rPr>
        <w:t>, without revision, its information collection entitled, “</w:t>
      </w:r>
      <w:r w:rsidR="00915517">
        <w:rPr>
          <w:rFonts w:ascii="Times New Roman" w:hAnsi="Times New Roman"/>
          <w:szCs w:val="24"/>
        </w:rPr>
        <w:t>Application for Consent to Exercise Trust Powers</w:t>
      </w:r>
      <w:r>
        <w:rPr>
          <w:rFonts w:ascii="Times New Roman" w:hAnsi="Times New Roman"/>
          <w:szCs w:val="24"/>
        </w:rPr>
        <w:t>,” OMB N0. 3064-0</w:t>
      </w:r>
      <w:r w:rsidR="00915517">
        <w:rPr>
          <w:rFonts w:ascii="Times New Roman" w:hAnsi="Times New Roman"/>
          <w:szCs w:val="24"/>
        </w:rPr>
        <w:t>025</w:t>
      </w:r>
      <w:r>
        <w:rPr>
          <w:rFonts w:ascii="Times New Roman" w:hAnsi="Times New Roman"/>
          <w:szCs w:val="24"/>
        </w:rPr>
        <w:t xml:space="preserve">, </w:t>
      </w:r>
      <w:r w:rsidRPr="00725F92">
        <w:rPr>
          <w:rFonts w:ascii="Times New Roman" w:hAnsi="Times New Roman"/>
          <w:szCs w:val="24"/>
        </w:rPr>
        <w:t xml:space="preserve">which expires </w:t>
      </w:r>
      <w:r w:rsidRPr="00CC7B69">
        <w:rPr>
          <w:rFonts w:ascii="Times New Roman" w:hAnsi="Times New Roman"/>
          <w:spacing w:val="-3"/>
        </w:rPr>
        <w:t xml:space="preserve">on </w:t>
      </w:r>
      <w:r w:rsidR="006F2A7D">
        <w:rPr>
          <w:rFonts w:ascii="Times New Roman" w:hAnsi="Times New Roman"/>
          <w:spacing w:val="-3"/>
        </w:rPr>
        <w:t>January 31, 2025</w:t>
      </w:r>
      <w:r>
        <w:rPr>
          <w:rFonts w:ascii="Times New Roman" w:hAnsi="Times New Roman"/>
          <w:spacing w:val="-3"/>
        </w:rPr>
        <w:t xml:space="preserve">.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Pr>
          <w:rFonts w:ascii="Times New Roman" w:hAnsi="Times New Roman"/>
          <w:szCs w:val="24"/>
        </w:rPr>
        <w:t xml:space="preserve">  </w:t>
      </w:r>
    </w:p>
    <w:p w:rsidR="00B10980" w:rsidP="00583579" w14:paraId="4CD7F4FA" w14:textId="77777777">
      <w:pPr>
        <w:widowControl/>
        <w:autoSpaceDE w:val="0"/>
        <w:autoSpaceDN w:val="0"/>
        <w:adjustRightInd w:val="0"/>
        <w:rPr>
          <w:rFonts w:ascii="Times New Roman" w:hAnsi="Times New Roman"/>
        </w:rPr>
      </w:pPr>
    </w:p>
    <w:p w:rsidR="00F146F1" w:rsidP="0024672A" w14:paraId="13DE02E6" w14:textId="77777777">
      <w:pPr>
        <w:widowControl/>
        <w:numPr>
          <w:ilvl w:val="0"/>
          <w:numId w:val="2"/>
        </w:numPr>
        <w:rPr>
          <w:rFonts w:ascii="Times New Roman" w:hAnsi="Times New Roman"/>
        </w:rPr>
      </w:pPr>
      <w:r>
        <w:rPr>
          <w:rFonts w:ascii="Times New Roman" w:hAnsi="Times New Roman"/>
          <w:u w:val="single"/>
        </w:rPr>
        <w:t>JUSTIFICATION</w:t>
      </w:r>
    </w:p>
    <w:p w:rsidR="00F146F1" w14:paraId="4721F07F" w14:textId="77777777">
      <w:pPr>
        <w:widowControl/>
        <w:rPr>
          <w:rFonts w:ascii="Times New Roman" w:hAnsi="Times New Roman"/>
        </w:rPr>
      </w:pPr>
    </w:p>
    <w:p w:rsidR="00F146F1" w:rsidP="00F175D5" w14:paraId="7C1401CA"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2695916E" w14:textId="77777777">
      <w:pPr>
        <w:widowControl/>
        <w:rPr>
          <w:rFonts w:ascii="Times New Roman" w:hAnsi="Times New Roman"/>
        </w:rPr>
      </w:pPr>
    </w:p>
    <w:p w:rsidR="00FA4D5D" w:rsidRPr="00FA4D5D" w:rsidP="00FA4D5D" w14:paraId="52F8E3EE" w14:textId="77777777">
      <w:pPr>
        <w:widowControl/>
        <w:ind w:left="1440"/>
        <w:rPr>
          <w:rFonts w:ascii="Times New Roman" w:hAnsi="Times New Roman"/>
        </w:rPr>
      </w:pPr>
      <w:r w:rsidRPr="00FA4D5D">
        <w:rPr>
          <w:rFonts w:ascii="Times New Roman" w:hAnsi="Times New Roman"/>
        </w:rPr>
        <w:t xml:space="preserve">FDIC regulations at 12 CFR 333.2 prohibit any insured state nonmember bank from changing the general character of its business without the prior written consent of the FDIC.  The FDIC has considered the exercise of trust powers by a bank to be a change in the general character of a bank’s business if the bank did not exercise those powers previously.  Trust powers create a new fiduciary relationship that normally affects the character of a bank’s business. Therefore, unless a bank is currently exercising trust powers, it must file a formal application to obtain the FDIC’s written consent to exercise trust powers.   State banking authorities, not the FDIC, grant trust powers to their banks.  The FDIC merely consents to the exercise of such powers. A bank may not necessarily choose or be ready to exercise trust powers although it has been granted such powers by its state authorities.     </w:t>
      </w:r>
    </w:p>
    <w:p w:rsidR="0024672A" w:rsidP="00FA4D5D" w14:paraId="314CF96E" w14:textId="77777777">
      <w:pPr>
        <w:widowControl/>
        <w:rPr>
          <w:rFonts w:ascii="Times New Roman" w:hAnsi="Times New Roman"/>
        </w:rPr>
      </w:pPr>
    </w:p>
    <w:p w:rsidR="00F146F1" w:rsidP="00F175D5" w14:paraId="7109ADE0" w14:textId="77777777">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14:paraId="1B605E11" w14:textId="77777777">
      <w:pPr>
        <w:widowControl/>
        <w:rPr>
          <w:rFonts w:ascii="Times New Roman" w:hAnsi="Times New Roman"/>
        </w:rPr>
      </w:pPr>
    </w:p>
    <w:p w:rsidR="00FA4D5D" w:rsidRPr="00FA4D5D" w:rsidP="00FA4D5D" w14:paraId="5B057709" w14:textId="77777777">
      <w:pPr>
        <w:widowControl/>
        <w:ind w:left="1440"/>
        <w:rPr>
          <w:rFonts w:ascii="Times New Roman" w:hAnsi="Times New Roman"/>
        </w:rPr>
      </w:pPr>
      <w:r w:rsidRPr="00FA4D5D">
        <w:rPr>
          <w:rFonts w:ascii="Times New Roman" w:hAnsi="Times New Roman"/>
        </w:rPr>
        <w:t xml:space="preserve">Banks wishing to exercise trust powers file formal applications on Form FDIC 6200/09 with the appropriate FDIC regional office.  The FDIC evaluates the information in relation to the seven banking factors enumerated in section 6 of the FDI Act (12 USC 1816), the adequacy of the institution’s compliance with the Community Reinvestment Act (12 USC 2902), and the minimum requirements for sound banking practices in the operation of a trust department as listed on the Statement of Principles of Trust Department Management, which is part of the Form 6200/09 package. </w:t>
      </w:r>
    </w:p>
    <w:p w:rsidR="00FA4D5D" w:rsidRPr="00FA4D5D" w:rsidP="00FA4D5D" w14:paraId="7BB46B55" w14:textId="77777777">
      <w:pPr>
        <w:widowControl/>
        <w:ind w:left="1440"/>
        <w:rPr>
          <w:rFonts w:ascii="Times New Roman" w:hAnsi="Times New Roman"/>
        </w:rPr>
      </w:pPr>
    </w:p>
    <w:p w:rsidR="00FA4D5D" w:rsidRPr="00FA4D5D" w:rsidP="00FA4D5D" w14:paraId="53869EA1" w14:textId="77777777">
      <w:pPr>
        <w:widowControl/>
        <w:ind w:left="1440"/>
        <w:rPr>
          <w:rFonts w:ascii="Times New Roman" w:hAnsi="Times New Roman"/>
        </w:rPr>
      </w:pPr>
      <w:r w:rsidRPr="00FA4D5D">
        <w:rPr>
          <w:rFonts w:ascii="Times New Roman" w:hAnsi="Times New Roman"/>
        </w:rPr>
        <w:t>Form FDIC 6200/09 identifies the trust powers applied for and provides additional information to assist the FDIC in deciding whether to grant consent to exercise trust powers.  The form also indicates that all applicants must adopt, as a bank policy, the Statement of Principles of Trust Department Management.</w:t>
      </w:r>
    </w:p>
    <w:p w:rsidR="00FA4D5D" w:rsidRPr="00FA4D5D" w:rsidP="00FA4D5D" w14:paraId="6E805EFA" w14:textId="77777777">
      <w:pPr>
        <w:widowControl/>
        <w:ind w:left="1440"/>
        <w:rPr>
          <w:rFonts w:ascii="Times New Roman" w:hAnsi="Times New Roman"/>
        </w:rPr>
      </w:pPr>
    </w:p>
    <w:p w:rsidR="00FA4D5D" w:rsidRPr="00FA4D5D" w:rsidP="00FA4D5D" w14:paraId="4DC88A84" w14:textId="77777777">
      <w:pPr>
        <w:widowControl/>
        <w:ind w:left="1440"/>
        <w:rPr>
          <w:rFonts w:ascii="Times New Roman" w:hAnsi="Times New Roman"/>
        </w:rPr>
      </w:pPr>
      <w:r w:rsidRPr="00FA4D5D">
        <w:rPr>
          <w:rFonts w:ascii="Times New Roman" w:hAnsi="Times New Roman"/>
        </w:rPr>
        <w:t xml:space="preserve">An applicant that is an ‘eligible depository institution,’ as defined in Section 303.2(r) of the FDIC’s Rules and Regulations (12 CFR 303.2(r)), must provide information on whether it has been granted trust powers by its state </w:t>
      </w:r>
      <w:r w:rsidRPr="00FA4D5D">
        <w:rPr>
          <w:rFonts w:ascii="Times New Roman" w:hAnsi="Times New Roman"/>
        </w:rPr>
        <w:t>banking authority, which are a prerequisite to FDIC’s consent to exercise state-granted trust powers.  The bank must supply information about the proposed trust officer, as well as the officer’s experience, education, and other qualifications in fiduciary matters.  Furthermore, if the applicant intends to utilize a third party to manage the investments or account administration of its proposed trust department, information about such servicing arrangements must be provided.  Eligible depository institutions will receive expedited processing of their applications.</w:t>
      </w:r>
    </w:p>
    <w:p w:rsidR="00FA4D5D" w:rsidRPr="00FA4D5D" w:rsidP="00FA4D5D" w14:paraId="2176C0CC" w14:textId="77777777">
      <w:pPr>
        <w:widowControl/>
        <w:ind w:left="1440"/>
        <w:rPr>
          <w:rFonts w:ascii="Times New Roman" w:hAnsi="Times New Roman"/>
        </w:rPr>
      </w:pPr>
    </w:p>
    <w:p w:rsidR="00FA4D5D" w:rsidRPr="00FA4D5D" w:rsidP="00FA4D5D" w14:paraId="63CF1997" w14:textId="77777777">
      <w:pPr>
        <w:widowControl/>
        <w:ind w:left="1440"/>
        <w:rPr>
          <w:rFonts w:ascii="Times New Roman" w:hAnsi="Times New Roman"/>
        </w:rPr>
      </w:pPr>
      <w:r w:rsidRPr="00FA4D5D">
        <w:rPr>
          <w:rFonts w:ascii="Times New Roman" w:hAnsi="Times New Roman"/>
        </w:rPr>
        <w:t>An applicant that does not qualify as an eligible depository institution must provide the information required for an eligible depository institution, plus information about its proposed trust operation, including information about members of the bank’s proposed Trust Committee, the qualifications of trust counsel, projections of the size and profitability of the proposed trust activity, and the applicant’s analysis of the financial impact of any proposed net operating losses on the applicant institution must be provided. Applications received from banks that are not eligible depository institutions will receive standard processing.</w:t>
      </w:r>
    </w:p>
    <w:p w:rsidR="00FA4D5D" w:rsidRPr="00FA4D5D" w:rsidP="00FA4D5D" w14:paraId="1B159AA3" w14:textId="77777777">
      <w:pPr>
        <w:widowControl/>
        <w:ind w:left="1440"/>
        <w:rPr>
          <w:rFonts w:ascii="Times New Roman" w:hAnsi="Times New Roman"/>
        </w:rPr>
      </w:pPr>
    </w:p>
    <w:p w:rsidR="00FA4D5D" w:rsidP="00573F81" w14:paraId="26DA1E75" w14:textId="77777777">
      <w:pPr>
        <w:widowControl/>
        <w:ind w:left="1440"/>
        <w:rPr>
          <w:rFonts w:ascii="Times New Roman" w:hAnsi="Times New Roman"/>
        </w:rPr>
      </w:pPr>
      <w:r w:rsidRPr="00FA4D5D">
        <w:rPr>
          <w:rFonts w:ascii="Times New Roman" w:hAnsi="Times New Roman"/>
        </w:rPr>
        <w:t>The purpose of the evaluation by the FDIC is three</w:t>
      </w:r>
      <w:r w:rsidRPr="00FA4D5D">
        <w:rPr>
          <w:rFonts w:ascii="Times New Roman" w:hAnsi="Times New Roman"/>
        </w:rPr>
        <w:noBreakHyphen/>
        <w:t>fold:  (1) to ensure that the new activities to be undertaken by the bank will not unduly jeopardize the financial condition of the bank, (2) to ensure that the proposed new activities are legally permissible, and (3) to determine that bank management has sufficient ability and expertise in the non</w:t>
      </w:r>
      <w:r w:rsidRPr="00FA4D5D">
        <w:rPr>
          <w:rFonts w:ascii="Times New Roman" w:hAnsi="Times New Roman"/>
        </w:rPr>
        <w:noBreakHyphen/>
        <w:t>banking area they propose to enter.  The FDIC’s evaluation also serves to safeguard the banking system and the banking public as depositors and be</w:t>
      </w:r>
      <w:r w:rsidR="00573F81">
        <w:rPr>
          <w:rFonts w:ascii="Times New Roman" w:hAnsi="Times New Roman"/>
        </w:rPr>
        <w:t>neficiaries of trust accounts.</w:t>
      </w:r>
    </w:p>
    <w:p w:rsidR="00573F81" w:rsidP="00573F81" w14:paraId="18CF2DAC" w14:textId="77777777">
      <w:pPr>
        <w:widowControl/>
        <w:rPr>
          <w:rFonts w:ascii="Times New Roman" w:hAnsi="Times New Roman"/>
        </w:rPr>
      </w:pPr>
    </w:p>
    <w:p w:rsidR="00F146F1" w:rsidP="00573F81" w14:paraId="5F17D7AE" w14:textId="77777777">
      <w:pPr>
        <w:widowControl/>
        <w:ind w:left="1440"/>
        <w:rPr>
          <w:rFonts w:ascii="Times New Roman" w:hAnsi="Times New Roman"/>
        </w:rPr>
      </w:pPr>
      <w:r w:rsidRPr="00FA4D5D">
        <w:rPr>
          <w:rFonts w:ascii="Times New Roman" w:hAnsi="Times New Roman"/>
        </w:rPr>
        <w:t xml:space="preserve">Probably the most important prerequisite for the FDIC’s consent to the exercise of trust powers is that the applicant bank provides sufficiently qualified management and staff to meet satisfactory standards of competency in trust matters.  If the FDIC’s evaluation indicates that an applicant may not be equipped to manage trust activities and more limited powers will suffice, the bank may be encouraged to file for specific limited powers. In all cases, </w:t>
      </w:r>
      <w:r w:rsidRPr="00FA4D5D">
        <w:rPr>
          <w:rFonts w:ascii="Times New Roman" w:hAnsi="Times New Roman"/>
        </w:rPr>
        <w:t>in order to</w:t>
      </w:r>
      <w:r w:rsidRPr="00FA4D5D">
        <w:rPr>
          <w:rFonts w:ascii="Times New Roman" w:hAnsi="Times New Roman"/>
        </w:rPr>
        <w:t xml:space="preserve"> approve any application for consent to exercise trust powers, the FDIC must conclude that management is capable of handling the anticipated trust business operations.</w:t>
      </w:r>
    </w:p>
    <w:p w:rsidR="00FA4D5D" w:rsidP="00FA4D5D" w14:paraId="30BA10E5" w14:textId="77777777">
      <w:pPr>
        <w:widowControl/>
        <w:ind w:left="1440"/>
        <w:rPr>
          <w:rFonts w:ascii="Times New Roman" w:hAnsi="Times New Roman"/>
        </w:rPr>
      </w:pPr>
    </w:p>
    <w:p w:rsidR="00F146F1" w:rsidP="00F175D5" w14:paraId="6D26DD22"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06FE472F" w14:textId="77777777">
      <w:pPr>
        <w:widowControl/>
        <w:rPr>
          <w:rFonts w:ascii="Times New Roman" w:hAnsi="Times New Roman"/>
        </w:rPr>
      </w:pPr>
    </w:p>
    <w:p w:rsidR="00F146F1" w14:paraId="63FD83DB" w14:textId="77777777">
      <w:pPr>
        <w:widowControl/>
        <w:ind w:left="1440"/>
        <w:rPr>
          <w:rFonts w:ascii="Times New Roman" w:hAnsi="Times New Roman"/>
        </w:rPr>
      </w:pPr>
      <w:r w:rsidRPr="00FA4D5D">
        <w:rPr>
          <w:rFonts w:ascii="Times New Roman" w:hAnsi="Times New Roman"/>
        </w:rPr>
        <w:t xml:space="preserve">Respondents have the option of submitting their responses electronically via a secure FDIC-sponsored Internet connection known as </w:t>
      </w:r>
      <w:r w:rsidRPr="00FA4D5D">
        <w:rPr>
          <w:rFonts w:ascii="Times New Roman" w:hAnsi="Times New Roman"/>
        </w:rPr>
        <w:t>FDIC</w:t>
      </w:r>
      <w:r w:rsidRPr="00FA4D5D">
        <w:rPr>
          <w:rFonts w:ascii="Times New Roman" w:hAnsi="Times New Roman"/>
          <w:i/>
        </w:rPr>
        <w:t>Connect</w:t>
      </w:r>
      <w:r w:rsidRPr="00FA4D5D">
        <w:rPr>
          <w:rFonts w:ascii="Times New Roman" w:hAnsi="Times New Roman"/>
        </w:rPr>
        <w:t>.</w:t>
      </w:r>
      <w:r>
        <w:rPr>
          <w:rFonts w:ascii="Times New Roman" w:hAnsi="Times New Roman"/>
        </w:rPr>
        <w:t xml:space="preserve">  </w:t>
      </w:r>
    </w:p>
    <w:p w:rsidR="00F146F1" w14:paraId="0FB841BA" w14:textId="77777777">
      <w:pPr>
        <w:widowControl/>
        <w:ind w:left="1440"/>
        <w:rPr>
          <w:rFonts w:ascii="Times New Roman" w:hAnsi="Times New Roman"/>
        </w:rPr>
      </w:pPr>
    </w:p>
    <w:p w:rsidR="00F146F1" w:rsidP="00F175D5" w14:paraId="2ABE35E4" w14:textId="77777777">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14:paraId="5E2643F1" w14:textId="77777777">
      <w:pPr>
        <w:widowControl/>
        <w:rPr>
          <w:rFonts w:ascii="Times New Roman" w:hAnsi="Times New Roman"/>
        </w:rPr>
      </w:pPr>
    </w:p>
    <w:p w:rsidR="00FA4D5D" w:rsidRPr="00FA4D5D" w:rsidP="00FA4D5D" w14:paraId="7D0965C4" w14:textId="77777777">
      <w:pPr>
        <w:widowControl/>
        <w:ind w:left="1440"/>
        <w:rPr>
          <w:rFonts w:ascii="Times New Roman" w:hAnsi="Times New Roman"/>
        </w:rPr>
      </w:pPr>
      <w:r w:rsidRPr="00FA4D5D">
        <w:rPr>
          <w:rFonts w:ascii="Times New Roman" w:hAnsi="Times New Roman"/>
        </w:rPr>
        <w:t xml:space="preserve">The information being collected could exist if a bank applies to its state banking authority for a grant of trust powers and, upon being granted the powers, immediately applies to the FDIC for </w:t>
      </w:r>
      <w:r w:rsidRPr="00FA4D5D">
        <w:rPr>
          <w:rFonts w:ascii="Times New Roman" w:hAnsi="Times New Roman"/>
          <w:u w:val="single"/>
        </w:rPr>
        <w:t>consent to exercise</w:t>
      </w:r>
      <w:r w:rsidRPr="00FA4D5D">
        <w:rPr>
          <w:rFonts w:ascii="Times New Roman" w:hAnsi="Times New Roman"/>
        </w:rPr>
        <w:t xml:space="preserve"> these powers.  To alleviate this eventuality, the FDIC has offered to provide its application form to state banking authorities, at no charge, for joint state</w:t>
      </w:r>
      <w:r w:rsidRPr="00FA4D5D">
        <w:rPr>
          <w:rFonts w:ascii="Times New Roman" w:hAnsi="Times New Roman"/>
        </w:rPr>
        <w:noBreakHyphen/>
        <w:t xml:space="preserve">FDIC use.  The form is </w:t>
      </w:r>
      <w:r w:rsidRPr="00FA4D5D">
        <w:rPr>
          <w:rFonts w:ascii="Times New Roman" w:hAnsi="Times New Roman"/>
        </w:rPr>
        <w:t>designated as Form FDIC 6200/09A when it is used as a joint state</w:t>
      </w:r>
      <w:r w:rsidRPr="00FA4D5D">
        <w:rPr>
          <w:rFonts w:ascii="Times New Roman" w:hAnsi="Times New Roman"/>
        </w:rPr>
        <w:noBreakHyphen/>
        <w:t>FDIC application.  The information needed by FDIC for evaluation and analysis of an application to exercise trust powers is not necessarily available in the state applications filed by respondents or is not always available in the detail necessary to satisfy the purpose and need for which this collection is undertaken.  The information being collected is considered essential to the purpose and need of the collection and to the analysis of results.  It is therefore necessary and not deemed duplicative within the meaning of the PRA and OMB’s regulation.</w:t>
      </w:r>
    </w:p>
    <w:p w:rsidR="00FA4D5D" w:rsidRPr="00FA4D5D" w:rsidP="00FA4D5D" w14:paraId="6C91FBA6" w14:textId="77777777">
      <w:pPr>
        <w:widowControl/>
        <w:ind w:left="1440"/>
        <w:rPr>
          <w:rFonts w:ascii="Times New Roman" w:hAnsi="Times New Roman"/>
        </w:rPr>
      </w:pPr>
    </w:p>
    <w:p w:rsidR="00F146F1" w:rsidP="00FA4D5D" w14:paraId="376FFB6D" w14:textId="77777777">
      <w:pPr>
        <w:widowControl/>
        <w:ind w:left="1440"/>
        <w:rPr>
          <w:rFonts w:ascii="Times New Roman" w:hAnsi="Times New Roman"/>
        </w:rPr>
      </w:pPr>
      <w:r w:rsidRPr="00FA4D5D">
        <w:rPr>
          <w:rFonts w:ascii="Times New Roman" w:hAnsi="Times New Roman"/>
        </w:rPr>
        <w:t>The FDIC collects the requested information only from the insured state nonmember banks and state associations that it directly supervises.  Similar information is collected by the Federal Reserve System from member banks, and the Comptroller of the Currency from national banks and savings associations.</w:t>
      </w:r>
    </w:p>
    <w:p w:rsidR="00ED4700" w14:paraId="5E0D62A2" w14:textId="77777777">
      <w:pPr>
        <w:widowControl/>
        <w:ind w:left="1440"/>
        <w:rPr>
          <w:rFonts w:ascii="Times New Roman" w:hAnsi="Times New Roman"/>
        </w:rPr>
      </w:pPr>
    </w:p>
    <w:p w:rsidR="00F146F1" w:rsidP="00F175D5" w14:paraId="428DB91E"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52038CB0" w14:textId="77777777">
      <w:pPr>
        <w:widowControl/>
        <w:rPr>
          <w:rFonts w:ascii="Times New Roman" w:hAnsi="Times New Roman"/>
        </w:rPr>
      </w:pPr>
    </w:p>
    <w:p w:rsidR="00F146F1" w14:paraId="6D391F24" w14:textId="77777777">
      <w:pPr>
        <w:widowControl/>
        <w:ind w:left="1440"/>
        <w:rPr>
          <w:rFonts w:ascii="Times New Roman" w:hAnsi="Times New Roman"/>
        </w:rPr>
      </w:pPr>
      <w:r w:rsidRPr="00FA4D5D">
        <w:rPr>
          <w:rFonts w:ascii="Times New Roman" w:hAnsi="Times New Roman"/>
        </w:rPr>
        <w:t>The information required on the application form applies to all banks, regardless of size, that wish FDIC consent to exercise trust powers.  Small banks in many cases will be applying for limited trust powers rather than full trust powers.  The evaluation standards for limited trust powers would be less broad than the standards for full trust powers.</w:t>
      </w:r>
    </w:p>
    <w:p w:rsidR="00F146F1" w14:paraId="436C94CD" w14:textId="77777777">
      <w:pPr>
        <w:widowControl/>
        <w:rPr>
          <w:rFonts w:ascii="Times New Roman" w:hAnsi="Times New Roman"/>
        </w:rPr>
      </w:pPr>
    </w:p>
    <w:p w:rsidR="00F146F1" w:rsidP="00F175D5" w14:paraId="37954587" w14:textId="77777777">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14:paraId="749929B3" w14:textId="77777777">
      <w:pPr>
        <w:widowControl/>
        <w:rPr>
          <w:rFonts w:ascii="Times New Roman" w:hAnsi="Times New Roman"/>
        </w:rPr>
      </w:pPr>
    </w:p>
    <w:p w:rsidR="00F146F1" w14:paraId="32E1BA2E" w14:textId="77777777">
      <w:pPr>
        <w:widowControl/>
        <w:ind w:left="1440"/>
        <w:rPr>
          <w:rFonts w:ascii="Times New Roman" w:hAnsi="Times New Roman"/>
        </w:rPr>
      </w:pPr>
      <w:r w:rsidRPr="00FA4D5D">
        <w:rPr>
          <w:rFonts w:ascii="Times New Roman" w:hAnsi="Times New Roman"/>
        </w:rPr>
        <w:t xml:space="preserve">This collection is not a periodic reporting system.  The form is submitted only </w:t>
      </w:r>
      <w:r w:rsidRPr="00FA4D5D">
        <w:rPr>
          <w:rFonts w:ascii="Times New Roman" w:hAnsi="Times New Roman"/>
        </w:rPr>
        <w:t>on the occasion of</w:t>
      </w:r>
      <w:r w:rsidRPr="00FA4D5D">
        <w:rPr>
          <w:rFonts w:ascii="Times New Roman" w:hAnsi="Times New Roman"/>
        </w:rPr>
        <w:t xml:space="preserve"> a bank applying for consent to exercise trust powers</w:t>
      </w:r>
      <w:r w:rsidRPr="00820109" w:rsidR="00820109">
        <w:rPr>
          <w:rFonts w:ascii="Times New Roman" w:hAnsi="Times New Roman"/>
        </w:rPr>
        <w:t>.</w:t>
      </w:r>
    </w:p>
    <w:p w:rsidR="00F146F1" w14:paraId="18B03DD2" w14:textId="77777777">
      <w:pPr>
        <w:widowControl/>
        <w:rPr>
          <w:rFonts w:ascii="Times New Roman" w:hAnsi="Times New Roman"/>
        </w:rPr>
      </w:pPr>
    </w:p>
    <w:p w:rsidR="00F146F1" w:rsidP="00F175D5" w14:paraId="3C40633A"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0D2B7BEB" w14:textId="77777777">
      <w:pPr>
        <w:widowControl/>
        <w:rPr>
          <w:rFonts w:ascii="Times New Roman" w:hAnsi="Times New Roman"/>
        </w:rPr>
      </w:pPr>
    </w:p>
    <w:p w:rsidR="00F146F1" w:rsidP="00820109" w14:paraId="583DA3A9" w14:textId="77777777">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14:paraId="4FBC7A90" w14:textId="77777777">
      <w:pPr>
        <w:widowControl/>
        <w:ind w:left="576"/>
        <w:rPr>
          <w:rFonts w:ascii="Times New Roman" w:hAnsi="Times New Roman"/>
        </w:rPr>
      </w:pPr>
    </w:p>
    <w:p w:rsidR="00F146F1" w:rsidP="00F175D5" w14:paraId="0CB6BCEF" w14:textId="77777777">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00F146F1" w:rsidRPr="00280958" w:rsidP="00280958" w14:paraId="597ACF66" w14:textId="77777777">
      <w:pPr>
        <w:widowControl/>
        <w:ind w:left="1440"/>
        <w:rPr>
          <w:rFonts w:ascii="Times New Roman" w:hAnsi="Times New Roman"/>
        </w:rPr>
      </w:pPr>
    </w:p>
    <w:p w:rsidR="00F146F1" w:rsidP="00280958" w14:paraId="57736D32" w14:textId="2E6BBD4D">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463CCA">
        <w:rPr>
          <w:rFonts w:ascii="Times New Roman" w:hAnsi="Times New Roman"/>
        </w:rPr>
        <w:t>November 5, 2024</w:t>
      </w:r>
      <w:r>
        <w:rPr>
          <w:rFonts w:ascii="Times New Roman" w:hAnsi="Times New Roman"/>
        </w:rPr>
        <w:t xml:space="preserve"> (8</w:t>
      </w:r>
      <w:r w:rsidR="00463CCA">
        <w:rPr>
          <w:rFonts w:ascii="Times New Roman" w:hAnsi="Times New Roman"/>
        </w:rPr>
        <w:t>9</w:t>
      </w:r>
      <w:r>
        <w:rPr>
          <w:rFonts w:ascii="Times New Roman" w:hAnsi="Times New Roman"/>
        </w:rPr>
        <w:t xml:space="preserve"> FR </w:t>
      </w:r>
      <w:r w:rsidR="00463CCA">
        <w:rPr>
          <w:rFonts w:ascii="Times New Roman" w:hAnsi="Times New Roman"/>
        </w:rPr>
        <w:t>87877</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0230FBA6" w14:textId="77777777">
      <w:pPr>
        <w:pStyle w:val="Footer"/>
        <w:widowControl/>
        <w:tabs>
          <w:tab w:val="clear" w:pos="4320"/>
          <w:tab w:val="clear" w:pos="8640"/>
        </w:tabs>
        <w:ind w:left="1440"/>
        <w:rPr>
          <w:rFonts w:ascii="Times New Roman" w:hAnsi="Times New Roman"/>
        </w:rPr>
      </w:pPr>
    </w:p>
    <w:p w:rsidR="00F146F1" w:rsidP="00F175D5" w14:paraId="2C32B2AC" w14:textId="77777777">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14:paraId="2FFD4023" w14:textId="77777777">
      <w:pPr>
        <w:widowControl/>
        <w:rPr>
          <w:rFonts w:ascii="Times New Roman" w:hAnsi="Times New Roman"/>
        </w:rPr>
      </w:pPr>
    </w:p>
    <w:p w:rsidR="00F146F1" w14:paraId="21924C6B"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F146F1" w14:paraId="048A6636" w14:textId="77777777">
      <w:pPr>
        <w:widowControl/>
        <w:ind w:firstLine="576"/>
        <w:rPr>
          <w:rFonts w:ascii="Times New Roman" w:hAnsi="Times New Roman"/>
        </w:rPr>
      </w:pPr>
    </w:p>
    <w:p w:rsidR="00573F81" w14:paraId="4C7FE814" w14:textId="77777777">
      <w:pPr>
        <w:widowControl/>
        <w:ind w:firstLine="576"/>
        <w:rPr>
          <w:rFonts w:ascii="Times New Roman" w:hAnsi="Times New Roman"/>
        </w:rPr>
      </w:pPr>
    </w:p>
    <w:p w:rsidR="00573F81" w14:paraId="61F72586" w14:textId="77777777">
      <w:pPr>
        <w:widowControl/>
        <w:ind w:firstLine="576"/>
        <w:rPr>
          <w:rFonts w:ascii="Times New Roman" w:hAnsi="Times New Roman"/>
        </w:rPr>
      </w:pPr>
    </w:p>
    <w:p w:rsidR="00F146F1" w:rsidP="00F175D5" w14:paraId="616772D9"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58ADE19F" w14:textId="77777777">
      <w:pPr>
        <w:widowControl/>
        <w:ind w:left="576"/>
        <w:rPr>
          <w:rFonts w:ascii="Times New Roman" w:hAnsi="Times New Roman"/>
        </w:rPr>
      </w:pPr>
    </w:p>
    <w:p w:rsidR="00F146F1" w14:paraId="21B57518" w14:textId="77777777">
      <w:pPr>
        <w:widowControl/>
        <w:ind w:left="1440"/>
        <w:rPr>
          <w:rFonts w:ascii="Times New Roman" w:hAnsi="Times New Roman"/>
        </w:rPr>
      </w:pPr>
      <w:r w:rsidRPr="00B91D2F">
        <w:rPr>
          <w:rFonts w:ascii="Times New Roman" w:hAnsi="Times New Roman"/>
        </w:rPr>
        <w:t>Any information deemed to be of a confidential nature would be exempt from public disclosure in accordance with the provisions of the Freedom of Information Act (5 U.S.C. 552).  Respondents are advised on the Form FDIC 6200/09 that the information furnished by the bank in their application is no</w:t>
      </w:r>
      <w:r>
        <w:rPr>
          <w:rFonts w:ascii="Times New Roman" w:hAnsi="Times New Roman"/>
        </w:rPr>
        <w:t>rmally subject to public review</w:t>
      </w:r>
      <w:r>
        <w:rPr>
          <w:rFonts w:ascii="Times New Roman" w:hAnsi="Times New Roman"/>
        </w:rPr>
        <w:t xml:space="preserve">.  </w:t>
      </w:r>
    </w:p>
    <w:p w:rsidR="00F146F1" w14:paraId="4959D583" w14:textId="77777777">
      <w:pPr>
        <w:widowControl/>
        <w:rPr>
          <w:rFonts w:ascii="Times New Roman" w:hAnsi="Times New Roman"/>
        </w:rPr>
      </w:pPr>
    </w:p>
    <w:p w:rsidR="00F146F1" w:rsidP="00F175D5" w14:paraId="1660DA7C"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1CAA7CFF" w14:textId="77777777">
      <w:pPr>
        <w:widowControl/>
        <w:rPr>
          <w:rFonts w:ascii="Times New Roman" w:hAnsi="Times New Roman"/>
        </w:rPr>
      </w:pPr>
    </w:p>
    <w:p w:rsidR="009D2562" w:rsidRPr="00B91D2F" w:rsidP="009D2562" w14:paraId="538A1415" w14:textId="77777777">
      <w:pPr>
        <w:widowControl/>
        <w:ind w:left="1440"/>
      </w:pPr>
      <w:r w:rsidRPr="00820109">
        <w:rPr>
          <w:rFonts w:ascii="Times New Roman" w:hAnsi="Times New Roman"/>
        </w:rPr>
        <w:t>No sensitive information is collected</w:t>
      </w:r>
      <w:r w:rsidR="00B91D2F">
        <w:rPr>
          <w:rStyle w:val="Hyperlink"/>
          <w:rFonts w:ascii="Times New Roman" w:hAnsi="Times New Roman"/>
          <w:szCs w:val="24"/>
          <w:u w:val="none"/>
        </w:rPr>
        <w:t>.</w:t>
      </w:r>
    </w:p>
    <w:p w:rsidR="002423D4" w:rsidP="00820109" w14:paraId="73315479" w14:textId="77777777">
      <w:pPr>
        <w:widowControl/>
        <w:rPr>
          <w:rFonts w:ascii="Times New Roman" w:eastAsia="Calibri" w:hAnsi="Times New Roman"/>
        </w:rPr>
      </w:pPr>
    </w:p>
    <w:p w:rsidR="00F146F1" w:rsidRPr="009234BE" w:rsidP="00F175D5" w14:paraId="4682A6E9" w14:textId="77777777">
      <w:pPr>
        <w:widowControl/>
        <w:numPr>
          <w:ilvl w:val="0"/>
          <w:numId w:val="4"/>
        </w:numPr>
        <w:rPr>
          <w:rFonts w:ascii="Times New Roman" w:hAnsi="Times New Roman"/>
        </w:rPr>
      </w:pPr>
      <w:bookmarkStart w:id="0" w:name="_DV_M10"/>
      <w:bookmarkEnd w:id="0"/>
      <w:r w:rsidRPr="009234BE">
        <w:rPr>
          <w:rFonts w:ascii="Times New Roman" w:hAnsi="Times New Roman"/>
          <w:u w:val="single"/>
        </w:rPr>
        <w:t>Estimate of hour burden including annualized hourly costs:</w:t>
      </w:r>
    </w:p>
    <w:p w:rsidR="00F146F1" w:rsidRPr="00820109" w14:paraId="1D4A035A" w14:textId="77777777">
      <w:pPr>
        <w:widowControl/>
        <w:rPr>
          <w:rFonts w:ascii="Times New Roman" w:hAnsi="Times New Roman"/>
          <w:sz w:val="22"/>
          <w:szCs w:val="22"/>
        </w:rPr>
      </w:pPr>
    </w:p>
    <w:tbl>
      <w:tblPr>
        <w:tblW w:w="10973" w:type="dxa"/>
        <w:jc w:val="center"/>
        <w:tblLook w:val="04A0"/>
      </w:tblPr>
      <w:tblGrid>
        <w:gridCol w:w="2605"/>
        <w:gridCol w:w="1699"/>
        <w:gridCol w:w="1278"/>
        <w:gridCol w:w="1518"/>
        <w:gridCol w:w="1441"/>
        <w:gridCol w:w="1204"/>
        <w:gridCol w:w="1228"/>
      </w:tblGrid>
      <w:tr w14:paraId="37970E52" w14:textId="77777777" w:rsidTr="00B91D2F">
        <w:tblPrEx>
          <w:tblW w:w="10973" w:type="dxa"/>
          <w:jc w:val="center"/>
          <w:tblLook w:val="04A0"/>
        </w:tblPrEx>
        <w:trPr>
          <w:trHeight w:val="229"/>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20109" w:rsidRPr="00820109" w:rsidP="00B91D2F" w14:paraId="3B6F4AD8" w14:textId="77777777">
            <w:pPr>
              <w:widowControl/>
              <w:jc w:val="center"/>
              <w:rPr>
                <w:rFonts w:ascii="Times New Roman" w:hAnsi="Times New Roman"/>
                <w:b/>
                <w:bCs/>
                <w:snapToGrid/>
                <w:color w:val="000000"/>
                <w:sz w:val="22"/>
                <w:szCs w:val="22"/>
              </w:rPr>
            </w:pPr>
            <w:r w:rsidRPr="00820109">
              <w:rPr>
                <w:rFonts w:ascii="Times New Roman" w:hAnsi="Times New Roman"/>
                <w:b/>
                <w:bCs/>
                <w:snapToGrid/>
                <w:color w:val="000000"/>
                <w:sz w:val="22"/>
                <w:szCs w:val="22"/>
              </w:rPr>
              <w:t xml:space="preserve">Summary of Estimated Annual </w:t>
            </w:r>
            <w:r w:rsidR="007C18CB">
              <w:rPr>
                <w:rFonts w:ascii="Times New Roman" w:hAnsi="Times New Roman"/>
                <w:b/>
                <w:bCs/>
                <w:snapToGrid/>
                <w:color w:val="000000"/>
                <w:sz w:val="22"/>
                <w:szCs w:val="22"/>
              </w:rPr>
              <w:t xml:space="preserve">Implementation Burden </w:t>
            </w:r>
          </w:p>
        </w:tc>
      </w:tr>
      <w:tr w14:paraId="621ED0C0" w14:textId="77777777" w:rsidTr="00B91D2F">
        <w:tblPrEx>
          <w:tblW w:w="10973" w:type="dxa"/>
          <w:jc w:val="center"/>
          <w:tblLook w:val="04A0"/>
        </w:tblPrEx>
        <w:trPr>
          <w:trHeight w:val="555"/>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09" w:rsidRPr="00820109" w:rsidP="00820109" w14:paraId="390D2F10"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IC Description</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49D35965"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Type of Burden (Obligation to Respond)</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4C1956B3"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Frequency of Response</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031FF729"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Respondents</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7C59831C"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Responses / Respondent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1107B141"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Estimated Time per Response (Hours)</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6F27BA31"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 xml:space="preserve">Annual </w:t>
            </w:r>
            <w:r w:rsidRPr="00820109">
              <w:rPr>
                <w:rFonts w:ascii="Times New Roman" w:hAnsi="Times New Roman"/>
                <w:bCs/>
                <w:snapToGrid/>
                <w:color w:val="000000"/>
                <w:sz w:val="22"/>
                <w:szCs w:val="22"/>
              </w:rPr>
              <w:t>Burden  (</w:t>
            </w:r>
            <w:r w:rsidRPr="00820109">
              <w:rPr>
                <w:rFonts w:ascii="Times New Roman" w:hAnsi="Times New Roman"/>
                <w:bCs/>
                <w:snapToGrid/>
                <w:color w:val="000000"/>
                <w:sz w:val="22"/>
                <w:szCs w:val="22"/>
              </w:rPr>
              <w:t>Hours)</w:t>
            </w:r>
          </w:p>
        </w:tc>
      </w:tr>
      <w:tr w14:paraId="36205EC6" w14:textId="77777777" w:rsidTr="00B91D2F">
        <w:tblPrEx>
          <w:tblW w:w="10973" w:type="dxa"/>
          <w:jc w:val="center"/>
          <w:tblLook w:val="04A0"/>
        </w:tblPrEx>
        <w:trPr>
          <w:trHeight w:val="505"/>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820109" w:rsidRPr="00820109" w:rsidP="00820109" w14:paraId="533B45C4" w14:textId="77777777">
            <w:pPr>
              <w:widowControl/>
              <w:rPr>
                <w:rFonts w:ascii="Times New Roman" w:hAnsi="Times New Roman"/>
                <w:snapToGrid/>
                <w:color w:val="000000"/>
                <w:sz w:val="22"/>
                <w:szCs w:val="22"/>
              </w:rPr>
            </w:pPr>
            <w:r>
              <w:rPr>
                <w:rFonts w:ascii="Times New Roman" w:hAnsi="Times New Roman"/>
                <w:snapToGrid/>
                <w:color w:val="000000"/>
                <w:sz w:val="22"/>
                <w:szCs w:val="22"/>
              </w:rPr>
              <w:t xml:space="preserve">Eligible </w:t>
            </w:r>
            <w:r w:rsidRPr="00B91D2F">
              <w:rPr>
                <w:rFonts w:ascii="Times New Roman" w:hAnsi="Times New Roman"/>
                <w:snapToGrid/>
                <w:color w:val="000000"/>
                <w:sz w:val="22"/>
                <w:szCs w:val="22"/>
              </w:rPr>
              <w:t>depository institutions</w:t>
            </w:r>
          </w:p>
        </w:tc>
        <w:tc>
          <w:tcPr>
            <w:tcW w:w="1699" w:type="dxa"/>
            <w:tcBorders>
              <w:top w:val="nil"/>
              <w:left w:val="nil"/>
              <w:bottom w:val="single" w:sz="4" w:space="0" w:color="auto"/>
              <w:right w:val="single" w:sz="4" w:space="0" w:color="auto"/>
            </w:tcBorders>
            <w:shd w:val="clear" w:color="auto" w:fill="auto"/>
            <w:noWrap/>
            <w:vAlign w:val="center"/>
            <w:hideMark/>
          </w:tcPr>
          <w:p w:rsidR="00820109" w:rsidRPr="00820109" w:rsidP="005823C9" w14:paraId="23F05F40" w14:textId="77777777">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R</w:t>
            </w:r>
            <w:r w:rsidR="00B91D2F">
              <w:rPr>
                <w:rFonts w:ascii="Times New Roman" w:hAnsi="Times New Roman"/>
                <w:snapToGrid/>
                <w:color w:val="000000"/>
                <w:sz w:val="22"/>
                <w:szCs w:val="22"/>
              </w:rPr>
              <w:t>eporting</w:t>
            </w:r>
            <w:r w:rsidRPr="00820109">
              <w:rPr>
                <w:rFonts w:ascii="Times New Roman" w:hAnsi="Times New Roman"/>
                <w:snapToGrid/>
                <w:color w:val="000000"/>
                <w:sz w:val="22"/>
                <w:szCs w:val="22"/>
              </w:rPr>
              <w:t xml:space="preserve"> (</w:t>
            </w:r>
            <w:r w:rsidR="005823C9">
              <w:rPr>
                <w:rFonts w:ascii="Times New Roman" w:hAnsi="Times New Roman"/>
                <w:snapToGrid/>
                <w:color w:val="000000"/>
                <w:sz w:val="22"/>
                <w:szCs w:val="22"/>
              </w:rPr>
              <w:t>Mandatory</w:t>
            </w:r>
            <w:r w:rsidRPr="00820109">
              <w:rPr>
                <w:rFonts w:ascii="Times New Roman" w:hAnsi="Times New Roman"/>
                <w:snapToGrid/>
                <w:color w:val="000000"/>
                <w:sz w:val="22"/>
                <w:szCs w:val="22"/>
              </w:rPr>
              <w:t>)</w:t>
            </w:r>
          </w:p>
        </w:tc>
        <w:tc>
          <w:tcPr>
            <w:tcW w:w="1278" w:type="dxa"/>
            <w:tcBorders>
              <w:top w:val="nil"/>
              <w:left w:val="nil"/>
              <w:bottom w:val="single" w:sz="4" w:space="0" w:color="auto"/>
              <w:right w:val="single" w:sz="4" w:space="0" w:color="auto"/>
            </w:tcBorders>
            <w:shd w:val="clear" w:color="auto" w:fill="auto"/>
            <w:noWrap/>
            <w:vAlign w:val="center"/>
          </w:tcPr>
          <w:p w:rsidR="00820109" w:rsidRPr="00820109" w:rsidP="00820109" w14:paraId="5782D511"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sz="4" w:space="0" w:color="auto"/>
              <w:right w:val="single" w:sz="4" w:space="0" w:color="auto"/>
            </w:tcBorders>
            <w:shd w:val="clear" w:color="auto" w:fill="auto"/>
            <w:noWrap/>
            <w:vAlign w:val="center"/>
          </w:tcPr>
          <w:p w:rsidR="00820109" w:rsidRPr="00820109" w:rsidP="00EE7AE6" w14:paraId="5134DD91" w14:textId="4844C05E">
            <w:pPr>
              <w:widowControl/>
              <w:jc w:val="center"/>
              <w:rPr>
                <w:rFonts w:ascii="Times New Roman" w:hAnsi="Times New Roman"/>
                <w:snapToGrid/>
                <w:color w:val="000000"/>
                <w:sz w:val="22"/>
                <w:szCs w:val="22"/>
              </w:rPr>
            </w:pPr>
            <w:r>
              <w:rPr>
                <w:rFonts w:ascii="Times New Roman" w:hAnsi="Times New Roman"/>
                <w:snapToGrid/>
                <w:color w:val="000000"/>
                <w:sz w:val="22"/>
                <w:szCs w:val="22"/>
              </w:rPr>
              <w:t>3</w:t>
            </w:r>
          </w:p>
        </w:tc>
        <w:tc>
          <w:tcPr>
            <w:tcW w:w="1441"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7424EF32"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47F9441B"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8</w:t>
            </w:r>
          </w:p>
        </w:tc>
        <w:tc>
          <w:tcPr>
            <w:tcW w:w="1225" w:type="dxa"/>
            <w:tcBorders>
              <w:top w:val="nil"/>
              <w:left w:val="nil"/>
              <w:bottom w:val="single" w:sz="4" w:space="0" w:color="auto"/>
              <w:right w:val="single" w:sz="4" w:space="0" w:color="auto"/>
            </w:tcBorders>
            <w:shd w:val="clear" w:color="auto" w:fill="auto"/>
            <w:noWrap/>
            <w:vAlign w:val="center"/>
          </w:tcPr>
          <w:p w:rsidR="00820109" w:rsidRPr="00820109" w:rsidP="00EE7AE6" w14:paraId="40B68BDC" w14:textId="225709D4">
            <w:pPr>
              <w:widowControl/>
              <w:jc w:val="center"/>
              <w:rPr>
                <w:rFonts w:ascii="Times New Roman" w:hAnsi="Times New Roman"/>
                <w:snapToGrid/>
                <w:color w:val="000000"/>
                <w:sz w:val="22"/>
                <w:szCs w:val="22"/>
              </w:rPr>
            </w:pPr>
            <w:r>
              <w:rPr>
                <w:rFonts w:ascii="Times New Roman" w:hAnsi="Times New Roman"/>
                <w:snapToGrid/>
                <w:color w:val="000000"/>
                <w:sz w:val="22"/>
                <w:szCs w:val="22"/>
              </w:rPr>
              <w:t>24</w:t>
            </w:r>
          </w:p>
        </w:tc>
      </w:tr>
      <w:tr w14:paraId="730BC8A9" w14:textId="77777777" w:rsidTr="00B91D2F">
        <w:tblPrEx>
          <w:tblW w:w="10973" w:type="dxa"/>
          <w:jc w:val="center"/>
          <w:tblLook w:val="04A0"/>
        </w:tblPrEx>
        <w:trPr>
          <w:trHeight w:val="505"/>
          <w:jc w:val="center"/>
        </w:trPr>
        <w:tc>
          <w:tcPr>
            <w:tcW w:w="2605" w:type="dxa"/>
            <w:tcBorders>
              <w:top w:val="nil"/>
              <w:left w:val="single" w:sz="4" w:space="0" w:color="auto"/>
              <w:bottom w:val="single" w:sz="4" w:space="0" w:color="auto"/>
              <w:right w:val="single" w:sz="4" w:space="0" w:color="auto"/>
            </w:tcBorders>
            <w:shd w:val="clear" w:color="auto" w:fill="auto"/>
            <w:vAlign w:val="center"/>
          </w:tcPr>
          <w:p w:rsidR="00B91D2F" w:rsidP="00820109" w14:paraId="12E0A255" w14:textId="77777777">
            <w:pPr>
              <w:widowControl/>
              <w:rPr>
                <w:rFonts w:ascii="Times New Roman" w:hAnsi="Times New Roman"/>
                <w:snapToGrid/>
                <w:color w:val="000000"/>
                <w:sz w:val="22"/>
                <w:szCs w:val="22"/>
              </w:rPr>
            </w:pPr>
            <w:r>
              <w:rPr>
                <w:rFonts w:ascii="Times New Roman" w:hAnsi="Times New Roman"/>
                <w:snapToGrid/>
                <w:color w:val="000000"/>
                <w:sz w:val="22"/>
                <w:szCs w:val="22"/>
              </w:rPr>
              <w:t xml:space="preserve">Not-eligible </w:t>
            </w:r>
            <w:r w:rsidRPr="00B91D2F">
              <w:rPr>
                <w:rFonts w:ascii="Times New Roman" w:hAnsi="Times New Roman"/>
                <w:snapToGrid/>
                <w:color w:val="000000"/>
                <w:sz w:val="22"/>
                <w:szCs w:val="22"/>
              </w:rPr>
              <w:t>depository institutions</w:t>
            </w:r>
          </w:p>
        </w:tc>
        <w:tc>
          <w:tcPr>
            <w:tcW w:w="1699" w:type="dxa"/>
            <w:tcBorders>
              <w:top w:val="nil"/>
              <w:left w:val="nil"/>
              <w:bottom w:val="single" w:sz="4" w:space="0" w:color="auto"/>
              <w:right w:val="single" w:sz="4" w:space="0" w:color="auto"/>
            </w:tcBorders>
            <w:shd w:val="clear" w:color="auto" w:fill="auto"/>
            <w:noWrap/>
            <w:vAlign w:val="center"/>
          </w:tcPr>
          <w:p w:rsidR="00B91D2F" w:rsidP="00820109" w14:paraId="4EC04688"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Reporting</w:t>
            </w:r>
          </w:p>
          <w:p w:rsidR="005823C9" w:rsidRPr="00820109" w:rsidP="00820109" w14:paraId="415EBD54"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(Mandatory)</w:t>
            </w:r>
          </w:p>
        </w:tc>
        <w:tc>
          <w:tcPr>
            <w:tcW w:w="1278" w:type="dxa"/>
            <w:tcBorders>
              <w:top w:val="nil"/>
              <w:left w:val="nil"/>
              <w:bottom w:val="single" w:sz="4" w:space="0" w:color="auto"/>
              <w:right w:val="single" w:sz="4" w:space="0" w:color="auto"/>
            </w:tcBorders>
            <w:shd w:val="clear" w:color="auto" w:fill="auto"/>
            <w:noWrap/>
            <w:vAlign w:val="center"/>
          </w:tcPr>
          <w:p w:rsidR="00B91D2F" w:rsidRPr="00820109" w:rsidP="00820109" w14:paraId="6A9204E6"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sz="4" w:space="0" w:color="auto"/>
              <w:right w:val="single" w:sz="4" w:space="0" w:color="auto"/>
            </w:tcBorders>
            <w:shd w:val="clear" w:color="auto" w:fill="auto"/>
            <w:noWrap/>
            <w:vAlign w:val="center"/>
          </w:tcPr>
          <w:p w:rsidR="00B91D2F" w:rsidRPr="00820109" w:rsidP="00EE7AE6" w14:paraId="7ED2CD08"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441" w:type="dxa"/>
            <w:tcBorders>
              <w:top w:val="nil"/>
              <w:left w:val="nil"/>
              <w:bottom w:val="single" w:sz="4" w:space="0" w:color="auto"/>
              <w:right w:val="single" w:sz="4" w:space="0" w:color="auto"/>
            </w:tcBorders>
            <w:shd w:val="clear" w:color="auto" w:fill="auto"/>
            <w:noWrap/>
            <w:vAlign w:val="center"/>
          </w:tcPr>
          <w:p w:rsidR="00B91D2F" w:rsidRPr="00820109" w:rsidP="00EE7AE6" w14:paraId="7810B82B"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sz="4" w:space="0" w:color="auto"/>
              <w:right w:val="single" w:sz="4" w:space="0" w:color="auto"/>
            </w:tcBorders>
            <w:shd w:val="clear" w:color="auto" w:fill="auto"/>
            <w:noWrap/>
            <w:vAlign w:val="center"/>
          </w:tcPr>
          <w:p w:rsidR="00B91D2F" w:rsidRPr="00820109" w:rsidP="00EE7AE6" w14:paraId="34764B06"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24</w:t>
            </w:r>
          </w:p>
        </w:tc>
        <w:tc>
          <w:tcPr>
            <w:tcW w:w="1225" w:type="dxa"/>
            <w:tcBorders>
              <w:top w:val="nil"/>
              <w:left w:val="nil"/>
              <w:bottom w:val="single" w:sz="4" w:space="0" w:color="auto"/>
              <w:right w:val="single" w:sz="4" w:space="0" w:color="auto"/>
            </w:tcBorders>
            <w:shd w:val="clear" w:color="auto" w:fill="auto"/>
            <w:noWrap/>
            <w:vAlign w:val="center"/>
          </w:tcPr>
          <w:p w:rsidR="00B91D2F" w:rsidRPr="00820109" w:rsidP="00EE7AE6" w14:paraId="3928F355"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24</w:t>
            </w:r>
          </w:p>
        </w:tc>
      </w:tr>
      <w:tr w14:paraId="65D43F24" w14:textId="77777777" w:rsidTr="00B91D2F">
        <w:tblPrEx>
          <w:tblW w:w="10973" w:type="dxa"/>
          <w:jc w:val="center"/>
          <w:tblLook w:val="04A0"/>
        </w:tblPrEx>
        <w:trPr>
          <w:trHeight w:val="216"/>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EE7AE6" w14:paraId="261DF1DC" w14:textId="66237FAD">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Total Annual Burden Hours:     </w:t>
            </w:r>
            <w:r w:rsidR="00EE7AE6">
              <w:rPr>
                <w:rFonts w:ascii="Times New Roman" w:hAnsi="Times New Roman"/>
                <w:snapToGrid/>
                <w:color w:val="000000"/>
                <w:sz w:val="22"/>
                <w:szCs w:val="22"/>
              </w:rPr>
              <w:t xml:space="preserve">                                                                                                                   </w:t>
            </w:r>
            <w:r w:rsidR="006E21CB">
              <w:rPr>
                <w:rFonts w:ascii="Times New Roman" w:hAnsi="Times New Roman"/>
                <w:snapToGrid/>
                <w:color w:val="000000"/>
                <w:sz w:val="22"/>
                <w:szCs w:val="22"/>
              </w:rPr>
              <w:t xml:space="preserve">48 </w:t>
            </w:r>
            <w:r w:rsidRPr="00820109" w:rsidR="00EE7AE6">
              <w:rPr>
                <w:rFonts w:ascii="Times New Roman" w:hAnsi="Times New Roman"/>
                <w:snapToGrid/>
                <w:color w:val="000000"/>
                <w:sz w:val="22"/>
                <w:szCs w:val="22"/>
              </w:rPr>
              <w:t>hours</w:t>
            </w:r>
            <w:r w:rsidRPr="00820109">
              <w:rPr>
                <w:rFonts w:ascii="Times New Roman" w:hAnsi="Times New Roman"/>
                <w:snapToGrid/>
                <w:color w:val="000000"/>
                <w:sz w:val="22"/>
                <w:szCs w:val="22"/>
              </w:rPr>
              <w:t xml:space="preserve">                                                                                                                                                                                                  </w:t>
            </w:r>
            <w:r w:rsidR="00B91D2F">
              <w:rPr>
                <w:rFonts w:ascii="Times New Roman" w:hAnsi="Times New Roman"/>
                <w:snapToGrid/>
                <w:color w:val="000000"/>
                <w:sz w:val="22"/>
                <w:szCs w:val="22"/>
              </w:rPr>
              <w:t xml:space="preserve">       </w:t>
            </w:r>
          </w:p>
        </w:tc>
      </w:tr>
      <w:tr w14:paraId="4DF35D1E" w14:textId="77777777" w:rsidTr="00B91D2F">
        <w:tblPrEx>
          <w:tblW w:w="10973" w:type="dxa"/>
          <w:jc w:val="center"/>
          <w:tblLook w:val="04A0"/>
        </w:tblPrEx>
        <w:trPr>
          <w:trHeight w:val="80"/>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820109" w14:paraId="1A872717"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Source: FDIC. </w:t>
            </w:r>
          </w:p>
        </w:tc>
      </w:tr>
    </w:tbl>
    <w:p w:rsidR="00573F81" w:rsidP="009234BE" w14:paraId="0C4837D8" w14:textId="77777777">
      <w:pPr>
        <w:tabs>
          <w:tab w:val="left" w:pos="-1440"/>
        </w:tabs>
        <w:spacing w:line="360" w:lineRule="auto"/>
        <w:ind w:left="1440"/>
        <w:contextualSpacing/>
        <w:rPr>
          <w:rFonts w:ascii="Times New Roman" w:hAnsi="Times New Roman"/>
        </w:rPr>
      </w:pPr>
    </w:p>
    <w:p w:rsidR="009234BE" w:rsidRPr="009234BE" w:rsidP="009234BE" w14:paraId="49931B2E" w14:textId="20AB19DD">
      <w:pPr>
        <w:tabs>
          <w:tab w:val="left" w:pos="-1440"/>
        </w:tabs>
        <w:spacing w:line="360" w:lineRule="auto"/>
        <w:ind w:left="1440"/>
        <w:contextualSpacing/>
        <w:rPr>
          <w:rFonts w:ascii="Times New Roman" w:hAnsi="Times New Roman"/>
        </w:rPr>
      </w:pPr>
      <w:r w:rsidRPr="009234BE">
        <w:rPr>
          <w:rFonts w:ascii="Times New Roman" w:hAnsi="Times New Roman"/>
        </w:rPr>
        <w:t xml:space="preserve">Total estimated annual burden: </w:t>
      </w:r>
      <w:r w:rsidR="006E21CB">
        <w:rPr>
          <w:rFonts w:ascii="Times New Roman" w:hAnsi="Times New Roman"/>
        </w:rPr>
        <w:t>48</w:t>
      </w:r>
      <w:r w:rsidR="00820109">
        <w:rPr>
          <w:rFonts w:ascii="Times New Roman" w:hAnsi="Times New Roman"/>
        </w:rPr>
        <w:t xml:space="preserve"> </w:t>
      </w:r>
      <w:r w:rsidRPr="009234BE" w:rsidR="00820109">
        <w:rPr>
          <w:rFonts w:ascii="Times New Roman" w:hAnsi="Times New Roman"/>
        </w:rPr>
        <w:t>hours</w:t>
      </w:r>
    </w:p>
    <w:p w:rsidR="009234BE" w:rsidRPr="009234BE" w:rsidP="009234BE" w14:paraId="2B869904" w14:textId="77777777">
      <w:pPr>
        <w:tabs>
          <w:tab w:val="left" w:pos="-1440"/>
        </w:tabs>
        <w:spacing w:line="360" w:lineRule="auto"/>
        <w:ind w:left="1440"/>
        <w:contextualSpacing/>
        <w:rPr>
          <w:rFonts w:ascii="Times New Roman" w:hAnsi="Times New Roman"/>
        </w:rPr>
      </w:pPr>
      <w:r w:rsidRPr="009234BE">
        <w:rPr>
          <w:rFonts w:ascii="Times New Roman" w:hAnsi="Times New Roman"/>
        </w:rPr>
        <w:t>The total estimated annual cost is:</w:t>
      </w:r>
    </w:p>
    <w:p w:rsidR="009234BE" w:rsidP="009234BE" w14:paraId="65A8F81B" w14:textId="70A6BFF3">
      <w:pPr>
        <w:widowControl/>
        <w:ind w:left="720" w:firstLine="720"/>
        <w:rPr>
          <w:rFonts w:ascii="Times New Roman" w:hAnsi="Times New Roman"/>
        </w:rPr>
      </w:pPr>
      <w:r>
        <w:rPr>
          <w:rFonts w:ascii="Times New Roman" w:hAnsi="Times New Roman"/>
        </w:rPr>
        <w:t>48</w:t>
      </w:r>
      <w:r w:rsidR="00820109">
        <w:rPr>
          <w:rFonts w:ascii="Times New Roman" w:hAnsi="Times New Roman"/>
        </w:rPr>
        <w:t xml:space="preserve"> </w:t>
      </w:r>
      <w:r w:rsidRPr="009234BE" w:rsidR="00820109">
        <w:rPr>
          <w:rFonts w:ascii="Times New Roman" w:hAnsi="Times New Roman"/>
        </w:rPr>
        <w:t>hours</w:t>
      </w:r>
      <w:r w:rsidRPr="009234BE">
        <w:rPr>
          <w:rFonts w:ascii="Times New Roman" w:hAnsi="Times New Roman"/>
        </w:rPr>
        <w:t xml:space="preserve"> x $</w:t>
      </w:r>
      <w:r w:rsidR="007C18CB">
        <w:rPr>
          <w:rFonts w:ascii="Times New Roman" w:hAnsi="Times New Roman"/>
        </w:rPr>
        <w:t>1</w:t>
      </w:r>
      <w:r>
        <w:rPr>
          <w:rFonts w:ascii="Times New Roman" w:hAnsi="Times New Roman"/>
        </w:rPr>
        <w:t>24.64</w:t>
      </w:r>
      <w:r w:rsidRPr="009234BE">
        <w:rPr>
          <w:rFonts w:ascii="Times New Roman" w:hAnsi="Times New Roman"/>
        </w:rPr>
        <w:t>= $</w:t>
      </w:r>
      <w:r>
        <w:rPr>
          <w:rFonts w:ascii="Times New Roman" w:hAnsi="Times New Roman"/>
        </w:rPr>
        <w:t>5,983</w:t>
      </w:r>
    </w:p>
    <w:p w:rsidR="002761FD" w14:paraId="1E4312DB" w14:textId="77777777">
      <w:pPr>
        <w:widowControl/>
        <w:ind w:left="1152" w:firstLine="288"/>
        <w:rPr>
          <w:rFonts w:ascii="Times New Roman" w:hAnsi="Times New Roman"/>
        </w:rPr>
      </w:pPr>
    </w:p>
    <w:tbl>
      <w:tblPr>
        <w:tblW w:w="9440" w:type="dxa"/>
        <w:tblCellMar>
          <w:top w:w="15" w:type="dxa"/>
          <w:bottom w:w="15" w:type="dxa"/>
        </w:tblCellMar>
        <w:tblLook w:val="04A0"/>
      </w:tblPr>
      <w:tblGrid>
        <w:gridCol w:w="1687"/>
        <w:gridCol w:w="799"/>
        <w:gridCol w:w="984"/>
        <w:gridCol w:w="884"/>
        <w:gridCol w:w="884"/>
        <w:gridCol w:w="884"/>
        <w:gridCol w:w="898"/>
        <w:gridCol w:w="976"/>
        <w:gridCol w:w="1444"/>
      </w:tblGrid>
      <w:tr w14:paraId="48A19354" w14:textId="77777777" w:rsidTr="00044802">
        <w:tblPrEx>
          <w:tblW w:w="9440" w:type="dxa"/>
          <w:tblCellMar>
            <w:top w:w="15" w:type="dxa"/>
            <w:bottom w:w="15" w:type="dxa"/>
          </w:tblCellMar>
          <w:tblLook w:val="04A0"/>
        </w:tblPrEx>
        <w:trPr>
          <w:trHeight w:val="360"/>
        </w:trPr>
        <w:tc>
          <w:tcPr>
            <w:tcW w:w="9440" w:type="dxa"/>
            <w:gridSpan w:val="9"/>
            <w:tcBorders>
              <w:top w:val="single" w:sz="8" w:space="0" w:color="auto"/>
              <w:left w:val="single" w:sz="8" w:space="0" w:color="auto"/>
              <w:bottom w:val="single" w:sz="8" w:space="0" w:color="auto"/>
              <w:right w:val="single" w:sz="8" w:space="0" w:color="auto"/>
            </w:tcBorders>
            <w:noWrap/>
            <w:vAlign w:val="bottom"/>
            <w:hideMark/>
          </w:tcPr>
          <w:p w:rsidR="006E21CB" w:rsidRPr="006E21CB" w:rsidP="006E21CB" w14:paraId="4564D73A" w14:textId="77777777">
            <w:pPr>
              <w:autoSpaceDE w:val="0"/>
              <w:autoSpaceDN w:val="0"/>
              <w:jc w:val="center"/>
              <w:rPr>
                <w:rFonts w:ascii="Source Sans Pro" w:hAnsi="Source Sans Pro" w:cs="Calibri"/>
                <w:snapToGrid/>
                <w:color w:val="000000"/>
                <w:szCs w:val="24"/>
              </w:rPr>
            </w:pPr>
            <w:r w:rsidRPr="006E21CB">
              <w:rPr>
                <w:rFonts w:ascii="Source Sans Pro" w:hAnsi="Source Sans Pro" w:cs="Calibri"/>
                <w:snapToGrid/>
                <w:color w:val="000000"/>
                <w:szCs w:val="24"/>
              </w:rPr>
              <w:t>Table 2. Summary of Hourly Burden Cost Estimate (OMB No. 3064-0025)</w:t>
            </w:r>
          </w:p>
        </w:tc>
      </w:tr>
      <w:tr w14:paraId="096D42CF" w14:textId="77777777" w:rsidTr="00044802">
        <w:tblPrEx>
          <w:tblW w:w="9440" w:type="dxa"/>
          <w:tblCellMar>
            <w:top w:w="15" w:type="dxa"/>
            <w:bottom w:w="15" w:type="dxa"/>
          </w:tblCellMar>
          <w:tblLook w:val="04A0"/>
        </w:tblPrEx>
        <w:trPr>
          <w:trHeight w:val="600"/>
        </w:trPr>
        <w:tc>
          <w:tcPr>
            <w:tcW w:w="1790"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99DCD63" w14:textId="77777777">
            <w:pPr>
              <w:widowControl/>
              <w:rPr>
                <w:rFonts w:ascii="Source Sans Pro" w:hAnsi="Source Sans Pro" w:cs="Calibri"/>
                <w:snapToGrid/>
                <w:color w:val="000000"/>
                <w:sz w:val="20"/>
              </w:rPr>
            </w:pPr>
            <w:r w:rsidRPr="006E21CB">
              <w:rPr>
                <w:rFonts w:ascii="Source Sans Pro" w:hAnsi="Source Sans Pro" w:cs="Calibri"/>
                <w:snapToGrid/>
                <w:color w:val="000000"/>
                <w:sz w:val="20"/>
              </w:rPr>
              <w:t xml:space="preserve">Information Collection (IC) (Obligation to Respond) </w:t>
            </w:r>
          </w:p>
        </w:tc>
        <w:tc>
          <w:tcPr>
            <w:tcW w:w="696"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5DD40EF"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 xml:space="preserve">Hourly Weight </w:t>
            </w:r>
            <w:r w:rsidRPr="006E21CB">
              <w:rPr>
                <w:rFonts w:ascii="Source Sans Pro" w:hAnsi="Source Sans Pro" w:cs="Calibri"/>
                <w:snapToGrid/>
                <w:color w:val="000000"/>
                <w:sz w:val="20"/>
              </w:rPr>
              <w:br/>
              <w:t>(%)</w:t>
            </w:r>
          </w:p>
        </w:tc>
        <w:tc>
          <w:tcPr>
            <w:tcW w:w="551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0410CEF2"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 xml:space="preserve">Percentage Shares of Hours Spent by and </w:t>
            </w:r>
            <w:r w:rsidRPr="006E21CB">
              <w:rPr>
                <w:rFonts w:ascii="Source Sans Pro" w:hAnsi="Source Sans Pro" w:cs="Calibri"/>
                <w:snapToGrid/>
                <w:color w:val="000000"/>
                <w:sz w:val="20"/>
              </w:rPr>
              <w:br/>
              <w:t xml:space="preserve">Hourly Compensation Rates for each Occupation Group </w:t>
            </w:r>
            <w:r w:rsidRPr="006E21CB">
              <w:rPr>
                <w:rFonts w:ascii="Source Sans Pro" w:hAnsi="Source Sans Pro" w:cs="Calibri"/>
                <w:snapToGrid/>
                <w:color w:val="000000"/>
                <w:sz w:val="20"/>
              </w:rPr>
              <w:br/>
              <w:t>(by Collection)</w:t>
            </w:r>
          </w:p>
        </w:tc>
        <w:tc>
          <w:tcPr>
            <w:tcW w:w="1444"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13DFBD49"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Estimated Hourly Compensation Rate</w:t>
            </w:r>
          </w:p>
        </w:tc>
      </w:tr>
      <w:tr w14:paraId="7A15F5CD" w14:textId="77777777" w:rsidTr="00044802">
        <w:tblPrEx>
          <w:tblW w:w="9440" w:type="dxa"/>
          <w:tblCellMar>
            <w:top w:w="15" w:type="dxa"/>
            <w:bottom w:w="15" w:type="dxa"/>
          </w:tblCellMar>
          <w:tblLook w:val="04A0"/>
        </w:tblPrEx>
        <w:trPr>
          <w:trHeight w:val="251"/>
        </w:trPr>
        <w:tc>
          <w:tcPr>
            <w:tcW w:w="1790"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FA8B5E6" w14:textId="77777777">
            <w:pPr>
              <w:widowControl/>
              <w:rPr>
                <w:rFonts w:ascii="Source Sans Pro" w:hAnsi="Source Sans Pro" w:cs="Calibri"/>
                <w:snapToGrid/>
                <w:color w:val="000000"/>
                <w:sz w:val="20"/>
              </w:rPr>
            </w:pPr>
          </w:p>
        </w:tc>
        <w:tc>
          <w:tcPr>
            <w:tcW w:w="696"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465702F5" w14:textId="77777777">
            <w:pPr>
              <w:widowControl/>
              <w:rPr>
                <w:rFonts w:ascii="Source Sans Pro" w:hAnsi="Source Sans Pro" w:cs="Calibri"/>
                <w:snapToGrid/>
                <w:color w:val="000000"/>
                <w:sz w:val="20"/>
              </w:rPr>
            </w:pPr>
          </w:p>
        </w:tc>
        <w:tc>
          <w:tcPr>
            <w:tcW w:w="5510" w:type="dxa"/>
            <w:gridSpan w:val="6"/>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13195902" w14:textId="77777777">
            <w:pPr>
              <w:widowControl/>
              <w:rPr>
                <w:rFonts w:ascii="Source Sans Pro" w:hAnsi="Source Sans Pro" w:cs="Calibri"/>
                <w:snapToGrid/>
                <w:color w:val="000000"/>
                <w:sz w:val="20"/>
              </w:rPr>
            </w:pPr>
          </w:p>
        </w:tc>
        <w:tc>
          <w:tcPr>
            <w:tcW w:w="144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4E7859B3" w14:textId="77777777">
            <w:pPr>
              <w:widowControl/>
              <w:rPr>
                <w:rFonts w:ascii="Source Sans Pro" w:hAnsi="Source Sans Pro" w:cs="Calibri"/>
                <w:snapToGrid/>
                <w:color w:val="000000"/>
                <w:sz w:val="20"/>
              </w:rPr>
            </w:pPr>
          </w:p>
        </w:tc>
      </w:tr>
      <w:tr w14:paraId="1251B4DA" w14:textId="77777777" w:rsidTr="00044802">
        <w:tblPrEx>
          <w:tblW w:w="9440" w:type="dxa"/>
          <w:tblCellMar>
            <w:top w:w="15" w:type="dxa"/>
            <w:bottom w:w="15" w:type="dxa"/>
          </w:tblCellMar>
          <w:tblLook w:val="04A0"/>
        </w:tblPrEx>
        <w:trPr>
          <w:trHeight w:val="360"/>
        </w:trPr>
        <w:tc>
          <w:tcPr>
            <w:tcW w:w="1790"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783A825" w14:textId="77777777">
            <w:pPr>
              <w:widowControl/>
              <w:rPr>
                <w:rFonts w:ascii="Source Sans Pro" w:hAnsi="Source Sans Pro" w:cs="Calibri"/>
                <w:snapToGrid/>
                <w:color w:val="000000"/>
                <w:sz w:val="20"/>
              </w:rPr>
            </w:pPr>
          </w:p>
        </w:tc>
        <w:tc>
          <w:tcPr>
            <w:tcW w:w="696"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0D651DB" w14:textId="77777777">
            <w:pPr>
              <w:widowControl/>
              <w:rPr>
                <w:rFonts w:ascii="Source Sans Pro" w:hAnsi="Source Sans Pro" w:cs="Calibri"/>
                <w:snapToGrid/>
                <w:color w:val="000000"/>
                <w:sz w:val="20"/>
              </w:rPr>
            </w:pPr>
          </w:p>
        </w:tc>
        <w:tc>
          <w:tcPr>
            <w:tcW w:w="984"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490F2429"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Exec. &amp; Mgr.      ($145.59)</w:t>
            </w:r>
          </w:p>
        </w:tc>
        <w:tc>
          <w:tcPr>
            <w:tcW w:w="884"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64EB1E6C"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Lawyer</w:t>
            </w:r>
            <w:r w:rsidRPr="006E21CB">
              <w:rPr>
                <w:rFonts w:ascii="Source Sans Pro" w:hAnsi="Source Sans Pro" w:cs="Calibri"/>
                <w:snapToGrid/>
                <w:color w:val="000000"/>
                <w:sz w:val="20"/>
              </w:rPr>
              <w:t xml:space="preserve">   (</w:t>
            </w:r>
            <w:r w:rsidRPr="006E21CB">
              <w:rPr>
                <w:rFonts w:ascii="Source Sans Pro" w:hAnsi="Source Sans Pro" w:cs="Calibri"/>
                <w:snapToGrid/>
                <w:color w:val="000000"/>
                <w:sz w:val="20"/>
              </w:rPr>
              <w:t>$181.4)</w:t>
            </w:r>
          </w:p>
        </w:tc>
        <w:tc>
          <w:tcPr>
            <w:tcW w:w="884"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2AFAF3CC"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Compl</w:t>
            </w:r>
            <w:r w:rsidRPr="006E21CB">
              <w:rPr>
                <w:rFonts w:ascii="Source Sans Pro" w:hAnsi="Source Sans Pro" w:cs="Calibri"/>
                <w:snapToGrid/>
                <w:color w:val="000000"/>
                <w:sz w:val="20"/>
              </w:rPr>
              <w:t>. Ofc.   ($76.79)</w:t>
            </w:r>
          </w:p>
        </w:tc>
        <w:tc>
          <w:tcPr>
            <w:tcW w:w="884"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867956C"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 xml:space="preserve">IT </w:t>
            </w:r>
            <w:r w:rsidRPr="006E21CB">
              <w:rPr>
                <w:rFonts w:ascii="Source Sans Pro" w:hAnsi="Source Sans Pro" w:cs="Calibri"/>
                <w:snapToGrid/>
                <w:color w:val="000000"/>
                <w:sz w:val="20"/>
              </w:rPr>
              <w:t xml:space="preserve">   (</w:t>
            </w:r>
            <w:r w:rsidRPr="006E21CB">
              <w:rPr>
                <w:rFonts w:ascii="Source Sans Pro" w:hAnsi="Source Sans Pro" w:cs="Calibri"/>
                <w:snapToGrid/>
                <w:color w:val="000000"/>
                <w:sz w:val="20"/>
              </w:rPr>
              <w:t>$110.5)</w:t>
            </w:r>
          </w:p>
        </w:tc>
        <w:tc>
          <w:tcPr>
            <w:tcW w:w="898"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8DC58E8"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 xml:space="preserve">Fin. </w:t>
            </w:r>
            <w:r w:rsidRPr="006E21CB">
              <w:rPr>
                <w:rFonts w:ascii="Source Sans Pro" w:hAnsi="Source Sans Pro" w:cs="Calibri"/>
                <w:snapToGrid/>
                <w:color w:val="000000"/>
                <w:sz w:val="20"/>
              </w:rPr>
              <w:t>Anlst</w:t>
            </w:r>
            <w:r w:rsidRPr="006E21CB">
              <w:rPr>
                <w:rFonts w:ascii="Source Sans Pro" w:hAnsi="Source Sans Pro" w:cs="Calibri"/>
                <w:snapToGrid/>
                <w:color w:val="000000"/>
                <w:sz w:val="20"/>
              </w:rPr>
              <w:t>.    ($99.92)</w:t>
            </w:r>
          </w:p>
        </w:tc>
        <w:tc>
          <w:tcPr>
            <w:tcW w:w="976" w:type="dxa"/>
            <w:vMerge w:val="restart"/>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84B7BBE"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 xml:space="preserve">Clerical </w:t>
            </w:r>
            <w:r w:rsidRPr="006E21CB">
              <w:rPr>
                <w:rFonts w:ascii="Source Sans Pro" w:hAnsi="Source Sans Pro" w:cs="Calibri"/>
                <w:snapToGrid/>
                <w:color w:val="000000"/>
                <w:sz w:val="20"/>
              </w:rPr>
              <w:t xml:space="preserve">   (</w:t>
            </w:r>
            <w:r w:rsidRPr="006E21CB">
              <w:rPr>
                <w:rFonts w:ascii="Source Sans Pro" w:hAnsi="Source Sans Pro" w:cs="Calibri"/>
                <w:snapToGrid/>
                <w:color w:val="000000"/>
                <w:sz w:val="20"/>
              </w:rPr>
              <w:t>$39.25)</w:t>
            </w:r>
          </w:p>
        </w:tc>
        <w:tc>
          <w:tcPr>
            <w:tcW w:w="144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02D72276" w14:textId="77777777">
            <w:pPr>
              <w:widowControl/>
              <w:rPr>
                <w:rFonts w:ascii="Source Sans Pro" w:hAnsi="Source Sans Pro" w:cs="Calibri"/>
                <w:snapToGrid/>
                <w:color w:val="000000"/>
                <w:sz w:val="20"/>
              </w:rPr>
            </w:pPr>
          </w:p>
        </w:tc>
      </w:tr>
      <w:tr w14:paraId="1989E241" w14:textId="77777777" w:rsidTr="00044802">
        <w:tblPrEx>
          <w:tblW w:w="9440" w:type="dxa"/>
          <w:tblCellMar>
            <w:top w:w="15" w:type="dxa"/>
            <w:bottom w:w="15" w:type="dxa"/>
          </w:tblCellMar>
          <w:tblLook w:val="04A0"/>
        </w:tblPrEx>
        <w:trPr>
          <w:trHeight w:val="251"/>
        </w:trPr>
        <w:tc>
          <w:tcPr>
            <w:tcW w:w="1790"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6393DA93" w14:textId="77777777">
            <w:pPr>
              <w:widowControl/>
              <w:rPr>
                <w:rFonts w:ascii="Source Sans Pro" w:hAnsi="Source Sans Pro" w:cs="Calibri"/>
                <w:snapToGrid/>
                <w:color w:val="000000"/>
                <w:sz w:val="20"/>
              </w:rPr>
            </w:pPr>
          </w:p>
        </w:tc>
        <w:tc>
          <w:tcPr>
            <w:tcW w:w="696"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A351FE8" w14:textId="77777777">
            <w:pPr>
              <w:widowControl/>
              <w:rPr>
                <w:rFonts w:ascii="Source Sans Pro" w:hAnsi="Source Sans Pro" w:cs="Calibri"/>
                <w:snapToGrid/>
                <w:color w:val="000000"/>
                <w:sz w:val="20"/>
              </w:rPr>
            </w:pPr>
          </w:p>
        </w:tc>
        <w:tc>
          <w:tcPr>
            <w:tcW w:w="98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2315CD57" w14:textId="77777777">
            <w:pPr>
              <w:widowControl/>
              <w:rPr>
                <w:rFonts w:ascii="Source Sans Pro" w:hAnsi="Source Sans Pro" w:cs="Calibri"/>
                <w:snapToGrid/>
                <w:color w:val="000000"/>
                <w:sz w:val="20"/>
              </w:rPr>
            </w:pPr>
          </w:p>
        </w:tc>
        <w:tc>
          <w:tcPr>
            <w:tcW w:w="88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16735614" w14:textId="77777777">
            <w:pPr>
              <w:widowControl/>
              <w:rPr>
                <w:rFonts w:ascii="Source Sans Pro" w:hAnsi="Source Sans Pro" w:cs="Calibri"/>
                <w:snapToGrid/>
                <w:color w:val="000000"/>
                <w:sz w:val="20"/>
              </w:rPr>
            </w:pPr>
          </w:p>
        </w:tc>
        <w:tc>
          <w:tcPr>
            <w:tcW w:w="88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61B9FE14" w14:textId="77777777">
            <w:pPr>
              <w:widowControl/>
              <w:rPr>
                <w:rFonts w:ascii="Source Sans Pro" w:hAnsi="Source Sans Pro" w:cs="Calibri"/>
                <w:snapToGrid/>
                <w:color w:val="000000"/>
                <w:sz w:val="20"/>
              </w:rPr>
            </w:pPr>
          </w:p>
        </w:tc>
        <w:tc>
          <w:tcPr>
            <w:tcW w:w="88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75523AD" w14:textId="77777777">
            <w:pPr>
              <w:widowControl/>
              <w:rPr>
                <w:rFonts w:ascii="Source Sans Pro" w:hAnsi="Source Sans Pro" w:cs="Calibri"/>
                <w:snapToGrid/>
                <w:color w:val="000000"/>
                <w:sz w:val="20"/>
              </w:rPr>
            </w:pPr>
          </w:p>
        </w:tc>
        <w:tc>
          <w:tcPr>
            <w:tcW w:w="898"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8467897" w14:textId="77777777">
            <w:pPr>
              <w:widowControl/>
              <w:rPr>
                <w:rFonts w:ascii="Source Sans Pro" w:hAnsi="Source Sans Pro" w:cs="Calibri"/>
                <w:snapToGrid/>
                <w:color w:val="000000"/>
                <w:sz w:val="20"/>
              </w:rPr>
            </w:pPr>
          </w:p>
        </w:tc>
        <w:tc>
          <w:tcPr>
            <w:tcW w:w="976"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228D2368" w14:textId="77777777">
            <w:pPr>
              <w:widowControl/>
              <w:rPr>
                <w:rFonts w:ascii="Source Sans Pro" w:hAnsi="Source Sans Pro" w:cs="Calibri"/>
                <w:snapToGrid/>
                <w:color w:val="000000"/>
                <w:sz w:val="20"/>
              </w:rPr>
            </w:pPr>
          </w:p>
        </w:tc>
        <w:tc>
          <w:tcPr>
            <w:tcW w:w="1444" w:type="dxa"/>
            <w:vMerge/>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1B940B80" w14:textId="77777777">
            <w:pPr>
              <w:widowControl/>
              <w:rPr>
                <w:rFonts w:ascii="Source Sans Pro" w:hAnsi="Source Sans Pro" w:cs="Calibri"/>
                <w:snapToGrid/>
                <w:color w:val="000000"/>
                <w:sz w:val="20"/>
              </w:rPr>
            </w:pPr>
          </w:p>
        </w:tc>
      </w:tr>
      <w:tr w14:paraId="13CA70F3" w14:textId="77777777" w:rsidTr="00044802">
        <w:tblPrEx>
          <w:tblW w:w="9440" w:type="dxa"/>
          <w:tblCellMar>
            <w:top w:w="15" w:type="dxa"/>
            <w:bottom w:w="15" w:type="dxa"/>
          </w:tblCellMar>
          <w:tblLook w:val="04A0"/>
        </w:tblPrEx>
        <w:trPr>
          <w:trHeight w:val="1513"/>
        </w:trPr>
        <w:tc>
          <w:tcPr>
            <w:tcW w:w="1790"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9B9864B" w14:textId="77777777">
            <w:pPr>
              <w:widowControl/>
              <w:rPr>
                <w:rFonts w:ascii="Source Sans Pro" w:hAnsi="Source Sans Pro" w:cs="Calibri"/>
                <w:snapToGrid/>
                <w:color w:val="000000"/>
                <w:sz w:val="20"/>
              </w:rPr>
            </w:pPr>
            <w:r w:rsidRPr="006E21CB">
              <w:rPr>
                <w:rFonts w:ascii="Source Sans Pro" w:hAnsi="Source Sans Pro" w:cs="Calibri"/>
                <w:snapToGrid/>
                <w:color w:val="000000"/>
                <w:sz w:val="20"/>
              </w:rPr>
              <w:t>1. Application for Consent to Exercise Trust Powers - Eligible Depository Institutions 12 CFR 303.242</w:t>
            </w:r>
            <w:r w:rsidRPr="006E21CB">
              <w:rPr>
                <w:rFonts w:ascii="Source Sans Pro" w:hAnsi="Source Sans Pro" w:cs="Calibri"/>
                <w:snapToGrid/>
                <w:color w:val="000000"/>
                <w:sz w:val="20"/>
              </w:rPr>
              <w:t xml:space="preserve">   (</w:t>
            </w:r>
            <w:r w:rsidRPr="006E21CB">
              <w:rPr>
                <w:rFonts w:ascii="Source Sans Pro" w:hAnsi="Source Sans Pro" w:cs="Calibri"/>
                <w:snapToGrid/>
                <w:color w:val="000000"/>
                <w:sz w:val="20"/>
              </w:rPr>
              <w:t>Mandatory)</w:t>
            </w:r>
          </w:p>
        </w:tc>
        <w:tc>
          <w:tcPr>
            <w:tcW w:w="696"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D61CB4E"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50.00</w:t>
            </w:r>
          </w:p>
        </w:tc>
        <w:tc>
          <w:tcPr>
            <w:tcW w:w="9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6BC143ED"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75</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057DE12"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5EF45DB"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15</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757E35B"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898"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01BA238E"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976"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CF2BE0C"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10</w:t>
            </w:r>
          </w:p>
        </w:tc>
        <w:tc>
          <w:tcPr>
            <w:tcW w:w="144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6771CCCB" w14:textId="77777777">
            <w:pPr>
              <w:widowControl/>
              <w:ind w:firstLine="200" w:firstLineChars="100"/>
              <w:jc w:val="right"/>
              <w:rPr>
                <w:rFonts w:ascii="Source Sans Pro" w:hAnsi="Source Sans Pro" w:cs="Calibri"/>
                <w:snapToGrid/>
                <w:color w:val="000000"/>
                <w:sz w:val="20"/>
              </w:rPr>
            </w:pPr>
            <w:r w:rsidRPr="006E21CB">
              <w:rPr>
                <w:rFonts w:ascii="Source Sans Pro" w:hAnsi="Source Sans Pro" w:cs="Calibri"/>
                <w:snapToGrid/>
                <w:color w:val="000000"/>
                <w:sz w:val="20"/>
              </w:rPr>
              <w:t xml:space="preserve">$124.64 </w:t>
            </w:r>
          </w:p>
        </w:tc>
      </w:tr>
      <w:tr w14:paraId="2474F99F" w14:textId="77777777" w:rsidTr="00044802">
        <w:tblPrEx>
          <w:tblW w:w="9440" w:type="dxa"/>
          <w:tblCellMar>
            <w:top w:w="15" w:type="dxa"/>
            <w:bottom w:w="15" w:type="dxa"/>
          </w:tblCellMar>
          <w:tblLook w:val="04A0"/>
        </w:tblPrEx>
        <w:trPr>
          <w:trHeight w:val="1576"/>
        </w:trPr>
        <w:tc>
          <w:tcPr>
            <w:tcW w:w="1790"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85BCEA7" w14:textId="77777777">
            <w:pPr>
              <w:widowControl/>
              <w:rPr>
                <w:rFonts w:ascii="Source Sans Pro" w:hAnsi="Source Sans Pro" w:cs="Calibri"/>
                <w:snapToGrid/>
                <w:color w:val="000000"/>
                <w:sz w:val="20"/>
              </w:rPr>
            </w:pPr>
            <w:r w:rsidRPr="006E21CB">
              <w:rPr>
                <w:rFonts w:ascii="Source Sans Pro" w:hAnsi="Source Sans Pro" w:cs="Calibri"/>
                <w:snapToGrid/>
                <w:color w:val="000000"/>
                <w:sz w:val="20"/>
              </w:rPr>
              <w:t>2. Application for Consent to Exercise Trust Powers - Not-Eligible Depository Institutions,</w:t>
            </w:r>
            <w:r w:rsidRPr="006E21CB">
              <w:rPr>
                <w:rFonts w:ascii="Source Sans Pro" w:hAnsi="Source Sans Pro" w:cs="Calibri"/>
                <w:snapToGrid/>
                <w:color w:val="000000"/>
                <w:sz w:val="20"/>
              </w:rPr>
              <w:br/>
              <w:t>12 CFR 303.242 (Mandatory)</w:t>
            </w:r>
          </w:p>
        </w:tc>
        <w:tc>
          <w:tcPr>
            <w:tcW w:w="696"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513B53B"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50.00</w:t>
            </w:r>
          </w:p>
        </w:tc>
        <w:tc>
          <w:tcPr>
            <w:tcW w:w="9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701C8D18"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75</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125DCACE"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33A08B1"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15</w:t>
            </w:r>
          </w:p>
        </w:tc>
        <w:tc>
          <w:tcPr>
            <w:tcW w:w="88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46C4F8F"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898"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5A34F1F2"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0</w:t>
            </w:r>
          </w:p>
        </w:tc>
        <w:tc>
          <w:tcPr>
            <w:tcW w:w="976"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3C32B851" w14:textId="77777777">
            <w:pPr>
              <w:widowControl/>
              <w:jc w:val="center"/>
              <w:rPr>
                <w:rFonts w:ascii="Source Sans Pro" w:hAnsi="Source Sans Pro" w:cs="Calibri"/>
                <w:snapToGrid/>
                <w:color w:val="000000"/>
                <w:sz w:val="20"/>
              </w:rPr>
            </w:pPr>
            <w:r w:rsidRPr="006E21CB">
              <w:rPr>
                <w:rFonts w:ascii="Source Sans Pro" w:hAnsi="Source Sans Pro" w:cs="Calibri"/>
                <w:snapToGrid/>
                <w:color w:val="000000"/>
                <w:sz w:val="20"/>
              </w:rPr>
              <w:t>10</w:t>
            </w:r>
          </w:p>
        </w:tc>
        <w:tc>
          <w:tcPr>
            <w:tcW w:w="1444" w:type="dxa"/>
            <w:tcBorders>
              <w:top w:val="single" w:sz="8" w:space="0" w:color="auto"/>
              <w:left w:val="single" w:sz="8" w:space="0" w:color="auto"/>
              <w:bottom w:val="single" w:sz="8" w:space="0" w:color="auto"/>
              <w:right w:val="single" w:sz="8" w:space="0" w:color="auto"/>
            </w:tcBorders>
            <w:vAlign w:val="center"/>
            <w:hideMark/>
          </w:tcPr>
          <w:p w:rsidR="006E21CB" w:rsidRPr="006E21CB" w:rsidP="006E21CB" w14:paraId="00D5C862" w14:textId="77777777">
            <w:pPr>
              <w:widowControl/>
              <w:ind w:firstLine="200" w:firstLineChars="100"/>
              <w:jc w:val="right"/>
              <w:rPr>
                <w:rFonts w:ascii="Source Sans Pro" w:hAnsi="Source Sans Pro" w:cs="Calibri"/>
                <w:snapToGrid/>
                <w:color w:val="000000"/>
                <w:sz w:val="20"/>
              </w:rPr>
            </w:pPr>
            <w:r w:rsidRPr="006E21CB">
              <w:rPr>
                <w:rFonts w:ascii="Source Sans Pro" w:hAnsi="Source Sans Pro" w:cs="Calibri"/>
                <w:snapToGrid/>
                <w:color w:val="000000"/>
                <w:sz w:val="20"/>
              </w:rPr>
              <w:t xml:space="preserve">$124.64 </w:t>
            </w:r>
          </w:p>
        </w:tc>
      </w:tr>
      <w:tr w14:paraId="0FDE4FDC" w14:textId="77777777" w:rsidTr="00044802">
        <w:tblPrEx>
          <w:tblW w:w="9440" w:type="dxa"/>
          <w:tblCellMar>
            <w:top w:w="15" w:type="dxa"/>
            <w:bottom w:w="15" w:type="dxa"/>
          </w:tblCellMar>
          <w:tblLook w:val="04A0"/>
        </w:tblPrEx>
        <w:trPr>
          <w:trHeight w:val="300"/>
        </w:trPr>
        <w:tc>
          <w:tcPr>
            <w:tcW w:w="7996" w:type="dxa"/>
            <w:gridSpan w:val="8"/>
            <w:tcBorders>
              <w:top w:val="single" w:sz="8" w:space="0" w:color="auto"/>
              <w:left w:val="single" w:sz="8" w:space="0" w:color="auto"/>
              <w:bottom w:val="single" w:sz="4" w:space="0" w:color="auto"/>
              <w:right w:val="single" w:sz="8" w:space="0" w:color="auto"/>
            </w:tcBorders>
            <w:vAlign w:val="center"/>
            <w:hideMark/>
          </w:tcPr>
          <w:p w:rsidR="006E21CB" w:rsidRPr="006E21CB" w:rsidP="006E21CB" w14:paraId="36990E13" w14:textId="77777777">
            <w:pPr>
              <w:widowControl/>
              <w:jc w:val="right"/>
              <w:rPr>
                <w:rFonts w:ascii="Source Sans Pro" w:hAnsi="Source Sans Pro" w:cs="Calibri"/>
                <w:b/>
                <w:bCs/>
                <w:i/>
                <w:iCs/>
                <w:snapToGrid/>
                <w:color w:val="000000"/>
                <w:sz w:val="22"/>
                <w:szCs w:val="22"/>
              </w:rPr>
            </w:pPr>
            <w:r w:rsidRPr="006E21CB">
              <w:rPr>
                <w:rFonts w:ascii="Source Sans Pro" w:hAnsi="Source Sans Pro" w:cs="Calibri"/>
                <w:b/>
                <w:bCs/>
                <w:i/>
                <w:iCs/>
                <w:snapToGrid/>
                <w:color w:val="000000"/>
                <w:sz w:val="22"/>
                <w:szCs w:val="22"/>
              </w:rPr>
              <w:t>Weighted Average Hourly Compensation Rate:</w:t>
            </w:r>
          </w:p>
        </w:tc>
        <w:tc>
          <w:tcPr>
            <w:tcW w:w="1444" w:type="dxa"/>
            <w:tcBorders>
              <w:top w:val="single" w:sz="8" w:space="0" w:color="auto"/>
              <w:left w:val="single" w:sz="8" w:space="0" w:color="auto"/>
              <w:bottom w:val="single" w:sz="4" w:space="0" w:color="auto"/>
              <w:right w:val="single" w:sz="8" w:space="0" w:color="auto"/>
            </w:tcBorders>
            <w:vAlign w:val="center"/>
            <w:hideMark/>
          </w:tcPr>
          <w:p w:rsidR="006E21CB" w:rsidRPr="006E21CB" w:rsidP="006E21CB" w14:paraId="28BDAE8E" w14:textId="77777777">
            <w:pPr>
              <w:widowControl/>
              <w:ind w:firstLine="220" w:firstLineChars="100"/>
              <w:jc w:val="right"/>
              <w:rPr>
                <w:rFonts w:ascii="Source Sans Pro" w:hAnsi="Source Sans Pro" w:cs="Calibri"/>
                <w:b/>
                <w:bCs/>
                <w:i/>
                <w:iCs/>
                <w:snapToGrid/>
                <w:color w:val="000000"/>
                <w:sz w:val="22"/>
                <w:szCs w:val="22"/>
              </w:rPr>
            </w:pPr>
            <w:r w:rsidRPr="006E21CB">
              <w:rPr>
                <w:rFonts w:ascii="Source Sans Pro" w:hAnsi="Source Sans Pro" w:cs="Calibri"/>
                <w:b/>
                <w:bCs/>
                <w:i/>
                <w:iCs/>
                <w:snapToGrid/>
                <w:color w:val="000000"/>
                <w:sz w:val="22"/>
                <w:szCs w:val="22"/>
              </w:rPr>
              <w:t xml:space="preserve">$124.64 </w:t>
            </w:r>
          </w:p>
        </w:tc>
      </w:tr>
      <w:tr w14:paraId="4B7DE380" w14:textId="77777777" w:rsidTr="00044802">
        <w:tblPrEx>
          <w:tblW w:w="9440" w:type="dxa"/>
          <w:tblCellMar>
            <w:top w:w="15" w:type="dxa"/>
            <w:bottom w:w="15" w:type="dxa"/>
          </w:tblCellMar>
          <w:tblLook w:val="04A0"/>
        </w:tblPrEx>
        <w:trPr>
          <w:trHeight w:val="251"/>
        </w:trPr>
        <w:tc>
          <w:tcPr>
            <w:tcW w:w="944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6E21CB" w:rsidRPr="006E21CB" w:rsidP="006E21CB" w14:paraId="5EAA6F54" w14:textId="77777777">
            <w:pPr>
              <w:widowControl/>
              <w:rPr>
                <w:rFonts w:ascii="Source Sans Pro" w:hAnsi="Source Sans Pro" w:cs="Calibri"/>
                <w:snapToGrid/>
                <w:color w:val="000000"/>
                <w:sz w:val="18"/>
                <w:szCs w:val="18"/>
              </w:rPr>
            </w:pPr>
            <w:r w:rsidRPr="006E21CB">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w:t>
            </w:r>
            <w:r w:rsidRPr="006E21CB">
              <w:rPr>
                <w:rFonts w:ascii="Source Sans Pro" w:hAnsi="Source Sans Pro" w:cs="Calibri"/>
                <w:snapToGrid/>
                <w:color w:val="000000"/>
                <w:sz w:val="18"/>
                <w:szCs w:val="18"/>
              </w:rPr>
              <w:t>Mgr</w:t>
            </w:r>
            <w:r w:rsidRPr="006E21CB">
              <w:rPr>
                <w:rFonts w:ascii="Source Sans Pro" w:hAnsi="Source Sans Pro" w:cs="Calibri"/>
                <w:snapToGrid/>
                <w:color w:val="000000"/>
                <w:sz w:val="18"/>
                <w:szCs w:val="18"/>
              </w:rPr>
              <w:t xml:space="preserve"> = 11-0000 Management Occupations; Lawyer = 23-0000 Legal Occupations; </w:t>
            </w:r>
            <w:r w:rsidRPr="006E21CB">
              <w:rPr>
                <w:rFonts w:ascii="Source Sans Pro" w:hAnsi="Source Sans Pro" w:cs="Calibri"/>
                <w:snapToGrid/>
                <w:color w:val="000000"/>
                <w:sz w:val="18"/>
                <w:szCs w:val="18"/>
              </w:rPr>
              <w:t>Compl</w:t>
            </w:r>
            <w:r w:rsidRPr="006E21CB">
              <w:rPr>
                <w:rFonts w:ascii="Source Sans Pro" w:hAnsi="Source Sans Pro" w:cs="Calibri"/>
                <w:snapToGrid/>
                <w:color w:val="000000"/>
                <w:sz w:val="18"/>
                <w:szCs w:val="18"/>
              </w:rPr>
              <w:t xml:space="preserve">. Ofc. = 13-1040 Compliance Officers; IT = 15-0000 Computer and Mathematical Occupations; Fin. </w:t>
            </w:r>
            <w:r w:rsidRPr="006E21CB">
              <w:rPr>
                <w:rFonts w:ascii="Source Sans Pro" w:hAnsi="Source Sans Pro" w:cs="Calibri"/>
                <w:snapToGrid/>
                <w:color w:val="000000"/>
                <w:sz w:val="18"/>
                <w:szCs w:val="18"/>
              </w:rPr>
              <w:t>Anlst</w:t>
            </w:r>
            <w:r w:rsidRPr="006E21CB">
              <w:rPr>
                <w:rFonts w:ascii="Source Sans Pro" w:hAnsi="Source Sans Pro" w:cs="Calibri"/>
                <w:snapToGrid/>
                <w:color w:val="000000"/>
                <w:sz w:val="18"/>
                <w:szCs w:val="18"/>
              </w:rPr>
              <w:t xml:space="preserve">. = 13-2051 Financial and Investment Analysts; Clerical = 43-0000 Office and Administrative Support Occupations. </w:t>
            </w:r>
          </w:p>
        </w:tc>
      </w:tr>
      <w:tr w14:paraId="48B1916B" w14:textId="77777777" w:rsidTr="00044802">
        <w:tblPrEx>
          <w:tblW w:w="9440" w:type="dxa"/>
          <w:tblCellMar>
            <w:top w:w="15" w:type="dxa"/>
            <w:bottom w:w="15" w:type="dxa"/>
          </w:tblCellMar>
          <w:tblLook w:val="04A0"/>
        </w:tblPrEx>
        <w:trPr>
          <w:trHeight w:val="285"/>
        </w:trPr>
        <w:tc>
          <w:tcPr>
            <w:tcW w:w="9440" w:type="dxa"/>
            <w:gridSpan w:val="9"/>
            <w:vMerge/>
            <w:tcBorders>
              <w:top w:val="single" w:sz="4" w:space="0" w:color="auto"/>
              <w:left w:val="single" w:sz="4" w:space="0" w:color="auto"/>
              <w:bottom w:val="single" w:sz="4" w:space="0" w:color="auto"/>
              <w:right w:val="single" w:sz="4" w:space="0" w:color="auto"/>
            </w:tcBorders>
            <w:vAlign w:val="center"/>
            <w:hideMark/>
          </w:tcPr>
          <w:p w:rsidR="006E21CB" w:rsidRPr="006E21CB" w:rsidP="006E21CB" w14:paraId="378D7440" w14:textId="77777777">
            <w:pPr>
              <w:widowControl/>
              <w:rPr>
                <w:rFonts w:ascii="Source Sans Pro" w:hAnsi="Source Sans Pro" w:cs="Calibri"/>
                <w:snapToGrid/>
                <w:color w:val="000000"/>
                <w:sz w:val="18"/>
                <w:szCs w:val="18"/>
              </w:rPr>
            </w:pPr>
          </w:p>
        </w:tc>
      </w:tr>
      <w:tr w14:paraId="1803524B" w14:textId="77777777" w:rsidTr="00044802">
        <w:tblPrEx>
          <w:tblW w:w="9440" w:type="dxa"/>
          <w:tblCellMar>
            <w:top w:w="15" w:type="dxa"/>
            <w:bottom w:w="15" w:type="dxa"/>
          </w:tblCellMar>
          <w:tblLook w:val="04A0"/>
        </w:tblPrEx>
        <w:trPr>
          <w:trHeight w:val="555"/>
        </w:trPr>
        <w:tc>
          <w:tcPr>
            <w:tcW w:w="9440" w:type="dxa"/>
            <w:gridSpan w:val="9"/>
            <w:vMerge/>
            <w:tcBorders>
              <w:top w:val="single" w:sz="4" w:space="0" w:color="auto"/>
              <w:left w:val="single" w:sz="4" w:space="0" w:color="auto"/>
              <w:bottom w:val="single" w:sz="4" w:space="0" w:color="auto"/>
              <w:right w:val="single" w:sz="4" w:space="0" w:color="auto"/>
            </w:tcBorders>
            <w:vAlign w:val="center"/>
            <w:hideMark/>
          </w:tcPr>
          <w:p w:rsidR="006E21CB" w:rsidRPr="006E21CB" w:rsidP="006E21CB" w14:paraId="5F248B5D" w14:textId="77777777">
            <w:pPr>
              <w:widowControl/>
              <w:rPr>
                <w:rFonts w:ascii="Source Sans Pro" w:hAnsi="Source Sans Pro" w:cs="Calibri"/>
                <w:snapToGrid/>
                <w:color w:val="000000"/>
                <w:sz w:val="18"/>
                <w:szCs w:val="18"/>
              </w:rPr>
            </w:pPr>
          </w:p>
        </w:tc>
      </w:tr>
      <w:tr w14:paraId="7DE20E64" w14:textId="77777777" w:rsidTr="00044802">
        <w:tblPrEx>
          <w:tblW w:w="9440" w:type="dxa"/>
          <w:tblCellMar>
            <w:top w:w="15" w:type="dxa"/>
            <w:bottom w:w="15" w:type="dxa"/>
          </w:tblCellMar>
          <w:tblLook w:val="04A0"/>
        </w:tblPrEx>
        <w:trPr>
          <w:trHeight w:val="251"/>
        </w:trPr>
        <w:tc>
          <w:tcPr>
            <w:tcW w:w="9440" w:type="dxa"/>
            <w:gridSpan w:val="9"/>
            <w:vMerge/>
            <w:tcBorders>
              <w:top w:val="single" w:sz="4" w:space="0" w:color="auto"/>
              <w:left w:val="single" w:sz="4" w:space="0" w:color="auto"/>
              <w:bottom w:val="single" w:sz="4" w:space="0" w:color="auto"/>
              <w:right w:val="single" w:sz="4" w:space="0" w:color="auto"/>
            </w:tcBorders>
            <w:vAlign w:val="center"/>
            <w:hideMark/>
          </w:tcPr>
          <w:p w:rsidR="006E21CB" w:rsidRPr="006E21CB" w:rsidP="006E21CB" w14:paraId="5278C31D" w14:textId="77777777">
            <w:pPr>
              <w:widowControl/>
              <w:rPr>
                <w:rFonts w:ascii="Source Sans Pro" w:hAnsi="Source Sans Pro" w:cs="Calibri"/>
                <w:snapToGrid/>
                <w:color w:val="000000"/>
                <w:sz w:val="18"/>
                <w:szCs w:val="18"/>
              </w:rPr>
            </w:pPr>
          </w:p>
        </w:tc>
      </w:tr>
      <w:tr w14:paraId="48477FFF" w14:textId="77777777" w:rsidTr="00044802">
        <w:tblPrEx>
          <w:tblW w:w="9440" w:type="dxa"/>
          <w:tblCellMar>
            <w:top w:w="15" w:type="dxa"/>
            <w:bottom w:w="15" w:type="dxa"/>
          </w:tblCellMar>
          <w:tblLook w:val="04A0"/>
        </w:tblPrEx>
        <w:trPr>
          <w:trHeight w:val="345"/>
        </w:trPr>
        <w:tc>
          <w:tcPr>
            <w:tcW w:w="9440" w:type="dxa"/>
            <w:gridSpan w:val="9"/>
            <w:vMerge w:val="restart"/>
            <w:tcBorders>
              <w:top w:val="single" w:sz="4" w:space="0" w:color="auto"/>
              <w:left w:val="single" w:sz="8" w:space="0" w:color="auto"/>
              <w:bottom w:val="single" w:sz="8" w:space="0" w:color="auto"/>
              <w:right w:val="single" w:sz="8" w:space="0" w:color="auto"/>
            </w:tcBorders>
            <w:vAlign w:val="center"/>
            <w:hideMark/>
          </w:tcPr>
          <w:p w:rsidR="006E21CB" w:rsidRPr="006E21CB" w:rsidP="006E21CB" w14:paraId="644F10E1" w14:textId="77777777">
            <w:pPr>
              <w:widowControl/>
              <w:rPr>
                <w:rFonts w:ascii="Source Sans Pro" w:hAnsi="Source Sans Pro" w:cs="Calibri"/>
                <w:snapToGrid/>
                <w:color w:val="000000"/>
                <w:sz w:val="18"/>
                <w:szCs w:val="18"/>
              </w:rPr>
            </w:pPr>
            <w:r w:rsidRPr="006E21CB">
              <w:rPr>
                <w:rFonts w:ascii="Source Sans Pro" w:hAnsi="Source Sans Pro" w:cs="Calibri"/>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5E025DAF" w14:textId="77777777" w:rsidTr="00044802">
        <w:tblPrEx>
          <w:tblW w:w="9440" w:type="dxa"/>
          <w:tblCellMar>
            <w:top w:w="15" w:type="dxa"/>
            <w:bottom w:w="15" w:type="dxa"/>
          </w:tblCellMar>
          <w:tblLook w:val="04A0"/>
        </w:tblPrEx>
        <w:trPr>
          <w:trHeight w:val="285"/>
        </w:trPr>
        <w:tc>
          <w:tcPr>
            <w:tcW w:w="9440" w:type="dxa"/>
            <w:gridSpan w:val="9"/>
            <w:vMerge/>
            <w:tcBorders>
              <w:top w:val="nil"/>
              <w:left w:val="single" w:sz="8" w:space="0" w:color="auto"/>
              <w:bottom w:val="single" w:sz="8" w:space="0" w:color="auto"/>
              <w:right w:val="single" w:sz="8" w:space="0" w:color="auto"/>
            </w:tcBorders>
            <w:vAlign w:val="center"/>
            <w:hideMark/>
          </w:tcPr>
          <w:p w:rsidR="006E21CB" w:rsidRPr="006E21CB" w:rsidP="006E21CB" w14:paraId="7A0647EE" w14:textId="77777777">
            <w:pPr>
              <w:widowControl/>
              <w:rPr>
                <w:rFonts w:ascii="Source Sans Pro" w:hAnsi="Source Sans Pro" w:cs="Calibri"/>
                <w:snapToGrid/>
                <w:color w:val="000000"/>
                <w:sz w:val="18"/>
                <w:szCs w:val="18"/>
              </w:rPr>
            </w:pPr>
          </w:p>
        </w:tc>
      </w:tr>
      <w:tr w14:paraId="3A75F436" w14:textId="77777777" w:rsidTr="00044802">
        <w:tblPrEx>
          <w:tblW w:w="9440" w:type="dxa"/>
          <w:tblCellMar>
            <w:top w:w="15" w:type="dxa"/>
            <w:bottom w:w="15" w:type="dxa"/>
          </w:tblCellMar>
          <w:tblLook w:val="04A0"/>
        </w:tblPrEx>
        <w:trPr>
          <w:trHeight w:val="285"/>
        </w:trPr>
        <w:tc>
          <w:tcPr>
            <w:tcW w:w="9440" w:type="dxa"/>
            <w:gridSpan w:val="9"/>
            <w:vMerge/>
            <w:tcBorders>
              <w:top w:val="nil"/>
              <w:left w:val="single" w:sz="8" w:space="0" w:color="auto"/>
              <w:bottom w:val="single" w:sz="8" w:space="0" w:color="auto"/>
              <w:right w:val="single" w:sz="8" w:space="0" w:color="auto"/>
            </w:tcBorders>
            <w:vAlign w:val="center"/>
            <w:hideMark/>
          </w:tcPr>
          <w:p w:rsidR="006E21CB" w:rsidRPr="006E21CB" w:rsidP="006E21CB" w14:paraId="1BD0F5E4" w14:textId="77777777">
            <w:pPr>
              <w:widowControl/>
              <w:rPr>
                <w:rFonts w:ascii="Source Sans Pro" w:hAnsi="Source Sans Pro" w:cs="Calibri"/>
                <w:snapToGrid/>
                <w:color w:val="000000"/>
                <w:sz w:val="18"/>
                <w:szCs w:val="18"/>
              </w:rPr>
            </w:pPr>
          </w:p>
        </w:tc>
      </w:tr>
      <w:tr w14:paraId="122CDE9D" w14:textId="77777777" w:rsidTr="00044802">
        <w:tblPrEx>
          <w:tblW w:w="9440" w:type="dxa"/>
          <w:tblCellMar>
            <w:top w:w="15" w:type="dxa"/>
            <w:bottom w:w="15" w:type="dxa"/>
          </w:tblCellMar>
          <w:tblLook w:val="04A0"/>
        </w:tblPrEx>
        <w:trPr>
          <w:trHeight w:val="300"/>
        </w:trPr>
        <w:tc>
          <w:tcPr>
            <w:tcW w:w="9440" w:type="dxa"/>
            <w:gridSpan w:val="9"/>
            <w:vMerge/>
            <w:tcBorders>
              <w:top w:val="nil"/>
              <w:left w:val="single" w:sz="8" w:space="0" w:color="auto"/>
              <w:bottom w:val="single" w:sz="8" w:space="0" w:color="auto"/>
              <w:right w:val="single" w:sz="8" w:space="0" w:color="auto"/>
            </w:tcBorders>
            <w:vAlign w:val="center"/>
            <w:hideMark/>
          </w:tcPr>
          <w:p w:rsidR="006E21CB" w:rsidRPr="006E21CB" w:rsidP="006E21CB" w14:paraId="5A2680ED" w14:textId="77777777">
            <w:pPr>
              <w:widowControl/>
              <w:rPr>
                <w:rFonts w:ascii="Source Sans Pro" w:hAnsi="Source Sans Pro" w:cs="Calibri"/>
                <w:snapToGrid/>
                <w:color w:val="000000"/>
                <w:sz w:val="18"/>
                <w:szCs w:val="18"/>
              </w:rPr>
            </w:pPr>
          </w:p>
        </w:tc>
      </w:tr>
    </w:tbl>
    <w:p w:rsidR="009234BE" w14:paraId="342A8108" w14:textId="77777777">
      <w:pPr>
        <w:widowControl/>
        <w:ind w:left="1152" w:firstLine="288"/>
        <w:rPr>
          <w:rFonts w:ascii="Times New Roman" w:hAnsi="Times New Roman"/>
        </w:rPr>
      </w:pPr>
    </w:p>
    <w:p w:rsidR="00820109" w14:paraId="5DA4D464" w14:textId="77777777">
      <w:pPr>
        <w:widowControl/>
        <w:ind w:left="1152" w:firstLine="288"/>
        <w:rPr>
          <w:rFonts w:ascii="Times New Roman" w:hAnsi="Times New Roman"/>
        </w:rPr>
      </w:pPr>
    </w:p>
    <w:p w:rsidR="00F146F1" w:rsidRPr="002423D4" w:rsidP="002423D4" w14:paraId="1774DAEB" w14:textId="77777777">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14:paraId="78FF33FF" w14:textId="77777777">
      <w:pPr>
        <w:widowControl/>
        <w:rPr>
          <w:rFonts w:ascii="Times New Roman" w:hAnsi="Times New Roman"/>
        </w:rPr>
      </w:pPr>
    </w:p>
    <w:p w:rsidR="00F146F1" w14:paraId="717ABA8A"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0C53388C" w14:textId="77777777">
      <w:pPr>
        <w:widowControl/>
        <w:rPr>
          <w:rFonts w:ascii="Times New Roman" w:hAnsi="Times New Roman"/>
        </w:rPr>
      </w:pPr>
    </w:p>
    <w:p w:rsidR="00F146F1" w:rsidP="00F175D5" w14:paraId="6FAD0270"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5B4369A3" w14:textId="77777777">
      <w:pPr>
        <w:widowControl/>
        <w:rPr>
          <w:rFonts w:ascii="Times New Roman" w:hAnsi="Times New Roman"/>
        </w:rPr>
      </w:pPr>
    </w:p>
    <w:p w:rsidR="00F146F1" w14:paraId="4438823C" w14:textId="77777777">
      <w:pPr>
        <w:widowControl/>
        <w:ind w:left="1440"/>
        <w:rPr>
          <w:rFonts w:ascii="Times New Roman" w:hAnsi="Times New Roman"/>
        </w:rPr>
      </w:pPr>
      <w:r>
        <w:rPr>
          <w:rFonts w:ascii="Times New Roman" w:hAnsi="Times New Roman"/>
        </w:rPr>
        <w:t xml:space="preserve">None. </w:t>
      </w:r>
    </w:p>
    <w:p w:rsidR="00F146F1" w14:paraId="46E9007A" w14:textId="77777777">
      <w:pPr>
        <w:widowControl/>
        <w:ind w:left="1440"/>
        <w:rPr>
          <w:rFonts w:ascii="Times New Roman" w:hAnsi="Times New Roman"/>
        </w:rPr>
      </w:pPr>
    </w:p>
    <w:p w:rsidR="00F146F1" w:rsidRPr="009234BE" w:rsidP="002423D4" w14:paraId="73C42980" w14:textId="77777777">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14:paraId="477903E4" w14:textId="77777777">
      <w:pPr>
        <w:widowControl/>
        <w:rPr>
          <w:rFonts w:ascii="Times New Roman" w:hAnsi="Times New Roman"/>
        </w:rPr>
      </w:pPr>
    </w:p>
    <w:p w:rsidR="004D178A" w:rsidRPr="00AE5959" w:rsidP="004D178A" w14:paraId="08972D5B" w14:textId="77777777">
      <w:pPr>
        <w:tabs>
          <w:tab w:val="left" w:pos="-1440"/>
        </w:tabs>
        <w:ind w:left="1440"/>
        <w:rPr>
          <w:rFonts w:ascii="Times New Roman" w:hAnsi="Times New Roman"/>
        </w:rPr>
      </w:pPr>
      <w:r w:rsidRPr="00CC7B69">
        <w:rPr>
          <w:rFonts w:ascii="Times New Roman" w:hAnsi="Times New Roman"/>
          <w:spacing w:val="-3"/>
        </w:rPr>
        <w:t xml:space="preserve">There is no change </w:t>
      </w:r>
      <w:r w:rsidRPr="00CC7B69">
        <w:rPr>
          <w:rFonts w:ascii="Times New Roman" w:hAnsi="Times New Roman"/>
        </w:rPr>
        <w:t xml:space="preserve">to </w:t>
      </w:r>
      <w:r>
        <w:rPr>
          <w:rFonts w:ascii="Times New Roman" w:hAnsi="Times New Roman"/>
        </w:rPr>
        <w:t>the substance of</w:t>
      </w:r>
      <w:r w:rsidRPr="00CC7B69">
        <w:rPr>
          <w:rFonts w:ascii="Times New Roman" w:hAnsi="Times New Roman"/>
        </w:rPr>
        <w:t xml:space="preserve"> this information collection.</w:t>
      </w:r>
      <w:r w:rsidRPr="00E10D3E">
        <w:t> </w:t>
      </w:r>
      <w:r w:rsidRPr="00820109" w:rsidR="009234BE">
        <w:rPr>
          <w:rFonts w:ascii="Times New Roman" w:hAnsi="Times New Roman"/>
        </w:rPr>
        <w:t xml:space="preserve">The </w:t>
      </w:r>
      <w:r w:rsidR="00820109">
        <w:rPr>
          <w:rFonts w:ascii="Times New Roman" w:hAnsi="Times New Roman"/>
        </w:rPr>
        <w:t>decrease</w:t>
      </w:r>
      <w:r w:rsidRPr="00820109" w:rsidR="009234BE">
        <w:rPr>
          <w:rFonts w:ascii="Times New Roman" w:hAnsi="Times New Roman"/>
        </w:rPr>
        <w:t xml:space="preserve"> in burden is a result of </w:t>
      </w:r>
      <w:r w:rsidRPr="00820109" w:rsidR="00820109">
        <w:rPr>
          <w:rFonts w:ascii="Times New Roman" w:hAnsi="Times New Roman"/>
        </w:rPr>
        <w:t xml:space="preserve">the </w:t>
      </w:r>
      <w:r w:rsidR="00820109">
        <w:rPr>
          <w:rFonts w:ascii="Times New Roman" w:hAnsi="Times New Roman"/>
        </w:rPr>
        <w:t xml:space="preserve">change in the </w:t>
      </w:r>
      <w:r w:rsidRPr="00820109" w:rsidR="00820109">
        <w:rPr>
          <w:rFonts w:ascii="Times New Roman" w:hAnsi="Times New Roman"/>
        </w:rPr>
        <w:t>estimated number of respondents</w:t>
      </w:r>
      <w:r w:rsidRPr="00820109" w:rsidR="009234BE">
        <w:rPr>
          <w:rFonts w:ascii="Times New Roman" w:hAnsi="Times New Roman"/>
        </w:rPr>
        <w:t>.</w:t>
      </w:r>
      <w:r>
        <w:rPr>
          <w:rFonts w:ascii="Times New Roman" w:hAnsi="Times New Roman"/>
        </w:rPr>
        <w:t xml:space="preserve">  </w:t>
      </w:r>
    </w:p>
    <w:p w:rsidR="00D5774D" w:rsidP="003548EB" w14:paraId="2AB3A246" w14:textId="77777777">
      <w:pPr>
        <w:widowControl/>
        <w:ind w:left="1440"/>
        <w:rPr>
          <w:rFonts w:ascii="Times New Roman" w:hAnsi="Times New Roman"/>
        </w:rPr>
      </w:pPr>
    </w:p>
    <w:p w:rsidR="00F146F1" w:rsidP="00F175D5" w14:paraId="48652355"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6B094DCA" w14:textId="77777777">
      <w:pPr>
        <w:widowControl/>
        <w:rPr>
          <w:rFonts w:ascii="Times New Roman" w:hAnsi="Times New Roman"/>
        </w:rPr>
      </w:pPr>
    </w:p>
    <w:p w:rsidR="00820109" w:rsidP="00573F81" w14:paraId="5EFA3D62" w14:textId="77777777">
      <w:pPr>
        <w:widowControl/>
        <w:ind w:left="1296" w:firstLine="144"/>
        <w:rPr>
          <w:rFonts w:ascii="Times New Roman" w:hAnsi="Times New Roman"/>
        </w:rPr>
      </w:pPr>
      <w:r>
        <w:rPr>
          <w:rFonts w:ascii="Times New Roman" w:hAnsi="Times New Roman"/>
        </w:rPr>
        <w:t>The</w:t>
      </w:r>
      <w:r w:rsidRPr="00573F81" w:rsidR="00573F81">
        <w:rPr>
          <w:rFonts w:ascii="Times New Roman" w:hAnsi="Times New Roman"/>
        </w:rPr>
        <w:t xml:space="preserve"> information contained in this collection is not published</w:t>
      </w:r>
      <w:r w:rsidR="00C856F6">
        <w:rPr>
          <w:rFonts w:ascii="Times New Roman" w:hAnsi="Times New Roman"/>
        </w:rPr>
        <w:t>.</w:t>
      </w:r>
    </w:p>
    <w:p w:rsidR="00820109" w14:paraId="4111D44F" w14:textId="77777777">
      <w:pPr>
        <w:widowControl/>
        <w:rPr>
          <w:rFonts w:ascii="Times New Roman" w:hAnsi="Times New Roman"/>
        </w:rPr>
      </w:pPr>
    </w:p>
    <w:p w:rsidR="00F146F1" w:rsidP="00F175D5" w14:paraId="640AB044" w14:textId="77777777">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14:paraId="09190B2E" w14:textId="77777777">
      <w:pPr>
        <w:widowControl/>
        <w:rPr>
          <w:rFonts w:ascii="Times New Roman" w:hAnsi="Times New Roman"/>
        </w:rPr>
      </w:pPr>
    </w:p>
    <w:p w:rsidR="00F146F1" w:rsidP="00820109" w14:paraId="20CE9B76" w14:textId="77777777">
      <w:pPr>
        <w:widowControl/>
        <w:ind w:left="1296" w:firstLine="144"/>
        <w:rPr>
          <w:rFonts w:ascii="Times New Roman" w:hAnsi="Times New Roman"/>
        </w:rPr>
      </w:pPr>
      <w:r w:rsidRPr="00820109">
        <w:rPr>
          <w:rFonts w:ascii="Times New Roman" w:hAnsi="Times New Roman"/>
        </w:rPr>
        <w:t>Not applicable.</w:t>
      </w:r>
      <w:r>
        <w:rPr>
          <w:rFonts w:ascii="Times New Roman" w:hAnsi="Times New Roman"/>
        </w:rPr>
        <w:t xml:space="preserve"> </w:t>
      </w:r>
    </w:p>
    <w:p w:rsidR="00656E25" w:rsidP="00820109" w14:paraId="312EB6BD" w14:textId="77777777">
      <w:pPr>
        <w:widowControl/>
        <w:ind w:left="1296" w:firstLine="144"/>
        <w:rPr>
          <w:rFonts w:ascii="Times New Roman" w:hAnsi="Times New Roman"/>
        </w:rPr>
      </w:pPr>
    </w:p>
    <w:p w:rsidR="00F146F1" w:rsidP="00F175D5" w14:paraId="68254554"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78E18B18" w14:textId="77777777">
      <w:pPr>
        <w:widowControl/>
        <w:rPr>
          <w:rFonts w:ascii="Times New Roman" w:hAnsi="Times New Roman"/>
        </w:rPr>
      </w:pPr>
    </w:p>
    <w:p w:rsidR="00F146F1" w14:paraId="7FA200EA" w14:textId="77777777">
      <w:pPr>
        <w:widowControl/>
        <w:ind w:left="1296" w:firstLine="144"/>
        <w:rPr>
          <w:rFonts w:ascii="Times New Roman" w:hAnsi="Times New Roman"/>
        </w:rPr>
      </w:pPr>
      <w:r>
        <w:rPr>
          <w:rFonts w:ascii="Times New Roman" w:hAnsi="Times New Roman"/>
        </w:rPr>
        <w:t xml:space="preserve">None. </w:t>
      </w:r>
    </w:p>
    <w:p w:rsidR="00F146F1" w14:paraId="050A121D" w14:textId="77777777">
      <w:pPr>
        <w:pStyle w:val="Footer"/>
        <w:widowControl/>
        <w:tabs>
          <w:tab w:val="clear" w:pos="4320"/>
          <w:tab w:val="clear" w:pos="8640"/>
        </w:tabs>
        <w:rPr>
          <w:rFonts w:ascii="Times New Roman" w:hAnsi="Times New Roman"/>
        </w:rPr>
      </w:pPr>
    </w:p>
    <w:p w:rsidR="00F146F1" w:rsidP="0024672A" w14:paraId="6E6594CF"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4A0AC4D5" w14:textId="77777777">
      <w:pPr>
        <w:widowControl/>
        <w:rPr>
          <w:rFonts w:ascii="Times New Roman" w:hAnsi="Times New Roman"/>
        </w:rPr>
      </w:pPr>
    </w:p>
    <w:p w:rsidR="00F146F1" w14:paraId="1A2DEE22" w14:textId="77777777">
      <w:pPr>
        <w:ind w:firstLine="720"/>
      </w:pPr>
      <w:r>
        <w:rPr>
          <w:rFonts w:ascii="Times New Roman" w:hAnsi="Times New Roman"/>
        </w:rPr>
        <w:t>Statistical methods are not employed in this collection.</w:t>
      </w:r>
    </w:p>
    <w:sectPr w:rsidSect="00B91D2F">
      <w:footerReference w:type="default" r:id="rId5"/>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3FB374AC"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224CA2">
      <w:rPr>
        <w:rFonts w:ascii="Times New Roman" w:hAnsi="Times New Roman"/>
        <w:noProof/>
      </w:rPr>
      <w:t>4</w:t>
    </w:r>
    <w:r w:rsidRPr="00AB4B6E">
      <w:rPr>
        <w:rFonts w:ascii="Times New Roman" w:hAnsi="Times New Roman"/>
        <w:noProof/>
      </w:rPr>
      <w:fldChar w:fldCharType="end"/>
    </w:r>
  </w:p>
  <w:p w:rsidR="00AB4B6E" w14:paraId="628FB5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9733773">
    <w:abstractNumId w:val="3"/>
  </w:num>
  <w:num w:numId="2" w16cid:durableId="1855878757">
    <w:abstractNumId w:val="4"/>
  </w:num>
  <w:num w:numId="3" w16cid:durableId="685981549">
    <w:abstractNumId w:val="0"/>
  </w:num>
  <w:num w:numId="4" w16cid:durableId="1376589277">
    <w:abstractNumId w:val="2"/>
  </w:num>
  <w:num w:numId="5" w16cid:durableId="40607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305E9"/>
    <w:rsid w:val="00041792"/>
    <w:rsid w:val="000467FC"/>
    <w:rsid w:val="00091BEA"/>
    <w:rsid w:val="000E621B"/>
    <w:rsid w:val="000F78A5"/>
    <w:rsid w:val="00133277"/>
    <w:rsid w:val="0019296B"/>
    <w:rsid w:val="001B6E46"/>
    <w:rsid w:val="001C1315"/>
    <w:rsid w:val="00224CA2"/>
    <w:rsid w:val="002423D4"/>
    <w:rsid w:val="00243153"/>
    <w:rsid w:val="00244DE1"/>
    <w:rsid w:val="0024672A"/>
    <w:rsid w:val="00257FD9"/>
    <w:rsid w:val="00263676"/>
    <w:rsid w:val="0027537E"/>
    <w:rsid w:val="00275749"/>
    <w:rsid w:val="002761FD"/>
    <w:rsid w:val="00280958"/>
    <w:rsid w:val="00293E01"/>
    <w:rsid w:val="002D08FA"/>
    <w:rsid w:val="003548EB"/>
    <w:rsid w:val="00366534"/>
    <w:rsid w:val="00397D8A"/>
    <w:rsid w:val="003B6611"/>
    <w:rsid w:val="003C4E1C"/>
    <w:rsid w:val="003F603C"/>
    <w:rsid w:val="00403156"/>
    <w:rsid w:val="00440BFE"/>
    <w:rsid w:val="00450EA2"/>
    <w:rsid w:val="004610F8"/>
    <w:rsid w:val="00463CCA"/>
    <w:rsid w:val="004A1DB1"/>
    <w:rsid w:val="004A735C"/>
    <w:rsid w:val="004D178A"/>
    <w:rsid w:val="004D39FB"/>
    <w:rsid w:val="00564A33"/>
    <w:rsid w:val="00573F81"/>
    <w:rsid w:val="00577D56"/>
    <w:rsid w:val="005823C9"/>
    <w:rsid w:val="00583579"/>
    <w:rsid w:val="005C3A95"/>
    <w:rsid w:val="005D7D11"/>
    <w:rsid w:val="005E1A91"/>
    <w:rsid w:val="00656E25"/>
    <w:rsid w:val="00665011"/>
    <w:rsid w:val="00685D84"/>
    <w:rsid w:val="006C40EC"/>
    <w:rsid w:val="006D1C43"/>
    <w:rsid w:val="006D363B"/>
    <w:rsid w:val="006E21CB"/>
    <w:rsid w:val="006E7CE7"/>
    <w:rsid w:val="006F2A7D"/>
    <w:rsid w:val="00712BA4"/>
    <w:rsid w:val="00720B40"/>
    <w:rsid w:val="00725F92"/>
    <w:rsid w:val="007C18CB"/>
    <w:rsid w:val="007C7C88"/>
    <w:rsid w:val="007D3F49"/>
    <w:rsid w:val="007E19E5"/>
    <w:rsid w:val="007E526E"/>
    <w:rsid w:val="00820109"/>
    <w:rsid w:val="0086148F"/>
    <w:rsid w:val="008D5746"/>
    <w:rsid w:val="00915517"/>
    <w:rsid w:val="009234BE"/>
    <w:rsid w:val="00940034"/>
    <w:rsid w:val="009533E6"/>
    <w:rsid w:val="00966D55"/>
    <w:rsid w:val="009A2D61"/>
    <w:rsid w:val="009D2562"/>
    <w:rsid w:val="009D463D"/>
    <w:rsid w:val="00A07FF0"/>
    <w:rsid w:val="00A30E02"/>
    <w:rsid w:val="00A352C5"/>
    <w:rsid w:val="00A9693A"/>
    <w:rsid w:val="00AB4B6E"/>
    <w:rsid w:val="00AC65F4"/>
    <w:rsid w:val="00AE5959"/>
    <w:rsid w:val="00B10980"/>
    <w:rsid w:val="00B84F00"/>
    <w:rsid w:val="00B91D2F"/>
    <w:rsid w:val="00BD100A"/>
    <w:rsid w:val="00BE42C9"/>
    <w:rsid w:val="00C378BA"/>
    <w:rsid w:val="00C40A1A"/>
    <w:rsid w:val="00C46326"/>
    <w:rsid w:val="00C47693"/>
    <w:rsid w:val="00C56C82"/>
    <w:rsid w:val="00C85089"/>
    <w:rsid w:val="00C856F6"/>
    <w:rsid w:val="00CC631A"/>
    <w:rsid w:val="00CC7B69"/>
    <w:rsid w:val="00D07D24"/>
    <w:rsid w:val="00D463FB"/>
    <w:rsid w:val="00D5774D"/>
    <w:rsid w:val="00D61C76"/>
    <w:rsid w:val="00DB3B4B"/>
    <w:rsid w:val="00DE7B91"/>
    <w:rsid w:val="00E10D3E"/>
    <w:rsid w:val="00E25D2F"/>
    <w:rsid w:val="00E57EA2"/>
    <w:rsid w:val="00ED4700"/>
    <w:rsid w:val="00EE7AE6"/>
    <w:rsid w:val="00EF4F6D"/>
    <w:rsid w:val="00F146F1"/>
    <w:rsid w:val="00F175D5"/>
    <w:rsid w:val="00F611B1"/>
    <w:rsid w:val="00F64A3B"/>
    <w:rsid w:val="00F85608"/>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F2D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2CEB-0338-43A3-A070-2338AD41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10063</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2025-01-17T19:51:00Z</dcterms:created>
  <dcterms:modified xsi:type="dcterms:W3CDTF">2025-01-17T19:51:00Z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dab2f0df-6ddf-43aa-b0af-afe9a761b393</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2025-01-17T19:51:26Z</vt:lpwstr>
  </property>
  <property fmtid="{D5CDD505-2E9C-101B-9397-08002B2CF9AE}" pid="8" name="MSIP_Label_3be8ab8c-433c-4394-a4fb-cd2d5c4d0a5e_SiteId">
    <vt:lpwstr>26c83bc9-31c1-4d77-a523-0816095aba31</vt:lpwstr>
  </property>
</Properties>
</file>