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spacing w:after="0" w:line="240"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Supporting Statement</w:t>
      </w:r>
    </w:p>
    <w:p w:rsidR="00000000" w:rsidRPr="00000000" w:rsidP="00000000" w14:paraId="00000002">
      <w:pPr>
        <w:spacing w:after="0" w:line="240"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Requests to film, photograph, or videotape in a NARA facility for news purposes</w:t>
      </w:r>
    </w:p>
    <w:p w:rsidR="00000000" w:rsidRPr="00000000" w:rsidP="00000000" w14:paraId="00000003">
      <w:pPr>
        <w:spacing w:after="0" w:line="240"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OMB Control No. 3095-0040</w:t>
      </w:r>
    </w:p>
    <w:p w:rsidR="00000000" w:rsidRPr="00000000" w:rsidP="00000000" w14:paraId="00000004">
      <w:pPr>
        <w:spacing w:after="0" w:line="240" w:lineRule="auto"/>
        <w:jc w:val="center"/>
        <w:rPr>
          <w:rFonts w:ascii="Times New Roman" w:eastAsia="Times New Roman" w:hAnsi="Times New Roman" w:cs="Times New Roman"/>
          <w:sz w:val="24"/>
          <w:szCs w:val="24"/>
        </w:rPr>
      </w:pPr>
    </w:p>
    <w:p w:rsidR="00000000" w:rsidRPr="00000000" w:rsidP="00000000" w14:paraId="00000005">
      <w:pPr>
        <w:numPr>
          <w:ilvl w:val="0"/>
          <w:numId w:val="1"/>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Circumstances making the collection of information necessary.</w:t>
      </w:r>
      <w:r w:rsidRPr="00000000">
        <w:rPr>
          <w:rFonts w:ascii="Times New Roman" w:eastAsia="Times New Roman" w:hAnsi="Times New Roman" w:cs="Times New Roman"/>
          <w:sz w:val="24"/>
          <w:szCs w:val="24"/>
          <w:rtl w:val="0"/>
        </w:rPr>
        <w:t xml:space="preserve">  NARA is a valuable resource for news organizations wishing to film, photograph, or videotape for stories about historical and current events. Due to the nature and fragility of the documents we hold in trust, NARA carefully controls access to our buildings, with the security of the records being of paramount concern. In addition, organizations may not use NARA facilities to promote commercial enterprises or products, and they cannot use them for partisan political, sectarian, or similar purposes. NARA staff must also accompany all film crews while they are working on NARA property to protect any records located in the area the film crews are working. Often, film crews employ high-intensity artificial light sources, which can be very damaging to archival holdings. NARA must make prior arrangements to protect such documents in the affected areas.</w:t>
      </w:r>
    </w:p>
    <w:p w:rsidR="00000000" w:rsidRPr="00000000" w:rsidP="00000000" w14:paraId="00000006">
      <w:pPr>
        <w:spacing w:after="0" w:line="240" w:lineRule="auto"/>
        <w:ind w:left="360" w:firstLine="0"/>
        <w:rPr>
          <w:rFonts w:ascii="Times New Roman" w:eastAsia="Times New Roman" w:hAnsi="Times New Roman" w:cs="Times New Roman"/>
          <w:sz w:val="24"/>
          <w:szCs w:val="24"/>
        </w:rPr>
      </w:pPr>
    </w:p>
    <w:p w:rsidR="00000000" w:rsidRPr="00000000" w:rsidP="00000000" w14:paraId="00000007">
      <w:pPr>
        <w:spacing w:after="0" w:line="240" w:lineRule="auto"/>
        <w:ind w:left="36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Therefore, news organizations that wish to film, photograph, or videotape on NARA property must request permission. We collect information through the request process from which we assess the requests to determine whether we can accommodate them. A respondent submitting a request provides information about what they wish to film, photograph, or videotape, for what purposes they will use the film, where they wish to perform their work, and how long they expect it to take. A respondent may schedule several filming or photograph sessions per request. In addition, respondents who use NARA equipment sign a waiver form, NA Form 11010, Use of Equipment Consent Waiver and Release. This waiver is necessary to protect NARA from liability related to the respondent’s use of the equipment.</w:t>
      </w:r>
    </w:p>
    <w:p w:rsidR="00000000" w:rsidRPr="00000000" w:rsidP="00000000" w14:paraId="00000008">
      <w:pPr>
        <w:spacing w:after="0" w:line="240" w:lineRule="auto"/>
        <w:ind w:left="360" w:firstLine="0"/>
        <w:rPr>
          <w:rFonts w:ascii="Times New Roman" w:eastAsia="Times New Roman" w:hAnsi="Times New Roman" w:cs="Times New Roman"/>
          <w:sz w:val="24"/>
          <w:szCs w:val="24"/>
        </w:rPr>
      </w:pPr>
    </w:p>
    <w:p w:rsidR="00000000" w:rsidRPr="00000000" w:rsidP="00000000" w14:paraId="00000009">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Purpose and use of the information.</w:t>
      </w:r>
      <w:r w:rsidRPr="00000000">
        <w:rPr>
          <w:rFonts w:ascii="Times New Roman" w:eastAsia="Times New Roman" w:hAnsi="Times New Roman" w:cs="Times New Roman"/>
          <w:sz w:val="24"/>
          <w:szCs w:val="24"/>
          <w:rtl w:val="0"/>
        </w:rPr>
        <w:t xml:space="preserve">  We use the collected information to determine whether to approve a request to film, photograph, or videotape, including what resources we would need to comply with the request. NARA staff must accompany each film crew while they are working on NARA property, so we must plan to have staff for this purpose. We must also determine what steps are necessary to protect archival holdings in areas in which film crews will be using artificial high-intensity lighting and other equipment. We also use the information to ensure that the project the requester is working on is for news purposes only, and not for commercial purposes.</w:t>
      </w:r>
    </w:p>
    <w:p w:rsidR="00000000" w:rsidRPr="00000000" w:rsidP="00000000" w14:paraId="0000000A">
      <w:pPr>
        <w:spacing w:after="0" w:line="240" w:lineRule="auto"/>
        <w:ind w:left="360" w:firstLine="0"/>
        <w:rPr>
          <w:rFonts w:ascii="Times New Roman" w:eastAsia="Times New Roman" w:hAnsi="Times New Roman" w:cs="Times New Roman"/>
          <w:sz w:val="24"/>
          <w:szCs w:val="24"/>
        </w:rPr>
      </w:pPr>
    </w:p>
    <w:p w:rsidR="00000000" w:rsidRPr="00000000" w:rsidP="00000000" w14:paraId="0000000B">
      <w:pPr>
        <w:spacing w:after="0" w:line="240" w:lineRule="auto"/>
        <w:ind w:left="36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Title 36 CFR Subpart B sets out the rules and processes covering this information collection. Section 1280.48 sets out what information we collect as part of the request process.</w:t>
      </w:r>
    </w:p>
    <w:p w:rsidR="00000000" w:rsidRPr="00000000" w:rsidP="00000000" w14:paraId="0000000C">
      <w:pPr>
        <w:spacing w:after="0" w:line="240" w:lineRule="auto"/>
        <w:rPr>
          <w:rFonts w:ascii="Times New Roman" w:eastAsia="Times New Roman" w:hAnsi="Times New Roman" w:cs="Times New Roman"/>
          <w:sz w:val="24"/>
          <w:szCs w:val="24"/>
        </w:rPr>
      </w:pPr>
    </w:p>
    <w:p w:rsidR="00000000" w:rsidRPr="00000000" w:rsidP="00000000" w14:paraId="0000000D">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Use of information technology and burden reduction.</w:t>
      </w:r>
      <w:r w:rsidRPr="00000000">
        <w:rPr>
          <w:rFonts w:ascii="Times New Roman" w:eastAsia="Times New Roman" w:hAnsi="Times New Roman" w:cs="Times New Roman"/>
          <w:sz w:val="24"/>
          <w:szCs w:val="24"/>
          <w:rtl w:val="0"/>
        </w:rPr>
        <w:t xml:space="preserve">  We have attempted to impose a minimum burden on the respondent. To allow maximum flexibility to respondents, we allow them to supply this information via email, telephone, in person, or fax.</w:t>
      </w:r>
    </w:p>
    <w:p w:rsidR="00000000" w:rsidRPr="00000000" w:rsidP="00000000" w14:paraId="0000000E">
      <w:pPr>
        <w:spacing w:after="0" w:line="240" w:lineRule="auto"/>
        <w:rPr>
          <w:rFonts w:ascii="Times New Roman" w:eastAsia="Times New Roman" w:hAnsi="Times New Roman" w:cs="Times New Roman"/>
          <w:sz w:val="24"/>
          <w:szCs w:val="24"/>
        </w:rPr>
      </w:pPr>
    </w:p>
    <w:p w:rsidR="00000000" w:rsidRPr="00000000" w:rsidP="00000000" w14:paraId="0000000F">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Efforts to identify duplication and use of similar information.</w:t>
      </w:r>
      <w:r w:rsidRPr="00000000">
        <w:rPr>
          <w:rFonts w:ascii="Times New Roman" w:eastAsia="Times New Roman" w:hAnsi="Times New Roman" w:cs="Times New Roman"/>
          <w:sz w:val="24"/>
          <w:szCs w:val="24"/>
          <w:rtl w:val="0"/>
        </w:rPr>
        <w:t xml:space="preserve">  No duplication exists. No similar information is already available.</w:t>
      </w:r>
    </w:p>
    <w:p w:rsidR="00000000" w:rsidRPr="00000000" w:rsidP="00000000" w14:paraId="00000010">
      <w:pPr>
        <w:spacing w:after="0" w:line="240" w:lineRule="auto"/>
        <w:rPr>
          <w:rFonts w:ascii="Times New Roman" w:eastAsia="Times New Roman" w:hAnsi="Times New Roman" w:cs="Times New Roman"/>
          <w:sz w:val="24"/>
          <w:szCs w:val="24"/>
        </w:rPr>
      </w:pPr>
    </w:p>
    <w:p w:rsidR="00000000" w:rsidRPr="00000000" w:rsidP="00000000" w14:paraId="00000011">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Impact on small businesses or other small entities.</w:t>
      </w:r>
      <w:r w:rsidRPr="00000000">
        <w:rPr>
          <w:rFonts w:ascii="Times New Roman" w:eastAsia="Times New Roman" w:hAnsi="Times New Roman" w:cs="Times New Roman"/>
          <w:sz w:val="24"/>
          <w:szCs w:val="24"/>
          <w:rtl w:val="0"/>
        </w:rPr>
        <w:t xml:space="preserve">  The information collection does not have a significant impact on small businesses or other small entities.</w:t>
      </w:r>
    </w:p>
    <w:p w:rsidR="00000000" w:rsidRPr="00000000" w:rsidP="00000000" w14:paraId="00000012">
      <w:pPr>
        <w:spacing w:after="0" w:line="240" w:lineRule="auto"/>
        <w:rPr>
          <w:rFonts w:ascii="Times New Roman" w:eastAsia="Times New Roman" w:hAnsi="Times New Roman" w:cs="Times New Roman"/>
          <w:sz w:val="24"/>
          <w:szCs w:val="24"/>
        </w:rPr>
      </w:pPr>
    </w:p>
    <w:p w:rsidR="00000000" w:rsidRPr="00000000" w:rsidP="00000000" w14:paraId="00000013">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Consequences of collecting the information less frequently.</w:t>
      </w:r>
      <w:r w:rsidRPr="00000000">
        <w:rPr>
          <w:rFonts w:ascii="Times New Roman" w:eastAsia="Times New Roman" w:hAnsi="Times New Roman" w:cs="Times New Roman"/>
          <w:sz w:val="24"/>
          <w:szCs w:val="24"/>
          <w:rtl w:val="0"/>
        </w:rPr>
        <w:t xml:space="preserve">  We cannot collect this information less frequently than once per request to film, photograph, or videotape on NARA property because we must evaluate each request. If we did not collect this information, we would be unable to fulfill as many requests as we do, and we would be unable to adequately protect archival documents that might be in an area in which film crews might use high-intensity artificial lighting. A request may include more than one filming date and location.</w:t>
      </w:r>
    </w:p>
    <w:p w:rsidR="00000000" w:rsidRPr="00000000" w:rsidP="00000000" w14:paraId="00000014">
      <w:pPr>
        <w:spacing w:after="0" w:line="240" w:lineRule="auto"/>
        <w:rPr>
          <w:rFonts w:ascii="Times New Roman" w:eastAsia="Times New Roman" w:hAnsi="Times New Roman" w:cs="Times New Roman"/>
          <w:sz w:val="24"/>
          <w:szCs w:val="24"/>
        </w:rPr>
      </w:pPr>
    </w:p>
    <w:p w:rsidR="00000000" w:rsidRPr="00000000" w:rsidP="00000000" w14:paraId="00000015">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Special circumstances relating to the guidelines of 5 CFR 1320.5.</w:t>
      </w:r>
      <w:r w:rsidRPr="00000000">
        <w:rPr>
          <w:rFonts w:ascii="Times New Roman" w:eastAsia="Times New Roman" w:hAnsi="Times New Roman" w:cs="Times New Roman"/>
          <w:sz w:val="24"/>
          <w:szCs w:val="24"/>
          <w:rtl w:val="0"/>
        </w:rPr>
        <w:t xml:space="preserve">  We collect this information in a manner consistent with the guidelines in 5 CFR 1320.5.</w:t>
      </w:r>
    </w:p>
    <w:p w:rsidR="00000000" w:rsidRPr="00000000" w:rsidP="00000000" w14:paraId="00000016">
      <w:pPr>
        <w:spacing w:after="0" w:line="240" w:lineRule="auto"/>
        <w:rPr>
          <w:rFonts w:ascii="Times New Roman" w:eastAsia="Times New Roman" w:hAnsi="Times New Roman" w:cs="Times New Roman"/>
          <w:sz w:val="24"/>
          <w:szCs w:val="24"/>
        </w:rPr>
      </w:pPr>
    </w:p>
    <w:p w:rsidR="00000000" w:rsidRPr="00000000" w:rsidP="00000000" w14:paraId="00000017">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Comments in response to the Federal Register notice and efforts to consult outside agency.</w:t>
      </w:r>
      <w:r w:rsidRPr="00000000">
        <w:rPr>
          <w:rFonts w:ascii="Times New Roman" w:eastAsia="Times New Roman" w:hAnsi="Times New Roman" w:cs="Times New Roman"/>
          <w:sz w:val="24"/>
          <w:szCs w:val="24"/>
          <w:rtl w:val="0"/>
        </w:rPr>
        <w:t xml:space="preserve">  We provided the public an opportunity to comment on the information collection in the </w:t>
      </w:r>
      <w:r w:rsidRPr="00000000">
        <w:rPr>
          <w:rFonts w:ascii="Times New Roman" w:eastAsia="Times New Roman" w:hAnsi="Times New Roman" w:cs="Times New Roman"/>
          <w:i/>
          <w:sz w:val="24"/>
          <w:szCs w:val="24"/>
          <w:rtl w:val="0"/>
        </w:rPr>
        <w:t>Federal Register</w:t>
      </w:r>
      <w:r w:rsidRPr="00000000">
        <w:rPr>
          <w:rFonts w:ascii="Times New Roman" w:eastAsia="Times New Roman" w:hAnsi="Times New Roman" w:cs="Times New Roman"/>
          <w:sz w:val="24"/>
          <w:szCs w:val="24"/>
          <w:rtl w:val="0"/>
        </w:rPr>
        <w:t xml:space="preserve"> on November 1, 2024 (89 FR 87427). We received no comments.</w:t>
      </w:r>
    </w:p>
    <w:p w:rsidR="00000000" w:rsidRPr="00000000" w:rsidP="00000000" w14:paraId="00000018">
      <w:pPr>
        <w:spacing w:after="0" w:line="240" w:lineRule="auto"/>
        <w:rPr>
          <w:rFonts w:ascii="Times New Roman" w:eastAsia="Times New Roman" w:hAnsi="Times New Roman" w:cs="Times New Roman"/>
          <w:sz w:val="24"/>
          <w:szCs w:val="24"/>
        </w:rPr>
      </w:pPr>
    </w:p>
    <w:p w:rsidR="00000000" w:rsidRPr="00000000" w:rsidP="00000000" w14:paraId="00000019">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Explanation of any payment or gift to respondents.</w:t>
      </w:r>
      <w:r w:rsidRPr="00000000">
        <w:rPr>
          <w:rFonts w:ascii="Times New Roman" w:eastAsia="Times New Roman" w:hAnsi="Times New Roman" w:cs="Times New Roman"/>
          <w:sz w:val="24"/>
          <w:szCs w:val="24"/>
          <w:rtl w:val="0"/>
        </w:rPr>
        <w:t xml:space="preserve">  We provide no payment or gift to respondents.</w:t>
      </w:r>
    </w:p>
    <w:p w:rsidR="00000000" w:rsidRPr="00000000" w:rsidP="00000000" w14:paraId="0000001A">
      <w:pPr>
        <w:spacing w:after="0" w:line="240" w:lineRule="auto"/>
        <w:rPr>
          <w:rFonts w:ascii="Times New Roman" w:eastAsia="Times New Roman" w:hAnsi="Times New Roman" w:cs="Times New Roman"/>
          <w:sz w:val="24"/>
          <w:szCs w:val="24"/>
        </w:rPr>
      </w:pPr>
    </w:p>
    <w:p w:rsidR="00000000" w:rsidRPr="00000000" w:rsidP="00000000" w14:paraId="0000001B">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Assurance of confidentiality provided to respondents.</w:t>
      </w:r>
      <w:r w:rsidRPr="00000000">
        <w:rPr>
          <w:rFonts w:ascii="Times New Roman" w:eastAsia="Times New Roman" w:hAnsi="Times New Roman" w:cs="Times New Roman"/>
          <w:sz w:val="24"/>
          <w:szCs w:val="24"/>
          <w:rtl w:val="0"/>
        </w:rPr>
        <w:t xml:space="preserve">  We do not collect information that would require privacy or confidentiality.</w:t>
      </w:r>
    </w:p>
    <w:p w:rsidR="00000000" w:rsidRPr="00000000" w:rsidP="00000000" w14:paraId="0000001C">
      <w:pPr>
        <w:spacing w:after="0" w:line="240" w:lineRule="auto"/>
        <w:rPr>
          <w:rFonts w:ascii="Times New Roman" w:eastAsia="Times New Roman" w:hAnsi="Times New Roman" w:cs="Times New Roman"/>
          <w:sz w:val="24"/>
          <w:szCs w:val="24"/>
        </w:rPr>
      </w:pPr>
    </w:p>
    <w:p w:rsidR="00000000" w:rsidRPr="00000000" w:rsidP="00000000" w14:paraId="0000001D">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Justification for sensitive questions.</w:t>
      </w:r>
      <w:r w:rsidRPr="00000000">
        <w:rPr>
          <w:rFonts w:ascii="Times New Roman" w:eastAsia="Times New Roman" w:hAnsi="Times New Roman" w:cs="Times New Roman"/>
          <w:sz w:val="24"/>
          <w:szCs w:val="24"/>
          <w:rtl w:val="0"/>
        </w:rPr>
        <w:t xml:space="preserve">  We do not ask questions of a sensitive nature.</w:t>
      </w:r>
    </w:p>
    <w:p w:rsidR="00000000" w:rsidRPr="00000000" w:rsidP="00000000" w14:paraId="0000001E">
      <w:pPr>
        <w:spacing w:after="0" w:line="240" w:lineRule="auto"/>
        <w:rPr>
          <w:rFonts w:ascii="Times New Roman" w:eastAsia="Times New Roman" w:hAnsi="Times New Roman" w:cs="Times New Roman"/>
          <w:sz w:val="24"/>
          <w:szCs w:val="24"/>
        </w:rPr>
      </w:pPr>
    </w:p>
    <w:p w:rsidR="00000000" w:rsidRPr="00000000" w:rsidP="00000000" w14:paraId="0000001F">
      <w:pPr>
        <w:numPr>
          <w:ilvl w:val="0"/>
          <w:numId w:val="2"/>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Estimates of hour burden including annualized hourly costs.</w:t>
      </w:r>
      <w:r w:rsidRPr="00000000">
        <w:rPr>
          <w:rFonts w:ascii="Times New Roman" w:eastAsia="Times New Roman" w:hAnsi="Times New Roman" w:cs="Times New Roman"/>
          <w:sz w:val="24"/>
          <w:szCs w:val="24"/>
          <w:rtl w:val="0"/>
        </w:rPr>
        <w:t xml:space="preserve">  Respondents submit an average of 350 responses per year. Each response takes an average of 10 minutes per request for a total annual time burden of approximately 58 hours.</w:t>
      </w:r>
    </w:p>
    <w:p w:rsidR="00000000" w:rsidRPr="00000000" w:rsidP="00000000" w14:paraId="00000020">
      <w:pPr>
        <w:spacing w:after="0" w:line="240" w:lineRule="auto"/>
        <w:ind w:left="360" w:firstLine="0"/>
        <w:rPr>
          <w:rFonts w:ascii="Times New Roman" w:eastAsia="Times New Roman" w:hAnsi="Times New Roman" w:cs="Times New Roman"/>
          <w:sz w:val="24"/>
          <w:szCs w:val="24"/>
        </w:rPr>
      </w:pPr>
    </w:p>
    <w:p w:rsidR="00000000" w:rsidRPr="00000000" w:rsidP="00000000" w14:paraId="00000021">
      <w:pPr>
        <w:spacing w:after="0" w:line="240" w:lineRule="auto"/>
        <w:ind w:left="360" w:firstLine="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respondent cost per application is approximately $7.00, based on 10 minutes to complete the information collection, or information collection and agreement, by a news producer or producer’s assistant (hourly wage of $42.00/hour x 10 min./request = $7.00 per request). The total annual cost burden to collect this information is therefore approximately $2,450, based on an average of 350 requests. Wage information can be found at </w:t>
      </w:r>
      <w:hyperlink r:id="rId5">
        <w:r w:rsidRPr="00000000">
          <w:rPr>
            <w:rFonts w:ascii="Times New Roman" w:eastAsia="Times New Roman" w:hAnsi="Times New Roman" w:cs="Times New Roman"/>
            <w:color w:val="0000FF"/>
            <w:sz w:val="24"/>
            <w:szCs w:val="24"/>
            <w:u w:val="single"/>
            <w:rtl w:val="0"/>
          </w:rPr>
          <w:t>https://www.bls.gov/ooh/entertainment-and-sports/producers-and-directors.htm</w:t>
        </w:r>
      </w:hyperlink>
      <w:r w:rsidRPr="00000000">
        <w:rPr>
          <w:rFonts w:ascii="Times New Roman" w:eastAsia="Times New Roman" w:hAnsi="Times New Roman" w:cs="Times New Roman"/>
          <w:sz w:val="24"/>
          <w:szCs w:val="24"/>
          <w:rtl w:val="0"/>
        </w:rPr>
        <w:t xml:space="preserve">. </w:t>
      </w:r>
    </w:p>
    <w:p w:rsidR="00000000" w:rsidRPr="00000000" w:rsidP="00000000" w14:paraId="00000022">
      <w:pPr>
        <w:spacing w:after="0" w:line="240" w:lineRule="auto"/>
        <w:rPr>
          <w:rFonts w:ascii="Times New Roman" w:eastAsia="Times New Roman" w:hAnsi="Times New Roman" w:cs="Times New Roman"/>
          <w:sz w:val="24"/>
          <w:szCs w:val="24"/>
        </w:rPr>
      </w:pPr>
    </w:p>
    <w:p w:rsidR="00000000" w:rsidRPr="00000000" w:rsidP="00000000" w14:paraId="00000023">
      <w:pPr>
        <w:numPr>
          <w:ilvl w:val="0"/>
          <w:numId w:val="3"/>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Estimate of other total annual cost burden to respondents or recordkeepers.</w:t>
      </w:r>
      <w:r w:rsidRPr="00000000">
        <w:rPr>
          <w:rFonts w:ascii="Times New Roman" w:eastAsia="Times New Roman" w:hAnsi="Times New Roman" w:cs="Times New Roman"/>
          <w:sz w:val="24"/>
          <w:szCs w:val="24"/>
          <w:rtl w:val="0"/>
        </w:rPr>
        <w:t xml:space="preserve">  Excluding the costs for time above, respondents incur no costs attributable to this information collection.</w:t>
      </w:r>
    </w:p>
    <w:p w:rsidR="00000000" w:rsidRPr="00000000" w:rsidP="00000000" w14:paraId="00000024">
      <w:pPr>
        <w:spacing w:after="0" w:line="240" w:lineRule="auto"/>
        <w:rPr>
          <w:rFonts w:ascii="Times New Roman" w:eastAsia="Times New Roman" w:hAnsi="Times New Roman" w:cs="Times New Roman"/>
          <w:sz w:val="24"/>
          <w:szCs w:val="24"/>
        </w:rPr>
      </w:pPr>
    </w:p>
    <w:p w:rsidR="00000000" w:rsidRPr="00000000" w:rsidP="00000000" w14:paraId="00000025">
      <w:pPr>
        <w:numPr>
          <w:ilvl w:val="0"/>
          <w:numId w:val="3"/>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Annualized cost to the federal government.</w:t>
      </w:r>
      <w:r w:rsidRPr="00000000">
        <w:rPr>
          <w:rFonts w:ascii="Times New Roman" w:eastAsia="Times New Roman" w:hAnsi="Times New Roman" w:cs="Times New Roman"/>
          <w:sz w:val="24"/>
          <w:szCs w:val="24"/>
          <w:rtl w:val="0"/>
        </w:rPr>
        <w:t xml:space="preserve">  The federal government spends approximately $8.75 per request, based on an estimate of the time it takes a GS-12 staff member to review, process, and schedule (average wage and benefits of $35.00/hour x 15 min./request = $8.75 per request). The total annual cost to the government of collecting this information is therefore approximately $765.63, based on an average of 350 requests per year.</w:t>
      </w:r>
    </w:p>
    <w:p w:rsidR="00000000" w:rsidRPr="00000000" w:rsidP="00000000" w14:paraId="00000026">
      <w:pPr>
        <w:spacing w:after="0" w:line="240" w:lineRule="auto"/>
        <w:rPr>
          <w:rFonts w:ascii="Times New Roman" w:eastAsia="Times New Roman" w:hAnsi="Times New Roman" w:cs="Times New Roman"/>
          <w:sz w:val="24"/>
          <w:szCs w:val="24"/>
        </w:rPr>
      </w:pPr>
    </w:p>
    <w:p w:rsidR="00000000" w:rsidRPr="00000000" w:rsidP="00000000" w14:paraId="00000027">
      <w:pPr>
        <w:numPr>
          <w:ilvl w:val="0"/>
          <w:numId w:val="3"/>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Explanation for program changes or adjustments.</w:t>
      </w:r>
      <w:r w:rsidRPr="00000000">
        <w:rPr>
          <w:rFonts w:ascii="Times New Roman" w:eastAsia="Times New Roman" w:hAnsi="Times New Roman" w:cs="Times New Roman"/>
          <w:sz w:val="24"/>
          <w:szCs w:val="24"/>
          <w:rtl w:val="0"/>
        </w:rPr>
        <w:t xml:space="preserve"> There are no changes.</w:t>
      </w:r>
    </w:p>
    <w:p w:rsidR="00000000" w:rsidRPr="00000000" w:rsidP="00000000" w14:paraId="00000028">
      <w:pPr>
        <w:spacing w:after="0" w:line="240" w:lineRule="auto"/>
        <w:rPr>
          <w:rFonts w:ascii="Times New Roman" w:eastAsia="Times New Roman" w:hAnsi="Times New Roman" w:cs="Times New Roman"/>
          <w:sz w:val="24"/>
          <w:szCs w:val="24"/>
        </w:rPr>
      </w:pPr>
    </w:p>
    <w:p w:rsidR="00000000" w:rsidRPr="00000000" w:rsidP="00000000" w14:paraId="00000029">
      <w:pPr>
        <w:numPr>
          <w:ilvl w:val="0"/>
          <w:numId w:val="3"/>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Plans for tabulation and publication and project time schedule.</w:t>
      </w:r>
      <w:r w:rsidRPr="00000000">
        <w:rPr>
          <w:rFonts w:ascii="Times New Roman" w:eastAsia="Times New Roman" w:hAnsi="Times New Roman" w:cs="Times New Roman"/>
          <w:sz w:val="24"/>
          <w:szCs w:val="24"/>
          <w:rtl w:val="0"/>
        </w:rPr>
        <w:t xml:space="preserve">  We do not use this information collection for statistical publications.</w:t>
      </w:r>
    </w:p>
    <w:p w:rsidR="00000000" w:rsidRPr="00000000" w:rsidP="00000000" w14:paraId="0000002A">
      <w:pPr>
        <w:spacing w:after="0" w:line="240" w:lineRule="auto"/>
        <w:rPr>
          <w:rFonts w:ascii="Times New Roman" w:eastAsia="Times New Roman" w:hAnsi="Times New Roman" w:cs="Times New Roman"/>
          <w:sz w:val="24"/>
          <w:szCs w:val="24"/>
        </w:rPr>
      </w:pPr>
    </w:p>
    <w:p w:rsidR="00000000" w:rsidRPr="00000000" w:rsidP="00000000" w14:paraId="0000002B">
      <w:pPr>
        <w:numPr>
          <w:ilvl w:val="0"/>
          <w:numId w:val="3"/>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Reason(s) display of OMB expiration date is inappropriate.</w:t>
      </w:r>
      <w:r w:rsidRPr="00000000">
        <w:rPr>
          <w:rFonts w:ascii="Times New Roman" w:eastAsia="Times New Roman" w:hAnsi="Times New Roman" w:cs="Times New Roman"/>
          <w:sz w:val="24"/>
          <w:szCs w:val="24"/>
          <w:rtl w:val="0"/>
        </w:rPr>
        <w:t xml:space="preserve">  We include the information collection in a regulation and the rule’s preamble also states the OMB expiration date.</w:t>
      </w:r>
    </w:p>
    <w:p w:rsidR="00000000" w:rsidRPr="00000000" w:rsidP="00000000" w14:paraId="0000002C">
      <w:pPr>
        <w:spacing w:after="0" w:line="240" w:lineRule="auto"/>
        <w:rPr>
          <w:rFonts w:ascii="Times New Roman" w:eastAsia="Times New Roman" w:hAnsi="Times New Roman" w:cs="Times New Roman"/>
          <w:sz w:val="24"/>
          <w:szCs w:val="24"/>
        </w:rPr>
      </w:pPr>
    </w:p>
    <w:p w:rsidR="00000000" w:rsidRPr="00000000" w:rsidP="00000000" w14:paraId="0000002D">
      <w:pPr>
        <w:numPr>
          <w:ilvl w:val="0"/>
          <w:numId w:val="3"/>
        </w:numPr>
        <w:spacing w:after="0" w:line="240" w:lineRule="auto"/>
        <w:ind w:left="360" w:hanging="36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u w:val="single"/>
          <w:rtl w:val="0"/>
        </w:rPr>
        <w:t>Exceptions to certification for Paperwork Reduction Act submissions.</w:t>
      </w:r>
      <w:r w:rsidRPr="00000000">
        <w:rPr>
          <w:rFonts w:ascii="Times New Roman" w:eastAsia="Times New Roman" w:hAnsi="Times New Roman" w:cs="Times New Roman"/>
          <w:sz w:val="24"/>
          <w:szCs w:val="24"/>
          <w:rtl w:val="0"/>
        </w:rPr>
        <w:t xml:space="preserve">  There are no exceptions to the certification statement.</w:t>
      </w:r>
    </w:p>
    <w:sectPr>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E">
    <w:pPr>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center"/>
      <w:rPr>
        <w:rFonts w:ascii="Calibri" w:eastAsia="Calibri" w:hAnsi="Calibri" w:cs="Calibri"/>
        <w:b w:val="0"/>
        <w:i w:val="0"/>
        <w:smallCaps w:val="0"/>
        <w:strike w:val="0"/>
        <w:color w:val="000000"/>
        <w:sz w:val="22"/>
        <w:szCs w:val="22"/>
        <w:u w:val="none"/>
        <w:shd w:val="clear" w:color="auto" w:fill="auto"/>
        <w:vertAlign w:val="baseline"/>
      </w:rPr>
    </w:pPr>
    <w:r w:rsidRPr="00000000">
      <w:rPr>
        <w:rFonts w:ascii="Calibri" w:eastAsia="Calibri" w:hAnsi="Calibri" w:cs="Calibri"/>
        <w:b w:val="0"/>
        <w:i w:val="0"/>
        <w:smallCaps w:val="0"/>
        <w:strike w:val="0"/>
        <w:color w:val="000000"/>
        <w:sz w:val="22"/>
        <w:szCs w:val="22"/>
        <w:u w:val="none"/>
        <w:shd w:val="clear" w:color="auto" w:fill="auto"/>
        <w:vertAlign w:val="baseline"/>
      </w:rPr>
      <w:fldChar w:fldCharType="begin"/>
    </w:r>
    <w:r w:rsidRPr="00000000">
      <w:rPr>
        <w:rFonts w:ascii="Calibri" w:eastAsia="Calibri" w:hAnsi="Calibri" w:cs="Calibri"/>
        <w:b w:val="0"/>
        <w:i w:val="0"/>
        <w:smallCaps w:val="0"/>
        <w:strike w:val="0"/>
        <w:color w:val="000000"/>
        <w:sz w:val="22"/>
        <w:szCs w:val="22"/>
        <w:u w:val="none"/>
        <w:shd w:val="clear" w:color="auto" w:fill="auto"/>
        <w:vertAlign w:val="baseline"/>
      </w:rPr>
      <w:instrText>PAGE</w:instrText>
    </w:r>
    <w:r w:rsidRPr="00000000">
      <w:rPr>
        <w:rFonts w:ascii="Calibri" w:eastAsia="Calibri" w:hAnsi="Calibri" w:cs="Calibri"/>
        <w:b w:val="0"/>
        <w:i w:val="0"/>
        <w:smallCaps w:val="0"/>
        <w:strike w:val="0"/>
        <w:color w:val="000000"/>
        <w:sz w:val="22"/>
        <w:szCs w:val="22"/>
        <w:u w:val="none"/>
        <w:shd w:val="clear" w:color="auto" w:fill="auto"/>
        <w:vertAlign w:val="baseline"/>
      </w:rPr>
      <w:fldChar w:fldCharType="separate"/>
    </w:r>
    <w:r w:rsidRPr="00000000">
      <w:rPr>
        <w:rFonts w:ascii="Calibri" w:eastAsia="Calibri" w:hAnsi="Calibri" w:cs="Calibri"/>
        <w:b w:val="0"/>
        <w:i w:val="0"/>
        <w:smallCaps w:val="0"/>
        <w:strike w:val="0"/>
        <w:color w:val="000000"/>
        <w:sz w:val="22"/>
        <w:szCs w:val="22"/>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8B4B25"/>
    <w:multiLevelType w:val="hybridMultilevel"/>
    <w:tmpl w:val="00000000"/>
    <w:lvl w:ilvl="0">
      <w:start w:val="2"/>
      <w:numFmt w:val="decimal"/>
      <w:lvlText w:val="%1."/>
      <w:lvlJc w:val="left"/>
      <w:pPr>
        <w:ind w:left="360" w:hanging="36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5E917BAE"/>
    <w:multiLevelType w:val="hybridMultilevel"/>
    <w:tmpl w:val="00000000"/>
    <w:lvl w:ilvl="0">
      <w:start w:val="1"/>
      <w:numFmt w:val="decimal"/>
      <w:lvlText w:val="%1."/>
      <w:lvlJc w:val="left"/>
      <w:pPr>
        <w:ind w:left="360" w:hanging="36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
    <w:nsid w:val="6D99D15A"/>
    <w:multiLevelType w:val="hybridMultilevel"/>
    <w:tmpl w:val="00000000"/>
    <w:lvl w:ilvl="0">
      <w:start w:val="13"/>
      <w:numFmt w:val="decimal"/>
      <w:lvlText w:val="%1."/>
      <w:lvlJc w:val="left"/>
      <w:pPr>
        <w:ind w:left="360" w:hanging="36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19"/>
  </w:style>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pageBreakBefore w:val="0"/>
      <w:spacing w:before="480" w:after="120"/>
    </w:pPr>
    <w:rPr>
      <w:b/>
      <w:sz w:val="72"/>
      <w:szCs w:val="72"/>
    </w:rPr>
  </w:style>
  <w:style w:type="paragraph" w:styleId="Footer">
    <w:name w:val="footer"/>
    <w:basedOn w:val="Normal"/>
    <w:link w:val="FooterChar"/>
    <w:uiPriority w:val="99"/>
    <w:semiHidden/>
    <w:unhideWhenUsed/>
    <w:rsid w:val="007E21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2181"/>
  </w:style>
  <w:style w:type="character" w:styleId="PageNumber">
    <w:name w:val="page number"/>
    <w:basedOn w:val="DefaultParagraphFont"/>
    <w:rsid w:val="007E2181"/>
  </w:style>
  <w:style w:type="paragraph" w:styleId="BalloonText">
    <w:name w:val="Balloon Text"/>
    <w:basedOn w:val="Normal"/>
    <w:link w:val="BalloonTextChar"/>
    <w:uiPriority w:val="99"/>
    <w:semiHidden/>
    <w:unhideWhenUsed/>
    <w:rsid w:val="00755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77F"/>
    <w:rPr>
      <w:rFonts w:ascii="Tahoma" w:hAnsi="Tahoma" w:cs="Tahoma"/>
      <w:sz w:val="16"/>
      <w:szCs w:val="16"/>
    </w:rPr>
  </w:style>
  <w:style w:type="character" w:styleId="CommentReference">
    <w:name w:val="annotation reference"/>
    <w:basedOn w:val="DefaultParagraphFont"/>
    <w:uiPriority w:val="99"/>
    <w:semiHidden/>
    <w:unhideWhenUsed/>
    <w:rsid w:val="00646C0C"/>
    <w:rPr>
      <w:sz w:val="16"/>
      <w:szCs w:val="16"/>
    </w:rPr>
  </w:style>
  <w:style w:type="paragraph" w:styleId="CommentText">
    <w:name w:val="annotation text"/>
    <w:basedOn w:val="Normal"/>
    <w:link w:val="CommentTextChar"/>
    <w:uiPriority w:val="99"/>
    <w:unhideWhenUsed/>
    <w:rsid w:val="00646C0C"/>
    <w:pPr>
      <w:spacing w:line="240" w:lineRule="auto"/>
    </w:pPr>
    <w:rPr>
      <w:sz w:val="20"/>
      <w:szCs w:val="20"/>
    </w:rPr>
  </w:style>
  <w:style w:type="character" w:customStyle="1" w:styleId="CommentTextChar">
    <w:name w:val="Comment Text Char"/>
    <w:basedOn w:val="DefaultParagraphFont"/>
    <w:link w:val="CommentText"/>
    <w:uiPriority w:val="99"/>
    <w:rsid w:val="00646C0C"/>
    <w:rPr>
      <w:sz w:val="20"/>
      <w:szCs w:val="20"/>
    </w:rPr>
  </w:style>
  <w:style w:type="paragraph" w:styleId="CommentSubject">
    <w:name w:val="annotation subject"/>
    <w:basedOn w:val="CommentText"/>
    <w:next w:val="CommentText"/>
    <w:link w:val="CommentSubjectChar"/>
    <w:uiPriority w:val="99"/>
    <w:semiHidden/>
    <w:unhideWhenUsed/>
    <w:rsid w:val="00646C0C"/>
    <w:rPr>
      <w:b/>
      <w:bCs/>
    </w:rPr>
  </w:style>
  <w:style w:type="character" w:customStyle="1" w:styleId="CommentSubjectChar">
    <w:name w:val="Comment Subject Char"/>
    <w:basedOn w:val="CommentTextChar"/>
    <w:link w:val="CommentSubject"/>
    <w:uiPriority w:val="99"/>
    <w:semiHidden/>
    <w:rsid w:val="00646C0C"/>
    <w:rPr>
      <w:b/>
      <w:bCs/>
      <w:sz w:val="20"/>
      <w:szCs w:val="20"/>
    </w:rPr>
  </w:style>
  <w:style w:type="paragraph" w:styleId="Revision">
    <w:name w:val="Revision"/>
    <w:hidden/>
    <w:uiPriority w:val="99"/>
    <w:semiHidden/>
    <w:rsid w:val="009005DC"/>
    <w:pPr>
      <w:spacing w:after="0" w:line="240" w:lineRule="auto"/>
    </w:pPr>
  </w:style>
  <w:style w:type="character" w:styleId="Hyperlink">
    <w:name w:val="Hyperlink"/>
    <w:basedOn w:val="DefaultParagraphFont"/>
    <w:uiPriority w:val="99"/>
    <w:unhideWhenUsed/>
    <w:rsid w:val="003578E1"/>
    <w:rPr>
      <w:color w:val="0000FF" w:themeColor="hyperlink"/>
      <w:u w:val="single"/>
    </w:rPr>
  </w:style>
  <w:style w:type="character" w:styleId="UnresolvedMention">
    <w:name w:val="Unresolved Mention"/>
    <w:basedOn w:val="DefaultParagraphFont"/>
    <w:uiPriority w:val="99"/>
    <w:semiHidden/>
    <w:unhideWhenUsed/>
    <w:rsid w:val="003578E1"/>
    <w:rPr>
      <w:color w:val="605E5C"/>
      <w:shd w:val="clear" w:color="auto" w:fill="E1DFDD"/>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oh/entertainment-and-sports/producers-and-directors.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1S0Qh2+/lu9dRMdatZwcmGfpog==">CgMxLjA4AHIhMWFJeGlZSE5yR0RLbXFxQ3BDdFRrdW9tNUtCV1lvekgw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revision>0</cp:revision>
  <dcterms:created xsi:type="dcterms:W3CDTF">2024-10-23T13:42:00Z</dcterms:created>
</cp:coreProperties>
</file>