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422" w:rsidRPr="005611F6" w:rsidP="005611F6" w14:paraId="5B8358FF" w14:textId="73D2D996">
      <w:pPr>
        <w:spacing w:after="0"/>
        <w:jc w:val="center"/>
        <w:rPr>
          <w:b/>
        </w:rPr>
      </w:pPr>
      <w:r>
        <w:rPr>
          <w:b/>
        </w:rPr>
        <w:t xml:space="preserve"> </w:t>
      </w:r>
      <w:r w:rsidRPr="005611F6" w:rsidR="003B6C9B">
        <w:rPr>
          <w:b/>
        </w:rPr>
        <w:t>S</w:t>
      </w:r>
      <w:r w:rsidRPr="005611F6">
        <w:rPr>
          <w:b/>
        </w:rPr>
        <w:t>UPPORTING STATEMENT</w:t>
      </w:r>
    </w:p>
    <w:p w:rsidR="00234FDD" w:rsidRPr="005611F6" w:rsidP="005611F6" w14:paraId="58FA0B79" w14:textId="77777777">
      <w:pPr>
        <w:spacing w:after="0"/>
        <w:jc w:val="center"/>
        <w:rPr>
          <w:b/>
        </w:rPr>
      </w:pPr>
      <w:r w:rsidRPr="005611F6">
        <w:rPr>
          <w:b/>
        </w:rPr>
        <w:t>U.S. Department of Commerce</w:t>
      </w:r>
    </w:p>
    <w:p w:rsidR="003B6C9B" w:rsidRPr="005611F6" w:rsidP="005611F6" w14:paraId="0B96FCD3" w14:textId="77777777">
      <w:pPr>
        <w:spacing w:after="0"/>
        <w:jc w:val="center"/>
        <w:rPr>
          <w:b/>
        </w:rPr>
      </w:pPr>
      <w:r w:rsidRPr="005611F6">
        <w:rPr>
          <w:b/>
        </w:rPr>
        <w:t>Econ</w:t>
      </w:r>
      <w:r w:rsidRPr="005611F6" w:rsidR="00B63FEF">
        <w:rPr>
          <w:b/>
        </w:rPr>
        <w:t>omic Development Administration</w:t>
      </w:r>
    </w:p>
    <w:p w:rsidR="006D7C1E" w:rsidRPr="006D7C1E" w:rsidP="006D7C1E" w14:paraId="0DFEABCC" w14:textId="36702791">
      <w:pPr>
        <w:spacing w:after="0"/>
        <w:jc w:val="center"/>
        <w:rPr>
          <w:b/>
        </w:rPr>
      </w:pPr>
      <w:r w:rsidRPr="006D7C1E">
        <w:rPr>
          <w:b/>
        </w:rPr>
        <w:t>COMPREHENSIVE ECONOMIC DEVELOPMENT STRATEGIES</w:t>
      </w:r>
    </w:p>
    <w:p w:rsidR="00AF6E7C" w:rsidP="006D7C1E" w14:paraId="409AED50" w14:textId="23DCEC16">
      <w:pPr>
        <w:spacing w:after="0"/>
        <w:jc w:val="center"/>
        <w:rPr>
          <w:b/>
        </w:rPr>
      </w:pPr>
      <w:r w:rsidRPr="006D7C1E">
        <w:rPr>
          <w:b/>
        </w:rPr>
        <w:t>OMB CONTROL NO. 0610-0093</w:t>
      </w:r>
    </w:p>
    <w:p w:rsidR="00B41A93" w:rsidRPr="0006683A" w:rsidP="0040352D"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14:paraId="67F5DA35" w14:textId="01015BFA">
      <w:pPr>
        <w:spacing w:after="200"/>
      </w:pPr>
      <w:r>
        <w:t xml:space="preserve">This </w:t>
      </w:r>
      <w:r w:rsidR="00D70BAD">
        <w:t>Supporting Statement is</w:t>
      </w:r>
      <w:r>
        <w:t xml:space="preserve"> </w:t>
      </w:r>
      <w:r w:rsidR="00790E14">
        <w:t>for the extension</w:t>
      </w:r>
      <w:r w:rsidR="00B37F64">
        <w:t xml:space="preserve"> without change</w:t>
      </w:r>
      <w:r w:rsidRPr="00230EA8" w:rsidR="00790E14">
        <w:t xml:space="preserve"> of a </w:t>
      </w:r>
      <w:r w:rsidR="00790E14">
        <w:t>c</w:t>
      </w:r>
      <w:r w:rsidRPr="00230EA8" w:rsidR="00790E14">
        <w:t xml:space="preserve">urrently </w:t>
      </w:r>
      <w:r w:rsidR="00790E14">
        <w:t>a</w:t>
      </w:r>
      <w:r w:rsidRPr="00230EA8" w:rsidR="00790E14">
        <w:t xml:space="preserve">pproved </w:t>
      </w:r>
      <w:r w:rsidR="00790E14">
        <w:t>information c</w:t>
      </w:r>
      <w:r w:rsidRPr="00230EA8" w:rsidR="00790E14">
        <w:t>ollection</w:t>
      </w:r>
      <w:r>
        <w:t>.</w:t>
      </w:r>
    </w:p>
    <w:p w:rsidR="00E658D9" w:rsidRPr="005B3844" w:rsidP="00F76726" w14:paraId="011533A9" w14:textId="77777777">
      <w:pPr>
        <w:pStyle w:val="NoSpacing"/>
        <w:keepNext/>
        <w:numPr>
          <w:ilvl w:val="0"/>
          <w:numId w:val="12"/>
        </w:numPr>
        <w:tabs>
          <w:tab w:val="clear" w:pos="720"/>
        </w:tabs>
        <w:spacing w:before="240" w:after="240"/>
        <w:outlineLvl w:val="1"/>
        <w:rPr>
          <w:b/>
        </w:rPr>
      </w:pPr>
      <w:r w:rsidRPr="0067051C">
        <w:rPr>
          <w:b/>
        </w:rPr>
        <w:t xml:space="preserve">Explain </w:t>
      </w:r>
      <w:r w:rsidRPr="005B3844">
        <w:rPr>
          <w:b/>
        </w:rPr>
        <w:t>the circumstances that make the collection of information necessary.</w:t>
      </w:r>
    </w:p>
    <w:p w:rsidR="004E1F08" w:rsidRPr="00560180" w:rsidP="006F13DD" w14:paraId="12C8F923" w14:textId="1AA7E9F9">
      <w:pPr>
        <w:spacing w:after="200"/>
        <w:rPr>
          <w:color w:val="auto"/>
        </w:rPr>
      </w:pPr>
      <w:r w:rsidRPr="0020530C">
        <w:rPr>
          <w:rStyle w:val="normaltextrun"/>
          <w:color w:val="auto"/>
          <w:shd w:val="clear" w:color="auto" w:fill="FFFFFF"/>
        </w:rPr>
        <w:t>The Economic Development Administration (EDA) leads the Federal economic development agenda by promoting innovation and competitiveness, preparing American regions for growth and success in the worldwide economy.</w:t>
      </w:r>
      <w:r w:rsidR="00BA78FE">
        <w:rPr>
          <w:rStyle w:val="normaltextrun"/>
          <w:color w:val="auto"/>
          <w:shd w:val="clear" w:color="auto" w:fill="FFFFFF"/>
        </w:rPr>
        <w:t xml:space="preserve"> </w:t>
      </w:r>
      <w:r w:rsidRPr="0020530C">
        <w:rPr>
          <w:rStyle w:val="normaltextrun"/>
          <w:color w:val="auto"/>
          <w:shd w:val="clear" w:color="auto" w:fill="FFFFFF"/>
        </w:rPr>
        <w:t xml:space="preserve">Guided by the basic principle that sustainable economic development should be </w:t>
      </w:r>
      <w:r w:rsidRPr="0020530C">
        <w:rPr>
          <w:rStyle w:val="normaltextrun"/>
          <w:color w:val="auto"/>
          <w:shd w:val="clear" w:color="auto" w:fill="FFFFFF"/>
        </w:rPr>
        <w:t>locally-driven</w:t>
      </w:r>
      <w:r w:rsidRPr="0020530C">
        <w:rPr>
          <w:rStyle w:val="normaltextrun"/>
          <w:color w:val="auto"/>
          <w:shd w:val="clear" w:color="auto" w:fill="FFFFFF"/>
        </w:rPr>
        <w:t>, EDA works directly with communities and regions to help them build the capacity for economic development based on local business conditions and needs.</w:t>
      </w:r>
    </w:p>
    <w:p w:rsidR="00BD6746" w:rsidP="006F13DD" w14:paraId="15B5802C" w14:textId="37DC2F10">
      <w:pPr>
        <w:spacing w:after="200"/>
      </w:pPr>
      <w:r w:rsidRPr="00560180">
        <w:rPr>
          <w:rStyle w:val="normaltextrun"/>
          <w:color w:val="auto"/>
          <w:shd w:val="clear" w:color="auto" w:fill="FFFFFF"/>
        </w:rPr>
        <w:t xml:space="preserve">The Public Works and </w:t>
      </w:r>
      <w:r w:rsidRPr="005B3844">
        <w:rPr>
          <w:rStyle w:val="normaltextrun"/>
          <w:shd w:val="clear" w:color="auto" w:fill="FFFFFF"/>
        </w:rPr>
        <w:t xml:space="preserve">Economic Development Act of </w:t>
      </w:r>
      <w:r w:rsidRPr="00F17F13">
        <w:rPr>
          <w:rStyle w:val="normaltextrun"/>
          <w:shd w:val="clear" w:color="auto" w:fill="FFFFFF"/>
        </w:rPr>
        <w:t xml:space="preserve">1965 (PWEDA) (42 U.S.C. § 3121 </w:t>
      </w:r>
      <w:r w:rsidRPr="0020530C">
        <w:rPr>
          <w:rStyle w:val="normaltextrun"/>
          <w:i/>
          <w:iCs/>
          <w:shd w:val="clear" w:color="auto" w:fill="FFFFFF"/>
        </w:rPr>
        <w:t>et seq</w:t>
      </w:r>
      <w:r w:rsidR="00BA78FE">
        <w:rPr>
          <w:rStyle w:val="normaltextrun"/>
          <w:shd w:val="clear" w:color="auto" w:fill="FFFFFF"/>
        </w:rPr>
        <w:t>.</w:t>
      </w:r>
      <w:r w:rsidRPr="00F17F13">
        <w:rPr>
          <w:rStyle w:val="normaltextrun"/>
          <w:shd w:val="clear" w:color="auto" w:fill="FFFFFF"/>
        </w:rPr>
        <w:t>)</w:t>
      </w:r>
      <w:r w:rsidR="00BA78FE">
        <w:rPr>
          <w:rStyle w:val="normaltextrun"/>
          <w:shd w:val="clear" w:color="auto" w:fill="FFFFFF"/>
        </w:rPr>
        <w:t xml:space="preserve"> </w:t>
      </w:r>
      <w:r w:rsidRPr="00F17F13">
        <w:rPr>
          <w:rStyle w:val="normaltextrun"/>
          <w:shd w:val="clear" w:color="auto" w:fill="FFFFFF"/>
        </w:rPr>
        <w:t>is EDA’s organic authority</w:t>
      </w:r>
      <w:r>
        <w:rPr>
          <w:rStyle w:val="normaltextrun"/>
          <w:shd w:val="clear" w:color="auto" w:fill="FFFFFF"/>
        </w:rPr>
        <w:t xml:space="preserve"> and is the primary legal authority under which EDA awards</w:t>
      </w:r>
      <w:r w:rsidR="00BA78FE">
        <w:rPr>
          <w:rStyle w:val="normaltextrun"/>
          <w:shd w:val="clear" w:color="auto" w:fill="FFFFFF"/>
        </w:rPr>
        <w:t xml:space="preserve"> </w:t>
      </w:r>
      <w:r>
        <w:rPr>
          <w:rStyle w:val="normaltextrun"/>
          <w:shd w:val="clear" w:color="auto" w:fill="FFFFFF"/>
        </w:rPr>
        <w:t>financial assistance.</w:t>
      </w:r>
      <w:r w:rsidR="00BA78FE">
        <w:rPr>
          <w:rStyle w:val="normaltextrun"/>
          <w:shd w:val="clear" w:color="auto" w:fill="FFFFFF"/>
        </w:rPr>
        <w:t xml:space="preserve"> </w:t>
      </w:r>
      <w:r>
        <w:rPr>
          <w:rStyle w:val="normaltextrun"/>
          <w:shd w:val="clear" w:color="auto" w:fill="FFFFFF"/>
        </w:rPr>
        <w:t>Under PWEDA, EDA provides financial assistance to both rural and urban distressed communities by fostering entrepreneurship, innovation,</w:t>
      </w:r>
      <w:r w:rsidR="00BA78FE">
        <w:rPr>
          <w:rStyle w:val="normaltextrun"/>
          <w:shd w:val="clear" w:color="auto" w:fill="FFFFFF"/>
        </w:rPr>
        <w:t xml:space="preserve"> </w:t>
      </w:r>
      <w:r>
        <w:rPr>
          <w:rStyle w:val="normaltextrun"/>
          <w:shd w:val="clear" w:color="auto" w:fill="FFFFFF"/>
        </w:rPr>
        <w:t>and productivity through investments in infrastructure development, capacity building,</w:t>
      </w:r>
      <w:r w:rsidR="00BA78FE">
        <w:rPr>
          <w:rStyle w:val="normaltextrun"/>
          <w:shd w:val="clear" w:color="auto" w:fill="FFFFFF"/>
        </w:rPr>
        <w:t xml:space="preserve"> </w:t>
      </w:r>
      <w:r>
        <w:rPr>
          <w:rStyle w:val="normaltextrun"/>
          <w:shd w:val="clear" w:color="auto" w:fill="FFFFFF"/>
        </w:rPr>
        <w:t xml:space="preserve">and business development </w:t>
      </w:r>
      <w:r>
        <w:rPr>
          <w:rStyle w:val="normaltextrun"/>
          <w:shd w:val="clear" w:color="auto" w:fill="FFFFFF"/>
        </w:rPr>
        <w:t>in order to</w:t>
      </w:r>
      <w:r>
        <w:rPr>
          <w:rStyle w:val="normaltextrun"/>
          <w:shd w:val="clear" w:color="auto" w:fill="FFFFFF"/>
        </w:rPr>
        <w:t xml:space="preserve"> attract private capital investments and new and better jobs to regions experiencing economic distress.</w:t>
      </w:r>
    </w:p>
    <w:p w:rsidR="00F12B49" w:rsidRPr="00F12B49" w:rsidP="00161BE7" w14:paraId="265247E4" w14:textId="77777777">
      <w:pPr>
        <w:pStyle w:val="NoSpacing"/>
        <w:keepNext/>
        <w:spacing w:before="240" w:after="240"/>
        <w:rPr>
          <w:b/>
        </w:rPr>
      </w:pPr>
      <w:r w:rsidRPr="00F12B49">
        <w:rPr>
          <w:rFonts w:eastAsia="Times New Roman"/>
          <w:color w:val="000000"/>
        </w:rPr>
        <w:t xml:space="preserve">To effectively administer and monitor its economic development assistance programs, EDA collects certain information from applications for, and recipients of, EDA investment assistance. A Comprehensive Economic Development Strategy (CEDS) emerges from a continuing planning process developed and driven by a public sector planning organization by engaging a broad-based and diverse set of stakeholders to address the economic problems and potential of a region. The CEDS should include information about how and to what extent stakeholder input and support was solicited. Information on how the planning organization collaborated with its diverse set of stakeholders (including the public sector, private interests, non-profits, educational institutions, and community organizations) in the development of the CEDS should be included. In accordance with 13 CFR 303.7(b), a CEDS must contain a summary background, a SWOT (Strengths, Weaknesses, Opportunities, and Threats) Analysis, Strategic Direction/Action Plan, and an Evaluation Framework. In addition, the CEDS must incorporate the concept of economic resilience (i.e., the ability to avoid, withstand, and recover from economic shifts, natural disasters, etc.). A CEDS is required for an eligible applicant to qualify for an EDA investment assistance under EDA’s Public Works program, Economic Adjustment Assistance program, and certain planning programs, and is a prerequisite for a region’s designation by EDA as an Economic Development District (see 13 CFR part 303, 13 CFR 305.2, and 13 CFR 307.2). EDA </w:t>
      </w:r>
      <w:r w:rsidRPr="00F12B49">
        <w:rPr>
          <w:rFonts w:eastAsia="Times New Roman"/>
          <w:color w:val="000000"/>
        </w:rPr>
        <w:t>collects information under this information collection to ensure compliance with EDA’s CEDS requirements.</w:t>
      </w:r>
    </w:p>
    <w:p w:rsidR="00CA16BE" w:rsidRPr="0067051C" w:rsidP="00F76726" w14:paraId="64EAD621" w14:textId="40A8C9CB">
      <w:pPr>
        <w:pStyle w:val="NoSpacing"/>
        <w:keepNext/>
        <w:numPr>
          <w:ilvl w:val="0"/>
          <w:numId w:val="12"/>
        </w:numPr>
        <w:tabs>
          <w:tab w:val="clear" w:pos="720"/>
        </w:tabs>
        <w:spacing w:before="240" w:after="240"/>
        <w:outlineLvl w:val="1"/>
        <w:rPr>
          <w:b/>
        </w:rPr>
      </w:pPr>
      <w:r w:rsidRPr="0067051C">
        <w:rPr>
          <w:b/>
        </w:rPr>
        <w:t>Indicate how, by whom, and for what purpose the information is to be used.</w:t>
      </w:r>
    </w:p>
    <w:p w:rsidR="00F344A6" w:rsidRPr="00F344A6" w:rsidP="00F344A6" w14:paraId="7A671381" w14:textId="3175F044">
      <w:pPr>
        <w:rPr>
          <w:iCs/>
        </w:rPr>
      </w:pPr>
      <w:r w:rsidRPr="00F344A6">
        <w:rPr>
          <w:iCs/>
        </w:rPr>
        <w:t>The information contained in the CEDS is used</w:t>
      </w:r>
      <w:r w:rsidR="00F27C8C">
        <w:rPr>
          <w:iCs/>
        </w:rPr>
        <w:t xml:space="preserve"> by EDA personnel</w:t>
      </w:r>
      <w:r w:rsidRPr="00F344A6">
        <w:rPr>
          <w:iCs/>
        </w:rPr>
        <w:t xml:space="preserve"> to ensure </w:t>
      </w:r>
      <w:r w:rsidRPr="00CB49AE">
        <w:t xml:space="preserve">that </w:t>
      </w:r>
      <w:r>
        <w:t>recipient</w:t>
      </w:r>
      <w:r w:rsidR="00F907E4">
        <w:t>s of planning financial assistance awards are</w:t>
      </w:r>
      <w:r>
        <w:t xml:space="preserve"> complying with EDA’</w:t>
      </w:r>
      <w:r w:rsidRPr="00CB49AE">
        <w:t>s CEDS requirements</w:t>
      </w:r>
      <w:r>
        <w:t>. Specifically,</w:t>
      </w:r>
      <w:r w:rsidRPr="00A34367">
        <w:t xml:space="preserve"> a CEDS is a prerequisite for designation by EDA as an Economic Development District (EDD)</w:t>
      </w:r>
      <w:r>
        <w:t xml:space="preserve"> under its Planning Program</w:t>
      </w:r>
      <w:r w:rsidRPr="00A34367">
        <w:t>.</w:t>
      </w:r>
      <w:r>
        <w:t xml:space="preserve"> </w:t>
      </w:r>
      <w:r w:rsidRPr="00F344A6">
        <w:rPr>
          <w:iCs/>
        </w:rPr>
        <w:t>The information contained in the CEDS is also evaluated by EDA personnel to competitively select proposed Public Works and Economic Adjustment Assistance projects for funding.</w:t>
      </w:r>
    </w:p>
    <w:p w:rsidR="00F344A6" w:rsidP="00F344A6" w14:paraId="5F6425F6" w14:textId="77777777">
      <w:r>
        <w:t>The information collected will not be disseminated to the public.</w:t>
      </w:r>
    </w:p>
    <w:p w:rsidR="00BD53AF" w:rsidRPr="00CA16BE" w:rsidP="00F76726" w14:paraId="239E53A3" w14:textId="77777777">
      <w:pPr>
        <w:pStyle w:val="NoSpacing"/>
        <w:keepNext/>
        <w:numPr>
          <w:ilvl w:val="0"/>
          <w:numId w:val="12"/>
        </w:numPr>
        <w:tabs>
          <w:tab w:val="clear" w:pos="720"/>
        </w:tabs>
        <w:spacing w:before="240" w:after="240"/>
        <w:outlineLvl w:val="1"/>
        <w:rPr>
          <w:b/>
        </w:rPr>
      </w:pPr>
      <w:r w:rsidRPr="00CA16BE">
        <w:rPr>
          <w:b/>
        </w:rPr>
        <w:t>Describe whether</w:t>
      </w:r>
      <w:r w:rsidRPr="00CA16BE" w:rsidR="00A00789">
        <w:rPr>
          <w:b/>
        </w:rPr>
        <w:t>, and to what extent, the collection of information involves the use of automated, electronic, mechanical, or other technological collection techniques or other forms of information technology.</w:t>
      </w:r>
    </w:p>
    <w:p w:rsidR="005A685D" w:rsidRPr="00234FDD" w:rsidP="000027A1" w14:paraId="0BFB6AE9" w14:textId="6E8594A5">
      <w:r>
        <w:t>EDA permits applicants</w:t>
      </w:r>
      <w:r w:rsidR="00860F1C">
        <w:t xml:space="preserve"> and recipients of financial assistance awards</w:t>
      </w:r>
      <w:r>
        <w:t xml:space="preserve"> to submit CEDS</w:t>
      </w:r>
      <w:r w:rsidRPr="00234FDD">
        <w:t xml:space="preserve"> </w:t>
      </w:r>
      <w:r>
        <w:t>either electronically or in hardcopy</w:t>
      </w:r>
      <w:r w:rsidRPr="00234FDD">
        <w:t>.</w:t>
      </w:r>
      <w:r>
        <w:t xml:space="preserve"> </w:t>
      </w:r>
      <w:r w:rsidRPr="00A42A48" w:rsidR="000909A5">
        <w:t>EDA is not proposing any changes to the current information collection request.</w:t>
      </w:r>
    </w:p>
    <w:p w:rsidR="00A00789" w:rsidRPr="00CA16BE" w:rsidP="00F76726" w14:paraId="47412630" w14:textId="77777777">
      <w:pPr>
        <w:pStyle w:val="NoSpacing"/>
        <w:keepNext/>
        <w:numPr>
          <w:ilvl w:val="0"/>
          <w:numId w:val="12"/>
        </w:numPr>
        <w:tabs>
          <w:tab w:val="clear" w:pos="720"/>
        </w:tabs>
        <w:spacing w:before="240" w:after="240"/>
        <w:outlineLvl w:val="1"/>
        <w:rPr>
          <w:b/>
        </w:rPr>
      </w:pPr>
      <w:r w:rsidRPr="00CA16BE">
        <w:rPr>
          <w:b/>
        </w:rPr>
        <w:t>Describe efforts to identify duplication.</w:t>
      </w:r>
    </w:p>
    <w:p w:rsidR="00A00789" w:rsidRPr="00234FDD" w:rsidP="007B01D5" w14:paraId="2962EC76" w14:textId="1EC97791">
      <w:pPr>
        <w:spacing w:after="200"/>
      </w:pPr>
      <w:r w:rsidRPr="004D7A12">
        <w:t xml:space="preserve">EDA reviews existing information collections to ensure that there is no duplication. The information requested is unique </w:t>
      </w:r>
      <w:r>
        <w:t>to the information collection</w:t>
      </w:r>
      <w:r w:rsidRPr="004D7A12">
        <w:t xml:space="preserve"> and is not collected elsewhere.</w:t>
      </w:r>
    </w:p>
    <w:p w:rsidR="00A00789" w:rsidRPr="00CA16BE" w:rsidP="00F76726" w14:paraId="5316295B" w14:textId="77777777">
      <w:pPr>
        <w:pStyle w:val="NoSpacing"/>
        <w:keepNext/>
        <w:numPr>
          <w:ilvl w:val="0"/>
          <w:numId w:val="12"/>
        </w:numPr>
        <w:tabs>
          <w:tab w:val="clear" w:pos="720"/>
        </w:tabs>
        <w:spacing w:before="240" w:after="240"/>
        <w:outlineLvl w:val="1"/>
        <w:rPr>
          <w:b/>
        </w:rPr>
      </w:pPr>
      <w:r w:rsidRPr="00CA16BE">
        <w:rPr>
          <w:b/>
        </w:rPr>
        <w:t>If the collection of information involves small businesses or other small entities, describe the methods used to minimize burden.</w:t>
      </w:r>
    </w:p>
    <w:p w:rsidR="00C01252" w:rsidP="007B01D5" w14:paraId="143D74A2" w14:textId="6C27CE5B">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EDA collects only the minimum amount of information to effectively administer its programs and to monitor compliance with PWEDA</w:t>
      </w:r>
      <w:r w:rsidR="0018714F">
        <w:t xml:space="preserve"> </w:t>
      </w:r>
      <w:r>
        <w:t>and EDA regulations</w:t>
      </w:r>
      <w:r>
        <w:t>.</w:t>
      </w:r>
    </w:p>
    <w:p w:rsidR="00A00789" w:rsidRPr="00CA16BE" w:rsidP="00F76726" w14:paraId="44AAA120" w14:textId="77777777">
      <w:pPr>
        <w:pStyle w:val="NoSpacing"/>
        <w:keepNext/>
        <w:numPr>
          <w:ilvl w:val="0"/>
          <w:numId w:val="12"/>
        </w:numPr>
        <w:tabs>
          <w:tab w:val="clear" w:pos="720"/>
        </w:tabs>
        <w:spacing w:before="240" w:after="240"/>
        <w:outlineLvl w:val="1"/>
        <w:rPr>
          <w:b/>
        </w:rPr>
      </w:pPr>
      <w:r w:rsidRPr="00CA16BE">
        <w:rPr>
          <w:b/>
        </w:rPr>
        <w:t>Describe the consequences to the Federal program or policy activities if the collection is not conducted or is conducted less frequently.</w:t>
      </w:r>
    </w:p>
    <w:p w:rsidR="00074760" w:rsidRPr="00234FDD" w:rsidP="007B01D5" w14:paraId="60F427C8" w14:textId="5D14F05F">
      <w:pPr>
        <w:spacing w:after="200"/>
      </w:pPr>
      <w:r w:rsidRPr="00392809">
        <w:t>EDA would not be able to fulfill its statutory mandate</w:t>
      </w:r>
      <w:r w:rsidR="00F50E10">
        <w:t xml:space="preserve"> to implement certain financial assistance programs</w:t>
      </w:r>
      <w:r w:rsidRPr="00392809">
        <w:t xml:space="preserve"> if the information collection is not conducted. </w:t>
      </w:r>
      <w:r w:rsidR="00592AAA">
        <w:t>As described above, a</w:t>
      </w:r>
      <w:r w:rsidRPr="00592AAA" w:rsidR="00592AAA">
        <w:t xml:space="preserve"> CEDS is required for an eligible applicant to qualify for an EDA investment assistance under EDA’s Public Works program, Economic Adjustment Assistance program, and certain planning programs, and is a prerequisite for a region’s designation by EDA as an Economic Development District (see 13 CFR part 303, 13 CFR 305.2, and 13 CFR 307.2).</w:t>
      </w:r>
    </w:p>
    <w:p w:rsidR="00A00789" w:rsidRPr="00CA16BE" w:rsidP="00F76726" w14:paraId="11A717B9" w14:textId="77777777">
      <w:pPr>
        <w:pStyle w:val="NoSpacing"/>
        <w:keepNext/>
        <w:numPr>
          <w:ilvl w:val="0"/>
          <w:numId w:val="12"/>
        </w:numPr>
        <w:tabs>
          <w:tab w:val="clear" w:pos="720"/>
        </w:tabs>
        <w:spacing w:before="240" w:after="240"/>
        <w:outlineLvl w:val="1"/>
        <w:rPr>
          <w:b/>
        </w:rPr>
      </w:pPr>
      <w:r w:rsidRPr="00CA16BE">
        <w:rPr>
          <w:b/>
        </w:rPr>
        <w:t xml:space="preserve">Explain any special circumstances that require the collection to be conducted in a manner </w:t>
      </w:r>
      <w:r w:rsidRPr="00CA16BE" w:rsidR="00AE75E0">
        <w:rPr>
          <w:b/>
        </w:rPr>
        <w:t>in</w:t>
      </w:r>
      <w:r w:rsidRPr="00CA16BE">
        <w:rPr>
          <w:b/>
        </w:rPr>
        <w:t>consistent with OMB guidelines.</w:t>
      </w:r>
    </w:p>
    <w:p w:rsidR="00A00789" w:rsidP="007B01D5"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003B7DE6" w:rsidRPr="00CA16BE" w:rsidP="00F76726" w14:paraId="5C1E1E52" w14:textId="23B76D3D">
      <w:pPr>
        <w:pStyle w:val="NoSpacing"/>
        <w:keepNext/>
        <w:numPr>
          <w:ilvl w:val="0"/>
          <w:numId w:val="12"/>
        </w:numPr>
        <w:tabs>
          <w:tab w:val="clear" w:pos="720"/>
        </w:tabs>
        <w:spacing w:before="240" w:after="240"/>
        <w:outlineLvl w:val="1"/>
        <w:rPr>
          <w:b/>
        </w:rPr>
      </w:pPr>
      <w:r w:rsidRPr="00CA16BE">
        <w:rPr>
          <w:b/>
        </w:rPr>
        <w:t>P</w:t>
      </w:r>
      <w:r w:rsidRPr="00CA16BE" w:rsidR="00A00789">
        <w:rPr>
          <w:b/>
        </w:rPr>
        <w:t xml:space="preserve">rovide a copy of the </w:t>
      </w:r>
      <w:r w:rsidRPr="00CA16BE">
        <w:rPr>
          <w:b/>
        </w:rPr>
        <w:t>PRA</w:t>
      </w:r>
      <w:r w:rsidRPr="00CA16BE" w:rsidR="00A00789">
        <w:rPr>
          <w:b/>
        </w:rPr>
        <w:t xml:space="preserve"> Federal Register </w:t>
      </w:r>
      <w:r w:rsidRPr="00CA16BE" w:rsidR="00234FDD">
        <w:rPr>
          <w:b/>
        </w:rPr>
        <w:t>N</w:t>
      </w:r>
      <w:r w:rsidRPr="00CA16BE" w:rsidR="00A00789">
        <w:rPr>
          <w:b/>
        </w:rPr>
        <w:t xml:space="preserve">otice that solicited public comments on the information collection </w:t>
      </w:r>
      <w:r w:rsidRPr="00CA16BE" w:rsidR="00556DEB">
        <w:rPr>
          <w:b/>
        </w:rPr>
        <w:t>prior to</w:t>
      </w:r>
      <w:r w:rsidRPr="00CA16BE">
        <w:rPr>
          <w:b/>
        </w:rPr>
        <w:t xml:space="preserve"> this</w:t>
      </w:r>
      <w:r w:rsidRPr="00CA16BE" w:rsidR="00556DEB">
        <w:rPr>
          <w:b/>
        </w:rPr>
        <w:t xml:space="preserve"> submission</w:t>
      </w:r>
      <w:r w:rsidRPr="00CA16BE">
        <w:rPr>
          <w:b/>
        </w:rPr>
        <w:t>.</w:t>
      </w:r>
      <w:r w:rsidR="002A44D9">
        <w:rPr>
          <w:b/>
        </w:rPr>
        <w:t xml:space="preserve"> </w:t>
      </w:r>
      <w:r w:rsidRPr="00CA16BE" w:rsidR="00556DEB">
        <w:rPr>
          <w:b/>
        </w:rPr>
        <w:t>Summarize the public comments received in response to the notice and describe the actions taken by the agency in response to those comments.</w:t>
      </w:r>
      <w:r w:rsidR="002A44D9">
        <w:rPr>
          <w:b/>
        </w:rPr>
        <w:t xml:space="preserve"> </w:t>
      </w:r>
      <w:r w:rsidRPr="00CA16BE" w:rsidR="00556DEB">
        <w:rPr>
          <w:b/>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A16BE">
        <w:rPr>
          <w:b/>
        </w:rPr>
        <w:t xml:space="preserve"> </w:t>
      </w:r>
    </w:p>
    <w:p w:rsidR="001E3A1E" w:rsidRPr="00B67A83" w:rsidP="007B01D5" w14:paraId="00DBDE69" w14:textId="5D099084">
      <w:pPr>
        <w:spacing w:after="200"/>
      </w:pPr>
      <w:bookmarkStart w:id="0" w:name="OLE_LINK1"/>
      <w:bookmarkStart w:id="1" w:name="OLE_LINK2"/>
      <w:r w:rsidRPr="00ED30AC">
        <w:t xml:space="preserve">On </w:t>
      </w:r>
      <w:r w:rsidR="00687F39">
        <w:t>November 21, 2024</w:t>
      </w:r>
      <w:r w:rsidRPr="00ED30AC">
        <w:t xml:space="preserve">, EDA published a Federal Register notice (FRN) that solicited public comments on this information collection </w:t>
      </w:r>
      <w:r w:rsidRPr="00A722F3">
        <w:t>(</w:t>
      </w:r>
      <w:r w:rsidRPr="00A722F3" w:rsidR="00A722F3">
        <w:t>8</w:t>
      </w:r>
      <w:r w:rsidR="00C72D38">
        <w:t>9</w:t>
      </w:r>
      <w:r w:rsidRPr="00A722F3" w:rsidR="00A722F3">
        <w:t xml:space="preserve"> FR </w:t>
      </w:r>
      <w:r w:rsidR="00C72D38">
        <w:t>92087</w:t>
      </w:r>
      <w:r w:rsidRPr="00ED30AC">
        <w:t>). In</w:t>
      </w:r>
      <w:r w:rsidRPr="00F72F80">
        <w:t xml:space="preserve"> particular, EDA solicited views from persons outside the agency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 </w:t>
      </w:r>
      <w:r w:rsidRPr="00830DAE">
        <w:t>No public comments were received in response to the FRN that solicited public comments on this information collection.</w:t>
      </w:r>
    </w:p>
    <w:bookmarkEnd w:id="0"/>
    <w:bookmarkEnd w:id="1"/>
    <w:p w:rsidR="00556DEB" w:rsidRPr="00CA16BE" w:rsidP="00F76726" w14:paraId="20EDCF88" w14:textId="77777777">
      <w:pPr>
        <w:pStyle w:val="NoSpacing"/>
        <w:keepNext/>
        <w:numPr>
          <w:ilvl w:val="0"/>
          <w:numId w:val="12"/>
        </w:numPr>
        <w:tabs>
          <w:tab w:val="clear" w:pos="720"/>
        </w:tabs>
        <w:spacing w:before="240" w:after="240"/>
        <w:outlineLvl w:val="1"/>
        <w:rPr>
          <w:b/>
        </w:rPr>
      </w:pPr>
      <w:r w:rsidRPr="00CA16BE">
        <w:rPr>
          <w:b/>
        </w:rPr>
        <w:t>Explain any decisions to provide payments or gifts to respondents, other than remuneration of contractors or grantees.</w:t>
      </w:r>
    </w:p>
    <w:p w:rsidR="00556DEB" w:rsidP="007B01D5" w14:paraId="5E3F60D5" w14:textId="3D8454CD">
      <w:pPr>
        <w:spacing w:after="200"/>
      </w:pPr>
      <w:r w:rsidRPr="005329E6">
        <w:t xml:space="preserve">No gifts or payments are made to any respondent, other than disbursements of </w:t>
      </w:r>
      <w:r>
        <w:t>award</w:t>
      </w:r>
      <w:r w:rsidRPr="005329E6">
        <w:t xml:space="preserve"> funds </w:t>
      </w:r>
      <w:r>
        <w:t>to financial assistance recipients</w:t>
      </w:r>
      <w:r w:rsidRPr="005329E6">
        <w:t>.</w:t>
      </w:r>
    </w:p>
    <w:p w:rsidR="00556DEB" w:rsidRPr="00CA16BE" w:rsidP="00F76726" w14:paraId="4072AFB5" w14:textId="77777777">
      <w:pPr>
        <w:pStyle w:val="NoSpacing"/>
        <w:keepNext/>
        <w:numPr>
          <w:ilvl w:val="0"/>
          <w:numId w:val="12"/>
        </w:numPr>
        <w:tabs>
          <w:tab w:val="clear" w:pos="720"/>
        </w:tabs>
        <w:spacing w:before="240" w:after="240"/>
        <w:outlineLvl w:val="1"/>
        <w:rPr>
          <w:b/>
        </w:rPr>
      </w:pPr>
      <w:r w:rsidRPr="00CA16BE">
        <w:rPr>
          <w:b/>
        </w:rPr>
        <w:t xml:space="preserve">Describe any assurance of confidentiality provided to respondents and the basis for assurance in statute, regulation, or agency policy. </w:t>
      </w:r>
    </w:p>
    <w:p w:rsidR="00931AD9" w:rsidP="007B01D5" w14:paraId="51DFE52D" w14:textId="77777777">
      <w:pPr>
        <w:spacing w:after="200"/>
      </w:pPr>
      <w:r w:rsidRPr="00234FDD">
        <w:t>There is no assurance of confidentiality provided to respondents of this information collection.</w:t>
      </w:r>
    </w:p>
    <w:p w:rsidR="00BC5DA5" w:rsidRPr="00234FDD" w:rsidP="007B01D5" w14:paraId="0ACB94EA" w14:textId="3B053570">
      <w:pPr>
        <w:spacing w:after="200"/>
      </w:pPr>
      <w:r w:rsidRPr="00234FDD">
        <w:t xml:space="preserve">While information submitted by a respondent to EDA generally </w:t>
      </w:r>
      <w:r w:rsidR="00F60642">
        <w:t xml:space="preserve">is </w:t>
      </w:r>
      <w:r w:rsidRPr="00234FDD">
        <w:t>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w:t>
      </w:r>
      <w:r w:rsidR="002A44D9">
        <w:t xml:space="preserve"> </w:t>
      </w:r>
      <w:r w:rsidRPr="007B01D5">
        <w:t xml:space="preserve">See </w:t>
      </w:r>
      <w:r w:rsidRPr="00234FDD">
        <w:t>5 U.S.C. 552(b)(4).</w:t>
      </w:r>
    </w:p>
    <w:p w:rsidR="00556DEB" w:rsidRPr="00CA16BE" w:rsidP="00F76726" w14:paraId="3F1C8689" w14:textId="77777777">
      <w:pPr>
        <w:pStyle w:val="NoSpacing"/>
        <w:keepNext/>
        <w:numPr>
          <w:ilvl w:val="0"/>
          <w:numId w:val="12"/>
        </w:numPr>
        <w:tabs>
          <w:tab w:val="clear" w:pos="720"/>
        </w:tabs>
        <w:spacing w:before="240" w:after="240"/>
        <w:outlineLvl w:val="1"/>
        <w:rPr>
          <w:b/>
        </w:rPr>
      </w:pPr>
      <w:r w:rsidRPr="00CA16BE">
        <w:rPr>
          <w:b/>
        </w:rPr>
        <w:t xml:space="preserve">Provide additional justification for any question of a sensitive nature, such as sexual behavior and attitudes, religious beliefs, and other matters that are commonly considered private. </w:t>
      </w:r>
    </w:p>
    <w:p w:rsidR="00C81F26" w:rsidRPr="00A43B27" w:rsidP="007B01D5" w14:paraId="44621215" w14:textId="77777777">
      <w:pPr>
        <w:spacing w:after="200"/>
        <w:rPr>
          <w:sz w:val="22"/>
          <w:szCs w:val="22"/>
        </w:rPr>
      </w:pPr>
      <w:r>
        <w:t>T</w:t>
      </w:r>
      <w:r w:rsidRPr="00234FDD" w:rsidR="00180E14">
        <w:t>h</w:t>
      </w:r>
      <w:r>
        <w:t>i</w:t>
      </w:r>
      <w:r w:rsidRPr="00234FDD" w:rsidR="00180E14">
        <w:t>s</w:t>
      </w:r>
      <w:r>
        <w:t xml:space="preserve"> collection</w:t>
      </w:r>
      <w:r w:rsidRPr="00234FDD" w:rsidR="00180E14">
        <w:t xml:space="preserve"> of information </w:t>
      </w:r>
      <w:r>
        <w:t>does not</w:t>
      </w:r>
      <w:r w:rsidRPr="00234FDD" w:rsidR="00180E14">
        <w:t xml:space="preserve"> </w:t>
      </w:r>
      <w:r>
        <w:t xml:space="preserve">request </w:t>
      </w:r>
      <w:r w:rsidRPr="002743B8" w:rsidR="003B6C9B">
        <w:t>information of a sensitive nature.</w:t>
      </w:r>
    </w:p>
    <w:p w:rsidR="00556DEB" w:rsidP="00F76726" w14:paraId="54D0A0C0" w14:textId="5D5A7277">
      <w:pPr>
        <w:pStyle w:val="NoSpacing"/>
        <w:keepNext/>
        <w:numPr>
          <w:ilvl w:val="0"/>
          <w:numId w:val="12"/>
        </w:numPr>
        <w:tabs>
          <w:tab w:val="clear" w:pos="720"/>
        </w:tabs>
        <w:spacing w:before="240" w:after="240"/>
        <w:outlineLvl w:val="1"/>
        <w:rPr>
          <w:b/>
        </w:rPr>
      </w:pPr>
      <w:r w:rsidRPr="0067051C">
        <w:rPr>
          <w:b/>
        </w:rPr>
        <w:t>Provide estimate</w:t>
      </w:r>
      <w:r>
        <w:rPr>
          <w:b/>
        </w:rPr>
        <w:t>s</w:t>
      </w:r>
      <w:r w:rsidRPr="0067051C">
        <w:rPr>
          <w:b/>
        </w:rPr>
        <w:t xml:space="preserve"> of the hour burden of the collection of information.</w:t>
      </w:r>
    </w:p>
    <w:p w:rsidR="00AB4E28" w:rsidP="00AB4E28" w14:paraId="24A44A78" w14:textId="77777777">
      <w:r w:rsidRPr="00672428">
        <w:t>There are four components to the estimate of the burden of this information collection:</w:t>
      </w:r>
    </w:p>
    <w:p w:rsidR="00AB4E28" w:rsidRPr="00672428" w:rsidP="00AB4E28" w14:paraId="4D138011" w14:textId="730F7F46">
      <w:pPr>
        <w:numPr>
          <w:ilvl w:val="0"/>
          <w:numId w:val="18"/>
        </w:numPr>
        <w:spacing w:after="0"/>
      </w:pPr>
      <w:r w:rsidRPr="00672428">
        <w:t>The burden on recipients</w:t>
      </w:r>
      <w:r w:rsidR="00C63E3B">
        <w:t xml:space="preserve"> of planning financial assistance awards that are</w:t>
      </w:r>
      <w:r w:rsidRPr="00672428">
        <w:t xml:space="preserve"> newly designated as EDA-funded </w:t>
      </w:r>
      <w:r>
        <w:t>EDDs</w:t>
      </w:r>
      <w:r w:rsidRPr="00672428">
        <w:t xml:space="preserve">. These recipients must develop a CEDS acceptable to EDA as part of the scope of work of </w:t>
      </w:r>
      <w:r w:rsidR="00E335D4">
        <w:t>a planning</w:t>
      </w:r>
      <w:r w:rsidRPr="00672428" w:rsidR="00E335D4">
        <w:t xml:space="preserve"> </w:t>
      </w:r>
      <w:r w:rsidR="00E335D4">
        <w:t>award</w:t>
      </w:r>
      <w:r w:rsidRPr="00672428">
        <w:t>.</w:t>
      </w:r>
    </w:p>
    <w:p w:rsidR="00AB4E28" w:rsidRPr="00672428" w:rsidP="00AB4E28" w14:paraId="0024EC76" w14:textId="3100643D">
      <w:pPr>
        <w:numPr>
          <w:ilvl w:val="0"/>
          <w:numId w:val="18"/>
        </w:numPr>
        <w:spacing w:after="0"/>
      </w:pPr>
      <w:r w:rsidRPr="00672428">
        <w:t>The burden on existing</w:t>
      </w:r>
      <w:r w:rsidR="00E335D4">
        <w:t xml:space="preserve"> planning award</w:t>
      </w:r>
      <w:r w:rsidRPr="00672428">
        <w:t xml:space="preserve"> recipients, who must submit an updated CEDS at least once every five years. This involves updating the document to reflect changing economic </w:t>
      </w:r>
      <w:r w:rsidRPr="00672428" w:rsidR="003567A0">
        <w:t>conditions but</w:t>
      </w:r>
      <w:r w:rsidRPr="00672428">
        <w:t xml:space="preserve"> requires significantly </w:t>
      </w:r>
      <w:r>
        <w:t>less time than</w:t>
      </w:r>
      <w:r w:rsidRPr="00672428">
        <w:t xml:space="preserve"> developing a CEDS from</w:t>
      </w:r>
      <w:r>
        <w:t xml:space="preserve"> scratch.</w:t>
      </w:r>
    </w:p>
    <w:p w:rsidR="00AB4E28" w:rsidRPr="00672428" w:rsidP="00AB4E28" w14:paraId="23902E01" w14:textId="1FDFA5AA">
      <w:pPr>
        <w:numPr>
          <w:ilvl w:val="0"/>
          <w:numId w:val="18"/>
        </w:numPr>
        <w:spacing w:after="0"/>
      </w:pPr>
      <w:r w:rsidRPr="00672428">
        <w:t xml:space="preserve">The burden on existing </w:t>
      </w:r>
      <w:r w:rsidR="0001586D">
        <w:t xml:space="preserve">planning award </w:t>
      </w:r>
      <w:r w:rsidRPr="00672428">
        <w:t xml:space="preserve">recipients, </w:t>
      </w:r>
      <w:r w:rsidRPr="00672428">
        <w:rPr>
          <w:u w:val="single"/>
        </w:rPr>
        <w:t>all</w:t>
      </w:r>
      <w:r w:rsidRPr="00672428">
        <w:t xml:space="preserve"> of whom must submit an annual performance report analyzing their performance relative to the targets set forth in the EDA-approved CEDS.</w:t>
      </w:r>
    </w:p>
    <w:p w:rsidR="00AB4E28" w:rsidP="00AB4E28" w14:paraId="71E6219C" w14:textId="6F019516">
      <w:pPr>
        <w:numPr>
          <w:ilvl w:val="0"/>
          <w:numId w:val="18"/>
        </w:numPr>
        <w:spacing w:after="0"/>
      </w:pPr>
      <w:r w:rsidRPr="00672428">
        <w:t>The burden on app</w:t>
      </w:r>
      <w:r>
        <w:t xml:space="preserve">licants for EDA </w:t>
      </w:r>
      <w:r w:rsidR="00C63E3B">
        <w:t xml:space="preserve">financial </w:t>
      </w:r>
      <w:r>
        <w:t>assistance</w:t>
      </w:r>
      <w:r w:rsidR="00C63E3B">
        <w:t xml:space="preserve"> awards</w:t>
      </w:r>
      <w:r>
        <w:t xml:space="preserve"> that </w:t>
      </w:r>
      <w:r w:rsidRPr="00672428">
        <w:t xml:space="preserve">are not located </w:t>
      </w:r>
      <w:r>
        <w:t xml:space="preserve">within </w:t>
      </w:r>
      <w:r w:rsidRPr="00672428">
        <w:t xml:space="preserve">an EDA-funded </w:t>
      </w:r>
      <w:r>
        <w:t>EDD</w:t>
      </w:r>
      <w:r w:rsidRPr="00672428">
        <w:t xml:space="preserve">. Most of the </w:t>
      </w:r>
      <w:r w:rsidR="0001586D">
        <w:t xml:space="preserve">U.S. </w:t>
      </w:r>
      <w:r>
        <w:t xml:space="preserve">is </w:t>
      </w:r>
      <w:r w:rsidRPr="00672428">
        <w:t>covered by EDA-funded EDDs; however, some areas are without an EDD. In that case, an applicant for EDA Public Works or Economic Adjustment Assistance would have to submit a CEDS as part of the application process. EDA estimates that approximately 62 applicants for Public Works or Economic Adjustment Assistance each year are not located in areas that already have EDA-approved CEDS and therefore must develop one as a prerequisite for applying for EDA assistance. EDA does not require that thes</w:t>
      </w:r>
      <w:r>
        <w:t>e CEDS, however, be as detailed</w:t>
      </w:r>
      <w:r w:rsidRPr="00672428">
        <w:t xml:space="preserve"> as those that are developed as part of the scope of work of an EDA </w:t>
      </w:r>
      <w:r w:rsidR="000D3F96">
        <w:t>planning award</w:t>
      </w:r>
      <w:r w:rsidRPr="00672428">
        <w:t>, and therefore they are not as time-consuming.</w:t>
      </w:r>
    </w:p>
    <w:p w:rsidR="00AB4E28" w:rsidRPr="00AB4E28" w:rsidP="00AB4E28" w14:paraId="054DEE02" w14:textId="77777777">
      <w:pPr>
        <w:spacing w:after="0"/>
        <w:ind w:left="720"/>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4"/>
        <w:gridCol w:w="2813"/>
        <w:gridCol w:w="1895"/>
        <w:gridCol w:w="2161"/>
      </w:tblGrid>
      <w:tr w14:paraId="1F967318" w14:textId="77777777" w:rsidTr="00161BE7">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2374" w:type="dxa"/>
          </w:tcPr>
          <w:p w:rsidR="00D22F9F" w:rsidRPr="005E1CF7" w:rsidP="00161BE7" w14:paraId="68230EF3" w14:textId="77777777">
            <w:pPr>
              <w:pStyle w:val="TableParagraph"/>
              <w:widowControl/>
              <w:spacing w:line="259" w:lineRule="auto"/>
              <w:rPr>
                <w:b/>
                <w:sz w:val="24"/>
                <w:szCs w:val="24"/>
              </w:rPr>
            </w:pPr>
            <w:r w:rsidRPr="005E1CF7">
              <w:rPr>
                <w:b/>
                <w:sz w:val="24"/>
                <w:szCs w:val="24"/>
              </w:rPr>
              <w:t>Type of Response</w:t>
            </w:r>
          </w:p>
        </w:tc>
        <w:tc>
          <w:tcPr>
            <w:tcW w:w="2813" w:type="dxa"/>
          </w:tcPr>
          <w:p w:rsidR="00D22F9F" w:rsidRPr="005E1CF7" w:rsidP="00161BE7" w14:paraId="240167C1" w14:textId="5888FFB2">
            <w:pPr>
              <w:pStyle w:val="TableParagraph"/>
              <w:widowControl/>
              <w:spacing w:line="259" w:lineRule="auto"/>
              <w:ind w:hanging="32"/>
              <w:rPr>
                <w:b/>
                <w:sz w:val="24"/>
                <w:szCs w:val="24"/>
              </w:rPr>
            </w:pPr>
            <w:r w:rsidRPr="005E1CF7">
              <w:rPr>
                <w:b/>
                <w:sz w:val="24"/>
                <w:szCs w:val="24"/>
              </w:rPr>
              <w:t xml:space="preserve">Number of </w:t>
            </w:r>
            <w:r w:rsidR="00CB3947">
              <w:rPr>
                <w:b/>
                <w:sz w:val="24"/>
                <w:szCs w:val="24"/>
              </w:rPr>
              <w:t>Respondents</w:t>
            </w:r>
          </w:p>
        </w:tc>
        <w:tc>
          <w:tcPr>
            <w:tcW w:w="1895" w:type="dxa"/>
          </w:tcPr>
          <w:p w:rsidR="00D22F9F" w:rsidRPr="005E1CF7" w:rsidP="00161BE7" w14:paraId="64F62B08" w14:textId="3CC8880C">
            <w:pPr>
              <w:pStyle w:val="TableParagraph"/>
              <w:widowControl/>
              <w:spacing w:line="259" w:lineRule="auto"/>
              <w:rPr>
                <w:b/>
                <w:sz w:val="24"/>
                <w:szCs w:val="24"/>
              </w:rPr>
            </w:pPr>
            <w:r>
              <w:rPr>
                <w:b/>
                <w:sz w:val="24"/>
                <w:szCs w:val="24"/>
              </w:rPr>
              <w:t xml:space="preserve">Average </w:t>
            </w:r>
            <w:r w:rsidRPr="005E1CF7">
              <w:rPr>
                <w:b/>
                <w:sz w:val="24"/>
                <w:szCs w:val="24"/>
              </w:rPr>
              <w:t>Hours per Response</w:t>
            </w:r>
          </w:p>
        </w:tc>
        <w:tc>
          <w:tcPr>
            <w:tcW w:w="2161" w:type="dxa"/>
          </w:tcPr>
          <w:p w:rsidR="00D22F9F" w:rsidRPr="005E1CF7" w:rsidP="00161BE7" w14:paraId="52DDBC87" w14:textId="1805FF34">
            <w:pPr>
              <w:pStyle w:val="TableParagraph"/>
              <w:widowControl/>
              <w:spacing w:line="259" w:lineRule="auto"/>
              <w:rPr>
                <w:b/>
                <w:sz w:val="24"/>
                <w:szCs w:val="24"/>
              </w:rPr>
            </w:pPr>
            <w:r w:rsidRPr="005E1CF7">
              <w:rPr>
                <w:b/>
                <w:sz w:val="24"/>
                <w:szCs w:val="24"/>
              </w:rPr>
              <w:t xml:space="preserve">Total Estimated </w:t>
            </w:r>
            <w:r w:rsidR="00D30464">
              <w:rPr>
                <w:b/>
                <w:sz w:val="24"/>
                <w:szCs w:val="24"/>
              </w:rPr>
              <w:t>Burden Hours</w:t>
            </w:r>
          </w:p>
        </w:tc>
      </w:tr>
      <w:tr w14:paraId="7F67207E" w14:textId="77777777" w:rsidTr="00161BE7">
        <w:tblPrEx>
          <w:tblW w:w="0" w:type="auto"/>
          <w:tblInd w:w="107" w:type="dxa"/>
          <w:tblLayout w:type="fixed"/>
          <w:tblCellMar>
            <w:left w:w="0" w:type="dxa"/>
            <w:right w:w="0" w:type="dxa"/>
          </w:tblCellMar>
          <w:tblLook w:val="01E0"/>
        </w:tblPrEx>
        <w:trPr>
          <w:trHeight w:val="551"/>
        </w:trPr>
        <w:tc>
          <w:tcPr>
            <w:tcW w:w="2374" w:type="dxa"/>
          </w:tcPr>
          <w:p w:rsidR="00D22F9F" w:rsidRPr="005E1CF7" w:rsidP="00161BE7" w14:paraId="69CA1058" w14:textId="77777777">
            <w:pPr>
              <w:pStyle w:val="TableParagraph"/>
              <w:widowControl/>
              <w:spacing w:line="259" w:lineRule="auto"/>
              <w:rPr>
                <w:sz w:val="24"/>
                <w:szCs w:val="24"/>
              </w:rPr>
            </w:pPr>
            <w:r w:rsidRPr="005E1CF7">
              <w:rPr>
                <w:sz w:val="24"/>
                <w:szCs w:val="24"/>
              </w:rPr>
              <w:t>Initial CEDS</w:t>
            </w:r>
          </w:p>
        </w:tc>
        <w:tc>
          <w:tcPr>
            <w:tcW w:w="2813" w:type="dxa"/>
          </w:tcPr>
          <w:p w:rsidR="00D22F9F" w:rsidRPr="005E1CF7" w:rsidP="00161BE7" w14:paraId="07E1FBC1" w14:textId="77777777">
            <w:pPr>
              <w:pStyle w:val="TableParagraph"/>
              <w:widowControl/>
              <w:spacing w:line="259" w:lineRule="auto"/>
              <w:rPr>
                <w:sz w:val="24"/>
                <w:szCs w:val="24"/>
              </w:rPr>
            </w:pPr>
            <w:r w:rsidRPr="005E1CF7">
              <w:rPr>
                <w:sz w:val="24"/>
                <w:szCs w:val="24"/>
              </w:rPr>
              <w:t>3</w:t>
            </w:r>
          </w:p>
        </w:tc>
        <w:tc>
          <w:tcPr>
            <w:tcW w:w="1895" w:type="dxa"/>
          </w:tcPr>
          <w:p w:rsidR="00D22F9F" w:rsidRPr="005E1CF7" w:rsidP="00161BE7" w14:paraId="0383D14A" w14:textId="134BCDAC">
            <w:pPr>
              <w:pStyle w:val="TableParagraph"/>
              <w:widowControl/>
              <w:spacing w:line="259" w:lineRule="auto"/>
              <w:rPr>
                <w:sz w:val="24"/>
                <w:szCs w:val="24"/>
              </w:rPr>
            </w:pPr>
            <w:r w:rsidRPr="005E1CF7">
              <w:rPr>
                <w:sz w:val="24"/>
                <w:szCs w:val="24"/>
              </w:rPr>
              <w:t>480 hours</w:t>
            </w:r>
          </w:p>
        </w:tc>
        <w:tc>
          <w:tcPr>
            <w:tcW w:w="2161" w:type="dxa"/>
          </w:tcPr>
          <w:p w:rsidR="00D22F9F" w:rsidRPr="005E1CF7" w:rsidP="00161BE7" w14:paraId="7300C3DE" w14:textId="77777777">
            <w:pPr>
              <w:pStyle w:val="TableParagraph"/>
              <w:widowControl/>
              <w:spacing w:line="259" w:lineRule="auto"/>
              <w:rPr>
                <w:sz w:val="24"/>
                <w:szCs w:val="24"/>
              </w:rPr>
            </w:pPr>
            <w:r w:rsidRPr="005E1CF7">
              <w:rPr>
                <w:sz w:val="24"/>
                <w:szCs w:val="24"/>
              </w:rPr>
              <w:t>1,440 hours</w:t>
            </w:r>
          </w:p>
        </w:tc>
      </w:tr>
      <w:tr w14:paraId="63223198" w14:textId="77777777" w:rsidTr="00161BE7">
        <w:tblPrEx>
          <w:tblW w:w="0" w:type="auto"/>
          <w:tblInd w:w="107" w:type="dxa"/>
          <w:tblLayout w:type="fixed"/>
          <w:tblCellMar>
            <w:left w:w="0" w:type="dxa"/>
            <w:right w:w="0" w:type="dxa"/>
          </w:tblCellMar>
          <w:tblLook w:val="01E0"/>
        </w:tblPrEx>
        <w:trPr>
          <w:trHeight w:val="551"/>
        </w:trPr>
        <w:tc>
          <w:tcPr>
            <w:tcW w:w="2374" w:type="dxa"/>
          </w:tcPr>
          <w:p w:rsidR="00D22F9F" w:rsidRPr="005E1CF7" w:rsidP="00161BE7" w14:paraId="325683ED" w14:textId="77777777">
            <w:pPr>
              <w:pStyle w:val="TableParagraph"/>
              <w:widowControl/>
              <w:spacing w:line="259" w:lineRule="auto"/>
              <w:rPr>
                <w:sz w:val="24"/>
                <w:szCs w:val="24"/>
              </w:rPr>
            </w:pPr>
            <w:r w:rsidRPr="005E1CF7">
              <w:rPr>
                <w:sz w:val="24"/>
                <w:szCs w:val="24"/>
              </w:rPr>
              <w:t>Revised CEDS</w:t>
            </w:r>
          </w:p>
        </w:tc>
        <w:tc>
          <w:tcPr>
            <w:tcW w:w="2813" w:type="dxa"/>
          </w:tcPr>
          <w:p w:rsidR="00D22F9F" w:rsidRPr="005E1CF7" w:rsidP="00161BE7" w14:paraId="3C0FE235" w14:textId="77777777">
            <w:pPr>
              <w:pStyle w:val="TableParagraph"/>
              <w:widowControl/>
              <w:spacing w:line="259" w:lineRule="auto"/>
              <w:rPr>
                <w:sz w:val="24"/>
                <w:szCs w:val="24"/>
              </w:rPr>
            </w:pPr>
            <w:r w:rsidRPr="005E1CF7">
              <w:rPr>
                <w:sz w:val="24"/>
                <w:szCs w:val="24"/>
              </w:rPr>
              <w:t>77</w:t>
            </w:r>
          </w:p>
        </w:tc>
        <w:tc>
          <w:tcPr>
            <w:tcW w:w="1895" w:type="dxa"/>
          </w:tcPr>
          <w:p w:rsidR="00D22F9F" w:rsidRPr="005E1CF7" w:rsidP="00161BE7" w14:paraId="4865CD31" w14:textId="3D049970">
            <w:pPr>
              <w:pStyle w:val="TableParagraph"/>
              <w:widowControl/>
              <w:spacing w:line="259" w:lineRule="auto"/>
              <w:rPr>
                <w:sz w:val="24"/>
                <w:szCs w:val="24"/>
              </w:rPr>
            </w:pPr>
            <w:r w:rsidRPr="005E1CF7">
              <w:rPr>
                <w:sz w:val="24"/>
                <w:szCs w:val="24"/>
              </w:rPr>
              <w:t>160 hours</w:t>
            </w:r>
          </w:p>
        </w:tc>
        <w:tc>
          <w:tcPr>
            <w:tcW w:w="2161" w:type="dxa"/>
          </w:tcPr>
          <w:p w:rsidR="00D22F9F" w:rsidRPr="005E1CF7" w:rsidP="00161BE7" w14:paraId="047DA4A6" w14:textId="77777777">
            <w:pPr>
              <w:pStyle w:val="TableParagraph"/>
              <w:widowControl/>
              <w:spacing w:line="259" w:lineRule="auto"/>
              <w:rPr>
                <w:sz w:val="24"/>
                <w:szCs w:val="24"/>
              </w:rPr>
            </w:pPr>
            <w:r w:rsidRPr="005E1CF7">
              <w:rPr>
                <w:sz w:val="24"/>
                <w:szCs w:val="24"/>
              </w:rPr>
              <w:t>12,320 hours</w:t>
            </w:r>
          </w:p>
        </w:tc>
      </w:tr>
      <w:tr w14:paraId="2101BF03" w14:textId="77777777" w:rsidTr="00161BE7">
        <w:tblPrEx>
          <w:tblW w:w="0" w:type="auto"/>
          <w:tblInd w:w="107" w:type="dxa"/>
          <w:tblLayout w:type="fixed"/>
          <w:tblCellMar>
            <w:left w:w="0" w:type="dxa"/>
            <w:right w:w="0" w:type="dxa"/>
          </w:tblCellMar>
          <w:tblLook w:val="01E0"/>
        </w:tblPrEx>
        <w:trPr>
          <w:trHeight w:val="830"/>
        </w:trPr>
        <w:tc>
          <w:tcPr>
            <w:tcW w:w="2374" w:type="dxa"/>
          </w:tcPr>
          <w:p w:rsidR="00D22F9F" w:rsidRPr="005E1CF7" w:rsidP="00161BE7" w14:paraId="6744A094" w14:textId="3E78FB76">
            <w:pPr>
              <w:pStyle w:val="TableParagraph"/>
              <w:widowControl/>
              <w:spacing w:line="259" w:lineRule="auto"/>
              <w:rPr>
                <w:sz w:val="24"/>
                <w:szCs w:val="24"/>
              </w:rPr>
            </w:pPr>
            <w:r w:rsidRPr="005E1CF7">
              <w:rPr>
                <w:sz w:val="24"/>
                <w:szCs w:val="24"/>
              </w:rPr>
              <w:t>CEDS</w:t>
            </w:r>
            <w:r w:rsidR="00E335D4">
              <w:rPr>
                <w:sz w:val="24"/>
                <w:szCs w:val="24"/>
              </w:rPr>
              <w:t xml:space="preserve"> </w:t>
            </w:r>
            <w:r w:rsidRPr="005E1CF7">
              <w:rPr>
                <w:sz w:val="24"/>
                <w:szCs w:val="24"/>
              </w:rPr>
              <w:t>Updates/Performance Reports</w:t>
            </w:r>
          </w:p>
        </w:tc>
        <w:tc>
          <w:tcPr>
            <w:tcW w:w="2813" w:type="dxa"/>
          </w:tcPr>
          <w:p w:rsidR="00D22F9F" w:rsidRPr="005E1CF7" w:rsidP="00161BE7" w14:paraId="4ED14D11" w14:textId="77777777">
            <w:pPr>
              <w:pStyle w:val="TableParagraph"/>
              <w:widowControl/>
              <w:spacing w:line="259" w:lineRule="auto"/>
              <w:rPr>
                <w:sz w:val="24"/>
                <w:szCs w:val="24"/>
              </w:rPr>
            </w:pPr>
            <w:r w:rsidRPr="005E1CF7">
              <w:rPr>
                <w:sz w:val="24"/>
                <w:szCs w:val="24"/>
              </w:rPr>
              <w:t>385</w:t>
            </w:r>
          </w:p>
        </w:tc>
        <w:tc>
          <w:tcPr>
            <w:tcW w:w="1895" w:type="dxa"/>
          </w:tcPr>
          <w:p w:rsidR="00D22F9F" w:rsidRPr="005E1CF7" w:rsidP="00161BE7" w14:paraId="4E867651" w14:textId="2CBD38CC">
            <w:pPr>
              <w:pStyle w:val="TableParagraph"/>
              <w:widowControl/>
              <w:spacing w:line="259" w:lineRule="auto"/>
              <w:rPr>
                <w:sz w:val="24"/>
                <w:szCs w:val="24"/>
              </w:rPr>
            </w:pPr>
            <w:r w:rsidRPr="005E1CF7">
              <w:rPr>
                <w:sz w:val="24"/>
                <w:szCs w:val="24"/>
              </w:rPr>
              <w:t>40 hours</w:t>
            </w:r>
          </w:p>
        </w:tc>
        <w:tc>
          <w:tcPr>
            <w:tcW w:w="2161" w:type="dxa"/>
          </w:tcPr>
          <w:p w:rsidR="00D22F9F" w:rsidRPr="005E1CF7" w:rsidP="00161BE7" w14:paraId="1775E5E8" w14:textId="77777777">
            <w:pPr>
              <w:pStyle w:val="TableParagraph"/>
              <w:widowControl/>
              <w:spacing w:line="259" w:lineRule="auto"/>
              <w:rPr>
                <w:sz w:val="24"/>
                <w:szCs w:val="24"/>
              </w:rPr>
            </w:pPr>
            <w:r w:rsidRPr="005E1CF7">
              <w:rPr>
                <w:sz w:val="24"/>
                <w:szCs w:val="24"/>
              </w:rPr>
              <w:t>15,400 hours</w:t>
            </w:r>
          </w:p>
        </w:tc>
      </w:tr>
      <w:tr w14:paraId="4DF71110" w14:textId="77777777" w:rsidTr="00161BE7">
        <w:tblPrEx>
          <w:tblW w:w="0" w:type="auto"/>
          <w:tblInd w:w="107" w:type="dxa"/>
          <w:tblLayout w:type="fixed"/>
          <w:tblCellMar>
            <w:left w:w="0" w:type="dxa"/>
            <w:right w:w="0" w:type="dxa"/>
          </w:tblCellMar>
          <w:tblLook w:val="01E0"/>
        </w:tblPrEx>
        <w:trPr>
          <w:trHeight w:val="827"/>
        </w:trPr>
        <w:tc>
          <w:tcPr>
            <w:tcW w:w="2374" w:type="dxa"/>
          </w:tcPr>
          <w:p w:rsidR="00D22F9F" w:rsidRPr="005E1CF7" w:rsidP="00161BE7" w14:paraId="1C2820B9" w14:textId="4559A731">
            <w:pPr>
              <w:pStyle w:val="TableParagraph"/>
              <w:widowControl/>
              <w:spacing w:line="259" w:lineRule="auto"/>
              <w:rPr>
                <w:sz w:val="24"/>
                <w:szCs w:val="24"/>
              </w:rPr>
            </w:pPr>
            <w:r w:rsidRPr="005E1CF7">
              <w:rPr>
                <w:sz w:val="24"/>
                <w:szCs w:val="24"/>
              </w:rPr>
              <w:t>CEDS by applicants</w:t>
            </w:r>
            <w:r w:rsidR="00E335D4">
              <w:rPr>
                <w:sz w:val="24"/>
                <w:szCs w:val="24"/>
              </w:rPr>
              <w:t xml:space="preserve"> </w:t>
            </w:r>
            <w:r w:rsidRPr="005E1CF7">
              <w:rPr>
                <w:sz w:val="24"/>
                <w:szCs w:val="24"/>
              </w:rPr>
              <w:t>not in EDA-funded District</w:t>
            </w:r>
          </w:p>
        </w:tc>
        <w:tc>
          <w:tcPr>
            <w:tcW w:w="2813" w:type="dxa"/>
          </w:tcPr>
          <w:p w:rsidR="00D22F9F" w:rsidRPr="005E1CF7" w:rsidP="00161BE7" w14:paraId="4A7C239C" w14:textId="77777777">
            <w:pPr>
              <w:pStyle w:val="TableParagraph"/>
              <w:widowControl/>
              <w:spacing w:line="259" w:lineRule="auto"/>
              <w:rPr>
                <w:sz w:val="24"/>
                <w:szCs w:val="24"/>
              </w:rPr>
            </w:pPr>
            <w:r w:rsidRPr="005E1CF7">
              <w:rPr>
                <w:sz w:val="24"/>
                <w:szCs w:val="24"/>
              </w:rPr>
              <w:t>62</w:t>
            </w:r>
          </w:p>
        </w:tc>
        <w:tc>
          <w:tcPr>
            <w:tcW w:w="1895" w:type="dxa"/>
          </w:tcPr>
          <w:p w:rsidR="00D22F9F" w:rsidRPr="005E1CF7" w:rsidP="00161BE7" w14:paraId="176EFFAD" w14:textId="77777777">
            <w:pPr>
              <w:pStyle w:val="TableParagraph"/>
              <w:widowControl/>
              <w:spacing w:line="259" w:lineRule="auto"/>
              <w:rPr>
                <w:sz w:val="24"/>
                <w:szCs w:val="24"/>
              </w:rPr>
            </w:pPr>
            <w:r w:rsidRPr="005E1CF7">
              <w:rPr>
                <w:sz w:val="24"/>
                <w:szCs w:val="24"/>
              </w:rPr>
              <w:t>40 hours</w:t>
            </w:r>
          </w:p>
        </w:tc>
        <w:tc>
          <w:tcPr>
            <w:tcW w:w="2161" w:type="dxa"/>
          </w:tcPr>
          <w:p w:rsidR="00D22F9F" w:rsidRPr="005E1CF7" w:rsidP="00161BE7" w14:paraId="185347D2" w14:textId="77777777">
            <w:pPr>
              <w:pStyle w:val="TableParagraph"/>
              <w:widowControl/>
              <w:spacing w:line="259" w:lineRule="auto"/>
              <w:rPr>
                <w:sz w:val="24"/>
                <w:szCs w:val="24"/>
              </w:rPr>
            </w:pPr>
            <w:r w:rsidRPr="005E1CF7">
              <w:rPr>
                <w:sz w:val="24"/>
                <w:szCs w:val="24"/>
              </w:rPr>
              <w:t>2,480 hours</w:t>
            </w:r>
          </w:p>
        </w:tc>
      </w:tr>
      <w:tr w14:paraId="29A4149F" w14:textId="77777777" w:rsidTr="00161BE7">
        <w:tblPrEx>
          <w:tblW w:w="0" w:type="auto"/>
          <w:tblInd w:w="107" w:type="dxa"/>
          <w:tblLayout w:type="fixed"/>
          <w:tblCellMar>
            <w:left w:w="0" w:type="dxa"/>
            <w:right w:w="0" w:type="dxa"/>
          </w:tblCellMar>
          <w:tblLook w:val="01E0"/>
        </w:tblPrEx>
        <w:trPr>
          <w:trHeight w:val="551"/>
        </w:trPr>
        <w:tc>
          <w:tcPr>
            <w:tcW w:w="2374" w:type="dxa"/>
          </w:tcPr>
          <w:p w:rsidR="00D22F9F" w:rsidRPr="004417B7" w:rsidP="00161BE7" w14:paraId="1A56817C" w14:textId="77777777">
            <w:pPr>
              <w:pStyle w:val="TableParagraph"/>
              <w:widowControl/>
              <w:spacing w:line="259" w:lineRule="auto"/>
              <w:rPr>
                <w:b/>
                <w:bCs/>
                <w:sz w:val="24"/>
                <w:szCs w:val="24"/>
              </w:rPr>
            </w:pPr>
            <w:r w:rsidRPr="004417B7">
              <w:rPr>
                <w:b/>
                <w:bCs/>
                <w:sz w:val="24"/>
                <w:szCs w:val="24"/>
              </w:rPr>
              <w:t>Total</w:t>
            </w:r>
          </w:p>
        </w:tc>
        <w:tc>
          <w:tcPr>
            <w:tcW w:w="2813" w:type="dxa"/>
          </w:tcPr>
          <w:p w:rsidR="00D22F9F" w:rsidRPr="00964F6C" w:rsidP="00161BE7" w14:paraId="03B23064" w14:textId="38DDB3F0">
            <w:pPr>
              <w:pStyle w:val="TableParagraph"/>
              <w:widowControl/>
              <w:spacing w:line="259" w:lineRule="auto"/>
              <w:rPr>
                <w:b/>
                <w:bCs/>
                <w:sz w:val="24"/>
                <w:szCs w:val="24"/>
              </w:rPr>
            </w:pPr>
            <w:r w:rsidRPr="00964F6C">
              <w:rPr>
                <w:b/>
                <w:bCs/>
                <w:sz w:val="24"/>
                <w:szCs w:val="24"/>
              </w:rPr>
              <w:t>527</w:t>
            </w:r>
            <w:r w:rsidR="00443CF3">
              <w:rPr>
                <w:b/>
                <w:bCs/>
                <w:sz w:val="24"/>
                <w:szCs w:val="24"/>
              </w:rPr>
              <w:t xml:space="preserve"> respondents</w:t>
            </w:r>
          </w:p>
        </w:tc>
        <w:tc>
          <w:tcPr>
            <w:tcW w:w="1895" w:type="dxa"/>
          </w:tcPr>
          <w:p w:rsidR="00D22F9F" w:rsidRPr="005E1CF7" w:rsidP="00161BE7" w14:paraId="65F72499" w14:textId="77777777">
            <w:pPr>
              <w:pStyle w:val="TableParagraph"/>
              <w:widowControl/>
              <w:spacing w:line="259" w:lineRule="auto"/>
              <w:rPr>
                <w:sz w:val="24"/>
                <w:szCs w:val="24"/>
              </w:rPr>
            </w:pPr>
          </w:p>
        </w:tc>
        <w:tc>
          <w:tcPr>
            <w:tcW w:w="2161" w:type="dxa"/>
          </w:tcPr>
          <w:p w:rsidR="00D22F9F" w:rsidRPr="00D22F9F" w:rsidP="00161BE7" w14:paraId="5543EB3B" w14:textId="77777777">
            <w:pPr>
              <w:pStyle w:val="TableParagraph"/>
              <w:widowControl/>
              <w:spacing w:line="259" w:lineRule="auto"/>
              <w:rPr>
                <w:b/>
                <w:bCs/>
                <w:sz w:val="24"/>
                <w:szCs w:val="24"/>
              </w:rPr>
            </w:pPr>
            <w:r w:rsidRPr="00D22F9F">
              <w:rPr>
                <w:b/>
                <w:bCs/>
                <w:sz w:val="24"/>
                <w:szCs w:val="24"/>
              </w:rPr>
              <w:t>31,640 hours</w:t>
            </w:r>
          </w:p>
        </w:tc>
      </w:tr>
    </w:tbl>
    <w:p w:rsidR="00BC120E" w:rsidP="00D71E85" w14:paraId="1DF7F37A" w14:textId="77777777">
      <w:pPr>
        <w:spacing w:after="0"/>
        <w:ind w:left="360"/>
      </w:pPr>
    </w:p>
    <w:p w:rsidR="00F241A4" w:rsidRPr="00DB5413" w:rsidP="00F241A4" w14:paraId="5D48409E" w14:textId="636314F1">
      <w:pPr>
        <w:spacing w:after="200"/>
      </w:pPr>
      <w:r w:rsidRPr="00DB5413">
        <w:t>M</w:t>
      </w:r>
      <w:r w:rsidRPr="00DB5413" w:rsidR="00E916EC">
        <w:t xml:space="preserve">ultiplying the expected number of </w:t>
      </w:r>
      <w:r w:rsidRPr="00DB5413" w:rsidR="00433940">
        <w:t xml:space="preserve">responses </w:t>
      </w:r>
      <w:r w:rsidRPr="00DB5413" w:rsidR="00E916EC">
        <w:t>by the average time to complete a</w:t>
      </w:r>
      <w:r w:rsidRPr="00DB5413" w:rsidR="00433940">
        <w:t xml:space="preserve"> response</w:t>
      </w:r>
      <w:r w:rsidRPr="00DB5413" w:rsidR="00E916EC">
        <w:t>, EDA estimate</w:t>
      </w:r>
      <w:r w:rsidRPr="00DB5413">
        <w:t>s</w:t>
      </w:r>
      <w:r w:rsidRPr="00DB5413" w:rsidR="00E916EC">
        <w:t xml:space="preserve"> the</w:t>
      </w:r>
      <w:r w:rsidRPr="00DB5413">
        <w:t xml:space="preserve"> above</w:t>
      </w:r>
      <w:r w:rsidRPr="00DB5413" w:rsidR="00E916EC">
        <w:t xml:space="preserve"> total </w:t>
      </w:r>
      <w:r w:rsidRPr="00DB5413" w:rsidR="00433940">
        <w:t xml:space="preserve">respondent </w:t>
      </w:r>
      <w:r w:rsidRPr="00DB5413" w:rsidR="00E916EC">
        <w:t>burden.</w:t>
      </w:r>
    </w:p>
    <w:p w:rsidR="00556DEB" w:rsidRPr="00CA16BE" w:rsidP="00F76726" w14:paraId="0877155E" w14:textId="77777777">
      <w:pPr>
        <w:pStyle w:val="NoSpacing"/>
        <w:keepNext/>
        <w:numPr>
          <w:ilvl w:val="0"/>
          <w:numId w:val="12"/>
        </w:numPr>
        <w:tabs>
          <w:tab w:val="clear" w:pos="720"/>
        </w:tabs>
        <w:spacing w:before="240" w:after="240"/>
        <w:outlineLvl w:val="1"/>
        <w:rPr>
          <w:b/>
        </w:rPr>
      </w:pPr>
      <w:r w:rsidRPr="00CA16BE">
        <w:rPr>
          <w:b/>
        </w:rPr>
        <w:t>Provide an estimate of the total annual cost burden to the respondents or record</w:t>
      </w:r>
      <w:r w:rsidRPr="00CA16BE" w:rsidR="00FF3640">
        <w:rPr>
          <w:b/>
        </w:rPr>
        <w:t xml:space="preserve"> </w:t>
      </w:r>
      <w:r w:rsidRPr="00CA16BE">
        <w:rPr>
          <w:b/>
        </w:rPr>
        <w:t xml:space="preserve">keepers resulting from the collection of information (excluding the </w:t>
      </w:r>
      <w:r w:rsidRPr="00CA16BE" w:rsidR="00E95422">
        <w:rPr>
          <w:b/>
        </w:rPr>
        <w:t xml:space="preserve">value of the burden hours in </w:t>
      </w:r>
      <w:r w:rsidRPr="00CA16BE" w:rsidR="005D5D93">
        <w:rPr>
          <w:b/>
        </w:rPr>
        <w:t xml:space="preserve">Question </w:t>
      </w:r>
      <w:r w:rsidRPr="00CA16BE" w:rsidR="00A746F2">
        <w:rPr>
          <w:b/>
        </w:rPr>
        <w:t>12 a</w:t>
      </w:r>
      <w:r w:rsidRPr="00CA16BE" w:rsidR="00E95422">
        <w:rPr>
          <w:b/>
        </w:rPr>
        <w:t>bove</w:t>
      </w:r>
      <w:r w:rsidRPr="00CA16BE" w:rsidR="00A746F2">
        <w:rPr>
          <w:b/>
        </w:rPr>
        <w:t>).</w:t>
      </w:r>
    </w:p>
    <w:p w:rsidR="005D5D93" w:rsidP="00F95B24" w14:paraId="5B7B7929" w14:textId="301F6D16">
      <w:pPr>
        <w:spacing w:after="200"/>
      </w:pPr>
      <w:r>
        <w:t>Apart from the value of the burden hours, there is no additional cost to respondents associated with this information collection.</w:t>
      </w:r>
    </w:p>
    <w:p w:rsidR="00A746F2" w:rsidRPr="00753AB1" w:rsidP="00F76726" w14:paraId="062FA34B" w14:textId="77777777">
      <w:pPr>
        <w:pStyle w:val="NoSpacing"/>
        <w:keepNext/>
        <w:numPr>
          <w:ilvl w:val="0"/>
          <w:numId w:val="12"/>
        </w:numPr>
        <w:tabs>
          <w:tab w:val="clear" w:pos="720"/>
        </w:tabs>
        <w:spacing w:before="240" w:after="240"/>
        <w:outlineLvl w:val="1"/>
        <w:rPr>
          <w:b/>
        </w:rPr>
      </w:pPr>
      <w:r w:rsidRPr="00753AB1">
        <w:rPr>
          <w:b/>
        </w:rPr>
        <w:t>Provide estimates of annualized cost to the Federal government.</w:t>
      </w:r>
    </w:p>
    <w:p w:rsidR="000A6608" w:rsidP="000A6608" w14:paraId="69B04A67" w14:textId="77777777">
      <w:r w:rsidRPr="00234FDD">
        <w:rPr>
          <w:lang w:val="en-CA"/>
        </w:rPr>
        <w:t>T</w:t>
      </w:r>
      <w:r>
        <w:t>he estimated annual hourly burden on</w:t>
      </w:r>
      <w:r w:rsidRPr="00234FDD">
        <w:t xml:space="preserve"> the Federal government with respect to this information collection is </w:t>
      </w:r>
      <w:r>
        <w:t>as follows:</w:t>
      </w:r>
    </w:p>
    <w:p w:rsidR="000A6608" w:rsidP="000A6608" w14:paraId="2B2339DF" w14:textId="7777777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079"/>
        <w:gridCol w:w="2514"/>
        <w:gridCol w:w="1874"/>
      </w:tblGrid>
      <w:tr w14:paraId="137AF8F3" w14:textId="77777777" w:rsidTr="00161BE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Pr>
          <w:p w:rsidR="00F6272D" w:rsidRPr="00AA75C0" w:rsidP="00161BE7" w14:paraId="6F980A62" w14:textId="77777777">
            <w:pPr>
              <w:widowControl w:val="0"/>
              <w:spacing w:after="0" w:line="259" w:lineRule="auto"/>
              <w:jc w:val="center"/>
              <w:rPr>
                <w:b/>
              </w:rPr>
            </w:pPr>
            <w:r>
              <w:rPr>
                <w:b/>
              </w:rPr>
              <w:t>Type of Response</w:t>
            </w:r>
          </w:p>
        </w:tc>
        <w:tc>
          <w:tcPr>
            <w:tcW w:w="0" w:type="auto"/>
            <w:shd w:val="clear" w:color="auto" w:fill="auto"/>
          </w:tcPr>
          <w:p w:rsidR="00F6272D" w:rsidRPr="00AA75C0" w:rsidP="00161BE7" w14:paraId="36D3322F" w14:textId="1D3096B3">
            <w:pPr>
              <w:widowControl w:val="0"/>
              <w:spacing w:after="0" w:line="259" w:lineRule="auto"/>
              <w:jc w:val="center"/>
              <w:rPr>
                <w:b/>
              </w:rPr>
            </w:pPr>
            <w:r>
              <w:rPr>
                <w:b/>
              </w:rPr>
              <w:t xml:space="preserve">Number of </w:t>
            </w:r>
            <w:r w:rsidR="00612370">
              <w:rPr>
                <w:b/>
              </w:rPr>
              <w:t>Respondents</w:t>
            </w:r>
          </w:p>
        </w:tc>
        <w:tc>
          <w:tcPr>
            <w:tcW w:w="0" w:type="auto"/>
            <w:shd w:val="clear" w:color="auto" w:fill="auto"/>
          </w:tcPr>
          <w:p w:rsidR="00F6272D" w:rsidRPr="00AA75C0" w:rsidP="00161BE7" w14:paraId="5F391428" w14:textId="6EC267F8">
            <w:pPr>
              <w:widowControl w:val="0"/>
              <w:spacing w:after="0" w:line="259" w:lineRule="auto"/>
              <w:jc w:val="center"/>
              <w:rPr>
                <w:b/>
              </w:rPr>
            </w:pPr>
            <w:r>
              <w:rPr>
                <w:b/>
              </w:rPr>
              <w:t xml:space="preserve">Average </w:t>
            </w:r>
            <w:r>
              <w:rPr>
                <w:b/>
              </w:rPr>
              <w:t>Review Hours per Response</w:t>
            </w:r>
          </w:p>
        </w:tc>
        <w:tc>
          <w:tcPr>
            <w:tcW w:w="0" w:type="auto"/>
            <w:shd w:val="clear" w:color="auto" w:fill="auto"/>
          </w:tcPr>
          <w:p w:rsidR="00F6272D" w:rsidRPr="00AA75C0" w:rsidP="00161BE7" w14:paraId="2BC72FA1" w14:textId="047F0DE7">
            <w:pPr>
              <w:widowControl w:val="0"/>
              <w:spacing w:after="0" w:line="259" w:lineRule="auto"/>
              <w:jc w:val="center"/>
              <w:rPr>
                <w:b/>
              </w:rPr>
            </w:pPr>
            <w:r w:rsidRPr="00AA75C0">
              <w:rPr>
                <w:b/>
              </w:rPr>
              <w:t xml:space="preserve">Total Estimated </w:t>
            </w:r>
            <w:r w:rsidR="005E1DFA">
              <w:rPr>
                <w:b/>
              </w:rPr>
              <w:t>Hours</w:t>
            </w:r>
          </w:p>
        </w:tc>
      </w:tr>
      <w:tr w14:paraId="28C84F1C" w14:textId="77777777" w:rsidTr="00161BE7">
        <w:tblPrEx>
          <w:tblW w:w="0" w:type="auto"/>
          <w:tblInd w:w="-113" w:type="dxa"/>
          <w:tblLook w:val="04A0"/>
        </w:tblPrEx>
        <w:tc>
          <w:tcPr>
            <w:tcW w:w="0" w:type="auto"/>
          </w:tcPr>
          <w:p w:rsidR="00F6272D" w:rsidRPr="00AA75C0" w:rsidP="00161BE7" w14:paraId="6FAD445D" w14:textId="77777777">
            <w:pPr>
              <w:widowControl w:val="0"/>
              <w:spacing w:after="0" w:line="259" w:lineRule="auto"/>
            </w:pPr>
            <w:r>
              <w:t>Initial CEDS</w:t>
            </w:r>
          </w:p>
        </w:tc>
        <w:tc>
          <w:tcPr>
            <w:tcW w:w="0" w:type="auto"/>
            <w:shd w:val="clear" w:color="auto" w:fill="auto"/>
          </w:tcPr>
          <w:p w:rsidR="00F6272D" w:rsidRPr="00AA75C0" w:rsidP="00161BE7" w14:paraId="65248591" w14:textId="77777777">
            <w:pPr>
              <w:widowControl w:val="0"/>
              <w:spacing w:after="0" w:line="259" w:lineRule="auto"/>
              <w:jc w:val="center"/>
            </w:pPr>
            <w:r>
              <w:t>3</w:t>
            </w:r>
          </w:p>
        </w:tc>
        <w:tc>
          <w:tcPr>
            <w:tcW w:w="0" w:type="auto"/>
            <w:shd w:val="clear" w:color="auto" w:fill="auto"/>
          </w:tcPr>
          <w:p w:rsidR="00F6272D" w:rsidRPr="00AA75C0" w:rsidP="00161BE7" w14:paraId="4524E72A" w14:textId="11983CD6">
            <w:pPr>
              <w:widowControl w:val="0"/>
              <w:spacing w:after="0" w:line="259" w:lineRule="auto"/>
              <w:jc w:val="center"/>
            </w:pPr>
            <w:r>
              <w:t>40</w:t>
            </w:r>
            <w:r w:rsidRPr="00AA75C0">
              <w:t xml:space="preserve"> hours</w:t>
            </w:r>
          </w:p>
        </w:tc>
        <w:tc>
          <w:tcPr>
            <w:tcW w:w="0" w:type="auto"/>
            <w:shd w:val="clear" w:color="auto" w:fill="auto"/>
          </w:tcPr>
          <w:p w:rsidR="00F6272D" w:rsidRPr="00AA75C0" w:rsidP="00161BE7" w14:paraId="33C507C8" w14:textId="77777777">
            <w:pPr>
              <w:widowControl w:val="0"/>
              <w:spacing w:after="0" w:line="259" w:lineRule="auto"/>
              <w:jc w:val="center"/>
            </w:pPr>
            <w:r>
              <w:t>12</w:t>
            </w:r>
            <w:r w:rsidRPr="00AA75C0">
              <w:t>0 hours</w:t>
            </w:r>
          </w:p>
        </w:tc>
      </w:tr>
      <w:tr w14:paraId="4223998B" w14:textId="77777777" w:rsidTr="00161BE7">
        <w:tblPrEx>
          <w:tblW w:w="0" w:type="auto"/>
          <w:tblInd w:w="-113" w:type="dxa"/>
          <w:tblLook w:val="04A0"/>
        </w:tblPrEx>
        <w:trPr>
          <w:trHeight w:val="548"/>
        </w:trPr>
        <w:tc>
          <w:tcPr>
            <w:tcW w:w="0" w:type="auto"/>
          </w:tcPr>
          <w:p w:rsidR="00F6272D" w:rsidRPr="00AA75C0" w:rsidP="00161BE7" w14:paraId="278FBBA4" w14:textId="77777777">
            <w:pPr>
              <w:widowControl w:val="0"/>
              <w:spacing w:after="0" w:line="259" w:lineRule="auto"/>
            </w:pPr>
            <w:r>
              <w:t>Revised CEDS</w:t>
            </w:r>
          </w:p>
        </w:tc>
        <w:tc>
          <w:tcPr>
            <w:tcW w:w="0" w:type="auto"/>
            <w:shd w:val="clear" w:color="auto" w:fill="auto"/>
          </w:tcPr>
          <w:p w:rsidR="00F6272D" w:rsidRPr="00AA75C0" w:rsidP="00161BE7" w14:paraId="501E4D95" w14:textId="77777777">
            <w:pPr>
              <w:widowControl w:val="0"/>
              <w:spacing w:after="0" w:line="259" w:lineRule="auto"/>
              <w:jc w:val="center"/>
            </w:pPr>
            <w:r>
              <w:t>77</w:t>
            </w:r>
          </w:p>
        </w:tc>
        <w:tc>
          <w:tcPr>
            <w:tcW w:w="0" w:type="auto"/>
            <w:shd w:val="clear" w:color="auto" w:fill="auto"/>
          </w:tcPr>
          <w:p w:rsidR="00F6272D" w:rsidRPr="00AA75C0" w:rsidP="00161BE7" w14:paraId="35932027" w14:textId="78FF24DC">
            <w:pPr>
              <w:widowControl w:val="0"/>
              <w:spacing w:after="0" w:line="259" w:lineRule="auto"/>
              <w:jc w:val="center"/>
            </w:pPr>
            <w:r>
              <w:t>1</w:t>
            </w:r>
            <w:r w:rsidRPr="00AA75C0">
              <w:t>0 hours</w:t>
            </w:r>
          </w:p>
        </w:tc>
        <w:tc>
          <w:tcPr>
            <w:tcW w:w="0" w:type="auto"/>
            <w:shd w:val="clear" w:color="auto" w:fill="auto"/>
          </w:tcPr>
          <w:p w:rsidR="00F6272D" w:rsidRPr="00AA75C0" w:rsidP="00161BE7" w14:paraId="68453588" w14:textId="77777777">
            <w:pPr>
              <w:widowControl w:val="0"/>
              <w:spacing w:after="0" w:line="259" w:lineRule="auto"/>
              <w:jc w:val="center"/>
            </w:pPr>
            <w:r>
              <w:t>77</w:t>
            </w:r>
            <w:r w:rsidRPr="00AA75C0">
              <w:t>0 hours</w:t>
            </w:r>
          </w:p>
        </w:tc>
      </w:tr>
      <w:tr w14:paraId="2D766FC0" w14:textId="77777777" w:rsidTr="00161BE7">
        <w:tblPrEx>
          <w:tblW w:w="0" w:type="auto"/>
          <w:tblInd w:w="-113" w:type="dxa"/>
          <w:tblLook w:val="04A0"/>
        </w:tblPrEx>
        <w:tc>
          <w:tcPr>
            <w:tcW w:w="0" w:type="auto"/>
          </w:tcPr>
          <w:p w:rsidR="00F6272D" w:rsidRPr="00AA75C0" w:rsidP="00161BE7" w14:paraId="6AC63BFD" w14:textId="77777777">
            <w:pPr>
              <w:widowControl w:val="0"/>
              <w:spacing w:after="0" w:line="259" w:lineRule="auto"/>
            </w:pPr>
            <w:r>
              <w:t>CEDS Updates/Performance Reports</w:t>
            </w:r>
          </w:p>
        </w:tc>
        <w:tc>
          <w:tcPr>
            <w:tcW w:w="0" w:type="auto"/>
            <w:shd w:val="clear" w:color="auto" w:fill="auto"/>
          </w:tcPr>
          <w:p w:rsidR="00F6272D" w:rsidRPr="00AA75C0" w:rsidP="00161BE7" w14:paraId="51F85896" w14:textId="08284F3F">
            <w:pPr>
              <w:widowControl w:val="0"/>
              <w:spacing w:after="0" w:line="259" w:lineRule="auto"/>
              <w:jc w:val="center"/>
            </w:pPr>
            <w:r w:rsidRPr="00AA75C0">
              <w:t>385</w:t>
            </w:r>
          </w:p>
        </w:tc>
        <w:tc>
          <w:tcPr>
            <w:tcW w:w="0" w:type="auto"/>
            <w:shd w:val="clear" w:color="auto" w:fill="auto"/>
          </w:tcPr>
          <w:p w:rsidR="00F6272D" w:rsidRPr="00AA75C0" w:rsidP="00161BE7" w14:paraId="3F6B601D" w14:textId="470CCB33">
            <w:pPr>
              <w:widowControl w:val="0"/>
              <w:spacing w:after="0" w:line="259" w:lineRule="auto"/>
              <w:jc w:val="center"/>
            </w:pPr>
            <w:r>
              <w:t>5</w:t>
            </w:r>
            <w:r w:rsidRPr="00AA75C0">
              <w:t xml:space="preserve"> hours</w:t>
            </w:r>
          </w:p>
        </w:tc>
        <w:tc>
          <w:tcPr>
            <w:tcW w:w="0" w:type="auto"/>
            <w:shd w:val="clear" w:color="auto" w:fill="auto"/>
          </w:tcPr>
          <w:p w:rsidR="00F6272D" w:rsidRPr="00AA75C0" w:rsidP="00161BE7" w14:paraId="15530869" w14:textId="77777777">
            <w:pPr>
              <w:widowControl w:val="0"/>
              <w:spacing w:after="0" w:line="259" w:lineRule="auto"/>
              <w:jc w:val="center"/>
            </w:pPr>
            <w:r>
              <w:t>1,925</w:t>
            </w:r>
            <w:r w:rsidRPr="00AA75C0">
              <w:t xml:space="preserve"> hours</w:t>
            </w:r>
          </w:p>
        </w:tc>
      </w:tr>
      <w:tr w14:paraId="59F5FF27" w14:textId="77777777" w:rsidTr="00161BE7">
        <w:tblPrEx>
          <w:tblW w:w="0" w:type="auto"/>
          <w:tblInd w:w="-113" w:type="dxa"/>
          <w:tblLook w:val="04A0"/>
        </w:tblPrEx>
        <w:trPr>
          <w:trHeight w:val="440"/>
        </w:trPr>
        <w:tc>
          <w:tcPr>
            <w:tcW w:w="0" w:type="auto"/>
          </w:tcPr>
          <w:p w:rsidR="008F0371" w:rsidRPr="00161BE7" w:rsidP="00161BE7" w14:paraId="33A9D6CB" w14:textId="4AB3DA37">
            <w:pPr>
              <w:widowControl w:val="0"/>
              <w:spacing w:after="0" w:line="259" w:lineRule="auto"/>
              <w:jc w:val="center"/>
              <w:rPr>
                <w:b/>
                <w:bCs/>
              </w:rPr>
            </w:pPr>
            <w:r w:rsidRPr="00161BE7">
              <w:rPr>
                <w:b/>
                <w:bCs/>
              </w:rPr>
              <w:t>Total</w:t>
            </w:r>
          </w:p>
        </w:tc>
        <w:tc>
          <w:tcPr>
            <w:tcW w:w="0" w:type="auto"/>
            <w:shd w:val="clear" w:color="auto" w:fill="auto"/>
          </w:tcPr>
          <w:p w:rsidR="00F6272D" w:rsidRPr="00161BE7" w:rsidP="00161BE7" w14:paraId="15A1EC83" w14:textId="1A7F1A91">
            <w:pPr>
              <w:widowControl w:val="0"/>
              <w:spacing w:after="0" w:line="259" w:lineRule="auto"/>
              <w:jc w:val="center"/>
              <w:rPr>
                <w:b/>
                <w:bCs/>
              </w:rPr>
            </w:pPr>
            <w:r w:rsidRPr="00161BE7">
              <w:rPr>
                <w:b/>
                <w:bCs/>
              </w:rPr>
              <w:t>485 respondents</w:t>
            </w:r>
          </w:p>
        </w:tc>
        <w:tc>
          <w:tcPr>
            <w:tcW w:w="0" w:type="auto"/>
            <w:shd w:val="clear" w:color="auto" w:fill="auto"/>
          </w:tcPr>
          <w:p w:rsidR="00F6272D" w:rsidRPr="00AA75C0" w:rsidP="00161BE7" w14:paraId="7FFB0AFE" w14:textId="54498A7B">
            <w:pPr>
              <w:widowControl w:val="0"/>
              <w:spacing w:after="0" w:line="259" w:lineRule="auto"/>
            </w:pPr>
          </w:p>
        </w:tc>
        <w:tc>
          <w:tcPr>
            <w:tcW w:w="0" w:type="auto"/>
            <w:shd w:val="clear" w:color="auto" w:fill="auto"/>
          </w:tcPr>
          <w:p w:rsidR="00F6272D" w:rsidRPr="008F0371" w:rsidP="00161BE7" w14:paraId="5CE1B552" w14:textId="77777777">
            <w:pPr>
              <w:widowControl w:val="0"/>
              <w:spacing w:after="0" w:line="259" w:lineRule="auto"/>
              <w:jc w:val="center"/>
              <w:rPr>
                <w:b/>
                <w:bCs/>
              </w:rPr>
            </w:pPr>
            <w:r w:rsidRPr="008F0371">
              <w:rPr>
                <w:b/>
                <w:bCs/>
              </w:rPr>
              <w:t>2,815 hours</w:t>
            </w:r>
          </w:p>
        </w:tc>
      </w:tr>
    </w:tbl>
    <w:p w:rsidR="000A6608" w:rsidP="000A6608" w14:paraId="00A75072" w14:textId="77777777"/>
    <w:p w:rsidR="006D5533" w:rsidRPr="00753AB1" w:rsidP="006D5533" w14:paraId="14B165E3" w14:textId="44540204">
      <w:pPr>
        <w:spacing w:after="200"/>
      </w:pPr>
      <w:r w:rsidRPr="00753AB1">
        <w:t>EDA estimates the total annual cost burden to the federal government to be $</w:t>
      </w:r>
      <w:r w:rsidR="00F02825">
        <w:t>232</w:t>
      </w:r>
      <w:r w:rsidR="00944AF9">
        <w:t>,547</w:t>
      </w:r>
      <w:r w:rsidR="00DB05B3">
        <w:t xml:space="preserve"> </w:t>
      </w:r>
      <w:r>
        <w:t>(</w:t>
      </w:r>
      <w:r w:rsidR="008F0371">
        <w:t>2,8</w:t>
      </w:r>
      <w:r w:rsidR="00AF16DD">
        <w:t>1</w:t>
      </w:r>
      <w:r w:rsidR="008F0371">
        <w:t>5</w:t>
      </w:r>
      <w:r>
        <w:t xml:space="preserve"> responses multiplied by $</w:t>
      </w:r>
      <w:r w:rsidR="00F02825">
        <w:t xml:space="preserve">82.61 </w:t>
      </w:r>
      <w:r>
        <w:t>per hour)</w:t>
      </w:r>
      <w:r w:rsidRPr="00753AB1">
        <w:t>.</w:t>
      </w:r>
      <w:r>
        <w:t xml:space="preserve"> The hourly </w:t>
      </w:r>
      <w:r>
        <w:t>wage used</w:t>
      </w:r>
      <w:r>
        <w:t xml:space="preserve"> is that of a federal employee at grade 13, step 4, plus 30% to account for overhead and other costs ($</w:t>
      </w:r>
      <w:r w:rsidR="003D7944">
        <w:t>63.55</w:t>
      </w:r>
      <w:r>
        <w:t xml:space="preserve"> per hour + $</w:t>
      </w:r>
      <w:r w:rsidR="009B56B0">
        <w:t>19.06</w:t>
      </w:r>
      <w:r>
        <w:t xml:space="preserve"> per hour).</w:t>
      </w:r>
    </w:p>
    <w:p w:rsidR="003D6BD4" w:rsidRPr="00753AB1" w:rsidP="00872216" w14:paraId="6C98180F" w14:textId="39756CBB">
      <w:pPr>
        <w:spacing w:after="200"/>
      </w:pPr>
      <w:r w:rsidRPr="00753AB1">
        <w:t>Apart from the value of the burden hours, there is no additional cost to the federal government associated with this information collection.</w:t>
      </w:r>
    </w:p>
    <w:p w:rsidR="00A746F2" w:rsidRPr="00753AB1" w:rsidP="00F76726" w14:paraId="21DFF0E9" w14:textId="77777777">
      <w:pPr>
        <w:pStyle w:val="NoSpacing"/>
        <w:keepNext/>
        <w:numPr>
          <w:ilvl w:val="0"/>
          <w:numId w:val="12"/>
        </w:numPr>
        <w:tabs>
          <w:tab w:val="clear" w:pos="720"/>
        </w:tabs>
        <w:spacing w:before="240" w:after="240"/>
        <w:outlineLvl w:val="1"/>
        <w:rPr>
          <w:b/>
        </w:rPr>
      </w:pPr>
      <w:r w:rsidRPr="00753AB1">
        <w:rPr>
          <w:b/>
        </w:rPr>
        <w:t xml:space="preserve">Explain the reasons for any program </w:t>
      </w:r>
      <w:r w:rsidRPr="00753AB1" w:rsidR="001739BB">
        <w:rPr>
          <w:b/>
        </w:rPr>
        <w:t>changes or adjustments</w:t>
      </w:r>
      <w:r w:rsidRPr="00753AB1">
        <w:rPr>
          <w:b/>
        </w:rPr>
        <w:t>.</w:t>
      </w:r>
    </w:p>
    <w:p w:rsidR="00F241A4" w:rsidRPr="00753AB1" w:rsidP="00F75A1C" w14:paraId="54CBD9E7" w14:textId="2D0DFC06">
      <w:pPr>
        <w:spacing w:after="200"/>
      </w:pPr>
      <w:r>
        <w:t>EDA proposes to extend this information collection without change.</w:t>
      </w:r>
    </w:p>
    <w:p w:rsidR="00A746F2" w:rsidRPr="00753AB1" w:rsidP="00F76726" w14:paraId="5E4F0111" w14:textId="77777777">
      <w:pPr>
        <w:pStyle w:val="NoSpacing"/>
        <w:keepNext/>
        <w:numPr>
          <w:ilvl w:val="0"/>
          <w:numId w:val="12"/>
        </w:numPr>
        <w:tabs>
          <w:tab w:val="clear" w:pos="720"/>
        </w:tabs>
        <w:spacing w:before="240" w:after="240"/>
        <w:outlineLvl w:val="1"/>
        <w:rPr>
          <w:b/>
        </w:rPr>
      </w:pPr>
      <w:r w:rsidRPr="00753AB1">
        <w:rPr>
          <w:b/>
        </w:rPr>
        <w:t xml:space="preserve">For collections </w:t>
      </w:r>
      <w:r w:rsidRPr="00753AB1" w:rsidR="00E95422">
        <w:rPr>
          <w:b/>
        </w:rPr>
        <w:t>whose collections</w:t>
      </w:r>
      <w:r w:rsidRPr="00753AB1">
        <w:rPr>
          <w:b/>
        </w:rPr>
        <w:t xml:space="preserve"> will be published, outline</w:t>
      </w:r>
      <w:r w:rsidRPr="00753AB1" w:rsidR="00E95422">
        <w:rPr>
          <w:b/>
        </w:rPr>
        <w:t xml:space="preserve"> the</w:t>
      </w:r>
      <w:r w:rsidRPr="00753AB1">
        <w:rPr>
          <w:b/>
        </w:rPr>
        <w:t xml:space="preserve"> plans for tabulation and publication.</w:t>
      </w:r>
    </w:p>
    <w:p w:rsidR="00547C06" w:rsidRPr="00753AB1" w:rsidP="007B01D5" w14:paraId="17E8D0CE" w14:textId="4B3D0765">
      <w:pPr>
        <w:spacing w:after="200"/>
      </w:pPr>
      <w:r w:rsidRPr="00753AB1">
        <w:t xml:space="preserve">Specific details of </w:t>
      </w:r>
      <w:r w:rsidRPr="00753AB1" w:rsidR="006D4912">
        <w:t xml:space="preserve">information collected </w:t>
      </w:r>
      <w:r w:rsidRPr="00753AB1">
        <w:t xml:space="preserve">from respondents </w:t>
      </w:r>
      <w:r w:rsidRPr="00753AB1" w:rsidR="006D4912">
        <w:t xml:space="preserve">will </w:t>
      </w:r>
      <w:r w:rsidRPr="00753AB1">
        <w:t xml:space="preserve">generally </w:t>
      </w:r>
      <w:r w:rsidRPr="00753AB1" w:rsidR="006D4912">
        <w:t>not be published</w:t>
      </w:r>
      <w:r w:rsidR="002C6B63">
        <w:t>.</w:t>
      </w:r>
      <w:r w:rsidR="004D1034">
        <w:t xml:space="preserve"> </w:t>
      </w:r>
    </w:p>
    <w:p w:rsidR="001925B8" w:rsidRPr="00753AB1" w:rsidP="007B01D5" w14:paraId="448F1ED1" w14:textId="2304E7CC">
      <w:pPr>
        <w:spacing w:after="200"/>
      </w:pPr>
      <w:r>
        <w:t>However, i</w:t>
      </w:r>
      <w:r w:rsidRPr="00753AB1">
        <w:t xml:space="preserve">nformation collected from respondents </w:t>
      </w:r>
      <w:r w:rsidR="008C6D0D">
        <w:t>may</w:t>
      </w:r>
      <w:r w:rsidRPr="00753AB1">
        <w:t xml:space="preserve"> be published in aggregate form as part of EDA’s annual report, GPRA reporting, EDA’s Balanced Scorecard, progress reports to the DOC and/or its OIG, or other summary reports</w:t>
      </w:r>
      <w:r w:rsidR="00AA199C">
        <w:t>.</w:t>
      </w:r>
    </w:p>
    <w:p w:rsidR="00A746F2" w:rsidRPr="00753AB1" w:rsidP="00F76726" w14:paraId="599F35CB" w14:textId="77777777">
      <w:pPr>
        <w:pStyle w:val="NoSpacing"/>
        <w:keepNext/>
        <w:numPr>
          <w:ilvl w:val="0"/>
          <w:numId w:val="12"/>
        </w:numPr>
        <w:tabs>
          <w:tab w:val="clear" w:pos="720"/>
        </w:tabs>
        <w:spacing w:before="240" w:after="240"/>
        <w:outlineLvl w:val="1"/>
        <w:rPr>
          <w:b/>
        </w:rPr>
      </w:pPr>
      <w:r w:rsidRPr="00753AB1">
        <w:rPr>
          <w:b/>
        </w:rPr>
        <w:t>If seeking approval to not display the expiration date for OMB approval of the information collection, explain the reasons that the display would be inappropriate.</w:t>
      </w:r>
    </w:p>
    <w:p w:rsidR="006B4D92" w:rsidRPr="00753AB1" w:rsidP="007B01D5" w14:paraId="4BDF871C" w14:textId="01EE2D42">
      <w:pPr>
        <w:spacing w:after="200"/>
      </w:pPr>
      <w:r w:rsidRPr="00753AB1">
        <w:t>EDA is not seeking approval to not display the expiration date of OMB approval for the information collections.</w:t>
      </w:r>
    </w:p>
    <w:p w:rsidR="00A746F2" w:rsidRPr="00753AB1" w:rsidP="00F76726" w14:paraId="594F1942" w14:textId="77777777">
      <w:pPr>
        <w:pStyle w:val="NoSpacing"/>
        <w:keepNext/>
        <w:numPr>
          <w:ilvl w:val="0"/>
          <w:numId w:val="12"/>
        </w:numPr>
        <w:tabs>
          <w:tab w:val="clear" w:pos="720"/>
        </w:tabs>
        <w:spacing w:before="240" w:after="240"/>
        <w:outlineLvl w:val="1"/>
        <w:rPr>
          <w:b/>
        </w:rPr>
      </w:pPr>
      <w:r w:rsidRPr="00753AB1">
        <w:rPr>
          <w:b/>
        </w:rPr>
        <w:t xml:space="preserve">Explain each exception to the </w:t>
      </w:r>
      <w:r w:rsidRPr="00753AB1" w:rsidR="00E95422">
        <w:rPr>
          <w:b/>
        </w:rPr>
        <w:t>c</w:t>
      </w:r>
      <w:r w:rsidRPr="00753AB1">
        <w:rPr>
          <w:b/>
        </w:rPr>
        <w:t xml:space="preserve">ertification statement. </w:t>
      </w:r>
    </w:p>
    <w:p w:rsidR="00547C06" w:rsidRPr="00753AB1" w:rsidP="007B01D5" w14:paraId="4A88DBE2" w14:textId="1D76CAFF">
      <w:pPr>
        <w:spacing w:after="200"/>
      </w:pPr>
      <w:r w:rsidRPr="00753AB1">
        <w:t>There are no exceptions to the certification statement</w:t>
      </w:r>
      <w:r w:rsidRPr="00753AB1" w:rsidR="007E6133">
        <w:t>.</w:t>
      </w:r>
    </w:p>
    <w:p w:rsidR="007D6D1C" w:rsidRPr="00753AB1" w:rsidP="00671931" w14:paraId="3568F8E8" w14:textId="77777777">
      <w:pPr>
        <w:pStyle w:val="ListParagraph"/>
        <w:numPr>
          <w:ilvl w:val="0"/>
          <w:numId w:val="11"/>
        </w:numPr>
        <w:spacing w:before="360" w:after="240"/>
        <w:ind w:left="360"/>
        <w:contextualSpacing w:val="0"/>
        <w:outlineLvl w:val="0"/>
        <w:rPr>
          <w:b/>
          <w:u w:val="single"/>
        </w:rPr>
      </w:pPr>
      <w:r w:rsidRPr="00753AB1">
        <w:rPr>
          <w:b/>
        </w:rPr>
        <w:t>COLLECTIONS OF INFORMATION EMPLOYING STATISTICAL METHODS</w:t>
      </w:r>
    </w:p>
    <w:p w:rsidR="004534DA" w:rsidRPr="00234FDD" w:rsidP="00556743" w14:paraId="5D1D6CBE" w14:textId="42D6A97D">
      <w:pPr>
        <w:spacing w:after="200"/>
      </w:pPr>
      <w:r w:rsidRPr="00753AB1">
        <w:t>EDA does not employ statistical methods to collect data</w:t>
      </w:r>
      <w:r w:rsidR="00B64AC5">
        <w:t xml:space="preserve"> for this </w:t>
      </w:r>
      <w:r w:rsidR="00A53B13">
        <w:t>information collection</w:t>
      </w:r>
      <w:r w:rsidR="00B64AC5">
        <w:t>.</w:t>
      </w:r>
    </w:p>
    <w:sectPr w:rsidSect="0040352D">
      <w:footerReference w:type="even" r:id="rId5"/>
      <w:footerReference w:type="default" r:id="rId6"/>
      <w:footerReference w:type="firs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11B8CD5E"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628E" w:rsidP="005611F6" w14:paraId="79AB44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20D5FB68" w14:textId="2E7F5E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rsidR="006A628E" w:rsidRPr="000527F8" w:rsidP="005611F6" w14:paraId="4C1A7E7A" w14:textId="77777777">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032096"/>
      <w:docPartObj>
        <w:docPartGallery w:val="Page Numbers (Bottom of Page)"/>
        <w:docPartUnique/>
      </w:docPartObj>
    </w:sdtPr>
    <w:sdtEndPr>
      <w:rPr>
        <w:noProof/>
      </w:rPr>
    </w:sdtEndPr>
    <w:sdtContent>
      <w:p w:rsidR="005762B2" w14:paraId="739941EC" w14:textId="11577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62B2" w14:paraId="2C23C7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95A0C"/>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225313"/>
    <w:multiLevelType w:val="hybridMultilevel"/>
    <w:tmpl w:val="6C883D66"/>
    <w:lvl w:ilvl="0">
      <w:start w:val="1"/>
      <w:numFmt w:val="decimal"/>
      <w:pStyle w:val="Heading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A7522A"/>
    <w:multiLevelType w:val="hybridMultilevel"/>
    <w:tmpl w:val="95207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737946"/>
    <w:multiLevelType w:val="hybridMultilevel"/>
    <w:tmpl w:val="93D25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D47E71"/>
    <w:multiLevelType w:val="hybridMultilevel"/>
    <w:tmpl w:val="4D426AF4"/>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1048AB"/>
    <w:multiLevelType w:val="hybridMultilevel"/>
    <w:tmpl w:val="3AB81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415AEF"/>
    <w:multiLevelType w:val="hybridMultilevel"/>
    <w:tmpl w:val="AA40E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E6DE9"/>
    <w:multiLevelType w:val="hybridMultilevel"/>
    <w:tmpl w:val="130401A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0D6FC5"/>
    <w:multiLevelType w:val="hybridMultilevel"/>
    <w:tmpl w:val="50DC8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D0045B"/>
    <w:multiLevelType w:val="hybridMultilevel"/>
    <w:tmpl w:val="C4D847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A94B17"/>
    <w:multiLevelType w:val="hybridMultilevel"/>
    <w:tmpl w:val="80ACC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2">
    <w:nsid w:val="53CC7307"/>
    <w:multiLevelType w:val="hybridMultilevel"/>
    <w:tmpl w:val="40BA93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7EF3485"/>
    <w:multiLevelType w:val="hybridMultilevel"/>
    <w:tmpl w:val="497C91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DD0C72"/>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547011"/>
    <w:multiLevelType w:val="hybridMultilevel"/>
    <w:tmpl w:val="94E0B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6D208C"/>
    <w:multiLevelType w:val="hybridMultilevel"/>
    <w:tmpl w:val="4462D98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66905662">
    <w:abstractNumId w:val="11"/>
  </w:num>
  <w:num w:numId="2" w16cid:durableId="539898608">
    <w:abstractNumId w:val="10"/>
  </w:num>
  <w:num w:numId="3" w16cid:durableId="985738429">
    <w:abstractNumId w:val="16"/>
  </w:num>
  <w:num w:numId="4" w16cid:durableId="1876918219">
    <w:abstractNumId w:val="4"/>
  </w:num>
  <w:num w:numId="5" w16cid:durableId="260574056">
    <w:abstractNumId w:val="1"/>
  </w:num>
  <w:num w:numId="6" w16cid:durableId="1307008882">
    <w:abstractNumId w:val="7"/>
  </w:num>
  <w:num w:numId="7" w16cid:durableId="1844585069">
    <w:abstractNumId w:val="6"/>
  </w:num>
  <w:num w:numId="8" w16cid:durableId="1544444205">
    <w:abstractNumId w:val="15"/>
  </w:num>
  <w:num w:numId="9" w16cid:durableId="2005011664">
    <w:abstractNumId w:val="9"/>
  </w:num>
  <w:num w:numId="10" w16cid:durableId="1271357209">
    <w:abstractNumId w:val="3"/>
  </w:num>
  <w:num w:numId="11" w16cid:durableId="1841391166">
    <w:abstractNumId w:val="13"/>
  </w:num>
  <w:num w:numId="12" w16cid:durableId="912357282">
    <w:abstractNumId w:val="0"/>
  </w:num>
  <w:num w:numId="13" w16cid:durableId="1678340316">
    <w:abstractNumId w:val="14"/>
  </w:num>
  <w:num w:numId="14" w16cid:durableId="690229428">
    <w:abstractNumId w:val="1"/>
  </w:num>
  <w:num w:numId="15" w16cid:durableId="1823304966">
    <w:abstractNumId w:val="2"/>
  </w:num>
  <w:num w:numId="16" w16cid:durableId="873932016">
    <w:abstractNumId w:val="5"/>
  </w:num>
  <w:num w:numId="17" w16cid:durableId="516165503">
    <w:abstractNumId w:val="8"/>
  </w:num>
  <w:num w:numId="18" w16cid:durableId="15194189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27A1"/>
    <w:rsid w:val="00003E15"/>
    <w:rsid w:val="00006548"/>
    <w:rsid w:val="0001586D"/>
    <w:rsid w:val="00016345"/>
    <w:rsid w:val="00021E31"/>
    <w:rsid w:val="00027B6B"/>
    <w:rsid w:val="00030AD4"/>
    <w:rsid w:val="00032FCF"/>
    <w:rsid w:val="00033444"/>
    <w:rsid w:val="00034E18"/>
    <w:rsid w:val="00037689"/>
    <w:rsid w:val="000423D0"/>
    <w:rsid w:val="00046599"/>
    <w:rsid w:val="000509FF"/>
    <w:rsid w:val="000527F8"/>
    <w:rsid w:val="00052E54"/>
    <w:rsid w:val="00060E5B"/>
    <w:rsid w:val="00064A31"/>
    <w:rsid w:val="00064D3C"/>
    <w:rsid w:val="0006683A"/>
    <w:rsid w:val="00067FB9"/>
    <w:rsid w:val="00070F61"/>
    <w:rsid w:val="00074760"/>
    <w:rsid w:val="000772D7"/>
    <w:rsid w:val="0008036E"/>
    <w:rsid w:val="000842F1"/>
    <w:rsid w:val="000909A5"/>
    <w:rsid w:val="00090CFE"/>
    <w:rsid w:val="000A3517"/>
    <w:rsid w:val="000A610C"/>
    <w:rsid w:val="000A6608"/>
    <w:rsid w:val="000B53B0"/>
    <w:rsid w:val="000B5C83"/>
    <w:rsid w:val="000C32A9"/>
    <w:rsid w:val="000C6550"/>
    <w:rsid w:val="000D3319"/>
    <w:rsid w:val="000D3E78"/>
    <w:rsid w:val="000D3F96"/>
    <w:rsid w:val="000E65AE"/>
    <w:rsid w:val="000F0F5D"/>
    <w:rsid w:val="000F2B4F"/>
    <w:rsid w:val="00102953"/>
    <w:rsid w:val="00103680"/>
    <w:rsid w:val="00104FB4"/>
    <w:rsid w:val="00110419"/>
    <w:rsid w:val="00137A26"/>
    <w:rsid w:val="00140495"/>
    <w:rsid w:val="0014495C"/>
    <w:rsid w:val="0014753A"/>
    <w:rsid w:val="00160237"/>
    <w:rsid w:val="00161BE7"/>
    <w:rsid w:val="00163A18"/>
    <w:rsid w:val="00166E9B"/>
    <w:rsid w:val="00171691"/>
    <w:rsid w:val="001739BB"/>
    <w:rsid w:val="00174E7B"/>
    <w:rsid w:val="00180E14"/>
    <w:rsid w:val="0018714F"/>
    <w:rsid w:val="001914C7"/>
    <w:rsid w:val="001925B8"/>
    <w:rsid w:val="00192F63"/>
    <w:rsid w:val="00195744"/>
    <w:rsid w:val="001A075D"/>
    <w:rsid w:val="001A424A"/>
    <w:rsid w:val="001A4B37"/>
    <w:rsid w:val="001B110A"/>
    <w:rsid w:val="001B38E8"/>
    <w:rsid w:val="001B3D5D"/>
    <w:rsid w:val="001B494A"/>
    <w:rsid w:val="001C19B3"/>
    <w:rsid w:val="001C2DE2"/>
    <w:rsid w:val="001D664A"/>
    <w:rsid w:val="001E0748"/>
    <w:rsid w:val="001E135C"/>
    <w:rsid w:val="001E3A1E"/>
    <w:rsid w:val="001E4C83"/>
    <w:rsid w:val="001E7F5D"/>
    <w:rsid w:val="002011A8"/>
    <w:rsid w:val="00202BE9"/>
    <w:rsid w:val="00202F62"/>
    <w:rsid w:val="00203B77"/>
    <w:rsid w:val="0020454E"/>
    <w:rsid w:val="0020530C"/>
    <w:rsid w:val="00206596"/>
    <w:rsid w:val="00212CDF"/>
    <w:rsid w:val="00213FEB"/>
    <w:rsid w:val="00215943"/>
    <w:rsid w:val="00217846"/>
    <w:rsid w:val="002208BC"/>
    <w:rsid w:val="0022171B"/>
    <w:rsid w:val="002273E9"/>
    <w:rsid w:val="00230EA8"/>
    <w:rsid w:val="00234FDD"/>
    <w:rsid w:val="0024231D"/>
    <w:rsid w:val="00242804"/>
    <w:rsid w:val="00253A4B"/>
    <w:rsid w:val="00254CDF"/>
    <w:rsid w:val="00257EEF"/>
    <w:rsid w:val="00266D11"/>
    <w:rsid w:val="00270D23"/>
    <w:rsid w:val="002718BB"/>
    <w:rsid w:val="002743B8"/>
    <w:rsid w:val="002820C7"/>
    <w:rsid w:val="002837C6"/>
    <w:rsid w:val="00287C43"/>
    <w:rsid w:val="00294064"/>
    <w:rsid w:val="00296995"/>
    <w:rsid w:val="00296CD7"/>
    <w:rsid w:val="002A372E"/>
    <w:rsid w:val="002A3AF9"/>
    <w:rsid w:val="002A408A"/>
    <w:rsid w:val="002A44D9"/>
    <w:rsid w:val="002A6DC0"/>
    <w:rsid w:val="002B343D"/>
    <w:rsid w:val="002B4784"/>
    <w:rsid w:val="002C082B"/>
    <w:rsid w:val="002C1069"/>
    <w:rsid w:val="002C4CC0"/>
    <w:rsid w:val="002C593A"/>
    <w:rsid w:val="002C6B63"/>
    <w:rsid w:val="002D329A"/>
    <w:rsid w:val="002E0665"/>
    <w:rsid w:val="002E0935"/>
    <w:rsid w:val="002E34F9"/>
    <w:rsid w:val="002F0CBC"/>
    <w:rsid w:val="002F0EA0"/>
    <w:rsid w:val="002F2243"/>
    <w:rsid w:val="002F477A"/>
    <w:rsid w:val="00301147"/>
    <w:rsid w:val="00303241"/>
    <w:rsid w:val="00305AE2"/>
    <w:rsid w:val="003062FF"/>
    <w:rsid w:val="003066EA"/>
    <w:rsid w:val="0030739B"/>
    <w:rsid w:val="00322229"/>
    <w:rsid w:val="00322AEC"/>
    <w:rsid w:val="00325520"/>
    <w:rsid w:val="00326CD0"/>
    <w:rsid w:val="00327850"/>
    <w:rsid w:val="00337BE6"/>
    <w:rsid w:val="00343126"/>
    <w:rsid w:val="00344868"/>
    <w:rsid w:val="0034523A"/>
    <w:rsid w:val="00346233"/>
    <w:rsid w:val="00347534"/>
    <w:rsid w:val="00351B37"/>
    <w:rsid w:val="00352FC2"/>
    <w:rsid w:val="003567A0"/>
    <w:rsid w:val="00365BE4"/>
    <w:rsid w:val="003665AE"/>
    <w:rsid w:val="00370507"/>
    <w:rsid w:val="00370C23"/>
    <w:rsid w:val="00372799"/>
    <w:rsid w:val="00376874"/>
    <w:rsid w:val="00380705"/>
    <w:rsid w:val="003824B9"/>
    <w:rsid w:val="00382923"/>
    <w:rsid w:val="00382AC8"/>
    <w:rsid w:val="0038402A"/>
    <w:rsid w:val="00392809"/>
    <w:rsid w:val="003932B7"/>
    <w:rsid w:val="00393EAA"/>
    <w:rsid w:val="00395DAC"/>
    <w:rsid w:val="003A07BB"/>
    <w:rsid w:val="003A31C7"/>
    <w:rsid w:val="003A54C1"/>
    <w:rsid w:val="003B174A"/>
    <w:rsid w:val="003B6C9B"/>
    <w:rsid w:val="003B7DE6"/>
    <w:rsid w:val="003C072C"/>
    <w:rsid w:val="003C1E9E"/>
    <w:rsid w:val="003C5A10"/>
    <w:rsid w:val="003D1C68"/>
    <w:rsid w:val="003D1D11"/>
    <w:rsid w:val="003D23D2"/>
    <w:rsid w:val="003D64D3"/>
    <w:rsid w:val="003D6BD4"/>
    <w:rsid w:val="003D7944"/>
    <w:rsid w:val="003E587F"/>
    <w:rsid w:val="003F0805"/>
    <w:rsid w:val="003F6DFD"/>
    <w:rsid w:val="003F6F0E"/>
    <w:rsid w:val="0040352D"/>
    <w:rsid w:val="00403BA1"/>
    <w:rsid w:val="004046DA"/>
    <w:rsid w:val="004160CA"/>
    <w:rsid w:val="00416BBF"/>
    <w:rsid w:val="00423679"/>
    <w:rsid w:val="00425C61"/>
    <w:rsid w:val="00426DB8"/>
    <w:rsid w:val="004304B6"/>
    <w:rsid w:val="00433940"/>
    <w:rsid w:val="004417B7"/>
    <w:rsid w:val="0044339B"/>
    <w:rsid w:val="00443CF3"/>
    <w:rsid w:val="00445989"/>
    <w:rsid w:val="00447F1B"/>
    <w:rsid w:val="00451BCC"/>
    <w:rsid w:val="0045202E"/>
    <w:rsid w:val="004534DA"/>
    <w:rsid w:val="004566A4"/>
    <w:rsid w:val="004618C6"/>
    <w:rsid w:val="00464DAC"/>
    <w:rsid w:val="0047727D"/>
    <w:rsid w:val="0048183F"/>
    <w:rsid w:val="00482B78"/>
    <w:rsid w:val="00483B25"/>
    <w:rsid w:val="00485581"/>
    <w:rsid w:val="004914E5"/>
    <w:rsid w:val="00492B51"/>
    <w:rsid w:val="00495868"/>
    <w:rsid w:val="004A1411"/>
    <w:rsid w:val="004A34BC"/>
    <w:rsid w:val="004A773D"/>
    <w:rsid w:val="004B0838"/>
    <w:rsid w:val="004B29DA"/>
    <w:rsid w:val="004B6A4E"/>
    <w:rsid w:val="004C5974"/>
    <w:rsid w:val="004D0098"/>
    <w:rsid w:val="004D1034"/>
    <w:rsid w:val="004D3CDB"/>
    <w:rsid w:val="004D431E"/>
    <w:rsid w:val="004D7A12"/>
    <w:rsid w:val="004E0151"/>
    <w:rsid w:val="004E1F08"/>
    <w:rsid w:val="004F2EE4"/>
    <w:rsid w:val="004F392A"/>
    <w:rsid w:val="004F3C67"/>
    <w:rsid w:val="004F4502"/>
    <w:rsid w:val="004F6AE1"/>
    <w:rsid w:val="00502AB9"/>
    <w:rsid w:val="00512E4A"/>
    <w:rsid w:val="005160E9"/>
    <w:rsid w:val="005207AB"/>
    <w:rsid w:val="005241EA"/>
    <w:rsid w:val="005312B1"/>
    <w:rsid w:val="005329E6"/>
    <w:rsid w:val="0053612E"/>
    <w:rsid w:val="00537D1D"/>
    <w:rsid w:val="005474C0"/>
    <w:rsid w:val="00547C06"/>
    <w:rsid w:val="0055133B"/>
    <w:rsid w:val="00556743"/>
    <w:rsid w:val="00556DEB"/>
    <w:rsid w:val="00560180"/>
    <w:rsid w:val="005611F6"/>
    <w:rsid w:val="00565398"/>
    <w:rsid w:val="0056547D"/>
    <w:rsid w:val="00566206"/>
    <w:rsid w:val="00570884"/>
    <w:rsid w:val="005762B2"/>
    <w:rsid w:val="00580E30"/>
    <w:rsid w:val="00581FD5"/>
    <w:rsid w:val="005851F6"/>
    <w:rsid w:val="005901AC"/>
    <w:rsid w:val="0059106B"/>
    <w:rsid w:val="0059217C"/>
    <w:rsid w:val="005924D2"/>
    <w:rsid w:val="00592AAA"/>
    <w:rsid w:val="0059552B"/>
    <w:rsid w:val="00595703"/>
    <w:rsid w:val="005A4832"/>
    <w:rsid w:val="005A642A"/>
    <w:rsid w:val="005A685D"/>
    <w:rsid w:val="005A6BEE"/>
    <w:rsid w:val="005B3844"/>
    <w:rsid w:val="005B60F8"/>
    <w:rsid w:val="005B735F"/>
    <w:rsid w:val="005C3FFA"/>
    <w:rsid w:val="005C7E1A"/>
    <w:rsid w:val="005D5D93"/>
    <w:rsid w:val="005E0D43"/>
    <w:rsid w:val="005E1CF7"/>
    <w:rsid w:val="005E1DFA"/>
    <w:rsid w:val="005E1FA0"/>
    <w:rsid w:val="005E1FAE"/>
    <w:rsid w:val="005E4C25"/>
    <w:rsid w:val="005E5105"/>
    <w:rsid w:val="005F04CB"/>
    <w:rsid w:val="005F5D5C"/>
    <w:rsid w:val="00600DAD"/>
    <w:rsid w:val="00606CED"/>
    <w:rsid w:val="00607384"/>
    <w:rsid w:val="00612370"/>
    <w:rsid w:val="00612611"/>
    <w:rsid w:val="00615E41"/>
    <w:rsid w:val="00623E8A"/>
    <w:rsid w:val="00624E8F"/>
    <w:rsid w:val="00626137"/>
    <w:rsid w:val="00634E1F"/>
    <w:rsid w:val="006360ED"/>
    <w:rsid w:val="00636A6D"/>
    <w:rsid w:val="006403D6"/>
    <w:rsid w:val="006445AE"/>
    <w:rsid w:val="00644802"/>
    <w:rsid w:val="00644919"/>
    <w:rsid w:val="00645EC1"/>
    <w:rsid w:val="00650415"/>
    <w:rsid w:val="00652449"/>
    <w:rsid w:val="00656142"/>
    <w:rsid w:val="006563B2"/>
    <w:rsid w:val="00661EC7"/>
    <w:rsid w:val="0066242C"/>
    <w:rsid w:val="0067051C"/>
    <w:rsid w:val="00670CA2"/>
    <w:rsid w:val="00671931"/>
    <w:rsid w:val="00672428"/>
    <w:rsid w:val="006772F1"/>
    <w:rsid w:val="00677BB8"/>
    <w:rsid w:val="00681243"/>
    <w:rsid w:val="00681BA5"/>
    <w:rsid w:val="00687F39"/>
    <w:rsid w:val="00694477"/>
    <w:rsid w:val="006968D3"/>
    <w:rsid w:val="00697ED2"/>
    <w:rsid w:val="006A628E"/>
    <w:rsid w:val="006B4D4B"/>
    <w:rsid w:val="006B4D92"/>
    <w:rsid w:val="006C0701"/>
    <w:rsid w:val="006C074A"/>
    <w:rsid w:val="006C0A25"/>
    <w:rsid w:val="006C3D32"/>
    <w:rsid w:val="006C4715"/>
    <w:rsid w:val="006C5F6B"/>
    <w:rsid w:val="006C6ED8"/>
    <w:rsid w:val="006C7E55"/>
    <w:rsid w:val="006D36F4"/>
    <w:rsid w:val="006D4912"/>
    <w:rsid w:val="006D5533"/>
    <w:rsid w:val="006D5940"/>
    <w:rsid w:val="006D5D06"/>
    <w:rsid w:val="006D74A2"/>
    <w:rsid w:val="006D7C1E"/>
    <w:rsid w:val="006E1484"/>
    <w:rsid w:val="006E287C"/>
    <w:rsid w:val="006F13DD"/>
    <w:rsid w:val="006F2BDE"/>
    <w:rsid w:val="00703BEC"/>
    <w:rsid w:val="00713D64"/>
    <w:rsid w:val="00717A96"/>
    <w:rsid w:val="00720BC0"/>
    <w:rsid w:val="00722A9D"/>
    <w:rsid w:val="007264A8"/>
    <w:rsid w:val="00727AE3"/>
    <w:rsid w:val="00731CD5"/>
    <w:rsid w:val="00736D4E"/>
    <w:rsid w:val="00736F58"/>
    <w:rsid w:val="00744E8C"/>
    <w:rsid w:val="00745C11"/>
    <w:rsid w:val="00750337"/>
    <w:rsid w:val="0075101B"/>
    <w:rsid w:val="00752595"/>
    <w:rsid w:val="00753AB1"/>
    <w:rsid w:val="0075489B"/>
    <w:rsid w:val="0075698E"/>
    <w:rsid w:val="0076702B"/>
    <w:rsid w:val="00777D95"/>
    <w:rsid w:val="00784F85"/>
    <w:rsid w:val="00790C8F"/>
    <w:rsid w:val="00790E14"/>
    <w:rsid w:val="00791B35"/>
    <w:rsid w:val="007971B4"/>
    <w:rsid w:val="007B01D5"/>
    <w:rsid w:val="007B0DF1"/>
    <w:rsid w:val="007B2750"/>
    <w:rsid w:val="007B3A31"/>
    <w:rsid w:val="007B4488"/>
    <w:rsid w:val="007C277E"/>
    <w:rsid w:val="007C32B2"/>
    <w:rsid w:val="007C3779"/>
    <w:rsid w:val="007C4D09"/>
    <w:rsid w:val="007C7136"/>
    <w:rsid w:val="007D6D1C"/>
    <w:rsid w:val="007E6133"/>
    <w:rsid w:val="007F1BBD"/>
    <w:rsid w:val="007F1DB1"/>
    <w:rsid w:val="007F45E3"/>
    <w:rsid w:val="007F57BC"/>
    <w:rsid w:val="007F79C8"/>
    <w:rsid w:val="00801042"/>
    <w:rsid w:val="008011A8"/>
    <w:rsid w:val="00805228"/>
    <w:rsid w:val="00805DC1"/>
    <w:rsid w:val="0080783E"/>
    <w:rsid w:val="00807844"/>
    <w:rsid w:val="00811B4D"/>
    <w:rsid w:val="00812B73"/>
    <w:rsid w:val="00814916"/>
    <w:rsid w:val="00816415"/>
    <w:rsid w:val="00826565"/>
    <w:rsid w:val="0082668A"/>
    <w:rsid w:val="00827EFD"/>
    <w:rsid w:val="00830DAE"/>
    <w:rsid w:val="00832BD2"/>
    <w:rsid w:val="00834B40"/>
    <w:rsid w:val="00842E38"/>
    <w:rsid w:val="00842FD2"/>
    <w:rsid w:val="00845969"/>
    <w:rsid w:val="0085092A"/>
    <w:rsid w:val="00860F1C"/>
    <w:rsid w:val="00861CEB"/>
    <w:rsid w:val="008627EA"/>
    <w:rsid w:val="00863977"/>
    <w:rsid w:val="00863A5D"/>
    <w:rsid w:val="008666E7"/>
    <w:rsid w:val="008673BE"/>
    <w:rsid w:val="00870116"/>
    <w:rsid w:val="008701AC"/>
    <w:rsid w:val="00872216"/>
    <w:rsid w:val="008767A1"/>
    <w:rsid w:val="00884019"/>
    <w:rsid w:val="0088486D"/>
    <w:rsid w:val="00885600"/>
    <w:rsid w:val="00887109"/>
    <w:rsid w:val="00893714"/>
    <w:rsid w:val="00893DC7"/>
    <w:rsid w:val="008A64E8"/>
    <w:rsid w:val="008B0A94"/>
    <w:rsid w:val="008B1E4F"/>
    <w:rsid w:val="008B3B0D"/>
    <w:rsid w:val="008C16E4"/>
    <w:rsid w:val="008C2848"/>
    <w:rsid w:val="008C4965"/>
    <w:rsid w:val="008C6D0D"/>
    <w:rsid w:val="008D0DBA"/>
    <w:rsid w:val="008D252F"/>
    <w:rsid w:val="008F0371"/>
    <w:rsid w:val="008F17BD"/>
    <w:rsid w:val="008F276D"/>
    <w:rsid w:val="00901086"/>
    <w:rsid w:val="00901C83"/>
    <w:rsid w:val="00902562"/>
    <w:rsid w:val="009033C8"/>
    <w:rsid w:val="0090371C"/>
    <w:rsid w:val="00904CC7"/>
    <w:rsid w:val="009065DE"/>
    <w:rsid w:val="00907436"/>
    <w:rsid w:val="009113FB"/>
    <w:rsid w:val="009242CE"/>
    <w:rsid w:val="00924416"/>
    <w:rsid w:val="00927810"/>
    <w:rsid w:val="00930C88"/>
    <w:rsid w:val="00931AD9"/>
    <w:rsid w:val="00933DE8"/>
    <w:rsid w:val="00934E8B"/>
    <w:rsid w:val="00936091"/>
    <w:rsid w:val="00936C99"/>
    <w:rsid w:val="009414B3"/>
    <w:rsid w:val="009430BA"/>
    <w:rsid w:val="00944AF9"/>
    <w:rsid w:val="00944BC8"/>
    <w:rsid w:val="00947138"/>
    <w:rsid w:val="0095463F"/>
    <w:rsid w:val="00964F6C"/>
    <w:rsid w:val="00966204"/>
    <w:rsid w:val="009670CC"/>
    <w:rsid w:val="0097374A"/>
    <w:rsid w:val="00983AB5"/>
    <w:rsid w:val="00983F80"/>
    <w:rsid w:val="00986CE3"/>
    <w:rsid w:val="00987A66"/>
    <w:rsid w:val="009A1374"/>
    <w:rsid w:val="009A1F5F"/>
    <w:rsid w:val="009B0669"/>
    <w:rsid w:val="009B0D71"/>
    <w:rsid w:val="009B1941"/>
    <w:rsid w:val="009B56B0"/>
    <w:rsid w:val="009C2876"/>
    <w:rsid w:val="009C3726"/>
    <w:rsid w:val="009D1A14"/>
    <w:rsid w:val="009E451D"/>
    <w:rsid w:val="009F5916"/>
    <w:rsid w:val="00A00789"/>
    <w:rsid w:val="00A01CDF"/>
    <w:rsid w:val="00A10BDB"/>
    <w:rsid w:val="00A13D39"/>
    <w:rsid w:val="00A14E2E"/>
    <w:rsid w:val="00A24C82"/>
    <w:rsid w:val="00A305DD"/>
    <w:rsid w:val="00A34367"/>
    <w:rsid w:val="00A3531A"/>
    <w:rsid w:val="00A37B2F"/>
    <w:rsid w:val="00A42A48"/>
    <w:rsid w:val="00A43A9A"/>
    <w:rsid w:val="00A43B27"/>
    <w:rsid w:val="00A47BB4"/>
    <w:rsid w:val="00A52F28"/>
    <w:rsid w:val="00A53B13"/>
    <w:rsid w:val="00A578AD"/>
    <w:rsid w:val="00A648A2"/>
    <w:rsid w:val="00A65213"/>
    <w:rsid w:val="00A702CA"/>
    <w:rsid w:val="00A712B8"/>
    <w:rsid w:val="00A722F3"/>
    <w:rsid w:val="00A72A08"/>
    <w:rsid w:val="00A746F2"/>
    <w:rsid w:val="00A81480"/>
    <w:rsid w:val="00A83D7C"/>
    <w:rsid w:val="00A84DE7"/>
    <w:rsid w:val="00A87805"/>
    <w:rsid w:val="00A92CA3"/>
    <w:rsid w:val="00A95E72"/>
    <w:rsid w:val="00AA10DC"/>
    <w:rsid w:val="00AA1764"/>
    <w:rsid w:val="00AA199C"/>
    <w:rsid w:val="00AA3954"/>
    <w:rsid w:val="00AA75C0"/>
    <w:rsid w:val="00AB4E28"/>
    <w:rsid w:val="00AC2110"/>
    <w:rsid w:val="00AC26CD"/>
    <w:rsid w:val="00AC399F"/>
    <w:rsid w:val="00AC707A"/>
    <w:rsid w:val="00AD0957"/>
    <w:rsid w:val="00AD26B6"/>
    <w:rsid w:val="00AD3562"/>
    <w:rsid w:val="00AE3959"/>
    <w:rsid w:val="00AE6732"/>
    <w:rsid w:val="00AE75A6"/>
    <w:rsid w:val="00AE75E0"/>
    <w:rsid w:val="00AF16DD"/>
    <w:rsid w:val="00AF353B"/>
    <w:rsid w:val="00AF5DB6"/>
    <w:rsid w:val="00AF6E7C"/>
    <w:rsid w:val="00B00CCE"/>
    <w:rsid w:val="00B00EC9"/>
    <w:rsid w:val="00B017D9"/>
    <w:rsid w:val="00B14C9A"/>
    <w:rsid w:val="00B25AD8"/>
    <w:rsid w:val="00B26ACD"/>
    <w:rsid w:val="00B32590"/>
    <w:rsid w:val="00B37F64"/>
    <w:rsid w:val="00B41A93"/>
    <w:rsid w:val="00B42740"/>
    <w:rsid w:val="00B52102"/>
    <w:rsid w:val="00B5621A"/>
    <w:rsid w:val="00B570E1"/>
    <w:rsid w:val="00B60A75"/>
    <w:rsid w:val="00B60BA4"/>
    <w:rsid w:val="00B614D6"/>
    <w:rsid w:val="00B623BC"/>
    <w:rsid w:val="00B63FEF"/>
    <w:rsid w:val="00B64561"/>
    <w:rsid w:val="00B64AC5"/>
    <w:rsid w:val="00B6676E"/>
    <w:rsid w:val="00B67A83"/>
    <w:rsid w:val="00B70989"/>
    <w:rsid w:val="00B71FF2"/>
    <w:rsid w:val="00B745A6"/>
    <w:rsid w:val="00B778B4"/>
    <w:rsid w:val="00B8440D"/>
    <w:rsid w:val="00B848AB"/>
    <w:rsid w:val="00B85DE6"/>
    <w:rsid w:val="00B86B72"/>
    <w:rsid w:val="00B95D08"/>
    <w:rsid w:val="00B9612E"/>
    <w:rsid w:val="00B9734A"/>
    <w:rsid w:val="00BA0AC0"/>
    <w:rsid w:val="00BA53F2"/>
    <w:rsid w:val="00BA73FA"/>
    <w:rsid w:val="00BA7657"/>
    <w:rsid w:val="00BA78FE"/>
    <w:rsid w:val="00BB10DF"/>
    <w:rsid w:val="00BB1419"/>
    <w:rsid w:val="00BB66D8"/>
    <w:rsid w:val="00BB7A37"/>
    <w:rsid w:val="00BC120E"/>
    <w:rsid w:val="00BC5DA5"/>
    <w:rsid w:val="00BD2D14"/>
    <w:rsid w:val="00BD2E65"/>
    <w:rsid w:val="00BD53AF"/>
    <w:rsid w:val="00BD6746"/>
    <w:rsid w:val="00BE543B"/>
    <w:rsid w:val="00BE563E"/>
    <w:rsid w:val="00BF52D4"/>
    <w:rsid w:val="00BF6750"/>
    <w:rsid w:val="00C01252"/>
    <w:rsid w:val="00C03C2A"/>
    <w:rsid w:val="00C046F3"/>
    <w:rsid w:val="00C078DC"/>
    <w:rsid w:val="00C1797D"/>
    <w:rsid w:val="00C21857"/>
    <w:rsid w:val="00C23A97"/>
    <w:rsid w:val="00C25526"/>
    <w:rsid w:val="00C25A01"/>
    <w:rsid w:val="00C31075"/>
    <w:rsid w:val="00C363D9"/>
    <w:rsid w:val="00C37E8A"/>
    <w:rsid w:val="00C46379"/>
    <w:rsid w:val="00C55D6C"/>
    <w:rsid w:val="00C6072E"/>
    <w:rsid w:val="00C61499"/>
    <w:rsid w:val="00C61710"/>
    <w:rsid w:val="00C6327D"/>
    <w:rsid w:val="00C637E6"/>
    <w:rsid w:val="00C63E3B"/>
    <w:rsid w:val="00C65CE5"/>
    <w:rsid w:val="00C72D38"/>
    <w:rsid w:val="00C7427D"/>
    <w:rsid w:val="00C76853"/>
    <w:rsid w:val="00C7729C"/>
    <w:rsid w:val="00C81F26"/>
    <w:rsid w:val="00C839F8"/>
    <w:rsid w:val="00C84E25"/>
    <w:rsid w:val="00C87623"/>
    <w:rsid w:val="00C87C83"/>
    <w:rsid w:val="00C916B3"/>
    <w:rsid w:val="00C95071"/>
    <w:rsid w:val="00C96ECF"/>
    <w:rsid w:val="00CA16BE"/>
    <w:rsid w:val="00CA368F"/>
    <w:rsid w:val="00CB38FE"/>
    <w:rsid w:val="00CB3947"/>
    <w:rsid w:val="00CB49AE"/>
    <w:rsid w:val="00CB5C74"/>
    <w:rsid w:val="00CC5AF0"/>
    <w:rsid w:val="00CD10C9"/>
    <w:rsid w:val="00CD1DBD"/>
    <w:rsid w:val="00CD2896"/>
    <w:rsid w:val="00CD4573"/>
    <w:rsid w:val="00CD6B39"/>
    <w:rsid w:val="00CF4B1C"/>
    <w:rsid w:val="00CF7321"/>
    <w:rsid w:val="00D0394E"/>
    <w:rsid w:val="00D076F9"/>
    <w:rsid w:val="00D16B28"/>
    <w:rsid w:val="00D22F9F"/>
    <w:rsid w:val="00D26A1B"/>
    <w:rsid w:val="00D30464"/>
    <w:rsid w:val="00D3434F"/>
    <w:rsid w:val="00D34763"/>
    <w:rsid w:val="00D35274"/>
    <w:rsid w:val="00D420AF"/>
    <w:rsid w:val="00D435E6"/>
    <w:rsid w:val="00D50FAF"/>
    <w:rsid w:val="00D547C7"/>
    <w:rsid w:val="00D57FCF"/>
    <w:rsid w:val="00D6482E"/>
    <w:rsid w:val="00D64B35"/>
    <w:rsid w:val="00D70BAD"/>
    <w:rsid w:val="00D71E85"/>
    <w:rsid w:val="00D738D3"/>
    <w:rsid w:val="00D75B73"/>
    <w:rsid w:val="00D801C3"/>
    <w:rsid w:val="00D80F8E"/>
    <w:rsid w:val="00D81847"/>
    <w:rsid w:val="00D825F0"/>
    <w:rsid w:val="00D914FC"/>
    <w:rsid w:val="00D96838"/>
    <w:rsid w:val="00DA208E"/>
    <w:rsid w:val="00DA3230"/>
    <w:rsid w:val="00DA4E27"/>
    <w:rsid w:val="00DA5F5F"/>
    <w:rsid w:val="00DA62C9"/>
    <w:rsid w:val="00DB05B3"/>
    <w:rsid w:val="00DB5413"/>
    <w:rsid w:val="00DC056B"/>
    <w:rsid w:val="00DC08B6"/>
    <w:rsid w:val="00DC143F"/>
    <w:rsid w:val="00DC58E7"/>
    <w:rsid w:val="00DC7D6C"/>
    <w:rsid w:val="00DD0A61"/>
    <w:rsid w:val="00DD5346"/>
    <w:rsid w:val="00DE254A"/>
    <w:rsid w:val="00DE5457"/>
    <w:rsid w:val="00DE78FC"/>
    <w:rsid w:val="00DF59FF"/>
    <w:rsid w:val="00E0288C"/>
    <w:rsid w:val="00E0388A"/>
    <w:rsid w:val="00E03D50"/>
    <w:rsid w:val="00E04B71"/>
    <w:rsid w:val="00E0774E"/>
    <w:rsid w:val="00E10A74"/>
    <w:rsid w:val="00E11472"/>
    <w:rsid w:val="00E20CC0"/>
    <w:rsid w:val="00E25886"/>
    <w:rsid w:val="00E2629B"/>
    <w:rsid w:val="00E335D4"/>
    <w:rsid w:val="00E34857"/>
    <w:rsid w:val="00E36C9E"/>
    <w:rsid w:val="00E37BB3"/>
    <w:rsid w:val="00E429DE"/>
    <w:rsid w:val="00E43350"/>
    <w:rsid w:val="00E43DBE"/>
    <w:rsid w:val="00E461A7"/>
    <w:rsid w:val="00E50BD4"/>
    <w:rsid w:val="00E5577A"/>
    <w:rsid w:val="00E557E7"/>
    <w:rsid w:val="00E604FD"/>
    <w:rsid w:val="00E658D9"/>
    <w:rsid w:val="00E764F3"/>
    <w:rsid w:val="00E86E05"/>
    <w:rsid w:val="00E916EC"/>
    <w:rsid w:val="00E931BD"/>
    <w:rsid w:val="00E95422"/>
    <w:rsid w:val="00E95427"/>
    <w:rsid w:val="00E97306"/>
    <w:rsid w:val="00E97AB8"/>
    <w:rsid w:val="00E97F41"/>
    <w:rsid w:val="00EA0141"/>
    <w:rsid w:val="00EA35ED"/>
    <w:rsid w:val="00EA4A14"/>
    <w:rsid w:val="00EA4BEC"/>
    <w:rsid w:val="00EA655D"/>
    <w:rsid w:val="00EB17C9"/>
    <w:rsid w:val="00EB1960"/>
    <w:rsid w:val="00EB6163"/>
    <w:rsid w:val="00EC047A"/>
    <w:rsid w:val="00EC36CA"/>
    <w:rsid w:val="00EC4164"/>
    <w:rsid w:val="00EC70E5"/>
    <w:rsid w:val="00EC76C8"/>
    <w:rsid w:val="00EC791F"/>
    <w:rsid w:val="00ED05FD"/>
    <w:rsid w:val="00ED30AC"/>
    <w:rsid w:val="00ED4E6B"/>
    <w:rsid w:val="00ED548B"/>
    <w:rsid w:val="00ED7EEB"/>
    <w:rsid w:val="00EF1FDB"/>
    <w:rsid w:val="00EF616D"/>
    <w:rsid w:val="00F00A88"/>
    <w:rsid w:val="00F02825"/>
    <w:rsid w:val="00F031D4"/>
    <w:rsid w:val="00F03961"/>
    <w:rsid w:val="00F0630A"/>
    <w:rsid w:val="00F10BE8"/>
    <w:rsid w:val="00F125EB"/>
    <w:rsid w:val="00F12B49"/>
    <w:rsid w:val="00F14A89"/>
    <w:rsid w:val="00F1708A"/>
    <w:rsid w:val="00F17F13"/>
    <w:rsid w:val="00F2048F"/>
    <w:rsid w:val="00F20C9A"/>
    <w:rsid w:val="00F241A4"/>
    <w:rsid w:val="00F27C8C"/>
    <w:rsid w:val="00F27CDC"/>
    <w:rsid w:val="00F31C3B"/>
    <w:rsid w:val="00F32F97"/>
    <w:rsid w:val="00F344A6"/>
    <w:rsid w:val="00F37942"/>
    <w:rsid w:val="00F40D4D"/>
    <w:rsid w:val="00F46237"/>
    <w:rsid w:val="00F50E10"/>
    <w:rsid w:val="00F571E4"/>
    <w:rsid w:val="00F60642"/>
    <w:rsid w:val="00F6272D"/>
    <w:rsid w:val="00F72AA0"/>
    <w:rsid w:val="00F72F80"/>
    <w:rsid w:val="00F75A1C"/>
    <w:rsid w:val="00F76726"/>
    <w:rsid w:val="00F7685C"/>
    <w:rsid w:val="00F80554"/>
    <w:rsid w:val="00F82AE3"/>
    <w:rsid w:val="00F83846"/>
    <w:rsid w:val="00F84CE5"/>
    <w:rsid w:val="00F902AD"/>
    <w:rsid w:val="00F907E4"/>
    <w:rsid w:val="00F9191E"/>
    <w:rsid w:val="00F93B47"/>
    <w:rsid w:val="00F95B24"/>
    <w:rsid w:val="00FA0816"/>
    <w:rsid w:val="00FA3625"/>
    <w:rsid w:val="00FA63CA"/>
    <w:rsid w:val="00FB5B25"/>
    <w:rsid w:val="00FB6A0C"/>
    <w:rsid w:val="00FC0582"/>
    <w:rsid w:val="00FC1CF5"/>
    <w:rsid w:val="00FC26BF"/>
    <w:rsid w:val="00FC46AF"/>
    <w:rsid w:val="00FD1AB2"/>
    <w:rsid w:val="00FD450C"/>
    <w:rsid w:val="00FD5AB4"/>
    <w:rsid w:val="00FE5B48"/>
    <w:rsid w:val="00FF36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B8DE35"/>
  <w15:docId w15:val="{A251AD71-3ACD-4820-B5F5-1BC0C296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8011A8"/>
    <w:rPr>
      <w:color w:val="000000"/>
      <w:sz w:val="24"/>
      <w:szCs w:val="24"/>
    </w:rPr>
  </w:style>
  <w:style w:type="paragraph" w:customStyle="1" w:styleId="TableParagraph">
    <w:name w:val="Table Paragraph"/>
    <w:basedOn w:val="Normal"/>
    <w:uiPriority w:val="1"/>
    <w:qFormat/>
    <w:rsid w:val="00BC120E"/>
    <w:pPr>
      <w:widowControl w:val="0"/>
      <w:autoSpaceDE w:val="0"/>
      <w:autoSpaceDN w:val="0"/>
      <w:spacing w:after="0" w:line="256" w:lineRule="exact"/>
      <w:jc w:val="center"/>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Hewlett-Packard</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Neal, Yvonne (Federal)</cp:lastModifiedBy>
  <cp:revision>10</cp:revision>
  <cp:lastPrinted>2013-02-25T21:48:00Z</cp:lastPrinted>
  <dcterms:created xsi:type="dcterms:W3CDTF">2021-12-13T21:58:00Z</dcterms:created>
  <dcterms:modified xsi:type="dcterms:W3CDTF">2025-02-19T15:45:00Z</dcterms:modified>
</cp:coreProperties>
</file>